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A5576" w14:textId="41F35A09" w:rsidR="00523ABB" w:rsidRPr="008E4AC1" w:rsidRDefault="00523ABB" w:rsidP="008E4AC1">
      <w:pPr>
        <w:widowControl w:val="0"/>
        <w:autoSpaceDE w:val="0"/>
        <w:autoSpaceDN w:val="0"/>
        <w:jc w:val="both"/>
        <w:rPr>
          <w:rFonts w:ascii="Verdana" w:eastAsia="Calibri" w:hAnsi="Verdana" w:cs="Arial"/>
          <w:b/>
          <w:bCs/>
          <w:lang w:val="es-ES_tradnl"/>
        </w:rPr>
      </w:pPr>
      <w:bookmarkStart w:id="0" w:name="_Hlk143780582"/>
      <w:r w:rsidRPr="008E4AC1">
        <w:rPr>
          <w:rFonts w:ascii="Verdana" w:eastAsia="Calibri" w:hAnsi="Verdana" w:cs="Arial"/>
          <w:b/>
          <w:bCs/>
          <w:lang w:val="es-ES_tradnl"/>
        </w:rPr>
        <w:t>DOCUMENTOS TIPO – Fundamento normativo – Resolución 160 de 2020</w:t>
      </w:r>
      <w:r w:rsidR="00D815B9" w:rsidRPr="008E4AC1">
        <w:rPr>
          <w:rFonts w:ascii="Verdana" w:eastAsia="Calibri" w:hAnsi="Verdana" w:cs="Arial"/>
          <w:b/>
          <w:bCs/>
          <w:lang w:val="es-ES_tradnl"/>
        </w:rPr>
        <w:t xml:space="preserve"> </w:t>
      </w:r>
    </w:p>
    <w:p w14:paraId="2C840415" w14:textId="77777777" w:rsidR="008E4AC1" w:rsidRPr="00B45BFA" w:rsidRDefault="008E4AC1" w:rsidP="00B45BFA">
      <w:pPr>
        <w:spacing w:before="120" w:after="120" w:line="240" w:lineRule="auto"/>
        <w:jc w:val="both"/>
        <w:rPr>
          <w:rFonts w:ascii="Verdana" w:eastAsia="Calibri" w:hAnsi="Verdana" w:cs="Arial"/>
          <w:sz w:val="20"/>
          <w:szCs w:val="20"/>
          <w:lang w:val="es-MX"/>
        </w:rPr>
      </w:pPr>
      <w:r w:rsidRPr="00B45BFA">
        <w:rPr>
          <w:rFonts w:ascii="Verdana" w:eastAsia="Calibri" w:hAnsi="Verdana" w:cs="Arial"/>
          <w:sz w:val="20"/>
          <w:szCs w:val="20"/>
          <w:lang w:val="es-MX"/>
        </w:rPr>
        <w:t xml:space="preserve">Con la finalidad de realizar un desarrollo armónico y ajustado a la ley que otorga esta competencia, la Agencia Nacional de Contratación Pública expidió la Resolución 160 del 15 de septiembre de 2020 “Por la cual se adopta el procedimiento para implementar los documentos tipo y se define el sistema para su revisión”. </w:t>
      </w:r>
    </w:p>
    <w:p w14:paraId="5C1B85D7" w14:textId="7CB9C6E9" w:rsidR="00523ABB" w:rsidRDefault="008E4AC1" w:rsidP="00B45BFA">
      <w:pPr>
        <w:spacing w:before="120" w:after="120" w:line="240" w:lineRule="auto"/>
        <w:jc w:val="both"/>
        <w:rPr>
          <w:rFonts w:ascii="Verdana" w:eastAsia="Calibri" w:hAnsi="Verdana" w:cs="Arial"/>
          <w:sz w:val="20"/>
          <w:szCs w:val="20"/>
          <w:lang w:val="es-ES"/>
        </w:rPr>
      </w:pPr>
      <w:r w:rsidRPr="00B45BFA">
        <w:rPr>
          <w:rFonts w:ascii="Verdana" w:eastAsia="Calibri" w:hAnsi="Verdana" w:cs="Arial"/>
          <w:sz w:val="20"/>
          <w:szCs w:val="20"/>
          <w:lang w:val="es-ES"/>
        </w:rPr>
        <w:t>La Resolución 160 de 2020 establece el procedimiento para la implementación y revisión de los documentos tipo en la contratación pública colombiana, con el propósito de fortalecer la transparencia, la organización y la estandarización de los procesos contractuales del Estado. Su contenido desarrolla un esquema general compuesto por diferentes etapas y principios orientados a garantizar una adecuada construcción y aplicación de estos instrumentos</w:t>
      </w:r>
    </w:p>
    <w:p w14:paraId="6813C64D" w14:textId="08B6064F" w:rsidR="00C96D92" w:rsidRPr="00E56D45" w:rsidRDefault="00C96D92" w:rsidP="00B45BFA">
      <w:pPr>
        <w:spacing w:before="120" w:after="120" w:line="240" w:lineRule="auto"/>
        <w:jc w:val="both"/>
        <w:rPr>
          <w:rFonts w:ascii="Verdana" w:eastAsia="Calibri" w:hAnsi="Verdana" w:cs="Times New Roman"/>
          <w:b/>
          <w:bCs/>
          <w:lang w:val="es-ES"/>
        </w:rPr>
      </w:pPr>
      <w:r w:rsidRPr="00E56D45">
        <w:rPr>
          <w:rFonts w:ascii="Verdana" w:eastAsia="Calibri" w:hAnsi="Verdana" w:cs="Times New Roman"/>
          <w:b/>
          <w:bCs/>
          <w:lang w:val="es-ES"/>
        </w:rPr>
        <w:t xml:space="preserve">DECRETO 287 DE 2026 – Incidencia – Documentos tipo – </w:t>
      </w:r>
      <w:r w:rsidR="00EF7AA7">
        <w:rPr>
          <w:rFonts w:ascii="Verdana" w:eastAsia="Calibri" w:hAnsi="Verdana" w:cs="Times New Roman"/>
          <w:b/>
          <w:bCs/>
          <w:lang w:val="es-ES"/>
        </w:rPr>
        <w:t>Tramite</w:t>
      </w:r>
      <w:r w:rsidRPr="00E56D45">
        <w:rPr>
          <w:rFonts w:ascii="Verdana" w:eastAsia="Calibri" w:hAnsi="Verdana" w:cs="Times New Roman"/>
          <w:b/>
          <w:bCs/>
          <w:lang w:val="es-ES"/>
        </w:rPr>
        <w:t xml:space="preserve"> de modificación.</w:t>
      </w:r>
    </w:p>
    <w:p w14:paraId="135232CA" w14:textId="77777777" w:rsidR="00E56D45" w:rsidRPr="00E56D45" w:rsidRDefault="00E56D45" w:rsidP="00E56D45">
      <w:pPr>
        <w:spacing w:before="120" w:after="120" w:line="240" w:lineRule="auto"/>
        <w:jc w:val="both"/>
        <w:rPr>
          <w:rFonts w:ascii="Verdana" w:eastAsia="Calibri" w:hAnsi="Verdana" w:cs="Arial"/>
          <w:sz w:val="20"/>
          <w:szCs w:val="20"/>
          <w:lang w:val="es-ES"/>
        </w:rPr>
      </w:pPr>
      <w:r w:rsidRPr="00E56D45">
        <w:rPr>
          <w:rFonts w:ascii="Verdana" w:eastAsia="Calibri" w:hAnsi="Verdana" w:cs="Arial"/>
          <w:sz w:val="20"/>
          <w:szCs w:val="20"/>
        </w:rPr>
        <w:t>Es importante mencionar que este proceso implica una importante carga administrativa y presupuestal para lograr su adecuada actualización, razón por la cual puede requerir un tiempo prudencial que permita dar cumplimiento integral a las disposiciones normativas aplicables. No obstante, la Agencia deberá adelantar las actuaciones necesarias para desarrollar este proceso en el menor tiempo posible, garantizando además la divulgación oportuna de cada etapa de modificación tanto a las entidades estatales como a la ciudadanía en general.</w:t>
      </w:r>
    </w:p>
    <w:p w14:paraId="30470D62" w14:textId="5373282D" w:rsidR="00C96D92" w:rsidRDefault="00E56D45" w:rsidP="00E56D45">
      <w:pPr>
        <w:spacing w:before="120" w:after="120" w:line="240" w:lineRule="auto"/>
        <w:jc w:val="both"/>
        <w:rPr>
          <w:rFonts w:ascii="Verdana" w:eastAsia="Calibri" w:hAnsi="Verdana" w:cs="Arial"/>
          <w:sz w:val="20"/>
          <w:szCs w:val="20"/>
          <w:lang w:val="es-ES"/>
        </w:rPr>
      </w:pPr>
      <w:r w:rsidRPr="00E56D45">
        <w:rPr>
          <w:rFonts w:ascii="Verdana" w:eastAsia="Calibri" w:hAnsi="Verdana" w:cs="Arial"/>
          <w:sz w:val="20"/>
          <w:szCs w:val="20"/>
        </w:rPr>
        <w:t>En conclusión, la actualización de los Documentos Tipo no tiene un plazo máximo legalmente establecido, sino que se rige por un esquema de revisión permanente con etapas procedimentales que incluyen términos mínimos de participación ciudadana, siendo el desarrollo del trámite dependiente de las condiciones técnicas, normativas</w:t>
      </w:r>
    </w:p>
    <w:p w14:paraId="1E235694" w14:textId="629323A0" w:rsidR="00C96D92" w:rsidRPr="00AC4679" w:rsidRDefault="00F7730F" w:rsidP="00B45BFA">
      <w:pPr>
        <w:spacing w:before="120" w:after="120" w:line="240" w:lineRule="auto"/>
        <w:jc w:val="both"/>
        <w:rPr>
          <w:rFonts w:ascii="Verdana" w:eastAsia="Calibri" w:hAnsi="Verdana" w:cs="Times New Roman"/>
          <w:b/>
          <w:bCs/>
          <w:lang w:val="es-ES"/>
        </w:rPr>
      </w:pPr>
      <w:r w:rsidRPr="00AC4679">
        <w:rPr>
          <w:rFonts w:ascii="Verdana" w:eastAsia="Calibri" w:hAnsi="Verdana" w:cs="Times New Roman"/>
          <w:b/>
          <w:bCs/>
          <w:lang w:val="es-ES"/>
        </w:rPr>
        <w:t xml:space="preserve">DOCUMENTOS TIPO – Decreto 287 de 2026 – </w:t>
      </w:r>
      <w:r w:rsidRPr="00AC4679">
        <w:rPr>
          <w:rFonts w:ascii="Verdana" w:eastAsia="Aptos" w:hAnsi="Verdana" w:cs="Times New Roman"/>
          <w:b/>
          <w:bCs/>
        </w:rPr>
        <w:t xml:space="preserve">ABC del Decreto 0287 de 2026 </w:t>
      </w:r>
      <w:r w:rsidRPr="00AC4679">
        <w:rPr>
          <w:rFonts w:ascii="Verdana" w:eastAsia="Calibri" w:hAnsi="Verdana" w:cs="Times New Roman"/>
          <w:b/>
          <w:bCs/>
          <w:lang w:val="es-ES"/>
        </w:rPr>
        <w:t>– Circular externa 003 de 2022</w:t>
      </w:r>
      <w:r w:rsidR="00D65B48" w:rsidRPr="00AC4679">
        <w:rPr>
          <w:rFonts w:ascii="Verdana" w:eastAsia="Calibri" w:hAnsi="Verdana" w:cs="Times New Roman"/>
          <w:b/>
          <w:bCs/>
          <w:lang w:val="es-ES"/>
        </w:rPr>
        <w:t>.</w:t>
      </w:r>
    </w:p>
    <w:p w14:paraId="2625763D" w14:textId="50C44BDF" w:rsidR="00AC4679" w:rsidRPr="00AC4679" w:rsidRDefault="00AC4679" w:rsidP="00AC4679">
      <w:pPr>
        <w:spacing w:before="120" w:after="120" w:line="240" w:lineRule="auto"/>
        <w:jc w:val="both"/>
        <w:rPr>
          <w:rFonts w:ascii="Verdana" w:eastAsia="Calibri" w:hAnsi="Verdana" w:cs="Arial"/>
          <w:sz w:val="20"/>
          <w:szCs w:val="20"/>
          <w:lang w:val="es-ES"/>
        </w:rPr>
      </w:pPr>
      <w:r>
        <w:rPr>
          <w:rFonts w:ascii="Verdana" w:eastAsia="Calibri" w:hAnsi="Verdana" w:cs="Arial"/>
          <w:sz w:val="20"/>
          <w:szCs w:val="20"/>
          <w:lang w:val="es-ES"/>
        </w:rPr>
        <w:t xml:space="preserve">(…) </w:t>
      </w:r>
      <w:r w:rsidRPr="00AC4679">
        <w:rPr>
          <w:rFonts w:ascii="Verdana" w:eastAsia="Calibri" w:hAnsi="Verdana" w:cs="Arial"/>
          <w:sz w:val="20"/>
          <w:szCs w:val="20"/>
          <w:lang w:val="es-ES"/>
        </w:rPr>
        <w:t>el ABC del Decreto 287 de 2026 “Contratación pública inclusiva para personas con discapacidad” establece que la aplicación de dicho decreto en los documentos tipo se encuentra condicionada a la realización previa de los ajustes correspondientes por parte de la ANCP–CCE, teniendo en cuenta que estos instrumentos requieren una adecuación técnica y normativa para la incorporación de las medidas del sistema de preferencias.</w:t>
      </w:r>
    </w:p>
    <w:p w14:paraId="0635BEEE" w14:textId="77777777" w:rsidR="00AC4679" w:rsidRPr="00AC4679" w:rsidRDefault="00AC4679" w:rsidP="00AC4679">
      <w:pPr>
        <w:spacing w:before="120" w:after="120" w:line="240" w:lineRule="auto"/>
        <w:jc w:val="both"/>
        <w:rPr>
          <w:rFonts w:ascii="Verdana" w:eastAsia="Calibri" w:hAnsi="Verdana" w:cs="Arial"/>
          <w:sz w:val="20"/>
          <w:szCs w:val="20"/>
          <w:lang w:val="es-ES"/>
        </w:rPr>
      </w:pPr>
      <w:r w:rsidRPr="00AC4679">
        <w:rPr>
          <w:rFonts w:ascii="Verdana" w:eastAsia="Calibri" w:hAnsi="Verdana" w:cs="Arial"/>
          <w:sz w:val="20"/>
          <w:szCs w:val="20"/>
          <w:lang w:val="es-ES"/>
        </w:rPr>
        <w:t>De manera complementaria, la Circular Externa No. 003 de 2026, expedida el 12 de mayo de 2026, dirigida a las entidades estatales y demás sujetos obligados en materia de contratación pública, precisó que la ANCP–CCE tiene la obligación de incorporar de forma progresiva las medidas del sistema de preferencias en los documentos tipo, en los mecanismos de agregación de demanda y en los demás instrumentos a su cargo. En este sentido, se indicó que dichas medidas serán de aplicación obligatoria únicamente una vez hayan sido incorporadas formalmente mediante los actos administrativos correspondientes.</w:t>
      </w:r>
    </w:p>
    <w:p w14:paraId="126FF556" w14:textId="0E7952FB" w:rsidR="00D65B48" w:rsidRPr="00B45BFA" w:rsidRDefault="00AC4679" w:rsidP="00B45BFA">
      <w:pPr>
        <w:spacing w:before="120" w:after="120" w:line="240" w:lineRule="auto"/>
        <w:jc w:val="both"/>
        <w:rPr>
          <w:rFonts w:ascii="Verdana" w:eastAsia="Calibri" w:hAnsi="Verdana" w:cs="Arial"/>
          <w:sz w:val="20"/>
          <w:szCs w:val="20"/>
          <w:lang w:val="es-ES"/>
        </w:rPr>
      </w:pPr>
      <w:r w:rsidRPr="00AC4679">
        <w:rPr>
          <w:rFonts w:ascii="Verdana" w:eastAsia="Calibri" w:hAnsi="Verdana" w:cs="Arial"/>
          <w:sz w:val="20"/>
          <w:szCs w:val="20"/>
          <w:lang w:val="es-ES"/>
        </w:rPr>
        <w:t xml:space="preserve">Particularmente, respecto de los documentos tipo, la circular reiteró que la incorporación de las disposiciones del Decreto 287 de 2026 es competencia exclusiva de la ANCP–CCE, </w:t>
      </w:r>
      <w:r w:rsidRPr="00AC4679">
        <w:rPr>
          <w:rFonts w:ascii="Verdana" w:eastAsia="Calibri" w:hAnsi="Verdana" w:cs="Arial"/>
          <w:sz w:val="20"/>
          <w:szCs w:val="20"/>
          <w:lang w:val="es-ES"/>
        </w:rPr>
        <w:lastRenderedPageBreak/>
        <w:t>por lo que, mientras no se expidan las modificaciones oficiales, las entidades obligadas a su utilización deberán continuar aplicando las versiones vigentes, en garantía del principio de inalterabilidad que los rige. Asimismo, se señaló que corresponde a la Agencia adelantar dichos ajustes en el menor tiempo posible y que las entidades deberán acatar las actualizaciones que se expidan una vez entren en vigor.</w:t>
      </w:r>
    </w:p>
    <w:p w14:paraId="33D1731E" w14:textId="095AFAD1" w:rsidR="007B3004" w:rsidRPr="00AF3277" w:rsidRDefault="007B3004" w:rsidP="007B3004">
      <w:pPr>
        <w:widowControl w:val="0"/>
        <w:autoSpaceDE w:val="0"/>
        <w:autoSpaceDN w:val="0"/>
        <w:rPr>
          <w:rFonts w:ascii="Verdana" w:eastAsia="Aptos" w:hAnsi="Verdana" w:cs="Times New Roman"/>
          <w:b/>
          <w:bCs/>
          <w:kern w:val="2"/>
          <w:sz w:val="20"/>
          <w:szCs w:val="20"/>
          <w14:ligatures w14:val="standardContextual"/>
        </w:rPr>
      </w:pPr>
      <w:r w:rsidRPr="00AF3277">
        <w:rPr>
          <w:rFonts w:ascii="Verdana" w:eastAsia="Calibri" w:hAnsi="Verdana" w:cs="Arial"/>
          <w:b/>
          <w:bCs/>
          <w:lang w:val="es-ES_tradnl"/>
        </w:rPr>
        <w:t xml:space="preserve">DOCUMENTOS TIPO – </w:t>
      </w:r>
      <w:r w:rsidR="00594FF6" w:rsidRPr="00AF3277">
        <w:rPr>
          <w:rFonts w:ascii="Verdana" w:eastAsia="Calibri" w:hAnsi="Verdana" w:cs="Arial"/>
          <w:b/>
          <w:bCs/>
          <w:lang w:val="es-ES_tradnl"/>
        </w:rPr>
        <w:t>Principio de inalterabilidad</w:t>
      </w:r>
      <w:r w:rsidRPr="00AF3277">
        <w:rPr>
          <w:rFonts w:ascii="Verdana" w:eastAsia="Calibri" w:hAnsi="Verdana" w:cs="Arial"/>
          <w:b/>
          <w:bCs/>
          <w:lang w:val="es-ES_tradnl"/>
        </w:rPr>
        <w:t xml:space="preserve"> – </w:t>
      </w:r>
      <w:r w:rsidR="00A46A41" w:rsidRPr="00AF3277">
        <w:rPr>
          <w:rFonts w:ascii="Verdana" w:eastAsia="Calibri" w:hAnsi="Verdana" w:cs="Arial"/>
          <w:b/>
          <w:bCs/>
          <w:lang w:val="es-ES_tradnl"/>
        </w:rPr>
        <w:t xml:space="preserve">Finalidad </w:t>
      </w:r>
    </w:p>
    <w:p w14:paraId="47F20A25" w14:textId="1D3B07C1" w:rsidR="00D65465" w:rsidRDefault="00D65465" w:rsidP="00D65465">
      <w:pPr>
        <w:spacing w:after="0"/>
        <w:jc w:val="both"/>
        <w:rPr>
          <w:rFonts w:ascii="Verdana" w:eastAsia="Verdana" w:hAnsi="Verdana" w:cs="Verdana"/>
          <w:sz w:val="20"/>
          <w:szCs w:val="20"/>
          <w:lang w:val="es-ES"/>
        </w:rPr>
      </w:pPr>
      <w:r w:rsidRPr="00D65465">
        <w:rPr>
          <w:rFonts w:ascii="Verdana" w:eastAsia="Verdana" w:hAnsi="Verdana" w:cs="Verdana"/>
          <w:sz w:val="20"/>
          <w:szCs w:val="2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00EF4757">
        <w:rPr>
          <w:rFonts w:ascii="Verdana" w:eastAsia="Verdana" w:hAnsi="Verdana" w:cs="Verdana"/>
          <w:sz w:val="20"/>
          <w:szCs w:val="20"/>
          <w:lang w:val="es-ES"/>
        </w:rPr>
        <w:t xml:space="preserve">. </w:t>
      </w:r>
      <w:r w:rsidRPr="00D65465">
        <w:rPr>
          <w:rFonts w:ascii="Verdana" w:eastAsia="Verdana" w:hAnsi="Verdana" w:cs="Verdana"/>
          <w:sz w:val="20"/>
          <w:szCs w:val="20"/>
          <w:lang w:val="es-ES"/>
        </w:rPr>
        <w:t xml:space="preserve">Si las autoridades pudiesen agregar, eliminar o modificar todos y cada uno de los aspectos contenidos en los pliegos tipo, estos documentos, llanamente, no podrían ser llamados pliegos tipo. </w:t>
      </w:r>
    </w:p>
    <w:p w14:paraId="4CC16C88" w14:textId="77777777" w:rsidR="00A46A41" w:rsidRPr="00D65465" w:rsidRDefault="00A46A41" w:rsidP="00D65465">
      <w:pPr>
        <w:spacing w:after="0"/>
        <w:jc w:val="both"/>
        <w:rPr>
          <w:rFonts w:ascii="Verdana" w:eastAsia="Verdana" w:hAnsi="Verdana" w:cs="Verdana"/>
          <w:sz w:val="20"/>
          <w:szCs w:val="20"/>
          <w:lang w:val="es-ES"/>
        </w:rPr>
      </w:pPr>
    </w:p>
    <w:p w14:paraId="2B7C02F0" w14:textId="77777777" w:rsidR="00D65465" w:rsidRDefault="00D65465" w:rsidP="00D65465">
      <w:pPr>
        <w:spacing w:after="0"/>
        <w:jc w:val="both"/>
        <w:rPr>
          <w:rFonts w:ascii="Verdana" w:eastAsia="Verdana" w:hAnsi="Verdana" w:cs="Verdana"/>
          <w:sz w:val="20"/>
          <w:szCs w:val="20"/>
          <w:lang w:val="es-ES"/>
        </w:rPr>
      </w:pPr>
      <w:r w:rsidRPr="00D65465">
        <w:rPr>
          <w:rFonts w:ascii="Verdana" w:eastAsia="Verdana" w:hAnsi="Verdana" w:cs="Verdana"/>
          <w:sz w:val="20"/>
          <w:szCs w:val="20"/>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0922C1F6" w14:textId="77777777" w:rsidR="00A46A41" w:rsidRPr="00D65465" w:rsidRDefault="00A46A41" w:rsidP="00D65465">
      <w:pPr>
        <w:spacing w:after="0"/>
        <w:jc w:val="both"/>
        <w:rPr>
          <w:rFonts w:ascii="Verdana" w:eastAsia="Verdana" w:hAnsi="Verdana" w:cs="Verdana"/>
          <w:sz w:val="20"/>
          <w:szCs w:val="20"/>
          <w:lang w:val="es-ES"/>
        </w:rPr>
      </w:pPr>
    </w:p>
    <w:p w14:paraId="4F896E54" w14:textId="77777777" w:rsidR="00D65465" w:rsidRPr="00D65465" w:rsidRDefault="00D65465" w:rsidP="00D65465">
      <w:pPr>
        <w:spacing w:after="0"/>
        <w:jc w:val="both"/>
        <w:rPr>
          <w:rFonts w:ascii="Verdana" w:eastAsia="Verdana" w:hAnsi="Verdana" w:cs="Verdana"/>
          <w:sz w:val="20"/>
          <w:szCs w:val="20"/>
          <w:lang w:val="es-ES"/>
        </w:rPr>
      </w:pPr>
      <w:r w:rsidRPr="00D65465">
        <w:rPr>
          <w:rFonts w:ascii="Verdana" w:eastAsia="Verdana" w:hAnsi="Verdana" w:cs="Verdana"/>
          <w:sz w:val="20"/>
          <w:szCs w:val="20"/>
          <w:lang w:val="es-MX"/>
        </w:rPr>
        <w:t xml:space="preserve">No obstante, la parte introductoria de los documentos base de los documentos tipo disponen que los aspectos incluidos en corchetes y resaltados en gris </w:t>
      </w:r>
      <w:r w:rsidRPr="00D65465">
        <w:rPr>
          <w:rFonts w:ascii="Verdana" w:eastAsia="Verdana" w:hAnsi="Verdana" w:cs="Verdana"/>
          <w:sz w:val="20"/>
          <w:szCs w:val="20"/>
        </w:rPr>
        <w:t xml:space="preserve">–[texto de ejemplo]– </w:t>
      </w:r>
      <w:r w:rsidRPr="00D65465">
        <w:rPr>
          <w:rFonts w:ascii="Verdana" w:eastAsia="Verdana" w:hAnsi="Verdana" w:cs="Verdana"/>
          <w:sz w:val="20"/>
          <w:szCs w:val="20"/>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0B6C1FCF" w14:textId="77777777" w:rsidR="007B3004" w:rsidRPr="00D65465" w:rsidRDefault="007B3004" w:rsidP="00D5689E">
      <w:pPr>
        <w:spacing w:after="0"/>
        <w:rPr>
          <w:rFonts w:ascii="Verdana" w:eastAsia="Verdana" w:hAnsi="Verdana" w:cs="Verdana"/>
          <w:lang w:val="es-ES"/>
        </w:rPr>
      </w:pPr>
    </w:p>
    <w:p w14:paraId="0BFFFC35" w14:textId="198004D4" w:rsidR="003A73B6" w:rsidRPr="006574F4" w:rsidRDefault="002D4A71" w:rsidP="006574F4">
      <w:pPr>
        <w:spacing w:before="120" w:after="120" w:line="240" w:lineRule="auto"/>
        <w:jc w:val="both"/>
        <w:rPr>
          <w:rFonts w:ascii="Verdana" w:eastAsia="Calibri" w:hAnsi="Verdana" w:cs="Times New Roman"/>
          <w:b/>
          <w:bCs/>
          <w:lang w:val="es-ES"/>
        </w:rPr>
      </w:pPr>
      <w:r w:rsidRPr="00AC4679">
        <w:rPr>
          <w:rFonts w:ascii="Verdana" w:eastAsia="Calibri" w:hAnsi="Verdana" w:cs="Times New Roman"/>
          <w:b/>
          <w:bCs/>
          <w:lang w:val="es-ES"/>
        </w:rPr>
        <w:t xml:space="preserve">DOCUMENTOS TIPO – Decreto 287 de 2026 – </w:t>
      </w:r>
      <w:r w:rsidR="006574F4">
        <w:rPr>
          <w:rFonts w:ascii="Verdana" w:eastAsia="Aptos" w:hAnsi="Verdana" w:cs="Times New Roman"/>
          <w:b/>
          <w:bCs/>
        </w:rPr>
        <w:t>Implementación</w:t>
      </w:r>
    </w:p>
    <w:p w14:paraId="3D25C5D1" w14:textId="78450C91" w:rsidR="003A73B6" w:rsidRPr="002D4A71" w:rsidRDefault="003A73B6" w:rsidP="002D4A71">
      <w:pPr>
        <w:widowControl w:val="0"/>
        <w:autoSpaceDE w:val="0"/>
        <w:autoSpaceDN w:val="0"/>
        <w:spacing w:after="120" w:line="276" w:lineRule="auto"/>
        <w:jc w:val="both"/>
        <w:rPr>
          <w:rFonts w:ascii="Verdana" w:eastAsia="Aptos" w:hAnsi="Verdana" w:cs="Times New Roman"/>
          <w:kern w:val="2"/>
          <w:sz w:val="20"/>
          <w:szCs w:val="20"/>
          <w14:ligatures w14:val="standardContextual"/>
        </w:rPr>
      </w:pPr>
      <w:r w:rsidRPr="002D4A71">
        <w:rPr>
          <w:rFonts w:ascii="Verdana" w:eastAsia="Aptos" w:hAnsi="Verdana" w:cs="Times New Roman"/>
          <w:kern w:val="2"/>
          <w:sz w:val="20"/>
          <w:szCs w:val="20"/>
          <w14:ligatures w14:val="standardContextual"/>
        </w:rPr>
        <w:t>Conforme con lo anterior, la implementación efectiva del Decreto 287 de 2026 depende de la incorporación integral y coherente de sus disposiciones en los documentos tipo por parte de la Agencia Nacional de Contratación Pública – Colombia Compra Eficiente, de manera que las acciones afirmativas previstas se traduzcan en transformaciones reales en el sistema de contratación pública y en la garantía del derecho a la igualdad material de las personas con discapacidad.</w:t>
      </w:r>
    </w:p>
    <w:p w14:paraId="6D22C0A9" w14:textId="77777777" w:rsidR="003A73B6" w:rsidRPr="002D4A71" w:rsidRDefault="003A73B6" w:rsidP="002D4A71">
      <w:pPr>
        <w:widowControl w:val="0"/>
        <w:autoSpaceDE w:val="0"/>
        <w:autoSpaceDN w:val="0"/>
        <w:spacing w:after="120" w:line="276" w:lineRule="auto"/>
        <w:jc w:val="both"/>
        <w:rPr>
          <w:rFonts w:ascii="Verdana" w:eastAsia="Aptos" w:hAnsi="Verdana" w:cs="Times New Roman"/>
          <w:kern w:val="2"/>
          <w:sz w:val="20"/>
          <w:szCs w:val="20"/>
          <w14:ligatures w14:val="standardContextual"/>
        </w:rPr>
      </w:pPr>
      <w:r w:rsidRPr="002D4A71">
        <w:rPr>
          <w:rFonts w:ascii="Verdana" w:eastAsia="Aptos" w:hAnsi="Verdana" w:cs="Times New Roman"/>
          <w:kern w:val="2"/>
          <w:sz w:val="20"/>
          <w:szCs w:val="20"/>
          <w14:ligatures w14:val="standardContextual"/>
        </w:rPr>
        <w:t xml:space="preserve">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w:t>
      </w:r>
      <w:r w:rsidRPr="002D4A71">
        <w:rPr>
          <w:rFonts w:ascii="Verdana" w:eastAsia="Aptos" w:hAnsi="Verdana" w:cs="Times New Roman"/>
          <w:kern w:val="2"/>
          <w:sz w:val="20"/>
          <w:szCs w:val="20"/>
          <w14:ligatures w14:val="standardContextual"/>
        </w:rPr>
        <w:lastRenderedPageBreak/>
        <w:t>modificación a los documentos tipo, es posible garantizar una aplicación uniforme, coherente y jurídicamente válida de las medidas afirmativas previstas, sin desconocer la distribución de competencias establecida por el legislador ni la estructura normativa del sistema de compras y contratación pública.</w:t>
      </w:r>
    </w:p>
    <w:p w14:paraId="6945F626" w14:textId="77777777" w:rsidR="003A73B6" w:rsidRPr="002D4A71" w:rsidRDefault="003A73B6" w:rsidP="002D4A71">
      <w:pPr>
        <w:widowControl w:val="0"/>
        <w:autoSpaceDE w:val="0"/>
        <w:autoSpaceDN w:val="0"/>
        <w:spacing w:after="120" w:line="276" w:lineRule="auto"/>
        <w:jc w:val="both"/>
        <w:rPr>
          <w:rFonts w:ascii="Verdana" w:eastAsia="Aptos" w:hAnsi="Verdana" w:cs="Times New Roman"/>
          <w:kern w:val="2"/>
          <w:sz w:val="20"/>
          <w:szCs w:val="20"/>
          <w14:ligatures w14:val="standardContextual"/>
        </w:rPr>
      </w:pPr>
      <w:r w:rsidRPr="002D4A71">
        <w:rPr>
          <w:rFonts w:ascii="Verdana" w:eastAsia="Aptos" w:hAnsi="Verdana" w:cs="Times New Roman"/>
          <w:kern w:val="2"/>
          <w:sz w:val="20"/>
          <w:szCs w:val="20"/>
          <w14:ligatures w14:val="standardContextual"/>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6530D5B9" w14:textId="77777777" w:rsidR="007B3004" w:rsidRDefault="007B3004" w:rsidP="002D4A71">
      <w:pPr>
        <w:spacing w:after="0" w:line="276" w:lineRule="auto"/>
        <w:rPr>
          <w:rFonts w:ascii="Verdana" w:eastAsia="Verdana" w:hAnsi="Verdana" w:cs="Verdana"/>
          <w:sz w:val="20"/>
          <w:szCs w:val="20"/>
        </w:rPr>
      </w:pPr>
    </w:p>
    <w:p w14:paraId="24C303E3" w14:textId="77777777" w:rsidR="00432E01" w:rsidRDefault="00432E01" w:rsidP="002D4A71">
      <w:pPr>
        <w:spacing w:after="0" w:line="276" w:lineRule="auto"/>
        <w:rPr>
          <w:rFonts w:ascii="Verdana" w:eastAsia="Verdana" w:hAnsi="Verdana" w:cs="Verdana"/>
          <w:sz w:val="20"/>
          <w:szCs w:val="20"/>
        </w:rPr>
      </w:pPr>
    </w:p>
    <w:p w14:paraId="01621A4A" w14:textId="77777777" w:rsidR="00432E01" w:rsidRDefault="00432E01" w:rsidP="002D4A71">
      <w:pPr>
        <w:spacing w:after="0" w:line="276" w:lineRule="auto"/>
        <w:rPr>
          <w:rFonts w:ascii="Verdana" w:eastAsia="Verdana" w:hAnsi="Verdana" w:cs="Verdana"/>
          <w:sz w:val="20"/>
          <w:szCs w:val="20"/>
        </w:rPr>
      </w:pPr>
    </w:p>
    <w:p w14:paraId="65D091A0" w14:textId="77777777" w:rsidR="00432E01" w:rsidRDefault="00432E01" w:rsidP="002D4A71">
      <w:pPr>
        <w:spacing w:after="0" w:line="276" w:lineRule="auto"/>
        <w:rPr>
          <w:rFonts w:ascii="Verdana" w:eastAsia="Verdana" w:hAnsi="Verdana" w:cs="Verdana"/>
          <w:sz w:val="20"/>
          <w:szCs w:val="20"/>
        </w:rPr>
      </w:pPr>
    </w:p>
    <w:p w14:paraId="0C52873F" w14:textId="77777777" w:rsidR="00432E01" w:rsidRDefault="00432E01" w:rsidP="002D4A71">
      <w:pPr>
        <w:spacing w:after="0" w:line="276" w:lineRule="auto"/>
        <w:rPr>
          <w:rFonts w:ascii="Verdana" w:eastAsia="Verdana" w:hAnsi="Verdana" w:cs="Verdana"/>
          <w:sz w:val="20"/>
          <w:szCs w:val="20"/>
        </w:rPr>
      </w:pPr>
    </w:p>
    <w:p w14:paraId="0EEF14B8" w14:textId="77777777" w:rsidR="00432E01" w:rsidRDefault="00432E01" w:rsidP="002D4A71">
      <w:pPr>
        <w:spacing w:after="0" w:line="276" w:lineRule="auto"/>
        <w:rPr>
          <w:rFonts w:ascii="Verdana" w:eastAsia="Verdana" w:hAnsi="Verdana" w:cs="Verdana"/>
          <w:sz w:val="20"/>
          <w:szCs w:val="20"/>
        </w:rPr>
      </w:pPr>
    </w:p>
    <w:p w14:paraId="1BC43003" w14:textId="77777777" w:rsidR="00432E01" w:rsidRDefault="00432E01" w:rsidP="002D4A71">
      <w:pPr>
        <w:spacing w:after="0" w:line="276" w:lineRule="auto"/>
        <w:rPr>
          <w:rFonts w:ascii="Verdana" w:eastAsia="Verdana" w:hAnsi="Verdana" w:cs="Verdana"/>
          <w:sz w:val="20"/>
          <w:szCs w:val="20"/>
        </w:rPr>
      </w:pPr>
    </w:p>
    <w:p w14:paraId="5BB8944A" w14:textId="77777777" w:rsidR="00432E01" w:rsidRDefault="00432E01" w:rsidP="002D4A71">
      <w:pPr>
        <w:spacing w:after="0" w:line="276" w:lineRule="auto"/>
        <w:rPr>
          <w:rFonts w:ascii="Verdana" w:eastAsia="Verdana" w:hAnsi="Verdana" w:cs="Verdana"/>
          <w:sz w:val="20"/>
          <w:szCs w:val="20"/>
        </w:rPr>
      </w:pPr>
    </w:p>
    <w:p w14:paraId="36296931" w14:textId="77777777" w:rsidR="00432E01" w:rsidRDefault="00432E01" w:rsidP="002D4A71">
      <w:pPr>
        <w:spacing w:after="0" w:line="276" w:lineRule="auto"/>
        <w:rPr>
          <w:rFonts w:ascii="Verdana" w:eastAsia="Verdana" w:hAnsi="Verdana" w:cs="Verdana"/>
          <w:sz w:val="20"/>
          <w:szCs w:val="20"/>
        </w:rPr>
      </w:pPr>
    </w:p>
    <w:p w14:paraId="5C8B1422" w14:textId="77777777" w:rsidR="00432E01" w:rsidRDefault="00432E01" w:rsidP="002D4A71">
      <w:pPr>
        <w:spacing w:after="0" w:line="276" w:lineRule="auto"/>
        <w:rPr>
          <w:rFonts w:ascii="Verdana" w:eastAsia="Verdana" w:hAnsi="Verdana" w:cs="Verdana"/>
          <w:sz w:val="20"/>
          <w:szCs w:val="20"/>
        </w:rPr>
      </w:pPr>
    </w:p>
    <w:p w14:paraId="60E5A028" w14:textId="77777777" w:rsidR="00432E01" w:rsidRDefault="00432E01" w:rsidP="002D4A71">
      <w:pPr>
        <w:spacing w:after="0" w:line="276" w:lineRule="auto"/>
        <w:rPr>
          <w:rFonts w:ascii="Verdana" w:eastAsia="Verdana" w:hAnsi="Verdana" w:cs="Verdana"/>
          <w:sz w:val="20"/>
          <w:szCs w:val="20"/>
        </w:rPr>
      </w:pPr>
    </w:p>
    <w:p w14:paraId="3A56D033" w14:textId="77777777" w:rsidR="00432E01" w:rsidRDefault="00432E01" w:rsidP="002D4A71">
      <w:pPr>
        <w:spacing w:after="0" w:line="276" w:lineRule="auto"/>
        <w:rPr>
          <w:rFonts w:ascii="Verdana" w:eastAsia="Verdana" w:hAnsi="Verdana" w:cs="Verdana"/>
          <w:sz w:val="20"/>
          <w:szCs w:val="20"/>
        </w:rPr>
      </w:pPr>
    </w:p>
    <w:p w14:paraId="10678FEE" w14:textId="77777777" w:rsidR="00432E01" w:rsidRDefault="00432E01" w:rsidP="002D4A71">
      <w:pPr>
        <w:spacing w:after="0" w:line="276" w:lineRule="auto"/>
        <w:rPr>
          <w:rFonts w:ascii="Verdana" w:eastAsia="Verdana" w:hAnsi="Verdana" w:cs="Verdana"/>
          <w:sz w:val="20"/>
          <w:szCs w:val="20"/>
        </w:rPr>
      </w:pPr>
    </w:p>
    <w:p w14:paraId="309B170D" w14:textId="77777777" w:rsidR="00432E01" w:rsidRDefault="00432E01" w:rsidP="002D4A71">
      <w:pPr>
        <w:spacing w:after="0" w:line="276" w:lineRule="auto"/>
        <w:rPr>
          <w:rFonts w:ascii="Verdana" w:eastAsia="Verdana" w:hAnsi="Verdana" w:cs="Verdana"/>
          <w:sz w:val="20"/>
          <w:szCs w:val="20"/>
        </w:rPr>
      </w:pPr>
    </w:p>
    <w:p w14:paraId="7193B320" w14:textId="77777777" w:rsidR="00432E01" w:rsidRDefault="00432E01" w:rsidP="002D4A71">
      <w:pPr>
        <w:spacing w:after="0" w:line="276" w:lineRule="auto"/>
        <w:rPr>
          <w:rFonts w:ascii="Verdana" w:eastAsia="Verdana" w:hAnsi="Verdana" w:cs="Verdana"/>
          <w:sz w:val="20"/>
          <w:szCs w:val="20"/>
        </w:rPr>
      </w:pPr>
    </w:p>
    <w:p w14:paraId="5623CBF5" w14:textId="77777777" w:rsidR="00432E01" w:rsidRDefault="00432E01" w:rsidP="002D4A71">
      <w:pPr>
        <w:spacing w:after="0" w:line="276" w:lineRule="auto"/>
        <w:rPr>
          <w:rFonts w:ascii="Verdana" w:eastAsia="Verdana" w:hAnsi="Verdana" w:cs="Verdana"/>
          <w:sz w:val="20"/>
          <w:szCs w:val="20"/>
        </w:rPr>
      </w:pPr>
    </w:p>
    <w:p w14:paraId="5BCFBFE8" w14:textId="77777777" w:rsidR="00432E01" w:rsidRDefault="00432E01" w:rsidP="002D4A71">
      <w:pPr>
        <w:spacing w:after="0" w:line="276" w:lineRule="auto"/>
        <w:rPr>
          <w:rFonts w:ascii="Verdana" w:eastAsia="Verdana" w:hAnsi="Verdana" w:cs="Verdana"/>
          <w:sz w:val="20"/>
          <w:szCs w:val="20"/>
        </w:rPr>
      </w:pPr>
    </w:p>
    <w:p w14:paraId="05AF5FE4" w14:textId="77777777" w:rsidR="00432E01" w:rsidRDefault="00432E01" w:rsidP="002D4A71">
      <w:pPr>
        <w:spacing w:after="0" w:line="276" w:lineRule="auto"/>
        <w:rPr>
          <w:rFonts w:ascii="Verdana" w:eastAsia="Verdana" w:hAnsi="Verdana" w:cs="Verdana"/>
          <w:sz w:val="20"/>
          <w:szCs w:val="20"/>
        </w:rPr>
      </w:pPr>
    </w:p>
    <w:p w14:paraId="42D908A2" w14:textId="77777777" w:rsidR="00432E01" w:rsidRDefault="00432E01" w:rsidP="002D4A71">
      <w:pPr>
        <w:spacing w:after="0" w:line="276" w:lineRule="auto"/>
        <w:rPr>
          <w:rFonts w:ascii="Verdana" w:eastAsia="Verdana" w:hAnsi="Verdana" w:cs="Verdana"/>
          <w:sz w:val="20"/>
          <w:szCs w:val="20"/>
        </w:rPr>
      </w:pPr>
    </w:p>
    <w:p w14:paraId="2C064534" w14:textId="77777777" w:rsidR="00432E01" w:rsidRDefault="00432E01" w:rsidP="002D4A71">
      <w:pPr>
        <w:spacing w:after="0" w:line="276" w:lineRule="auto"/>
        <w:rPr>
          <w:rFonts w:ascii="Verdana" w:eastAsia="Verdana" w:hAnsi="Verdana" w:cs="Verdana"/>
          <w:sz w:val="20"/>
          <w:szCs w:val="20"/>
        </w:rPr>
      </w:pPr>
    </w:p>
    <w:p w14:paraId="2D708908" w14:textId="77777777" w:rsidR="00432E01" w:rsidRDefault="00432E01" w:rsidP="002D4A71">
      <w:pPr>
        <w:spacing w:after="0" w:line="276" w:lineRule="auto"/>
        <w:rPr>
          <w:rFonts w:ascii="Verdana" w:eastAsia="Verdana" w:hAnsi="Verdana" w:cs="Verdana"/>
          <w:sz w:val="20"/>
          <w:szCs w:val="20"/>
        </w:rPr>
      </w:pPr>
    </w:p>
    <w:p w14:paraId="7C6D167F" w14:textId="77777777" w:rsidR="00432E01" w:rsidRDefault="00432E01" w:rsidP="002D4A71">
      <w:pPr>
        <w:spacing w:after="0" w:line="276" w:lineRule="auto"/>
        <w:rPr>
          <w:rFonts w:ascii="Verdana" w:eastAsia="Verdana" w:hAnsi="Verdana" w:cs="Verdana"/>
          <w:sz w:val="20"/>
          <w:szCs w:val="20"/>
        </w:rPr>
      </w:pPr>
    </w:p>
    <w:p w14:paraId="5D7D5602" w14:textId="77777777" w:rsidR="00432E01" w:rsidRDefault="00432E01" w:rsidP="002D4A71">
      <w:pPr>
        <w:spacing w:after="0" w:line="276" w:lineRule="auto"/>
        <w:rPr>
          <w:rFonts w:ascii="Verdana" w:eastAsia="Verdana" w:hAnsi="Verdana" w:cs="Verdana"/>
          <w:sz w:val="20"/>
          <w:szCs w:val="20"/>
        </w:rPr>
      </w:pPr>
    </w:p>
    <w:p w14:paraId="7C5A0F5F" w14:textId="77777777" w:rsidR="00432E01" w:rsidRDefault="00432E01" w:rsidP="002D4A71">
      <w:pPr>
        <w:spacing w:after="0" w:line="276" w:lineRule="auto"/>
        <w:rPr>
          <w:rFonts w:ascii="Verdana" w:eastAsia="Verdana" w:hAnsi="Verdana" w:cs="Verdana"/>
          <w:sz w:val="20"/>
          <w:szCs w:val="20"/>
        </w:rPr>
      </w:pPr>
    </w:p>
    <w:p w14:paraId="4D342E74" w14:textId="77777777" w:rsidR="00432E01" w:rsidRDefault="00432E01" w:rsidP="002D4A71">
      <w:pPr>
        <w:spacing w:after="0" w:line="276" w:lineRule="auto"/>
        <w:rPr>
          <w:rFonts w:ascii="Verdana" w:eastAsia="Verdana" w:hAnsi="Verdana" w:cs="Verdana"/>
          <w:sz w:val="20"/>
          <w:szCs w:val="20"/>
        </w:rPr>
      </w:pPr>
    </w:p>
    <w:p w14:paraId="6A703E3D" w14:textId="77777777" w:rsidR="00432E01" w:rsidRPr="002D4A71" w:rsidRDefault="00432E01" w:rsidP="002D4A71">
      <w:pPr>
        <w:spacing w:after="0" w:line="276" w:lineRule="auto"/>
        <w:rPr>
          <w:rFonts w:ascii="Verdana" w:eastAsia="Verdana" w:hAnsi="Verdana" w:cs="Verdana"/>
          <w:sz w:val="20"/>
          <w:szCs w:val="20"/>
        </w:rPr>
      </w:pPr>
    </w:p>
    <w:p w14:paraId="6B7DF349" w14:textId="77777777" w:rsidR="007B3004" w:rsidRDefault="007B3004" w:rsidP="00D5689E">
      <w:pPr>
        <w:spacing w:after="0"/>
        <w:rPr>
          <w:rFonts w:ascii="Verdana" w:eastAsia="Verdana" w:hAnsi="Verdana" w:cs="Verdana"/>
        </w:rPr>
      </w:pPr>
    </w:p>
    <w:p w14:paraId="1C33D02E" w14:textId="1DD3885F" w:rsidR="00EE61BD" w:rsidRDefault="00115BD9" w:rsidP="00D5689E">
      <w:pPr>
        <w:spacing w:after="0"/>
        <w:rPr>
          <w:rFonts w:ascii="Verdana" w:eastAsia="Verdana" w:hAnsi="Verdana" w:cs="Verdana"/>
        </w:rPr>
      </w:pPr>
      <w:r w:rsidRPr="00115BD9">
        <w:rPr>
          <w:rFonts w:ascii="Verdana" w:eastAsia="Verdana" w:hAnsi="Verdana" w:cs="Verdana"/>
        </w:rPr>
        <w:lastRenderedPageBreak/>
        <w:t>Bogotá D.C., 12 Junio 2026</w:t>
      </w:r>
    </w:p>
    <w:p w14:paraId="1868A2BB" w14:textId="5723779B" w:rsidR="00115BD9" w:rsidRDefault="002D7CEB" w:rsidP="00D5689E">
      <w:pPr>
        <w:spacing w:after="0"/>
        <w:rPr>
          <w:rFonts w:ascii="Verdana" w:eastAsia="Verdana" w:hAnsi="Verdana" w:cs="Verdana"/>
          <w:b/>
          <w:bCs/>
          <w:lang w:val="es-MX"/>
        </w:rPr>
      </w:pPr>
      <w:r w:rsidRPr="00D26591">
        <w:rPr>
          <w:rFonts w:ascii="Verdana" w:eastAsia="Calibri" w:hAnsi="Verdana" w:cs="Arial"/>
          <w:b/>
          <w:bCs/>
          <w:kern w:val="2"/>
          <w:lang w:eastAsia="es-ES"/>
          <w14:ligatures w14:val="standardContextual"/>
        </w:rPr>
        <w:drawing>
          <wp:anchor distT="0" distB="0" distL="114300" distR="114300" simplePos="0" relativeHeight="251659264" behindDoc="0" locked="0" layoutInCell="1" allowOverlap="1" wp14:anchorId="41D6AD34" wp14:editId="77EED11B">
            <wp:simplePos x="0" y="0"/>
            <wp:positionH relativeFrom="margin">
              <wp:align>right</wp:align>
            </wp:positionH>
            <wp:positionV relativeFrom="margin">
              <wp:posOffset>190500</wp:posOffset>
            </wp:positionV>
            <wp:extent cx="2197100" cy="727710"/>
            <wp:effectExtent l="0" t="0" r="0" b="0"/>
            <wp:wrapSquare wrapText="bothSides"/>
            <wp:docPr id="1596576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76433" name=""/>
                    <pic:cNvPicPr/>
                  </pic:nvPicPr>
                  <pic:blipFill rotWithShape="1">
                    <a:blip r:embed="rId11">
                      <a:extLst>
                        <a:ext uri="{28A0092B-C50C-407E-A947-70E740481C1C}">
                          <a14:useLocalDpi xmlns:a14="http://schemas.microsoft.com/office/drawing/2010/main" val="0"/>
                        </a:ext>
                      </a:extLst>
                    </a:blip>
                    <a:srcRect r="5272"/>
                    <a:stretch>
                      <a:fillRect/>
                    </a:stretch>
                  </pic:blipFill>
                  <pic:spPr bwMode="auto">
                    <a:xfrm>
                      <a:off x="0" y="0"/>
                      <a:ext cx="2197100" cy="727710"/>
                    </a:xfrm>
                    <a:prstGeom prst="rect">
                      <a:avLst/>
                    </a:prstGeom>
                    <a:ln>
                      <a:noFill/>
                    </a:ln>
                    <a:extLst>
                      <a:ext uri="{53640926-AAD7-44D8-BBD7-CCE9431645EC}">
                        <a14:shadowObscured xmlns:a14="http://schemas.microsoft.com/office/drawing/2010/main"/>
                      </a:ext>
                    </a:extLst>
                  </pic:spPr>
                </pic:pic>
              </a:graphicData>
            </a:graphic>
          </wp:anchor>
        </w:drawing>
      </w:r>
    </w:p>
    <w:p w14:paraId="192C626E" w14:textId="0A60380D" w:rsidR="00D14209" w:rsidRPr="009B4A9E" w:rsidRDefault="00D14209" w:rsidP="00D14209">
      <w:pPr>
        <w:spacing w:after="0" w:line="240" w:lineRule="auto"/>
        <w:rPr>
          <w:rFonts w:ascii="Verdana" w:eastAsia="Calibri" w:hAnsi="Verdana" w:cs="Arial"/>
          <w:b/>
          <w:bCs/>
          <w:kern w:val="2"/>
          <w:lang w:eastAsia="es-ES"/>
          <w14:ligatures w14:val="standardContextual"/>
        </w:rPr>
      </w:pPr>
      <w:r w:rsidRPr="009B4A9E">
        <w:rPr>
          <w:rFonts w:ascii="Verdana" w:eastAsia="Calibri" w:hAnsi="Verdana" w:cs="Arial"/>
          <w:kern w:val="2"/>
          <w:lang w:eastAsia="es-ES"/>
          <w14:ligatures w14:val="standardContextual"/>
        </w:rPr>
        <w:t>Señor</w:t>
      </w:r>
    </w:p>
    <w:p w14:paraId="76D3F6EA" w14:textId="77777777" w:rsidR="00D26591" w:rsidRDefault="00D14209" w:rsidP="00D14209">
      <w:pPr>
        <w:spacing w:after="0" w:line="240" w:lineRule="auto"/>
        <w:rPr>
          <w:rFonts w:ascii="Verdana" w:eastAsia="Calibri" w:hAnsi="Verdana" w:cs="Arial"/>
          <w:b/>
          <w:bCs/>
          <w:kern w:val="2"/>
          <w:lang w:eastAsia="es-ES"/>
          <w14:ligatures w14:val="standardContextual"/>
        </w:rPr>
      </w:pPr>
      <w:r w:rsidRPr="009B4A9E">
        <w:rPr>
          <w:rFonts w:ascii="Verdana" w:eastAsia="Calibri" w:hAnsi="Verdana" w:cs="Arial"/>
          <w:b/>
          <w:bCs/>
          <w:kern w:val="2"/>
          <w:lang w:eastAsia="es-ES"/>
          <w14:ligatures w14:val="standardContextual"/>
        </w:rPr>
        <w:t>José Agustin Cortes Herrera</w:t>
      </w:r>
    </w:p>
    <w:p w14:paraId="6F85C3A0" w14:textId="77777777" w:rsidR="00D14209" w:rsidRPr="007624F9" w:rsidRDefault="00D14209" w:rsidP="00D14209">
      <w:pPr>
        <w:spacing w:after="0" w:line="240" w:lineRule="auto"/>
        <w:rPr>
          <w:rFonts w:ascii="Verdana" w:eastAsia="Calibri" w:hAnsi="Verdana" w:cs="Arial"/>
          <w:kern w:val="2"/>
          <w:lang w:eastAsia="es-ES"/>
          <w14:ligatures w14:val="standardContextual"/>
        </w:rPr>
      </w:pPr>
      <w:r w:rsidRPr="007624F9">
        <w:rPr>
          <w:rFonts w:ascii="Verdana" w:eastAsia="Calibri" w:hAnsi="Verdana" w:cs="Arial"/>
          <w:kern w:val="2"/>
          <w:lang w:eastAsia="es-ES"/>
          <w14:ligatures w14:val="standardContextual"/>
        </w:rPr>
        <w:t>ICH CONSTRUCCIONES S.A.S.</w:t>
      </w:r>
    </w:p>
    <w:p w14:paraId="79AEBF6B" w14:textId="77777777" w:rsidR="00D14209" w:rsidRPr="007976EF" w:rsidRDefault="00D14209" w:rsidP="00D14209">
      <w:pPr>
        <w:spacing w:after="0" w:line="240" w:lineRule="auto"/>
        <w:rPr>
          <w:rFonts w:ascii="Verdana" w:hAnsi="Verdana"/>
        </w:rPr>
      </w:pPr>
      <w:hyperlink r:id="rId12" w:history="1">
        <w:r w:rsidRPr="007976EF">
          <w:rPr>
            <w:rStyle w:val="Hipervnculo"/>
            <w:rFonts w:ascii="Verdana" w:hAnsi="Verdana"/>
          </w:rPr>
          <w:t>ich.licitaciones@gmail.com</w:t>
        </w:r>
      </w:hyperlink>
    </w:p>
    <w:p w14:paraId="3FF25419" w14:textId="77777777" w:rsidR="00D14209" w:rsidRPr="009B4A9E" w:rsidRDefault="00D14209" w:rsidP="00D14209">
      <w:pPr>
        <w:spacing w:after="0" w:line="240" w:lineRule="auto"/>
        <w:rPr>
          <w:rFonts w:ascii="Verdana" w:eastAsia="Calibri" w:hAnsi="Verdana" w:cs="Arial"/>
          <w:kern w:val="2"/>
          <w:lang w:val="es-ES" w:eastAsia="es-ES"/>
          <w14:ligatures w14:val="standardContextual"/>
        </w:rPr>
      </w:pPr>
      <w:r w:rsidRPr="009B4A9E">
        <w:rPr>
          <w:rFonts w:ascii="Verdana" w:eastAsia="Calibri" w:hAnsi="Verdana" w:cs="Arial"/>
          <w:kern w:val="2"/>
          <w:lang w:val="es-ES" w:eastAsia="es-ES"/>
          <w14:ligatures w14:val="standardContextual"/>
        </w:rPr>
        <w:t>Bogotá D.C.</w:t>
      </w:r>
    </w:p>
    <w:p w14:paraId="4E911008" w14:textId="77777777" w:rsidR="00D14209" w:rsidRDefault="00D14209" w:rsidP="00D14209">
      <w:pPr>
        <w:spacing w:after="0" w:line="240" w:lineRule="auto"/>
        <w:rPr>
          <w:rFonts w:ascii="Verdana" w:eastAsia="Calibri" w:hAnsi="Verdana" w:cs="Arial"/>
          <w:b/>
          <w:bCs/>
          <w:color w:val="6699FF"/>
          <w:lang w:val="es-ES_tradnl" w:eastAsia="es-ES_tradnl"/>
        </w:rPr>
      </w:pPr>
    </w:p>
    <w:p w14:paraId="78FD82F1" w14:textId="77777777" w:rsidR="00EE61BD" w:rsidRPr="00C518CE" w:rsidRDefault="00EE61BD" w:rsidP="00D14209">
      <w:pPr>
        <w:spacing w:after="0" w:line="240" w:lineRule="auto"/>
        <w:rPr>
          <w:rFonts w:ascii="Verdana" w:eastAsia="Calibri" w:hAnsi="Verdana" w:cs="Arial"/>
          <w:b/>
          <w:bCs/>
          <w:color w:val="6699FF"/>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AC4679" w:rsidRPr="00C518CE" w14:paraId="1AA417A9" w14:textId="77777777">
        <w:trPr>
          <w:trHeight w:val="229"/>
        </w:trPr>
        <w:tc>
          <w:tcPr>
            <w:tcW w:w="1985" w:type="dxa"/>
          </w:tcPr>
          <w:p w14:paraId="2E20F1A7" w14:textId="77777777" w:rsidR="00D14209" w:rsidRPr="00C518CE" w:rsidRDefault="00D14209">
            <w:pPr>
              <w:jc w:val="both"/>
              <w:rPr>
                <w:rFonts w:ascii="Verdana" w:eastAsia="Calibri" w:hAnsi="Verdana" w:cs="Arial"/>
                <w:b/>
                <w:bCs/>
                <w:color w:val="6699FF"/>
                <w:lang w:val="es-ES_tradnl" w:eastAsia="es-ES_tradnl"/>
              </w:rPr>
            </w:pPr>
          </w:p>
        </w:tc>
        <w:tc>
          <w:tcPr>
            <w:tcW w:w="6383" w:type="dxa"/>
          </w:tcPr>
          <w:p w14:paraId="40E358FA" w14:textId="77777777" w:rsidR="00D14209" w:rsidRDefault="00D14209">
            <w:pPr>
              <w:jc w:val="both"/>
              <w:rPr>
                <w:rFonts w:ascii="Verdana" w:eastAsia="Calibri" w:hAnsi="Verdana" w:cs="Arial"/>
                <w:b/>
                <w:bCs/>
                <w:lang w:val="es-ES" w:eastAsia="es-ES"/>
              </w:rPr>
            </w:pPr>
            <w:r w:rsidRPr="00C518CE">
              <w:rPr>
                <w:rFonts w:ascii="Verdana" w:eastAsia="Calibri" w:hAnsi="Verdana" w:cs="Arial"/>
                <w:b/>
                <w:bCs/>
                <w:lang w:val="es-ES" w:eastAsia="es-ES"/>
              </w:rPr>
              <w:t>Concepto C–</w:t>
            </w:r>
            <w:r>
              <w:rPr>
                <w:rFonts w:ascii="Verdana" w:eastAsia="Calibri" w:hAnsi="Verdana" w:cs="Arial"/>
                <w:b/>
                <w:bCs/>
                <w:lang w:val="es-ES" w:eastAsia="es-ES"/>
              </w:rPr>
              <w:t xml:space="preserve">741 </w:t>
            </w:r>
            <w:r w:rsidRPr="00C518CE">
              <w:rPr>
                <w:rFonts w:ascii="Verdana" w:eastAsia="Calibri" w:hAnsi="Verdana" w:cs="Arial"/>
                <w:b/>
                <w:bCs/>
                <w:lang w:val="es-ES" w:eastAsia="es-ES"/>
              </w:rPr>
              <w:t>de 2026</w:t>
            </w:r>
          </w:p>
          <w:p w14:paraId="6CD94955" w14:textId="77777777" w:rsidR="00D14209" w:rsidRPr="00C518CE" w:rsidRDefault="00D14209">
            <w:pPr>
              <w:jc w:val="both"/>
              <w:rPr>
                <w:rFonts w:ascii="Verdana" w:eastAsia="Calibri" w:hAnsi="Verdana" w:cs="Arial"/>
                <w:b/>
                <w:bCs/>
                <w:lang w:val="es-ES" w:eastAsia="es-ES"/>
              </w:rPr>
            </w:pPr>
          </w:p>
          <w:p w14:paraId="66DF2BE7" w14:textId="77777777" w:rsidR="00EE61BD" w:rsidRPr="00C518CE" w:rsidRDefault="00EE61BD">
            <w:pPr>
              <w:jc w:val="both"/>
              <w:rPr>
                <w:rFonts w:ascii="Verdana" w:eastAsia="Calibri" w:hAnsi="Verdana" w:cs="Arial"/>
                <w:b/>
                <w:bCs/>
                <w:color w:val="6699FF"/>
                <w:lang w:val="es-ES" w:eastAsia="es-ES"/>
              </w:rPr>
            </w:pPr>
          </w:p>
        </w:tc>
      </w:tr>
      <w:tr w:rsidR="00AC4679" w:rsidRPr="006D7F90" w14:paraId="1E3D0983" w14:textId="77777777">
        <w:trPr>
          <w:trHeight w:val="884"/>
        </w:trPr>
        <w:tc>
          <w:tcPr>
            <w:tcW w:w="1985" w:type="dxa"/>
          </w:tcPr>
          <w:p w14:paraId="242C6099" w14:textId="77777777" w:rsidR="00D14209" w:rsidRPr="00493CF7" w:rsidRDefault="00D14209" w:rsidP="007624F9">
            <w:pPr>
              <w:jc w:val="both"/>
              <w:rPr>
                <w:rFonts w:ascii="Verdana" w:eastAsia="Calibri" w:hAnsi="Verdana" w:cs="Arial"/>
                <w:lang w:val="es-ES_tradnl" w:eastAsia="es-ES_tradnl"/>
              </w:rPr>
            </w:pPr>
            <w:r w:rsidRPr="00493CF7">
              <w:rPr>
                <w:rFonts w:ascii="Verdana" w:eastAsia="Calibri" w:hAnsi="Verdana" w:cs="Arial"/>
                <w:b/>
                <w:lang w:val="es-ES_tradnl" w:eastAsia="es-ES_tradnl"/>
              </w:rPr>
              <w:t>Temas:</w:t>
            </w:r>
            <w:r w:rsidRPr="00493CF7">
              <w:rPr>
                <w:rFonts w:ascii="Verdana" w:eastAsia="Calibri" w:hAnsi="Verdana" w:cs="Arial"/>
                <w:lang w:val="es-ES_tradnl" w:eastAsia="es-ES_tradnl"/>
              </w:rPr>
              <w:t xml:space="preserve">                   </w:t>
            </w:r>
          </w:p>
        </w:tc>
        <w:tc>
          <w:tcPr>
            <w:tcW w:w="6383" w:type="dxa"/>
          </w:tcPr>
          <w:p w14:paraId="6DB92888" w14:textId="77777777" w:rsidR="00D14209" w:rsidRDefault="002D7429" w:rsidP="007624F9">
            <w:pPr>
              <w:widowControl w:val="0"/>
              <w:autoSpaceDE w:val="0"/>
              <w:autoSpaceDN w:val="0"/>
              <w:jc w:val="both"/>
              <w:rPr>
                <w:rFonts w:ascii="Verdana" w:eastAsia="Aptos" w:hAnsi="Verdana" w:cs="Times New Roman"/>
              </w:rPr>
            </w:pPr>
            <w:r w:rsidRPr="007624F9">
              <w:rPr>
                <w:rFonts w:ascii="Verdana" w:eastAsia="Calibri" w:hAnsi="Verdana" w:cs="Arial"/>
                <w:lang w:val="es-ES_tradnl"/>
              </w:rPr>
              <w:t xml:space="preserve">DOCUMENTOS TIPO – Fundamento normativo – Resolución 160 de 2020 </w:t>
            </w:r>
            <w:r w:rsidR="00BE4484" w:rsidRPr="007624F9">
              <w:rPr>
                <w:rFonts w:ascii="Verdana" w:eastAsia="Calibri" w:hAnsi="Verdana" w:cs="Arial"/>
                <w:lang w:val="es-ES_tradnl"/>
              </w:rPr>
              <w:t xml:space="preserve">/ </w:t>
            </w:r>
            <w:r w:rsidR="00BE4484" w:rsidRPr="007624F9">
              <w:rPr>
                <w:rFonts w:ascii="Verdana" w:eastAsia="Calibri" w:hAnsi="Verdana" w:cs="Times New Roman"/>
                <w:lang w:val="es-ES"/>
              </w:rPr>
              <w:t>DECRETO 287 DE 2026 – Incidencia – Documentos tipo – Tramite de modificación /</w:t>
            </w:r>
            <w:r w:rsidR="000563F8" w:rsidRPr="007624F9">
              <w:rPr>
                <w:rFonts w:ascii="Verdana" w:eastAsia="Calibri" w:hAnsi="Verdana" w:cs="Times New Roman"/>
                <w:lang w:val="es-ES"/>
              </w:rPr>
              <w:t xml:space="preserve"> DOCUMENTOS TIPO – Decreto 287 de 2026 – </w:t>
            </w:r>
            <w:r w:rsidR="000563F8" w:rsidRPr="007624F9">
              <w:rPr>
                <w:rFonts w:ascii="Verdana" w:eastAsia="Aptos" w:hAnsi="Verdana" w:cs="Times New Roman"/>
              </w:rPr>
              <w:t xml:space="preserve">ABC del Decreto 0287 de 2026 </w:t>
            </w:r>
            <w:r w:rsidR="000563F8" w:rsidRPr="007624F9">
              <w:rPr>
                <w:rFonts w:ascii="Verdana" w:eastAsia="Calibri" w:hAnsi="Verdana" w:cs="Times New Roman"/>
                <w:lang w:val="es-ES"/>
              </w:rPr>
              <w:t>– Circular externa 003 de 2022</w:t>
            </w:r>
            <w:r w:rsidR="006E3C36" w:rsidRPr="007624F9">
              <w:rPr>
                <w:rFonts w:ascii="Verdana" w:eastAsia="Calibri" w:hAnsi="Verdana" w:cs="Times New Roman"/>
                <w:lang w:val="es-ES"/>
              </w:rPr>
              <w:t xml:space="preserve"> / </w:t>
            </w:r>
            <w:r w:rsidR="006E3C36" w:rsidRPr="007624F9">
              <w:rPr>
                <w:rFonts w:ascii="Verdana" w:eastAsia="Calibri" w:hAnsi="Verdana" w:cs="Arial"/>
                <w:lang w:val="es-ES_tradnl"/>
              </w:rPr>
              <w:t xml:space="preserve">DOCUMENTOS TIPO – Principio de inalterabilidad – Finalidad </w:t>
            </w:r>
            <w:r w:rsidR="007624F9" w:rsidRPr="007624F9">
              <w:rPr>
                <w:rFonts w:ascii="Verdana" w:eastAsia="Calibri" w:hAnsi="Verdana" w:cs="Arial"/>
                <w:lang w:val="es-ES_tradnl"/>
              </w:rPr>
              <w:t xml:space="preserve">/ </w:t>
            </w:r>
            <w:r w:rsidR="007624F9" w:rsidRPr="007624F9">
              <w:rPr>
                <w:rFonts w:ascii="Verdana" w:eastAsia="Calibri" w:hAnsi="Verdana" w:cs="Times New Roman"/>
                <w:lang w:val="es-ES"/>
              </w:rPr>
              <w:t xml:space="preserve">DOCUMENTOS TIPO – Decreto 287 de 2026 – </w:t>
            </w:r>
            <w:r w:rsidR="007624F9" w:rsidRPr="007624F9">
              <w:rPr>
                <w:rFonts w:ascii="Verdana" w:eastAsia="Aptos" w:hAnsi="Verdana" w:cs="Times New Roman"/>
              </w:rPr>
              <w:t>Implementación</w:t>
            </w:r>
          </w:p>
          <w:p w14:paraId="0EA2FFD3" w14:textId="07997C13" w:rsidR="00EE61BD" w:rsidRPr="007624F9" w:rsidRDefault="00EE61BD" w:rsidP="007624F9">
            <w:pPr>
              <w:widowControl w:val="0"/>
              <w:autoSpaceDE w:val="0"/>
              <w:autoSpaceDN w:val="0"/>
              <w:jc w:val="both"/>
              <w:rPr>
                <w:rFonts w:ascii="Verdana" w:eastAsia="Aptos" w:hAnsi="Verdana" w:cs="Times New Roman"/>
                <w:kern w:val="2"/>
                <w:sz w:val="20"/>
                <w:szCs w:val="20"/>
                <w14:ligatures w14:val="standardContextual"/>
              </w:rPr>
            </w:pPr>
          </w:p>
        </w:tc>
      </w:tr>
      <w:tr w:rsidR="00AC4679" w:rsidRPr="00C518CE" w14:paraId="09E4371C" w14:textId="77777777">
        <w:tc>
          <w:tcPr>
            <w:tcW w:w="1985" w:type="dxa"/>
          </w:tcPr>
          <w:p w14:paraId="26A2A17C" w14:textId="77777777" w:rsidR="00D14209" w:rsidRPr="00C518CE" w:rsidRDefault="00D14209">
            <w:pPr>
              <w:jc w:val="both"/>
              <w:rPr>
                <w:rFonts w:ascii="Verdana" w:eastAsia="Calibri" w:hAnsi="Verdana" w:cs="Arial"/>
                <w:b/>
                <w:lang w:val="es-ES_tradnl" w:eastAsia="es-ES_tradnl"/>
              </w:rPr>
            </w:pPr>
            <w:r w:rsidRPr="00C518CE">
              <w:rPr>
                <w:rFonts w:ascii="Verdana" w:eastAsia="Calibri" w:hAnsi="Verdana" w:cs="Arial"/>
                <w:b/>
                <w:lang w:val="es-ES_tradnl" w:eastAsia="es-ES_tradnl"/>
              </w:rPr>
              <w:t>Radicación:</w:t>
            </w:r>
            <w:r w:rsidRPr="00C518CE">
              <w:rPr>
                <w:rFonts w:ascii="Verdana" w:eastAsia="Calibri" w:hAnsi="Verdana" w:cs="Arial"/>
                <w:lang w:val="es-ES_tradnl" w:eastAsia="es-ES_tradnl"/>
              </w:rPr>
              <w:t xml:space="preserve">               </w:t>
            </w:r>
          </w:p>
        </w:tc>
        <w:tc>
          <w:tcPr>
            <w:tcW w:w="6383" w:type="dxa"/>
          </w:tcPr>
          <w:p w14:paraId="4819E30B" w14:textId="77777777" w:rsidR="00D14209" w:rsidRPr="009F1C29" w:rsidRDefault="00D14209">
            <w:pPr>
              <w:ind w:left="3" w:hanging="3"/>
              <w:jc w:val="both"/>
              <w:rPr>
                <w:rFonts w:ascii="Verdana" w:eastAsia="Calibri" w:hAnsi="Verdana" w:cs="Arial"/>
                <w:lang w:val="es-ES_tradnl" w:eastAsia="es-ES_tradnl"/>
              </w:rPr>
            </w:pPr>
            <w:r w:rsidRPr="00C518CE">
              <w:rPr>
                <w:rFonts w:ascii="Verdana" w:eastAsia="Calibri" w:hAnsi="Verdana" w:cs="Arial"/>
                <w:lang w:val="es-ES_tradnl" w:eastAsia="es-ES_tradnl"/>
              </w:rPr>
              <w:t xml:space="preserve">Respuesta a consulta con radicado No. </w:t>
            </w:r>
            <w:r>
              <w:rPr>
                <w:rFonts w:ascii="Verdana" w:hAnsi="Verdana" w:cs="Calibri"/>
              </w:rPr>
              <w:t>1_2026_05_04_005971</w:t>
            </w:r>
          </w:p>
          <w:p w14:paraId="24280466" w14:textId="77777777" w:rsidR="00D14209" w:rsidRPr="001A3637" w:rsidRDefault="00D14209">
            <w:pPr>
              <w:ind w:left="3" w:hanging="3"/>
              <w:jc w:val="both"/>
              <w:rPr>
                <w:rFonts w:ascii="Verdana" w:eastAsia="Calibri" w:hAnsi="Verdana" w:cs="Arial"/>
                <w:lang w:val="es-ES_tradnl" w:eastAsia="es-ES_tradnl"/>
              </w:rPr>
            </w:pPr>
          </w:p>
          <w:p w14:paraId="653B7BA5" w14:textId="77777777" w:rsidR="00D14209" w:rsidRDefault="00D14209">
            <w:pPr>
              <w:ind w:left="3" w:hanging="3"/>
              <w:jc w:val="both"/>
              <w:rPr>
                <w:rFonts w:ascii="Verdana" w:eastAsia="Calibri" w:hAnsi="Verdana" w:cs="Arial"/>
                <w:lang w:eastAsia="es-ES_tradnl"/>
              </w:rPr>
            </w:pPr>
          </w:p>
          <w:p w14:paraId="2E3D8A02" w14:textId="77777777" w:rsidR="00EE61BD" w:rsidRPr="0087210F" w:rsidRDefault="00EE61BD">
            <w:pPr>
              <w:ind w:left="3" w:hanging="3"/>
              <w:jc w:val="both"/>
              <w:rPr>
                <w:rFonts w:ascii="Verdana" w:eastAsia="Calibri" w:hAnsi="Verdana" w:cs="Arial"/>
                <w:lang w:eastAsia="es-ES_tradnl"/>
              </w:rPr>
            </w:pPr>
          </w:p>
        </w:tc>
      </w:tr>
    </w:tbl>
    <w:p w14:paraId="1322F27C" w14:textId="77777777" w:rsidR="00D14209" w:rsidRPr="000A55AF" w:rsidRDefault="00D14209" w:rsidP="00D14209">
      <w:pPr>
        <w:spacing w:after="0" w:line="240" w:lineRule="auto"/>
        <w:rPr>
          <w:rFonts w:ascii="Verdana" w:eastAsia="Calibri" w:hAnsi="Verdana" w:cs="Arial"/>
          <w:kern w:val="2"/>
          <w:lang w:eastAsia="es-ES"/>
          <w14:ligatures w14:val="standardContextual"/>
        </w:rPr>
      </w:pPr>
      <w:r>
        <w:rPr>
          <w:rFonts w:ascii="Verdana" w:eastAsia="Calibri" w:hAnsi="Verdana" w:cs="Arial"/>
          <w:lang w:val="es-ES" w:eastAsia="es-ES"/>
        </w:rPr>
        <w:t>Estimado Señor José Agustin</w:t>
      </w:r>
      <w:r w:rsidRPr="000A55AF">
        <w:rPr>
          <w:rFonts w:ascii="Verdana" w:eastAsia="Calibri" w:hAnsi="Verdana" w:cs="Arial"/>
          <w:kern w:val="2"/>
          <w:lang w:eastAsia="es-ES_tradnl"/>
          <w14:ligatures w14:val="standardContextual"/>
        </w:rPr>
        <w:t>:</w:t>
      </w:r>
      <w:r w:rsidRPr="000A55AF">
        <w:rPr>
          <w:rFonts w:ascii="Verdana" w:eastAsia="Calibri" w:hAnsi="Verdana" w:cs="Arial"/>
          <w:lang w:val="es-ES" w:eastAsia="es-ES"/>
        </w:rPr>
        <w:t xml:space="preserve"> </w:t>
      </w:r>
    </w:p>
    <w:p w14:paraId="6A3B3833" w14:textId="77777777" w:rsidR="00EE61BD" w:rsidRDefault="00EE61BD" w:rsidP="00D5689E">
      <w:pPr>
        <w:spacing w:after="0"/>
        <w:rPr>
          <w:rFonts w:ascii="Verdana" w:eastAsia="Verdana" w:hAnsi="Verdana" w:cs="Verdana"/>
          <w:b/>
          <w:bCs/>
          <w:lang w:val="es-MX"/>
        </w:rPr>
      </w:pPr>
    </w:p>
    <w:p w14:paraId="0B54981F" w14:textId="77777777" w:rsidR="00BE37BB" w:rsidRPr="00C518CE" w:rsidRDefault="00BE37BB" w:rsidP="00BE37BB">
      <w:pPr>
        <w:spacing w:after="0" w:line="276" w:lineRule="auto"/>
        <w:jc w:val="both"/>
        <w:rPr>
          <w:rFonts w:ascii="Verdana" w:eastAsia="Calibri" w:hAnsi="Verdana" w:cs="Arial"/>
          <w:lang w:val="es-ES" w:eastAsia="es-ES"/>
        </w:rPr>
      </w:pPr>
      <w:r w:rsidRPr="00C518CE">
        <w:rPr>
          <w:rFonts w:ascii="Verdana" w:eastAsia="Calibri" w:hAnsi="Verdana" w:cs="Arial"/>
          <w:lang w:val="es-ES" w:eastAsia="es-ES"/>
        </w:rPr>
        <w:t>En ejercicio de la competencia otorgada por los artículos 3, numeral 5º, y 11, numeral 8º, del Decreto Ley 4170 de 2011,</w:t>
      </w:r>
      <w:r w:rsidRPr="00C518CE">
        <w:rPr>
          <w:rFonts w:ascii="Verdana" w:eastAsia="Arial MT" w:hAnsi="Verdana" w:cs="Arial MT"/>
          <w:lang w:val="es-ES" w:eastAsia="es-ES"/>
        </w:rPr>
        <w:t xml:space="preserve"> </w:t>
      </w:r>
      <w:r w:rsidRPr="00C518CE">
        <w:rPr>
          <w:rFonts w:ascii="Verdana" w:eastAsia="Calibri" w:hAnsi="Verdana" w:cs="Arial"/>
        </w:rPr>
        <w:t xml:space="preserve">así como lo establecido en la Resolución No. 469 del 2025 expedida por esta Entidad, </w:t>
      </w:r>
      <w:r w:rsidRPr="00C518CE">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 xml:space="preserve">04 de mayo </w:t>
      </w:r>
      <w:r w:rsidRPr="00C518CE">
        <w:rPr>
          <w:rFonts w:ascii="Verdana" w:eastAsia="Calibri" w:hAnsi="Verdana" w:cs="Arial"/>
          <w:lang w:val="es-ES" w:eastAsia="es-ES"/>
        </w:rPr>
        <w:t>de 2026, en la cuales manifiesta lo siguiente:</w:t>
      </w:r>
    </w:p>
    <w:p w14:paraId="475C9DA0" w14:textId="77777777" w:rsidR="00BE37BB" w:rsidRPr="00C518CE" w:rsidRDefault="00BE37BB" w:rsidP="00BE37BB">
      <w:pPr>
        <w:spacing w:after="0" w:line="276" w:lineRule="auto"/>
        <w:jc w:val="both"/>
        <w:rPr>
          <w:rFonts w:ascii="Verdana" w:eastAsia="Calibri" w:hAnsi="Verdana" w:cs="Arial"/>
          <w:color w:val="6699FF"/>
          <w:lang w:val="es-ES" w:eastAsia="es-ES"/>
        </w:rPr>
      </w:pPr>
    </w:p>
    <w:p w14:paraId="4717DE16" w14:textId="77777777" w:rsidR="00BE37BB" w:rsidRDefault="00BE37BB" w:rsidP="00BE37BB">
      <w:pPr>
        <w:spacing w:after="0" w:line="240" w:lineRule="auto"/>
        <w:ind w:left="709" w:right="709"/>
        <w:jc w:val="both"/>
        <w:rPr>
          <w:rFonts w:ascii="Verdana" w:eastAsia="Aptos" w:hAnsi="Verdana" w:cs="Helvetica"/>
          <w:i/>
          <w:iCs/>
          <w:sz w:val="20"/>
          <w:szCs w:val="20"/>
          <w14:ligatures w14:val="standardContextual"/>
        </w:rPr>
      </w:pPr>
      <w:r w:rsidRPr="00C14F41">
        <w:rPr>
          <w:rFonts w:ascii="Verdana" w:eastAsia="Aptos" w:hAnsi="Verdana" w:cs="Helvetica"/>
          <w:i/>
          <w:iCs/>
          <w:sz w:val="20"/>
          <w:szCs w:val="20"/>
          <w14:ligatures w14:val="standardContextual"/>
        </w:rPr>
        <w:t>“ (…)</w:t>
      </w:r>
    </w:p>
    <w:p w14:paraId="79AFDF76" w14:textId="77777777" w:rsidR="00BE37BB" w:rsidRDefault="00BE37BB" w:rsidP="00BE37BB">
      <w:pPr>
        <w:spacing w:after="0" w:line="240" w:lineRule="auto"/>
        <w:ind w:left="709" w:right="709"/>
        <w:jc w:val="both"/>
        <w:rPr>
          <w:rFonts w:ascii="Verdana" w:eastAsia="Aptos" w:hAnsi="Verdana" w:cs="Helvetica"/>
          <w:i/>
          <w:iCs/>
          <w:sz w:val="20"/>
          <w:szCs w:val="20"/>
          <w14:ligatures w14:val="standardContextual"/>
        </w:rPr>
      </w:pPr>
    </w:p>
    <w:p w14:paraId="6B1C9A2A" w14:textId="77777777" w:rsidR="00BE37BB" w:rsidRDefault="00BE37BB" w:rsidP="00BE37BB">
      <w:pPr>
        <w:spacing w:after="0" w:line="240" w:lineRule="auto"/>
        <w:ind w:left="709" w:right="709"/>
        <w:jc w:val="both"/>
        <w:rPr>
          <w:rFonts w:ascii="Verdana" w:eastAsia="Aptos" w:hAnsi="Verdana" w:cs="Helvetica"/>
          <w:i/>
          <w:iCs/>
          <w:sz w:val="20"/>
          <w:szCs w:val="20"/>
          <w14:ligatures w14:val="standardContextual"/>
        </w:rPr>
      </w:pPr>
      <w:r w:rsidRPr="00E64E9B">
        <w:rPr>
          <w:rFonts w:ascii="Verdana" w:eastAsia="Aptos" w:hAnsi="Verdana" w:cs="Helvetica"/>
          <w:i/>
          <w:iCs/>
          <w:sz w:val="20"/>
          <w:szCs w:val="20"/>
          <w14:ligatures w14:val="standardContextual"/>
        </w:rPr>
        <w:t xml:space="preserve">Primero, se solicita que Colombia Compra Eficiente fije de manera pública, expresa y vinculante el plazo máximo en el que concluirá el procedimiento de actualización de los documentos tipo para incorporar las disposiciones del Decreto 0287 de 2026, con indicación de cada etapa del procedimiento previsto en la Resolución 160 de 2020 y su duración estimada. Segundo, </w:t>
      </w:r>
      <w:r w:rsidRPr="00E64E9B">
        <w:rPr>
          <w:rFonts w:ascii="Verdana" w:eastAsia="Aptos" w:hAnsi="Verdana" w:cs="Helvetica"/>
          <w:i/>
          <w:iCs/>
          <w:sz w:val="20"/>
          <w:szCs w:val="20"/>
          <w14:ligatures w14:val="standardContextual"/>
        </w:rPr>
        <w:lastRenderedPageBreak/>
        <w:t xml:space="preserve">se solicita que esta Agencia emita, con carácter urgente y con anterioridad a la actualización formal de los documentos tipo, una circular o instrucción dirigida a todas las entidades estatales que se encuentren en etapa de evaluación de procesos abiertos después del 20 de marzo de 2026, en la que se indique cómo deben tratar las ofertas de proponentes que acreditaron el cumplimiento del Decreto 0287 de 2026, y si dicha acreditación debe ser reconocida o ignorada durante la evaluación. Tercero, se solicita </w:t>
      </w:r>
      <w:proofErr w:type="spellStart"/>
      <w:r>
        <w:rPr>
          <w:rFonts w:ascii="Verdana" w:eastAsia="Aptos" w:hAnsi="Verdana" w:cs="Helvetica"/>
          <w:i/>
          <w:iCs/>
          <w:sz w:val="20"/>
          <w:szCs w:val="20"/>
          <w14:ligatures w14:val="standardContextual"/>
        </w:rPr>
        <w:t>que</w:t>
      </w:r>
      <w:r w:rsidRPr="00E64E9B">
        <w:rPr>
          <w:rFonts w:ascii="Verdana" w:eastAsia="Aptos" w:hAnsi="Verdana" w:cs="Helvetica"/>
          <w:i/>
          <w:iCs/>
          <w:sz w:val="20"/>
          <w:szCs w:val="20"/>
          <w14:ligatures w14:val="standardContextual"/>
        </w:rPr>
        <w:t>Colombia</w:t>
      </w:r>
      <w:proofErr w:type="spellEnd"/>
      <w:r w:rsidRPr="00E64E9B">
        <w:rPr>
          <w:rFonts w:ascii="Verdana" w:eastAsia="Aptos" w:hAnsi="Verdana" w:cs="Helvetica"/>
          <w:i/>
          <w:iCs/>
          <w:sz w:val="20"/>
          <w:szCs w:val="20"/>
          <w14:ligatures w14:val="standardContextual"/>
        </w:rPr>
        <w:t xml:space="preserve"> Compra Eficiente se pronuncie expresamente sobre si, en el contexto de los procesos LP-002-ICFE-2026, LP-003-ICFE-2026 y LP-004- ICFE-2026 del INSTITUTO DE CASAS FISCALES DEL EJÉRCITO, existe algún mecanismo jurídico que permita que los proponentes que acreditaron el Decreto 0287 de 2026 sean reconocidos conforme a sus disposiciones durante la etapa de evaluación que actualmente cursa</w:t>
      </w:r>
    </w:p>
    <w:p w14:paraId="43533777" w14:textId="77777777" w:rsidR="00BE37BB" w:rsidRDefault="00BE37BB" w:rsidP="00BE37BB">
      <w:pPr>
        <w:spacing w:after="0" w:line="240" w:lineRule="auto"/>
        <w:ind w:left="709" w:right="709"/>
        <w:jc w:val="both"/>
        <w:rPr>
          <w:rFonts w:ascii="Verdana" w:eastAsia="Aptos" w:hAnsi="Verdana" w:cs="Helvetica"/>
          <w:i/>
          <w:iCs/>
          <w:sz w:val="20"/>
          <w:szCs w:val="20"/>
          <w14:ligatures w14:val="standardContextual"/>
        </w:rPr>
      </w:pPr>
    </w:p>
    <w:p w14:paraId="6A83B3F5" w14:textId="77777777" w:rsidR="00BE37BB" w:rsidRPr="00C14F41" w:rsidRDefault="00BE37BB" w:rsidP="00BE37BB">
      <w:pPr>
        <w:spacing w:after="0" w:line="240" w:lineRule="auto"/>
        <w:ind w:left="709" w:right="709"/>
        <w:jc w:val="both"/>
        <w:rPr>
          <w:rFonts w:ascii="Verdana" w:eastAsia="Aptos" w:hAnsi="Verdana" w:cs="Helvetica"/>
          <w:i/>
          <w:iCs/>
          <w:sz w:val="20"/>
          <w:szCs w:val="20"/>
          <w14:ligatures w14:val="standardContextual"/>
        </w:rPr>
      </w:pPr>
      <w:r w:rsidRPr="0037146C">
        <w:rPr>
          <w:rFonts w:ascii="Verdana" w:eastAsia="Aptos" w:hAnsi="Verdana" w:cs="Helvetica"/>
          <w:i/>
          <w:iCs/>
          <w:sz w:val="20"/>
          <w:szCs w:val="20"/>
          <w14:ligatures w14:val="standardContextual"/>
        </w:rPr>
        <w:t>.</w:t>
      </w:r>
      <w:r>
        <w:rPr>
          <w:rFonts w:ascii="Verdana" w:eastAsia="Aptos" w:hAnsi="Verdana" w:cs="Helvetica"/>
          <w:i/>
          <w:iCs/>
          <w:sz w:val="20"/>
          <w:szCs w:val="20"/>
          <w14:ligatures w14:val="standardContextual"/>
        </w:rPr>
        <w:t xml:space="preserve"> (…)¨</w:t>
      </w:r>
    </w:p>
    <w:p w14:paraId="599BB523" w14:textId="77777777" w:rsidR="00BE37BB" w:rsidRPr="00C518CE" w:rsidRDefault="00BE37BB" w:rsidP="00BE37BB">
      <w:pPr>
        <w:spacing w:after="0" w:line="276" w:lineRule="auto"/>
        <w:ind w:hanging="283"/>
        <w:jc w:val="both"/>
        <w:rPr>
          <w:rFonts w:ascii="Verdana" w:eastAsia="Calibri" w:hAnsi="Verdana" w:cs="Arial"/>
          <w:color w:val="6699FF"/>
          <w:lang w:val="es-ES" w:eastAsia="es-ES"/>
        </w:rPr>
      </w:pPr>
    </w:p>
    <w:p w14:paraId="4580F893" w14:textId="77777777" w:rsidR="00BE37BB" w:rsidRPr="00C518CE" w:rsidRDefault="00BE37BB" w:rsidP="00BE37BB">
      <w:pPr>
        <w:spacing w:after="120" w:line="276" w:lineRule="auto"/>
        <w:ind w:firstLine="709"/>
        <w:jc w:val="both"/>
        <w:rPr>
          <w:rFonts w:ascii="Verdana" w:eastAsia="Calibri" w:hAnsi="Verdana" w:cs="Arial"/>
          <w:lang w:val="es-ES" w:eastAsia="es-ES"/>
        </w:rPr>
      </w:pPr>
      <w:r w:rsidRPr="00C518CE">
        <w:rPr>
          <w:rFonts w:ascii="Verdana" w:eastAsia="Calibri" w:hAnsi="Verdana" w:cs="Arial"/>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FCCF8B7" w14:textId="77777777" w:rsidR="00BE37BB" w:rsidRDefault="00BE37BB" w:rsidP="00BE37BB">
      <w:pPr>
        <w:spacing w:after="0" w:line="276" w:lineRule="auto"/>
        <w:ind w:firstLine="709"/>
        <w:jc w:val="both"/>
        <w:rPr>
          <w:rFonts w:ascii="Verdana" w:eastAsia="Calibri" w:hAnsi="Verdana" w:cs="Arial"/>
          <w:lang w:val="es-ES" w:eastAsia="es-ES"/>
        </w:rPr>
      </w:pPr>
      <w:r w:rsidRPr="00C518CE">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 problema jurídico de su consulta. </w:t>
      </w:r>
    </w:p>
    <w:p w14:paraId="68730A51" w14:textId="77777777" w:rsidR="00023630" w:rsidRDefault="00023630" w:rsidP="00BE37BB">
      <w:pPr>
        <w:spacing w:after="0" w:line="276" w:lineRule="auto"/>
        <w:ind w:firstLine="709"/>
        <w:jc w:val="both"/>
        <w:rPr>
          <w:rFonts w:ascii="Verdana" w:eastAsia="Calibri" w:hAnsi="Verdana" w:cs="Arial"/>
          <w:lang w:val="es-ES" w:eastAsia="es-ES"/>
        </w:rPr>
      </w:pPr>
    </w:p>
    <w:p w14:paraId="10F4B3CA" w14:textId="77777777" w:rsidR="00023630" w:rsidRPr="00C518CE" w:rsidRDefault="00023630" w:rsidP="00BE37BB">
      <w:pPr>
        <w:spacing w:after="0" w:line="276" w:lineRule="auto"/>
        <w:ind w:firstLine="709"/>
        <w:jc w:val="both"/>
        <w:rPr>
          <w:rFonts w:ascii="Verdana" w:eastAsia="Calibri" w:hAnsi="Verdana" w:cs="Arial"/>
          <w:lang w:val="es-ES" w:eastAsia="es-ES"/>
        </w:rPr>
      </w:pPr>
    </w:p>
    <w:p w14:paraId="756E7219" w14:textId="77777777" w:rsidR="00BE37BB" w:rsidRPr="00C518CE" w:rsidRDefault="00BE37BB" w:rsidP="00BE37BB">
      <w:pPr>
        <w:tabs>
          <w:tab w:val="left" w:pos="142"/>
          <w:tab w:val="left" w:pos="284"/>
        </w:tabs>
        <w:spacing w:after="0" w:line="276" w:lineRule="auto"/>
        <w:contextualSpacing/>
        <w:jc w:val="both"/>
        <w:rPr>
          <w:rFonts w:ascii="Verdana" w:eastAsia="Century Gothic" w:hAnsi="Verdana" w:cs="Century Gothic"/>
          <w:b/>
          <w:bCs/>
          <w:lang w:val="es-ES"/>
        </w:rPr>
      </w:pPr>
    </w:p>
    <w:p w14:paraId="291C1F65" w14:textId="77777777" w:rsidR="00BE37BB" w:rsidRPr="00C518CE" w:rsidRDefault="00BE37BB" w:rsidP="00BE37BB">
      <w:pPr>
        <w:tabs>
          <w:tab w:val="left" w:pos="142"/>
          <w:tab w:val="left" w:pos="284"/>
        </w:tabs>
        <w:spacing w:after="0" w:line="276" w:lineRule="auto"/>
        <w:contextualSpacing/>
        <w:jc w:val="both"/>
        <w:rPr>
          <w:rFonts w:ascii="Verdana" w:eastAsia="Century Gothic" w:hAnsi="Verdana" w:cs="Century Gothic"/>
          <w:b/>
          <w:bCs/>
          <w:lang w:val="es-ES"/>
        </w:rPr>
      </w:pPr>
      <w:r w:rsidRPr="00C518CE">
        <w:rPr>
          <w:rFonts w:ascii="Verdana" w:eastAsia="Century Gothic" w:hAnsi="Verdana" w:cs="Century Gothic"/>
          <w:b/>
          <w:bCs/>
          <w:lang w:val="es-ES"/>
        </w:rPr>
        <w:t>1. Problema planteado:</w:t>
      </w:r>
    </w:p>
    <w:p w14:paraId="36ED3857" w14:textId="77777777" w:rsidR="00BE37BB" w:rsidRPr="00C518CE" w:rsidRDefault="00BE37BB" w:rsidP="00BE37BB">
      <w:pPr>
        <w:tabs>
          <w:tab w:val="left" w:pos="426"/>
        </w:tabs>
        <w:spacing w:after="0" w:line="276" w:lineRule="auto"/>
        <w:jc w:val="both"/>
        <w:rPr>
          <w:rFonts w:ascii="Verdana" w:eastAsia="Century Gothic" w:hAnsi="Verdana" w:cs="Century Gothic"/>
          <w:lang w:val="es-ES"/>
        </w:rPr>
      </w:pPr>
    </w:p>
    <w:p w14:paraId="4597227E" w14:textId="77777777" w:rsidR="00BE37BB" w:rsidRDefault="00BE37BB" w:rsidP="00BE37BB">
      <w:pPr>
        <w:spacing w:after="0" w:line="276" w:lineRule="auto"/>
        <w:jc w:val="both"/>
        <w:rPr>
          <w:rFonts w:ascii="Verdana" w:eastAsia="Calibri" w:hAnsi="Verdana" w:cs="Arial"/>
          <w:bCs/>
          <w:lang w:eastAsia="es-ES_tradnl"/>
        </w:rPr>
      </w:pPr>
      <w:r w:rsidRPr="00C518CE">
        <w:rPr>
          <w:rFonts w:ascii="Verdana" w:eastAsia="Century Gothic" w:hAnsi="Verdana" w:cs="Century Gothic"/>
        </w:rPr>
        <w:t xml:space="preserve">De acuerdo con el contenido de su solicitud, esta Agencia resolverá los siguientes problemas jurídicos: </w:t>
      </w:r>
      <w:r>
        <w:rPr>
          <w:rFonts w:ascii="Verdana" w:eastAsia="Century Gothic" w:hAnsi="Verdana" w:cs="Century Gothic"/>
        </w:rPr>
        <w:t xml:space="preserve">I) </w:t>
      </w:r>
      <w:r w:rsidRPr="005B2F16">
        <w:rPr>
          <w:rFonts w:ascii="Verdana" w:eastAsia="Calibri" w:hAnsi="Verdana" w:cs="Arial"/>
          <w:lang w:eastAsia="es-ES_tradnl"/>
        </w:rPr>
        <w:t xml:space="preserve">¿Cuál es el plazo previsto para la actualización de los Documentos Tipo con el fin de incorporar las disposiciones del Decreto 287 de 2026?, </w:t>
      </w:r>
      <w:r>
        <w:rPr>
          <w:rFonts w:ascii="Verdana" w:eastAsia="Calibri" w:hAnsi="Verdana" w:cs="Arial"/>
          <w:bCs/>
          <w:lang w:eastAsia="es-ES_tradnl"/>
        </w:rPr>
        <w:t xml:space="preserve">II). </w:t>
      </w:r>
      <w:r w:rsidRPr="007D1D32">
        <w:rPr>
          <w:rFonts w:ascii="Verdana" w:eastAsia="Calibri" w:hAnsi="Verdana" w:cs="Arial"/>
          <w:bCs/>
          <w:lang w:eastAsia="es-ES_tradnl"/>
        </w:rPr>
        <w:t xml:space="preserve">¿Cuáles son los </w:t>
      </w:r>
      <w:r>
        <w:rPr>
          <w:rFonts w:ascii="Verdana" w:eastAsia="Calibri" w:hAnsi="Verdana" w:cs="Arial"/>
          <w:bCs/>
          <w:lang w:eastAsia="es-ES_tradnl"/>
        </w:rPr>
        <w:t xml:space="preserve">lineamientos </w:t>
      </w:r>
      <w:r w:rsidRPr="007D1D32">
        <w:rPr>
          <w:rFonts w:ascii="Verdana" w:eastAsia="Calibri" w:hAnsi="Verdana" w:cs="Arial"/>
          <w:bCs/>
          <w:lang w:eastAsia="es-ES_tradnl"/>
        </w:rPr>
        <w:t>expedidos por la Agencia Nacional de Contratación Pública – Colombia Compra Eficiente para la aplicación de las disposiciones contenidas en el Decreto 287 de 2026 en los procesos de contratación que se encuentren en curso mientras se adelanta la actualización de los Documentos Tipo?</w:t>
      </w:r>
      <w:r>
        <w:rPr>
          <w:rFonts w:ascii="Verdana" w:eastAsia="Calibri" w:hAnsi="Verdana" w:cs="Arial"/>
          <w:bCs/>
          <w:lang w:eastAsia="es-ES_tradnl"/>
        </w:rPr>
        <w:t xml:space="preserve"> y III).</w:t>
      </w:r>
      <w:r w:rsidRPr="009C7BB7">
        <w:t xml:space="preserve"> </w:t>
      </w:r>
      <w:r w:rsidRPr="009C7BB7">
        <w:rPr>
          <w:rFonts w:ascii="Verdana" w:eastAsia="Calibri" w:hAnsi="Verdana" w:cs="Arial"/>
          <w:bCs/>
          <w:lang w:eastAsia="es-ES_tradnl"/>
        </w:rPr>
        <w:t>¿Es posible aplicar las disposiciones del Decreto 287 de 2026 en los procesos de contratación que actualmente se encuentran en curso antes de su incorporación formal en los Documentos Tipo?</w:t>
      </w:r>
    </w:p>
    <w:p w14:paraId="52132127" w14:textId="77777777" w:rsidR="00BE37BB" w:rsidRPr="007D1D32" w:rsidRDefault="00BE37BB" w:rsidP="00BE37BB">
      <w:pPr>
        <w:spacing w:after="0" w:line="276" w:lineRule="auto"/>
        <w:jc w:val="both"/>
        <w:rPr>
          <w:rFonts w:ascii="Verdana" w:eastAsia="Calibri" w:hAnsi="Verdana" w:cs="Arial"/>
          <w:bCs/>
          <w:lang w:eastAsia="es-ES_tradnl"/>
        </w:rPr>
      </w:pPr>
    </w:p>
    <w:p w14:paraId="02ABF92E" w14:textId="77777777" w:rsidR="00EE61BD" w:rsidRPr="00C518CE" w:rsidRDefault="00EE61BD" w:rsidP="00EE61BD">
      <w:pPr>
        <w:tabs>
          <w:tab w:val="left" w:pos="142"/>
          <w:tab w:val="left" w:pos="284"/>
        </w:tabs>
        <w:spacing w:after="0" w:line="276" w:lineRule="auto"/>
        <w:contextualSpacing/>
        <w:jc w:val="both"/>
        <w:rPr>
          <w:rFonts w:ascii="Verdana" w:eastAsia="Century Gothic" w:hAnsi="Verdana" w:cs="Century Gothic"/>
          <w:b/>
          <w:bCs/>
          <w:lang w:val="es-ES"/>
        </w:rPr>
      </w:pPr>
      <w:r w:rsidRPr="00C518CE">
        <w:rPr>
          <w:rFonts w:ascii="Verdana" w:eastAsia="Century Gothic" w:hAnsi="Verdana" w:cs="Century Gothic"/>
          <w:b/>
          <w:bCs/>
          <w:lang w:val="es-ES"/>
        </w:rPr>
        <w:t>2. Respuestas:</w:t>
      </w:r>
    </w:p>
    <w:p w14:paraId="1A83077F" w14:textId="77777777" w:rsidR="00EE61BD" w:rsidRPr="00BD0BEF" w:rsidRDefault="00EE61BD" w:rsidP="00EE61BD">
      <w:pPr>
        <w:tabs>
          <w:tab w:val="left" w:pos="142"/>
          <w:tab w:val="left" w:pos="284"/>
        </w:tabs>
        <w:spacing w:after="0" w:line="276" w:lineRule="auto"/>
        <w:contextualSpacing/>
        <w:jc w:val="both"/>
        <w:rPr>
          <w:rFonts w:ascii="Verdana" w:eastAsia="Century Gothic" w:hAnsi="Verdana" w:cs="Century Gothic"/>
          <w:b/>
          <w:bCs/>
          <w:color w:val="6699FF"/>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E61BD" w:rsidRPr="00AD59FA" w14:paraId="49B012B4" w14:textId="77777777">
        <w:trPr>
          <w:trHeight w:val="40"/>
        </w:trPr>
        <w:tc>
          <w:tcPr>
            <w:tcW w:w="8828" w:type="dxa"/>
            <w:tcBorders>
              <w:top w:val="dotted" w:sz="4" w:space="0" w:color="auto"/>
              <w:left w:val="dotted" w:sz="4" w:space="0" w:color="auto"/>
              <w:bottom w:val="dotted" w:sz="4" w:space="0" w:color="auto"/>
              <w:right w:val="dotted" w:sz="4" w:space="0" w:color="auto"/>
            </w:tcBorders>
          </w:tcPr>
          <w:p w14:paraId="2FC345F1" w14:textId="77777777" w:rsidR="00EE61BD" w:rsidRPr="008126E8" w:rsidRDefault="00EE61BD">
            <w:pPr>
              <w:tabs>
                <w:tab w:val="center" w:pos="4419"/>
                <w:tab w:val="right" w:pos="8838"/>
              </w:tabs>
              <w:spacing w:before="120"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I</w:t>
            </w:r>
            <w:r w:rsidRPr="008126E8">
              <w:rPr>
                <w:rFonts w:ascii="Verdana" w:eastAsia="Calibri" w:hAnsi="Verdana" w:cs="Arial"/>
                <w:color w:val="000000" w:themeColor="text1"/>
                <w:lang w:val="es-ES"/>
              </w:rPr>
              <w:t xml:space="preserve">). La Resolución 160 de 2020 no establece un plazo máximo o término único predeterminado para la actualización de los Documentos Tipo, incluso cuando dicha actualización tenga como finalidad incorporar nuevas disposiciones normativas, como las previstas en el Decreto 287 de 2026. En su lugar, </w:t>
            </w:r>
            <w:r>
              <w:rPr>
                <w:rFonts w:ascii="Verdana" w:eastAsia="Calibri" w:hAnsi="Verdana" w:cs="Arial"/>
                <w:color w:val="000000" w:themeColor="text1"/>
                <w:lang w:val="es-ES"/>
              </w:rPr>
              <w:t>la resolución</w:t>
            </w:r>
            <w:r w:rsidRPr="008126E8">
              <w:rPr>
                <w:rFonts w:ascii="Verdana" w:eastAsia="Calibri" w:hAnsi="Verdana" w:cs="Arial"/>
                <w:color w:val="000000" w:themeColor="text1"/>
                <w:lang w:val="es-ES"/>
              </w:rPr>
              <w:t xml:space="preserve"> diseña un modelo de gestión basado en la revisión constante y permanente, en el cual la actualización depende de la identificación de cambios normativos, fácticos o de ajustes técnicos que justifiquen la modificación de los documentos vigentes.</w:t>
            </w:r>
          </w:p>
          <w:p w14:paraId="715EFEDF" w14:textId="77777777" w:rsidR="00EE61BD" w:rsidRPr="008126E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8126E8">
              <w:rPr>
                <w:rFonts w:ascii="Verdana" w:eastAsia="Calibri" w:hAnsi="Verdana" w:cs="Arial"/>
                <w:color w:val="000000" w:themeColor="text1"/>
                <w:lang w:val="es-ES"/>
              </w:rPr>
              <w:t xml:space="preserve">En este contexto, es pertinente mencionar que el artículo 11 de la Resolución dispone que la Agencia Nacional de Contratación Pública – Colombia Compra Eficiente podrá revisar los Documentos Tipo en cualquier momento, cuando se presenten variaciones en las circunstancias que sustentaron su adopción o cuando se evidencien imperfecciones en su implementación. En consecuencia, la actualización no responde a un término legal máximo, sino a la dinámica propia del sistema de revisión </w:t>
            </w:r>
            <w:r>
              <w:rPr>
                <w:rFonts w:ascii="Verdana" w:eastAsia="Calibri" w:hAnsi="Verdana" w:cs="Arial"/>
                <w:color w:val="000000" w:themeColor="text1"/>
                <w:lang w:val="es-ES"/>
              </w:rPr>
              <w:t>para la expedición de los documentos tipos.</w:t>
            </w:r>
          </w:p>
          <w:p w14:paraId="6464A66C" w14:textId="77777777" w:rsidR="00EE61BD"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51046C">
              <w:rPr>
                <w:rFonts w:ascii="Verdana" w:eastAsia="Calibri" w:hAnsi="Verdana" w:cs="Arial"/>
                <w:color w:val="000000" w:themeColor="text1"/>
                <w:lang w:val="es-ES"/>
              </w:rPr>
              <w:t xml:space="preserve">Como bien se señaló, las etapas de publicación, recepción de observaciones, análisis e incorporación de ajustes, la expedición del acto administrativo de adopción no se encuentra sujeta a un término definido, sino al agotamiento integral del procedimiento previsto en la Resolución. En </w:t>
            </w:r>
            <w:r w:rsidRPr="0051046C">
              <w:rPr>
                <w:rFonts w:ascii="Verdana" w:eastAsia="Calibri" w:hAnsi="Verdana" w:cs="Arial"/>
                <w:color w:val="000000" w:themeColor="text1"/>
                <w:lang w:val="es-ES"/>
              </w:rPr>
              <w:lastRenderedPageBreak/>
              <w:t>consecuencia, el tiempo total de actualización varía según la complejidad del documento y el alcance de las modificaciones requeridas.</w:t>
            </w:r>
          </w:p>
          <w:p w14:paraId="04516F5B" w14:textId="77777777" w:rsidR="00EE61BD" w:rsidRPr="008126E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8126E8">
              <w:rPr>
                <w:rFonts w:ascii="Verdana" w:eastAsia="Calibri" w:hAnsi="Verdana" w:cs="Arial"/>
                <w:color w:val="000000" w:themeColor="text1"/>
                <w:lang w:val="es-ES"/>
              </w:rPr>
              <w:t>En ese sentido, debe tenerse en cuenta que este proceso implica una importante carga administrativa y presupuestal para lograr una actualización adecuada de los Documentos Tipo, razón por la cual puede requerir un tiempo prudencial que permita dar cumplimiento integral a las disposiciones normativas aplicables y garantizar la consistencia técnica y jurídica de las modificaciones. No obstante, ello no exime a la Agencia de adelantar las actuaciones necesarias para desarrollar este proceso en el menor tiempo posible, procurando además la divulgación oportuna de cada etapa de modificación, tanto a las entidades estatales como a la ciudadanía en general.</w:t>
            </w:r>
          </w:p>
          <w:p w14:paraId="43299BAC" w14:textId="77777777" w:rsidR="00EE61BD" w:rsidRPr="008126E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8126E8">
              <w:rPr>
                <w:rFonts w:ascii="Verdana" w:eastAsia="Calibri" w:hAnsi="Verdana" w:cs="Arial"/>
                <w:color w:val="000000" w:themeColor="text1"/>
                <w:lang w:val="es-ES"/>
              </w:rPr>
              <w:t>En conclusión, la actualización de los Documentos Tipo no tiene un plazo máximo legalmente establecido, sino que se rige por un esquema de revisión permanente con etapas procedimentales que incluyen términos mínimos de participación ciudadana, siendo el desarrollo del trámite dependiente de las condiciones técnicas, normativas y de evaluación que determine la Agencia competente.</w:t>
            </w:r>
          </w:p>
          <w:p w14:paraId="2E45F65E" w14:textId="77777777" w:rsidR="00EE61BD" w:rsidRPr="00112DD8" w:rsidRDefault="00EE61BD">
            <w:pPr>
              <w:tabs>
                <w:tab w:val="center" w:pos="4419"/>
                <w:tab w:val="right" w:pos="8838"/>
              </w:tabs>
              <w:spacing w:before="120"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rPr>
              <w:t xml:space="preserve">II). </w:t>
            </w:r>
            <w:r w:rsidRPr="00112DD8">
              <w:rPr>
                <w:rFonts w:ascii="Verdana" w:eastAsia="Calibri" w:hAnsi="Verdana" w:cs="Arial"/>
                <w:color w:val="000000" w:themeColor="text1"/>
                <w:lang w:val="es-ES"/>
              </w:rPr>
              <w:t>Frente a los procesos de contratación que se encuentren en curso mientras se adelanta la actualización de los Documentos Tipo para incorporar las disposiciones del Decreto 287 de 2026, la Agencia Nacional de Contratación Pública – Colombia Compra Eficiente (ANCP–CCE) ha expedido lineamientos orientados a garantizar la seguridad jurídica, la uniformidad en la contratación estatal y la correcta aplicación del régimen transitorio.</w:t>
            </w:r>
          </w:p>
          <w:p w14:paraId="4D0948AB" w14:textId="77777777" w:rsidR="00EE61BD" w:rsidRPr="00112DD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112DD8">
              <w:rPr>
                <w:rFonts w:ascii="Verdana" w:eastAsia="Calibri" w:hAnsi="Verdana" w:cs="Arial"/>
                <w:color w:val="000000" w:themeColor="text1"/>
                <w:lang w:val="es-ES"/>
              </w:rPr>
              <w:t>En primer lugar, a través del ABC del Decreto 0287 de 2026 “Contratación pública inclusiva para personas con discapacidad”, la Agencia precisó que la aplicación de las medidas incorporadas por dicho decreto en los Documentos Tipo se encuentra condicionada a la realización de los ajustes técnicos y normativos correspondientes por parte de Colombia Compra Eficiente. En consecuencia, se indicó que los Documentos Tipo requieren una adecuación previa para incorporar las medidas relacionadas con el sistema de preferencias, razón por la cual su aplicación no opera de manera automática mientras no se expidan las modificaciones oficiales.</w:t>
            </w:r>
          </w:p>
          <w:p w14:paraId="78359DC3" w14:textId="77777777" w:rsidR="00EE61BD" w:rsidRPr="00112DD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112DD8">
              <w:rPr>
                <w:rFonts w:ascii="Verdana" w:eastAsia="Calibri" w:hAnsi="Verdana" w:cs="Arial"/>
                <w:color w:val="000000" w:themeColor="text1"/>
                <w:lang w:val="es-ES"/>
              </w:rPr>
              <w:t xml:space="preserve">De manera concordante, mediante la Circular Externa No. 003 de 2026, expedida el 12 de mayo de 2026, la ANCP–CCE impartió orientaciones </w:t>
            </w:r>
            <w:r w:rsidRPr="00112DD8">
              <w:rPr>
                <w:rFonts w:ascii="Verdana" w:eastAsia="Calibri" w:hAnsi="Verdana" w:cs="Arial"/>
                <w:color w:val="000000" w:themeColor="text1"/>
                <w:lang w:val="es-ES"/>
              </w:rPr>
              <w:lastRenderedPageBreak/>
              <w:t xml:space="preserve">específicas para la aplicación del Decreto 287 de 2026, </w:t>
            </w:r>
            <w:r>
              <w:rPr>
                <w:rFonts w:ascii="Verdana" w:eastAsia="Calibri" w:hAnsi="Verdana" w:cs="Arial"/>
                <w:color w:val="000000" w:themeColor="text1"/>
                <w:lang w:val="es-ES"/>
              </w:rPr>
              <w:t>reiterando</w:t>
            </w:r>
            <w:r w:rsidRPr="00112DD8">
              <w:rPr>
                <w:rFonts w:ascii="Verdana" w:eastAsia="Calibri" w:hAnsi="Verdana" w:cs="Arial"/>
                <w:color w:val="000000" w:themeColor="text1"/>
                <w:lang w:val="es-ES"/>
              </w:rPr>
              <w:t xml:space="preserve"> que corresponde a dicha entidad incorporar las nuevas disposiciones en los Documentos Tipo y demás instrumentos de contratación a su cargo. En ese sentido, señaló que, mientras no se adopten formalmente los ajustes respectivos, las entidades estatales obligadas a utilizar Documentos Tipo deberán continuar aplicando las versiones vigentes, en observancia del principio de inalterabilidad, conforme al cual dichos instrumentos no pueden ser modificados unilateralmente por las entidades contratantes.</w:t>
            </w:r>
          </w:p>
          <w:p w14:paraId="3BF23348" w14:textId="77777777" w:rsidR="00EE61BD" w:rsidRPr="00112DD8"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112DD8">
              <w:rPr>
                <w:rFonts w:ascii="Verdana" w:eastAsia="Calibri" w:hAnsi="Verdana" w:cs="Arial"/>
                <w:color w:val="000000" w:themeColor="text1"/>
                <w:lang w:val="es-ES"/>
              </w:rPr>
              <w:t>Asimismo, dentro del régimen de transición previsto por la Agencia, se indicó que las entidades deben abstenerse de introducir modificaciones no autorizadas a los Documentos Tipo con el propósito de incorporar directamente las disposiciones del Decreto 287 de 2026, debiendo esperar la expedición de las modificaciones oficiales por parte de la ANCP–CCE. Lo anterior implica que, durante el periodo de actualización, los procesos de contratación en curso deberán adelantarse con base en los Documentos Tipo vigentes, sin perjuicio de la posterior implementación de las nuevas medidas una vez sean incorporadas oficialmente.</w:t>
            </w:r>
          </w:p>
          <w:p w14:paraId="55A62B4B" w14:textId="77777777" w:rsidR="00EE61BD" w:rsidRPr="00F92098" w:rsidRDefault="00EE61BD">
            <w:pPr>
              <w:tabs>
                <w:tab w:val="center" w:pos="4419"/>
                <w:tab w:val="right" w:pos="8838"/>
              </w:tabs>
              <w:spacing w:before="120" w:after="120" w:line="276" w:lineRule="auto"/>
              <w:jc w:val="both"/>
              <w:rPr>
                <w:rFonts w:ascii="Verdana" w:eastAsia="Calibri" w:hAnsi="Verdana" w:cs="Arial"/>
                <w:color w:val="000000" w:themeColor="text1"/>
              </w:rPr>
            </w:pPr>
            <w:r>
              <w:rPr>
                <w:rFonts w:ascii="Verdana" w:eastAsia="Calibri" w:hAnsi="Verdana" w:cs="Arial"/>
                <w:color w:val="000000" w:themeColor="text1"/>
              </w:rPr>
              <w:t xml:space="preserve">III). </w:t>
            </w:r>
            <w:r w:rsidRPr="00F92098">
              <w:rPr>
                <w:rFonts w:ascii="Verdana" w:eastAsia="Calibri" w:hAnsi="Verdana" w:cs="Arial"/>
                <w:color w:val="000000" w:themeColor="text1"/>
              </w:rPr>
              <w:t xml:space="preserve">Reiterando la línea </w:t>
            </w:r>
            <w:r>
              <w:rPr>
                <w:rFonts w:ascii="Verdana" w:eastAsia="Calibri" w:hAnsi="Verdana" w:cs="Arial"/>
                <w:color w:val="000000" w:themeColor="text1"/>
              </w:rPr>
              <w:t>desarrollada por el</w:t>
            </w:r>
            <w:r w:rsidRPr="00F92098">
              <w:rPr>
                <w:rFonts w:ascii="Verdana" w:eastAsia="Calibri" w:hAnsi="Verdana" w:cs="Arial"/>
                <w:color w:val="000000" w:themeColor="text1"/>
              </w:rPr>
              <w:t xml:space="preserve"> Concepto C-467 de 2026</w:t>
            </w:r>
            <w:r>
              <w:rPr>
                <w:rFonts w:ascii="Verdana" w:eastAsia="Calibri" w:hAnsi="Verdana" w:cs="Arial"/>
                <w:color w:val="000000" w:themeColor="text1"/>
              </w:rPr>
              <w:t xml:space="preserve"> de la ANCP-CCE</w:t>
            </w:r>
            <w:r w:rsidRPr="00F92098">
              <w:rPr>
                <w:rFonts w:ascii="Verdana" w:eastAsia="Calibri" w:hAnsi="Verdana" w:cs="Arial"/>
                <w:color w:val="000000" w:themeColor="text1"/>
              </w:rPr>
              <w:t>, no resulta jurídicamente procedente la aplicación directa de las disposiciones del Decreto 287 de 2026 a los procesos de contratación que se encuentran actualmente en curso, mientras dichas disposiciones no hayan sido incorporadas de manera formal en los Documentos Tipo. En consecuencia, su exigibilidad en el marco de los procedimientos vigentes está condicionada a su adopción e implementación mediante los instrumentos correspondientes.</w:t>
            </w:r>
          </w:p>
          <w:p w14:paraId="62D7C9CA" w14:textId="77777777" w:rsidR="00EE61BD" w:rsidRPr="00D76080"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D76080">
              <w:rPr>
                <w:rFonts w:ascii="Verdana" w:eastAsia="Calibri" w:hAnsi="Verdana" w:cs="Arial"/>
                <w:color w:val="000000" w:themeColor="text1"/>
                <w:lang w:val="es-ES"/>
              </w:rPr>
              <w:t xml:space="preserve">Lo anterior obedece a que la </w:t>
            </w:r>
            <w:r>
              <w:rPr>
                <w:rFonts w:ascii="Verdana" w:eastAsia="Calibri" w:hAnsi="Verdana" w:cs="Arial"/>
                <w:color w:val="000000" w:themeColor="text1"/>
                <w:lang w:val="es-ES"/>
              </w:rPr>
              <w:t xml:space="preserve">Agencia </w:t>
            </w:r>
            <w:r w:rsidRPr="00D76080">
              <w:rPr>
                <w:rFonts w:ascii="Verdana" w:eastAsia="Calibri" w:hAnsi="Verdana" w:cs="Arial"/>
                <w:color w:val="000000" w:themeColor="text1"/>
                <w:lang w:val="es-ES"/>
              </w:rPr>
              <w:t>ha señalado que la implementación de dicho decreto en los Documentos Tipo requiere una adecuación técnica y normativa previa, la cual debe realizarse de manera institucional y mediante los actos administrativos correspondientes. En consecuencia, mientras no se produzcan dichos ajustes oficiales, las entidades obligadas a la utilización de Documentos Tipo deben continuar aplicando las versiones vigentes.</w:t>
            </w:r>
          </w:p>
          <w:p w14:paraId="0B6539A8" w14:textId="77777777" w:rsidR="00EE61BD" w:rsidRPr="00D76080"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D76080">
              <w:rPr>
                <w:rFonts w:ascii="Verdana" w:eastAsia="Calibri" w:hAnsi="Verdana" w:cs="Arial"/>
                <w:color w:val="000000" w:themeColor="text1"/>
                <w:lang w:val="es-ES"/>
              </w:rPr>
              <w:t xml:space="preserve">En ese sentido, los procesos de contratación en curso deben regirse por el principio de inalterabilidad de los Documentos Tipo, lo que implica que no pueden ser modificados de forma unilateral por las entidades contratantes </w:t>
            </w:r>
            <w:r w:rsidRPr="00D76080">
              <w:rPr>
                <w:rFonts w:ascii="Verdana" w:eastAsia="Calibri" w:hAnsi="Verdana" w:cs="Arial"/>
                <w:color w:val="000000" w:themeColor="text1"/>
                <w:lang w:val="es-ES"/>
              </w:rPr>
              <w:lastRenderedPageBreak/>
              <w:t>para incorporar disposiciones que aún no han sido formalmente integradas por la ANCP–CCE.</w:t>
            </w:r>
          </w:p>
          <w:p w14:paraId="45618B64" w14:textId="77777777" w:rsidR="00EE61BD" w:rsidRPr="00D76080"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D76080">
              <w:rPr>
                <w:rFonts w:ascii="Verdana" w:eastAsia="Calibri" w:hAnsi="Verdana" w:cs="Arial"/>
                <w:color w:val="000000" w:themeColor="text1"/>
                <w:lang w:val="es-ES"/>
              </w:rPr>
              <w:t>Por tanto, la aplicación del Decreto 287 de 2026 solo podrá surtir efectos en los procesos contractuales una vez sea incorporado de manera expresa en los Documentos Tipo, mediante las modificaciones expedidas por la autoridad competente. Antes de ello, su implementación no resulta procedente en los procesos en ejecución.</w:t>
            </w:r>
          </w:p>
          <w:p w14:paraId="4A2D5F5B" w14:textId="77777777" w:rsidR="00EE61BD" w:rsidRPr="00D76080" w:rsidRDefault="00EE61BD">
            <w:pPr>
              <w:tabs>
                <w:tab w:val="center" w:pos="4419"/>
                <w:tab w:val="right" w:pos="8838"/>
              </w:tabs>
              <w:spacing w:before="120" w:after="120" w:line="276" w:lineRule="auto"/>
              <w:ind w:firstLine="709"/>
              <w:jc w:val="both"/>
              <w:rPr>
                <w:rFonts w:ascii="Verdana" w:eastAsia="Calibri" w:hAnsi="Verdana" w:cs="Arial"/>
                <w:color w:val="000000" w:themeColor="text1"/>
                <w:lang w:val="es-ES"/>
              </w:rPr>
            </w:pPr>
            <w:r w:rsidRPr="00D76080">
              <w:rPr>
                <w:rFonts w:ascii="Verdana" w:eastAsia="Calibri" w:hAnsi="Verdana" w:cs="Arial"/>
                <w:color w:val="000000" w:themeColor="text1"/>
                <w:lang w:val="es-ES"/>
              </w:rPr>
              <w:t>En conclusión, mientras no exista incorporación formal del Decreto en los Documentos Tipo, las entidades deben continuar aplicando las reglas vigentes, sin posibilidad de adelantar su aplicación anticipada en los procesos contractuales en curso.</w:t>
            </w:r>
          </w:p>
        </w:tc>
      </w:tr>
    </w:tbl>
    <w:p w14:paraId="02CA6BC5" w14:textId="77777777" w:rsidR="00EE61BD" w:rsidRPr="00AD59FA" w:rsidRDefault="00EE61BD" w:rsidP="00EE61BD">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2A951905" w14:textId="77777777" w:rsidR="00EE61BD" w:rsidRPr="00AD59FA" w:rsidRDefault="00EE61BD" w:rsidP="00EE61BD">
      <w:pPr>
        <w:tabs>
          <w:tab w:val="left" w:pos="142"/>
          <w:tab w:val="left" w:pos="284"/>
        </w:tabs>
        <w:spacing w:after="0" w:line="276" w:lineRule="auto"/>
        <w:jc w:val="both"/>
        <w:rPr>
          <w:rFonts w:ascii="Verdana" w:eastAsia="Century Gothic" w:hAnsi="Verdana" w:cs="Century Gothic"/>
          <w:b/>
          <w:bCs/>
          <w:color w:val="000000" w:themeColor="text1"/>
          <w:lang w:val="es-ES"/>
        </w:rPr>
      </w:pPr>
      <w:r w:rsidRPr="00AD59FA">
        <w:rPr>
          <w:rFonts w:ascii="Verdana" w:eastAsia="Century Gothic" w:hAnsi="Verdana" w:cs="Century Gothic"/>
          <w:b/>
          <w:bCs/>
          <w:color w:val="000000" w:themeColor="text1"/>
          <w:lang w:val="es-ES"/>
        </w:rPr>
        <w:t>3. Razones de la respuesta:</w:t>
      </w:r>
    </w:p>
    <w:p w14:paraId="34ED8DFD" w14:textId="77777777" w:rsidR="00EE61BD" w:rsidRPr="00AD59FA" w:rsidRDefault="00EE61BD" w:rsidP="00EE61BD">
      <w:pPr>
        <w:spacing w:after="0" w:line="276" w:lineRule="auto"/>
        <w:jc w:val="both"/>
        <w:rPr>
          <w:rFonts w:ascii="Verdana" w:eastAsia="Calibri" w:hAnsi="Verdana" w:cs="Arial"/>
          <w:color w:val="000000" w:themeColor="text1"/>
          <w:lang w:val="es-ES"/>
        </w:rPr>
      </w:pPr>
    </w:p>
    <w:p w14:paraId="186D0418" w14:textId="77777777" w:rsidR="00EE61BD" w:rsidRPr="00AD59FA" w:rsidRDefault="00EE61BD" w:rsidP="00EE61BD">
      <w:pPr>
        <w:spacing w:after="0" w:line="276" w:lineRule="auto"/>
        <w:jc w:val="both"/>
        <w:rPr>
          <w:rFonts w:ascii="Verdana" w:eastAsia="Calibri" w:hAnsi="Verdana" w:cs="Arial"/>
          <w:color w:val="000000" w:themeColor="text1"/>
          <w:lang w:val="es-ES"/>
        </w:rPr>
      </w:pPr>
      <w:r w:rsidRPr="00AD59FA">
        <w:rPr>
          <w:rFonts w:ascii="Verdana" w:eastAsia="Calibri" w:hAnsi="Verdana" w:cs="Arial"/>
          <w:color w:val="000000" w:themeColor="text1"/>
          <w:lang w:val="es-ES"/>
        </w:rPr>
        <w:t xml:space="preserve">Lo anterior se sustenta en las siguientes consideraciones: </w:t>
      </w:r>
    </w:p>
    <w:p w14:paraId="2942D6C0" w14:textId="77777777" w:rsidR="00EE61BD" w:rsidRPr="00AD59FA" w:rsidRDefault="00EE61BD" w:rsidP="00EE61BD">
      <w:pPr>
        <w:widowControl w:val="0"/>
        <w:autoSpaceDE w:val="0"/>
        <w:autoSpaceDN w:val="0"/>
        <w:spacing w:after="0" w:line="276" w:lineRule="auto"/>
        <w:jc w:val="both"/>
        <w:rPr>
          <w:rFonts w:ascii="Verdana" w:eastAsia="Calibri" w:hAnsi="Verdana" w:cs="Times New Roman"/>
          <w:color w:val="000000" w:themeColor="text1"/>
          <w:lang w:val="es-ES"/>
        </w:rPr>
      </w:pPr>
      <w:bookmarkStart w:id="1" w:name="_Hlk113022941"/>
    </w:p>
    <w:p w14:paraId="043548EA" w14:textId="77777777" w:rsidR="00EE61BD" w:rsidRPr="00650C3B" w:rsidRDefault="00EE61BD" w:rsidP="00EE61BD">
      <w:pPr>
        <w:spacing w:after="0" w:line="276" w:lineRule="auto"/>
        <w:jc w:val="both"/>
        <w:rPr>
          <w:rFonts w:ascii="Aptos" w:eastAsia="Aptos" w:hAnsi="Aptos" w:cs="Times New Roman"/>
          <w:color w:val="000000" w:themeColor="text1"/>
          <w:kern w:val="2"/>
          <w:sz w:val="24"/>
          <w:szCs w:val="24"/>
          <w:lang w:val="es-MX"/>
          <w14:ligatures w14:val="standardContextual"/>
        </w:rPr>
      </w:pPr>
      <w:r>
        <w:rPr>
          <w:rFonts w:ascii="Aptos" w:eastAsia="Aptos" w:hAnsi="Aptos" w:cs="Times New Roman"/>
          <w:color w:val="000000" w:themeColor="text1"/>
          <w:kern w:val="2"/>
          <w:sz w:val="24"/>
          <w:szCs w:val="24"/>
          <w:lang w:val="es-ES"/>
          <w14:ligatures w14:val="standardContextual"/>
        </w:rPr>
        <w:t>I)</w:t>
      </w:r>
      <w:r w:rsidRPr="00AD59FA">
        <w:rPr>
          <w:rFonts w:ascii="Aptos" w:eastAsia="Aptos" w:hAnsi="Aptos" w:cs="Times New Roman"/>
          <w:color w:val="000000" w:themeColor="text1"/>
          <w:kern w:val="2"/>
          <w:sz w:val="24"/>
          <w:szCs w:val="24"/>
          <w:lang w:val="es-ES"/>
          <w14:ligatures w14:val="standardContextual"/>
        </w:rPr>
        <w:t xml:space="preserve">. </w:t>
      </w:r>
      <w:r w:rsidRPr="00AD59FA">
        <w:rPr>
          <w:rFonts w:ascii="Verdana" w:eastAsia="Aptos" w:hAnsi="Verdana" w:cs="Times New Roman"/>
          <w:color w:val="000000" w:themeColor="text1"/>
          <w:kern w:val="2"/>
          <w:lang w:val="es-MX"/>
          <w14:ligatures w14:val="standardContextual"/>
        </w:rPr>
        <w:t>El 22 de julio de 2020 se sancionó la Ley 2022, por medio de la cual se modificó el artículo 4 de la Ley 1882 de 2018. El objetivo de la modificación consiste en que los documentos tipo sean un referente obligatorio en la elaboración de cualquier pliego de condiciones y no solo en los relacionados con procesos de obra pública. De igual manera, busca que el contrato estatal pueda ser utilizado racionalmente como instrumento de ejecución de los recursos públicos, para garantizar el cumplimiento de los fines del Estado y la satisfacción de las necesidades de la comunidad</w:t>
      </w:r>
      <w:r w:rsidRPr="00AD59FA">
        <w:rPr>
          <w:rFonts w:ascii="Verdana" w:eastAsia="Aptos" w:hAnsi="Verdana" w:cs="Times New Roman"/>
          <w:color w:val="000000" w:themeColor="text1"/>
          <w:kern w:val="2"/>
          <w:vertAlign w:val="superscript"/>
          <w:lang w:val="es-MX"/>
          <w14:ligatures w14:val="standardContextual"/>
        </w:rPr>
        <w:footnoteReference w:id="1"/>
      </w:r>
      <w:r w:rsidRPr="00AD59FA">
        <w:rPr>
          <w:rFonts w:ascii="Verdana" w:eastAsia="Aptos" w:hAnsi="Verdana" w:cs="Times New Roman"/>
          <w:color w:val="000000" w:themeColor="text1"/>
          <w:kern w:val="2"/>
          <w:lang w:val="es-MX"/>
          <w14:ligatures w14:val="standardContextual"/>
        </w:rPr>
        <w:t>.</w:t>
      </w:r>
      <w:r w:rsidRPr="00AD59FA">
        <w:rPr>
          <w:rFonts w:ascii="Aptos" w:eastAsia="Aptos" w:hAnsi="Aptos" w:cs="Times New Roman"/>
          <w:color w:val="000000" w:themeColor="text1"/>
          <w:kern w:val="2"/>
          <w:sz w:val="24"/>
          <w:szCs w:val="24"/>
          <w:lang w:val="es-MX"/>
          <w14:ligatures w14:val="standardContextual"/>
        </w:rPr>
        <w:t xml:space="preserve"> </w:t>
      </w:r>
    </w:p>
    <w:bookmarkEnd w:id="1"/>
    <w:p w14:paraId="0B3ADF3A" w14:textId="77777777" w:rsidR="00EE61BD" w:rsidRPr="00AD59FA" w:rsidRDefault="00EE61BD" w:rsidP="00EE61BD">
      <w:pPr>
        <w:tabs>
          <w:tab w:val="left" w:pos="709"/>
        </w:tabs>
        <w:spacing w:before="120" w:after="120" w:line="276" w:lineRule="auto"/>
        <w:ind w:firstLine="642"/>
        <w:jc w:val="both"/>
        <w:rPr>
          <w:rFonts w:ascii="Verdana" w:eastAsia="Calibri" w:hAnsi="Verdana" w:cs="Arial"/>
          <w:color w:val="000000" w:themeColor="text1"/>
          <w:lang w:val="es-MX"/>
        </w:rPr>
      </w:pPr>
      <w:r w:rsidRPr="00AD59FA">
        <w:rPr>
          <w:rFonts w:ascii="Verdana" w:eastAsia="Calibri" w:hAnsi="Verdana" w:cs="Arial"/>
          <w:color w:val="000000" w:themeColor="text1"/>
          <w:lang w:val="es-MX"/>
        </w:rPr>
        <w:t>La n</w:t>
      </w:r>
      <w:r>
        <w:rPr>
          <w:rFonts w:ascii="Verdana" w:eastAsia="Calibri" w:hAnsi="Verdana" w:cs="Arial"/>
          <w:color w:val="000000" w:themeColor="text1"/>
          <w:lang w:val="es-MX"/>
        </w:rPr>
        <w:t>or</w:t>
      </w:r>
      <w:r w:rsidRPr="00AD59FA">
        <w:rPr>
          <w:rFonts w:ascii="Verdana" w:eastAsia="Calibri" w:hAnsi="Verdana" w:cs="Arial"/>
          <w:color w:val="000000" w:themeColor="text1"/>
          <w:lang w:val="es-MX"/>
        </w:rPr>
        <w:t>ma establece que la Agencia Nacional de Contratación Pública – Colombia Compra Eficiente o quien haga sus veces, adoptará documentos tipo que serán de obligatorio cumplimiento en la actividad contractual de todas las entidades sometidas al Estatuto General de Contratación de la Administración Pública</w:t>
      </w:r>
      <w:r w:rsidRPr="00AD59FA">
        <w:rPr>
          <w:rFonts w:ascii="Verdana" w:eastAsia="Calibri" w:hAnsi="Verdana" w:cs="Arial"/>
          <w:color w:val="000000" w:themeColor="text1"/>
          <w:vertAlign w:val="superscript"/>
          <w:lang w:val="es-MX"/>
        </w:rPr>
        <w:footnoteReference w:id="2"/>
      </w:r>
      <w:r w:rsidRPr="00AD59FA">
        <w:rPr>
          <w:rFonts w:ascii="Verdana" w:eastAsia="Calibri" w:hAnsi="Verdana" w:cs="Arial"/>
          <w:color w:val="000000" w:themeColor="text1"/>
          <w:lang w:val="es-MX"/>
        </w:rPr>
        <w:t xml:space="preserve">. Así mismo, señala que, dentro de estos documentos tipo se </w:t>
      </w:r>
      <w:r w:rsidRPr="00AD59FA">
        <w:rPr>
          <w:rFonts w:ascii="Verdana" w:eastAsia="Calibri" w:hAnsi="Verdana" w:cs="Arial"/>
          <w:color w:val="000000" w:themeColor="text1"/>
          <w:lang w:val="es-MX"/>
        </w:rPr>
        <w:lastRenderedPageBreak/>
        <w:t>establecerán los requisitos habilitantes, factores técnicos, económicos y otros factores de escogencia, así como aquellos requisitos que, previa justificación, representen buenas prácticas contractuales que procuren el adecuado desarrollo de los principios que rigen la contratación pública.</w:t>
      </w:r>
    </w:p>
    <w:p w14:paraId="6C92599B" w14:textId="77777777" w:rsidR="00EE61BD" w:rsidRPr="00AD59FA" w:rsidRDefault="00EE61BD" w:rsidP="00EE61BD">
      <w:pPr>
        <w:spacing w:before="120" w:after="120" w:line="276" w:lineRule="auto"/>
        <w:ind w:firstLine="642"/>
        <w:jc w:val="both"/>
        <w:rPr>
          <w:rFonts w:ascii="Verdana" w:eastAsia="Calibri" w:hAnsi="Verdana" w:cs="Arial"/>
          <w:color w:val="000000" w:themeColor="text1"/>
          <w:lang w:val="es-MX"/>
        </w:rPr>
      </w:pPr>
      <w:r w:rsidRPr="00AD59FA">
        <w:rPr>
          <w:rFonts w:ascii="Verdana" w:eastAsia="Calibri" w:hAnsi="Verdana" w:cs="Arial"/>
          <w:color w:val="000000" w:themeColor="text1"/>
          <w:lang w:val="es-MX"/>
        </w:rPr>
        <w:t>La norma señala que, en todo caso, serán de uso obligatorio los documentos tipo para los pliegos de condiciones de los procesos de selección de obras públicas, interventoría para las obras públicas, interventoría para consultoría de estudios y diseños para obras públicas, consultoría e ingeniería para obras, que llevan a cabo todas las entidades sometidas al Estatuto General de Contratación de la Administración Pública, es decir, aquellas entidades estatales mencionadas en el artículo 2º de la Ley 80 de 1993</w:t>
      </w:r>
      <w:r w:rsidRPr="00AD59FA">
        <w:rPr>
          <w:rFonts w:ascii="Verdana" w:eastAsia="Calibri" w:hAnsi="Verdana" w:cs="Arial"/>
          <w:color w:val="000000" w:themeColor="text1"/>
          <w:vertAlign w:val="superscript"/>
          <w:lang w:val="es-MX"/>
        </w:rPr>
        <w:footnoteReference w:id="3"/>
      </w:r>
      <w:r w:rsidRPr="00AD59FA">
        <w:rPr>
          <w:rFonts w:ascii="Verdana" w:eastAsia="Calibri" w:hAnsi="Verdana" w:cs="Arial"/>
          <w:color w:val="000000" w:themeColor="text1"/>
          <w:lang w:val="es-MX"/>
        </w:rPr>
        <w:t xml:space="preserve">. Esto significa, de </w:t>
      </w:r>
      <w:r w:rsidRPr="00AD59FA">
        <w:rPr>
          <w:rFonts w:ascii="Verdana" w:eastAsia="Calibri" w:hAnsi="Verdana" w:cs="Arial"/>
          <w:color w:val="000000" w:themeColor="text1"/>
          <w:lang w:val="es-MX"/>
        </w:rPr>
        <w:lastRenderedPageBreak/>
        <w:t>una parte, que dichos documentos tipo tienen como fin servir como fuente obligatoria para la elaboración de los pliegos de condiciones y, de otra, que los documentos tipo adoptados por la Agencia son obligatorios por expreso mandato del legislador para las entidades sometidas a la Ley 80 de 1993.</w:t>
      </w:r>
    </w:p>
    <w:p w14:paraId="45848F96" w14:textId="77777777" w:rsidR="00EE61BD" w:rsidRDefault="00EE61BD" w:rsidP="00EE61BD">
      <w:pPr>
        <w:spacing w:before="120" w:after="120" w:line="276" w:lineRule="auto"/>
        <w:ind w:firstLine="642"/>
        <w:jc w:val="both"/>
        <w:rPr>
          <w:rFonts w:ascii="Verdana" w:eastAsia="Calibri" w:hAnsi="Verdana" w:cs="Arial"/>
          <w:color w:val="000000" w:themeColor="text1"/>
          <w:lang w:val="es-MX"/>
        </w:rPr>
      </w:pPr>
      <w:r w:rsidRPr="00AD59FA">
        <w:rPr>
          <w:rFonts w:ascii="Verdana" w:eastAsia="Calibri" w:hAnsi="Verdana" w:cs="Arial"/>
          <w:color w:val="000000" w:themeColor="text1"/>
          <w:lang w:val="es-MX"/>
        </w:rPr>
        <w:t xml:space="preserve">Con la finalidad de realizar un desarrollo armónico y ajustado a la ley que otorga esta competencia, la Agencia Nacional de Contratación Pública expidió la Resolución 160 del 15 de septiembre de 2020 “Por la cual se adopta el procedimiento para implementar los documentos tipo y se define el sistema para su revisión”. </w:t>
      </w:r>
    </w:p>
    <w:p w14:paraId="09854623" w14:textId="77777777" w:rsidR="00EE61BD" w:rsidRPr="00402F16" w:rsidRDefault="00EE61BD" w:rsidP="00EE61BD">
      <w:pPr>
        <w:spacing w:before="120" w:after="120" w:line="276" w:lineRule="auto"/>
        <w:ind w:firstLine="642"/>
        <w:jc w:val="both"/>
        <w:rPr>
          <w:rFonts w:ascii="Verdana" w:eastAsia="Calibri" w:hAnsi="Verdana" w:cs="Arial"/>
          <w:color w:val="000000" w:themeColor="text1"/>
          <w:lang w:val="es-ES"/>
        </w:rPr>
      </w:pPr>
      <w:r w:rsidRPr="00402F16">
        <w:rPr>
          <w:rFonts w:ascii="Verdana" w:eastAsia="Calibri" w:hAnsi="Verdana" w:cs="Arial"/>
          <w:color w:val="000000" w:themeColor="text1"/>
          <w:lang w:val="es-ES"/>
        </w:rPr>
        <w:t>La Resolución 160 de 2020 establece el procedimiento para la implementación y revisión de los documentos tipo en la contratación pública colombiana, con el propósito de fortalecer la transparencia, la organización y la estandarización de los procesos contractuales del Estado. Su contenido desarrolla un esquema general compuesto por diferentes etapas y principios orientados a garantizar una adecuada construcción y aplicación de estos instrumentos.</w:t>
      </w:r>
    </w:p>
    <w:p w14:paraId="58E05B9E" w14:textId="77777777" w:rsidR="00EE61BD" w:rsidRPr="00AA0EAE" w:rsidRDefault="00EE61BD" w:rsidP="00EE61BD">
      <w:pPr>
        <w:spacing w:before="120" w:after="120" w:line="276" w:lineRule="auto"/>
        <w:ind w:firstLine="642"/>
        <w:jc w:val="both"/>
        <w:rPr>
          <w:rFonts w:ascii="Verdana" w:eastAsia="Calibri" w:hAnsi="Verdana" w:cs="Arial"/>
          <w:color w:val="000000" w:themeColor="text1"/>
          <w:lang w:val="es-ES"/>
        </w:rPr>
      </w:pPr>
      <w:r w:rsidRPr="00402F16">
        <w:rPr>
          <w:rFonts w:ascii="Verdana" w:eastAsia="Calibri" w:hAnsi="Verdana" w:cs="Arial"/>
          <w:color w:val="000000" w:themeColor="text1"/>
          <w:lang w:val="es-ES"/>
        </w:rPr>
        <w:t xml:space="preserve">En este sentido, la resolución incorpora </w:t>
      </w:r>
      <w:r>
        <w:rPr>
          <w:rFonts w:ascii="Verdana" w:eastAsia="Calibri" w:hAnsi="Verdana" w:cs="Arial"/>
          <w:color w:val="000000" w:themeColor="text1"/>
          <w:lang w:val="es-ES"/>
        </w:rPr>
        <w:t>un p</w:t>
      </w:r>
      <w:proofErr w:type="spellStart"/>
      <w:r w:rsidRPr="00C675B8">
        <w:rPr>
          <w:rFonts w:ascii="Verdana" w:eastAsia="Calibri" w:hAnsi="Verdana" w:cs="Arial"/>
          <w:color w:val="000000" w:themeColor="text1"/>
        </w:rPr>
        <w:t>rocedimiento</w:t>
      </w:r>
      <w:proofErr w:type="spellEnd"/>
      <w:r w:rsidRPr="00C675B8">
        <w:rPr>
          <w:rFonts w:ascii="Verdana" w:eastAsia="Calibri" w:hAnsi="Verdana" w:cs="Arial"/>
          <w:color w:val="000000" w:themeColor="text1"/>
        </w:rPr>
        <w:t xml:space="preserve"> gradual y organizado que inicia con una etapa de </w:t>
      </w:r>
      <w:r w:rsidRPr="00467F70">
        <w:rPr>
          <w:rFonts w:ascii="Verdana" w:eastAsia="Calibri" w:hAnsi="Verdana" w:cs="Arial"/>
          <w:i/>
          <w:iCs/>
          <w:color w:val="000000" w:themeColor="text1"/>
        </w:rPr>
        <w:t>planeación</w:t>
      </w:r>
      <w:r w:rsidRPr="00467F70">
        <w:rPr>
          <w:rStyle w:val="Refdenotaalpie"/>
          <w:rFonts w:ascii="Verdana" w:eastAsia="Calibri" w:hAnsi="Verdana" w:cs="Arial"/>
          <w:i/>
          <w:iCs/>
          <w:color w:val="000000" w:themeColor="text1"/>
        </w:rPr>
        <w:footnoteReference w:id="4"/>
      </w:r>
      <w:r w:rsidRPr="00467F70">
        <w:rPr>
          <w:rFonts w:ascii="Verdana" w:eastAsia="Calibri" w:hAnsi="Verdana" w:cs="Arial"/>
          <w:i/>
          <w:iCs/>
          <w:color w:val="000000" w:themeColor="text1"/>
        </w:rPr>
        <w:t>,</w:t>
      </w:r>
      <w:r w:rsidRPr="00C675B8">
        <w:rPr>
          <w:rFonts w:ascii="Verdana" w:eastAsia="Calibri" w:hAnsi="Verdana" w:cs="Arial"/>
          <w:color w:val="000000" w:themeColor="text1"/>
        </w:rPr>
        <w:t xml:space="preserve"> en la cual la Agencia </w:t>
      </w:r>
      <w:r w:rsidRPr="00C675B8">
        <w:rPr>
          <w:rFonts w:ascii="Verdana" w:eastAsia="Calibri" w:hAnsi="Verdana" w:cs="Arial"/>
          <w:color w:val="000000" w:themeColor="text1"/>
        </w:rPr>
        <w:lastRenderedPageBreak/>
        <w:t xml:space="preserve">Nacional de Contratación Pública – Colombia Compra Eficiente identifica la </w:t>
      </w:r>
      <w:r w:rsidRPr="0096560C">
        <w:rPr>
          <w:rFonts w:ascii="Verdana" w:eastAsia="Calibri" w:hAnsi="Verdana" w:cs="Arial"/>
          <w:color w:val="000000" w:themeColor="text1"/>
        </w:rPr>
        <w:t xml:space="preserve">necesidad de adoptar dichos instrumentos según el análisis de las contrataciones estatales y las necesidades del sector público. </w:t>
      </w:r>
      <w:r w:rsidRPr="0096560C">
        <w:rPr>
          <w:rFonts w:ascii="Verdana" w:eastAsia="Calibri" w:hAnsi="Verdana" w:cs="Arial"/>
          <w:color w:val="000000" w:themeColor="text1"/>
          <w:lang w:val="es-ES"/>
        </w:rPr>
        <w:t>Como parte de esta etapa, la Subdirección de Estudios de Mercado y Abastecimiento Estratégico debe elaborar un informe semestral sobre el comportamiento del gasto estatal y las posibles adquisiciones del Estado, con el fin de evaluar la pertinencia de implementar nuevos documentos tipo.</w:t>
      </w:r>
    </w:p>
    <w:p w14:paraId="3227B15D" w14:textId="77777777" w:rsidR="00EE61BD" w:rsidRPr="00AA0EAE" w:rsidRDefault="00EE61BD" w:rsidP="00EE61BD">
      <w:pPr>
        <w:spacing w:before="120" w:after="120" w:line="276" w:lineRule="auto"/>
        <w:ind w:firstLine="642"/>
        <w:jc w:val="both"/>
        <w:rPr>
          <w:rFonts w:ascii="Verdana" w:eastAsia="Calibri" w:hAnsi="Verdana" w:cs="Arial"/>
          <w:color w:val="000000" w:themeColor="text1"/>
          <w:lang w:val="es-ES"/>
        </w:rPr>
      </w:pPr>
      <w:r w:rsidRPr="00AA0EAE">
        <w:rPr>
          <w:rFonts w:ascii="Verdana" w:eastAsia="Calibri" w:hAnsi="Verdana" w:cs="Arial"/>
          <w:color w:val="000000" w:themeColor="text1"/>
          <w:lang w:val="es-ES"/>
        </w:rPr>
        <w:t xml:space="preserve">Una vez identificada la viabilidad de adopción, se adelanta </w:t>
      </w:r>
      <w:r w:rsidRPr="00AA0EAE">
        <w:rPr>
          <w:rFonts w:ascii="Verdana" w:eastAsia="Calibri" w:hAnsi="Verdana" w:cs="Arial"/>
          <w:i/>
          <w:iCs/>
          <w:color w:val="000000" w:themeColor="text1"/>
          <w:lang w:val="es-ES"/>
        </w:rPr>
        <w:t>un estudio técnico y la elaboración del anteproyecto del documento tipo</w:t>
      </w:r>
      <w:r w:rsidRPr="00BF26E2">
        <w:rPr>
          <w:rStyle w:val="Refdenotaalpie"/>
          <w:rFonts w:ascii="Verdana" w:eastAsia="Calibri" w:hAnsi="Verdana" w:cs="Arial"/>
          <w:color w:val="000000" w:themeColor="text1"/>
          <w:lang w:val="es-ES"/>
        </w:rPr>
        <w:footnoteReference w:id="5"/>
      </w:r>
      <w:r w:rsidRPr="00BF26E2">
        <w:rPr>
          <w:rFonts w:ascii="Verdana" w:eastAsia="Calibri" w:hAnsi="Verdana" w:cs="Arial"/>
          <w:i/>
          <w:iCs/>
          <w:color w:val="000000" w:themeColor="text1"/>
          <w:lang w:val="es-ES"/>
        </w:rPr>
        <w:t xml:space="preserve"> </w:t>
      </w:r>
      <w:r w:rsidRPr="00AA0EAE">
        <w:rPr>
          <w:rFonts w:ascii="Verdana" w:eastAsia="Calibri" w:hAnsi="Verdana" w:cs="Arial"/>
          <w:color w:val="000000" w:themeColor="text1"/>
          <w:lang w:val="es-ES"/>
        </w:rPr>
        <w:t>por parte de la Subdirección de Gestión Contractual, en el que se definen las condiciones particulares aplicables al sector, objeto contractual o modalidad de selección. Este anteproyecto debe estar acompañado de una memoria justificativa y del respectivo proyecto de resolución mediante el cual se pretende adoptar el documento</w:t>
      </w:r>
      <w:r w:rsidRPr="00BF26E2">
        <w:rPr>
          <w:rFonts w:ascii="Verdana" w:eastAsia="Calibri" w:hAnsi="Verdana" w:cs="Arial"/>
          <w:color w:val="000000" w:themeColor="text1"/>
          <w:lang w:val="es-ES"/>
        </w:rPr>
        <w:t xml:space="preserve">. </w:t>
      </w:r>
      <w:r w:rsidRPr="00BF26E2">
        <w:rPr>
          <w:rFonts w:ascii="Verdana" w:eastAsia="Calibri" w:hAnsi="Verdana" w:cs="Arial"/>
          <w:color w:val="000000" w:themeColor="text1"/>
        </w:rPr>
        <w:t xml:space="preserve">Posteriormente, se instalan </w:t>
      </w:r>
      <w:r w:rsidRPr="00BF26E2">
        <w:rPr>
          <w:rFonts w:ascii="Verdana" w:eastAsia="Calibri" w:hAnsi="Verdana" w:cs="Arial"/>
          <w:i/>
          <w:iCs/>
          <w:color w:val="000000" w:themeColor="text1"/>
        </w:rPr>
        <w:t>mesas de trabajo con entidades técnicas o especializadas</w:t>
      </w:r>
      <w:r w:rsidRPr="00BF26E2">
        <w:rPr>
          <w:rFonts w:ascii="Verdana" w:eastAsia="Calibri" w:hAnsi="Verdana" w:cs="Arial"/>
          <w:color w:val="000000" w:themeColor="text1"/>
        </w:rPr>
        <w:t xml:space="preserve">, con el propósito de recibir observaciones, aportes e insumos que fortalezcan el contenido de los documentos tipo y contribuyan a definir su implementación. Adicionalmente, cuando el contenido del documento tipo pueda tener incidencia sobre la libre competencia económica, se debe surtir el </w:t>
      </w:r>
      <w:r w:rsidRPr="003941E5">
        <w:rPr>
          <w:rFonts w:ascii="Verdana" w:eastAsia="Calibri" w:hAnsi="Verdana" w:cs="Arial"/>
          <w:i/>
          <w:iCs/>
          <w:color w:val="000000" w:themeColor="text1"/>
        </w:rPr>
        <w:t>trámite de abogacía de la competencia</w:t>
      </w:r>
      <w:r w:rsidRPr="00BF26E2">
        <w:rPr>
          <w:rFonts w:ascii="Verdana" w:eastAsia="Calibri" w:hAnsi="Verdana" w:cs="Arial"/>
          <w:color w:val="000000" w:themeColor="text1"/>
        </w:rPr>
        <w:t xml:space="preserve"> ante la Superintendencia de Industria y Comercio, entidad que emitirá un concepto previo sobre el proyecto.</w:t>
      </w:r>
    </w:p>
    <w:p w14:paraId="37CC0504" w14:textId="77777777" w:rsidR="00EE61BD" w:rsidRPr="00A73579" w:rsidRDefault="00EE61BD" w:rsidP="00EE61BD">
      <w:pPr>
        <w:spacing w:before="120" w:after="120" w:line="276" w:lineRule="auto"/>
        <w:ind w:firstLine="642"/>
        <w:jc w:val="both"/>
        <w:rPr>
          <w:rFonts w:ascii="Verdana" w:eastAsia="Calibri" w:hAnsi="Verdana" w:cs="Arial"/>
          <w:color w:val="000000" w:themeColor="text1"/>
          <w:lang w:val="es-ES"/>
        </w:rPr>
      </w:pPr>
      <w:r w:rsidRPr="00A73579">
        <w:rPr>
          <w:rFonts w:ascii="Verdana" w:eastAsia="Calibri" w:hAnsi="Verdana" w:cs="Arial"/>
          <w:color w:val="000000" w:themeColor="text1"/>
          <w:lang w:val="es-ES"/>
        </w:rPr>
        <w:t xml:space="preserve">Superadas estas etapas, el proyecto de documento tipo es objeto de </w:t>
      </w:r>
      <w:r w:rsidRPr="00A73579">
        <w:rPr>
          <w:rFonts w:ascii="Verdana" w:eastAsia="Calibri" w:hAnsi="Verdana" w:cs="Arial"/>
          <w:i/>
          <w:iCs/>
          <w:color w:val="000000" w:themeColor="text1"/>
          <w:lang w:val="es-ES"/>
        </w:rPr>
        <w:t>publicación en la página web institucional y demás medios electrónicos</w:t>
      </w:r>
      <w:r>
        <w:rPr>
          <w:rStyle w:val="Refdenotaalpie"/>
          <w:rFonts w:ascii="Verdana" w:eastAsia="Calibri" w:hAnsi="Verdana" w:cs="Arial"/>
          <w:color w:val="000000" w:themeColor="text1"/>
          <w:lang w:val="es-ES"/>
        </w:rPr>
        <w:footnoteReference w:id="6"/>
      </w:r>
      <w:r w:rsidRPr="00A73579">
        <w:rPr>
          <w:rFonts w:ascii="Verdana" w:eastAsia="Calibri" w:hAnsi="Verdana" w:cs="Arial"/>
          <w:color w:val="000000" w:themeColor="text1"/>
          <w:lang w:val="es-ES"/>
        </w:rPr>
        <w:t xml:space="preserve">, con el </w:t>
      </w:r>
      <w:r w:rsidRPr="00A73579">
        <w:rPr>
          <w:rFonts w:ascii="Verdana" w:eastAsia="Calibri" w:hAnsi="Verdana" w:cs="Arial"/>
          <w:color w:val="000000" w:themeColor="text1"/>
          <w:lang w:val="es-ES"/>
        </w:rPr>
        <w:lastRenderedPageBreak/>
        <w:t>fin de permitir la participación ciudadana y de grupos de interés mediante la presentación de observaciones. La resolución establece expresamente que el término para formular comentarios no podrá ser inferior a diez (10) días calendario, aunque podrá ampliarse cuando la complejidad del documento así lo requiera. Una vez vencido dicho plazo, la Agencia analiza las observaciones recibidas y realiza los ajustes que considere pertinentes</w:t>
      </w:r>
      <w:r w:rsidRPr="006F5EBE">
        <w:rPr>
          <w:rFonts w:ascii="Verdana" w:eastAsia="Calibri" w:hAnsi="Verdana" w:cs="Arial"/>
          <w:color w:val="000000" w:themeColor="text1"/>
          <w:lang w:val="es-ES"/>
        </w:rPr>
        <w:t xml:space="preserve">, </w:t>
      </w:r>
      <w:r w:rsidRPr="00A73579">
        <w:rPr>
          <w:rFonts w:ascii="Verdana" w:eastAsia="Calibri" w:hAnsi="Verdana" w:cs="Arial"/>
          <w:color w:val="000000" w:themeColor="text1"/>
          <w:lang w:val="es-ES"/>
        </w:rPr>
        <w:t>elaborando posteriormente un informe global sobre el impacto de los comentarios presentados, el cual debe publicarse en la sección de Transparencia y Acceso a la Información Pública. Incluso las observaciones presentadas con posterioridad al cierre son conservadas en un repositorio para futuras revisiones.</w:t>
      </w:r>
    </w:p>
    <w:p w14:paraId="28E94831" w14:textId="77777777" w:rsidR="00EE61BD" w:rsidRDefault="00EE61BD" w:rsidP="00EE61BD">
      <w:pPr>
        <w:spacing w:before="120" w:after="120" w:line="276" w:lineRule="auto"/>
        <w:ind w:firstLine="642"/>
        <w:jc w:val="both"/>
        <w:rPr>
          <w:rFonts w:ascii="Verdana" w:eastAsia="Calibri" w:hAnsi="Verdana" w:cs="Arial"/>
          <w:color w:val="000000" w:themeColor="text1"/>
          <w:lang w:val="es-ES"/>
        </w:rPr>
      </w:pPr>
      <w:r w:rsidRPr="00A73579">
        <w:rPr>
          <w:rFonts w:ascii="Verdana" w:eastAsia="Calibri" w:hAnsi="Verdana" w:cs="Arial"/>
          <w:color w:val="000000" w:themeColor="text1"/>
          <w:lang w:val="es-ES"/>
        </w:rPr>
        <w:t xml:space="preserve">Finalmente, agotadas las etapas anteriores, se procede a la expedición del acto administrativo que adopta formalmente los documentos tipo, acompañado de su correspondiente memoria justificativa. No obstante, estos documentos quedan sujetos a una revisión </w:t>
      </w:r>
      <w:r w:rsidRPr="006F5EBE">
        <w:rPr>
          <w:rFonts w:ascii="Verdana" w:eastAsia="Calibri" w:hAnsi="Verdana" w:cs="Arial"/>
          <w:color w:val="000000" w:themeColor="text1"/>
          <w:lang w:val="es-ES"/>
        </w:rPr>
        <w:t>constante,</w:t>
      </w:r>
      <w:r w:rsidRPr="00A73579">
        <w:rPr>
          <w:rFonts w:ascii="Verdana" w:eastAsia="Calibri" w:hAnsi="Verdana" w:cs="Arial"/>
          <w:color w:val="000000" w:themeColor="text1"/>
          <w:lang w:val="es-ES"/>
        </w:rPr>
        <w:t xml:space="preserve"> de manera que, ante cambios jurídicos o fácticos, o frente a dificultades identificadas en su aplicación, la Agencia podrá introducir modificaciones. En estos casos, el proyecto de ajuste también deberá publicarse para observaciones por un término no inferior a diez (10) días calendario. </w:t>
      </w:r>
    </w:p>
    <w:p w14:paraId="18833C32" w14:textId="77777777" w:rsidR="00EE61BD" w:rsidRDefault="00EE61BD" w:rsidP="00EE61BD">
      <w:pPr>
        <w:spacing w:before="120" w:after="120" w:line="276" w:lineRule="auto"/>
        <w:ind w:firstLine="642"/>
        <w:jc w:val="both"/>
        <w:rPr>
          <w:rFonts w:ascii="Verdana" w:eastAsia="Calibri" w:hAnsi="Verdana" w:cs="Arial"/>
          <w:color w:val="000000" w:themeColor="text1"/>
          <w:lang w:val="es-ES"/>
        </w:rPr>
      </w:pPr>
      <w:r w:rsidRPr="00DF3176">
        <w:rPr>
          <w:rFonts w:ascii="Verdana" w:eastAsia="Calibri" w:hAnsi="Verdana" w:cs="Arial"/>
          <w:color w:val="000000" w:themeColor="text1"/>
        </w:rPr>
        <w:t>Es</w:t>
      </w:r>
      <w:r>
        <w:rPr>
          <w:rFonts w:ascii="Verdana" w:eastAsia="Calibri" w:hAnsi="Verdana" w:cs="Arial"/>
          <w:color w:val="000000" w:themeColor="text1"/>
        </w:rPr>
        <w:t xml:space="preserve"> importante mencionar que est</w:t>
      </w:r>
      <w:r w:rsidRPr="00DF3176">
        <w:rPr>
          <w:rFonts w:ascii="Verdana" w:eastAsia="Calibri" w:hAnsi="Verdana" w:cs="Arial"/>
          <w:color w:val="000000" w:themeColor="text1"/>
        </w:rPr>
        <w:t>e proceso implica una importante carga administrativa y presupuestal para lograr su adecuada actualización, razón por la cual puede requerir un tiempo prudencial que permita dar cumplimiento integral a las disposiciones normativas aplicables. No obstante, la Agencia deberá adelantar las actuaciones necesarias para desarrollar este proceso en el menor tiempo posible, garantizando además la divulgación oportuna de cada etapa de modificación tanto a las entidades estatales como a la ciudadanía en general.</w:t>
      </w:r>
    </w:p>
    <w:p w14:paraId="7DA90D12" w14:textId="77777777" w:rsidR="00EE61BD" w:rsidRDefault="00EE61BD" w:rsidP="00EE61BD">
      <w:pPr>
        <w:spacing w:before="120" w:after="120" w:line="276" w:lineRule="auto"/>
        <w:ind w:firstLine="642"/>
        <w:jc w:val="both"/>
        <w:rPr>
          <w:rFonts w:ascii="Verdana" w:eastAsia="Calibri" w:hAnsi="Verdana" w:cs="Arial"/>
          <w:color w:val="000000" w:themeColor="text1"/>
          <w:lang w:val="es-ES"/>
        </w:rPr>
      </w:pPr>
      <w:r w:rsidRPr="000E7543">
        <w:rPr>
          <w:rFonts w:ascii="Verdana" w:eastAsia="Calibri" w:hAnsi="Verdana" w:cs="Arial"/>
          <w:color w:val="000000" w:themeColor="text1"/>
        </w:rPr>
        <w:t>En conclusión, la actualización de los Documentos Tipo no tiene un plazo máximo legalmente establecido, sino que se rige por un esquema de revisión permanente con etapas procedimentales que incluyen términos mínimos de participación ciudadana, siendo el desarrollo del trámite dependiente de las condiciones técnicas, normativas, presupuestales y de evaluación que determine la Agencia competente.</w:t>
      </w:r>
    </w:p>
    <w:p w14:paraId="5967739C" w14:textId="77777777" w:rsidR="00EE61BD" w:rsidRPr="00671B0F" w:rsidRDefault="00EE61BD" w:rsidP="00EE61BD">
      <w:pPr>
        <w:spacing w:before="120"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lastRenderedPageBreak/>
        <w:t>II). E</w:t>
      </w:r>
      <w:r w:rsidRPr="00671B0F">
        <w:rPr>
          <w:rFonts w:ascii="Verdana" w:eastAsia="Calibri" w:hAnsi="Verdana" w:cs="Arial"/>
          <w:color w:val="000000" w:themeColor="text1"/>
          <w:lang w:val="es-ES"/>
        </w:rPr>
        <w:t>n relación con la implementación del Decreto 287 de 2026 en el marco de los documentos tipo, la Agencia Nacional de Contratación Pública – Colombia Compra Eficiente ANCP–CCE ha expedido diversos lineamientos orientados a definir su alcance, aplicación y régimen de transición, mientras se adelanta el proceso de adecuación técnica y normativa de estos instrumentos.</w:t>
      </w:r>
    </w:p>
    <w:p w14:paraId="70CAFC1D" w14:textId="77777777" w:rsidR="00EE61BD" w:rsidRPr="00671B0F" w:rsidRDefault="00EE61BD" w:rsidP="00EE61BD">
      <w:pPr>
        <w:spacing w:before="120" w:after="120" w:line="276" w:lineRule="auto"/>
        <w:ind w:firstLine="709"/>
        <w:jc w:val="both"/>
        <w:rPr>
          <w:rFonts w:ascii="Verdana" w:eastAsia="Calibri" w:hAnsi="Verdana" w:cs="Arial"/>
          <w:color w:val="000000" w:themeColor="text1"/>
          <w:lang w:val="es-ES"/>
        </w:rPr>
      </w:pPr>
      <w:r w:rsidRPr="00671B0F">
        <w:rPr>
          <w:rFonts w:ascii="Verdana" w:eastAsia="Calibri" w:hAnsi="Verdana" w:cs="Arial"/>
          <w:color w:val="000000" w:themeColor="text1"/>
          <w:lang w:val="es-ES"/>
        </w:rPr>
        <w:t>En ese sentido, el ABC del Decreto 287 de 2026 “Contratación pública inclusiva para personas con discapacidad” establece que la aplicación de dicho decreto en los documentos tipo se encuentra condicionada a la realización previa de los ajustes correspondientes por parte de la ANCP–CCE, teniendo en cuenta que estos instrumentos requieren una adecuación técnica y normativa para la incorporación de las medidas del sistema de preferencias.</w:t>
      </w:r>
    </w:p>
    <w:p w14:paraId="3636D993" w14:textId="77777777" w:rsidR="00EE61BD" w:rsidRPr="00671B0F" w:rsidRDefault="00EE61BD" w:rsidP="00EE61BD">
      <w:pPr>
        <w:spacing w:before="120" w:after="120" w:line="276" w:lineRule="auto"/>
        <w:ind w:firstLine="709"/>
        <w:jc w:val="both"/>
        <w:rPr>
          <w:rFonts w:ascii="Verdana" w:eastAsia="Calibri" w:hAnsi="Verdana" w:cs="Arial"/>
          <w:color w:val="000000" w:themeColor="text1"/>
          <w:lang w:val="es-ES"/>
        </w:rPr>
      </w:pPr>
      <w:r w:rsidRPr="00671B0F">
        <w:rPr>
          <w:rFonts w:ascii="Verdana" w:eastAsia="Calibri" w:hAnsi="Verdana" w:cs="Arial"/>
          <w:color w:val="000000" w:themeColor="text1"/>
          <w:lang w:val="es-ES"/>
        </w:rPr>
        <w:t>De manera complementaria, la Circular Externa No. 003 de 2026, expedida el 12 de mayo de 2026, dirigida a las entidades estatales y demás sujetos obligados en materia de contratación pública, precisó que la ANCP–CCE tiene la obligación de incorporar de forma progresiva las medidas del sistema de preferencias en los documentos tipo, en los mecanismos de agregación de demanda y en los demás instrumentos a su cargo. En este sentido, se indicó que dichas medidas serán de aplicación obligatoria únicamente una vez hayan sido incorporadas formalmente mediante los actos administrativos correspondientes.</w:t>
      </w:r>
    </w:p>
    <w:p w14:paraId="7145ABC0" w14:textId="77777777" w:rsidR="00EE61BD" w:rsidRPr="00671B0F" w:rsidRDefault="00EE61BD" w:rsidP="00EE61BD">
      <w:pPr>
        <w:spacing w:before="120" w:after="120" w:line="276" w:lineRule="auto"/>
        <w:ind w:firstLine="709"/>
        <w:jc w:val="both"/>
        <w:rPr>
          <w:rFonts w:ascii="Verdana" w:eastAsia="Calibri" w:hAnsi="Verdana" w:cs="Arial"/>
          <w:color w:val="000000" w:themeColor="text1"/>
          <w:lang w:val="es-ES"/>
        </w:rPr>
      </w:pPr>
      <w:r w:rsidRPr="00671B0F">
        <w:rPr>
          <w:rFonts w:ascii="Verdana" w:eastAsia="Calibri" w:hAnsi="Verdana" w:cs="Arial"/>
          <w:color w:val="000000" w:themeColor="text1"/>
          <w:lang w:val="es-ES"/>
        </w:rPr>
        <w:t>Particularmente, respecto de los documentos tipo, la circular reiteró que la incorporación de las disposiciones del Decreto 287 de 2026 es competencia exclusiva de la ANCP–CCE, por lo que, mientras no se expidan las modificaciones oficiales, las entidades obligadas a su utilización deberán continuar aplicando las versiones vigentes, en garantía del principio de inalterabilidad que los rige. Asimismo, se señaló que corresponde a la Agencia adelantar dichos ajustes en el menor tiempo posible y que las entidades deberán acatar las actualizaciones que se expidan una vez entren en vigor.</w:t>
      </w:r>
    </w:p>
    <w:p w14:paraId="18DACC4E" w14:textId="77777777" w:rsidR="00EE61BD" w:rsidRPr="00671B0F" w:rsidRDefault="00EE61BD" w:rsidP="00EE61BD">
      <w:pPr>
        <w:spacing w:before="120" w:after="120" w:line="276" w:lineRule="auto"/>
        <w:ind w:firstLine="709"/>
        <w:jc w:val="both"/>
        <w:rPr>
          <w:rFonts w:ascii="Verdana" w:eastAsia="Calibri" w:hAnsi="Verdana" w:cs="Arial"/>
          <w:color w:val="000000" w:themeColor="text1"/>
          <w:lang w:val="es-ES"/>
        </w:rPr>
      </w:pPr>
      <w:r w:rsidRPr="00671B0F">
        <w:rPr>
          <w:rFonts w:ascii="Verdana" w:eastAsia="Calibri" w:hAnsi="Verdana" w:cs="Arial"/>
          <w:color w:val="000000" w:themeColor="text1"/>
          <w:lang w:val="es-ES"/>
        </w:rPr>
        <w:t>Finalmente, en el marco del régimen de transición, se reiteró que las entidades deben abstenerse de introducir modificaciones no autorizadas en los documentos tipo y esperar la expedición de las actualizaciones oficiales por parte de la ANCP–CCE, con el fin de asegurar una aplicación uniforme, coordinada y jurídicamente válida de las disposiciones del Decreto 287 de 2026 en los procesos de contratación pública.</w:t>
      </w:r>
    </w:p>
    <w:p w14:paraId="1CDC8103" w14:textId="77777777" w:rsidR="00EE61BD" w:rsidRPr="00A47272" w:rsidRDefault="00EE61BD" w:rsidP="00EE61BD">
      <w:pPr>
        <w:spacing w:before="120" w:after="120" w:line="276" w:lineRule="auto"/>
        <w:jc w:val="both"/>
        <w:rPr>
          <w:rFonts w:ascii="Verdana" w:eastAsia="Calibri" w:hAnsi="Verdana" w:cs="Arial"/>
          <w:color w:val="000000" w:themeColor="text1"/>
          <w:lang w:val="es-ES"/>
        </w:rPr>
      </w:pPr>
      <w:r w:rsidRPr="00A47272">
        <w:rPr>
          <w:rFonts w:ascii="Verdana" w:eastAsia="Calibri" w:hAnsi="Verdana" w:cs="Arial"/>
          <w:color w:val="000000" w:themeColor="text1"/>
          <w:lang w:val="es-ES"/>
        </w:rPr>
        <w:lastRenderedPageBreak/>
        <w:t xml:space="preserve">III). </w:t>
      </w:r>
      <w:r>
        <w:rPr>
          <w:rFonts w:ascii="Verdana" w:eastAsia="Calibri" w:hAnsi="Verdana" w:cs="Arial"/>
          <w:color w:val="000000" w:themeColor="text1"/>
          <w:lang w:val="es-ES"/>
        </w:rPr>
        <w:t>T</w:t>
      </w:r>
      <w:r w:rsidRPr="00A47272">
        <w:rPr>
          <w:rFonts w:ascii="Verdana" w:eastAsia="Calibri" w:hAnsi="Verdana" w:cs="Arial"/>
          <w:color w:val="000000" w:themeColor="text1"/>
          <w:lang w:val="es-ES"/>
        </w:rPr>
        <w:t>odas las resoluciones</w:t>
      </w:r>
      <w:r w:rsidRPr="00A47272">
        <w:rPr>
          <w:rFonts w:ascii="Verdana" w:eastAsia="Calibri" w:hAnsi="Verdana" w:cs="Arial"/>
          <w:color w:val="000000" w:themeColor="text1"/>
          <w:vertAlign w:val="superscript"/>
          <w:lang w:val="es-ES"/>
        </w:rPr>
        <w:footnoteReference w:id="7"/>
      </w:r>
      <w:r w:rsidRPr="00A47272">
        <w:rPr>
          <w:rFonts w:ascii="Verdana" w:eastAsia="Calibri" w:hAnsi="Verdana" w:cs="Arial"/>
          <w:color w:val="000000" w:themeColor="text1"/>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A47272">
        <w:rPr>
          <w:rFonts w:ascii="Verdana" w:eastAsia="Calibri" w:hAnsi="Verdana" w:cs="Arial"/>
          <w:i/>
          <w:iCs/>
          <w:color w:val="000000" w:themeColor="text1"/>
          <w:lang w:val="es-ES"/>
        </w:rPr>
        <w:t>Documentos del Proceso</w:t>
      </w:r>
      <w:r w:rsidRPr="00A47272">
        <w:rPr>
          <w:rFonts w:ascii="Verdana" w:eastAsia="Calibri" w:hAnsi="Verdana" w:cs="Arial"/>
          <w:color w:val="000000" w:themeColor="text1"/>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524E1E2A" w14:textId="77777777" w:rsidR="00EE61BD" w:rsidRPr="00A47272" w:rsidRDefault="00EE61BD" w:rsidP="00EE61BD">
      <w:pPr>
        <w:spacing w:before="120" w:after="120" w:line="276" w:lineRule="auto"/>
        <w:ind w:firstLine="709"/>
        <w:jc w:val="both"/>
        <w:rPr>
          <w:rFonts w:ascii="Verdana" w:eastAsia="Calibri" w:hAnsi="Verdana" w:cs="Arial"/>
          <w:color w:val="000000" w:themeColor="text1"/>
          <w:lang w:val="es-ES_tradnl"/>
        </w:rPr>
      </w:pPr>
      <w:r w:rsidRPr="00A47272">
        <w:rPr>
          <w:rFonts w:ascii="Verdana" w:eastAsia="Calibri" w:hAnsi="Verdana" w:cs="Arial"/>
          <w:color w:val="000000" w:themeColor="text1"/>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19E81571" w14:textId="77777777" w:rsidR="00EE61BD" w:rsidRPr="00A47272" w:rsidRDefault="00EE61BD" w:rsidP="00EE61BD">
      <w:pPr>
        <w:spacing w:before="120" w:after="120" w:line="276" w:lineRule="auto"/>
        <w:ind w:firstLine="709"/>
        <w:jc w:val="both"/>
        <w:rPr>
          <w:rFonts w:ascii="Verdana" w:eastAsia="Calibri" w:hAnsi="Verdana" w:cs="Arial"/>
          <w:color w:val="000000" w:themeColor="text1"/>
          <w:lang w:val="es-ES"/>
        </w:rPr>
      </w:pPr>
      <w:r w:rsidRPr="00A47272">
        <w:rPr>
          <w:rFonts w:ascii="Verdana" w:eastAsia="Calibri" w:hAnsi="Verdana" w:cs="Arial"/>
          <w:color w:val="000000" w:themeColor="text1"/>
          <w:lang w:val="es-ES"/>
        </w:rPr>
        <w:t xml:space="preserve">Además, las entidades estatales deben garantizar el </w:t>
      </w:r>
      <w:r w:rsidRPr="00A47272">
        <w:rPr>
          <w:rFonts w:ascii="Verdana" w:eastAsia="Calibri" w:hAnsi="Verdana" w:cs="Arial"/>
          <w:i/>
          <w:iCs/>
          <w:color w:val="000000" w:themeColor="text1"/>
          <w:lang w:val="es-ES"/>
        </w:rPr>
        <w:t>principio de economía</w:t>
      </w:r>
      <w:r w:rsidRPr="00A47272">
        <w:rPr>
          <w:rFonts w:ascii="Verdana" w:eastAsia="Calibri" w:hAnsi="Verdana" w:cs="Arial"/>
          <w:color w:val="000000" w:themeColor="text1"/>
          <w:lang w:val="es-ES"/>
        </w:rPr>
        <w:t xml:space="preserve">, del cual se desprende que no pueden exigir documentos o requisitos más allá de los que permitan la Constitución, la ley y los reglamentos. Este </w:t>
      </w:r>
      <w:r w:rsidRPr="00A47272">
        <w:rPr>
          <w:rFonts w:ascii="Verdana" w:eastAsia="Calibri" w:hAnsi="Verdana" w:cs="Arial"/>
          <w:color w:val="000000" w:themeColor="text1"/>
          <w:lang w:val="es-ES"/>
        </w:rPr>
        <w:lastRenderedPageBreak/>
        <w:t>postulado ha sido recogido no solo en la contratación estatal</w:t>
      </w:r>
      <w:r w:rsidRPr="00A47272">
        <w:rPr>
          <w:rFonts w:ascii="Verdana" w:eastAsia="Calibri" w:hAnsi="Verdana" w:cs="Arial"/>
          <w:color w:val="000000" w:themeColor="text1"/>
          <w:vertAlign w:val="superscript"/>
          <w:lang w:val="es-ES"/>
        </w:rPr>
        <w:footnoteReference w:id="8"/>
      </w:r>
      <w:r w:rsidRPr="00A47272">
        <w:rPr>
          <w:rFonts w:ascii="Verdana" w:eastAsia="Calibri" w:hAnsi="Verdana" w:cs="Arial"/>
          <w:color w:val="000000" w:themeColor="text1"/>
          <w:lang w:val="es-ES"/>
        </w:rPr>
        <w:t xml:space="preserve"> sino además en la normativa </w:t>
      </w:r>
      <w:proofErr w:type="spellStart"/>
      <w:r w:rsidRPr="00A47272">
        <w:rPr>
          <w:rFonts w:ascii="Verdana" w:eastAsia="Calibri" w:hAnsi="Verdana" w:cs="Arial"/>
          <w:color w:val="000000" w:themeColor="text1"/>
          <w:lang w:val="es-ES"/>
        </w:rPr>
        <w:t>antitrámites</w:t>
      </w:r>
      <w:proofErr w:type="spellEnd"/>
      <w:r w:rsidRPr="00A47272">
        <w:rPr>
          <w:rFonts w:ascii="Verdana" w:eastAsia="Calibri" w:hAnsi="Verdana" w:cs="Arial"/>
          <w:color w:val="000000" w:themeColor="text1"/>
          <w:vertAlign w:val="superscript"/>
          <w:lang w:val="es-ES"/>
        </w:rPr>
        <w:footnoteReference w:id="9"/>
      </w:r>
      <w:r w:rsidRPr="00A47272">
        <w:rPr>
          <w:rFonts w:ascii="Verdana" w:eastAsia="Calibri" w:hAnsi="Verdana" w:cs="Arial"/>
          <w:color w:val="000000" w:themeColor="text1"/>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778B3DE7" w14:textId="77777777" w:rsidR="00EE61BD" w:rsidRPr="00A47272" w:rsidRDefault="00EE61BD" w:rsidP="00EE61BD">
      <w:pPr>
        <w:spacing w:after="120" w:line="276" w:lineRule="auto"/>
        <w:ind w:firstLine="708"/>
        <w:jc w:val="both"/>
        <w:rPr>
          <w:rFonts w:ascii="Verdana" w:eastAsia="Calibri" w:hAnsi="Verdana" w:cs="Arial"/>
          <w:color w:val="000000" w:themeColor="text1"/>
          <w:lang w:val="es-ES"/>
        </w:rPr>
      </w:pPr>
      <w:r w:rsidRPr="00A47272">
        <w:rPr>
          <w:rFonts w:ascii="Verdana" w:eastAsia="Calibri" w:hAnsi="Verdana" w:cs="Arial"/>
          <w:color w:val="000000" w:themeColor="text1"/>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A47272">
        <w:rPr>
          <w:rFonts w:ascii="Verdana" w:eastAsia="Calibri" w:hAnsi="Verdana" w:cs="Arial"/>
          <w:color w:val="000000" w:themeColor="text1"/>
          <w:vertAlign w:val="superscript"/>
          <w:lang w:val="es-ES"/>
        </w:rPr>
        <w:footnoteReference w:id="10"/>
      </w:r>
      <w:r w:rsidRPr="00A47272">
        <w:rPr>
          <w:rFonts w:ascii="Verdana" w:eastAsia="Calibri" w:hAnsi="Verdana" w:cs="Arial"/>
          <w:color w:val="000000" w:themeColor="text1"/>
          <w:lang w:val="es-ES"/>
        </w:rPr>
        <w:t xml:space="preserve">. Si las autoridades pudiesen agregar, eliminar o modificar todos y cada uno de los aspectos contenidos en los pliegos tipo, estos documentos, llanamente, no podrían ser llamados pliegos tipo. </w:t>
      </w:r>
    </w:p>
    <w:p w14:paraId="33D2CD6A" w14:textId="77777777" w:rsidR="00EE61BD" w:rsidRPr="00A47272" w:rsidRDefault="00EE61BD" w:rsidP="00EE61BD">
      <w:pPr>
        <w:spacing w:after="120" w:line="276" w:lineRule="auto"/>
        <w:ind w:firstLine="708"/>
        <w:jc w:val="both"/>
        <w:rPr>
          <w:rFonts w:ascii="Verdana" w:eastAsia="Calibri" w:hAnsi="Verdana" w:cs="Arial"/>
          <w:color w:val="000000" w:themeColor="text1"/>
          <w:lang w:val="es-ES"/>
        </w:rPr>
      </w:pPr>
      <w:r w:rsidRPr="00A47272">
        <w:rPr>
          <w:rFonts w:ascii="Verdana" w:eastAsia="Calibri" w:hAnsi="Verdana" w:cs="Arial"/>
          <w:color w:val="000000" w:themeColor="text1"/>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391F3725" w14:textId="77777777" w:rsidR="00EE61BD" w:rsidRPr="00A47272" w:rsidRDefault="00EE61BD" w:rsidP="00EE61BD">
      <w:pPr>
        <w:spacing w:after="120" w:line="276" w:lineRule="auto"/>
        <w:ind w:firstLine="708"/>
        <w:jc w:val="both"/>
        <w:rPr>
          <w:rFonts w:ascii="Verdana" w:eastAsia="Calibri" w:hAnsi="Verdana" w:cs="Arial"/>
          <w:color w:val="000000" w:themeColor="text1"/>
          <w:lang w:val="es-ES"/>
        </w:rPr>
      </w:pPr>
      <w:r w:rsidRPr="00A47272">
        <w:rPr>
          <w:rFonts w:ascii="Verdana" w:eastAsia="Calibri" w:hAnsi="Verdana" w:cs="Arial"/>
          <w:color w:val="000000" w:themeColor="text1"/>
          <w:lang w:val="es-MX"/>
        </w:rPr>
        <w:t xml:space="preserve">No obstante, la parte introductoria de los documentos base de los documentos tipo disponen que los aspectos incluidos en corchetes y resaltados en gris </w:t>
      </w:r>
      <w:r w:rsidRPr="00D613D2">
        <w:rPr>
          <w:rFonts w:ascii="Verdana" w:eastAsia="Aptos" w:hAnsi="Verdana" w:cs="Arial"/>
          <w:color w:val="000000" w:themeColor="text1"/>
          <w:highlight w:val="lightGray"/>
        </w:rPr>
        <w:t>–[texto de ejemplo]–</w:t>
      </w:r>
      <w:r w:rsidRPr="00A47272">
        <w:rPr>
          <w:rFonts w:ascii="Verdana" w:eastAsia="Aptos" w:hAnsi="Verdana" w:cs="Arial"/>
          <w:color w:val="000000" w:themeColor="text1"/>
        </w:rPr>
        <w:t xml:space="preserve"> </w:t>
      </w:r>
      <w:r w:rsidRPr="00A47272">
        <w:rPr>
          <w:rFonts w:ascii="Verdana" w:eastAsia="Calibri" w:hAnsi="Verdana" w:cs="Arial"/>
          <w:color w:val="000000" w:themeColor="text1"/>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w:t>
      </w:r>
      <w:r w:rsidRPr="00A47272">
        <w:rPr>
          <w:rFonts w:ascii="Verdana" w:eastAsia="Calibri" w:hAnsi="Verdana" w:cs="Arial"/>
          <w:color w:val="000000" w:themeColor="text1"/>
          <w:lang w:val="es-MX"/>
        </w:rPr>
        <w:lastRenderedPageBreak/>
        <w:t xml:space="preserve">en cada acápite que esté resaltado en gris la entidad tendrá la libertad de determinar la información que se diligenciará en los documentos tipo, de acuerdo con su necesidad y las instrucciones de los mismos documentos tipo. </w:t>
      </w:r>
    </w:p>
    <w:p w14:paraId="7D9365E6" w14:textId="77777777" w:rsidR="00EE61BD" w:rsidRPr="00A47272" w:rsidRDefault="00EE61BD" w:rsidP="00EE61BD">
      <w:pPr>
        <w:spacing w:line="276" w:lineRule="auto"/>
        <w:ind w:firstLine="708"/>
        <w:jc w:val="both"/>
        <w:rPr>
          <w:rFonts w:ascii="Aptos" w:eastAsia="Aptos" w:hAnsi="Aptos" w:cs="Times New Roman"/>
          <w:color w:val="000000" w:themeColor="text1"/>
          <w:kern w:val="2"/>
          <w:sz w:val="24"/>
          <w:szCs w:val="24"/>
          <w:lang w:val="es-MX"/>
          <w14:ligatures w14:val="standardContextual"/>
        </w:rPr>
      </w:pPr>
      <w:r w:rsidRPr="00A47272">
        <w:rPr>
          <w:rFonts w:ascii="Verdana" w:eastAsia="Calibri" w:hAnsi="Verdana" w:cs="Arial"/>
          <w:color w:val="000000" w:themeColor="text1"/>
          <w:lang w:val="es-MX"/>
        </w:rPr>
        <w:t xml:space="preserve">Debe indicarse que, la regla de inalterabilidad que recae sobre los documentos tipo, también se encuentra consagrada de forma expresa en el documento base. Así, en el aparte sobre las normas de interpretación del pliego de condiciones, el literal I del numeral 1.17 del pliego tipo de los documentos tipo de licitación de obra pública de infraestructura de transporte dispone lo siguiente: </w:t>
      </w:r>
      <w:r w:rsidRPr="00A47272">
        <w:rPr>
          <w:rFonts w:ascii="Verdana" w:eastAsia="Calibri" w:hAnsi="Verdana" w:cs="Arial"/>
          <w:i/>
          <w:iCs/>
          <w:color w:val="000000" w:themeColor="text1"/>
          <w:lang w:val="es-MX"/>
        </w:rPr>
        <w:t>“</w:t>
      </w:r>
      <w:r w:rsidRPr="00A47272">
        <w:rPr>
          <w:rFonts w:ascii="Verdana" w:eastAsia="Aptos" w:hAnsi="Verdana" w:cs="Times New Roman"/>
          <w:i/>
          <w:iCs/>
          <w:color w:val="000000" w:themeColor="text1"/>
          <w:kern w:val="2"/>
          <w:lang w:val="es-MX"/>
          <w14:ligatures w14:val="standardContextual"/>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Pr="00A47272">
        <w:rPr>
          <w:rFonts w:ascii="Aptos" w:eastAsia="Aptos" w:hAnsi="Aptos" w:cs="Times New Roman"/>
          <w:color w:val="000000" w:themeColor="text1"/>
          <w:kern w:val="2"/>
          <w:sz w:val="24"/>
          <w:szCs w:val="24"/>
          <w:lang w:val="es-MX"/>
          <w14:ligatures w14:val="standardContextual"/>
        </w:rPr>
        <w:t xml:space="preserve"> </w:t>
      </w:r>
    </w:p>
    <w:p w14:paraId="1AB91222" w14:textId="77777777" w:rsidR="00EE61BD" w:rsidRPr="00A47272" w:rsidRDefault="00EE61BD" w:rsidP="00EE61BD">
      <w:pPr>
        <w:spacing w:before="120" w:after="120" w:line="276" w:lineRule="auto"/>
        <w:ind w:firstLine="709"/>
        <w:jc w:val="both"/>
        <w:rPr>
          <w:rFonts w:ascii="Verdana" w:eastAsia="Calibri" w:hAnsi="Verdana" w:cs="Arial"/>
          <w:bCs/>
          <w:color w:val="000000" w:themeColor="text1"/>
          <w:lang w:val="es-MX"/>
        </w:rPr>
      </w:pPr>
      <w:r w:rsidRPr="00A47272">
        <w:rPr>
          <w:rFonts w:ascii="Verdana" w:eastAsia="Calibri" w:hAnsi="Verdana" w:cs="Arial"/>
          <w:bCs/>
          <w:color w:val="000000" w:themeColor="text1"/>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48F95348" w14:textId="77777777" w:rsidR="00EE61BD" w:rsidRPr="00A47272" w:rsidRDefault="00EE61BD" w:rsidP="00EE61BD">
      <w:pPr>
        <w:spacing w:before="120" w:after="120" w:line="276" w:lineRule="auto"/>
        <w:ind w:firstLine="709"/>
        <w:jc w:val="both"/>
        <w:rPr>
          <w:rFonts w:ascii="Verdana" w:eastAsia="Calibri" w:hAnsi="Verdana" w:cs="Arial"/>
          <w:color w:val="000000" w:themeColor="text1"/>
          <w:lang w:val="es-MX"/>
        </w:rPr>
      </w:pPr>
      <w:r w:rsidRPr="00A47272">
        <w:rPr>
          <w:rFonts w:ascii="Verdana" w:eastAsia="Calibri" w:hAnsi="Verdana" w:cs="Arial"/>
          <w:color w:val="000000" w:themeColor="text1"/>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1FFCBC16" w14:textId="77777777" w:rsidR="00EE61BD" w:rsidRPr="00A47272" w:rsidRDefault="00EE61BD" w:rsidP="00EE61BD">
      <w:pPr>
        <w:spacing w:before="120" w:afterLines="120" w:after="288" w:line="276" w:lineRule="auto"/>
        <w:ind w:firstLine="709"/>
        <w:jc w:val="both"/>
        <w:rPr>
          <w:rFonts w:ascii="Verdana" w:eastAsia="Aptos" w:hAnsi="Verdana" w:cs="Arial"/>
          <w:color w:val="000000" w:themeColor="text1"/>
        </w:rPr>
      </w:pPr>
      <w:r w:rsidRPr="00A47272">
        <w:rPr>
          <w:rFonts w:ascii="Verdana" w:eastAsia="Aptos" w:hAnsi="Verdana" w:cs="Arial"/>
          <w:color w:val="000000" w:themeColor="text1"/>
        </w:rPr>
        <w:t xml:space="preserve">En relación con el principio constitucional </w:t>
      </w:r>
      <w:r w:rsidRPr="00A47272">
        <w:rPr>
          <w:rFonts w:ascii="Verdana" w:eastAsia="Aptos" w:hAnsi="Verdana" w:cs="Arial"/>
          <w:i/>
          <w:iCs/>
          <w:color w:val="000000" w:themeColor="text1"/>
        </w:rPr>
        <w:t>sub examine</w:t>
      </w:r>
      <w:r w:rsidRPr="00A47272">
        <w:rPr>
          <w:rFonts w:ascii="Verdana" w:eastAsia="Aptos" w:hAnsi="Verdana" w:cs="Arial"/>
          <w:color w:val="000000" w:themeColor="text1"/>
        </w:rPr>
        <w:t xml:space="preserve">, la Corte Constitucional explica que “(…) por disposición del artículo 228 Superior, las formas no deben convertirse en un obstáculo para la efectividad del derecho sustancial, sino que deben propender por su realización. Es decir, que las normas </w:t>
      </w:r>
      <w:r w:rsidRPr="00A47272">
        <w:rPr>
          <w:rFonts w:ascii="Verdana" w:eastAsia="Aptos" w:hAnsi="Verdana" w:cs="Arial"/>
          <w:color w:val="000000" w:themeColor="text1"/>
        </w:rPr>
        <w:lastRenderedPageBreak/>
        <w:t>procesales son un medio para lograr la efectividad de los derechos subjetivos y no fines en sí mismas”</w:t>
      </w:r>
      <w:r w:rsidRPr="00A47272">
        <w:rPr>
          <w:rFonts w:ascii="Verdana" w:eastAsia="Aptos" w:hAnsi="Verdana" w:cs="Arial"/>
          <w:color w:val="000000" w:themeColor="text1"/>
          <w:vertAlign w:val="superscript"/>
        </w:rPr>
        <w:footnoteReference w:id="11"/>
      </w:r>
      <w:r w:rsidRPr="00A47272">
        <w:rPr>
          <w:rFonts w:ascii="Verdana" w:eastAsia="Aptos" w:hAnsi="Verdana" w:cs="Arial"/>
          <w:color w:val="000000" w:themeColor="text1"/>
        </w:rPr>
        <w:t xml:space="preserve">. </w:t>
      </w:r>
    </w:p>
    <w:p w14:paraId="3DC8640B" w14:textId="77777777" w:rsidR="00EE61BD" w:rsidRPr="00A47272" w:rsidRDefault="00EE61BD" w:rsidP="00EE61BD">
      <w:pPr>
        <w:spacing w:afterLines="120" w:after="288" w:line="276" w:lineRule="auto"/>
        <w:ind w:firstLine="709"/>
        <w:jc w:val="both"/>
        <w:rPr>
          <w:rFonts w:ascii="Verdana" w:eastAsia="Calibri" w:hAnsi="Verdana" w:cs="Arial"/>
          <w:color w:val="000000" w:themeColor="text1"/>
          <w:lang w:val="es-MX"/>
        </w:rPr>
      </w:pPr>
      <w:r w:rsidRPr="00A47272">
        <w:rPr>
          <w:rFonts w:ascii="Verdana" w:eastAsia="Calibri" w:hAnsi="Verdana" w:cs="Arial"/>
          <w:color w:val="000000" w:themeColor="text1"/>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4BB2E1D9" w14:textId="77777777" w:rsidR="00EE61BD" w:rsidRPr="00A47272" w:rsidRDefault="00EE61BD" w:rsidP="00EE61BD">
      <w:pPr>
        <w:spacing w:afterLines="120" w:after="288" w:line="276" w:lineRule="auto"/>
        <w:ind w:firstLine="709"/>
        <w:jc w:val="both"/>
        <w:rPr>
          <w:rFonts w:ascii="Verdana" w:eastAsia="Aptos" w:hAnsi="Verdana" w:cs="Times New Roman"/>
          <w:color w:val="000000" w:themeColor="text1"/>
          <w:kern w:val="2"/>
          <w14:ligatures w14:val="standardContextual"/>
        </w:rPr>
      </w:pPr>
      <w:r w:rsidRPr="00A47272">
        <w:rPr>
          <w:rFonts w:ascii="Verdana" w:eastAsia="Aptos" w:hAnsi="Verdana" w:cs="Times New Roman"/>
          <w:color w:val="000000" w:themeColor="text1"/>
          <w:kern w:val="2"/>
          <w14:ligatures w14:val="standardContextual"/>
        </w:rPr>
        <w:t>De acuerdo con la memoria justificativa del Decreto 287 del 19 de marzo de 2026</w:t>
      </w:r>
      <w:r w:rsidRPr="00A47272">
        <w:rPr>
          <w:rFonts w:ascii="Verdana" w:eastAsia="Aptos" w:hAnsi="Verdana" w:cs="Times New Roman"/>
          <w:color w:val="000000" w:themeColor="text1"/>
          <w:kern w:val="2"/>
          <w:vertAlign w:val="superscript"/>
          <w14:ligatures w14:val="standardContextual"/>
        </w:rPr>
        <w:footnoteReference w:id="12"/>
      </w:r>
      <w:r w:rsidRPr="00A47272">
        <w:rPr>
          <w:rFonts w:ascii="Verdana" w:eastAsia="Aptos" w:hAnsi="Verdana" w:cs="Times New Roman"/>
          <w:color w:val="000000" w:themeColor="text1"/>
          <w:kern w:val="2"/>
          <w14:ligatures w14:val="standardContextual"/>
        </w:rPr>
        <w:t>, históricamente las Personas con Discapacidad han enfrentado mayores tasas de desempleo y barreras de acceso al mercado. Aunque leyes previas como la Ley 1618 de 2013, ordenaban un sistema de preferencias para estas personas, la regulación anterior –el Decreto 392 de 2018–, se limitaba a medidas aisladas de puntaje que no garantizaban una participación equitativa desde el inicio de los procesos contractuales. Esto fue ratificado por el Consejo de Estado</w:t>
      </w:r>
      <w:r w:rsidRPr="00A47272">
        <w:rPr>
          <w:rFonts w:ascii="Verdana" w:eastAsia="Aptos" w:hAnsi="Verdana" w:cs="Times New Roman"/>
          <w:color w:val="000000" w:themeColor="text1"/>
          <w:kern w:val="2"/>
          <w:vertAlign w:val="superscript"/>
          <w14:ligatures w14:val="standardContextual"/>
        </w:rPr>
        <w:footnoteReference w:id="13"/>
      </w:r>
      <w:r w:rsidRPr="00A47272">
        <w:rPr>
          <w:rFonts w:ascii="Verdana" w:eastAsia="Aptos" w:hAnsi="Verdana" w:cs="Times New Roman"/>
          <w:color w:val="000000" w:themeColor="text1"/>
          <w:kern w:val="2"/>
          <w14:ligatures w14:val="standardContextual"/>
        </w:rPr>
        <w:t xml:space="preserve"> que mediante una acción de cumplimiento declaró el incumplimiento del deber de reglamentar integralmente el artículo 13 de la Ley 1618 de 2013 y ordenó al Gobierno Nacional expedir la regulación necesaria para hacer efectivo el sistema de preferencias en favor de las personas con discapacidad, sus emprendimientos y empresas que las contratan.</w:t>
      </w:r>
    </w:p>
    <w:p w14:paraId="288F123B" w14:textId="77777777" w:rsidR="00EE61BD" w:rsidRPr="00A47272" w:rsidRDefault="00EE61BD" w:rsidP="00EE61BD">
      <w:pPr>
        <w:widowControl w:val="0"/>
        <w:autoSpaceDE w:val="0"/>
        <w:autoSpaceDN w:val="0"/>
        <w:spacing w:afterLines="120" w:after="288" w:line="276" w:lineRule="auto"/>
        <w:ind w:firstLine="708"/>
        <w:jc w:val="both"/>
        <w:rPr>
          <w:rFonts w:ascii="Verdana" w:eastAsia="Aptos" w:hAnsi="Verdana" w:cs="AppleSystemUIFont"/>
          <w:color w:val="000000" w:themeColor="text1"/>
          <w:lang w:val="es-MX"/>
          <w14:ligatures w14:val="standardContextual"/>
        </w:rPr>
      </w:pPr>
      <w:r w:rsidRPr="00A47272">
        <w:rPr>
          <w:rFonts w:ascii="Verdana" w:eastAsia="Aptos" w:hAnsi="Verdana" w:cs="Times New Roman"/>
          <w:color w:val="000000" w:themeColor="text1"/>
          <w:kern w:val="2"/>
          <w14:ligatures w14:val="standardContextual"/>
        </w:rPr>
        <w:t xml:space="preserve">En consecuencia, de acuerdo con las consideraciones desarrolladas en el Decreto 287 de 2026, la Ley 1618 de 2013 carece de reglamentación concreta sobre los aspectos señalados, que no fueron cubiertos por las disposiciones que para el efecto desarrolló el Decreto 392 del 26 de febrero de 2018. Por lo tanto, </w:t>
      </w:r>
      <w:r w:rsidRPr="00A47272">
        <w:rPr>
          <w:rFonts w:ascii="Verdana" w:eastAsia="Aptos" w:hAnsi="Verdana" w:cs="Times New Roman"/>
          <w:color w:val="000000" w:themeColor="text1"/>
          <w:kern w:val="2"/>
          <w14:ligatures w14:val="standardContextual"/>
        </w:rPr>
        <w:lastRenderedPageBreak/>
        <w:t xml:space="preserve">mediante la expedición del mencionado decreto, en aplicación directa de la Constitución Política y para que exista una igualdad material para las personas con discapacidad, este pretende subsanar la falta de acciones afirmativas del Decreto 392 de 2018, modificando los artículos 2.2.1.2.4.2.6, 2.2.1.2.4.2.7. y 2.2.1.2.4.2.8. del Decreto 1082 de 2015. </w:t>
      </w:r>
    </w:p>
    <w:p w14:paraId="13BB3774" w14:textId="77777777" w:rsidR="00EE61BD" w:rsidRPr="00A47272" w:rsidRDefault="00EE61BD" w:rsidP="00EE61BD">
      <w:pPr>
        <w:widowControl w:val="0"/>
        <w:autoSpaceDE w:val="0"/>
        <w:autoSpaceDN w:val="0"/>
        <w:spacing w:after="12" w:line="276" w:lineRule="auto"/>
        <w:ind w:firstLine="708"/>
        <w:jc w:val="both"/>
        <w:rPr>
          <w:rFonts w:ascii="Verdana" w:eastAsia="Aptos" w:hAnsi="Verdana" w:cs="Times New Roman"/>
          <w:color w:val="000000" w:themeColor="text1"/>
          <w:kern w:val="2"/>
          <w14:ligatures w14:val="standardContextual"/>
        </w:rPr>
      </w:pPr>
      <w:proofErr w:type="gramStart"/>
      <w:r w:rsidRPr="00A47272">
        <w:rPr>
          <w:rFonts w:ascii="Verdana" w:eastAsia="Aptos" w:hAnsi="Verdana" w:cs="AppleSystemUIFont"/>
          <w:color w:val="000000" w:themeColor="text1"/>
          <w:lang w:val="es-MX"/>
          <w14:ligatures w14:val="standardContextual"/>
        </w:rPr>
        <w:t>Las expedición</w:t>
      </w:r>
      <w:proofErr w:type="gramEnd"/>
      <w:r w:rsidRPr="00A47272">
        <w:rPr>
          <w:rFonts w:ascii="Verdana" w:eastAsia="Aptos" w:hAnsi="Verdana" w:cs="AppleSystemUIFont"/>
          <w:color w:val="000000" w:themeColor="text1"/>
          <w:lang w:val="es-MX"/>
          <w14:ligatures w14:val="standardContextual"/>
        </w:rPr>
        <w:t xml:space="preserve"> del Decreto 287 de 2026 introduce un conjunto de prerrogativas dirigidas a garantizar la igualdad material de las personas con discapacidad, en desarrollo de la Ley 1618 de 2013 y del mandato constitucional de no discriminación, lo que impone la necesidad de una adecuación de los documentos tipo expedidos por la Agencia Nacional </w:t>
      </w:r>
      <w:r w:rsidRPr="00A47272">
        <w:rPr>
          <w:rFonts w:ascii="Verdana" w:eastAsia="Aptos" w:hAnsi="Verdana" w:cs="Times New Roman"/>
          <w:color w:val="000000" w:themeColor="text1"/>
          <w:kern w:val="2"/>
          <w14:ligatures w14:val="standardContextual"/>
        </w:rPr>
        <w:t>de Contratación Pública – Colombia Compra Eficiente.</w:t>
      </w:r>
    </w:p>
    <w:p w14:paraId="104B24B3" w14:textId="77777777" w:rsidR="00EE61BD" w:rsidRPr="00A47272" w:rsidRDefault="00EE61BD" w:rsidP="00EE61BD">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47272">
        <w:rPr>
          <w:rFonts w:ascii="Verdana" w:eastAsia="Aptos" w:hAnsi="Verdana" w:cs="Times New Roman"/>
          <w:color w:val="000000" w:themeColor="text1"/>
          <w:kern w:val="2"/>
          <w14:ligatures w14:val="standardContextual"/>
        </w:rPr>
        <w:t xml:space="preserve">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 </w:t>
      </w:r>
    </w:p>
    <w:p w14:paraId="2DCBAC6A" w14:textId="77777777" w:rsidR="00EE61BD" w:rsidRPr="00A47272" w:rsidRDefault="00EE61BD" w:rsidP="00EE61BD">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47272">
        <w:rPr>
          <w:rFonts w:ascii="Verdana" w:eastAsia="Aptos" w:hAnsi="Verdana" w:cs="Times New Roman"/>
          <w:color w:val="000000" w:themeColor="text1"/>
          <w:kern w:val="2"/>
          <w14:ligatures w14:val="standardContextual"/>
        </w:rPr>
        <w:t>Desde el punto de vista jurídico, uno de los aspectos que exige la modificación de los documentos tipo de licitación pública, selección abreviada de menor cuantía y concurso de méritos en los sectores en los que estos han sido adoptados, corresponde a los requisitos habilitantes, los cuales han sido tradicionalmente diseñados bajo parámetros homogéneos que no consideran las condiciones particulares de los emprendimientos y empresas de personas con discapacidad. Tal como se señaló, el Decreto 287 de 2026 reconoce que la rigidez de estos requisitos puede impedir su participación efectiva, al punto de tornar inocuas otras medidas como el otorgamiento de puntajes adicionales. En consecuencia, los documentos tipo en las modalidades señaladas y en los sectores implementados, deben incorporar “(…)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w:t>
      </w:r>
      <w:r w:rsidRPr="00A47272">
        <w:rPr>
          <w:rFonts w:ascii="Verdana" w:eastAsia="Aptos" w:hAnsi="Verdana" w:cs="Times New Roman"/>
          <w:color w:val="000000" w:themeColor="text1"/>
          <w:kern w:val="2"/>
          <w:vertAlign w:val="superscript"/>
          <w14:ligatures w14:val="standardContextual"/>
        </w:rPr>
        <w:footnoteReference w:id="14"/>
      </w:r>
      <w:r w:rsidRPr="00A47272">
        <w:rPr>
          <w:rFonts w:ascii="Verdana" w:eastAsia="Aptos" w:hAnsi="Verdana" w:cs="Times New Roman"/>
          <w:color w:val="000000" w:themeColor="text1"/>
          <w:kern w:val="2"/>
          <w14:ligatures w14:val="standardContextual"/>
        </w:rPr>
        <w:t xml:space="preserve">, de tal manera que se </w:t>
      </w:r>
      <w:r w:rsidRPr="00A47272">
        <w:rPr>
          <w:rFonts w:ascii="Verdana" w:eastAsia="Aptos" w:hAnsi="Verdana" w:cs="Times New Roman"/>
          <w:color w:val="000000" w:themeColor="text1"/>
          <w:kern w:val="2"/>
          <w14:ligatures w14:val="standardContextual"/>
        </w:rPr>
        <w:lastRenderedPageBreak/>
        <w:t>eliminen barreras de entrada injustificadas sin comprometer la idoneidad del contratista, en aplicación del principio de igualdad material.</w:t>
      </w:r>
    </w:p>
    <w:p w14:paraId="79A2199F" w14:textId="77777777" w:rsidR="00EE61BD" w:rsidRPr="00A47272" w:rsidRDefault="00EE61BD" w:rsidP="00EE61BD">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47272">
        <w:rPr>
          <w:rFonts w:ascii="Verdana" w:eastAsia="Aptos" w:hAnsi="Verdana" w:cs="Times New Roman"/>
          <w:color w:val="000000" w:themeColor="text1"/>
          <w:kern w:val="2"/>
          <w14:ligatures w14:val="standardContextual"/>
        </w:rPr>
        <w:t xml:space="preserve">Así, los documentos tipo de licitación pública, selección abreviada de menor cuantía y concurso de méritos deben ser modificados por la Agencia Nacional de Contratación Pública – Colombia Compra Eficiente para incluir la reciente modificación al artículo 2.2.1.2.4.2.7.3 del Decreto 1082 de 2015. Lo anterior implica que, además de los requisitos habilitantes diferenciales previstos para </w:t>
      </w:r>
      <w:proofErr w:type="spellStart"/>
      <w:r w:rsidRPr="00A47272">
        <w:rPr>
          <w:rFonts w:ascii="Verdana" w:eastAsia="Aptos" w:hAnsi="Verdana" w:cs="Times New Roman"/>
          <w:color w:val="000000" w:themeColor="text1"/>
          <w:kern w:val="2"/>
          <w14:ligatures w14:val="standardContextual"/>
        </w:rPr>
        <w:t>Mipymes</w:t>
      </w:r>
      <w:proofErr w:type="spellEnd"/>
      <w:r w:rsidRPr="00A47272">
        <w:rPr>
          <w:rFonts w:ascii="Verdana" w:eastAsia="Aptos" w:hAnsi="Verdana" w:cs="Times New Roman"/>
          <w:color w:val="000000" w:themeColor="text1"/>
          <w:kern w:val="2"/>
          <w14:ligatures w14:val="standardContextual"/>
        </w:rPr>
        <w:t xml:space="preserve"> y emprendimientos y empresas de mujeres, se incluyan los dispuestos en el Decreto 287 de 2026 en favor de los emprendimientos y empresas de personas con discapacidad.</w:t>
      </w:r>
    </w:p>
    <w:p w14:paraId="5ABDF507" w14:textId="77777777" w:rsidR="00EE61BD" w:rsidRPr="00A47272" w:rsidRDefault="00EE61BD" w:rsidP="00EE61BD">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47272">
        <w:rPr>
          <w:rFonts w:ascii="Verdana" w:eastAsia="Aptos" w:hAnsi="Verdana" w:cs="Times New Roman"/>
          <w:color w:val="000000" w:themeColor="text1"/>
          <w:kern w:val="2"/>
          <w14:ligatures w14:val="standardContextual"/>
        </w:rPr>
        <w:t xml:space="preserve">De igual forma, resulta necesario ajustar los factores de evaluación para incluir el puntaje adicional previsto en el Decreto 287 de 2026, en favor de los empleadores de personas con discapacidad y de los emprendimientos y empresas conformados por esta población. Esto, considerando que el artículo 2.2.1.2.4.2.7.4 del Decreto 1082 de 2015, modificado por el artículo 1 del Decreto 287 de 2026 establece que “(…) en los procedimientos de licitación pública y concurso de méritos, las Entidades Estatales otorgaran un puntaje adicional máximo del dos por cuento (2%) del valor total de los puntos establecidos en los Pliegos de condiciones o documentos equivalentes” cuando se configuren las situaciones que allí se establecen, pero que “(…) en todo caso el puntaje adicional total y único a otorgar por este criterio será del dos por ciento (2%), sin que sean acumulables a afecto de la evaluación de la oferta (…)”. </w:t>
      </w:r>
    </w:p>
    <w:p w14:paraId="446DE895" w14:textId="77777777" w:rsidR="00EE61BD" w:rsidRPr="00C67EA9" w:rsidRDefault="00EE61BD" w:rsidP="00EE61BD">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 xml:space="preserve">Adicionalmente, en cuanto a la ejecución contractual, el artículo 2.2.1.2.4.2.7.5 del Decreto 1082 de 2015, modificado por el artículo 1 del Decreto 287 de 2026, prevé la incorporación de condiciones especiales de sujeción orientadas a promover la inclusión laboral y la participación de personas </w:t>
      </w:r>
      <w:r w:rsidRPr="00C67EA9">
        <w:rPr>
          <w:rFonts w:ascii="Verdana" w:eastAsia="Aptos" w:hAnsi="Verdana" w:cs="Times New Roman"/>
          <w:kern w:val="2"/>
          <w14:ligatures w14:val="standardContextual"/>
        </w:rPr>
        <w:lastRenderedPageBreak/>
        <w:t>con discapacidad y/o emprendimientos y empresas de estas personas. En consecuencia, los documentos tipo deben contemplar cláusulas contractuales específicas que desarrollen estas obligaciones, previa evaluación de oportunidad y conveniencia, permitiendo que la política pública de inclusión se materialice durante la ejecución del contrato.</w:t>
      </w:r>
    </w:p>
    <w:p w14:paraId="47806A34" w14:textId="77777777" w:rsidR="00EE61BD" w:rsidRPr="00C67EA9" w:rsidRDefault="00EE61BD" w:rsidP="00EE61BD">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Conforme con lo anterior, la implementación efectiva del Decreto 287 de 2026 depende de la incorporación integral y coherente de sus disposiciones en los documentos tipo por parte de la Agencia Nacional de Contratación Pública – Colombia Compra Eficiente, de manera que las acciones afirmativas previstas se traduzcan en transformaciones reales en el sistema de contratación pública y en la garantí</w:t>
      </w:r>
      <w:r>
        <w:rPr>
          <w:rFonts w:ascii="Verdana" w:eastAsia="Aptos" w:hAnsi="Verdana" w:cs="Times New Roman"/>
          <w:kern w:val="2"/>
          <w14:ligatures w14:val="standardContextual"/>
        </w:rPr>
        <w:t>a</w:t>
      </w:r>
      <w:r w:rsidRPr="00C67EA9">
        <w:rPr>
          <w:rFonts w:ascii="Verdana" w:eastAsia="Aptos" w:hAnsi="Verdana" w:cs="Times New Roman"/>
          <w:kern w:val="2"/>
          <w14:ligatures w14:val="standardContextual"/>
        </w:rPr>
        <w:t xml:space="preserve"> del derecho a la igualdad material de las personas con discapacidad.</w:t>
      </w:r>
    </w:p>
    <w:p w14:paraId="24773112" w14:textId="77777777" w:rsidR="00EE61BD" w:rsidRPr="00C67EA9" w:rsidRDefault="00EE61BD" w:rsidP="00EE61BD">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de las medidas afirmativas previstas, sin desconocer la distribución de competencias establecida por el legislador ni la estructura normativa del sistema de compras y contratación pública.</w:t>
      </w:r>
    </w:p>
    <w:p w14:paraId="0BA253C3" w14:textId="77777777" w:rsidR="00EE61BD" w:rsidRPr="00C67EA9" w:rsidRDefault="00EE61BD" w:rsidP="00EE61BD">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6D74199B" w14:textId="77777777" w:rsidR="00EE61BD" w:rsidRPr="00C67EA9" w:rsidRDefault="00EE61BD" w:rsidP="00EE61BD">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 xml:space="preserve">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w:t>
      </w:r>
      <w:r w:rsidRPr="00C67EA9">
        <w:rPr>
          <w:rFonts w:ascii="Verdana" w:eastAsia="Aptos" w:hAnsi="Verdana" w:cs="Times New Roman"/>
          <w:kern w:val="2"/>
          <w14:ligatures w14:val="standardContextual"/>
        </w:rPr>
        <w:lastRenderedPageBreak/>
        <w:t>las modificaciones a que haya lugar mediante acto administrativo motivado.</w:t>
      </w:r>
    </w:p>
    <w:p w14:paraId="1A07513D" w14:textId="77777777" w:rsidR="00EE61BD" w:rsidRPr="00C67EA9" w:rsidRDefault="00EE61BD" w:rsidP="00EE61BD">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C67EA9">
        <w:rPr>
          <w:rFonts w:ascii="Verdana" w:eastAsia="Aptos" w:hAnsi="Verdana" w:cs="Times New Roman"/>
          <w:kern w:val="2"/>
          <w14:ligatures w14:val="standardContextual"/>
        </w:rPr>
        <w:t xml:space="preserve">Mediante el agotamiento de una serie de actuaciones que implican, el análisis del Decreto en comento desde un perspectiva técnica, financiera y jurídica, generar versiones previas para comentarios de ciudadanos, entidades y grupos de interés, respuesta a las 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 </w:t>
      </w:r>
    </w:p>
    <w:p w14:paraId="25C44370" w14:textId="77777777" w:rsidR="00EE61BD" w:rsidRPr="00730A99" w:rsidRDefault="00EE61BD" w:rsidP="00EE61BD">
      <w:pPr>
        <w:widowControl w:val="0"/>
        <w:autoSpaceDE w:val="0"/>
        <w:autoSpaceDN w:val="0"/>
        <w:spacing w:after="0" w:line="276" w:lineRule="auto"/>
        <w:jc w:val="both"/>
        <w:rPr>
          <w:rFonts w:ascii="Verdana" w:eastAsia="Aptos" w:hAnsi="Verdana" w:cs="Times New Roman"/>
          <w:color w:val="000000" w:themeColor="text1"/>
          <w:kern w:val="2"/>
          <w14:ligatures w14:val="standardContextual"/>
        </w:rPr>
      </w:pPr>
    </w:p>
    <w:p w14:paraId="755BF4F4" w14:textId="77777777" w:rsidR="00EE61BD" w:rsidRPr="00C518CE" w:rsidRDefault="00EE61BD" w:rsidP="00EE61BD">
      <w:pPr>
        <w:tabs>
          <w:tab w:val="left" w:pos="142"/>
          <w:tab w:val="left" w:pos="284"/>
        </w:tabs>
        <w:spacing w:after="0" w:line="276" w:lineRule="auto"/>
        <w:jc w:val="both"/>
        <w:rPr>
          <w:rFonts w:ascii="Verdana" w:eastAsia="Century Gothic" w:hAnsi="Verdana" w:cs="Century Gothic"/>
          <w:b/>
          <w:bCs/>
          <w:lang w:val="es-ES_tradnl"/>
        </w:rPr>
      </w:pPr>
      <w:r w:rsidRPr="00C518CE">
        <w:rPr>
          <w:rFonts w:ascii="Verdana" w:eastAsia="Century Gothic" w:hAnsi="Verdana" w:cs="Century Gothic"/>
          <w:b/>
          <w:bCs/>
          <w:lang w:val="es-ES_tradnl"/>
        </w:rPr>
        <w:t>4. Referencias normativas, jurisprudenciales y otras fuentes:</w:t>
      </w:r>
    </w:p>
    <w:p w14:paraId="63D1299A" w14:textId="77777777" w:rsidR="00EE61BD" w:rsidRPr="00C518CE" w:rsidRDefault="00EE61BD" w:rsidP="00EE61BD">
      <w:pPr>
        <w:spacing w:after="0"/>
        <w:ind w:left="-15840"/>
        <w:jc w:val="both"/>
        <w:rPr>
          <w:rFonts w:ascii="Verdana" w:eastAsia="Calibri" w:hAnsi="Verdana" w:cs="Arial"/>
          <w:b/>
          <w:bCs/>
        </w:rPr>
      </w:pPr>
      <w:r w:rsidRPr="00C518CE">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E61BD" w:rsidRPr="00C518CE" w14:paraId="0C97E421" w14:textId="77777777">
        <w:trPr>
          <w:trHeight w:val="870"/>
        </w:trPr>
        <w:tc>
          <w:tcPr>
            <w:tcW w:w="8647" w:type="dxa"/>
            <w:tcBorders>
              <w:top w:val="dotted" w:sz="4" w:space="0" w:color="auto"/>
              <w:left w:val="dotted" w:sz="4" w:space="0" w:color="auto"/>
              <w:bottom w:val="dotted" w:sz="4" w:space="0" w:color="auto"/>
              <w:right w:val="dotted" w:sz="4" w:space="0" w:color="auto"/>
            </w:tcBorders>
          </w:tcPr>
          <w:p w14:paraId="6A35E79D" w14:textId="77777777" w:rsidR="00EE61BD" w:rsidRPr="00C518CE" w:rsidRDefault="00EE61BD">
            <w:pPr>
              <w:widowControl w:val="0"/>
              <w:autoSpaceDE w:val="0"/>
              <w:autoSpaceDN w:val="0"/>
              <w:spacing w:line="276" w:lineRule="auto"/>
              <w:contextualSpacing/>
              <w:jc w:val="both"/>
              <w:rPr>
                <w:rFonts w:ascii="Verdana" w:eastAsia="Aptos" w:hAnsi="Verdana" w:cs="Arial"/>
              </w:rPr>
            </w:pPr>
          </w:p>
          <w:p w14:paraId="310356BD"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lang w:val="it-IT"/>
              </w:rPr>
            </w:pPr>
            <w:r w:rsidRPr="00C518CE">
              <w:rPr>
                <w:rFonts w:ascii="Verdana" w:eastAsia="Aptos" w:hAnsi="Verdana" w:cs="Arial"/>
                <w:lang w:val="pt-BR"/>
              </w:rPr>
              <w:t xml:space="preserve">Corte Constitucional, Sentencia C–1005 de 2008. </w:t>
            </w:r>
            <w:r w:rsidRPr="00C518CE">
              <w:rPr>
                <w:rFonts w:ascii="Verdana" w:eastAsia="Aptos" w:hAnsi="Verdana" w:cs="Arial"/>
                <w:lang w:val="it-IT"/>
              </w:rPr>
              <w:t>M.P.: Humberto Antonio Sierra Porto.</w:t>
            </w:r>
          </w:p>
          <w:p w14:paraId="68236F4B"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F8440E">
              <w:rPr>
                <w:rFonts w:ascii="Verdana" w:eastAsia="Aptos" w:hAnsi="Verdana" w:cs="Arial"/>
              </w:rPr>
              <w:t xml:space="preserve">Consejo de Estado, Sala de lo Contencioso Administrativo, Sección Primera. Consejero ponente: Juan Alberto Polo Figueroa. Bogotá D.C., 24 de agosto de 2000. </w:t>
            </w:r>
            <w:r w:rsidRPr="00C518CE">
              <w:rPr>
                <w:rFonts w:ascii="Verdana" w:eastAsia="Aptos" w:hAnsi="Verdana" w:cs="Arial"/>
              </w:rPr>
              <w:t>Radicación número 6096.</w:t>
            </w:r>
          </w:p>
          <w:p w14:paraId="327179E5"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lang w:val="pt-BR"/>
              </w:rPr>
              <w:t xml:space="preserve">Corte Constitucional, Sentencia C-917 de 2002. </w:t>
            </w:r>
            <w:r w:rsidRPr="00C518CE">
              <w:rPr>
                <w:rFonts w:ascii="Verdana" w:eastAsia="Aptos" w:hAnsi="Verdana" w:cs="Arial"/>
              </w:rPr>
              <w:t xml:space="preserve">M.P.: Marco Gerardo Monroy Cabra. </w:t>
            </w:r>
          </w:p>
          <w:p w14:paraId="465E2460"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rPr>
              <w:t>Consejo de Estado. Sección Tercera. Auto del 14 de agosto de 2017. Rad. 58820.</w:t>
            </w:r>
          </w:p>
          <w:p w14:paraId="24A65D14"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rPr>
              <w:t>Consejo de Estado. Sección Tercera. Sentencia del 16 de agosto de 2017. Rad.56166.</w:t>
            </w:r>
          </w:p>
          <w:p w14:paraId="1D4D98D1"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rPr>
              <w:t>Consejo de Estado. Sección Tercera. Sentencia de 11 de abril de 2019. Rad. 52.055.</w:t>
            </w:r>
          </w:p>
          <w:p w14:paraId="44EC4784" w14:textId="77777777" w:rsidR="00EE61BD" w:rsidRPr="00B62A72"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rPr>
              <w:t>Consejo de Estado, Sección Quinta, del 12 de diciembre de 2024 (Rad. 05001-23-33-000-2024-00847-01, M.P.</w:t>
            </w:r>
            <w:r>
              <w:rPr>
                <w:rFonts w:ascii="Verdana" w:eastAsia="Aptos" w:hAnsi="Verdana" w:cs="Arial"/>
              </w:rPr>
              <w:t xml:space="preserve"> </w:t>
            </w:r>
            <w:r w:rsidRPr="00C518CE">
              <w:rPr>
                <w:rFonts w:ascii="Verdana" w:eastAsia="Aptos" w:hAnsi="Verdana" w:cs="Arial"/>
              </w:rPr>
              <w:t xml:space="preserve"> Omar Joaquín Barreto Suárez)</w:t>
            </w:r>
          </w:p>
          <w:p w14:paraId="378078A2" w14:textId="77777777" w:rsidR="00EE61BD" w:rsidRPr="00C518CE" w:rsidRDefault="00EE61BD" w:rsidP="00EE61BD">
            <w:pPr>
              <w:widowControl w:val="0"/>
              <w:numPr>
                <w:ilvl w:val="0"/>
                <w:numId w:val="17"/>
              </w:numPr>
              <w:autoSpaceDE w:val="0"/>
              <w:autoSpaceDN w:val="0"/>
              <w:spacing w:line="276" w:lineRule="auto"/>
              <w:contextualSpacing/>
              <w:jc w:val="both"/>
              <w:rPr>
                <w:rFonts w:ascii="Verdana" w:eastAsia="Aptos" w:hAnsi="Verdana" w:cs="Arial"/>
              </w:rPr>
            </w:pPr>
            <w:r w:rsidRPr="00C518CE">
              <w:rPr>
                <w:rFonts w:ascii="Verdana" w:eastAsia="Aptos" w:hAnsi="Verdana" w:cs="Arial"/>
              </w:rPr>
              <w:t>Ley 80 de 1993: artículo 2.</w:t>
            </w:r>
          </w:p>
          <w:p w14:paraId="56A0A4FC" w14:textId="77777777" w:rsidR="00EE61BD" w:rsidRPr="00C518CE" w:rsidRDefault="00EE61BD" w:rsidP="00EE61BD">
            <w:pPr>
              <w:widowControl w:val="0"/>
              <w:numPr>
                <w:ilvl w:val="0"/>
                <w:numId w:val="16"/>
              </w:numPr>
              <w:autoSpaceDE w:val="0"/>
              <w:autoSpaceDN w:val="0"/>
              <w:spacing w:line="276" w:lineRule="auto"/>
              <w:ind w:left="714" w:hanging="357"/>
              <w:jc w:val="both"/>
              <w:rPr>
                <w:rFonts w:ascii="Verdana" w:eastAsia="Calibri" w:hAnsi="Verdana" w:cs="Arial"/>
                <w:lang w:val="es-ES_tradnl"/>
              </w:rPr>
            </w:pPr>
            <w:r w:rsidRPr="00C518CE">
              <w:rPr>
                <w:rFonts w:ascii="Verdana" w:eastAsia="Calibri" w:hAnsi="Verdana" w:cs="Arial"/>
                <w:lang w:val="es-ES_tradnl"/>
              </w:rPr>
              <w:t xml:space="preserve">Ley 2022 de 2020, artículo 1. </w:t>
            </w:r>
          </w:p>
          <w:p w14:paraId="6BE631FC" w14:textId="77777777" w:rsidR="00EE61BD" w:rsidRPr="00C518CE" w:rsidRDefault="00EE61BD" w:rsidP="00EE61BD">
            <w:pPr>
              <w:widowControl w:val="0"/>
              <w:numPr>
                <w:ilvl w:val="0"/>
                <w:numId w:val="16"/>
              </w:numPr>
              <w:autoSpaceDE w:val="0"/>
              <w:autoSpaceDN w:val="0"/>
              <w:spacing w:line="276" w:lineRule="auto"/>
              <w:contextualSpacing/>
              <w:jc w:val="both"/>
              <w:rPr>
                <w:rFonts w:ascii="Verdana" w:eastAsia="Calibri" w:hAnsi="Verdana" w:cs="Arial"/>
              </w:rPr>
            </w:pPr>
            <w:r w:rsidRPr="00C518CE">
              <w:rPr>
                <w:rFonts w:ascii="Verdana" w:eastAsia="Calibri" w:hAnsi="Verdana" w:cs="Arial"/>
                <w:lang w:val="es-ES_tradnl"/>
              </w:rPr>
              <w:t xml:space="preserve">Documentos Tipo. Disponibles en: </w:t>
            </w:r>
            <w:hyperlink r:id="rId13" w:history="1">
              <w:r w:rsidRPr="00C518CE">
                <w:rPr>
                  <w:rFonts w:ascii="Verdana" w:eastAsia="Calibri" w:hAnsi="Verdana" w:cs="Arial"/>
                  <w:color w:val="0000FF"/>
                  <w:u w:val="single"/>
                  <w:lang w:val="es-ES_tradnl"/>
                </w:rPr>
                <w:t>https://www.colombiacompra.gov.co/documentos-tipo/documentos-</w:t>
              </w:r>
              <w:r w:rsidRPr="00C518CE">
                <w:rPr>
                  <w:rFonts w:ascii="Verdana" w:eastAsia="Calibri" w:hAnsi="Verdana" w:cs="Arial"/>
                  <w:color w:val="0000FF"/>
                  <w:u w:val="single"/>
                  <w:lang w:val="es-ES_tradnl"/>
                </w:rPr>
                <w:lastRenderedPageBreak/>
                <w:t>tipo</w:t>
              </w:r>
            </w:hyperlink>
            <w:r w:rsidRPr="00C518CE">
              <w:rPr>
                <w:rFonts w:ascii="Verdana" w:eastAsia="Calibri" w:hAnsi="Verdana" w:cs="Arial"/>
                <w:lang w:val="es-ES_tradnl"/>
              </w:rPr>
              <w:t>.</w:t>
            </w:r>
          </w:p>
          <w:p w14:paraId="79187399" w14:textId="77777777" w:rsidR="00EE61BD" w:rsidRPr="00C518CE" w:rsidRDefault="00EE61BD" w:rsidP="00EE61BD">
            <w:pPr>
              <w:widowControl w:val="0"/>
              <w:numPr>
                <w:ilvl w:val="0"/>
                <w:numId w:val="16"/>
              </w:numPr>
              <w:autoSpaceDE w:val="0"/>
              <w:autoSpaceDN w:val="0"/>
              <w:spacing w:line="276" w:lineRule="auto"/>
              <w:contextualSpacing/>
              <w:jc w:val="both"/>
              <w:rPr>
                <w:rFonts w:ascii="Verdana" w:eastAsia="Calibri" w:hAnsi="Verdana" w:cs="Arial"/>
              </w:rPr>
            </w:pPr>
            <w:r w:rsidRPr="00C518CE">
              <w:rPr>
                <w:rFonts w:ascii="Verdana" w:eastAsia="Aptos" w:hAnsi="Verdana" w:cs="Arial"/>
              </w:rPr>
              <w:t>Decreto Ley 4170 de 2011: artículo 1, artículo 11</w:t>
            </w:r>
          </w:p>
          <w:p w14:paraId="3A17B9E1" w14:textId="77777777" w:rsidR="00EE61BD" w:rsidRPr="007676E3" w:rsidRDefault="00EE61BD" w:rsidP="00EE61BD">
            <w:pPr>
              <w:widowControl w:val="0"/>
              <w:numPr>
                <w:ilvl w:val="0"/>
                <w:numId w:val="16"/>
              </w:numPr>
              <w:autoSpaceDE w:val="0"/>
              <w:autoSpaceDN w:val="0"/>
              <w:spacing w:line="276" w:lineRule="auto"/>
              <w:contextualSpacing/>
              <w:jc w:val="both"/>
              <w:rPr>
                <w:rFonts w:ascii="Verdana" w:eastAsia="Calibri" w:hAnsi="Verdana" w:cs="Arial"/>
              </w:rPr>
            </w:pPr>
            <w:r w:rsidRPr="00C518CE">
              <w:rPr>
                <w:rFonts w:ascii="Verdana" w:eastAsia="Calibri" w:hAnsi="Verdana" w:cs="Arial"/>
                <w:lang w:val="es-ES_tradnl"/>
              </w:rPr>
              <w:t>Decreto 287 de 2026: Artículo 1 y artículo 2.</w:t>
            </w:r>
          </w:p>
          <w:p w14:paraId="3B42CBF9" w14:textId="77777777" w:rsidR="00EE61BD" w:rsidRPr="003D4165" w:rsidRDefault="00EE61BD" w:rsidP="00EE61BD">
            <w:pPr>
              <w:widowControl w:val="0"/>
              <w:numPr>
                <w:ilvl w:val="0"/>
                <w:numId w:val="16"/>
              </w:numPr>
              <w:autoSpaceDE w:val="0"/>
              <w:autoSpaceDN w:val="0"/>
              <w:spacing w:line="276" w:lineRule="auto"/>
              <w:contextualSpacing/>
              <w:jc w:val="both"/>
              <w:rPr>
                <w:rFonts w:ascii="Verdana" w:eastAsia="Calibri" w:hAnsi="Verdana" w:cs="Arial"/>
              </w:rPr>
            </w:pPr>
            <w:r w:rsidRPr="004D0D18">
              <w:rPr>
                <w:rFonts w:ascii="Verdana" w:eastAsia="Calibri" w:hAnsi="Verdana" w:cs="Arial"/>
              </w:rPr>
              <w:t>Agencia Nacional de Contratación Pública – Colombia Compra Eficiente, Circular Externa No. 003 del 12 de mayo de 2026.</w:t>
            </w:r>
          </w:p>
        </w:tc>
      </w:tr>
    </w:tbl>
    <w:p w14:paraId="3A178335" w14:textId="77777777" w:rsidR="00EE61BD" w:rsidRPr="00C518CE" w:rsidRDefault="00EE61BD" w:rsidP="00EE61BD">
      <w:pPr>
        <w:tabs>
          <w:tab w:val="left" w:pos="142"/>
          <w:tab w:val="left" w:pos="284"/>
        </w:tabs>
        <w:spacing w:after="0" w:line="276" w:lineRule="auto"/>
        <w:jc w:val="both"/>
        <w:rPr>
          <w:rFonts w:ascii="Verdana" w:eastAsia="Calibri" w:hAnsi="Verdana" w:cs="Arial"/>
        </w:rPr>
      </w:pPr>
    </w:p>
    <w:p w14:paraId="33114B17" w14:textId="77777777" w:rsidR="00EE61BD" w:rsidRPr="00C518CE" w:rsidRDefault="00EE61BD" w:rsidP="00EE61BD">
      <w:pPr>
        <w:tabs>
          <w:tab w:val="left" w:pos="142"/>
          <w:tab w:val="left" w:pos="284"/>
        </w:tabs>
        <w:spacing w:after="0" w:line="276" w:lineRule="auto"/>
        <w:jc w:val="both"/>
        <w:rPr>
          <w:rFonts w:ascii="Verdana" w:eastAsia="Century Gothic" w:hAnsi="Verdana" w:cs="Century Gothic"/>
          <w:b/>
          <w:bCs/>
          <w:lang w:val="es-ES"/>
        </w:rPr>
      </w:pPr>
      <w:r w:rsidRPr="00C518CE">
        <w:rPr>
          <w:rFonts w:ascii="Verdana" w:eastAsia="Calibri" w:hAnsi="Verdana" w:cs="Arial"/>
          <w:b/>
          <w:bCs/>
        </w:rPr>
        <w:t>5</w:t>
      </w:r>
      <w:r w:rsidRPr="00C518CE">
        <w:rPr>
          <w:rFonts w:ascii="Verdana" w:eastAsia="Calibri" w:hAnsi="Verdana" w:cs="Arial"/>
        </w:rPr>
        <w:t>.</w:t>
      </w:r>
      <w:r w:rsidRPr="00C518CE">
        <w:rPr>
          <w:rFonts w:ascii="Verdana" w:eastAsia="Century Gothic" w:hAnsi="Verdana" w:cs="Century Gothic"/>
          <w:b/>
          <w:bCs/>
          <w:lang w:val="es-ES"/>
        </w:rPr>
        <w:t>Doctrina de la Agencia Nacional de Contratación Pública:</w:t>
      </w:r>
    </w:p>
    <w:p w14:paraId="397A8C18" w14:textId="77777777" w:rsidR="00EE61BD" w:rsidRPr="003A7A83" w:rsidRDefault="00EE61BD" w:rsidP="00EE61BD">
      <w:pPr>
        <w:widowControl w:val="0"/>
        <w:autoSpaceDE w:val="0"/>
        <w:autoSpaceDN w:val="0"/>
        <w:spacing w:after="0" w:line="276" w:lineRule="auto"/>
        <w:jc w:val="both"/>
        <w:rPr>
          <w:rFonts w:ascii="Verdana" w:eastAsia="Calibri" w:hAnsi="Verdana" w:cs="Arial"/>
        </w:rPr>
      </w:pPr>
    </w:p>
    <w:p w14:paraId="2D5D4D49" w14:textId="77777777" w:rsidR="00EE61BD" w:rsidRPr="00A36CAE" w:rsidRDefault="00EE61BD" w:rsidP="00EE61BD">
      <w:pPr>
        <w:spacing w:after="0" w:line="276" w:lineRule="auto"/>
        <w:jc w:val="both"/>
        <w:rPr>
          <w:rFonts w:ascii="Verdana" w:eastAsia="Calibri" w:hAnsi="Verdana" w:cs="Arial"/>
          <w:kern w:val="2"/>
          <w:shd w:val="clear" w:color="auto" w:fill="FFFFFF"/>
          <w:lang w:val="es-ES"/>
          <w14:ligatures w14:val="standardContextual"/>
        </w:rPr>
      </w:pPr>
      <w:r w:rsidRPr="00A36CAE">
        <w:rPr>
          <w:rFonts w:ascii="Verdana" w:eastAsia="Calibri" w:hAnsi="Verdana" w:cs="Arial"/>
          <w:kern w:val="2"/>
          <w:shd w:val="clear" w:color="auto" w:fill="FFFFFF"/>
          <w14:ligatures w14:val="standardContextual"/>
        </w:rPr>
        <w:t>L</w:t>
      </w:r>
      <w:r w:rsidRPr="00A36CAE">
        <w:rPr>
          <w:rFonts w:ascii="Verdana" w:eastAsia="Calibri" w:hAnsi="Verdana" w:cs="Arial"/>
          <w:kern w:val="2"/>
          <w:shd w:val="clear" w:color="auto" w:fill="FFFFFF"/>
          <w:lang w:val="es-ES"/>
          <w14:ligatures w14:val="standardContextual"/>
        </w:rPr>
        <w:t>a Agencia Nacional de Contratación Pública – Colombia Compra Eficiente, se ha pronunciado sobre la regla de la inalterabilidad de los documentos tipo en los siguiente conceptos:C-058 del 8 de marzo de 2022, C-657 del 11 de octubre de 2022, C-051 del 28 de abril de 2023, 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junio de 2025, C-043 del 13 de febrero de 2026, C-246 del 12 de marzo de 2026, C-467 del 21 de abril de 2026, C – 508 del 26 de abril de 2026</w:t>
      </w:r>
      <w:r w:rsidRPr="00A36CAE">
        <w:rPr>
          <w:rFonts w:ascii="Verdana" w:eastAsia="Calibri" w:hAnsi="Verdana" w:cs="Arial"/>
          <w:kern w:val="2"/>
          <w:shd w:val="clear" w:color="auto" w:fill="FFFFFF"/>
          <w14:ligatures w14:val="standardContextual"/>
        </w:rPr>
        <w:t xml:space="preserve">, </w:t>
      </w:r>
      <w:r w:rsidRPr="00A36CAE">
        <w:rPr>
          <w:rFonts w:ascii="Verdana" w:eastAsia="Calibri" w:hAnsi="Verdana" w:cs="Arial"/>
          <w:kern w:val="2"/>
          <w:shd w:val="clear" w:color="auto" w:fill="FFFFFF"/>
          <w:lang w:val="es-ES"/>
          <w14:ligatures w14:val="standardContextual"/>
        </w:rPr>
        <w:t xml:space="preserve">C – 376 del </w:t>
      </w:r>
      <w:r w:rsidRPr="00A36CAE">
        <w:rPr>
          <w:rFonts w:ascii="Verdana" w:eastAsia="Calibri" w:hAnsi="Verdana" w:cs="Arial"/>
          <w:kern w:val="2"/>
          <w:shd w:val="clear" w:color="auto" w:fill="FFFFFF"/>
          <w14:ligatures w14:val="standardContextual"/>
        </w:rPr>
        <w:t xml:space="preserve">06 Mayo de 2026, </w:t>
      </w:r>
      <w:r w:rsidRPr="00A36CAE">
        <w:rPr>
          <w:rFonts w:ascii="Verdana" w:eastAsia="Calibri" w:hAnsi="Verdana" w:cs="Arial"/>
          <w:kern w:val="2"/>
          <w:shd w:val="clear" w:color="auto" w:fill="FFFFFF"/>
          <w:lang w:val="es-ES"/>
          <w14:ligatures w14:val="standardContextual"/>
        </w:rPr>
        <w:t xml:space="preserve">C – 523 del </w:t>
      </w:r>
      <w:r w:rsidRPr="00A36CAE">
        <w:rPr>
          <w:rFonts w:ascii="Verdana" w:eastAsia="Calibri" w:hAnsi="Verdana" w:cs="Arial"/>
          <w:kern w:val="2"/>
          <w:shd w:val="clear" w:color="auto" w:fill="FFFFFF"/>
          <w14:ligatures w14:val="standardContextual"/>
        </w:rPr>
        <w:t xml:space="preserve">06 Mayo de 2026, </w:t>
      </w:r>
      <w:r w:rsidRPr="00A36CAE">
        <w:rPr>
          <w:rFonts w:ascii="Verdana" w:eastAsia="Calibri" w:hAnsi="Verdana" w:cs="Arial"/>
          <w:kern w:val="2"/>
          <w:shd w:val="clear" w:color="auto" w:fill="FFFFFF"/>
          <w:lang w:val="es-ES"/>
          <w14:ligatures w14:val="standardContextual"/>
        </w:rPr>
        <w:t xml:space="preserve">C – 483 del </w:t>
      </w:r>
      <w:r w:rsidRPr="00A36CAE">
        <w:rPr>
          <w:rFonts w:ascii="Verdana" w:eastAsia="Calibri" w:hAnsi="Verdana" w:cs="Arial"/>
          <w:kern w:val="2"/>
          <w:shd w:val="clear" w:color="auto" w:fill="FFFFFF"/>
          <w14:ligatures w14:val="standardContextual"/>
        </w:rPr>
        <w:t xml:space="preserve">07 Mayo de 2026, </w:t>
      </w:r>
      <w:r w:rsidRPr="00A36CAE">
        <w:rPr>
          <w:rFonts w:ascii="Verdana" w:eastAsia="Calibri" w:hAnsi="Verdana" w:cs="Arial"/>
          <w:kern w:val="2"/>
          <w:shd w:val="clear" w:color="auto" w:fill="FFFFFF"/>
          <w:lang w:val="es-ES"/>
          <w14:ligatures w14:val="standardContextual"/>
        </w:rPr>
        <w:t xml:space="preserve">C – 512 del </w:t>
      </w:r>
      <w:r w:rsidRPr="00A36CAE">
        <w:rPr>
          <w:rFonts w:ascii="Verdana" w:eastAsia="Calibri" w:hAnsi="Verdana" w:cs="Arial"/>
          <w:kern w:val="2"/>
          <w:shd w:val="clear" w:color="auto" w:fill="FFFFFF"/>
          <w14:ligatures w14:val="standardContextual"/>
        </w:rPr>
        <w:t xml:space="preserve">07 Mayo de 2026, </w:t>
      </w:r>
      <w:r w:rsidRPr="00A36CAE">
        <w:rPr>
          <w:rFonts w:ascii="Verdana" w:eastAsia="Calibri" w:hAnsi="Verdana" w:cs="Arial"/>
          <w:kern w:val="2"/>
          <w:shd w:val="clear" w:color="auto" w:fill="FFFFFF"/>
          <w:lang w:val="es-ES"/>
          <w14:ligatures w14:val="standardContextual"/>
        </w:rPr>
        <w:t xml:space="preserve">C – 564 del </w:t>
      </w:r>
      <w:r w:rsidRPr="00A36CAE">
        <w:rPr>
          <w:rFonts w:ascii="Verdana" w:eastAsia="Calibri" w:hAnsi="Verdana" w:cs="Arial"/>
          <w:kern w:val="2"/>
          <w:shd w:val="clear" w:color="auto" w:fill="FFFFFF"/>
          <w14:ligatures w14:val="standardContextual"/>
        </w:rPr>
        <w:t>07 del Mayo de 2026</w:t>
      </w:r>
      <w:r w:rsidRPr="00A36CAE">
        <w:rPr>
          <w:rFonts w:ascii="Verdana" w:eastAsia="Calibri" w:hAnsi="Verdana" w:cs="Arial"/>
          <w:kern w:val="2"/>
          <w:shd w:val="clear" w:color="auto" w:fill="FFFFFF"/>
          <w:lang w:val="es-ES"/>
          <w14:ligatures w14:val="standardContextual"/>
        </w:rPr>
        <w:t xml:space="preserve">, C-524 del 11 de mayo de 2026, C-476 del 25 de mayo del 2026, C-638 del 26 de mayo del 2026, </w:t>
      </w:r>
      <w:r>
        <w:rPr>
          <w:rFonts w:ascii="Verdana" w:eastAsia="Calibri" w:hAnsi="Verdana" w:cs="Arial"/>
          <w:kern w:val="2"/>
          <w:shd w:val="clear" w:color="auto" w:fill="FFFFFF"/>
          <w:lang w:val="es-ES"/>
          <w14:ligatures w14:val="standardContextual"/>
        </w:rPr>
        <w:t xml:space="preserve">C-657 del </w:t>
      </w:r>
      <w:r w:rsidRPr="00A36CAE">
        <w:rPr>
          <w:rFonts w:ascii="Verdana" w:eastAsia="Calibri" w:hAnsi="Verdana" w:cs="Arial"/>
          <w:kern w:val="2"/>
          <w:shd w:val="clear" w:color="auto" w:fill="FFFFFF"/>
          <w:lang w:val="es-ES"/>
          <w14:ligatures w14:val="standardContextual"/>
        </w:rPr>
        <w:t>26 de mayo del 2026</w:t>
      </w:r>
      <w:r>
        <w:rPr>
          <w:rFonts w:ascii="Verdana" w:eastAsia="Calibri" w:hAnsi="Verdana" w:cs="Arial"/>
          <w:kern w:val="2"/>
          <w:shd w:val="clear" w:color="auto" w:fill="FFFFFF"/>
          <w:lang w:val="es-ES"/>
          <w14:ligatures w14:val="standardContextual"/>
        </w:rPr>
        <w:t xml:space="preserve">, </w:t>
      </w:r>
      <w:r w:rsidRPr="00A36CAE">
        <w:rPr>
          <w:rFonts w:ascii="Verdana" w:eastAsia="Calibri" w:hAnsi="Verdana" w:cs="Arial"/>
          <w:kern w:val="2"/>
          <w:shd w:val="clear" w:color="auto" w:fill="FFFFFF"/>
          <w:lang w:val="es-ES"/>
          <w14:ligatures w14:val="standardContextual"/>
        </w:rPr>
        <w:t xml:space="preserve">entre otros. </w:t>
      </w:r>
    </w:p>
    <w:p w14:paraId="6F6AB7D1" w14:textId="77777777" w:rsidR="00EE61BD" w:rsidRPr="00C518CE" w:rsidRDefault="00EE61BD" w:rsidP="00EE61BD">
      <w:pPr>
        <w:widowControl w:val="0"/>
        <w:autoSpaceDE w:val="0"/>
        <w:autoSpaceDN w:val="0"/>
        <w:spacing w:after="0" w:line="276" w:lineRule="auto"/>
        <w:jc w:val="both"/>
        <w:rPr>
          <w:rFonts w:ascii="Verdana" w:eastAsia="Times New Roman" w:hAnsi="Verdana" w:cs="Arial"/>
          <w:shd w:val="clear" w:color="auto" w:fill="FFFFFF"/>
          <w:lang w:val="es-ES"/>
        </w:rPr>
      </w:pPr>
    </w:p>
    <w:p w14:paraId="6C1AC602" w14:textId="77777777" w:rsidR="00EE61BD" w:rsidRPr="00C518CE" w:rsidRDefault="00EE61BD" w:rsidP="00EE61BD">
      <w:pPr>
        <w:widowControl w:val="0"/>
        <w:autoSpaceDE w:val="0"/>
        <w:autoSpaceDN w:val="0"/>
        <w:spacing w:after="0" w:line="276" w:lineRule="auto"/>
        <w:jc w:val="both"/>
        <w:rPr>
          <w:rFonts w:ascii="Verdana" w:eastAsia="Times New Roman" w:hAnsi="Verdana" w:cs="Arial"/>
          <w:shd w:val="clear" w:color="auto" w:fill="FFFFFF"/>
          <w:lang w:val="es-ES"/>
        </w:rPr>
      </w:pPr>
      <w:r w:rsidRPr="00C518CE">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4" w:history="1">
        <w:r w:rsidRPr="00C518CE">
          <w:rPr>
            <w:rFonts w:ascii="Verdana" w:eastAsia="Aptos" w:hAnsi="Verdana" w:cs="Arial"/>
            <w:color w:val="0000FF"/>
            <w:kern w:val="2"/>
            <w:u w:val="single"/>
            <w:shd w:val="clear" w:color="auto" w:fill="FFFFFF"/>
            <w14:ligatures w14:val="standardContextual"/>
          </w:rPr>
          <w:t>https://relatoria.colombiacompra.gov.co/busqueda/conceptos</w:t>
        </w:r>
      </w:hyperlink>
      <w:r w:rsidRPr="00C518CE">
        <w:rPr>
          <w:rFonts w:ascii="Verdana" w:eastAsia="Aptos" w:hAnsi="Verdana" w:cs="Arial"/>
          <w:kern w:val="2"/>
          <w:shd w:val="clear" w:color="auto" w:fill="FFFFFF"/>
          <w14:ligatures w14:val="standardContextual"/>
        </w:rPr>
        <w:t xml:space="preserve">. </w:t>
      </w:r>
      <w:r w:rsidRPr="00C518CE">
        <w:rPr>
          <w:rFonts w:ascii="Verdana" w:eastAsia="Aptos" w:hAnsi="Verdana" w:cs="Arial"/>
          <w:color w:val="FF0000"/>
          <w:kern w:val="2"/>
          <w:shd w:val="clear" w:color="auto" w:fill="FFFFFF"/>
          <w:lang w:val="es-ES"/>
          <w14:ligatures w14:val="standardContextual"/>
        </w:rPr>
        <w:t xml:space="preserve">  </w:t>
      </w:r>
    </w:p>
    <w:p w14:paraId="5A2B28F2" w14:textId="77777777" w:rsidR="00EE61BD" w:rsidRPr="00C518CE" w:rsidRDefault="00EE61BD" w:rsidP="00EE61BD">
      <w:pPr>
        <w:spacing w:after="0" w:line="240" w:lineRule="auto"/>
        <w:jc w:val="both"/>
        <w:rPr>
          <w:rFonts w:ascii="Verdana" w:eastAsia="Calibri" w:hAnsi="Verdana" w:cs="Arial"/>
          <w:color w:val="000000"/>
          <w:shd w:val="clear" w:color="auto" w:fill="FFFFFF"/>
        </w:rPr>
      </w:pPr>
    </w:p>
    <w:p w14:paraId="44CEAD3F" w14:textId="77777777" w:rsidR="00EE61BD" w:rsidRPr="00C518CE" w:rsidRDefault="00EE61BD" w:rsidP="00EE61BD">
      <w:pPr>
        <w:spacing w:after="0" w:line="276" w:lineRule="auto"/>
        <w:jc w:val="both"/>
      </w:pPr>
      <w:r w:rsidRPr="00C518CE">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C518CE">
        <w:rPr>
          <w:rFonts w:ascii="Verdana" w:eastAsia="Times New Roman" w:hAnsi="Verdana" w:cs="Arial"/>
          <w:b/>
          <w:bCs/>
          <w:lang w:eastAsia="es-MX"/>
        </w:rPr>
        <w:t xml:space="preserve">Curso de Contratación Pública Sostenible y Socialmente </w:t>
      </w:r>
      <w:r w:rsidRPr="00C518CE">
        <w:rPr>
          <w:rFonts w:ascii="Verdana" w:eastAsia="Times New Roman" w:hAnsi="Verdana" w:cs="Arial"/>
          <w:b/>
          <w:bCs/>
          <w:lang w:eastAsia="es-MX"/>
        </w:rPr>
        <w:lastRenderedPageBreak/>
        <w:t>Responsable</w:t>
      </w:r>
      <w:r w:rsidRPr="00C518CE">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C518CE">
        <w:rPr>
          <w:rFonts w:ascii="Verdana" w:eastAsia="Times New Roman" w:hAnsi="Verdana" w:cs="Arial"/>
          <w:lang w:eastAsia="es-MX"/>
        </w:rPr>
        <w:br/>
      </w:r>
      <w:hyperlink r:id="rId15" w:tgtFrame="_new" w:history="1">
        <w:r w:rsidRPr="00C518CE">
          <w:rPr>
            <w:rFonts w:ascii="Verdana" w:eastAsia="Times New Roman" w:hAnsi="Verdana" w:cs="Arial"/>
            <w:color w:val="0000FF"/>
            <w:u w:val="single"/>
            <w:lang w:eastAsia="es-MX"/>
          </w:rPr>
          <w:t>https://formacionvirtual.colombiacompra.gov.co/mod/page/view.php?id=3718</w:t>
        </w:r>
      </w:hyperlink>
    </w:p>
    <w:p w14:paraId="47D921DA" w14:textId="77777777" w:rsidR="00EE61BD" w:rsidRPr="00C518CE" w:rsidRDefault="00EE61BD" w:rsidP="00EE61BD">
      <w:pPr>
        <w:spacing w:after="0" w:line="276" w:lineRule="auto"/>
        <w:jc w:val="both"/>
        <w:rPr>
          <w:rFonts w:ascii="Verdana" w:eastAsia="Times New Roman" w:hAnsi="Verdana" w:cs="Arial"/>
          <w:lang w:eastAsia="es-MX"/>
        </w:rPr>
      </w:pPr>
    </w:p>
    <w:p w14:paraId="6FF48B79" w14:textId="77777777" w:rsidR="00EE61BD" w:rsidRPr="00C518CE" w:rsidRDefault="00EE61BD" w:rsidP="00EE61BD">
      <w:pPr>
        <w:spacing w:after="0" w:line="276" w:lineRule="auto"/>
        <w:jc w:val="both"/>
        <w:rPr>
          <w:rFonts w:ascii="Verdana" w:eastAsia="Times New Roman" w:hAnsi="Verdana" w:cs="Arial"/>
          <w:lang w:eastAsia="es-MX"/>
        </w:rPr>
      </w:pPr>
      <w:r w:rsidRPr="00C518CE">
        <w:rPr>
          <w:rFonts w:ascii="Verdana" w:eastAsia="Times New Roman" w:hAnsi="Verdana" w:cs="Arial"/>
          <w:lang w:eastAsia="es-MX"/>
        </w:rPr>
        <w:t xml:space="preserve">De otro lado, te contamos que esta Agencia ha da un paso decisivo en la estandarización y modernización del </w:t>
      </w:r>
      <w:r w:rsidRPr="00C518CE">
        <w:rPr>
          <w:rFonts w:ascii="Verdana" w:eastAsia="Times New Roman" w:hAnsi="Verdana" w:cs="Arial"/>
          <w:b/>
          <w:bCs/>
          <w:lang w:eastAsia="es-MX"/>
        </w:rPr>
        <w:t>sector  social</w:t>
      </w:r>
      <w:r w:rsidRPr="00C518CE">
        <w:rPr>
          <w:rFonts w:ascii="Verdana" w:eastAsia="Times New Roman" w:hAnsi="Verdana" w:cs="Arial"/>
          <w:lang w:eastAsia="es-MX"/>
        </w:rPr>
        <w:t xml:space="preserve"> con la expedición de las </w:t>
      </w:r>
      <w:r w:rsidRPr="00C518CE">
        <w:rPr>
          <w:rFonts w:ascii="Verdana" w:eastAsia="Times New Roman" w:hAnsi="Verdana" w:cs="Arial"/>
          <w:b/>
          <w:bCs/>
          <w:lang w:eastAsia="es-MX"/>
        </w:rPr>
        <w:t>Resoluciones 539, 540, 541, 952 y 953 de 2025</w:t>
      </w:r>
      <w:r w:rsidRPr="00C518CE">
        <w:rPr>
          <w:rFonts w:ascii="Verdana" w:eastAsia="Times New Roman" w:hAnsi="Verdana" w:cs="Arial"/>
          <w:lang w:eastAsia="es-MX"/>
        </w:rPr>
        <w:t xml:space="preserve">, </w:t>
      </w:r>
      <w:r w:rsidRPr="00C518CE">
        <w:rPr>
          <w:rFonts w:ascii="Verdana" w:eastAsia="Times New Roman" w:hAnsi="Verdana" w:cs="Arial"/>
          <w:b/>
          <w:bCs/>
          <w:lang w:eastAsia="es-MX"/>
        </w:rPr>
        <w:t>mediante las cuales adoptó Documentos Tipo</w:t>
      </w:r>
      <w:r w:rsidRPr="00C518CE">
        <w:rPr>
          <w:rFonts w:ascii="Verdana" w:eastAsia="Times New Roman" w:hAnsi="Verdana" w:cs="Arial"/>
          <w:lang w:eastAsia="es-MX"/>
        </w:rPr>
        <w:t xml:space="preserve"> para las modalidades de selección de</w:t>
      </w:r>
      <w:r w:rsidRPr="00C518CE">
        <w:rPr>
          <w:rFonts w:ascii="Verdana" w:eastAsia="Times New Roman" w:hAnsi="Verdana" w:cs="Arial"/>
          <w:b/>
          <w:bCs/>
          <w:lang w:eastAsia="es-MX"/>
        </w:rPr>
        <w:t xml:space="preserve"> licitación pública (versión 2), selección abreviada de menor cuantía, mínima cuantía, consultoría e interventoría</w:t>
      </w:r>
      <w:r w:rsidRPr="00C518CE">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C518CE">
          <w:rPr>
            <w:rFonts w:ascii="Verdana" w:eastAsia="Times New Roman" w:hAnsi="Verdana" w:cs="Arial"/>
            <w:color w:val="0000FF"/>
            <w:u w:val="single"/>
            <w:lang w:eastAsia="es-MX"/>
          </w:rPr>
          <w:t>https://www.colombiacompra.gov.co/normativa-y-relatoria/documentos-tipo</w:t>
        </w:r>
      </w:hyperlink>
    </w:p>
    <w:p w14:paraId="139794A6" w14:textId="77777777" w:rsidR="00EE61BD" w:rsidRPr="00C518CE" w:rsidRDefault="00EE61BD" w:rsidP="00EE61BD">
      <w:pPr>
        <w:spacing w:after="0" w:line="276" w:lineRule="auto"/>
        <w:jc w:val="both"/>
        <w:rPr>
          <w:rFonts w:ascii="Verdana" w:eastAsia="Times New Roman" w:hAnsi="Verdana" w:cs="Arial"/>
          <w:lang w:eastAsia="es-MX"/>
        </w:rPr>
      </w:pPr>
    </w:p>
    <w:p w14:paraId="392E692A" w14:textId="77777777" w:rsidR="00EE61BD" w:rsidRPr="00C518CE" w:rsidRDefault="00EE61BD" w:rsidP="00EE61BD">
      <w:pPr>
        <w:spacing w:after="0" w:line="276" w:lineRule="auto"/>
        <w:jc w:val="both"/>
        <w:rPr>
          <w:rFonts w:ascii="Verdana" w:eastAsia="Times New Roman" w:hAnsi="Verdana" w:cs="Arial"/>
          <w:lang w:eastAsia="es-MX"/>
        </w:rPr>
      </w:pPr>
      <w:r w:rsidRPr="00C518CE">
        <w:rPr>
          <w:rFonts w:ascii="Verdana" w:eastAsia="Times New Roman" w:hAnsi="Verdana" w:cs="Arial"/>
          <w:lang w:eastAsia="es-MX"/>
        </w:rPr>
        <w:t xml:space="preserve">Si quieres conocer más sobre la aplicación de Documentos Tipo puedes consultar la última versión de la </w:t>
      </w:r>
      <w:r w:rsidRPr="00C518CE">
        <w:rPr>
          <w:rFonts w:ascii="Verdana" w:eastAsia="Times New Roman" w:hAnsi="Verdana" w:cs="Arial"/>
          <w:b/>
          <w:bCs/>
          <w:lang w:eastAsia="es-MX"/>
        </w:rPr>
        <w:t>Guía para la comprensión e implementación de los Documentos Tipo de obra pública de infraestructura de transporte</w:t>
      </w:r>
      <w:r w:rsidRPr="00C518CE">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C518CE">
        <w:rPr>
          <w:rFonts w:ascii="Verdana" w:eastAsia="Times New Roman" w:hAnsi="Verdana" w:cs="Arial"/>
          <w:lang w:eastAsia="es-MX"/>
        </w:rPr>
        <w:br/>
      </w:r>
      <w:hyperlink r:id="rId17" w:tgtFrame="_new" w:history="1">
        <w:r w:rsidRPr="00C518CE">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44854753" w14:textId="77777777" w:rsidR="00EE61BD" w:rsidRPr="00C518CE" w:rsidRDefault="00EE61BD" w:rsidP="00EE61BD">
      <w:pPr>
        <w:spacing w:after="0"/>
        <w:jc w:val="both"/>
        <w:rPr>
          <w:rFonts w:ascii="Verdana" w:eastAsia="Aptos" w:hAnsi="Verdana" w:cs="Times New Roman"/>
          <w:color w:val="212121"/>
          <w:lang w:eastAsia="es-MX"/>
        </w:rPr>
      </w:pPr>
    </w:p>
    <w:p w14:paraId="480E178A" w14:textId="77777777" w:rsidR="00EE61BD" w:rsidRPr="00C518CE" w:rsidRDefault="00EE61BD" w:rsidP="00EE61BD">
      <w:pPr>
        <w:spacing w:after="0" w:line="240" w:lineRule="auto"/>
        <w:jc w:val="both"/>
        <w:rPr>
          <w:rFonts w:ascii="Verdana" w:eastAsia="Calibri" w:hAnsi="Verdana" w:cs="Times New Roman"/>
          <w:lang w:eastAsia="es-MX"/>
        </w:rPr>
      </w:pPr>
      <w:r w:rsidRPr="00C518CE">
        <w:rPr>
          <w:rFonts w:ascii="Verdana" w:eastAsia="Aptos" w:hAnsi="Verdana" w:cs="Times New Roman"/>
          <w:lang w:eastAsia="es-MX"/>
        </w:rPr>
        <w:t xml:space="preserve">Por último, lo invitamos a seguirnos en las redes sociales en las cuales se difunde información institucional: </w:t>
      </w:r>
    </w:p>
    <w:p w14:paraId="5FA9E18C" w14:textId="77777777" w:rsidR="00EE61BD" w:rsidRPr="00C518CE" w:rsidRDefault="00EE61BD" w:rsidP="00EE61BD">
      <w:pPr>
        <w:spacing w:after="0" w:line="240" w:lineRule="auto"/>
        <w:jc w:val="both"/>
        <w:rPr>
          <w:rFonts w:ascii="Verdana" w:eastAsia="Aptos" w:hAnsi="Verdana" w:cs="Times New Roman"/>
          <w:lang w:eastAsia="es-MX"/>
        </w:rPr>
      </w:pPr>
    </w:p>
    <w:p w14:paraId="133E9E97" w14:textId="77777777" w:rsidR="00EE61BD" w:rsidRPr="00C518CE" w:rsidRDefault="00EE61BD" w:rsidP="00EE61BD">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Twitter: </w:t>
      </w:r>
      <w:r w:rsidRPr="00C518CE">
        <w:rPr>
          <w:rFonts w:ascii="Verdana" w:eastAsia="Calibri" w:hAnsi="Verdana" w:cs="Times New Roman"/>
          <w:color w:val="0000FF"/>
          <w:u w:val="single"/>
          <w:lang w:eastAsia="es-MX"/>
        </w:rPr>
        <w:t>@colombiacompra</w:t>
      </w:r>
      <w:r w:rsidRPr="00C518CE">
        <w:rPr>
          <w:rFonts w:ascii="Verdana" w:eastAsia="Calibri" w:hAnsi="Verdana" w:cs="Times New Roman"/>
          <w:color w:val="0000FF"/>
          <w:lang w:eastAsia="es-MX"/>
        </w:rPr>
        <w:t xml:space="preserve"> </w:t>
      </w:r>
    </w:p>
    <w:p w14:paraId="6456BB74" w14:textId="77777777" w:rsidR="00EE61BD" w:rsidRPr="00C518CE" w:rsidRDefault="00EE61BD" w:rsidP="00EE61BD">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t xml:space="preserve">Facebook: </w:t>
      </w:r>
      <w:proofErr w:type="spellStart"/>
      <w:r w:rsidRPr="00C518CE">
        <w:rPr>
          <w:rFonts w:ascii="Verdana" w:eastAsia="Calibri" w:hAnsi="Verdana" w:cs="Times New Roman"/>
          <w:color w:val="0000FF"/>
          <w:u w:val="single"/>
          <w:lang w:eastAsia="es-MX"/>
        </w:rPr>
        <w:t>ColombiaCompraEficiente</w:t>
      </w:r>
      <w:proofErr w:type="spellEnd"/>
    </w:p>
    <w:p w14:paraId="6E623E9C" w14:textId="77777777" w:rsidR="00EE61BD" w:rsidRPr="00C518CE" w:rsidRDefault="00EE61BD" w:rsidP="00EE61BD">
      <w:pPr>
        <w:spacing w:after="0" w:line="240" w:lineRule="auto"/>
        <w:jc w:val="both"/>
        <w:rPr>
          <w:rFonts w:ascii="Verdana" w:eastAsia="Aptos" w:hAnsi="Verdana" w:cs="Times New Roman"/>
          <w:color w:val="0000FF"/>
          <w:lang w:eastAsia="es-MX"/>
        </w:rPr>
      </w:pPr>
      <w:r w:rsidRPr="00C518CE">
        <w:rPr>
          <w:rFonts w:ascii="Verdana" w:eastAsia="Aptos" w:hAnsi="Verdana" w:cs="Times New Roman"/>
          <w:lang w:eastAsia="es-MX"/>
        </w:rPr>
        <w:lastRenderedPageBreak/>
        <w:t xml:space="preserve">LinkedIn: </w:t>
      </w:r>
      <w:r w:rsidRPr="00C518CE">
        <w:rPr>
          <w:rFonts w:ascii="Verdana" w:eastAsia="Calibri" w:hAnsi="Verdana" w:cs="Times New Roman"/>
          <w:color w:val="0000FF"/>
          <w:u w:val="single"/>
          <w:lang w:eastAsia="es-MX"/>
        </w:rPr>
        <w:t>Agencia Nacional de Contratación Pública - Colombia Compra Eficiente</w:t>
      </w:r>
      <w:r w:rsidRPr="00C518CE">
        <w:rPr>
          <w:rFonts w:ascii="Verdana" w:eastAsia="Calibri" w:hAnsi="Verdana" w:cs="Times New Roman"/>
          <w:color w:val="0000FF"/>
          <w:lang w:eastAsia="es-MX"/>
        </w:rPr>
        <w:t xml:space="preserve"> </w:t>
      </w:r>
      <w:r w:rsidRPr="00C518CE">
        <w:rPr>
          <w:rFonts w:ascii="Verdana" w:eastAsia="Aptos" w:hAnsi="Verdana" w:cs="Times New Roman"/>
          <w:lang w:eastAsia="es-MX"/>
        </w:rPr>
        <w:t xml:space="preserve">Instagram: </w:t>
      </w:r>
      <w:r w:rsidRPr="00C518CE">
        <w:rPr>
          <w:rFonts w:ascii="Verdana" w:eastAsia="Calibri" w:hAnsi="Verdana" w:cs="Times New Roman"/>
          <w:color w:val="0000FF"/>
          <w:u w:val="single"/>
          <w:lang w:eastAsia="es-MX"/>
        </w:rPr>
        <w:t>@colombiacompraeficiente_cce</w:t>
      </w:r>
    </w:p>
    <w:p w14:paraId="4A08CEF9" w14:textId="77777777" w:rsidR="00EE61BD" w:rsidRPr="00C518CE" w:rsidRDefault="00EE61BD" w:rsidP="00EE61BD">
      <w:pPr>
        <w:spacing w:after="0" w:line="276" w:lineRule="auto"/>
        <w:jc w:val="both"/>
        <w:rPr>
          <w:rFonts w:ascii="Verdana" w:eastAsia="Aptos" w:hAnsi="Verdana" w:cs="Times New Roman"/>
          <w:color w:val="0000FF"/>
          <w:lang w:eastAsia="es-MX"/>
        </w:rPr>
      </w:pPr>
    </w:p>
    <w:p w14:paraId="4EF8FA4D" w14:textId="77777777" w:rsidR="00EE61BD" w:rsidRPr="00C518CE" w:rsidRDefault="00EE61BD" w:rsidP="00EE61BD">
      <w:pPr>
        <w:spacing w:after="0" w:line="276" w:lineRule="auto"/>
        <w:jc w:val="both"/>
        <w:rPr>
          <w:rFonts w:ascii="Verdana" w:eastAsia="Calibri" w:hAnsi="Verdana" w:cs="Times New Roman"/>
          <w:bCs/>
          <w:lang w:val="es-ES_tradnl" w:eastAsia="es-MX"/>
        </w:rPr>
      </w:pPr>
      <w:r w:rsidRPr="00C518C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0A73FA1" w14:textId="4799E42B" w:rsidR="00EE61BD" w:rsidRPr="00C518CE" w:rsidRDefault="00EE61BD" w:rsidP="00EE61BD">
      <w:pPr>
        <w:spacing w:after="0" w:line="276" w:lineRule="auto"/>
        <w:jc w:val="both"/>
        <w:rPr>
          <w:rFonts w:ascii="Verdana" w:eastAsia="Calibri" w:hAnsi="Verdana" w:cs="Times New Roman"/>
          <w:lang w:eastAsia="es-MX"/>
        </w:rPr>
      </w:pPr>
    </w:p>
    <w:p w14:paraId="6B40CD4A" w14:textId="7F613A50" w:rsidR="00EE61BD" w:rsidRPr="00C518CE" w:rsidRDefault="00EE61BD" w:rsidP="00EE61BD">
      <w:pPr>
        <w:spacing w:after="0" w:line="276" w:lineRule="auto"/>
        <w:jc w:val="both"/>
        <w:rPr>
          <w:rFonts w:ascii="Verdana" w:eastAsia="Calibri" w:hAnsi="Verdana" w:cs="Times New Roman"/>
          <w:lang w:eastAsia="es-MX"/>
        </w:rPr>
      </w:pPr>
      <w:r w:rsidRPr="00C518CE">
        <w:rPr>
          <w:rFonts w:ascii="Verdana" w:eastAsia="Calibri" w:hAnsi="Verdana" w:cs="Times New Roman"/>
          <w:lang w:eastAsia="es-MX"/>
        </w:rPr>
        <w:t>Cordialmente,</w:t>
      </w:r>
    </w:p>
    <w:p w14:paraId="30108CDD" w14:textId="5018AE25" w:rsidR="00EE61BD" w:rsidRPr="00C518CE" w:rsidRDefault="00A34F71" w:rsidP="00EE61BD">
      <w:pPr>
        <w:tabs>
          <w:tab w:val="left" w:pos="1320"/>
        </w:tabs>
        <w:spacing w:after="0"/>
        <w:jc w:val="center"/>
        <w:rPr>
          <w:rFonts w:ascii="Verdana" w:eastAsia="Calibri" w:hAnsi="Verdana" w:cs="Times New Roman"/>
          <w:lang w:eastAsia="es-MX"/>
        </w:rPr>
      </w:pPr>
      <w:r>
        <w:rPr>
          <w:rFonts w:ascii="Verdana" w:eastAsia="Calibri" w:hAnsi="Verdana" w:cs="Times New Roman"/>
          <w:noProof/>
          <w:lang w:eastAsia="es-MX"/>
        </w:rPr>
        <w:drawing>
          <wp:anchor distT="0" distB="0" distL="114300" distR="114300" simplePos="0" relativeHeight="251660288" behindDoc="0" locked="0" layoutInCell="1" allowOverlap="1" wp14:anchorId="4CF837B8" wp14:editId="69972C72">
            <wp:simplePos x="0" y="0"/>
            <wp:positionH relativeFrom="margin">
              <wp:align>center</wp:align>
            </wp:positionH>
            <wp:positionV relativeFrom="margin">
              <wp:posOffset>1772902</wp:posOffset>
            </wp:positionV>
            <wp:extent cx="3121025" cy="1159510"/>
            <wp:effectExtent l="0" t="0" r="3175" b="2540"/>
            <wp:wrapSquare wrapText="bothSides"/>
            <wp:docPr id="8623428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42844" name="Imagen 862342844"/>
                    <pic:cNvPicPr/>
                  </pic:nvPicPr>
                  <pic:blipFill>
                    <a:blip r:embed="rId18">
                      <a:extLst>
                        <a:ext uri="{28A0092B-C50C-407E-A947-70E740481C1C}">
                          <a14:useLocalDpi xmlns:a14="http://schemas.microsoft.com/office/drawing/2010/main" val="0"/>
                        </a:ext>
                      </a:extLst>
                    </a:blip>
                    <a:stretch>
                      <a:fillRect/>
                    </a:stretch>
                  </pic:blipFill>
                  <pic:spPr>
                    <a:xfrm>
                      <a:off x="0" y="0"/>
                      <a:ext cx="3121025" cy="1159510"/>
                    </a:xfrm>
                    <a:prstGeom prst="rect">
                      <a:avLst/>
                    </a:prstGeom>
                  </pic:spPr>
                </pic:pic>
              </a:graphicData>
            </a:graphic>
            <wp14:sizeRelH relativeFrom="margin">
              <wp14:pctWidth>0</wp14:pctWidth>
            </wp14:sizeRelH>
            <wp14:sizeRelV relativeFrom="margin">
              <wp14:pctHeight>0</wp14:pctHeight>
            </wp14:sizeRelV>
          </wp:anchor>
        </w:drawing>
      </w:r>
    </w:p>
    <w:p w14:paraId="05F8D33B" w14:textId="3B6FEE60" w:rsidR="00EE61BD" w:rsidRPr="00C518CE" w:rsidRDefault="00EE61BD" w:rsidP="00EE61BD">
      <w:pPr>
        <w:tabs>
          <w:tab w:val="left" w:pos="1320"/>
        </w:tabs>
        <w:spacing w:after="0"/>
        <w:jc w:val="center"/>
        <w:rPr>
          <w:rFonts w:ascii="Century Gothic" w:hAnsi="Century Gothic"/>
          <w:noProof/>
        </w:rPr>
      </w:pPr>
    </w:p>
    <w:p w14:paraId="35CC22DA" w14:textId="3EBACC8C" w:rsidR="00EE61BD" w:rsidRPr="00C518CE" w:rsidRDefault="00EE61BD" w:rsidP="00EE61BD">
      <w:pPr>
        <w:spacing w:after="0"/>
        <w:jc w:val="both"/>
        <w:rPr>
          <w:rFonts w:ascii="Verdana" w:hAnsi="Verdana"/>
          <w:sz w:val="16"/>
          <w:szCs w:val="16"/>
          <w:lang w:val="es-MX"/>
        </w:rPr>
      </w:pPr>
    </w:p>
    <w:p w14:paraId="7361C34F" w14:textId="77777777" w:rsidR="00EE61BD" w:rsidRPr="00C518CE" w:rsidRDefault="00EE61BD" w:rsidP="00EE61BD">
      <w:pPr>
        <w:spacing w:after="0"/>
        <w:jc w:val="both"/>
        <w:rPr>
          <w:rFonts w:ascii="Verdana" w:hAnsi="Verdana"/>
          <w:sz w:val="16"/>
          <w:szCs w:val="16"/>
          <w:lang w:val="es-MX"/>
        </w:rPr>
      </w:pPr>
    </w:p>
    <w:p w14:paraId="088E9DCC" w14:textId="77777777" w:rsidR="00EE61BD" w:rsidRPr="00C518CE" w:rsidRDefault="00EE61BD" w:rsidP="00EE61BD">
      <w:pPr>
        <w:spacing w:after="0"/>
        <w:jc w:val="both"/>
        <w:rPr>
          <w:rFonts w:ascii="Verdana" w:hAnsi="Verdana"/>
          <w:sz w:val="16"/>
          <w:szCs w:val="16"/>
          <w:lang w:val="es-MX"/>
        </w:rPr>
      </w:pPr>
    </w:p>
    <w:p w14:paraId="62484465" w14:textId="77777777" w:rsidR="00EE61BD" w:rsidRPr="00C518CE" w:rsidRDefault="00EE61BD" w:rsidP="00EE61BD">
      <w:pPr>
        <w:spacing w:after="0"/>
        <w:jc w:val="both"/>
        <w:rPr>
          <w:rFonts w:ascii="Verdana" w:hAnsi="Verdana"/>
          <w:sz w:val="16"/>
          <w:szCs w:val="16"/>
          <w:lang w:val="es-MX"/>
        </w:rPr>
      </w:pPr>
    </w:p>
    <w:p w14:paraId="0974B3C2" w14:textId="77777777" w:rsidR="00EE61BD" w:rsidRDefault="00EE61BD" w:rsidP="00EE61BD">
      <w:pPr>
        <w:spacing w:after="0"/>
        <w:jc w:val="both"/>
        <w:rPr>
          <w:rFonts w:ascii="Verdana" w:hAnsi="Verdana"/>
          <w:sz w:val="16"/>
          <w:szCs w:val="16"/>
          <w:lang w:val="es-MX"/>
        </w:rPr>
      </w:pPr>
    </w:p>
    <w:p w14:paraId="717BAD85" w14:textId="77777777" w:rsidR="00A34F71" w:rsidRPr="00C518CE" w:rsidRDefault="00A34F71" w:rsidP="00EE61BD">
      <w:pPr>
        <w:spacing w:after="0"/>
        <w:jc w:val="both"/>
        <w:rPr>
          <w:rFonts w:ascii="Verdana" w:hAnsi="Verdana"/>
          <w:sz w:val="16"/>
          <w:szCs w:val="16"/>
          <w:lang w:val="es-MX"/>
        </w:rPr>
      </w:pPr>
    </w:p>
    <w:p w14:paraId="4C1358F4" w14:textId="3BD0552F" w:rsidR="00EE61BD" w:rsidRDefault="00EE61BD" w:rsidP="00EE61BD">
      <w:pPr>
        <w:spacing w:after="0"/>
        <w:jc w:val="both"/>
        <w:rPr>
          <w:rFonts w:ascii="Verdana" w:hAnsi="Verdana"/>
          <w:sz w:val="16"/>
          <w:szCs w:val="16"/>
          <w:lang w:val="es-MX"/>
        </w:rPr>
      </w:pPr>
    </w:p>
    <w:p w14:paraId="161AA18B" w14:textId="77777777" w:rsidR="00A34F71" w:rsidRPr="00C518CE" w:rsidRDefault="00A34F71" w:rsidP="00EE61BD">
      <w:pPr>
        <w:spacing w:after="0"/>
        <w:jc w:val="both"/>
        <w:rPr>
          <w:rFonts w:ascii="Verdana" w:hAnsi="Verdana"/>
          <w:sz w:val="16"/>
          <w:szCs w:val="16"/>
          <w:lang w:val="es-MX"/>
        </w:rPr>
      </w:pPr>
    </w:p>
    <w:tbl>
      <w:tblPr>
        <w:tblW w:w="64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8"/>
        <w:gridCol w:w="4991"/>
      </w:tblGrid>
      <w:tr w:rsidR="00EE61BD" w:rsidRPr="00C518CE" w14:paraId="2ACB0C3F" w14:textId="77777777">
        <w:trPr>
          <w:trHeight w:val="265"/>
        </w:trPr>
        <w:tc>
          <w:tcPr>
            <w:tcW w:w="1418" w:type="dxa"/>
            <w:tcBorders>
              <w:top w:val="nil"/>
              <w:left w:val="nil"/>
              <w:bottom w:val="nil"/>
              <w:right w:val="nil"/>
            </w:tcBorders>
            <w:vAlign w:val="center"/>
          </w:tcPr>
          <w:p w14:paraId="1D4866FA"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Elaboró:          </w:t>
            </w:r>
          </w:p>
        </w:tc>
        <w:tc>
          <w:tcPr>
            <w:tcW w:w="4991" w:type="dxa"/>
            <w:tcBorders>
              <w:top w:val="dotted" w:sz="6" w:space="0" w:color="7F7F7F" w:themeColor="text1" w:themeTint="80"/>
              <w:left w:val="nil"/>
              <w:bottom w:val="dotted" w:sz="6" w:space="0" w:color="7F7F7F" w:themeColor="text1" w:themeTint="80"/>
              <w:right w:val="nil"/>
            </w:tcBorders>
            <w:vAlign w:val="center"/>
          </w:tcPr>
          <w:p w14:paraId="7DA35298" w14:textId="2A6F3B51"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Denis Andrea Cárdenas Hernández</w:t>
            </w:r>
          </w:p>
          <w:p w14:paraId="7DA47FE2"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Analista T2-1 de la Subdirección de Gestión Contractual</w:t>
            </w:r>
          </w:p>
        </w:tc>
      </w:tr>
      <w:tr w:rsidR="00EE61BD" w:rsidRPr="00C518CE" w14:paraId="295DE575" w14:textId="77777777">
        <w:trPr>
          <w:trHeight w:val="438"/>
        </w:trPr>
        <w:tc>
          <w:tcPr>
            <w:tcW w:w="1418" w:type="dxa"/>
            <w:tcBorders>
              <w:top w:val="nil"/>
              <w:left w:val="nil"/>
              <w:bottom w:val="nil"/>
              <w:right w:val="nil"/>
            </w:tcBorders>
            <w:vAlign w:val="center"/>
          </w:tcPr>
          <w:p w14:paraId="4AA18C33"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Revisó: </w:t>
            </w:r>
          </w:p>
        </w:tc>
        <w:tc>
          <w:tcPr>
            <w:tcW w:w="4991" w:type="dxa"/>
            <w:tcBorders>
              <w:top w:val="dotted" w:sz="6" w:space="0" w:color="7F7F7F" w:themeColor="text1" w:themeTint="80"/>
              <w:left w:val="nil"/>
              <w:bottom w:val="dotted" w:sz="6" w:space="0" w:color="7F7F7F" w:themeColor="text1" w:themeTint="80"/>
              <w:right w:val="nil"/>
            </w:tcBorders>
            <w:vAlign w:val="center"/>
          </w:tcPr>
          <w:p w14:paraId="328C6D06" w14:textId="1CB6E3B1"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Martha Alicia Romero Vargas</w:t>
            </w:r>
          </w:p>
          <w:p w14:paraId="503F599E"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Gestor T1-15 de la Subdirección de Gestión Contractual</w:t>
            </w:r>
          </w:p>
        </w:tc>
      </w:tr>
      <w:tr w:rsidR="00EE61BD" w:rsidRPr="007877F2" w14:paraId="36F921E3" w14:textId="77777777">
        <w:trPr>
          <w:trHeight w:val="328"/>
        </w:trPr>
        <w:tc>
          <w:tcPr>
            <w:tcW w:w="1418" w:type="dxa"/>
            <w:tcBorders>
              <w:top w:val="nil"/>
              <w:left w:val="nil"/>
              <w:bottom w:val="nil"/>
              <w:right w:val="nil"/>
            </w:tcBorders>
            <w:vAlign w:val="center"/>
          </w:tcPr>
          <w:p w14:paraId="123871EE"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Aprobó: </w:t>
            </w:r>
          </w:p>
        </w:tc>
        <w:tc>
          <w:tcPr>
            <w:tcW w:w="4991" w:type="dxa"/>
            <w:tcBorders>
              <w:top w:val="dotted" w:sz="6" w:space="0" w:color="7F7F7F" w:themeColor="text1" w:themeTint="80"/>
              <w:left w:val="nil"/>
              <w:bottom w:val="dotted" w:sz="6" w:space="0" w:color="7F7F7F" w:themeColor="text1" w:themeTint="80"/>
              <w:right w:val="nil"/>
            </w:tcBorders>
            <w:vAlign w:val="center"/>
          </w:tcPr>
          <w:p w14:paraId="1A776253" w14:textId="77777777" w:rsidR="00EE61BD" w:rsidRPr="00C518CE"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Carolina Quintero Gacharna</w:t>
            </w:r>
          </w:p>
          <w:p w14:paraId="7103B9BB" w14:textId="77777777" w:rsidR="00EE61BD" w:rsidRPr="007877F2" w:rsidRDefault="00EE61BD">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Subdirectora de Gestión Contractual ANCP – CCE</w:t>
            </w:r>
            <w:r>
              <w:rPr>
                <w:rFonts w:ascii="Verdana" w:eastAsia="Times New Roman" w:hAnsi="Verdana" w:cs="Arial"/>
                <w:sz w:val="16"/>
                <w:szCs w:val="16"/>
                <w:lang w:eastAsia="es-CO"/>
              </w:rPr>
              <w:t xml:space="preserve"> </w:t>
            </w:r>
          </w:p>
        </w:tc>
      </w:tr>
    </w:tbl>
    <w:p w14:paraId="3E5CDB44" w14:textId="77777777" w:rsidR="00BE37BB" w:rsidRPr="00BE37BB" w:rsidRDefault="00BE37BB" w:rsidP="00D5689E">
      <w:pPr>
        <w:spacing w:after="0"/>
        <w:rPr>
          <w:rFonts w:ascii="Verdana" w:eastAsia="Verdana" w:hAnsi="Verdana" w:cs="Verdana"/>
          <w:b/>
          <w:bCs/>
        </w:rPr>
      </w:pPr>
    </w:p>
    <w:p w14:paraId="7C9026E2" w14:textId="590EFC54"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700EEB6"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6A0CB84" w14:textId="77777777" w:rsidR="002E2BF8" w:rsidRPr="00E02524" w:rsidRDefault="002E2BF8" w:rsidP="30821638">
      <w:pPr>
        <w:spacing w:after="0"/>
        <w:jc w:val="both"/>
        <w:rPr>
          <w:rFonts w:ascii="Verdana" w:eastAsia="Verdana" w:hAnsi="Verdana" w:cs="Verdana"/>
          <w:lang w:val="es-ES"/>
        </w:rPr>
      </w:pPr>
    </w:p>
    <w:p w14:paraId="493E8921" w14:textId="77777777" w:rsidR="002E2BF8" w:rsidRPr="00E02524" w:rsidRDefault="002E2BF8" w:rsidP="30821638">
      <w:pPr>
        <w:spacing w:after="0"/>
        <w:jc w:val="both"/>
        <w:rPr>
          <w:rFonts w:ascii="Verdana" w:eastAsia="Verdana" w:hAnsi="Verdana" w:cs="Verdana"/>
          <w:lang w:val="es-ES"/>
        </w:rPr>
      </w:pPr>
    </w:p>
    <w:bookmarkEnd w:id="0"/>
    <w:p w14:paraId="0F293BF4" w14:textId="168CF9F9" w:rsidR="00127233" w:rsidRPr="0015699B" w:rsidRDefault="00127233" w:rsidP="00D5689E">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B1D4" w14:textId="77777777" w:rsidR="00E83D32" w:rsidRDefault="00E83D32" w:rsidP="004A1847">
      <w:pPr>
        <w:spacing w:after="0" w:line="240" w:lineRule="auto"/>
      </w:pPr>
      <w:r>
        <w:separator/>
      </w:r>
    </w:p>
  </w:endnote>
  <w:endnote w:type="continuationSeparator" w:id="0">
    <w:p w14:paraId="50B4ED9D" w14:textId="77777777" w:rsidR="00E83D32" w:rsidRDefault="00E83D3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B3E0" w14:textId="77777777" w:rsidR="00E83D32" w:rsidRDefault="00E83D32" w:rsidP="004A1847">
      <w:pPr>
        <w:spacing w:after="0" w:line="240" w:lineRule="auto"/>
      </w:pPr>
      <w:r>
        <w:separator/>
      </w:r>
    </w:p>
  </w:footnote>
  <w:footnote w:type="continuationSeparator" w:id="0">
    <w:p w14:paraId="05285CE5" w14:textId="77777777" w:rsidR="00E83D32" w:rsidRDefault="00E83D32" w:rsidP="004A1847">
      <w:pPr>
        <w:spacing w:after="0" w:line="240" w:lineRule="auto"/>
      </w:pPr>
      <w:r>
        <w:continuationSeparator/>
      </w:r>
    </w:p>
  </w:footnote>
  <w:footnote w:id="1">
    <w:p w14:paraId="062EFABD" w14:textId="77777777" w:rsidR="00EE61BD" w:rsidRPr="00FD362E" w:rsidRDefault="00EE61BD" w:rsidP="00EE61BD">
      <w:pPr>
        <w:pStyle w:val="Textonotapie"/>
        <w:ind w:firstLine="708"/>
        <w:jc w:val="both"/>
        <w:rPr>
          <w:rFonts w:ascii="Verdana" w:hAnsi="Verdana"/>
          <w:sz w:val="16"/>
          <w:szCs w:val="16"/>
        </w:rPr>
      </w:pPr>
      <w:r w:rsidRPr="00FD362E">
        <w:rPr>
          <w:rStyle w:val="Refdenotaalpie"/>
          <w:rFonts w:ascii="Verdana" w:hAnsi="Verdana"/>
          <w:sz w:val="16"/>
          <w:szCs w:val="16"/>
        </w:rPr>
        <w:footnoteRef/>
      </w:r>
      <w:r w:rsidRPr="00FD362E">
        <w:rPr>
          <w:rFonts w:ascii="Verdana" w:hAnsi="Verdana"/>
          <w:sz w:val="16"/>
          <w:szCs w:val="16"/>
        </w:rPr>
        <w:t xml:space="preserve"> </w:t>
      </w:r>
      <w:r w:rsidRPr="00FD362E">
        <w:rPr>
          <w:rFonts w:ascii="Verdana" w:hAnsi="Verdana" w:cs="Arial"/>
          <w:sz w:val="16"/>
          <w:szCs w:val="16"/>
        </w:rPr>
        <w:t>Gaceta del Congreso No. 733 del 2018. Pág. 19</w:t>
      </w:r>
    </w:p>
    <w:p w14:paraId="5355C853" w14:textId="77777777" w:rsidR="00EE61BD" w:rsidRPr="00FD362E" w:rsidRDefault="00EE61BD" w:rsidP="00EE61BD">
      <w:pPr>
        <w:pStyle w:val="Textonotapie"/>
        <w:jc w:val="both"/>
        <w:rPr>
          <w:rFonts w:ascii="Verdana" w:hAnsi="Verdana"/>
          <w:sz w:val="16"/>
          <w:szCs w:val="16"/>
          <w:lang w:val="es-CO"/>
        </w:rPr>
      </w:pPr>
    </w:p>
  </w:footnote>
  <w:footnote w:id="2">
    <w:p w14:paraId="1CF303AD" w14:textId="77777777" w:rsidR="00EE61BD" w:rsidRPr="00FD362E" w:rsidRDefault="00EE61BD" w:rsidP="00EE61BD">
      <w:pPr>
        <w:pStyle w:val="Textonotapie"/>
        <w:ind w:firstLine="708"/>
        <w:jc w:val="both"/>
        <w:rPr>
          <w:rFonts w:ascii="Verdana" w:hAnsi="Verdana" w:cs="Arial"/>
          <w:sz w:val="16"/>
          <w:szCs w:val="16"/>
        </w:rPr>
      </w:pPr>
      <w:r w:rsidRPr="00FD362E">
        <w:rPr>
          <w:rStyle w:val="Refdenotaalpie"/>
          <w:rFonts w:ascii="Verdana" w:hAnsi="Verdana"/>
          <w:sz w:val="16"/>
          <w:szCs w:val="16"/>
        </w:rPr>
        <w:footnoteRef/>
      </w:r>
      <w:r w:rsidRPr="00FD362E">
        <w:rPr>
          <w:rFonts w:ascii="Verdana" w:hAnsi="Verdana"/>
          <w:sz w:val="16"/>
          <w:szCs w:val="16"/>
        </w:rPr>
        <w:t xml:space="preserve"> </w:t>
      </w:r>
      <w:r w:rsidRPr="00FD362E">
        <w:rPr>
          <w:rFonts w:ascii="Verdana" w:hAnsi="Verdana" w:cs="Arial"/>
          <w:sz w:val="16"/>
          <w:szCs w:val="16"/>
        </w:rPr>
        <w:t xml:space="preserve">Ley 2022 de 2020: “Artículo 1. Modifíquese el artículo </w:t>
      </w:r>
      <w:hyperlink r:id="rId1" w:anchor="4" w:history="1">
        <w:r w:rsidRPr="00FD362E">
          <w:rPr>
            <w:rFonts w:ascii="Verdana" w:hAnsi="Verdana" w:cs="Arial"/>
            <w:sz w:val="16"/>
            <w:szCs w:val="16"/>
          </w:rPr>
          <w:t>4</w:t>
        </w:r>
      </w:hyperlink>
      <w:r w:rsidRPr="00FD362E">
        <w:rPr>
          <w:rFonts w:ascii="Verdana" w:hAnsi="Verdana" w:cs="Arial"/>
          <w:sz w:val="16"/>
          <w:szCs w:val="16"/>
        </w:rPr>
        <w:t xml:space="preserve">º de la Ley 1882 de 2018, el cual quedará así: </w:t>
      </w:r>
    </w:p>
    <w:p w14:paraId="31E0D06D" w14:textId="77777777" w:rsidR="00EE61BD" w:rsidRPr="00FD362E" w:rsidRDefault="00EE61BD" w:rsidP="00EE61BD">
      <w:pPr>
        <w:pStyle w:val="Textonotapie"/>
        <w:ind w:firstLine="708"/>
        <w:jc w:val="both"/>
        <w:rPr>
          <w:rFonts w:ascii="Verdana" w:hAnsi="Verdana" w:cs="Arial"/>
          <w:sz w:val="16"/>
          <w:szCs w:val="16"/>
        </w:rPr>
      </w:pPr>
    </w:p>
    <w:p w14:paraId="18A8B181"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 xml:space="preserve">“Artículo 4º. Adiciónese el siguiente </w:t>
      </w:r>
      <w:r w:rsidRPr="00FD362E">
        <w:rPr>
          <w:rFonts w:ascii="Verdana" w:hAnsi="Verdana"/>
          <w:sz w:val="16"/>
          <w:szCs w:val="16"/>
        </w:rPr>
        <w:t xml:space="preserve"> </w:t>
      </w:r>
      <w:r w:rsidRPr="00FD362E">
        <w:rPr>
          <w:rFonts w:ascii="Verdana" w:hAnsi="Verdana" w:cs="Arial"/>
          <w:sz w:val="16"/>
          <w:szCs w:val="16"/>
        </w:rPr>
        <w:t>al artículo 2º de la Ley 1150 de 2007.</w:t>
      </w:r>
    </w:p>
    <w:p w14:paraId="1AAE556B" w14:textId="77777777" w:rsidR="00EE61BD" w:rsidRPr="00FD362E" w:rsidRDefault="00EE61BD" w:rsidP="00EE61BD">
      <w:pPr>
        <w:pStyle w:val="Textonotapie"/>
        <w:ind w:firstLine="708"/>
        <w:jc w:val="both"/>
        <w:rPr>
          <w:rFonts w:ascii="Verdana" w:hAnsi="Verdana" w:cs="Arial"/>
          <w:sz w:val="16"/>
          <w:szCs w:val="16"/>
        </w:rPr>
      </w:pPr>
    </w:p>
    <w:p w14:paraId="2D0F9C26"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Parágrafo 7º. La Agencia Nacional de Contratación Pública Colombia Compra Eficiente o quien haga sus veces, adoptará documentos tipo que serán de obligatorio cumplimiento en la actividad contractual de todas las entidades sometidas al Estatuto General de Contratación de la Administración Pública.</w:t>
      </w:r>
    </w:p>
    <w:p w14:paraId="4AE63313" w14:textId="77777777" w:rsidR="00EE61BD" w:rsidRPr="00FD362E" w:rsidRDefault="00EE61BD" w:rsidP="00EE61BD">
      <w:pPr>
        <w:pStyle w:val="Textonotapie"/>
        <w:ind w:firstLine="708"/>
        <w:jc w:val="both"/>
        <w:rPr>
          <w:rFonts w:ascii="Verdana" w:hAnsi="Verdana" w:cs="Arial"/>
          <w:sz w:val="16"/>
          <w:szCs w:val="16"/>
        </w:rPr>
      </w:pPr>
    </w:p>
    <w:p w14:paraId="7C422E80"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Dentro de estos documentos tipo, se establecerán los requisitos habilitantes, factores técnicos, económicos y otros factores de escogencia, así como aquellos requisitos que, previa justificación, representen buenas prácticas contractuales que procuren el adecuado desarrollo de los principios que rigen la contratación pública.</w:t>
      </w:r>
    </w:p>
    <w:p w14:paraId="11FED319" w14:textId="77777777" w:rsidR="00EE61BD" w:rsidRPr="00FD362E" w:rsidRDefault="00EE61BD" w:rsidP="00EE61BD">
      <w:pPr>
        <w:pStyle w:val="Textonotapie"/>
        <w:ind w:firstLine="708"/>
        <w:jc w:val="both"/>
        <w:rPr>
          <w:rFonts w:ascii="Verdana" w:hAnsi="Verdana" w:cs="Arial"/>
          <w:sz w:val="16"/>
          <w:szCs w:val="16"/>
        </w:rPr>
      </w:pPr>
    </w:p>
    <w:p w14:paraId="77F51D73"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Con el ánimo de promover la descentralización, el empleo local el desarrollo, los servicios e industria local, en la adopción de los documentos tipo, se tendrá en cuenta las características propias de las regiones, la cuantía, el fomento de la economía local y la naturaleza y especialidad de la contratación. Para tal efecto se deberá llevar a cabo un proceso de capacitación para los municipios.</w:t>
      </w:r>
    </w:p>
    <w:p w14:paraId="1177CDE6" w14:textId="77777777" w:rsidR="00EE61BD" w:rsidRPr="00FD362E" w:rsidRDefault="00EE61BD" w:rsidP="00EE61BD">
      <w:pPr>
        <w:pStyle w:val="Textonotapie"/>
        <w:ind w:firstLine="708"/>
        <w:jc w:val="both"/>
        <w:rPr>
          <w:rFonts w:ascii="Verdana" w:hAnsi="Verdana" w:cs="Arial"/>
          <w:sz w:val="16"/>
          <w:szCs w:val="16"/>
        </w:rPr>
      </w:pPr>
    </w:p>
    <w:p w14:paraId="3C22B39E"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w:t>
      </w:r>
    </w:p>
    <w:p w14:paraId="1A517DAE" w14:textId="77777777" w:rsidR="00EE61BD" w:rsidRPr="00FD362E" w:rsidRDefault="00EE61BD" w:rsidP="00EE61BD">
      <w:pPr>
        <w:pStyle w:val="Textonotapie"/>
        <w:ind w:firstLine="708"/>
        <w:jc w:val="both"/>
        <w:rPr>
          <w:rFonts w:ascii="Verdana" w:hAnsi="Verdana" w:cs="Arial"/>
          <w:sz w:val="16"/>
          <w:szCs w:val="16"/>
        </w:rPr>
      </w:pPr>
    </w:p>
    <w:p w14:paraId="434F486A"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En todo caso, 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 que lleven a cabo todas las entidades sometidas al Estatuto General de Contratación de la Administración Pública, en los términos fijados mediante la reglamentación correspondiente”.</w:t>
      </w:r>
    </w:p>
    <w:p w14:paraId="5399D9EE"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 xml:space="preserve"> </w:t>
      </w:r>
    </w:p>
  </w:footnote>
  <w:footnote w:id="3">
    <w:p w14:paraId="504A6DFB" w14:textId="77777777" w:rsidR="00EE61BD" w:rsidRPr="00FD362E" w:rsidRDefault="00EE61BD" w:rsidP="00EE61BD">
      <w:pPr>
        <w:pStyle w:val="Textonotapie"/>
        <w:ind w:firstLine="708"/>
        <w:jc w:val="both"/>
        <w:rPr>
          <w:rFonts w:ascii="Verdana" w:hAnsi="Verdana" w:cs="Arial"/>
          <w:sz w:val="16"/>
          <w:szCs w:val="16"/>
        </w:rPr>
      </w:pPr>
      <w:r w:rsidRPr="00FD362E">
        <w:rPr>
          <w:rStyle w:val="Refdenotaalpie"/>
          <w:rFonts w:ascii="Verdana" w:hAnsi="Verdana" w:cs="Arial"/>
          <w:sz w:val="16"/>
          <w:szCs w:val="16"/>
        </w:rPr>
        <w:footnoteRef/>
      </w:r>
      <w:r w:rsidRPr="00FD362E">
        <w:rPr>
          <w:rFonts w:ascii="Verdana" w:hAnsi="Verdana" w:cs="Arial"/>
          <w:sz w:val="16"/>
          <w:szCs w:val="16"/>
        </w:rPr>
        <w:t xml:space="preserve"> Ley 80 de 1993. “Artículo 2. De la definición de entidades, servidores y servicios públicos. Para los solos efectos de esta ley:</w:t>
      </w:r>
    </w:p>
    <w:p w14:paraId="526A0CF3" w14:textId="77777777" w:rsidR="00EE61BD" w:rsidRPr="00FD362E" w:rsidRDefault="00EE61BD" w:rsidP="00EE61BD">
      <w:pPr>
        <w:pStyle w:val="Textonotapie"/>
        <w:ind w:firstLine="708"/>
        <w:jc w:val="both"/>
        <w:rPr>
          <w:rFonts w:ascii="Verdana" w:hAnsi="Verdana" w:cs="Arial"/>
          <w:sz w:val="16"/>
          <w:szCs w:val="16"/>
        </w:rPr>
      </w:pPr>
    </w:p>
    <w:p w14:paraId="497FAD27"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1o. Se denominan entidades estatales:</w:t>
      </w:r>
    </w:p>
    <w:p w14:paraId="42229A11" w14:textId="77777777" w:rsidR="00EE61BD" w:rsidRPr="00FD362E" w:rsidRDefault="00EE61BD" w:rsidP="00EE61BD">
      <w:pPr>
        <w:pStyle w:val="Textonotapie"/>
        <w:ind w:firstLine="708"/>
        <w:jc w:val="both"/>
        <w:rPr>
          <w:rFonts w:ascii="Verdana" w:hAnsi="Verdana" w:cs="Arial"/>
          <w:sz w:val="16"/>
          <w:szCs w:val="16"/>
        </w:rPr>
      </w:pPr>
    </w:p>
    <w:p w14:paraId="447D6367" w14:textId="77777777" w:rsidR="00EE61BD" w:rsidRPr="00FD362E"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p>
    <w:p w14:paraId="195B4F78" w14:textId="77777777" w:rsidR="00EE61BD" w:rsidRPr="00FD362E" w:rsidRDefault="00EE61BD" w:rsidP="00EE61BD">
      <w:pPr>
        <w:pStyle w:val="Textonotapie"/>
        <w:ind w:firstLine="708"/>
        <w:jc w:val="both"/>
        <w:rPr>
          <w:rFonts w:ascii="Verdana" w:hAnsi="Verdana" w:cs="Arial"/>
          <w:sz w:val="16"/>
          <w:szCs w:val="16"/>
        </w:rPr>
      </w:pPr>
    </w:p>
    <w:p w14:paraId="5F047B65" w14:textId="77777777" w:rsidR="00EE61BD" w:rsidRDefault="00EE61BD" w:rsidP="00EE61BD">
      <w:pPr>
        <w:pStyle w:val="Textonotapie"/>
        <w:ind w:firstLine="708"/>
        <w:jc w:val="both"/>
        <w:rPr>
          <w:rFonts w:ascii="Verdana" w:hAnsi="Verdana" w:cs="Arial"/>
          <w:sz w:val="16"/>
          <w:szCs w:val="16"/>
        </w:rPr>
      </w:pPr>
      <w:r w:rsidRPr="00FD362E">
        <w:rPr>
          <w:rFonts w:ascii="Verdana" w:hAnsi="Verdana" w:cs="Arial"/>
          <w:sz w:val="16"/>
          <w:szCs w:val="16"/>
        </w:rPr>
        <w:t>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w:t>
      </w:r>
    </w:p>
    <w:p w14:paraId="49FEB280" w14:textId="77777777" w:rsidR="00EE61BD" w:rsidRPr="00FD362E" w:rsidRDefault="00EE61BD" w:rsidP="00EE61BD">
      <w:pPr>
        <w:pStyle w:val="Textonotapie"/>
        <w:ind w:firstLine="708"/>
        <w:jc w:val="both"/>
        <w:rPr>
          <w:rFonts w:ascii="Verdana" w:hAnsi="Verdana" w:cs="Arial"/>
          <w:i/>
          <w:sz w:val="16"/>
          <w:szCs w:val="16"/>
        </w:rPr>
      </w:pPr>
    </w:p>
  </w:footnote>
  <w:footnote w:id="4">
    <w:p w14:paraId="4B12A60D" w14:textId="77777777" w:rsidR="00EE61BD" w:rsidRPr="00FD362E" w:rsidRDefault="00EE61BD" w:rsidP="00EE61BD">
      <w:pPr>
        <w:pStyle w:val="Textonotapie"/>
        <w:ind w:firstLine="708"/>
        <w:jc w:val="both"/>
        <w:rPr>
          <w:rFonts w:ascii="Verdana" w:hAnsi="Verdana" w:cs="Arial"/>
          <w:sz w:val="16"/>
          <w:szCs w:val="16"/>
          <w:lang w:val="es-CO"/>
        </w:rPr>
      </w:pPr>
      <w:r w:rsidRPr="00FD362E">
        <w:rPr>
          <w:rStyle w:val="Refdenotaalpie"/>
          <w:sz w:val="16"/>
          <w:szCs w:val="16"/>
        </w:rPr>
        <w:footnoteRef/>
      </w:r>
      <w:r w:rsidRPr="00FD362E">
        <w:rPr>
          <w:sz w:val="16"/>
          <w:szCs w:val="16"/>
        </w:rPr>
        <w:t xml:space="preserve"> </w:t>
      </w:r>
      <w:r w:rsidRPr="00FD362E">
        <w:rPr>
          <w:rFonts w:ascii="Verdana" w:hAnsi="Verdana" w:cs="Arial"/>
          <w:sz w:val="16"/>
          <w:szCs w:val="16"/>
        </w:rPr>
        <w:t>Resolución 160 de 2020. “</w:t>
      </w:r>
      <w:r w:rsidRPr="00FD362E">
        <w:rPr>
          <w:rFonts w:ascii="Verdana" w:hAnsi="Verdana" w:cs="Arial"/>
          <w:sz w:val="16"/>
          <w:szCs w:val="16"/>
          <w:lang w:val="es-CO"/>
        </w:rPr>
        <w:t xml:space="preserve">Artículo 2° Planeación. La Agencia Nacional de Contratación Pública -Colombia Compra Eficiente- definirá los documentos tipo que adoptará anualmente. Dicha decisión se efectuará de acuerdo con el análisis de las contrataciones estratégicas establecidas en los documentos de política pública, o de conformidad con el análisis histórico de la categoría de gasto estatal y abastecimiento estratégico de las entidades públicas, o atendiendo la planeación de las adquisiciones contendidas en los planes de gobierno, planes anuales de adquisiciones, y/u otros documentos que puedan contener potenciales contrataciones por parte del Estado en el orden municipal, distrital, departamental, regional y nacional, sin perjuicio que se realicen en virtud de alguna solicitud de otra u otras entidades. </w:t>
      </w:r>
    </w:p>
    <w:p w14:paraId="25791A7D" w14:textId="77777777" w:rsidR="00EE61BD" w:rsidRPr="00FD362E" w:rsidRDefault="00EE61BD" w:rsidP="00EE61BD">
      <w:pPr>
        <w:pStyle w:val="Textonotapie"/>
        <w:ind w:firstLine="708"/>
        <w:jc w:val="both"/>
        <w:rPr>
          <w:rFonts w:ascii="Verdana" w:hAnsi="Verdana" w:cs="Arial"/>
          <w:sz w:val="16"/>
          <w:szCs w:val="16"/>
          <w:lang w:val="es-CO"/>
        </w:rPr>
      </w:pPr>
    </w:p>
    <w:p w14:paraId="31F9F81D" w14:textId="77777777" w:rsidR="00EE61BD" w:rsidRPr="00FD362E" w:rsidRDefault="00EE61BD" w:rsidP="00EE61BD">
      <w:pPr>
        <w:pStyle w:val="Textonotapie"/>
        <w:ind w:firstLine="708"/>
        <w:jc w:val="both"/>
        <w:rPr>
          <w:rFonts w:ascii="Verdana" w:hAnsi="Verdana" w:cs="Arial"/>
          <w:sz w:val="16"/>
          <w:szCs w:val="16"/>
          <w:lang w:val="es-CO"/>
        </w:rPr>
      </w:pPr>
      <w:r w:rsidRPr="00FD362E">
        <w:rPr>
          <w:rFonts w:ascii="Verdana" w:hAnsi="Verdana" w:cs="Arial"/>
          <w:sz w:val="16"/>
          <w:szCs w:val="16"/>
          <w:lang w:val="es-CO"/>
        </w:rPr>
        <w:t xml:space="preserve">En desarrollo de lo anterior, la Subdirección de Estudios de Mercado y Abastecimiento Estratégico elaborará un informe semestral que contenga un análisis histórico del gasto estatal, así como de la planeación de las adquisiciones contempladas en los planes de gobierno, planes anuales de adquisiciones, y otros documentos que puedan contener potenciales adquisiciones por parte de las entidades públicas sometidas al Estatuto General de Contratación de la Administración Pública, para que la Subdirección de Gestión Contractual, o quien haga sus veces, examine la pertinencia de implementar documentos tipo para algún objeto contractual o modalidad de selección. </w:t>
      </w:r>
    </w:p>
    <w:p w14:paraId="5DB04E0B" w14:textId="77777777" w:rsidR="00EE61BD" w:rsidRPr="00FD362E" w:rsidRDefault="00EE61BD" w:rsidP="00EE61BD">
      <w:pPr>
        <w:pStyle w:val="Textonotapie"/>
        <w:ind w:firstLine="708"/>
        <w:jc w:val="both"/>
        <w:rPr>
          <w:rFonts w:ascii="Verdana" w:hAnsi="Verdana" w:cs="Arial"/>
          <w:sz w:val="16"/>
          <w:szCs w:val="16"/>
          <w:lang w:val="es-CO"/>
        </w:rPr>
      </w:pPr>
    </w:p>
    <w:p w14:paraId="4FAEF036" w14:textId="77777777" w:rsidR="00EE61BD" w:rsidRDefault="00EE61BD" w:rsidP="00EE61BD">
      <w:pPr>
        <w:pStyle w:val="Textonotapie"/>
        <w:ind w:firstLine="708"/>
        <w:jc w:val="both"/>
        <w:rPr>
          <w:rFonts w:ascii="Verdana" w:hAnsi="Verdana" w:cs="Arial"/>
          <w:sz w:val="16"/>
          <w:szCs w:val="16"/>
          <w:lang w:val="es-CO"/>
        </w:rPr>
      </w:pPr>
      <w:r w:rsidRPr="00FD362E">
        <w:rPr>
          <w:rFonts w:ascii="Verdana" w:hAnsi="Verdana" w:cs="Arial"/>
          <w:sz w:val="16"/>
          <w:szCs w:val="16"/>
          <w:lang w:val="es-CO"/>
        </w:rPr>
        <w:t>Lo anterior, sin perjuicio de la posibilidad de construir documentos tipo para la ejecución de contratos estatales que implementen buenas prácticas en la gestión contractual, independientemente del régimen jurídico que le sea aplicable, previa concertación con las entidades responsables de formular cada política.</w:t>
      </w:r>
    </w:p>
    <w:p w14:paraId="054216E5" w14:textId="77777777" w:rsidR="00EE61BD" w:rsidRPr="00FD362E" w:rsidRDefault="00EE61BD" w:rsidP="00EE61BD">
      <w:pPr>
        <w:pStyle w:val="Textonotapie"/>
        <w:ind w:firstLine="708"/>
        <w:jc w:val="both"/>
        <w:rPr>
          <w:sz w:val="16"/>
          <w:szCs w:val="16"/>
          <w:lang w:val="es-ES_tradnl"/>
        </w:rPr>
      </w:pPr>
    </w:p>
  </w:footnote>
  <w:footnote w:id="5">
    <w:p w14:paraId="53750969" w14:textId="77777777" w:rsidR="00EE61BD" w:rsidRPr="0096560C" w:rsidRDefault="00EE61BD" w:rsidP="00EE61BD">
      <w:pPr>
        <w:pStyle w:val="Textonotapie"/>
        <w:ind w:firstLine="708"/>
        <w:jc w:val="both"/>
        <w:rPr>
          <w:lang w:val="es-ES_tradnl"/>
        </w:rPr>
      </w:pPr>
      <w:r>
        <w:rPr>
          <w:rStyle w:val="Refdenotaalpie"/>
        </w:rPr>
        <w:footnoteRef/>
      </w:r>
      <w:r>
        <w:t xml:space="preserve"> </w:t>
      </w:r>
      <w:r w:rsidRPr="00FD362E">
        <w:rPr>
          <w:rFonts w:ascii="Verdana" w:hAnsi="Verdana" w:cs="Arial"/>
          <w:sz w:val="16"/>
          <w:szCs w:val="16"/>
        </w:rPr>
        <w:t>Resolución 160 de 2020. “</w:t>
      </w:r>
      <w:r w:rsidRPr="00FD362E">
        <w:rPr>
          <w:rFonts w:ascii="Verdana" w:hAnsi="Verdana" w:cs="Arial"/>
          <w:sz w:val="16"/>
          <w:szCs w:val="16"/>
          <w:lang w:val="es-CO"/>
        </w:rPr>
        <w:t xml:space="preserve">Artículo </w:t>
      </w:r>
      <w:r>
        <w:rPr>
          <w:rFonts w:ascii="Verdana" w:hAnsi="Verdana" w:cs="Arial"/>
          <w:sz w:val="16"/>
          <w:szCs w:val="16"/>
          <w:lang w:val="es-CO"/>
        </w:rPr>
        <w:t>3</w:t>
      </w:r>
      <w:r w:rsidRPr="00FD362E">
        <w:rPr>
          <w:rFonts w:ascii="Verdana" w:hAnsi="Verdana" w:cs="Arial"/>
          <w:sz w:val="16"/>
          <w:szCs w:val="16"/>
          <w:lang w:val="es-CO"/>
        </w:rPr>
        <w:t xml:space="preserve">° </w:t>
      </w:r>
      <w:r w:rsidRPr="00FC3EE9">
        <w:rPr>
          <w:rFonts w:ascii="Verdana" w:hAnsi="Verdana" w:cs="Arial"/>
          <w:sz w:val="16"/>
          <w:szCs w:val="16"/>
          <w:lang w:val="es-CO"/>
        </w:rPr>
        <w:t xml:space="preserve">Estudio y elaboración del anteproyecto. </w:t>
      </w:r>
      <w:r>
        <w:rPr>
          <w:rFonts w:ascii="Verdana" w:hAnsi="Verdana" w:cs="Arial"/>
          <w:sz w:val="16"/>
          <w:szCs w:val="16"/>
          <w:lang w:val="es-CO"/>
        </w:rPr>
        <w:t>Un</w:t>
      </w:r>
      <w:r w:rsidRPr="00FC3EE9">
        <w:rPr>
          <w:rFonts w:ascii="Verdana" w:hAnsi="Verdana" w:cs="Arial"/>
          <w:sz w:val="16"/>
          <w:szCs w:val="16"/>
          <w:lang w:val="es-CO"/>
        </w:rPr>
        <w:t>a vez definida la viabilidad de adoptar un documento tipo para un sector, un objeto contractual o modalidad de selección, se procederá a realizar un estudio por parie de la Subdirección de Gestión Contractual de la Agencia Nacional de Contratación Pública -Colombia Compra Eficiente- para definir las condiciones pa</w:t>
      </w:r>
      <w:r>
        <w:rPr>
          <w:rFonts w:ascii="Verdana" w:hAnsi="Verdana" w:cs="Arial"/>
          <w:sz w:val="16"/>
          <w:szCs w:val="16"/>
          <w:lang w:val="es-CO"/>
        </w:rPr>
        <w:t>rticul</w:t>
      </w:r>
      <w:r w:rsidRPr="00FC3EE9">
        <w:rPr>
          <w:rFonts w:ascii="Verdana" w:hAnsi="Verdana" w:cs="Arial"/>
          <w:sz w:val="16"/>
          <w:szCs w:val="16"/>
          <w:lang w:val="es-CO"/>
        </w:rPr>
        <w:t>ares aplicables, de conformidad con el cual se estructurará el anteproyecto del documento tipo</w:t>
      </w:r>
      <w:r>
        <w:rPr>
          <w:rFonts w:ascii="Verdana" w:hAnsi="Verdana" w:cs="Arial"/>
          <w:sz w:val="16"/>
          <w:szCs w:val="16"/>
          <w:lang w:val="es-CO"/>
        </w:rPr>
        <w:t>” y “</w:t>
      </w:r>
      <w:r w:rsidRPr="00C622BB">
        <w:rPr>
          <w:rFonts w:ascii="Verdana" w:hAnsi="Verdana" w:cs="Arial"/>
          <w:sz w:val="16"/>
          <w:szCs w:val="16"/>
          <w:lang w:val="es-CO"/>
        </w:rPr>
        <w:t>Artículo 4° Memoria justificativa. El anteproyecto de documento tipo contendrá su memoria justificativa y el proyecto de resolución por medio de la cual se adoptará</w:t>
      </w:r>
      <w:r>
        <w:rPr>
          <w:rFonts w:ascii="Verdana" w:hAnsi="Verdana" w:cs="Arial"/>
          <w:sz w:val="16"/>
          <w:szCs w:val="16"/>
          <w:lang w:val="es-CO"/>
        </w:rPr>
        <w:t>”.</w:t>
      </w:r>
    </w:p>
  </w:footnote>
  <w:footnote w:id="6">
    <w:p w14:paraId="4BF6E027" w14:textId="77777777" w:rsidR="00EE61BD" w:rsidRDefault="00EE61BD" w:rsidP="00EE61BD">
      <w:pPr>
        <w:pStyle w:val="Textonotapie"/>
        <w:ind w:firstLine="708"/>
        <w:jc w:val="both"/>
        <w:rPr>
          <w:rFonts w:ascii="Verdana" w:hAnsi="Verdana"/>
          <w:sz w:val="16"/>
          <w:szCs w:val="16"/>
        </w:rPr>
      </w:pPr>
      <w:r w:rsidRPr="007E7A46">
        <w:rPr>
          <w:rStyle w:val="Refdenotaalpie"/>
          <w:rFonts w:ascii="Verdana" w:hAnsi="Verdana"/>
          <w:sz w:val="16"/>
          <w:szCs w:val="16"/>
        </w:rPr>
        <w:footnoteRef/>
      </w:r>
      <w:r w:rsidRPr="007E7A46">
        <w:rPr>
          <w:rFonts w:ascii="Verdana" w:hAnsi="Verdana"/>
          <w:sz w:val="16"/>
          <w:szCs w:val="16"/>
        </w:rPr>
        <w:t xml:space="preserve"> </w:t>
      </w:r>
      <w:r w:rsidRPr="007E7A46">
        <w:rPr>
          <w:rFonts w:ascii="Verdana" w:hAnsi="Verdana" w:cs="Arial"/>
          <w:sz w:val="16"/>
          <w:szCs w:val="16"/>
        </w:rPr>
        <w:t>Resolución 160 de 2020. “</w:t>
      </w:r>
      <w:r w:rsidRPr="007E7A46">
        <w:rPr>
          <w:rFonts w:ascii="Verdana" w:hAnsi="Verdana"/>
          <w:sz w:val="16"/>
          <w:szCs w:val="16"/>
        </w:rPr>
        <w:t>Artículo 7º Publicación en página web del proyecto de documento tipo. Una vez elaborado el proyecto de documento tipo con los insumos de las entidades técnicas o especializadas y definido el procedimiento para su implementación, se procederá a publicarlo en la página web de la Agencia Nacional de Contratación Pública -Colombia Compra Eficiente- y demás medios de difusión electrónica con los que cuente la entidad, para que los ciudadanos y grupos de interés puedan presentar observaciones al proyecto de resolución.</w:t>
      </w:r>
    </w:p>
    <w:p w14:paraId="59021E4B" w14:textId="77777777" w:rsidR="00EE61BD" w:rsidRPr="007E7A46" w:rsidRDefault="00EE61BD" w:rsidP="00EE61BD">
      <w:pPr>
        <w:pStyle w:val="Textonotapie"/>
        <w:ind w:firstLine="708"/>
        <w:jc w:val="both"/>
        <w:rPr>
          <w:rFonts w:ascii="Verdana" w:hAnsi="Verdana"/>
          <w:sz w:val="16"/>
          <w:szCs w:val="16"/>
        </w:rPr>
      </w:pPr>
    </w:p>
    <w:p w14:paraId="41511330" w14:textId="77777777" w:rsidR="00EE61BD" w:rsidRPr="007E7A46" w:rsidRDefault="00EE61BD" w:rsidP="00EE61BD">
      <w:pPr>
        <w:pStyle w:val="Textonotapie"/>
        <w:ind w:firstLine="708"/>
        <w:jc w:val="both"/>
        <w:rPr>
          <w:lang w:val="es-ES_tradnl"/>
        </w:rPr>
      </w:pPr>
      <w:r w:rsidRPr="007E7A46">
        <w:rPr>
          <w:rFonts w:ascii="Verdana" w:hAnsi="Verdana"/>
          <w:sz w:val="16"/>
          <w:szCs w:val="16"/>
        </w:rPr>
        <w:t>Para el efecto, se dispondrá de un formulario en la página web institucional, a través del cual los ciudadanos y grupos de interés puedan presentar observaciones a cada uno de los componentes del documento tipo. En todo caso, el plazo para presentar las observaciones no podrá ser inferior a diez (10) días calendario, el cual podrá ser superior para aquellos documentos que, en atención a la complejidad del tema, requieran de mayor tiempo para garantizar la participación de los interesados mediante sus comentarios y observaciones.</w:t>
      </w:r>
    </w:p>
  </w:footnote>
  <w:footnote w:id="7">
    <w:p w14:paraId="5E5A0083" w14:textId="77777777" w:rsidR="00EE61BD" w:rsidRPr="00FD362E" w:rsidRDefault="00EE61BD" w:rsidP="00EE61BD">
      <w:pPr>
        <w:pStyle w:val="Textonotapie"/>
        <w:ind w:firstLine="709"/>
        <w:jc w:val="both"/>
        <w:rPr>
          <w:rFonts w:ascii="Verdana" w:hAnsi="Verdana" w:cs="Arial"/>
          <w:color w:val="000000"/>
          <w:sz w:val="16"/>
          <w:szCs w:val="16"/>
        </w:rPr>
      </w:pPr>
    </w:p>
    <w:p w14:paraId="3DD286E5" w14:textId="77777777" w:rsidR="00EE61BD" w:rsidRPr="00FD362E" w:rsidRDefault="00EE61BD" w:rsidP="00EE61BD">
      <w:pPr>
        <w:pStyle w:val="Textonotapie"/>
        <w:ind w:firstLine="709"/>
        <w:jc w:val="both"/>
        <w:rPr>
          <w:rFonts w:ascii="Verdana" w:hAnsi="Verdana" w:cs="Arial"/>
          <w:color w:val="000000"/>
          <w:sz w:val="16"/>
          <w:szCs w:val="16"/>
          <w:lang w:val="es-ES"/>
        </w:rPr>
      </w:pPr>
      <w:r w:rsidRPr="00FD362E">
        <w:rPr>
          <w:rStyle w:val="Refdenotaalpie"/>
          <w:rFonts w:ascii="Verdana" w:hAnsi="Verdana" w:cs="Arial"/>
          <w:color w:val="000000"/>
          <w:sz w:val="16"/>
          <w:szCs w:val="16"/>
        </w:rPr>
        <w:footnoteRef/>
      </w:r>
      <w:r w:rsidRPr="00FD362E">
        <w:rPr>
          <w:rFonts w:ascii="Verdana" w:hAnsi="Verdana" w:cs="Arial"/>
          <w:color w:val="000000"/>
          <w:sz w:val="16"/>
          <w:szCs w:val="16"/>
        </w:rPr>
        <w:t xml:space="preserve"> </w:t>
      </w:r>
      <w:r w:rsidRPr="00FD362E">
        <w:rPr>
          <w:rFonts w:ascii="Verdana" w:hAnsi="Verdana" w:cs="Arial"/>
          <w:color w:val="000000"/>
          <w:sz w:val="16"/>
          <w:szCs w:val="16"/>
          <w:lang w:val="es-ES"/>
        </w:rPr>
        <w:t>En cuanto a las resoluciones vigentes, dicha regla se observa en el artículo 3 de las Resoluciones</w:t>
      </w:r>
      <w:bookmarkStart w:id="2" w:name="_Hlk82363077"/>
      <w:r w:rsidRPr="00FD362E">
        <w:rPr>
          <w:rFonts w:ascii="Verdana" w:hAnsi="Verdana" w:cs="Arial"/>
          <w:color w:val="000000"/>
          <w:sz w:val="16"/>
          <w:szCs w:val="16"/>
          <w:lang w:val="es-ES"/>
        </w:rPr>
        <w:t xml:space="preserve"> 248 de 2020, 249 de 2020, 269 de 2020, 219 de 2021, 220 de 2021, 392 de 2021, 454 de 2021, 333 de 2022, 358 de 2023, 798 de 2023, 456 de 2024, 463 de 2024, 464 de 2024, 725 de 2024, 726 de 2024, entre otras</w:t>
      </w:r>
      <w:bookmarkEnd w:id="2"/>
      <w:r w:rsidRPr="00FD362E">
        <w:rPr>
          <w:rFonts w:ascii="Verdana" w:hAnsi="Verdana" w:cs="Arial"/>
          <w:color w:val="000000"/>
          <w:sz w:val="16"/>
          <w:szCs w:val="16"/>
          <w:lang w:val="es-ES"/>
        </w:rPr>
        <w:t xml:space="preserve">. </w:t>
      </w:r>
    </w:p>
    <w:p w14:paraId="508DC8D8" w14:textId="77777777" w:rsidR="00EE61BD" w:rsidRPr="00FD362E" w:rsidRDefault="00EE61BD" w:rsidP="00EE61BD">
      <w:pPr>
        <w:pStyle w:val="Textonotapie"/>
        <w:ind w:firstLine="709"/>
        <w:jc w:val="both"/>
        <w:rPr>
          <w:rFonts w:ascii="Verdana" w:hAnsi="Verdana" w:cs="Arial"/>
          <w:color w:val="000000"/>
          <w:sz w:val="16"/>
          <w:szCs w:val="16"/>
          <w:lang w:val="es-ES"/>
        </w:rPr>
      </w:pPr>
    </w:p>
  </w:footnote>
  <w:footnote w:id="8">
    <w:p w14:paraId="6A5EF583" w14:textId="77777777" w:rsidR="00EE61BD" w:rsidRPr="00FD362E" w:rsidRDefault="00EE61BD" w:rsidP="00EE61BD">
      <w:pPr>
        <w:pStyle w:val="Textonotapie"/>
        <w:ind w:firstLine="709"/>
        <w:jc w:val="both"/>
        <w:rPr>
          <w:rFonts w:ascii="Verdana" w:hAnsi="Verdana" w:cs="Arial"/>
          <w:color w:val="000000"/>
          <w:sz w:val="16"/>
          <w:szCs w:val="16"/>
        </w:rPr>
      </w:pPr>
      <w:r w:rsidRPr="00FD362E">
        <w:rPr>
          <w:rStyle w:val="Refdenotaalpie"/>
          <w:rFonts w:ascii="Verdana" w:hAnsi="Verdana" w:cs="Arial"/>
          <w:color w:val="000000"/>
          <w:sz w:val="16"/>
          <w:szCs w:val="16"/>
        </w:rPr>
        <w:footnoteRef/>
      </w:r>
      <w:r w:rsidRPr="00FD362E">
        <w:rPr>
          <w:rFonts w:ascii="Verdana" w:hAnsi="Verdana" w:cs="Arial"/>
          <w:color w:val="000000"/>
          <w:sz w:val="16"/>
          <w:szCs w:val="16"/>
        </w:rPr>
        <w:t xml:space="preserve"> 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57FD83C5" w14:textId="77777777" w:rsidR="00EE61BD" w:rsidRPr="00FD362E" w:rsidRDefault="00EE61BD" w:rsidP="00EE61BD">
      <w:pPr>
        <w:pStyle w:val="Textonotapie"/>
        <w:ind w:firstLine="709"/>
        <w:jc w:val="both"/>
        <w:rPr>
          <w:rFonts w:ascii="Verdana" w:hAnsi="Verdana" w:cs="Arial"/>
          <w:color w:val="000000"/>
          <w:sz w:val="16"/>
          <w:szCs w:val="16"/>
        </w:rPr>
      </w:pPr>
    </w:p>
  </w:footnote>
  <w:footnote w:id="9">
    <w:p w14:paraId="33B50CF6" w14:textId="77777777" w:rsidR="00EE61BD" w:rsidRPr="00FD362E" w:rsidRDefault="00EE61BD" w:rsidP="00EE61BD">
      <w:pPr>
        <w:spacing w:after="0" w:line="240" w:lineRule="auto"/>
        <w:ind w:firstLine="709"/>
        <w:jc w:val="both"/>
        <w:rPr>
          <w:rFonts w:ascii="Verdana" w:hAnsi="Verdana" w:cs="Arial"/>
          <w:color w:val="000000"/>
          <w:sz w:val="16"/>
          <w:szCs w:val="16"/>
          <w:lang w:val="es-ES"/>
        </w:rPr>
      </w:pPr>
      <w:r w:rsidRPr="00FD362E">
        <w:rPr>
          <w:rStyle w:val="Refdenotaalpie"/>
          <w:rFonts w:ascii="Verdana" w:hAnsi="Verdana" w:cs="Arial"/>
          <w:color w:val="000000"/>
          <w:sz w:val="16"/>
          <w:szCs w:val="16"/>
        </w:rPr>
        <w:footnoteRef/>
      </w:r>
      <w:r w:rsidRPr="00FD362E">
        <w:rPr>
          <w:rFonts w:ascii="Verdana" w:hAnsi="Verdana" w:cs="Arial"/>
          <w:color w:val="000000"/>
          <w:sz w:val="16"/>
          <w:szCs w:val="16"/>
        </w:rPr>
        <w:t xml:space="preserve"> </w:t>
      </w:r>
      <w:r w:rsidRPr="00FD362E">
        <w:rPr>
          <w:rFonts w:ascii="Verdana" w:hAnsi="Verdana" w:cs="Arial"/>
          <w:color w:val="000000"/>
          <w:sz w:val="16"/>
          <w:szCs w:val="16"/>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p w14:paraId="43BEFE87" w14:textId="77777777" w:rsidR="00EE61BD" w:rsidRPr="00FD362E" w:rsidRDefault="00EE61BD" w:rsidP="00EE61BD">
      <w:pPr>
        <w:spacing w:after="0" w:line="240" w:lineRule="auto"/>
        <w:ind w:firstLine="709"/>
        <w:jc w:val="both"/>
        <w:rPr>
          <w:rFonts w:ascii="Verdana" w:hAnsi="Verdana" w:cs="Arial"/>
          <w:color w:val="000000"/>
          <w:sz w:val="16"/>
          <w:szCs w:val="16"/>
          <w:lang w:val="es-ES"/>
        </w:rPr>
      </w:pPr>
    </w:p>
  </w:footnote>
  <w:footnote w:id="10">
    <w:p w14:paraId="11374D9F" w14:textId="77777777" w:rsidR="00EE61BD" w:rsidRPr="00FD362E" w:rsidRDefault="00EE61BD" w:rsidP="00EE61BD">
      <w:pPr>
        <w:pStyle w:val="Textonotapie"/>
        <w:ind w:firstLine="708"/>
        <w:jc w:val="both"/>
        <w:rPr>
          <w:rFonts w:ascii="Verdana" w:hAnsi="Verdana" w:cs="Arial"/>
          <w:sz w:val="16"/>
          <w:szCs w:val="16"/>
          <w:lang w:val="es-ES"/>
        </w:rPr>
      </w:pPr>
      <w:r w:rsidRPr="00FD362E">
        <w:rPr>
          <w:rStyle w:val="Refdenotaalpie"/>
          <w:rFonts w:ascii="Verdana" w:hAnsi="Verdana" w:cs="Arial"/>
          <w:sz w:val="16"/>
          <w:szCs w:val="16"/>
        </w:rPr>
        <w:footnoteRef/>
      </w:r>
      <w:r w:rsidRPr="00FD362E">
        <w:rPr>
          <w:rFonts w:ascii="Verdana" w:hAnsi="Verdana" w:cs="Arial"/>
          <w:sz w:val="16"/>
          <w:szCs w:val="16"/>
        </w:rPr>
        <w:t xml:space="preserve"> Diccionario de la Real Academia Española, versión online disponible en: </w:t>
      </w:r>
      <w:hyperlink r:id="rId2" w:history="1">
        <w:r w:rsidRPr="00FD362E">
          <w:rPr>
            <w:rStyle w:val="Hipervnculo"/>
            <w:rFonts w:ascii="Verdana" w:hAnsi="Verdana" w:cs="Arial"/>
            <w:sz w:val="16"/>
            <w:szCs w:val="16"/>
          </w:rPr>
          <w:t>https://dle.rae.es/est%C3%A1ndar</w:t>
        </w:r>
      </w:hyperlink>
      <w:r w:rsidRPr="00FD362E">
        <w:rPr>
          <w:rFonts w:ascii="Verdana" w:hAnsi="Verdana" w:cs="Arial"/>
          <w:sz w:val="16"/>
          <w:szCs w:val="16"/>
        </w:rPr>
        <w:t xml:space="preserve">, consultado el 2 de junio de 2020. </w:t>
      </w:r>
    </w:p>
  </w:footnote>
  <w:footnote w:id="11">
    <w:p w14:paraId="11A998AB" w14:textId="77777777" w:rsidR="00EE61BD" w:rsidRPr="00FD362E" w:rsidRDefault="00EE61BD" w:rsidP="00EE61BD">
      <w:pPr>
        <w:spacing w:after="0" w:line="240" w:lineRule="auto"/>
        <w:ind w:firstLine="708"/>
        <w:jc w:val="both"/>
        <w:rPr>
          <w:rFonts w:ascii="Verdana" w:hAnsi="Verdana" w:cs="Arial"/>
          <w:color w:val="000000"/>
          <w:sz w:val="16"/>
          <w:szCs w:val="16"/>
        </w:rPr>
      </w:pPr>
      <w:r w:rsidRPr="00FD362E">
        <w:rPr>
          <w:rStyle w:val="Refdenotaalpie"/>
          <w:rFonts w:ascii="Verdana" w:hAnsi="Verdana" w:cs="Arial"/>
          <w:color w:val="000000"/>
          <w:sz w:val="16"/>
          <w:szCs w:val="16"/>
        </w:rPr>
        <w:footnoteRef/>
      </w:r>
      <w:r w:rsidRPr="00FD362E">
        <w:rPr>
          <w:rFonts w:ascii="Verdana" w:hAnsi="Verdana" w:cs="Arial"/>
          <w:color w:val="000000"/>
          <w:sz w:val="16"/>
          <w:szCs w:val="16"/>
        </w:rPr>
        <w:t xml:space="preserve"> Cita tomada de la providencia del 20 de febrero de 2020, dictada por el Consejo de Estado. Sección Tercera. Subsección A, dentro del expediente 47001-23-33-000-2018-00035-01 (63.854), cuya ponente fue Marta Nubia Velásquez Rico.</w:t>
      </w:r>
    </w:p>
    <w:p w14:paraId="32528BAC" w14:textId="77777777" w:rsidR="00EE61BD" w:rsidRPr="00FD362E" w:rsidRDefault="00EE61BD" w:rsidP="00EE61BD">
      <w:pPr>
        <w:spacing w:after="0" w:line="240" w:lineRule="auto"/>
        <w:ind w:firstLine="708"/>
        <w:jc w:val="both"/>
        <w:rPr>
          <w:rFonts w:ascii="Verdana" w:hAnsi="Verdana" w:cs="Arial"/>
          <w:color w:val="000000"/>
          <w:sz w:val="16"/>
          <w:szCs w:val="16"/>
        </w:rPr>
      </w:pPr>
    </w:p>
  </w:footnote>
  <w:footnote w:id="12">
    <w:p w14:paraId="23C51E20" w14:textId="77777777" w:rsidR="00EE61BD" w:rsidRPr="00FD362E" w:rsidRDefault="00EE61BD" w:rsidP="00EE61BD">
      <w:pPr>
        <w:pStyle w:val="Textonotapie"/>
        <w:ind w:firstLine="708"/>
        <w:jc w:val="both"/>
        <w:rPr>
          <w:rFonts w:ascii="Verdana" w:hAnsi="Verdana"/>
          <w:sz w:val="16"/>
          <w:szCs w:val="16"/>
        </w:rPr>
      </w:pPr>
      <w:r w:rsidRPr="00FD362E">
        <w:rPr>
          <w:rStyle w:val="Refdenotaalpie"/>
          <w:rFonts w:ascii="Verdana" w:hAnsi="Verdana"/>
          <w:sz w:val="16"/>
          <w:szCs w:val="16"/>
        </w:rPr>
        <w:footnoteRef/>
      </w:r>
      <w:r w:rsidRPr="00FD362E">
        <w:rPr>
          <w:rFonts w:ascii="Verdana" w:hAnsi="Verdana"/>
          <w:sz w:val="16"/>
          <w:szCs w:val="16"/>
        </w:rPr>
        <w:t xml:space="preserve"> Por el cual se modifican los artículos 2.2.1.2.4.2.6.,2.2.1.2.4.2.7. Y 2.2.1.2.4.2.8. del Decreto 1082 de 2015, Único Reglamentario del Sector Administrativo de Planeación".</w:t>
      </w:r>
    </w:p>
    <w:p w14:paraId="5C2186E4" w14:textId="77777777" w:rsidR="00EE61BD" w:rsidRPr="00FD362E" w:rsidRDefault="00EE61BD" w:rsidP="00EE61BD">
      <w:pPr>
        <w:pStyle w:val="Textonotapie"/>
        <w:ind w:firstLine="708"/>
        <w:jc w:val="both"/>
        <w:rPr>
          <w:rFonts w:ascii="Verdana" w:hAnsi="Verdana"/>
          <w:sz w:val="16"/>
          <w:szCs w:val="16"/>
          <w:lang w:val="es-ES_tradnl"/>
        </w:rPr>
      </w:pPr>
    </w:p>
  </w:footnote>
  <w:footnote w:id="13">
    <w:p w14:paraId="0D40CDCB" w14:textId="77777777" w:rsidR="00EE61BD" w:rsidRPr="00FD362E" w:rsidRDefault="00EE61BD" w:rsidP="00EE61BD">
      <w:pPr>
        <w:pStyle w:val="Textonotapie"/>
        <w:ind w:firstLine="708"/>
        <w:jc w:val="both"/>
        <w:rPr>
          <w:rFonts w:ascii="Verdana" w:hAnsi="Verdana"/>
          <w:sz w:val="16"/>
          <w:szCs w:val="16"/>
        </w:rPr>
      </w:pPr>
      <w:r w:rsidRPr="00FD362E">
        <w:rPr>
          <w:rStyle w:val="Refdenotaalpie"/>
          <w:rFonts w:ascii="Verdana" w:hAnsi="Verdana"/>
          <w:sz w:val="16"/>
          <w:szCs w:val="16"/>
        </w:rPr>
        <w:footnoteRef/>
      </w:r>
      <w:r w:rsidRPr="00FD362E">
        <w:rPr>
          <w:rFonts w:ascii="Verdana" w:hAnsi="Verdana"/>
          <w:sz w:val="16"/>
          <w:szCs w:val="16"/>
        </w:rPr>
        <w:t xml:space="preserve"> Consejo de Estado, Sección Quinta, del 12 de diciembre de 2024 (Rad. 05001-23-33-000-2024-00847-01, M.P. Omar Joaquín Barreto Suárez)</w:t>
      </w:r>
    </w:p>
    <w:p w14:paraId="0A23ACFB" w14:textId="77777777" w:rsidR="00EE61BD" w:rsidRPr="00FD362E" w:rsidRDefault="00EE61BD" w:rsidP="00EE61BD">
      <w:pPr>
        <w:pStyle w:val="Textonotapie"/>
        <w:ind w:firstLine="708"/>
        <w:jc w:val="both"/>
        <w:rPr>
          <w:rFonts w:ascii="Verdana" w:hAnsi="Verdana"/>
          <w:sz w:val="16"/>
          <w:szCs w:val="16"/>
          <w:lang w:val="es-ES_tradnl"/>
        </w:rPr>
      </w:pPr>
    </w:p>
  </w:footnote>
  <w:footnote w:id="14">
    <w:p w14:paraId="15AFD08F" w14:textId="77777777" w:rsidR="00EE61BD" w:rsidRPr="00FD362E" w:rsidRDefault="00EE61BD" w:rsidP="00EE61BD">
      <w:pPr>
        <w:pStyle w:val="Textonotapie"/>
        <w:ind w:firstLine="708"/>
        <w:jc w:val="both"/>
        <w:rPr>
          <w:rFonts w:ascii="Verdana" w:hAnsi="Verdana"/>
          <w:sz w:val="16"/>
          <w:szCs w:val="16"/>
        </w:rPr>
      </w:pPr>
      <w:r w:rsidRPr="00FD362E">
        <w:rPr>
          <w:rStyle w:val="Refdenotaalpie"/>
          <w:rFonts w:ascii="Verdana" w:hAnsi="Verdana"/>
          <w:sz w:val="16"/>
          <w:szCs w:val="16"/>
        </w:rPr>
        <w:footnoteRef/>
      </w:r>
      <w:r w:rsidRPr="00FD362E">
        <w:rPr>
          <w:rFonts w:ascii="Verdana" w:hAnsi="Verdana"/>
          <w:sz w:val="16"/>
          <w:szCs w:val="16"/>
        </w:rPr>
        <w:t xml:space="preserve"> Artículo 2.2.1.2.4.2.7.3. del Decreto 1082 de 2015, modificado por el artículo 1 del Decreto 287 de 2026: “Incorporación de criterios habilitantes diferenciales en favor de los emprendimientos y empresas de personas con discapacidad. En los procesos de licitación pública, selección abreviada y concurso de méritos, así como en los procesos competitivos adelantados por entidades no sometidas al Estatuto General de Contratación de la Administración Pública, deberán establecer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 </w:t>
      </w:r>
    </w:p>
    <w:p w14:paraId="14E0BA58" w14:textId="77777777" w:rsidR="00EE61BD" w:rsidRPr="00FD362E" w:rsidRDefault="00EE61BD" w:rsidP="00EE61BD">
      <w:pPr>
        <w:pStyle w:val="Textonotapie"/>
        <w:ind w:firstLine="708"/>
        <w:jc w:val="both"/>
        <w:rPr>
          <w:rFonts w:ascii="Verdana" w:hAnsi="Verdana"/>
          <w:sz w:val="16"/>
          <w:szCs w:val="16"/>
        </w:rPr>
      </w:pPr>
    </w:p>
    <w:p w14:paraId="0C5984E2" w14:textId="77777777" w:rsidR="00EE61BD" w:rsidRPr="00FD362E" w:rsidRDefault="00EE61BD" w:rsidP="00EE61BD">
      <w:pPr>
        <w:pStyle w:val="Textonotapie"/>
        <w:ind w:firstLine="708"/>
        <w:jc w:val="both"/>
        <w:rPr>
          <w:rFonts w:ascii="Verdana" w:hAnsi="Verdana"/>
          <w:sz w:val="16"/>
          <w:szCs w:val="16"/>
        </w:rPr>
      </w:pPr>
      <w:r w:rsidRPr="00FD362E">
        <w:rPr>
          <w:rFonts w:ascii="Verdana" w:hAnsi="Verdana"/>
          <w:sz w:val="16"/>
          <w:szCs w:val="16"/>
        </w:rPr>
        <w:t>Estos requisitos deberán estructurarse garantizando el cumplimiento adecuado del objeto contractual, teniendo en cuenta el alcance de las obligaciones y el principio de proporcionalidad. En desarrollo de lo anterior, se deberán establecer condiciones habilitantes diferenciadas o ajustadas que, sin comprometer los fines del contrato, faciliten el acceso de los emprendimientos y empresas de personas con discapacidad.</w:t>
      </w:r>
    </w:p>
    <w:p w14:paraId="614B8D71" w14:textId="77777777" w:rsidR="00EE61BD" w:rsidRPr="00FD362E" w:rsidRDefault="00EE61BD" w:rsidP="00EE61BD">
      <w:pPr>
        <w:pStyle w:val="Textonotapie"/>
        <w:ind w:firstLine="708"/>
        <w:jc w:val="both"/>
        <w:rPr>
          <w:rFonts w:ascii="Verdana" w:hAnsi="Verdana"/>
          <w:sz w:val="16"/>
          <w:szCs w:val="16"/>
        </w:rPr>
      </w:pPr>
    </w:p>
    <w:p w14:paraId="2A7E22DC" w14:textId="77777777" w:rsidR="00EE61BD" w:rsidRPr="00FD362E" w:rsidRDefault="00EE61BD" w:rsidP="00EE61BD">
      <w:pPr>
        <w:pStyle w:val="Textonotapie"/>
        <w:ind w:firstLine="708"/>
        <w:jc w:val="both"/>
        <w:rPr>
          <w:rFonts w:ascii="Verdana" w:hAnsi="Verdana"/>
          <w:sz w:val="16"/>
          <w:szCs w:val="16"/>
          <w:lang w:val="es-ES_tradnl"/>
        </w:rPr>
      </w:pPr>
      <w:r w:rsidRPr="00FD362E">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56830172">
    <w:abstractNumId w:val="8"/>
  </w:num>
  <w:num w:numId="17" w16cid:durableId="19375200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2BE"/>
    <w:rsid w:val="00016F78"/>
    <w:rsid w:val="00023630"/>
    <w:rsid w:val="00046945"/>
    <w:rsid w:val="000563F8"/>
    <w:rsid w:val="00061B2A"/>
    <w:rsid w:val="00082362"/>
    <w:rsid w:val="0009652B"/>
    <w:rsid w:val="000A683E"/>
    <w:rsid w:val="000B19B9"/>
    <w:rsid w:val="000D0334"/>
    <w:rsid w:val="000D5DA7"/>
    <w:rsid w:val="000F513E"/>
    <w:rsid w:val="000F6055"/>
    <w:rsid w:val="000F6486"/>
    <w:rsid w:val="00106F36"/>
    <w:rsid w:val="001144A9"/>
    <w:rsid w:val="00115BD9"/>
    <w:rsid w:val="00116940"/>
    <w:rsid w:val="00124CE7"/>
    <w:rsid w:val="00125105"/>
    <w:rsid w:val="00127233"/>
    <w:rsid w:val="00141416"/>
    <w:rsid w:val="00141F3C"/>
    <w:rsid w:val="0015699B"/>
    <w:rsid w:val="001A33BF"/>
    <w:rsid w:val="001B5395"/>
    <w:rsid w:val="001E4177"/>
    <w:rsid w:val="001F0B24"/>
    <w:rsid w:val="001F7DC6"/>
    <w:rsid w:val="0022400B"/>
    <w:rsid w:val="002421BB"/>
    <w:rsid w:val="0025796E"/>
    <w:rsid w:val="002707A2"/>
    <w:rsid w:val="00281A2E"/>
    <w:rsid w:val="002951A0"/>
    <w:rsid w:val="002962BC"/>
    <w:rsid w:val="002A093D"/>
    <w:rsid w:val="002A0DD0"/>
    <w:rsid w:val="002A34ED"/>
    <w:rsid w:val="002A49AC"/>
    <w:rsid w:val="002A64FD"/>
    <w:rsid w:val="002C7A84"/>
    <w:rsid w:val="002D4A71"/>
    <w:rsid w:val="002D7429"/>
    <w:rsid w:val="002D7CEB"/>
    <w:rsid w:val="002E2BF8"/>
    <w:rsid w:val="002E4FD9"/>
    <w:rsid w:val="0030657A"/>
    <w:rsid w:val="00322A85"/>
    <w:rsid w:val="00324168"/>
    <w:rsid w:val="00330834"/>
    <w:rsid w:val="00337C39"/>
    <w:rsid w:val="003448F4"/>
    <w:rsid w:val="003647B2"/>
    <w:rsid w:val="00374F5E"/>
    <w:rsid w:val="00377E3E"/>
    <w:rsid w:val="003867D3"/>
    <w:rsid w:val="003A00BF"/>
    <w:rsid w:val="003A73B6"/>
    <w:rsid w:val="003A779E"/>
    <w:rsid w:val="003D0F4D"/>
    <w:rsid w:val="003D5B0D"/>
    <w:rsid w:val="003E0499"/>
    <w:rsid w:val="003E4F80"/>
    <w:rsid w:val="003E6439"/>
    <w:rsid w:val="003F3941"/>
    <w:rsid w:val="004013C4"/>
    <w:rsid w:val="00405BDB"/>
    <w:rsid w:val="00406575"/>
    <w:rsid w:val="00414C74"/>
    <w:rsid w:val="0042722E"/>
    <w:rsid w:val="00432E01"/>
    <w:rsid w:val="004423E0"/>
    <w:rsid w:val="0044528D"/>
    <w:rsid w:val="00466E39"/>
    <w:rsid w:val="0047294F"/>
    <w:rsid w:val="004A1847"/>
    <w:rsid w:val="004A305D"/>
    <w:rsid w:val="004F21C4"/>
    <w:rsid w:val="004F685F"/>
    <w:rsid w:val="004F7C3F"/>
    <w:rsid w:val="00523ABB"/>
    <w:rsid w:val="005566E8"/>
    <w:rsid w:val="00574867"/>
    <w:rsid w:val="00591460"/>
    <w:rsid w:val="00594FF6"/>
    <w:rsid w:val="005A40EB"/>
    <w:rsid w:val="005A65E0"/>
    <w:rsid w:val="005C3777"/>
    <w:rsid w:val="005C5CDC"/>
    <w:rsid w:val="005D476C"/>
    <w:rsid w:val="005E7B60"/>
    <w:rsid w:val="006173B6"/>
    <w:rsid w:val="006200BF"/>
    <w:rsid w:val="006219F8"/>
    <w:rsid w:val="006302F7"/>
    <w:rsid w:val="00646B9F"/>
    <w:rsid w:val="006505DB"/>
    <w:rsid w:val="006574F4"/>
    <w:rsid w:val="00665D70"/>
    <w:rsid w:val="006900D9"/>
    <w:rsid w:val="006E3C36"/>
    <w:rsid w:val="00706C16"/>
    <w:rsid w:val="0071312D"/>
    <w:rsid w:val="007340C3"/>
    <w:rsid w:val="0075235A"/>
    <w:rsid w:val="00756841"/>
    <w:rsid w:val="00757974"/>
    <w:rsid w:val="007624F9"/>
    <w:rsid w:val="007649AB"/>
    <w:rsid w:val="00771D0C"/>
    <w:rsid w:val="007833AC"/>
    <w:rsid w:val="00795388"/>
    <w:rsid w:val="007B268C"/>
    <w:rsid w:val="007B3004"/>
    <w:rsid w:val="007B7171"/>
    <w:rsid w:val="007C0C0F"/>
    <w:rsid w:val="007C3DC2"/>
    <w:rsid w:val="007E5497"/>
    <w:rsid w:val="00806F5F"/>
    <w:rsid w:val="00820278"/>
    <w:rsid w:val="008258C9"/>
    <w:rsid w:val="0082717C"/>
    <w:rsid w:val="0083719A"/>
    <w:rsid w:val="00837481"/>
    <w:rsid w:val="00844AE9"/>
    <w:rsid w:val="0085102E"/>
    <w:rsid w:val="00867F95"/>
    <w:rsid w:val="00871DC6"/>
    <w:rsid w:val="008843B6"/>
    <w:rsid w:val="00884CEE"/>
    <w:rsid w:val="00891928"/>
    <w:rsid w:val="008A446D"/>
    <w:rsid w:val="008B25F1"/>
    <w:rsid w:val="008D180B"/>
    <w:rsid w:val="008E4AC1"/>
    <w:rsid w:val="008E76B7"/>
    <w:rsid w:val="008F0EA7"/>
    <w:rsid w:val="00923EEF"/>
    <w:rsid w:val="009419F9"/>
    <w:rsid w:val="0094229D"/>
    <w:rsid w:val="0095685E"/>
    <w:rsid w:val="00961B09"/>
    <w:rsid w:val="00965334"/>
    <w:rsid w:val="0097093E"/>
    <w:rsid w:val="00991E59"/>
    <w:rsid w:val="009A016A"/>
    <w:rsid w:val="009A0DFA"/>
    <w:rsid w:val="009A1C6F"/>
    <w:rsid w:val="009A7EA5"/>
    <w:rsid w:val="009B2D26"/>
    <w:rsid w:val="009C71FA"/>
    <w:rsid w:val="009C72E7"/>
    <w:rsid w:val="009C7F7E"/>
    <w:rsid w:val="009D3058"/>
    <w:rsid w:val="009E3232"/>
    <w:rsid w:val="009F3A13"/>
    <w:rsid w:val="00A05C7D"/>
    <w:rsid w:val="00A122D3"/>
    <w:rsid w:val="00A14468"/>
    <w:rsid w:val="00A15275"/>
    <w:rsid w:val="00A17F13"/>
    <w:rsid w:val="00A20739"/>
    <w:rsid w:val="00A239C2"/>
    <w:rsid w:val="00A23AF9"/>
    <w:rsid w:val="00A33C78"/>
    <w:rsid w:val="00A34F71"/>
    <w:rsid w:val="00A46A41"/>
    <w:rsid w:val="00A550CF"/>
    <w:rsid w:val="00A72844"/>
    <w:rsid w:val="00AA1C95"/>
    <w:rsid w:val="00AB0ADB"/>
    <w:rsid w:val="00AB0C78"/>
    <w:rsid w:val="00AB4E79"/>
    <w:rsid w:val="00AC4679"/>
    <w:rsid w:val="00AF3277"/>
    <w:rsid w:val="00AF7EF9"/>
    <w:rsid w:val="00B00C0E"/>
    <w:rsid w:val="00B01B1A"/>
    <w:rsid w:val="00B0381D"/>
    <w:rsid w:val="00B44A47"/>
    <w:rsid w:val="00B45BFA"/>
    <w:rsid w:val="00B72CD3"/>
    <w:rsid w:val="00B72FFF"/>
    <w:rsid w:val="00B913E6"/>
    <w:rsid w:val="00BC3D36"/>
    <w:rsid w:val="00BD54A6"/>
    <w:rsid w:val="00BD7F72"/>
    <w:rsid w:val="00BE37BB"/>
    <w:rsid w:val="00BE4484"/>
    <w:rsid w:val="00BF7425"/>
    <w:rsid w:val="00C04FB3"/>
    <w:rsid w:val="00C11D8B"/>
    <w:rsid w:val="00C15139"/>
    <w:rsid w:val="00C1797F"/>
    <w:rsid w:val="00C330EB"/>
    <w:rsid w:val="00C41143"/>
    <w:rsid w:val="00C4556D"/>
    <w:rsid w:val="00C50D69"/>
    <w:rsid w:val="00C5365C"/>
    <w:rsid w:val="00C754BE"/>
    <w:rsid w:val="00C76B1C"/>
    <w:rsid w:val="00C87DD0"/>
    <w:rsid w:val="00C925AC"/>
    <w:rsid w:val="00C95E2A"/>
    <w:rsid w:val="00C96D92"/>
    <w:rsid w:val="00CB384A"/>
    <w:rsid w:val="00CB6357"/>
    <w:rsid w:val="00CC1B26"/>
    <w:rsid w:val="00D14209"/>
    <w:rsid w:val="00D26591"/>
    <w:rsid w:val="00D361FD"/>
    <w:rsid w:val="00D423A2"/>
    <w:rsid w:val="00D44E26"/>
    <w:rsid w:val="00D520D8"/>
    <w:rsid w:val="00D5689E"/>
    <w:rsid w:val="00D63AC2"/>
    <w:rsid w:val="00D65465"/>
    <w:rsid w:val="00D65B48"/>
    <w:rsid w:val="00D7383B"/>
    <w:rsid w:val="00D7788A"/>
    <w:rsid w:val="00D815B9"/>
    <w:rsid w:val="00DA231B"/>
    <w:rsid w:val="00DC39FC"/>
    <w:rsid w:val="00DF5254"/>
    <w:rsid w:val="00E02524"/>
    <w:rsid w:val="00E16408"/>
    <w:rsid w:val="00E20894"/>
    <w:rsid w:val="00E245AB"/>
    <w:rsid w:val="00E2764C"/>
    <w:rsid w:val="00E27F2E"/>
    <w:rsid w:val="00E50AFE"/>
    <w:rsid w:val="00E56D45"/>
    <w:rsid w:val="00E73459"/>
    <w:rsid w:val="00E75C92"/>
    <w:rsid w:val="00E771DC"/>
    <w:rsid w:val="00E83D32"/>
    <w:rsid w:val="00E85D32"/>
    <w:rsid w:val="00E8772A"/>
    <w:rsid w:val="00E90F6B"/>
    <w:rsid w:val="00E92C27"/>
    <w:rsid w:val="00EA0E3D"/>
    <w:rsid w:val="00EC2FE9"/>
    <w:rsid w:val="00EC38A7"/>
    <w:rsid w:val="00EE1AA8"/>
    <w:rsid w:val="00EE61BD"/>
    <w:rsid w:val="00EF4757"/>
    <w:rsid w:val="00EF7AA7"/>
    <w:rsid w:val="00F12B86"/>
    <w:rsid w:val="00F23FEA"/>
    <w:rsid w:val="00F31EDC"/>
    <w:rsid w:val="00F462B3"/>
    <w:rsid w:val="00F5664F"/>
    <w:rsid w:val="00F666C4"/>
    <w:rsid w:val="00F76AFC"/>
    <w:rsid w:val="00F7730F"/>
    <w:rsid w:val="00FA1683"/>
    <w:rsid w:val="00FA47C0"/>
    <w:rsid w:val="00FB5DD1"/>
    <w:rsid w:val="00FC1D72"/>
    <w:rsid w:val="00FC2B5D"/>
    <w:rsid w:val="00FF1449"/>
    <w:rsid w:val="00FF7963"/>
    <w:rsid w:val="071B8F93"/>
    <w:rsid w:val="07C73DD1"/>
    <w:rsid w:val="09908A09"/>
    <w:rsid w:val="0EFE6349"/>
    <w:rsid w:val="0FF4CCA8"/>
    <w:rsid w:val="13CFC91B"/>
    <w:rsid w:val="18F55D09"/>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6C18EAE1"/>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C3CB1FC2-01B0-4DE6-B838-34A5AF33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A71"/>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D14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EE61BD"/>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documentos-tipo/documentos-tipo"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h.licitaciones@gmail.com"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ormacionvirtual.colombiacompra.gov.co/mod/page/view.php?id=3718"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le.rae.es/est%C3%A1ndar" TargetMode="External"/><Relationship Id="rId1" Type="http://schemas.openxmlformats.org/officeDocument/2006/relationships/hyperlink" Target="https://www.funcionpublica.gov.co/eva/gestornormativo/norma.php?i=8489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009CE4-CBD1-4815-8E5E-E020B0110D6E}"/>
</file>

<file path=customXml/itemProps3.xml><?xml version="1.0" encoding="utf-8"?>
<ds:datastoreItem xmlns:ds="http://schemas.openxmlformats.org/officeDocument/2006/customXml" ds:itemID="{275D7330-0FC8-4888-AAEF-A415022E0859}">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25</Pages>
  <Words>7687</Words>
  <Characters>42282</Characters>
  <Application>Microsoft Office Word</Application>
  <DocSecurity>0</DocSecurity>
  <Lines>352</Lines>
  <Paragraphs>99</Paragraphs>
  <ScaleCrop>false</ScaleCrop>
  <Company/>
  <LinksUpToDate>false</LinksUpToDate>
  <CharactersWithSpaces>49870</CharactersWithSpaces>
  <SharedDoc>false</SharedDoc>
  <HLinks>
    <vt:vector size="48" baseType="variant">
      <vt:variant>
        <vt:i4>5505101</vt:i4>
      </vt:variant>
      <vt:variant>
        <vt:i4>15</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12</vt:i4>
      </vt:variant>
      <vt:variant>
        <vt:i4>0</vt:i4>
      </vt:variant>
      <vt:variant>
        <vt:i4>5</vt:i4>
      </vt:variant>
      <vt:variant>
        <vt:lpwstr>https://www.colombiacompra.gov.co/normativa-y-relatoria/documentos-tipo</vt:lpwstr>
      </vt:variant>
      <vt:variant>
        <vt:lpwstr/>
      </vt:variant>
      <vt:variant>
        <vt:i4>65544</vt:i4>
      </vt:variant>
      <vt:variant>
        <vt:i4>9</vt:i4>
      </vt:variant>
      <vt:variant>
        <vt:i4>0</vt:i4>
      </vt:variant>
      <vt:variant>
        <vt:i4>5</vt:i4>
      </vt:variant>
      <vt:variant>
        <vt:lpwstr>https://formacionvirtual.colombiacompra.gov.co/mod/page/view.php?id=3718</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7602203</vt:i4>
      </vt:variant>
      <vt:variant>
        <vt:i4>0</vt:i4>
      </vt:variant>
      <vt:variant>
        <vt:i4>0</vt:i4>
      </vt:variant>
      <vt:variant>
        <vt:i4>5</vt:i4>
      </vt:variant>
      <vt:variant>
        <vt:lpwstr>mailto:ich.licitaciones@gmail.com</vt:lpwstr>
      </vt:variant>
      <vt:variant>
        <vt:lpwstr/>
      </vt:variant>
      <vt:variant>
        <vt:i4>2031639</vt:i4>
      </vt:variant>
      <vt:variant>
        <vt:i4>3</vt:i4>
      </vt:variant>
      <vt:variant>
        <vt:i4>0</vt:i4>
      </vt:variant>
      <vt:variant>
        <vt:i4>5</vt:i4>
      </vt:variant>
      <vt:variant>
        <vt:lpwstr>https://dle.rae.es/est%C3%A1ndar</vt:lpwstr>
      </vt:variant>
      <vt:variant>
        <vt:lpwstr/>
      </vt:variant>
      <vt:variant>
        <vt:i4>2621457</vt:i4>
      </vt:variant>
      <vt:variant>
        <vt:i4>0</vt:i4>
      </vt:variant>
      <vt:variant>
        <vt:i4>0</vt:i4>
      </vt:variant>
      <vt:variant>
        <vt:i4>5</vt:i4>
      </vt:variant>
      <vt:variant>
        <vt:lpwstr>https://www.funcionpublica.gov.co/eva/gestornormativo/norma.php?i=84899</vt:lpwstr>
      </vt:variant>
      <vt:variant>
        <vt:lpwstr>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12</cp:revision>
  <cp:lastPrinted>2023-01-10T21:18:00Z</cp:lastPrinted>
  <dcterms:created xsi:type="dcterms:W3CDTF">2026-06-17T19:36:00Z</dcterms:created>
  <dcterms:modified xsi:type="dcterms:W3CDTF">2026-06-17T19:42:00Z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