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0BC141" w14:textId="77777777" w:rsidR="003D038F" w:rsidRPr="0023526F" w:rsidRDefault="003D038F" w:rsidP="003D038F">
      <w:pPr>
        <w:spacing w:after="0" w:line="240" w:lineRule="auto"/>
        <w:rPr>
          <w:rFonts w:ascii="Verdana" w:eastAsia="Times New Roman" w:hAnsi="Verdana" w:cs="Arial"/>
          <w:b/>
          <w:lang w:eastAsia="es-ES_tradnl"/>
        </w:rPr>
      </w:pPr>
      <w:r w:rsidRPr="0023526F">
        <w:rPr>
          <w:rFonts w:ascii="Verdana" w:eastAsia="Times New Roman" w:hAnsi="Verdana" w:cs="Arial"/>
          <w:b/>
          <w:lang w:eastAsia="es-ES_tradnl"/>
        </w:rPr>
        <w:t>PLANEACIÓN – Estudios previos</w:t>
      </w:r>
    </w:p>
    <w:p w14:paraId="3301C7C9" w14:textId="77777777" w:rsidR="003D038F" w:rsidRDefault="003D038F" w:rsidP="003D038F">
      <w:pPr>
        <w:spacing w:after="0" w:line="240" w:lineRule="auto"/>
        <w:rPr>
          <w:rFonts w:ascii="Verdana" w:eastAsia="Times New Roman" w:hAnsi="Verdana" w:cs="Arial"/>
          <w:bCs/>
          <w:lang w:eastAsia="es-ES_tradnl"/>
        </w:rPr>
      </w:pPr>
    </w:p>
    <w:p w14:paraId="665A3672" w14:textId="77777777" w:rsidR="003D038F" w:rsidRDefault="003D038F" w:rsidP="003D038F">
      <w:pPr>
        <w:spacing w:after="0" w:line="240" w:lineRule="auto"/>
        <w:jc w:val="both"/>
        <w:rPr>
          <w:rFonts w:ascii="Verdana" w:eastAsia="Calibri" w:hAnsi="Verdana" w:cs="Arial"/>
          <w:bCs/>
          <w:sz w:val="20"/>
          <w:szCs w:val="20"/>
          <w:lang w:val="es-ES_tradnl"/>
        </w:rPr>
      </w:pPr>
      <w:r w:rsidRPr="0023526F">
        <w:rPr>
          <w:rFonts w:ascii="Verdana" w:eastAsia="Calibri" w:hAnsi="Verdana" w:cs="Arial"/>
          <w:bCs/>
          <w:sz w:val="20"/>
          <w:szCs w:val="20"/>
          <w:lang w:val="es-ES_tradnl"/>
        </w:rPr>
        <w:t>La planeación contractual es una herramienta de gerencia pública, que exige estructurar el proceso contractual dedicando tiempo y esfuerzos para elaborar estudios previos, con el fin de determinar la necesidad que pretende satisfacer la entidad estatal y cuál es la mejor manera de hacerlo, consultando el tipo de bienes y servicios que ofrece el mercado y sus características, especificaciones, precios, costos, riesgos, garantías, disponibilidad, oferentes, etc. Lo anterior con la finalidad de realizar la escogencia diligente de la mejor oferta, para beneficiar los intereses y fines públicos inmersos en la contratación de las entidades estatales.</w:t>
      </w:r>
    </w:p>
    <w:p w14:paraId="2DE797BF" w14:textId="77777777" w:rsidR="003D038F" w:rsidRDefault="003D038F" w:rsidP="003D038F">
      <w:pPr>
        <w:spacing w:after="0" w:line="240" w:lineRule="auto"/>
        <w:jc w:val="both"/>
        <w:rPr>
          <w:rFonts w:ascii="Verdana" w:eastAsia="Calibri" w:hAnsi="Verdana" w:cs="Arial"/>
          <w:bCs/>
          <w:sz w:val="20"/>
          <w:szCs w:val="20"/>
          <w:lang w:val="es-ES_tradnl"/>
        </w:rPr>
      </w:pPr>
    </w:p>
    <w:p w14:paraId="28B5362E" w14:textId="77777777" w:rsidR="003D038F" w:rsidRDefault="003D038F" w:rsidP="003D038F">
      <w:pPr>
        <w:spacing w:after="0" w:line="240" w:lineRule="auto"/>
        <w:jc w:val="both"/>
        <w:rPr>
          <w:rFonts w:ascii="Verdana" w:eastAsia="Times New Roman" w:hAnsi="Verdana" w:cs="Arial"/>
          <w:b/>
          <w:lang w:eastAsia="es-ES_tradnl"/>
        </w:rPr>
      </w:pPr>
      <w:r w:rsidRPr="0023526F">
        <w:rPr>
          <w:rFonts w:ascii="Verdana" w:eastAsia="Times New Roman" w:hAnsi="Verdana" w:cs="Arial"/>
          <w:b/>
          <w:lang w:eastAsia="es-ES_tradnl"/>
        </w:rPr>
        <w:t>ESTUDIOS PREVIOS – Planeación – Análisis del sector – Requisitos habilitantes y ponderables</w:t>
      </w:r>
    </w:p>
    <w:p w14:paraId="4AEC5A9A" w14:textId="77777777" w:rsidR="003D038F" w:rsidRDefault="003D038F" w:rsidP="003D038F">
      <w:pPr>
        <w:spacing w:after="0" w:line="240" w:lineRule="auto"/>
        <w:jc w:val="both"/>
        <w:rPr>
          <w:rFonts w:ascii="Verdana" w:eastAsia="Times New Roman" w:hAnsi="Verdana" w:cs="Arial"/>
          <w:b/>
          <w:lang w:eastAsia="es-ES_tradnl"/>
        </w:rPr>
      </w:pPr>
    </w:p>
    <w:p w14:paraId="685CA241" w14:textId="77777777" w:rsidR="003D038F" w:rsidRPr="0023526F" w:rsidRDefault="003D038F" w:rsidP="003D038F">
      <w:pPr>
        <w:spacing w:before="120" w:after="0" w:line="240" w:lineRule="auto"/>
        <w:jc w:val="both"/>
        <w:rPr>
          <w:rFonts w:ascii="Verdana" w:hAnsi="Verdana" w:cs="Arial"/>
          <w:sz w:val="20"/>
          <w:szCs w:val="20"/>
          <w:lang w:val="es-MX"/>
        </w:rPr>
      </w:pPr>
      <w:r w:rsidRPr="0023526F">
        <w:rPr>
          <w:rFonts w:ascii="Verdana" w:hAnsi="Verdana" w:cs="Arial"/>
          <w:bCs/>
          <w:sz w:val="20"/>
          <w:szCs w:val="20"/>
          <w:lang w:val="es-MX"/>
        </w:rPr>
        <w:t xml:space="preserve">El Estatuto General de Contratación de la Administración Pública contiene disposiciones que exigen a las entidades estatales el deber de realizar planeación en la etapa precontractual, para que los procesos de contratación satisfagan las necesidades de la Administración, cumplan sus fines, logren la continua y eficiente prestación de los servicios públicos y permitan la efectividad de los derechos e intereses de los administrados que colaboran en la consecución. </w:t>
      </w:r>
    </w:p>
    <w:p w14:paraId="44C98F6C" w14:textId="77777777" w:rsidR="003D038F" w:rsidRDefault="003D038F" w:rsidP="003D038F">
      <w:pPr>
        <w:spacing w:after="0" w:line="240" w:lineRule="auto"/>
        <w:jc w:val="both"/>
        <w:rPr>
          <w:rFonts w:ascii="Verdana" w:hAnsi="Verdana" w:cs="Arial"/>
          <w:lang w:val="es-MX"/>
        </w:rPr>
      </w:pPr>
    </w:p>
    <w:p w14:paraId="03900D16" w14:textId="77777777" w:rsidR="003D038F" w:rsidRDefault="003D038F" w:rsidP="003D038F">
      <w:pPr>
        <w:spacing w:after="0" w:line="240" w:lineRule="auto"/>
        <w:jc w:val="both"/>
        <w:rPr>
          <w:rFonts w:ascii="Verdana" w:eastAsia="Calibri" w:hAnsi="Verdana" w:cs="Arial"/>
          <w:b/>
          <w:lang w:val="es-ES" w:eastAsia="es-ES"/>
        </w:rPr>
      </w:pPr>
      <w:r w:rsidRPr="0023526F">
        <w:rPr>
          <w:rFonts w:ascii="Verdana" w:eastAsia="Calibri" w:hAnsi="Verdana" w:cs="Arial"/>
          <w:b/>
          <w:lang w:val="es-ES" w:eastAsia="es-ES"/>
        </w:rPr>
        <w:t>PLIEGO DE CONDICIONES – Naturaleza jurídica</w:t>
      </w:r>
    </w:p>
    <w:p w14:paraId="4852B938" w14:textId="77777777" w:rsidR="003D038F" w:rsidRDefault="003D038F" w:rsidP="003D038F">
      <w:pPr>
        <w:spacing w:after="0" w:line="240" w:lineRule="auto"/>
        <w:jc w:val="both"/>
        <w:rPr>
          <w:rFonts w:ascii="Verdana" w:eastAsia="Calibri" w:hAnsi="Verdana" w:cs="Arial"/>
          <w:b/>
          <w:lang w:val="es-ES" w:eastAsia="es-ES"/>
        </w:rPr>
      </w:pPr>
    </w:p>
    <w:p w14:paraId="289863F9" w14:textId="77777777" w:rsidR="003D038F" w:rsidRPr="0023526F" w:rsidRDefault="003D038F" w:rsidP="003D038F">
      <w:pPr>
        <w:spacing w:after="120" w:line="240" w:lineRule="auto"/>
        <w:jc w:val="both"/>
        <w:rPr>
          <w:rFonts w:ascii="Verdana" w:hAnsi="Verdana"/>
          <w:sz w:val="20"/>
          <w:szCs w:val="20"/>
          <w:lang w:val="es-MX"/>
        </w:rPr>
      </w:pPr>
      <w:r w:rsidRPr="0023526F">
        <w:rPr>
          <w:rFonts w:ascii="Verdana" w:hAnsi="Verdana"/>
          <w:sz w:val="20"/>
          <w:szCs w:val="20"/>
          <w:lang w:val="es-MX"/>
        </w:rPr>
        <w:t xml:space="preserve">Mas allá del cumplimiento de la normativa, </w:t>
      </w:r>
      <w:r w:rsidRPr="0023526F">
        <w:rPr>
          <w:rFonts w:ascii="Verdana" w:hAnsi="Verdana"/>
          <w:i/>
          <w:iCs/>
          <w:sz w:val="20"/>
          <w:szCs w:val="20"/>
          <w:lang w:val="es-MX"/>
        </w:rPr>
        <w:t>“los estudios y documentos previos son el soporte para elaborar el proyecto de pliegos, los pliegos de condiciones, y el contrato”,</w:t>
      </w:r>
      <w:r w:rsidRPr="0023526F">
        <w:rPr>
          <w:rFonts w:ascii="Verdana" w:hAnsi="Verdana"/>
          <w:sz w:val="20"/>
          <w:szCs w:val="20"/>
          <w:lang w:val="es-MX"/>
        </w:rPr>
        <w:t xml:space="preserve"> por lo que deben publicarse en la etapa precontractual y sirven de motivación para los documentos expedidos unilateralmente por la entidad estatal tales como el acto administrativo de apertura, los pliegos de condiciones y el acto de adjudicación, entre otros.</w:t>
      </w:r>
    </w:p>
    <w:p w14:paraId="79401DFF" w14:textId="77777777" w:rsidR="003D038F" w:rsidRDefault="003D038F" w:rsidP="003D038F">
      <w:pPr>
        <w:spacing w:after="0" w:line="240" w:lineRule="auto"/>
        <w:jc w:val="both"/>
        <w:rPr>
          <w:rFonts w:ascii="Verdana" w:hAnsi="Verdana"/>
          <w:sz w:val="20"/>
          <w:szCs w:val="20"/>
          <w:lang w:val="es-MX"/>
        </w:rPr>
      </w:pPr>
      <w:r w:rsidRPr="0023526F">
        <w:rPr>
          <w:rFonts w:ascii="Verdana" w:hAnsi="Verdana"/>
          <w:sz w:val="20"/>
          <w:szCs w:val="20"/>
          <w:lang w:val="es-MX"/>
        </w:rPr>
        <w:t>De lo explicado se desprende que los estudios y documentos previos son necesarios antes de la celebración del contrato, pues fundamentan las condiciones que la entidad estatal exige en su proceso de contratación. Sin embargo, luego de la suscripción del contrato la entidad no debe actuar unilateralmente, sino que debe respetar la buena fe contractual y proceder de acuerdo con lo pactad</w:t>
      </w:r>
      <w:r>
        <w:rPr>
          <w:rFonts w:ascii="Verdana" w:hAnsi="Verdana"/>
          <w:sz w:val="20"/>
          <w:szCs w:val="20"/>
          <w:lang w:val="es-MX"/>
        </w:rPr>
        <w:t>o.</w:t>
      </w:r>
    </w:p>
    <w:p w14:paraId="2BCBB7F9" w14:textId="77777777" w:rsidR="003D038F" w:rsidRDefault="003D038F" w:rsidP="003D038F">
      <w:pPr>
        <w:spacing w:after="0" w:line="240" w:lineRule="auto"/>
        <w:jc w:val="both"/>
        <w:rPr>
          <w:rFonts w:ascii="Verdana" w:hAnsi="Verdana"/>
          <w:sz w:val="20"/>
          <w:szCs w:val="20"/>
          <w:lang w:val="es-MX"/>
        </w:rPr>
      </w:pPr>
    </w:p>
    <w:p w14:paraId="415D9A82" w14:textId="77777777" w:rsidR="003D038F" w:rsidRPr="0023526F" w:rsidRDefault="003D038F" w:rsidP="003D038F">
      <w:pPr>
        <w:spacing w:after="0" w:line="240" w:lineRule="auto"/>
        <w:jc w:val="both"/>
        <w:rPr>
          <w:rFonts w:ascii="Verdana" w:eastAsia="Calibri" w:hAnsi="Verdana" w:cs="Arial"/>
          <w:b/>
          <w:sz w:val="20"/>
          <w:szCs w:val="20"/>
          <w:lang w:val="es-ES" w:eastAsia="es-ES"/>
        </w:rPr>
      </w:pPr>
      <w:r w:rsidRPr="0023526F">
        <w:rPr>
          <w:rFonts w:ascii="Verdana" w:eastAsia="Arial" w:hAnsi="Verdana" w:cs="Arial"/>
          <w:b/>
          <w:lang w:val="es-MX" w:eastAsia="es-ES"/>
        </w:rPr>
        <w:t>PLIEGO DE CONDICIONES – Contenido – Carácter prevalente – Selección objetiva</w:t>
      </w:r>
    </w:p>
    <w:p w14:paraId="3EFD38E8" w14:textId="77777777" w:rsidR="003D038F" w:rsidRDefault="003D038F" w:rsidP="003D038F">
      <w:pPr>
        <w:spacing w:after="0"/>
        <w:jc w:val="both"/>
        <w:rPr>
          <w:rFonts w:ascii="Verdana" w:eastAsia="Calibri" w:hAnsi="Verdana" w:cs="Arial"/>
          <w:b/>
          <w:lang w:val="es-ES" w:eastAsia="es-ES"/>
        </w:rPr>
      </w:pPr>
    </w:p>
    <w:p w14:paraId="137CE14B" w14:textId="77777777" w:rsidR="003D038F" w:rsidRPr="007357C7" w:rsidRDefault="003D038F" w:rsidP="003D038F">
      <w:pPr>
        <w:spacing w:after="0" w:line="240" w:lineRule="auto"/>
        <w:jc w:val="both"/>
        <w:rPr>
          <w:rFonts w:ascii="Verdana" w:eastAsia="Calibri" w:hAnsi="Verdana" w:cs="Arial"/>
          <w:bCs/>
          <w:sz w:val="20"/>
          <w:szCs w:val="20"/>
          <w:lang w:val="es-ES_tradnl"/>
        </w:rPr>
      </w:pPr>
      <w:r w:rsidRPr="007357C7">
        <w:rPr>
          <w:rFonts w:ascii="Verdana" w:eastAsia="Calibri" w:hAnsi="Verdana" w:cs="Arial"/>
          <w:bCs/>
          <w:sz w:val="20"/>
          <w:szCs w:val="20"/>
          <w:lang w:val="es-ES_tradnl"/>
        </w:rPr>
        <w:t>De otra parte, es necesario explicar que, el pliego de condiciones es la hoja de ruta o plan sobre el cual se diseña, estructura y concreta el proceso de selección de contratistas. El mismo ha sido definido como un “acto jurídico mixto, que nace como un acto administrativo de contenido general y que, con la adjudicación y suscripción del contrato estatal, algunos de sus contenidos se transforman para incorporarse al texto del negocio jurídico y, por consiguiente, se convierten en cláusulas vinculantes del mismo”.</w:t>
      </w:r>
    </w:p>
    <w:p w14:paraId="38DBB8E3" w14:textId="77777777" w:rsidR="003D038F" w:rsidRPr="007357C7" w:rsidRDefault="003D038F" w:rsidP="003D038F">
      <w:pPr>
        <w:spacing w:after="0" w:line="240" w:lineRule="auto"/>
        <w:jc w:val="both"/>
        <w:rPr>
          <w:rFonts w:ascii="Verdana" w:eastAsia="Calibri" w:hAnsi="Verdana" w:cs="Arial"/>
          <w:sz w:val="20"/>
          <w:szCs w:val="20"/>
          <w:lang w:val="es-ES"/>
        </w:rPr>
      </w:pPr>
      <w:r w:rsidRPr="18E441F1">
        <w:rPr>
          <w:rFonts w:ascii="Verdana" w:eastAsia="Calibri" w:hAnsi="Verdana" w:cs="Arial"/>
          <w:sz w:val="20"/>
          <w:szCs w:val="20"/>
          <w:lang w:val="es-ES"/>
        </w:rPr>
        <w:lastRenderedPageBreak/>
        <w:t xml:space="preserve">De este modo, el pliego es un instrumento en el cual se materializa el principio de transparencia, pues en ese documento se fijan las reglas de escogencia del contratista del Estado, para la selección objetiva de la mejor oferta, la adjudicación y la posterior celebración y ejecución del contrato, lo cual lo convierte en una reglamentación de todo el </w:t>
      </w:r>
      <w:proofErr w:type="spellStart"/>
      <w:r w:rsidRPr="18E441F1">
        <w:rPr>
          <w:rFonts w:ascii="Verdana" w:eastAsia="Calibri" w:hAnsi="Verdana" w:cs="Arial"/>
          <w:sz w:val="20"/>
          <w:szCs w:val="20"/>
          <w:lang w:val="es-ES"/>
        </w:rPr>
        <w:t>iter</w:t>
      </w:r>
      <w:proofErr w:type="spellEnd"/>
      <w:r w:rsidRPr="18E441F1">
        <w:rPr>
          <w:rFonts w:ascii="Verdana" w:eastAsia="Calibri" w:hAnsi="Verdana" w:cs="Arial"/>
          <w:sz w:val="20"/>
          <w:szCs w:val="20"/>
          <w:lang w:val="es-ES"/>
        </w:rPr>
        <w:t xml:space="preserve"> contractual.</w:t>
      </w:r>
    </w:p>
    <w:p w14:paraId="6050B09C" w14:textId="77777777" w:rsidR="003D038F" w:rsidRPr="007357C7" w:rsidRDefault="003D038F" w:rsidP="003D038F">
      <w:pPr>
        <w:spacing w:after="0" w:line="240" w:lineRule="auto"/>
        <w:jc w:val="both"/>
        <w:rPr>
          <w:rFonts w:ascii="Verdana" w:eastAsia="Calibri" w:hAnsi="Verdana" w:cs="Arial"/>
          <w:bCs/>
          <w:sz w:val="20"/>
          <w:szCs w:val="20"/>
          <w:lang w:val="es-ES_tradnl"/>
        </w:rPr>
      </w:pPr>
    </w:p>
    <w:p w14:paraId="129429D7" w14:textId="77777777" w:rsidR="003D038F" w:rsidRDefault="003D038F" w:rsidP="003D038F">
      <w:pPr>
        <w:spacing w:after="0" w:line="240" w:lineRule="auto"/>
        <w:jc w:val="both"/>
        <w:rPr>
          <w:rFonts w:ascii="Verdana" w:eastAsia="Times New Roman" w:hAnsi="Verdana" w:cs="Arial"/>
          <w:b/>
          <w:lang w:val="es-ES_tradnl" w:eastAsia="es-ES"/>
        </w:rPr>
      </w:pPr>
    </w:p>
    <w:p w14:paraId="5915D66D" w14:textId="77777777" w:rsidR="003D038F" w:rsidRDefault="003D038F" w:rsidP="003D038F">
      <w:pPr>
        <w:spacing w:after="0" w:line="240" w:lineRule="auto"/>
        <w:jc w:val="both"/>
        <w:rPr>
          <w:rFonts w:ascii="Verdana" w:eastAsia="Times New Roman" w:hAnsi="Verdana" w:cs="Arial"/>
          <w:b/>
          <w:lang w:val="es-ES_tradnl" w:eastAsia="es-ES"/>
        </w:rPr>
      </w:pPr>
    </w:p>
    <w:p w14:paraId="35CFEBB7" w14:textId="77777777" w:rsidR="003D038F" w:rsidRDefault="003D038F" w:rsidP="003D038F">
      <w:pPr>
        <w:spacing w:after="0" w:line="240" w:lineRule="auto"/>
        <w:jc w:val="both"/>
        <w:rPr>
          <w:rFonts w:ascii="Verdana" w:eastAsia="Times New Roman" w:hAnsi="Verdana" w:cs="Arial"/>
          <w:b/>
          <w:lang w:val="es-ES_tradnl" w:eastAsia="es-ES"/>
        </w:rPr>
      </w:pPr>
    </w:p>
    <w:p w14:paraId="04929656" w14:textId="77777777" w:rsidR="003D038F" w:rsidRDefault="003D038F" w:rsidP="003D038F">
      <w:pPr>
        <w:spacing w:after="0" w:line="240" w:lineRule="auto"/>
        <w:jc w:val="both"/>
        <w:rPr>
          <w:rFonts w:ascii="Verdana" w:eastAsia="Times New Roman" w:hAnsi="Verdana" w:cs="Arial"/>
          <w:b/>
          <w:lang w:val="es-ES_tradnl" w:eastAsia="es-ES"/>
        </w:rPr>
      </w:pPr>
    </w:p>
    <w:p w14:paraId="069E2654" w14:textId="77777777" w:rsidR="003D038F" w:rsidRDefault="003D038F" w:rsidP="003D038F">
      <w:pPr>
        <w:spacing w:after="0" w:line="240" w:lineRule="auto"/>
        <w:jc w:val="both"/>
        <w:rPr>
          <w:rFonts w:ascii="Verdana" w:eastAsia="Times New Roman" w:hAnsi="Verdana" w:cs="Arial"/>
          <w:b/>
          <w:lang w:val="es-ES_tradnl" w:eastAsia="es-ES"/>
        </w:rPr>
      </w:pPr>
    </w:p>
    <w:p w14:paraId="7C312A1F" w14:textId="77777777" w:rsidR="003D038F" w:rsidRDefault="003D038F" w:rsidP="003D038F">
      <w:pPr>
        <w:spacing w:after="0" w:line="240" w:lineRule="auto"/>
        <w:jc w:val="both"/>
        <w:rPr>
          <w:rFonts w:ascii="Verdana" w:eastAsia="Times New Roman" w:hAnsi="Verdana" w:cs="Arial"/>
          <w:b/>
          <w:lang w:val="es-ES_tradnl" w:eastAsia="es-ES"/>
        </w:rPr>
      </w:pPr>
    </w:p>
    <w:p w14:paraId="0529DDA7" w14:textId="77777777" w:rsidR="003D038F" w:rsidRDefault="003D038F" w:rsidP="003D038F">
      <w:pPr>
        <w:spacing w:after="0" w:line="240" w:lineRule="auto"/>
        <w:jc w:val="both"/>
        <w:rPr>
          <w:rFonts w:ascii="Verdana" w:eastAsia="Times New Roman" w:hAnsi="Verdana" w:cs="Arial"/>
          <w:b/>
          <w:lang w:val="es-ES_tradnl" w:eastAsia="es-ES"/>
        </w:rPr>
      </w:pPr>
    </w:p>
    <w:p w14:paraId="322902D8" w14:textId="77777777" w:rsidR="003D038F" w:rsidRDefault="003D038F" w:rsidP="003D038F">
      <w:pPr>
        <w:spacing w:after="0" w:line="240" w:lineRule="auto"/>
        <w:jc w:val="both"/>
        <w:rPr>
          <w:rFonts w:ascii="Verdana" w:eastAsia="Times New Roman" w:hAnsi="Verdana" w:cs="Arial"/>
          <w:b/>
          <w:lang w:val="es-ES_tradnl" w:eastAsia="es-ES"/>
        </w:rPr>
      </w:pPr>
    </w:p>
    <w:p w14:paraId="6A5EF4A1" w14:textId="77777777" w:rsidR="003D038F" w:rsidRDefault="003D038F" w:rsidP="003D038F">
      <w:pPr>
        <w:spacing w:after="0" w:line="240" w:lineRule="auto"/>
        <w:jc w:val="both"/>
        <w:rPr>
          <w:rFonts w:ascii="Verdana" w:eastAsia="Times New Roman" w:hAnsi="Verdana" w:cs="Arial"/>
          <w:b/>
          <w:lang w:val="es-ES_tradnl" w:eastAsia="es-ES"/>
        </w:rPr>
      </w:pPr>
    </w:p>
    <w:p w14:paraId="57DBAE5C" w14:textId="77777777" w:rsidR="003D038F" w:rsidRDefault="003D038F" w:rsidP="003D038F">
      <w:pPr>
        <w:spacing w:after="0" w:line="240" w:lineRule="auto"/>
        <w:jc w:val="both"/>
        <w:rPr>
          <w:rFonts w:ascii="Verdana" w:eastAsia="Times New Roman" w:hAnsi="Verdana" w:cs="Arial"/>
          <w:b/>
          <w:lang w:val="es-ES_tradnl" w:eastAsia="es-ES"/>
        </w:rPr>
      </w:pPr>
    </w:p>
    <w:p w14:paraId="21BCF284" w14:textId="77777777" w:rsidR="003D038F" w:rsidRDefault="003D038F" w:rsidP="003D038F">
      <w:pPr>
        <w:spacing w:after="0" w:line="240" w:lineRule="auto"/>
        <w:jc w:val="both"/>
        <w:rPr>
          <w:rFonts w:ascii="Verdana" w:eastAsia="Times New Roman" w:hAnsi="Verdana" w:cs="Arial"/>
          <w:b/>
          <w:lang w:val="es-ES_tradnl" w:eastAsia="es-ES"/>
        </w:rPr>
      </w:pPr>
    </w:p>
    <w:p w14:paraId="68B0656D" w14:textId="77777777" w:rsidR="003D038F" w:rsidRDefault="003D038F" w:rsidP="003D038F">
      <w:pPr>
        <w:spacing w:after="0" w:line="240" w:lineRule="auto"/>
        <w:jc w:val="both"/>
        <w:rPr>
          <w:rFonts w:ascii="Verdana" w:eastAsia="Times New Roman" w:hAnsi="Verdana" w:cs="Arial"/>
          <w:b/>
          <w:lang w:val="es-ES_tradnl" w:eastAsia="es-ES"/>
        </w:rPr>
      </w:pPr>
    </w:p>
    <w:p w14:paraId="522FFEA2" w14:textId="77777777" w:rsidR="003D038F" w:rsidRDefault="003D038F" w:rsidP="003D038F">
      <w:pPr>
        <w:spacing w:after="0" w:line="240" w:lineRule="auto"/>
        <w:jc w:val="both"/>
        <w:rPr>
          <w:rFonts w:ascii="Verdana" w:eastAsia="Times New Roman" w:hAnsi="Verdana" w:cs="Arial"/>
          <w:b/>
          <w:lang w:val="es-ES_tradnl" w:eastAsia="es-ES"/>
        </w:rPr>
      </w:pPr>
    </w:p>
    <w:p w14:paraId="1648663E" w14:textId="77777777" w:rsidR="003D038F" w:rsidRDefault="003D038F" w:rsidP="003D038F">
      <w:pPr>
        <w:spacing w:after="0" w:line="240" w:lineRule="auto"/>
        <w:jc w:val="both"/>
        <w:rPr>
          <w:rFonts w:ascii="Verdana" w:eastAsia="Times New Roman" w:hAnsi="Verdana" w:cs="Arial"/>
          <w:b/>
          <w:lang w:val="es-ES_tradnl" w:eastAsia="es-ES"/>
        </w:rPr>
      </w:pPr>
    </w:p>
    <w:p w14:paraId="728726BF" w14:textId="77777777" w:rsidR="003D038F" w:rsidRDefault="003D038F" w:rsidP="003D038F">
      <w:pPr>
        <w:spacing w:after="0" w:line="240" w:lineRule="auto"/>
        <w:jc w:val="both"/>
        <w:rPr>
          <w:rFonts w:ascii="Verdana" w:eastAsia="Times New Roman" w:hAnsi="Verdana" w:cs="Arial"/>
          <w:b/>
          <w:lang w:val="es-ES_tradnl" w:eastAsia="es-ES"/>
        </w:rPr>
      </w:pPr>
    </w:p>
    <w:p w14:paraId="45E65F81" w14:textId="77777777" w:rsidR="003D038F" w:rsidRDefault="003D038F" w:rsidP="003D038F">
      <w:pPr>
        <w:spacing w:after="0" w:line="240" w:lineRule="auto"/>
        <w:jc w:val="both"/>
        <w:rPr>
          <w:rFonts w:ascii="Verdana" w:eastAsia="Times New Roman" w:hAnsi="Verdana" w:cs="Arial"/>
          <w:b/>
          <w:lang w:val="es-ES_tradnl" w:eastAsia="es-ES"/>
        </w:rPr>
      </w:pPr>
    </w:p>
    <w:p w14:paraId="31EAA3EB" w14:textId="77777777" w:rsidR="003D038F" w:rsidRDefault="003D038F" w:rsidP="003D038F">
      <w:pPr>
        <w:spacing w:after="0" w:line="240" w:lineRule="auto"/>
        <w:jc w:val="both"/>
        <w:rPr>
          <w:rFonts w:ascii="Verdana" w:eastAsia="Times New Roman" w:hAnsi="Verdana" w:cs="Arial"/>
          <w:b/>
          <w:lang w:val="es-ES_tradnl" w:eastAsia="es-ES"/>
        </w:rPr>
      </w:pPr>
    </w:p>
    <w:p w14:paraId="119F2FDD" w14:textId="77777777" w:rsidR="003D038F" w:rsidRDefault="003D038F" w:rsidP="003D038F">
      <w:pPr>
        <w:spacing w:after="0" w:line="240" w:lineRule="auto"/>
        <w:jc w:val="both"/>
        <w:rPr>
          <w:rFonts w:ascii="Verdana" w:eastAsia="Times New Roman" w:hAnsi="Verdana" w:cs="Arial"/>
          <w:b/>
          <w:lang w:val="es-ES_tradnl" w:eastAsia="es-ES"/>
        </w:rPr>
      </w:pPr>
    </w:p>
    <w:p w14:paraId="1F813037" w14:textId="77777777" w:rsidR="008256D1" w:rsidRDefault="008256D1" w:rsidP="00BB054D">
      <w:pPr>
        <w:spacing w:after="0" w:line="240" w:lineRule="auto"/>
        <w:jc w:val="both"/>
        <w:rPr>
          <w:rFonts w:ascii="Verdana" w:eastAsia="Times New Roman" w:hAnsi="Verdana" w:cs="Times New Roman"/>
          <w:sz w:val="20"/>
          <w:szCs w:val="20"/>
          <w:lang w:val="es-ES_tradnl" w:eastAsia="es-ES_tradnl"/>
        </w:rPr>
      </w:pPr>
    </w:p>
    <w:p w14:paraId="45FB9647" w14:textId="77777777" w:rsidR="003D038F" w:rsidRDefault="003D038F" w:rsidP="00BB054D">
      <w:pPr>
        <w:spacing w:after="0" w:line="240" w:lineRule="auto"/>
        <w:jc w:val="both"/>
        <w:rPr>
          <w:rFonts w:ascii="Verdana" w:eastAsia="Times New Roman" w:hAnsi="Verdana" w:cs="Times New Roman"/>
          <w:sz w:val="20"/>
          <w:szCs w:val="20"/>
          <w:lang w:val="es-ES_tradnl" w:eastAsia="es-ES_tradnl"/>
        </w:rPr>
      </w:pPr>
    </w:p>
    <w:p w14:paraId="0AB5D9B0" w14:textId="77777777" w:rsidR="003D038F" w:rsidRDefault="003D038F" w:rsidP="00BB054D">
      <w:pPr>
        <w:spacing w:after="0" w:line="240" w:lineRule="auto"/>
        <w:jc w:val="both"/>
        <w:rPr>
          <w:rFonts w:ascii="Verdana" w:eastAsia="Times New Roman" w:hAnsi="Verdana" w:cs="Times New Roman"/>
          <w:sz w:val="20"/>
          <w:szCs w:val="20"/>
          <w:lang w:val="es-ES_tradnl" w:eastAsia="es-ES_tradnl"/>
        </w:rPr>
      </w:pPr>
    </w:p>
    <w:p w14:paraId="58F43B76" w14:textId="77777777" w:rsidR="003D038F" w:rsidRDefault="003D038F" w:rsidP="00BB054D">
      <w:pPr>
        <w:spacing w:after="0" w:line="240" w:lineRule="auto"/>
        <w:jc w:val="both"/>
        <w:rPr>
          <w:rFonts w:ascii="Verdana" w:eastAsia="Times New Roman" w:hAnsi="Verdana" w:cs="Times New Roman"/>
          <w:sz w:val="20"/>
          <w:szCs w:val="20"/>
          <w:lang w:val="es-ES_tradnl" w:eastAsia="es-ES_tradnl"/>
        </w:rPr>
      </w:pPr>
    </w:p>
    <w:p w14:paraId="28ACB8D8" w14:textId="77777777" w:rsidR="003D038F" w:rsidRDefault="003D038F" w:rsidP="00BB054D">
      <w:pPr>
        <w:spacing w:after="0" w:line="240" w:lineRule="auto"/>
        <w:jc w:val="both"/>
        <w:rPr>
          <w:rFonts w:ascii="Verdana" w:eastAsia="Times New Roman" w:hAnsi="Verdana" w:cs="Times New Roman"/>
          <w:sz w:val="20"/>
          <w:szCs w:val="20"/>
          <w:lang w:val="es-ES_tradnl" w:eastAsia="es-ES_tradnl"/>
        </w:rPr>
      </w:pPr>
    </w:p>
    <w:p w14:paraId="684566AB" w14:textId="77777777" w:rsidR="003D038F" w:rsidRDefault="003D038F" w:rsidP="00BB054D">
      <w:pPr>
        <w:spacing w:after="0" w:line="240" w:lineRule="auto"/>
        <w:jc w:val="both"/>
        <w:rPr>
          <w:rFonts w:ascii="Verdana" w:eastAsia="Times New Roman" w:hAnsi="Verdana" w:cs="Times New Roman"/>
          <w:sz w:val="20"/>
          <w:szCs w:val="20"/>
          <w:lang w:val="es-ES_tradnl" w:eastAsia="es-ES_tradnl"/>
        </w:rPr>
      </w:pPr>
    </w:p>
    <w:p w14:paraId="657C1C8D" w14:textId="77777777" w:rsidR="003D038F" w:rsidRDefault="003D038F" w:rsidP="00BB054D">
      <w:pPr>
        <w:spacing w:after="0" w:line="240" w:lineRule="auto"/>
        <w:jc w:val="both"/>
        <w:rPr>
          <w:rFonts w:ascii="Verdana" w:eastAsia="Times New Roman" w:hAnsi="Verdana" w:cs="Times New Roman"/>
          <w:sz w:val="20"/>
          <w:szCs w:val="20"/>
          <w:lang w:val="es-ES_tradnl" w:eastAsia="es-ES_tradnl"/>
        </w:rPr>
      </w:pPr>
    </w:p>
    <w:p w14:paraId="37A181A3" w14:textId="77777777" w:rsidR="003D038F" w:rsidRDefault="003D038F" w:rsidP="00BB054D">
      <w:pPr>
        <w:spacing w:after="0" w:line="240" w:lineRule="auto"/>
        <w:jc w:val="both"/>
        <w:rPr>
          <w:rFonts w:ascii="Verdana" w:eastAsia="Times New Roman" w:hAnsi="Verdana" w:cs="Times New Roman"/>
          <w:sz w:val="20"/>
          <w:szCs w:val="20"/>
          <w:lang w:val="es-ES_tradnl" w:eastAsia="es-ES_tradnl"/>
        </w:rPr>
      </w:pPr>
    </w:p>
    <w:p w14:paraId="7CBA3C04" w14:textId="77777777" w:rsidR="008256D1" w:rsidRDefault="008256D1" w:rsidP="00BB054D">
      <w:pPr>
        <w:spacing w:after="0" w:line="240" w:lineRule="auto"/>
        <w:jc w:val="both"/>
        <w:rPr>
          <w:rFonts w:ascii="Verdana" w:eastAsia="Times New Roman" w:hAnsi="Verdana" w:cs="Times New Roman"/>
          <w:sz w:val="20"/>
          <w:szCs w:val="20"/>
          <w:lang w:val="es-ES_tradnl" w:eastAsia="es-ES_tradnl"/>
        </w:rPr>
      </w:pPr>
    </w:p>
    <w:p w14:paraId="210A558B" w14:textId="77777777" w:rsidR="008256D1" w:rsidRDefault="008256D1" w:rsidP="00BB054D">
      <w:pPr>
        <w:spacing w:after="0" w:line="240" w:lineRule="auto"/>
        <w:jc w:val="both"/>
        <w:rPr>
          <w:rFonts w:ascii="Verdana" w:eastAsia="Times New Roman" w:hAnsi="Verdana" w:cs="Times New Roman"/>
          <w:sz w:val="20"/>
          <w:szCs w:val="20"/>
          <w:lang w:val="es-ES_tradnl" w:eastAsia="es-ES_tradnl"/>
        </w:rPr>
      </w:pPr>
    </w:p>
    <w:p w14:paraId="705E6690" w14:textId="77777777" w:rsidR="008256D1" w:rsidRDefault="008256D1" w:rsidP="00BB054D">
      <w:pPr>
        <w:spacing w:after="0" w:line="240" w:lineRule="auto"/>
        <w:jc w:val="both"/>
        <w:rPr>
          <w:rFonts w:ascii="Verdana" w:eastAsia="Times New Roman" w:hAnsi="Verdana" w:cs="Times New Roman"/>
          <w:sz w:val="20"/>
          <w:szCs w:val="20"/>
          <w:lang w:val="es-ES_tradnl" w:eastAsia="es-ES_tradnl"/>
        </w:rPr>
      </w:pPr>
    </w:p>
    <w:p w14:paraId="1AE6F83A" w14:textId="77777777" w:rsidR="008256D1" w:rsidRDefault="008256D1" w:rsidP="00BB054D">
      <w:pPr>
        <w:spacing w:after="0" w:line="240" w:lineRule="auto"/>
        <w:jc w:val="both"/>
        <w:rPr>
          <w:rFonts w:ascii="Verdana" w:eastAsia="Times New Roman" w:hAnsi="Verdana" w:cs="Times New Roman"/>
          <w:sz w:val="20"/>
          <w:szCs w:val="20"/>
          <w:lang w:val="es-ES_tradnl" w:eastAsia="es-ES_tradnl"/>
        </w:rPr>
      </w:pPr>
    </w:p>
    <w:p w14:paraId="4D6EBEAA" w14:textId="77777777" w:rsidR="008256D1" w:rsidRDefault="008256D1" w:rsidP="00BB054D">
      <w:pPr>
        <w:spacing w:after="0" w:line="240" w:lineRule="auto"/>
        <w:jc w:val="both"/>
        <w:rPr>
          <w:rFonts w:ascii="Verdana" w:eastAsia="Times New Roman" w:hAnsi="Verdana" w:cs="Times New Roman"/>
          <w:sz w:val="20"/>
          <w:szCs w:val="20"/>
          <w:lang w:val="es-ES_tradnl" w:eastAsia="es-ES_tradnl"/>
        </w:rPr>
      </w:pPr>
    </w:p>
    <w:p w14:paraId="7B80B2E2" w14:textId="77777777" w:rsidR="008256D1" w:rsidRDefault="008256D1" w:rsidP="00BB054D">
      <w:pPr>
        <w:spacing w:after="0" w:line="240" w:lineRule="auto"/>
        <w:jc w:val="both"/>
        <w:rPr>
          <w:rFonts w:ascii="Verdana" w:eastAsia="Times New Roman" w:hAnsi="Verdana" w:cs="Times New Roman"/>
          <w:sz w:val="20"/>
          <w:szCs w:val="20"/>
          <w:lang w:val="es-ES_tradnl" w:eastAsia="es-ES_tradnl"/>
        </w:rPr>
      </w:pPr>
    </w:p>
    <w:p w14:paraId="3B1B57FA" w14:textId="77777777" w:rsidR="008256D1" w:rsidRDefault="008256D1" w:rsidP="00BB054D">
      <w:pPr>
        <w:spacing w:after="0" w:line="240" w:lineRule="auto"/>
        <w:jc w:val="both"/>
        <w:rPr>
          <w:rFonts w:ascii="Verdana" w:eastAsia="Times New Roman" w:hAnsi="Verdana" w:cs="Times New Roman"/>
          <w:sz w:val="20"/>
          <w:szCs w:val="20"/>
          <w:lang w:val="es-ES_tradnl" w:eastAsia="es-ES_tradnl"/>
        </w:rPr>
      </w:pPr>
    </w:p>
    <w:p w14:paraId="75C01B66" w14:textId="77777777" w:rsidR="008256D1" w:rsidRDefault="008256D1" w:rsidP="00BB054D">
      <w:pPr>
        <w:spacing w:after="0" w:line="240" w:lineRule="auto"/>
        <w:jc w:val="both"/>
        <w:rPr>
          <w:rFonts w:ascii="Verdana" w:eastAsia="Times New Roman" w:hAnsi="Verdana" w:cs="Times New Roman"/>
          <w:sz w:val="20"/>
          <w:szCs w:val="20"/>
          <w:lang w:val="es-ES_tradnl" w:eastAsia="es-ES_tradnl"/>
        </w:rPr>
      </w:pPr>
    </w:p>
    <w:p w14:paraId="12C3DB7D" w14:textId="77777777" w:rsidR="008256D1" w:rsidRDefault="008256D1" w:rsidP="00BB054D">
      <w:pPr>
        <w:spacing w:after="0" w:line="240" w:lineRule="auto"/>
        <w:jc w:val="both"/>
        <w:rPr>
          <w:rFonts w:ascii="Verdana" w:eastAsia="Times New Roman" w:hAnsi="Verdana" w:cs="Times New Roman"/>
          <w:sz w:val="20"/>
          <w:szCs w:val="20"/>
          <w:lang w:val="es-ES_tradnl" w:eastAsia="es-ES_tradnl"/>
        </w:rPr>
      </w:pPr>
    </w:p>
    <w:p w14:paraId="5C29BF31" w14:textId="77777777" w:rsidR="008256D1" w:rsidRDefault="008256D1" w:rsidP="00BB054D">
      <w:pPr>
        <w:spacing w:after="0" w:line="240" w:lineRule="auto"/>
        <w:jc w:val="both"/>
        <w:rPr>
          <w:rFonts w:ascii="Verdana" w:eastAsia="Times New Roman" w:hAnsi="Verdana" w:cs="Times New Roman"/>
          <w:sz w:val="20"/>
          <w:szCs w:val="20"/>
          <w:lang w:val="es-ES_tradnl" w:eastAsia="es-ES_tradnl"/>
        </w:rPr>
      </w:pPr>
    </w:p>
    <w:p w14:paraId="232BCAFD" w14:textId="77777777" w:rsidR="008256D1" w:rsidRDefault="008256D1" w:rsidP="00BB054D">
      <w:pPr>
        <w:spacing w:after="0" w:line="240" w:lineRule="auto"/>
        <w:jc w:val="both"/>
        <w:rPr>
          <w:rFonts w:ascii="Verdana" w:eastAsia="Times New Roman" w:hAnsi="Verdana" w:cs="Times New Roman"/>
          <w:sz w:val="20"/>
          <w:szCs w:val="20"/>
          <w:lang w:val="es-ES_tradnl" w:eastAsia="es-ES_tradnl"/>
        </w:rPr>
      </w:pPr>
    </w:p>
    <w:p w14:paraId="2C359241" w14:textId="77777777" w:rsidR="008256D1" w:rsidRDefault="008256D1" w:rsidP="00BB054D">
      <w:pPr>
        <w:spacing w:after="0" w:line="240" w:lineRule="auto"/>
        <w:jc w:val="both"/>
        <w:rPr>
          <w:rFonts w:ascii="Verdana" w:eastAsia="Times New Roman" w:hAnsi="Verdana" w:cs="Times New Roman"/>
          <w:sz w:val="20"/>
          <w:szCs w:val="20"/>
          <w:lang w:val="es-ES_tradnl" w:eastAsia="es-ES_tradnl"/>
        </w:rPr>
      </w:pPr>
    </w:p>
    <w:p w14:paraId="78B728F0" w14:textId="77777777" w:rsidR="008256D1" w:rsidRDefault="008256D1" w:rsidP="00BB054D">
      <w:pPr>
        <w:spacing w:after="0" w:line="240" w:lineRule="auto"/>
        <w:jc w:val="both"/>
        <w:rPr>
          <w:rFonts w:ascii="Verdana" w:eastAsia="Times New Roman" w:hAnsi="Verdana" w:cs="Times New Roman"/>
          <w:sz w:val="20"/>
          <w:szCs w:val="20"/>
          <w:lang w:val="es-ES_tradnl" w:eastAsia="es-ES_tradnl"/>
        </w:rPr>
      </w:pPr>
    </w:p>
    <w:p w14:paraId="16A70AF1" w14:textId="77777777" w:rsidR="008256D1" w:rsidRDefault="008256D1" w:rsidP="00BB054D">
      <w:pPr>
        <w:spacing w:after="0" w:line="240" w:lineRule="auto"/>
        <w:jc w:val="both"/>
        <w:rPr>
          <w:rFonts w:ascii="Verdana" w:eastAsia="Times New Roman" w:hAnsi="Verdana" w:cs="Times New Roman"/>
          <w:sz w:val="20"/>
          <w:szCs w:val="20"/>
          <w:lang w:val="es-ES_tradnl" w:eastAsia="es-ES_tradnl"/>
        </w:rPr>
      </w:pPr>
    </w:p>
    <w:p w14:paraId="49508F0D" w14:textId="25501DAC" w:rsidR="005B261C" w:rsidRPr="00E31648" w:rsidRDefault="00C562D4" w:rsidP="00E6227E">
      <w:pPr>
        <w:spacing w:after="0" w:line="240" w:lineRule="auto"/>
      </w:pPr>
      <w:r w:rsidRPr="00C562D4">
        <w:rPr>
          <w:rFonts w:ascii="Verdana" w:eastAsia="Calibri" w:hAnsi="Verdana" w:cs="Arial"/>
          <w:color w:val="000000" w:themeColor="text1"/>
        </w:rPr>
        <w:t xml:space="preserve">Bogotá D.C., </w:t>
      </w:r>
      <w:r w:rsidR="008E5F5D">
        <w:rPr>
          <w:rFonts w:ascii="Verdana" w:eastAsia="Calibri" w:hAnsi="Verdana" w:cs="Arial"/>
          <w:color w:val="000000" w:themeColor="text1"/>
        </w:rPr>
        <w:t>16</w:t>
      </w:r>
      <w:r w:rsidR="00791489">
        <w:rPr>
          <w:rFonts w:ascii="Verdana" w:eastAsia="Calibri" w:hAnsi="Verdana" w:cs="Arial"/>
          <w:color w:val="000000" w:themeColor="text1"/>
        </w:rPr>
        <w:t xml:space="preserve"> </w:t>
      </w:r>
      <w:r w:rsidRPr="00C562D4">
        <w:rPr>
          <w:rFonts w:ascii="Verdana" w:eastAsia="Calibri" w:hAnsi="Verdana" w:cs="Arial"/>
          <w:color w:val="000000" w:themeColor="text1"/>
        </w:rPr>
        <w:t xml:space="preserve">de </w:t>
      </w:r>
      <w:r w:rsidR="008E5F5D">
        <w:rPr>
          <w:rFonts w:ascii="Verdana" w:eastAsia="Calibri" w:hAnsi="Verdana" w:cs="Arial"/>
          <w:color w:val="000000" w:themeColor="text1"/>
        </w:rPr>
        <w:t>junio</w:t>
      </w:r>
      <w:r w:rsidR="00D669A6">
        <w:rPr>
          <w:rFonts w:ascii="Verdana" w:eastAsia="Calibri" w:hAnsi="Verdana" w:cs="Arial"/>
          <w:color w:val="000000" w:themeColor="text1"/>
        </w:rPr>
        <w:t xml:space="preserve"> </w:t>
      </w:r>
      <w:r w:rsidRPr="00C562D4">
        <w:rPr>
          <w:rFonts w:ascii="Verdana" w:eastAsia="Calibri" w:hAnsi="Verdana" w:cs="Arial"/>
          <w:color w:val="000000" w:themeColor="text1"/>
        </w:rPr>
        <w:t>de 20</w:t>
      </w:r>
      <w:r w:rsidR="00CB73C5">
        <w:rPr>
          <w:rFonts w:ascii="Verdana" w:eastAsia="Calibri" w:hAnsi="Verdana" w:cs="Arial"/>
          <w:color w:val="000000" w:themeColor="text1"/>
        </w:rPr>
        <w:t>2</w:t>
      </w:r>
      <w:r w:rsidR="00074755">
        <w:rPr>
          <w:rFonts w:ascii="Verdana" w:eastAsia="Calibri" w:hAnsi="Verdana" w:cs="Arial"/>
          <w:color w:val="000000" w:themeColor="text1"/>
        </w:rPr>
        <w:t>6</w:t>
      </w:r>
    </w:p>
    <w:p w14:paraId="328CC329" w14:textId="65155339" w:rsidR="005B261C" w:rsidRDefault="005B261C" w:rsidP="005B261C">
      <w:pPr>
        <w:spacing w:after="0" w:line="240" w:lineRule="auto"/>
        <w:jc w:val="both"/>
        <w:rPr>
          <w:rFonts w:ascii="Verdana" w:eastAsia="Calibri" w:hAnsi="Verdana" w:cs="Arial"/>
          <w:color w:val="000000" w:themeColor="text1"/>
          <w:lang w:val="es-ES"/>
        </w:rPr>
      </w:pPr>
    </w:p>
    <w:p w14:paraId="242E8982" w14:textId="5EA0FCA3" w:rsidR="002C31F4" w:rsidRDefault="008E5F5D" w:rsidP="008E5F5D">
      <w:pPr>
        <w:spacing w:after="0" w:line="240" w:lineRule="auto"/>
        <w:jc w:val="right"/>
        <w:rPr>
          <w:rFonts w:ascii="Verdana" w:eastAsia="Calibri" w:hAnsi="Verdana" w:cs="Arial"/>
          <w:color w:val="000000" w:themeColor="text1"/>
          <w:lang w:val="es-ES"/>
        </w:rPr>
      </w:pPr>
      <w:r>
        <w:rPr>
          <w:rFonts w:ascii="Verdana" w:eastAsia="Calibri" w:hAnsi="Verdana" w:cs="Arial"/>
          <w:noProof/>
          <w:color w:val="000000" w:themeColor="text1"/>
          <w:lang w:val="es-ES"/>
        </w:rPr>
        <w:drawing>
          <wp:inline distT="0" distB="0" distL="0" distR="0" wp14:anchorId="29BA595B" wp14:editId="60AF97E8">
            <wp:extent cx="2608489" cy="771525"/>
            <wp:effectExtent l="0" t="0" r="1905" b="0"/>
            <wp:docPr id="204100673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10235" cy="772042"/>
                    </a:xfrm>
                    <a:prstGeom prst="rect">
                      <a:avLst/>
                    </a:prstGeom>
                    <a:noFill/>
                    <a:ln>
                      <a:noFill/>
                    </a:ln>
                  </pic:spPr>
                </pic:pic>
              </a:graphicData>
            </a:graphic>
          </wp:inline>
        </w:drawing>
      </w:r>
    </w:p>
    <w:p w14:paraId="0905F14F" w14:textId="77777777" w:rsidR="00DF2194" w:rsidRDefault="00DF2194" w:rsidP="0046108F">
      <w:pPr>
        <w:spacing w:after="0" w:line="240" w:lineRule="auto"/>
        <w:jc w:val="both"/>
        <w:rPr>
          <w:rFonts w:ascii="Verdana" w:eastAsia="Calibri" w:hAnsi="Verdana" w:cs="Arial"/>
          <w:color w:val="000000" w:themeColor="text1"/>
          <w:lang w:val="es-ES" w:eastAsia="es-ES"/>
        </w:rPr>
      </w:pPr>
    </w:p>
    <w:p w14:paraId="14E0BB02" w14:textId="09B19B5B" w:rsidR="0046108F" w:rsidRPr="0046108F" w:rsidRDefault="005B261C" w:rsidP="0046108F">
      <w:pPr>
        <w:spacing w:after="0" w:line="240" w:lineRule="auto"/>
        <w:jc w:val="both"/>
        <w:rPr>
          <w:rFonts w:ascii="Verdana" w:eastAsia="Calibri" w:hAnsi="Verdana" w:cs="Arial"/>
          <w:color w:val="000000" w:themeColor="text1"/>
          <w:lang w:val="es-ES" w:eastAsia="es-ES"/>
        </w:rPr>
      </w:pPr>
      <w:r w:rsidRPr="0046108F">
        <w:rPr>
          <w:rFonts w:ascii="Verdana" w:eastAsia="Calibri" w:hAnsi="Verdana" w:cs="Arial"/>
          <w:color w:val="000000" w:themeColor="text1"/>
          <w:lang w:val="es-ES" w:eastAsia="es-ES"/>
        </w:rPr>
        <w:t>Señor</w:t>
      </w:r>
    </w:p>
    <w:p w14:paraId="5909C4F3" w14:textId="7CB6D664" w:rsidR="001216D8" w:rsidRDefault="00933E8F" w:rsidP="001216D8">
      <w:pPr>
        <w:spacing w:after="0" w:line="240" w:lineRule="auto"/>
        <w:rPr>
          <w:rFonts w:ascii="Verdana" w:eastAsia="Calibri" w:hAnsi="Verdana" w:cs="Arial"/>
          <w:lang w:eastAsia="es-ES"/>
        </w:rPr>
      </w:pPr>
      <w:r>
        <w:rPr>
          <w:rFonts w:ascii="Verdana" w:eastAsia="Calibri" w:hAnsi="Verdana" w:cs="Arial"/>
          <w:b/>
          <w:bCs/>
          <w:lang w:eastAsia="es-ES"/>
        </w:rPr>
        <w:t>JUAN PABLO ANGEL VARGAS</w:t>
      </w:r>
    </w:p>
    <w:p w14:paraId="618CB8BD" w14:textId="2C69335C" w:rsidR="00434C7E" w:rsidRPr="00D57FE3" w:rsidRDefault="00933E8F" w:rsidP="007716C6">
      <w:pPr>
        <w:spacing w:after="0" w:line="240" w:lineRule="auto"/>
        <w:rPr>
          <w:rFonts w:ascii="Verdana" w:eastAsia="Calibri" w:hAnsi="Verdana" w:cs="Arial"/>
          <w:lang w:val="es-ES" w:eastAsia="es-ES"/>
        </w:rPr>
      </w:pPr>
      <w:hyperlink r:id="rId12" w:history="1">
        <w:r w:rsidRPr="0052794F">
          <w:rPr>
            <w:rStyle w:val="Hipervnculo"/>
            <w:rFonts w:ascii="Verdana" w:eastAsia="Calibri" w:hAnsi="Verdana" w:cs="Arial"/>
            <w:lang w:eastAsia="es-ES"/>
          </w:rPr>
          <w:t>juanpabloangelvargas@gmail.com</w:t>
        </w:r>
      </w:hyperlink>
      <w:r>
        <w:rPr>
          <w:rFonts w:ascii="Verdana" w:eastAsia="Calibri" w:hAnsi="Verdana" w:cs="Arial"/>
          <w:lang w:eastAsia="es-ES"/>
        </w:rPr>
        <w:t xml:space="preserve"> </w:t>
      </w:r>
      <w:r w:rsidR="004C3ACE">
        <w:rPr>
          <w:rFonts w:ascii="Verdana" w:eastAsia="Calibri" w:hAnsi="Verdana" w:cs="Arial"/>
          <w:lang w:eastAsia="es-ES"/>
        </w:rPr>
        <w:t xml:space="preserve"> </w:t>
      </w:r>
    </w:p>
    <w:p w14:paraId="2B12B441" w14:textId="0D4BAF4B" w:rsidR="007716C6" w:rsidRPr="006B17A7" w:rsidRDefault="007716C6" w:rsidP="007716C6">
      <w:pPr>
        <w:spacing w:after="0" w:line="240" w:lineRule="auto"/>
        <w:rPr>
          <w:rFonts w:ascii="Verdana" w:eastAsia="Calibri" w:hAnsi="Verdana" w:cs="Arial"/>
          <w:b/>
          <w:bCs/>
          <w:lang w:val="es-ES" w:eastAsia="es-ES"/>
        </w:rPr>
      </w:pPr>
    </w:p>
    <w:p w14:paraId="50EAC4DF" w14:textId="77777777" w:rsidR="005B261C" w:rsidRPr="00CB7ABE" w:rsidRDefault="005B261C" w:rsidP="005B261C">
      <w:pPr>
        <w:spacing w:after="0" w:line="240" w:lineRule="auto"/>
        <w:rPr>
          <w:rFonts w:ascii="Verdana" w:eastAsia="Calibri" w:hAnsi="Verdana" w:cs="Arial"/>
          <w:b/>
          <w:bCs/>
          <w:color w:val="000000" w:themeColor="text1"/>
          <w:lang w:eastAsia="es-ES_tradnl"/>
        </w:rPr>
      </w:pPr>
    </w:p>
    <w:tbl>
      <w:tblPr>
        <w:tblStyle w:val="Tablaconcuadrcula"/>
        <w:tblW w:w="8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70"/>
        <w:gridCol w:w="6547"/>
      </w:tblGrid>
      <w:tr w:rsidR="005B261C" w:rsidRPr="00115E3D" w14:paraId="4695EBEF" w14:textId="77777777" w:rsidTr="00136DDB">
        <w:trPr>
          <w:trHeight w:val="615"/>
        </w:trPr>
        <w:tc>
          <w:tcPr>
            <w:tcW w:w="2270" w:type="dxa"/>
          </w:tcPr>
          <w:p w14:paraId="7138A810" w14:textId="77777777" w:rsidR="005B261C" w:rsidRPr="00CB7ABE" w:rsidRDefault="005B261C" w:rsidP="006F1A38">
            <w:pPr>
              <w:jc w:val="both"/>
              <w:rPr>
                <w:rFonts w:ascii="Verdana" w:eastAsia="Calibri" w:hAnsi="Verdana" w:cs="Arial"/>
                <w:b/>
                <w:bCs/>
                <w:color w:val="000000" w:themeColor="text1"/>
                <w:lang w:eastAsia="es-ES_tradnl"/>
              </w:rPr>
            </w:pPr>
          </w:p>
        </w:tc>
        <w:tc>
          <w:tcPr>
            <w:tcW w:w="6547" w:type="dxa"/>
          </w:tcPr>
          <w:p w14:paraId="25945537" w14:textId="69426E95" w:rsidR="005B261C" w:rsidRPr="008A209A" w:rsidRDefault="005B261C" w:rsidP="006F1A38">
            <w:pPr>
              <w:jc w:val="both"/>
              <w:rPr>
                <w:rFonts w:ascii="Verdana" w:eastAsia="Calibri" w:hAnsi="Verdana" w:cs="Arial"/>
                <w:b/>
                <w:bCs/>
                <w:color w:val="000000" w:themeColor="text1"/>
                <w:lang w:val="es-ES" w:eastAsia="es-ES"/>
              </w:rPr>
            </w:pPr>
            <w:r w:rsidRPr="008A209A">
              <w:rPr>
                <w:rFonts w:ascii="Verdana" w:eastAsia="Calibri" w:hAnsi="Verdana" w:cs="Arial"/>
                <w:b/>
                <w:bCs/>
                <w:color w:val="000000" w:themeColor="text1"/>
                <w:lang w:val="es-ES" w:eastAsia="es-ES"/>
              </w:rPr>
              <w:t xml:space="preserve">Concepto C- </w:t>
            </w:r>
            <w:r w:rsidR="00933E8F">
              <w:rPr>
                <w:rFonts w:ascii="Verdana" w:eastAsia="Calibri" w:hAnsi="Verdana" w:cs="Arial"/>
                <w:b/>
                <w:bCs/>
                <w:color w:val="000000" w:themeColor="text1"/>
                <w:lang w:val="es-ES" w:eastAsia="es-ES"/>
              </w:rPr>
              <w:t>743</w:t>
            </w:r>
            <w:r w:rsidR="003638DA">
              <w:rPr>
                <w:rFonts w:ascii="Verdana" w:eastAsia="Calibri" w:hAnsi="Verdana" w:cs="Arial"/>
                <w:b/>
                <w:bCs/>
                <w:color w:val="000000" w:themeColor="text1"/>
                <w:lang w:val="es-ES" w:eastAsia="es-ES"/>
              </w:rPr>
              <w:t xml:space="preserve"> </w:t>
            </w:r>
            <w:r w:rsidRPr="008A209A">
              <w:rPr>
                <w:rFonts w:ascii="Verdana" w:eastAsia="Calibri" w:hAnsi="Verdana" w:cs="Arial"/>
                <w:b/>
                <w:bCs/>
                <w:color w:val="000000" w:themeColor="text1"/>
                <w:lang w:val="es-ES" w:eastAsia="es-ES"/>
              </w:rPr>
              <w:t>de 202</w:t>
            </w:r>
            <w:r w:rsidR="00EC7930" w:rsidRPr="008A209A">
              <w:rPr>
                <w:rFonts w:ascii="Verdana" w:eastAsia="Calibri" w:hAnsi="Verdana" w:cs="Arial"/>
                <w:b/>
                <w:bCs/>
                <w:color w:val="000000" w:themeColor="text1"/>
                <w:lang w:val="es-ES" w:eastAsia="es-ES"/>
              </w:rPr>
              <w:t>6</w:t>
            </w:r>
          </w:p>
        </w:tc>
      </w:tr>
      <w:tr w:rsidR="005B261C" w:rsidRPr="007E403E" w14:paraId="5710482D" w14:textId="77777777" w:rsidTr="00B14DA5">
        <w:trPr>
          <w:trHeight w:val="1071"/>
        </w:trPr>
        <w:tc>
          <w:tcPr>
            <w:tcW w:w="2270" w:type="dxa"/>
          </w:tcPr>
          <w:p w14:paraId="0088F836" w14:textId="77777777" w:rsidR="005B261C" w:rsidRPr="001B36DA" w:rsidRDefault="005B261C" w:rsidP="006F1A38">
            <w:pPr>
              <w:jc w:val="both"/>
              <w:rPr>
                <w:rFonts w:ascii="Verdana" w:eastAsia="Calibri" w:hAnsi="Verdana" w:cs="Arial"/>
                <w:color w:val="000000" w:themeColor="text1"/>
                <w:lang w:val="es-ES_tradnl" w:eastAsia="es-ES_tradnl"/>
              </w:rPr>
            </w:pPr>
            <w:r w:rsidRPr="001B36DA">
              <w:rPr>
                <w:rFonts w:ascii="Verdana" w:eastAsia="Calibri" w:hAnsi="Verdana" w:cs="Arial"/>
                <w:b/>
                <w:color w:val="000000" w:themeColor="text1"/>
                <w:lang w:val="es-ES_tradnl" w:eastAsia="es-ES_tradnl"/>
              </w:rPr>
              <w:t>Temas:</w:t>
            </w:r>
            <w:r w:rsidRPr="001B36DA">
              <w:rPr>
                <w:rFonts w:ascii="Verdana" w:eastAsia="Calibri" w:hAnsi="Verdana" w:cs="Arial"/>
                <w:color w:val="000000" w:themeColor="text1"/>
                <w:lang w:val="es-ES_tradnl" w:eastAsia="es-ES_tradnl"/>
              </w:rPr>
              <w:t xml:space="preserve">                   </w:t>
            </w:r>
          </w:p>
        </w:tc>
        <w:tc>
          <w:tcPr>
            <w:tcW w:w="6547" w:type="dxa"/>
          </w:tcPr>
          <w:p w14:paraId="277A126B" w14:textId="77777777" w:rsidR="003D038F" w:rsidRDefault="003D038F" w:rsidP="003D038F">
            <w:pPr>
              <w:jc w:val="both"/>
              <w:rPr>
                <w:rFonts w:ascii="Verdana" w:eastAsia="Times New Roman" w:hAnsi="Verdana" w:cs="Arial"/>
                <w:lang w:eastAsia="es-ES"/>
              </w:rPr>
            </w:pPr>
            <w:r w:rsidRPr="00A35877">
              <w:rPr>
                <w:rFonts w:ascii="Verdana" w:eastAsia="Times New Roman" w:hAnsi="Verdana" w:cs="Arial"/>
                <w:lang w:eastAsia="es-ES"/>
              </w:rPr>
              <w:t>PLANEACIÓN – Estudios previos / ESTUDIOS PREVIOS – Planeación – Análisis del sector – Requisitos habilitantes y ponderables / PLIEGO DE CONDICIONES – Naturaleza jurídica / PLIEGO DE CONDICIONES – Contenido – Carácter prevalente – Selección objetiva</w:t>
            </w:r>
          </w:p>
          <w:p w14:paraId="174F44D4" w14:textId="2BA71EEA" w:rsidR="000E553C" w:rsidRPr="00103B36" w:rsidRDefault="000E553C" w:rsidP="00E44A93">
            <w:pPr>
              <w:spacing w:line="276" w:lineRule="auto"/>
              <w:jc w:val="both"/>
              <w:rPr>
                <w:rFonts w:ascii="Verdana" w:eastAsia="Calibri" w:hAnsi="Verdana" w:cs="Arial"/>
                <w:color w:val="000000" w:themeColor="text1"/>
                <w:highlight w:val="yellow"/>
                <w:lang w:val="es-ES" w:eastAsia="es-ES"/>
              </w:rPr>
            </w:pPr>
          </w:p>
        </w:tc>
      </w:tr>
      <w:tr w:rsidR="005B261C" w:rsidRPr="00115E3D" w14:paraId="2F32F98A" w14:textId="77777777" w:rsidTr="00B14DA5">
        <w:trPr>
          <w:trHeight w:val="653"/>
        </w:trPr>
        <w:tc>
          <w:tcPr>
            <w:tcW w:w="2270" w:type="dxa"/>
          </w:tcPr>
          <w:p w14:paraId="26ADCFA9" w14:textId="43D11C53" w:rsidR="005B261C" w:rsidRPr="00CB7ABE" w:rsidRDefault="005B261C" w:rsidP="006F1A38">
            <w:pPr>
              <w:jc w:val="both"/>
              <w:rPr>
                <w:rFonts w:ascii="Verdana" w:eastAsia="Calibri" w:hAnsi="Verdana" w:cs="Arial"/>
                <w:b/>
                <w:color w:val="000000" w:themeColor="text1"/>
                <w:lang w:val="es-ES_tradnl" w:eastAsia="es-ES_tradnl"/>
              </w:rPr>
            </w:pPr>
            <w:r w:rsidRPr="00CB7ABE">
              <w:rPr>
                <w:rFonts w:ascii="Verdana" w:eastAsia="Calibri" w:hAnsi="Verdana" w:cs="Arial"/>
                <w:b/>
                <w:color w:val="000000" w:themeColor="text1"/>
                <w:lang w:val="es-ES_tradnl" w:eastAsia="es-ES_tradnl"/>
              </w:rPr>
              <w:t>Radicación:</w:t>
            </w:r>
            <w:r w:rsidRPr="00CB7ABE">
              <w:rPr>
                <w:rFonts w:ascii="Verdana" w:eastAsia="Calibri" w:hAnsi="Verdana" w:cs="Arial"/>
                <w:color w:val="000000" w:themeColor="text1"/>
                <w:lang w:val="es-ES_tradnl" w:eastAsia="es-ES_tradnl"/>
              </w:rPr>
              <w:t xml:space="preserve">           </w:t>
            </w:r>
          </w:p>
        </w:tc>
        <w:tc>
          <w:tcPr>
            <w:tcW w:w="6547" w:type="dxa"/>
          </w:tcPr>
          <w:p w14:paraId="42BEDD0C" w14:textId="0ACFB4BB" w:rsidR="00994BF0" w:rsidRPr="00CB7ABE" w:rsidRDefault="005B261C" w:rsidP="00DA4396">
            <w:pPr>
              <w:ind w:right="1"/>
              <w:jc w:val="both"/>
              <w:rPr>
                <w:rFonts w:ascii="Verdana" w:hAnsi="Verdana"/>
                <w:color w:val="000000"/>
              </w:rPr>
            </w:pPr>
            <w:r w:rsidRPr="00CB7ABE">
              <w:rPr>
                <w:rFonts w:ascii="Verdana" w:eastAsia="Calibri" w:hAnsi="Verdana" w:cs="Arial"/>
                <w:color w:val="000000" w:themeColor="text1"/>
                <w:lang w:val="es-ES_tradnl" w:eastAsia="es-ES_tradnl"/>
              </w:rPr>
              <w:t>Respuesta a consulta con radicado</w:t>
            </w:r>
            <w:r w:rsidR="00DA4396">
              <w:rPr>
                <w:rFonts w:ascii="Verdana" w:eastAsia="Calibri" w:hAnsi="Verdana" w:cs="Arial"/>
                <w:color w:val="000000" w:themeColor="text1"/>
                <w:lang w:val="es-ES_tradnl" w:eastAsia="es-ES_tradnl"/>
              </w:rPr>
              <w:t xml:space="preserve"> </w:t>
            </w:r>
            <w:r w:rsidR="00EC7930">
              <w:rPr>
                <w:rFonts w:ascii="Verdana" w:eastAsia="Calibri" w:hAnsi="Verdana" w:cs="Arial"/>
                <w:color w:val="000000" w:themeColor="text1"/>
                <w:lang w:val="es-ES_tradnl" w:eastAsia="es-ES_tradnl"/>
              </w:rPr>
              <w:t>N.º</w:t>
            </w:r>
            <w:r w:rsidR="00DA4396">
              <w:rPr>
                <w:rFonts w:ascii="Verdana" w:eastAsia="Calibri" w:hAnsi="Verdana" w:cs="Arial"/>
                <w:color w:val="000000" w:themeColor="text1"/>
                <w:lang w:val="es-ES_tradnl" w:eastAsia="es-ES_tradnl"/>
              </w:rPr>
              <w:t xml:space="preserve"> </w:t>
            </w:r>
            <w:r w:rsidR="00933E8F" w:rsidRPr="00933E8F">
              <w:rPr>
                <w:rFonts w:ascii="Verdana" w:eastAsia="Calibri" w:hAnsi="Verdana" w:cs="Arial"/>
                <w:color w:val="000000" w:themeColor="text1"/>
                <w:lang w:val="es-ES_tradnl" w:eastAsia="es-ES_tradnl"/>
              </w:rPr>
              <w:t>1_2026_05_04_005982</w:t>
            </w:r>
            <w:r w:rsidR="00933E8F">
              <w:rPr>
                <w:rFonts w:ascii="Verdana" w:eastAsia="Calibri" w:hAnsi="Verdana" w:cs="Arial"/>
                <w:color w:val="000000" w:themeColor="text1"/>
                <w:lang w:val="es-ES_tradnl" w:eastAsia="es-ES_tradnl"/>
              </w:rPr>
              <w:t>.</w:t>
            </w:r>
          </w:p>
        </w:tc>
      </w:tr>
      <w:tr w:rsidR="00793E41" w:rsidRPr="00115E3D" w14:paraId="5F8E3290" w14:textId="77777777" w:rsidTr="004571FD">
        <w:trPr>
          <w:trHeight w:val="278"/>
        </w:trPr>
        <w:tc>
          <w:tcPr>
            <w:tcW w:w="2270" w:type="dxa"/>
          </w:tcPr>
          <w:p w14:paraId="78327226" w14:textId="77777777" w:rsidR="00793E41" w:rsidRPr="00CB7ABE" w:rsidRDefault="00793E41" w:rsidP="006F1A38">
            <w:pPr>
              <w:jc w:val="both"/>
              <w:rPr>
                <w:rFonts w:ascii="Verdana" w:eastAsia="Calibri" w:hAnsi="Verdana" w:cs="Arial"/>
                <w:b/>
                <w:color w:val="000000" w:themeColor="text1"/>
                <w:lang w:val="es-ES_tradnl" w:eastAsia="es-ES_tradnl"/>
              </w:rPr>
            </w:pPr>
          </w:p>
        </w:tc>
        <w:tc>
          <w:tcPr>
            <w:tcW w:w="6547" w:type="dxa"/>
          </w:tcPr>
          <w:p w14:paraId="425204C8" w14:textId="77777777" w:rsidR="00793E41" w:rsidRPr="00CB7ABE" w:rsidRDefault="00793E41" w:rsidP="00DA4396">
            <w:pPr>
              <w:ind w:right="1"/>
              <w:jc w:val="both"/>
              <w:rPr>
                <w:rFonts w:ascii="Verdana" w:eastAsia="Calibri" w:hAnsi="Verdana" w:cs="Arial"/>
                <w:color w:val="000000" w:themeColor="text1"/>
                <w:lang w:val="es-ES_tradnl" w:eastAsia="es-ES_tradnl"/>
              </w:rPr>
            </w:pPr>
          </w:p>
        </w:tc>
      </w:tr>
    </w:tbl>
    <w:p w14:paraId="5F37FB94" w14:textId="099573A7" w:rsidR="005B261C" w:rsidRPr="00115E3D" w:rsidRDefault="00C443DB" w:rsidP="005B261C">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w:t>
      </w:r>
      <w:r w:rsidR="005B261C" w:rsidRPr="00115E3D">
        <w:rPr>
          <w:rFonts w:ascii="Verdana" w:eastAsia="Calibri" w:hAnsi="Verdana" w:cs="Arial"/>
          <w:color w:val="000000" w:themeColor="text1"/>
          <w:lang w:val="es-ES" w:eastAsia="es-ES"/>
        </w:rPr>
        <w:t>stimad</w:t>
      </w:r>
      <w:r w:rsidR="007C5F20">
        <w:rPr>
          <w:rFonts w:ascii="Verdana" w:eastAsia="Calibri" w:hAnsi="Verdana" w:cs="Arial"/>
          <w:color w:val="000000" w:themeColor="text1"/>
          <w:lang w:val="es-ES" w:eastAsia="es-ES"/>
        </w:rPr>
        <w:t>o</w:t>
      </w:r>
      <w:r w:rsidR="005E256F">
        <w:rPr>
          <w:rFonts w:ascii="Verdana" w:eastAsia="Calibri" w:hAnsi="Verdana" w:cs="Arial"/>
          <w:color w:val="000000" w:themeColor="text1"/>
          <w:lang w:val="es-ES" w:eastAsia="es-ES"/>
        </w:rPr>
        <w:t xml:space="preserve"> </w:t>
      </w:r>
      <w:r w:rsidR="005B261C" w:rsidRPr="00115E3D">
        <w:rPr>
          <w:rFonts w:ascii="Verdana" w:eastAsia="Calibri" w:hAnsi="Verdana" w:cs="Arial"/>
          <w:color w:val="000000" w:themeColor="text1"/>
          <w:lang w:val="es-ES" w:eastAsia="es-ES"/>
        </w:rPr>
        <w:t>señor</w:t>
      </w:r>
      <w:r w:rsidR="007C5F20">
        <w:rPr>
          <w:rFonts w:ascii="Verdana" w:eastAsia="Calibri" w:hAnsi="Verdana" w:cs="Arial"/>
          <w:color w:val="000000" w:themeColor="text1"/>
          <w:lang w:val="es-ES" w:eastAsia="es-ES"/>
        </w:rPr>
        <w:t xml:space="preserve"> </w:t>
      </w:r>
      <w:r w:rsidR="00933E8F">
        <w:rPr>
          <w:rFonts w:ascii="Verdana" w:eastAsia="Calibri" w:hAnsi="Verdana" w:cs="Arial"/>
          <w:color w:val="000000" w:themeColor="text1"/>
          <w:lang w:val="es-ES" w:eastAsia="es-ES"/>
        </w:rPr>
        <w:t>Angel</w:t>
      </w:r>
      <w:r w:rsidR="007125A9">
        <w:rPr>
          <w:rFonts w:ascii="Verdana" w:eastAsia="Calibri" w:hAnsi="Verdana" w:cs="Arial"/>
          <w:color w:val="000000" w:themeColor="text1"/>
          <w:lang w:val="es-ES" w:eastAsia="es-ES"/>
        </w:rPr>
        <w:t>;</w:t>
      </w:r>
    </w:p>
    <w:p w14:paraId="01BB3543" w14:textId="77777777" w:rsidR="005B261C" w:rsidRPr="00115E3D" w:rsidRDefault="005B261C" w:rsidP="005B261C">
      <w:pPr>
        <w:tabs>
          <w:tab w:val="left" w:pos="3768"/>
        </w:tabs>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ab/>
      </w:r>
    </w:p>
    <w:p w14:paraId="05F6EC50" w14:textId="3D223D46" w:rsidR="005B261C" w:rsidRPr="00115E3D" w:rsidRDefault="005B261C" w:rsidP="005B261C">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En ejercicio de la competencia otorgada por los artículos 3, numeral 5º, y 11, numeral 8º, del Decreto Ley 4170 de 2011,</w:t>
      </w:r>
      <w:r w:rsidRPr="00115E3D">
        <w:rPr>
          <w:rFonts w:ascii="Verdana" w:eastAsia="Arial MT" w:hAnsi="Verdana" w:cs="Arial MT"/>
          <w:color w:val="000000" w:themeColor="text1"/>
          <w:lang w:val="es-ES" w:eastAsia="es-ES"/>
        </w:rPr>
        <w:t xml:space="preserve"> </w:t>
      </w:r>
      <w:r w:rsidRPr="00115E3D">
        <w:rPr>
          <w:rFonts w:ascii="Verdana" w:hAnsi="Verdana" w:cs="Arial"/>
          <w:color w:val="000000" w:themeColor="text1"/>
        </w:rPr>
        <w:t xml:space="preserve">así como lo establecido en el artículo 4 de la Resolución 1707 de 2018 expedida por esta Entidad, </w:t>
      </w:r>
      <w:r w:rsidRPr="00115E3D">
        <w:rPr>
          <w:rFonts w:ascii="Verdana" w:eastAsia="Calibri" w:hAnsi="Verdana" w:cs="Arial"/>
          <w:color w:val="000000" w:themeColor="text1"/>
          <w:lang w:val="es-ES" w:eastAsia="es-ES"/>
        </w:rPr>
        <w:t>la Agencia Nacional de Contratación Pública – Colombia Compra Eficiente– responde</w:t>
      </w:r>
      <w:r w:rsidR="00CF5ED9">
        <w:rPr>
          <w:rFonts w:ascii="Verdana" w:eastAsia="Calibri" w:hAnsi="Verdana" w:cs="Arial"/>
          <w:color w:val="000000" w:themeColor="text1"/>
          <w:lang w:val="es-ES" w:eastAsia="es-ES"/>
        </w:rPr>
        <w:t xml:space="preserve"> a </w:t>
      </w:r>
      <w:r w:rsidR="00103B36">
        <w:rPr>
          <w:rFonts w:ascii="Verdana" w:eastAsia="Calibri" w:hAnsi="Verdana" w:cs="Arial"/>
          <w:color w:val="000000" w:themeColor="text1"/>
          <w:lang w:val="es-ES" w:eastAsia="es-ES"/>
        </w:rPr>
        <w:t xml:space="preserve">su solicitud </w:t>
      </w:r>
      <w:r w:rsidR="00CF5ED9">
        <w:rPr>
          <w:rFonts w:ascii="Verdana" w:eastAsia="Calibri" w:hAnsi="Verdana" w:cs="Arial"/>
          <w:color w:val="000000" w:themeColor="text1"/>
          <w:lang w:val="es-ES" w:eastAsia="es-ES"/>
        </w:rPr>
        <w:t xml:space="preserve"> </w:t>
      </w:r>
      <w:r w:rsidR="00970C7D">
        <w:rPr>
          <w:rFonts w:ascii="Verdana" w:eastAsia="Calibri" w:hAnsi="Verdana" w:cs="Arial"/>
          <w:color w:val="000000" w:themeColor="text1"/>
          <w:lang w:val="es-ES" w:eastAsia="es-ES"/>
        </w:rPr>
        <w:t xml:space="preserve">radicada ante </w:t>
      </w:r>
      <w:r w:rsidR="002E1DE9">
        <w:rPr>
          <w:rFonts w:ascii="Verdana" w:eastAsia="Calibri" w:hAnsi="Verdana" w:cs="Arial"/>
          <w:color w:val="000000" w:themeColor="text1"/>
          <w:lang w:val="es-ES" w:eastAsia="es-ES"/>
        </w:rPr>
        <w:t xml:space="preserve">esta entidad el </w:t>
      </w:r>
      <w:r w:rsidR="004E3AD0">
        <w:rPr>
          <w:rFonts w:ascii="Verdana" w:eastAsia="Calibri" w:hAnsi="Verdana" w:cs="Arial"/>
          <w:color w:val="000000" w:themeColor="text1"/>
          <w:lang w:val="es-ES" w:eastAsia="es-ES"/>
        </w:rPr>
        <w:t>0</w:t>
      </w:r>
      <w:r w:rsidR="00933E8F">
        <w:rPr>
          <w:rFonts w:ascii="Verdana" w:eastAsia="Calibri" w:hAnsi="Verdana" w:cs="Arial"/>
          <w:color w:val="000000" w:themeColor="text1"/>
          <w:lang w:val="es-ES" w:eastAsia="es-ES"/>
        </w:rPr>
        <w:t>5</w:t>
      </w:r>
      <w:r w:rsidR="002E1DE9">
        <w:rPr>
          <w:rFonts w:ascii="Verdana" w:eastAsia="Calibri" w:hAnsi="Verdana" w:cs="Arial"/>
          <w:color w:val="000000" w:themeColor="text1"/>
          <w:lang w:val="es-ES" w:eastAsia="es-ES"/>
        </w:rPr>
        <w:t xml:space="preserve"> de </w:t>
      </w:r>
      <w:r w:rsidR="004E3AD0">
        <w:rPr>
          <w:rFonts w:ascii="Verdana" w:eastAsia="Calibri" w:hAnsi="Verdana" w:cs="Arial"/>
          <w:color w:val="000000" w:themeColor="text1"/>
          <w:lang w:val="es-ES" w:eastAsia="es-ES"/>
        </w:rPr>
        <w:t>mayo</w:t>
      </w:r>
      <w:r w:rsidR="002E1DE9">
        <w:rPr>
          <w:rFonts w:ascii="Verdana" w:eastAsia="Calibri" w:hAnsi="Verdana" w:cs="Arial"/>
          <w:color w:val="000000" w:themeColor="text1"/>
          <w:lang w:val="es-ES" w:eastAsia="es-ES"/>
        </w:rPr>
        <w:t xml:space="preserve"> de 2026 </w:t>
      </w:r>
      <w:r w:rsidRPr="00115E3D">
        <w:rPr>
          <w:rFonts w:ascii="Verdana" w:eastAsia="Calibri" w:hAnsi="Verdana" w:cs="Arial"/>
          <w:color w:val="000000" w:themeColor="text1"/>
          <w:lang w:val="es-ES" w:eastAsia="es-ES"/>
        </w:rPr>
        <w:t xml:space="preserve">en la cual manifiesta lo siguiente: </w:t>
      </w:r>
    </w:p>
    <w:p w14:paraId="3200577B" w14:textId="77777777" w:rsidR="0099297C" w:rsidRDefault="0099297C" w:rsidP="00096CB6">
      <w:pPr>
        <w:spacing w:after="0" w:line="240" w:lineRule="auto"/>
        <w:ind w:left="709" w:right="709"/>
        <w:jc w:val="both"/>
        <w:rPr>
          <w:rFonts w:ascii="Verdana" w:eastAsia="Century Gothic" w:hAnsi="Verdana" w:cs="Century Gothic"/>
          <w:i/>
          <w:iCs/>
          <w:color w:val="000000" w:themeColor="text1"/>
          <w:sz w:val="20"/>
          <w:szCs w:val="20"/>
          <w:lang w:val="es-ES"/>
        </w:rPr>
      </w:pPr>
      <w:bookmarkStart w:id="0" w:name="_Hlk95313578"/>
    </w:p>
    <w:bookmarkEnd w:id="0"/>
    <w:p w14:paraId="32E7343F" w14:textId="77777777" w:rsidR="00B73EBA" w:rsidRDefault="00CB73C5" w:rsidP="004E3AD0">
      <w:pPr>
        <w:spacing w:after="0" w:line="240" w:lineRule="auto"/>
        <w:ind w:left="709" w:right="709"/>
        <w:rPr>
          <w:rFonts w:ascii="Verdana" w:eastAsia="Century Gothic" w:hAnsi="Verdana" w:cs="Century Gothic"/>
          <w:i/>
          <w:iCs/>
          <w:color w:val="000000" w:themeColor="text1"/>
          <w:sz w:val="20"/>
          <w:szCs w:val="20"/>
          <w:lang w:val="es-ES"/>
        </w:rPr>
      </w:pPr>
      <w:r w:rsidRPr="00104557">
        <w:rPr>
          <w:rFonts w:ascii="Verdana" w:eastAsia="Century Gothic" w:hAnsi="Verdana" w:cs="Century Gothic"/>
          <w:i/>
          <w:iCs/>
          <w:color w:val="000000" w:themeColor="text1"/>
          <w:sz w:val="20"/>
          <w:szCs w:val="20"/>
          <w:lang w:val="es-ES"/>
        </w:rPr>
        <w:t>“</w:t>
      </w:r>
    </w:p>
    <w:p w14:paraId="79697299" w14:textId="256EC50C" w:rsidR="00434C7E" w:rsidRPr="00AC00FA" w:rsidRDefault="00933E8F" w:rsidP="00933E8F">
      <w:pPr>
        <w:spacing w:after="0" w:line="240" w:lineRule="auto"/>
        <w:ind w:left="709" w:right="709"/>
        <w:jc w:val="both"/>
        <w:rPr>
          <w:rFonts w:ascii="Verdana" w:eastAsia="Century Gothic" w:hAnsi="Verdana" w:cs="Century Gothic"/>
          <w:i/>
          <w:iCs/>
          <w:color w:val="000000" w:themeColor="text1"/>
          <w:sz w:val="20"/>
          <w:szCs w:val="20"/>
          <w:lang w:val="es-ES"/>
        </w:rPr>
      </w:pPr>
      <w:r w:rsidRPr="00933E8F">
        <w:rPr>
          <w:rFonts w:ascii="Verdana" w:eastAsia="Century Gothic" w:hAnsi="Verdana" w:cs="Century Gothic"/>
          <w:i/>
          <w:iCs/>
          <w:color w:val="000000" w:themeColor="text1"/>
          <w:sz w:val="20"/>
          <w:szCs w:val="20"/>
        </w:rPr>
        <w:t>En un proceso de selección en el que la Entidad Estatal exige al</w:t>
      </w:r>
      <w:r>
        <w:rPr>
          <w:rFonts w:ascii="Verdana" w:eastAsia="Century Gothic" w:hAnsi="Verdana" w:cs="Century Gothic"/>
          <w:i/>
          <w:iCs/>
          <w:color w:val="000000" w:themeColor="text1"/>
          <w:sz w:val="20"/>
          <w:szCs w:val="20"/>
        </w:rPr>
        <w:t xml:space="preserve"> </w:t>
      </w:r>
      <w:r w:rsidRPr="00933E8F">
        <w:rPr>
          <w:rFonts w:ascii="Verdana" w:eastAsia="Century Gothic" w:hAnsi="Verdana" w:cs="Century Gothic"/>
          <w:i/>
          <w:iCs/>
          <w:color w:val="000000" w:themeColor="text1"/>
          <w:sz w:val="20"/>
          <w:szCs w:val="20"/>
        </w:rPr>
        <w:t>proponente la conformación de un equipo de personal mínimo cuyos</w:t>
      </w:r>
      <w:r>
        <w:rPr>
          <w:rFonts w:ascii="Verdana" w:eastAsia="Century Gothic" w:hAnsi="Verdana" w:cs="Century Gothic"/>
          <w:i/>
          <w:iCs/>
          <w:color w:val="000000" w:themeColor="text1"/>
          <w:sz w:val="20"/>
          <w:szCs w:val="20"/>
        </w:rPr>
        <w:t xml:space="preserve"> </w:t>
      </w:r>
      <w:r w:rsidRPr="00933E8F">
        <w:rPr>
          <w:rFonts w:ascii="Verdana" w:eastAsia="Century Gothic" w:hAnsi="Verdana" w:cs="Century Gothic"/>
          <w:i/>
          <w:iCs/>
          <w:color w:val="000000" w:themeColor="text1"/>
          <w:sz w:val="20"/>
          <w:szCs w:val="20"/>
        </w:rPr>
        <w:t>integrantes deben acreditar, de manera conjunta, una formación</w:t>
      </w:r>
      <w:r>
        <w:rPr>
          <w:rFonts w:ascii="Verdana" w:eastAsia="Century Gothic" w:hAnsi="Verdana" w:cs="Century Gothic"/>
          <w:i/>
          <w:iCs/>
          <w:color w:val="000000" w:themeColor="text1"/>
          <w:sz w:val="20"/>
          <w:szCs w:val="20"/>
        </w:rPr>
        <w:t xml:space="preserve"> </w:t>
      </w:r>
      <w:r w:rsidRPr="00933E8F">
        <w:rPr>
          <w:rFonts w:ascii="Verdana" w:eastAsia="Century Gothic" w:hAnsi="Verdana" w:cs="Century Gothic"/>
          <w:i/>
          <w:iCs/>
          <w:color w:val="000000" w:themeColor="text1"/>
          <w:sz w:val="20"/>
          <w:szCs w:val="20"/>
        </w:rPr>
        <w:t>académica de posgrado (especialización, maestría o doctorado) y una</w:t>
      </w:r>
      <w:r>
        <w:rPr>
          <w:rFonts w:ascii="Verdana" w:eastAsia="Century Gothic" w:hAnsi="Verdana" w:cs="Century Gothic"/>
          <w:i/>
          <w:iCs/>
          <w:color w:val="000000" w:themeColor="text1"/>
          <w:sz w:val="20"/>
          <w:szCs w:val="20"/>
        </w:rPr>
        <w:t xml:space="preserve"> </w:t>
      </w:r>
      <w:r w:rsidRPr="00933E8F">
        <w:rPr>
          <w:rFonts w:ascii="Verdana" w:eastAsia="Century Gothic" w:hAnsi="Verdana" w:cs="Century Gothic"/>
          <w:i/>
          <w:iCs/>
          <w:color w:val="000000" w:themeColor="text1"/>
          <w:sz w:val="20"/>
          <w:szCs w:val="20"/>
        </w:rPr>
        <w:t>experiencia profesional específica en determinadas áreas o actividades,</w:t>
      </w:r>
      <w:r>
        <w:rPr>
          <w:rFonts w:ascii="Verdana" w:eastAsia="Century Gothic" w:hAnsi="Verdana" w:cs="Century Gothic"/>
          <w:i/>
          <w:iCs/>
          <w:color w:val="000000" w:themeColor="text1"/>
          <w:sz w:val="20"/>
          <w:szCs w:val="20"/>
        </w:rPr>
        <w:t xml:space="preserve"> </w:t>
      </w:r>
      <w:r w:rsidRPr="00933E8F">
        <w:rPr>
          <w:rFonts w:ascii="Verdana" w:eastAsia="Century Gothic" w:hAnsi="Verdana" w:cs="Century Gothic"/>
          <w:i/>
          <w:iCs/>
          <w:color w:val="000000" w:themeColor="text1"/>
          <w:sz w:val="20"/>
          <w:szCs w:val="20"/>
        </w:rPr>
        <w:t>¿puede la Entidad Estatal establecer válidamente en los pliegos de</w:t>
      </w:r>
      <w:r>
        <w:rPr>
          <w:rFonts w:ascii="Verdana" w:eastAsia="Century Gothic" w:hAnsi="Verdana" w:cs="Century Gothic"/>
          <w:i/>
          <w:iCs/>
          <w:color w:val="000000" w:themeColor="text1"/>
          <w:sz w:val="20"/>
          <w:szCs w:val="20"/>
        </w:rPr>
        <w:t xml:space="preserve"> </w:t>
      </w:r>
      <w:r w:rsidRPr="00933E8F">
        <w:rPr>
          <w:rFonts w:ascii="Verdana" w:eastAsia="Century Gothic" w:hAnsi="Verdana" w:cs="Century Gothic"/>
          <w:i/>
          <w:iCs/>
          <w:color w:val="000000" w:themeColor="text1"/>
          <w:sz w:val="20"/>
          <w:szCs w:val="20"/>
        </w:rPr>
        <w:t>condiciones un mecanismo que permita que la acreditación de mayor</w:t>
      </w:r>
      <w:r>
        <w:rPr>
          <w:rFonts w:ascii="Verdana" w:eastAsia="Century Gothic" w:hAnsi="Verdana" w:cs="Century Gothic"/>
          <w:i/>
          <w:iCs/>
          <w:color w:val="000000" w:themeColor="text1"/>
          <w:sz w:val="20"/>
          <w:szCs w:val="20"/>
        </w:rPr>
        <w:t xml:space="preserve"> </w:t>
      </w:r>
      <w:r w:rsidRPr="00933E8F">
        <w:rPr>
          <w:rFonts w:ascii="Verdana" w:eastAsia="Century Gothic" w:hAnsi="Verdana" w:cs="Century Gothic"/>
          <w:i/>
          <w:iCs/>
          <w:color w:val="000000" w:themeColor="text1"/>
          <w:sz w:val="20"/>
          <w:szCs w:val="20"/>
        </w:rPr>
        <w:t xml:space="preserve">tiempo o número de certificaciones </w:t>
      </w:r>
      <w:r w:rsidRPr="00933E8F">
        <w:rPr>
          <w:rFonts w:ascii="Verdana" w:eastAsia="Century Gothic" w:hAnsi="Verdana" w:cs="Century Gothic"/>
          <w:i/>
          <w:iCs/>
          <w:color w:val="000000" w:themeColor="text1"/>
          <w:sz w:val="20"/>
          <w:szCs w:val="20"/>
        </w:rPr>
        <w:lastRenderedPageBreak/>
        <w:t>de experiencia específica supla,</w:t>
      </w:r>
      <w:r>
        <w:rPr>
          <w:rFonts w:ascii="Verdana" w:eastAsia="Century Gothic" w:hAnsi="Verdana" w:cs="Century Gothic"/>
          <w:i/>
          <w:iCs/>
          <w:color w:val="000000" w:themeColor="text1"/>
          <w:sz w:val="20"/>
          <w:szCs w:val="20"/>
        </w:rPr>
        <w:t xml:space="preserve"> </w:t>
      </w:r>
      <w:r w:rsidRPr="00933E8F">
        <w:rPr>
          <w:rFonts w:ascii="Verdana" w:eastAsia="Century Gothic" w:hAnsi="Verdana" w:cs="Century Gothic"/>
          <w:i/>
          <w:iCs/>
          <w:color w:val="000000" w:themeColor="text1"/>
          <w:sz w:val="20"/>
          <w:szCs w:val="20"/>
        </w:rPr>
        <w:t>reemplace o convalide el requisito de título de posgrado, de modo que el</w:t>
      </w:r>
      <w:r>
        <w:rPr>
          <w:rFonts w:ascii="Verdana" w:eastAsia="Century Gothic" w:hAnsi="Verdana" w:cs="Century Gothic"/>
          <w:i/>
          <w:iCs/>
          <w:color w:val="000000" w:themeColor="text1"/>
          <w:sz w:val="20"/>
          <w:szCs w:val="20"/>
        </w:rPr>
        <w:t xml:space="preserve"> </w:t>
      </w:r>
      <w:r w:rsidRPr="00933E8F">
        <w:rPr>
          <w:rFonts w:ascii="Verdana" w:eastAsia="Century Gothic" w:hAnsi="Verdana" w:cs="Century Gothic"/>
          <w:i/>
          <w:iCs/>
          <w:color w:val="000000" w:themeColor="text1"/>
          <w:sz w:val="20"/>
          <w:szCs w:val="20"/>
        </w:rPr>
        <w:t>integrante del equipo que no cuente con dicho título pueda habilitarse</w:t>
      </w:r>
      <w:r>
        <w:rPr>
          <w:rFonts w:ascii="Verdana" w:eastAsia="Century Gothic" w:hAnsi="Verdana" w:cs="Century Gothic"/>
          <w:i/>
          <w:iCs/>
          <w:color w:val="000000" w:themeColor="text1"/>
          <w:sz w:val="20"/>
          <w:szCs w:val="20"/>
        </w:rPr>
        <w:t xml:space="preserve"> </w:t>
      </w:r>
      <w:r w:rsidRPr="00933E8F">
        <w:rPr>
          <w:rFonts w:ascii="Verdana" w:eastAsia="Century Gothic" w:hAnsi="Verdana" w:cs="Century Gothic"/>
          <w:i/>
          <w:iCs/>
          <w:color w:val="000000" w:themeColor="text1"/>
          <w:sz w:val="20"/>
          <w:szCs w:val="20"/>
        </w:rPr>
        <w:t>con base exclusivamente en su experiencia acreditada</w:t>
      </w:r>
      <w:r w:rsidR="00434C7E" w:rsidRPr="00AC00FA">
        <w:rPr>
          <w:rFonts w:ascii="Verdana" w:eastAsia="Century Gothic" w:hAnsi="Verdana" w:cs="Century Gothic"/>
          <w:i/>
          <w:iCs/>
          <w:color w:val="000000" w:themeColor="text1"/>
          <w:sz w:val="20"/>
          <w:szCs w:val="20"/>
          <w:lang w:val="es-MX"/>
        </w:rPr>
        <w:t>“</w:t>
      </w:r>
    </w:p>
    <w:p w14:paraId="2702036E" w14:textId="77777777" w:rsidR="00155790" w:rsidRDefault="00155790" w:rsidP="00155790">
      <w:pPr>
        <w:spacing w:after="0" w:line="240" w:lineRule="auto"/>
        <w:ind w:left="709" w:right="709"/>
        <w:jc w:val="both"/>
        <w:rPr>
          <w:rFonts w:ascii="Verdana" w:eastAsia="Century Gothic" w:hAnsi="Verdana" w:cs="Century Gothic"/>
          <w:i/>
          <w:iCs/>
          <w:color w:val="000000" w:themeColor="text1"/>
          <w:sz w:val="20"/>
          <w:szCs w:val="20"/>
          <w:lang w:val="es-ES"/>
        </w:rPr>
      </w:pPr>
    </w:p>
    <w:p w14:paraId="059A9D4E" w14:textId="2AB4D3A2" w:rsidR="005B261C" w:rsidRDefault="005B261C" w:rsidP="00131F6C">
      <w:pPr>
        <w:spacing w:after="0" w:line="276" w:lineRule="auto"/>
        <w:ind w:right="51" w:firstLine="709"/>
        <w:jc w:val="both"/>
        <w:rPr>
          <w:rFonts w:ascii="Verdana" w:eastAsia="Calibri" w:hAnsi="Verdana" w:cs="Arial"/>
          <w:color w:val="000000" w:themeColor="text1"/>
          <w:szCs w:val="24"/>
          <w:lang w:val="es-ES_tradnl" w:eastAsia="es-ES_tradnl"/>
        </w:rPr>
      </w:pPr>
      <w:r w:rsidRPr="00115E3D">
        <w:rPr>
          <w:rFonts w:ascii="Verdana" w:eastAsia="Calibri" w:hAnsi="Verdana" w:cs="Arial"/>
          <w:color w:val="000000" w:themeColor="text1"/>
          <w:lang w:val="es-ES" w:eastAsia="es-ES"/>
        </w:rPr>
        <w:t>De manera preliminar, resulta necesario acotar que esta entidad solo tiene competencia para responder consultas sobre la aplicación de normas de carác</w:t>
      </w:r>
      <w:r w:rsidR="00DF13B0">
        <w:rPr>
          <w:rFonts w:ascii="Verdana" w:eastAsia="Calibri" w:hAnsi="Verdana" w:cs="Arial"/>
          <w:color w:val="000000" w:themeColor="text1"/>
          <w:lang w:val="es-ES" w:eastAsia="es-ES"/>
        </w:rPr>
        <w:t>t</w:t>
      </w:r>
      <w:r w:rsidRPr="00115E3D">
        <w:rPr>
          <w:rFonts w:ascii="Verdana" w:eastAsia="Calibri" w:hAnsi="Verdana" w:cs="Arial"/>
          <w:color w:val="000000" w:themeColor="text1"/>
          <w:lang w:val="es-ES" w:eastAsia="es-ES"/>
        </w:rPr>
        <w:t xml:space="preserve">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15E3D">
        <w:rPr>
          <w:rFonts w:ascii="Verdana" w:eastAsia="Calibri" w:hAnsi="Verdana" w:cs="Arial"/>
          <w:color w:val="000000" w:themeColor="text1"/>
          <w:szCs w:val="24"/>
          <w:lang w:val="es-ES_tradnl" w:eastAsia="es-ES_tradnl"/>
        </w:rPr>
        <w:tab/>
      </w:r>
    </w:p>
    <w:p w14:paraId="640807FA" w14:textId="77777777" w:rsidR="007E403E" w:rsidRPr="00115E3D" w:rsidRDefault="007E403E" w:rsidP="007E403E">
      <w:pPr>
        <w:spacing w:after="0" w:line="240" w:lineRule="auto"/>
        <w:ind w:right="49"/>
        <w:jc w:val="both"/>
        <w:rPr>
          <w:rFonts w:ascii="Verdana" w:eastAsia="Calibri" w:hAnsi="Verdana" w:cs="Arial"/>
          <w:color w:val="000000" w:themeColor="text1"/>
          <w:szCs w:val="24"/>
          <w:lang w:val="es-ES_tradnl" w:eastAsia="es-ES_tradnl"/>
        </w:rPr>
      </w:pPr>
    </w:p>
    <w:p w14:paraId="17917103" w14:textId="610BBADD" w:rsidR="005B261C" w:rsidRPr="00115E3D" w:rsidRDefault="005B261C" w:rsidP="005B261C">
      <w:pPr>
        <w:spacing w:after="0" w:line="276" w:lineRule="auto"/>
        <w:ind w:firstLine="709"/>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sidR="009E7E8C">
        <w:rPr>
          <w:rFonts w:ascii="Verdana" w:eastAsia="Calibri" w:hAnsi="Verdana" w:cs="Arial"/>
          <w:color w:val="000000" w:themeColor="text1"/>
          <w:lang w:val="es-ES" w:eastAsia="es-ES"/>
        </w:rPr>
        <w:t xml:space="preserve"> </w:t>
      </w:r>
      <w:r w:rsidRPr="00115E3D">
        <w:rPr>
          <w:rFonts w:ascii="Verdana" w:eastAsia="Calibri" w:hAnsi="Verdana" w:cs="Arial"/>
          <w:color w:val="000000" w:themeColor="text1"/>
          <w:lang w:val="es-ES" w:eastAsia="es-ES"/>
        </w:rPr>
        <w:t xml:space="preserve">jurídico de su consulta. </w:t>
      </w:r>
    </w:p>
    <w:p w14:paraId="41A931FE" w14:textId="77777777" w:rsidR="005B261C" w:rsidRDefault="005B261C" w:rsidP="005B261C">
      <w:pPr>
        <w:spacing w:after="0" w:line="276" w:lineRule="auto"/>
        <w:ind w:firstLine="709"/>
        <w:jc w:val="both"/>
        <w:rPr>
          <w:rFonts w:ascii="Verdana" w:eastAsia="Calibri" w:hAnsi="Verdana" w:cs="Arial"/>
          <w:color w:val="000000" w:themeColor="text1"/>
          <w:lang w:val="es-ES" w:eastAsia="es-ES"/>
        </w:rPr>
      </w:pPr>
    </w:p>
    <w:p w14:paraId="12EFB611" w14:textId="77777777" w:rsidR="005B261C" w:rsidRPr="00115E3D" w:rsidRDefault="005B261C">
      <w:pPr>
        <w:pStyle w:val="Prrafodelista"/>
        <w:numPr>
          <w:ilvl w:val="0"/>
          <w:numId w:val="1"/>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Problema planteado:</w:t>
      </w:r>
    </w:p>
    <w:p w14:paraId="11286705" w14:textId="77777777" w:rsidR="005B261C" w:rsidRPr="00115E3D" w:rsidRDefault="005B261C" w:rsidP="005B261C">
      <w:pPr>
        <w:tabs>
          <w:tab w:val="left" w:pos="426"/>
        </w:tabs>
        <w:spacing w:after="0" w:line="276" w:lineRule="auto"/>
        <w:jc w:val="both"/>
        <w:rPr>
          <w:rFonts w:ascii="Verdana" w:eastAsia="Century Gothic" w:hAnsi="Verdana" w:cs="Century Gothic"/>
          <w:color w:val="000000" w:themeColor="text1"/>
          <w:lang w:val="es-ES"/>
        </w:rPr>
      </w:pPr>
    </w:p>
    <w:p w14:paraId="1CFE16B1" w14:textId="5613A794" w:rsidR="00933E8F" w:rsidRPr="005C57E4" w:rsidRDefault="005B261C" w:rsidP="00933E8F">
      <w:pPr>
        <w:spacing w:after="0" w:line="276" w:lineRule="auto"/>
        <w:jc w:val="both"/>
        <w:rPr>
          <w:rFonts w:ascii="Verdana" w:eastAsia="Century Gothic" w:hAnsi="Verdana" w:cs="Century Gothic"/>
          <w:color w:val="000000" w:themeColor="text1"/>
        </w:rPr>
      </w:pPr>
      <w:r w:rsidRPr="00115E3D">
        <w:rPr>
          <w:rFonts w:ascii="Verdana" w:eastAsia="Century Gothic" w:hAnsi="Verdana" w:cs="Century Gothic"/>
          <w:color w:val="000000" w:themeColor="text1"/>
        </w:rPr>
        <w:t xml:space="preserve">De acuerdo con el contenido de su solicitud, esta Agencia resolverá </w:t>
      </w:r>
      <w:r w:rsidR="00933E8F">
        <w:rPr>
          <w:rFonts w:ascii="Verdana" w:eastAsia="Century Gothic" w:hAnsi="Verdana" w:cs="Century Gothic"/>
          <w:color w:val="000000" w:themeColor="text1"/>
        </w:rPr>
        <w:t>el</w:t>
      </w:r>
      <w:r w:rsidR="00E640B4">
        <w:rPr>
          <w:rFonts w:ascii="Verdana" w:eastAsia="Century Gothic" w:hAnsi="Verdana" w:cs="Century Gothic"/>
          <w:color w:val="000000" w:themeColor="text1"/>
        </w:rPr>
        <w:t xml:space="preserve"> siguiente</w:t>
      </w:r>
      <w:r w:rsidRPr="00115E3D">
        <w:rPr>
          <w:rFonts w:ascii="Verdana" w:eastAsia="Century Gothic" w:hAnsi="Verdana" w:cs="Century Gothic"/>
          <w:color w:val="000000" w:themeColor="text1"/>
        </w:rPr>
        <w:t xml:space="preserve"> </w:t>
      </w:r>
      <w:r w:rsidR="009E7E8C" w:rsidRPr="00115E3D">
        <w:rPr>
          <w:rFonts w:ascii="Verdana" w:eastAsia="Century Gothic" w:hAnsi="Verdana" w:cs="Century Gothic"/>
          <w:color w:val="000000" w:themeColor="text1"/>
        </w:rPr>
        <w:t>problema</w:t>
      </w:r>
      <w:r w:rsidRPr="00115E3D">
        <w:rPr>
          <w:rFonts w:ascii="Verdana" w:eastAsia="Century Gothic" w:hAnsi="Verdana" w:cs="Century Gothic"/>
          <w:color w:val="000000" w:themeColor="text1"/>
        </w:rPr>
        <w:t xml:space="preserve"> jurídico:</w:t>
      </w:r>
      <w:r w:rsidR="003D038F">
        <w:rPr>
          <w:rFonts w:ascii="Verdana" w:eastAsia="Century Gothic" w:hAnsi="Verdana" w:cs="Century Gothic"/>
          <w:color w:val="000000" w:themeColor="text1"/>
        </w:rPr>
        <w:t xml:space="preserve"> </w:t>
      </w:r>
      <w:r w:rsidR="003D038F" w:rsidRPr="003D038F">
        <w:rPr>
          <w:rFonts w:ascii="Verdana" w:eastAsia="Century Gothic" w:hAnsi="Verdana" w:cs="Century Gothic"/>
          <w:color w:val="000000" w:themeColor="text1"/>
        </w:rPr>
        <w:t xml:space="preserve">¿Puede una </w:t>
      </w:r>
      <w:r w:rsidR="003D038F">
        <w:rPr>
          <w:rFonts w:ascii="Verdana" w:eastAsia="Century Gothic" w:hAnsi="Verdana" w:cs="Century Gothic"/>
          <w:color w:val="000000" w:themeColor="text1"/>
        </w:rPr>
        <w:t>E</w:t>
      </w:r>
      <w:r w:rsidR="003D038F" w:rsidRPr="003D038F">
        <w:rPr>
          <w:rFonts w:ascii="Verdana" w:eastAsia="Century Gothic" w:hAnsi="Verdana" w:cs="Century Gothic"/>
          <w:color w:val="000000" w:themeColor="text1"/>
        </w:rPr>
        <w:t xml:space="preserve">ntidad </w:t>
      </w:r>
      <w:r w:rsidR="003D038F">
        <w:rPr>
          <w:rFonts w:ascii="Verdana" w:eastAsia="Century Gothic" w:hAnsi="Verdana" w:cs="Century Gothic"/>
          <w:color w:val="000000" w:themeColor="text1"/>
        </w:rPr>
        <w:t>E</w:t>
      </w:r>
      <w:r w:rsidR="003D038F" w:rsidRPr="003D038F">
        <w:rPr>
          <w:rFonts w:ascii="Verdana" w:eastAsia="Century Gothic" w:hAnsi="Verdana" w:cs="Century Gothic"/>
          <w:color w:val="000000" w:themeColor="text1"/>
        </w:rPr>
        <w:t>statal establecer en los pliegos de condiciones que la experiencia profesional específica de un integrante del equipo mínimo de trabajo sustituya la exigencia de un título de posgrado previamente requerido como requisito habilitante?</w:t>
      </w:r>
    </w:p>
    <w:p w14:paraId="43940D4E" w14:textId="77777777" w:rsidR="003638DA" w:rsidRDefault="003638DA" w:rsidP="005906F4">
      <w:pPr>
        <w:spacing w:after="0" w:line="276" w:lineRule="auto"/>
        <w:ind w:left="284"/>
        <w:jc w:val="both"/>
        <w:rPr>
          <w:rFonts w:ascii="Verdana" w:eastAsia="Century Gothic" w:hAnsi="Verdana" w:cs="Century Gothic"/>
          <w:color w:val="000000" w:themeColor="text1"/>
        </w:rPr>
      </w:pPr>
    </w:p>
    <w:p w14:paraId="5609B135" w14:textId="4951A738" w:rsidR="005B261C" w:rsidRPr="00115E3D" w:rsidRDefault="005906F4" w:rsidP="003D038F">
      <w:pPr>
        <w:spacing w:after="0" w:line="276" w:lineRule="auto"/>
        <w:jc w:val="both"/>
        <w:rPr>
          <w:rFonts w:ascii="Verdana" w:eastAsia="Century Gothic" w:hAnsi="Verdana" w:cs="Century Gothic"/>
          <w:b/>
          <w:bCs/>
          <w:color w:val="000000" w:themeColor="text1"/>
        </w:rPr>
      </w:pPr>
      <w:r>
        <w:rPr>
          <w:rFonts w:ascii="Verdana" w:eastAsia="Century Gothic" w:hAnsi="Verdana" w:cs="Century Gothic"/>
          <w:color w:val="000000" w:themeColor="text1"/>
        </w:rPr>
        <w:t xml:space="preserve"> </w:t>
      </w:r>
      <w:r w:rsidR="005B261C" w:rsidRPr="00115E3D">
        <w:rPr>
          <w:rFonts w:ascii="Verdana" w:eastAsia="Century Gothic" w:hAnsi="Verdana" w:cs="Century Gothic"/>
          <w:b/>
          <w:bCs/>
          <w:color w:val="000000" w:themeColor="text1"/>
        </w:rPr>
        <w:t>Respuesta:</w:t>
      </w:r>
    </w:p>
    <w:p w14:paraId="4CE01E29" w14:textId="77777777" w:rsidR="005B261C" w:rsidRPr="00115E3D" w:rsidRDefault="005B261C" w:rsidP="005B261C">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B261C" w:rsidRPr="00115E3D" w14:paraId="704DD47E" w14:textId="77777777" w:rsidTr="006D0D53">
        <w:trPr>
          <w:trHeight w:val="774"/>
        </w:trPr>
        <w:tc>
          <w:tcPr>
            <w:tcW w:w="8828" w:type="dxa"/>
          </w:tcPr>
          <w:p w14:paraId="53BCEF3C" w14:textId="3839D5C5" w:rsidR="0048243F" w:rsidRPr="0048243F" w:rsidRDefault="007900B1" w:rsidP="0048243F">
            <w:pPr>
              <w:spacing w:after="120" w:line="276" w:lineRule="auto"/>
              <w:jc w:val="both"/>
              <w:rPr>
                <w:rFonts w:ascii="Verdana" w:eastAsia="Arial" w:hAnsi="Verdana" w:cs="Arial"/>
              </w:rPr>
            </w:pPr>
            <w:r>
              <w:rPr>
                <w:rFonts w:ascii="Verdana" w:eastAsia="Arial" w:hAnsi="Verdana" w:cs="Arial"/>
              </w:rPr>
              <w:t xml:space="preserve"> </w:t>
            </w:r>
            <w:r w:rsidR="004C29E8">
              <w:rPr>
                <w:rFonts w:ascii="Verdana" w:eastAsia="Arial" w:hAnsi="Verdana" w:cs="Arial"/>
              </w:rPr>
              <w:t xml:space="preserve"> </w:t>
            </w:r>
            <w:r w:rsidR="00043F94">
              <w:rPr>
                <w:rFonts w:ascii="Verdana" w:eastAsia="Arial" w:hAnsi="Verdana" w:cs="Arial"/>
              </w:rPr>
              <w:t xml:space="preserve">     </w:t>
            </w:r>
            <w:r w:rsidR="005E0DA4">
              <w:rPr>
                <w:rFonts w:ascii="Verdana" w:eastAsia="Arial" w:hAnsi="Verdana" w:cs="Arial"/>
              </w:rPr>
              <w:t xml:space="preserve"> </w:t>
            </w:r>
            <w:r w:rsidR="00312C79">
              <w:rPr>
                <w:rFonts w:ascii="Verdana" w:eastAsia="Arial" w:hAnsi="Verdana" w:cs="Arial"/>
              </w:rPr>
              <w:t xml:space="preserve"> </w:t>
            </w:r>
            <w:r w:rsidR="0048243F">
              <w:rPr>
                <w:rFonts w:ascii="Verdana" w:eastAsia="Arial" w:hAnsi="Verdana" w:cs="Arial"/>
              </w:rPr>
              <w:t xml:space="preserve"> De manera preliminar resulta pertinente indicar que l</w:t>
            </w:r>
            <w:r w:rsidR="0048243F" w:rsidRPr="0048243F">
              <w:rPr>
                <w:rFonts w:ascii="Verdana" w:eastAsia="Arial" w:hAnsi="Verdana" w:cs="Arial"/>
              </w:rPr>
              <w:t xml:space="preserve">as Entidades Estatales cuentan con autonomía para definir los criterios técnicos, de idoneidad, experiencia y competencia que consideran necesarios para </w:t>
            </w:r>
            <w:r w:rsidR="0048243F" w:rsidRPr="0048243F">
              <w:rPr>
                <w:rFonts w:ascii="Verdana" w:eastAsia="Arial" w:hAnsi="Verdana" w:cs="Arial"/>
              </w:rPr>
              <w:lastRenderedPageBreak/>
              <w:t>satisfacer la necesidad que pretenden contratar. Esta autonomía se refleja en la facultad de determinar, desde los estudios previos, los requisitos que deben acreditar los futuros contratistas o el personal requerido para la ejecución del contrato, con el propósito de garantizar la adecuada ejecución del objeto contractual.</w:t>
            </w:r>
          </w:p>
          <w:p w14:paraId="1232BB59" w14:textId="3BC96523" w:rsidR="0048243F" w:rsidRPr="0048243F" w:rsidRDefault="0048243F" w:rsidP="0048243F">
            <w:pPr>
              <w:spacing w:after="120" w:line="276" w:lineRule="auto"/>
              <w:jc w:val="both"/>
              <w:rPr>
                <w:rFonts w:ascii="Verdana" w:eastAsia="Arial" w:hAnsi="Verdana" w:cs="Arial"/>
              </w:rPr>
            </w:pPr>
            <w:r>
              <w:rPr>
                <w:rFonts w:ascii="Verdana" w:eastAsia="Arial" w:hAnsi="Verdana" w:cs="Arial"/>
              </w:rPr>
              <w:t xml:space="preserve">           </w:t>
            </w:r>
            <w:r w:rsidRPr="0048243F">
              <w:rPr>
                <w:rFonts w:ascii="Verdana" w:eastAsia="Arial" w:hAnsi="Verdana" w:cs="Arial"/>
              </w:rPr>
              <w:t>En este sentido, el Concepto C-842 del 19 de diciembre de 2024</w:t>
            </w:r>
            <w:r>
              <w:rPr>
                <w:rFonts w:ascii="Verdana" w:eastAsia="Arial" w:hAnsi="Verdana" w:cs="Arial"/>
              </w:rPr>
              <w:t xml:space="preserve"> proferido por esta Subdirección Contractual,</w:t>
            </w:r>
            <w:r w:rsidRPr="0048243F">
              <w:rPr>
                <w:rFonts w:ascii="Verdana" w:eastAsia="Arial" w:hAnsi="Verdana" w:cs="Arial"/>
              </w:rPr>
              <w:t xml:space="preserve"> precisó que las entidades pueden decidir si para atender una necesidad determinada resulta necesaria una formación académica formal o si la experiencia y las competencias prácticas son suficientes para acreditar la capacidad requerida. No obstante, el mismo concepto señaló que no existe una equivalencia formalmente regulada entre experiencia y estudios en la contratación pública, especialmente cuando se trata de profesiones reguladas o de requisitos académicos específicos. Por ello, la determinación acerca de si la experiencia puede considerarse suficiente o si resulta necesaria una formación académica determinada corresponde a una decisión que debe adoptarse durante la etapa de planeación y quedar reflejada en los documentos del proceso.</w:t>
            </w:r>
          </w:p>
          <w:p w14:paraId="3F4A040C" w14:textId="6262DD1D" w:rsidR="0048243F" w:rsidRPr="0048243F" w:rsidRDefault="0048243F" w:rsidP="0048243F">
            <w:pPr>
              <w:spacing w:after="120" w:line="276" w:lineRule="auto"/>
              <w:jc w:val="both"/>
              <w:rPr>
                <w:rFonts w:ascii="Verdana" w:eastAsia="Arial" w:hAnsi="Verdana" w:cs="Arial"/>
              </w:rPr>
            </w:pPr>
            <w:r>
              <w:rPr>
                <w:rFonts w:ascii="Verdana" w:eastAsia="Arial" w:hAnsi="Verdana" w:cs="Arial"/>
              </w:rPr>
              <w:t xml:space="preserve">             </w:t>
            </w:r>
            <w:r w:rsidRPr="0048243F">
              <w:rPr>
                <w:rFonts w:ascii="Verdana" w:eastAsia="Arial" w:hAnsi="Verdana" w:cs="Arial"/>
              </w:rPr>
              <w:t>Ahora bien, de acuerdo con el Concepto C-716 del 15 de julio de 2025</w:t>
            </w:r>
            <w:r>
              <w:rPr>
                <w:rFonts w:ascii="Verdana" w:eastAsia="Arial" w:hAnsi="Verdana" w:cs="Arial"/>
              </w:rPr>
              <w:t xml:space="preserve"> de esta Subdirección Contractual</w:t>
            </w:r>
            <w:r w:rsidRPr="0048243F">
              <w:rPr>
                <w:rFonts w:ascii="Verdana" w:eastAsia="Arial" w:hAnsi="Verdana" w:cs="Arial"/>
              </w:rPr>
              <w:t xml:space="preserve">, el pliego de condiciones constituye la “hoja de ruta o plan sobre el cual se diseña, estructura y concreta el procedimiento de selección de contratistas”. Asimismo, constituye el instrumento mediante el cual se materializa el principio de transparencia, pues en él se fijan las reglas de escogencia del contratista, la selección objetiva de la mejor oferta, la adjudicación y la posterior celebración y ejecución del contrato, convirtiéndose en una reglamentación de todo el </w:t>
            </w:r>
            <w:proofErr w:type="spellStart"/>
            <w:r w:rsidRPr="0048243F">
              <w:rPr>
                <w:rFonts w:ascii="Verdana" w:eastAsia="Arial" w:hAnsi="Verdana" w:cs="Arial"/>
              </w:rPr>
              <w:t>iter</w:t>
            </w:r>
            <w:proofErr w:type="spellEnd"/>
            <w:r w:rsidRPr="0048243F">
              <w:rPr>
                <w:rFonts w:ascii="Verdana" w:eastAsia="Arial" w:hAnsi="Verdana" w:cs="Arial"/>
              </w:rPr>
              <w:t xml:space="preserve"> contractual.</w:t>
            </w:r>
          </w:p>
          <w:p w14:paraId="158A1B7A" w14:textId="0EF4763C" w:rsidR="0048243F" w:rsidRPr="0048243F" w:rsidRDefault="0048243F" w:rsidP="0048243F">
            <w:pPr>
              <w:spacing w:after="120" w:line="276" w:lineRule="auto"/>
              <w:jc w:val="both"/>
              <w:rPr>
                <w:rFonts w:ascii="Verdana" w:eastAsia="Arial" w:hAnsi="Verdana" w:cs="Arial"/>
              </w:rPr>
            </w:pPr>
            <w:r>
              <w:rPr>
                <w:rFonts w:ascii="Verdana" w:eastAsia="Arial" w:hAnsi="Verdana" w:cs="Arial"/>
              </w:rPr>
              <w:t xml:space="preserve">             </w:t>
            </w:r>
            <w:r w:rsidRPr="0048243F">
              <w:rPr>
                <w:rFonts w:ascii="Verdana" w:eastAsia="Arial" w:hAnsi="Verdana" w:cs="Arial"/>
              </w:rPr>
              <w:t>En concordancia con lo anterior, el Concepto C-943 del 25 de agosto de 2025 señaló que el pliego de condiciones adquiere la connotación de ser la “ley del procedimiento de selección y del contrato”, en cuanto fija reglas obligatorias tanto para la administración como para los oferentes. Para la Entidad Estatal ello implica el deber de ajustar su actuación a los parámetros que ella misma definió en ejercicio de su potestad de configuración, mientras que para los proponentes constituye la garantía de participar en un proceso desarrollado con igualdad de condiciones, transparencia y seguridad jurídica.</w:t>
            </w:r>
          </w:p>
          <w:p w14:paraId="6E4CC600" w14:textId="3740A67D" w:rsidR="0048243F" w:rsidRPr="0048243F" w:rsidRDefault="0048243F" w:rsidP="0048243F">
            <w:pPr>
              <w:spacing w:after="120" w:line="276" w:lineRule="auto"/>
              <w:jc w:val="both"/>
              <w:rPr>
                <w:rFonts w:ascii="Verdana" w:eastAsia="Arial" w:hAnsi="Verdana" w:cs="Arial"/>
              </w:rPr>
            </w:pPr>
            <w:r>
              <w:rPr>
                <w:rFonts w:ascii="Verdana" w:eastAsia="Arial" w:hAnsi="Verdana" w:cs="Arial"/>
              </w:rPr>
              <w:t xml:space="preserve">         </w:t>
            </w:r>
            <w:r w:rsidRPr="0048243F">
              <w:rPr>
                <w:rFonts w:ascii="Verdana" w:eastAsia="Arial" w:hAnsi="Verdana" w:cs="Arial"/>
              </w:rPr>
              <w:t xml:space="preserve">Por esta razón, cualquier actuación mediante la cual la Entidad desconozca lo previsto en el pliego de condiciones, ya sea durante la selección </w:t>
            </w:r>
            <w:r w:rsidRPr="0048243F">
              <w:rPr>
                <w:rFonts w:ascii="Verdana" w:eastAsia="Arial" w:hAnsi="Verdana" w:cs="Arial"/>
              </w:rPr>
              <w:lastRenderedPageBreak/>
              <w:t>o durante la ejecución contractual, puede comprometer la validez del procedimiento y del contrato derivado, al afectar principios estructurales de la contratación pública como la planeación, la transparencia, la selección objetiva y la igualdad de oportunidades. En el mismo sentido, el Concepto C-943 de 2025</w:t>
            </w:r>
            <w:r>
              <w:rPr>
                <w:rFonts w:ascii="Verdana" w:eastAsia="Arial" w:hAnsi="Verdana" w:cs="Arial"/>
              </w:rPr>
              <w:t xml:space="preserve"> proferido por esta Subdirección Contractual,</w:t>
            </w:r>
            <w:r w:rsidRPr="0048243F">
              <w:rPr>
                <w:rFonts w:ascii="Verdana" w:eastAsia="Arial" w:hAnsi="Verdana" w:cs="Arial"/>
              </w:rPr>
              <w:t xml:space="preserve"> indicó que el carácter prevalente del pliego impide desconocer las características del negocio jurídico determinadas durante la etapa de planeación o los requisitos que resulten de obligatoria aplicación.</w:t>
            </w:r>
          </w:p>
          <w:p w14:paraId="1254CE10" w14:textId="4ECDA011" w:rsidR="0048243F" w:rsidRPr="0048243F" w:rsidRDefault="0048243F" w:rsidP="0048243F">
            <w:pPr>
              <w:spacing w:after="120" w:line="276" w:lineRule="auto"/>
              <w:jc w:val="both"/>
              <w:rPr>
                <w:rFonts w:ascii="Verdana" w:eastAsia="Arial" w:hAnsi="Verdana" w:cs="Arial"/>
              </w:rPr>
            </w:pPr>
            <w:r>
              <w:rPr>
                <w:rFonts w:ascii="Verdana" w:eastAsia="Arial" w:hAnsi="Verdana" w:cs="Arial"/>
              </w:rPr>
              <w:t xml:space="preserve">          </w:t>
            </w:r>
            <w:r w:rsidRPr="0048243F">
              <w:rPr>
                <w:rFonts w:ascii="Verdana" w:eastAsia="Arial" w:hAnsi="Verdana" w:cs="Arial"/>
              </w:rPr>
              <w:t>En consecuencia, cuando una Entidad Estatal ha definido en ejercicio de su autonomía de planeación los requisitos de idoneidad, experiencia, competencia o formación académica que deben acreditar los integrantes del equipo de trabajo y los ha incorporado en el pliego de condiciones, dichos requisitos deben analizarse a la luz de las reglas que la propia Entidad estableció para el procedimiento de selección y para la futura ejecución del contrato, en atención al carácter vinculante que tales documentos tienen para todos los partícipes del Proceso de Contratación.</w:t>
            </w:r>
          </w:p>
          <w:p w14:paraId="5A71EA31" w14:textId="775D2641" w:rsidR="0048243F" w:rsidRPr="0048243F" w:rsidRDefault="0048243F" w:rsidP="0048243F">
            <w:pPr>
              <w:spacing w:after="120" w:line="276" w:lineRule="auto"/>
              <w:jc w:val="both"/>
              <w:rPr>
                <w:rFonts w:ascii="Verdana" w:eastAsia="Arial" w:hAnsi="Verdana" w:cs="Arial"/>
              </w:rPr>
            </w:pPr>
            <w:r>
              <w:rPr>
                <w:rFonts w:ascii="Verdana" w:eastAsia="Arial" w:hAnsi="Verdana" w:cs="Arial"/>
              </w:rPr>
              <w:t xml:space="preserve">          </w:t>
            </w:r>
            <w:r w:rsidRPr="0048243F">
              <w:rPr>
                <w:rFonts w:ascii="Verdana" w:eastAsia="Arial" w:hAnsi="Verdana" w:cs="Arial"/>
              </w:rPr>
              <w:t>Finalmente, debe advertirse que el análisis de la procedencia de mecanismos mediante los cuales la experiencia profesional pueda ser considerada frente a requisitos de formación académica exigidos para un determinado integrante del equipo de trabajo debe realizarse respecto de las condiciones particulares definidas en cada proceso de contratación, especialmente en los estudios previos, el pliego de condiciones y los demás documentos que integran el Proceso de Contratación. Por esta razón, las consideraciones expuestas no constituyen un pronunciamiento sobre la legalidad o validez de una actuación específica, ni pueden interpretarse como un juicio sobre situaciones concretas relacionadas con los hechos que motivan la consulta. En consecuencia, corresponderá a los interesados, con el apoyo de sus asesores, adoptar las decisiones que estimen pertinentes y, en caso de controversia, a las autoridades competentes determinar los efectos jurídicos que correspondan.</w:t>
            </w:r>
          </w:p>
          <w:p w14:paraId="79C0B0DC" w14:textId="26646577" w:rsidR="001951C0" w:rsidRPr="0029110A" w:rsidRDefault="0048243F" w:rsidP="002D6CA8">
            <w:pPr>
              <w:spacing w:after="120" w:line="276" w:lineRule="auto"/>
              <w:jc w:val="both"/>
              <w:rPr>
                <w:rFonts w:ascii="Verdana" w:eastAsia="Calibri" w:hAnsi="Verdana" w:cs="Times New Roman"/>
                <w:lang w:val="es-ES"/>
              </w:rPr>
            </w:pPr>
            <w:r>
              <w:rPr>
                <w:rFonts w:ascii="Verdana" w:eastAsia="Arial" w:hAnsi="Verdana" w:cs="Arial"/>
              </w:rPr>
              <w:t xml:space="preserve">           </w:t>
            </w:r>
            <w:r w:rsidRPr="0048243F">
              <w:rPr>
                <w:rFonts w:ascii="Verdana" w:eastAsia="Arial" w:hAnsi="Verdana" w:cs="Arial"/>
              </w:rPr>
              <w:t xml:space="preserve">En ese sentido, al tratarse de asuntos cuya definición depende de las particularidades de cada Proceso de Contratación y de las decisiones adoptadas por la Entidad Estatal durante la etapa de planeación y estructuración del negocio jurídico, esta respuesta no pretende establecer una regla universal o absoluta sobre la forma en que deben configurarse o aplicarse los requisitos de experiencia y formación académica. Su finalidad consiste </w:t>
            </w:r>
            <w:r w:rsidRPr="0048243F">
              <w:rPr>
                <w:rFonts w:ascii="Verdana" w:eastAsia="Arial" w:hAnsi="Verdana" w:cs="Arial"/>
              </w:rPr>
              <w:lastRenderedPageBreak/>
              <w:t>únicamente en exponer criterios generales derivados de la doctrina de la Agencia Nacional de Contratación Pública – Colombia Compra Eficiente para que los partícipes del Sistema de Compra Pública cuenten con elementos de análisis al momento de adoptar sus decisiones, sin que ello implique validar o descalificar actuaciones concretas de las Entidades Estatales.</w:t>
            </w:r>
            <w:r w:rsidR="00AD0E92">
              <w:rPr>
                <w:rFonts w:ascii="Verdana" w:eastAsia="Arial" w:hAnsi="Verdana" w:cs="Arial"/>
              </w:rPr>
              <w:t xml:space="preserve">  </w:t>
            </w:r>
          </w:p>
        </w:tc>
      </w:tr>
      <w:tr w:rsidR="00807DB8" w:rsidRPr="00115E3D" w14:paraId="6B926161" w14:textId="77777777" w:rsidTr="001951C0">
        <w:trPr>
          <w:trHeight w:val="162"/>
        </w:trPr>
        <w:tc>
          <w:tcPr>
            <w:tcW w:w="8828" w:type="dxa"/>
          </w:tcPr>
          <w:p w14:paraId="08101215" w14:textId="77777777" w:rsidR="00807DB8" w:rsidRDefault="00807DB8" w:rsidP="008F1280">
            <w:pPr>
              <w:spacing w:line="276" w:lineRule="auto"/>
              <w:jc w:val="both"/>
              <w:rPr>
                <w:rFonts w:ascii="Verdana" w:eastAsia="Calibri" w:hAnsi="Verdana" w:cs="Arial"/>
              </w:rPr>
            </w:pPr>
          </w:p>
        </w:tc>
      </w:tr>
    </w:tbl>
    <w:p w14:paraId="7FA73640" w14:textId="77777777" w:rsidR="00D46548" w:rsidRDefault="00D46548" w:rsidP="00D46548">
      <w:pPr>
        <w:pStyle w:val="Prrafodelista"/>
        <w:tabs>
          <w:tab w:val="left" w:pos="142"/>
          <w:tab w:val="left" w:pos="284"/>
        </w:tabs>
        <w:spacing w:after="0" w:line="276" w:lineRule="auto"/>
        <w:ind w:left="0"/>
        <w:contextualSpacing w:val="0"/>
        <w:jc w:val="both"/>
        <w:rPr>
          <w:rFonts w:ascii="Verdana" w:eastAsia="Century Gothic" w:hAnsi="Verdana" w:cs="Century Gothic"/>
          <w:b/>
          <w:bCs/>
          <w:color w:val="000000" w:themeColor="text1"/>
        </w:rPr>
      </w:pPr>
    </w:p>
    <w:p w14:paraId="7B31EE96" w14:textId="45AAA074" w:rsidR="005B261C" w:rsidRDefault="005B261C">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Razones de la respuesta:</w:t>
      </w:r>
    </w:p>
    <w:p w14:paraId="513A60BD" w14:textId="77777777" w:rsidR="00D07047" w:rsidRDefault="00D07047" w:rsidP="00D07047">
      <w:pPr>
        <w:pStyle w:val="Prrafodelista"/>
        <w:tabs>
          <w:tab w:val="left" w:pos="142"/>
          <w:tab w:val="left" w:pos="284"/>
        </w:tabs>
        <w:spacing w:after="0" w:line="276" w:lineRule="auto"/>
        <w:ind w:left="0"/>
        <w:contextualSpacing w:val="0"/>
        <w:jc w:val="both"/>
        <w:rPr>
          <w:rFonts w:ascii="Verdana" w:eastAsia="Century Gothic" w:hAnsi="Verdana" w:cs="Century Gothic"/>
          <w:b/>
          <w:bCs/>
          <w:color w:val="000000" w:themeColor="text1"/>
        </w:rPr>
      </w:pPr>
    </w:p>
    <w:p w14:paraId="57DDFD9E" w14:textId="4BC9A268" w:rsidR="002D6CA8" w:rsidRPr="00305AB1" w:rsidRDefault="002D6CA8" w:rsidP="002D6CA8">
      <w:pPr>
        <w:spacing w:after="0" w:line="276" w:lineRule="auto"/>
        <w:ind w:firstLine="708"/>
        <w:jc w:val="both"/>
        <w:rPr>
          <w:rFonts w:ascii="Verdana" w:hAnsi="Verdana"/>
          <w:sz w:val="24"/>
          <w:lang w:val="es-MX"/>
        </w:rPr>
      </w:pPr>
      <w:bookmarkStart w:id="1" w:name="_Hlk54011258"/>
      <w:r w:rsidRPr="00305AB1">
        <w:rPr>
          <w:rFonts w:ascii="Verdana" w:eastAsia="Calibri" w:hAnsi="Verdana" w:cs="Arial"/>
          <w:bCs/>
          <w:lang w:val="es-ES_tradnl"/>
        </w:rPr>
        <w:t>La planeación contractual es una herramienta de gerencia pública, que exige estructurar el proceso contractual dedicando tiempo y esfuerzos para elaborar estudios previos, con el fin de determinar la necesidad que pretende satisfacer la entidad estatal y cuál es la mejor manera de hacerlo, consultando el tipo de bienes y servicios que ofrece el mercado y sus características, especificaciones, precios, costos, riesgos, garantías, disponibilidad, oferentes, etc. Lo anterior con la finalidad de realizar la escogencia diligente de la mejor oferta, para beneficiar los intereses y fines públicos inmersos en la contratación de las entidades estatales</w:t>
      </w:r>
      <w:bookmarkEnd w:id="1"/>
      <w:r w:rsidRPr="00305AB1">
        <w:rPr>
          <w:rFonts w:ascii="Verdana" w:eastAsia="Calibri" w:hAnsi="Verdana" w:cs="Arial"/>
          <w:bCs/>
          <w:sz w:val="21"/>
          <w:szCs w:val="21"/>
          <w:lang w:val="es-ES_tradnl"/>
        </w:rPr>
        <w:t>.</w:t>
      </w:r>
    </w:p>
    <w:p w14:paraId="7A577195" w14:textId="77777777" w:rsidR="002D6CA8" w:rsidRPr="00305AB1" w:rsidRDefault="002D6CA8" w:rsidP="002D6CA8">
      <w:pPr>
        <w:spacing w:before="120" w:after="0" w:line="276" w:lineRule="auto"/>
        <w:ind w:firstLine="708"/>
        <w:jc w:val="both"/>
        <w:rPr>
          <w:rFonts w:ascii="Verdana" w:hAnsi="Verdana" w:cs="Arial"/>
          <w:bCs/>
          <w:lang w:val="es-ES"/>
        </w:rPr>
      </w:pPr>
      <w:r w:rsidRPr="00305AB1">
        <w:rPr>
          <w:rFonts w:ascii="Verdana" w:hAnsi="Verdana" w:cs="Arial"/>
          <w:bCs/>
          <w:lang w:val="es-MX"/>
        </w:rPr>
        <w:t xml:space="preserve">El Estatuto General de Contratación de la Administración Pública contiene disposiciones que exigen a las entidades estatales el deber de realizar planeación en la etapa precontractual, para que los procesos de contratación satisfagan las necesidades de la Administración, cumplan sus fines, logren la continua y eficiente prestación de los servicios públicos y permitan la efectividad de los derechos e intereses de los administrados que colaboran en la consecución. En relación con el valor del futuro contrato y su correlativo respaldo presupuestal, se tienen, por ejemplo, las siguientes reglas derivadas de la aplicación del principio de economía previsto en el artículo 25 de la Ley 80 de 1993: </w:t>
      </w:r>
    </w:p>
    <w:p w14:paraId="07AD6382" w14:textId="77777777" w:rsidR="002D6CA8" w:rsidRPr="00305AB1" w:rsidRDefault="002D6CA8" w:rsidP="002D6CA8">
      <w:pPr>
        <w:spacing w:after="0" w:line="276" w:lineRule="auto"/>
        <w:ind w:firstLine="708"/>
        <w:jc w:val="both"/>
        <w:rPr>
          <w:rFonts w:ascii="Verdana" w:hAnsi="Verdana" w:cs="Arial"/>
          <w:bCs/>
          <w:lang w:val="es-ES"/>
        </w:rPr>
      </w:pPr>
    </w:p>
    <w:p w14:paraId="21CF27CD" w14:textId="77777777" w:rsidR="002D6CA8" w:rsidRPr="00305AB1" w:rsidRDefault="002D6CA8" w:rsidP="002D6CA8">
      <w:pPr>
        <w:spacing w:after="0" w:line="240" w:lineRule="auto"/>
        <w:ind w:left="709" w:right="709"/>
        <w:jc w:val="both"/>
        <w:rPr>
          <w:rFonts w:ascii="Verdana" w:hAnsi="Verdana" w:cs="Arial"/>
          <w:sz w:val="20"/>
          <w:szCs w:val="20"/>
          <w:lang w:val="es-MX"/>
        </w:rPr>
      </w:pPr>
      <w:r w:rsidRPr="00305AB1">
        <w:rPr>
          <w:rFonts w:ascii="Verdana" w:hAnsi="Verdana" w:cs="Arial"/>
          <w:sz w:val="20"/>
          <w:szCs w:val="20"/>
          <w:lang w:val="es-MX"/>
        </w:rPr>
        <w:t>“7o. La conveniencia o inconveniencia del objeto a contratar y las autorizaciones y aprobaciones para ello, se analizarán o impartirán con antelación al inicio del proceso de selección del contratista o al de la firma del contrato, según el caso.</w:t>
      </w:r>
    </w:p>
    <w:p w14:paraId="2336B872" w14:textId="77777777" w:rsidR="002D6CA8" w:rsidRPr="00305AB1" w:rsidRDefault="002D6CA8" w:rsidP="002D6CA8">
      <w:pPr>
        <w:spacing w:after="120" w:line="240" w:lineRule="auto"/>
        <w:ind w:left="709" w:right="709"/>
        <w:jc w:val="both"/>
        <w:rPr>
          <w:rFonts w:ascii="Verdana" w:hAnsi="Verdana" w:cs="Arial"/>
          <w:sz w:val="20"/>
          <w:szCs w:val="20"/>
          <w:lang w:val="es-MX"/>
        </w:rPr>
      </w:pPr>
      <w:r w:rsidRPr="00305AB1">
        <w:rPr>
          <w:rFonts w:ascii="Verdana" w:hAnsi="Verdana" w:cs="Arial"/>
          <w:sz w:val="20"/>
          <w:szCs w:val="20"/>
          <w:lang w:val="es-MX"/>
        </w:rPr>
        <w:t>[…]</w:t>
      </w:r>
    </w:p>
    <w:p w14:paraId="054EA025" w14:textId="77777777" w:rsidR="002D6CA8" w:rsidRPr="00305AB1" w:rsidRDefault="002D6CA8" w:rsidP="002D6CA8">
      <w:pPr>
        <w:spacing w:after="120" w:line="240" w:lineRule="auto"/>
        <w:ind w:left="709" w:right="709"/>
        <w:jc w:val="both"/>
        <w:rPr>
          <w:rFonts w:ascii="Verdana" w:hAnsi="Verdana" w:cs="Arial"/>
          <w:sz w:val="20"/>
          <w:szCs w:val="20"/>
          <w:lang w:val="es-MX"/>
        </w:rPr>
      </w:pPr>
      <w:r w:rsidRPr="00305AB1">
        <w:rPr>
          <w:rFonts w:ascii="Verdana" w:hAnsi="Verdana" w:cs="Arial"/>
          <w:sz w:val="20"/>
          <w:szCs w:val="20"/>
          <w:lang w:val="es-MX"/>
        </w:rPr>
        <w:t>12. Previo a la apertura de un proceso de selección, o a la firma del contrato en el caso en que la modalidad de selección sea contratación directa, deberán elaborarse los estudios, diseños y proyectos requeridos, y los pliegos de condiciones, según corresponda.</w:t>
      </w:r>
    </w:p>
    <w:p w14:paraId="34625DCB" w14:textId="77777777" w:rsidR="002D6CA8" w:rsidRPr="00305AB1" w:rsidRDefault="002D6CA8" w:rsidP="002D6CA8">
      <w:pPr>
        <w:spacing w:after="120" w:line="240" w:lineRule="auto"/>
        <w:ind w:left="709" w:right="709"/>
        <w:jc w:val="both"/>
        <w:rPr>
          <w:rFonts w:ascii="Verdana" w:hAnsi="Verdana" w:cs="Arial"/>
          <w:sz w:val="20"/>
          <w:szCs w:val="20"/>
          <w:lang w:val="es-MX"/>
        </w:rPr>
      </w:pPr>
      <w:r w:rsidRPr="00305AB1">
        <w:rPr>
          <w:rFonts w:ascii="Verdana" w:hAnsi="Verdana" w:cs="Arial"/>
          <w:sz w:val="20"/>
          <w:szCs w:val="20"/>
          <w:lang w:val="es-MX"/>
        </w:rPr>
        <w:lastRenderedPageBreak/>
        <w:t>Cuando el objeto de la contratación incluya la realización de una obra, en la misma oportunidad señalada en el inciso primero, la entidad contratante deberá contar con los estudios y diseños que permitan establecer la viabilidad del proyecto y su impacto social, económico y ambiental. Esta condición será aplicable incluso para los contratos que incluyan dentro del objeto el diseño.</w:t>
      </w:r>
    </w:p>
    <w:p w14:paraId="3CB510FC" w14:textId="77777777" w:rsidR="002D6CA8" w:rsidRPr="00305AB1" w:rsidRDefault="002D6CA8" w:rsidP="002D6CA8">
      <w:pPr>
        <w:spacing w:after="120" w:line="240" w:lineRule="auto"/>
        <w:ind w:left="709" w:right="709"/>
        <w:jc w:val="both"/>
        <w:rPr>
          <w:rFonts w:ascii="Verdana" w:hAnsi="Verdana" w:cs="Arial"/>
          <w:sz w:val="20"/>
          <w:szCs w:val="20"/>
          <w:lang w:val="es-MX"/>
        </w:rPr>
      </w:pPr>
      <w:r w:rsidRPr="00305AB1">
        <w:rPr>
          <w:rFonts w:ascii="Verdana" w:hAnsi="Verdana" w:cs="Arial"/>
          <w:sz w:val="20"/>
          <w:szCs w:val="20"/>
          <w:lang w:val="es-MX"/>
        </w:rPr>
        <w:t>13. Las autoridades constituirán las reservas y compromisos presupuestales necesarios, tomando como base el valor de las prestaciones al momento de celebrar el contrato y el estimativo de los ajustes resultantes de la aplicación de la cláusula de actualización de precios.</w:t>
      </w:r>
    </w:p>
    <w:p w14:paraId="09595E07" w14:textId="77777777" w:rsidR="002D6CA8" w:rsidRPr="00305AB1" w:rsidRDefault="002D6CA8" w:rsidP="002D6CA8">
      <w:pPr>
        <w:spacing w:after="0" w:line="240" w:lineRule="auto"/>
        <w:ind w:left="709" w:right="709"/>
        <w:jc w:val="both"/>
        <w:rPr>
          <w:rFonts w:ascii="Verdana" w:hAnsi="Verdana" w:cs="Arial"/>
          <w:sz w:val="20"/>
          <w:szCs w:val="20"/>
          <w:lang w:val="es-MX"/>
        </w:rPr>
      </w:pPr>
      <w:r w:rsidRPr="00305AB1">
        <w:rPr>
          <w:rFonts w:ascii="Verdana" w:hAnsi="Verdana" w:cs="Arial"/>
          <w:sz w:val="20"/>
          <w:szCs w:val="20"/>
          <w:lang w:val="es-MX"/>
        </w:rPr>
        <w:t>14. Las entidades incluirán en sus presupuestos anuales una apropiación global destinada a cubrir los costos imprevistos ocasionados por los retardos en los pagos, así como los que se originen en la revisión de los precios pactados por razón de los cambios o alteraciones en las condiciones iniciales de los contratos por ellas celebrados […]”.</w:t>
      </w:r>
    </w:p>
    <w:p w14:paraId="4478FB26" w14:textId="77777777" w:rsidR="002D6CA8" w:rsidRPr="00305AB1" w:rsidRDefault="002D6CA8" w:rsidP="002D6CA8">
      <w:pPr>
        <w:spacing w:after="0" w:line="276" w:lineRule="auto"/>
        <w:ind w:left="709" w:right="709"/>
        <w:jc w:val="both"/>
        <w:rPr>
          <w:rFonts w:ascii="Verdana" w:hAnsi="Verdana" w:cs="Arial"/>
          <w:lang w:val="es-MX"/>
        </w:rPr>
      </w:pPr>
    </w:p>
    <w:p w14:paraId="7047BB04" w14:textId="77777777" w:rsidR="002D6CA8" w:rsidRPr="00305AB1" w:rsidRDefault="002D6CA8" w:rsidP="002D6CA8">
      <w:pPr>
        <w:spacing w:after="120" w:line="276" w:lineRule="auto"/>
        <w:ind w:firstLine="709"/>
        <w:jc w:val="both"/>
        <w:rPr>
          <w:rFonts w:ascii="Verdana" w:hAnsi="Verdana" w:cs="Arial"/>
          <w:lang w:val="es-MX"/>
        </w:rPr>
      </w:pPr>
      <w:r w:rsidRPr="00305AB1">
        <w:rPr>
          <w:rFonts w:ascii="Verdana" w:hAnsi="Verdana" w:cs="Arial"/>
          <w:lang w:val="es-MX"/>
        </w:rPr>
        <w:t xml:space="preserve">Lo anterior le permitirá a la entidad estatal identificar desde el punto de vista técnico y financiero el objeto del contrato, las particularidades de su ejecución, los potenciales proponentes, requisitos mínimos para evaluar la idoneidad del contratista, así como analizar todas las variables que puedan afectar el procedimiento de selección, celebración y ejecución del contrato. Tal es la importancia de los estudios y documentos previos que su deficiencia o ausencia, </w:t>
      </w:r>
      <w:r>
        <w:rPr>
          <w:rFonts w:ascii="Verdana" w:hAnsi="Verdana" w:cs="Arial"/>
          <w:lang w:val="es-MX"/>
        </w:rPr>
        <w:t xml:space="preserve">“[...] </w:t>
      </w:r>
      <w:r w:rsidRPr="00305AB1">
        <w:rPr>
          <w:rFonts w:ascii="Verdana" w:hAnsi="Verdana" w:cs="Arial"/>
          <w:lang w:val="es-MX"/>
        </w:rPr>
        <w:t>genera prácticas indebidas, revocatoria de actos administrativos de apertura, declaratorias de desierta de procesos de selección, comisión de faltas disciplinarias, mayores costos o mayor permanencia de la obra y, en general, el fracaso en la ejecución de contratos estatales</w:t>
      </w:r>
      <w:r>
        <w:rPr>
          <w:rFonts w:ascii="Verdana" w:hAnsi="Verdana" w:cs="Arial"/>
          <w:lang w:val="es-MX"/>
        </w:rPr>
        <w:t>”</w:t>
      </w:r>
      <w:r w:rsidRPr="00305AB1">
        <w:rPr>
          <w:rFonts w:ascii="Verdana" w:hAnsi="Verdana"/>
          <w:vertAlign w:val="superscript"/>
          <w:lang w:val="es-MX"/>
        </w:rPr>
        <w:footnoteReference w:id="2"/>
      </w:r>
      <w:r w:rsidRPr="00305AB1">
        <w:rPr>
          <w:rFonts w:ascii="Verdana" w:hAnsi="Verdana" w:cs="Arial"/>
          <w:lang w:val="es-MX"/>
        </w:rPr>
        <w:t>.</w:t>
      </w:r>
    </w:p>
    <w:p w14:paraId="0ADE7CF8" w14:textId="77777777" w:rsidR="002D6CA8" w:rsidRPr="00305AB1" w:rsidRDefault="002D6CA8" w:rsidP="002D6CA8">
      <w:pPr>
        <w:spacing w:after="0" w:line="276" w:lineRule="auto"/>
        <w:ind w:firstLine="709"/>
        <w:jc w:val="both"/>
        <w:rPr>
          <w:rFonts w:ascii="Verdana" w:hAnsi="Verdana" w:cs="Arial"/>
          <w:lang w:val="es-MX"/>
        </w:rPr>
      </w:pPr>
      <w:r w:rsidRPr="00305AB1">
        <w:rPr>
          <w:rFonts w:ascii="Verdana" w:hAnsi="Verdana" w:cs="Arial"/>
          <w:lang w:val="es-MX"/>
        </w:rPr>
        <w:t>Con base en la norma enunciada de la Ley 80 de 1993, el Decreto Único Reglamentario del Sector Administrativo de Planeación Nacional –Decreto 1082 de 2015–, establece en el artículo 2.2.1.1.2.1.1. el contenido mínimo de los estudios y documentos previos:</w:t>
      </w:r>
    </w:p>
    <w:p w14:paraId="146CFAF5" w14:textId="77777777" w:rsidR="002D6CA8" w:rsidRPr="00305AB1" w:rsidRDefault="002D6CA8" w:rsidP="002D6CA8">
      <w:pPr>
        <w:widowControl w:val="0"/>
        <w:autoSpaceDE w:val="0"/>
        <w:autoSpaceDN w:val="0"/>
        <w:spacing w:before="3" w:after="0" w:line="240" w:lineRule="auto"/>
        <w:ind w:left="709" w:right="709"/>
        <w:rPr>
          <w:rFonts w:ascii="Verdana" w:eastAsia="Arial" w:hAnsi="Verdana" w:cs="Arial"/>
          <w:lang w:val="es-ES"/>
        </w:rPr>
      </w:pPr>
    </w:p>
    <w:p w14:paraId="33E439B5" w14:textId="77777777" w:rsidR="002D6CA8" w:rsidRPr="00305AB1" w:rsidRDefault="002D6CA8" w:rsidP="002D6CA8">
      <w:pPr>
        <w:spacing w:after="120" w:line="240" w:lineRule="auto"/>
        <w:ind w:left="709" w:right="709"/>
        <w:jc w:val="both"/>
        <w:rPr>
          <w:rFonts w:ascii="Verdana" w:hAnsi="Verdana" w:cs="Arial"/>
          <w:sz w:val="20"/>
          <w:szCs w:val="20"/>
          <w:lang w:val="es-MX"/>
        </w:rPr>
      </w:pPr>
      <w:r w:rsidRPr="00305AB1">
        <w:rPr>
          <w:rFonts w:ascii="Verdana" w:hAnsi="Verdana" w:cs="Arial"/>
          <w:sz w:val="20"/>
          <w:szCs w:val="20"/>
          <w:lang w:val="es-MX"/>
        </w:rPr>
        <w:t>“Artículo 2.2.1.1.2.1.1. Estudios y documentos previos. Los estudios y documentos previos son el soporte para elaborar el proyecto de pliegos, los pliegos de condiciones, y el contrato. Deben permanecer a disposición del público durante el desarrollo del Proceso de Contratación y contener los siguientes elementos, además de los indicados para cada modalidad de</w:t>
      </w:r>
      <w:r w:rsidRPr="00305AB1">
        <w:rPr>
          <w:rFonts w:ascii="Verdana" w:hAnsi="Verdana" w:cs="Arial"/>
          <w:spacing w:val="-15"/>
          <w:sz w:val="20"/>
          <w:szCs w:val="20"/>
          <w:lang w:val="es-MX"/>
        </w:rPr>
        <w:t xml:space="preserve"> </w:t>
      </w:r>
      <w:r w:rsidRPr="00305AB1">
        <w:rPr>
          <w:rFonts w:ascii="Verdana" w:hAnsi="Verdana" w:cs="Arial"/>
          <w:sz w:val="20"/>
          <w:szCs w:val="20"/>
          <w:lang w:val="es-MX"/>
        </w:rPr>
        <w:t>selección:</w:t>
      </w:r>
    </w:p>
    <w:p w14:paraId="5586B124" w14:textId="77777777" w:rsidR="002D6CA8" w:rsidRPr="00305AB1" w:rsidRDefault="002D6CA8" w:rsidP="002D6CA8">
      <w:pPr>
        <w:widowControl w:val="0"/>
        <w:tabs>
          <w:tab w:val="left" w:pos="1223"/>
        </w:tabs>
        <w:autoSpaceDE w:val="0"/>
        <w:autoSpaceDN w:val="0"/>
        <w:spacing w:after="120" w:line="240" w:lineRule="auto"/>
        <w:ind w:left="709" w:right="709"/>
        <w:jc w:val="both"/>
        <w:rPr>
          <w:rFonts w:ascii="Verdana" w:hAnsi="Verdana" w:cs="Arial"/>
          <w:sz w:val="20"/>
          <w:szCs w:val="20"/>
          <w:lang w:val="es-MX"/>
        </w:rPr>
      </w:pPr>
      <w:r w:rsidRPr="00305AB1">
        <w:rPr>
          <w:rFonts w:ascii="Verdana" w:hAnsi="Verdana" w:cs="Arial"/>
          <w:sz w:val="20"/>
          <w:szCs w:val="20"/>
          <w:lang w:val="es-MX"/>
        </w:rPr>
        <w:lastRenderedPageBreak/>
        <w:t>1. La descripción de la necesidad que la Entidad Estatal pretende satisfacer con el Proceso de</w:t>
      </w:r>
      <w:r w:rsidRPr="00305AB1">
        <w:rPr>
          <w:rFonts w:ascii="Verdana" w:hAnsi="Verdana" w:cs="Arial"/>
          <w:spacing w:val="-2"/>
          <w:sz w:val="20"/>
          <w:szCs w:val="20"/>
          <w:lang w:val="es-MX"/>
        </w:rPr>
        <w:t xml:space="preserve"> </w:t>
      </w:r>
      <w:r w:rsidRPr="00305AB1">
        <w:rPr>
          <w:rFonts w:ascii="Verdana" w:hAnsi="Verdana" w:cs="Arial"/>
          <w:sz w:val="20"/>
          <w:szCs w:val="20"/>
          <w:lang w:val="es-MX"/>
        </w:rPr>
        <w:t>Contratación.</w:t>
      </w:r>
    </w:p>
    <w:p w14:paraId="2B468A7F" w14:textId="77777777" w:rsidR="002D6CA8" w:rsidRPr="00305AB1" w:rsidRDefault="002D6CA8" w:rsidP="002D6CA8">
      <w:pPr>
        <w:widowControl w:val="0"/>
        <w:tabs>
          <w:tab w:val="left" w:pos="1283"/>
        </w:tabs>
        <w:autoSpaceDE w:val="0"/>
        <w:autoSpaceDN w:val="0"/>
        <w:spacing w:after="120" w:line="240" w:lineRule="auto"/>
        <w:ind w:left="709" w:right="709"/>
        <w:jc w:val="both"/>
        <w:rPr>
          <w:rFonts w:ascii="Verdana" w:hAnsi="Verdana" w:cs="Arial"/>
          <w:sz w:val="20"/>
          <w:szCs w:val="20"/>
          <w:lang w:val="es-MX"/>
        </w:rPr>
      </w:pPr>
      <w:r w:rsidRPr="00305AB1">
        <w:rPr>
          <w:rFonts w:ascii="Verdana" w:hAnsi="Verdana" w:cs="Arial"/>
          <w:sz w:val="20"/>
          <w:szCs w:val="20"/>
          <w:lang w:val="es-MX"/>
        </w:rPr>
        <w:t>2. El objeto a contratar, con sus especificaciones, las autorizaciones, permisos y licencias requeridos para su ejecución, y cuando el contrato incluye diseño y construcción, los documentos técnicos para el desarrollo del</w:t>
      </w:r>
      <w:r w:rsidRPr="00305AB1">
        <w:rPr>
          <w:rFonts w:ascii="Verdana" w:hAnsi="Verdana" w:cs="Arial"/>
          <w:spacing w:val="-12"/>
          <w:sz w:val="20"/>
          <w:szCs w:val="20"/>
          <w:lang w:val="es-MX"/>
        </w:rPr>
        <w:t xml:space="preserve"> </w:t>
      </w:r>
      <w:r w:rsidRPr="00305AB1">
        <w:rPr>
          <w:rFonts w:ascii="Verdana" w:hAnsi="Verdana" w:cs="Arial"/>
          <w:sz w:val="20"/>
          <w:szCs w:val="20"/>
          <w:lang w:val="es-MX"/>
        </w:rPr>
        <w:t>proyecto.</w:t>
      </w:r>
    </w:p>
    <w:p w14:paraId="4C3BEA80" w14:textId="77777777" w:rsidR="002D6CA8" w:rsidRPr="00305AB1" w:rsidRDefault="002D6CA8" w:rsidP="002D6CA8">
      <w:pPr>
        <w:widowControl w:val="0"/>
        <w:tabs>
          <w:tab w:val="left" w:pos="1378"/>
        </w:tabs>
        <w:autoSpaceDE w:val="0"/>
        <w:autoSpaceDN w:val="0"/>
        <w:spacing w:after="120" w:line="240" w:lineRule="auto"/>
        <w:ind w:left="709" w:right="709"/>
        <w:jc w:val="both"/>
        <w:rPr>
          <w:rFonts w:ascii="Verdana" w:hAnsi="Verdana" w:cs="Arial"/>
          <w:sz w:val="20"/>
          <w:szCs w:val="20"/>
          <w:lang w:val="es-MX"/>
        </w:rPr>
      </w:pPr>
      <w:r w:rsidRPr="00305AB1">
        <w:rPr>
          <w:rFonts w:ascii="Verdana" w:hAnsi="Verdana"/>
          <w:sz w:val="20"/>
          <w:szCs w:val="20"/>
          <w:lang w:val="es-MX"/>
        </w:rPr>
        <w:t xml:space="preserve">3. </w:t>
      </w:r>
      <w:r w:rsidRPr="00305AB1">
        <w:rPr>
          <w:rFonts w:ascii="Verdana" w:hAnsi="Verdana" w:cs="Arial"/>
          <w:sz w:val="20"/>
          <w:szCs w:val="20"/>
          <w:lang w:val="es-MX"/>
        </w:rPr>
        <w:t>La modalidad de selección del contratista y su justificación, incluyendo los fundamentos jurídicos.</w:t>
      </w:r>
    </w:p>
    <w:p w14:paraId="31A00B77" w14:textId="77777777" w:rsidR="002D6CA8" w:rsidRPr="00305AB1" w:rsidRDefault="002D6CA8" w:rsidP="002D6CA8">
      <w:pPr>
        <w:widowControl w:val="0"/>
        <w:tabs>
          <w:tab w:val="left" w:pos="1273"/>
        </w:tabs>
        <w:autoSpaceDE w:val="0"/>
        <w:autoSpaceDN w:val="0"/>
        <w:spacing w:after="120" w:line="240" w:lineRule="auto"/>
        <w:ind w:left="709" w:right="709"/>
        <w:jc w:val="both"/>
        <w:rPr>
          <w:rFonts w:ascii="Verdana" w:hAnsi="Verdana" w:cs="Arial"/>
          <w:sz w:val="20"/>
          <w:szCs w:val="20"/>
          <w:lang w:val="es-MX"/>
        </w:rPr>
      </w:pPr>
      <w:r w:rsidRPr="00305AB1">
        <w:rPr>
          <w:rFonts w:ascii="Verdana" w:hAnsi="Verdana" w:cs="Arial"/>
          <w:sz w:val="20"/>
          <w:szCs w:val="20"/>
          <w:lang w:val="es-MX"/>
        </w:rPr>
        <w:t xml:space="preserve">4. El valor estimado del contrato y la justificación </w:t>
      </w:r>
      <w:proofErr w:type="gramStart"/>
      <w:r w:rsidRPr="00305AB1">
        <w:rPr>
          <w:rFonts w:ascii="Verdana" w:hAnsi="Verdana" w:cs="Arial"/>
          <w:sz w:val="20"/>
          <w:szCs w:val="20"/>
          <w:lang w:val="es-MX"/>
        </w:rPr>
        <w:t>del mismo</w:t>
      </w:r>
      <w:proofErr w:type="gramEnd"/>
      <w:r w:rsidRPr="00305AB1">
        <w:rPr>
          <w:rFonts w:ascii="Verdana" w:hAnsi="Verdana" w:cs="Arial"/>
          <w:sz w:val="20"/>
          <w:szCs w:val="20"/>
          <w:lang w:val="es-MX"/>
        </w:rPr>
        <w:t>. Cuando el valor del contrato esté determinado por precios unitarios, la Entidad Estatal debe incluir la forma</w:t>
      </w:r>
      <w:r w:rsidRPr="00305AB1">
        <w:rPr>
          <w:rFonts w:ascii="Verdana" w:hAnsi="Verdana" w:cs="Arial"/>
          <w:spacing w:val="8"/>
          <w:sz w:val="20"/>
          <w:szCs w:val="20"/>
          <w:lang w:val="es-MX"/>
        </w:rPr>
        <w:t xml:space="preserve"> </w:t>
      </w:r>
      <w:r w:rsidRPr="00305AB1">
        <w:rPr>
          <w:rFonts w:ascii="Verdana" w:hAnsi="Verdana" w:cs="Arial"/>
          <w:sz w:val="20"/>
          <w:szCs w:val="20"/>
          <w:lang w:val="es-MX"/>
        </w:rPr>
        <w:t>como</w:t>
      </w:r>
      <w:r w:rsidRPr="00305AB1">
        <w:rPr>
          <w:rFonts w:ascii="Verdana" w:hAnsi="Verdana" w:cs="Arial"/>
          <w:spacing w:val="7"/>
          <w:sz w:val="20"/>
          <w:szCs w:val="20"/>
          <w:lang w:val="es-MX"/>
        </w:rPr>
        <w:t xml:space="preserve"> </w:t>
      </w:r>
      <w:r w:rsidRPr="00305AB1">
        <w:rPr>
          <w:rFonts w:ascii="Verdana" w:hAnsi="Verdana" w:cs="Arial"/>
          <w:sz w:val="20"/>
          <w:szCs w:val="20"/>
          <w:lang w:val="es-MX"/>
        </w:rPr>
        <w:t>los</w:t>
      </w:r>
      <w:r w:rsidRPr="00305AB1">
        <w:rPr>
          <w:rFonts w:ascii="Verdana" w:hAnsi="Verdana" w:cs="Arial"/>
          <w:spacing w:val="9"/>
          <w:sz w:val="20"/>
          <w:szCs w:val="20"/>
          <w:lang w:val="es-MX"/>
        </w:rPr>
        <w:t xml:space="preserve"> </w:t>
      </w:r>
      <w:r w:rsidRPr="00305AB1">
        <w:rPr>
          <w:rFonts w:ascii="Verdana" w:hAnsi="Verdana" w:cs="Arial"/>
          <w:sz w:val="20"/>
          <w:szCs w:val="20"/>
          <w:lang w:val="es-MX"/>
        </w:rPr>
        <w:t>calculó</w:t>
      </w:r>
      <w:r w:rsidRPr="00305AB1">
        <w:rPr>
          <w:rFonts w:ascii="Verdana" w:hAnsi="Verdana" w:cs="Arial"/>
          <w:spacing w:val="14"/>
          <w:sz w:val="20"/>
          <w:szCs w:val="20"/>
          <w:lang w:val="es-MX"/>
        </w:rPr>
        <w:t xml:space="preserve"> </w:t>
      </w:r>
      <w:r w:rsidRPr="00305AB1">
        <w:rPr>
          <w:rFonts w:ascii="Verdana" w:hAnsi="Verdana" w:cs="Arial"/>
          <w:sz w:val="20"/>
          <w:szCs w:val="20"/>
          <w:lang w:val="es-MX"/>
        </w:rPr>
        <w:t>y</w:t>
      </w:r>
      <w:r w:rsidRPr="00305AB1">
        <w:rPr>
          <w:rFonts w:ascii="Verdana" w:hAnsi="Verdana" w:cs="Arial"/>
          <w:spacing w:val="7"/>
          <w:sz w:val="20"/>
          <w:szCs w:val="20"/>
          <w:lang w:val="es-MX"/>
        </w:rPr>
        <w:t xml:space="preserve"> </w:t>
      </w:r>
      <w:r w:rsidRPr="00305AB1">
        <w:rPr>
          <w:rFonts w:ascii="Verdana" w:hAnsi="Verdana" w:cs="Arial"/>
          <w:sz w:val="20"/>
          <w:szCs w:val="20"/>
          <w:lang w:val="es-MX"/>
        </w:rPr>
        <w:t>soportar</w:t>
      </w:r>
      <w:r w:rsidRPr="00305AB1">
        <w:rPr>
          <w:rFonts w:ascii="Verdana" w:hAnsi="Verdana" w:cs="Arial"/>
          <w:spacing w:val="10"/>
          <w:sz w:val="20"/>
          <w:szCs w:val="20"/>
          <w:lang w:val="es-MX"/>
        </w:rPr>
        <w:t xml:space="preserve"> </w:t>
      </w:r>
      <w:r w:rsidRPr="00305AB1">
        <w:rPr>
          <w:rFonts w:ascii="Verdana" w:hAnsi="Verdana" w:cs="Arial"/>
          <w:sz w:val="20"/>
          <w:szCs w:val="20"/>
          <w:lang w:val="es-MX"/>
        </w:rPr>
        <w:t>sus</w:t>
      </w:r>
      <w:r w:rsidRPr="00305AB1">
        <w:rPr>
          <w:rFonts w:ascii="Verdana" w:hAnsi="Verdana" w:cs="Arial"/>
          <w:spacing w:val="9"/>
          <w:sz w:val="20"/>
          <w:szCs w:val="20"/>
          <w:lang w:val="es-MX"/>
        </w:rPr>
        <w:t xml:space="preserve"> </w:t>
      </w:r>
      <w:r w:rsidRPr="00305AB1">
        <w:rPr>
          <w:rFonts w:ascii="Verdana" w:hAnsi="Verdana" w:cs="Arial"/>
          <w:sz w:val="20"/>
          <w:szCs w:val="20"/>
          <w:lang w:val="es-MX"/>
        </w:rPr>
        <w:t>cálculos</w:t>
      </w:r>
      <w:r w:rsidRPr="00305AB1">
        <w:rPr>
          <w:rFonts w:ascii="Verdana" w:hAnsi="Verdana" w:cs="Arial"/>
          <w:spacing w:val="12"/>
          <w:sz w:val="20"/>
          <w:szCs w:val="20"/>
          <w:lang w:val="es-MX"/>
        </w:rPr>
        <w:t xml:space="preserve"> </w:t>
      </w:r>
      <w:r w:rsidRPr="00305AB1">
        <w:rPr>
          <w:rFonts w:ascii="Verdana" w:hAnsi="Verdana" w:cs="Arial"/>
          <w:sz w:val="20"/>
          <w:szCs w:val="20"/>
          <w:lang w:val="es-MX"/>
        </w:rPr>
        <w:t>de</w:t>
      </w:r>
      <w:r w:rsidRPr="00305AB1">
        <w:rPr>
          <w:rFonts w:ascii="Verdana" w:hAnsi="Verdana" w:cs="Arial"/>
          <w:spacing w:val="11"/>
          <w:sz w:val="20"/>
          <w:szCs w:val="20"/>
          <w:lang w:val="es-MX"/>
        </w:rPr>
        <w:t xml:space="preserve"> </w:t>
      </w:r>
      <w:r w:rsidRPr="00305AB1">
        <w:rPr>
          <w:rFonts w:ascii="Verdana" w:hAnsi="Verdana" w:cs="Arial"/>
          <w:sz w:val="20"/>
          <w:szCs w:val="20"/>
          <w:lang w:val="es-MX"/>
        </w:rPr>
        <w:t>presupuesto</w:t>
      </w:r>
      <w:r w:rsidRPr="00305AB1">
        <w:rPr>
          <w:rFonts w:ascii="Verdana" w:hAnsi="Verdana" w:cs="Arial"/>
          <w:spacing w:val="10"/>
          <w:sz w:val="20"/>
          <w:szCs w:val="20"/>
          <w:lang w:val="es-MX"/>
        </w:rPr>
        <w:t xml:space="preserve"> </w:t>
      </w:r>
      <w:r w:rsidRPr="00305AB1">
        <w:rPr>
          <w:rFonts w:ascii="Verdana" w:hAnsi="Verdana" w:cs="Arial"/>
          <w:sz w:val="20"/>
          <w:szCs w:val="20"/>
          <w:lang w:val="es-MX"/>
        </w:rPr>
        <w:t>en</w:t>
      </w:r>
      <w:r w:rsidRPr="00305AB1">
        <w:rPr>
          <w:rFonts w:ascii="Verdana" w:hAnsi="Verdana" w:cs="Arial"/>
          <w:spacing w:val="8"/>
          <w:sz w:val="20"/>
          <w:szCs w:val="20"/>
          <w:lang w:val="es-MX"/>
        </w:rPr>
        <w:t xml:space="preserve"> </w:t>
      </w:r>
      <w:r w:rsidRPr="00305AB1">
        <w:rPr>
          <w:rFonts w:ascii="Verdana" w:hAnsi="Verdana" w:cs="Arial"/>
          <w:sz w:val="20"/>
          <w:szCs w:val="20"/>
          <w:lang w:val="es-MX"/>
        </w:rPr>
        <w:t>la</w:t>
      </w:r>
      <w:r w:rsidRPr="00305AB1">
        <w:rPr>
          <w:rFonts w:ascii="Verdana" w:hAnsi="Verdana" w:cs="Arial"/>
          <w:spacing w:val="11"/>
          <w:sz w:val="20"/>
          <w:szCs w:val="20"/>
          <w:lang w:val="es-MX"/>
        </w:rPr>
        <w:t xml:space="preserve"> </w:t>
      </w:r>
      <w:r w:rsidRPr="00305AB1">
        <w:rPr>
          <w:rFonts w:ascii="Verdana" w:hAnsi="Verdana" w:cs="Arial"/>
          <w:sz w:val="20"/>
          <w:szCs w:val="20"/>
          <w:lang w:val="es-MX"/>
        </w:rPr>
        <w:t>estimación</w:t>
      </w:r>
      <w:r w:rsidRPr="00305AB1">
        <w:rPr>
          <w:rFonts w:ascii="Verdana" w:hAnsi="Verdana" w:cs="Arial"/>
          <w:spacing w:val="11"/>
          <w:sz w:val="20"/>
          <w:szCs w:val="20"/>
          <w:lang w:val="es-MX"/>
        </w:rPr>
        <w:t xml:space="preserve"> </w:t>
      </w:r>
      <w:r w:rsidRPr="00305AB1">
        <w:rPr>
          <w:rFonts w:ascii="Verdana" w:hAnsi="Verdana" w:cs="Arial"/>
          <w:sz w:val="20"/>
          <w:szCs w:val="20"/>
          <w:lang w:val="es-MX"/>
        </w:rPr>
        <w:t>de aquellos. La Entidad Estatal no debe publicar las variables utilizadas para calcular el valor estimado del contrato cuando la modalidad de selección del contratista sea en concurso de méritos. Si el contrato es de concesión, la Entidad Estatal no debe publicar el modelo financiero utilizado en su estructuración.</w:t>
      </w:r>
    </w:p>
    <w:p w14:paraId="63E49B56" w14:textId="77777777" w:rsidR="002D6CA8" w:rsidRPr="00305AB1" w:rsidRDefault="002D6CA8" w:rsidP="002D6CA8">
      <w:pPr>
        <w:widowControl w:val="0"/>
        <w:tabs>
          <w:tab w:val="left" w:pos="1217"/>
        </w:tabs>
        <w:autoSpaceDE w:val="0"/>
        <w:autoSpaceDN w:val="0"/>
        <w:spacing w:after="120" w:line="240" w:lineRule="auto"/>
        <w:ind w:left="709" w:right="709"/>
        <w:rPr>
          <w:rFonts w:ascii="Verdana" w:hAnsi="Verdana" w:cs="Arial"/>
          <w:sz w:val="20"/>
          <w:szCs w:val="20"/>
          <w:lang w:val="es-MX"/>
        </w:rPr>
      </w:pPr>
      <w:r w:rsidRPr="00305AB1">
        <w:rPr>
          <w:rFonts w:ascii="Verdana" w:hAnsi="Verdana" w:cs="Arial"/>
          <w:sz w:val="20"/>
          <w:szCs w:val="20"/>
          <w:lang w:val="es-MX"/>
        </w:rPr>
        <w:t>5. Los criterios para seleccionar la oferta más</w:t>
      </w:r>
      <w:r w:rsidRPr="00305AB1">
        <w:rPr>
          <w:rFonts w:ascii="Verdana" w:hAnsi="Verdana" w:cs="Arial"/>
          <w:spacing w:val="-7"/>
          <w:sz w:val="20"/>
          <w:szCs w:val="20"/>
          <w:lang w:val="es-MX"/>
        </w:rPr>
        <w:t xml:space="preserve"> </w:t>
      </w:r>
      <w:r w:rsidRPr="00305AB1">
        <w:rPr>
          <w:rFonts w:ascii="Verdana" w:hAnsi="Verdana" w:cs="Arial"/>
          <w:sz w:val="20"/>
          <w:szCs w:val="20"/>
          <w:lang w:val="es-MX"/>
        </w:rPr>
        <w:t>favorable.</w:t>
      </w:r>
    </w:p>
    <w:p w14:paraId="54281A8B" w14:textId="77777777" w:rsidR="002D6CA8" w:rsidRPr="00305AB1" w:rsidRDefault="002D6CA8" w:rsidP="002D6CA8">
      <w:pPr>
        <w:widowControl w:val="0"/>
        <w:tabs>
          <w:tab w:val="left" w:pos="1217"/>
        </w:tabs>
        <w:autoSpaceDE w:val="0"/>
        <w:autoSpaceDN w:val="0"/>
        <w:spacing w:after="120" w:line="240" w:lineRule="auto"/>
        <w:ind w:left="709" w:right="709"/>
        <w:rPr>
          <w:rFonts w:ascii="Verdana" w:hAnsi="Verdana" w:cs="Arial"/>
          <w:sz w:val="20"/>
          <w:szCs w:val="20"/>
          <w:lang w:val="es-MX"/>
        </w:rPr>
      </w:pPr>
      <w:r w:rsidRPr="00305AB1">
        <w:rPr>
          <w:rFonts w:ascii="Verdana" w:hAnsi="Verdana" w:cs="Arial"/>
          <w:sz w:val="20"/>
          <w:szCs w:val="20"/>
          <w:lang w:val="es-MX"/>
        </w:rPr>
        <w:t>6. El análisis de Riesgo y la forma de</w:t>
      </w:r>
      <w:r w:rsidRPr="00305AB1">
        <w:rPr>
          <w:rFonts w:ascii="Verdana" w:hAnsi="Verdana" w:cs="Arial"/>
          <w:spacing w:val="-8"/>
          <w:sz w:val="20"/>
          <w:szCs w:val="20"/>
          <w:lang w:val="es-MX"/>
        </w:rPr>
        <w:t xml:space="preserve"> </w:t>
      </w:r>
      <w:r w:rsidRPr="00305AB1">
        <w:rPr>
          <w:rFonts w:ascii="Verdana" w:hAnsi="Verdana" w:cs="Arial"/>
          <w:sz w:val="20"/>
          <w:szCs w:val="20"/>
          <w:lang w:val="es-MX"/>
        </w:rPr>
        <w:t>mitigarlo.</w:t>
      </w:r>
    </w:p>
    <w:p w14:paraId="218F1A58" w14:textId="77777777" w:rsidR="002D6CA8" w:rsidRPr="00305AB1" w:rsidRDefault="002D6CA8" w:rsidP="002D6CA8">
      <w:pPr>
        <w:widowControl w:val="0"/>
        <w:tabs>
          <w:tab w:val="left" w:pos="1443"/>
        </w:tabs>
        <w:autoSpaceDE w:val="0"/>
        <w:autoSpaceDN w:val="0"/>
        <w:spacing w:after="120" w:line="240" w:lineRule="auto"/>
        <w:ind w:left="709" w:right="709"/>
        <w:rPr>
          <w:rFonts w:ascii="Verdana" w:hAnsi="Verdana" w:cs="Arial"/>
          <w:sz w:val="20"/>
          <w:szCs w:val="20"/>
          <w:lang w:val="es-MX"/>
        </w:rPr>
      </w:pPr>
      <w:r w:rsidRPr="00305AB1">
        <w:rPr>
          <w:rFonts w:ascii="Verdana" w:hAnsi="Verdana" w:cs="Arial"/>
          <w:sz w:val="20"/>
          <w:szCs w:val="20"/>
          <w:lang w:val="es-MX"/>
        </w:rPr>
        <w:t>7. Las garantías que la Entidad Estatal contempla exigir en el Proceso de Contratación.</w:t>
      </w:r>
    </w:p>
    <w:p w14:paraId="09F25F44" w14:textId="77777777" w:rsidR="002D6CA8" w:rsidRPr="00305AB1" w:rsidRDefault="002D6CA8" w:rsidP="002D6CA8">
      <w:pPr>
        <w:widowControl w:val="0"/>
        <w:tabs>
          <w:tab w:val="left" w:pos="1305"/>
        </w:tabs>
        <w:autoSpaceDE w:val="0"/>
        <w:autoSpaceDN w:val="0"/>
        <w:spacing w:after="120" w:line="240" w:lineRule="auto"/>
        <w:ind w:left="709" w:right="709"/>
        <w:rPr>
          <w:rFonts w:ascii="Verdana" w:hAnsi="Verdana" w:cs="Arial"/>
          <w:sz w:val="20"/>
          <w:szCs w:val="20"/>
          <w:lang w:val="es-MX"/>
        </w:rPr>
      </w:pPr>
      <w:r w:rsidRPr="00305AB1">
        <w:rPr>
          <w:rFonts w:ascii="Verdana" w:hAnsi="Verdana" w:cs="Arial"/>
          <w:sz w:val="20"/>
          <w:szCs w:val="20"/>
          <w:lang w:val="es-MX"/>
        </w:rPr>
        <w:t>8. La indicación de si el Proceso de Contratación está cobijado por un Acuerdo Comercial”.</w:t>
      </w:r>
    </w:p>
    <w:p w14:paraId="323D5725" w14:textId="77777777" w:rsidR="002D6CA8" w:rsidRPr="00305AB1" w:rsidRDefault="002D6CA8" w:rsidP="002D6CA8">
      <w:pPr>
        <w:widowControl w:val="0"/>
        <w:tabs>
          <w:tab w:val="left" w:pos="1305"/>
        </w:tabs>
        <w:autoSpaceDE w:val="0"/>
        <w:autoSpaceDN w:val="0"/>
        <w:spacing w:after="0" w:line="240" w:lineRule="auto"/>
        <w:ind w:left="828" w:right="822"/>
        <w:rPr>
          <w:rFonts w:ascii="Verdana" w:hAnsi="Verdana" w:cs="Arial"/>
          <w:sz w:val="21"/>
          <w:szCs w:val="21"/>
          <w:lang w:val="es-MX"/>
        </w:rPr>
      </w:pPr>
    </w:p>
    <w:p w14:paraId="7644FD0E" w14:textId="77777777" w:rsidR="002D6CA8" w:rsidRPr="00305AB1" w:rsidRDefault="002D6CA8" w:rsidP="002D6CA8">
      <w:pPr>
        <w:spacing w:after="120" w:line="276" w:lineRule="auto"/>
        <w:ind w:firstLine="709"/>
        <w:jc w:val="both"/>
        <w:rPr>
          <w:rFonts w:ascii="Verdana" w:hAnsi="Verdana"/>
          <w:lang w:val="es-MX"/>
        </w:rPr>
      </w:pPr>
      <w:bookmarkStart w:id="2" w:name="_Hlk54011351"/>
      <w:r w:rsidRPr="00305AB1">
        <w:rPr>
          <w:rFonts w:ascii="Verdana" w:hAnsi="Verdana"/>
          <w:lang w:val="es-MX"/>
        </w:rPr>
        <w:t xml:space="preserve">De esta manera, antes de iniciar un procedimiento de selección, la entidad estatal podrá determinar con los estudios previos: i) la verdadera necesidad de la celebración del contrato; </w:t>
      </w:r>
      <w:proofErr w:type="spellStart"/>
      <w:r w:rsidRPr="00305AB1">
        <w:rPr>
          <w:rFonts w:ascii="Verdana" w:hAnsi="Verdana"/>
          <w:lang w:val="es-MX"/>
        </w:rPr>
        <w:t>ii</w:t>
      </w:r>
      <w:proofErr w:type="spellEnd"/>
      <w:r w:rsidRPr="00305AB1">
        <w:rPr>
          <w:rFonts w:ascii="Verdana" w:hAnsi="Verdana"/>
          <w:lang w:val="es-MX"/>
        </w:rPr>
        <w:t xml:space="preserve">) las modalidades existentes para satisfacer esa necesidad y las razones que justifiquen la modalidad o tipo contractual que se escoja; </w:t>
      </w:r>
      <w:proofErr w:type="spellStart"/>
      <w:r w:rsidRPr="00305AB1">
        <w:rPr>
          <w:rFonts w:ascii="Verdana" w:hAnsi="Verdana"/>
          <w:lang w:val="es-MX"/>
        </w:rPr>
        <w:t>iii</w:t>
      </w:r>
      <w:proofErr w:type="spellEnd"/>
      <w:r w:rsidRPr="00305AB1">
        <w:rPr>
          <w:rFonts w:ascii="Verdana" w:hAnsi="Verdana"/>
          <w:lang w:val="es-MX"/>
        </w:rPr>
        <w:t xml:space="preserve">) las calidades, especificaciones, cantidades y demás características que puedan o deban reunir los bienes, las obras, los servicios, etcétera, cuya contratación, se haya determinado necesaria, </w:t>
      </w:r>
      <w:proofErr w:type="spellStart"/>
      <w:r w:rsidRPr="00305AB1">
        <w:rPr>
          <w:rFonts w:ascii="Verdana" w:hAnsi="Verdana"/>
          <w:lang w:val="es-MX"/>
        </w:rPr>
        <w:t>iv</w:t>
      </w:r>
      <w:proofErr w:type="spellEnd"/>
      <w:r w:rsidRPr="00305AB1">
        <w:rPr>
          <w:rFonts w:ascii="Verdana" w:hAnsi="Verdana"/>
          <w:lang w:val="es-MX"/>
        </w:rPr>
        <w:t xml:space="preserve">) los costos, valores y alternativas que, a precios de mercado reales, podría demandar la celebración y ejecución del contrato, v) la disponibilidad de recursos o la capacidad financiera de la entidad contratante, para asumir las obligaciones de pago producto de la celebración de ese pretendido contrato; vi) la existencia y disponibilidad, en el mercado nacional o internacional, de proveedores, constructores, profesionales, etc., en condiciones de atender los requerimientos y satisfacer las necesidades y </w:t>
      </w:r>
      <w:proofErr w:type="spellStart"/>
      <w:r w:rsidRPr="00305AB1">
        <w:rPr>
          <w:rFonts w:ascii="Verdana" w:hAnsi="Verdana"/>
          <w:lang w:val="es-MX"/>
        </w:rPr>
        <w:t>vii</w:t>
      </w:r>
      <w:proofErr w:type="spellEnd"/>
      <w:r w:rsidRPr="00305AB1">
        <w:rPr>
          <w:rFonts w:ascii="Verdana" w:hAnsi="Verdana"/>
          <w:lang w:val="es-MX"/>
        </w:rPr>
        <w:t>) los procedimientos, trámites y requisitos que deban satisfacerse, reunirse u obtenerse para llevar a cabo la selección del respectivo contratista y la celebración del contrato que se pretenda celebrar.</w:t>
      </w:r>
    </w:p>
    <w:bookmarkEnd w:id="2"/>
    <w:p w14:paraId="4FAD0163" w14:textId="77777777" w:rsidR="002D6CA8" w:rsidRPr="00305AB1" w:rsidRDefault="002D6CA8" w:rsidP="002D6CA8">
      <w:pPr>
        <w:spacing w:after="120" w:line="276" w:lineRule="auto"/>
        <w:ind w:firstLine="709"/>
        <w:jc w:val="both"/>
        <w:rPr>
          <w:rFonts w:ascii="Verdana" w:hAnsi="Verdana"/>
          <w:lang w:val="es-MX"/>
        </w:rPr>
      </w:pPr>
      <w:r w:rsidRPr="00305AB1">
        <w:rPr>
          <w:rFonts w:ascii="Verdana" w:hAnsi="Verdana"/>
          <w:lang w:val="es-MX"/>
        </w:rPr>
        <w:lastRenderedPageBreak/>
        <w:t xml:space="preserve">Cuando las entidades cumplen con los elementos mínimos establecidos en la norma y aquellos adicionales que identifiquen en la etapa de planeación de los </w:t>
      </w:r>
      <w:r w:rsidRPr="00305AB1">
        <w:rPr>
          <w:rFonts w:ascii="Verdana" w:eastAsia="Calibri" w:hAnsi="Verdana"/>
          <w:bCs/>
          <w:lang w:val="es-ES_tradnl"/>
        </w:rPr>
        <w:t xml:space="preserve">procedimientos de contratación, permiten que los contratos resultantes cuenten con el sustento técnico, económico y jurídico que incidirá </w:t>
      </w:r>
      <w:r w:rsidRPr="00305AB1">
        <w:rPr>
          <w:rFonts w:ascii="Verdana" w:hAnsi="Verdana"/>
          <w:lang w:val="es-MX"/>
        </w:rPr>
        <w:t>en una adecuada ejecución.</w:t>
      </w:r>
    </w:p>
    <w:p w14:paraId="3B1B242F" w14:textId="77777777" w:rsidR="002D6CA8" w:rsidRPr="00305AB1" w:rsidRDefault="002D6CA8" w:rsidP="002D6CA8">
      <w:pPr>
        <w:spacing w:after="120" w:line="276" w:lineRule="auto"/>
        <w:ind w:firstLine="709"/>
        <w:jc w:val="both"/>
        <w:rPr>
          <w:rFonts w:ascii="Verdana" w:hAnsi="Verdana"/>
          <w:lang w:val="es-MX"/>
        </w:rPr>
      </w:pPr>
      <w:r w:rsidRPr="00305AB1">
        <w:rPr>
          <w:rFonts w:ascii="Verdana" w:hAnsi="Verdana"/>
          <w:lang w:val="es-MX"/>
        </w:rPr>
        <w:t>Mas allá del cumplimiento de la normativa,</w:t>
      </w:r>
      <w:r>
        <w:rPr>
          <w:rFonts w:ascii="Verdana" w:hAnsi="Verdana"/>
          <w:lang w:val="es-MX"/>
        </w:rPr>
        <w:t xml:space="preserve"> </w:t>
      </w:r>
      <w:r w:rsidRPr="00305AB1">
        <w:rPr>
          <w:rFonts w:ascii="Verdana" w:hAnsi="Verdana"/>
          <w:i/>
          <w:iCs/>
          <w:lang w:val="es-MX"/>
        </w:rPr>
        <w:t>“los estudios y documentos previos son el soporte para elaborar el proyecto de pliegos, los pliegos de condiciones, y el contrato”</w:t>
      </w:r>
      <w:r w:rsidRPr="00305AB1">
        <w:rPr>
          <w:rFonts w:ascii="Verdana" w:hAnsi="Verdana"/>
          <w:i/>
          <w:iCs/>
          <w:vertAlign w:val="superscript"/>
          <w:lang w:val="es-MX"/>
        </w:rPr>
        <w:footnoteReference w:id="3"/>
      </w:r>
      <w:r w:rsidRPr="00305AB1">
        <w:rPr>
          <w:rFonts w:ascii="Verdana" w:hAnsi="Verdana"/>
          <w:i/>
          <w:iCs/>
          <w:lang w:val="es-MX"/>
        </w:rPr>
        <w:t>,</w:t>
      </w:r>
      <w:r w:rsidRPr="00305AB1">
        <w:rPr>
          <w:rFonts w:ascii="Verdana" w:hAnsi="Verdana"/>
          <w:lang w:val="es-MX"/>
        </w:rPr>
        <w:t xml:space="preserve"> por lo que deben publicarse en la etapa precontractual y sirven de motivación para los documentos expedidos unilateralmente por la entidad estatal tales como el acto administrativo de apertura, los pliegos de condiciones y el acto de adjudicación, entre otros.</w:t>
      </w:r>
    </w:p>
    <w:p w14:paraId="1B47E429" w14:textId="77777777" w:rsidR="002D6CA8" w:rsidRPr="00BE4CED" w:rsidRDefault="002D6CA8" w:rsidP="002D6CA8">
      <w:pPr>
        <w:spacing w:after="120" w:line="276" w:lineRule="auto"/>
        <w:ind w:right="105" w:firstLine="709"/>
        <w:jc w:val="both"/>
        <w:rPr>
          <w:rFonts w:ascii="Verdana" w:hAnsi="Verdana"/>
          <w:lang w:val="es-MX"/>
        </w:rPr>
      </w:pPr>
      <w:bookmarkStart w:id="4" w:name="_Hlk54011438"/>
      <w:r w:rsidRPr="00305AB1">
        <w:rPr>
          <w:rFonts w:ascii="Verdana" w:hAnsi="Verdana"/>
          <w:lang w:val="es-MX"/>
        </w:rPr>
        <w:t>De lo explicado se desprende que los estudios y documentos previos son necesarios antes de la celebración del contrato, pues fundamentan las condiciones que la entidad estatal exige en su proceso de contratación. Sin embargo, luego de la suscripción del contrato la entidad no debe actuar unilateralmente, sino que debe respetar la buena fe contractual y proceder de acuerdo con lo pactado</w:t>
      </w:r>
      <w:bookmarkEnd w:id="4"/>
      <w:r w:rsidRPr="00305AB1">
        <w:rPr>
          <w:rFonts w:ascii="Verdana" w:hAnsi="Verdana"/>
          <w:vertAlign w:val="superscript"/>
          <w:lang w:val="es-MX"/>
        </w:rPr>
        <w:footnoteReference w:id="4"/>
      </w:r>
      <w:r w:rsidRPr="00305AB1">
        <w:rPr>
          <w:rFonts w:ascii="Verdana" w:hAnsi="Verdana"/>
          <w:lang w:val="es-MX"/>
        </w:rPr>
        <w:t>.</w:t>
      </w:r>
    </w:p>
    <w:p w14:paraId="3008BE81" w14:textId="77777777" w:rsidR="002D6CA8" w:rsidRPr="00305AB1" w:rsidRDefault="002D6CA8" w:rsidP="002D6CA8">
      <w:pPr>
        <w:pStyle w:val="Textoindependiente"/>
        <w:ind w:right="108" w:firstLine="708"/>
        <w:jc w:val="both"/>
        <w:rPr>
          <w:rFonts w:ascii="Verdana" w:hAnsi="Verdana"/>
        </w:rPr>
      </w:pPr>
      <w:r w:rsidRPr="00305AB1">
        <w:rPr>
          <w:rFonts w:ascii="Verdana" w:hAnsi="Verdana"/>
        </w:rPr>
        <w:t>De otra parte, es necesario explicar que, el pliego de condiciones es la hoja de ruta o plan</w:t>
      </w:r>
      <w:r w:rsidRPr="00305AB1">
        <w:rPr>
          <w:rStyle w:val="Refdenotaalpie"/>
          <w:rFonts w:ascii="Verdana" w:hAnsi="Verdana"/>
        </w:rPr>
        <w:footnoteReference w:id="5"/>
      </w:r>
      <w:r w:rsidRPr="00305AB1">
        <w:rPr>
          <w:rFonts w:ascii="Verdana" w:hAnsi="Verdana"/>
        </w:rPr>
        <w:t xml:space="preserve"> sobre el cual se diseña, estructura y concreta el proceso de selección de contratistas. El mismo ha sido definido como un </w:t>
      </w:r>
      <w:r>
        <w:rPr>
          <w:rFonts w:ascii="Verdana" w:hAnsi="Verdana"/>
        </w:rPr>
        <w:t>“</w:t>
      </w:r>
      <w:r w:rsidRPr="00305AB1">
        <w:rPr>
          <w:rFonts w:ascii="Verdana" w:hAnsi="Verdana"/>
        </w:rPr>
        <w:t>acto jurídico mixto, que nace como un acto administrativo de contenido general y que, con la adjudicación y suscripción del contrato estatal, algunos de sus contenidos se transforman para incorporarse al texto del negocio jurídico y, por consiguiente, se convierten en cláusulas vinculantes del mismo</w:t>
      </w:r>
      <w:r>
        <w:rPr>
          <w:rFonts w:ascii="Verdana" w:hAnsi="Verdana"/>
        </w:rPr>
        <w:t>”</w:t>
      </w:r>
      <w:r w:rsidRPr="00305AB1">
        <w:rPr>
          <w:rStyle w:val="Refdenotaalpie"/>
          <w:rFonts w:ascii="Verdana" w:hAnsi="Verdana"/>
        </w:rPr>
        <w:footnoteReference w:id="6"/>
      </w:r>
      <w:r w:rsidRPr="00305AB1">
        <w:rPr>
          <w:rFonts w:ascii="Verdana" w:hAnsi="Verdana"/>
        </w:rPr>
        <w:t>.</w:t>
      </w:r>
    </w:p>
    <w:p w14:paraId="5A812AE3" w14:textId="77777777" w:rsidR="002D6CA8" w:rsidRPr="00305AB1" w:rsidRDefault="002D6CA8" w:rsidP="002D6CA8">
      <w:pPr>
        <w:pStyle w:val="Textoindependiente"/>
        <w:ind w:right="108" w:firstLine="708"/>
        <w:jc w:val="both"/>
        <w:rPr>
          <w:rFonts w:ascii="Verdana" w:hAnsi="Verdana"/>
        </w:rPr>
      </w:pPr>
      <w:r w:rsidRPr="00305AB1">
        <w:rPr>
          <w:rFonts w:ascii="Verdana" w:hAnsi="Verdana"/>
        </w:rPr>
        <w:lastRenderedPageBreak/>
        <w:t xml:space="preserve">De este modo, el pliego es un instrumento en el cual se materializa el principio de transparencia, pues en ese documento se fijan las reglas de escogencia del contratista del Estado, para la selección objetiva de la mejor oferta, la adjudicación y la posterior celebración y ejecución del contrato, lo cual lo convierte en una reglamentación de todo el </w:t>
      </w:r>
      <w:proofErr w:type="spellStart"/>
      <w:r w:rsidRPr="00305AB1">
        <w:rPr>
          <w:rFonts w:ascii="Verdana" w:hAnsi="Verdana"/>
          <w:i/>
          <w:iCs/>
        </w:rPr>
        <w:t>iter</w:t>
      </w:r>
      <w:proofErr w:type="spellEnd"/>
      <w:r w:rsidRPr="00305AB1">
        <w:rPr>
          <w:rFonts w:ascii="Verdana" w:hAnsi="Verdana"/>
        </w:rPr>
        <w:t xml:space="preserve"> contractual. Su contenido</w:t>
      </w:r>
      <w:r w:rsidRPr="00305AB1">
        <w:rPr>
          <w:rStyle w:val="Refdenotaalpie"/>
          <w:rFonts w:ascii="Verdana" w:hAnsi="Verdana"/>
        </w:rPr>
        <w:footnoteReference w:id="7"/>
      </w:r>
      <w:r w:rsidRPr="00305AB1">
        <w:rPr>
          <w:rFonts w:ascii="Verdana" w:hAnsi="Verdana"/>
        </w:rPr>
        <w:t xml:space="preserve"> está previsto en el numeral 5 del artículo 24 de la Ley 80 de 1993, que establece algunas directrices que deben tenerse en cuenta en su elaboración:</w:t>
      </w:r>
    </w:p>
    <w:p w14:paraId="28572002" w14:textId="77777777" w:rsidR="002D6CA8" w:rsidRPr="00305AB1" w:rsidRDefault="002D6CA8" w:rsidP="002D6CA8">
      <w:pPr>
        <w:pStyle w:val="Textoindependiente"/>
        <w:ind w:left="709" w:right="709"/>
        <w:rPr>
          <w:rFonts w:ascii="Verdana" w:hAnsi="Verdana"/>
          <w:sz w:val="20"/>
          <w:szCs w:val="20"/>
        </w:rPr>
      </w:pPr>
      <w:r w:rsidRPr="00305AB1">
        <w:rPr>
          <w:rFonts w:ascii="Verdana" w:hAnsi="Verdana"/>
          <w:sz w:val="20"/>
          <w:szCs w:val="20"/>
        </w:rPr>
        <w:t>“[…] 5o. En los pliegos de condiciones:</w:t>
      </w:r>
    </w:p>
    <w:p w14:paraId="3173A287" w14:textId="77777777" w:rsidR="002D6CA8" w:rsidRPr="00305AB1" w:rsidRDefault="002D6CA8" w:rsidP="002D6CA8">
      <w:pPr>
        <w:pStyle w:val="Prrafodelista"/>
        <w:widowControl w:val="0"/>
        <w:numPr>
          <w:ilvl w:val="2"/>
          <w:numId w:val="12"/>
        </w:numPr>
        <w:tabs>
          <w:tab w:val="left" w:pos="1126"/>
        </w:tabs>
        <w:autoSpaceDE w:val="0"/>
        <w:autoSpaceDN w:val="0"/>
        <w:spacing w:after="120" w:line="240" w:lineRule="auto"/>
        <w:ind w:left="709" w:right="709" w:firstLine="0"/>
        <w:contextualSpacing w:val="0"/>
        <w:jc w:val="both"/>
        <w:rPr>
          <w:rFonts w:ascii="Verdana" w:hAnsi="Verdana" w:cs="Arial"/>
          <w:sz w:val="20"/>
          <w:szCs w:val="20"/>
        </w:rPr>
      </w:pPr>
      <w:r w:rsidRPr="00305AB1">
        <w:rPr>
          <w:rFonts w:ascii="Verdana" w:hAnsi="Verdana" w:cs="Arial"/>
          <w:sz w:val="20"/>
          <w:szCs w:val="20"/>
        </w:rPr>
        <w:t>Se indicarán los requisitos objetivos necesarios para participar en el correspondiente proceso de</w:t>
      </w:r>
      <w:r w:rsidRPr="00305AB1">
        <w:rPr>
          <w:rFonts w:ascii="Verdana" w:hAnsi="Verdana" w:cs="Arial"/>
          <w:spacing w:val="-2"/>
          <w:sz w:val="20"/>
          <w:szCs w:val="20"/>
        </w:rPr>
        <w:t xml:space="preserve"> </w:t>
      </w:r>
      <w:r w:rsidRPr="00305AB1">
        <w:rPr>
          <w:rFonts w:ascii="Verdana" w:hAnsi="Verdana" w:cs="Arial"/>
          <w:sz w:val="20"/>
          <w:szCs w:val="20"/>
        </w:rPr>
        <w:t>selección.</w:t>
      </w:r>
    </w:p>
    <w:p w14:paraId="3C2ED88E" w14:textId="77777777" w:rsidR="002D6CA8" w:rsidRPr="00305AB1" w:rsidRDefault="002D6CA8" w:rsidP="002D6CA8">
      <w:pPr>
        <w:pStyle w:val="Prrafodelista"/>
        <w:widowControl w:val="0"/>
        <w:numPr>
          <w:ilvl w:val="2"/>
          <w:numId w:val="12"/>
        </w:numPr>
        <w:tabs>
          <w:tab w:val="left" w:pos="1088"/>
        </w:tabs>
        <w:autoSpaceDE w:val="0"/>
        <w:autoSpaceDN w:val="0"/>
        <w:spacing w:after="120" w:line="240" w:lineRule="auto"/>
        <w:ind w:left="709" w:right="709" w:firstLine="0"/>
        <w:contextualSpacing w:val="0"/>
        <w:jc w:val="both"/>
        <w:rPr>
          <w:rFonts w:ascii="Verdana" w:hAnsi="Verdana" w:cs="Arial"/>
          <w:sz w:val="20"/>
          <w:szCs w:val="20"/>
        </w:rPr>
      </w:pPr>
      <w:r w:rsidRPr="00305AB1">
        <w:rPr>
          <w:rFonts w:ascii="Verdana" w:hAnsi="Verdana" w:cs="Arial"/>
          <w:sz w:val="20"/>
          <w:szCs w:val="20"/>
        </w:rPr>
        <w:t>Se definirán reglas objetivas, justas, claras y completas que permitan la confección de ofrecimientos de la misma índole, aseguren una escogencia objetiva y eviten las declaratorias de desierta de la</w:t>
      </w:r>
      <w:r w:rsidRPr="00305AB1">
        <w:rPr>
          <w:rFonts w:ascii="Verdana" w:hAnsi="Verdana" w:cs="Arial"/>
          <w:spacing w:val="-16"/>
          <w:sz w:val="20"/>
          <w:szCs w:val="20"/>
        </w:rPr>
        <w:t xml:space="preserve"> </w:t>
      </w:r>
      <w:r w:rsidRPr="00305AB1">
        <w:rPr>
          <w:rFonts w:ascii="Verdana" w:hAnsi="Verdana" w:cs="Arial"/>
          <w:sz w:val="20"/>
          <w:szCs w:val="20"/>
        </w:rPr>
        <w:t>licitación.</w:t>
      </w:r>
    </w:p>
    <w:p w14:paraId="6C368C4F" w14:textId="77777777" w:rsidR="002D6CA8" w:rsidRPr="00305AB1" w:rsidRDefault="002D6CA8" w:rsidP="002D6CA8">
      <w:pPr>
        <w:pStyle w:val="Prrafodelista"/>
        <w:widowControl w:val="0"/>
        <w:numPr>
          <w:ilvl w:val="2"/>
          <w:numId w:val="12"/>
        </w:numPr>
        <w:tabs>
          <w:tab w:val="left" w:pos="1108"/>
        </w:tabs>
        <w:autoSpaceDE w:val="0"/>
        <w:autoSpaceDN w:val="0"/>
        <w:spacing w:after="120" w:line="240" w:lineRule="auto"/>
        <w:ind w:left="709" w:right="709" w:firstLine="0"/>
        <w:contextualSpacing w:val="0"/>
        <w:jc w:val="both"/>
        <w:rPr>
          <w:rFonts w:ascii="Verdana" w:hAnsi="Verdana" w:cs="Arial"/>
          <w:sz w:val="20"/>
          <w:szCs w:val="20"/>
        </w:rPr>
      </w:pPr>
      <w:r w:rsidRPr="00305AB1">
        <w:rPr>
          <w:rFonts w:ascii="Verdana" w:hAnsi="Verdana" w:cs="Arial"/>
          <w:sz w:val="20"/>
          <w:szCs w:val="20"/>
        </w:rPr>
        <w:t>Se definirán con precisión las condiciones de costo y calidad de los bienes, obras o servicios necesarios para la ejecución del objeto del</w:t>
      </w:r>
      <w:r w:rsidRPr="00305AB1">
        <w:rPr>
          <w:rFonts w:ascii="Verdana" w:hAnsi="Verdana" w:cs="Arial"/>
          <w:spacing w:val="-43"/>
          <w:sz w:val="20"/>
          <w:szCs w:val="20"/>
        </w:rPr>
        <w:t xml:space="preserve"> </w:t>
      </w:r>
      <w:r w:rsidRPr="00305AB1">
        <w:rPr>
          <w:rFonts w:ascii="Verdana" w:hAnsi="Verdana" w:cs="Arial"/>
          <w:sz w:val="20"/>
          <w:szCs w:val="20"/>
        </w:rPr>
        <w:t>contrato.</w:t>
      </w:r>
    </w:p>
    <w:p w14:paraId="03B1B2E8" w14:textId="77777777" w:rsidR="002D6CA8" w:rsidRPr="00305AB1" w:rsidRDefault="002D6CA8" w:rsidP="002D6CA8">
      <w:pPr>
        <w:pStyle w:val="Prrafodelista"/>
        <w:widowControl w:val="0"/>
        <w:numPr>
          <w:ilvl w:val="2"/>
          <w:numId w:val="12"/>
        </w:numPr>
        <w:tabs>
          <w:tab w:val="left" w:pos="1108"/>
        </w:tabs>
        <w:autoSpaceDE w:val="0"/>
        <w:autoSpaceDN w:val="0"/>
        <w:spacing w:after="120" w:line="240" w:lineRule="auto"/>
        <w:ind w:left="709" w:right="709" w:firstLine="0"/>
        <w:contextualSpacing w:val="0"/>
        <w:jc w:val="both"/>
        <w:rPr>
          <w:rFonts w:ascii="Verdana" w:hAnsi="Verdana" w:cs="Arial"/>
          <w:sz w:val="20"/>
          <w:szCs w:val="20"/>
        </w:rPr>
      </w:pPr>
      <w:r w:rsidRPr="00305AB1">
        <w:rPr>
          <w:rFonts w:ascii="Verdana" w:hAnsi="Verdana" w:cs="Arial"/>
          <w:sz w:val="20"/>
          <w:szCs w:val="20"/>
        </w:rPr>
        <w:t>No se incluirán condiciones y exigencias de imposible cumplimiento, ni exenciones de la responsabilidad derivada de los datos, informes y documentos que se suministren.</w:t>
      </w:r>
    </w:p>
    <w:p w14:paraId="532919AA" w14:textId="77777777" w:rsidR="002D6CA8" w:rsidRPr="00305AB1" w:rsidRDefault="002D6CA8" w:rsidP="002D6CA8">
      <w:pPr>
        <w:pStyle w:val="Prrafodelista"/>
        <w:widowControl w:val="0"/>
        <w:numPr>
          <w:ilvl w:val="2"/>
          <w:numId w:val="12"/>
        </w:numPr>
        <w:tabs>
          <w:tab w:val="left" w:pos="1151"/>
        </w:tabs>
        <w:autoSpaceDE w:val="0"/>
        <w:autoSpaceDN w:val="0"/>
        <w:spacing w:after="120" w:line="240" w:lineRule="auto"/>
        <w:ind w:left="709" w:right="709" w:firstLine="0"/>
        <w:contextualSpacing w:val="0"/>
        <w:jc w:val="both"/>
        <w:rPr>
          <w:rFonts w:ascii="Verdana" w:hAnsi="Verdana" w:cs="Arial"/>
          <w:sz w:val="20"/>
          <w:szCs w:val="20"/>
        </w:rPr>
      </w:pPr>
      <w:r w:rsidRPr="00305AB1">
        <w:rPr>
          <w:rFonts w:ascii="Verdana" w:hAnsi="Verdana" w:cs="Arial"/>
          <w:sz w:val="20"/>
          <w:szCs w:val="20"/>
        </w:rPr>
        <w:t>Se definirán reglas que no induzcan a error a los proponentes y contratistas y que impidan la Formulación de ofrecimientos de extensión ilimitada o que dependan de la voluntad exclusiva de la</w:t>
      </w:r>
      <w:r w:rsidRPr="00305AB1">
        <w:rPr>
          <w:rFonts w:ascii="Verdana" w:hAnsi="Verdana" w:cs="Arial"/>
          <w:spacing w:val="-20"/>
          <w:sz w:val="20"/>
          <w:szCs w:val="20"/>
        </w:rPr>
        <w:t xml:space="preserve"> </w:t>
      </w:r>
      <w:r w:rsidRPr="00305AB1">
        <w:rPr>
          <w:rFonts w:ascii="Verdana" w:hAnsi="Verdana" w:cs="Arial"/>
          <w:sz w:val="20"/>
          <w:szCs w:val="20"/>
        </w:rPr>
        <w:t>entidad.</w:t>
      </w:r>
    </w:p>
    <w:p w14:paraId="6ACA6F1D" w14:textId="77777777" w:rsidR="002D6CA8" w:rsidRPr="00305AB1" w:rsidRDefault="002D6CA8" w:rsidP="002D6CA8">
      <w:pPr>
        <w:pStyle w:val="Prrafodelista"/>
        <w:widowControl w:val="0"/>
        <w:numPr>
          <w:ilvl w:val="2"/>
          <w:numId w:val="12"/>
        </w:numPr>
        <w:tabs>
          <w:tab w:val="left" w:pos="1016"/>
        </w:tabs>
        <w:autoSpaceDE w:val="0"/>
        <w:autoSpaceDN w:val="0"/>
        <w:spacing w:after="120" w:line="240" w:lineRule="auto"/>
        <w:ind w:left="709" w:right="709" w:firstLine="0"/>
        <w:contextualSpacing w:val="0"/>
        <w:jc w:val="both"/>
        <w:rPr>
          <w:rFonts w:ascii="Verdana" w:hAnsi="Verdana" w:cs="Arial"/>
          <w:sz w:val="20"/>
          <w:szCs w:val="20"/>
        </w:rPr>
      </w:pPr>
      <w:r w:rsidRPr="00305AB1">
        <w:rPr>
          <w:rFonts w:ascii="Verdana" w:hAnsi="Verdana" w:cs="Arial"/>
          <w:sz w:val="20"/>
          <w:szCs w:val="20"/>
        </w:rPr>
        <w:t>Se definirá el plazo para la liquidación del contrato, cuando a ello hubiere lugar, teniendo en cuenta su objeto, naturaleza y</w:t>
      </w:r>
      <w:r w:rsidRPr="00305AB1">
        <w:rPr>
          <w:rFonts w:ascii="Verdana" w:hAnsi="Verdana" w:cs="Arial"/>
          <w:spacing w:val="-13"/>
          <w:sz w:val="20"/>
          <w:szCs w:val="20"/>
        </w:rPr>
        <w:t xml:space="preserve"> </w:t>
      </w:r>
      <w:r w:rsidRPr="00305AB1">
        <w:rPr>
          <w:rFonts w:ascii="Verdana" w:hAnsi="Verdana" w:cs="Arial"/>
          <w:sz w:val="20"/>
          <w:szCs w:val="20"/>
        </w:rPr>
        <w:t>cuantía.</w:t>
      </w:r>
    </w:p>
    <w:p w14:paraId="73159C00" w14:textId="77777777" w:rsidR="002D6CA8" w:rsidRPr="00305AB1" w:rsidRDefault="002D6CA8" w:rsidP="002D6CA8">
      <w:pPr>
        <w:pStyle w:val="Textoindependiente"/>
        <w:ind w:left="709" w:right="709"/>
        <w:jc w:val="both"/>
        <w:rPr>
          <w:rFonts w:ascii="Verdana" w:hAnsi="Verdana"/>
          <w:sz w:val="20"/>
          <w:szCs w:val="20"/>
        </w:rPr>
      </w:pPr>
      <w:r w:rsidRPr="00305AB1">
        <w:rPr>
          <w:rFonts w:ascii="Verdana" w:hAnsi="Verdana"/>
          <w:sz w:val="20"/>
          <w:szCs w:val="20"/>
        </w:rPr>
        <w:t>Serán ineficaces de pleno derecho las estipulaciones de los pliegos y de los contratos que contravengan lo dispuesto en este numeral, o dispongan renuncias a reclamaciones por la ocurrencia de los hechos aquí enunciados”.</w:t>
      </w:r>
    </w:p>
    <w:p w14:paraId="1F0E9E91" w14:textId="77777777" w:rsidR="002D6CA8" w:rsidRPr="00305AB1" w:rsidRDefault="002D6CA8" w:rsidP="002D6CA8">
      <w:pPr>
        <w:spacing w:line="276" w:lineRule="auto"/>
        <w:ind w:firstLine="708"/>
        <w:jc w:val="both"/>
        <w:rPr>
          <w:rFonts w:ascii="Verdana" w:hAnsi="Verdana" w:cs="Arial"/>
          <w:color w:val="000000" w:themeColor="text1"/>
          <w:sz w:val="20"/>
          <w:szCs w:val="20"/>
        </w:rPr>
      </w:pPr>
      <w:r w:rsidRPr="00305AB1">
        <w:rPr>
          <w:rFonts w:ascii="Verdana" w:eastAsia="Calibri" w:hAnsi="Verdana" w:cs="Arial"/>
          <w:color w:val="000000" w:themeColor="text1"/>
        </w:rPr>
        <w:t>Sumado a lo anterior, la Corte Constitucional ha señalado, frente a la selección objetiva, que la entidad no puede establecer reglas subjetivas, sino que deben ser razonables, de acuerdo con las normas que rigen la actividad contractual</w:t>
      </w:r>
      <w:r w:rsidRPr="00305AB1">
        <w:rPr>
          <w:rStyle w:val="Refdenotaalpie"/>
          <w:rFonts w:ascii="Verdana" w:eastAsia="Calibri" w:hAnsi="Verdana" w:cs="Arial"/>
          <w:color w:val="000000" w:themeColor="text1"/>
        </w:rPr>
        <w:footnoteReference w:id="8"/>
      </w:r>
      <w:r w:rsidRPr="00305AB1">
        <w:rPr>
          <w:rFonts w:ascii="Verdana" w:eastAsia="Calibri" w:hAnsi="Verdana" w:cs="Arial"/>
          <w:color w:val="000000" w:themeColor="text1"/>
        </w:rPr>
        <w:t xml:space="preserve">; y en otro pronunciamiento, el Consejo de Estado consideró que la </w:t>
      </w:r>
      <w:r w:rsidRPr="00305AB1">
        <w:rPr>
          <w:rFonts w:ascii="Verdana" w:eastAsia="Calibri" w:hAnsi="Verdana" w:cs="Arial"/>
          <w:color w:val="000000" w:themeColor="text1"/>
        </w:rPr>
        <w:lastRenderedPageBreak/>
        <w:t>autonomía que tienen las entidades frente a la configuración de los pliegos de condiciones y los criterios de selección de los procedimientos de contratación no es absoluta, y debe tener relación con los fines de la contratación estatal:</w:t>
      </w:r>
      <w:r w:rsidRPr="00305AB1">
        <w:rPr>
          <w:rFonts w:ascii="Verdana" w:hAnsi="Verdana" w:cs="Arial"/>
          <w:color w:val="000000" w:themeColor="text1"/>
          <w:sz w:val="20"/>
          <w:szCs w:val="20"/>
        </w:rPr>
        <w:t xml:space="preserve"> </w:t>
      </w:r>
    </w:p>
    <w:p w14:paraId="0EE5F02E" w14:textId="77777777" w:rsidR="002D6CA8" w:rsidRPr="00305AB1" w:rsidRDefault="002D6CA8" w:rsidP="002D6CA8">
      <w:pPr>
        <w:spacing w:after="0"/>
        <w:ind w:left="709" w:right="709"/>
        <w:jc w:val="both"/>
        <w:rPr>
          <w:rFonts w:ascii="Verdana" w:hAnsi="Verdana" w:cs="Arial"/>
          <w:color w:val="000000" w:themeColor="text1"/>
          <w:sz w:val="20"/>
          <w:szCs w:val="20"/>
        </w:rPr>
      </w:pPr>
      <w:r w:rsidRPr="00305AB1">
        <w:rPr>
          <w:rFonts w:ascii="Verdana" w:hAnsi="Verdana" w:cs="Arial"/>
          <w:color w:val="000000" w:themeColor="text1"/>
          <w:sz w:val="20"/>
          <w:szCs w:val="20"/>
        </w:rPr>
        <w:t>“Si bien la Administración goza de una amplia facultad de configuración en relación con los requisitos, las exigencias y, en general, con las reglas que se adopten mediante los pliegos de condiciones, de acuerdo con sus particulares necesidades, no es menos cierto que esa facultad de configuración está enmarcada por y para los fines de la contratación estatal y, por consiguiente, los criterios de selección susceptibles de calificación deben ser congruentes con ellos y comprender los elementos necesarios para llevar a cabo el contrato en las condiciones de modo, tiempo y lugar requeridas por ella. La objetividad que impone y reclama la Ley 80 en la contratación estatal, en varias de sus disposiciones, sólo se cumple a condición de que existan en los pliegos de condiciones o términos de referencia reglas necesarias, claras, objetivas y precisas de cara a la finalidad del contrato”</w:t>
      </w:r>
      <w:r w:rsidRPr="00305AB1">
        <w:rPr>
          <w:rStyle w:val="Refdenotaalpie"/>
          <w:rFonts w:ascii="Verdana" w:hAnsi="Verdana" w:cs="Arial"/>
          <w:color w:val="000000" w:themeColor="text1"/>
          <w:sz w:val="20"/>
          <w:szCs w:val="20"/>
        </w:rPr>
        <w:footnoteReference w:id="9"/>
      </w:r>
      <w:r w:rsidRPr="00305AB1">
        <w:rPr>
          <w:rFonts w:ascii="Verdana" w:hAnsi="Verdana" w:cs="Arial"/>
          <w:color w:val="000000" w:themeColor="text1"/>
          <w:sz w:val="20"/>
          <w:szCs w:val="20"/>
        </w:rPr>
        <w:t>.</w:t>
      </w:r>
    </w:p>
    <w:p w14:paraId="263BBD79" w14:textId="77777777" w:rsidR="002D6CA8" w:rsidRDefault="002D6CA8" w:rsidP="002D6CA8">
      <w:pPr>
        <w:spacing w:after="0" w:line="276" w:lineRule="auto"/>
        <w:ind w:firstLine="708"/>
        <w:jc w:val="both"/>
        <w:rPr>
          <w:rFonts w:ascii="Verdana" w:eastAsia="Calibri" w:hAnsi="Verdana" w:cs="Arial"/>
          <w:color w:val="000000" w:themeColor="text1"/>
        </w:rPr>
      </w:pPr>
    </w:p>
    <w:p w14:paraId="5CE09D9A" w14:textId="77777777" w:rsidR="002D6CA8" w:rsidRPr="00E861C6" w:rsidRDefault="002D6CA8" w:rsidP="002D6CA8">
      <w:pPr>
        <w:spacing w:after="120" w:line="276" w:lineRule="auto"/>
        <w:ind w:firstLine="708"/>
        <w:jc w:val="both"/>
        <w:rPr>
          <w:rFonts w:ascii="Verdana" w:eastAsia="Calibri" w:hAnsi="Verdana" w:cs="Arial"/>
          <w:color w:val="000000" w:themeColor="text1"/>
        </w:rPr>
      </w:pPr>
      <w:r w:rsidRPr="00305AB1">
        <w:rPr>
          <w:rFonts w:ascii="Verdana" w:eastAsia="Calibri" w:hAnsi="Verdana" w:cs="Arial"/>
          <w:color w:val="000000" w:themeColor="text1"/>
        </w:rPr>
        <w:t>También, el Consejo de Estado ha determinado que el pliego de condiciones es ley para las partes, y en él se debe establecer la regulación del procedimiento de contratación, conforme a la ley, garantizando la selección objetiva del contratista</w:t>
      </w:r>
      <w:r w:rsidRPr="00305AB1">
        <w:rPr>
          <w:rStyle w:val="Refdenotaalpie"/>
          <w:rFonts w:ascii="Verdana" w:eastAsia="Calibri" w:hAnsi="Verdana" w:cs="Arial"/>
          <w:color w:val="000000" w:themeColor="text1"/>
        </w:rPr>
        <w:footnoteReference w:id="10"/>
      </w:r>
      <w:r w:rsidRPr="00305AB1">
        <w:rPr>
          <w:rFonts w:ascii="Verdana" w:eastAsia="Calibri" w:hAnsi="Verdana" w:cs="Arial"/>
          <w:color w:val="000000" w:themeColor="text1"/>
        </w:rPr>
        <w:t xml:space="preserve">. El artículo 2.2.1.1.2.1.3. del Decreto 1082 de 2015 establece el contenido mínimo del pliego de condiciones, de acuerdo con lo que la entidad adquirirá para satisfacer sus necesidades de bienes, obras o servicios, el cual debe tener la información desagregada, principalmente en los siguientes ítems: i) identificación detallada del objeto contractual y con el clasificador de bienes y servicios, </w:t>
      </w:r>
      <w:proofErr w:type="spellStart"/>
      <w:r w:rsidRPr="00305AB1">
        <w:rPr>
          <w:rFonts w:ascii="Verdana" w:eastAsia="Calibri" w:hAnsi="Verdana" w:cs="Arial"/>
          <w:color w:val="000000" w:themeColor="text1"/>
        </w:rPr>
        <w:t>ii</w:t>
      </w:r>
      <w:proofErr w:type="spellEnd"/>
      <w:r w:rsidRPr="00305AB1">
        <w:rPr>
          <w:rFonts w:ascii="Verdana" w:eastAsia="Calibri" w:hAnsi="Verdana" w:cs="Arial"/>
          <w:color w:val="000000" w:themeColor="text1"/>
        </w:rPr>
        <w:t xml:space="preserve">) modalidad y criterios de selección, </w:t>
      </w:r>
      <w:proofErr w:type="spellStart"/>
      <w:r w:rsidRPr="00305AB1">
        <w:rPr>
          <w:rFonts w:ascii="Verdana" w:eastAsia="Calibri" w:hAnsi="Verdana" w:cs="Arial"/>
          <w:color w:val="000000" w:themeColor="text1"/>
        </w:rPr>
        <w:t>iii</w:t>
      </w:r>
      <w:proofErr w:type="spellEnd"/>
      <w:r w:rsidRPr="00305AB1">
        <w:rPr>
          <w:rFonts w:ascii="Verdana" w:eastAsia="Calibri" w:hAnsi="Verdana" w:cs="Arial"/>
          <w:color w:val="000000" w:themeColor="text1"/>
        </w:rPr>
        <w:t xml:space="preserve">) valoración económica </w:t>
      </w:r>
      <w:r w:rsidRPr="00305AB1">
        <w:rPr>
          <w:rFonts w:ascii="Verdana" w:eastAsia="Calibri" w:hAnsi="Verdana" w:cs="Arial"/>
          <w:color w:val="000000" w:themeColor="text1"/>
        </w:rPr>
        <w:lastRenderedPageBreak/>
        <w:t xml:space="preserve">del bien, obra o servicio, </w:t>
      </w:r>
      <w:proofErr w:type="spellStart"/>
      <w:r w:rsidRPr="00305AB1">
        <w:rPr>
          <w:rFonts w:ascii="Verdana" w:eastAsia="Calibri" w:hAnsi="Verdana" w:cs="Arial"/>
          <w:color w:val="000000" w:themeColor="text1"/>
        </w:rPr>
        <w:t>iv</w:t>
      </w:r>
      <w:proofErr w:type="spellEnd"/>
      <w:r w:rsidRPr="00305AB1">
        <w:rPr>
          <w:rFonts w:ascii="Verdana" w:eastAsia="Calibri" w:hAnsi="Verdana" w:cs="Arial"/>
          <w:color w:val="000000" w:themeColor="text1"/>
        </w:rPr>
        <w:t>) reglas de la presentación y manejo de las ofertas, v) riesgos y garantías, entre otros aspectos del contrato</w:t>
      </w:r>
      <w:r w:rsidRPr="00305AB1">
        <w:rPr>
          <w:rStyle w:val="Refdenotaalpie"/>
          <w:rFonts w:ascii="Verdana" w:eastAsia="Calibri" w:hAnsi="Verdana" w:cs="Arial"/>
          <w:color w:val="000000" w:themeColor="text1"/>
        </w:rPr>
        <w:footnoteReference w:id="11"/>
      </w:r>
      <w:r w:rsidRPr="00305AB1">
        <w:rPr>
          <w:rFonts w:ascii="Verdana" w:eastAsia="Calibri" w:hAnsi="Verdana" w:cs="Arial"/>
          <w:color w:val="000000" w:themeColor="text1"/>
        </w:rPr>
        <w:t>.</w:t>
      </w:r>
    </w:p>
    <w:p w14:paraId="300B0433" w14:textId="77777777" w:rsidR="002D6CA8" w:rsidRDefault="002D6CA8" w:rsidP="002D6CA8">
      <w:pPr>
        <w:spacing w:after="120" w:line="276" w:lineRule="auto"/>
        <w:ind w:right="105" w:firstLine="709"/>
        <w:jc w:val="both"/>
        <w:rPr>
          <w:rFonts w:ascii="Verdana" w:hAnsi="Verdana"/>
        </w:rPr>
      </w:pPr>
      <w:r>
        <w:rPr>
          <w:rFonts w:ascii="Verdana" w:hAnsi="Verdana"/>
        </w:rPr>
        <w:t xml:space="preserve">En todo caso, sin perjuicio de la discrecionalidad de las Entidades Estatales para determinar las reglas de participación y escogencia que resulten más razonables para el objeto a contratar, estas deben configurar el pliego de condiciones garantizando la selección objetiva, de acuerdo con el artículo 5 de la Ley 1150 de 2007. Esto supone establecer requisitos habilitantes y ponderables, adecuados y proporcionales para el objeto del contrato, así como la aplicación de la normativa que resulte relevante para los procesos de contratación, como, por ejemplo, la referente a criterios diferenciales adoptados por la Ley 2069 de 2020 –arts. 31 y 32– o el Decreto 392 de 2018, cuestiones que son temas de los estudios previos y el análisis del sector, razón por la cual el pliego de condiciones debe reflejar el contenido de dichos documentos precontractuales. </w:t>
      </w:r>
    </w:p>
    <w:p w14:paraId="2485783D" w14:textId="52C31444" w:rsidR="002D6CA8" w:rsidRPr="0048243F" w:rsidRDefault="00384BC1" w:rsidP="002D6CA8">
      <w:pPr>
        <w:spacing w:after="120" w:line="276" w:lineRule="auto"/>
        <w:jc w:val="both"/>
        <w:rPr>
          <w:rFonts w:ascii="Verdana" w:eastAsia="Arial" w:hAnsi="Verdana" w:cs="Arial"/>
        </w:rPr>
      </w:pPr>
      <w:r>
        <w:rPr>
          <w:rFonts w:ascii="Verdana" w:eastAsia="Calibri" w:hAnsi="Verdana" w:cs="Arial"/>
        </w:rPr>
        <w:t xml:space="preserve"> </w:t>
      </w:r>
      <w:r w:rsidR="002D6CA8">
        <w:rPr>
          <w:rFonts w:ascii="Verdana" w:eastAsia="Calibri" w:hAnsi="Verdana" w:cs="Arial"/>
        </w:rPr>
        <w:t xml:space="preserve">       </w:t>
      </w:r>
      <w:r>
        <w:rPr>
          <w:rFonts w:ascii="Verdana" w:eastAsia="Calibri" w:hAnsi="Verdana" w:cs="Arial"/>
        </w:rPr>
        <w:t xml:space="preserve">   </w:t>
      </w:r>
      <w:r w:rsidR="002D6CA8" w:rsidRPr="0048243F">
        <w:rPr>
          <w:rFonts w:ascii="Verdana" w:eastAsia="Arial" w:hAnsi="Verdana" w:cs="Arial"/>
        </w:rPr>
        <w:t>En este sentido, el Concepto C-842 del 19 de diciembre de 2024</w:t>
      </w:r>
      <w:r w:rsidR="002D6CA8">
        <w:rPr>
          <w:rFonts w:ascii="Verdana" w:eastAsia="Arial" w:hAnsi="Verdana" w:cs="Arial"/>
        </w:rPr>
        <w:t xml:space="preserve"> proferido por esta Subdirección Contractual,</w:t>
      </w:r>
      <w:r w:rsidR="002D6CA8" w:rsidRPr="0048243F">
        <w:rPr>
          <w:rFonts w:ascii="Verdana" w:eastAsia="Arial" w:hAnsi="Verdana" w:cs="Arial"/>
        </w:rPr>
        <w:t xml:space="preserve"> precisó que las entidades pueden decidir si para atender una necesidad determinada resulta necesaria una formación académica formal o si la experiencia y las competencias prácticas son suficientes para acreditar la capacidad requerida. No obstante, el mismo concepto señaló que no existe una equivalencia formalmente regulada entre experiencia y estudios en la contratación pública, especialmente cuando se trata de profesiones reguladas o de requisitos académicos específicos. Por ello, la determinación acerca de si la experiencia puede considerarse suficiente o si resulta necesaria una formación académica determinada corresponde a una </w:t>
      </w:r>
      <w:r w:rsidR="002D6CA8" w:rsidRPr="0048243F">
        <w:rPr>
          <w:rFonts w:ascii="Verdana" w:eastAsia="Arial" w:hAnsi="Verdana" w:cs="Arial"/>
        </w:rPr>
        <w:lastRenderedPageBreak/>
        <w:t>decisión que debe adoptarse durante la etapa de planeación y quedar reflejada en los documentos del proceso.</w:t>
      </w:r>
    </w:p>
    <w:p w14:paraId="2F6272A2" w14:textId="77777777" w:rsidR="002D6CA8" w:rsidRPr="0048243F" w:rsidRDefault="002D6CA8" w:rsidP="002D6CA8">
      <w:pPr>
        <w:spacing w:after="120" w:line="276" w:lineRule="auto"/>
        <w:jc w:val="both"/>
        <w:rPr>
          <w:rFonts w:ascii="Verdana" w:eastAsia="Arial" w:hAnsi="Verdana" w:cs="Arial"/>
        </w:rPr>
      </w:pPr>
      <w:r>
        <w:rPr>
          <w:rFonts w:ascii="Verdana" w:eastAsia="Arial" w:hAnsi="Verdana" w:cs="Arial"/>
        </w:rPr>
        <w:t xml:space="preserve">             </w:t>
      </w:r>
      <w:r w:rsidRPr="0048243F">
        <w:rPr>
          <w:rFonts w:ascii="Verdana" w:eastAsia="Arial" w:hAnsi="Verdana" w:cs="Arial"/>
        </w:rPr>
        <w:t>Ahora bien, de acuerdo con el Concepto C-716 del 15 de julio de 2025</w:t>
      </w:r>
      <w:r>
        <w:rPr>
          <w:rFonts w:ascii="Verdana" w:eastAsia="Arial" w:hAnsi="Verdana" w:cs="Arial"/>
        </w:rPr>
        <w:t xml:space="preserve"> de esta Subdirección Contractual</w:t>
      </w:r>
      <w:r w:rsidRPr="0048243F">
        <w:rPr>
          <w:rFonts w:ascii="Verdana" w:eastAsia="Arial" w:hAnsi="Verdana" w:cs="Arial"/>
        </w:rPr>
        <w:t xml:space="preserve">, el pliego de condiciones constituye la “hoja de ruta o plan sobre el cual se diseña, estructura y concreta el procedimiento de selección de contratistas”. Asimismo, constituye el instrumento mediante el cual se materializa el principio de transparencia, pues en él se fijan las reglas de escogencia del contratista, la selección objetiva de la mejor oferta, la adjudicación y la posterior celebración y ejecución del contrato, convirtiéndose en una reglamentación de todo el </w:t>
      </w:r>
      <w:proofErr w:type="spellStart"/>
      <w:r w:rsidRPr="0048243F">
        <w:rPr>
          <w:rFonts w:ascii="Verdana" w:eastAsia="Arial" w:hAnsi="Verdana" w:cs="Arial"/>
        </w:rPr>
        <w:t>iter</w:t>
      </w:r>
      <w:proofErr w:type="spellEnd"/>
      <w:r w:rsidRPr="0048243F">
        <w:rPr>
          <w:rFonts w:ascii="Verdana" w:eastAsia="Arial" w:hAnsi="Verdana" w:cs="Arial"/>
        </w:rPr>
        <w:t xml:space="preserve"> contractual.</w:t>
      </w:r>
    </w:p>
    <w:p w14:paraId="6ED48CB6" w14:textId="77777777" w:rsidR="002D6CA8" w:rsidRPr="0048243F" w:rsidRDefault="002D6CA8" w:rsidP="002D6CA8">
      <w:pPr>
        <w:spacing w:after="120" w:line="276" w:lineRule="auto"/>
        <w:jc w:val="both"/>
        <w:rPr>
          <w:rFonts w:ascii="Verdana" w:eastAsia="Arial" w:hAnsi="Verdana" w:cs="Arial"/>
        </w:rPr>
      </w:pPr>
      <w:r>
        <w:rPr>
          <w:rFonts w:ascii="Verdana" w:eastAsia="Arial" w:hAnsi="Verdana" w:cs="Arial"/>
        </w:rPr>
        <w:t xml:space="preserve">             </w:t>
      </w:r>
      <w:r w:rsidRPr="0048243F">
        <w:rPr>
          <w:rFonts w:ascii="Verdana" w:eastAsia="Arial" w:hAnsi="Verdana" w:cs="Arial"/>
        </w:rPr>
        <w:t>En concordancia con lo anterior, el Concepto C-943 del 25 de agosto de 2025 señaló que el pliego de condiciones adquiere la connotación de ser la “ley del procedimiento de selección y del contrato”, en cuanto fija reglas obligatorias tanto para la administración como para los oferentes. Para la Entidad Estatal ello implica el deber de ajustar su actuación a los parámetros que ella misma definió en ejercicio de su potestad de configuración, mientras que para los proponentes constituye la garantía de participar en un proceso desarrollado con igualdad de condiciones, transparencia y seguridad jurídica.</w:t>
      </w:r>
    </w:p>
    <w:p w14:paraId="6B27167B" w14:textId="77777777" w:rsidR="002D6CA8" w:rsidRPr="0048243F" w:rsidRDefault="002D6CA8" w:rsidP="002D6CA8">
      <w:pPr>
        <w:spacing w:after="120" w:line="276" w:lineRule="auto"/>
        <w:jc w:val="both"/>
        <w:rPr>
          <w:rFonts w:ascii="Verdana" w:eastAsia="Arial" w:hAnsi="Verdana" w:cs="Arial"/>
        </w:rPr>
      </w:pPr>
      <w:r>
        <w:rPr>
          <w:rFonts w:ascii="Verdana" w:eastAsia="Arial" w:hAnsi="Verdana" w:cs="Arial"/>
        </w:rPr>
        <w:t xml:space="preserve">         </w:t>
      </w:r>
      <w:r w:rsidRPr="0048243F">
        <w:rPr>
          <w:rFonts w:ascii="Verdana" w:eastAsia="Arial" w:hAnsi="Verdana" w:cs="Arial"/>
        </w:rPr>
        <w:t>Por esta razón, cualquier actuación mediante la cual la Entidad desconozca lo previsto en el pliego de condiciones, ya sea durante la selección o durante la ejecución contractual, puede comprometer la validez del procedimiento y del contrato derivado, al afectar principios estructurales de la contratación pública como la planeación, la transparencia, la selección objetiva y la igualdad de oportunidades. En el mismo sentido, el Concepto C-943 de 2025</w:t>
      </w:r>
      <w:r>
        <w:rPr>
          <w:rFonts w:ascii="Verdana" w:eastAsia="Arial" w:hAnsi="Verdana" w:cs="Arial"/>
        </w:rPr>
        <w:t xml:space="preserve"> proferido por esta Subdirección Contractual,</w:t>
      </w:r>
      <w:r w:rsidRPr="0048243F">
        <w:rPr>
          <w:rFonts w:ascii="Verdana" w:eastAsia="Arial" w:hAnsi="Verdana" w:cs="Arial"/>
        </w:rPr>
        <w:t xml:space="preserve"> indicó que el carácter prevalente del pliego impide desconocer las características del negocio jurídico determinadas durante la etapa de planeación o los requisitos que resulten de obligatoria aplicación.</w:t>
      </w:r>
    </w:p>
    <w:p w14:paraId="559649F8" w14:textId="77777777" w:rsidR="002D6CA8" w:rsidRPr="0048243F" w:rsidRDefault="002D6CA8" w:rsidP="002D6CA8">
      <w:pPr>
        <w:spacing w:after="120" w:line="276" w:lineRule="auto"/>
        <w:jc w:val="both"/>
        <w:rPr>
          <w:rFonts w:ascii="Verdana" w:eastAsia="Arial" w:hAnsi="Verdana" w:cs="Arial"/>
        </w:rPr>
      </w:pPr>
      <w:r>
        <w:rPr>
          <w:rFonts w:ascii="Verdana" w:eastAsia="Arial" w:hAnsi="Verdana" w:cs="Arial"/>
        </w:rPr>
        <w:t xml:space="preserve">          </w:t>
      </w:r>
      <w:r w:rsidRPr="0048243F">
        <w:rPr>
          <w:rFonts w:ascii="Verdana" w:eastAsia="Arial" w:hAnsi="Verdana" w:cs="Arial"/>
        </w:rPr>
        <w:t>En consecuencia, cuando una Entidad Estatal ha definido en ejercicio de su autonomía de planeación los requisitos de idoneidad, experiencia, competencia o formación académica que deben acreditar los integrantes del equipo de trabajo y los ha incorporado en el pliego de condiciones, dichos requisitos deben analizarse a la luz de las reglas que la propia Entidad estableció para el procedimiento de selección y para la futura ejecución del contrato, en atención al carácter vinculante que tales documentos tienen para todos los partícipes del Proceso de Contratación.</w:t>
      </w:r>
    </w:p>
    <w:p w14:paraId="01A08E7B" w14:textId="77777777" w:rsidR="002D6CA8" w:rsidRPr="0048243F" w:rsidRDefault="002D6CA8" w:rsidP="002D6CA8">
      <w:pPr>
        <w:spacing w:after="120" w:line="276" w:lineRule="auto"/>
        <w:jc w:val="both"/>
        <w:rPr>
          <w:rFonts w:ascii="Verdana" w:eastAsia="Arial" w:hAnsi="Verdana" w:cs="Arial"/>
        </w:rPr>
      </w:pPr>
      <w:r>
        <w:rPr>
          <w:rFonts w:ascii="Verdana" w:eastAsia="Arial" w:hAnsi="Verdana" w:cs="Arial"/>
        </w:rPr>
        <w:lastRenderedPageBreak/>
        <w:t xml:space="preserve">          </w:t>
      </w:r>
      <w:r w:rsidRPr="0048243F">
        <w:rPr>
          <w:rFonts w:ascii="Verdana" w:eastAsia="Arial" w:hAnsi="Verdana" w:cs="Arial"/>
        </w:rPr>
        <w:t>Finalmente, debe advertirse que el análisis de la procedencia de mecanismos mediante los cuales la experiencia profesional pueda ser considerada frente a requisitos de formación académica exigidos para un determinado integrante del equipo de trabajo debe realizarse respecto de las condiciones particulares definidas en cada proceso de contratación, especialmente en los estudios previos, el pliego de condiciones y los demás documentos que integran el Proceso de Contratación. Por esta razón, las consideraciones expuestas no constituyen un pronunciamiento sobre la legalidad o validez de una actuación específica, ni pueden interpretarse como un juicio sobre situaciones concretas relacionadas con los hechos que motivan la consulta. En consecuencia, corresponderá a los interesados, con el apoyo de sus asesores, adoptar las decisiones que estimen pertinentes y, en caso de controversia, a las autoridades competentes determinar los efectos jurídicos que correspondan.</w:t>
      </w:r>
    </w:p>
    <w:p w14:paraId="4127936B" w14:textId="0786C0EE" w:rsidR="00AC00FA" w:rsidRDefault="002D6CA8" w:rsidP="002D6CA8">
      <w:pPr>
        <w:spacing w:after="120" w:line="276" w:lineRule="auto"/>
        <w:ind w:firstLine="360"/>
        <w:jc w:val="both"/>
        <w:rPr>
          <w:rFonts w:ascii="Verdana" w:eastAsia="Calibri" w:hAnsi="Verdana" w:cs="Arial"/>
        </w:rPr>
      </w:pPr>
      <w:r>
        <w:rPr>
          <w:rFonts w:ascii="Verdana" w:eastAsia="Arial" w:hAnsi="Verdana" w:cs="Arial"/>
        </w:rPr>
        <w:t xml:space="preserve">           </w:t>
      </w:r>
      <w:r w:rsidRPr="0048243F">
        <w:rPr>
          <w:rFonts w:ascii="Verdana" w:eastAsia="Arial" w:hAnsi="Verdana" w:cs="Arial"/>
        </w:rPr>
        <w:t>En ese sentido, al tratarse de asuntos cuya definición depende de las particularidades de cada Proceso de Contratación y de las decisiones adoptadas por la Entidad Estatal durante la etapa de planeación y estructuración del negocio jurídico, esta respuesta no pretende establecer una regla universal o absoluta sobre la forma en que deben configurarse o aplicarse los requisitos de experiencia y formación académica. Su finalidad consiste únicamente en exponer criterios generales derivados de la doctrina de la Agencia Nacional de Contratación Pública – Colombia Compra Eficiente para que los partícipes del Sistema de Compra Pública cuenten con elementos de análisis al momento de adoptar sus decisiones, sin que ello implique validar o descalificar actuaciones concretas de las Entidades Estatales.</w:t>
      </w:r>
      <w:r>
        <w:rPr>
          <w:rFonts w:ascii="Verdana" w:eastAsia="Arial" w:hAnsi="Verdana" w:cs="Arial"/>
        </w:rPr>
        <w:t xml:space="preserve">  </w:t>
      </w:r>
    </w:p>
    <w:p w14:paraId="4E726820" w14:textId="77777777" w:rsidR="00B93DCB" w:rsidRPr="006B17A7" w:rsidRDefault="00B93DCB" w:rsidP="00D53B1F">
      <w:pPr>
        <w:spacing w:after="120" w:line="276" w:lineRule="auto"/>
        <w:ind w:firstLine="708"/>
        <w:jc w:val="both"/>
        <w:rPr>
          <w:rFonts w:ascii="Verdana" w:eastAsia="Calibri" w:hAnsi="Verdana" w:cs="Arial"/>
        </w:rPr>
      </w:pPr>
    </w:p>
    <w:p w14:paraId="161183F2" w14:textId="77777777" w:rsidR="00B93DCB" w:rsidRPr="006B17A7" w:rsidRDefault="00B93DCB" w:rsidP="00B93DCB">
      <w:pPr>
        <w:widowControl w:val="0"/>
        <w:autoSpaceDE w:val="0"/>
        <w:autoSpaceDN w:val="0"/>
        <w:spacing w:before="1" w:after="0" w:line="240" w:lineRule="auto"/>
        <w:outlineLvl w:val="0"/>
        <w:rPr>
          <w:rFonts w:ascii="Arial" w:eastAsia="Arial" w:hAnsi="Arial" w:cs="Arial"/>
          <w:b/>
          <w:bCs/>
          <w:lang w:val="es-ES"/>
        </w:rPr>
      </w:pPr>
      <w:r w:rsidRPr="006B17A7">
        <w:rPr>
          <w:rFonts w:ascii="Arial" w:eastAsia="Arial" w:hAnsi="Arial" w:cs="Arial"/>
          <w:b/>
          <w:bCs/>
          <w:lang w:val="es-ES"/>
        </w:rPr>
        <w:t xml:space="preserve">4. </w:t>
      </w:r>
      <w:r w:rsidRPr="006B17A7">
        <w:rPr>
          <w:rFonts w:ascii="Verdana" w:eastAsia="Arial" w:hAnsi="Verdana" w:cs="Arial"/>
          <w:b/>
          <w:bCs/>
          <w:lang w:val="es-ES"/>
        </w:rPr>
        <w:t>Referencias normativas, jurisprudenciales y otras fuentes:</w:t>
      </w:r>
    </w:p>
    <w:p w14:paraId="38FF991B" w14:textId="77777777" w:rsidR="00B93DCB" w:rsidRPr="006B17A7" w:rsidRDefault="00B93DCB" w:rsidP="00B93DCB">
      <w:pPr>
        <w:widowControl w:val="0"/>
        <w:autoSpaceDE w:val="0"/>
        <w:autoSpaceDN w:val="0"/>
        <w:spacing w:after="0" w:line="276" w:lineRule="auto"/>
        <w:jc w:val="both"/>
        <w:rPr>
          <w:rFonts w:ascii="Verdana" w:eastAsia="Aptos"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93DCB" w:rsidRPr="006B17A7" w14:paraId="6426238B" w14:textId="77777777" w:rsidTr="00CF5E01">
        <w:trPr>
          <w:trHeight w:val="870"/>
        </w:trPr>
        <w:tc>
          <w:tcPr>
            <w:tcW w:w="8647" w:type="dxa"/>
          </w:tcPr>
          <w:p w14:paraId="4209B540" w14:textId="71EC3629" w:rsidR="002D6CA8" w:rsidRDefault="002D6CA8" w:rsidP="002D6CA8">
            <w:pPr>
              <w:pStyle w:val="Prrafodelista"/>
              <w:widowControl w:val="0"/>
              <w:numPr>
                <w:ilvl w:val="0"/>
                <w:numId w:val="2"/>
              </w:numPr>
              <w:autoSpaceDE w:val="0"/>
              <w:autoSpaceDN w:val="0"/>
              <w:spacing w:line="276" w:lineRule="auto"/>
              <w:ind w:left="714" w:hanging="357"/>
              <w:contextualSpacing w:val="0"/>
              <w:jc w:val="both"/>
              <w:rPr>
                <w:rFonts w:ascii="Verdana" w:hAnsi="Verdana" w:cs="Arial"/>
                <w:noProof/>
              </w:rPr>
            </w:pPr>
            <w:r w:rsidRPr="00052501">
              <w:rPr>
                <w:rFonts w:ascii="Verdana" w:hAnsi="Verdana" w:cs="Arial"/>
              </w:rPr>
              <w:t>Constitución</w:t>
            </w:r>
            <w:r>
              <w:rPr>
                <w:rFonts w:ascii="Verdana" w:hAnsi="Verdana" w:cs="Arial"/>
                <w:noProof/>
              </w:rPr>
              <w:t xml:space="preserve"> Politica de Colombia: Artículo 228.</w:t>
            </w:r>
          </w:p>
          <w:p w14:paraId="097B36E3" w14:textId="77777777" w:rsidR="002D6CA8" w:rsidRPr="00052501" w:rsidRDefault="002D6CA8" w:rsidP="002D6CA8">
            <w:pPr>
              <w:pStyle w:val="Prrafodelista"/>
              <w:widowControl w:val="0"/>
              <w:numPr>
                <w:ilvl w:val="0"/>
                <w:numId w:val="2"/>
              </w:numPr>
              <w:autoSpaceDE w:val="0"/>
              <w:autoSpaceDN w:val="0"/>
              <w:spacing w:line="276" w:lineRule="auto"/>
              <w:ind w:left="714" w:hanging="357"/>
              <w:contextualSpacing w:val="0"/>
              <w:jc w:val="both"/>
              <w:rPr>
                <w:rFonts w:ascii="Verdana" w:hAnsi="Verdana" w:cs="Arial"/>
              </w:rPr>
            </w:pPr>
            <w:r w:rsidRPr="00052501">
              <w:rPr>
                <w:rFonts w:ascii="Verdana" w:hAnsi="Verdana" w:cs="Arial"/>
                <w:noProof/>
              </w:rPr>
              <w:t>Código Civil: Artículos 1618 a 1624.</w:t>
            </w:r>
          </w:p>
          <w:p w14:paraId="56F565C0" w14:textId="77777777" w:rsidR="002D6CA8" w:rsidRDefault="002D6CA8" w:rsidP="002D6CA8">
            <w:pPr>
              <w:pStyle w:val="Prrafodelista"/>
              <w:widowControl w:val="0"/>
              <w:numPr>
                <w:ilvl w:val="0"/>
                <w:numId w:val="2"/>
              </w:numPr>
              <w:autoSpaceDE w:val="0"/>
              <w:autoSpaceDN w:val="0"/>
              <w:spacing w:line="276" w:lineRule="auto"/>
              <w:ind w:left="714" w:hanging="357"/>
              <w:contextualSpacing w:val="0"/>
              <w:jc w:val="both"/>
              <w:rPr>
                <w:rFonts w:ascii="Verdana" w:hAnsi="Verdana" w:cs="Arial"/>
              </w:rPr>
            </w:pPr>
            <w:r>
              <w:rPr>
                <w:rFonts w:ascii="Verdana" w:hAnsi="Verdana" w:cs="Arial"/>
              </w:rPr>
              <w:t>Ley 80 de 1993, artículos 25, numeral 2.</w:t>
            </w:r>
          </w:p>
          <w:p w14:paraId="1F4D54F0" w14:textId="77777777" w:rsidR="002D6CA8" w:rsidRDefault="002D6CA8" w:rsidP="002D6CA8">
            <w:pPr>
              <w:pStyle w:val="Prrafodelista"/>
              <w:widowControl w:val="0"/>
              <w:numPr>
                <w:ilvl w:val="0"/>
                <w:numId w:val="2"/>
              </w:numPr>
              <w:autoSpaceDE w:val="0"/>
              <w:autoSpaceDN w:val="0"/>
              <w:spacing w:line="276" w:lineRule="auto"/>
              <w:ind w:left="714" w:hanging="357"/>
              <w:contextualSpacing w:val="0"/>
              <w:jc w:val="both"/>
              <w:rPr>
                <w:rFonts w:ascii="Verdana" w:hAnsi="Verdana" w:cs="Arial"/>
              </w:rPr>
            </w:pPr>
            <w:r w:rsidRPr="009B3C96">
              <w:rPr>
                <w:rFonts w:ascii="Verdana" w:hAnsi="Verdana" w:cs="Arial"/>
              </w:rPr>
              <w:t>Ley 1150 de 2007</w:t>
            </w:r>
            <w:r>
              <w:rPr>
                <w:rFonts w:ascii="Verdana" w:hAnsi="Verdana" w:cs="Arial"/>
              </w:rPr>
              <w:t xml:space="preserve">, artículo 5.   </w:t>
            </w:r>
          </w:p>
          <w:p w14:paraId="74C03B06" w14:textId="77777777" w:rsidR="002D6CA8" w:rsidRDefault="002D6CA8" w:rsidP="002D6CA8">
            <w:pPr>
              <w:pStyle w:val="Prrafodelista"/>
              <w:widowControl w:val="0"/>
              <w:numPr>
                <w:ilvl w:val="0"/>
                <w:numId w:val="2"/>
              </w:numPr>
              <w:autoSpaceDE w:val="0"/>
              <w:autoSpaceDN w:val="0"/>
              <w:spacing w:line="276" w:lineRule="auto"/>
              <w:ind w:left="714" w:hanging="357"/>
              <w:contextualSpacing w:val="0"/>
              <w:jc w:val="both"/>
              <w:rPr>
                <w:rFonts w:ascii="Verdana" w:hAnsi="Verdana" w:cs="Arial"/>
              </w:rPr>
            </w:pPr>
            <w:r w:rsidRPr="009B3C96">
              <w:rPr>
                <w:rFonts w:ascii="Verdana" w:hAnsi="Verdana" w:cs="Arial"/>
              </w:rPr>
              <w:t>Ley 2069 de 202</w:t>
            </w:r>
            <w:r>
              <w:rPr>
                <w:rFonts w:ascii="Verdana" w:hAnsi="Verdana" w:cs="Arial"/>
              </w:rPr>
              <w:t>0, a</w:t>
            </w:r>
            <w:r w:rsidRPr="009B3C96">
              <w:rPr>
                <w:rFonts w:ascii="Verdana" w:hAnsi="Verdana" w:cs="Arial"/>
              </w:rPr>
              <w:t>rt</w:t>
            </w:r>
            <w:r>
              <w:rPr>
                <w:rFonts w:ascii="Verdana" w:hAnsi="Verdana" w:cs="Arial"/>
              </w:rPr>
              <w:t>í</w:t>
            </w:r>
            <w:r w:rsidRPr="009B3C96">
              <w:rPr>
                <w:rFonts w:ascii="Verdana" w:hAnsi="Verdana" w:cs="Arial"/>
              </w:rPr>
              <w:t>culo 32</w:t>
            </w:r>
            <w:r>
              <w:rPr>
                <w:rFonts w:ascii="Verdana" w:hAnsi="Verdana" w:cs="Arial"/>
              </w:rPr>
              <w:t>.</w:t>
            </w:r>
          </w:p>
          <w:p w14:paraId="0DA54C18" w14:textId="77777777" w:rsidR="002D6CA8" w:rsidRDefault="002D6CA8" w:rsidP="002D6CA8">
            <w:pPr>
              <w:pStyle w:val="Prrafodelista"/>
              <w:widowControl w:val="0"/>
              <w:numPr>
                <w:ilvl w:val="0"/>
                <w:numId w:val="2"/>
              </w:numPr>
              <w:autoSpaceDE w:val="0"/>
              <w:autoSpaceDN w:val="0"/>
              <w:spacing w:line="276" w:lineRule="auto"/>
              <w:ind w:left="714" w:hanging="357"/>
              <w:contextualSpacing w:val="0"/>
              <w:jc w:val="both"/>
              <w:rPr>
                <w:rFonts w:ascii="Verdana" w:hAnsi="Verdana" w:cs="Arial"/>
              </w:rPr>
            </w:pPr>
            <w:r w:rsidRPr="009B3C96">
              <w:rPr>
                <w:rFonts w:ascii="Verdana" w:hAnsi="Verdana" w:cs="Arial"/>
              </w:rPr>
              <w:t>Decreto 1082 de 2015</w:t>
            </w:r>
            <w:r>
              <w:rPr>
                <w:rFonts w:ascii="Verdana" w:hAnsi="Verdana" w:cs="Arial"/>
              </w:rPr>
              <w:t>, a</w:t>
            </w:r>
            <w:r w:rsidRPr="009B3C96">
              <w:rPr>
                <w:rFonts w:ascii="Verdana" w:hAnsi="Verdana" w:cs="Arial"/>
              </w:rPr>
              <w:t xml:space="preserve">rtículos </w:t>
            </w:r>
            <w:r w:rsidRPr="006A74CA">
              <w:rPr>
                <w:rFonts w:ascii="Verdana" w:eastAsia="Calibri" w:hAnsi="Verdana"/>
              </w:rPr>
              <w:t xml:space="preserve">2.2.1.1.1.6.2, </w:t>
            </w:r>
            <w:r w:rsidRPr="009B3C96">
              <w:rPr>
                <w:rFonts w:ascii="Verdana" w:hAnsi="Verdana" w:cs="Arial"/>
              </w:rPr>
              <w:t>2.2.1.1.2.1.1</w:t>
            </w:r>
            <w:r>
              <w:rPr>
                <w:rFonts w:ascii="Verdana" w:hAnsi="Verdana" w:cs="Arial"/>
              </w:rPr>
              <w:t xml:space="preserve">, </w:t>
            </w:r>
            <w:r w:rsidRPr="009B3C96">
              <w:rPr>
                <w:rFonts w:ascii="Verdana" w:hAnsi="Verdana" w:cs="Arial"/>
              </w:rPr>
              <w:t xml:space="preserve">2.2.1.1.2.1.3 </w:t>
            </w:r>
            <w:r>
              <w:rPr>
                <w:rFonts w:ascii="Verdana" w:hAnsi="Verdana" w:cs="Arial"/>
              </w:rPr>
              <w:t>y</w:t>
            </w:r>
            <w:r w:rsidRPr="009B3C96">
              <w:rPr>
                <w:rFonts w:ascii="Verdana" w:hAnsi="Verdana" w:cs="Arial"/>
              </w:rPr>
              <w:t xml:space="preserve"> 2.2.1.2.4.2.15</w:t>
            </w:r>
            <w:r>
              <w:rPr>
                <w:rFonts w:ascii="Verdana" w:hAnsi="Verdana" w:cs="Arial"/>
              </w:rPr>
              <w:t>.</w:t>
            </w:r>
          </w:p>
          <w:p w14:paraId="1964F263" w14:textId="77777777" w:rsidR="002D6CA8" w:rsidRDefault="002D6CA8" w:rsidP="002D6CA8">
            <w:pPr>
              <w:pStyle w:val="Prrafodelista"/>
              <w:widowControl w:val="0"/>
              <w:numPr>
                <w:ilvl w:val="0"/>
                <w:numId w:val="2"/>
              </w:numPr>
              <w:autoSpaceDE w:val="0"/>
              <w:autoSpaceDN w:val="0"/>
              <w:spacing w:line="276" w:lineRule="auto"/>
              <w:ind w:left="714" w:hanging="357"/>
              <w:contextualSpacing w:val="0"/>
              <w:jc w:val="both"/>
              <w:rPr>
                <w:rFonts w:ascii="Verdana" w:hAnsi="Verdana" w:cs="Arial"/>
              </w:rPr>
            </w:pPr>
            <w:r w:rsidRPr="009B3C96">
              <w:rPr>
                <w:rFonts w:ascii="Verdana" w:hAnsi="Verdana" w:cs="Arial"/>
              </w:rPr>
              <w:t>Decreto 1860 de 2021</w:t>
            </w:r>
            <w:r>
              <w:rPr>
                <w:rFonts w:ascii="Verdana" w:hAnsi="Verdana" w:cs="Arial"/>
              </w:rPr>
              <w:t xml:space="preserve">, artículo 3. </w:t>
            </w:r>
          </w:p>
          <w:p w14:paraId="50B3863F" w14:textId="77777777" w:rsidR="002D6CA8" w:rsidRPr="00BD23AC" w:rsidRDefault="002D6CA8" w:rsidP="002D6CA8">
            <w:pPr>
              <w:pStyle w:val="Textonotapie"/>
              <w:numPr>
                <w:ilvl w:val="0"/>
                <w:numId w:val="2"/>
              </w:numPr>
              <w:jc w:val="both"/>
              <w:rPr>
                <w:rFonts w:ascii="Verdana" w:hAnsi="Verdana"/>
              </w:rPr>
            </w:pPr>
            <w:r w:rsidRPr="00BD23AC">
              <w:rPr>
                <w:rFonts w:ascii="Verdana" w:hAnsi="Verdana" w:cs="Arial"/>
                <w:color w:val="000000" w:themeColor="text1"/>
                <w:sz w:val="22"/>
                <w:szCs w:val="22"/>
                <w:lang w:val="pt-BR"/>
              </w:rPr>
              <w:lastRenderedPageBreak/>
              <w:t xml:space="preserve">CORTE CONSTITUCIONAL. Sentencia C-128 de 2003. </w:t>
            </w:r>
            <w:r w:rsidRPr="00BD23AC">
              <w:rPr>
                <w:rFonts w:ascii="Verdana" w:hAnsi="Verdana" w:cs="Arial"/>
                <w:color w:val="000000" w:themeColor="text1"/>
                <w:sz w:val="22"/>
                <w:szCs w:val="22"/>
              </w:rPr>
              <w:t>M.P. Álvaro Tafur Galvis.</w:t>
            </w:r>
          </w:p>
          <w:p w14:paraId="12320744" w14:textId="77777777" w:rsidR="002D6CA8" w:rsidRPr="00BD23AC" w:rsidRDefault="002D6CA8" w:rsidP="002D6CA8">
            <w:pPr>
              <w:pStyle w:val="Prrafodelista"/>
              <w:numPr>
                <w:ilvl w:val="0"/>
                <w:numId w:val="2"/>
              </w:numPr>
              <w:jc w:val="both"/>
              <w:rPr>
                <w:rFonts w:ascii="Verdana" w:hAnsi="Verdana"/>
              </w:rPr>
            </w:pPr>
            <w:r w:rsidRPr="00BD23AC">
              <w:rPr>
                <w:rFonts w:ascii="Verdana" w:hAnsi="Verdana"/>
              </w:rPr>
              <w:t xml:space="preserve">CONSEJO DE ESTADO, Sección Tercera, Sentencia del 3 de mayo de 1999, </w:t>
            </w:r>
            <w:proofErr w:type="spellStart"/>
            <w:r w:rsidRPr="00BD23AC">
              <w:rPr>
                <w:rFonts w:ascii="Verdana" w:hAnsi="Verdana"/>
              </w:rPr>
              <w:t>Exp</w:t>
            </w:r>
            <w:proofErr w:type="spellEnd"/>
            <w:r w:rsidRPr="00BD23AC">
              <w:rPr>
                <w:rFonts w:ascii="Verdana" w:hAnsi="Verdana"/>
              </w:rPr>
              <w:t>. No. 12344, C.P. Daniel Suarez Hernández.</w:t>
            </w:r>
          </w:p>
          <w:p w14:paraId="244D7028" w14:textId="77777777" w:rsidR="002D6CA8" w:rsidRPr="00BD23AC" w:rsidRDefault="002D6CA8" w:rsidP="002D6CA8">
            <w:pPr>
              <w:pStyle w:val="Textonotapie"/>
              <w:numPr>
                <w:ilvl w:val="0"/>
                <w:numId w:val="2"/>
              </w:numPr>
              <w:jc w:val="both"/>
              <w:rPr>
                <w:rFonts w:ascii="Verdana" w:hAnsi="Verdana" w:cs="Arial"/>
                <w:sz w:val="22"/>
                <w:szCs w:val="22"/>
                <w:lang w:val="es-CO"/>
              </w:rPr>
            </w:pPr>
            <w:r w:rsidRPr="00BD23AC">
              <w:rPr>
                <w:rFonts w:ascii="Verdana" w:hAnsi="Verdana"/>
                <w:sz w:val="22"/>
                <w:szCs w:val="22"/>
              </w:rPr>
              <w:t xml:space="preserve">CONSEJO DE ESTADO, Sección Tercera, Sentencia del 29 de enero de 2004, C.P. Alier Eduardo Hernández Enríquez, </w:t>
            </w:r>
            <w:proofErr w:type="spellStart"/>
            <w:r w:rsidRPr="00BD23AC">
              <w:rPr>
                <w:rFonts w:ascii="Verdana" w:hAnsi="Verdana"/>
                <w:sz w:val="22"/>
                <w:szCs w:val="22"/>
              </w:rPr>
              <w:t>Exp</w:t>
            </w:r>
            <w:proofErr w:type="spellEnd"/>
            <w:r w:rsidRPr="00BD23AC">
              <w:rPr>
                <w:rFonts w:ascii="Verdana" w:hAnsi="Verdana"/>
                <w:sz w:val="22"/>
                <w:szCs w:val="22"/>
              </w:rPr>
              <w:t>. No. 10.779.</w:t>
            </w:r>
          </w:p>
          <w:p w14:paraId="49D467B4" w14:textId="77777777" w:rsidR="002D6CA8" w:rsidRPr="00BD23AC" w:rsidRDefault="002D6CA8" w:rsidP="002D6CA8">
            <w:pPr>
              <w:pStyle w:val="Textonotapie"/>
              <w:numPr>
                <w:ilvl w:val="0"/>
                <w:numId w:val="2"/>
              </w:numPr>
              <w:jc w:val="both"/>
              <w:rPr>
                <w:rFonts w:ascii="Verdana" w:hAnsi="Verdana" w:cs="Arial"/>
                <w:sz w:val="22"/>
                <w:szCs w:val="22"/>
              </w:rPr>
            </w:pPr>
            <w:r w:rsidRPr="00BD23AC">
              <w:rPr>
                <w:rFonts w:ascii="Verdana" w:hAnsi="Verdana" w:cs="Arial"/>
                <w:sz w:val="22"/>
                <w:szCs w:val="22"/>
              </w:rPr>
              <w:t xml:space="preserve">CONSEJO DE ESTADO. Sección Tercera. Sentencia de 30 de noviembre de 2006. </w:t>
            </w:r>
            <w:proofErr w:type="spellStart"/>
            <w:r w:rsidRPr="00BD23AC">
              <w:rPr>
                <w:rFonts w:ascii="Verdana" w:hAnsi="Verdana" w:cs="Arial"/>
                <w:sz w:val="22"/>
                <w:szCs w:val="22"/>
              </w:rPr>
              <w:t>Exp</w:t>
            </w:r>
            <w:proofErr w:type="spellEnd"/>
            <w:r w:rsidRPr="00BD23AC">
              <w:rPr>
                <w:rFonts w:ascii="Verdana" w:hAnsi="Verdana" w:cs="Arial"/>
                <w:sz w:val="22"/>
                <w:szCs w:val="22"/>
              </w:rPr>
              <w:t>. 18.059. M.P. Alier Hernández Enríquez.</w:t>
            </w:r>
          </w:p>
          <w:p w14:paraId="749B2E91" w14:textId="77777777" w:rsidR="002D6CA8" w:rsidRPr="00BD23AC" w:rsidRDefault="002D6CA8" w:rsidP="002D6CA8">
            <w:pPr>
              <w:pStyle w:val="Textonotapie"/>
              <w:numPr>
                <w:ilvl w:val="0"/>
                <w:numId w:val="2"/>
              </w:numPr>
              <w:jc w:val="both"/>
              <w:rPr>
                <w:rFonts w:ascii="Verdana" w:hAnsi="Verdana" w:cs="Arial"/>
                <w:color w:val="000000" w:themeColor="text1"/>
                <w:sz w:val="22"/>
                <w:szCs w:val="22"/>
              </w:rPr>
            </w:pPr>
            <w:r w:rsidRPr="00BD23AC">
              <w:rPr>
                <w:rFonts w:ascii="Verdana" w:hAnsi="Verdana" w:cs="Arial"/>
                <w:color w:val="000000" w:themeColor="text1"/>
                <w:sz w:val="22"/>
                <w:szCs w:val="22"/>
              </w:rPr>
              <w:t xml:space="preserve">CONSEJO DE ESTADO. Sección Tercera. Sentencia del 11 de noviembre de 2009. </w:t>
            </w:r>
            <w:proofErr w:type="spellStart"/>
            <w:r w:rsidRPr="00BD23AC">
              <w:rPr>
                <w:rFonts w:ascii="Verdana" w:hAnsi="Verdana" w:cs="Arial"/>
                <w:color w:val="000000" w:themeColor="text1"/>
                <w:sz w:val="22"/>
                <w:szCs w:val="22"/>
              </w:rPr>
              <w:t>Exp</w:t>
            </w:r>
            <w:proofErr w:type="spellEnd"/>
            <w:r w:rsidRPr="00BD23AC">
              <w:rPr>
                <w:rFonts w:ascii="Verdana" w:hAnsi="Verdana" w:cs="Arial"/>
                <w:color w:val="000000" w:themeColor="text1"/>
                <w:sz w:val="22"/>
                <w:szCs w:val="22"/>
              </w:rPr>
              <w:t>. 17.366. C.P. Mauricio Fajardo Gómez.</w:t>
            </w:r>
          </w:p>
          <w:p w14:paraId="00566A24" w14:textId="77777777" w:rsidR="002D6CA8" w:rsidRPr="00BD23AC" w:rsidRDefault="002D6CA8" w:rsidP="002D6CA8">
            <w:pPr>
              <w:pStyle w:val="Textonotapie"/>
              <w:numPr>
                <w:ilvl w:val="0"/>
                <w:numId w:val="2"/>
              </w:numPr>
              <w:spacing w:before="1"/>
              <w:ind w:right="108"/>
              <w:jc w:val="both"/>
              <w:rPr>
                <w:rFonts w:ascii="Verdana" w:hAnsi="Verdana"/>
              </w:rPr>
            </w:pPr>
            <w:r w:rsidRPr="00BD23AC">
              <w:rPr>
                <w:rFonts w:ascii="Verdana" w:hAnsi="Verdana"/>
                <w:sz w:val="22"/>
                <w:szCs w:val="22"/>
              </w:rPr>
              <w:t xml:space="preserve">CONSEJO DE ESTADO, Sección Tercera, Sentencia del 10 de marzo de 2011, C.P. Danilo Rojas Betancourth, </w:t>
            </w:r>
            <w:proofErr w:type="spellStart"/>
            <w:r w:rsidRPr="00BD23AC">
              <w:rPr>
                <w:rFonts w:ascii="Verdana" w:hAnsi="Verdana"/>
                <w:sz w:val="22"/>
                <w:szCs w:val="22"/>
              </w:rPr>
              <w:t>Exp</w:t>
            </w:r>
            <w:proofErr w:type="spellEnd"/>
            <w:r w:rsidRPr="00BD23AC">
              <w:rPr>
                <w:rFonts w:ascii="Verdana" w:hAnsi="Verdana"/>
                <w:sz w:val="22"/>
                <w:szCs w:val="22"/>
              </w:rPr>
              <w:t xml:space="preserve">. No. 15.666. </w:t>
            </w:r>
          </w:p>
          <w:p w14:paraId="0E328521" w14:textId="77777777" w:rsidR="002D6CA8" w:rsidRPr="00BD23AC" w:rsidRDefault="002D6CA8" w:rsidP="002D6CA8">
            <w:pPr>
              <w:pStyle w:val="Textoindependiente"/>
              <w:numPr>
                <w:ilvl w:val="0"/>
                <w:numId w:val="2"/>
              </w:numPr>
              <w:spacing w:before="1" w:after="0" w:line="240" w:lineRule="auto"/>
              <w:ind w:right="108"/>
              <w:jc w:val="both"/>
              <w:rPr>
                <w:rFonts w:ascii="Verdana" w:hAnsi="Verdana"/>
              </w:rPr>
            </w:pPr>
            <w:r w:rsidRPr="00BD23AC">
              <w:rPr>
                <w:rFonts w:ascii="Verdana" w:hAnsi="Verdana"/>
              </w:rPr>
              <w:t xml:space="preserve">CONSEJO DE ESTADO, Sección Tercera, Sentencia de 31 de agosto de 2011, </w:t>
            </w:r>
            <w:proofErr w:type="spellStart"/>
            <w:r w:rsidRPr="00BD23AC">
              <w:rPr>
                <w:rFonts w:ascii="Verdana" w:hAnsi="Verdana"/>
              </w:rPr>
              <w:t>Exp</w:t>
            </w:r>
            <w:proofErr w:type="spellEnd"/>
            <w:r w:rsidRPr="00BD23AC">
              <w:rPr>
                <w:rFonts w:ascii="Verdana" w:hAnsi="Verdana"/>
              </w:rPr>
              <w:t xml:space="preserve">. No. 18080, C.P. Ruth Stella Correa Palacio. </w:t>
            </w:r>
          </w:p>
          <w:p w14:paraId="4329F03F" w14:textId="77777777" w:rsidR="002D6CA8" w:rsidRPr="00BD23AC" w:rsidRDefault="002D6CA8" w:rsidP="002D6CA8">
            <w:pPr>
              <w:pStyle w:val="Textonotapie"/>
              <w:numPr>
                <w:ilvl w:val="0"/>
                <w:numId w:val="2"/>
              </w:numPr>
              <w:jc w:val="both"/>
              <w:rPr>
                <w:rFonts w:ascii="Verdana" w:hAnsi="Verdana" w:cs="Arial"/>
                <w:color w:val="000000" w:themeColor="text1"/>
              </w:rPr>
            </w:pPr>
            <w:r w:rsidRPr="00BD23AC">
              <w:rPr>
                <w:rFonts w:ascii="Verdana" w:hAnsi="Verdana" w:cs="Arial"/>
                <w:color w:val="000000" w:themeColor="text1"/>
                <w:sz w:val="22"/>
                <w:szCs w:val="22"/>
              </w:rPr>
              <w:t xml:space="preserve">CONSEJO DE ESTADO. Sección Tercera. Sentencia del 24 de julio de 2013. </w:t>
            </w:r>
            <w:proofErr w:type="spellStart"/>
            <w:r w:rsidRPr="00BD23AC">
              <w:rPr>
                <w:rFonts w:ascii="Verdana" w:hAnsi="Verdana" w:cs="Arial"/>
                <w:color w:val="000000" w:themeColor="text1"/>
                <w:sz w:val="22"/>
                <w:szCs w:val="22"/>
              </w:rPr>
              <w:t>Exp</w:t>
            </w:r>
            <w:proofErr w:type="spellEnd"/>
            <w:r w:rsidRPr="00BD23AC">
              <w:rPr>
                <w:rFonts w:ascii="Verdana" w:hAnsi="Verdana" w:cs="Arial"/>
                <w:color w:val="000000" w:themeColor="text1"/>
                <w:sz w:val="22"/>
                <w:szCs w:val="22"/>
              </w:rPr>
              <w:t xml:space="preserve">. 25.642. C.P. Enrique Gil Botero. </w:t>
            </w:r>
          </w:p>
          <w:p w14:paraId="3AF27E01" w14:textId="77777777" w:rsidR="002D6CA8" w:rsidRPr="00BD23AC" w:rsidRDefault="002D6CA8" w:rsidP="002D6CA8">
            <w:pPr>
              <w:pStyle w:val="Textonotapie"/>
              <w:numPr>
                <w:ilvl w:val="0"/>
                <w:numId w:val="2"/>
              </w:numPr>
              <w:jc w:val="both"/>
              <w:rPr>
                <w:rFonts w:ascii="Verdana" w:hAnsi="Verdana" w:cs="Arial"/>
                <w:sz w:val="22"/>
                <w:szCs w:val="22"/>
              </w:rPr>
            </w:pPr>
            <w:r w:rsidRPr="00BD23AC">
              <w:rPr>
                <w:rFonts w:ascii="Verdana" w:hAnsi="Verdana" w:cs="Arial"/>
                <w:color w:val="000000" w:themeColor="text1"/>
                <w:sz w:val="22"/>
                <w:szCs w:val="22"/>
              </w:rPr>
              <w:t xml:space="preserve">DEIK ACOSTAMADIEDO, Carolina, Guía de Contratación Estatal: Deber de planeación y modalidades de selección, Buenos Aires, </w:t>
            </w:r>
            <w:proofErr w:type="spellStart"/>
            <w:r w:rsidRPr="00BD23AC">
              <w:rPr>
                <w:rFonts w:ascii="Verdana" w:hAnsi="Verdana" w:cs="Arial"/>
                <w:color w:val="000000" w:themeColor="text1"/>
                <w:sz w:val="22"/>
                <w:szCs w:val="22"/>
                <w:lang w:val="es-CO"/>
              </w:rPr>
              <w:t>Juritextos</w:t>
            </w:r>
            <w:proofErr w:type="spellEnd"/>
            <w:r w:rsidRPr="00BD23AC">
              <w:rPr>
                <w:rFonts w:ascii="Verdana" w:hAnsi="Verdana" w:cs="Arial"/>
                <w:color w:val="000000" w:themeColor="text1"/>
                <w:sz w:val="22"/>
                <w:szCs w:val="22"/>
                <w:lang w:val="es-CO"/>
              </w:rPr>
              <w:t xml:space="preserve"> Ediciones, </w:t>
            </w:r>
            <w:r w:rsidRPr="00BD23AC">
              <w:rPr>
                <w:rFonts w:ascii="Verdana" w:hAnsi="Verdana" w:cs="Arial"/>
                <w:color w:val="000000" w:themeColor="text1"/>
                <w:sz w:val="22"/>
                <w:szCs w:val="22"/>
              </w:rPr>
              <w:t>2019.</w:t>
            </w:r>
          </w:p>
          <w:p w14:paraId="03D8C59B" w14:textId="77777777" w:rsidR="002D6CA8" w:rsidRPr="00BD23AC" w:rsidRDefault="002D6CA8" w:rsidP="002D6CA8">
            <w:pPr>
              <w:pStyle w:val="Textonotapie"/>
              <w:numPr>
                <w:ilvl w:val="0"/>
                <w:numId w:val="2"/>
              </w:numPr>
              <w:jc w:val="both"/>
              <w:rPr>
                <w:rFonts w:ascii="Verdana" w:hAnsi="Verdana"/>
                <w:sz w:val="22"/>
                <w:szCs w:val="22"/>
              </w:rPr>
            </w:pPr>
            <w:r w:rsidRPr="00BD23AC">
              <w:rPr>
                <w:rFonts w:ascii="Verdana" w:hAnsi="Verdana" w:cs="Arial"/>
                <w:sz w:val="22"/>
                <w:szCs w:val="22"/>
              </w:rPr>
              <w:t>OSPINA MENA, Jesús Marino. Régimen de la Contratación Estatal. Un salto a la contratación líquida. Bogotá: Ed. 1ª. Diké, 2020.</w:t>
            </w:r>
          </w:p>
          <w:p w14:paraId="4B0A45D7" w14:textId="2E218B99" w:rsidR="00BB054D" w:rsidRPr="006B17A7" w:rsidRDefault="002D6CA8" w:rsidP="002D6CA8">
            <w:pPr>
              <w:pStyle w:val="Prrafodelista"/>
              <w:numPr>
                <w:ilvl w:val="0"/>
                <w:numId w:val="2"/>
              </w:numPr>
              <w:spacing w:after="120" w:line="276" w:lineRule="auto"/>
              <w:jc w:val="both"/>
              <w:rPr>
                <w:rFonts w:ascii="Verdana" w:eastAsia="Aptos" w:hAnsi="Verdana" w:cs="Arial"/>
              </w:rPr>
            </w:pPr>
            <w:r w:rsidRPr="00305AB1">
              <w:rPr>
                <w:rFonts w:ascii="Verdana" w:hAnsi="Verdana"/>
              </w:rPr>
              <w:t>GONZÁLEZ LÓPEZ, Edgar, Los contratos estatales. El proceso de selección y la modificación de los contratos, Bogotá, Universidad Externado de Colombia, Ed. Tirant lo Blanch, 2023</w:t>
            </w:r>
            <w:r>
              <w:rPr>
                <w:rFonts w:ascii="Verdana" w:hAnsi="Verdana"/>
              </w:rPr>
              <w:t>.</w:t>
            </w:r>
          </w:p>
        </w:tc>
      </w:tr>
    </w:tbl>
    <w:p w14:paraId="262E6E8E" w14:textId="77777777" w:rsidR="00B93DCB" w:rsidRPr="006B17A7" w:rsidRDefault="00B93DCB" w:rsidP="00B93DCB">
      <w:pPr>
        <w:widowControl w:val="0"/>
        <w:autoSpaceDE w:val="0"/>
        <w:autoSpaceDN w:val="0"/>
        <w:spacing w:after="0" w:line="276" w:lineRule="auto"/>
        <w:jc w:val="both"/>
        <w:rPr>
          <w:rFonts w:ascii="Verdana" w:eastAsia="Aptos" w:hAnsi="Verdana" w:cs="Arial"/>
        </w:rPr>
      </w:pPr>
    </w:p>
    <w:p w14:paraId="5E53F601" w14:textId="77777777" w:rsidR="00B93DCB" w:rsidRPr="006B17A7" w:rsidRDefault="00B93DCB" w:rsidP="00B93DCB">
      <w:pPr>
        <w:widowControl w:val="0"/>
        <w:autoSpaceDE w:val="0"/>
        <w:autoSpaceDN w:val="0"/>
        <w:spacing w:before="1" w:after="0" w:line="240" w:lineRule="auto"/>
        <w:outlineLvl w:val="0"/>
        <w:rPr>
          <w:rFonts w:ascii="Verdana" w:eastAsia="Arial" w:hAnsi="Verdana" w:cs="Arial"/>
          <w:b/>
          <w:bCs/>
          <w:lang w:val="es-ES"/>
        </w:rPr>
      </w:pPr>
      <w:r w:rsidRPr="006B17A7">
        <w:rPr>
          <w:rFonts w:ascii="Verdana" w:eastAsia="Arial" w:hAnsi="Verdana" w:cs="Arial"/>
          <w:b/>
          <w:bCs/>
          <w:lang w:val="es-ES"/>
        </w:rPr>
        <w:t>5. Doctrina de la Agencia Nacional de Contratación Pública:</w:t>
      </w:r>
    </w:p>
    <w:p w14:paraId="56117BF3" w14:textId="77777777" w:rsidR="00B93DCB" w:rsidRPr="006B17A7" w:rsidRDefault="00B93DCB" w:rsidP="00B93DCB">
      <w:pPr>
        <w:widowControl w:val="0"/>
        <w:autoSpaceDE w:val="0"/>
        <w:autoSpaceDN w:val="0"/>
        <w:spacing w:after="0" w:line="276" w:lineRule="auto"/>
        <w:jc w:val="both"/>
        <w:rPr>
          <w:rFonts w:ascii="Verdana" w:eastAsia="Aptos" w:hAnsi="Verdana" w:cs="Arial"/>
        </w:rPr>
      </w:pPr>
    </w:p>
    <w:p w14:paraId="0C920705" w14:textId="239FA27F" w:rsidR="00AA3441" w:rsidRPr="00ED0098" w:rsidRDefault="002D6CA8" w:rsidP="00AA3441">
      <w:pPr>
        <w:widowControl w:val="0"/>
        <w:autoSpaceDE w:val="0"/>
        <w:autoSpaceDN w:val="0"/>
        <w:spacing w:after="0" w:line="276" w:lineRule="auto"/>
        <w:jc w:val="both"/>
        <w:rPr>
          <w:rStyle w:val="normaltextrun"/>
          <w:rFonts w:ascii="Verdana" w:hAnsi="Verdana" w:cs="Arial"/>
          <w:shd w:val="clear" w:color="auto" w:fill="FFFFFF"/>
        </w:rPr>
      </w:pPr>
      <w:r w:rsidRPr="002D6CA8">
        <w:rPr>
          <w:rFonts w:ascii="Verdana" w:hAnsi="Verdana" w:cs="Arial"/>
          <w:shd w:val="clear" w:color="auto" w:fill="FFFFFF"/>
        </w:rPr>
        <w:t>Sobre los estudios previos, la planeación en los procesos de contratación pública, el pliego de condiciones, su naturaleza, así como la claridad y precisión de su contenido, se ha pronunciado esta Subdirección en los conceptos C-218 del 13 de julio de 2023, C-274 del 14 de julio de 2023, C-309 del 28 de julio de 2023, C-344 del 18 de agosto de 2023, C-346 del 25 de agosto de 2023, C-297 del 3 de octubre de 2023, C-201 del 26 de octubre de 2023, C-144 del 6 de diciembre de 2023, C-440 del 12 de diciembre de 2023, C-001 del 25 de enero de 2024, C-030 del 9 de abril de 2024, C-053 del 7 de mayo de 2024, C-842 del 19 de diciembre de 2024, C-716 del 15 de julio de 2025 y C-943 del 25 de agosto de 2025.</w:t>
      </w:r>
      <w:r w:rsidR="003210B9">
        <w:rPr>
          <w:rFonts w:ascii="Verdana" w:hAnsi="Verdana" w:cs="Arial"/>
          <w:shd w:val="clear" w:color="auto" w:fill="FFFFFF"/>
          <w:lang w:val="es-ES"/>
        </w:rPr>
        <w:t>, entre otros</w:t>
      </w:r>
      <w:r w:rsidR="00AA3441">
        <w:rPr>
          <w:rFonts w:ascii="Verdana" w:eastAsia="Calibri" w:hAnsi="Verdana" w:cs="Arial"/>
          <w:shd w:val="clear" w:color="auto" w:fill="FFFFFF"/>
        </w:rPr>
        <w:t>.</w:t>
      </w:r>
      <w:r w:rsidR="00AA3441">
        <w:rPr>
          <w:rStyle w:val="normaltextrun"/>
          <w:rFonts w:ascii="Verdana" w:hAnsi="Verdana" w:cs="Arial"/>
          <w:shd w:val="clear" w:color="auto" w:fill="FFFFFF"/>
        </w:rPr>
        <w:t xml:space="preserve"> </w:t>
      </w:r>
      <w:r w:rsidR="00AA3441" w:rsidRPr="00E278D2">
        <w:rPr>
          <w:rStyle w:val="normaltextrun"/>
          <w:rFonts w:ascii="Verdana" w:hAnsi="Verdana" w:cs="Arial"/>
          <w:shd w:val="clear" w:color="auto" w:fill="FFFFFF"/>
        </w:rPr>
        <w:t>Estos y otros conceptos se encuentran disponibles para consulta en el Sistema de relatoría de la Agencia</w:t>
      </w:r>
      <w:r w:rsidR="00AA3441" w:rsidRPr="00A1554D">
        <w:rPr>
          <w:rFonts w:ascii="Verdana" w:hAnsi="Verdana"/>
        </w:rPr>
        <w:t>, al cual puede acceder</w:t>
      </w:r>
      <w:r w:rsidR="00AA3441">
        <w:rPr>
          <w:rFonts w:ascii="Verdana" w:hAnsi="Verdana"/>
        </w:rPr>
        <w:t>se</w:t>
      </w:r>
      <w:r w:rsidR="00AA3441" w:rsidRPr="00A1554D">
        <w:rPr>
          <w:rFonts w:ascii="Verdana" w:hAnsi="Verdana"/>
        </w:rPr>
        <w:t xml:space="preserve"> a través del siguiente enlace:</w:t>
      </w:r>
      <w:r w:rsidR="00AA3441">
        <w:rPr>
          <w:rFonts w:ascii="Verdana" w:hAnsi="Verdana" w:cs="Arial"/>
          <w:shd w:val="clear" w:color="auto" w:fill="FFFFFF"/>
        </w:rPr>
        <w:t xml:space="preserve"> </w:t>
      </w:r>
      <w:hyperlink r:id="rId13" w:history="1">
        <w:r w:rsidR="00AA3441" w:rsidRPr="00186F77">
          <w:rPr>
            <w:rStyle w:val="Hipervnculo"/>
            <w:rFonts w:ascii="Verdana" w:hAnsi="Verdana" w:cs="Arial"/>
            <w:shd w:val="clear" w:color="auto" w:fill="FFFFFF"/>
          </w:rPr>
          <w:t>https://relatoria.colombiacompra.gov.co/busqueda/conceptos</w:t>
        </w:r>
      </w:hyperlink>
      <w:r w:rsidR="00AA3441">
        <w:rPr>
          <w:rStyle w:val="normaltextrun"/>
          <w:rFonts w:ascii="Verdana" w:hAnsi="Verdana" w:cs="Arial"/>
          <w:shd w:val="clear" w:color="auto" w:fill="FFFFFF"/>
        </w:rPr>
        <w:t>.</w:t>
      </w:r>
      <w:r w:rsidR="00AA3441" w:rsidRPr="008D0AB0">
        <w:rPr>
          <w:rStyle w:val="normaltextrun"/>
          <w:rFonts w:ascii="Verdana" w:hAnsi="Verdana" w:cs="Arial"/>
          <w:shd w:val="clear" w:color="auto" w:fill="FFFFFF"/>
        </w:rPr>
        <w:t xml:space="preserve"> </w:t>
      </w:r>
      <w:r w:rsidR="00AA3441">
        <w:rPr>
          <w:rStyle w:val="normaltextrun"/>
          <w:rFonts w:ascii="Verdana" w:hAnsi="Verdana" w:cs="Arial"/>
          <w:color w:val="FF0000"/>
          <w:shd w:val="clear" w:color="auto" w:fill="FFFFFF"/>
          <w:lang w:val="es-ES"/>
        </w:rPr>
        <w:t xml:space="preserve"> </w:t>
      </w:r>
    </w:p>
    <w:p w14:paraId="7744516C" w14:textId="77777777" w:rsidR="00D46548" w:rsidRPr="00115E3D" w:rsidRDefault="00D46548" w:rsidP="00D46548">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115E3D">
        <w:rPr>
          <w:rStyle w:val="normaltextrun"/>
          <w:rFonts w:ascii="Verdana" w:hAnsi="Verdana" w:cs="Arial"/>
          <w:color w:val="000000" w:themeColor="text1"/>
          <w:shd w:val="clear" w:color="auto" w:fill="FFFFFF"/>
          <w:lang w:val="es-ES"/>
        </w:rPr>
        <w:lastRenderedPageBreak/>
        <w:t xml:space="preserve">  </w:t>
      </w:r>
    </w:p>
    <w:p w14:paraId="12F48BF5" w14:textId="77777777" w:rsidR="00D46548" w:rsidRPr="009A385A" w:rsidRDefault="00D46548" w:rsidP="00D46548">
      <w:pPr>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4" w:tgtFrame="_new" w:history="1">
        <w:r w:rsidRPr="009A385A">
          <w:rPr>
            <w:rStyle w:val="Hipervnculo"/>
            <w:rFonts w:ascii="Verdana" w:hAnsi="Verdana"/>
          </w:rPr>
          <w:t>https://formacionvirtual.colombiacompra.gov.co/mod/page/view.php?id=3718</w:t>
        </w:r>
      </w:hyperlink>
    </w:p>
    <w:p w14:paraId="4AA9E2E3" w14:textId="77777777" w:rsidR="00D46548" w:rsidRDefault="00D46548" w:rsidP="00D46548">
      <w:pPr>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5" w:tgtFrame="_new" w:history="1">
        <w:r w:rsidRPr="00635F16">
          <w:rPr>
            <w:rStyle w:val="Hipervnculo"/>
            <w:rFonts w:ascii="Verdana" w:hAnsi="Verdana"/>
          </w:rPr>
          <w:t>https://www.colombiacompra.gov.co/normativa-y-relatoria/documentos-tipo</w:t>
        </w:r>
      </w:hyperlink>
    </w:p>
    <w:p w14:paraId="7271F0BC" w14:textId="77777777" w:rsidR="00D46548" w:rsidRPr="009A385A" w:rsidRDefault="00D46548" w:rsidP="00D46548">
      <w:pPr>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6"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182D4713" w14:textId="77777777" w:rsidR="00D46548" w:rsidRPr="00115E3D" w:rsidRDefault="00D46548" w:rsidP="00D46548">
      <w:pPr>
        <w:spacing w:after="0" w:line="240" w:lineRule="auto"/>
        <w:jc w:val="both"/>
        <w:rPr>
          <w:rFonts w:ascii="Verdana" w:hAnsi="Verdana"/>
          <w:color w:val="000000" w:themeColor="text1"/>
        </w:rPr>
      </w:pPr>
      <w:r>
        <w:rPr>
          <w:rFonts w:ascii="Verdana" w:hAnsi="Verdana"/>
          <w:color w:val="000000" w:themeColor="text1"/>
        </w:rPr>
        <w:t>L</w:t>
      </w:r>
      <w:r w:rsidRPr="00115E3D">
        <w:rPr>
          <w:rFonts w:ascii="Verdana" w:hAnsi="Verdana"/>
          <w:color w:val="000000" w:themeColor="text1"/>
        </w:rPr>
        <w:t xml:space="preserve">o invitamos a seguirnos en las redes sociales en las cuales se difunde información institucional: </w:t>
      </w:r>
    </w:p>
    <w:p w14:paraId="1C0C513D" w14:textId="77777777" w:rsidR="00D46548" w:rsidRPr="00115E3D" w:rsidRDefault="00D46548" w:rsidP="00D46548">
      <w:pPr>
        <w:spacing w:after="0" w:line="240" w:lineRule="auto"/>
        <w:jc w:val="both"/>
        <w:rPr>
          <w:rFonts w:ascii="Verdana" w:hAnsi="Verdana"/>
          <w:color w:val="000000" w:themeColor="text1"/>
        </w:rPr>
      </w:pPr>
    </w:p>
    <w:p w14:paraId="1F954084" w14:textId="77777777" w:rsidR="00D46548" w:rsidRPr="00115E3D" w:rsidRDefault="00D46548" w:rsidP="00D46548">
      <w:pPr>
        <w:spacing w:after="0" w:line="240" w:lineRule="auto"/>
        <w:jc w:val="both"/>
        <w:rPr>
          <w:rFonts w:ascii="Verdana" w:hAnsi="Verdana"/>
          <w:color w:val="000000" w:themeColor="text1"/>
        </w:rPr>
      </w:pPr>
      <w:r w:rsidRPr="00115E3D">
        <w:rPr>
          <w:rFonts w:ascii="Verdana" w:hAnsi="Verdana"/>
          <w:color w:val="000000" w:themeColor="text1"/>
        </w:rPr>
        <w:t xml:space="preserve">Twitter: </w:t>
      </w:r>
      <w:r w:rsidRPr="00115E3D">
        <w:rPr>
          <w:rStyle w:val="Hipervnculo"/>
          <w:rFonts w:ascii="Verdana" w:hAnsi="Verdana"/>
          <w:color w:val="000000" w:themeColor="text1"/>
        </w:rPr>
        <w:t>@colombiacompra</w:t>
      </w:r>
      <w:r w:rsidRPr="00115E3D">
        <w:rPr>
          <w:rFonts w:ascii="Verdana" w:hAnsi="Verdana"/>
          <w:color w:val="000000" w:themeColor="text1"/>
        </w:rPr>
        <w:t xml:space="preserve"> </w:t>
      </w:r>
    </w:p>
    <w:p w14:paraId="3BD8DA00" w14:textId="77777777" w:rsidR="00D46548" w:rsidRPr="00115E3D" w:rsidRDefault="00D46548" w:rsidP="00D46548">
      <w:pPr>
        <w:spacing w:after="0" w:line="240" w:lineRule="auto"/>
        <w:jc w:val="both"/>
        <w:rPr>
          <w:rFonts w:ascii="Verdana" w:hAnsi="Verdana"/>
          <w:color w:val="000000" w:themeColor="text1"/>
        </w:rPr>
      </w:pPr>
      <w:r w:rsidRPr="00115E3D">
        <w:rPr>
          <w:rFonts w:ascii="Verdana" w:hAnsi="Verdana"/>
          <w:color w:val="000000" w:themeColor="text1"/>
        </w:rPr>
        <w:t xml:space="preserve">Facebook: </w:t>
      </w:r>
      <w:proofErr w:type="spellStart"/>
      <w:r w:rsidRPr="00115E3D">
        <w:rPr>
          <w:rStyle w:val="Hipervnculo"/>
          <w:rFonts w:ascii="Verdana" w:hAnsi="Verdana"/>
          <w:color w:val="000000" w:themeColor="text1"/>
        </w:rPr>
        <w:t>ColombiaCompraEficiente</w:t>
      </w:r>
      <w:proofErr w:type="spellEnd"/>
    </w:p>
    <w:p w14:paraId="093007DF" w14:textId="77777777" w:rsidR="00D46548" w:rsidRPr="00115E3D" w:rsidRDefault="00D46548" w:rsidP="00D46548">
      <w:pPr>
        <w:spacing w:after="0" w:line="240" w:lineRule="auto"/>
        <w:jc w:val="both"/>
        <w:rPr>
          <w:rFonts w:ascii="Verdana" w:hAnsi="Verdana"/>
          <w:color w:val="000000" w:themeColor="text1"/>
        </w:rPr>
      </w:pPr>
      <w:r w:rsidRPr="00115E3D">
        <w:rPr>
          <w:rFonts w:ascii="Verdana" w:hAnsi="Verdana"/>
          <w:color w:val="000000" w:themeColor="text1"/>
        </w:rPr>
        <w:lastRenderedPageBreak/>
        <w:t xml:space="preserve">LinkedIn: </w:t>
      </w:r>
      <w:r w:rsidRPr="00115E3D">
        <w:rPr>
          <w:rStyle w:val="Hipervnculo"/>
          <w:rFonts w:ascii="Verdana" w:hAnsi="Verdana"/>
          <w:color w:val="000000" w:themeColor="text1"/>
        </w:rPr>
        <w:t>Agencia Nacional de Contratación Pública - Colombia Compra Eficiente</w:t>
      </w:r>
      <w:r w:rsidRPr="00115E3D">
        <w:rPr>
          <w:rFonts w:ascii="Verdana" w:hAnsi="Verdana"/>
          <w:color w:val="000000" w:themeColor="text1"/>
        </w:rPr>
        <w:t xml:space="preserve"> Instagram: </w:t>
      </w:r>
      <w:r w:rsidRPr="00115E3D">
        <w:rPr>
          <w:rStyle w:val="Hipervnculo"/>
          <w:rFonts w:ascii="Verdana" w:hAnsi="Verdana"/>
          <w:color w:val="000000" w:themeColor="text1"/>
        </w:rPr>
        <w:t>@colombiacompraeficiente_cce</w:t>
      </w:r>
    </w:p>
    <w:p w14:paraId="12AAAFA2" w14:textId="77777777" w:rsidR="00D46548" w:rsidRPr="00115E3D" w:rsidRDefault="00D46548" w:rsidP="00D46548">
      <w:pPr>
        <w:widowControl w:val="0"/>
        <w:autoSpaceDE w:val="0"/>
        <w:autoSpaceDN w:val="0"/>
        <w:spacing w:after="0" w:line="276" w:lineRule="auto"/>
        <w:jc w:val="both"/>
        <w:rPr>
          <w:rFonts w:ascii="Verdana" w:hAnsi="Verdana" w:cs="Arial"/>
          <w:color w:val="000000" w:themeColor="text1"/>
        </w:rPr>
      </w:pPr>
    </w:p>
    <w:p w14:paraId="3920A77A" w14:textId="77777777" w:rsidR="00D46548" w:rsidRPr="00115E3D" w:rsidRDefault="00D46548" w:rsidP="00D46548">
      <w:pPr>
        <w:widowControl w:val="0"/>
        <w:autoSpaceDE w:val="0"/>
        <w:autoSpaceDN w:val="0"/>
        <w:spacing w:after="0" w:line="276" w:lineRule="auto"/>
        <w:jc w:val="both"/>
        <w:rPr>
          <w:rFonts w:ascii="Verdana" w:hAnsi="Verdana" w:cs="Arial"/>
          <w:color w:val="000000" w:themeColor="text1"/>
          <w:lang w:val="es-ES_tradnl"/>
        </w:rPr>
      </w:pPr>
      <w:r w:rsidRPr="00115E3D">
        <w:rPr>
          <w:rFonts w:ascii="Verdana" w:hAnsi="Verdana" w:cs="Arial"/>
          <w:color w:val="000000" w:themeColor="text1"/>
        </w:rPr>
        <w:t xml:space="preserve">Este concepto tiene el alcance previsto en el artículo 28 del Código de Procedimiento Administrativo y de lo Contencioso Administrativo </w:t>
      </w:r>
      <w:r w:rsidRPr="00115E3D">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40E06F9E" w14:textId="77777777" w:rsidR="00D46548" w:rsidRDefault="00D46548" w:rsidP="005B261C">
      <w:pPr>
        <w:spacing w:after="0" w:line="240" w:lineRule="auto"/>
        <w:rPr>
          <w:rFonts w:ascii="Verdana" w:eastAsia="Times New Roman" w:hAnsi="Verdana" w:cs="Arial"/>
          <w:color w:val="000000" w:themeColor="text1"/>
          <w:lang w:eastAsia="es-CO"/>
        </w:rPr>
      </w:pPr>
    </w:p>
    <w:p w14:paraId="577ADD3A" w14:textId="77777777" w:rsidR="00D46548" w:rsidRDefault="00D46548" w:rsidP="005B261C">
      <w:pPr>
        <w:spacing w:after="0" w:line="240" w:lineRule="auto"/>
        <w:rPr>
          <w:rFonts w:ascii="Verdana" w:eastAsia="Times New Roman" w:hAnsi="Verdana" w:cs="Arial"/>
          <w:color w:val="000000" w:themeColor="text1"/>
          <w:lang w:eastAsia="es-CO"/>
        </w:rPr>
      </w:pPr>
    </w:p>
    <w:p w14:paraId="41D52C97" w14:textId="7D26E061" w:rsidR="005B261C" w:rsidRPr="00115E3D" w:rsidRDefault="005B261C" w:rsidP="005B261C">
      <w:pPr>
        <w:spacing w:after="0" w:line="240" w:lineRule="auto"/>
        <w:rPr>
          <w:rFonts w:ascii="Verdana" w:hAnsi="Verdana" w:cs="Arial"/>
          <w:color w:val="000000" w:themeColor="text1"/>
          <w:lang w:eastAsia="es-CO"/>
        </w:rPr>
      </w:pPr>
      <w:r w:rsidRPr="00115E3D">
        <w:rPr>
          <w:rFonts w:ascii="Verdana" w:eastAsia="Times New Roman" w:hAnsi="Verdana" w:cs="Arial"/>
          <w:color w:val="000000" w:themeColor="text1"/>
          <w:lang w:eastAsia="es-CO"/>
        </w:rPr>
        <w:t>Atentamente,</w:t>
      </w:r>
      <w:r w:rsidRPr="00115E3D">
        <w:rPr>
          <w:rFonts w:ascii="Verdana" w:hAnsi="Verdana" w:cs="Arial"/>
          <w:color w:val="000000" w:themeColor="text1"/>
          <w:lang w:eastAsia="es-CO"/>
        </w:rPr>
        <w:t xml:space="preserve"> </w:t>
      </w:r>
    </w:p>
    <w:p w14:paraId="185D9CFC" w14:textId="77777777" w:rsidR="002C31F4" w:rsidRDefault="002C31F4" w:rsidP="005B261C">
      <w:pPr>
        <w:spacing w:line="276" w:lineRule="auto"/>
        <w:jc w:val="center"/>
        <w:rPr>
          <w:noProof/>
        </w:rPr>
      </w:pPr>
    </w:p>
    <w:p w14:paraId="57C3358D" w14:textId="09BE8A7F" w:rsidR="00AB5151" w:rsidRDefault="002C31F4" w:rsidP="005B261C">
      <w:pPr>
        <w:spacing w:line="276" w:lineRule="auto"/>
        <w:jc w:val="center"/>
        <w:rPr>
          <w:noProof/>
          <w:color w:val="000000" w:themeColor="text1"/>
          <w:lang w:val="es-ES_tradnl" w:eastAsia="es-CO"/>
        </w:rPr>
      </w:pPr>
      <w:r>
        <w:rPr>
          <w:noProof/>
        </w:rPr>
        <w:drawing>
          <wp:inline distT="0" distB="0" distL="0" distR="0" wp14:anchorId="24734876" wp14:editId="25AB2FF5">
            <wp:extent cx="3145155" cy="1350160"/>
            <wp:effectExtent l="0" t="0" r="0" b="2540"/>
            <wp:docPr id="16813097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159227" cy="1356201"/>
                    </a:xfrm>
                    <a:prstGeom prst="rect">
                      <a:avLst/>
                    </a:prstGeom>
                    <a:noFill/>
                    <a:ln>
                      <a:noFill/>
                    </a:ln>
                  </pic:spPr>
                </pic:pic>
              </a:graphicData>
            </a:graphic>
          </wp:inline>
        </w:drawing>
      </w:r>
      <w:r w:rsidR="0022654C">
        <w:rPr>
          <w:noProof/>
          <w:color w:val="000000" w:themeColor="text1"/>
          <w:lang w:val="es-ES_tradnl" w:eastAsia="es-CO"/>
        </w:rPr>
        <w:t xml:space="preserve"> </w:t>
      </w:r>
    </w:p>
    <w:p w14:paraId="34E04CC3" w14:textId="77777777" w:rsidR="00AB5151" w:rsidRDefault="00AB5151" w:rsidP="005B261C">
      <w:pPr>
        <w:spacing w:line="276" w:lineRule="auto"/>
        <w:jc w:val="center"/>
        <w:rPr>
          <w:noProof/>
          <w:color w:val="000000" w:themeColor="text1"/>
          <w:lang w:val="es-ES_tradnl"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B261C" w:rsidRPr="00115E3D" w14:paraId="62B6198F" w14:textId="77777777" w:rsidTr="006F1A38">
        <w:trPr>
          <w:trHeight w:val="315"/>
        </w:trPr>
        <w:tc>
          <w:tcPr>
            <w:tcW w:w="893" w:type="dxa"/>
            <w:vAlign w:val="center"/>
            <w:hideMark/>
          </w:tcPr>
          <w:p w14:paraId="22558D14" w14:textId="77777777" w:rsidR="005B261C" w:rsidRPr="00115E3D" w:rsidRDefault="005B261C" w:rsidP="006F1A38">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711F7BB" w14:textId="474BC748" w:rsidR="005B261C" w:rsidRPr="00115E3D" w:rsidRDefault="00AB5151" w:rsidP="006F1A38">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Daniel Eduardo Rojas</w:t>
            </w:r>
            <w:r w:rsidR="005B261C">
              <w:rPr>
                <w:rFonts w:ascii="Verdana" w:eastAsia="Arial" w:hAnsi="Verdana" w:cs="Arial"/>
                <w:color w:val="000000" w:themeColor="text1"/>
                <w:sz w:val="16"/>
                <w:szCs w:val="16"/>
              </w:rPr>
              <w:t xml:space="preserve"> </w:t>
            </w:r>
          </w:p>
          <w:p w14:paraId="17599502" w14:textId="11540CED" w:rsidR="005B261C" w:rsidRPr="00115E3D" w:rsidRDefault="00AB5151" w:rsidP="006F1A38">
            <w:pPr>
              <w:contextualSpacing/>
              <w:rPr>
                <w:rFonts w:ascii="Verdana" w:eastAsia="Arial" w:hAnsi="Verdana" w:cs="Arial"/>
                <w:color w:val="000000" w:themeColor="text1"/>
                <w:sz w:val="16"/>
                <w:szCs w:val="16"/>
              </w:rPr>
            </w:pPr>
            <w:r w:rsidRPr="00AB5151">
              <w:rPr>
                <w:rStyle w:val="normaltextrun"/>
                <w:rFonts w:ascii="Verdana" w:eastAsia="Arial" w:hAnsi="Verdana" w:cs="Times New Roman"/>
                <w:color w:val="000000" w:themeColor="text1"/>
                <w:sz w:val="16"/>
                <w:szCs w:val="16"/>
              </w:rPr>
              <w:t>C</w:t>
            </w:r>
            <w:r w:rsidRPr="00AB5151">
              <w:rPr>
                <w:rStyle w:val="normaltextrun"/>
                <w:rFonts w:ascii="Verdana" w:eastAsia="Arial" w:hAnsi="Verdana" w:cs="Times New Roman"/>
                <w:sz w:val="16"/>
                <w:szCs w:val="16"/>
              </w:rPr>
              <w:t xml:space="preserve">ontratista </w:t>
            </w:r>
            <w:r w:rsidR="005B261C" w:rsidRPr="00115E3D">
              <w:rPr>
                <w:rStyle w:val="normaltextrun"/>
                <w:rFonts w:ascii="Verdana" w:eastAsia="Arial" w:hAnsi="Verdana" w:cs="Arial"/>
                <w:color w:val="000000" w:themeColor="text1"/>
                <w:sz w:val="16"/>
                <w:szCs w:val="16"/>
              </w:rPr>
              <w:t>de la Subdirección de Gestión Contractual</w:t>
            </w:r>
          </w:p>
        </w:tc>
      </w:tr>
      <w:tr w:rsidR="005B261C" w:rsidRPr="00115E3D" w14:paraId="7ACE6661" w14:textId="77777777" w:rsidTr="006F1A38">
        <w:trPr>
          <w:trHeight w:val="330"/>
        </w:trPr>
        <w:tc>
          <w:tcPr>
            <w:tcW w:w="893" w:type="dxa"/>
            <w:vAlign w:val="center"/>
            <w:hideMark/>
          </w:tcPr>
          <w:p w14:paraId="7EFF66C0" w14:textId="77777777" w:rsidR="005B261C" w:rsidRPr="00115E3D" w:rsidRDefault="005B261C" w:rsidP="006F1A38">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83FBE02" w14:textId="77777777" w:rsidR="003C1E04" w:rsidRDefault="003C1E04" w:rsidP="006F1A38">
            <w:pPr>
              <w:pStyle w:val="paragraph"/>
              <w:spacing w:before="0" w:beforeAutospacing="0" w:after="0" w:afterAutospacing="0"/>
              <w:contextualSpacing/>
              <w:textAlignment w:val="baseline"/>
              <w:rPr>
                <w:rFonts w:ascii="Verdana" w:hAnsi="Verdana" w:cs="Segoe UI"/>
                <w:color w:val="000000" w:themeColor="text1"/>
                <w:sz w:val="16"/>
                <w:szCs w:val="16"/>
              </w:rPr>
            </w:pPr>
            <w:r w:rsidRPr="003C1E04">
              <w:rPr>
                <w:rFonts w:ascii="Verdana" w:hAnsi="Verdana" w:cs="Segoe UI"/>
                <w:color w:val="000000" w:themeColor="text1"/>
                <w:sz w:val="16"/>
                <w:szCs w:val="16"/>
              </w:rPr>
              <w:t>Juan David Cárdenas</w:t>
            </w:r>
          </w:p>
          <w:p w14:paraId="0B208D03" w14:textId="4CBC20B6" w:rsidR="005B261C" w:rsidRPr="00115E3D" w:rsidRDefault="005B261C" w:rsidP="006F1A38">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Contratista</w:t>
            </w:r>
            <w:r w:rsidRPr="00115E3D">
              <w:rPr>
                <w:rStyle w:val="normaltextrun"/>
                <w:rFonts w:ascii="Verdana" w:hAnsi="Verdana" w:cs="Arial"/>
                <w:color w:val="000000" w:themeColor="text1"/>
                <w:sz w:val="16"/>
                <w:szCs w:val="16"/>
                <w:lang w:val="es-ES"/>
              </w:rPr>
              <w:t xml:space="preserve"> de la Subdirección de Gestión Contractual</w:t>
            </w:r>
            <w:r w:rsidRPr="00115E3D">
              <w:rPr>
                <w:rStyle w:val="eop"/>
                <w:rFonts w:ascii="Verdana" w:hAnsi="Verdana" w:cs="Arial"/>
                <w:color w:val="000000" w:themeColor="text1"/>
                <w:sz w:val="16"/>
                <w:szCs w:val="16"/>
              </w:rPr>
              <w:t> </w:t>
            </w:r>
          </w:p>
        </w:tc>
      </w:tr>
      <w:tr w:rsidR="005B261C" w:rsidRPr="00115E3D" w14:paraId="0756A38D" w14:textId="77777777" w:rsidTr="006F1A38">
        <w:trPr>
          <w:trHeight w:val="300"/>
        </w:trPr>
        <w:tc>
          <w:tcPr>
            <w:tcW w:w="893" w:type="dxa"/>
            <w:vAlign w:val="center"/>
          </w:tcPr>
          <w:p w14:paraId="5B3AA394" w14:textId="77777777" w:rsidR="005B261C" w:rsidRPr="00115E3D" w:rsidRDefault="005B261C" w:rsidP="006F1A38">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3A246D8" w14:textId="77777777" w:rsidR="005B261C" w:rsidRPr="00115E3D" w:rsidRDefault="005B261C" w:rsidP="006F1A38">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val="pt-BR" w:eastAsia="es-ES"/>
              </w:rPr>
              <w:t>Carolina Quintero Gacharná</w:t>
            </w:r>
          </w:p>
          <w:p w14:paraId="3384C3C1" w14:textId="77777777" w:rsidR="005B261C" w:rsidRPr="00115E3D" w:rsidRDefault="005B261C" w:rsidP="006F1A38">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eastAsia="es-ES"/>
              </w:rPr>
              <w:t>Subdirectora</w:t>
            </w:r>
            <w:r w:rsidRPr="00115E3D">
              <w:rPr>
                <w:rFonts w:ascii="Verdana" w:eastAsia="Calibri" w:hAnsi="Verdana" w:cs="Arial"/>
                <w:color w:val="000000" w:themeColor="text1"/>
                <w:sz w:val="16"/>
                <w:szCs w:val="16"/>
                <w:lang w:val="pt-BR" w:eastAsia="es-ES"/>
              </w:rPr>
              <w:t xml:space="preserve"> de Gestión Contractual ANCP – CCE</w:t>
            </w:r>
          </w:p>
        </w:tc>
      </w:tr>
    </w:tbl>
    <w:p w14:paraId="3900974D" w14:textId="6B82F99B" w:rsidR="003D5B0D" w:rsidRDefault="003D5B0D" w:rsidP="005B261C"/>
    <w:sectPr w:rsidR="003D5B0D"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4C900D" w14:textId="77777777" w:rsidR="00851CC1" w:rsidRDefault="00851CC1" w:rsidP="004A1847">
      <w:pPr>
        <w:spacing w:after="0" w:line="240" w:lineRule="auto"/>
      </w:pPr>
      <w:r>
        <w:separator/>
      </w:r>
    </w:p>
  </w:endnote>
  <w:endnote w:type="continuationSeparator" w:id="0">
    <w:p w14:paraId="4E322943" w14:textId="77777777" w:rsidR="00851CC1" w:rsidRDefault="00851CC1" w:rsidP="004A1847">
      <w:pPr>
        <w:spacing w:after="0" w:line="240" w:lineRule="auto"/>
      </w:pPr>
      <w:r>
        <w:continuationSeparator/>
      </w:r>
    </w:p>
  </w:endnote>
  <w:endnote w:type="continuationNotice" w:id="1">
    <w:p w14:paraId="5EC0E5EA" w14:textId="77777777" w:rsidR="00851CC1" w:rsidRDefault="00851CC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PS"/>
    <w:panose1 w:val="02020603050405020304"/>
    <w:charset w:val="00"/>
    <w:family w:val="roman"/>
    <w:pitch w:val="variable"/>
    <w:sig w:usb0="E0002EFF" w:usb1="C000785B" w:usb2="00000009" w:usb3="00000000" w:csb0="000001FF" w:csb1="00000000"/>
  </w:font>
  <w:font w:name="Arial">
    <w:altName w:val="Arial Narrow"/>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34CDE1" w14:textId="77777777" w:rsidR="00851CC1" w:rsidRDefault="00851CC1" w:rsidP="004A1847">
      <w:pPr>
        <w:spacing w:after="0" w:line="240" w:lineRule="auto"/>
      </w:pPr>
      <w:r>
        <w:separator/>
      </w:r>
    </w:p>
  </w:footnote>
  <w:footnote w:type="continuationSeparator" w:id="0">
    <w:p w14:paraId="174202DD" w14:textId="77777777" w:rsidR="00851CC1" w:rsidRDefault="00851CC1" w:rsidP="004A1847">
      <w:pPr>
        <w:spacing w:after="0" w:line="240" w:lineRule="auto"/>
      </w:pPr>
      <w:r>
        <w:continuationSeparator/>
      </w:r>
    </w:p>
  </w:footnote>
  <w:footnote w:type="continuationNotice" w:id="1">
    <w:p w14:paraId="451C9E43" w14:textId="77777777" w:rsidR="00851CC1" w:rsidRDefault="00851CC1">
      <w:pPr>
        <w:spacing w:after="0" w:line="240" w:lineRule="auto"/>
      </w:pPr>
    </w:p>
  </w:footnote>
  <w:footnote w:id="2">
    <w:p w14:paraId="4ED5C01E" w14:textId="77777777" w:rsidR="002D6CA8" w:rsidRPr="0005438A" w:rsidRDefault="002D6CA8" w:rsidP="002D6CA8">
      <w:pPr>
        <w:spacing w:after="0" w:line="244" w:lineRule="auto"/>
        <w:ind w:left="120" w:firstLine="707"/>
        <w:jc w:val="both"/>
        <w:rPr>
          <w:rFonts w:ascii="Verdana" w:hAnsi="Verdana" w:cs="Arial"/>
          <w:sz w:val="14"/>
          <w:szCs w:val="14"/>
        </w:rPr>
      </w:pPr>
      <w:r w:rsidRPr="0005438A">
        <w:rPr>
          <w:rStyle w:val="Refdenotaalpie"/>
          <w:rFonts w:ascii="Verdana" w:hAnsi="Verdana" w:cs="Arial"/>
          <w:sz w:val="14"/>
          <w:szCs w:val="14"/>
        </w:rPr>
        <w:footnoteRef/>
      </w:r>
      <w:r w:rsidRPr="0005438A">
        <w:rPr>
          <w:rFonts w:ascii="Verdana" w:hAnsi="Verdana" w:cs="Arial"/>
          <w:position w:val="6"/>
          <w:sz w:val="14"/>
          <w:szCs w:val="14"/>
        </w:rPr>
        <w:t xml:space="preserve"> </w:t>
      </w:r>
      <w:r w:rsidRPr="0005438A">
        <w:rPr>
          <w:rFonts w:ascii="Verdana" w:hAnsi="Verdana" w:cs="Arial"/>
          <w:sz w:val="14"/>
          <w:szCs w:val="14"/>
        </w:rPr>
        <w:t>DEIK ACOSTAMADIEDO, Carolina, Guía de Contratación Estatal: Deber de planeación y modalidades de selección, Buenos Aires, 2015, p. 59.</w:t>
      </w:r>
    </w:p>
    <w:p w14:paraId="793829D1" w14:textId="77777777" w:rsidR="002D6CA8" w:rsidRPr="0005438A" w:rsidRDefault="002D6CA8" w:rsidP="002D6CA8">
      <w:pPr>
        <w:pStyle w:val="Textonotapie"/>
        <w:jc w:val="both"/>
        <w:rPr>
          <w:rFonts w:ascii="Verdana" w:hAnsi="Verdana"/>
          <w:sz w:val="14"/>
          <w:szCs w:val="14"/>
        </w:rPr>
      </w:pPr>
    </w:p>
  </w:footnote>
  <w:footnote w:id="3">
    <w:p w14:paraId="7AA93ED8" w14:textId="77777777" w:rsidR="002D6CA8" w:rsidRPr="0005438A" w:rsidRDefault="002D6CA8" w:rsidP="002D6CA8">
      <w:pPr>
        <w:pStyle w:val="Textoindependiente"/>
        <w:spacing w:after="0"/>
        <w:ind w:right="103" w:firstLine="709"/>
        <w:jc w:val="both"/>
        <w:rPr>
          <w:rFonts w:ascii="Verdana" w:hAnsi="Verdana"/>
          <w:sz w:val="14"/>
          <w:szCs w:val="14"/>
        </w:rPr>
      </w:pPr>
      <w:r w:rsidRPr="0005438A">
        <w:rPr>
          <w:rStyle w:val="Refdenotaalpie"/>
          <w:rFonts w:ascii="Verdana" w:hAnsi="Verdana"/>
          <w:sz w:val="14"/>
          <w:szCs w:val="14"/>
        </w:rPr>
        <w:footnoteRef/>
      </w:r>
      <w:r w:rsidRPr="0005438A">
        <w:rPr>
          <w:rFonts w:ascii="Verdana" w:hAnsi="Verdana"/>
          <w:sz w:val="14"/>
          <w:szCs w:val="14"/>
        </w:rPr>
        <w:t xml:space="preserve"> </w:t>
      </w:r>
      <w:r w:rsidRPr="0005438A">
        <w:rPr>
          <w:rFonts w:ascii="Verdana" w:hAnsi="Verdana"/>
          <w:position w:val="6"/>
          <w:sz w:val="14"/>
          <w:szCs w:val="14"/>
        </w:rPr>
        <w:t xml:space="preserve"> </w:t>
      </w:r>
      <w:r w:rsidRPr="0005438A">
        <w:rPr>
          <w:rFonts w:ascii="Verdana" w:hAnsi="Verdana"/>
          <w:sz w:val="14"/>
          <w:szCs w:val="14"/>
        </w:rPr>
        <w:t xml:space="preserve">“Artículo </w:t>
      </w:r>
      <w:bookmarkStart w:id="3" w:name="_Hlk54173885"/>
      <w:r w:rsidRPr="0005438A">
        <w:rPr>
          <w:rFonts w:ascii="Verdana" w:hAnsi="Verdana"/>
          <w:sz w:val="14"/>
          <w:szCs w:val="14"/>
        </w:rPr>
        <w:t>2.2.1.1.2.1.1</w:t>
      </w:r>
      <w:bookmarkEnd w:id="3"/>
      <w:r w:rsidRPr="0005438A">
        <w:rPr>
          <w:rFonts w:ascii="Verdana" w:hAnsi="Verdana"/>
          <w:sz w:val="14"/>
          <w:szCs w:val="14"/>
        </w:rPr>
        <w:t>. Estudios y documentos previos. Los estudios y documentos previos son el soporte para elaborar el proyecto de pliegos, los pliegos de condiciones, y el contrato. Deben permanecer a disposición del público durante el desarrollo del Proceso de Contratación y contener los siguientes elementos, además de los indicados para cada modalidad de selección: (…)”.</w:t>
      </w:r>
    </w:p>
    <w:p w14:paraId="49DCD17D" w14:textId="77777777" w:rsidR="002D6CA8" w:rsidRPr="0005438A" w:rsidRDefault="002D6CA8" w:rsidP="002D6CA8">
      <w:pPr>
        <w:pStyle w:val="Textonotapie"/>
        <w:ind w:firstLine="709"/>
        <w:jc w:val="both"/>
        <w:rPr>
          <w:rFonts w:ascii="Verdana" w:hAnsi="Verdana" w:cs="Arial"/>
          <w:sz w:val="14"/>
          <w:szCs w:val="14"/>
        </w:rPr>
      </w:pPr>
    </w:p>
  </w:footnote>
  <w:footnote w:id="4">
    <w:p w14:paraId="375D8D57" w14:textId="77777777" w:rsidR="002D6CA8" w:rsidRPr="0005438A" w:rsidRDefault="002D6CA8" w:rsidP="002D6CA8">
      <w:pPr>
        <w:pStyle w:val="Textoindependiente"/>
        <w:spacing w:before="1" w:after="0"/>
        <w:ind w:right="108" w:firstLine="709"/>
        <w:jc w:val="both"/>
        <w:rPr>
          <w:rFonts w:ascii="Verdana" w:hAnsi="Verdana"/>
          <w:sz w:val="14"/>
          <w:szCs w:val="14"/>
        </w:rPr>
      </w:pPr>
      <w:r w:rsidRPr="0005438A">
        <w:rPr>
          <w:rStyle w:val="Refdenotaalpie"/>
          <w:rFonts w:ascii="Verdana" w:hAnsi="Verdana"/>
          <w:sz w:val="14"/>
          <w:szCs w:val="14"/>
        </w:rPr>
        <w:footnoteRef/>
      </w:r>
      <w:r w:rsidRPr="0005438A">
        <w:rPr>
          <w:rFonts w:ascii="Verdana" w:hAnsi="Verdana"/>
          <w:sz w:val="14"/>
          <w:szCs w:val="14"/>
        </w:rPr>
        <w:t xml:space="preserve"> Consejo de Estado, Sección Tercera, Subsección B, 31 de agosto de 2011, </w:t>
      </w:r>
      <w:r w:rsidRPr="0005438A">
        <w:rPr>
          <w:rFonts w:ascii="Verdana" w:hAnsi="Verdana"/>
          <w:sz w:val="14"/>
          <w:szCs w:val="14"/>
        </w:rPr>
        <w:t>Exp. No. 18080, C.P. Ruth Stella Correa Palacio: “(…) recuérdese que la aplicación de la buena fe en materia negocial implica para las partes la observancia la observancia de una conducta enmarcada dentro del contexto de los deberes de corrección, claridad y recíproca lealtad que se deben los contratantes, para remitir la realización de los efectos finales buscados en el contrato”.</w:t>
      </w:r>
    </w:p>
    <w:p w14:paraId="1B040FC9" w14:textId="77777777" w:rsidR="002D6CA8" w:rsidRPr="0005438A" w:rsidRDefault="002D6CA8" w:rsidP="002D6CA8">
      <w:pPr>
        <w:pStyle w:val="Textonotapie"/>
        <w:jc w:val="both"/>
        <w:rPr>
          <w:rFonts w:ascii="Verdana" w:hAnsi="Verdana"/>
          <w:sz w:val="14"/>
          <w:szCs w:val="14"/>
          <w:lang w:val="es-CO"/>
        </w:rPr>
      </w:pPr>
    </w:p>
  </w:footnote>
  <w:footnote w:id="5">
    <w:p w14:paraId="05DE48F2" w14:textId="77777777" w:rsidR="002D6CA8" w:rsidRPr="0005438A" w:rsidRDefault="002D6CA8" w:rsidP="002D6CA8">
      <w:pPr>
        <w:pStyle w:val="Textonotapie"/>
        <w:ind w:firstLine="708"/>
        <w:jc w:val="both"/>
        <w:rPr>
          <w:rFonts w:ascii="Verdana" w:hAnsi="Verdana" w:cs="Arial"/>
          <w:sz w:val="14"/>
          <w:szCs w:val="14"/>
        </w:rPr>
      </w:pPr>
      <w:r w:rsidRPr="0005438A">
        <w:rPr>
          <w:rStyle w:val="Refdenotaalpie"/>
          <w:rFonts w:ascii="Verdana" w:hAnsi="Verdana" w:cs="Arial"/>
          <w:sz w:val="14"/>
          <w:szCs w:val="14"/>
        </w:rPr>
        <w:footnoteRef/>
      </w:r>
      <w:r w:rsidRPr="0005438A">
        <w:rPr>
          <w:rFonts w:ascii="Verdana" w:hAnsi="Verdana" w:cs="Arial"/>
          <w:sz w:val="14"/>
          <w:szCs w:val="14"/>
        </w:rPr>
        <w:t xml:space="preserve"> OSPINA MENA, Jesús Marino. Régimen de la Contratación Estatal. Un salto a la contratación líquida. Bogotá: Ed. 1ª. Diké, 2020. p. 383.</w:t>
      </w:r>
    </w:p>
    <w:p w14:paraId="3BA124DC" w14:textId="77777777" w:rsidR="002D6CA8" w:rsidRPr="0005438A" w:rsidRDefault="002D6CA8" w:rsidP="002D6CA8">
      <w:pPr>
        <w:pStyle w:val="Textonotapie"/>
        <w:ind w:firstLine="708"/>
        <w:jc w:val="both"/>
        <w:rPr>
          <w:rFonts w:ascii="Verdana" w:hAnsi="Verdana" w:cs="Arial"/>
          <w:sz w:val="14"/>
          <w:szCs w:val="14"/>
        </w:rPr>
      </w:pPr>
    </w:p>
  </w:footnote>
  <w:footnote w:id="6">
    <w:p w14:paraId="300FE78F" w14:textId="77777777" w:rsidR="002D6CA8" w:rsidRPr="0005438A" w:rsidRDefault="002D6CA8" w:rsidP="002D6CA8">
      <w:pPr>
        <w:pStyle w:val="Textonotapie"/>
        <w:ind w:firstLine="708"/>
        <w:jc w:val="both"/>
        <w:rPr>
          <w:rFonts w:ascii="Verdana" w:hAnsi="Verdana" w:cs="Arial"/>
          <w:sz w:val="14"/>
          <w:szCs w:val="14"/>
        </w:rPr>
      </w:pPr>
      <w:r w:rsidRPr="0005438A">
        <w:rPr>
          <w:rStyle w:val="Refdenotaalpie"/>
          <w:rFonts w:ascii="Verdana" w:hAnsi="Verdana" w:cs="Arial"/>
          <w:sz w:val="14"/>
          <w:szCs w:val="14"/>
        </w:rPr>
        <w:footnoteRef/>
      </w:r>
      <w:r w:rsidRPr="0005438A">
        <w:rPr>
          <w:rFonts w:ascii="Verdana" w:hAnsi="Verdana" w:cs="Arial"/>
          <w:sz w:val="14"/>
          <w:szCs w:val="14"/>
        </w:rPr>
        <w:t xml:space="preserve"> CONSEJO DE ESTADO. Sección Tercera. Sentencia de 30 de noviembre de 2006. </w:t>
      </w:r>
      <w:r w:rsidRPr="0005438A">
        <w:rPr>
          <w:rFonts w:ascii="Verdana" w:hAnsi="Verdana" w:cs="Arial"/>
          <w:sz w:val="14"/>
          <w:szCs w:val="14"/>
        </w:rPr>
        <w:t>Exp. 18.059. M.P. Alier Hernández Enríquez.</w:t>
      </w:r>
    </w:p>
    <w:p w14:paraId="6D333868" w14:textId="77777777" w:rsidR="002D6CA8" w:rsidRPr="0005438A" w:rsidRDefault="002D6CA8" w:rsidP="002D6CA8">
      <w:pPr>
        <w:pStyle w:val="Textonotapie"/>
        <w:jc w:val="both"/>
        <w:rPr>
          <w:rFonts w:ascii="Verdana" w:hAnsi="Verdana" w:cs="Arial"/>
          <w:sz w:val="14"/>
          <w:szCs w:val="14"/>
        </w:rPr>
      </w:pPr>
    </w:p>
  </w:footnote>
  <w:footnote w:id="7">
    <w:p w14:paraId="6107D75B" w14:textId="77777777" w:rsidR="002D6CA8" w:rsidRPr="0005438A" w:rsidRDefault="002D6CA8" w:rsidP="002D6CA8">
      <w:pPr>
        <w:pStyle w:val="Textonotapie"/>
        <w:ind w:firstLine="708"/>
        <w:jc w:val="both"/>
        <w:rPr>
          <w:rFonts w:ascii="Verdana" w:hAnsi="Verdana"/>
          <w:sz w:val="14"/>
          <w:szCs w:val="14"/>
        </w:rPr>
      </w:pPr>
      <w:r w:rsidRPr="0005438A">
        <w:rPr>
          <w:rStyle w:val="Refdenotaalpie"/>
          <w:rFonts w:ascii="Verdana" w:hAnsi="Verdana" w:cs="Arial"/>
          <w:sz w:val="14"/>
          <w:szCs w:val="14"/>
        </w:rPr>
        <w:footnoteRef/>
      </w:r>
      <w:r w:rsidRPr="0005438A">
        <w:rPr>
          <w:rFonts w:ascii="Verdana" w:hAnsi="Verdana" w:cs="Arial"/>
          <w:sz w:val="14"/>
          <w:szCs w:val="14"/>
        </w:rPr>
        <w:t xml:space="preserve"> Sin perjuicio de los dispuesto en el artículo 2.2.1.1.2.1.3. del Decreto 1082 de 2015 sobre el contenido del pliego de condiciones, donde se desarrolla de forma más exhaustiva cada uno de sus componentes mínimos.</w:t>
      </w:r>
    </w:p>
  </w:footnote>
  <w:footnote w:id="8">
    <w:p w14:paraId="04DD955B" w14:textId="77777777" w:rsidR="002D6CA8" w:rsidRPr="0005438A" w:rsidRDefault="002D6CA8" w:rsidP="002D6CA8">
      <w:pPr>
        <w:pStyle w:val="Textonotapie"/>
        <w:ind w:firstLine="708"/>
        <w:jc w:val="both"/>
        <w:rPr>
          <w:rFonts w:ascii="Verdana" w:hAnsi="Verdana" w:cs="Arial"/>
          <w:color w:val="000000" w:themeColor="text1"/>
          <w:sz w:val="14"/>
          <w:szCs w:val="14"/>
        </w:rPr>
      </w:pPr>
      <w:r w:rsidRPr="0005438A">
        <w:rPr>
          <w:rStyle w:val="Refdenotaalpie"/>
          <w:rFonts w:ascii="Verdana" w:hAnsi="Verdana" w:cs="Arial"/>
          <w:color w:val="000000" w:themeColor="text1"/>
          <w:sz w:val="14"/>
          <w:szCs w:val="14"/>
        </w:rPr>
        <w:footnoteRef/>
      </w:r>
      <w:r w:rsidRPr="0005438A">
        <w:rPr>
          <w:rFonts w:ascii="Verdana" w:hAnsi="Verdana" w:cs="Arial"/>
          <w:color w:val="000000" w:themeColor="text1"/>
          <w:sz w:val="14"/>
          <w:szCs w:val="14"/>
          <w:lang w:val="pt-BR"/>
        </w:rPr>
        <w:t xml:space="preserve"> CORTE CONSTITUCIONAL. Sentencia C-128 de 2003. </w:t>
      </w:r>
      <w:r w:rsidRPr="0005438A">
        <w:rPr>
          <w:rFonts w:ascii="Verdana" w:hAnsi="Verdana" w:cs="Arial"/>
          <w:color w:val="000000" w:themeColor="text1"/>
          <w:sz w:val="14"/>
          <w:szCs w:val="14"/>
        </w:rPr>
        <w:t>M.P. Álvaro Tafur Galvis: “De dichos textos (artículos 24 y 29 derogado de la Ley 80 de 1993) se desprende claramente, en consecuencia, la voluntad del legislador de que el proceso de selección del contratista sea ajeno a cualquier consideración subjetiva o discriminatoria. Dicha voluntad, atendiendo los principios constitucionales y en particular los señalados en el artículo 209 superior, se extiende a todas las fases del contrato, desde su preparación hasta su liquidación, de manera que en todo su desarrollo se observen rigurosamente los parámetros establecidos por la ley y por los pliegos de condiciones en las diferentes etapas y actuaciones y se adopte una conducta leal, diáfana y veraz conforme al postulado de la buena fe y la mutua confianza entre quienes intervienen en la actividad contractual”.</w:t>
      </w:r>
    </w:p>
    <w:p w14:paraId="43B768A0" w14:textId="77777777" w:rsidR="002D6CA8" w:rsidRPr="0005438A" w:rsidRDefault="002D6CA8" w:rsidP="002D6CA8">
      <w:pPr>
        <w:pStyle w:val="Textonotapie"/>
        <w:ind w:firstLine="708"/>
        <w:jc w:val="both"/>
        <w:rPr>
          <w:rFonts w:ascii="Verdana" w:hAnsi="Verdana" w:cs="Arial"/>
          <w:color w:val="000000" w:themeColor="text1"/>
          <w:sz w:val="14"/>
          <w:szCs w:val="14"/>
          <w:lang w:val="es-ES"/>
        </w:rPr>
      </w:pPr>
    </w:p>
  </w:footnote>
  <w:footnote w:id="9">
    <w:p w14:paraId="6E358E2D" w14:textId="77777777" w:rsidR="002D6CA8" w:rsidRPr="0005438A" w:rsidRDefault="002D6CA8" w:rsidP="002D6CA8">
      <w:pPr>
        <w:pStyle w:val="Textonotapie"/>
        <w:ind w:firstLine="709"/>
        <w:jc w:val="both"/>
        <w:rPr>
          <w:rFonts w:ascii="Verdana" w:hAnsi="Verdana" w:cs="Arial"/>
          <w:color w:val="000000" w:themeColor="text1"/>
          <w:sz w:val="14"/>
          <w:szCs w:val="14"/>
          <w:lang w:val="es-ES"/>
        </w:rPr>
      </w:pPr>
      <w:r w:rsidRPr="0005438A">
        <w:rPr>
          <w:rStyle w:val="Refdenotaalpie"/>
          <w:rFonts w:ascii="Verdana" w:hAnsi="Verdana" w:cs="Arial"/>
          <w:color w:val="000000" w:themeColor="text1"/>
          <w:sz w:val="14"/>
          <w:szCs w:val="14"/>
        </w:rPr>
        <w:footnoteRef/>
      </w:r>
      <w:r w:rsidRPr="0005438A">
        <w:rPr>
          <w:rFonts w:ascii="Verdana" w:hAnsi="Verdana" w:cs="Arial"/>
          <w:color w:val="000000" w:themeColor="text1"/>
          <w:sz w:val="14"/>
          <w:szCs w:val="14"/>
        </w:rPr>
        <w:t xml:space="preserve"> CONSEJO DE ESTADO, Sección Tercera. Sentencia del 11 de noviembre de 2009. </w:t>
      </w:r>
      <w:r w:rsidRPr="0005438A">
        <w:rPr>
          <w:rFonts w:ascii="Verdana" w:hAnsi="Verdana" w:cs="Arial"/>
          <w:color w:val="000000" w:themeColor="text1"/>
          <w:sz w:val="14"/>
          <w:szCs w:val="14"/>
        </w:rPr>
        <w:t>Exp. 17.366. C.P. Mauricio Fajardo Gómez.</w:t>
      </w:r>
    </w:p>
  </w:footnote>
  <w:footnote w:id="10">
    <w:p w14:paraId="179C3C33" w14:textId="77777777" w:rsidR="002D6CA8" w:rsidRPr="0005438A" w:rsidRDefault="002D6CA8" w:rsidP="002D6CA8">
      <w:pPr>
        <w:pStyle w:val="Textonotapie"/>
        <w:ind w:firstLine="709"/>
        <w:jc w:val="both"/>
        <w:rPr>
          <w:rFonts w:ascii="Verdana" w:hAnsi="Verdana" w:cs="Arial"/>
          <w:color w:val="000000" w:themeColor="text1"/>
          <w:sz w:val="14"/>
          <w:szCs w:val="14"/>
        </w:rPr>
      </w:pPr>
    </w:p>
    <w:p w14:paraId="5FBE4113" w14:textId="77777777" w:rsidR="002D6CA8" w:rsidRPr="0005438A" w:rsidRDefault="002D6CA8" w:rsidP="002D6CA8">
      <w:pPr>
        <w:pStyle w:val="Textonotapie"/>
        <w:ind w:firstLine="709"/>
        <w:jc w:val="both"/>
        <w:rPr>
          <w:rFonts w:ascii="Verdana" w:hAnsi="Verdana" w:cs="Arial"/>
          <w:color w:val="000000" w:themeColor="text1"/>
          <w:sz w:val="14"/>
          <w:szCs w:val="14"/>
        </w:rPr>
      </w:pPr>
      <w:r w:rsidRPr="0005438A">
        <w:rPr>
          <w:rStyle w:val="Refdenotaalpie"/>
          <w:rFonts w:ascii="Verdana" w:hAnsi="Verdana" w:cs="Arial"/>
          <w:color w:val="000000" w:themeColor="text1"/>
          <w:sz w:val="14"/>
          <w:szCs w:val="14"/>
        </w:rPr>
        <w:footnoteRef/>
      </w:r>
      <w:r w:rsidRPr="0005438A">
        <w:rPr>
          <w:rFonts w:ascii="Verdana" w:hAnsi="Verdana" w:cs="Arial"/>
          <w:color w:val="000000" w:themeColor="text1"/>
          <w:sz w:val="14"/>
          <w:szCs w:val="14"/>
        </w:rPr>
        <w:t xml:space="preserve"> CONSEJO DE ESTADO. Sección Tercera, Sentencia del 24 de julio de 2013. </w:t>
      </w:r>
      <w:r w:rsidRPr="0005438A">
        <w:rPr>
          <w:rFonts w:ascii="Verdana" w:hAnsi="Verdana" w:cs="Arial"/>
          <w:color w:val="000000" w:themeColor="text1"/>
          <w:sz w:val="14"/>
          <w:szCs w:val="14"/>
        </w:rPr>
        <w:t>Exp. 25.642. C.P. Enrique Gil Botero: “Concreta o materializa los principios de planeación contractual y de trasparencia, comoquiera que su adecuada formulación permite o garantiza la selección objetiva del contratista de acuerdo con los parámetros de calificación correspondientes para cada tipo de procedimiento (v.gr. licitación pública, selección abreviada, concurso de méritos, etc.), de acuerdo con el marco establecido en la ley (art. 29 de la ley 80 de 1993, derogado por el artículo 32 de la ley 1150 de 2007, y este último, modificado por el artículo 88 de la ley 1474 de 2011 (Estatuto Anticorrupción). En esa perspectiva, el pliego de condiciones constituye la ley tanto del procedimiento administrativo de selección del contratista, como del contrato a celebrar”.</w:t>
      </w:r>
    </w:p>
    <w:p w14:paraId="20D359DC" w14:textId="77777777" w:rsidR="002D6CA8" w:rsidRPr="0005438A" w:rsidRDefault="002D6CA8" w:rsidP="002D6CA8">
      <w:pPr>
        <w:pStyle w:val="Textonotapie"/>
        <w:ind w:firstLine="709"/>
        <w:jc w:val="both"/>
        <w:rPr>
          <w:rFonts w:ascii="Verdana" w:hAnsi="Verdana" w:cs="Arial"/>
          <w:color w:val="000000" w:themeColor="text1"/>
          <w:sz w:val="14"/>
          <w:szCs w:val="14"/>
          <w:lang w:val="es-ES"/>
        </w:rPr>
      </w:pPr>
    </w:p>
  </w:footnote>
  <w:footnote w:id="11">
    <w:p w14:paraId="672B0C3C" w14:textId="77777777" w:rsidR="002D6CA8" w:rsidRPr="0005438A" w:rsidRDefault="002D6CA8" w:rsidP="002D6CA8">
      <w:pPr>
        <w:pStyle w:val="Textonotapie"/>
        <w:ind w:firstLine="709"/>
        <w:jc w:val="both"/>
        <w:rPr>
          <w:rFonts w:ascii="Verdana" w:hAnsi="Verdana" w:cs="Arial"/>
          <w:color w:val="000000" w:themeColor="text1"/>
          <w:sz w:val="14"/>
          <w:szCs w:val="14"/>
        </w:rPr>
      </w:pPr>
      <w:r w:rsidRPr="0005438A">
        <w:rPr>
          <w:rStyle w:val="Refdenotaalpie"/>
          <w:rFonts w:ascii="Verdana" w:hAnsi="Verdana" w:cs="Arial"/>
          <w:color w:val="000000" w:themeColor="text1"/>
          <w:sz w:val="14"/>
          <w:szCs w:val="14"/>
        </w:rPr>
        <w:footnoteRef/>
      </w:r>
      <w:r w:rsidRPr="0005438A">
        <w:rPr>
          <w:rFonts w:ascii="Verdana" w:hAnsi="Verdana" w:cs="Arial"/>
          <w:color w:val="000000" w:themeColor="text1"/>
          <w:sz w:val="14"/>
          <w:szCs w:val="14"/>
        </w:rPr>
        <w:t xml:space="preserve"> Decreto 1082 de 2015: “Artículo 2.2.1.1.2.1.3. Pliegos de condiciones. Los pliegos de condiciones deben contener por lo menos la siguiente información:</w:t>
      </w:r>
    </w:p>
    <w:p w14:paraId="7981464A" w14:textId="77777777" w:rsidR="002D6CA8" w:rsidRPr="0005438A" w:rsidRDefault="002D6CA8" w:rsidP="002D6CA8">
      <w:pPr>
        <w:pStyle w:val="Textonotapie"/>
        <w:ind w:firstLine="709"/>
        <w:jc w:val="both"/>
        <w:rPr>
          <w:rFonts w:ascii="Verdana" w:hAnsi="Verdana" w:cs="Arial"/>
          <w:color w:val="000000" w:themeColor="text1"/>
          <w:sz w:val="14"/>
          <w:szCs w:val="14"/>
        </w:rPr>
      </w:pPr>
      <w:r w:rsidRPr="0005438A">
        <w:rPr>
          <w:rFonts w:ascii="Verdana" w:hAnsi="Verdana" w:cs="Arial"/>
          <w:color w:val="000000" w:themeColor="text1"/>
          <w:sz w:val="14"/>
          <w:szCs w:val="14"/>
        </w:rPr>
        <w:t>1. La descripción técnica, detallada y completa del bien o servicio objeto del contrato, identificado con el cuarto nivel del Clasificador de Bienes y Servicios, de ser posible o de lo contrario con el tercer nivel del mismo.</w:t>
      </w:r>
    </w:p>
    <w:p w14:paraId="6F7285AF" w14:textId="77777777" w:rsidR="002D6CA8" w:rsidRPr="0005438A" w:rsidRDefault="002D6CA8" w:rsidP="002D6CA8">
      <w:pPr>
        <w:pStyle w:val="Textonotapie"/>
        <w:ind w:firstLine="709"/>
        <w:jc w:val="both"/>
        <w:rPr>
          <w:rFonts w:ascii="Verdana" w:hAnsi="Verdana" w:cs="Arial"/>
          <w:color w:val="000000" w:themeColor="text1"/>
          <w:sz w:val="14"/>
          <w:szCs w:val="14"/>
        </w:rPr>
      </w:pPr>
      <w:r w:rsidRPr="0005438A">
        <w:rPr>
          <w:rFonts w:ascii="Verdana" w:hAnsi="Verdana" w:cs="Arial"/>
          <w:color w:val="000000" w:themeColor="text1"/>
          <w:sz w:val="14"/>
          <w:szCs w:val="14"/>
        </w:rPr>
        <w:t>2. La modalidad del proceso de selección y su justificación.</w:t>
      </w:r>
    </w:p>
    <w:p w14:paraId="177F6DB5" w14:textId="77777777" w:rsidR="002D6CA8" w:rsidRPr="0005438A" w:rsidRDefault="002D6CA8" w:rsidP="002D6CA8">
      <w:pPr>
        <w:pStyle w:val="Textonotapie"/>
        <w:ind w:firstLine="709"/>
        <w:jc w:val="both"/>
        <w:rPr>
          <w:rFonts w:ascii="Verdana" w:hAnsi="Verdana" w:cs="Arial"/>
          <w:color w:val="000000" w:themeColor="text1"/>
          <w:sz w:val="14"/>
          <w:szCs w:val="14"/>
        </w:rPr>
      </w:pPr>
      <w:r w:rsidRPr="0005438A">
        <w:rPr>
          <w:rFonts w:ascii="Verdana" w:hAnsi="Verdana" w:cs="Arial"/>
          <w:color w:val="000000" w:themeColor="text1"/>
          <w:sz w:val="14"/>
          <w:szCs w:val="14"/>
        </w:rPr>
        <w:t>3. Los criterios de selección, incluyendo los factores de desempate y los incentivos cuando a ello haya lugar.</w:t>
      </w:r>
    </w:p>
    <w:p w14:paraId="0EA07839" w14:textId="77777777" w:rsidR="002D6CA8" w:rsidRPr="0005438A" w:rsidRDefault="002D6CA8" w:rsidP="002D6CA8">
      <w:pPr>
        <w:pStyle w:val="Textonotapie"/>
        <w:ind w:firstLine="708"/>
        <w:jc w:val="both"/>
        <w:rPr>
          <w:rFonts w:ascii="Verdana" w:hAnsi="Verdana" w:cs="Arial"/>
          <w:color w:val="000000" w:themeColor="text1"/>
          <w:sz w:val="14"/>
          <w:szCs w:val="14"/>
        </w:rPr>
      </w:pPr>
      <w:r w:rsidRPr="0005438A">
        <w:rPr>
          <w:rFonts w:ascii="Verdana" w:hAnsi="Verdana" w:cs="Arial"/>
          <w:color w:val="000000" w:themeColor="text1"/>
          <w:sz w:val="14"/>
          <w:szCs w:val="14"/>
        </w:rPr>
        <w:t>4. Las condiciones de costo y/o calidad que la Entidad Estatal debe tener en cuenta para la selección objetiva, de acuerdo con la modalidad de selección del contratista.</w:t>
      </w:r>
    </w:p>
    <w:p w14:paraId="3D30D06A" w14:textId="77777777" w:rsidR="002D6CA8" w:rsidRPr="0005438A" w:rsidRDefault="002D6CA8" w:rsidP="002D6CA8">
      <w:pPr>
        <w:pStyle w:val="Textonotapie"/>
        <w:ind w:firstLine="708"/>
        <w:jc w:val="both"/>
        <w:rPr>
          <w:rFonts w:ascii="Verdana" w:hAnsi="Verdana" w:cs="Arial"/>
          <w:color w:val="000000" w:themeColor="text1"/>
          <w:sz w:val="14"/>
          <w:szCs w:val="14"/>
        </w:rPr>
      </w:pPr>
      <w:r w:rsidRPr="0005438A">
        <w:rPr>
          <w:rFonts w:ascii="Verdana" w:hAnsi="Verdana" w:cs="Arial"/>
          <w:color w:val="000000" w:themeColor="text1"/>
          <w:sz w:val="14"/>
          <w:szCs w:val="14"/>
        </w:rPr>
        <w:t>5.    Las reglas aplicables a la presentación de las ofertas, su evaluación y a la adjudicación del contrato.</w:t>
      </w:r>
    </w:p>
    <w:p w14:paraId="14B844B5" w14:textId="77777777" w:rsidR="002D6CA8" w:rsidRPr="0005438A" w:rsidRDefault="002D6CA8" w:rsidP="002D6CA8">
      <w:pPr>
        <w:pStyle w:val="Textonotapie"/>
        <w:ind w:firstLine="708"/>
        <w:jc w:val="both"/>
        <w:rPr>
          <w:rFonts w:ascii="Verdana" w:hAnsi="Verdana" w:cs="Arial"/>
          <w:color w:val="000000" w:themeColor="text1"/>
          <w:sz w:val="14"/>
          <w:szCs w:val="14"/>
        </w:rPr>
      </w:pPr>
      <w:r w:rsidRPr="0005438A">
        <w:rPr>
          <w:rFonts w:ascii="Verdana" w:hAnsi="Verdana" w:cs="Arial"/>
          <w:color w:val="000000" w:themeColor="text1"/>
          <w:sz w:val="14"/>
          <w:szCs w:val="14"/>
        </w:rPr>
        <w:t>6. Las causas que dan lugar a rechazar una oferta.</w:t>
      </w:r>
    </w:p>
    <w:p w14:paraId="7C309131" w14:textId="77777777" w:rsidR="002D6CA8" w:rsidRPr="0005438A" w:rsidRDefault="002D6CA8" w:rsidP="002D6CA8">
      <w:pPr>
        <w:pStyle w:val="Textonotapie"/>
        <w:ind w:firstLine="708"/>
        <w:jc w:val="both"/>
        <w:rPr>
          <w:rFonts w:ascii="Verdana" w:hAnsi="Verdana" w:cs="Arial"/>
          <w:color w:val="000000" w:themeColor="text1"/>
          <w:sz w:val="14"/>
          <w:szCs w:val="14"/>
        </w:rPr>
      </w:pPr>
      <w:r w:rsidRPr="0005438A">
        <w:rPr>
          <w:rFonts w:ascii="Verdana" w:hAnsi="Verdana" w:cs="Arial"/>
          <w:color w:val="000000" w:themeColor="text1"/>
          <w:sz w:val="14"/>
          <w:szCs w:val="14"/>
        </w:rPr>
        <w:t>7. El valor del contrato, el plazo, el cronograma de pagos y la determinación de si debe haber lugar a la entrega de anticipo, y si hubiere, indicar su valor, el cual debe tener en cuenta los rendimientos que este pueda generar.</w:t>
      </w:r>
    </w:p>
    <w:p w14:paraId="6E3F02E7" w14:textId="77777777" w:rsidR="002D6CA8" w:rsidRPr="0005438A" w:rsidRDefault="002D6CA8" w:rsidP="002D6CA8">
      <w:pPr>
        <w:pStyle w:val="Textonotapie"/>
        <w:ind w:firstLine="708"/>
        <w:jc w:val="both"/>
        <w:rPr>
          <w:rFonts w:ascii="Verdana" w:hAnsi="Verdana" w:cs="Arial"/>
          <w:color w:val="000000" w:themeColor="text1"/>
          <w:sz w:val="14"/>
          <w:szCs w:val="14"/>
        </w:rPr>
      </w:pPr>
      <w:r w:rsidRPr="0005438A">
        <w:rPr>
          <w:rFonts w:ascii="Verdana" w:hAnsi="Verdana" w:cs="Arial"/>
          <w:color w:val="000000" w:themeColor="text1"/>
          <w:sz w:val="14"/>
          <w:szCs w:val="14"/>
        </w:rPr>
        <w:t>8. Los Riesgos asociados al contrato, la forma de mitigarlos y la asignación del Riesgo entre las partes contratantes.</w:t>
      </w:r>
    </w:p>
    <w:p w14:paraId="025F4CBC" w14:textId="77777777" w:rsidR="002D6CA8" w:rsidRPr="0005438A" w:rsidRDefault="002D6CA8" w:rsidP="002D6CA8">
      <w:pPr>
        <w:pStyle w:val="Textonotapie"/>
        <w:ind w:firstLine="708"/>
        <w:jc w:val="both"/>
        <w:rPr>
          <w:rFonts w:ascii="Verdana" w:hAnsi="Verdana" w:cs="Arial"/>
          <w:color w:val="000000" w:themeColor="text1"/>
          <w:sz w:val="14"/>
          <w:szCs w:val="14"/>
        </w:rPr>
      </w:pPr>
      <w:r w:rsidRPr="0005438A">
        <w:rPr>
          <w:rFonts w:ascii="Verdana" w:hAnsi="Verdana" w:cs="Arial"/>
          <w:color w:val="000000" w:themeColor="text1"/>
          <w:sz w:val="14"/>
          <w:szCs w:val="14"/>
        </w:rPr>
        <w:t>9. Las garantías exigidas en el Proceso de Contratación y sus condiciones.</w:t>
      </w:r>
    </w:p>
    <w:p w14:paraId="1D0F82AB" w14:textId="77777777" w:rsidR="002D6CA8" w:rsidRPr="0005438A" w:rsidRDefault="002D6CA8" w:rsidP="002D6CA8">
      <w:pPr>
        <w:pStyle w:val="Textonotapie"/>
        <w:ind w:firstLine="708"/>
        <w:jc w:val="both"/>
        <w:rPr>
          <w:rFonts w:ascii="Verdana" w:hAnsi="Verdana" w:cs="Arial"/>
          <w:color w:val="000000" w:themeColor="text1"/>
          <w:sz w:val="14"/>
          <w:szCs w:val="14"/>
        </w:rPr>
      </w:pPr>
      <w:r w:rsidRPr="0005438A">
        <w:rPr>
          <w:rFonts w:ascii="Verdana" w:hAnsi="Verdana" w:cs="Arial"/>
          <w:color w:val="000000" w:themeColor="text1"/>
          <w:sz w:val="14"/>
          <w:szCs w:val="14"/>
        </w:rPr>
        <w:t>10. La mención de si la Entidad Estatal y el contrato objeto de los pliegos de condiciones están cubiertos por un Acuerdo Comercial.</w:t>
      </w:r>
    </w:p>
    <w:p w14:paraId="7714A0B4" w14:textId="77777777" w:rsidR="002D6CA8" w:rsidRPr="0005438A" w:rsidRDefault="002D6CA8" w:rsidP="002D6CA8">
      <w:pPr>
        <w:pStyle w:val="Textonotapie"/>
        <w:ind w:firstLine="708"/>
        <w:jc w:val="both"/>
        <w:rPr>
          <w:rFonts w:ascii="Verdana" w:hAnsi="Verdana" w:cs="Arial"/>
          <w:color w:val="000000" w:themeColor="text1"/>
          <w:sz w:val="14"/>
          <w:szCs w:val="14"/>
        </w:rPr>
      </w:pPr>
      <w:r w:rsidRPr="0005438A">
        <w:rPr>
          <w:rFonts w:ascii="Verdana" w:hAnsi="Verdana" w:cs="Arial"/>
          <w:color w:val="000000" w:themeColor="text1"/>
          <w:sz w:val="14"/>
          <w:szCs w:val="14"/>
        </w:rPr>
        <w:t>11. Los términos, condiciones y minuta del contrato.</w:t>
      </w:r>
    </w:p>
    <w:p w14:paraId="6D660E47" w14:textId="77777777" w:rsidR="002D6CA8" w:rsidRPr="0005438A" w:rsidRDefault="002D6CA8" w:rsidP="002D6CA8">
      <w:pPr>
        <w:pStyle w:val="Textonotapie"/>
        <w:ind w:firstLine="708"/>
        <w:jc w:val="both"/>
        <w:rPr>
          <w:rFonts w:ascii="Verdana" w:hAnsi="Verdana" w:cs="Arial"/>
          <w:color w:val="000000" w:themeColor="text1"/>
          <w:sz w:val="14"/>
          <w:szCs w:val="14"/>
        </w:rPr>
      </w:pPr>
      <w:r w:rsidRPr="0005438A">
        <w:rPr>
          <w:rFonts w:ascii="Verdana" w:hAnsi="Verdana" w:cs="Arial"/>
          <w:color w:val="000000" w:themeColor="text1"/>
          <w:sz w:val="14"/>
          <w:szCs w:val="14"/>
        </w:rPr>
        <w:t>12. Los términos de la supervisión y/o de la interventoría del contrato.</w:t>
      </w:r>
    </w:p>
    <w:p w14:paraId="7F3EA16A" w14:textId="77777777" w:rsidR="002D6CA8" w:rsidRPr="0005438A" w:rsidRDefault="002D6CA8" w:rsidP="002D6CA8">
      <w:pPr>
        <w:pStyle w:val="Textonotapie"/>
        <w:ind w:firstLine="708"/>
        <w:jc w:val="both"/>
        <w:rPr>
          <w:rFonts w:ascii="Verdana" w:hAnsi="Verdana" w:cs="Arial"/>
          <w:color w:val="000000" w:themeColor="text1"/>
          <w:sz w:val="14"/>
          <w:szCs w:val="14"/>
        </w:rPr>
      </w:pPr>
      <w:r w:rsidRPr="0005438A">
        <w:rPr>
          <w:rFonts w:ascii="Verdana" w:hAnsi="Verdana" w:cs="Arial"/>
          <w:color w:val="000000" w:themeColor="text1"/>
          <w:sz w:val="14"/>
          <w:szCs w:val="14"/>
        </w:rPr>
        <w:t>13. El plazo dentro del cual la Entidad Estatal puede expedir Adendas.</w:t>
      </w:r>
    </w:p>
    <w:p w14:paraId="20C367CE" w14:textId="77777777" w:rsidR="002D6CA8" w:rsidRPr="0005438A" w:rsidRDefault="002D6CA8" w:rsidP="002D6CA8">
      <w:pPr>
        <w:pStyle w:val="Textonotapie"/>
        <w:ind w:firstLine="708"/>
        <w:jc w:val="both"/>
        <w:rPr>
          <w:rFonts w:ascii="Verdana" w:hAnsi="Verdana" w:cs="Arial"/>
          <w:color w:val="000000" w:themeColor="text1"/>
          <w:sz w:val="14"/>
          <w:szCs w:val="14"/>
        </w:rPr>
      </w:pPr>
      <w:r w:rsidRPr="0005438A">
        <w:rPr>
          <w:rFonts w:ascii="Verdana" w:hAnsi="Verdana" w:cs="Arial"/>
          <w:color w:val="000000" w:themeColor="text1"/>
          <w:sz w:val="14"/>
          <w:szCs w:val="14"/>
        </w:rPr>
        <w:t>14. El Cronograma”.</w:t>
      </w:r>
    </w:p>
    <w:p w14:paraId="03720CE7" w14:textId="77777777" w:rsidR="002D6CA8" w:rsidRPr="0005438A" w:rsidRDefault="002D6CA8" w:rsidP="002D6CA8">
      <w:pPr>
        <w:pStyle w:val="Textonotapie"/>
        <w:jc w:val="both"/>
        <w:rPr>
          <w:rFonts w:ascii="Verdana" w:hAnsi="Verdana" w:cs="Arial"/>
          <w:color w:val="000000" w:themeColor="text1"/>
          <w:sz w:val="14"/>
          <w:szCs w:val="1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980216"/>
    <w:multiLevelType w:val="multilevel"/>
    <w:tmpl w:val="8976FB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FBC25EC"/>
    <w:multiLevelType w:val="hybridMultilevel"/>
    <w:tmpl w:val="116E12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8613BFD"/>
    <w:multiLevelType w:val="hybridMultilevel"/>
    <w:tmpl w:val="47562414"/>
    <w:lvl w:ilvl="0" w:tplc="240A0015">
      <w:start w:val="8"/>
      <w:numFmt w:val="upperLetter"/>
      <w:lvlText w:val="%1."/>
      <w:lvlJc w:val="left"/>
      <w:pPr>
        <w:ind w:left="1070" w:hanging="360"/>
      </w:pPr>
      <w:rPr>
        <w:rFonts w:hint="default"/>
      </w:rPr>
    </w:lvl>
    <w:lvl w:ilvl="1" w:tplc="240A0019" w:tentative="1">
      <w:start w:val="1"/>
      <w:numFmt w:val="lowerLetter"/>
      <w:lvlText w:val="%2."/>
      <w:lvlJc w:val="left"/>
      <w:pPr>
        <w:ind w:left="1790" w:hanging="360"/>
      </w:pPr>
    </w:lvl>
    <w:lvl w:ilvl="2" w:tplc="240A001B" w:tentative="1">
      <w:start w:val="1"/>
      <w:numFmt w:val="lowerRoman"/>
      <w:lvlText w:val="%3."/>
      <w:lvlJc w:val="right"/>
      <w:pPr>
        <w:ind w:left="2510" w:hanging="180"/>
      </w:pPr>
    </w:lvl>
    <w:lvl w:ilvl="3" w:tplc="240A000F" w:tentative="1">
      <w:start w:val="1"/>
      <w:numFmt w:val="decimal"/>
      <w:lvlText w:val="%4."/>
      <w:lvlJc w:val="left"/>
      <w:pPr>
        <w:ind w:left="3230" w:hanging="360"/>
      </w:pPr>
    </w:lvl>
    <w:lvl w:ilvl="4" w:tplc="240A0019" w:tentative="1">
      <w:start w:val="1"/>
      <w:numFmt w:val="lowerLetter"/>
      <w:lvlText w:val="%5."/>
      <w:lvlJc w:val="left"/>
      <w:pPr>
        <w:ind w:left="3950" w:hanging="360"/>
      </w:pPr>
    </w:lvl>
    <w:lvl w:ilvl="5" w:tplc="240A001B" w:tentative="1">
      <w:start w:val="1"/>
      <w:numFmt w:val="lowerRoman"/>
      <w:lvlText w:val="%6."/>
      <w:lvlJc w:val="right"/>
      <w:pPr>
        <w:ind w:left="4670" w:hanging="180"/>
      </w:pPr>
    </w:lvl>
    <w:lvl w:ilvl="6" w:tplc="240A000F" w:tentative="1">
      <w:start w:val="1"/>
      <w:numFmt w:val="decimal"/>
      <w:lvlText w:val="%7."/>
      <w:lvlJc w:val="left"/>
      <w:pPr>
        <w:ind w:left="5390" w:hanging="360"/>
      </w:pPr>
    </w:lvl>
    <w:lvl w:ilvl="7" w:tplc="240A0019" w:tentative="1">
      <w:start w:val="1"/>
      <w:numFmt w:val="lowerLetter"/>
      <w:lvlText w:val="%8."/>
      <w:lvlJc w:val="left"/>
      <w:pPr>
        <w:ind w:left="6110" w:hanging="360"/>
      </w:pPr>
    </w:lvl>
    <w:lvl w:ilvl="8" w:tplc="240A001B" w:tentative="1">
      <w:start w:val="1"/>
      <w:numFmt w:val="lowerRoman"/>
      <w:lvlText w:val="%9."/>
      <w:lvlJc w:val="right"/>
      <w:pPr>
        <w:ind w:left="6830" w:hanging="180"/>
      </w:pPr>
    </w:lvl>
  </w:abstractNum>
  <w:abstractNum w:abstractNumId="5"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4075157B"/>
    <w:multiLevelType w:val="hybridMultilevel"/>
    <w:tmpl w:val="141E3880"/>
    <w:lvl w:ilvl="0" w:tplc="B73E7620">
      <w:start w:val="24"/>
      <w:numFmt w:val="upperLetter"/>
      <w:lvlText w:val="%1."/>
      <w:lvlJc w:val="left"/>
      <w:pPr>
        <w:ind w:left="1070" w:hanging="360"/>
      </w:pPr>
      <w:rPr>
        <w:rFonts w:hint="default"/>
      </w:rPr>
    </w:lvl>
    <w:lvl w:ilvl="1" w:tplc="240A0019" w:tentative="1">
      <w:start w:val="1"/>
      <w:numFmt w:val="lowerLetter"/>
      <w:lvlText w:val="%2."/>
      <w:lvlJc w:val="left"/>
      <w:pPr>
        <w:ind w:left="1790" w:hanging="360"/>
      </w:pPr>
    </w:lvl>
    <w:lvl w:ilvl="2" w:tplc="240A001B" w:tentative="1">
      <w:start w:val="1"/>
      <w:numFmt w:val="lowerRoman"/>
      <w:lvlText w:val="%3."/>
      <w:lvlJc w:val="right"/>
      <w:pPr>
        <w:ind w:left="2510" w:hanging="180"/>
      </w:pPr>
    </w:lvl>
    <w:lvl w:ilvl="3" w:tplc="240A000F" w:tentative="1">
      <w:start w:val="1"/>
      <w:numFmt w:val="decimal"/>
      <w:lvlText w:val="%4."/>
      <w:lvlJc w:val="left"/>
      <w:pPr>
        <w:ind w:left="3230" w:hanging="360"/>
      </w:pPr>
    </w:lvl>
    <w:lvl w:ilvl="4" w:tplc="240A0019" w:tentative="1">
      <w:start w:val="1"/>
      <w:numFmt w:val="lowerLetter"/>
      <w:lvlText w:val="%5."/>
      <w:lvlJc w:val="left"/>
      <w:pPr>
        <w:ind w:left="3950" w:hanging="360"/>
      </w:pPr>
    </w:lvl>
    <w:lvl w:ilvl="5" w:tplc="240A001B" w:tentative="1">
      <w:start w:val="1"/>
      <w:numFmt w:val="lowerRoman"/>
      <w:lvlText w:val="%6."/>
      <w:lvlJc w:val="right"/>
      <w:pPr>
        <w:ind w:left="4670" w:hanging="180"/>
      </w:pPr>
    </w:lvl>
    <w:lvl w:ilvl="6" w:tplc="240A000F" w:tentative="1">
      <w:start w:val="1"/>
      <w:numFmt w:val="decimal"/>
      <w:lvlText w:val="%7."/>
      <w:lvlJc w:val="left"/>
      <w:pPr>
        <w:ind w:left="5390" w:hanging="360"/>
      </w:pPr>
    </w:lvl>
    <w:lvl w:ilvl="7" w:tplc="240A0019" w:tentative="1">
      <w:start w:val="1"/>
      <w:numFmt w:val="lowerLetter"/>
      <w:lvlText w:val="%8."/>
      <w:lvlJc w:val="left"/>
      <w:pPr>
        <w:ind w:left="6110" w:hanging="360"/>
      </w:pPr>
    </w:lvl>
    <w:lvl w:ilvl="8" w:tplc="240A001B" w:tentative="1">
      <w:start w:val="1"/>
      <w:numFmt w:val="lowerRoman"/>
      <w:lvlText w:val="%9."/>
      <w:lvlJc w:val="right"/>
      <w:pPr>
        <w:ind w:left="6830" w:hanging="180"/>
      </w:pPr>
    </w:lvl>
  </w:abstractNum>
  <w:abstractNum w:abstractNumId="8"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9" w15:restartNumberingAfterBreak="0">
    <w:nsid w:val="6EC101B1"/>
    <w:multiLevelType w:val="hybridMultilevel"/>
    <w:tmpl w:val="FFFFFFFF"/>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6FFC6F58"/>
    <w:multiLevelType w:val="hybridMultilevel"/>
    <w:tmpl w:val="AD226C04"/>
    <w:lvl w:ilvl="0" w:tplc="44AE12E2">
      <w:start w:val="5"/>
      <w:numFmt w:val="upp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1" w15:restartNumberingAfterBreak="0">
    <w:nsid w:val="753C5CEB"/>
    <w:multiLevelType w:val="hybridMultilevel"/>
    <w:tmpl w:val="0B0ACE34"/>
    <w:lvl w:ilvl="0" w:tplc="63A052FC">
      <w:start w:val="1"/>
      <w:numFmt w:val="lowerRoman"/>
      <w:lvlText w:val="%1."/>
      <w:lvlJc w:val="left"/>
      <w:pPr>
        <w:ind w:left="1080" w:hanging="720"/>
      </w:pPr>
      <w:rPr>
        <w:rFonts w:eastAsia="Century Gothic" w:cs="Century Gothic" w:hint="default"/>
        <w:color w:val="000000" w:themeColor="text1"/>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341274352">
    <w:abstractNumId w:val="0"/>
  </w:num>
  <w:num w:numId="2" w16cid:durableId="140847646">
    <w:abstractNumId w:val="6"/>
  </w:num>
  <w:num w:numId="3" w16cid:durableId="651374235">
    <w:abstractNumId w:val="11"/>
  </w:num>
  <w:num w:numId="4" w16cid:durableId="1492209491">
    <w:abstractNumId w:val="5"/>
  </w:num>
  <w:num w:numId="5" w16cid:durableId="966934083">
    <w:abstractNumId w:val="9"/>
  </w:num>
  <w:num w:numId="6" w16cid:durableId="19822139">
    <w:abstractNumId w:val="2"/>
  </w:num>
  <w:num w:numId="7" w16cid:durableId="1358431546">
    <w:abstractNumId w:val="3"/>
  </w:num>
  <w:num w:numId="8" w16cid:durableId="1790396750">
    <w:abstractNumId w:val="1"/>
  </w:num>
  <w:num w:numId="9" w16cid:durableId="1548419692">
    <w:abstractNumId w:val="10"/>
  </w:num>
  <w:num w:numId="10" w16cid:durableId="1443304022">
    <w:abstractNumId w:val="4"/>
  </w:num>
  <w:num w:numId="11" w16cid:durableId="501051064">
    <w:abstractNumId w:val="7"/>
  </w:num>
  <w:num w:numId="12" w16cid:durableId="1355153779">
    <w:abstractNumId w:val="8"/>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2297"/>
    <w:rsid w:val="000031D4"/>
    <w:rsid w:val="0000366A"/>
    <w:rsid w:val="000036CD"/>
    <w:rsid w:val="0000413F"/>
    <w:rsid w:val="00004E03"/>
    <w:rsid w:val="00006ED5"/>
    <w:rsid w:val="00007841"/>
    <w:rsid w:val="000130B1"/>
    <w:rsid w:val="00016F78"/>
    <w:rsid w:val="00020742"/>
    <w:rsid w:val="00023841"/>
    <w:rsid w:val="00025FAD"/>
    <w:rsid w:val="00026E67"/>
    <w:rsid w:val="00030157"/>
    <w:rsid w:val="0003198F"/>
    <w:rsid w:val="00040435"/>
    <w:rsid w:val="000428CA"/>
    <w:rsid w:val="00043F94"/>
    <w:rsid w:val="00046945"/>
    <w:rsid w:val="00050A45"/>
    <w:rsid w:val="0005583D"/>
    <w:rsid w:val="000569D7"/>
    <w:rsid w:val="000612AF"/>
    <w:rsid w:val="00061B2A"/>
    <w:rsid w:val="00061BF9"/>
    <w:rsid w:val="00064216"/>
    <w:rsid w:val="00066257"/>
    <w:rsid w:val="00070A47"/>
    <w:rsid w:val="000715F9"/>
    <w:rsid w:val="00071D04"/>
    <w:rsid w:val="000741CF"/>
    <w:rsid w:val="000744A4"/>
    <w:rsid w:val="00074755"/>
    <w:rsid w:val="00075B38"/>
    <w:rsid w:val="00080D3D"/>
    <w:rsid w:val="00082362"/>
    <w:rsid w:val="00096CB6"/>
    <w:rsid w:val="000A4C59"/>
    <w:rsid w:val="000A5510"/>
    <w:rsid w:val="000A683E"/>
    <w:rsid w:val="000B19B9"/>
    <w:rsid w:val="000B5978"/>
    <w:rsid w:val="000C41A1"/>
    <w:rsid w:val="000C5BB0"/>
    <w:rsid w:val="000D0334"/>
    <w:rsid w:val="000D1527"/>
    <w:rsid w:val="000D32F2"/>
    <w:rsid w:val="000D374A"/>
    <w:rsid w:val="000D39A8"/>
    <w:rsid w:val="000D6575"/>
    <w:rsid w:val="000E553C"/>
    <w:rsid w:val="000F2673"/>
    <w:rsid w:val="000F3B46"/>
    <w:rsid w:val="000F44F1"/>
    <w:rsid w:val="000F6486"/>
    <w:rsid w:val="000F7495"/>
    <w:rsid w:val="00103B36"/>
    <w:rsid w:val="00103B37"/>
    <w:rsid w:val="00104557"/>
    <w:rsid w:val="00105873"/>
    <w:rsid w:val="0011036B"/>
    <w:rsid w:val="001115F7"/>
    <w:rsid w:val="001120E1"/>
    <w:rsid w:val="00115596"/>
    <w:rsid w:val="00116BF3"/>
    <w:rsid w:val="00117910"/>
    <w:rsid w:val="001216D8"/>
    <w:rsid w:val="00121D93"/>
    <w:rsid w:val="00123942"/>
    <w:rsid w:val="00125105"/>
    <w:rsid w:val="00127233"/>
    <w:rsid w:val="00131F6C"/>
    <w:rsid w:val="00134D45"/>
    <w:rsid w:val="00136DDB"/>
    <w:rsid w:val="001511A0"/>
    <w:rsid w:val="001550A9"/>
    <w:rsid w:val="00155790"/>
    <w:rsid w:val="00155AF4"/>
    <w:rsid w:val="00157516"/>
    <w:rsid w:val="0016458B"/>
    <w:rsid w:val="001672EF"/>
    <w:rsid w:val="00171455"/>
    <w:rsid w:val="001805EB"/>
    <w:rsid w:val="00184FD0"/>
    <w:rsid w:val="00190152"/>
    <w:rsid w:val="00190921"/>
    <w:rsid w:val="001951C0"/>
    <w:rsid w:val="001A1D91"/>
    <w:rsid w:val="001B36DA"/>
    <w:rsid w:val="001B6057"/>
    <w:rsid w:val="001C2B2F"/>
    <w:rsid w:val="001D1CC2"/>
    <w:rsid w:val="001D556A"/>
    <w:rsid w:val="001D6A29"/>
    <w:rsid w:val="001E4177"/>
    <w:rsid w:val="001E4D2C"/>
    <w:rsid w:val="001F0087"/>
    <w:rsid w:val="001F2608"/>
    <w:rsid w:val="001F2CD0"/>
    <w:rsid w:val="001F32BC"/>
    <w:rsid w:val="001F3C2F"/>
    <w:rsid w:val="001F7DC6"/>
    <w:rsid w:val="0020008A"/>
    <w:rsid w:val="002016D7"/>
    <w:rsid w:val="00202133"/>
    <w:rsid w:val="002103B5"/>
    <w:rsid w:val="00213E81"/>
    <w:rsid w:val="002153FB"/>
    <w:rsid w:val="0022654C"/>
    <w:rsid w:val="00227D83"/>
    <w:rsid w:val="00236655"/>
    <w:rsid w:val="00240332"/>
    <w:rsid w:val="00241C6F"/>
    <w:rsid w:val="002421BB"/>
    <w:rsid w:val="00243D94"/>
    <w:rsid w:val="00243EB3"/>
    <w:rsid w:val="00244003"/>
    <w:rsid w:val="00246C1B"/>
    <w:rsid w:val="002565C6"/>
    <w:rsid w:val="0025796E"/>
    <w:rsid w:val="00261865"/>
    <w:rsid w:val="002707A2"/>
    <w:rsid w:val="002768F9"/>
    <w:rsid w:val="00281F2F"/>
    <w:rsid w:val="0028627B"/>
    <w:rsid w:val="0029110A"/>
    <w:rsid w:val="002951A0"/>
    <w:rsid w:val="002962BC"/>
    <w:rsid w:val="002A093D"/>
    <w:rsid w:val="002A0DD0"/>
    <w:rsid w:val="002A49AC"/>
    <w:rsid w:val="002A5959"/>
    <w:rsid w:val="002A64FD"/>
    <w:rsid w:val="002B07F5"/>
    <w:rsid w:val="002B2C5D"/>
    <w:rsid w:val="002C2C14"/>
    <w:rsid w:val="002C31F4"/>
    <w:rsid w:val="002C4DD6"/>
    <w:rsid w:val="002C7A84"/>
    <w:rsid w:val="002C7C31"/>
    <w:rsid w:val="002D09DF"/>
    <w:rsid w:val="002D2F95"/>
    <w:rsid w:val="002D4655"/>
    <w:rsid w:val="002D6CA8"/>
    <w:rsid w:val="002D7BA3"/>
    <w:rsid w:val="002E1DE9"/>
    <w:rsid w:val="002E4FD9"/>
    <w:rsid w:val="002E7823"/>
    <w:rsid w:val="002F50D4"/>
    <w:rsid w:val="00307E2F"/>
    <w:rsid w:val="00310F02"/>
    <w:rsid w:val="0031246C"/>
    <w:rsid w:val="00312C79"/>
    <w:rsid w:val="003156F7"/>
    <w:rsid w:val="003210B9"/>
    <w:rsid w:val="00322A85"/>
    <w:rsid w:val="00324168"/>
    <w:rsid w:val="0034115E"/>
    <w:rsid w:val="003434C2"/>
    <w:rsid w:val="003439EA"/>
    <w:rsid w:val="003448F4"/>
    <w:rsid w:val="003449DF"/>
    <w:rsid w:val="00347989"/>
    <w:rsid w:val="00354733"/>
    <w:rsid w:val="00354921"/>
    <w:rsid w:val="00356BB6"/>
    <w:rsid w:val="003574B8"/>
    <w:rsid w:val="00357CBC"/>
    <w:rsid w:val="00361D55"/>
    <w:rsid w:val="003638DA"/>
    <w:rsid w:val="0036566B"/>
    <w:rsid w:val="00366ECA"/>
    <w:rsid w:val="0037185D"/>
    <w:rsid w:val="00374F5E"/>
    <w:rsid w:val="00375D58"/>
    <w:rsid w:val="00377E3E"/>
    <w:rsid w:val="00384BC1"/>
    <w:rsid w:val="003851C4"/>
    <w:rsid w:val="00385D7A"/>
    <w:rsid w:val="00392243"/>
    <w:rsid w:val="00393E99"/>
    <w:rsid w:val="003967EF"/>
    <w:rsid w:val="003A779E"/>
    <w:rsid w:val="003B4357"/>
    <w:rsid w:val="003B7A7F"/>
    <w:rsid w:val="003C1482"/>
    <w:rsid w:val="003C1E04"/>
    <w:rsid w:val="003C201D"/>
    <w:rsid w:val="003C34EC"/>
    <w:rsid w:val="003C60CC"/>
    <w:rsid w:val="003C7DF5"/>
    <w:rsid w:val="003D038F"/>
    <w:rsid w:val="003D0F4D"/>
    <w:rsid w:val="003D4F7A"/>
    <w:rsid w:val="003D5B0D"/>
    <w:rsid w:val="003D6DC3"/>
    <w:rsid w:val="003E0499"/>
    <w:rsid w:val="003E157B"/>
    <w:rsid w:val="003E4C15"/>
    <w:rsid w:val="003F1356"/>
    <w:rsid w:val="003F36D8"/>
    <w:rsid w:val="003F3941"/>
    <w:rsid w:val="003F4477"/>
    <w:rsid w:val="00400257"/>
    <w:rsid w:val="004041D3"/>
    <w:rsid w:val="00406575"/>
    <w:rsid w:val="00412485"/>
    <w:rsid w:val="0041325A"/>
    <w:rsid w:val="00414C74"/>
    <w:rsid w:val="00414ED9"/>
    <w:rsid w:val="00420D97"/>
    <w:rsid w:val="0042722E"/>
    <w:rsid w:val="004278EC"/>
    <w:rsid w:val="00431C9C"/>
    <w:rsid w:val="00432F47"/>
    <w:rsid w:val="00433266"/>
    <w:rsid w:val="00434706"/>
    <w:rsid w:val="00434C7E"/>
    <w:rsid w:val="004352F5"/>
    <w:rsid w:val="0043540B"/>
    <w:rsid w:val="00435C1F"/>
    <w:rsid w:val="00440F69"/>
    <w:rsid w:val="0044528D"/>
    <w:rsid w:val="00450DBE"/>
    <w:rsid w:val="00451319"/>
    <w:rsid w:val="00453E51"/>
    <w:rsid w:val="004571FD"/>
    <w:rsid w:val="00457487"/>
    <w:rsid w:val="0046108F"/>
    <w:rsid w:val="0046338E"/>
    <w:rsid w:val="0046750B"/>
    <w:rsid w:val="00467D00"/>
    <w:rsid w:val="00471225"/>
    <w:rsid w:val="004801D1"/>
    <w:rsid w:val="0048243F"/>
    <w:rsid w:val="00486830"/>
    <w:rsid w:val="00490984"/>
    <w:rsid w:val="004957D9"/>
    <w:rsid w:val="00496C3E"/>
    <w:rsid w:val="004A153D"/>
    <w:rsid w:val="004A1847"/>
    <w:rsid w:val="004A210F"/>
    <w:rsid w:val="004A305D"/>
    <w:rsid w:val="004B1A01"/>
    <w:rsid w:val="004B2C42"/>
    <w:rsid w:val="004B4626"/>
    <w:rsid w:val="004B4703"/>
    <w:rsid w:val="004B557B"/>
    <w:rsid w:val="004B5BD7"/>
    <w:rsid w:val="004C29E8"/>
    <w:rsid w:val="004C3ACE"/>
    <w:rsid w:val="004C64F4"/>
    <w:rsid w:val="004C7B86"/>
    <w:rsid w:val="004D1C63"/>
    <w:rsid w:val="004D1C85"/>
    <w:rsid w:val="004D77CE"/>
    <w:rsid w:val="004E3AD0"/>
    <w:rsid w:val="004E6EAC"/>
    <w:rsid w:val="004F21C4"/>
    <w:rsid w:val="004F345C"/>
    <w:rsid w:val="004F35BB"/>
    <w:rsid w:val="004F685F"/>
    <w:rsid w:val="004F6A51"/>
    <w:rsid w:val="004F73E8"/>
    <w:rsid w:val="005016D1"/>
    <w:rsid w:val="005018F0"/>
    <w:rsid w:val="005123B8"/>
    <w:rsid w:val="00514F13"/>
    <w:rsid w:val="00517B15"/>
    <w:rsid w:val="00527CDF"/>
    <w:rsid w:val="00535F3F"/>
    <w:rsid w:val="00543501"/>
    <w:rsid w:val="0055236C"/>
    <w:rsid w:val="005539B5"/>
    <w:rsid w:val="005566E8"/>
    <w:rsid w:val="00557A80"/>
    <w:rsid w:val="00571FDA"/>
    <w:rsid w:val="00574867"/>
    <w:rsid w:val="00575B29"/>
    <w:rsid w:val="0057684F"/>
    <w:rsid w:val="005906F4"/>
    <w:rsid w:val="00591460"/>
    <w:rsid w:val="00593890"/>
    <w:rsid w:val="005A1A21"/>
    <w:rsid w:val="005A25FF"/>
    <w:rsid w:val="005A2AF9"/>
    <w:rsid w:val="005A3A3B"/>
    <w:rsid w:val="005A52F5"/>
    <w:rsid w:val="005A76EA"/>
    <w:rsid w:val="005A7CD6"/>
    <w:rsid w:val="005B261C"/>
    <w:rsid w:val="005B2D46"/>
    <w:rsid w:val="005B3816"/>
    <w:rsid w:val="005B3E70"/>
    <w:rsid w:val="005B5954"/>
    <w:rsid w:val="005B6B50"/>
    <w:rsid w:val="005C3596"/>
    <w:rsid w:val="005C3777"/>
    <w:rsid w:val="005C57E4"/>
    <w:rsid w:val="005C5868"/>
    <w:rsid w:val="005C5893"/>
    <w:rsid w:val="005C5BE7"/>
    <w:rsid w:val="005C5CDC"/>
    <w:rsid w:val="005D29E2"/>
    <w:rsid w:val="005D2DF8"/>
    <w:rsid w:val="005D476C"/>
    <w:rsid w:val="005D5B46"/>
    <w:rsid w:val="005D5FB1"/>
    <w:rsid w:val="005E0D10"/>
    <w:rsid w:val="005E0DA4"/>
    <w:rsid w:val="005E256F"/>
    <w:rsid w:val="005E450B"/>
    <w:rsid w:val="005E4B19"/>
    <w:rsid w:val="005F338A"/>
    <w:rsid w:val="005F4E30"/>
    <w:rsid w:val="005F6BCE"/>
    <w:rsid w:val="0060028A"/>
    <w:rsid w:val="0060398A"/>
    <w:rsid w:val="00606398"/>
    <w:rsid w:val="006149BD"/>
    <w:rsid w:val="00616168"/>
    <w:rsid w:val="00617D2D"/>
    <w:rsid w:val="006219F8"/>
    <w:rsid w:val="00632B76"/>
    <w:rsid w:val="00632FA8"/>
    <w:rsid w:val="00654612"/>
    <w:rsid w:val="00654A87"/>
    <w:rsid w:val="006612CC"/>
    <w:rsid w:val="0066306F"/>
    <w:rsid w:val="00665D70"/>
    <w:rsid w:val="00677DC3"/>
    <w:rsid w:val="00682B04"/>
    <w:rsid w:val="006900D9"/>
    <w:rsid w:val="00692C49"/>
    <w:rsid w:val="006A3C99"/>
    <w:rsid w:val="006A78A2"/>
    <w:rsid w:val="006B1DE1"/>
    <w:rsid w:val="006B2B96"/>
    <w:rsid w:val="006B3F5C"/>
    <w:rsid w:val="006B413C"/>
    <w:rsid w:val="006C1950"/>
    <w:rsid w:val="006C7F81"/>
    <w:rsid w:val="006D0D53"/>
    <w:rsid w:val="006D4F11"/>
    <w:rsid w:val="006D6AAA"/>
    <w:rsid w:val="006D7BF9"/>
    <w:rsid w:val="006E7067"/>
    <w:rsid w:val="006E7345"/>
    <w:rsid w:val="006F167F"/>
    <w:rsid w:val="00703736"/>
    <w:rsid w:val="00704B58"/>
    <w:rsid w:val="00706413"/>
    <w:rsid w:val="00706C16"/>
    <w:rsid w:val="0071184A"/>
    <w:rsid w:val="007125A9"/>
    <w:rsid w:val="00713684"/>
    <w:rsid w:val="0071623C"/>
    <w:rsid w:val="00720B92"/>
    <w:rsid w:val="007223C5"/>
    <w:rsid w:val="00731199"/>
    <w:rsid w:val="00733AEE"/>
    <w:rsid w:val="00733B67"/>
    <w:rsid w:val="00735EB7"/>
    <w:rsid w:val="007422C9"/>
    <w:rsid w:val="00742913"/>
    <w:rsid w:val="00743A31"/>
    <w:rsid w:val="007451DA"/>
    <w:rsid w:val="00746725"/>
    <w:rsid w:val="00747076"/>
    <w:rsid w:val="00747D96"/>
    <w:rsid w:val="00755E25"/>
    <w:rsid w:val="00756841"/>
    <w:rsid w:val="00761E70"/>
    <w:rsid w:val="00763385"/>
    <w:rsid w:val="00763ED9"/>
    <w:rsid w:val="00764682"/>
    <w:rsid w:val="007649AB"/>
    <w:rsid w:val="00766762"/>
    <w:rsid w:val="007716C6"/>
    <w:rsid w:val="00771D0C"/>
    <w:rsid w:val="00776E9E"/>
    <w:rsid w:val="00781732"/>
    <w:rsid w:val="00781AF3"/>
    <w:rsid w:val="007833AC"/>
    <w:rsid w:val="007900B1"/>
    <w:rsid w:val="00791489"/>
    <w:rsid w:val="00793894"/>
    <w:rsid w:val="00793E41"/>
    <w:rsid w:val="007B268C"/>
    <w:rsid w:val="007B3587"/>
    <w:rsid w:val="007B7171"/>
    <w:rsid w:val="007C0C0F"/>
    <w:rsid w:val="007C3DC2"/>
    <w:rsid w:val="007C5F20"/>
    <w:rsid w:val="007D0010"/>
    <w:rsid w:val="007D0BFC"/>
    <w:rsid w:val="007E09CB"/>
    <w:rsid w:val="007E2168"/>
    <w:rsid w:val="007E403E"/>
    <w:rsid w:val="007E5497"/>
    <w:rsid w:val="007E7317"/>
    <w:rsid w:val="007E7D62"/>
    <w:rsid w:val="007F6E00"/>
    <w:rsid w:val="0080153E"/>
    <w:rsid w:val="0080594D"/>
    <w:rsid w:val="00806F5F"/>
    <w:rsid w:val="00807DB8"/>
    <w:rsid w:val="008102AC"/>
    <w:rsid w:val="00810858"/>
    <w:rsid w:val="00811930"/>
    <w:rsid w:val="00816D34"/>
    <w:rsid w:val="00817038"/>
    <w:rsid w:val="00820278"/>
    <w:rsid w:val="008256D1"/>
    <w:rsid w:val="008340AE"/>
    <w:rsid w:val="0084038E"/>
    <w:rsid w:val="0084385E"/>
    <w:rsid w:val="00843B35"/>
    <w:rsid w:val="00844C49"/>
    <w:rsid w:val="0085036F"/>
    <w:rsid w:val="00851CC1"/>
    <w:rsid w:val="008547CB"/>
    <w:rsid w:val="008616CA"/>
    <w:rsid w:val="0086797B"/>
    <w:rsid w:val="00867F95"/>
    <w:rsid w:val="00870C64"/>
    <w:rsid w:val="0087638A"/>
    <w:rsid w:val="00877183"/>
    <w:rsid w:val="008772F9"/>
    <w:rsid w:val="00881BC3"/>
    <w:rsid w:val="00882648"/>
    <w:rsid w:val="00883374"/>
    <w:rsid w:val="008836D3"/>
    <w:rsid w:val="008843B6"/>
    <w:rsid w:val="00884CB5"/>
    <w:rsid w:val="00890C94"/>
    <w:rsid w:val="00890FDC"/>
    <w:rsid w:val="00891928"/>
    <w:rsid w:val="00897CB4"/>
    <w:rsid w:val="008A209A"/>
    <w:rsid w:val="008A446D"/>
    <w:rsid w:val="008A746E"/>
    <w:rsid w:val="008C0E3B"/>
    <w:rsid w:val="008C221F"/>
    <w:rsid w:val="008C7DF6"/>
    <w:rsid w:val="008D01D1"/>
    <w:rsid w:val="008D09A2"/>
    <w:rsid w:val="008D180B"/>
    <w:rsid w:val="008D7291"/>
    <w:rsid w:val="008E277C"/>
    <w:rsid w:val="008E3F53"/>
    <w:rsid w:val="008E4B93"/>
    <w:rsid w:val="008E585A"/>
    <w:rsid w:val="008E5F5D"/>
    <w:rsid w:val="008F0EA7"/>
    <w:rsid w:val="008F1280"/>
    <w:rsid w:val="008F19D1"/>
    <w:rsid w:val="008F33B0"/>
    <w:rsid w:val="008F59A4"/>
    <w:rsid w:val="0090297D"/>
    <w:rsid w:val="00915A8E"/>
    <w:rsid w:val="00917399"/>
    <w:rsid w:val="00920390"/>
    <w:rsid w:val="00920927"/>
    <w:rsid w:val="00923D4F"/>
    <w:rsid w:val="00923EEF"/>
    <w:rsid w:val="009326F6"/>
    <w:rsid w:val="00933013"/>
    <w:rsid w:val="0093362A"/>
    <w:rsid w:val="00933E8F"/>
    <w:rsid w:val="00934AA1"/>
    <w:rsid w:val="009413B7"/>
    <w:rsid w:val="009419F9"/>
    <w:rsid w:val="009439F8"/>
    <w:rsid w:val="00946693"/>
    <w:rsid w:val="00953249"/>
    <w:rsid w:val="0095597B"/>
    <w:rsid w:val="0095685E"/>
    <w:rsid w:val="00956B73"/>
    <w:rsid w:val="00961B09"/>
    <w:rsid w:val="00965334"/>
    <w:rsid w:val="0097093E"/>
    <w:rsid w:val="00970C7D"/>
    <w:rsid w:val="00974D47"/>
    <w:rsid w:val="00976293"/>
    <w:rsid w:val="009814A0"/>
    <w:rsid w:val="009826BF"/>
    <w:rsid w:val="00984D71"/>
    <w:rsid w:val="00985FAD"/>
    <w:rsid w:val="00986AC5"/>
    <w:rsid w:val="00991DFF"/>
    <w:rsid w:val="009924B0"/>
    <w:rsid w:val="0099297C"/>
    <w:rsid w:val="00993BF0"/>
    <w:rsid w:val="00993FE7"/>
    <w:rsid w:val="00994BF0"/>
    <w:rsid w:val="009A0DFA"/>
    <w:rsid w:val="009A3617"/>
    <w:rsid w:val="009A449C"/>
    <w:rsid w:val="009A50F7"/>
    <w:rsid w:val="009A6BD6"/>
    <w:rsid w:val="009B15B0"/>
    <w:rsid w:val="009B2D26"/>
    <w:rsid w:val="009C0A2D"/>
    <w:rsid w:val="009C32E2"/>
    <w:rsid w:val="009C71FA"/>
    <w:rsid w:val="009C72E7"/>
    <w:rsid w:val="009D3058"/>
    <w:rsid w:val="009D30AE"/>
    <w:rsid w:val="009D6B77"/>
    <w:rsid w:val="009D6CCC"/>
    <w:rsid w:val="009E3247"/>
    <w:rsid w:val="009E3429"/>
    <w:rsid w:val="009E51D5"/>
    <w:rsid w:val="009E7E8C"/>
    <w:rsid w:val="009F3A13"/>
    <w:rsid w:val="009F4DC5"/>
    <w:rsid w:val="00A02729"/>
    <w:rsid w:val="00A075D4"/>
    <w:rsid w:val="00A109EE"/>
    <w:rsid w:val="00A10EF7"/>
    <w:rsid w:val="00A122D3"/>
    <w:rsid w:val="00A17F13"/>
    <w:rsid w:val="00A20739"/>
    <w:rsid w:val="00A2144E"/>
    <w:rsid w:val="00A32E97"/>
    <w:rsid w:val="00A3355E"/>
    <w:rsid w:val="00A33C78"/>
    <w:rsid w:val="00A372B7"/>
    <w:rsid w:val="00A37DB9"/>
    <w:rsid w:val="00A439E2"/>
    <w:rsid w:val="00A44730"/>
    <w:rsid w:val="00A447D3"/>
    <w:rsid w:val="00A4486B"/>
    <w:rsid w:val="00A44DE0"/>
    <w:rsid w:val="00A47026"/>
    <w:rsid w:val="00A53A79"/>
    <w:rsid w:val="00A56252"/>
    <w:rsid w:val="00A6090C"/>
    <w:rsid w:val="00A62427"/>
    <w:rsid w:val="00A71890"/>
    <w:rsid w:val="00A7517A"/>
    <w:rsid w:val="00A77479"/>
    <w:rsid w:val="00A82B3F"/>
    <w:rsid w:val="00A8567B"/>
    <w:rsid w:val="00A876CC"/>
    <w:rsid w:val="00AA3441"/>
    <w:rsid w:val="00AA758E"/>
    <w:rsid w:val="00AB08E1"/>
    <w:rsid w:val="00AB0ADB"/>
    <w:rsid w:val="00AB0FE9"/>
    <w:rsid w:val="00AB2829"/>
    <w:rsid w:val="00AB30E0"/>
    <w:rsid w:val="00AB493F"/>
    <w:rsid w:val="00AB5151"/>
    <w:rsid w:val="00AB6153"/>
    <w:rsid w:val="00AB717F"/>
    <w:rsid w:val="00AC00FA"/>
    <w:rsid w:val="00AC40F4"/>
    <w:rsid w:val="00AC64A5"/>
    <w:rsid w:val="00AD0755"/>
    <w:rsid w:val="00AD0E92"/>
    <w:rsid w:val="00AD374D"/>
    <w:rsid w:val="00AD41EA"/>
    <w:rsid w:val="00AD4293"/>
    <w:rsid w:val="00AD7C7C"/>
    <w:rsid w:val="00AE1EB5"/>
    <w:rsid w:val="00AE2A82"/>
    <w:rsid w:val="00AE4817"/>
    <w:rsid w:val="00AF28B8"/>
    <w:rsid w:val="00AF523C"/>
    <w:rsid w:val="00AF5919"/>
    <w:rsid w:val="00AF5D48"/>
    <w:rsid w:val="00AF71F4"/>
    <w:rsid w:val="00B0078D"/>
    <w:rsid w:val="00B01B1A"/>
    <w:rsid w:val="00B0274A"/>
    <w:rsid w:val="00B04D1C"/>
    <w:rsid w:val="00B07844"/>
    <w:rsid w:val="00B1003F"/>
    <w:rsid w:val="00B108F3"/>
    <w:rsid w:val="00B14DA5"/>
    <w:rsid w:val="00B17BD7"/>
    <w:rsid w:val="00B2067D"/>
    <w:rsid w:val="00B2184C"/>
    <w:rsid w:val="00B21B15"/>
    <w:rsid w:val="00B23093"/>
    <w:rsid w:val="00B25258"/>
    <w:rsid w:val="00B26F4D"/>
    <w:rsid w:val="00B30302"/>
    <w:rsid w:val="00B30ABC"/>
    <w:rsid w:val="00B3769A"/>
    <w:rsid w:val="00B42FD4"/>
    <w:rsid w:val="00B43EB6"/>
    <w:rsid w:val="00B511C1"/>
    <w:rsid w:val="00B52AE4"/>
    <w:rsid w:val="00B5360F"/>
    <w:rsid w:val="00B54DCC"/>
    <w:rsid w:val="00B643B2"/>
    <w:rsid w:val="00B66319"/>
    <w:rsid w:val="00B70819"/>
    <w:rsid w:val="00B72CD3"/>
    <w:rsid w:val="00B72FFF"/>
    <w:rsid w:val="00B73EBA"/>
    <w:rsid w:val="00B7412A"/>
    <w:rsid w:val="00B74EFD"/>
    <w:rsid w:val="00B80F4F"/>
    <w:rsid w:val="00B82E2D"/>
    <w:rsid w:val="00B83107"/>
    <w:rsid w:val="00B93DCB"/>
    <w:rsid w:val="00B94795"/>
    <w:rsid w:val="00B9515E"/>
    <w:rsid w:val="00B9589D"/>
    <w:rsid w:val="00B97A8E"/>
    <w:rsid w:val="00BA1EB5"/>
    <w:rsid w:val="00BB054D"/>
    <w:rsid w:val="00BB4CBD"/>
    <w:rsid w:val="00BB55BC"/>
    <w:rsid w:val="00BB725A"/>
    <w:rsid w:val="00BC3D36"/>
    <w:rsid w:val="00BC604D"/>
    <w:rsid w:val="00BC7BEC"/>
    <w:rsid w:val="00BD7F72"/>
    <w:rsid w:val="00BE09A3"/>
    <w:rsid w:val="00BF508A"/>
    <w:rsid w:val="00C04FB3"/>
    <w:rsid w:val="00C07B89"/>
    <w:rsid w:val="00C141CA"/>
    <w:rsid w:val="00C142DA"/>
    <w:rsid w:val="00C14446"/>
    <w:rsid w:val="00C2001F"/>
    <w:rsid w:val="00C20CF0"/>
    <w:rsid w:val="00C2256E"/>
    <w:rsid w:val="00C240FC"/>
    <w:rsid w:val="00C2709C"/>
    <w:rsid w:val="00C27C38"/>
    <w:rsid w:val="00C32A10"/>
    <w:rsid w:val="00C32DF4"/>
    <w:rsid w:val="00C3305F"/>
    <w:rsid w:val="00C330EB"/>
    <w:rsid w:val="00C35426"/>
    <w:rsid w:val="00C3723A"/>
    <w:rsid w:val="00C41061"/>
    <w:rsid w:val="00C443DB"/>
    <w:rsid w:val="00C45E77"/>
    <w:rsid w:val="00C562D4"/>
    <w:rsid w:val="00C61C77"/>
    <w:rsid w:val="00C73662"/>
    <w:rsid w:val="00C75373"/>
    <w:rsid w:val="00C754BE"/>
    <w:rsid w:val="00C76123"/>
    <w:rsid w:val="00C76B1C"/>
    <w:rsid w:val="00C8101E"/>
    <w:rsid w:val="00C829CA"/>
    <w:rsid w:val="00C868B9"/>
    <w:rsid w:val="00C918F1"/>
    <w:rsid w:val="00CA3A18"/>
    <w:rsid w:val="00CA769F"/>
    <w:rsid w:val="00CB1DA6"/>
    <w:rsid w:val="00CB5E27"/>
    <w:rsid w:val="00CB6357"/>
    <w:rsid w:val="00CB73C5"/>
    <w:rsid w:val="00CC1B26"/>
    <w:rsid w:val="00CC5626"/>
    <w:rsid w:val="00CC6F7D"/>
    <w:rsid w:val="00CC7574"/>
    <w:rsid w:val="00CE48F4"/>
    <w:rsid w:val="00CE7597"/>
    <w:rsid w:val="00CF5ED9"/>
    <w:rsid w:val="00CF76EA"/>
    <w:rsid w:val="00CF7E4C"/>
    <w:rsid w:val="00D0301D"/>
    <w:rsid w:val="00D03EF8"/>
    <w:rsid w:val="00D04F91"/>
    <w:rsid w:val="00D05B14"/>
    <w:rsid w:val="00D07047"/>
    <w:rsid w:val="00D11E8A"/>
    <w:rsid w:val="00D132BA"/>
    <w:rsid w:val="00D140B6"/>
    <w:rsid w:val="00D160AF"/>
    <w:rsid w:val="00D211A0"/>
    <w:rsid w:val="00D21B16"/>
    <w:rsid w:val="00D23F68"/>
    <w:rsid w:val="00D2627C"/>
    <w:rsid w:val="00D340CB"/>
    <w:rsid w:val="00D363E4"/>
    <w:rsid w:val="00D423A2"/>
    <w:rsid w:val="00D44EA8"/>
    <w:rsid w:val="00D46548"/>
    <w:rsid w:val="00D47AC9"/>
    <w:rsid w:val="00D520D8"/>
    <w:rsid w:val="00D53B1F"/>
    <w:rsid w:val="00D54A96"/>
    <w:rsid w:val="00D57FE3"/>
    <w:rsid w:val="00D61AF1"/>
    <w:rsid w:val="00D63AC2"/>
    <w:rsid w:val="00D669A6"/>
    <w:rsid w:val="00D6724E"/>
    <w:rsid w:val="00D675EA"/>
    <w:rsid w:val="00D67CCD"/>
    <w:rsid w:val="00D7383B"/>
    <w:rsid w:val="00D83413"/>
    <w:rsid w:val="00D84681"/>
    <w:rsid w:val="00D85FC2"/>
    <w:rsid w:val="00D92AFD"/>
    <w:rsid w:val="00D92CE7"/>
    <w:rsid w:val="00D9340F"/>
    <w:rsid w:val="00D9402A"/>
    <w:rsid w:val="00D94DCC"/>
    <w:rsid w:val="00D956FE"/>
    <w:rsid w:val="00D968D1"/>
    <w:rsid w:val="00DA1112"/>
    <w:rsid w:val="00DA1AE6"/>
    <w:rsid w:val="00DA231B"/>
    <w:rsid w:val="00DA3880"/>
    <w:rsid w:val="00DA4396"/>
    <w:rsid w:val="00DB16FD"/>
    <w:rsid w:val="00DB6D9E"/>
    <w:rsid w:val="00DC156F"/>
    <w:rsid w:val="00DC2265"/>
    <w:rsid w:val="00DC347A"/>
    <w:rsid w:val="00DC39FC"/>
    <w:rsid w:val="00DD2E20"/>
    <w:rsid w:val="00DD53C0"/>
    <w:rsid w:val="00DD5A44"/>
    <w:rsid w:val="00DE2467"/>
    <w:rsid w:val="00DE48FD"/>
    <w:rsid w:val="00DE7466"/>
    <w:rsid w:val="00DF13B0"/>
    <w:rsid w:val="00DF2194"/>
    <w:rsid w:val="00DF2C39"/>
    <w:rsid w:val="00DF521A"/>
    <w:rsid w:val="00DF5254"/>
    <w:rsid w:val="00DF7D5D"/>
    <w:rsid w:val="00E103CF"/>
    <w:rsid w:val="00E16018"/>
    <w:rsid w:val="00E16408"/>
    <w:rsid w:val="00E20894"/>
    <w:rsid w:val="00E22A16"/>
    <w:rsid w:val="00E240F3"/>
    <w:rsid w:val="00E245AB"/>
    <w:rsid w:val="00E2764C"/>
    <w:rsid w:val="00E27F2E"/>
    <w:rsid w:val="00E31648"/>
    <w:rsid w:val="00E31F68"/>
    <w:rsid w:val="00E41FCD"/>
    <w:rsid w:val="00E4271C"/>
    <w:rsid w:val="00E44A93"/>
    <w:rsid w:val="00E470D1"/>
    <w:rsid w:val="00E50AFE"/>
    <w:rsid w:val="00E51404"/>
    <w:rsid w:val="00E618C8"/>
    <w:rsid w:val="00E6227E"/>
    <w:rsid w:val="00E626B5"/>
    <w:rsid w:val="00E640B4"/>
    <w:rsid w:val="00E67F55"/>
    <w:rsid w:val="00E72277"/>
    <w:rsid w:val="00E7385A"/>
    <w:rsid w:val="00E7389E"/>
    <w:rsid w:val="00E74B20"/>
    <w:rsid w:val="00E7517B"/>
    <w:rsid w:val="00E75C92"/>
    <w:rsid w:val="00E771DC"/>
    <w:rsid w:val="00E8517B"/>
    <w:rsid w:val="00E86781"/>
    <w:rsid w:val="00E8772A"/>
    <w:rsid w:val="00E90E3E"/>
    <w:rsid w:val="00E90F6B"/>
    <w:rsid w:val="00E92A30"/>
    <w:rsid w:val="00E92C27"/>
    <w:rsid w:val="00E94542"/>
    <w:rsid w:val="00EA0E3D"/>
    <w:rsid w:val="00EA5B0C"/>
    <w:rsid w:val="00EA5E12"/>
    <w:rsid w:val="00EA6460"/>
    <w:rsid w:val="00EA7F40"/>
    <w:rsid w:val="00EB5053"/>
    <w:rsid w:val="00EB52C1"/>
    <w:rsid w:val="00EC14DC"/>
    <w:rsid w:val="00EC38A7"/>
    <w:rsid w:val="00EC420D"/>
    <w:rsid w:val="00EC449E"/>
    <w:rsid w:val="00EC5C83"/>
    <w:rsid w:val="00EC6AC6"/>
    <w:rsid w:val="00EC7930"/>
    <w:rsid w:val="00EC7E5C"/>
    <w:rsid w:val="00ED0358"/>
    <w:rsid w:val="00ED0BAB"/>
    <w:rsid w:val="00ED1EA7"/>
    <w:rsid w:val="00ED3D0B"/>
    <w:rsid w:val="00ED65FB"/>
    <w:rsid w:val="00ED6E39"/>
    <w:rsid w:val="00ED7384"/>
    <w:rsid w:val="00EE1AA8"/>
    <w:rsid w:val="00EE2CAA"/>
    <w:rsid w:val="00EF1F93"/>
    <w:rsid w:val="00EF43E9"/>
    <w:rsid w:val="00EF48BA"/>
    <w:rsid w:val="00EF7078"/>
    <w:rsid w:val="00F01979"/>
    <w:rsid w:val="00F04DA2"/>
    <w:rsid w:val="00F07496"/>
    <w:rsid w:val="00F136D9"/>
    <w:rsid w:val="00F16374"/>
    <w:rsid w:val="00F16AF8"/>
    <w:rsid w:val="00F20726"/>
    <w:rsid w:val="00F258B7"/>
    <w:rsid w:val="00F277D9"/>
    <w:rsid w:val="00F3096C"/>
    <w:rsid w:val="00F31EDC"/>
    <w:rsid w:val="00F32244"/>
    <w:rsid w:val="00F372E5"/>
    <w:rsid w:val="00F40F4F"/>
    <w:rsid w:val="00F45BE1"/>
    <w:rsid w:val="00F462B3"/>
    <w:rsid w:val="00F516DC"/>
    <w:rsid w:val="00F519C6"/>
    <w:rsid w:val="00F54CBD"/>
    <w:rsid w:val="00F5664F"/>
    <w:rsid w:val="00F5687A"/>
    <w:rsid w:val="00F63CCB"/>
    <w:rsid w:val="00F65B8A"/>
    <w:rsid w:val="00F666C4"/>
    <w:rsid w:val="00F76AFC"/>
    <w:rsid w:val="00F7787F"/>
    <w:rsid w:val="00F83081"/>
    <w:rsid w:val="00F83C0E"/>
    <w:rsid w:val="00F86273"/>
    <w:rsid w:val="00F9394E"/>
    <w:rsid w:val="00F943E6"/>
    <w:rsid w:val="00FA47C0"/>
    <w:rsid w:val="00FB2223"/>
    <w:rsid w:val="00FB2604"/>
    <w:rsid w:val="00FB39EA"/>
    <w:rsid w:val="00FB5DD1"/>
    <w:rsid w:val="00FC056B"/>
    <w:rsid w:val="00FC2B5D"/>
    <w:rsid w:val="00FC574F"/>
    <w:rsid w:val="00FD1EB0"/>
    <w:rsid w:val="00FD7C3C"/>
    <w:rsid w:val="00FE001E"/>
    <w:rsid w:val="00FE15D1"/>
    <w:rsid w:val="00FE1E98"/>
    <w:rsid w:val="00FE3017"/>
    <w:rsid w:val="00FE30F1"/>
    <w:rsid w:val="00FF1449"/>
    <w:rsid w:val="00FF7AB3"/>
    <w:rsid w:val="00FF7ED3"/>
    <w:rsid w:val="3D38C69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5B261C"/>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B261C"/>
    <w:rPr>
      <w:rFonts w:ascii="Geomanist Light" w:hAnsi="Geomanist Light"/>
      <w:lang w:val="es-ES"/>
    </w:rPr>
  </w:style>
  <w:style w:type="character" w:customStyle="1" w:styleId="baj">
    <w:name w:val="b_aj"/>
    <w:basedOn w:val="Fuentedeprrafopredeter"/>
    <w:rsid w:val="005B261C"/>
  </w:style>
  <w:style w:type="character" w:styleId="Refdecomentario">
    <w:name w:val="annotation reference"/>
    <w:basedOn w:val="Fuentedeprrafopredeter"/>
    <w:uiPriority w:val="99"/>
    <w:semiHidden/>
    <w:unhideWhenUsed/>
    <w:rsid w:val="0060028A"/>
    <w:rPr>
      <w:sz w:val="16"/>
      <w:szCs w:val="16"/>
    </w:rPr>
  </w:style>
  <w:style w:type="paragraph" w:styleId="Textocomentario">
    <w:name w:val="annotation text"/>
    <w:basedOn w:val="Normal"/>
    <w:link w:val="TextocomentarioCar"/>
    <w:uiPriority w:val="99"/>
    <w:unhideWhenUsed/>
    <w:rsid w:val="0060028A"/>
    <w:pPr>
      <w:spacing w:line="240" w:lineRule="auto"/>
    </w:pPr>
    <w:rPr>
      <w:sz w:val="20"/>
      <w:szCs w:val="20"/>
    </w:rPr>
  </w:style>
  <w:style w:type="character" w:customStyle="1" w:styleId="TextocomentarioCar">
    <w:name w:val="Texto comentario Car"/>
    <w:basedOn w:val="Fuentedeprrafopredeter"/>
    <w:link w:val="Textocomentario"/>
    <w:uiPriority w:val="99"/>
    <w:rsid w:val="0060028A"/>
    <w:rPr>
      <w:sz w:val="20"/>
      <w:szCs w:val="20"/>
    </w:rPr>
  </w:style>
  <w:style w:type="paragraph" w:styleId="Asuntodelcomentario">
    <w:name w:val="annotation subject"/>
    <w:basedOn w:val="Textocomentario"/>
    <w:next w:val="Textocomentario"/>
    <w:link w:val="AsuntodelcomentarioCar"/>
    <w:uiPriority w:val="99"/>
    <w:semiHidden/>
    <w:unhideWhenUsed/>
    <w:rsid w:val="0060028A"/>
    <w:rPr>
      <w:b/>
      <w:bCs/>
    </w:rPr>
  </w:style>
  <w:style w:type="character" w:customStyle="1" w:styleId="AsuntodelcomentarioCar">
    <w:name w:val="Asunto del comentario Car"/>
    <w:basedOn w:val="TextocomentarioCar"/>
    <w:link w:val="Asuntodelcomentario"/>
    <w:uiPriority w:val="99"/>
    <w:semiHidden/>
    <w:rsid w:val="0060028A"/>
    <w:rPr>
      <w:b/>
      <w:bCs/>
      <w:sz w:val="20"/>
      <w:szCs w:val="20"/>
    </w:rPr>
  </w:style>
  <w:style w:type="paragraph" w:styleId="Subttulo">
    <w:name w:val="Subtitle"/>
    <w:basedOn w:val="Normal"/>
    <w:next w:val="Normal"/>
    <w:link w:val="SubttuloCar"/>
    <w:uiPriority w:val="11"/>
    <w:qFormat/>
    <w:rsid w:val="004F345C"/>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4F345C"/>
    <w:rPr>
      <w:rFonts w:eastAsiaTheme="majorEastAsia" w:cstheme="majorBidi"/>
      <w:color w:val="595959" w:themeColor="text1" w:themeTint="A6"/>
      <w:spacing w:val="15"/>
      <w:sz w:val="28"/>
      <w:szCs w:val="28"/>
    </w:rPr>
  </w:style>
  <w:style w:type="character" w:customStyle="1" w:styleId="s15">
    <w:name w:val="s15"/>
    <w:basedOn w:val="Fuentedeprrafopredeter"/>
    <w:rsid w:val="0095597B"/>
  </w:style>
  <w:style w:type="character" w:customStyle="1" w:styleId="NormalWebCar">
    <w:name w:val="Normal (Web) Car"/>
    <w:link w:val="NormalWeb"/>
    <w:uiPriority w:val="99"/>
    <w:locked/>
    <w:rsid w:val="001B36DA"/>
    <w:rPr>
      <w:rFonts w:ascii="Times New Roman" w:eastAsia="Times New Roman" w:hAnsi="Times New Roman" w:cs="Times New Roman"/>
      <w:sz w:val="24"/>
      <w:szCs w:val="24"/>
      <w:lang w:eastAsia="es-CO"/>
    </w:rPr>
  </w:style>
  <w:style w:type="paragraph" w:styleId="Textoindependiente">
    <w:name w:val="Body Text"/>
    <w:basedOn w:val="Normal"/>
    <w:link w:val="TextoindependienteCar"/>
    <w:uiPriority w:val="99"/>
    <w:unhideWhenUsed/>
    <w:rsid w:val="00281F2F"/>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281F2F"/>
    <w:rPr>
      <w:rFonts w:eastAsiaTheme="minorEastAsia"/>
      <w:lang w:eastAsia="es-CO"/>
    </w:rPr>
  </w:style>
  <w:style w:type="paragraph" w:styleId="Sinespaciado">
    <w:name w:val="No Spacing"/>
    <w:aliases w:val="No Indent"/>
    <w:uiPriority w:val="3"/>
    <w:qFormat/>
    <w:rsid w:val="00EA5B0C"/>
    <w:pPr>
      <w:spacing w:after="0" w:line="240" w:lineRule="auto"/>
    </w:pPr>
    <w:rPr>
      <w:sz w:val="24"/>
      <w:lang w:val="es-MX"/>
    </w:rPr>
  </w:style>
  <w:style w:type="paragraph" w:customStyle="1" w:styleId="Textoindependiente1">
    <w:name w:val="Texto independiente1"/>
    <w:basedOn w:val="Normal"/>
    <w:next w:val="Textoindependiente"/>
    <w:uiPriority w:val="99"/>
    <w:unhideWhenUsed/>
    <w:rsid w:val="00D9340F"/>
    <w:pPr>
      <w:spacing w:after="120"/>
    </w:pPr>
    <w:rPr>
      <w:kern w:val="2"/>
      <w:sz w:val="24"/>
      <w:szCs w:val="24"/>
      <w14:ligatures w14:val="standardContextual"/>
    </w:rPr>
  </w:style>
  <w:style w:type="paragraph" w:customStyle="1" w:styleId="Textoindependiente2">
    <w:name w:val="Texto independiente2"/>
    <w:basedOn w:val="Normal"/>
    <w:next w:val="Textoindependiente"/>
    <w:uiPriority w:val="99"/>
    <w:semiHidden/>
    <w:unhideWhenUsed/>
    <w:rsid w:val="00D9340F"/>
    <w:pPr>
      <w:spacing w:after="120"/>
    </w:pPr>
  </w:style>
  <w:style w:type="character" w:customStyle="1" w:styleId="superscript">
    <w:name w:val="superscript"/>
    <w:basedOn w:val="Fuentedeprrafopredeter"/>
    <w:rsid w:val="008015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2993300">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672371003">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juanpabloangelvargas@gmail.com" TargetMode="External"/><Relationship Id="rId17" Type="http://schemas.openxmlformats.org/officeDocument/2006/relationships/image" Target="media/image2.jpe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CA327331-7FFD-4D8E-9AD0-C50D0E1AF381}"/>
</file>

<file path=customXml/itemProps4.xml><?xml version="1.0" encoding="utf-8"?>
<ds:datastoreItem xmlns:ds="http://schemas.openxmlformats.org/officeDocument/2006/customXml" ds:itemID="{E7AC9E9E-64A4-4638-BD23-E9BB0BD2A0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11581</TotalTime>
  <Pages>18</Pages>
  <Words>5711</Words>
  <Characters>31411</Characters>
  <Application>Microsoft Office Word</Application>
  <DocSecurity>0</DocSecurity>
  <Lines>261</Lines>
  <Paragraphs>74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Daniel Eduardo Rojas Poveda</cp:lastModifiedBy>
  <cp:revision>255</cp:revision>
  <cp:lastPrinted>2023-01-10T21:18:00Z</cp:lastPrinted>
  <dcterms:created xsi:type="dcterms:W3CDTF">2025-12-30T05:05:00Z</dcterms:created>
  <dcterms:modified xsi:type="dcterms:W3CDTF">2026-06-18T21:31:00Z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