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0C21E" w14:textId="77777777" w:rsidR="003978D5" w:rsidRPr="00BB73C5" w:rsidRDefault="003978D5" w:rsidP="003978D5">
      <w:pPr>
        <w:spacing w:after="0" w:line="240" w:lineRule="auto"/>
        <w:jc w:val="both"/>
        <w:rPr>
          <w:rFonts w:ascii="Verdana" w:hAnsi="Verdana" w:cs="Arial"/>
          <w:b/>
          <w:lang w:val="es-MX"/>
        </w:rPr>
      </w:pPr>
      <w:bookmarkStart w:id="0" w:name="_Hlk143780582"/>
      <w:r w:rsidRPr="00BB73C5">
        <w:rPr>
          <w:rFonts w:ascii="Verdana" w:hAnsi="Verdana" w:cs="Arial"/>
          <w:b/>
          <w:lang w:val="es-MX"/>
        </w:rPr>
        <w:t xml:space="preserve">INHABILIDADES E INCOMPATIBILIDADES ─ Definición ─ fundamento – clases </w:t>
      </w:r>
    </w:p>
    <w:p w14:paraId="7D43CCAA" w14:textId="77777777" w:rsidR="003978D5" w:rsidRDefault="003978D5" w:rsidP="003978D5">
      <w:pPr>
        <w:spacing w:after="0" w:line="240" w:lineRule="auto"/>
        <w:jc w:val="both"/>
        <w:rPr>
          <w:rFonts w:ascii="Verdana" w:hAnsi="Verdana" w:cs="Arial"/>
          <w:b/>
          <w:lang w:val="es-MX"/>
        </w:rPr>
      </w:pPr>
    </w:p>
    <w:p w14:paraId="2D0F98CF" w14:textId="77777777" w:rsidR="003978D5" w:rsidRPr="00BB73C5" w:rsidRDefault="003978D5" w:rsidP="003978D5">
      <w:pPr>
        <w:spacing w:after="0" w:line="240" w:lineRule="auto"/>
        <w:jc w:val="both"/>
        <w:rPr>
          <w:rFonts w:ascii="Verdana" w:hAnsi="Verdana" w:cs="Arial"/>
          <w:sz w:val="20"/>
          <w:lang w:val="es-MX"/>
        </w:rPr>
      </w:pPr>
      <w:r w:rsidRPr="00BB73C5">
        <w:rPr>
          <w:rFonts w:ascii="Verdana" w:hAnsi="Verdana" w:cs="Arial"/>
          <w:sz w:val="20"/>
          <w:lang w:val="es-MX"/>
        </w:rPr>
        <w:t>Las inhabilidades e incompatibilidades pueden enfocarse en varios asuntos: en primer lugar, se encuentran las inhabilidades e incompatibilidades que impiden que u</w:t>
      </w:r>
      <w:r w:rsidRPr="00BB73C5">
        <w:rPr>
          <w:rFonts w:ascii="Verdana" w:hAnsi="Verdana" w:cs="Arial"/>
          <w:sz w:val="20"/>
        </w:rPr>
        <w:t xml:space="preserve">na persona sea elegida, designada para un cargo público, como también en ciertos eventos impiden que la persona se encuentre vinculada a la función pública continúe en ella; en segundo lugar, se hallan las inhabilidades e incompatibilidades para el ejercicio de una profesión, las cuales se constituyen </w:t>
      </w:r>
      <w:r w:rsidRPr="00BB73C5">
        <w:rPr>
          <w:rFonts w:ascii="Verdana" w:hAnsi="Verdana" w:cs="Arial"/>
          <w:sz w:val="20"/>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contratación públicas que establezca inhabilidades e incompatibilidades para contratar con el Estado. </w:t>
      </w:r>
    </w:p>
    <w:p w14:paraId="4A660B33" w14:textId="77777777" w:rsidR="003978D5" w:rsidRPr="00BB73C5" w:rsidRDefault="003978D5" w:rsidP="003978D5">
      <w:pPr>
        <w:spacing w:after="0" w:line="240" w:lineRule="auto"/>
        <w:jc w:val="both"/>
        <w:rPr>
          <w:rFonts w:ascii="Verdana" w:hAnsi="Verdana" w:cs="Arial"/>
          <w:b/>
          <w:lang w:val="es-MX"/>
        </w:rPr>
      </w:pPr>
    </w:p>
    <w:p w14:paraId="47C880BD" w14:textId="77777777" w:rsidR="003978D5" w:rsidRPr="00BB73C5" w:rsidRDefault="003978D5" w:rsidP="003978D5">
      <w:pPr>
        <w:spacing w:after="0" w:line="240" w:lineRule="auto"/>
        <w:jc w:val="both"/>
        <w:rPr>
          <w:rFonts w:ascii="Verdana" w:hAnsi="Verdana" w:cs="Arial"/>
          <w:b/>
          <w:lang w:val="es-MX"/>
        </w:rPr>
      </w:pPr>
      <w:r w:rsidRPr="00BB73C5">
        <w:rPr>
          <w:rFonts w:ascii="Verdana" w:hAnsi="Verdana" w:cs="Arial"/>
          <w:b/>
          <w:lang w:val="es-MX"/>
        </w:rPr>
        <w:t xml:space="preserve">INHABILIDADES E INCOMPATIBILIDADES - Finalidad ─ Limitación capacidad contractual </w:t>
      </w:r>
    </w:p>
    <w:p w14:paraId="71FFAAFF" w14:textId="77777777" w:rsidR="003978D5" w:rsidRDefault="003978D5" w:rsidP="003978D5">
      <w:pPr>
        <w:spacing w:after="0" w:line="240" w:lineRule="auto"/>
        <w:jc w:val="both"/>
        <w:rPr>
          <w:rFonts w:ascii="Verdana" w:hAnsi="Verdana" w:cs="Arial"/>
          <w:b/>
          <w:lang w:val="es-MX"/>
        </w:rPr>
      </w:pPr>
    </w:p>
    <w:p w14:paraId="784FFEC1" w14:textId="77777777" w:rsidR="003978D5" w:rsidRPr="00B23D14" w:rsidRDefault="003978D5" w:rsidP="003978D5">
      <w:pPr>
        <w:spacing w:after="0" w:line="240" w:lineRule="auto"/>
        <w:jc w:val="both"/>
        <w:rPr>
          <w:rFonts w:ascii="Verdana" w:eastAsia="Calibri" w:hAnsi="Verdana" w:cs="Arial"/>
          <w:sz w:val="20"/>
          <w:lang w:val="es-MX"/>
        </w:rPr>
      </w:pPr>
      <w:r w:rsidRPr="00B23D14">
        <w:rPr>
          <w:rFonts w:ascii="Verdana" w:eastAsia="Calibri" w:hAnsi="Verdana" w:cs="Arial"/>
          <w:sz w:val="20"/>
          <w:lang w:val="es-MX"/>
        </w:rPr>
        <w:t>Para ello, hay que precisar que,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2FED37B6" w14:textId="77777777" w:rsidR="003978D5" w:rsidRPr="00BB73C5" w:rsidRDefault="003978D5" w:rsidP="003978D5">
      <w:pPr>
        <w:spacing w:after="0" w:line="240" w:lineRule="auto"/>
        <w:jc w:val="both"/>
        <w:rPr>
          <w:rFonts w:ascii="Verdana" w:hAnsi="Verdana" w:cs="Arial"/>
          <w:b/>
          <w:lang w:val="es-MX"/>
        </w:rPr>
      </w:pPr>
    </w:p>
    <w:p w14:paraId="3A7F15DD" w14:textId="77777777" w:rsidR="003978D5" w:rsidRPr="00BB73C5" w:rsidRDefault="003978D5" w:rsidP="003978D5">
      <w:pPr>
        <w:spacing w:after="0" w:line="240" w:lineRule="auto"/>
        <w:jc w:val="both"/>
        <w:rPr>
          <w:rFonts w:ascii="Verdana" w:hAnsi="Verdana" w:cs="Arial"/>
          <w:b/>
          <w:lang w:val="es-ES_tradnl"/>
        </w:rPr>
      </w:pPr>
      <w:r w:rsidRPr="00BB73C5">
        <w:rPr>
          <w:rFonts w:ascii="Verdana" w:hAnsi="Verdana" w:cs="Arial"/>
          <w:b/>
          <w:lang w:val="es-ES_tradnl"/>
        </w:rPr>
        <w:t>INHABILIDADES – Taxatividad – Principio de legalidad – Interpretación restrictiva</w:t>
      </w:r>
      <w:r w:rsidRPr="00BB73C5" w:rsidDel="00A75E55">
        <w:rPr>
          <w:rFonts w:ascii="Verdana" w:hAnsi="Verdana" w:cs="Arial"/>
          <w:b/>
          <w:lang w:val="es-ES_tradnl"/>
        </w:rPr>
        <w:t xml:space="preserve"> </w:t>
      </w:r>
    </w:p>
    <w:p w14:paraId="38768378" w14:textId="77777777" w:rsidR="003978D5" w:rsidRDefault="003978D5" w:rsidP="003978D5">
      <w:pPr>
        <w:spacing w:after="0" w:line="240" w:lineRule="auto"/>
        <w:jc w:val="both"/>
        <w:rPr>
          <w:rFonts w:ascii="Verdana" w:hAnsi="Verdana" w:cs="Arial"/>
          <w:b/>
          <w:lang w:val="es-ES_tradnl"/>
        </w:rPr>
      </w:pPr>
    </w:p>
    <w:p w14:paraId="359E77AC" w14:textId="77777777" w:rsidR="003978D5" w:rsidRDefault="003978D5" w:rsidP="003978D5">
      <w:pPr>
        <w:spacing w:after="0" w:line="240" w:lineRule="auto"/>
        <w:jc w:val="both"/>
        <w:rPr>
          <w:rFonts w:ascii="Verdana" w:hAnsi="Verdana" w:cs="Arial"/>
          <w:sz w:val="20"/>
          <w:lang w:val="es-ES_tradnl"/>
        </w:rPr>
      </w:pPr>
      <w:r w:rsidRPr="00B23D14">
        <w:rPr>
          <w:rFonts w:ascii="Verdana" w:hAnsi="Verdana" w:cs="Arial"/>
          <w:sz w:val="20"/>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B23D14">
        <w:rPr>
          <w:rFonts w:ascii="Verdana" w:hAnsi="Verdana" w:cs="Arial"/>
          <w:i/>
          <w:iCs/>
          <w:sz w:val="20"/>
          <w:lang w:val="es-ES_tradnl"/>
        </w:rPr>
        <w:t xml:space="preserve">restrictiva, </w:t>
      </w:r>
      <w:r w:rsidRPr="00B23D14">
        <w:rPr>
          <w:rFonts w:ascii="Verdana" w:hAnsi="Verdana" w:cs="Arial"/>
          <w:sz w:val="20"/>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1B61DC9A" w14:textId="77777777" w:rsidR="003978D5" w:rsidRPr="00B23D14" w:rsidRDefault="003978D5" w:rsidP="003978D5">
      <w:pPr>
        <w:spacing w:after="0" w:line="240" w:lineRule="auto"/>
        <w:jc w:val="both"/>
        <w:rPr>
          <w:rFonts w:ascii="Verdana" w:hAnsi="Verdana" w:cs="Arial"/>
          <w:sz w:val="20"/>
          <w:lang w:val="es-ES_tradnl"/>
        </w:rPr>
      </w:pPr>
    </w:p>
    <w:p w14:paraId="1458AEA1" w14:textId="77777777" w:rsidR="003978D5" w:rsidRDefault="003978D5" w:rsidP="003978D5">
      <w:pPr>
        <w:spacing w:after="0" w:line="240" w:lineRule="auto"/>
        <w:jc w:val="both"/>
        <w:rPr>
          <w:rFonts w:ascii="Verdana" w:hAnsi="Verdana" w:cs="Arial"/>
          <w:sz w:val="20"/>
          <w:lang w:val="es-ES_tradnl"/>
        </w:rPr>
      </w:pPr>
      <w:r w:rsidRPr="00B23D14">
        <w:rPr>
          <w:rFonts w:ascii="Verdana" w:hAnsi="Verdana" w:cs="Arial"/>
          <w:sz w:val="20"/>
          <w:lang w:val="es-ES_tradnl"/>
        </w:rPr>
        <w:lastRenderedPageBreak/>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cs="Arial"/>
          <w:sz w:val="20"/>
          <w:lang w:val="es-ES_tradnl"/>
        </w:rPr>
        <w:t>.</w:t>
      </w:r>
    </w:p>
    <w:p w14:paraId="2930102F" w14:textId="77777777" w:rsidR="003978D5" w:rsidRDefault="003978D5" w:rsidP="003978D5">
      <w:pPr>
        <w:spacing w:after="0" w:line="240" w:lineRule="auto"/>
        <w:rPr>
          <w:rFonts w:ascii="Verdana" w:hAnsi="Verdana"/>
        </w:rPr>
      </w:pPr>
    </w:p>
    <w:p w14:paraId="33E9AFAB" w14:textId="77777777" w:rsidR="003978D5" w:rsidRPr="005E7090" w:rsidRDefault="003978D5" w:rsidP="003978D5">
      <w:pPr>
        <w:spacing w:after="0" w:line="240" w:lineRule="auto"/>
        <w:jc w:val="both"/>
        <w:rPr>
          <w:rFonts w:ascii="Verdana" w:hAnsi="Verdana" w:cs="Arial"/>
          <w:b/>
          <w:bCs/>
          <w:lang w:val="es-ES_tradnl"/>
        </w:rPr>
      </w:pPr>
      <w:r w:rsidRPr="005E7090">
        <w:rPr>
          <w:rFonts w:ascii="Verdana" w:hAnsi="Verdana" w:cs="Arial"/>
          <w:b/>
          <w:lang w:val="es-ES"/>
        </w:rPr>
        <w:t xml:space="preserve">RÉGIMEN DE INHABILIDADES E INCOMPATIBILIDADES </w:t>
      </w:r>
      <w:r w:rsidRPr="005E7090">
        <w:rPr>
          <w:rFonts w:ascii="Verdana" w:hAnsi="Verdana" w:cs="Arial"/>
          <w:b/>
        </w:rPr>
        <w:t xml:space="preserve">– </w:t>
      </w:r>
      <w:r w:rsidRPr="005E7090">
        <w:rPr>
          <w:rFonts w:ascii="Verdana" w:hAnsi="Verdana" w:cs="Arial"/>
          <w:b/>
          <w:bCs/>
          <w:lang w:val="es-ES_tradnl"/>
        </w:rPr>
        <w:t xml:space="preserve">Alcance de las prohibiciones reguladas en el artículo 8, literal b) del numeral 2, de la Ley 80 de 1993 </w:t>
      </w:r>
    </w:p>
    <w:p w14:paraId="27050FBC" w14:textId="77777777" w:rsidR="003978D5" w:rsidRPr="005E7090" w:rsidRDefault="003978D5" w:rsidP="003978D5">
      <w:pPr>
        <w:spacing w:after="0" w:line="240" w:lineRule="auto"/>
        <w:jc w:val="both"/>
        <w:rPr>
          <w:rFonts w:ascii="Verdana" w:hAnsi="Verdana" w:cs="Arial"/>
          <w:bCs/>
          <w:sz w:val="20"/>
          <w:lang w:val="es-ES_tradnl"/>
        </w:rPr>
      </w:pPr>
    </w:p>
    <w:p w14:paraId="08396642" w14:textId="77777777" w:rsidR="003978D5" w:rsidRDefault="003978D5" w:rsidP="003978D5">
      <w:pPr>
        <w:spacing w:after="0" w:line="240" w:lineRule="auto"/>
        <w:jc w:val="both"/>
        <w:rPr>
          <w:rFonts w:ascii="Verdana" w:hAnsi="Verdana" w:cs="Arial"/>
          <w:sz w:val="20"/>
          <w:lang w:val="es-ES"/>
        </w:rPr>
      </w:pPr>
      <w:r>
        <w:rPr>
          <w:rFonts w:ascii="Verdana" w:hAnsi="Verdana" w:cs="Arial"/>
          <w:sz w:val="20"/>
          <w:lang w:val="es-ES"/>
        </w:rPr>
        <w:t xml:space="preserve">[…] </w:t>
      </w:r>
      <w:r w:rsidRPr="005E7090">
        <w:rPr>
          <w:rFonts w:ascii="Verdana" w:hAnsi="Verdana" w:cs="Arial"/>
          <w:sz w:val="20"/>
          <w:lang w:val="es-ES"/>
        </w:rPr>
        <w:t>que hace parte del régimen de inhabilidades e incompatibilidades, que constituyen límites a la capacidad jurídica de los proponentes que pretenden participar en procesos de selección llevados a cabo por entidades estatales, al igual que para suscribir contratos, por lo que al encontrarse que uno de los proponentes se encuentra inmerso en alguna de estas causales procedería el rechazo de la oferta. Ahora bien, estas causales de inhabilidad e incompatibilidad podrían presentarse teniendo en cuenta alguna relación entre los miembros del comité evaluador, quienes pueden ser servidores públicos, y alguno de los proponentes. Este sería el caso en que eventualmente el comité evaluador estuviera conformado por un servidor del nivel asesor, caso en el cual las personas que tengan vínculos de parentesco, hasta el segundo grado de consanguinidad, segundo de afinidad o primero civil, con dicho servidor público no podrían participar en el procedimiento de selección. Lo anterior teniendo en cuenta la causal analizada anteriormente establecida en el literal b) del numeral 2 del artículo 8 de la Ley 80 de 1993.</w:t>
      </w:r>
    </w:p>
    <w:p w14:paraId="1D14A5FB" w14:textId="77777777" w:rsidR="003978D5" w:rsidRPr="005E7090" w:rsidRDefault="003978D5" w:rsidP="003978D5">
      <w:pPr>
        <w:spacing w:after="0" w:line="240" w:lineRule="auto"/>
        <w:jc w:val="both"/>
        <w:rPr>
          <w:rFonts w:ascii="Verdana" w:hAnsi="Verdana" w:cs="Arial"/>
          <w:sz w:val="20"/>
          <w:lang w:val="es-ES"/>
        </w:rPr>
      </w:pPr>
    </w:p>
    <w:p w14:paraId="3C3043E8" w14:textId="77777777" w:rsidR="003978D5" w:rsidRDefault="003978D5" w:rsidP="003978D5">
      <w:pPr>
        <w:spacing w:after="0" w:line="240" w:lineRule="auto"/>
        <w:jc w:val="both"/>
        <w:rPr>
          <w:rFonts w:ascii="Verdana" w:hAnsi="Verdana" w:cs="Arial"/>
          <w:sz w:val="20"/>
          <w:lang w:val="es-ES"/>
        </w:rPr>
      </w:pPr>
      <w:r w:rsidRPr="005E7090">
        <w:rPr>
          <w:rFonts w:ascii="Verdana" w:hAnsi="Verdana" w:cs="Arial"/>
          <w:sz w:val="20"/>
          <w:lang w:val="es-ES"/>
        </w:rPr>
        <w:t xml:space="preserve">En todo caso, lo anterior simplemente reafirma la línea desarrollada en el numeral 1 de este concepto, en el sentido de que las causales de inhabilidad e incompatibilidad son de interpretación restrictiva, de manera que aplican en los casos establecidos por el legislador. Ahora bien, un ejemplo como el anterior en realidad podría ser de difícil ocurrencia, dado que los servidores de estos niveles no suelen ser parte en los comités de evaluación de las ofertas; pero ello no desvirtúa el criterio interpretativo señalado anteriormente, que consiste simplemente en aplicar el régimen de inhabilidades e incompatibilidades. </w:t>
      </w:r>
    </w:p>
    <w:p w14:paraId="22A9FE30" w14:textId="77777777" w:rsidR="003978D5" w:rsidRPr="005E7090" w:rsidRDefault="003978D5" w:rsidP="003978D5">
      <w:pPr>
        <w:spacing w:after="0" w:line="240" w:lineRule="auto"/>
        <w:jc w:val="both"/>
        <w:rPr>
          <w:rFonts w:ascii="Verdana" w:hAnsi="Verdana" w:cs="Arial"/>
          <w:sz w:val="20"/>
          <w:lang w:val="es-ES"/>
        </w:rPr>
      </w:pPr>
    </w:p>
    <w:p w14:paraId="6E894848" w14:textId="77777777" w:rsidR="003978D5" w:rsidRPr="005E7090" w:rsidRDefault="003978D5" w:rsidP="003978D5">
      <w:pPr>
        <w:spacing w:after="0" w:line="240" w:lineRule="auto"/>
        <w:jc w:val="both"/>
        <w:rPr>
          <w:rFonts w:ascii="Verdana" w:hAnsi="Verdana" w:cs="Arial"/>
          <w:sz w:val="20"/>
          <w:lang w:val="es-ES_tradnl"/>
        </w:rPr>
      </w:pPr>
      <w:r w:rsidRPr="005E7090">
        <w:rPr>
          <w:rFonts w:ascii="Verdana" w:hAnsi="Verdana" w:cs="Arial"/>
          <w:sz w:val="20"/>
          <w:lang w:val="es-ES_tradnl"/>
        </w:rPr>
        <w:t>En efecto, si uno de los miembros del comité evaluador es empleado del nivel directivo o asesor, podría configurarse la inhabilidad regulada en el artículo 8, literal b) del numeral 2, de la Ley 80 de 1993, la cual dispone que no podrán participar en procedimientos de selección ni celebrar contratos estatales con la entidad respectiva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23A6F1FC" w14:textId="77777777" w:rsidR="003978D5" w:rsidRDefault="003978D5" w:rsidP="003978D5">
      <w:pPr>
        <w:spacing w:after="0" w:line="240" w:lineRule="auto"/>
        <w:jc w:val="both"/>
        <w:rPr>
          <w:rFonts w:ascii="Verdana" w:hAnsi="Verdana" w:cs="Arial"/>
          <w:lang w:val="es-ES_tradnl"/>
        </w:rPr>
      </w:pPr>
    </w:p>
    <w:p w14:paraId="569E25E4" w14:textId="77777777" w:rsidR="003978D5" w:rsidRPr="000340CC" w:rsidRDefault="003978D5" w:rsidP="003978D5">
      <w:pPr>
        <w:spacing w:after="0" w:line="240" w:lineRule="auto"/>
        <w:jc w:val="both"/>
        <w:rPr>
          <w:rFonts w:ascii="Verdana" w:hAnsi="Verdana" w:cs="Arial"/>
          <w:b/>
          <w:lang w:val="es-ES"/>
        </w:rPr>
      </w:pPr>
      <w:r w:rsidRPr="000340CC">
        <w:rPr>
          <w:rFonts w:ascii="Verdana" w:hAnsi="Verdana" w:cs="Arial"/>
          <w:b/>
          <w:lang w:val="es-ES"/>
        </w:rPr>
        <w:lastRenderedPageBreak/>
        <w:t xml:space="preserve">CONFLICTO DE INTERÉS – Ámbito de aplicación en la contratación estatal –  Artículos 11 y 12 Ley 1437 de 2011 – Comité evaluador- particulares – servidores públicos. </w:t>
      </w:r>
    </w:p>
    <w:p w14:paraId="0C207166" w14:textId="77777777" w:rsidR="003978D5" w:rsidRPr="006D2BEC" w:rsidRDefault="003978D5" w:rsidP="003978D5">
      <w:pPr>
        <w:spacing w:after="0" w:line="240" w:lineRule="auto"/>
        <w:jc w:val="both"/>
        <w:rPr>
          <w:rFonts w:ascii="Verdana" w:hAnsi="Verdana" w:cs="Arial"/>
          <w:lang w:val="es-MX"/>
        </w:rPr>
      </w:pPr>
    </w:p>
    <w:p w14:paraId="53AB1A2A" w14:textId="77777777" w:rsidR="003978D5" w:rsidRPr="000340CC" w:rsidRDefault="003978D5" w:rsidP="003978D5">
      <w:pPr>
        <w:spacing w:after="0" w:line="240" w:lineRule="auto"/>
        <w:jc w:val="both"/>
        <w:rPr>
          <w:rFonts w:ascii="Verdana" w:hAnsi="Verdana"/>
          <w:sz w:val="20"/>
          <w:lang w:val="es-ES"/>
        </w:rPr>
      </w:pPr>
      <w:r w:rsidRPr="000340CC">
        <w:rPr>
          <w:rFonts w:ascii="Verdana" w:hAnsi="Verdana"/>
          <w:sz w:val="20"/>
          <w:lang w:val="es-ES"/>
        </w:rPr>
        <w:t xml:space="preserve">Ahora bien, un tratamiento distinto ocurre frente a los “conflictos de interés” que se le pueda presentar a uno de los miembros del comité evaluador con algún proponente, pues las consecuencias son totalmente diferentes.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0340CC">
        <w:rPr>
          <w:rFonts w:ascii="Verdana" w:hAnsi="Verdana"/>
          <w:i/>
          <w:iCs/>
          <w:sz w:val="20"/>
          <w:lang w:val="es-ES"/>
        </w:rPr>
        <w:t>conflictos de interés</w:t>
      </w:r>
      <w:r w:rsidRPr="000340CC">
        <w:rPr>
          <w:rFonts w:ascii="Verdana" w:hAnsi="Verdana"/>
          <w:sz w:val="20"/>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concurrencia de intereses antagónicos que afectan la transparencia de las decisiones, al implicar –en detrimento del interés general– el aprovechamiento personal, familiar o particular.</w:t>
      </w:r>
    </w:p>
    <w:p w14:paraId="66179B5E" w14:textId="77777777" w:rsidR="003978D5" w:rsidRPr="000340CC" w:rsidRDefault="003978D5" w:rsidP="003978D5">
      <w:pPr>
        <w:spacing w:after="0" w:line="240" w:lineRule="auto"/>
        <w:jc w:val="both"/>
        <w:rPr>
          <w:rFonts w:ascii="Verdana" w:hAnsi="Verdana"/>
          <w:sz w:val="20"/>
          <w:lang w:val="es-ES"/>
        </w:rPr>
      </w:pPr>
      <w:r>
        <w:rPr>
          <w:rFonts w:ascii="Verdana" w:hAnsi="Verdana"/>
          <w:sz w:val="20"/>
          <w:lang w:val="es-ES"/>
        </w:rPr>
        <w:t>[…]</w:t>
      </w:r>
    </w:p>
    <w:p w14:paraId="32B04462" w14:textId="77777777" w:rsidR="003978D5" w:rsidRDefault="003978D5" w:rsidP="003978D5">
      <w:pPr>
        <w:spacing w:after="0" w:line="240" w:lineRule="auto"/>
        <w:jc w:val="both"/>
        <w:rPr>
          <w:rFonts w:ascii="Verdana" w:hAnsi="Verdana"/>
          <w:sz w:val="20"/>
          <w:lang w:val="es-ES_tradnl"/>
        </w:rPr>
      </w:pPr>
      <w:r w:rsidRPr="000340CC">
        <w:rPr>
          <w:rFonts w:ascii="Verdana" w:hAnsi="Verdana"/>
          <w:sz w:val="20"/>
          <w:lang w:val="es-ES_tradnl"/>
        </w:rPr>
        <w:t xml:space="preserve">En el supuesto planteado, podría configurarse la causal de conflictos de interés, impedimento y recusación regulado en el artículo 11, numeral 1° de la Ley 1437 de 2011: “1. Tener interés particular y directo en la regulación, gestión, control o decisión del asunto, o tenerlo su cónyuge, compañero o compañera permanente, o alguno de sus parientes dentro del cuarto grado de consanguinidad, segundo de afinidad o primero civil, o su socio o socios de hecho o de derecho”. </w:t>
      </w:r>
    </w:p>
    <w:p w14:paraId="2F3C3846" w14:textId="77777777" w:rsidR="003978D5" w:rsidRPr="000340CC" w:rsidRDefault="003978D5" w:rsidP="003978D5">
      <w:pPr>
        <w:spacing w:after="0" w:line="240" w:lineRule="auto"/>
        <w:jc w:val="both"/>
        <w:rPr>
          <w:rFonts w:ascii="Verdana" w:hAnsi="Verdana"/>
          <w:sz w:val="20"/>
          <w:lang w:val="es-ES_tradnl"/>
        </w:rPr>
      </w:pPr>
    </w:p>
    <w:p w14:paraId="12BEA745" w14:textId="38EF6505" w:rsidR="003978D5" w:rsidRDefault="003978D5" w:rsidP="003978D5">
      <w:pPr>
        <w:spacing w:after="0" w:line="240" w:lineRule="auto"/>
        <w:jc w:val="both"/>
        <w:rPr>
          <w:rFonts w:ascii="Verdana" w:hAnsi="Verdana"/>
          <w:sz w:val="20"/>
          <w:lang w:val="es-MX"/>
        </w:rPr>
      </w:pPr>
      <w:r w:rsidRPr="000340CC">
        <w:rPr>
          <w:rFonts w:ascii="Verdana" w:hAnsi="Verdana"/>
          <w:sz w:val="20"/>
          <w:lang w:val="es-ES_tradnl"/>
        </w:rPr>
        <w:t xml:space="preserve">Por tanto, el régimen de conflicto de interés es aplicable a los miembros del comité evaluador, los cuales pueden ser </w:t>
      </w:r>
      <w:r w:rsidRPr="000340CC">
        <w:rPr>
          <w:rFonts w:ascii="Verdana" w:hAnsi="Verdana"/>
          <w:sz w:val="20"/>
          <w:lang w:val="es-ES"/>
        </w:rPr>
        <w:t>servidores públicos o particulares contratados, de acuerdo a lo prescrito en el artículo 2.2.1.1.2.2.3. del Decreto 1082 de 2015. En efecto, se presentaría un conflicto de interés por parte del particular o del servidor público para evaluar las ofertas, al encontrarse en el supuesto descrito</w:t>
      </w:r>
      <w:r w:rsidRPr="000340CC">
        <w:rPr>
          <w:rFonts w:ascii="Verdana" w:hAnsi="Verdana"/>
          <w:sz w:val="20"/>
          <w:lang w:val="es-ES_tradnl"/>
        </w:rPr>
        <w:t>, o alguna de las otras establecidas en el artículo 11 de la Ley 1437 de 2011, siendo necesario que se declare impedido conforme a lo que dispone el artículo 12 de la Ley 1437 de 2011. De no hacerlo, el mismo podrá ser recusado por cualquier persona que haya detectado la situación siguiendo igualmente el procedimiento descrito en la misma disposición, por afectarse su imparcialidad y objetividad.</w:t>
      </w:r>
      <w:r w:rsidRPr="000340CC">
        <w:rPr>
          <w:rFonts w:ascii="Verdana" w:hAnsi="Verdana"/>
          <w:sz w:val="20"/>
          <w:lang w:val="es-MX"/>
        </w:rPr>
        <w:t xml:space="preserve"> En otras palabras, el particular contratado que pertenece al comité evaluador le aplicaría el régimen de inhabilidades, incompatibilidades y conflictos de interés establecidos en la Constitución Política y en la Ley, como lo regula el artículo 2.2.1.1.2.2.3. del Decreto 1082 de 2015. </w:t>
      </w:r>
    </w:p>
    <w:p w14:paraId="41E64E99" w14:textId="77777777" w:rsidR="003978D5" w:rsidRDefault="003978D5" w:rsidP="003978D5">
      <w:pPr>
        <w:spacing w:after="0" w:line="240" w:lineRule="auto"/>
        <w:jc w:val="both"/>
        <w:rPr>
          <w:rFonts w:ascii="Verdana" w:hAnsi="Verdana"/>
          <w:sz w:val="20"/>
          <w:lang w:val="es-MX"/>
        </w:rPr>
      </w:pPr>
    </w:p>
    <w:p w14:paraId="3DC4CD45" w14:textId="77777777" w:rsidR="003978D5" w:rsidRDefault="003978D5" w:rsidP="003978D5">
      <w:pPr>
        <w:spacing w:after="0" w:line="240" w:lineRule="auto"/>
        <w:jc w:val="both"/>
        <w:rPr>
          <w:rFonts w:ascii="Verdana" w:hAnsi="Verdana"/>
          <w:sz w:val="20"/>
          <w:lang w:val="es-MX"/>
        </w:rPr>
      </w:pPr>
    </w:p>
    <w:p w14:paraId="20580971" w14:textId="77777777" w:rsidR="003978D5" w:rsidRDefault="003978D5" w:rsidP="003978D5">
      <w:pPr>
        <w:spacing w:after="0" w:line="240" w:lineRule="auto"/>
        <w:jc w:val="both"/>
        <w:rPr>
          <w:rFonts w:ascii="Verdana" w:hAnsi="Verdana"/>
          <w:sz w:val="20"/>
          <w:lang w:val="es-MX"/>
        </w:rPr>
      </w:pPr>
    </w:p>
    <w:p w14:paraId="5BD49626" w14:textId="77777777" w:rsidR="003118C4" w:rsidRDefault="00126419" w:rsidP="0097792C">
      <w:pPr>
        <w:spacing w:after="0"/>
        <w:rPr>
          <w:rFonts w:ascii="Verdana" w:eastAsia="Verdana" w:hAnsi="Verdana" w:cs="Verdana"/>
        </w:rPr>
      </w:pPr>
      <w:r>
        <w:t xml:space="preserve">                                                                           </w:t>
      </w:r>
      <w:r w:rsidR="003978D5">
        <w:br/>
      </w:r>
    </w:p>
    <w:p w14:paraId="292E84FA" w14:textId="77777777" w:rsidR="003118C4" w:rsidRDefault="003118C4" w:rsidP="0097792C">
      <w:pPr>
        <w:spacing w:after="0"/>
        <w:rPr>
          <w:rFonts w:ascii="Verdana" w:eastAsia="Verdana" w:hAnsi="Verdana" w:cs="Verdana"/>
        </w:rPr>
      </w:pPr>
    </w:p>
    <w:p w14:paraId="66A7E0FB" w14:textId="05911064" w:rsidR="0097792C" w:rsidRDefault="0097792C" w:rsidP="0097792C">
      <w:pPr>
        <w:spacing w:after="0"/>
        <w:rPr>
          <w:rFonts w:ascii="Verdana" w:eastAsia="Verdana" w:hAnsi="Verdana" w:cs="Verdana"/>
        </w:rPr>
      </w:pPr>
      <w:r w:rsidRPr="30821638">
        <w:rPr>
          <w:rFonts w:ascii="Verdana" w:eastAsia="Verdana" w:hAnsi="Verdana" w:cs="Verdana"/>
        </w:rPr>
        <w:lastRenderedPageBreak/>
        <w:t xml:space="preserve">Bogotá D.C., </w:t>
      </w:r>
      <w:r w:rsidR="00126419">
        <w:rPr>
          <w:rFonts w:ascii="Verdana" w:eastAsia="Verdana" w:hAnsi="Verdana" w:cs="Verdana"/>
        </w:rPr>
        <w:t xml:space="preserve">16 Junio </w:t>
      </w:r>
      <w:r>
        <w:rPr>
          <w:rFonts w:ascii="Verdana" w:eastAsia="Verdana" w:hAnsi="Verdana" w:cs="Verdana"/>
        </w:rPr>
        <w:t>2026</w:t>
      </w:r>
    </w:p>
    <w:p w14:paraId="391611E8" w14:textId="5A11F7D8" w:rsidR="003978D5" w:rsidRPr="003978D5" w:rsidRDefault="003118C4" w:rsidP="003978D5">
      <w:pPr>
        <w:spacing w:after="0"/>
        <w:rPr>
          <w:rFonts w:ascii="Verdana" w:eastAsia="Verdana" w:hAnsi="Verdana" w:cs="Verdana"/>
        </w:rPr>
      </w:pPr>
      <w:r w:rsidRPr="00A12CE9">
        <w:rPr>
          <w:rFonts w:ascii="Verdana" w:eastAsia="Verdana" w:hAnsi="Verdana" w:cs="Verdana"/>
          <w:noProof/>
        </w:rPr>
        <w:drawing>
          <wp:anchor distT="0" distB="0" distL="114300" distR="114300" simplePos="0" relativeHeight="251658240" behindDoc="1" locked="0" layoutInCell="1" allowOverlap="1" wp14:anchorId="21E181FE" wp14:editId="3D5221A9">
            <wp:simplePos x="0" y="0"/>
            <wp:positionH relativeFrom="column">
              <wp:posOffset>3298190</wp:posOffset>
            </wp:positionH>
            <wp:positionV relativeFrom="paragraph">
              <wp:posOffset>180340</wp:posOffset>
            </wp:positionV>
            <wp:extent cx="2367280" cy="608965"/>
            <wp:effectExtent l="0" t="0" r="0" b="635"/>
            <wp:wrapTight wrapText="bothSides">
              <wp:wrapPolygon edited="0">
                <wp:start x="0" y="0"/>
                <wp:lineTo x="0" y="20947"/>
                <wp:lineTo x="21380" y="20947"/>
                <wp:lineTo x="21380" y="0"/>
                <wp:lineTo x="0" y="0"/>
              </wp:wrapPolygon>
            </wp:wrapTight>
            <wp:docPr id="9020034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67280" cy="608965"/>
                    </a:xfrm>
                    <a:prstGeom prst="rect">
                      <a:avLst/>
                    </a:prstGeom>
                    <a:noFill/>
                    <a:ln>
                      <a:noFill/>
                    </a:ln>
                  </pic:spPr>
                </pic:pic>
              </a:graphicData>
            </a:graphic>
            <wp14:sizeRelH relativeFrom="margin">
              <wp14:pctWidth>0</wp14:pctWidth>
            </wp14:sizeRelH>
          </wp:anchor>
        </w:drawing>
      </w:r>
    </w:p>
    <w:p w14:paraId="1EB9C9A0" w14:textId="6B172769" w:rsidR="003978D5" w:rsidRDefault="003978D5" w:rsidP="003978D5">
      <w:pPr>
        <w:spacing w:after="0" w:line="240" w:lineRule="auto"/>
        <w:rPr>
          <w:rFonts w:ascii="Verdana" w:eastAsia="Calibri" w:hAnsi="Verdana" w:cs="Times New Roman"/>
          <w:lang w:val="es-MX"/>
        </w:rPr>
      </w:pPr>
      <w:r w:rsidRPr="0060163E">
        <w:rPr>
          <w:rFonts w:ascii="Verdana" w:eastAsia="Calibri" w:hAnsi="Verdana" w:cs="Times New Roman"/>
          <w:lang w:val="es-MX"/>
        </w:rPr>
        <w:t>Señor</w:t>
      </w:r>
    </w:p>
    <w:p w14:paraId="5878B885" w14:textId="0B2308B6" w:rsidR="003978D5" w:rsidRDefault="003978D5" w:rsidP="003978D5">
      <w:pPr>
        <w:spacing w:after="0" w:line="240" w:lineRule="auto"/>
        <w:rPr>
          <w:rFonts w:ascii="Verdana" w:eastAsia="Calibri" w:hAnsi="Verdana" w:cs="Times New Roman"/>
          <w:b/>
          <w:bCs/>
          <w:lang w:val="es-MX"/>
        </w:rPr>
      </w:pPr>
      <w:r w:rsidRPr="005245DB">
        <w:rPr>
          <w:rFonts w:ascii="Verdana" w:eastAsia="Calibri" w:hAnsi="Verdana" w:cs="Times New Roman"/>
          <w:b/>
          <w:bCs/>
          <w:lang w:val="es-MX"/>
        </w:rPr>
        <w:t>Peticionario Anónimo</w:t>
      </w:r>
    </w:p>
    <w:p w14:paraId="2A4BA567" w14:textId="77A460D8" w:rsidR="003978D5" w:rsidRPr="005245DB" w:rsidRDefault="003978D5" w:rsidP="003978D5">
      <w:pPr>
        <w:spacing w:after="0" w:line="240" w:lineRule="auto"/>
        <w:rPr>
          <w:rFonts w:ascii="Verdana" w:eastAsia="Times New Roman" w:hAnsi="Verdana" w:cs="Calibri"/>
          <w:lang w:eastAsia="es-CO"/>
        </w:rPr>
      </w:pPr>
      <w:r w:rsidRPr="005245DB">
        <w:rPr>
          <w:rFonts w:ascii="Verdana" w:eastAsia="Times New Roman" w:hAnsi="Verdana" w:cs="Calibri"/>
          <w:lang w:eastAsia="es-CO"/>
        </w:rPr>
        <w:t>fernandog213@hotmail.com</w:t>
      </w:r>
    </w:p>
    <w:p w14:paraId="33152727" w14:textId="77777777" w:rsidR="003978D5" w:rsidRPr="005245DB" w:rsidRDefault="003978D5" w:rsidP="003978D5">
      <w:pPr>
        <w:spacing w:after="0" w:line="240" w:lineRule="auto"/>
        <w:rPr>
          <w:rFonts w:ascii="Verdana" w:eastAsia="Calibri" w:hAnsi="Verdana" w:cs="Times New Roman"/>
          <w:lang w:val="es-MX"/>
        </w:rPr>
      </w:pPr>
      <w:r w:rsidRPr="005245DB">
        <w:rPr>
          <w:rFonts w:ascii="Verdana" w:eastAsia="Calibri" w:hAnsi="Verdana" w:cs="Times New Roman"/>
          <w:lang w:val="es-MX"/>
        </w:rPr>
        <w:t>Ciudad</w:t>
      </w:r>
    </w:p>
    <w:p w14:paraId="4D8BC8A0" w14:textId="50494AC0" w:rsidR="003978D5" w:rsidRPr="0060163E" w:rsidRDefault="0071282F" w:rsidP="003978D5">
      <w:pPr>
        <w:spacing w:after="0" w:line="240" w:lineRule="auto"/>
        <w:rPr>
          <w:rFonts w:ascii="Verdana" w:eastAsia="Calibri" w:hAnsi="Verdana" w:cs="Times New Roman"/>
          <w:lang w:val="es-MX"/>
        </w:rPr>
      </w:pPr>
      <w:r>
        <w:rPr>
          <w:rFonts w:ascii="Verdana" w:eastAsia="Calibri" w:hAnsi="Verdana" w:cs="Times New Roman"/>
          <w:lang w:val="es-MX"/>
        </w:rPr>
        <w:t>C-</w:t>
      </w:r>
    </w:p>
    <w:p w14:paraId="069C8A94" w14:textId="77777777" w:rsidR="003978D5" w:rsidRPr="0060163E" w:rsidRDefault="003978D5" w:rsidP="003978D5">
      <w:pPr>
        <w:spacing w:after="0" w:line="240" w:lineRule="auto"/>
        <w:rPr>
          <w:rFonts w:ascii="Verdana" w:eastAsia="Calibri" w:hAnsi="Verdana" w:cs="Times New Roman"/>
        </w:rPr>
      </w:pPr>
    </w:p>
    <w:p w14:paraId="3E7D0B2F" w14:textId="77777777" w:rsidR="003978D5" w:rsidRPr="0060163E" w:rsidRDefault="003978D5" w:rsidP="003978D5">
      <w:pPr>
        <w:spacing w:after="0" w:line="240" w:lineRule="auto"/>
        <w:rPr>
          <w:rFonts w:ascii="Verdana" w:eastAsia="Calibri" w:hAnsi="Verdana" w:cs="Times New Roman"/>
        </w:rPr>
      </w:pPr>
    </w:p>
    <w:p w14:paraId="5E22E57C" w14:textId="77777777" w:rsidR="003978D5" w:rsidRPr="0060163E" w:rsidRDefault="003978D5" w:rsidP="003978D5">
      <w:pPr>
        <w:spacing w:after="0" w:line="240" w:lineRule="auto"/>
        <w:rPr>
          <w:rFonts w:ascii="Verdana" w:eastAsia="Calibri" w:hAnsi="Verdana" w:cs="Times New Roman"/>
          <w:b/>
          <w:bCs/>
          <w:lang w:val="es-ES"/>
        </w:rPr>
      </w:pPr>
      <w:r w:rsidRPr="0060163E">
        <w:rPr>
          <w:rFonts w:ascii="Verdana" w:eastAsia="Calibri" w:hAnsi="Verdana" w:cs="Times New Roman"/>
          <w:b/>
          <w:bCs/>
        </w:rPr>
        <w:t xml:space="preserve">                                    </w:t>
      </w:r>
      <w:r>
        <w:rPr>
          <w:rFonts w:ascii="Verdana" w:eastAsia="Calibri" w:hAnsi="Verdana" w:cs="Times New Roman"/>
          <w:b/>
          <w:bCs/>
          <w:lang w:val="es-ES"/>
        </w:rPr>
        <w:t>Concepto C– 747</w:t>
      </w:r>
      <w:r w:rsidRPr="0060163E">
        <w:rPr>
          <w:rFonts w:ascii="Verdana" w:eastAsia="Calibri" w:hAnsi="Verdana" w:cs="Times New Roman"/>
          <w:b/>
          <w:bCs/>
          <w:lang w:val="es-ES"/>
        </w:rPr>
        <w:t xml:space="preserve"> de 202</w:t>
      </w:r>
      <w:r>
        <w:rPr>
          <w:rFonts w:ascii="Verdana" w:eastAsia="Calibri" w:hAnsi="Verdana" w:cs="Times New Roman"/>
          <w:b/>
          <w:bCs/>
          <w:lang w:val="es-ES"/>
        </w:rPr>
        <w:t>6</w:t>
      </w:r>
    </w:p>
    <w:p w14:paraId="7BCAB6F6" w14:textId="77777777" w:rsidR="003978D5" w:rsidRPr="0060163E" w:rsidRDefault="003978D5" w:rsidP="003978D5">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978D5" w:rsidRPr="0060163E" w14:paraId="3647CDD2" w14:textId="77777777" w:rsidTr="00ED4C96">
        <w:trPr>
          <w:trHeight w:val="884"/>
        </w:trPr>
        <w:tc>
          <w:tcPr>
            <w:tcW w:w="2685" w:type="dxa"/>
            <w:hideMark/>
          </w:tcPr>
          <w:p w14:paraId="2AD9F14E" w14:textId="77777777" w:rsidR="003978D5" w:rsidRPr="0060163E" w:rsidRDefault="003978D5" w:rsidP="00ED4C96">
            <w:pPr>
              <w:rPr>
                <w:rFonts w:ascii="Verdana" w:hAnsi="Verdana"/>
                <w:b/>
                <w:bCs/>
                <w:lang w:val="es-ES_tradnl"/>
              </w:rPr>
            </w:pPr>
            <w:r w:rsidRPr="0060163E">
              <w:rPr>
                <w:rFonts w:ascii="Verdana" w:hAnsi="Verdana"/>
                <w:b/>
                <w:bCs/>
                <w:lang w:val="es-ES_tradnl"/>
              </w:rPr>
              <w:t xml:space="preserve">Temas:                   </w:t>
            </w:r>
          </w:p>
        </w:tc>
        <w:tc>
          <w:tcPr>
            <w:tcW w:w="6241" w:type="dxa"/>
            <w:hideMark/>
          </w:tcPr>
          <w:p w14:paraId="060B1395" w14:textId="77777777" w:rsidR="003978D5" w:rsidRPr="006D2BEC" w:rsidRDefault="003978D5" w:rsidP="00ED4C96">
            <w:pPr>
              <w:spacing w:line="276" w:lineRule="auto"/>
              <w:jc w:val="both"/>
              <w:rPr>
                <w:rFonts w:ascii="Verdana" w:hAnsi="Verdana" w:cs="Arial"/>
                <w:lang w:val="es-MX"/>
              </w:rPr>
            </w:pPr>
            <w:r w:rsidRPr="006D2BEC">
              <w:rPr>
                <w:rFonts w:ascii="Verdana" w:hAnsi="Verdana" w:cs="Arial"/>
                <w:lang w:val="es-MX"/>
              </w:rPr>
              <w:t xml:space="preserve">INHABILIDADES E INCOMPATIBILIDADES ─ Definición ─ fundamento – clases / INHABILIDADES E INCOMPATIBILIDADES - Finalidad ─ Limitación capacidad contractual </w:t>
            </w:r>
            <w:r w:rsidRPr="006D2BEC">
              <w:rPr>
                <w:rFonts w:ascii="Verdana" w:hAnsi="Verdana" w:cs="Arial"/>
                <w:lang w:val="es-ES_tradnl"/>
              </w:rPr>
              <w:t>/ INHABILIDADES – Taxatividad – Principio de legalidad – Interpretación restrictiva</w:t>
            </w:r>
            <w:r w:rsidRPr="006D2BEC" w:rsidDel="00A75E55">
              <w:rPr>
                <w:rFonts w:ascii="Verdana" w:hAnsi="Verdana" w:cs="Arial"/>
                <w:lang w:val="es-ES_tradnl"/>
              </w:rPr>
              <w:t xml:space="preserve"> </w:t>
            </w:r>
            <w:r w:rsidRPr="006D2BEC">
              <w:rPr>
                <w:rFonts w:ascii="Verdana" w:hAnsi="Verdana" w:cs="Arial"/>
                <w:lang w:val="es-ES_tradnl"/>
              </w:rPr>
              <w:t xml:space="preserve">/ </w:t>
            </w:r>
            <w:r w:rsidRPr="00197068">
              <w:rPr>
                <w:rFonts w:ascii="Verdana" w:hAnsi="Verdana" w:cs="Arial"/>
                <w:lang w:val="es-ES"/>
              </w:rPr>
              <w:t xml:space="preserve">RÉGIMEN DE INHABILIDADES E INCOMPATIBILIDADES </w:t>
            </w:r>
            <w:r w:rsidRPr="00197068">
              <w:rPr>
                <w:rFonts w:ascii="Verdana" w:hAnsi="Verdana" w:cs="Arial"/>
              </w:rPr>
              <w:t xml:space="preserve">– </w:t>
            </w:r>
            <w:r w:rsidRPr="00197068">
              <w:rPr>
                <w:rFonts w:ascii="Verdana" w:hAnsi="Verdana" w:cs="Arial"/>
                <w:bCs/>
                <w:lang w:val="es-ES_tradnl"/>
              </w:rPr>
              <w:t xml:space="preserve">Alcance de las prohibiciones reguladas en el artículo 8, literal b) del numeral 2, de la Ley 80 de 1993 </w:t>
            </w:r>
            <w:r w:rsidRPr="00197068">
              <w:rPr>
                <w:rFonts w:ascii="Verdana" w:hAnsi="Verdana" w:cs="Arial"/>
                <w:lang w:val="es-ES"/>
              </w:rPr>
              <w:t>/ CONFLICTO DE INTERÉS – Ámbito de aplicación en la contratación estatal –  Artículos 11 y 12 Ley 1437 de 2011 – Comité evaluador</w:t>
            </w:r>
            <w:r>
              <w:rPr>
                <w:rFonts w:ascii="Verdana" w:hAnsi="Verdana" w:cs="Arial"/>
                <w:lang w:val="es-ES"/>
              </w:rPr>
              <w:t xml:space="preserve"> - particulares – servidores públicos. </w:t>
            </w:r>
          </w:p>
          <w:p w14:paraId="71FAF139" w14:textId="77777777" w:rsidR="003978D5" w:rsidRPr="006D2BEC" w:rsidRDefault="003978D5" w:rsidP="00ED4C96">
            <w:pPr>
              <w:jc w:val="both"/>
              <w:rPr>
                <w:rFonts w:ascii="Verdana" w:hAnsi="Verdana" w:cs="Arial"/>
                <w:lang w:val="es-ES_tradnl"/>
              </w:rPr>
            </w:pPr>
          </w:p>
        </w:tc>
        <w:tc>
          <w:tcPr>
            <w:tcW w:w="6237" w:type="dxa"/>
          </w:tcPr>
          <w:p w14:paraId="43051D74" w14:textId="77777777" w:rsidR="003978D5" w:rsidRPr="006D2BEC" w:rsidRDefault="003978D5" w:rsidP="00ED4C96">
            <w:pPr>
              <w:rPr>
                <w:rFonts w:ascii="Verdana" w:hAnsi="Verdana"/>
              </w:rPr>
            </w:pPr>
          </w:p>
        </w:tc>
      </w:tr>
      <w:tr w:rsidR="003978D5" w:rsidRPr="0060163E" w14:paraId="02DC9D56" w14:textId="77777777" w:rsidTr="00ED4C96">
        <w:tc>
          <w:tcPr>
            <w:tcW w:w="2685" w:type="dxa"/>
          </w:tcPr>
          <w:p w14:paraId="7BAFD397" w14:textId="77777777" w:rsidR="003978D5" w:rsidRPr="0060163E" w:rsidRDefault="003978D5" w:rsidP="00ED4C96">
            <w:pPr>
              <w:rPr>
                <w:rFonts w:ascii="Verdana" w:hAnsi="Verdana"/>
                <w:lang w:val="es-ES_tradnl"/>
              </w:rPr>
            </w:pPr>
          </w:p>
          <w:p w14:paraId="2355540C" w14:textId="77777777" w:rsidR="003978D5" w:rsidRPr="0060163E" w:rsidRDefault="003978D5" w:rsidP="00ED4C96">
            <w:pPr>
              <w:rPr>
                <w:rFonts w:ascii="Verdana" w:hAnsi="Verdana"/>
                <w:b/>
                <w:bCs/>
                <w:lang w:val="es-ES_tradnl"/>
              </w:rPr>
            </w:pPr>
            <w:r w:rsidRPr="0060163E">
              <w:rPr>
                <w:rFonts w:ascii="Verdana" w:hAnsi="Verdana"/>
                <w:b/>
                <w:bCs/>
                <w:lang w:val="es-ES_tradnl"/>
              </w:rPr>
              <w:t xml:space="preserve">Radicación:               </w:t>
            </w:r>
          </w:p>
        </w:tc>
        <w:tc>
          <w:tcPr>
            <w:tcW w:w="6241" w:type="dxa"/>
          </w:tcPr>
          <w:p w14:paraId="1B862482" w14:textId="77777777" w:rsidR="003978D5" w:rsidRPr="0060163E" w:rsidRDefault="003978D5" w:rsidP="00ED4C96">
            <w:pPr>
              <w:jc w:val="both"/>
              <w:rPr>
                <w:rFonts w:ascii="Verdana" w:hAnsi="Verdana"/>
                <w:lang w:val="es-ES_tradnl"/>
              </w:rPr>
            </w:pPr>
          </w:p>
          <w:p w14:paraId="04334208" w14:textId="77777777" w:rsidR="003978D5" w:rsidRPr="005245DB" w:rsidRDefault="003978D5" w:rsidP="00ED4C96">
            <w:pPr>
              <w:jc w:val="both"/>
              <w:rPr>
                <w:rFonts w:ascii="Verdana" w:hAnsi="Verdana"/>
                <w:lang w:val="es-ES_tradnl"/>
              </w:rPr>
            </w:pPr>
            <w:r w:rsidRPr="0060163E">
              <w:rPr>
                <w:rFonts w:ascii="Verdana" w:hAnsi="Verdana"/>
                <w:lang w:val="es-ES_tradnl"/>
              </w:rPr>
              <w:t>Respue</w:t>
            </w:r>
            <w:r>
              <w:rPr>
                <w:rFonts w:ascii="Verdana" w:hAnsi="Verdana"/>
                <w:lang w:val="es-ES_tradnl"/>
              </w:rPr>
              <w:t xml:space="preserve">sta a consulta con radicado </w:t>
            </w:r>
            <w:r>
              <w:rPr>
                <w:rFonts w:ascii="Verdana" w:hAnsi="Verdana" w:cs="Calibri"/>
                <w:color w:val="000000"/>
              </w:rPr>
              <w:t>1_2026_05_05_006037</w:t>
            </w:r>
          </w:p>
          <w:p w14:paraId="3D78E63A" w14:textId="77777777" w:rsidR="003978D5" w:rsidRPr="0060163E" w:rsidRDefault="003978D5" w:rsidP="00ED4C96">
            <w:pPr>
              <w:jc w:val="both"/>
              <w:rPr>
                <w:rFonts w:ascii="Verdana" w:hAnsi="Verdana"/>
                <w:lang w:val="es-ES_tradnl"/>
              </w:rPr>
            </w:pPr>
            <w:r>
              <w:rPr>
                <w:rFonts w:ascii="Verdana" w:hAnsi="Verdana"/>
                <w:lang w:val="es-ES_tradnl"/>
              </w:rPr>
              <w:t xml:space="preserve"> </w:t>
            </w:r>
          </w:p>
          <w:p w14:paraId="6225172F" w14:textId="77777777" w:rsidR="003978D5" w:rsidRPr="0060163E" w:rsidRDefault="003978D5" w:rsidP="00ED4C96">
            <w:pPr>
              <w:jc w:val="both"/>
              <w:rPr>
                <w:rFonts w:ascii="Verdana" w:hAnsi="Verdana"/>
              </w:rPr>
            </w:pPr>
          </w:p>
        </w:tc>
        <w:tc>
          <w:tcPr>
            <w:tcW w:w="6237" w:type="dxa"/>
          </w:tcPr>
          <w:p w14:paraId="43F7574A" w14:textId="77777777" w:rsidR="003978D5" w:rsidRPr="0060163E" w:rsidRDefault="003978D5" w:rsidP="00ED4C96">
            <w:pPr>
              <w:rPr>
                <w:rFonts w:ascii="Verdana" w:hAnsi="Verdana"/>
                <w:lang w:val="es-ES_tradnl"/>
              </w:rPr>
            </w:pPr>
          </w:p>
        </w:tc>
      </w:tr>
      <w:tr w:rsidR="003978D5" w:rsidRPr="0060163E" w14:paraId="7751FBE4" w14:textId="77777777" w:rsidTr="00ED4C96">
        <w:tc>
          <w:tcPr>
            <w:tcW w:w="2685" w:type="dxa"/>
          </w:tcPr>
          <w:p w14:paraId="648C8B7C" w14:textId="77777777" w:rsidR="003978D5" w:rsidRPr="0060163E" w:rsidRDefault="003978D5" w:rsidP="00ED4C96">
            <w:pPr>
              <w:rPr>
                <w:rFonts w:ascii="Verdana" w:hAnsi="Verdana"/>
                <w:lang w:val="es-ES_tradnl"/>
              </w:rPr>
            </w:pPr>
          </w:p>
        </w:tc>
        <w:tc>
          <w:tcPr>
            <w:tcW w:w="6241" w:type="dxa"/>
          </w:tcPr>
          <w:p w14:paraId="7ED00A6F" w14:textId="77777777" w:rsidR="003978D5" w:rsidRPr="0060163E" w:rsidRDefault="003978D5" w:rsidP="00ED4C96">
            <w:pPr>
              <w:jc w:val="both"/>
              <w:rPr>
                <w:rFonts w:ascii="Verdana" w:hAnsi="Verdana"/>
                <w:lang w:val="es-ES_tradnl"/>
              </w:rPr>
            </w:pPr>
          </w:p>
        </w:tc>
        <w:tc>
          <w:tcPr>
            <w:tcW w:w="6237" w:type="dxa"/>
          </w:tcPr>
          <w:p w14:paraId="0E2D34DF" w14:textId="77777777" w:rsidR="003978D5" w:rsidRPr="0060163E" w:rsidRDefault="003978D5" w:rsidP="00ED4C96">
            <w:pPr>
              <w:rPr>
                <w:rFonts w:ascii="Verdana" w:hAnsi="Verdana"/>
                <w:lang w:val="es-ES_tradnl"/>
              </w:rPr>
            </w:pPr>
          </w:p>
        </w:tc>
      </w:tr>
    </w:tbl>
    <w:p w14:paraId="1F395277" w14:textId="77777777" w:rsidR="003978D5" w:rsidRPr="0060163E" w:rsidRDefault="003978D5" w:rsidP="003978D5">
      <w:pPr>
        <w:spacing w:after="0" w:line="256" w:lineRule="auto"/>
        <w:rPr>
          <w:rFonts w:ascii="Verdana" w:eastAsia="Calibri" w:hAnsi="Verdana" w:cs="Times New Roman"/>
          <w:lang w:val="es-ES"/>
        </w:rPr>
      </w:pPr>
      <w:r>
        <w:rPr>
          <w:rFonts w:ascii="Verdana" w:eastAsia="Calibri" w:hAnsi="Verdana" w:cs="Times New Roman"/>
          <w:lang w:val="es-ES"/>
        </w:rPr>
        <w:t>Estimado Señor Peticionario Anónimo</w:t>
      </w:r>
      <w:r w:rsidRPr="0060163E">
        <w:rPr>
          <w:rFonts w:ascii="Verdana" w:eastAsia="Calibri" w:hAnsi="Verdana" w:cs="Times New Roman"/>
          <w:lang w:val="es-ES"/>
        </w:rPr>
        <w:t xml:space="preserve">: </w:t>
      </w:r>
    </w:p>
    <w:p w14:paraId="751D63C9" w14:textId="77777777" w:rsidR="003978D5" w:rsidRPr="0060163E" w:rsidRDefault="003978D5" w:rsidP="003978D5">
      <w:pPr>
        <w:spacing w:after="0" w:line="276" w:lineRule="auto"/>
        <w:rPr>
          <w:rFonts w:ascii="Verdana" w:eastAsia="Calibri" w:hAnsi="Verdana" w:cs="Times New Roman"/>
          <w:lang w:val="es-ES"/>
        </w:rPr>
      </w:pPr>
    </w:p>
    <w:p w14:paraId="038A1DF2" w14:textId="77777777" w:rsidR="003978D5" w:rsidRDefault="003978D5" w:rsidP="003978D5">
      <w:pPr>
        <w:spacing w:after="120" w:line="276" w:lineRule="auto"/>
        <w:jc w:val="both"/>
        <w:rPr>
          <w:rFonts w:ascii="Verdana" w:eastAsia="Calibri" w:hAnsi="Verdana" w:cs="Times New Roman"/>
          <w:lang w:val="es-ES"/>
        </w:rPr>
      </w:pPr>
      <w:r w:rsidRPr="004E21BD">
        <w:rPr>
          <w:rFonts w:ascii="Verdana" w:eastAsia="Calibri" w:hAnsi="Verdana" w:cs="Times New Roman"/>
          <w:lang w:val="es-ES"/>
        </w:rPr>
        <w:t xml:space="preserve">En ejercicio de la competencia otorgada por los artículos 3, numeral 5º, y 11, numeral 8º, del Decreto Ley 4170 de 2011, la Agencia Nacional de Contratación Pública – Colombia Compra Eficiente– responde la solicitud de consulta presentada el </w:t>
      </w:r>
      <w:r>
        <w:rPr>
          <w:rFonts w:ascii="Verdana" w:eastAsia="Calibri" w:hAnsi="Verdana" w:cs="Times New Roman"/>
          <w:lang w:val="es-ES"/>
        </w:rPr>
        <w:t>5</w:t>
      </w:r>
      <w:r w:rsidRPr="004E21BD">
        <w:rPr>
          <w:rFonts w:ascii="Verdana" w:eastAsia="Calibri" w:hAnsi="Verdana" w:cs="Times New Roman"/>
          <w:lang w:val="es-ES"/>
        </w:rPr>
        <w:t xml:space="preserve"> de </w:t>
      </w:r>
      <w:r>
        <w:rPr>
          <w:rFonts w:ascii="Verdana" w:eastAsia="Calibri" w:hAnsi="Verdana" w:cs="Times New Roman"/>
          <w:lang w:val="es-ES"/>
        </w:rPr>
        <w:t>Mayo</w:t>
      </w:r>
      <w:r w:rsidRPr="004E21BD">
        <w:rPr>
          <w:rFonts w:ascii="Verdana" w:eastAsia="Calibri" w:hAnsi="Verdana" w:cs="Times New Roman"/>
          <w:lang w:val="es-ES"/>
        </w:rPr>
        <w:t xml:space="preserve"> de 202</w:t>
      </w:r>
      <w:r>
        <w:rPr>
          <w:rFonts w:ascii="Verdana" w:eastAsia="Calibri" w:hAnsi="Verdana" w:cs="Times New Roman"/>
          <w:lang w:val="es-ES"/>
        </w:rPr>
        <w:t>6</w:t>
      </w:r>
      <w:r w:rsidRPr="004E21BD">
        <w:rPr>
          <w:rFonts w:ascii="Verdana" w:eastAsia="Calibri" w:hAnsi="Verdana" w:cs="Times New Roman"/>
          <w:lang w:val="es-ES"/>
        </w:rPr>
        <w:t>, en la cual pregunta:</w:t>
      </w:r>
    </w:p>
    <w:p w14:paraId="64AB6D35" w14:textId="77777777" w:rsidR="003978D5" w:rsidRDefault="003978D5" w:rsidP="003978D5">
      <w:pPr>
        <w:spacing w:after="0" w:line="240" w:lineRule="auto"/>
        <w:ind w:left="737" w:right="737"/>
        <w:jc w:val="both"/>
        <w:rPr>
          <w:rFonts w:ascii="Verdana" w:eastAsia="Calibri" w:hAnsi="Verdana" w:cs="Times New Roman"/>
          <w:bCs/>
        </w:rPr>
      </w:pPr>
      <w:r w:rsidRPr="004E21BD">
        <w:rPr>
          <w:rFonts w:ascii="Verdana" w:eastAsia="Calibri" w:hAnsi="Verdana" w:cs="Times New Roman"/>
          <w:bCs/>
        </w:rPr>
        <w:t>“</w:t>
      </w:r>
      <w:r w:rsidRPr="00542B4B">
        <w:rPr>
          <w:rFonts w:ascii="Verdana" w:eastAsia="Calibri" w:hAnsi="Verdana" w:cs="Times New Roman"/>
          <w:bCs/>
        </w:rPr>
        <w:t>existe alguna inhabilidad o incompatibilidad si en una propuesta</w:t>
      </w:r>
      <w:r>
        <w:rPr>
          <w:rFonts w:ascii="Verdana" w:eastAsia="Calibri" w:hAnsi="Verdana" w:cs="Times New Roman"/>
          <w:bCs/>
        </w:rPr>
        <w:t xml:space="preserve"> </w:t>
      </w:r>
      <w:r w:rsidRPr="00542B4B">
        <w:rPr>
          <w:rFonts w:ascii="Verdana" w:eastAsia="Calibri" w:hAnsi="Verdana" w:cs="Times New Roman"/>
          <w:bCs/>
        </w:rPr>
        <w:t>presentada en un proceso dentro del personal propuesto se encuentra</w:t>
      </w:r>
      <w:r>
        <w:rPr>
          <w:rFonts w:ascii="Verdana" w:eastAsia="Calibri" w:hAnsi="Verdana" w:cs="Times New Roman"/>
          <w:bCs/>
        </w:rPr>
        <w:t xml:space="preserve"> </w:t>
      </w:r>
      <w:r w:rsidRPr="00542B4B">
        <w:rPr>
          <w:rFonts w:ascii="Verdana" w:eastAsia="Calibri" w:hAnsi="Verdana" w:cs="Times New Roman"/>
          <w:bCs/>
        </w:rPr>
        <w:t xml:space="preserve">algún familiar de grado de afinidad de algún miembro </w:t>
      </w:r>
      <w:r w:rsidRPr="00542B4B">
        <w:rPr>
          <w:rFonts w:ascii="Verdana" w:eastAsia="Calibri" w:hAnsi="Verdana" w:cs="Times New Roman"/>
          <w:bCs/>
        </w:rPr>
        <w:lastRenderedPageBreak/>
        <w:t>de comité</w:t>
      </w:r>
      <w:r>
        <w:rPr>
          <w:rFonts w:ascii="Verdana" w:eastAsia="Calibri" w:hAnsi="Verdana" w:cs="Times New Roman"/>
          <w:bCs/>
        </w:rPr>
        <w:t xml:space="preserve"> </w:t>
      </w:r>
      <w:r w:rsidRPr="00542B4B">
        <w:rPr>
          <w:rFonts w:ascii="Verdana" w:eastAsia="Calibri" w:hAnsi="Verdana" w:cs="Times New Roman"/>
          <w:bCs/>
        </w:rPr>
        <w:t>evaluador del proceso, no es proponente, hace parte del personal</w:t>
      </w:r>
      <w:r>
        <w:rPr>
          <w:rFonts w:ascii="Verdana" w:eastAsia="Calibri" w:hAnsi="Verdana" w:cs="Times New Roman"/>
          <w:bCs/>
        </w:rPr>
        <w:t xml:space="preserve"> </w:t>
      </w:r>
      <w:r w:rsidRPr="00542B4B">
        <w:rPr>
          <w:rFonts w:ascii="Verdana" w:eastAsia="Calibri" w:hAnsi="Verdana" w:cs="Times New Roman"/>
          <w:bCs/>
        </w:rPr>
        <w:t>propuesto de la propuesta</w:t>
      </w:r>
      <w:r>
        <w:rPr>
          <w:rFonts w:ascii="Verdana" w:eastAsia="Calibri" w:hAnsi="Verdana" w:cs="Times New Roman"/>
          <w:bCs/>
        </w:rPr>
        <w:t>”.</w:t>
      </w:r>
    </w:p>
    <w:p w14:paraId="1F896F1C" w14:textId="77777777" w:rsidR="003978D5" w:rsidRDefault="003978D5" w:rsidP="003978D5">
      <w:pPr>
        <w:spacing w:after="0" w:line="240" w:lineRule="auto"/>
        <w:ind w:left="737" w:right="737"/>
        <w:jc w:val="both"/>
        <w:rPr>
          <w:rFonts w:ascii="Verdana" w:eastAsia="Calibri" w:hAnsi="Verdana" w:cs="Times New Roman"/>
          <w:bCs/>
        </w:rPr>
      </w:pPr>
    </w:p>
    <w:p w14:paraId="76784B60" w14:textId="77777777" w:rsidR="003978D5" w:rsidRDefault="003978D5" w:rsidP="003978D5">
      <w:pPr>
        <w:spacing w:after="0" w:line="240" w:lineRule="auto"/>
        <w:ind w:left="737" w:right="737"/>
        <w:jc w:val="both"/>
        <w:rPr>
          <w:rFonts w:ascii="Verdana" w:eastAsia="Calibri" w:hAnsi="Verdana" w:cs="Times New Roman"/>
          <w:bCs/>
        </w:rPr>
      </w:pPr>
    </w:p>
    <w:p w14:paraId="7FF0A9A4" w14:textId="77777777" w:rsidR="003978D5" w:rsidRPr="00542B4B" w:rsidRDefault="003978D5" w:rsidP="003978D5">
      <w:pPr>
        <w:spacing w:after="0" w:line="240" w:lineRule="auto"/>
        <w:ind w:left="737" w:right="737"/>
        <w:jc w:val="both"/>
        <w:rPr>
          <w:rFonts w:ascii="Verdana" w:eastAsia="Calibri" w:hAnsi="Verdana" w:cs="Times New Roman"/>
          <w:bCs/>
        </w:rPr>
      </w:pPr>
    </w:p>
    <w:p w14:paraId="4EA8FDE0" w14:textId="77777777" w:rsidR="003978D5" w:rsidRPr="0060163E" w:rsidRDefault="003978D5" w:rsidP="003978D5">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420599C" w14:textId="77777777" w:rsidR="003978D5" w:rsidRPr="0060163E" w:rsidRDefault="003978D5" w:rsidP="003978D5">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81A8A58" w14:textId="77777777" w:rsidR="003978D5" w:rsidRPr="0060163E" w:rsidRDefault="003978D5" w:rsidP="003978D5">
      <w:pPr>
        <w:spacing w:after="0" w:line="276" w:lineRule="auto"/>
        <w:rPr>
          <w:rFonts w:ascii="Verdana" w:eastAsia="Calibri" w:hAnsi="Verdana" w:cs="Times New Roman"/>
          <w:lang w:val="es-ES"/>
        </w:rPr>
      </w:pPr>
    </w:p>
    <w:p w14:paraId="1D3A0F30" w14:textId="77777777" w:rsidR="003978D5" w:rsidRPr="0060163E" w:rsidRDefault="003978D5" w:rsidP="003978D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57656746" w14:textId="77777777" w:rsidR="003978D5" w:rsidRPr="0060163E" w:rsidRDefault="003978D5" w:rsidP="003978D5">
      <w:pPr>
        <w:spacing w:after="0" w:line="276" w:lineRule="auto"/>
        <w:rPr>
          <w:rFonts w:ascii="Verdana" w:eastAsia="Calibri" w:hAnsi="Verdana" w:cs="Times New Roman"/>
        </w:rPr>
      </w:pPr>
    </w:p>
    <w:p w14:paraId="6837C32A" w14:textId="77777777" w:rsidR="003978D5" w:rsidRDefault="003978D5" w:rsidP="003978D5">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esta Agencia procede a resolver el siguiente problema jurídico: </w:t>
      </w:r>
      <w:r>
        <w:rPr>
          <w:rFonts w:ascii="Verdana" w:eastAsia="Calibri" w:hAnsi="Verdana" w:cs="Times New Roman"/>
          <w:bCs/>
          <w:iCs/>
        </w:rPr>
        <w:t>¿</w:t>
      </w:r>
      <w:r w:rsidRPr="005245DB">
        <w:t>El</w:t>
      </w:r>
      <w:r w:rsidRPr="005245DB">
        <w:rPr>
          <w:rFonts w:ascii="Verdana" w:eastAsia="Calibri" w:hAnsi="Verdana" w:cs="Times New Roman"/>
          <w:bCs/>
          <w:iCs/>
        </w:rPr>
        <w:t xml:space="preserve"> parentesco por afinidad entre un miembro del comité evaluador y una persona integrante del personal propuesto por un oferente configura una inhabilidad, incompatibilidad o conflicto de interés en el proceso de selección?</w:t>
      </w:r>
    </w:p>
    <w:p w14:paraId="3E472130" w14:textId="77777777" w:rsidR="003978D5" w:rsidRDefault="003978D5" w:rsidP="003978D5">
      <w:pPr>
        <w:spacing w:after="0" w:line="276" w:lineRule="auto"/>
        <w:rPr>
          <w:rFonts w:ascii="Verdana" w:eastAsia="Calibri" w:hAnsi="Verdana" w:cs="Times New Roman"/>
        </w:rPr>
      </w:pPr>
    </w:p>
    <w:p w14:paraId="70F6DF74" w14:textId="77777777" w:rsidR="003978D5" w:rsidRDefault="003978D5" w:rsidP="003978D5">
      <w:pPr>
        <w:spacing w:after="0" w:line="276" w:lineRule="auto"/>
        <w:rPr>
          <w:rFonts w:ascii="Verdana" w:eastAsia="Calibri" w:hAnsi="Verdana" w:cs="Times New Roman"/>
        </w:rPr>
      </w:pPr>
    </w:p>
    <w:p w14:paraId="4A985034" w14:textId="77777777" w:rsidR="003978D5" w:rsidRDefault="003978D5" w:rsidP="003978D5">
      <w:pPr>
        <w:spacing w:after="0" w:line="276" w:lineRule="auto"/>
        <w:rPr>
          <w:rFonts w:ascii="Verdana" w:eastAsia="Calibri" w:hAnsi="Verdana" w:cs="Times New Roman"/>
        </w:rPr>
      </w:pPr>
    </w:p>
    <w:p w14:paraId="34B5F1FB" w14:textId="77777777" w:rsidR="003978D5" w:rsidRDefault="003978D5" w:rsidP="003978D5">
      <w:pPr>
        <w:spacing w:after="0" w:line="276" w:lineRule="auto"/>
        <w:rPr>
          <w:rFonts w:ascii="Verdana" w:eastAsia="Calibri" w:hAnsi="Verdana" w:cs="Times New Roman"/>
        </w:rPr>
      </w:pPr>
    </w:p>
    <w:p w14:paraId="7C5EA82C" w14:textId="77777777" w:rsidR="003978D5" w:rsidRPr="0060163E" w:rsidRDefault="003978D5" w:rsidP="003978D5">
      <w:pPr>
        <w:spacing w:after="0" w:line="276" w:lineRule="auto"/>
        <w:rPr>
          <w:rFonts w:ascii="Verdana" w:eastAsia="Calibri" w:hAnsi="Verdana" w:cs="Times New Roman"/>
        </w:rPr>
      </w:pPr>
    </w:p>
    <w:p w14:paraId="49D0FCBD" w14:textId="77777777" w:rsidR="003978D5" w:rsidRPr="0060163E" w:rsidRDefault="003978D5" w:rsidP="003978D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lastRenderedPageBreak/>
        <w:t xml:space="preserve">II. </w:t>
      </w:r>
      <w:r w:rsidRPr="0060163E">
        <w:rPr>
          <w:rFonts w:ascii="Verdana" w:eastAsia="Calibri" w:hAnsi="Verdana" w:cs="Times New Roman"/>
          <w:b/>
          <w:bCs/>
          <w:lang w:val="es-ES"/>
        </w:rPr>
        <w:t>Respuesta:</w:t>
      </w:r>
    </w:p>
    <w:p w14:paraId="717CB161" w14:textId="77777777" w:rsidR="003978D5" w:rsidRPr="0060163E" w:rsidRDefault="003978D5" w:rsidP="003978D5">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78D5" w:rsidRPr="0060163E" w14:paraId="53AFE71E" w14:textId="77777777" w:rsidTr="00ED4C96">
        <w:trPr>
          <w:trHeight w:val="870"/>
          <w:jc w:val="center"/>
        </w:trPr>
        <w:tc>
          <w:tcPr>
            <w:tcW w:w="8647" w:type="dxa"/>
          </w:tcPr>
          <w:p w14:paraId="57ADC475" w14:textId="77777777" w:rsidR="003978D5" w:rsidRPr="0049722A" w:rsidRDefault="003978D5" w:rsidP="00ED4C96">
            <w:pPr>
              <w:widowControl w:val="0"/>
              <w:autoSpaceDE w:val="0"/>
              <w:autoSpaceDN w:val="0"/>
              <w:spacing w:after="120" w:line="276" w:lineRule="auto"/>
              <w:jc w:val="both"/>
              <w:rPr>
                <w:rFonts w:ascii="Verdana" w:eastAsia="Arial" w:hAnsi="Verdana" w:cs="Arial"/>
                <w:lang w:val="es-ES"/>
              </w:rPr>
            </w:pPr>
            <w:r>
              <w:rPr>
                <w:rFonts w:ascii="Verdana" w:eastAsia="Calibri" w:hAnsi="Verdana" w:cs="Arial"/>
                <w:bCs/>
              </w:rPr>
              <w:t xml:space="preserve">De acuerdo con el problema jurídico presentado, y teniendo en cuenta las precisiones </w:t>
            </w:r>
            <w:r w:rsidRPr="00542B4B">
              <w:rPr>
                <w:rFonts w:ascii="Verdana" w:eastAsia="Calibri" w:hAnsi="Verdana" w:cs="Arial"/>
                <w:bCs/>
              </w:rPr>
              <w:t xml:space="preserve">expuestas, </w:t>
            </w:r>
            <w:r w:rsidRPr="00542B4B">
              <w:rPr>
                <w:rFonts w:ascii="Verdana" w:eastAsia="Arial" w:hAnsi="Verdana" w:cs="Arial"/>
                <w:lang w:val="es-ES_tradnl"/>
              </w:rPr>
              <w:t>D</w:t>
            </w:r>
            <w:r w:rsidRPr="00542B4B">
              <w:rPr>
                <w:rFonts w:ascii="Verdana" w:eastAsia="Arial" w:hAnsi="Verdana" w:cs="Arial"/>
                <w:lang w:val="es-ES"/>
              </w:rPr>
              <w:t>e conformidad con la pregunta planteada por el peticionario sobre la aplicación del régimen de inhabilidades e incompatibilidades y conflicto de interés en relación con los miembros del “comité evaluador” de ofertas de las entidades estatales, dentro de los procesos de selección. Al respecto, el Decreto 1082 de 2015, en el artículo 2.2.1.1.2.2.3, establece que las entidades estatales pueden</w:t>
            </w:r>
            <w:r w:rsidRPr="0049722A">
              <w:rPr>
                <w:rFonts w:ascii="Verdana" w:eastAsia="Arial" w:hAnsi="Verdana" w:cs="Arial"/>
                <w:lang w:val="es-ES"/>
              </w:rPr>
              <w:t xml:space="preserve"> designar un comité evaluador, conformado por servidores públicos o por particulares contratados para evaluar las ofertas y las manifestaciones de interés para cada proceso de</w:t>
            </w:r>
            <w:r w:rsidRPr="0049722A">
              <w:rPr>
                <w:rFonts w:ascii="Verdana" w:eastAsia="Arial" w:hAnsi="Verdana" w:cs="Arial"/>
                <w:spacing w:val="-5"/>
                <w:lang w:val="es-ES"/>
              </w:rPr>
              <w:t xml:space="preserve"> </w:t>
            </w:r>
            <w:r w:rsidRPr="0049722A">
              <w:rPr>
                <w:rFonts w:ascii="Verdana" w:eastAsia="Arial" w:hAnsi="Verdana" w:cs="Arial"/>
                <w:lang w:val="es-ES"/>
              </w:rPr>
              <w:t>contratación.</w:t>
            </w:r>
          </w:p>
          <w:p w14:paraId="40569DD6" w14:textId="77777777" w:rsidR="003978D5" w:rsidRPr="0049722A" w:rsidRDefault="003978D5" w:rsidP="00ED4C96">
            <w:pPr>
              <w:spacing w:before="120" w:after="120" w:line="276" w:lineRule="auto"/>
              <w:ind w:firstLine="709"/>
              <w:jc w:val="both"/>
              <w:rPr>
                <w:rFonts w:ascii="Verdana" w:eastAsia="Calibri" w:hAnsi="Verdana" w:cs="Arial"/>
                <w:lang w:val="es-ES"/>
              </w:rPr>
            </w:pPr>
            <w:r w:rsidRPr="0049722A">
              <w:rPr>
                <w:rFonts w:ascii="Verdana" w:eastAsia="Calibri" w:hAnsi="Verdana" w:cs="Arial"/>
                <w:lang w:val="es-ES"/>
              </w:rPr>
              <w:t>Las funciones principales de dicho comité son las de realizar su labor de manera objetiva conforme a las reglas exclusivas contenidas en los pliegos de condiciones, siendo su obligación valorar y calificar las ofertas en atención a lo estipulado en dichos pliegos, y a partir de la recomendación de este comité el jefe de la entidad, como responsable del Proceso de Contratación, tomará la decisión correspondiente en relación con el procedimiento de selección. Por lo anterior, el límite para la decisión que adopte el comité evaluador será lo que esté previsto en el pliego de condiciones.</w:t>
            </w:r>
          </w:p>
          <w:p w14:paraId="55F1F2B5" w14:textId="77777777" w:rsidR="003978D5" w:rsidRPr="0049722A" w:rsidRDefault="003978D5" w:rsidP="00ED4C96">
            <w:pPr>
              <w:spacing w:before="120" w:after="120" w:line="276" w:lineRule="auto"/>
              <w:ind w:firstLine="709"/>
              <w:jc w:val="both"/>
              <w:rPr>
                <w:rFonts w:ascii="Verdana" w:eastAsia="Arial" w:hAnsi="Verdana" w:cs="Arial"/>
                <w:lang w:val="es-ES"/>
              </w:rPr>
            </w:pPr>
            <w:r w:rsidRPr="0049722A">
              <w:rPr>
                <w:rFonts w:ascii="Verdana" w:eastAsia="Arial" w:hAnsi="Verdana" w:cs="Arial"/>
                <w:lang w:val="es-ES"/>
              </w:rPr>
              <w:t>En virtud de lo anterior, el inciso segundo de la citada disposición normativa señala que los miembros del comité evaluador están sometidos al régimen de inhabilidades e incompatibilidades y conflicto de interés establecido en la Constitución y la Ley, esto debido al grado de responsabilidad que tienen estas personas frente a la labor que les ha sido encomendada, siendo esta restricción razonable y proporcional, de cara a la evaluación de ofertas dentro de un proceso de selección, el cual debe estar dotado de todos los principios que rigen la contratación pública, para este aspecto en específico, con primordial énfasis en el principio de transparencia.</w:t>
            </w:r>
          </w:p>
          <w:p w14:paraId="3DF8ED09" w14:textId="77777777" w:rsidR="003978D5" w:rsidRPr="0049722A" w:rsidRDefault="003978D5" w:rsidP="00ED4C96">
            <w:pPr>
              <w:spacing w:before="120" w:after="120" w:line="276" w:lineRule="auto"/>
              <w:ind w:firstLine="709"/>
              <w:jc w:val="both"/>
              <w:rPr>
                <w:rFonts w:ascii="Verdana" w:eastAsia="Calibri" w:hAnsi="Verdana" w:cs="Arial"/>
                <w:lang w:val="es-ES_tradnl"/>
              </w:rPr>
            </w:pPr>
            <w:r w:rsidRPr="0049722A">
              <w:rPr>
                <w:rFonts w:ascii="Verdana" w:eastAsia="Calibri" w:hAnsi="Verdana" w:cs="Arial"/>
                <w:lang w:val="es-ES_tradnl"/>
              </w:rPr>
              <w:t xml:space="preserve">A manera de ejemplo, en relación con el régimen de inhabilidades e incompatibilidades, sobre una de las causales establecidas en la ley y que se relaciona con el objeto de la consulta, el artículo 8, literal b) del numeral 2, de la Ley 80 de 1993, </w:t>
            </w:r>
            <w:r>
              <w:rPr>
                <w:rFonts w:ascii="Verdana" w:eastAsia="Calibri" w:hAnsi="Verdana" w:cs="Arial"/>
                <w:lang w:val="es-ES_tradnl"/>
              </w:rPr>
              <w:t xml:space="preserve">dispone </w:t>
            </w:r>
            <w:r w:rsidRPr="0049722A">
              <w:rPr>
                <w:rFonts w:ascii="Verdana" w:eastAsia="Calibri" w:hAnsi="Verdana" w:cs="Arial"/>
                <w:lang w:val="es-ES_tradnl"/>
              </w:rPr>
              <w:t>que no podrán participar en procedimientos de selección ni celebrar contratos estat</w:t>
            </w:r>
            <w:r>
              <w:rPr>
                <w:rFonts w:ascii="Verdana" w:eastAsia="Calibri" w:hAnsi="Verdana" w:cs="Arial"/>
                <w:lang w:val="es-ES_tradnl"/>
              </w:rPr>
              <w:t>ales con la entidad respectiva “</w:t>
            </w:r>
            <w:r w:rsidRPr="0049722A">
              <w:rPr>
                <w:rFonts w:ascii="Verdana" w:eastAsia="Calibri" w:hAnsi="Verdana" w:cs="Arial"/>
                <w:lang w:val="es-ES_tradnl"/>
              </w:rPr>
              <w:t xml:space="preserve">Las </w:t>
            </w:r>
            <w:r w:rsidRPr="0049722A">
              <w:rPr>
                <w:rFonts w:ascii="Verdana" w:eastAsia="Calibri" w:hAnsi="Verdana" w:cs="Arial"/>
                <w:lang w:val="es-ES_tradnl"/>
              </w:rPr>
              <w:lastRenderedPageBreak/>
              <w:t>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r>
              <w:rPr>
                <w:rFonts w:ascii="Verdana" w:eastAsia="Calibri" w:hAnsi="Verdana" w:cs="Arial"/>
                <w:lang w:val="es-ES_tradnl"/>
              </w:rPr>
              <w:t>”</w:t>
            </w:r>
            <w:r w:rsidRPr="0049722A">
              <w:rPr>
                <w:rFonts w:ascii="Verdana" w:eastAsia="Calibri" w:hAnsi="Verdana" w:cs="Arial"/>
                <w:lang w:val="es-ES_tradnl"/>
              </w:rPr>
              <w:t>. De acuerdo con lo explicado por la Corte Constitucional en la Sentencia C-429 de 1997, esta causal de inhabilidad protege el principio de moralidad administrativa, pues</w:t>
            </w:r>
            <w:r>
              <w:rPr>
                <w:rFonts w:ascii="Verdana" w:eastAsia="Calibri" w:hAnsi="Verdana" w:cs="Arial"/>
                <w:lang w:val="es-ES_tradnl"/>
              </w:rPr>
              <w:t xml:space="preserve"> “</w:t>
            </w:r>
            <w:r w:rsidRPr="0049722A">
              <w:rPr>
                <w:rFonts w:ascii="Verdana" w:eastAsia="Calibri" w:hAnsi="Verdana" w:cs="Arial"/>
                <w:lang w:val="es-ES_tradnl"/>
              </w:rPr>
              <w:t>[…]</w:t>
            </w:r>
            <w:r w:rsidRPr="0049722A">
              <w:rPr>
                <w:rFonts w:ascii="Verdana" w:eastAsia="Calibri" w:hAnsi="Verdana" w:cs="Times New Roman"/>
                <w:sz w:val="24"/>
                <w:lang w:val="es-MX"/>
              </w:rPr>
              <w:t xml:space="preserve"> </w:t>
            </w:r>
            <w:r w:rsidRPr="0049722A">
              <w:rPr>
                <w:rFonts w:ascii="Verdana" w:eastAsia="Calibri" w:hAnsi="Verdana" w:cs="Arial"/>
                <w:lang w:val="es-ES_tradnl"/>
              </w:rPr>
              <w:t>se dirige a los familiares de aquellas personas que gozan del poder de decisión de adjudicar contratos, o pueden tener influencias que razonablemente puedan determinar la decisión, pues en tales casos esos vínculos colocan en peligro la transparencia y seriedad del proceso</w:t>
            </w:r>
            <w:r>
              <w:rPr>
                <w:rFonts w:ascii="Verdana" w:eastAsia="Calibri" w:hAnsi="Verdana" w:cs="Arial"/>
                <w:lang w:val="es-ES_tradnl"/>
              </w:rPr>
              <w:t xml:space="preserve"> de contratación administrativa”</w:t>
            </w:r>
            <w:r w:rsidRPr="0049722A">
              <w:rPr>
                <w:rFonts w:ascii="Verdana" w:eastAsia="Calibri" w:hAnsi="Verdana" w:cs="Arial"/>
                <w:lang w:val="es-ES_tradnl"/>
              </w:rPr>
              <w:t>.</w:t>
            </w:r>
          </w:p>
          <w:p w14:paraId="11AA3F99" w14:textId="77777777" w:rsidR="003978D5" w:rsidRPr="0049722A" w:rsidRDefault="003978D5" w:rsidP="00ED4C96">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lang w:val="es-ES_tradnl"/>
              </w:rPr>
              <w:t xml:space="preserve">Como se observa, la restricción aplica a los parientes de los servidores públicos de los niveles directivo, asesor, ejecutivo. Para estos efectos, </w:t>
            </w:r>
            <w:r w:rsidRPr="0049722A">
              <w:rPr>
                <w:rFonts w:ascii="Verdana" w:eastAsia="Calibri" w:hAnsi="Verdana" w:cs="Arial"/>
                <w:color w:val="000000"/>
                <w:lang w:val="es-MX"/>
              </w:rPr>
              <w:t>es necesario remitirse a la normativa que rige la función pública, la cual clasifica los cargos públicos de acuerdo con su nivel jerárquico dentro la administración del orden nacional y territorial. No obstante, de acuerdo con los Decretos</w:t>
            </w:r>
            <w:r>
              <w:rPr>
                <w:rFonts w:ascii="Verdana" w:eastAsia="Calibri" w:hAnsi="Verdana" w:cs="Arial"/>
                <w:color w:val="000000"/>
                <w:lang w:val="es-MX"/>
              </w:rPr>
              <w:t>-Leyes</w:t>
            </w:r>
            <w:r w:rsidRPr="0049722A">
              <w:rPr>
                <w:rFonts w:ascii="Verdana" w:eastAsia="Calibri" w:hAnsi="Verdana" w:cs="Arial"/>
                <w:color w:val="000000"/>
                <w:lang w:val="es-MX"/>
              </w:rPr>
              <w:t xml:space="preserve"> 770 y 785 de 2005, que regulan las funciones y requisitos de los empleos públicos de entidades del orden nacional y </w:t>
            </w:r>
            <w:r>
              <w:rPr>
                <w:rFonts w:ascii="Verdana" w:eastAsia="Calibri" w:hAnsi="Verdana" w:cs="Arial"/>
                <w:color w:val="000000"/>
                <w:lang w:val="es-MX"/>
              </w:rPr>
              <w:t xml:space="preserve">territorial, respectivamente, establecen </w:t>
            </w:r>
            <w:r w:rsidRPr="0049722A">
              <w:rPr>
                <w:rFonts w:ascii="Verdana" w:eastAsia="Calibri" w:hAnsi="Verdana" w:cs="Arial"/>
                <w:color w:val="000000"/>
                <w:lang w:val="es-MX"/>
              </w:rPr>
              <w:t>como responsabilidad del Gobierno nacional la modificación de las plantas de persona</w:t>
            </w:r>
            <w:r>
              <w:rPr>
                <w:rFonts w:ascii="Verdana" w:eastAsia="Calibri" w:hAnsi="Verdana" w:cs="Arial"/>
                <w:color w:val="000000"/>
                <w:lang w:val="es-MX"/>
              </w:rPr>
              <w:t>l para que se elimine el nivel “</w:t>
            </w:r>
            <w:r w:rsidRPr="0049722A">
              <w:rPr>
                <w:rFonts w:ascii="Verdana" w:eastAsia="Calibri" w:hAnsi="Verdana" w:cs="Arial"/>
                <w:color w:val="000000"/>
                <w:lang w:val="es-MX"/>
              </w:rPr>
              <w:t>ejecutivo</w:t>
            </w:r>
            <w:r>
              <w:rPr>
                <w:rFonts w:ascii="Verdana" w:eastAsia="Calibri" w:hAnsi="Verdana" w:cs="Arial"/>
                <w:color w:val="000000"/>
                <w:sz w:val="19"/>
                <w:szCs w:val="19"/>
                <w:lang w:val="es-MX"/>
              </w:rPr>
              <w:t>”</w:t>
            </w:r>
            <w:r w:rsidRPr="0049722A">
              <w:rPr>
                <w:rFonts w:ascii="Verdana" w:eastAsia="Calibri" w:hAnsi="Verdana" w:cs="Arial"/>
                <w:color w:val="000000"/>
                <w:lang w:val="es-MX"/>
              </w:rPr>
              <w:t xml:space="preserve"> y se utilicen los niveles jerárquicos señalados por los Decretos, dentro </w:t>
            </w:r>
            <w:r>
              <w:rPr>
                <w:rFonts w:ascii="Verdana" w:eastAsia="Calibri" w:hAnsi="Verdana" w:cs="Arial"/>
                <w:color w:val="000000"/>
                <w:lang w:val="es-MX"/>
              </w:rPr>
              <w:t>de los cuales figuran el nivel “directivo” y “</w:t>
            </w:r>
            <w:r w:rsidRPr="0049722A">
              <w:rPr>
                <w:rFonts w:ascii="Verdana" w:eastAsia="Calibri" w:hAnsi="Verdana" w:cs="Arial"/>
                <w:color w:val="000000"/>
                <w:lang w:val="es-MX"/>
              </w:rPr>
              <w:t>aseso</w:t>
            </w:r>
            <w:r>
              <w:rPr>
                <w:rFonts w:ascii="Verdana" w:eastAsia="Calibri" w:hAnsi="Verdana" w:cs="Arial"/>
                <w:color w:val="000000"/>
                <w:lang w:val="es-MX"/>
              </w:rPr>
              <w:t>r”</w:t>
            </w:r>
            <w:r w:rsidRPr="0049722A">
              <w:rPr>
                <w:rFonts w:ascii="Verdana" w:eastAsia="Calibri" w:hAnsi="Verdana" w:cs="Arial"/>
                <w:color w:val="000000"/>
                <w:lang w:val="es-MX"/>
              </w:rPr>
              <w:t>, entre otros.</w:t>
            </w:r>
          </w:p>
          <w:p w14:paraId="4B569571" w14:textId="77777777" w:rsidR="003978D5" w:rsidRPr="00197068" w:rsidRDefault="003978D5" w:rsidP="00ED4C96">
            <w:pPr>
              <w:spacing w:before="120" w:after="120" w:line="276" w:lineRule="auto"/>
              <w:jc w:val="both"/>
              <w:rPr>
                <w:rFonts w:ascii="Verdana" w:eastAsia="Calibri" w:hAnsi="Verdana" w:cs="Arial"/>
                <w:bCs/>
                <w:lang w:val="es-ES"/>
              </w:rPr>
            </w:pPr>
            <w:r>
              <w:rPr>
                <w:rFonts w:ascii="Verdana" w:eastAsia="Calibri" w:hAnsi="Verdana" w:cs="Arial"/>
                <w:bCs/>
                <w:lang w:val="es-MX"/>
              </w:rPr>
              <w:t>En todo caso</w:t>
            </w:r>
            <w:r>
              <w:rPr>
                <w:rFonts w:ascii="Verdana" w:eastAsia="Calibri" w:hAnsi="Verdana" w:cs="Arial"/>
                <w:bCs/>
                <w:lang w:val="es-ES_tradnl"/>
              </w:rPr>
              <w:t xml:space="preserve">, </w:t>
            </w:r>
            <w:r w:rsidRPr="00E908AA">
              <w:rPr>
                <w:rFonts w:ascii="Verdana" w:eastAsia="Calibri" w:hAnsi="Verdana" w:cs="Arial"/>
                <w:bCs/>
              </w:rPr>
              <w:t xml:space="preserve">la entidad pública definirá en cada </w:t>
            </w:r>
            <w:r>
              <w:rPr>
                <w:rFonts w:ascii="Verdana" w:eastAsia="Calibri" w:hAnsi="Verdana" w:cs="Arial"/>
                <w:bCs/>
              </w:rPr>
              <w:t xml:space="preserve">supuesto </w:t>
            </w:r>
            <w:r w:rsidRPr="00E908AA">
              <w:rPr>
                <w:rFonts w:ascii="Verdana" w:eastAsia="Calibri" w:hAnsi="Verdana" w:cs="Arial"/>
                <w:bCs/>
              </w:rPr>
              <w:t>lo relacionado con el tema objeto de consulta y teniendo en cuenta lo dispuesto en las normas citadas</w:t>
            </w:r>
            <w:r>
              <w:rPr>
                <w:rFonts w:ascii="Verdana" w:eastAsia="Calibri" w:hAnsi="Verdana" w:cs="Arial"/>
                <w:bCs/>
              </w:rPr>
              <w:t xml:space="preserve"> en las razones de la respuesta</w:t>
            </w:r>
            <w:r w:rsidRPr="00E908AA">
              <w:rPr>
                <w:rFonts w:ascii="Verdana" w:eastAsia="Calibri" w:hAnsi="Verdana" w:cs="Arial"/>
                <w:bCs/>
              </w:rPr>
              <w:t>.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r>
              <w:rPr>
                <w:rFonts w:ascii="Verdana" w:eastAsia="Calibri" w:hAnsi="Verdana" w:cs="Arial"/>
                <w:bCs/>
              </w:rPr>
              <w:t xml:space="preserve"> </w:t>
            </w:r>
          </w:p>
        </w:tc>
      </w:tr>
    </w:tbl>
    <w:p w14:paraId="1E42464A" w14:textId="77777777" w:rsidR="003978D5" w:rsidRDefault="003978D5" w:rsidP="003978D5">
      <w:pPr>
        <w:spacing w:after="0" w:line="276" w:lineRule="auto"/>
        <w:contextualSpacing/>
        <w:rPr>
          <w:rFonts w:ascii="Verdana" w:eastAsia="Calibri" w:hAnsi="Verdana" w:cs="Times New Roman"/>
          <w:b/>
          <w:bCs/>
          <w:lang w:val="es-ES"/>
        </w:rPr>
      </w:pPr>
    </w:p>
    <w:p w14:paraId="37506376" w14:textId="77777777" w:rsidR="003978D5" w:rsidRDefault="003978D5" w:rsidP="003978D5">
      <w:pPr>
        <w:spacing w:after="0" w:line="276" w:lineRule="auto"/>
        <w:contextualSpacing/>
        <w:rPr>
          <w:rFonts w:ascii="Verdana" w:eastAsia="Calibri" w:hAnsi="Verdana" w:cs="Times New Roman"/>
          <w:b/>
          <w:bCs/>
          <w:lang w:val="es-ES"/>
        </w:rPr>
      </w:pPr>
    </w:p>
    <w:p w14:paraId="2236ADD5" w14:textId="77777777" w:rsidR="003978D5" w:rsidRDefault="003978D5" w:rsidP="003978D5">
      <w:pPr>
        <w:spacing w:after="0" w:line="276" w:lineRule="auto"/>
        <w:contextualSpacing/>
        <w:rPr>
          <w:rFonts w:ascii="Verdana" w:eastAsia="Calibri" w:hAnsi="Verdana" w:cs="Times New Roman"/>
          <w:b/>
          <w:bCs/>
          <w:lang w:val="es-ES"/>
        </w:rPr>
      </w:pPr>
    </w:p>
    <w:p w14:paraId="57B46FCC" w14:textId="77777777" w:rsidR="003978D5" w:rsidRDefault="003978D5" w:rsidP="003978D5">
      <w:pPr>
        <w:spacing w:after="0" w:line="276" w:lineRule="auto"/>
        <w:contextualSpacing/>
        <w:rPr>
          <w:rFonts w:ascii="Verdana" w:eastAsia="Calibri" w:hAnsi="Verdana" w:cs="Times New Roman"/>
          <w:b/>
          <w:bCs/>
          <w:lang w:val="es-ES"/>
        </w:rPr>
      </w:pPr>
    </w:p>
    <w:p w14:paraId="6F8F36EF" w14:textId="508D4C49" w:rsidR="003978D5" w:rsidRPr="0060163E" w:rsidRDefault="003978D5" w:rsidP="003978D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lastRenderedPageBreak/>
        <w:t xml:space="preserve">III. </w:t>
      </w:r>
      <w:r w:rsidRPr="0060163E">
        <w:rPr>
          <w:rFonts w:ascii="Verdana" w:eastAsia="Calibri" w:hAnsi="Verdana" w:cs="Times New Roman"/>
          <w:b/>
          <w:bCs/>
          <w:lang w:val="es-ES"/>
        </w:rPr>
        <w:t>Razones de la respuesta:</w:t>
      </w:r>
    </w:p>
    <w:p w14:paraId="643B558D" w14:textId="77777777" w:rsidR="003978D5" w:rsidRPr="0060163E" w:rsidRDefault="003978D5" w:rsidP="003978D5">
      <w:pPr>
        <w:spacing w:after="0" w:line="276" w:lineRule="auto"/>
        <w:rPr>
          <w:rFonts w:ascii="Verdana" w:eastAsia="Calibri" w:hAnsi="Verdana" w:cs="Times New Roman"/>
          <w:b/>
          <w:bCs/>
          <w:lang w:val="es-ES"/>
        </w:rPr>
      </w:pPr>
    </w:p>
    <w:p w14:paraId="534DDD42" w14:textId="77777777" w:rsidR="003978D5" w:rsidRPr="0060163E" w:rsidRDefault="003978D5" w:rsidP="003978D5">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6D2E216A" w14:textId="77777777" w:rsidR="003978D5" w:rsidRPr="0060163E" w:rsidRDefault="003978D5" w:rsidP="003978D5">
      <w:pPr>
        <w:spacing w:after="0" w:line="276" w:lineRule="auto"/>
        <w:jc w:val="both"/>
        <w:rPr>
          <w:rFonts w:ascii="Verdana" w:eastAsia="Calibri" w:hAnsi="Verdana" w:cs="Arial"/>
          <w:lang w:val="es-MX"/>
        </w:rPr>
      </w:pPr>
    </w:p>
    <w:p w14:paraId="1DC4C3B0" w14:textId="77777777" w:rsidR="003978D5" w:rsidRDefault="003978D5" w:rsidP="003978D5">
      <w:pPr>
        <w:spacing w:after="0" w:line="276" w:lineRule="auto"/>
        <w:jc w:val="both"/>
        <w:rPr>
          <w:rFonts w:ascii="Verdana" w:eastAsia="Calibri" w:hAnsi="Verdana" w:cs="Arial"/>
          <w:lang w:val="es-MX"/>
        </w:rPr>
      </w:pPr>
      <w:r w:rsidRPr="0060163E">
        <w:rPr>
          <w:rFonts w:ascii="Verdana" w:eastAsia="Calibri" w:hAnsi="Verdana" w:cs="Arial"/>
          <w:lang w:val="es-MX"/>
        </w:rPr>
        <w:t>i) Las inhabilidades 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20940B3C" w14:textId="77777777" w:rsidR="003978D5" w:rsidRDefault="003978D5" w:rsidP="003978D5">
      <w:pPr>
        <w:spacing w:after="0" w:line="276" w:lineRule="auto"/>
        <w:jc w:val="both"/>
        <w:rPr>
          <w:rFonts w:ascii="Verdana" w:eastAsia="Calibri" w:hAnsi="Verdana" w:cs="Arial"/>
          <w:lang w:val="es-MX"/>
        </w:rPr>
      </w:pPr>
    </w:p>
    <w:p w14:paraId="6A7FBD88" w14:textId="77777777" w:rsidR="003978D5" w:rsidRDefault="003978D5" w:rsidP="003978D5">
      <w:pPr>
        <w:spacing w:after="0" w:line="240" w:lineRule="auto"/>
        <w:ind w:left="709" w:right="709"/>
        <w:jc w:val="both"/>
        <w:rPr>
          <w:rFonts w:ascii="Verdana" w:eastAsia="Calibri" w:hAnsi="Verdana" w:cs="Arial"/>
          <w:bCs/>
          <w:iCs/>
          <w:sz w:val="21"/>
          <w:szCs w:val="21"/>
          <w:lang w:val="es-ES"/>
        </w:rPr>
      </w:pPr>
      <w:r w:rsidRPr="000B4D9F">
        <w:rPr>
          <w:rFonts w:ascii="Verdana" w:eastAsia="Calibri" w:hAnsi="Verdana" w:cs="Arial"/>
          <w:sz w:val="21"/>
          <w:szCs w:val="21"/>
          <w:lang w:val="es-MX"/>
        </w:rPr>
        <w:t xml:space="preserve"> </w:t>
      </w:r>
      <w:r w:rsidRPr="000B4D9F">
        <w:rPr>
          <w:rFonts w:ascii="Verdana" w:eastAsia="Calibri" w:hAnsi="Verdana" w:cs="Arial"/>
          <w:bCs/>
          <w:iCs/>
          <w:sz w:val="21"/>
          <w:szCs w:val="21"/>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0B4D9F">
        <w:rPr>
          <w:rFonts w:ascii="Verdana" w:eastAsia="Calibri" w:hAnsi="Verdana" w:cs="Arial"/>
          <w:bCs/>
          <w:iCs/>
          <w:sz w:val="21"/>
          <w:szCs w:val="21"/>
          <w:vertAlign w:val="superscript"/>
          <w:lang w:val="es-ES"/>
        </w:rPr>
        <w:footnoteReference w:id="1"/>
      </w:r>
      <w:r w:rsidRPr="000B4D9F">
        <w:rPr>
          <w:rFonts w:ascii="Verdana" w:eastAsia="Calibri" w:hAnsi="Verdana" w:cs="Arial"/>
          <w:bCs/>
          <w:iCs/>
          <w:sz w:val="21"/>
          <w:szCs w:val="21"/>
          <w:lang w:val="es-ES"/>
        </w:rPr>
        <w:t>.</w:t>
      </w:r>
    </w:p>
    <w:p w14:paraId="41970836" w14:textId="77777777" w:rsidR="003978D5" w:rsidRPr="000B4D9F" w:rsidRDefault="003978D5" w:rsidP="003978D5">
      <w:pPr>
        <w:spacing w:after="0" w:line="240" w:lineRule="auto"/>
        <w:ind w:left="709" w:right="709"/>
        <w:jc w:val="both"/>
        <w:rPr>
          <w:rFonts w:ascii="Verdana" w:eastAsia="Calibri" w:hAnsi="Verdana" w:cs="Arial"/>
          <w:bCs/>
          <w:iCs/>
          <w:sz w:val="21"/>
          <w:szCs w:val="21"/>
          <w:lang w:val="es-ES_tradnl"/>
        </w:rPr>
      </w:pPr>
    </w:p>
    <w:p w14:paraId="5A22D87B" w14:textId="77777777" w:rsidR="003978D5" w:rsidRDefault="003978D5" w:rsidP="003978D5">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r w:rsidRPr="007218AE">
        <w:rPr>
          <w:rFonts w:ascii="Verdana" w:eastAsia="Calibri" w:hAnsi="Verdana" w:cs="Arial"/>
        </w:rPr>
        <w:t xml:space="preserve">na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a lo expuesto, se señala que la Agencia Nacional de Contratación Pública es competente para resolver consultas sobre normas del sistema de compras y </w:t>
      </w:r>
      <w:r>
        <w:rPr>
          <w:rFonts w:ascii="Verdana" w:eastAsia="Calibri" w:hAnsi="Verdana" w:cs="Arial"/>
          <w:lang w:val="es-MX"/>
        </w:rPr>
        <w:lastRenderedPageBreak/>
        <w:t xml:space="preserve">contratación públicas que establezca inhabilidades e incompatibilidades para contratar con el Estado. </w:t>
      </w:r>
    </w:p>
    <w:p w14:paraId="05D7D0DC" w14:textId="77777777" w:rsidR="003978D5" w:rsidRPr="0060163E" w:rsidRDefault="003978D5" w:rsidP="003978D5">
      <w:pPr>
        <w:spacing w:after="120" w:line="276" w:lineRule="auto"/>
        <w:ind w:firstLine="709"/>
        <w:jc w:val="both"/>
        <w:rPr>
          <w:rFonts w:ascii="Verdana" w:eastAsia="Calibri" w:hAnsi="Verdana" w:cs="Arial"/>
          <w:lang w:val="es-MX"/>
        </w:rPr>
      </w:pPr>
      <w:r>
        <w:rPr>
          <w:rFonts w:ascii="Verdana" w:eastAsia="Calibri" w:hAnsi="Verdana" w:cs="Arial"/>
          <w:lang w:val="es-MX"/>
        </w:rPr>
        <w:t>Para ello,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2"/>
      </w:r>
    </w:p>
    <w:p w14:paraId="43744A29" w14:textId="77777777" w:rsidR="003978D5" w:rsidRPr="0060163E" w:rsidRDefault="003978D5" w:rsidP="003978D5">
      <w:pPr>
        <w:spacing w:before="120" w:after="0" w:line="276" w:lineRule="auto"/>
        <w:ind w:firstLine="709"/>
        <w:jc w:val="both"/>
        <w:rPr>
          <w:rFonts w:ascii="Verdana" w:eastAsia="Calibri" w:hAnsi="Verdana" w:cs="Arial"/>
          <w:lang w:val="es-MX"/>
        </w:rPr>
      </w:pPr>
      <w:r w:rsidRPr="0060163E">
        <w:rPr>
          <w:rFonts w:ascii="Verdana" w:eastAsia="Calibri" w:hAnsi="Verdana" w:cs="Arial"/>
          <w:lang w:val="es-MX"/>
        </w:rPr>
        <w:t>La regulación de las inhabilidades que implican limitaciones a la capacidad jurídica para contratar, que desarrolla los principios de la función administrativa consagrados en el artículo 209 de la Constitución Política, con especial énfasis</w:t>
      </w:r>
      <w:r>
        <w:rPr>
          <w:rFonts w:ascii="Verdana" w:eastAsia="Calibri" w:hAnsi="Verdana" w:cs="Arial"/>
          <w:lang w:val="es-MX"/>
        </w:rPr>
        <w:t>,</w:t>
      </w:r>
      <w:r w:rsidRPr="0060163E">
        <w:rPr>
          <w:rFonts w:ascii="Verdana" w:eastAsia="Calibri" w:hAnsi="Verdana" w:cs="Arial"/>
          <w:lang w:val="es-MX"/>
        </w:rPr>
        <w:t xml:space="preserve"> el de moralidad. Así lo entiende el Consejo de Estado: </w:t>
      </w:r>
    </w:p>
    <w:p w14:paraId="5F4DD03F" w14:textId="77777777" w:rsidR="003978D5" w:rsidRPr="0060163E" w:rsidRDefault="003978D5" w:rsidP="003978D5">
      <w:pPr>
        <w:spacing w:after="0" w:line="276" w:lineRule="auto"/>
        <w:jc w:val="both"/>
        <w:rPr>
          <w:rFonts w:ascii="Verdana" w:eastAsia="Calibri" w:hAnsi="Verdana" w:cs="Arial"/>
          <w:lang w:val="es-MX"/>
        </w:rPr>
      </w:pPr>
    </w:p>
    <w:p w14:paraId="473AFA6C" w14:textId="77777777" w:rsidR="003978D5" w:rsidRPr="004218E1" w:rsidRDefault="003978D5" w:rsidP="003978D5">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CA5CC8A" w14:textId="77777777" w:rsidR="003978D5" w:rsidRPr="004218E1" w:rsidRDefault="003978D5" w:rsidP="003978D5">
      <w:pPr>
        <w:shd w:val="clear" w:color="auto" w:fill="FFFFFF"/>
        <w:spacing w:after="0" w:line="240" w:lineRule="auto"/>
        <w:ind w:left="709" w:right="709"/>
        <w:jc w:val="both"/>
        <w:rPr>
          <w:rFonts w:ascii="Verdana" w:eastAsia="Calibri" w:hAnsi="Verdana" w:cs="Arial"/>
          <w:sz w:val="21"/>
          <w:szCs w:val="21"/>
          <w:lang w:val="es-ES"/>
        </w:rPr>
      </w:pPr>
    </w:p>
    <w:p w14:paraId="3FA492AA" w14:textId="77777777" w:rsidR="003978D5" w:rsidRPr="004218E1" w:rsidRDefault="003978D5" w:rsidP="003978D5">
      <w:pPr>
        <w:shd w:val="clear" w:color="auto" w:fill="FFFFFF"/>
        <w:spacing w:after="0" w:line="240" w:lineRule="auto"/>
        <w:ind w:left="709" w:right="709"/>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w:t>
      </w:r>
      <w:r w:rsidRPr="004218E1">
        <w:rPr>
          <w:rFonts w:ascii="Verdana" w:eastAsia="Calibri" w:hAnsi="Verdana" w:cs="Arial"/>
          <w:sz w:val="21"/>
          <w:szCs w:val="21"/>
          <w:lang w:val="es-ES"/>
        </w:rPr>
        <w:lastRenderedPageBreak/>
        <w:t>se impone entonces por razón de ese fin de interés general como regla legal prevalente, esto es que puede ser impuesta sobre el derecho individual a contratar con el Estado”</w:t>
      </w:r>
      <w:r w:rsidRPr="004218E1">
        <w:rPr>
          <w:rFonts w:ascii="Verdana" w:eastAsia="Calibri" w:hAnsi="Verdana" w:cs="Arial"/>
          <w:sz w:val="21"/>
          <w:szCs w:val="21"/>
          <w:vertAlign w:val="superscript"/>
          <w:lang w:val="es-ES"/>
        </w:rPr>
        <w:footnoteReference w:id="3"/>
      </w:r>
    </w:p>
    <w:p w14:paraId="279B5701" w14:textId="77777777" w:rsidR="003978D5" w:rsidRPr="0060163E" w:rsidRDefault="003978D5" w:rsidP="003978D5">
      <w:pPr>
        <w:shd w:val="clear" w:color="auto" w:fill="FFFFFF"/>
        <w:spacing w:after="0" w:line="240" w:lineRule="auto"/>
        <w:ind w:left="709" w:right="709"/>
        <w:jc w:val="both"/>
        <w:rPr>
          <w:rFonts w:ascii="Verdana" w:eastAsia="Calibri" w:hAnsi="Verdana" w:cs="Arial"/>
          <w:lang w:val="es-ES"/>
        </w:rPr>
      </w:pPr>
    </w:p>
    <w:p w14:paraId="0D6593A3" w14:textId="77777777" w:rsidR="003978D5" w:rsidRPr="0060163E" w:rsidRDefault="003978D5" w:rsidP="003978D5">
      <w:pPr>
        <w:spacing w:after="0" w:line="276" w:lineRule="auto"/>
        <w:ind w:firstLine="709"/>
        <w:jc w:val="both"/>
        <w:rPr>
          <w:rFonts w:ascii="Verdana" w:eastAsia="Calibri" w:hAnsi="Verdana" w:cs="Arial"/>
          <w:lang w:val="es-MX"/>
        </w:rPr>
      </w:pPr>
      <w:r w:rsidRPr="0060163E">
        <w:rPr>
          <w:rFonts w:ascii="Verdana" w:eastAsia="Calibri" w:hAnsi="Verdana" w:cs="Arial"/>
          <w:lang w:val="es-MX"/>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justificarse en la salvaguarda del interés general y que su interpretación es taxativa y restrictiva: </w:t>
      </w:r>
    </w:p>
    <w:p w14:paraId="0CDD98A1" w14:textId="77777777" w:rsidR="003978D5" w:rsidRPr="004218E1" w:rsidRDefault="003978D5" w:rsidP="003978D5">
      <w:pPr>
        <w:spacing w:after="0" w:line="276" w:lineRule="auto"/>
        <w:rPr>
          <w:rFonts w:ascii="Verdana" w:eastAsia="Times New Roman" w:hAnsi="Verdana" w:cs="Arial"/>
          <w:sz w:val="21"/>
          <w:szCs w:val="21"/>
          <w:shd w:val="clear" w:color="auto" w:fill="FFFFFF"/>
          <w:lang w:eastAsia="es-ES_tradnl"/>
        </w:rPr>
      </w:pPr>
    </w:p>
    <w:p w14:paraId="2C3505BF"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incompatibilidades, se erige en causal de nulidad del contrato celebrado en esas condiciones (ley 80 de 1993, art. 44).</w:t>
      </w:r>
    </w:p>
    <w:p w14:paraId="092A3F24"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p>
    <w:p w14:paraId="34C4F7E2"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4218E1">
        <w:rPr>
          <w:rFonts w:ascii="Verdana" w:eastAsia="Calibri" w:hAnsi="Verdana" w:cs="Arial"/>
          <w:sz w:val="21"/>
          <w:szCs w:val="21"/>
          <w:vertAlign w:val="superscript"/>
          <w:lang w:val="es-MX"/>
        </w:rPr>
        <w:footnoteReference w:id="4"/>
      </w:r>
      <w:r w:rsidRPr="004218E1">
        <w:rPr>
          <w:rFonts w:ascii="Verdana" w:eastAsia="Calibri" w:hAnsi="Verdana" w:cs="Arial"/>
          <w:sz w:val="21"/>
          <w:szCs w:val="21"/>
          <w:lang w:val="es-MX"/>
        </w:rPr>
        <w:t xml:space="preserve">. </w:t>
      </w:r>
    </w:p>
    <w:p w14:paraId="03666E99" w14:textId="77777777" w:rsidR="003978D5" w:rsidRPr="0060163E" w:rsidRDefault="003978D5" w:rsidP="003978D5">
      <w:pPr>
        <w:spacing w:after="0" w:line="276" w:lineRule="auto"/>
        <w:ind w:right="709"/>
        <w:jc w:val="both"/>
        <w:rPr>
          <w:rFonts w:ascii="Verdana" w:eastAsia="Calibri" w:hAnsi="Verdana" w:cs="Arial"/>
          <w:lang w:val="es-MX"/>
        </w:rPr>
      </w:pPr>
    </w:p>
    <w:p w14:paraId="0BADA0BA" w14:textId="77777777" w:rsidR="003978D5" w:rsidRPr="0060163E" w:rsidRDefault="003978D5" w:rsidP="003978D5">
      <w:pPr>
        <w:spacing w:after="0" w:line="276" w:lineRule="auto"/>
        <w:ind w:firstLine="709"/>
        <w:jc w:val="both"/>
        <w:rPr>
          <w:rFonts w:ascii="Verdana" w:eastAsia="Calibri" w:hAnsi="Verdana" w:cs="Arial"/>
          <w:lang w:val="es-MX"/>
        </w:rPr>
      </w:pPr>
      <w:r w:rsidRPr="0060163E">
        <w:rPr>
          <w:rFonts w:ascii="Verdana" w:eastAsia="Calibri" w:hAnsi="Verdana" w:cs="Arial"/>
          <w:lang w:val="es-MX"/>
        </w:rPr>
        <w:lastRenderedPageBreak/>
        <w:t>Además, la Corte Constitucional explica que el legislador tiene la competencia para determinar qué hechos o situaciones generan inhabilidad para contratar, pues este régimen es un aspecto propio del Estatuto General de Contratación de la Administración Pública – en adelante EGCAP –, cuya expedición compete al Congreso de la República a la luz del artículo 150 de la Constitución Política, y que en esta materia rige el principio de legalidad:</w:t>
      </w:r>
    </w:p>
    <w:p w14:paraId="1EFBBB71" w14:textId="77777777" w:rsidR="003978D5" w:rsidRPr="0060163E" w:rsidRDefault="003978D5" w:rsidP="003978D5">
      <w:pPr>
        <w:tabs>
          <w:tab w:val="left" w:pos="1532"/>
        </w:tabs>
        <w:spacing w:after="0" w:line="276" w:lineRule="auto"/>
        <w:jc w:val="both"/>
        <w:rPr>
          <w:rFonts w:ascii="Verdana" w:eastAsia="Calibri" w:hAnsi="Verdana" w:cs="Arial"/>
          <w:lang w:val="es-MX"/>
        </w:rPr>
      </w:pPr>
    </w:p>
    <w:p w14:paraId="3A52968C"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pro libertate, sino el de legalidad, el que ordena que la función pública debe someterse estrictamente a lo que disponga la Constitución y la ley (CP art. 6). </w:t>
      </w:r>
    </w:p>
    <w:p w14:paraId="0D66510E"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 xml:space="preserve">[…] </w:t>
      </w:r>
    </w:p>
    <w:p w14:paraId="2940318C" w14:textId="77777777" w:rsidR="003978D5" w:rsidRPr="004218E1" w:rsidRDefault="003978D5" w:rsidP="003978D5">
      <w:pPr>
        <w:spacing w:after="0" w:line="240" w:lineRule="auto"/>
        <w:ind w:left="709" w:right="709"/>
        <w:jc w:val="both"/>
        <w:rPr>
          <w:rFonts w:ascii="Verdana" w:eastAsia="Calibri" w:hAnsi="Verdana" w:cs="Arial"/>
          <w:sz w:val="21"/>
          <w:szCs w:val="21"/>
          <w:lang w:val="es-MX"/>
        </w:rPr>
      </w:pPr>
      <w:r w:rsidRPr="004218E1">
        <w:rPr>
          <w:rFonts w:ascii="Verdana" w:eastAsia="Calibri" w:hAnsi="Verdana" w:cs="Arial"/>
          <w:sz w:val="21"/>
          <w:szCs w:val="21"/>
          <w:lang w:val="es-MX"/>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4218E1">
        <w:rPr>
          <w:rFonts w:ascii="Verdana" w:eastAsia="Calibri" w:hAnsi="Verdana" w:cs="Arial"/>
          <w:sz w:val="21"/>
          <w:szCs w:val="21"/>
          <w:vertAlign w:val="superscript"/>
          <w:lang w:val="es-MX"/>
        </w:rPr>
        <w:footnoteReference w:id="5"/>
      </w:r>
      <w:r w:rsidRPr="004218E1">
        <w:rPr>
          <w:rFonts w:ascii="Verdana" w:eastAsia="Calibri" w:hAnsi="Verdana" w:cs="Arial"/>
          <w:sz w:val="21"/>
          <w:szCs w:val="21"/>
          <w:lang w:val="es-MX"/>
        </w:rPr>
        <w:t>.</w:t>
      </w:r>
    </w:p>
    <w:p w14:paraId="1EB988D3" w14:textId="77777777" w:rsidR="003978D5" w:rsidRPr="0060163E" w:rsidRDefault="003978D5" w:rsidP="003978D5">
      <w:pPr>
        <w:spacing w:after="0" w:line="276" w:lineRule="auto"/>
        <w:ind w:left="709" w:right="709"/>
        <w:jc w:val="both"/>
        <w:rPr>
          <w:rFonts w:ascii="Verdana" w:eastAsia="Calibri" w:hAnsi="Verdana" w:cs="Arial"/>
          <w:lang w:val="es-MX"/>
        </w:rPr>
      </w:pPr>
    </w:p>
    <w:p w14:paraId="4EC2CCA3" w14:textId="77777777" w:rsidR="003978D5" w:rsidRPr="0060163E" w:rsidRDefault="003978D5" w:rsidP="003978D5">
      <w:pPr>
        <w:spacing w:after="120" w:line="276" w:lineRule="auto"/>
        <w:ind w:firstLine="709"/>
        <w:jc w:val="both"/>
        <w:rPr>
          <w:rFonts w:ascii="Verdana" w:eastAsia="Calibri" w:hAnsi="Verdana" w:cs="Arial"/>
          <w:lang w:val="es-MX"/>
        </w:rPr>
      </w:pPr>
      <w:r w:rsidRPr="0060163E">
        <w:rPr>
          <w:rFonts w:ascii="Verdana" w:eastAsia="Calibri" w:hAnsi="Verdana" w:cs="Arial"/>
          <w:lang w:val="es-MX"/>
        </w:rPr>
        <w:t>Conviene también distinguir las fuentes de las inhabilidades, las cuales han sido clasificadas en dos (2) grupos: i) inhabilidades-sanción y ii)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60163E">
        <w:rPr>
          <w:rFonts w:ascii="Verdana" w:eastAsia="Calibri" w:hAnsi="Verdana" w:cs="Arial"/>
          <w:vertAlign w:val="superscript"/>
          <w:lang w:val="es-MX"/>
        </w:rPr>
        <w:footnoteReference w:id="6"/>
      </w:r>
      <w:r w:rsidRPr="0060163E">
        <w:rPr>
          <w:rFonts w:ascii="Verdana" w:eastAsia="Calibri" w:hAnsi="Verdana" w:cs="Arial"/>
          <w:lang w:val="es-MX"/>
        </w:rPr>
        <w:t>.</w:t>
      </w:r>
    </w:p>
    <w:p w14:paraId="223155B8" w14:textId="77777777" w:rsidR="003978D5" w:rsidRPr="0060163E" w:rsidRDefault="003978D5" w:rsidP="003978D5">
      <w:pPr>
        <w:spacing w:before="120" w:after="120" w:line="276" w:lineRule="auto"/>
        <w:ind w:firstLine="708"/>
        <w:jc w:val="both"/>
        <w:rPr>
          <w:rFonts w:ascii="Verdana" w:eastAsia="Calibri" w:hAnsi="Verdana" w:cs="Arial"/>
          <w:lang w:val="es-MX"/>
        </w:rPr>
      </w:pPr>
      <w:r w:rsidRPr="0060163E">
        <w:rPr>
          <w:rFonts w:ascii="Verdana" w:eastAsia="Calibri" w:hAnsi="Verdana" w:cs="Arial"/>
          <w:lang w:val="es-MX"/>
        </w:rPr>
        <w:lastRenderedPageBreak/>
        <w:t>A manera de ejemplo, en materia contractual, los literales c), d) y j) del numeral 1 del artículo 8 de la Ley 80 de 1993</w:t>
      </w:r>
      <w:r w:rsidRPr="0060163E">
        <w:rPr>
          <w:rFonts w:ascii="Verdana" w:eastAsia="Calibri" w:hAnsi="Verdana" w:cs="Arial"/>
          <w:vertAlign w:val="superscript"/>
          <w:lang w:val="es-MX"/>
        </w:rPr>
        <w:footnoteReference w:id="7"/>
      </w:r>
      <w:r w:rsidRPr="0060163E">
        <w:rPr>
          <w:rFonts w:ascii="Verdana" w:eastAsia="Calibri" w:hAnsi="Verdana" w:cs="Arial"/>
          <w:lang w:val="es-MX"/>
        </w:rPr>
        <w:t xml:space="preserve"> establecen inhabilidades-sanción, </w:t>
      </w:r>
      <w:r w:rsidRPr="0060163E">
        <w:rPr>
          <w:rFonts w:ascii="Verdana" w:eastAsia="Calibri" w:hAnsi="Verdana" w:cs="Arial"/>
          <w:lang w:val="es-MX"/>
        </w:rPr>
        <w:lastRenderedPageBreak/>
        <w:t xml:space="preserve">porque la prohibición para contratar con el Estado en esos eventos es una consecuencia de una declaratoria de responsabilidad que surge luego de un proceso sancionatorio –administrativo, disciplinario o penal–; mientras que las inhabilidades de los literales f), g) y h) del numeral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p>
    <w:p w14:paraId="59B238C7" w14:textId="77777777" w:rsidR="003978D5" w:rsidRPr="0060163E" w:rsidRDefault="003978D5" w:rsidP="003978D5">
      <w:pPr>
        <w:spacing w:before="120" w:after="120" w:line="276" w:lineRule="auto"/>
        <w:ind w:firstLine="709"/>
        <w:jc w:val="both"/>
        <w:rPr>
          <w:rFonts w:ascii="Verdana" w:eastAsia="Calibri" w:hAnsi="Verdana" w:cs="Arial"/>
          <w:lang w:val="es-MX"/>
        </w:rPr>
      </w:pPr>
      <w:r w:rsidRPr="0060163E">
        <w:rPr>
          <w:rFonts w:ascii="Verdana" w:eastAsia="Calibri" w:hAnsi="Verdana" w:cs="Arial"/>
          <w:lang w:val="es-MX"/>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p>
    <w:p w14:paraId="25390854" w14:textId="77777777" w:rsidR="003978D5" w:rsidRPr="0060163E" w:rsidRDefault="003978D5" w:rsidP="003978D5">
      <w:pPr>
        <w:spacing w:before="120"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60163E">
        <w:rPr>
          <w:rFonts w:ascii="Verdana" w:eastAsia="Calibri" w:hAnsi="Verdana" w:cs="Arial"/>
          <w:i/>
          <w:iCs/>
          <w:lang w:val="es-ES_tradnl"/>
        </w:rPr>
        <w:t>restrictiva</w:t>
      </w:r>
      <w:r w:rsidRPr="0060163E">
        <w:rPr>
          <w:rFonts w:ascii="Verdana" w:eastAsia="Calibri" w:hAnsi="Verdana" w:cs="Arial"/>
          <w:i/>
          <w:iCs/>
          <w:vertAlign w:val="superscript"/>
          <w:lang w:val="es-ES_tradnl"/>
        </w:rPr>
        <w:footnoteReference w:id="8"/>
      </w:r>
      <w:r w:rsidRPr="0060163E">
        <w:rPr>
          <w:rFonts w:ascii="Verdana" w:eastAsia="Calibri" w:hAnsi="Verdana" w:cs="Arial"/>
          <w:i/>
          <w:iCs/>
          <w:lang w:val="es-ES_tradnl"/>
        </w:rPr>
        <w:t xml:space="preserve">, </w:t>
      </w:r>
      <w:r w:rsidRPr="0060163E">
        <w:rPr>
          <w:rFonts w:ascii="Verdana" w:eastAsia="Calibri" w:hAnsi="Verdana" w:cs="Arial"/>
          <w:lang w:val="es-ES_tradnl"/>
        </w:rPr>
        <w:t xml:space="preserve">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180156C9" w14:textId="77777777" w:rsidR="003978D5" w:rsidRPr="0060163E" w:rsidRDefault="003978D5" w:rsidP="003978D5">
      <w:pPr>
        <w:spacing w:after="120" w:line="276" w:lineRule="auto"/>
        <w:ind w:firstLine="709"/>
        <w:jc w:val="both"/>
        <w:rPr>
          <w:rFonts w:ascii="Verdana" w:eastAsia="Calibri" w:hAnsi="Verdana" w:cs="Arial"/>
          <w:lang w:val="es-ES_tradnl"/>
        </w:rPr>
      </w:pPr>
      <w:r w:rsidRPr="0060163E">
        <w:rPr>
          <w:rFonts w:ascii="Verdana" w:eastAsia="Calibri" w:hAnsi="Verdana" w:cs="Arial"/>
          <w:lang w:val="es-ES_tradnl"/>
        </w:rPr>
        <w:t>En efecto,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60163E">
        <w:rPr>
          <w:rFonts w:ascii="Verdana" w:eastAsia="Calibri" w:hAnsi="Verdana" w:cs="Arial"/>
          <w:vertAlign w:val="superscript"/>
          <w:lang w:val="es-ES_tradnl"/>
        </w:rPr>
        <w:footnoteReference w:id="9"/>
      </w:r>
      <w:r w:rsidRPr="0060163E">
        <w:rPr>
          <w:rFonts w:ascii="Verdana" w:eastAsia="Calibri" w:hAnsi="Verdana" w:cs="Arial"/>
          <w:lang w:val="es-ES_tradnl"/>
        </w:rPr>
        <w:t xml:space="preserve">. </w:t>
      </w:r>
    </w:p>
    <w:p w14:paraId="066B0F73" w14:textId="77777777" w:rsidR="003978D5" w:rsidRPr="0060163E" w:rsidRDefault="003978D5" w:rsidP="003978D5">
      <w:pPr>
        <w:spacing w:after="0" w:line="276" w:lineRule="auto"/>
        <w:ind w:firstLine="709"/>
        <w:jc w:val="both"/>
        <w:rPr>
          <w:rFonts w:ascii="Verdana" w:eastAsia="Calibri" w:hAnsi="Verdana" w:cs="Arial"/>
          <w:lang w:val="es-ES_tradnl"/>
        </w:rPr>
      </w:pPr>
      <w:r w:rsidRPr="0060163E">
        <w:rPr>
          <w:rFonts w:ascii="Verdana" w:eastAsia="Calibri" w:hAnsi="Verdana" w:cs="Arial"/>
          <w:lang w:val="es-ES_tradnl"/>
        </w:rPr>
        <w:lastRenderedPageBreak/>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60163E">
        <w:rPr>
          <w:rFonts w:ascii="Verdana" w:eastAsia="Calibri" w:hAnsi="Verdana" w:cs="Arial"/>
          <w:vertAlign w:val="superscript"/>
          <w:lang w:val="es-ES_tradnl"/>
        </w:rPr>
        <w:footnoteReference w:id="10"/>
      </w:r>
      <w:r w:rsidRPr="0060163E">
        <w:rPr>
          <w:rFonts w:ascii="Verdana" w:eastAsia="Calibri" w:hAnsi="Verdana" w:cs="Arial"/>
          <w:lang w:val="es-ES_tradnl"/>
        </w:rPr>
        <w:t>. En tal sentido, la Sección Tercera ha señalado que:</w:t>
      </w:r>
    </w:p>
    <w:p w14:paraId="543C6B9E" w14:textId="77777777" w:rsidR="003978D5" w:rsidRPr="0060163E" w:rsidRDefault="003978D5" w:rsidP="003978D5">
      <w:pPr>
        <w:spacing w:after="0" w:line="276" w:lineRule="auto"/>
        <w:ind w:firstLine="709"/>
        <w:jc w:val="both"/>
        <w:rPr>
          <w:rFonts w:ascii="Verdana" w:eastAsia="Calibri" w:hAnsi="Verdana" w:cs="Arial"/>
          <w:lang w:val="es-ES_tradnl"/>
        </w:rPr>
      </w:pPr>
    </w:p>
    <w:p w14:paraId="2CF9791F" w14:textId="77777777" w:rsidR="003978D5" w:rsidRPr="004218E1" w:rsidRDefault="003978D5" w:rsidP="003978D5">
      <w:pPr>
        <w:spacing w:after="0" w:line="240" w:lineRule="auto"/>
        <w:ind w:left="709" w:right="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4218E1">
        <w:rPr>
          <w:rFonts w:ascii="Verdana" w:eastAsia="Calibri" w:hAnsi="Verdana" w:cs="Arial"/>
          <w:sz w:val="21"/>
          <w:szCs w:val="21"/>
          <w:vertAlign w:val="superscript"/>
          <w:lang w:val="es-ES_tradnl"/>
        </w:rPr>
        <w:footnoteReference w:id="11"/>
      </w:r>
      <w:r w:rsidRPr="004218E1">
        <w:rPr>
          <w:rFonts w:ascii="Verdana" w:eastAsia="Calibri" w:hAnsi="Verdana" w:cs="Arial"/>
          <w:sz w:val="21"/>
          <w:szCs w:val="21"/>
          <w:lang w:val="es-ES_tradnl"/>
        </w:rPr>
        <w:t>.</w:t>
      </w:r>
    </w:p>
    <w:p w14:paraId="79A8633D" w14:textId="77777777" w:rsidR="003978D5" w:rsidRPr="004218E1" w:rsidRDefault="003978D5" w:rsidP="003978D5">
      <w:pPr>
        <w:spacing w:after="0" w:line="240" w:lineRule="auto"/>
        <w:ind w:firstLine="709"/>
        <w:jc w:val="both"/>
        <w:rPr>
          <w:rFonts w:ascii="Verdana" w:eastAsia="Calibri" w:hAnsi="Verdana" w:cs="Arial"/>
          <w:sz w:val="21"/>
          <w:szCs w:val="21"/>
          <w:lang w:val="es-ES_tradnl"/>
        </w:rPr>
      </w:pPr>
    </w:p>
    <w:p w14:paraId="4BF41837" w14:textId="77777777" w:rsidR="003978D5" w:rsidRPr="004218E1" w:rsidRDefault="003978D5" w:rsidP="003978D5">
      <w:pPr>
        <w:spacing w:after="0" w:line="240" w:lineRule="auto"/>
        <w:ind w:firstLine="709"/>
        <w:jc w:val="both"/>
        <w:rPr>
          <w:rFonts w:ascii="Verdana" w:eastAsia="Calibri" w:hAnsi="Verdana" w:cs="Arial"/>
          <w:sz w:val="21"/>
          <w:szCs w:val="21"/>
          <w:lang w:val="es-ES_tradnl"/>
        </w:rPr>
      </w:pPr>
      <w:r w:rsidRPr="004218E1">
        <w:rPr>
          <w:rFonts w:ascii="Verdana" w:eastAsia="Calibri" w:hAnsi="Verdana" w:cs="Arial"/>
          <w:sz w:val="21"/>
          <w:szCs w:val="21"/>
          <w:lang w:val="es-ES_tradnl"/>
        </w:rPr>
        <w:t>También ha dicho que:</w:t>
      </w:r>
    </w:p>
    <w:p w14:paraId="6E51D5F6" w14:textId="77777777" w:rsidR="003978D5" w:rsidRPr="004218E1" w:rsidRDefault="003978D5" w:rsidP="003978D5">
      <w:pPr>
        <w:spacing w:after="0" w:line="240" w:lineRule="auto"/>
        <w:ind w:left="709" w:right="616"/>
        <w:jc w:val="both"/>
        <w:rPr>
          <w:rFonts w:ascii="Verdana" w:eastAsia="Calibri" w:hAnsi="Verdana" w:cs="Arial"/>
          <w:sz w:val="21"/>
          <w:szCs w:val="21"/>
          <w:lang w:val="es-ES"/>
        </w:rPr>
      </w:pPr>
      <w:r w:rsidRPr="004218E1">
        <w:rPr>
          <w:rFonts w:ascii="Verdana" w:eastAsia="Calibri" w:hAnsi="Verdana" w:cs="Arial"/>
          <w:sz w:val="21"/>
          <w:szCs w:val="21"/>
          <w:lang w:val="es-ES"/>
        </w:rPr>
        <w:t xml:space="preserve">[…] la aplicación de estos preceptos exige una interpretación restrictiva, dado que según el principio hermenéutico </w:t>
      </w:r>
      <w:r w:rsidRPr="004218E1">
        <w:rPr>
          <w:rFonts w:ascii="Verdana" w:eastAsia="Calibri" w:hAnsi="Verdana" w:cs="Arial"/>
          <w:i/>
          <w:iCs/>
          <w:sz w:val="21"/>
          <w:szCs w:val="21"/>
          <w:lang w:val="es-ES"/>
        </w:rPr>
        <w:t>pro libertate</w:t>
      </w:r>
      <w:r w:rsidRPr="004218E1">
        <w:rPr>
          <w:rFonts w:ascii="Verdana" w:eastAsia="Calibri" w:hAnsi="Verdana" w:cs="Arial"/>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4218E1">
        <w:rPr>
          <w:rFonts w:ascii="Verdana" w:eastAsia="Calibri" w:hAnsi="Verdana" w:cs="Arial"/>
          <w:sz w:val="21"/>
          <w:szCs w:val="21"/>
          <w:vertAlign w:val="superscript"/>
          <w:lang w:val="es-ES"/>
        </w:rPr>
        <w:footnoteReference w:id="12"/>
      </w:r>
      <w:r w:rsidRPr="004218E1">
        <w:rPr>
          <w:rFonts w:ascii="Verdana" w:eastAsia="Calibri" w:hAnsi="Verdana" w:cs="Arial"/>
          <w:sz w:val="21"/>
          <w:szCs w:val="21"/>
          <w:lang w:val="es-ES"/>
        </w:rPr>
        <w:t>.</w:t>
      </w:r>
    </w:p>
    <w:p w14:paraId="548A325B" w14:textId="77777777" w:rsidR="003978D5" w:rsidRPr="0060163E" w:rsidRDefault="003978D5" w:rsidP="003978D5">
      <w:pPr>
        <w:spacing w:after="0" w:line="276" w:lineRule="auto"/>
        <w:jc w:val="both"/>
        <w:rPr>
          <w:rFonts w:ascii="Verdana" w:eastAsia="Arial" w:hAnsi="Verdana" w:cs="Arial"/>
          <w:color w:val="000000"/>
          <w:lang w:val="es-ES_tradnl"/>
        </w:rPr>
      </w:pPr>
    </w:p>
    <w:p w14:paraId="54BAADCA" w14:textId="77777777" w:rsidR="003978D5" w:rsidRPr="0060163E" w:rsidRDefault="003978D5" w:rsidP="003978D5">
      <w:pPr>
        <w:spacing w:after="120" w:line="276" w:lineRule="auto"/>
        <w:ind w:firstLine="708"/>
        <w:jc w:val="both"/>
        <w:rPr>
          <w:rFonts w:ascii="Verdana" w:eastAsia="Calibri" w:hAnsi="Verdana" w:cs="Arial"/>
          <w:color w:val="000000"/>
          <w:lang w:val="es-MX"/>
        </w:rPr>
      </w:pPr>
      <w:r w:rsidRPr="0060163E">
        <w:rPr>
          <w:rFonts w:ascii="Verdana" w:eastAsia="Arial" w:hAnsi="Verdana" w:cs="Arial"/>
          <w:color w:val="000000"/>
          <w:lang w:val="es-ES_tradnl"/>
        </w:rPr>
        <w:t xml:space="preserve">Como se aprecia, el principio </w:t>
      </w:r>
      <w:r w:rsidRPr="0060163E">
        <w:rPr>
          <w:rFonts w:ascii="Verdana" w:eastAsia="Arial" w:hAnsi="Verdana" w:cs="Arial"/>
          <w:i/>
          <w:iCs/>
          <w:color w:val="000000"/>
          <w:lang w:val="es-ES_tradnl"/>
        </w:rPr>
        <w:t>pro libertate</w:t>
      </w:r>
      <w:r w:rsidRPr="0060163E">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60163E">
        <w:rPr>
          <w:rFonts w:ascii="Verdana" w:eastAsia="Calibri" w:hAnsi="Verdana" w:cs="Arial"/>
          <w:color w:val="000000"/>
          <w:lang w:val="es-MX"/>
        </w:rPr>
        <w:t xml:space="preserve"> Corte Constitucional ha resaltado que la </w:t>
      </w:r>
      <w:r w:rsidRPr="0060163E">
        <w:rPr>
          <w:rFonts w:ascii="Verdana" w:eastAsia="Calibri" w:hAnsi="Verdana" w:cs="Arial"/>
          <w:color w:val="000000"/>
          <w:lang w:val="es-MX"/>
        </w:rPr>
        <w:lastRenderedPageBreak/>
        <w:t>competencia para determinar qué hechos o situaciones generan inhabilidades o incompatibilidades para contratar con el Estado la tiene el legislador, pues este régimen es un aspecto propio del Estatuto General de la Contratación de la Administración Pública, cuya expedición compete al Congreso de la República, conforme al artículo 150 de la Constitución Política, y que en esta materia rige el principio de legalidad</w:t>
      </w:r>
      <w:r w:rsidRPr="0060163E">
        <w:rPr>
          <w:rFonts w:ascii="Verdana" w:eastAsia="Calibri" w:hAnsi="Verdana" w:cs="Arial"/>
          <w:color w:val="000000"/>
          <w:vertAlign w:val="superscript"/>
          <w:lang w:val="es-MX"/>
        </w:rPr>
        <w:footnoteReference w:id="13"/>
      </w:r>
    </w:p>
    <w:p w14:paraId="18AA0B55" w14:textId="77777777" w:rsidR="003978D5" w:rsidRPr="0060163E" w:rsidRDefault="003978D5" w:rsidP="003978D5">
      <w:pPr>
        <w:spacing w:after="0" w:line="276" w:lineRule="auto"/>
        <w:ind w:firstLine="709"/>
        <w:jc w:val="both"/>
        <w:rPr>
          <w:rFonts w:ascii="Verdana" w:eastAsia="Calibri" w:hAnsi="Verdana" w:cs="Arial"/>
          <w:color w:val="000000"/>
          <w:shd w:val="clear" w:color="auto" w:fill="FFFFFF"/>
          <w:lang w:val="es-MX"/>
        </w:rPr>
      </w:pPr>
      <w:r w:rsidRPr="0060163E">
        <w:rPr>
          <w:rFonts w:ascii="Verdana" w:eastAsia="Calibri" w:hAnsi="Verdana" w:cs="Arial"/>
          <w:shd w:val="clear" w:color="auto" w:fill="FFFFFF"/>
          <w:lang w:val="es-MX"/>
        </w:rPr>
        <w:t>En este sentido, retomando una idea esbozada con anterioridad, la doctrina y la jurisprudencia son pacíficas en considerar que la creación de inhabilidades e incompatibilidades es un asunto con reserva de ley, en tanto, “[…] su previsión y desarrollo es materia exclusiva del legislador (reserva de ley), quien en virtud del principio democrático debe definir y tipificar expresamente sus causas, vigencia, naturaleza y efectos”</w:t>
      </w:r>
      <w:r w:rsidRPr="0060163E">
        <w:rPr>
          <w:rFonts w:ascii="Verdana" w:eastAsia="Calibri" w:hAnsi="Verdana" w:cs="Arial"/>
          <w:shd w:val="clear" w:color="auto" w:fill="FFFFFF"/>
          <w:vertAlign w:val="superscript"/>
          <w:lang w:val="es-MX"/>
        </w:rPr>
        <w:footnoteReference w:id="14"/>
      </w:r>
      <w:r w:rsidRPr="0060163E">
        <w:rPr>
          <w:rFonts w:ascii="Verdana" w:eastAsia="Calibri" w:hAnsi="Verdana" w:cs="Arial"/>
          <w:shd w:val="clear" w:color="auto" w:fill="FFFFFF"/>
          <w:lang w:val="es-MX"/>
        </w:rPr>
        <w:t xml:space="preserve"> En similar sentido, la Sala de Consulta y Servicio Civil del Consejo de Estado expresó </w:t>
      </w:r>
      <w:r w:rsidRPr="0060163E">
        <w:rPr>
          <w:rFonts w:ascii="Verdana" w:eastAsia="Calibri" w:hAnsi="Verdana" w:cs="Arial"/>
          <w:color w:val="000000"/>
          <w:shd w:val="clear" w:color="auto" w:fill="FFFFFF"/>
          <w:lang w:val="es-MX"/>
        </w:rPr>
        <w:t>que “[…] las causales de inhabilidad e incompatibilidad deben estar expresa y taxativamente establecidas en la Constitución o en la ley y son de aplicación e interpretación restrictivas […]”</w:t>
      </w:r>
      <w:r w:rsidRPr="0060163E">
        <w:rPr>
          <w:rFonts w:ascii="Verdana" w:eastAsia="Calibri" w:hAnsi="Verdana" w:cs="Arial"/>
          <w:color w:val="000000"/>
          <w:shd w:val="clear" w:color="auto" w:fill="FFFFFF"/>
          <w:vertAlign w:val="superscript"/>
          <w:lang w:val="es-MX"/>
        </w:rPr>
        <w:footnoteReference w:id="15"/>
      </w:r>
      <w:r w:rsidRPr="0060163E">
        <w:rPr>
          <w:rFonts w:ascii="Verdana" w:eastAsia="Calibri" w:hAnsi="Verdana" w:cs="Arial"/>
          <w:color w:val="000000"/>
          <w:shd w:val="clear" w:color="auto" w:fill="FFFFFF"/>
          <w:lang w:val="es-MX"/>
        </w:rPr>
        <w:t xml:space="preserve">. </w:t>
      </w:r>
      <w:r w:rsidRPr="0060163E">
        <w:rPr>
          <w:rFonts w:ascii="Verdana" w:eastAsia="MS Mincho" w:hAnsi="Verdana" w:cs="Arial"/>
          <w:color w:val="000000"/>
          <w:shd w:val="clear" w:color="auto" w:fill="FFFFFF"/>
          <w:lang w:val="es-MX"/>
        </w:rPr>
        <w:t xml:space="preserve">Como se observa, </w:t>
      </w:r>
      <w:r w:rsidRPr="0060163E">
        <w:rPr>
          <w:rFonts w:ascii="Verdana" w:eastAsia="MS Mincho" w:hAnsi="Verdana" w:cs="Arial"/>
          <w:color w:val="000000"/>
          <w:shd w:val="clear" w:color="auto" w:fill="FFFFFF"/>
        </w:rPr>
        <w:t>existe consenso, incluso como lo ha expresado esta Agencia en ocasiones anteriores, que la creación de inhabilidades o incompatibilidades está reservada al constituyente o al legislador.</w:t>
      </w:r>
    </w:p>
    <w:p w14:paraId="4E817366" w14:textId="77777777" w:rsidR="003978D5" w:rsidRPr="00542B4B" w:rsidRDefault="003978D5" w:rsidP="003978D5">
      <w:pPr>
        <w:spacing w:after="0" w:line="276" w:lineRule="auto"/>
        <w:jc w:val="both"/>
        <w:rPr>
          <w:rFonts w:ascii="Verdana" w:eastAsia="Calibri" w:hAnsi="Verdana" w:cs="Arial"/>
          <w:lang w:val="es-ES_tradnl"/>
        </w:rPr>
      </w:pPr>
    </w:p>
    <w:p w14:paraId="573500BF" w14:textId="77777777" w:rsidR="003978D5" w:rsidRPr="00542B4B" w:rsidRDefault="003978D5" w:rsidP="003978D5">
      <w:pPr>
        <w:widowControl w:val="0"/>
        <w:autoSpaceDE w:val="0"/>
        <w:autoSpaceDN w:val="0"/>
        <w:spacing w:after="120" w:line="276" w:lineRule="auto"/>
        <w:jc w:val="both"/>
        <w:rPr>
          <w:rFonts w:ascii="Verdana" w:eastAsia="Arial" w:hAnsi="Verdana" w:cs="Arial"/>
          <w:lang w:val="es-ES"/>
        </w:rPr>
      </w:pPr>
      <w:r w:rsidRPr="00542B4B">
        <w:rPr>
          <w:rFonts w:ascii="Verdana" w:eastAsia="Calibri" w:hAnsi="Verdana" w:cs="Arial"/>
          <w:highlight w:val="yellow"/>
          <w:lang w:val="es-ES"/>
        </w:rPr>
        <w:t>ii</w:t>
      </w:r>
      <w:r w:rsidRPr="00542B4B">
        <w:rPr>
          <w:rFonts w:ascii="Verdana" w:eastAsia="Calibri" w:hAnsi="Verdana" w:cs="Arial"/>
          <w:lang w:val="es-ES"/>
        </w:rPr>
        <w:t xml:space="preserve">. </w:t>
      </w:r>
      <w:r w:rsidRPr="00542B4B">
        <w:rPr>
          <w:rFonts w:ascii="Verdana" w:eastAsia="Arial" w:hAnsi="Verdana" w:cs="Arial"/>
          <w:lang w:val="es-ES_tradnl"/>
        </w:rPr>
        <w:t>D</w:t>
      </w:r>
      <w:r w:rsidRPr="00542B4B">
        <w:rPr>
          <w:rFonts w:ascii="Verdana" w:eastAsia="Arial" w:hAnsi="Verdana" w:cs="Arial"/>
          <w:lang w:val="es-ES"/>
        </w:rPr>
        <w:t>e conformidad con la pregunta planteada por el peticionario sobre la aplicación del régimen de inhabilidades e incompatibilidades y conflicto de interés en relación con los miembros del “comité evaluador” de ofertas de las entidades estatales, dentro de los procesos de selección. Al respecto, el Decreto 1082 de 2015, en el artículo 2.2.1.1.2.2.3</w:t>
      </w:r>
      <w:r w:rsidRPr="00542B4B">
        <w:rPr>
          <w:rFonts w:ascii="Verdana" w:eastAsia="Arial" w:hAnsi="Verdana" w:cs="Arial"/>
          <w:vertAlign w:val="superscript"/>
          <w:lang w:val="es-ES"/>
        </w:rPr>
        <w:footnoteReference w:id="16"/>
      </w:r>
      <w:r w:rsidRPr="00542B4B">
        <w:rPr>
          <w:rFonts w:ascii="Verdana" w:eastAsia="Arial" w:hAnsi="Verdana" w:cs="Arial"/>
          <w:lang w:val="es-ES"/>
        </w:rPr>
        <w:t xml:space="preserve">, establece que las entidades </w:t>
      </w:r>
      <w:r w:rsidRPr="00542B4B">
        <w:rPr>
          <w:rFonts w:ascii="Verdana" w:eastAsia="Arial" w:hAnsi="Verdana" w:cs="Arial"/>
          <w:lang w:val="es-ES"/>
        </w:rPr>
        <w:lastRenderedPageBreak/>
        <w:t>estatales pueden designar un comité evaluador, conformado por servidores públicos o por particulares contratados para evaluar las ofertas y las manifestaciones de interés para cada proceso de</w:t>
      </w:r>
      <w:r w:rsidRPr="00542B4B">
        <w:rPr>
          <w:rFonts w:ascii="Verdana" w:eastAsia="Arial" w:hAnsi="Verdana" w:cs="Arial"/>
          <w:spacing w:val="-5"/>
          <w:lang w:val="es-ES"/>
        </w:rPr>
        <w:t xml:space="preserve"> </w:t>
      </w:r>
      <w:r w:rsidRPr="00542B4B">
        <w:rPr>
          <w:rFonts w:ascii="Verdana" w:eastAsia="Arial" w:hAnsi="Verdana" w:cs="Arial"/>
          <w:lang w:val="es-ES"/>
        </w:rPr>
        <w:t>contratación.</w:t>
      </w:r>
    </w:p>
    <w:p w14:paraId="276A806C" w14:textId="77777777" w:rsidR="003978D5" w:rsidRPr="0049722A" w:rsidRDefault="003978D5" w:rsidP="003978D5">
      <w:pPr>
        <w:spacing w:before="120" w:after="120" w:line="276" w:lineRule="auto"/>
        <w:ind w:firstLine="709"/>
        <w:jc w:val="both"/>
        <w:rPr>
          <w:rFonts w:ascii="Verdana" w:eastAsia="Calibri" w:hAnsi="Verdana" w:cs="Arial"/>
          <w:lang w:val="es-ES"/>
        </w:rPr>
      </w:pPr>
      <w:r w:rsidRPr="00542B4B">
        <w:rPr>
          <w:rFonts w:ascii="Verdana" w:eastAsia="Calibri" w:hAnsi="Verdana" w:cs="Arial"/>
          <w:lang w:val="es-ES"/>
        </w:rPr>
        <w:t>Las funciones principales de dicho comité son las de realizar su labor de manera objetiva conforme a las reglas exclusivas contenidas en los pliegos de condiciones, siendo su obligación valorar y calificar las ofertas en atención a lo</w:t>
      </w:r>
      <w:r w:rsidRPr="0049722A">
        <w:rPr>
          <w:rFonts w:ascii="Verdana" w:eastAsia="Calibri" w:hAnsi="Verdana" w:cs="Arial"/>
          <w:lang w:val="es-ES"/>
        </w:rPr>
        <w:t xml:space="preserve"> estipulado en dichos pliegos, y a partir de la recomendación de este comité el jefe de la entidad, como responsable del Proceso de Contratación, tomará la decisión correspondiente en relación con el procedimiento de selección. Por lo anterior, el límite para la decisión que adopte el comité evaluador será lo que esté previsto en el pliego de condiciones.</w:t>
      </w:r>
    </w:p>
    <w:p w14:paraId="3BCD6B54" w14:textId="77777777" w:rsidR="003978D5" w:rsidRPr="0049722A" w:rsidRDefault="003978D5" w:rsidP="003978D5">
      <w:pPr>
        <w:spacing w:before="120" w:after="120" w:line="276" w:lineRule="auto"/>
        <w:ind w:firstLine="709"/>
        <w:jc w:val="both"/>
        <w:rPr>
          <w:rFonts w:ascii="Verdana" w:eastAsia="Arial" w:hAnsi="Verdana" w:cs="Arial"/>
          <w:lang w:val="es-ES"/>
        </w:rPr>
      </w:pPr>
      <w:r w:rsidRPr="0049722A">
        <w:rPr>
          <w:rFonts w:ascii="Verdana" w:eastAsia="Arial" w:hAnsi="Verdana" w:cs="Arial"/>
          <w:lang w:val="es-ES"/>
        </w:rPr>
        <w:t>En virtud de lo anterior, el inciso segundo de la citada disposición normativa señala que los miembros del comité evaluador están sometidos al régimen de inhabilidades e incompatibilidades y conflicto de interés establecido en la Constitución y la Ley, esto debido al grado de responsabilidad que tienen estas personas frente a la labor que les ha sido encomendada, siendo esta restricción razonable y proporcional, de cara a la evaluación de ofertas dentro de un proceso de selección, el cual debe estar dotado de todos los principios que rigen la contratación pública, para este aspecto en específico, con primordial énfasis en el principio de transparencia.</w:t>
      </w:r>
    </w:p>
    <w:p w14:paraId="529B42EA" w14:textId="77777777" w:rsidR="003978D5" w:rsidRPr="0049722A" w:rsidRDefault="003978D5" w:rsidP="003978D5">
      <w:pPr>
        <w:spacing w:before="120" w:after="120" w:line="276" w:lineRule="auto"/>
        <w:ind w:firstLine="709"/>
        <w:jc w:val="both"/>
        <w:rPr>
          <w:rFonts w:ascii="Verdana" w:eastAsia="Calibri" w:hAnsi="Verdana" w:cs="Arial"/>
          <w:lang w:val="es-ES_tradnl"/>
        </w:rPr>
      </w:pPr>
      <w:r w:rsidRPr="0049722A">
        <w:rPr>
          <w:rFonts w:ascii="Verdana" w:eastAsia="Calibri" w:hAnsi="Verdana" w:cs="Arial"/>
          <w:lang w:val="es-ES_tradnl"/>
        </w:rPr>
        <w:t xml:space="preserve">A manera de ejemplo, en relación con el régimen de inhabilidades e incompatibilidades, sobre una de las causales establecidas en la ley y que se relaciona con el objeto de la consulta, el artículo 8, literal b) del numeral 2, de la Ley 80 de 1993, </w:t>
      </w:r>
      <w:r>
        <w:rPr>
          <w:rFonts w:ascii="Verdana" w:eastAsia="Calibri" w:hAnsi="Verdana" w:cs="Arial"/>
          <w:lang w:val="es-ES_tradnl"/>
        </w:rPr>
        <w:t xml:space="preserve">dispone </w:t>
      </w:r>
      <w:r w:rsidRPr="0049722A">
        <w:rPr>
          <w:rFonts w:ascii="Verdana" w:eastAsia="Calibri" w:hAnsi="Verdana" w:cs="Arial"/>
          <w:lang w:val="es-ES_tradnl"/>
        </w:rPr>
        <w:t>que no podrán participar en procedimientos de selección ni celebrar contratos estat</w:t>
      </w:r>
      <w:bookmarkStart w:id="1" w:name="_Hlk74045502"/>
      <w:r>
        <w:rPr>
          <w:rFonts w:ascii="Verdana" w:eastAsia="Calibri" w:hAnsi="Verdana" w:cs="Arial"/>
          <w:lang w:val="es-ES_tradnl"/>
        </w:rPr>
        <w:t>ales con la entidad respectiva “</w:t>
      </w:r>
      <w:r w:rsidRPr="0049722A">
        <w:rPr>
          <w:rFonts w:ascii="Verdana" w:eastAsia="Calibri" w:hAnsi="Verdana" w:cs="Arial"/>
          <w:lang w:val="es-ES_tradnl"/>
        </w:rPr>
        <w:t>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bookmarkEnd w:id="1"/>
      <w:r>
        <w:rPr>
          <w:rFonts w:ascii="Verdana" w:eastAsia="Calibri" w:hAnsi="Verdana" w:cs="Arial"/>
          <w:lang w:val="es-ES_tradnl"/>
        </w:rPr>
        <w:t>”</w:t>
      </w:r>
      <w:r w:rsidRPr="0049722A">
        <w:rPr>
          <w:rFonts w:ascii="Verdana" w:eastAsia="Calibri" w:hAnsi="Verdana" w:cs="Arial"/>
          <w:lang w:val="es-ES_tradnl"/>
        </w:rPr>
        <w:t>. De acuerdo con lo explicado por la Corte Constitucional en la Sentencia C-429 de 1997, esta causal de inhabilidad protege el principio de moralidad administrativa, pues</w:t>
      </w:r>
      <w:r>
        <w:rPr>
          <w:rFonts w:ascii="Verdana" w:eastAsia="Calibri" w:hAnsi="Verdana" w:cs="Arial"/>
          <w:lang w:val="es-ES_tradnl"/>
        </w:rPr>
        <w:t xml:space="preserve"> “</w:t>
      </w:r>
      <w:r w:rsidRPr="0049722A">
        <w:rPr>
          <w:rFonts w:ascii="Verdana" w:eastAsia="Calibri" w:hAnsi="Verdana" w:cs="Arial"/>
          <w:lang w:val="es-ES_tradnl"/>
        </w:rPr>
        <w:t>[…]</w:t>
      </w:r>
      <w:r w:rsidRPr="0049722A">
        <w:rPr>
          <w:rFonts w:ascii="Verdana" w:eastAsia="Calibri" w:hAnsi="Verdana" w:cs="Times New Roman"/>
          <w:sz w:val="24"/>
          <w:lang w:val="es-MX"/>
        </w:rPr>
        <w:t xml:space="preserve"> </w:t>
      </w:r>
      <w:r w:rsidRPr="0049722A">
        <w:rPr>
          <w:rFonts w:ascii="Verdana" w:eastAsia="Calibri" w:hAnsi="Verdana" w:cs="Arial"/>
          <w:lang w:val="es-ES_tradnl"/>
        </w:rPr>
        <w:t xml:space="preserve">se dirige a los familiares de aquellas personas que gozan del poder de decisión de adjudicar contratos, o pueden tener influencias que razonablemente puedan determinar la decisión, pues en tales </w:t>
      </w:r>
      <w:r w:rsidRPr="0049722A">
        <w:rPr>
          <w:rFonts w:ascii="Verdana" w:eastAsia="Calibri" w:hAnsi="Verdana" w:cs="Arial"/>
          <w:lang w:val="es-ES_tradnl"/>
        </w:rPr>
        <w:lastRenderedPageBreak/>
        <w:t>casos esos vínculos colocan en peligro la transparencia y seriedad del proceso</w:t>
      </w:r>
      <w:r>
        <w:rPr>
          <w:rFonts w:ascii="Verdana" w:eastAsia="Calibri" w:hAnsi="Verdana" w:cs="Arial"/>
          <w:lang w:val="es-ES_tradnl"/>
        </w:rPr>
        <w:t xml:space="preserve"> de contratación administrativa”</w:t>
      </w:r>
      <w:r w:rsidRPr="0049722A">
        <w:rPr>
          <w:rFonts w:ascii="Verdana" w:eastAsia="Calibri" w:hAnsi="Verdana" w:cs="Arial"/>
          <w:lang w:val="es-ES_tradnl"/>
        </w:rPr>
        <w:t>.</w:t>
      </w:r>
    </w:p>
    <w:p w14:paraId="2962FD33" w14:textId="77777777" w:rsidR="003978D5" w:rsidRPr="0049722A" w:rsidRDefault="003978D5" w:rsidP="003978D5">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lang w:val="es-ES_tradnl"/>
        </w:rPr>
        <w:t xml:space="preserve">Como se observa, la restricción aplica a los parientes de los servidores públicos de los niveles directivo, asesor, ejecutivo. Para estos efectos, </w:t>
      </w:r>
      <w:r w:rsidRPr="0049722A">
        <w:rPr>
          <w:rFonts w:ascii="Verdana" w:eastAsia="Calibri" w:hAnsi="Verdana" w:cs="Arial"/>
          <w:color w:val="000000"/>
          <w:lang w:val="es-MX"/>
        </w:rPr>
        <w:t>es necesario remitirse a la normativa que rige la función pública, la cual clasifica los cargos públicos de acuerdo con su nivel jerárquico dentro la administración del orden nacional y territorial. No obstante, de acuerdo con los Decretos</w:t>
      </w:r>
      <w:r>
        <w:rPr>
          <w:rFonts w:ascii="Verdana" w:eastAsia="Calibri" w:hAnsi="Verdana" w:cs="Arial"/>
          <w:color w:val="000000"/>
          <w:lang w:val="es-MX"/>
        </w:rPr>
        <w:t>-Leyes</w:t>
      </w:r>
      <w:r w:rsidRPr="0049722A">
        <w:rPr>
          <w:rFonts w:ascii="Verdana" w:eastAsia="Calibri" w:hAnsi="Verdana" w:cs="Arial"/>
          <w:color w:val="000000"/>
          <w:lang w:val="es-MX"/>
        </w:rPr>
        <w:t xml:space="preserve"> 770 y 785 de 2005, que regulan las funciones y requisitos de los empleos públicos de entidades del orden nacional y </w:t>
      </w:r>
      <w:r>
        <w:rPr>
          <w:rFonts w:ascii="Verdana" w:eastAsia="Calibri" w:hAnsi="Verdana" w:cs="Arial"/>
          <w:color w:val="000000"/>
          <w:lang w:val="es-MX"/>
        </w:rPr>
        <w:t xml:space="preserve">territorial, respectivamente, establecen </w:t>
      </w:r>
      <w:r w:rsidRPr="0049722A">
        <w:rPr>
          <w:rFonts w:ascii="Verdana" w:eastAsia="Calibri" w:hAnsi="Verdana" w:cs="Arial"/>
          <w:color w:val="000000"/>
          <w:lang w:val="es-MX"/>
        </w:rPr>
        <w:t>como responsabilidad del Gobierno nacional la modificación de las plantas de persona</w:t>
      </w:r>
      <w:r>
        <w:rPr>
          <w:rFonts w:ascii="Verdana" w:eastAsia="Calibri" w:hAnsi="Verdana" w:cs="Arial"/>
          <w:color w:val="000000"/>
          <w:lang w:val="es-MX"/>
        </w:rPr>
        <w:t>l para que se elimine el nivel “</w:t>
      </w:r>
      <w:r w:rsidRPr="0049722A">
        <w:rPr>
          <w:rFonts w:ascii="Verdana" w:eastAsia="Calibri" w:hAnsi="Verdana" w:cs="Arial"/>
          <w:color w:val="000000"/>
          <w:lang w:val="es-MX"/>
        </w:rPr>
        <w:t>ejecutivo</w:t>
      </w:r>
      <w:r>
        <w:rPr>
          <w:rFonts w:ascii="Verdana" w:eastAsia="Calibri" w:hAnsi="Verdana" w:cs="Arial"/>
          <w:color w:val="000000"/>
          <w:sz w:val="19"/>
          <w:szCs w:val="19"/>
          <w:lang w:val="es-MX"/>
        </w:rPr>
        <w:t>”</w:t>
      </w:r>
      <w:r w:rsidRPr="0049722A">
        <w:rPr>
          <w:rFonts w:ascii="Verdana" w:eastAsia="Calibri" w:hAnsi="Verdana" w:cs="Arial"/>
          <w:color w:val="000000"/>
          <w:lang w:val="es-MX"/>
        </w:rPr>
        <w:t xml:space="preserve"> y se utilicen los niveles jerárquicos señalados por los Decretos, dentro </w:t>
      </w:r>
      <w:r>
        <w:rPr>
          <w:rFonts w:ascii="Verdana" w:eastAsia="Calibri" w:hAnsi="Verdana" w:cs="Arial"/>
          <w:color w:val="000000"/>
          <w:lang w:val="es-MX"/>
        </w:rPr>
        <w:t>de los cuales figuran el nivel “directivo” y “</w:t>
      </w:r>
      <w:r w:rsidRPr="0049722A">
        <w:rPr>
          <w:rFonts w:ascii="Verdana" w:eastAsia="Calibri" w:hAnsi="Verdana" w:cs="Arial"/>
          <w:color w:val="000000"/>
          <w:lang w:val="es-MX"/>
        </w:rPr>
        <w:t>aseso</w:t>
      </w:r>
      <w:r>
        <w:rPr>
          <w:rFonts w:ascii="Verdana" w:eastAsia="Calibri" w:hAnsi="Verdana" w:cs="Arial"/>
          <w:color w:val="000000"/>
          <w:lang w:val="es-MX"/>
        </w:rPr>
        <w:t>r”</w:t>
      </w:r>
      <w:r w:rsidRPr="0049722A">
        <w:rPr>
          <w:rFonts w:ascii="Verdana" w:eastAsia="Calibri" w:hAnsi="Verdana" w:cs="Arial"/>
          <w:color w:val="000000"/>
          <w:lang w:val="es-MX"/>
        </w:rPr>
        <w:t>, entre otros</w:t>
      </w:r>
      <w:r w:rsidRPr="0049722A">
        <w:rPr>
          <w:rFonts w:ascii="Verdana" w:eastAsia="Calibri" w:hAnsi="Verdana" w:cs="Arial"/>
          <w:color w:val="000000"/>
          <w:vertAlign w:val="superscript"/>
          <w:lang w:val="es-MX"/>
        </w:rPr>
        <w:footnoteReference w:id="17"/>
      </w:r>
      <w:r w:rsidRPr="0049722A">
        <w:rPr>
          <w:rFonts w:ascii="Verdana" w:eastAsia="Calibri" w:hAnsi="Verdana" w:cs="Arial"/>
          <w:color w:val="000000"/>
          <w:lang w:val="es-MX"/>
        </w:rPr>
        <w:t>.</w:t>
      </w:r>
    </w:p>
    <w:p w14:paraId="55986079" w14:textId="77777777" w:rsidR="003978D5" w:rsidRPr="0049722A" w:rsidRDefault="003978D5" w:rsidP="003978D5">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color w:val="000000"/>
          <w:lang w:val="es-MX"/>
        </w:rPr>
        <w:t xml:space="preserve">Las definiciones del nivel </w:t>
      </w:r>
      <w:r>
        <w:rPr>
          <w:rFonts w:ascii="Verdana" w:eastAsia="Calibri" w:hAnsi="Verdana" w:cs="Arial"/>
          <w:color w:val="000000"/>
          <w:lang w:val="es-MX"/>
        </w:rPr>
        <w:t>“directivo”</w:t>
      </w:r>
      <w:r w:rsidRPr="0049722A">
        <w:rPr>
          <w:rFonts w:ascii="Verdana" w:eastAsia="Calibri" w:hAnsi="Verdana" w:cs="Arial"/>
          <w:color w:val="000000"/>
          <w:lang w:val="es-MX"/>
        </w:rPr>
        <w:t xml:space="preserve"> y del nivel </w:t>
      </w:r>
      <w:r>
        <w:rPr>
          <w:rFonts w:ascii="Verdana" w:eastAsia="Calibri" w:hAnsi="Verdana" w:cs="Arial"/>
          <w:color w:val="000000"/>
          <w:lang w:val="es-MX"/>
        </w:rPr>
        <w:t>“asesor”</w:t>
      </w:r>
      <w:r w:rsidRPr="0049722A">
        <w:rPr>
          <w:rFonts w:ascii="Verdana" w:eastAsia="Calibri" w:hAnsi="Verdana" w:cs="Arial"/>
          <w:color w:val="000000"/>
          <w:lang w:val="es-MX"/>
        </w:rPr>
        <w:t xml:space="preserve">, en los Decretos citados, están claramente diferenciadas, por lo cual el nivel directivo no es equivalente al nivel asesor, sino que son diferentes y comprenden funciones </w:t>
      </w:r>
      <w:r w:rsidRPr="0049722A">
        <w:rPr>
          <w:rFonts w:ascii="Verdana" w:eastAsia="Calibri" w:hAnsi="Verdana" w:cs="Arial"/>
          <w:color w:val="000000"/>
          <w:lang w:val="es-MX"/>
        </w:rPr>
        <w:lastRenderedPageBreak/>
        <w:t>generales que no se asimilan entre sí, y se dividen de acuerdo con lo requerido para cada cargo</w:t>
      </w:r>
      <w:r w:rsidRPr="0049722A">
        <w:rPr>
          <w:rFonts w:ascii="Verdana" w:eastAsia="Calibri" w:hAnsi="Verdana" w:cs="Arial"/>
          <w:color w:val="000000"/>
          <w:vertAlign w:val="superscript"/>
          <w:lang w:val="es-MX"/>
        </w:rPr>
        <w:footnoteReference w:id="18"/>
      </w:r>
      <w:r w:rsidRPr="0049722A">
        <w:rPr>
          <w:rFonts w:ascii="Verdana" w:eastAsia="Calibri" w:hAnsi="Verdana" w:cs="Arial"/>
          <w:color w:val="000000"/>
          <w:lang w:val="es-MX"/>
        </w:rPr>
        <w:t>.</w:t>
      </w:r>
    </w:p>
    <w:p w14:paraId="51B9DEB8" w14:textId="77777777" w:rsidR="003978D5" w:rsidRPr="0049722A" w:rsidRDefault="003978D5" w:rsidP="003978D5">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color w:val="000000"/>
          <w:lang w:val="es-MX"/>
        </w:rPr>
        <w:t xml:space="preserve">En esta medida, considerando las modificaciones introducidas por normas posteriores, prácticamente ha desaparecido la referencia al nivel ejecutivo dentro de las plantas de cargos de las entidades públicas. Por tanto, la restricción prevista </w:t>
      </w:r>
      <w:r w:rsidRPr="0049722A">
        <w:rPr>
          <w:rFonts w:ascii="Verdana" w:eastAsia="Calibri" w:hAnsi="Verdana" w:cs="Arial"/>
          <w:lang w:val="es-ES_tradnl"/>
        </w:rPr>
        <w:t>en el artículo 8, literal b) del numeral 2, de la Ley 80 de 1993 se aplica especialmente a los parientes de los servidores públicos de los niveles directivo y asesor.</w:t>
      </w:r>
      <w:r w:rsidRPr="0049722A">
        <w:rPr>
          <w:rFonts w:ascii="Verdana" w:eastAsia="Calibri" w:hAnsi="Verdana" w:cs="Arial"/>
          <w:color w:val="000000"/>
          <w:lang w:val="es-MX"/>
        </w:rPr>
        <w:t xml:space="preserve"> </w:t>
      </w:r>
    </w:p>
    <w:p w14:paraId="62A20DBC" w14:textId="77777777" w:rsidR="003978D5" w:rsidRPr="0049722A" w:rsidRDefault="003978D5" w:rsidP="003978D5">
      <w:pPr>
        <w:spacing w:before="120" w:after="120" w:line="276" w:lineRule="auto"/>
        <w:ind w:firstLine="709"/>
        <w:jc w:val="both"/>
        <w:rPr>
          <w:rFonts w:ascii="Verdana" w:eastAsia="Calibri" w:hAnsi="Verdana" w:cs="Arial"/>
          <w:lang w:val="es-ES_tradnl"/>
        </w:rPr>
      </w:pPr>
      <w:r w:rsidRPr="0049722A">
        <w:rPr>
          <w:rFonts w:ascii="Verdana" w:eastAsia="Calibri" w:hAnsi="Verdana" w:cs="Arial"/>
          <w:color w:val="000000"/>
          <w:lang w:val="es-MX"/>
        </w:rPr>
        <w:t xml:space="preserve">Igualmente, esta inhabilidad aplica a los familiares de </w:t>
      </w:r>
      <w:r w:rsidRPr="0049722A">
        <w:rPr>
          <w:rFonts w:ascii="Verdana" w:eastAsia="Calibri" w:hAnsi="Verdana" w:cs="Arial"/>
          <w:lang w:val="es-ES_tradnl"/>
        </w:rPr>
        <w:t xml:space="preserve">los miembros de la junta o consejo directivo. Teniendo en cuenta que el artículo 4 de los Decretos 770 y 785 de 2005 </w:t>
      </w:r>
      <w:r>
        <w:rPr>
          <w:rFonts w:ascii="Verdana" w:eastAsia="Calibri" w:hAnsi="Verdana" w:cs="Arial"/>
          <w:lang w:val="es-ES_tradnl"/>
        </w:rPr>
        <w:t>dispone que el nivel directivo “</w:t>
      </w:r>
      <w:r w:rsidRPr="0049722A">
        <w:rPr>
          <w:rFonts w:ascii="Verdana" w:eastAsia="Calibri" w:hAnsi="Verdana" w:cs="Arial"/>
          <w:lang w:val="es-ES_tradnl"/>
        </w:rPr>
        <w:t>Comprende los empleos a los cuales corresponden funciones de Dirección General, de formulación de políticas institucionales y de adopción d</w:t>
      </w:r>
      <w:r>
        <w:rPr>
          <w:rFonts w:ascii="Verdana" w:eastAsia="Calibri" w:hAnsi="Verdana" w:cs="Arial"/>
          <w:lang w:val="es-ES_tradnl"/>
        </w:rPr>
        <w:t>e planes, programas y proyectos”</w:t>
      </w:r>
      <w:r w:rsidRPr="0049722A">
        <w:rPr>
          <w:rFonts w:ascii="Verdana" w:eastAsia="Calibri" w:hAnsi="Verdana" w:cs="Arial"/>
          <w:lang w:val="es-ES_tradnl"/>
        </w:rPr>
        <w:t>, la Corte Constitucional en la decisión anteriormente citada explica que los miembros de las juntas o consejos directivos de establecimientos públicos, sociedades comerciales del Estado, empresas industriales y comerciales del Estado y sociedades de economía mixta, pertenecen a esta categoría de empleos. Además, también aplica a los parientes de las personas que ejerzan el control interno o fiscal de la entidad contratante</w:t>
      </w:r>
      <w:r w:rsidRPr="0049722A">
        <w:rPr>
          <w:rFonts w:ascii="Verdana" w:eastAsia="Calibri" w:hAnsi="Verdana" w:cs="Arial"/>
          <w:vertAlign w:val="superscript"/>
          <w:lang w:val="es-ES_tradnl"/>
        </w:rPr>
        <w:footnoteReference w:id="19"/>
      </w:r>
      <w:r w:rsidRPr="0049722A">
        <w:rPr>
          <w:rFonts w:ascii="Verdana" w:eastAsia="Calibri" w:hAnsi="Verdana" w:cs="Arial"/>
          <w:lang w:val="es-ES_tradnl"/>
        </w:rPr>
        <w:t>.</w:t>
      </w:r>
    </w:p>
    <w:p w14:paraId="7DF5DDC7" w14:textId="77777777" w:rsidR="003978D5" w:rsidRPr="0049722A" w:rsidRDefault="003978D5" w:rsidP="003978D5">
      <w:pPr>
        <w:spacing w:before="120" w:after="120" w:line="276" w:lineRule="auto"/>
        <w:ind w:firstLine="709"/>
        <w:jc w:val="both"/>
        <w:rPr>
          <w:rFonts w:ascii="Verdana" w:eastAsia="Calibri" w:hAnsi="Verdana" w:cs="Arial"/>
          <w:lang w:val="es-ES_tradnl"/>
        </w:rPr>
      </w:pPr>
      <w:r w:rsidRPr="0049722A">
        <w:rPr>
          <w:rFonts w:ascii="Verdana" w:eastAsia="Calibri" w:hAnsi="Verdana" w:cs="Arial"/>
          <w:color w:val="000000"/>
          <w:lang w:val="es-MX"/>
        </w:rPr>
        <w:lastRenderedPageBreak/>
        <w:t>Naturalmente, la restricción no aplica a todos los f</w:t>
      </w:r>
      <w:r>
        <w:rPr>
          <w:rFonts w:ascii="Verdana" w:eastAsia="Calibri" w:hAnsi="Verdana" w:cs="Arial"/>
          <w:color w:val="000000"/>
          <w:lang w:val="es-MX"/>
        </w:rPr>
        <w:t>amiliares sino a los parientes “</w:t>
      </w:r>
      <w:r w:rsidRPr="0049722A">
        <w:rPr>
          <w:rFonts w:ascii="Verdana" w:eastAsia="Calibri" w:hAnsi="Verdana" w:cs="Arial"/>
          <w:color w:val="000000"/>
          <w:lang w:val="es-MX"/>
        </w:rPr>
        <w:t xml:space="preserve">[…] </w:t>
      </w:r>
      <w:r w:rsidRPr="0049722A">
        <w:rPr>
          <w:rFonts w:ascii="Verdana" w:eastAsia="Calibri" w:hAnsi="Verdana" w:cs="Arial"/>
          <w:lang w:val="es-ES_tradnl"/>
        </w:rPr>
        <w:t xml:space="preserve">hasta el segundo grado de consanguinidad, segundo </w:t>
      </w:r>
      <w:r>
        <w:rPr>
          <w:rFonts w:ascii="Verdana" w:eastAsia="Calibri" w:hAnsi="Verdana" w:cs="Arial"/>
          <w:lang w:val="es-ES_tradnl"/>
        </w:rPr>
        <w:t>de afinidad o primero civil […]”</w:t>
      </w:r>
      <w:r w:rsidRPr="0049722A">
        <w:rPr>
          <w:rFonts w:ascii="Verdana" w:eastAsia="Calibri" w:hAnsi="Verdana" w:cs="Arial"/>
          <w:lang w:val="es-ES_tradnl"/>
        </w:rPr>
        <w:t xml:space="preserve">. De esta manera, el parentesco por consanguinidad para la prohibición se restringe a los padres, hijos, abuelos, nietos y hermanos conforme a las definiciones de los artículos 35 y siguientes del Código Civil. Lo anterior, sin que pueda extenderse del tercer grado de consanguinidad en adelante, ya que no es posible la interpretación extensiva. </w:t>
      </w:r>
    </w:p>
    <w:p w14:paraId="5C4A1E7E" w14:textId="77777777" w:rsidR="003978D5" w:rsidRPr="0049722A" w:rsidRDefault="003978D5" w:rsidP="003978D5">
      <w:pPr>
        <w:spacing w:before="120" w:after="120" w:line="276" w:lineRule="auto"/>
        <w:ind w:firstLine="709"/>
        <w:jc w:val="both"/>
        <w:rPr>
          <w:rFonts w:ascii="Verdana" w:eastAsia="Calibri" w:hAnsi="Verdana" w:cs="Arial"/>
          <w:lang w:val="es-ES"/>
        </w:rPr>
      </w:pPr>
      <w:r w:rsidRPr="4C0F902E">
        <w:rPr>
          <w:rFonts w:ascii="Verdana" w:eastAsia="Calibri" w:hAnsi="Verdana" w:cs="Arial"/>
          <w:lang w:val="es-ES"/>
        </w:rPr>
        <w:t>Partiendo del ejemplo de la causal anterior, que hace parte del régimen de inhabilidades e incompatibilidades, que constituyen límites a la capacidad jurídica de los proponentes que pretenden participar en procesos de selección llevados a cabo por entidades estatales, al igual que para suscribir contratos, por lo que al encontrarse que uno de los proponentes se encuentra inmerso en alguna de estas causales procedería el rechazo de la oferta. Ahora bien, estas causales de inhabilidad e incompatibilidad podrían presentarse teniendo en cuenta alguna relación entre los miembros del comité evaluador, quienes pueden ser servidores públicos, y alguno de los proponentes. Este sería el caso en que eventualmente el comité evaluador estuviera conformado por un servidor del nivel asesor, caso en el cual las personas que tengan vínculos de parentesco, hasta el segundo grado de consanguinidad, segundo de afinidad o primero civil, con dicho servidor público no podrían participar en el procedimiento de selección. Lo anterior teniendo en cuenta la causal analizada anteriormente establecida en el literal b) del numeral 2 del artículo 8 de la Ley 80 de 1993.</w:t>
      </w:r>
    </w:p>
    <w:p w14:paraId="2280A3B6" w14:textId="77777777" w:rsidR="003978D5" w:rsidRDefault="003978D5" w:rsidP="003978D5">
      <w:pPr>
        <w:spacing w:before="120" w:after="120" w:line="276" w:lineRule="auto"/>
        <w:ind w:firstLine="709"/>
        <w:jc w:val="both"/>
        <w:rPr>
          <w:rFonts w:ascii="Verdana" w:eastAsia="Calibri" w:hAnsi="Verdana" w:cs="Arial"/>
          <w:lang w:val="es-ES"/>
        </w:rPr>
      </w:pPr>
      <w:r w:rsidRPr="4C0F902E">
        <w:rPr>
          <w:rFonts w:ascii="Verdana" w:eastAsia="Calibri" w:hAnsi="Verdana" w:cs="Arial"/>
          <w:lang w:val="es-ES"/>
        </w:rPr>
        <w:t xml:space="preserve">En todo caso, lo anterior simplemente reafirma la línea desarrollada en el numeral 1 de este concepto, en el sentido de que las causales de inhabilidad e incompatibilidad son de interpretación restrictiva, de manera que aplican en los casos establecidos por el legislador. Ahora bien, un ejemplo como el anterior en realidad podría ser de difícil ocurrencia, dado que los servidores de estos niveles no suelen ser parte en los comités de evaluación de las ofertas; pero ello no desvirtúa el criterio interpretativo señalado anteriormente, que consiste simplemente en aplicar el régimen de inhabilidades e incompatibilidades. </w:t>
      </w:r>
    </w:p>
    <w:p w14:paraId="3C155216" w14:textId="77777777" w:rsidR="003978D5" w:rsidRPr="00913584" w:rsidRDefault="003978D5" w:rsidP="003978D5">
      <w:pPr>
        <w:spacing w:before="120" w:after="120" w:line="276" w:lineRule="auto"/>
        <w:ind w:firstLine="709"/>
        <w:jc w:val="both"/>
        <w:rPr>
          <w:rFonts w:ascii="Verdana" w:eastAsia="Calibri" w:hAnsi="Verdana" w:cs="Arial"/>
          <w:lang w:val="es-ES_tradnl"/>
        </w:rPr>
      </w:pPr>
      <w:r>
        <w:rPr>
          <w:rFonts w:ascii="Verdana" w:eastAsia="Calibri" w:hAnsi="Verdana" w:cs="Arial"/>
          <w:lang w:val="es-ES_tradnl"/>
        </w:rPr>
        <w:t xml:space="preserve">En efecto, si uno de los miembros del comité evaluador es empleado del nivel directivo o asesor, podría configurarse la inhabilidad regulada en </w:t>
      </w:r>
      <w:r w:rsidRPr="00913584">
        <w:rPr>
          <w:rFonts w:ascii="Verdana" w:eastAsia="Calibri" w:hAnsi="Verdana" w:cs="Arial"/>
          <w:lang w:val="es-ES_tradnl"/>
        </w:rPr>
        <w:t xml:space="preserve">el artículo 8, literal b) del numeral 2, de la Ley 80 de 1993, </w:t>
      </w:r>
      <w:r>
        <w:rPr>
          <w:rFonts w:ascii="Verdana" w:eastAsia="Calibri" w:hAnsi="Verdana" w:cs="Arial"/>
          <w:lang w:val="es-ES_tradnl"/>
        </w:rPr>
        <w:t xml:space="preserve">la cual </w:t>
      </w:r>
      <w:r w:rsidRPr="00913584">
        <w:rPr>
          <w:rFonts w:ascii="Verdana" w:eastAsia="Calibri" w:hAnsi="Verdana" w:cs="Arial"/>
          <w:lang w:val="es-ES_tradnl"/>
        </w:rPr>
        <w:t xml:space="preserve">dispone que no podrán participar en procedimientos de selección ni celebrar contratos estatales con la entidad respectiva “Las personas que tengan vínculos de parentesco, hasta el </w:t>
      </w:r>
      <w:r w:rsidRPr="00913584">
        <w:rPr>
          <w:rFonts w:ascii="Verdana" w:eastAsia="Calibri" w:hAnsi="Verdana" w:cs="Arial"/>
          <w:lang w:val="es-ES_tradnl"/>
        </w:rPr>
        <w:lastRenderedPageBreak/>
        <w:t>segundo grado de consanguinidad, segundo de afinidad o primero civil con los servidores públicos de los niveles directivo, asesor, ejecutivo o con los miembros de la junta o consejo directivo, o con las personas que ejerzan el control interno o fiscal de la entidad contratante”.</w:t>
      </w:r>
    </w:p>
    <w:p w14:paraId="18FAEF16" w14:textId="77777777" w:rsidR="003978D5" w:rsidRPr="0049722A" w:rsidRDefault="003978D5" w:rsidP="003978D5">
      <w:pPr>
        <w:spacing w:before="120" w:after="120" w:line="276" w:lineRule="auto"/>
        <w:ind w:firstLine="709"/>
        <w:jc w:val="both"/>
        <w:rPr>
          <w:rFonts w:ascii="Verdana" w:eastAsia="Calibri" w:hAnsi="Verdana" w:cs="Arial"/>
          <w:color w:val="000000"/>
          <w:lang w:val="es-ES_tradnl"/>
        </w:rPr>
      </w:pPr>
      <w:r w:rsidRPr="0049722A">
        <w:rPr>
          <w:rFonts w:ascii="Verdana" w:eastAsia="Calibri" w:hAnsi="Verdana" w:cs="Arial"/>
          <w:lang w:val="es-ES_tradnl"/>
        </w:rPr>
        <w:t xml:space="preserve">En este sentido, en los casos en </w:t>
      </w:r>
      <w:r>
        <w:rPr>
          <w:rFonts w:ascii="Verdana" w:eastAsia="Calibri" w:hAnsi="Verdana" w:cs="Arial"/>
          <w:lang w:val="es-ES_tradnl"/>
        </w:rPr>
        <w:t>que eventualmente se configurará</w:t>
      </w:r>
      <w:r w:rsidRPr="0049722A">
        <w:rPr>
          <w:rFonts w:ascii="Verdana" w:eastAsia="Calibri" w:hAnsi="Verdana" w:cs="Arial"/>
          <w:lang w:val="es-ES_tradnl"/>
        </w:rPr>
        <w:t xml:space="preserve"> una causal de inhabilidad e incompatibilidad por alguna relación existente entre un proponente y un miembro del comité evaluador, dicho oferente no podría participar en el procedimiento de selección, por encontrarse incurso en dicha prohibición. </w:t>
      </w:r>
    </w:p>
    <w:p w14:paraId="6DB2D157" w14:textId="77777777" w:rsidR="003978D5" w:rsidRPr="0049722A" w:rsidRDefault="003978D5" w:rsidP="003978D5">
      <w:pPr>
        <w:spacing w:before="120" w:after="120" w:line="276" w:lineRule="auto"/>
        <w:ind w:firstLine="709"/>
        <w:jc w:val="both"/>
        <w:rPr>
          <w:rFonts w:ascii="Verdana" w:eastAsia="Calibri" w:hAnsi="Verdana" w:cs="Arial"/>
          <w:color w:val="000000"/>
          <w:lang w:val="es-ES"/>
        </w:rPr>
      </w:pPr>
      <w:bookmarkStart w:id="3" w:name="_Hlk36672256"/>
      <w:r w:rsidRPr="4C0F902E">
        <w:rPr>
          <w:rFonts w:ascii="Verdana" w:eastAsia="Calibri" w:hAnsi="Verdana" w:cs="Arial"/>
          <w:color w:val="000000"/>
          <w:lang w:val="es-ES"/>
        </w:rPr>
        <w:t xml:space="preserve">Ahora bien, un tratamiento distinto ocurre frente a los “conflictos de interés” que se le pueda presentar a uno de los miembros del comité evaluador con algún proponente, pues las consecuencias son totalmente diferentes. 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4" w:name="_Hlk36672204"/>
      <w:r w:rsidRPr="4C0F902E">
        <w:rPr>
          <w:rFonts w:ascii="Verdana" w:eastAsia="Calibri" w:hAnsi="Verdana" w:cs="Arial"/>
          <w:color w:val="000000"/>
          <w:lang w:val="es-ES"/>
        </w:rPr>
        <w:t xml:space="preserve">el régimen de los </w:t>
      </w:r>
      <w:r w:rsidRPr="4C0F902E">
        <w:rPr>
          <w:rFonts w:ascii="Verdana" w:eastAsia="Calibri" w:hAnsi="Verdana" w:cs="Arial"/>
          <w:i/>
          <w:iCs/>
          <w:color w:val="000000"/>
          <w:lang w:val="es-ES"/>
        </w:rPr>
        <w:t>conflictos de interés</w:t>
      </w:r>
      <w:r w:rsidRPr="4C0F902E">
        <w:rPr>
          <w:rFonts w:ascii="Verdana" w:eastAsia="Calibri" w:hAnsi="Verdana" w:cs="Arial"/>
          <w:color w:val="000000"/>
          <w:lang w:val="es-ES"/>
        </w:rPr>
        <w:t xml:space="preserve"> tiene como objetivo la prevalencia del bien común sobre el particular, razón por la cual se configuran cuando actúan influenciados por consideraciones personales que colisionan con el beber de preservar su independencia e imparcialidad. En este sentido, se definen como la </w:t>
      </w:r>
      <w:bookmarkStart w:id="5" w:name="_Hlk36668905"/>
      <w:r w:rsidRPr="4C0F902E">
        <w:rPr>
          <w:rFonts w:ascii="Verdana" w:eastAsia="Calibri" w:hAnsi="Verdana" w:cs="Arial"/>
          <w:color w:val="000000"/>
          <w:lang w:val="es-ES"/>
        </w:rPr>
        <w:t>concurrencia de intereses antagónicos que afectan la transparencia de las decisiones, al implicar –en detrimento del interés general– el aprovechamiento personal, familiar o particular</w:t>
      </w:r>
      <w:bookmarkEnd w:id="3"/>
      <w:bookmarkEnd w:id="4"/>
      <w:bookmarkEnd w:id="5"/>
      <w:r w:rsidRPr="4C0F902E">
        <w:rPr>
          <w:rFonts w:ascii="Verdana" w:eastAsia="Calibri" w:hAnsi="Verdana" w:cs="Arial"/>
          <w:color w:val="000000"/>
          <w:vertAlign w:val="superscript"/>
          <w:lang w:val="es-ES"/>
        </w:rPr>
        <w:footnoteReference w:id="20"/>
      </w:r>
      <w:r w:rsidRPr="4C0F902E">
        <w:rPr>
          <w:rFonts w:ascii="Verdana" w:eastAsia="Calibri" w:hAnsi="Verdana" w:cs="Arial"/>
          <w:color w:val="000000"/>
          <w:lang w:val="es-ES"/>
        </w:rPr>
        <w:t>.</w:t>
      </w:r>
    </w:p>
    <w:p w14:paraId="0015F936" w14:textId="77777777" w:rsidR="003978D5" w:rsidRPr="0049722A" w:rsidRDefault="003978D5" w:rsidP="003978D5">
      <w:pPr>
        <w:spacing w:before="120" w:after="120" w:line="276" w:lineRule="auto"/>
        <w:ind w:firstLine="709"/>
        <w:jc w:val="both"/>
        <w:rPr>
          <w:rFonts w:ascii="Verdana" w:eastAsia="Calibri" w:hAnsi="Verdana" w:cs="Arial"/>
          <w:color w:val="000000"/>
          <w:lang w:val="es-ES_tradnl"/>
        </w:rPr>
      </w:pPr>
      <w:r w:rsidRPr="0049722A">
        <w:rPr>
          <w:rFonts w:ascii="Verdana" w:eastAsia="Calibri" w:hAnsi="Verdana" w:cs="Arial"/>
          <w:color w:val="000000"/>
          <w:lang w:val="es-ES_tradnl"/>
        </w:rPr>
        <w:t>La institución de los conflictos de interés no está definida con carácter general en las normas que regulan la contratación es</w:t>
      </w:r>
      <w:r>
        <w:rPr>
          <w:rFonts w:ascii="Verdana" w:eastAsia="Calibri" w:hAnsi="Verdana" w:cs="Arial"/>
          <w:color w:val="000000"/>
          <w:lang w:val="es-ES_tradnl"/>
        </w:rPr>
        <w:t>tatal, por lo que es un asunto no regulado</w:t>
      </w:r>
      <w:r w:rsidRPr="0049722A">
        <w:rPr>
          <w:rFonts w:ascii="Verdana" w:eastAsia="Calibri" w:hAnsi="Verdana" w:cs="Arial"/>
          <w:color w:val="000000"/>
          <w:lang w:val="es-ES_tradnl"/>
        </w:rPr>
        <w:t xml:space="preserve"> en el Estatuto General de Contratación de la Administración Pública –en adelante EGCAP–. Sin embargo, el artículo 77 de la Ley 80</w:t>
      </w:r>
      <w:r>
        <w:rPr>
          <w:rFonts w:ascii="Verdana" w:eastAsia="Calibri" w:hAnsi="Verdana" w:cs="Arial"/>
          <w:color w:val="000000"/>
          <w:lang w:val="es-ES_tradnl"/>
        </w:rPr>
        <w:t xml:space="preserve"> ha señalado que “</w:t>
      </w:r>
      <w:r w:rsidRPr="0049722A">
        <w:rPr>
          <w:rFonts w:ascii="Verdana" w:eastAsia="Calibri" w:hAnsi="Verdana" w:cs="Arial"/>
          <w:color w:val="000000"/>
          <w:lang w:val="es-ES_tradnl"/>
        </w:rPr>
        <w:t>en cuanto sean compatibles con la finalidad y los principios de esta ley, las normas que rigen los procedimientos y actuaciones en la función administrativa serán aplicables en las actuaciones contractuales</w:t>
      </w:r>
      <w:r>
        <w:rPr>
          <w:rFonts w:ascii="Verdana" w:eastAsia="Calibri" w:hAnsi="Verdana" w:cs="Arial"/>
          <w:color w:val="000000"/>
          <w:lang w:val="es-ES_tradnl"/>
        </w:rPr>
        <w:t>”</w:t>
      </w:r>
      <w:r w:rsidRPr="0049722A">
        <w:rPr>
          <w:rFonts w:ascii="Verdana" w:eastAsia="Calibri" w:hAnsi="Verdana" w:cs="Arial"/>
          <w:color w:val="000000"/>
          <w:lang w:val="es-ES_tradnl"/>
        </w:rPr>
        <w:t xml:space="preserve">. Esta </w:t>
      </w:r>
      <w:r w:rsidRPr="0049722A">
        <w:rPr>
          <w:rFonts w:ascii="Verdana" w:eastAsia="Calibri" w:hAnsi="Verdana" w:cs="Arial"/>
          <w:color w:val="000000"/>
          <w:lang w:val="es-ES_tradnl"/>
        </w:rPr>
        <w:lastRenderedPageBreak/>
        <w:t>disposición es armónica, además, con lo establecido en el artículo 2 de la Ley 1437 de 2011, Código de procedimiento Administrativo y de lo Contencioso Administrativo –CPACA–, que en su artículo segundo establece que las disposiciones de dicho código se aplicarán de forma supletiva en los aspectos no regulados en procedimientos administrativos especiales, como sería en los procedimientos administrativos de selección de contratistas</w:t>
      </w:r>
      <w:r w:rsidRPr="0049722A">
        <w:rPr>
          <w:rFonts w:ascii="Verdana" w:eastAsia="Calibri" w:hAnsi="Verdana" w:cs="Arial"/>
          <w:color w:val="000000"/>
          <w:vertAlign w:val="superscript"/>
          <w:lang w:val="es-ES_tradnl"/>
        </w:rPr>
        <w:footnoteReference w:id="21"/>
      </w:r>
      <w:r w:rsidRPr="0049722A">
        <w:rPr>
          <w:rFonts w:ascii="Verdana" w:eastAsia="Calibri" w:hAnsi="Verdana" w:cs="Arial"/>
          <w:color w:val="000000"/>
          <w:lang w:val="es-ES_tradnl"/>
        </w:rPr>
        <w:t xml:space="preserve">. </w:t>
      </w:r>
    </w:p>
    <w:p w14:paraId="660630CE" w14:textId="77777777" w:rsidR="003978D5" w:rsidRDefault="003978D5" w:rsidP="003978D5">
      <w:pPr>
        <w:spacing w:before="120" w:after="0" w:line="276" w:lineRule="auto"/>
        <w:ind w:firstLine="709"/>
        <w:jc w:val="both"/>
        <w:rPr>
          <w:rFonts w:ascii="Verdana" w:eastAsia="Calibri" w:hAnsi="Verdana" w:cs="Arial"/>
          <w:color w:val="000000"/>
          <w:lang w:val="es-ES"/>
        </w:rPr>
      </w:pPr>
      <w:r w:rsidRPr="4C0F902E">
        <w:rPr>
          <w:rFonts w:ascii="Verdana" w:eastAsia="Calibri" w:hAnsi="Verdana" w:cs="Arial"/>
          <w:color w:val="000000" w:themeColor="text1"/>
          <w:lang w:val="es-ES"/>
        </w:rPr>
        <w:t xml:space="preserve">De esta manera, en los procedimientos administrativos de selección de contratistas resultan aplicables, de forma supletiva, la regulación de los conflictos de interés, las causales de impedimento y recusación, al igual que el trámite de los impedimentos y recusaciones, esto es, los artículos 11 y 12 de la Ley 1437 de 2011. De esta manera, estos aplicarían a los servidores que realizan los procedimientos de selección de contratistas por parte de la entidad estatal, dentro de los cuales se encontrarían quienes hacen parte de los comités de evaluación de las ofertas. Por lo anterior, sus destinatarios no son los proponentes o contratistas particulares que participan en el procedimiento de selección o celebran el contrato con la entidad estatal, sino los servidores indicados. En este sentido, en caso de que estos servidores adviertan que incurren en alguna de las causales establecidas en el artículo 11 del CPACA, dada su relación, de acuerdo con las causales establecidas en dicho artículo, con alguno de los proponentes, correspondería aplicar el trámite establecido en el artículo 12 de la misma ley. Sobre el particular el artículo 11 de la mencionada Ley ha establecido frente al conflicto de interés lo siguiente: </w:t>
      </w:r>
    </w:p>
    <w:p w14:paraId="168B44C7" w14:textId="77777777" w:rsidR="003978D5" w:rsidRPr="0049722A" w:rsidRDefault="003978D5" w:rsidP="003978D5">
      <w:pPr>
        <w:spacing w:before="120" w:after="0" w:line="276" w:lineRule="auto"/>
        <w:ind w:firstLine="709"/>
        <w:jc w:val="both"/>
        <w:rPr>
          <w:rFonts w:ascii="Verdana" w:eastAsia="Calibri" w:hAnsi="Verdana" w:cs="Arial"/>
          <w:color w:val="000000"/>
          <w:lang w:val="es-ES_tradnl"/>
        </w:rPr>
      </w:pPr>
    </w:p>
    <w:p w14:paraId="77DA43A8" w14:textId="77777777" w:rsidR="003978D5" w:rsidRDefault="003978D5" w:rsidP="003978D5">
      <w:pPr>
        <w:spacing w:after="0" w:line="240" w:lineRule="auto"/>
        <w:ind w:left="709" w:right="709"/>
        <w:jc w:val="both"/>
        <w:rPr>
          <w:rFonts w:ascii="Verdana" w:eastAsia="Calibri" w:hAnsi="Verdana" w:cs="Arial"/>
          <w:color w:val="000000"/>
          <w:sz w:val="21"/>
          <w:szCs w:val="21"/>
          <w:lang w:val="es-ES_tradnl"/>
        </w:rPr>
      </w:pPr>
      <w:r w:rsidRPr="0049722A">
        <w:rPr>
          <w:rFonts w:ascii="Verdana" w:eastAsia="Calibri" w:hAnsi="Verdana" w:cs="Arial"/>
          <w:color w:val="000000"/>
          <w:sz w:val="21"/>
          <w:szCs w:val="21"/>
          <w:lang w:val="es-ES_tradnl"/>
        </w:rPr>
        <w:t>Cuando el interés general propio de la función pública entre en conflicto con el interés particular y directo del servidor público, este deberá declararse impedido. Todo servidor público que deba adelantar o sustanciar actuaciones administrativas, realizar investigaciones, practicar pruebas o pronunciar decisiones definitivas podrá ser recusado si no manifiesta su impedimento por: […]</w:t>
      </w:r>
    </w:p>
    <w:p w14:paraId="0B627B2C" w14:textId="77777777" w:rsidR="003978D5" w:rsidRPr="0049722A" w:rsidRDefault="003978D5" w:rsidP="003978D5">
      <w:pPr>
        <w:spacing w:after="0" w:line="240" w:lineRule="auto"/>
        <w:ind w:left="709" w:right="709"/>
        <w:jc w:val="both"/>
        <w:rPr>
          <w:rFonts w:ascii="Verdana" w:eastAsia="Calibri" w:hAnsi="Verdana" w:cs="Arial"/>
          <w:color w:val="000000"/>
          <w:sz w:val="21"/>
          <w:szCs w:val="21"/>
          <w:lang w:val="es-ES_tradnl"/>
        </w:rPr>
      </w:pPr>
    </w:p>
    <w:p w14:paraId="5C1BF344" w14:textId="77777777" w:rsidR="003978D5" w:rsidRPr="0049722A" w:rsidRDefault="003978D5" w:rsidP="003978D5">
      <w:pPr>
        <w:spacing w:before="120" w:after="0" w:line="276" w:lineRule="auto"/>
        <w:ind w:firstLine="709"/>
        <w:jc w:val="both"/>
        <w:rPr>
          <w:rFonts w:ascii="Verdana" w:eastAsia="Calibri" w:hAnsi="Verdana" w:cs="Arial"/>
          <w:color w:val="000000"/>
          <w:sz w:val="21"/>
          <w:szCs w:val="21"/>
          <w:lang w:val="es-ES_tradnl"/>
        </w:rPr>
      </w:pPr>
      <w:r w:rsidRPr="00197068">
        <w:rPr>
          <w:rFonts w:ascii="Verdana" w:eastAsia="Calibri" w:hAnsi="Verdana" w:cs="Arial"/>
          <w:color w:val="000000"/>
          <w:lang w:val="es-ES_tradnl"/>
        </w:rPr>
        <w:lastRenderedPageBreak/>
        <w:t xml:space="preserve">En el supuesto planteado, podría configurarse la causal de conflictos de interés, impedimento y recusación regulado en el artículo 11, numeral 1° de la Ley 1437 de 2011: “1. Tener interés particular y directo en la regulación, gestión, control o decisión del asunto, o tenerlo su cónyuge, compañero o compañera permanente, o alguno de sus parientes dentro del cuarto grado de consanguinidad, segundo de afinidad o primero civil, o su socio o socios de hecho o de derecho”. </w:t>
      </w:r>
    </w:p>
    <w:p w14:paraId="37505EF5" w14:textId="77777777" w:rsidR="003978D5" w:rsidRPr="008C7534" w:rsidRDefault="003978D5" w:rsidP="003978D5">
      <w:pPr>
        <w:spacing w:before="120" w:after="120" w:line="276" w:lineRule="auto"/>
        <w:ind w:firstLine="709"/>
        <w:jc w:val="both"/>
        <w:rPr>
          <w:rFonts w:ascii="Verdana" w:eastAsia="Calibri" w:hAnsi="Verdana" w:cs="Arial"/>
          <w:color w:val="000000"/>
          <w:lang w:val="es-MX"/>
        </w:rPr>
      </w:pPr>
      <w:r w:rsidRPr="0049722A">
        <w:rPr>
          <w:rFonts w:ascii="Verdana" w:eastAsia="Calibri" w:hAnsi="Verdana" w:cs="Arial"/>
          <w:color w:val="000000"/>
          <w:lang w:val="es-ES_tradnl"/>
        </w:rPr>
        <w:t>Por tanto, el régimen de conflicto de interés es aplicable a los miembros del comité evaluador</w:t>
      </w:r>
      <w:r>
        <w:rPr>
          <w:rFonts w:ascii="Verdana" w:eastAsia="Calibri" w:hAnsi="Verdana" w:cs="Arial"/>
          <w:color w:val="000000"/>
          <w:lang w:val="es-ES_tradnl"/>
        </w:rPr>
        <w:t xml:space="preserve">, los cuales pueden ser </w:t>
      </w:r>
      <w:r w:rsidRPr="00C93F4F">
        <w:rPr>
          <w:rFonts w:ascii="Verdana" w:eastAsia="Calibri" w:hAnsi="Verdana" w:cs="Arial"/>
          <w:color w:val="000000"/>
          <w:lang w:val="es-ES"/>
        </w:rPr>
        <w:t>servidores</w:t>
      </w:r>
      <w:r>
        <w:rPr>
          <w:rFonts w:ascii="Verdana" w:eastAsia="Calibri" w:hAnsi="Verdana" w:cs="Arial"/>
          <w:color w:val="000000"/>
          <w:lang w:val="es-ES"/>
        </w:rPr>
        <w:t xml:space="preserve"> públicos o</w:t>
      </w:r>
      <w:r w:rsidRPr="00C93F4F">
        <w:rPr>
          <w:rFonts w:ascii="Verdana" w:eastAsia="Calibri" w:hAnsi="Verdana" w:cs="Arial"/>
          <w:color w:val="000000"/>
          <w:lang w:val="es-ES"/>
        </w:rPr>
        <w:t xml:space="preserve"> particulares contratados</w:t>
      </w:r>
      <w:r>
        <w:rPr>
          <w:rFonts w:ascii="Verdana" w:eastAsia="Calibri" w:hAnsi="Verdana" w:cs="Arial"/>
          <w:color w:val="000000"/>
          <w:lang w:val="es-ES"/>
        </w:rPr>
        <w:t>, de acuerdo a lo prescrito en el artículo 2.2.1.1.2.2.3. del Decreto 1082 de 2015. En efecto, se presentaría un conflicto de interés por parte del particular o del servidor público para evaluar</w:t>
      </w:r>
      <w:r w:rsidRPr="00C93F4F">
        <w:rPr>
          <w:rFonts w:ascii="Verdana" w:eastAsia="Calibri" w:hAnsi="Verdana" w:cs="Arial"/>
          <w:color w:val="000000"/>
          <w:lang w:val="es-ES"/>
        </w:rPr>
        <w:t xml:space="preserve"> las ofertas</w:t>
      </w:r>
      <w:r>
        <w:rPr>
          <w:rFonts w:ascii="Verdana" w:eastAsia="Calibri" w:hAnsi="Verdana" w:cs="Arial"/>
          <w:color w:val="000000"/>
          <w:lang w:val="es-ES"/>
        </w:rPr>
        <w:t>, al encontrarse en el supuesto descrito</w:t>
      </w:r>
      <w:r w:rsidRPr="0049722A">
        <w:rPr>
          <w:rFonts w:ascii="Verdana" w:eastAsia="Calibri" w:hAnsi="Verdana" w:cs="Arial"/>
          <w:color w:val="000000"/>
          <w:lang w:val="es-ES_tradnl"/>
        </w:rPr>
        <w:t>,</w:t>
      </w:r>
      <w:r>
        <w:rPr>
          <w:rFonts w:ascii="Verdana" w:eastAsia="Calibri" w:hAnsi="Verdana" w:cs="Arial"/>
          <w:color w:val="000000"/>
          <w:lang w:val="es-ES_tradnl"/>
        </w:rPr>
        <w:t xml:space="preserve"> </w:t>
      </w:r>
      <w:r w:rsidRPr="0049722A">
        <w:rPr>
          <w:rFonts w:ascii="Verdana" w:eastAsia="Calibri" w:hAnsi="Verdana" w:cs="Arial"/>
          <w:color w:val="000000"/>
          <w:lang w:val="es-ES_tradnl"/>
        </w:rPr>
        <w:t xml:space="preserve">o alguna de las otras establecidas en el artículo 11 de la Ley 1437 de 2011, </w:t>
      </w:r>
      <w:r>
        <w:rPr>
          <w:rFonts w:ascii="Verdana" w:eastAsia="Calibri" w:hAnsi="Verdana" w:cs="Arial"/>
          <w:color w:val="000000"/>
          <w:lang w:val="es-ES_tradnl"/>
        </w:rPr>
        <w:t>siendo necesario que se declare</w:t>
      </w:r>
      <w:r w:rsidRPr="0049722A">
        <w:rPr>
          <w:rFonts w:ascii="Verdana" w:eastAsia="Calibri" w:hAnsi="Verdana" w:cs="Arial"/>
          <w:color w:val="000000"/>
          <w:lang w:val="es-ES_tradnl"/>
        </w:rPr>
        <w:t xml:space="preserve"> impedido conforme </w:t>
      </w:r>
      <w:r>
        <w:rPr>
          <w:rFonts w:ascii="Verdana" w:eastAsia="Calibri" w:hAnsi="Verdana" w:cs="Arial"/>
          <w:color w:val="000000"/>
          <w:lang w:val="es-ES_tradnl"/>
        </w:rPr>
        <w:t xml:space="preserve">a </w:t>
      </w:r>
      <w:r w:rsidRPr="0049722A">
        <w:rPr>
          <w:rFonts w:ascii="Verdana" w:eastAsia="Calibri" w:hAnsi="Verdana" w:cs="Arial"/>
          <w:color w:val="000000"/>
          <w:lang w:val="es-ES_tradnl"/>
        </w:rPr>
        <w:t xml:space="preserve">lo </w:t>
      </w:r>
      <w:r>
        <w:rPr>
          <w:rFonts w:ascii="Verdana" w:eastAsia="Calibri" w:hAnsi="Verdana" w:cs="Arial"/>
          <w:color w:val="000000"/>
          <w:lang w:val="es-ES_tradnl"/>
        </w:rPr>
        <w:t xml:space="preserve">que </w:t>
      </w:r>
      <w:r w:rsidRPr="0049722A">
        <w:rPr>
          <w:rFonts w:ascii="Verdana" w:eastAsia="Calibri" w:hAnsi="Verdana" w:cs="Arial"/>
          <w:color w:val="000000"/>
          <w:lang w:val="es-ES_tradnl"/>
        </w:rPr>
        <w:t>dispone el artículo 12 de la Ley 1437 de 2011. De no hacerlo, el mismo podrá ser recusado por cualquier persona que haya detectado la situación siguiendo igualmente el procedimiento descrito en la misma disposición, por afectarse su imparcialidad y objetividad.</w:t>
      </w:r>
      <w:r>
        <w:rPr>
          <w:rFonts w:ascii="Verdana" w:eastAsia="Calibri" w:hAnsi="Verdana" w:cs="Arial"/>
          <w:color w:val="000000"/>
          <w:lang w:val="es-MX"/>
        </w:rPr>
        <w:t xml:space="preserve"> En otras palabras, el particular contratado que pertenece al comité evaluador le aplicaría el régimen de inhabilidades, incompatibilidades y conflictos de interés establecidos en la Constitución Política y en la Ley, como lo regula el artículo 2.2.1.1.2.2.3. del Decreto 1082 de 2015. </w:t>
      </w:r>
    </w:p>
    <w:p w14:paraId="21579C05" w14:textId="77777777" w:rsidR="003978D5" w:rsidRPr="00E908AA" w:rsidRDefault="003978D5" w:rsidP="003978D5">
      <w:pPr>
        <w:spacing w:after="120" w:line="276" w:lineRule="auto"/>
        <w:ind w:firstLine="709"/>
        <w:jc w:val="both"/>
        <w:rPr>
          <w:rFonts w:ascii="Verdana" w:eastAsia="Calibri" w:hAnsi="Verdana" w:cs="Arial"/>
          <w:bCs/>
          <w:lang w:val="es-ES"/>
        </w:rPr>
      </w:pPr>
      <w:r>
        <w:rPr>
          <w:rFonts w:ascii="Verdana" w:eastAsia="Calibri" w:hAnsi="Verdana" w:cs="Arial"/>
          <w:bCs/>
          <w:lang w:val="es-ES_tradnl"/>
        </w:rPr>
        <w:t xml:space="preserve">En tal sentido, </w:t>
      </w:r>
      <w:r w:rsidRPr="00E908AA">
        <w:rPr>
          <w:rFonts w:ascii="Verdana" w:eastAsia="Calibri" w:hAnsi="Verdana" w:cs="Arial"/>
          <w:bCs/>
        </w:rPr>
        <w:t>la entidad pública definirá en cada caso concreto lo relacionado con el tema objeto de consulta y teniendo en cuenta lo dispuesto en las normas previamente citadas. Al tratarse de un análisis que debe realizarse en el procedimiento contractual específico, la Agencia no puede definir un criterio universal y absoluto por vía consultiva, sino que brinda elementos de carácter general para que los partícipes del sistema de contratación pública adopten la decisión que corresponda, que sea acorde con el principio de juridicidad, sin que sea atribución de esta Agencia validar su gestión contractual.</w:t>
      </w:r>
    </w:p>
    <w:p w14:paraId="39093C71" w14:textId="77777777" w:rsidR="003978D5" w:rsidRPr="00FF2FD4" w:rsidRDefault="003978D5" w:rsidP="003978D5">
      <w:pPr>
        <w:spacing w:after="0" w:line="276" w:lineRule="auto"/>
        <w:jc w:val="both"/>
        <w:rPr>
          <w:rFonts w:ascii="Verdana" w:eastAsia="Arial" w:hAnsi="Verdana" w:cs="Arial"/>
          <w:lang w:val="es-ES_tradnl"/>
        </w:rPr>
      </w:pPr>
    </w:p>
    <w:p w14:paraId="32607F9C" w14:textId="77777777" w:rsidR="003978D5" w:rsidRPr="0060163E" w:rsidRDefault="003978D5" w:rsidP="003978D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3B0C653B" w14:textId="77777777" w:rsidR="003978D5" w:rsidRPr="0060163E" w:rsidRDefault="003978D5" w:rsidP="003978D5">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978D5" w:rsidRPr="0060163E" w14:paraId="38E5EEF9" w14:textId="77777777" w:rsidTr="00ED4C96">
        <w:trPr>
          <w:trHeight w:val="487"/>
          <w:jc w:val="center"/>
        </w:trPr>
        <w:tc>
          <w:tcPr>
            <w:tcW w:w="8647" w:type="dxa"/>
          </w:tcPr>
          <w:p w14:paraId="65944EF0"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0A7D76">
              <w:rPr>
                <w:rFonts w:ascii="Verdana" w:hAnsi="Verdana" w:cs="Arial"/>
                <w:lang w:val="es-ES"/>
              </w:rPr>
              <w:t>Ley 80 de 1993, artículos 2, 8, 25 y 32</w:t>
            </w:r>
            <w:r w:rsidRPr="0047642A">
              <w:rPr>
                <w:rFonts w:ascii="Verdana" w:hAnsi="Verdana" w:cs="Arial"/>
                <w:lang w:val="es-ES"/>
              </w:rPr>
              <w:t>.</w:t>
            </w:r>
          </w:p>
          <w:p w14:paraId="05A54A79"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 xml:space="preserve">Decreto Ley 770 de 2005, artículos 3 y 4. </w:t>
            </w:r>
          </w:p>
          <w:p w14:paraId="3126AC0B"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lastRenderedPageBreak/>
              <w:t xml:space="preserve">Decreto Ley 785 de 2005, artículos 3 y 4. </w:t>
            </w:r>
          </w:p>
          <w:p w14:paraId="33A302A8"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 xml:space="preserve">Ley 1437 de 2011, artículos 2, 11 y 12. </w:t>
            </w:r>
          </w:p>
          <w:p w14:paraId="0FA9A6A6"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Decreto 1082 de 2015, artículo 2.2.1.1.2.2.3.</w:t>
            </w:r>
          </w:p>
          <w:p w14:paraId="7A6AE9F2"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CONSEJO DE ESTADO. Sala de Consulta y Servicio Civil. Concepto del 29 de abril de 1998. Rad. 1097. C.P. Augusto Trejos Jaramillo.</w:t>
            </w:r>
          </w:p>
          <w:p w14:paraId="729DD93B"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CONSEJO DE ESTADO. Sala de Consulta y de Servicio Civil. Concepto del 23 de marzo de 2011. Rad. 2.045. C.P. Enrique José Arboleda Perdomo.</w:t>
            </w:r>
          </w:p>
          <w:p w14:paraId="2CA39110"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CONSEJO DE ESTADO. Sección Tercera. Subsección C. Sentencia del 22 de mayo de 2013. Exp. 24.057. C.P. Olga Mélida Valle De De La Hoz.</w:t>
            </w:r>
          </w:p>
          <w:p w14:paraId="1A00EA8E"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 xml:space="preserve">CONSEJO DE ESTADO. Sección Tercera. Subsección A. Sentencia del 13 de noviembre de 2013. Exp. 25.646. C.P. Mauricio Fajardo Gómez.  </w:t>
            </w:r>
          </w:p>
          <w:p w14:paraId="303317F6"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 xml:space="preserve">CONSEJO DE ESTADO. Sección Tercera, Subsección B. Sentencia del 12 de diciembre de 2014. Exp. 26496. C.P. Ramiro Pazos Guerrero. </w:t>
            </w:r>
          </w:p>
          <w:p w14:paraId="332B120F"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CONSEJO DE ESTADO. Sala de Consulta y Servicio Civil. Concepto del 30 de abril de 2015. Exp. 2251. C.P. Álvaro Namén Vargas.</w:t>
            </w:r>
          </w:p>
          <w:p w14:paraId="16608D30"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CONSEJO DE ESTADO. Sección Tercera. Subsección A. Sentencia del 24 de junio de 2015. Exp. 40.635. C.P. Hernán Andrade Rincón (E).</w:t>
            </w:r>
          </w:p>
          <w:p w14:paraId="111525B5"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8C7534">
              <w:rPr>
                <w:rFonts w:ascii="Verdana" w:hAnsi="Verdana" w:cs="Arial"/>
                <w:lang w:val="pt-BR"/>
              </w:rPr>
              <w:t xml:space="preserve">CORTE CONSTITUCIONAL. Sentencia C-415 de 1994. </w:t>
            </w:r>
            <w:r w:rsidRPr="0047642A">
              <w:rPr>
                <w:rFonts w:ascii="Verdana" w:hAnsi="Verdana" w:cs="Arial"/>
                <w:lang w:val="es-ES"/>
              </w:rPr>
              <w:t>M.P. Eduardo Cifuentes Muñoz.</w:t>
            </w:r>
          </w:p>
          <w:p w14:paraId="73545E3A"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8C7534">
              <w:rPr>
                <w:rFonts w:ascii="Verdana" w:hAnsi="Verdana" w:cs="Arial"/>
                <w:lang w:val="pt-BR"/>
              </w:rPr>
              <w:t xml:space="preserve">CORTE CONSTITUCIONAL. Sentencia C-181 de 1997. </w:t>
            </w:r>
            <w:r w:rsidRPr="0047642A">
              <w:rPr>
                <w:rFonts w:ascii="Verdana" w:hAnsi="Verdana" w:cs="Arial"/>
                <w:lang w:val="es-ES"/>
              </w:rPr>
              <w:t xml:space="preserve">M.P. Fabio Morón Díaz. </w:t>
            </w:r>
          </w:p>
          <w:p w14:paraId="06AFD03C" w14:textId="77777777" w:rsidR="003978D5" w:rsidRPr="008C7534" w:rsidRDefault="003978D5" w:rsidP="003978D5">
            <w:pPr>
              <w:numPr>
                <w:ilvl w:val="0"/>
                <w:numId w:val="16"/>
              </w:numPr>
              <w:spacing w:before="120" w:after="120" w:line="276" w:lineRule="auto"/>
              <w:ind w:left="640" w:hanging="357"/>
              <w:jc w:val="both"/>
              <w:rPr>
                <w:rFonts w:ascii="Verdana" w:hAnsi="Verdana" w:cs="Arial"/>
                <w:lang w:val="en-US"/>
              </w:rPr>
            </w:pPr>
            <w:r w:rsidRPr="008C7534">
              <w:rPr>
                <w:rFonts w:ascii="Verdana" w:hAnsi="Verdana" w:cs="Arial"/>
                <w:lang w:val="pt-BR"/>
              </w:rPr>
              <w:t xml:space="preserve">CORTE CONSTITUCIONAL. Sentencia C-780 de 2001. </w:t>
            </w:r>
            <w:r w:rsidRPr="008C7534">
              <w:rPr>
                <w:rFonts w:ascii="Verdana" w:hAnsi="Verdana" w:cs="Arial"/>
                <w:lang w:val="en-US"/>
              </w:rPr>
              <w:t xml:space="preserve">M.P. Jaime Córdoba Triviño. </w:t>
            </w:r>
          </w:p>
          <w:p w14:paraId="21D43656"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8C7534">
              <w:rPr>
                <w:rFonts w:ascii="Verdana" w:hAnsi="Verdana" w:cs="Arial"/>
                <w:lang w:val="pt-BR"/>
              </w:rPr>
              <w:t xml:space="preserve">CORTE CONSTITUCIONAL. Sentencia T-1039 de 2006. </w:t>
            </w:r>
            <w:r w:rsidRPr="0047642A">
              <w:rPr>
                <w:rFonts w:ascii="Verdana" w:hAnsi="Verdana" w:cs="Arial"/>
                <w:lang w:val="es-ES"/>
              </w:rPr>
              <w:t xml:space="preserve">M.P. Humberto Sierra Porto. </w:t>
            </w:r>
          </w:p>
          <w:p w14:paraId="65353EFB" w14:textId="77777777" w:rsidR="003978D5" w:rsidRPr="008C7534" w:rsidRDefault="003978D5" w:rsidP="003978D5">
            <w:pPr>
              <w:numPr>
                <w:ilvl w:val="0"/>
                <w:numId w:val="16"/>
              </w:numPr>
              <w:spacing w:before="120" w:after="120" w:line="276" w:lineRule="auto"/>
              <w:ind w:left="640" w:hanging="357"/>
              <w:jc w:val="both"/>
              <w:rPr>
                <w:rFonts w:ascii="Verdana" w:hAnsi="Verdana" w:cs="Arial"/>
                <w:lang w:val="pt-BR"/>
              </w:rPr>
            </w:pPr>
            <w:r w:rsidRPr="008C7534">
              <w:rPr>
                <w:rFonts w:ascii="Verdana" w:hAnsi="Verdana" w:cs="Arial"/>
                <w:lang w:val="pt-BR"/>
              </w:rPr>
              <w:t>CORTE CONSTITUCIONAL. Sentencia C-1016 de 2012. M.P. Jorge Iván Palacio.</w:t>
            </w:r>
          </w:p>
          <w:p w14:paraId="46BE16CC" w14:textId="77777777" w:rsidR="003978D5"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lastRenderedPageBreak/>
              <w:t>DÁVILA VINUEZA, Luis Guillermo. Régimen jurídico de la contratación estatal. Tercera edición. Bogotá: Legis, 2016.</w:t>
            </w:r>
          </w:p>
          <w:p w14:paraId="057D745E" w14:textId="77777777" w:rsidR="003978D5" w:rsidRPr="0047642A" w:rsidRDefault="003978D5" w:rsidP="003978D5">
            <w:pPr>
              <w:numPr>
                <w:ilvl w:val="0"/>
                <w:numId w:val="16"/>
              </w:numPr>
              <w:spacing w:before="120" w:after="120" w:line="276" w:lineRule="auto"/>
              <w:ind w:left="640" w:hanging="357"/>
              <w:jc w:val="both"/>
              <w:rPr>
                <w:rFonts w:ascii="Verdana" w:hAnsi="Verdana" w:cs="Arial"/>
                <w:lang w:val="es-ES"/>
              </w:rPr>
            </w:pPr>
            <w:r w:rsidRPr="0047642A">
              <w:rPr>
                <w:rFonts w:ascii="Verdana" w:hAnsi="Verdana" w:cs="Arial"/>
                <w:lang w:val="es-ES"/>
              </w:rPr>
              <w:t xml:space="preserve">PÁLACIO HINCAPIÉ, Juan Ángel. La contratación de las entidades estatales. Octava edición. Medellín: Librería Jurídica Sánchez R. SAS. </w:t>
            </w:r>
          </w:p>
        </w:tc>
      </w:tr>
    </w:tbl>
    <w:p w14:paraId="680DA278" w14:textId="77777777" w:rsidR="003978D5" w:rsidRPr="0060163E" w:rsidRDefault="003978D5" w:rsidP="003978D5">
      <w:pPr>
        <w:spacing w:after="0" w:line="276" w:lineRule="auto"/>
        <w:ind w:left="360"/>
        <w:contextualSpacing/>
        <w:rPr>
          <w:rFonts w:ascii="Verdana" w:eastAsia="Calibri" w:hAnsi="Verdana" w:cs="Times New Roman"/>
          <w:b/>
          <w:bCs/>
          <w:lang w:val="es-ES"/>
        </w:rPr>
      </w:pPr>
    </w:p>
    <w:p w14:paraId="6E1EB187" w14:textId="77777777" w:rsidR="003978D5" w:rsidRPr="0060163E" w:rsidRDefault="003978D5" w:rsidP="003978D5">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2A8D8360" w14:textId="77777777" w:rsidR="003978D5" w:rsidRPr="0060163E" w:rsidRDefault="003978D5" w:rsidP="003978D5">
      <w:pPr>
        <w:spacing w:after="0" w:line="276" w:lineRule="auto"/>
        <w:rPr>
          <w:rFonts w:ascii="Verdana" w:eastAsia="Calibri" w:hAnsi="Verdana" w:cs="Times New Roman"/>
          <w:lang w:val="es-ES"/>
        </w:rPr>
      </w:pPr>
    </w:p>
    <w:p w14:paraId="11F5D31E" w14:textId="6664BC85" w:rsidR="003978D5" w:rsidRPr="00EE4014" w:rsidRDefault="003978D5" w:rsidP="003978D5">
      <w:pPr>
        <w:widowControl w:val="0"/>
        <w:autoSpaceDE w:val="0"/>
        <w:autoSpaceDN w:val="0"/>
        <w:spacing w:after="0" w:line="276" w:lineRule="auto"/>
        <w:jc w:val="both"/>
        <w:rPr>
          <w:rFonts w:ascii="Verdana" w:eastAsia="Calibri" w:hAnsi="Verdana" w:cs="Times New Roman"/>
        </w:rPr>
      </w:pPr>
      <w:r w:rsidRPr="0060163E">
        <w:rPr>
          <w:rFonts w:ascii="Verdana" w:hAnsi="Verdana" w:cs="Arial"/>
          <w:shd w:val="clear" w:color="auto" w:fill="FFFFFF"/>
          <w:lang w:val="es-ES"/>
        </w:rPr>
        <w:t xml:space="preserve">Esta Subdirección se ha pronunciado sobre </w:t>
      </w:r>
      <w:r>
        <w:rPr>
          <w:rFonts w:ascii="Verdana" w:hAnsi="Verdana" w:cs="Arial"/>
          <w:shd w:val="clear" w:color="auto" w:fill="FFFFFF"/>
          <w:lang w:val="es-ES"/>
        </w:rPr>
        <w:t xml:space="preserve">las inhabilidades e incompatibilidades </w:t>
      </w:r>
      <w:r w:rsidRPr="0060163E">
        <w:rPr>
          <w:rFonts w:ascii="Verdana" w:hAnsi="Verdana" w:cs="Arial"/>
          <w:shd w:val="clear" w:color="auto" w:fill="FFFFFF"/>
          <w:lang w:val="es-ES"/>
        </w:rPr>
        <w:t>en algunos conceptos, tales como:</w:t>
      </w:r>
      <w:r w:rsidRPr="0060163E">
        <w:rPr>
          <w:rFonts w:ascii="Arial" w:eastAsia="Calibri" w:hAnsi="Arial" w:cs="Arial"/>
          <w:lang w:val="es-MX"/>
        </w:rPr>
        <w:t xml:space="preserve"> </w:t>
      </w:r>
      <w:r w:rsidRPr="0060163E">
        <w:rPr>
          <w:rFonts w:ascii="Verdana" w:hAnsi="Verdana" w:cs="Arial"/>
          <w:shd w:val="clear" w:color="auto" w:fill="FFFFFF"/>
          <w:lang w:val="es-MX"/>
        </w:rPr>
        <w:t xml:space="preserve">radicados No. 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  diciembre de 2019, 4201912000008460 del 14 de febrero de 2020, C−032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C-293 del 28 de agosto de 2021, </w:t>
      </w:r>
      <w:r w:rsidRPr="0060163E">
        <w:rPr>
          <w:rFonts w:ascii="Verdana" w:hAnsi="Verdana" w:cs="Arial"/>
          <w:shd w:val="clear" w:color="auto" w:fill="FFFFFF"/>
          <w:lang w:val="es-ES"/>
        </w:rPr>
        <w:t>C-449 del 31 de agosto de 2021, C-028 del 28 de febrero de 2022, C-318 del 18 de mayo de 2022, C-252 del 30 de mayo de 2022, C-619 del 27 de septiembre de 2022, C-731 de 10 de noviembre de 2022, C-059 de 13 de junio de 2023, C-352 del 22 de diciembre de 2023, C-010 del 31 de enero de 2024, C-023 del 26 de febrero de 2024, C-035 del 24 de abril de 2024, C-039 del 23 de abril de 2024, C-041 del 29 de mayo de 2024, C-067 del 16 de mayo de 2024, C-078 del 4 de junio de 2024, C-289 del 15 de agosto de 2023, C-172 de 25 de julio de 2024, C-271 del 22 de julio de 2024, C-904 del 9 de diciembre de 2024,</w:t>
      </w:r>
      <w:r>
        <w:rPr>
          <w:rFonts w:ascii="Verdana" w:hAnsi="Verdana" w:cs="Arial"/>
          <w:shd w:val="clear" w:color="auto" w:fill="FFFFFF"/>
          <w:lang w:val="es-ES"/>
        </w:rPr>
        <w:t xml:space="preserve"> C-170 </w:t>
      </w:r>
      <w:r w:rsidRPr="00C642AE">
        <w:rPr>
          <w:rFonts w:ascii="Verdana" w:hAnsi="Verdana" w:cs="Arial"/>
          <w:shd w:val="clear" w:color="auto" w:fill="FFFFFF"/>
          <w:lang w:val="es-ES"/>
        </w:rPr>
        <w:t xml:space="preserve">del 19 de marzo de 2025, C-392 del 8 de mayo de 2025, C-632 del 2 de julio de 2025, </w:t>
      </w:r>
      <w:r>
        <w:rPr>
          <w:rFonts w:ascii="Verdana" w:hAnsi="Verdana" w:cs="Arial"/>
          <w:shd w:val="clear" w:color="auto" w:fill="FFFFFF"/>
          <w:lang w:val="es-ES"/>
        </w:rPr>
        <w:t xml:space="preserve">C-710 del 15 de julio de 2025, C-731 del 21 de agosto de 2025, entre otros. En cuanto a los conflictos de interés, puede destacarse los siguientes conceptos: C- 449 del 31 de agosto de 2021, C-426 </w:t>
      </w:r>
      <w:r>
        <w:rPr>
          <w:rFonts w:ascii="Verdana" w:hAnsi="Verdana" w:cs="Arial"/>
          <w:shd w:val="clear" w:color="auto" w:fill="FFFFFF"/>
          <w:lang w:val="es-ES"/>
        </w:rPr>
        <w:lastRenderedPageBreak/>
        <w:t xml:space="preserve">del 16 de mayo de 2025, </w:t>
      </w:r>
      <w:r w:rsidRPr="00D51FA5">
        <w:rPr>
          <w:rFonts w:ascii="Verdana" w:hAnsi="Verdana" w:cs="Arial"/>
          <w:shd w:val="clear" w:color="auto" w:fill="FFFFFF"/>
          <w:lang w:val="es-ES"/>
        </w:rPr>
        <w:t>C-710 del 15 de julio de 2025</w:t>
      </w:r>
      <w:r>
        <w:rPr>
          <w:rFonts w:ascii="Verdana" w:hAnsi="Verdana" w:cs="Arial"/>
          <w:shd w:val="clear" w:color="auto" w:fill="FFFFFF"/>
          <w:lang w:val="es-ES"/>
        </w:rPr>
        <w:t xml:space="preserve">, </w:t>
      </w:r>
      <w:r w:rsidRPr="00D51FA5">
        <w:rPr>
          <w:rFonts w:ascii="Verdana" w:hAnsi="Verdana" w:cs="Arial"/>
          <w:shd w:val="clear" w:color="auto" w:fill="FFFFFF"/>
          <w:lang w:val="es-ES"/>
        </w:rPr>
        <w:t>C-920 del 19 de agosto de 2025,</w:t>
      </w:r>
      <w:r>
        <w:rPr>
          <w:rFonts w:ascii="Verdana" w:hAnsi="Verdana" w:cs="Arial"/>
          <w:shd w:val="clear" w:color="auto" w:fill="FFFFFF"/>
          <w:lang w:val="es-ES"/>
        </w:rPr>
        <w:t xml:space="preserve"> entre otros.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1" w:history="1">
        <w:r w:rsidR="00EE4014" w:rsidRPr="002D22DF">
          <w:rPr>
            <w:rStyle w:val="Hipervnculo"/>
            <w:rFonts w:ascii="Verdana" w:eastAsia="Calibri" w:hAnsi="Verdana" w:cs="Times New Roman"/>
            <w:lang w:val="es-ES"/>
          </w:rPr>
          <w:t>https://relatoria.colombiacompra.gov.co/busqueda/conceptos</w:t>
        </w:r>
      </w:hyperlink>
      <w:r w:rsidRPr="0060163E">
        <w:rPr>
          <w:rFonts w:ascii="Verdana" w:eastAsia="Calibri" w:hAnsi="Verdana" w:cs="Times New Roman"/>
        </w:rPr>
        <w:t xml:space="preserve">. </w:t>
      </w:r>
    </w:p>
    <w:p w14:paraId="4152B369" w14:textId="77777777" w:rsidR="00EE4014" w:rsidRDefault="00EE4014" w:rsidP="003978D5">
      <w:pPr>
        <w:spacing w:after="0" w:line="276" w:lineRule="auto"/>
        <w:jc w:val="both"/>
        <w:rPr>
          <w:rFonts w:ascii="Verdana" w:hAnsi="Verdana"/>
          <w:lang w:val="es-MX"/>
        </w:rPr>
      </w:pPr>
    </w:p>
    <w:p w14:paraId="138516EC" w14:textId="77777777" w:rsidR="00EE4014" w:rsidRPr="00144EB3" w:rsidRDefault="00EE4014" w:rsidP="00EE4014">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2" w:tgtFrame="_new" w:history="1">
        <w:r w:rsidRPr="00144EB3">
          <w:rPr>
            <w:rFonts w:ascii="Verdana" w:eastAsia="Calibri" w:hAnsi="Verdana" w:cs="Arial"/>
            <w:color w:val="0000FF"/>
            <w:u w:val="single"/>
          </w:rPr>
          <w:t>https://formacionvirtual.colombiacompra.gov.co/mod/page/view.php?id=3718</w:t>
        </w:r>
      </w:hyperlink>
    </w:p>
    <w:p w14:paraId="73CD1919" w14:textId="77777777" w:rsidR="00EE4014" w:rsidRDefault="00EE4014" w:rsidP="00EE4014">
      <w:pPr>
        <w:spacing w:after="0" w:line="240" w:lineRule="auto"/>
        <w:jc w:val="both"/>
        <w:rPr>
          <w:rFonts w:ascii="Verdana" w:eastAsia="Calibri" w:hAnsi="Verdana" w:cs="Arial"/>
        </w:rPr>
      </w:pPr>
    </w:p>
    <w:p w14:paraId="1E48CB38" w14:textId="77777777" w:rsidR="00EE4014" w:rsidRPr="00144EB3" w:rsidRDefault="00EE4014" w:rsidP="00EE4014">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3" w:tgtFrame="_new" w:history="1">
        <w:r w:rsidRPr="00144EB3">
          <w:rPr>
            <w:rFonts w:ascii="Verdana" w:eastAsia="Calibri" w:hAnsi="Verdana" w:cs="Arial"/>
            <w:color w:val="0000FF"/>
            <w:u w:val="single"/>
          </w:rPr>
          <w:t>https://www.colombiacompra.gov.co/normativa-y-relatoria/documentos-tipo</w:t>
        </w:r>
      </w:hyperlink>
    </w:p>
    <w:p w14:paraId="69A8F5FD" w14:textId="77777777" w:rsidR="00EE4014" w:rsidRPr="00144EB3" w:rsidRDefault="00EE4014" w:rsidP="00EE4014">
      <w:pPr>
        <w:spacing w:after="0" w:line="240" w:lineRule="auto"/>
        <w:jc w:val="both"/>
        <w:rPr>
          <w:rFonts w:ascii="Verdana" w:eastAsia="Calibri" w:hAnsi="Verdana" w:cs="Arial"/>
        </w:rPr>
      </w:pPr>
    </w:p>
    <w:p w14:paraId="11F1D22A" w14:textId="77777777" w:rsidR="00EE4014" w:rsidRPr="00144EB3" w:rsidRDefault="00EE4014" w:rsidP="00EE4014">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https://www.colombiacompra.gov.co/archivos/manual/guia-para-la-comprension-e-implementacion-de-los-documentos-tipo-de-obra-publica-de-</w:t>
        </w:r>
        <w:r w:rsidRPr="00144EB3">
          <w:rPr>
            <w:rFonts w:ascii="Verdana" w:eastAsia="Calibri" w:hAnsi="Verdana" w:cs="Arial"/>
            <w:color w:val="0000FF"/>
            <w:u w:val="single"/>
          </w:rPr>
          <w:lastRenderedPageBreak/>
          <w:t>infraestructura-de-transporte-bajo-las-diferentes-modalidades-de-contratacion-vigentes</w:t>
        </w:r>
      </w:hyperlink>
    </w:p>
    <w:p w14:paraId="05185447" w14:textId="77777777" w:rsidR="00EE4014" w:rsidRPr="00144EB3" w:rsidRDefault="00EE4014" w:rsidP="00EE4014">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1165D20E" w14:textId="77777777" w:rsidR="00EE4014" w:rsidRPr="00144EB3" w:rsidRDefault="00EE4014" w:rsidP="00EE4014">
      <w:pPr>
        <w:spacing w:after="0" w:line="240" w:lineRule="auto"/>
        <w:jc w:val="both"/>
        <w:rPr>
          <w:rFonts w:ascii="Verdana" w:eastAsia="Calibri" w:hAnsi="Verdana" w:cs="Arial"/>
          <w:shd w:val="clear" w:color="auto" w:fill="FFFFFF"/>
        </w:rPr>
      </w:pPr>
    </w:p>
    <w:p w14:paraId="0A3827A6" w14:textId="77777777" w:rsidR="00EE4014" w:rsidRPr="00144EB3" w:rsidRDefault="00EE4014" w:rsidP="00EE4014">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2755C680" w14:textId="77777777" w:rsidR="00EE4014" w:rsidRPr="00144EB3" w:rsidRDefault="00EE4014" w:rsidP="00EE4014">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ColombiaCompraEficiente</w:t>
      </w:r>
    </w:p>
    <w:p w14:paraId="20ACE302" w14:textId="77777777" w:rsidR="00EE4014" w:rsidRPr="00144EB3" w:rsidRDefault="00EE4014" w:rsidP="00EE4014">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238D9AA5" w14:textId="77777777" w:rsidR="00EE4014" w:rsidRPr="00144EB3" w:rsidRDefault="00EE4014" w:rsidP="00EE4014">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0A727A65" w14:textId="77777777" w:rsidR="00EE4014" w:rsidRPr="00144EB3" w:rsidRDefault="00EE4014" w:rsidP="00EE4014">
      <w:pPr>
        <w:widowControl w:val="0"/>
        <w:autoSpaceDE w:val="0"/>
        <w:autoSpaceDN w:val="0"/>
        <w:spacing w:after="0" w:line="240" w:lineRule="auto"/>
        <w:jc w:val="both"/>
        <w:rPr>
          <w:rFonts w:ascii="Verdana" w:eastAsia="Calibri" w:hAnsi="Verdana" w:cs="Arial"/>
          <w:lang w:val="es-ES"/>
        </w:rPr>
      </w:pPr>
    </w:p>
    <w:p w14:paraId="64CE2EFC" w14:textId="77777777" w:rsidR="00EE4014" w:rsidRPr="00144EB3" w:rsidRDefault="00EE4014" w:rsidP="00EE4014">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4ED5F86" w14:textId="77777777" w:rsidR="00EE4014" w:rsidRPr="00144EB3" w:rsidRDefault="00EE4014" w:rsidP="00EE4014">
      <w:pPr>
        <w:spacing w:after="0" w:line="240" w:lineRule="auto"/>
        <w:jc w:val="both"/>
        <w:rPr>
          <w:rFonts w:ascii="Verdana" w:eastAsia="Verdana" w:hAnsi="Verdana" w:cs="Verdana"/>
        </w:rPr>
      </w:pPr>
    </w:p>
    <w:p w14:paraId="317679B0" w14:textId="77777777" w:rsidR="00EE4014" w:rsidRPr="00144EB3" w:rsidRDefault="00EE4014" w:rsidP="00EE4014">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5"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29271EE5" w14:textId="77777777" w:rsidR="00EE4014" w:rsidRPr="00144EB3" w:rsidRDefault="00EE4014" w:rsidP="00EE4014">
      <w:pPr>
        <w:spacing w:after="0" w:line="240" w:lineRule="auto"/>
        <w:rPr>
          <w:rFonts w:ascii="Verdana" w:eastAsia="Verdana" w:hAnsi="Verdana" w:cs="Verdana"/>
        </w:rPr>
      </w:pPr>
    </w:p>
    <w:p w14:paraId="187EBEDE" w14:textId="77777777" w:rsidR="00EE4014" w:rsidRDefault="00EE4014" w:rsidP="003978D5">
      <w:pPr>
        <w:spacing w:after="0" w:line="276" w:lineRule="auto"/>
        <w:jc w:val="both"/>
        <w:rPr>
          <w:rFonts w:ascii="Verdana" w:hAnsi="Verdana"/>
          <w:lang w:val="es-MX"/>
        </w:rPr>
      </w:pPr>
    </w:p>
    <w:p w14:paraId="5CDC891D" w14:textId="77777777" w:rsidR="00EE4014" w:rsidRDefault="00EE4014" w:rsidP="003978D5">
      <w:pPr>
        <w:spacing w:after="0" w:line="276" w:lineRule="auto"/>
        <w:jc w:val="both"/>
        <w:rPr>
          <w:rFonts w:ascii="Verdana" w:hAnsi="Verdana"/>
          <w:lang w:val="es-MX"/>
        </w:rPr>
      </w:pPr>
    </w:p>
    <w:p w14:paraId="1AF3ADD8" w14:textId="516CFAC0" w:rsidR="003978D5" w:rsidRPr="003978D5" w:rsidRDefault="003978D5" w:rsidP="003978D5">
      <w:pPr>
        <w:spacing w:after="0" w:line="276" w:lineRule="auto"/>
        <w:jc w:val="both"/>
        <w:rPr>
          <w:rFonts w:ascii="Verdana" w:hAnsi="Verdana"/>
          <w:lang w:val="es-MX"/>
        </w:rPr>
      </w:pPr>
      <w:r w:rsidRPr="0060163E">
        <w:rPr>
          <w:rFonts w:ascii="Verdana" w:hAnsi="Verdana"/>
          <w:lang w:val="es-MX"/>
        </w:rPr>
        <w:t>Cordialmente,</w:t>
      </w:r>
    </w:p>
    <w:p w14:paraId="116107A5" w14:textId="2C9EBE2E" w:rsidR="003978D5" w:rsidRDefault="00AE26CA" w:rsidP="003978D5">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0F2C18D" wp14:editId="5BF82C11">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40DDB298" w14:textId="77777777" w:rsidR="003978D5" w:rsidRDefault="003978D5" w:rsidP="00AE26CA">
      <w:pPr>
        <w:spacing w:after="0" w:line="256" w:lineRule="auto"/>
        <w:rPr>
          <w:rFonts w:ascii="Century Gothic" w:hAnsi="Century Gothic"/>
          <w:noProof/>
          <w:lang w:val="en-US"/>
        </w:rPr>
      </w:pPr>
    </w:p>
    <w:p w14:paraId="14194837" w14:textId="77777777" w:rsidR="003978D5" w:rsidRPr="00A86CCD" w:rsidRDefault="003978D5" w:rsidP="003978D5">
      <w:pPr>
        <w:spacing w:after="0" w:line="240" w:lineRule="auto"/>
        <w:rPr>
          <w:rFonts w:ascii="Verdana" w:eastAsia="Times New Roman" w:hAnsi="Verdana" w:cs="Times New Roman"/>
          <w:sz w:val="24"/>
          <w:szCs w:val="24"/>
          <w:lang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78D5" w:rsidRPr="008278B1" w14:paraId="0BADA6ED" w14:textId="77777777" w:rsidTr="00ED4C96">
        <w:trPr>
          <w:trHeight w:val="315"/>
        </w:trPr>
        <w:tc>
          <w:tcPr>
            <w:tcW w:w="893" w:type="dxa"/>
            <w:vAlign w:val="center"/>
            <w:hideMark/>
          </w:tcPr>
          <w:p w14:paraId="28F4150A" w14:textId="77777777" w:rsidR="003978D5" w:rsidRPr="008278B1" w:rsidRDefault="003978D5" w:rsidP="00ED4C96">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6D7D6CF" w14:textId="77777777" w:rsidR="003978D5" w:rsidRPr="00860461" w:rsidRDefault="003978D5" w:rsidP="00ED4C96">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11588331" w14:textId="77777777" w:rsidR="003978D5" w:rsidRPr="00860461" w:rsidRDefault="003978D5" w:rsidP="00ED4C96">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3978D5" w:rsidRPr="00F84F36" w14:paraId="34B4848B" w14:textId="77777777" w:rsidTr="00ED4C96">
        <w:trPr>
          <w:trHeight w:val="330"/>
        </w:trPr>
        <w:tc>
          <w:tcPr>
            <w:tcW w:w="893" w:type="dxa"/>
            <w:vAlign w:val="center"/>
            <w:hideMark/>
          </w:tcPr>
          <w:p w14:paraId="1FE98773" w14:textId="77777777" w:rsidR="003978D5" w:rsidRPr="0025661F" w:rsidRDefault="003978D5" w:rsidP="00ED4C96">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FE06D7" w14:textId="77777777" w:rsidR="003978D5" w:rsidRPr="00D62D2E" w:rsidRDefault="003978D5" w:rsidP="00ED4C96">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18594B90" w14:textId="77777777" w:rsidR="003978D5" w:rsidRPr="0025661F" w:rsidRDefault="003978D5" w:rsidP="00ED4C96">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3978D5" w:rsidRPr="00F84F36" w14:paraId="3158628B" w14:textId="77777777" w:rsidTr="00ED4C96">
        <w:trPr>
          <w:trHeight w:val="300"/>
        </w:trPr>
        <w:tc>
          <w:tcPr>
            <w:tcW w:w="893" w:type="dxa"/>
            <w:vAlign w:val="center"/>
          </w:tcPr>
          <w:p w14:paraId="0C4D88F0" w14:textId="77777777" w:rsidR="003978D5" w:rsidRPr="008278B1" w:rsidRDefault="003978D5" w:rsidP="00ED4C96">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58B1AC2" w14:textId="77777777" w:rsidR="003978D5" w:rsidRPr="008278B1" w:rsidRDefault="003978D5" w:rsidP="00ED4C96">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148E4777" w14:textId="77777777" w:rsidR="003978D5" w:rsidRPr="008278B1" w:rsidRDefault="003978D5" w:rsidP="00ED4C96">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57833EA0" w14:textId="77777777" w:rsidR="00265537" w:rsidRPr="00E02524" w:rsidRDefault="00265537"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45032A7"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213F26F5" w:rsidR="00127233" w:rsidRPr="0015699B" w:rsidRDefault="00127233" w:rsidP="00265537">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C8B9D1" w14:textId="77777777" w:rsidR="001F77D2" w:rsidRDefault="001F77D2" w:rsidP="004A1847">
      <w:pPr>
        <w:spacing w:after="0" w:line="240" w:lineRule="auto"/>
      </w:pPr>
      <w:r>
        <w:separator/>
      </w:r>
    </w:p>
  </w:endnote>
  <w:endnote w:type="continuationSeparator" w:id="0">
    <w:p w14:paraId="692E9147" w14:textId="77777777" w:rsidR="001F77D2" w:rsidRDefault="001F77D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15CB0" w14:textId="77777777" w:rsidR="001F77D2" w:rsidRDefault="001F77D2" w:rsidP="004A1847">
      <w:pPr>
        <w:spacing w:after="0" w:line="240" w:lineRule="auto"/>
      </w:pPr>
      <w:r>
        <w:separator/>
      </w:r>
    </w:p>
  </w:footnote>
  <w:footnote w:type="continuationSeparator" w:id="0">
    <w:p w14:paraId="61EEE07D" w14:textId="77777777" w:rsidR="001F77D2" w:rsidRDefault="001F77D2" w:rsidP="004A1847">
      <w:pPr>
        <w:spacing w:after="0" w:line="240" w:lineRule="auto"/>
      </w:pPr>
      <w:r>
        <w:continuationSeparator/>
      </w:r>
    </w:p>
  </w:footnote>
  <w:footnote w:id="1">
    <w:p w14:paraId="2C8BE381" w14:textId="77777777" w:rsidR="003978D5" w:rsidRPr="005E7090" w:rsidRDefault="003978D5" w:rsidP="003978D5">
      <w:pPr>
        <w:pStyle w:val="Textonotapie"/>
        <w:ind w:firstLine="708"/>
        <w:jc w:val="both"/>
        <w:rPr>
          <w:rFonts w:ascii="Verdana" w:hAnsi="Verdana"/>
          <w:sz w:val="14"/>
          <w:szCs w:val="14"/>
        </w:rPr>
      </w:pPr>
      <w:r w:rsidRPr="005E7090">
        <w:rPr>
          <w:rFonts w:ascii="Verdana" w:hAnsi="Verdana"/>
          <w:sz w:val="14"/>
          <w:szCs w:val="14"/>
          <w:vertAlign w:val="superscript"/>
        </w:rPr>
        <w:footnoteRef/>
      </w:r>
      <w:r w:rsidRPr="005E7090">
        <w:rPr>
          <w:rFonts w:ascii="Verdana" w:hAnsi="Verdana"/>
          <w:sz w:val="14"/>
          <w:szCs w:val="14"/>
          <w:lang w:val="pt-BR"/>
        </w:rPr>
        <w:t xml:space="preserve"> CORTE CONSTITUCIONAL. Sentencia C-181 de 1997. </w:t>
      </w:r>
      <w:r w:rsidRPr="005E7090">
        <w:rPr>
          <w:rFonts w:ascii="Verdana" w:hAnsi="Verdana"/>
          <w:sz w:val="14"/>
          <w:szCs w:val="14"/>
        </w:rPr>
        <w:t>M.P. Fabio Morón Díaz. Ver también las Sentencias C-540 de 2001, C-893 de 2003 y C-903 de 2008, entre otras.</w:t>
      </w:r>
    </w:p>
  </w:footnote>
  <w:footnote w:id="2">
    <w:p w14:paraId="0DA3A508" w14:textId="77777777" w:rsidR="003978D5" w:rsidRPr="005E7090" w:rsidRDefault="003978D5" w:rsidP="003978D5">
      <w:pPr>
        <w:pStyle w:val="Textonotapie"/>
        <w:ind w:firstLine="708"/>
        <w:jc w:val="both"/>
        <w:rPr>
          <w:rFonts w:ascii="Verdana" w:hAnsi="Verdana"/>
          <w:sz w:val="14"/>
          <w:szCs w:val="14"/>
          <w:lang w:val="pt-BR"/>
        </w:rPr>
      </w:pPr>
      <w:r w:rsidRPr="005E7090">
        <w:rPr>
          <w:rStyle w:val="Refdenotaalpie"/>
          <w:rFonts w:ascii="Verdana" w:hAnsi="Verdana"/>
          <w:sz w:val="14"/>
          <w:szCs w:val="14"/>
        </w:rPr>
        <w:footnoteRef/>
      </w:r>
      <w:r w:rsidRPr="005E7090">
        <w:rPr>
          <w:rFonts w:ascii="Verdana" w:hAnsi="Verdana"/>
          <w:sz w:val="14"/>
          <w:szCs w:val="14"/>
          <w:lang w:val="pt-BR"/>
        </w:rPr>
        <w:t xml:space="preserve"> CORTE CONSTITUCIONAL. Sentencia C-1016 de 2012. M.P. Jorge Iván Palacio.</w:t>
      </w:r>
    </w:p>
  </w:footnote>
  <w:footnote w:id="3">
    <w:p w14:paraId="59FEDD3A" w14:textId="77777777" w:rsidR="003978D5" w:rsidRPr="005E7090" w:rsidRDefault="003978D5" w:rsidP="003978D5">
      <w:pPr>
        <w:pStyle w:val="Textonotapie"/>
        <w:ind w:firstLine="708"/>
        <w:jc w:val="both"/>
        <w:rPr>
          <w:rFonts w:ascii="Verdana" w:hAnsi="Verdana"/>
          <w:sz w:val="14"/>
          <w:szCs w:val="14"/>
          <w:lang w:val="pt-BR"/>
        </w:rPr>
      </w:pPr>
      <w:r w:rsidRPr="005E7090">
        <w:rPr>
          <w:rStyle w:val="Refdenotaalpie"/>
          <w:rFonts w:ascii="Verdana" w:hAnsi="Verdana"/>
          <w:sz w:val="14"/>
          <w:szCs w:val="14"/>
        </w:rPr>
        <w:footnoteRef/>
      </w:r>
      <w:r w:rsidRPr="005E7090">
        <w:rPr>
          <w:rFonts w:ascii="Verdana" w:hAnsi="Verdana"/>
          <w:sz w:val="14"/>
          <w:szCs w:val="14"/>
        </w:rPr>
        <w:t xml:space="preserve"> CONSEJO DE ESTADO. Sección Tercera. Subsección A. Sentencia del 13 de noviembre de 2013. </w:t>
      </w:r>
      <w:r w:rsidRPr="005E7090">
        <w:rPr>
          <w:rFonts w:ascii="Verdana" w:hAnsi="Verdana"/>
          <w:sz w:val="14"/>
          <w:szCs w:val="14"/>
          <w:lang w:val="pt-BR"/>
        </w:rPr>
        <w:t xml:space="preserve">Rad. 25.646. C.P. Mauricio Fajardo Gómez.  </w:t>
      </w:r>
    </w:p>
    <w:p w14:paraId="2179D230" w14:textId="77777777" w:rsidR="003978D5" w:rsidRPr="005E7090" w:rsidRDefault="003978D5" w:rsidP="003978D5">
      <w:pPr>
        <w:pStyle w:val="Textonotapie"/>
        <w:jc w:val="both"/>
        <w:rPr>
          <w:rFonts w:ascii="Verdana" w:hAnsi="Verdana"/>
          <w:sz w:val="14"/>
          <w:szCs w:val="14"/>
          <w:lang w:val="pt-BR"/>
        </w:rPr>
      </w:pPr>
    </w:p>
  </w:footnote>
  <w:footnote w:id="4">
    <w:p w14:paraId="5981464A" w14:textId="77777777" w:rsidR="003978D5" w:rsidRPr="005E7090" w:rsidRDefault="003978D5" w:rsidP="003978D5">
      <w:pPr>
        <w:pStyle w:val="Textonotapie"/>
        <w:ind w:firstLine="708"/>
        <w:jc w:val="both"/>
        <w:rPr>
          <w:rFonts w:ascii="Verdana" w:hAnsi="Verdana"/>
          <w:sz w:val="14"/>
          <w:szCs w:val="14"/>
          <w:lang w:val="pt-BR"/>
        </w:rPr>
      </w:pPr>
      <w:r w:rsidRPr="005E7090">
        <w:rPr>
          <w:rStyle w:val="Refdenotaalpie"/>
          <w:rFonts w:ascii="Verdana" w:hAnsi="Verdana"/>
          <w:sz w:val="14"/>
          <w:szCs w:val="14"/>
        </w:rPr>
        <w:footnoteRef/>
      </w:r>
      <w:r w:rsidRPr="005E7090">
        <w:rPr>
          <w:rFonts w:ascii="Verdana" w:hAnsi="Verdana"/>
          <w:sz w:val="14"/>
          <w:szCs w:val="14"/>
          <w:lang w:val="pt-BR"/>
        </w:rPr>
        <w:t xml:space="preserve"> CORTE CONSTITUCIONAL. Sentencia C-415 de 1994. M.P. Eduardo Cifuentes Muñoz.</w:t>
      </w:r>
    </w:p>
  </w:footnote>
  <w:footnote w:id="5">
    <w:p w14:paraId="4F727054" w14:textId="77777777" w:rsidR="003978D5" w:rsidRPr="005E7090" w:rsidRDefault="003978D5" w:rsidP="003978D5">
      <w:pPr>
        <w:pStyle w:val="Textonotapie"/>
        <w:ind w:firstLine="708"/>
        <w:jc w:val="both"/>
        <w:rPr>
          <w:rFonts w:ascii="Verdana" w:hAnsi="Verdana"/>
          <w:sz w:val="14"/>
          <w:szCs w:val="14"/>
          <w:lang w:val="pt-BR"/>
        </w:rPr>
      </w:pPr>
      <w:r w:rsidRPr="005E7090">
        <w:rPr>
          <w:rStyle w:val="Refdenotaalpie"/>
          <w:rFonts w:ascii="Verdana" w:hAnsi="Verdana"/>
          <w:sz w:val="14"/>
          <w:szCs w:val="14"/>
        </w:rPr>
        <w:footnoteRef/>
      </w:r>
      <w:r w:rsidRPr="005E7090">
        <w:rPr>
          <w:rFonts w:ascii="Verdana" w:hAnsi="Verdana"/>
          <w:sz w:val="14"/>
          <w:szCs w:val="14"/>
          <w:lang w:val="pt-BR"/>
        </w:rPr>
        <w:t xml:space="preserve"> Ibídem.</w:t>
      </w:r>
    </w:p>
    <w:p w14:paraId="744C327C" w14:textId="77777777" w:rsidR="003978D5" w:rsidRPr="005E7090" w:rsidRDefault="003978D5" w:rsidP="003978D5">
      <w:pPr>
        <w:pStyle w:val="Textonotapie"/>
        <w:jc w:val="both"/>
        <w:rPr>
          <w:rFonts w:ascii="Verdana" w:hAnsi="Verdana"/>
          <w:sz w:val="14"/>
          <w:szCs w:val="14"/>
          <w:lang w:val="pt-BR"/>
        </w:rPr>
      </w:pPr>
    </w:p>
  </w:footnote>
  <w:footnote w:id="6">
    <w:p w14:paraId="2A39B56F" w14:textId="77777777" w:rsidR="003978D5" w:rsidRPr="005E7090" w:rsidRDefault="003978D5" w:rsidP="003978D5">
      <w:pPr>
        <w:pStyle w:val="Textonotapie"/>
        <w:ind w:firstLine="708"/>
        <w:jc w:val="both"/>
        <w:rPr>
          <w:rFonts w:ascii="Verdana" w:hAnsi="Verdana"/>
          <w:sz w:val="14"/>
          <w:szCs w:val="14"/>
          <w:lang w:val="es-CO"/>
        </w:rPr>
      </w:pPr>
      <w:r w:rsidRPr="005E7090">
        <w:rPr>
          <w:rStyle w:val="Refdenotaalpie"/>
          <w:rFonts w:ascii="Verdana" w:hAnsi="Verdana"/>
          <w:sz w:val="14"/>
          <w:szCs w:val="14"/>
        </w:rPr>
        <w:footnoteRef/>
      </w:r>
      <w:r w:rsidRPr="005E7090">
        <w:rPr>
          <w:rFonts w:ascii="Verdana" w:hAnsi="Verdana"/>
          <w:sz w:val="14"/>
          <w:szCs w:val="14"/>
          <w:lang w:val="pt-BR"/>
        </w:rPr>
        <w:t xml:space="preserve"> CORTE CONSTITUCIONAL. </w:t>
      </w:r>
      <w:r w:rsidRPr="005E7090">
        <w:rPr>
          <w:rFonts w:ascii="Verdana" w:hAnsi="Verdana"/>
          <w:sz w:val="14"/>
          <w:szCs w:val="14"/>
        </w:rPr>
        <w:t xml:space="preserve">Sentencia C-780 de 2001. </w:t>
      </w:r>
      <w:r w:rsidRPr="005E7090">
        <w:rPr>
          <w:rFonts w:ascii="Verdana" w:hAnsi="Verdana"/>
          <w:sz w:val="14"/>
          <w:szCs w:val="14"/>
          <w:lang w:val="es-CO"/>
        </w:rPr>
        <w:t xml:space="preserve">M.P. Jaime Córdoba Triviño. </w:t>
      </w:r>
    </w:p>
    <w:p w14:paraId="02F23CDE" w14:textId="77777777" w:rsidR="003978D5" w:rsidRPr="005E7090" w:rsidRDefault="003978D5" w:rsidP="003978D5">
      <w:pPr>
        <w:pStyle w:val="Textonotapie"/>
        <w:jc w:val="both"/>
        <w:rPr>
          <w:rFonts w:ascii="Verdana" w:hAnsi="Verdana"/>
          <w:sz w:val="14"/>
          <w:szCs w:val="14"/>
          <w:lang w:val="es-CO"/>
        </w:rPr>
      </w:pPr>
    </w:p>
  </w:footnote>
  <w:footnote w:id="7">
    <w:p w14:paraId="2215C673" w14:textId="77777777" w:rsidR="003978D5" w:rsidRPr="005E7090" w:rsidRDefault="003978D5" w:rsidP="003978D5">
      <w:pPr>
        <w:pStyle w:val="NormalWeb"/>
        <w:spacing w:before="0" w:beforeAutospacing="0" w:after="0" w:afterAutospacing="0"/>
        <w:ind w:firstLine="708"/>
        <w:jc w:val="both"/>
        <w:rPr>
          <w:rFonts w:ascii="Verdana" w:eastAsia="Calibri" w:hAnsi="Verdana" w:cs="Arial"/>
          <w:sz w:val="14"/>
          <w:szCs w:val="14"/>
          <w:lang w:val="es-ES" w:eastAsia="en-US"/>
        </w:rPr>
      </w:pPr>
      <w:r w:rsidRPr="005E7090">
        <w:rPr>
          <w:rStyle w:val="Refdenotaalpie"/>
          <w:rFonts w:ascii="Verdana" w:hAnsi="Verdana"/>
          <w:sz w:val="14"/>
          <w:szCs w:val="14"/>
        </w:rPr>
        <w:footnoteRef/>
      </w:r>
      <w:r w:rsidRPr="005E7090">
        <w:rPr>
          <w:rFonts w:ascii="Verdana" w:hAnsi="Verdana"/>
          <w:sz w:val="14"/>
          <w:szCs w:val="14"/>
        </w:rPr>
        <w:t xml:space="preserve"> </w:t>
      </w:r>
      <w:r w:rsidRPr="005E7090">
        <w:rPr>
          <w:rFonts w:ascii="Verdana" w:eastAsia="Calibri" w:hAnsi="Verdana" w:cs="Arial"/>
          <w:sz w:val="14"/>
          <w:szCs w:val="14"/>
          <w:lang w:val="es-ES" w:eastAsia="en-US"/>
        </w:rPr>
        <w:t>Ley 80 de 1993: “Artículo 8: 1o. Son inhábiles para participar en licitaciones o concursos y para celebrar contratos con las entidades estatales: </w:t>
      </w:r>
    </w:p>
    <w:p w14:paraId="386AED4A"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a) Las personas que se hallen inhabilitadas para contratar por la Constitución y las leyes. </w:t>
      </w:r>
    </w:p>
    <w:p w14:paraId="791E139C"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b) Quienes participaron en las licitaciones o concursos o celebraron los contratos de que trata el literal anterior estando inhabilitados. </w:t>
      </w:r>
    </w:p>
    <w:p w14:paraId="11E33ED0"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c) Quienes dieron lugar a la declaratoria de caducidad. </w:t>
      </w:r>
    </w:p>
    <w:p w14:paraId="55ED5DD8"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d) Quienes en sentencia judicial hayan sido condenados a la pena accesoria de interdicción de derechos y funciones públicas y quienes hayan sido sancionados disciplinariamente con destitución. </w:t>
      </w:r>
    </w:p>
    <w:p w14:paraId="0E360EB9"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e) Quienes sin justa causa se abstengan de suscribir el contrato estatal adjudicado. </w:t>
      </w:r>
    </w:p>
    <w:p w14:paraId="4ADF8E39"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f) Los servidores públicos. </w:t>
      </w:r>
    </w:p>
    <w:p w14:paraId="7D5FF154"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g) Quienes sean cónyuges o compañeros permanentes y quienes se encuentren dentro del segundo grado de consanguinidad o segundo de afinidad con cualquier otra persona que formalmente haya presentado propuesta para una misma licitación o concurso. </w:t>
      </w:r>
    </w:p>
    <w:p w14:paraId="64BA0E70" w14:textId="77777777" w:rsidR="003978D5" w:rsidRPr="005E7090" w:rsidRDefault="003978D5" w:rsidP="003978D5">
      <w:pPr>
        <w:pStyle w:val="NormalWeb"/>
        <w:spacing w:before="0" w:beforeAutospacing="0" w:after="0" w:afterAutospacing="0"/>
        <w:ind w:firstLine="708"/>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h)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 </w:t>
      </w:r>
    </w:p>
    <w:p w14:paraId="50C8C052"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i) Los socios de sociedades de personas a las cuales se haya declarado la caducidad, así como las sociedades de personas de las que aquellos formen parte con posterioridad a dicha declaratoria. </w:t>
      </w:r>
    </w:p>
    <w:p w14:paraId="4086D744"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Las inhabilidades a que se refieren los literales c), d) e i) se extenderán por un término de cinco (5) años contado a partir de la fecha de ejecutoria del acto que declaró la caducidad, o de la sentencia que impuso la pena, o del 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 firma. </w:t>
      </w:r>
    </w:p>
    <w:p w14:paraId="0FFD1E81"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j) 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w:t>
      </w:r>
    </w:p>
    <w:p w14:paraId="7C87E352"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Esta inhabilidad procederá preventivamente aún en los casos en los que esté pendiente la decisión sobre la impugnación de la sentencia condenatoria. Asimismo, la inhabilidad se extenderá a las sociedades de las que hagan parte dichas personas en calidad de administradores, represen</w:t>
      </w:r>
      <w:r w:rsidRPr="005E7090">
        <w:rPr>
          <w:rFonts w:ascii="Verdana" w:eastAsia="Calibri" w:hAnsi="Verdana" w:cs="Arial"/>
          <w:sz w:val="14"/>
          <w:szCs w:val="14"/>
          <w:lang w:val="es-ES" w:eastAsia="en-US"/>
        </w:rPr>
        <w:softHyphen/>
        <w:t>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w:t>
      </w:r>
      <w:r w:rsidRPr="005E7090">
        <w:rPr>
          <w:rFonts w:ascii="Verdana" w:eastAsia="Calibri" w:hAnsi="Verdana" w:cs="Arial"/>
          <w:sz w:val="14"/>
          <w:szCs w:val="14"/>
          <w:lang w:val="es-ES" w:eastAsia="en-US"/>
        </w:rPr>
        <w:softHyphen/>
        <w:t>cepción de las sociedades anónimas abiertas. También se considerarán inhabilitadas para contratar, las personas jurídicas sobre las cuales se haya ordenado la suspensión de la perso</w:t>
      </w:r>
      <w:r w:rsidRPr="005E7090">
        <w:rPr>
          <w:rFonts w:ascii="Verdana" w:eastAsia="Calibri" w:hAnsi="Verdana" w:cs="Arial"/>
          <w:sz w:val="14"/>
          <w:szCs w:val="14"/>
          <w:lang w:val="es-ES" w:eastAsia="en-US"/>
        </w:rPr>
        <w:softHyphen/>
        <w:t>nería jurídica en los términos de ley, o cuyos representantes legales, ad</w:t>
      </w:r>
      <w:r w:rsidRPr="005E7090">
        <w:rPr>
          <w:rFonts w:ascii="Verdana" w:eastAsia="Calibri" w:hAnsi="Verdana" w:cs="Arial"/>
          <w:sz w:val="14"/>
          <w:szCs w:val="14"/>
          <w:lang w:val="es-ES" w:eastAsia="en-US"/>
        </w:rPr>
        <w:softHyphen/>
        <w:t>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  La inhabilidad prevista en este literal se extenderá de forma perma</w:t>
      </w:r>
      <w:r w:rsidRPr="005E7090">
        <w:rPr>
          <w:rFonts w:ascii="Verdana" w:eastAsia="Calibri" w:hAnsi="Verdana" w:cs="Arial"/>
          <w:sz w:val="14"/>
          <w:szCs w:val="14"/>
          <w:lang w:val="es-ES" w:eastAsia="en-US"/>
        </w:rPr>
        <w:softHyphen/>
        <w:t>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 </w:t>
      </w:r>
    </w:p>
    <w:p w14:paraId="0428C44B"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w:t>
      </w:r>
    </w:p>
    <w:p w14:paraId="2AFF1C55" w14:textId="77777777" w:rsidR="003978D5" w:rsidRPr="005E7090" w:rsidRDefault="003978D5" w:rsidP="003978D5">
      <w:pPr>
        <w:pStyle w:val="NormalWeb"/>
        <w:spacing w:before="0" w:beforeAutospacing="0" w:after="0" w:afterAutospacing="0"/>
        <w:ind w:firstLine="708"/>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2o. Tampoco podrán participar en licitaciones o concursos ni celebrar contratos estatales con la entidad respectiva: </w:t>
      </w:r>
    </w:p>
    <w:p w14:paraId="17EEAD5E"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a) Quienes fueron miembros de la junta o consejo directivo o servidores públicos de la entidad contratante. Esta incompatibilidad solo comprende a quienes desempeñaron funciones en los niveles directivo, asesor o ejecutivo y se extiende por el término de un (1) año, contado a partir de la fecha del retiro. </w:t>
      </w:r>
    </w:p>
    <w:p w14:paraId="3A7DA360"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b)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w:t>
      </w:r>
    </w:p>
    <w:p w14:paraId="00F16482"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c) El cónyuge, compañero o compañera permanente del servidor público en los niveles directivo, asesor, ejecutivo, o de un miembro de la junta o consejo directivo, o de quien ejerza funciones de control interno o de control fiscal. </w:t>
      </w:r>
    </w:p>
    <w:p w14:paraId="47A97F68"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d)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w:t>
      </w:r>
    </w:p>
    <w:p w14:paraId="4C898AC1" w14:textId="77777777" w:rsidR="003978D5" w:rsidRPr="005E7090" w:rsidRDefault="003978D5" w:rsidP="003978D5">
      <w:pPr>
        <w:pStyle w:val="NormalWeb"/>
        <w:spacing w:before="0" w:beforeAutospacing="0" w:after="0" w:afterAutospacing="0"/>
        <w:jc w:val="both"/>
        <w:rPr>
          <w:rFonts w:ascii="Verdana" w:eastAsia="Calibri" w:hAnsi="Verdana" w:cs="Arial"/>
          <w:sz w:val="14"/>
          <w:szCs w:val="14"/>
          <w:lang w:val="es-ES" w:eastAsia="en-US"/>
        </w:rPr>
      </w:pPr>
      <w:r w:rsidRPr="005E7090">
        <w:rPr>
          <w:rFonts w:ascii="Verdana" w:eastAsia="Calibri" w:hAnsi="Verdana" w:cs="Arial"/>
          <w:sz w:val="14"/>
          <w:szCs w:val="14"/>
          <w:lang w:val="es-ES" w:eastAsia="en-US"/>
        </w:rPr>
        <w:t>  </w:t>
      </w:r>
      <w:r w:rsidRPr="005E7090">
        <w:rPr>
          <w:rFonts w:ascii="Verdana" w:eastAsia="Calibri" w:hAnsi="Verdana" w:cs="Arial"/>
          <w:sz w:val="14"/>
          <w:szCs w:val="14"/>
          <w:lang w:val="es-ES" w:eastAsia="en-US"/>
        </w:rPr>
        <w:tab/>
        <w:t>e) Los miembros de las juntas o consejos directivos. Esta incompatibilidad sólo se predica respecto de la entidad a la cual prestan sus servicios y de las del sector administrativo al que la misma esté adscrita o vinculada. </w:t>
      </w:r>
    </w:p>
    <w:p w14:paraId="539CE87A" w14:textId="77777777" w:rsidR="003978D5" w:rsidRPr="005E7090" w:rsidRDefault="003978D5" w:rsidP="003978D5">
      <w:pPr>
        <w:pStyle w:val="NormalWeb"/>
        <w:spacing w:before="0" w:beforeAutospacing="0" w:after="0" w:afterAutospacing="0"/>
        <w:ind w:firstLine="708"/>
        <w:jc w:val="both"/>
        <w:rPr>
          <w:rFonts w:ascii="Verdana" w:eastAsia="Calibri" w:hAnsi="Verdana" w:cs="Arial"/>
          <w:sz w:val="14"/>
          <w:szCs w:val="14"/>
          <w:lang w:val="pt-BR" w:eastAsia="en-US"/>
        </w:rPr>
      </w:pPr>
      <w:r w:rsidRPr="005E7090">
        <w:rPr>
          <w:rFonts w:ascii="Verdana" w:eastAsia="Calibri" w:hAnsi="Verdana" w:cs="Arial"/>
          <w:sz w:val="14"/>
          <w:szCs w:val="14"/>
          <w:lang w:val="es-ES" w:eastAsia="en-US"/>
        </w:rPr>
        <w:t xml:space="preserve">f)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Esta incompatibilidad también operará para las personas que se encuentren dentro del primer grado de consanguinidad, primero de afinidad, o primero civil del ex empleado público”. </w:t>
      </w:r>
      <w:r w:rsidRPr="005E7090">
        <w:rPr>
          <w:rFonts w:ascii="Verdana" w:eastAsia="Calibri" w:hAnsi="Verdana" w:cs="Arial"/>
          <w:sz w:val="14"/>
          <w:szCs w:val="14"/>
          <w:lang w:val="pt-BR" w:eastAsia="en-US"/>
        </w:rPr>
        <w:t xml:space="preserve">(…). </w:t>
      </w:r>
    </w:p>
    <w:p w14:paraId="458F6C68" w14:textId="77777777" w:rsidR="003978D5" w:rsidRPr="005E7090" w:rsidRDefault="003978D5" w:rsidP="003978D5">
      <w:pPr>
        <w:pStyle w:val="Textonotapie"/>
        <w:jc w:val="both"/>
        <w:rPr>
          <w:rFonts w:ascii="Verdana" w:hAnsi="Verdana"/>
          <w:sz w:val="14"/>
          <w:szCs w:val="14"/>
          <w:lang w:val="pt-BR"/>
        </w:rPr>
      </w:pPr>
    </w:p>
  </w:footnote>
  <w:footnote w:id="8">
    <w:p w14:paraId="2A3EB4B0" w14:textId="77777777" w:rsidR="003978D5" w:rsidRPr="005E7090" w:rsidRDefault="003978D5" w:rsidP="003978D5">
      <w:pPr>
        <w:pStyle w:val="Textonotapie"/>
        <w:ind w:firstLine="708"/>
        <w:jc w:val="both"/>
        <w:rPr>
          <w:rFonts w:ascii="Verdana" w:hAnsi="Verdana"/>
          <w:sz w:val="14"/>
          <w:szCs w:val="14"/>
          <w:lang w:val="pt-BR"/>
        </w:rPr>
      </w:pPr>
      <w:r w:rsidRPr="005E7090">
        <w:rPr>
          <w:rStyle w:val="Refdenotaalpie"/>
          <w:rFonts w:ascii="Verdana" w:hAnsi="Verdana"/>
          <w:sz w:val="14"/>
          <w:szCs w:val="14"/>
        </w:rPr>
        <w:footnoteRef/>
      </w:r>
      <w:r w:rsidRPr="005E7090">
        <w:rPr>
          <w:rFonts w:ascii="Verdana" w:hAnsi="Verdana"/>
          <w:sz w:val="14"/>
          <w:szCs w:val="14"/>
          <w:lang w:val="pt-BR"/>
        </w:rPr>
        <w:t xml:space="preserve"> </w:t>
      </w:r>
      <w:r w:rsidRPr="005E7090">
        <w:rPr>
          <w:rFonts w:ascii="Verdana" w:hAnsi="Verdana" w:cs="Arial"/>
          <w:sz w:val="14"/>
          <w:szCs w:val="14"/>
          <w:lang w:val="pt-BR"/>
        </w:rPr>
        <w:t>Ibídem. p. 69.</w:t>
      </w:r>
    </w:p>
  </w:footnote>
  <w:footnote w:id="9">
    <w:p w14:paraId="42A694C9" w14:textId="77777777" w:rsidR="003978D5" w:rsidRPr="005E7090" w:rsidRDefault="003978D5" w:rsidP="003978D5">
      <w:pPr>
        <w:pStyle w:val="Textonotapie"/>
        <w:ind w:firstLine="708"/>
        <w:jc w:val="both"/>
        <w:rPr>
          <w:rFonts w:ascii="Verdana" w:hAnsi="Verdana" w:cs="Arial"/>
          <w:sz w:val="14"/>
          <w:szCs w:val="14"/>
          <w:lang w:val="es-ES"/>
        </w:rPr>
      </w:pPr>
      <w:r w:rsidRPr="005E7090">
        <w:rPr>
          <w:rStyle w:val="Refdenotaalpie"/>
          <w:rFonts w:ascii="Verdana" w:hAnsi="Verdana"/>
          <w:sz w:val="14"/>
          <w:szCs w:val="14"/>
        </w:rPr>
        <w:footnoteRef/>
      </w:r>
      <w:r w:rsidRPr="005E7090">
        <w:rPr>
          <w:rFonts w:ascii="Verdana" w:hAnsi="Verdana"/>
          <w:sz w:val="14"/>
          <w:szCs w:val="14"/>
          <w:lang w:val="pt-BR"/>
        </w:rPr>
        <w:t xml:space="preserve"> </w:t>
      </w:r>
      <w:r w:rsidRPr="005E7090">
        <w:rPr>
          <w:rFonts w:ascii="Verdana" w:hAnsi="Verdana" w:cs="Arial"/>
          <w:sz w:val="14"/>
          <w:szCs w:val="14"/>
          <w:lang w:val="pt-BR"/>
        </w:rPr>
        <w:t xml:space="preserve">CORTE CONSTITUCIONAL. Sentencia T-1039 de 2006. M.P. Humberto Sierra Porto. </w:t>
      </w:r>
      <w:r w:rsidRPr="005E7090">
        <w:rPr>
          <w:rFonts w:ascii="Verdana" w:hAnsi="Verdana" w:cs="Arial"/>
          <w:sz w:val="14"/>
          <w:szCs w:val="14"/>
          <w:lang w:val="es-ES"/>
        </w:rPr>
        <w:t xml:space="preserve">La Corte Constitucional ha mantenido este criterio en las sentencias: C-903 de 2008. M.P. Jaime Araujo Rentería; C-101 de 2018. M.P. Gloria Stella Ortiz Delgado; entre otras. </w:t>
      </w:r>
    </w:p>
    <w:p w14:paraId="0BA6BC7D" w14:textId="77777777" w:rsidR="003978D5" w:rsidRPr="005E7090" w:rsidRDefault="003978D5" w:rsidP="003978D5">
      <w:pPr>
        <w:pStyle w:val="Textonotapie"/>
        <w:jc w:val="both"/>
        <w:rPr>
          <w:rFonts w:ascii="Verdana" w:hAnsi="Verdana" w:cs="Arial"/>
          <w:sz w:val="14"/>
          <w:szCs w:val="14"/>
          <w:lang w:val="es-ES"/>
        </w:rPr>
      </w:pPr>
    </w:p>
  </w:footnote>
  <w:footnote w:id="10">
    <w:p w14:paraId="1699B63E" w14:textId="77777777" w:rsidR="003978D5" w:rsidRPr="005E7090" w:rsidRDefault="003978D5" w:rsidP="003978D5">
      <w:pPr>
        <w:pStyle w:val="Textonotapie"/>
        <w:ind w:firstLine="708"/>
        <w:jc w:val="both"/>
        <w:rPr>
          <w:rFonts w:ascii="Verdana" w:hAnsi="Verdana" w:cs="Arial"/>
          <w:sz w:val="14"/>
          <w:szCs w:val="14"/>
          <w:lang w:val="es-ES"/>
        </w:rPr>
      </w:pPr>
      <w:r w:rsidRPr="005E7090">
        <w:rPr>
          <w:rStyle w:val="Refdenotaalpie"/>
          <w:rFonts w:ascii="Verdana" w:hAnsi="Verdana"/>
          <w:sz w:val="14"/>
          <w:szCs w:val="14"/>
        </w:rPr>
        <w:footnoteRef/>
      </w:r>
      <w:r w:rsidRPr="005E7090">
        <w:rPr>
          <w:rFonts w:ascii="Verdana" w:hAnsi="Verdana"/>
          <w:sz w:val="14"/>
          <w:szCs w:val="14"/>
        </w:rPr>
        <w:t xml:space="preserve"> </w:t>
      </w:r>
      <w:r w:rsidRPr="005E7090">
        <w:rPr>
          <w:rFonts w:ascii="Verdana" w:hAnsi="Verdana" w:cs="Arial"/>
          <w:sz w:val="14"/>
          <w:szCs w:val="14"/>
          <w:lang w:val="es-ES"/>
        </w:rPr>
        <w:t>CONSEJO DE ESTADO. Sala de Consulta y Servicio Civil. Concepto del 30 de abril de 2015. Exp. 2251. C.P. Álvaro Namén Vargas.</w:t>
      </w:r>
    </w:p>
    <w:p w14:paraId="21F13028" w14:textId="77777777" w:rsidR="003978D5" w:rsidRPr="005E7090" w:rsidRDefault="003978D5" w:rsidP="003978D5">
      <w:pPr>
        <w:pStyle w:val="Textonotapie"/>
        <w:jc w:val="both"/>
        <w:rPr>
          <w:rFonts w:ascii="Verdana" w:hAnsi="Verdana"/>
          <w:sz w:val="14"/>
          <w:szCs w:val="14"/>
          <w:lang w:val="es-ES_tradnl"/>
        </w:rPr>
      </w:pPr>
    </w:p>
  </w:footnote>
  <w:footnote w:id="11">
    <w:p w14:paraId="3CD13AE2" w14:textId="77777777" w:rsidR="003978D5" w:rsidRPr="005E7090" w:rsidRDefault="003978D5" w:rsidP="003978D5">
      <w:pPr>
        <w:pStyle w:val="Textonotapie"/>
        <w:ind w:firstLine="708"/>
        <w:jc w:val="both"/>
        <w:rPr>
          <w:rFonts w:ascii="Verdana" w:hAnsi="Verdana" w:cs="Arial"/>
          <w:sz w:val="14"/>
          <w:szCs w:val="14"/>
        </w:rPr>
      </w:pPr>
      <w:r w:rsidRPr="005E7090">
        <w:rPr>
          <w:rStyle w:val="Refdenotaalpie"/>
          <w:rFonts w:ascii="Verdana" w:hAnsi="Verdana"/>
          <w:sz w:val="14"/>
          <w:szCs w:val="14"/>
        </w:rPr>
        <w:footnoteRef/>
      </w:r>
      <w:r w:rsidRPr="005E7090">
        <w:rPr>
          <w:rFonts w:ascii="Verdana" w:hAnsi="Verdana"/>
          <w:sz w:val="14"/>
          <w:szCs w:val="14"/>
        </w:rPr>
        <w:t xml:space="preserve"> </w:t>
      </w:r>
      <w:r w:rsidRPr="005E7090">
        <w:rPr>
          <w:rFonts w:ascii="Verdana" w:hAnsi="Verdana" w:cs="Arial"/>
          <w:sz w:val="14"/>
          <w:szCs w:val="14"/>
        </w:rPr>
        <w:t>CONSEJO DE ESTADO. Sección Tercera. Subsección A. Sentencia del 24 de junio de 2015. Exp. 40.635. C.P. Hernán Andrade Rincón (E).</w:t>
      </w:r>
    </w:p>
    <w:p w14:paraId="41CCCD76" w14:textId="77777777" w:rsidR="003978D5" w:rsidRPr="005E7090" w:rsidRDefault="003978D5" w:rsidP="003978D5">
      <w:pPr>
        <w:pStyle w:val="Textonotapie"/>
        <w:jc w:val="both"/>
        <w:rPr>
          <w:rFonts w:ascii="Verdana" w:hAnsi="Verdana"/>
          <w:sz w:val="14"/>
          <w:szCs w:val="14"/>
          <w:lang w:val="es-ES_tradnl"/>
        </w:rPr>
      </w:pPr>
    </w:p>
  </w:footnote>
  <w:footnote w:id="12">
    <w:p w14:paraId="68F30E24" w14:textId="77777777" w:rsidR="003978D5" w:rsidRPr="005E7090" w:rsidRDefault="003978D5" w:rsidP="003978D5">
      <w:pPr>
        <w:pStyle w:val="Textonotapie"/>
        <w:ind w:firstLine="708"/>
        <w:jc w:val="both"/>
        <w:rPr>
          <w:rFonts w:ascii="Verdana" w:hAnsi="Verdana"/>
          <w:sz w:val="14"/>
          <w:szCs w:val="14"/>
          <w:lang w:val="es-ES_tradnl"/>
        </w:rPr>
      </w:pPr>
      <w:r w:rsidRPr="005E7090">
        <w:rPr>
          <w:rStyle w:val="Refdenotaalpie"/>
          <w:rFonts w:ascii="Verdana" w:hAnsi="Verdana"/>
          <w:sz w:val="14"/>
          <w:szCs w:val="14"/>
        </w:rPr>
        <w:footnoteRef/>
      </w:r>
      <w:r w:rsidRPr="005E7090">
        <w:rPr>
          <w:rFonts w:ascii="Verdana" w:hAnsi="Verdana"/>
          <w:sz w:val="14"/>
          <w:szCs w:val="14"/>
        </w:rPr>
        <w:t xml:space="preserve"> </w:t>
      </w:r>
      <w:r w:rsidRPr="005E7090">
        <w:rPr>
          <w:rFonts w:ascii="Verdana" w:hAnsi="Verdana" w:cs="Arial"/>
          <w:sz w:val="14"/>
          <w:szCs w:val="14"/>
        </w:rPr>
        <w:t>CONSEJO DE ESTADO. Sección Tercera. Subsección C. Sentencia del 22 de mayo de 2013. Rad. 24.057. C.P. Olga Mélida Valle De De La Hoz.</w:t>
      </w:r>
    </w:p>
  </w:footnote>
  <w:footnote w:id="13">
    <w:p w14:paraId="4F7278F5" w14:textId="77777777" w:rsidR="003978D5" w:rsidRPr="005E7090" w:rsidRDefault="003978D5" w:rsidP="003978D5">
      <w:pPr>
        <w:pStyle w:val="Textonotapie"/>
        <w:ind w:firstLine="708"/>
        <w:jc w:val="both"/>
        <w:rPr>
          <w:rFonts w:ascii="Verdana" w:hAnsi="Verdana" w:cs="Arial"/>
          <w:sz w:val="14"/>
          <w:szCs w:val="14"/>
          <w:lang w:val="pt-BR"/>
        </w:rPr>
      </w:pPr>
      <w:r w:rsidRPr="005E7090">
        <w:rPr>
          <w:rStyle w:val="Refdenotaalpie"/>
          <w:rFonts w:ascii="Verdana" w:hAnsi="Verdana"/>
          <w:sz w:val="14"/>
          <w:szCs w:val="14"/>
        </w:rPr>
        <w:footnoteRef/>
      </w:r>
      <w:r w:rsidRPr="005E7090">
        <w:rPr>
          <w:rFonts w:ascii="Verdana" w:hAnsi="Verdana"/>
          <w:sz w:val="14"/>
          <w:szCs w:val="14"/>
          <w:lang w:val="pt-BR"/>
        </w:rPr>
        <w:t xml:space="preserve"> </w:t>
      </w:r>
      <w:r w:rsidRPr="005E7090">
        <w:rPr>
          <w:rFonts w:ascii="Verdana" w:hAnsi="Verdana" w:cs="Arial"/>
          <w:sz w:val="14"/>
          <w:szCs w:val="14"/>
          <w:lang w:val="pt-BR"/>
        </w:rPr>
        <w:t>CORTE CONSTITUCIONAL. Sentencia C-415 de 1994. M.P. Eduardo Cifuentes Muñoz.</w:t>
      </w:r>
    </w:p>
    <w:p w14:paraId="75972ED6" w14:textId="77777777" w:rsidR="003978D5" w:rsidRPr="005E7090" w:rsidRDefault="003978D5" w:rsidP="003978D5">
      <w:pPr>
        <w:pStyle w:val="Textonotapie"/>
        <w:jc w:val="both"/>
        <w:rPr>
          <w:rFonts w:ascii="Verdana" w:hAnsi="Verdana"/>
          <w:sz w:val="14"/>
          <w:szCs w:val="14"/>
          <w:lang w:val="pt-BR"/>
        </w:rPr>
      </w:pPr>
    </w:p>
  </w:footnote>
  <w:footnote w:id="14">
    <w:p w14:paraId="43ECADCB" w14:textId="77777777" w:rsidR="003978D5" w:rsidRPr="005E7090" w:rsidRDefault="003978D5" w:rsidP="003978D5">
      <w:pPr>
        <w:pStyle w:val="Textonotapie"/>
        <w:ind w:firstLine="708"/>
        <w:jc w:val="both"/>
        <w:rPr>
          <w:rFonts w:ascii="Verdana" w:hAnsi="Verdana" w:cs="Arial"/>
          <w:color w:val="000000"/>
          <w:sz w:val="14"/>
          <w:szCs w:val="14"/>
        </w:rPr>
      </w:pPr>
      <w:r w:rsidRPr="005E7090">
        <w:rPr>
          <w:rStyle w:val="Refdenotaalpie"/>
          <w:rFonts w:ascii="Verdana" w:hAnsi="Verdana"/>
          <w:sz w:val="14"/>
          <w:szCs w:val="14"/>
        </w:rPr>
        <w:footnoteRef/>
      </w:r>
      <w:r w:rsidRPr="005E7090">
        <w:rPr>
          <w:rFonts w:ascii="Verdana" w:hAnsi="Verdana"/>
          <w:sz w:val="14"/>
          <w:szCs w:val="14"/>
          <w:lang w:val="pt-BR"/>
        </w:rPr>
        <w:t xml:space="preserve"> </w:t>
      </w:r>
      <w:r w:rsidRPr="005E7090">
        <w:rPr>
          <w:rFonts w:ascii="Verdana" w:hAnsi="Verdana" w:cs="Arial"/>
          <w:color w:val="000000"/>
          <w:sz w:val="14"/>
          <w:szCs w:val="14"/>
          <w:lang w:val="pt-BR"/>
        </w:rPr>
        <w:t xml:space="preserve">CONSEJO DE ESTADO. Sala de lo contencioso administrativo. Sentencia del 12 de diciembre de 2014. Exp. 26496. C.P. Ramiro Pazos Guerrero. </w:t>
      </w:r>
      <w:r w:rsidRPr="005E7090">
        <w:rPr>
          <w:rFonts w:ascii="Verdana" w:hAnsi="Verdana" w:cs="Arial"/>
          <w:color w:val="000000"/>
          <w:sz w:val="14"/>
          <w:szCs w:val="14"/>
        </w:rPr>
        <w:t>En similar sentido, la doctrina expresa que: “[…] las causales de inhabilidad e incompatibilidad resultan ser las que la ley de manera expresa señala, no siendo factible para las entidades estatales, crearlas en los pliegos de condiciones que elaboran (DAVILA VINUEZA, Luis Guillermo Régimen jurídico de la contratación estatal: aproximación crítica a Ley 80 de 1993. 3ª ed. Bogotá: Legis, 2016. p. 149.</w:t>
      </w:r>
    </w:p>
    <w:p w14:paraId="69D42DDE" w14:textId="77777777" w:rsidR="003978D5" w:rsidRPr="005E7090" w:rsidRDefault="003978D5" w:rsidP="003978D5">
      <w:pPr>
        <w:pStyle w:val="Textonotapie"/>
        <w:jc w:val="both"/>
        <w:rPr>
          <w:rFonts w:ascii="Verdana" w:hAnsi="Verdana"/>
          <w:sz w:val="14"/>
          <w:szCs w:val="14"/>
          <w:lang w:val="es-ES_tradnl"/>
        </w:rPr>
      </w:pPr>
    </w:p>
  </w:footnote>
  <w:footnote w:id="15">
    <w:p w14:paraId="0BF097C9" w14:textId="77777777" w:rsidR="003978D5" w:rsidRPr="005E7090" w:rsidRDefault="003978D5" w:rsidP="003978D5">
      <w:pPr>
        <w:pStyle w:val="Textonotapie"/>
        <w:ind w:firstLine="708"/>
        <w:jc w:val="both"/>
        <w:rPr>
          <w:rFonts w:ascii="Verdana" w:hAnsi="Verdana" w:cs="Arial"/>
          <w:color w:val="000000"/>
          <w:sz w:val="14"/>
          <w:szCs w:val="14"/>
        </w:rPr>
      </w:pPr>
      <w:r w:rsidRPr="005E7090">
        <w:rPr>
          <w:rStyle w:val="Refdenotaalpie"/>
          <w:rFonts w:ascii="Verdana" w:hAnsi="Verdana"/>
          <w:sz w:val="14"/>
          <w:szCs w:val="14"/>
        </w:rPr>
        <w:footnoteRef/>
      </w:r>
      <w:r w:rsidRPr="005E7090">
        <w:rPr>
          <w:rFonts w:ascii="Verdana" w:hAnsi="Verdana"/>
          <w:sz w:val="14"/>
          <w:szCs w:val="14"/>
        </w:rPr>
        <w:t xml:space="preserve"> </w:t>
      </w:r>
      <w:r w:rsidRPr="005E7090">
        <w:rPr>
          <w:rFonts w:ascii="Verdana" w:hAnsi="Verdana" w:cs="Arial"/>
          <w:color w:val="000000"/>
          <w:sz w:val="14"/>
          <w:szCs w:val="14"/>
        </w:rPr>
        <w:t>CONSEJO DE ESTADO. Sala de Consulta y Servicio Civil. Concepto del 29 de abril de 1998. Rad. 1097. C.P. Augusto Trejos Jaramillo.</w:t>
      </w:r>
    </w:p>
    <w:p w14:paraId="27FBB058" w14:textId="77777777" w:rsidR="003978D5" w:rsidRPr="005E7090" w:rsidRDefault="003978D5" w:rsidP="003978D5">
      <w:pPr>
        <w:pStyle w:val="Textonotapie"/>
        <w:ind w:firstLine="708"/>
        <w:jc w:val="both"/>
        <w:rPr>
          <w:rFonts w:ascii="Verdana" w:hAnsi="Verdana"/>
          <w:sz w:val="14"/>
          <w:szCs w:val="14"/>
          <w:lang w:val="es-ES_tradnl"/>
        </w:rPr>
      </w:pPr>
    </w:p>
  </w:footnote>
  <w:footnote w:id="16">
    <w:p w14:paraId="7DA8EDE4" w14:textId="77777777" w:rsidR="003978D5" w:rsidRPr="005E7090" w:rsidRDefault="003978D5" w:rsidP="003978D5">
      <w:pPr>
        <w:widowControl w:val="0"/>
        <w:autoSpaceDE w:val="0"/>
        <w:autoSpaceDN w:val="0"/>
        <w:spacing w:after="0"/>
        <w:ind w:firstLine="707"/>
        <w:jc w:val="both"/>
        <w:rPr>
          <w:rFonts w:ascii="Verdana" w:eastAsia="Arial" w:hAnsi="Verdana" w:cs="Arial"/>
          <w:sz w:val="14"/>
          <w:szCs w:val="14"/>
          <w:lang w:val="es-ES"/>
        </w:rPr>
      </w:pPr>
      <w:r w:rsidRPr="005E7090">
        <w:rPr>
          <w:rStyle w:val="Refdenotaalpie"/>
          <w:rFonts w:ascii="Verdana" w:hAnsi="Verdana" w:cs="Arial"/>
          <w:sz w:val="14"/>
          <w:szCs w:val="14"/>
        </w:rPr>
        <w:footnoteRef/>
      </w:r>
      <w:r w:rsidRPr="005E7090">
        <w:rPr>
          <w:rFonts w:ascii="Verdana" w:hAnsi="Verdana" w:cs="Arial"/>
          <w:sz w:val="14"/>
          <w:szCs w:val="14"/>
        </w:rPr>
        <w:t xml:space="preserve"> “</w:t>
      </w:r>
      <w:r w:rsidRPr="005E7090">
        <w:rPr>
          <w:rFonts w:ascii="Verdana" w:eastAsia="Arial" w:hAnsi="Verdana" w:cs="Arial"/>
          <w:sz w:val="14"/>
          <w:szCs w:val="14"/>
          <w:lang w:val="es-ES"/>
        </w:rPr>
        <w:t>Artículo 2.2.1.1.2.2.3. Comité evaluador. La Entidad Estatal puede designar un comité evaluador conformado por servidores públicos o por particulares contratados para el efecto para evaluar las ofertas y las manifestaciones de interés para cada Proceso de Contratación por licitación, selección abreviada y concurso de méritos. El comité evaluador debe realizar su labor de manera objetiva,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w:t>
      </w:r>
      <w:r w:rsidRPr="005E7090">
        <w:rPr>
          <w:rFonts w:ascii="Verdana" w:eastAsia="Arial" w:hAnsi="Verdana" w:cs="Arial"/>
          <w:spacing w:val="-15"/>
          <w:sz w:val="14"/>
          <w:szCs w:val="14"/>
          <w:lang w:val="es-ES"/>
        </w:rPr>
        <w:t xml:space="preserve"> </w:t>
      </w:r>
      <w:r w:rsidRPr="005E7090">
        <w:rPr>
          <w:rFonts w:ascii="Verdana" w:eastAsia="Arial" w:hAnsi="Verdana" w:cs="Arial"/>
          <w:sz w:val="14"/>
          <w:szCs w:val="14"/>
          <w:lang w:val="es-ES"/>
        </w:rPr>
        <w:t>decisión.</w:t>
      </w:r>
    </w:p>
    <w:p w14:paraId="54BB406F" w14:textId="77777777" w:rsidR="003978D5" w:rsidRPr="005E7090" w:rsidRDefault="003978D5" w:rsidP="003978D5">
      <w:pPr>
        <w:widowControl w:val="0"/>
        <w:autoSpaceDE w:val="0"/>
        <w:autoSpaceDN w:val="0"/>
        <w:spacing w:after="0"/>
        <w:ind w:firstLine="709"/>
        <w:jc w:val="both"/>
        <w:rPr>
          <w:rFonts w:ascii="Verdana" w:eastAsia="Arial" w:hAnsi="Verdana" w:cs="Arial"/>
          <w:sz w:val="14"/>
          <w:szCs w:val="14"/>
          <w:lang w:val="es-ES"/>
        </w:rPr>
      </w:pPr>
      <w:r w:rsidRPr="005E7090">
        <w:rPr>
          <w:rFonts w:ascii="Verdana" w:eastAsia="Arial" w:hAnsi="Verdana" w:cs="Arial"/>
          <w:sz w:val="14"/>
          <w:szCs w:val="14"/>
          <w:lang w:val="es-ES"/>
        </w:rPr>
        <w:t>Los miembros del comité evaluador están sujetos al régimen de inhabilidades e incompatibilidades y conflicto de interés previstos en la Constitución y la ley. […]”</w:t>
      </w:r>
    </w:p>
    <w:p w14:paraId="2EA3BEDD" w14:textId="77777777" w:rsidR="003978D5" w:rsidRPr="005E7090" w:rsidRDefault="003978D5" w:rsidP="003978D5">
      <w:pPr>
        <w:pStyle w:val="Textonotapie"/>
        <w:jc w:val="both"/>
        <w:rPr>
          <w:rFonts w:ascii="Verdana" w:hAnsi="Verdana" w:cs="Arial"/>
          <w:sz w:val="14"/>
          <w:szCs w:val="14"/>
          <w:lang w:val="es-ES"/>
        </w:rPr>
      </w:pPr>
    </w:p>
  </w:footnote>
  <w:footnote w:id="17">
    <w:p w14:paraId="5ADDE446" w14:textId="77777777" w:rsidR="003978D5" w:rsidRPr="005E7090" w:rsidRDefault="003978D5" w:rsidP="003978D5">
      <w:pPr>
        <w:pStyle w:val="Textonotapie"/>
        <w:ind w:firstLine="709"/>
        <w:jc w:val="both"/>
        <w:rPr>
          <w:rFonts w:ascii="Verdana" w:hAnsi="Verdana" w:cs="Arial"/>
          <w:color w:val="000000"/>
          <w:sz w:val="14"/>
          <w:szCs w:val="14"/>
        </w:rPr>
      </w:pPr>
      <w:r w:rsidRPr="005E7090">
        <w:rPr>
          <w:rStyle w:val="Refdenotaalpie"/>
          <w:rFonts w:ascii="Verdana" w:hAnsi="Verdana" w:cs="Arial"/>
          <w:sz w:val="14"/>
          <w:szCs w:val="14"/>
        </w:rPr>
        <w:footnoteRef/>
      </w:r>
      <w:r w:rsidRPr="005E7090">
        <w:rPr>
          <w:rFonts w:ascii="Verdana" w:hAnsi="Verdana" w:cs="Arial"/>
          <w:sz w:val="14"/>
          <w:szCs w:val="14"/>
        </w:rPr>
        <w:t xml:space="preserve"> </w:t>
      </w:r>
      <w:r w:rsidRPr="005E7090">
        <w:rPr>
          <w:rFonts w:ascii="Verdana" w:hAnsi="Verdana" w:cs="Arial"/>
          <w:color w:val="000000"/>
          <w:sz w:val="14"/>
          <w:szCs w:val="14"/>
        </w:rPr>
        <w:t>Decreto 770 de 2005: “Artículo 3. Niveles jerárquicos de los empleos. Según la naturaleza general de sus funciones, las competencias y los requisitos exigidos para su desempeño, los empleos de las entidades u organismos a los cuales se refiere el presente decreto se clasifican en los siguientes niveles jerárquicos: Nivel Directivo, Nivel Asesor, Nivel Profesional, Nivel Técnico y Nivel Asistencial.</w:t>
      </w:r>
    </w:p>
    <w:p w14:paraId="0D8B2FEB"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w:t>
      </w:r>
    </w:p>
    <w:p w14:paraId="2FB9FFB9"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Artículo 13. Transitorio. El Gobierno Nacional, en un término no superior a doce (12) meses contados a partir de la vigencia del presente decreto, modificará las plantas de personal de los organismos y entidades a los cuales se aplica el presente decreto, para adecuar los empleos a la nueva nomenclatura y clasificación. Hasta que dichas modificaciones se realicen continuarán vigentes las denominaciones de empleo correspondientes al nivel ejecutivo. Vencido este plazo no podrán existir en las respectivas plantas de personal cargos con denominaciones del mencionado nivel jerárquico.</w:t>
      </w:r>
    </w:p>
    <w:p w14:paraId="0D941C46"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Si durante este período se presentare vacante definitiva en alguno de los empleos pertenecientes al nivel ejecutivo, este deberá ser suprimido, salvo que por necesidades del servicio se efectúen las equivalencias del caso, dentro del Nivel Profesional.</w:t>
      </w:r>
    </w:p>
    <w:p w14:paraId="060D6886"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La aplicación de las equivalencias relacionadas con la nomenclatura de empleos, en ningún caso conllevará incrementos salariales”.</w:t>
      </w:r>
    </w:p>
    <w:p w14:paraId="4B6F8DE8" w14:textId="77777777" w:rsidR="003978D5" w:rsidRPr="005E7090" w:rsidRDefault="003978D5" w:rsidP="003978D5">
      <w:pPr>
        <w:pStyle w:val="Textonotapie"/>
        <w:jc w:val="both"/>
        <w:rPr>
          <w:rFonts w:ascii="Verdana" w:hAnsi="Verdana" w:cs="Arial"/>
          <w:color w:val="000000"/>
          <w:sz w:val="14"/>
          <w:szCs w:val="14"/>
          <w:lang w:val="es-ES"/>
        </w:rPr>
      </w:pPr>
    </w:p>
    <w:p w14:paraId="11A3E416"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 xml:space="preserve">Decreto 785 de 2005: </w:t>
      </w:r>
      <w:r w:rsidRPr="005E7090">
        <w:rPr>
          <w:rFonts w:ascii="Verdana" w:hAnsi="Verdana" w:cs="Arial"/>
          <w:color w:val="000000"/>
          <w:sz w:val="14"/>
          <w:szCs w:val="14"/>
        </w:rPr>
        <w:t>“</w:t>
      </w:r>
      <w:r w:rsidRPr="005E7090">
        <w:rPr>
          <w:rFonts w:ascii="Verdana" w:hAnsi="Verdana" w:cs="Arial"/>
          <w:color w:val="000000"/>
          <w:sz w:val="14"/>
          <w:szCs w:val="14"/>
          <w:lang w:val="es-ES"/>
        </w:rPr>
        <w:t>Artículo 3. Niveles jerárquicos de los empleos. Según la naturaleza general de sus funciones, las competencias y los requisitos exigidos para su desempeño, los empleos de las entidades territoriales se clasifican en los siguientes niveles jerárquicos: Nivel Directivo, Nivel Asesor, Nivel Profesional, Nivel Técnico y Nivel Asistencial.</w:t>
      </w:r>
    </w:p>
    <w:p w14:paraId="5771DB8F"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w:t>
      </w:r>
    </w:p>
    <w:p w14:paraId="4600E64C"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“Artículo 33. Transitorio. Las autoridades territoriales competentes, en un término no superior a doce (12) meses contados a partir de la vigencia del presente decreto­ley, procederán a modificar las plantas de personal para adecuar los empleos a la nueva nomenclatura y clasificación.</w:t>
      </w:r>
    </w:p>
    <w:p w14:paraId="2B8FDA49"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 xml:space="preserve">Hasta que dichas modificaciones se realicen continuarán vigentes las siguientes denominaciones de empleo correspondientes al nivel ejecutivo, así: </w:t>
      </w:r>
    </w:p>
    <w:p w14:paraId="48B5F2D8"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w:t>
      </w:r>
    </w:p>
    <w:p w14:paraId="07321786"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Parágrafo. Vencido el plazo señalado en este artículo, no podrán existir en las respectivas plantas de personal cargos con denominaciones del mencionado nivel jerárquico. Si durante este período se presentare vacante definitiva en alguno de los empleos pertenecientes al nivel ejecutivo, este deberá ser suprimido, salvo que por necesidades del servicio se efectúen las equivalencias del caso, dentro del nivel profesional”.</w:t>
      </w:r>
    </w:p>
    <w:p w14:paraId="27BD14FF" w14:textId="77777777" w:rsidR="003978D5" w:rsidRPr="005E7090" w:rsidRDefault="003978D5" w:rsidP="003978D5">
      <w:pPr>
        <w:pStyle w:val="Textonotapie"/>
        <w:jc w:val="both"/>
        <w:rPr>
          <w:rFonts w:ascii="Verdana" w:hAnsi="Verdana" w:cs="Arial"/>
          <w:sz w:val="14"/>
          <w:szCs w:val="14"/>
          <w:lang w:val="es-ES_tradnl"/>
        </w:rPr>
      </w:pPr>
    </w:p>
  </w:footnote>
  <w:footnote w:id="18">
    <w:p w14:paraId="1BDB3FA6" w14:textId="77777777" w:rsidR="003978D5" w:rsidRPr="005E7090" w:rsidRDefault="003978D5" w:rsidP="003978D5">
      <w:pPr>
        <w:pStyle w:val="Textonotapie"/>
        <w:ind w:firstLine="708"/>
        <w:jc w:val="both"/>
        <w:rPr>
          <w:rFonts w:ascii="Verdana" w:hAnsi="Verdana" w:cs="Arial"/>
          <w:color w:val="000000"/>
          <w:sz w:val="14"/>
          <w:szCs w:val="14"/>
        </w:rPr>
      </w:pPr>
      <w:r w:rsidRPr="005E7090">
        <w:rPr>
          <w:rStyle w:val="Refdenotaalpie"/>
          <w:rFonts w:ascii="Verdana" w:hAnsi="Verdana" w:cs="Arial"/>
          <w:sz w:val="14"/>
          <w:szCs w:val="14"/>
        </w:rPr>
        <w:footnoteRef/>
      </w:r>
      <w:r w:rsidRPr="005E7090">
        <w:rPr>
          <w:rFonts w:ascii="Verdana" w:hAnsi="Verdana" w:cs="Arial"/>
          <w:sz w:val="14"/>
          <w:szCs w:val="14"/>
        </w:rPr>
        <w:t xml:space="preserve"> </w:t>
      </w:r>
      <w:r w:rsidRPr="005E7090">
        <w:rPr>
          <w:rFonts w:ascii="Verdana" w:hAnsi="Verdana" w:cs="Arial"/>
          <w:color w:val="000000"/>
          <w:sz w:val="14"/>
          <w:szCs w:val="14"/>
        </w:rPr>
        <w:t xml:space="preserve">Decreto 770 de 2005: “Artículo 4. Naturaleza general de las funciones. A los empleos agrupados en los niveles jerárquicos de que trata el artículo anterior, les corresponden las siguientes funciones generales: </w:t>
      </w:r>
    </w:p>
    <w:p w14:paraId="452581F2" w14:textId="77777777" w:rsidR="003978D5" w:rsidRPr="005E7090" w:rsidRDefault="003978D5" w:rsidP="003978D5">
      <w:pPr>
        <w:pStyle w:val="Textonotapie"/>
        <w:ind w:firstLine="708"/>
        <w:jc w:val="both"/>
        <w:rPr>
          <w:rFonts w:ascii="Verdana" w:hAnsi="Verdana" w:cs="Arial"/>
          <w:color w:val="000000"/>
          <w:sz w:val="14"/>
          <w:szCs w:val="14"/>
        </w:rPr>
      </w:pPr>
    </w:p>
    <w:p w14:paraId="4AF6F50F" w14:textId="77777777" w:rsidR="003978D5" w:rsidRPr="005E7090" w:rsidRDefault="003978D5" w:rsidP="003978D5">
      <w:pPr>
        <w:pStyle w:val="Textonotapie"/>
        <w:ind w:firstLine="708"/>
        <w:jc w:val="both"/>
        <w:rPr>
          <w:rFonts w:ascii="Verdana" w:hAnsi="Verdana" w:cs="Arial"/>
          <w:color w:val="000000"/>
          <w:sz w:val="14"/>
          <w:szCs w:val="14"/>
        </w:rPr>
      </w:pPr>
      <w:r w:rsidRPr="005E7090">
        <w:rPr>
          <w:rFonts w:ascii="Verdana" w:hAnsi="Verdana" w:cs="Arial"/>
          <w:color w:val="000000"/>
          <w:sz w:val="14"/>
          <w:szCs w:val="14"/>
        </w:rPr>
        <w:t>4.1 Nivel Directivo. Comprende los empleos a los cuales corresponden funciones de dirección general, de formulación de políticas institucionales y de adopción de planes, programas y proyectos.</w:t>
      </w:r>
    </w:p>
    <w:p w14:paraId="7F24199C" w14:textId="77777777" w:rsidR="003978D5" w:rsidRPr="005E7090" w:rsidRDefault="003978D5" w:rsidP="003978D5">
      <w:pPr>
        <w:pStyle w:val="Textonotapie"/>
        <w:ind w:firstLine="708"/>
        <w:jc w:val="both"/>
        <w:rPr>
          <w:rFonts w:ascii="Verdana" w:hAnsi="Verdana" w:cs="Arial"/>
          <w:color w:val="000000"/>
          <w:sz w:val="14"/>
          <w:szCs w:val="14"/>
        </w:rPr>
      </w:pPr>
      <w:r w:rsidRPr="005E7090">
        <w:rPr>
          <w:rFonts w:ascii="Verdana" w:hAnsi="Verdana" w:cs="Arial"/>
          <w:color w:val="000000"/>
          <w:sz w:val="14"/>
          <w:szCs w:val="14"/>
        </w:rPr>
        <w:t>4.2 Nivel Asesor. Agrupa los empleos cuyas funciones consisten en asistir, aconsejar y asesorar directamente a los empleados públicos de la alta dirección de la rama ejecutiva del orden nacional</w:t>
      </w:r>
      <w:r w:rsidRPr="005E7090">
        <w:rPr>
          <w:rFonts w:ascii="Verdana" w:hAnsi="Verdana" w:cs="Arial"/>
          <w:color w:val="000000"/>
          <w:sz w:val="14"/>
          <w:szCs w:val="14"/>
          <w:lang w:val="es-ES"/>
        </w:rPr>
        <w:t>»</w:t>
      </w:r>
    </w:p>
    <w:p w14:paraId="26F77BB8" w14:textId="77777777" w:rsidR="003978D5" w:rsidRPr="005E7090" w:rsidRDefault="003978D5" w:rsidP="003978D5">
      <w:pPr>
        <w:pStyle w:val="Textonotapie"/>
        <w:jc w:val="both"/>
        <w:rPr>
          <w:rFonts w:ascii="Verdana" w:hAnsi="Verdana" w:cs="Arial"/>
          <w:color w:val="000000"/>
          <w:sz w:val="14"/>
          <w:szCs w:val="14"/>
        </w:rPr>
      </w:pPr>
    </w:p>
    <w:p w14:paraId="7F521A08"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 xml:space="preserve">Decreto 785 de 2005: “Artículo 4. Naturaleza general de las funciones. A los empleos agrupados en los niveles jerárquicos de que trata el artículo anterior, les corresponden las siguientes funciones generales: </w:t>
      </w:r>
    </w:p>
    <w:p w14:paraId="0BBD9D18"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 xml:space="preserve">4.1. Nivel Directivo. </w:t>
      </w:r>
      <w:bookmarkStart w:id="2" w:name="_Hlk73974130"/>
      <w:r w:rsidRPr="005E7090">
        <w:rPr>
          <w:rFonts w:ascii="Verdana" w:hAnsi="Verdana" w:cs="Arial"/>
          <w:color w:val="000000"/>
          <w:sz w:val="14"/>
          <w:szCs w:val="14"/>
          <w:lang w:val="es-ES"/>
        </w:rPr>
        <w:t>Comprende los empleos a los cuales corresponden funciones de Dirección General, de formulación de políticas institucionales y de adopción de planes, programas y proyectos</w:t>
      </w:r>
      <w:bookmarkEnd w:id="2"/>
      <w:r w:rsidRPr="005E7090">
        <w:rPr>
          <w:rFonts w:ascii="Verdana" w:hAnsi="Verdana" w:cs="Arial"/>
          <w:color w:val="000000"/>
          <w:sz w:val="14"/>
          <w:szCs w:val="14"/>
          <w:lang w:val="es-ES"/>
        </w:rPr>
        <w:t xml:space="preserve">.  </w:t>
      </w:r>
    </w:p>
    <w:p w14:paraId="044062B0" w14:textId="77777777" w:rsidR="003978D5" w:rsidRPr="005E7090" w:rsidRDefault="003978D5" w:rsidP="003978D5">
      <w:pPr>
        <w:pStyle w:val="Textonotapie"/>
        <w:ind w:firstLine="708"/>
        <w:jc w:val="both"/>
        <w:rPr>
          <w:rFonts w:ascii="Verdana" w:hAnsi="Verdana" w:cs="Arial"/>
          <w:color w:val="000000"/>
          <w:sz w:val="14"/>
          <w:szCs w:val="14"/>
          <w:lang w:val="es-ES"/>
        </w:rPr>
      </w:pPr>
      <w:r w:rsidRPr="005E7090">
        <w:rPr>
          <w:rFonts w:ascii="Verdana" w:hAnsi="Verdana" w:cs="Arial"/>
          <w:color w:val="000000"/>
          <w:sz w:val="14"/>
          <w:szCs w:val="14"/>
          <w:lang w:val="es-ES"/>
        </w:rPr>
        <w:t>4.2.  Nivel Asesor. Agrupa los empleos cuyas funciones consisten en asistir, aconsejar y asesorar directamente a los empleados públicos de la alta dirección territorial”.</w:t>
      </w:r>
    </w:p>
    <w:p w14:paraId="3516998F" w14:textId="77777777" w:rsidR="003978D5" w:rsidRPr="005E7090" w:rsidRDefault="003978D5" w:rsidP="003978D5">
      <w:pPr>
        <w:pStyle w:val="Textonotapie"/>
        <w:jc w:val="both"/>
        <w:rPr>
          <w:rFonts w:ascii="Verdana" w:hAnsi="Verdana" w:cs="Arial"/>
          <w:sz w:val="14"/>
          <w:szCs w:val="14"/>
          <w:lang w:val="es-ES"/>
        </w:rPr>
      </w:pPr>
    </w:p>
  </w:footnote>
  <w:footnote w:id="19">
    <w:p w14:paraId="3F0DCF74" w14:textId="77777777" w:rsidR="003978D5" w:rsidRPr="005E7090" w:rsidRDefault="003978D5" w:rsidP="003978D5">
      <w:pPr>
        <w:pStyle w:val="Textonotapie"/>
        <w:ind w:firstLine="709"/>
        <w:jc w:val="both"/>
        <w:rPr>
          <w:rFonts w:ascii="Verdana" w:hAnsi="Verdana" w:cs="Arial"/>
          <w:sz w:val="14"/>
          <w:szCs w:val="14"/>
        </w:rPr>
      </w:pPr>
      <w:r w:rsidRPr="005E7090">
        <w:rPr>
          <w:rStyle w:val="Refdenotaalpie"/>
          <w:rFonts w:ascii="Verdana" w:hAnsi="Verdana" w:cs="Arial"/>
          <w:sz w:val="14"/>
          <w:szCs w:val="14"/>
        </w:rPr>
        <w:footnoteRef/>
      </w:r>
      <w:r w:rsidRPr="005E7090">
        <w:rPr>
          <w:rFonts w:ascii="Verdana" w:hAnsi="Verdana" w:cs="Arial"/>
          <w:sz w:val="14"/>
          <w:szCs w:val="14"/>
        </w:rPr>
        <w:t xml:space="preserve"> Para la doctrina, “En lo que respecta a los funcionarios que ejercen el control fiscal, en nuestra opinión, la disposición resulta inaplicable. En momentos en que se expidió el estatuto de contratación, por virtud de la legislación vigente en materia de régimen fiscal, la mayoría de entes descentralizados contaban con una oficina delegada de la Contraloría en la misma sede de la entidad vigilada que se encargaba de realizar las funciones de control respecto de ella. Usualmente participaba en la toma de decisiones y entre ellas las relativas a contratos. Con las reformas que introdujo la Ley 42 de 1993, las llamadas auditorías o agencias de control fiscal destacadas en cada entidad desaparecieron y con ello la incompatibilidad devino en irrealizable por sustracción de materia” (Cfr. DÁVILA VINUEZA, Luis Guillermo. Régimen jurídico de la contratación estatal. Tercera edición. Bogotá: Legis, 2016. pp. 290 – 291). Sin embargo, también agrega que “[…] la utilidad de la disposición se encuentra cuando dichas funciones sean desempeñadas por personas particulares, en virtud de contrato, caso en el cual se presentaría la prohibición” (Cfr. PÁLACIO HINCAPIÉ, Juan Ángel. La contratación de las entidades estatales. Octava edición. Medellín: Librería Jurídica Sánchez R. SAS. p. 152).</w:t>
      </w:r>
    </w:p>
  </w:footnote>
  <w:footnote w:id="20">
    <w:p w14:paraId="0FDC5A14" w14:textId="77777777" w:rsidR="003978D5" w:rsidRDefault="003978D5" w:rsidP="003978D5">
      <w:pPr>
        <w:pStyle w:val="Textonotapie"/>
        <w:ind w:firstLine="708"/>
        <w:jc w:val="both"/>
        <w:rPr>
          <w:rFonts w:ascii="Verdana" w:hAnsi="Verdana" w:cs="Arial"/>
          <w:color w:val="000000"/>
          <w:sz w:val="14"/>
          <w:szCs w:val="14"/>
        </w:rPr>
      </w:pPr>
      <w:r w:rsidRPr="005E7090">
        <w:rPr>
          <w:rStyle w:val="Refdenotaalpie"/>
          <w:rFonts w:ascii="Verdana" w:hAnsi="Verdana" w:cs="Arial"/>
          <w:color w:val="000000"/>
          <w:sz w:val="14"/>
          <w:szCs w:val="14"/>
        </w:rPr>
        <w:footnoteRef/>
      </w:r>
      <w:r w:rsidRPr="005E7090">
        <w:rPr>
          <w:rFonts w:ascii="Verdana" w:hAnsi="Verdana" w:cs="Arial"/>
          <w:color w:val="000000"/>
          <w:sz w:val="14"/>
          <w:szCs w:val="14"/>
        </w:rPr>
        <w:t xml:space="preserve"> CONSEJO DE ESTADO. Sala de Consulta y de Servicio Civil. Concepto del 23 de marzo de 2011. Rad. 2.045. C.P. Enrique José Arboleda Perdomo.</w:t>
      </w:r>
    </w:p>
    <w:p w14:paraId="137868F1" w14:textId="77777777" w:rsidR="003978D5" w:rsidRPr="005E7090" w:rsidRDefault="003978D5" w:rsidP="003978D5">
      <w:pPr>
        <w:pStyle w:val="Textonotapie"/>
        <w:ind w:firstLine="708"/>
        <w:jc w:val="both"/>
        <w:rPr>
          <w:rFonts w:ascii="Verdana" w:hAnsi="Verdana" w:cs="Arial"/>
          <w:color w:val="000000"/>
          <w:sz w:val="14"/>
          <w:szCs w:val="14"/>
        </w:rPr>
      </w:pPr>
    </w:p>
  </w:footnote>
  <w:footnote w:id="21">
    <w:p w14:paraId="0D5E9775" w14:textId="77777777" w:rsidR="003978D5" w:rsidRPr="005E7090" w:rsidRDefault="003978D5" w:rsidP="003978D5">
      <w:pPr>
        <w:pStyle w:val="Textonotapie"/>
        <w:ind w:firstLine="708"/>
        <w:jc w:val="both"/>
        <w:rPr>
          <w:rFonts w:ascii="Verdana" w:hAnsi="Verdana" w:cs="Arial"/>
          <w:sz w:val="14"/>
          <w:szCs w:val="14"/>
        </w:rPr>
      </w:pPr>
      <w:r w:rsidRPr="005E7090">
        <w:rPr>
          <w:rStyle w:val="Refdenotaalpie"/>
          <w:rFonts w:ascii="Verdana" w:hAnsi="Verdana" w:cs="Arial"/>
          <w:sz w:val="14"/>
          <w:szCs w:val="14"/>
        </w:rPr>
        <w:footnoteRef/>
      </w:r>
      <w:r w:rsidRPr="005E7090">
        <w:rPr>
          <w:rFonts w:ascii="Verdana" w:hAnsi="Verdana" w:cs="Arial"/>
          <w:sz w:val="14"/>
          <w:szCs w:val="14"/>
        </w:rPr>
        <w:t xml:space="preserve"> Ley 1437 de 2011: “Artículo 2°. Ámbito de aplicación. Las normas de esta Parte Primera del Código se aplican a todos los organismos y entidades que conforman las ramas del poder público en sus distintos órdenes, sectores y niveles, a los órganos autónomos e independientes del Estado y a los particulares, cuando cumplan funciones administrativas. A todos ellos se les dará el nombre de autoridades. </w:t>
      </w:r>
    </w:p>
    <w:p w14:paraId="00E515EF" w14:textId="77777777" w:rsidR="003978D5" w:rsidRPr="005E7090" w:rsidRDefault="003978D5" w:rsidP="003978D5">
      <w:pPr>
        <w:pStyle w:val="Textonotapie"/>
        <w:ind w:firstLine="708"/>
        <w:jc w:val="both"/>
        <w:rPr>
          <w:rFonts w:ascii="Verdana" w:hAnsi="Verdana" w:cs="Arial"/>
          <w:sz w:val="14"/>
          <w:szCs w:val="14"/>
        </w:rPr>
      </w:pPr>
      <w:r w:rsidRPr="005E7090">
        <w:rPr>
          <w:rFonts w:ascii="Verdana" w:hAnsi="Verdana" w:cs="Arial"/>
          <w:sz w:val="14"/>
          <w:szCs w:val="14"/>
        </w:rPr>
        <w:t xml:space="preserve">Las disposiciones de esta Parte Primera no se aplicarán en los procedimientos militares o de policía que por su naturaleza requieran decisiones de aplicación inmediata, para evitar o remediar perturbaciones de orden público en los aspectos de defensa nacional, seguridad, tranquilidad, salubridad, y circulación de personas y cosas. Tampoco se aplicarán para ejercer la facultad de libre nombramiento y remoción. </w:t>
      </w:r>
    </w:p>
    <w:p w14:paraId="6F872EAA" w14:textId="77777777" w:rsidR="003978D5" w:rsidRPr="00B350BE" w:rsidRDefault="003978D5" w:rsidP="003978D5">
      <w:pPr>
        <w:pStyle w:val="Textonotapie"/>
        <w:ind w:firstLine="708"/>
        <w:jc w:val="both"/>
        <w:rPr>
          <w:rFonts w:ascii="Verdana" w:hAnsi="Verdana" w:cs="Arial"/>
          <w:sz w:val="15"/>
          <w:szCs w:val="15"/>
        </w:rPr>
      </w:pPr>
      <w:r w:rsidRPr="005E7090">
        <w:rPr>
          <w:rFonts w:ascii="Verdana" w:hAnsi="Verdana" w:cs="Arial"/>
          <w:sz w:val="14"/>
          <w:szCs w:val="14"/>
        </w:rPr>
        <w:t>Las autoridades sujetarán sus actuaciones a los procedimientos que se establecen en este Código, sin perjuicio de los procedimientos regulados en leyes especiales. En lo no previsto en los mismos se aplicarán las disposiciones de este Código”.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56247E6" w:rsidR="008A446D" w:rsidRDefault="008A446D" w:rsidP="000D5DA7">
    <w:pPr>
      <w:spacing w:after="0" w:line="480" w:lineRule="auto"/>
      <w:rPr>
        <w:rFonts w:ascii="Verdana" w:hAnsi="Verdana"/>
        <w:sz w:val="24"/>
        <w:szCs w:val="24"/>
      </w:rPr>
    </w:pPr>
  </w:p>
  <w:p w14:paraId="401144E1" w14:textId="77777777" w:rsidR="00EE4014" w:rsidRPr="00C925AC" w:rsidRDefault="00EE4014"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871385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C54"/>
    <w:rsid w:val="00016F78"/>
    <w:rsid w:val="00046945"/>
    <w:rsid w:val="00061B2A"/>
    <w:rsid w:val="00082362"/>
    <w:rsid w:val="000848E6"/>
    <w:rsid w:val="000A683E"/>
    <w:rsid w:val="000B19B9"/>
    <w:rsid w:val="000D0334"/>
    <w:rsid w:val="000D5DA7"/>
    <w:rsid w:val="000F6486"/>
    <w:rsid w:val="00116940"/>
    <w:rsid w:val="00125105"/>
    <w:rsid w:val="00126419"/>
    <w:rsid w:val="00127233"/>
    <w:rsid w:val="0013049B"/>
    <w:rsid w:val="0015699B"/>
    <w:rsid w:val="001A33BF"/>
    <w:rsid w:val="001E4177"/>
    <w:rsid w:val="001F0B24"/>
    <w:rsid w:val="001F77D2"/>
    <w:rsid w:val="001F7DC6"/>
    <w:rsid w:val="00202A90"/>
    <w:rsid w:val="0022400B"/>
    <w:rsid w:val="002421BB"/>
    <w:rsid w:val="0025796E"/>
    <w:rsid w:val="00265537"/>
    <w:rsid w:val="002707A2"/>
    <w:rsid w:val="002951A0"/>
    <w:rsid w:val="002962BC"/>
    <w:rsid w:val="002A093D"/>
    <w:rsid w:val="002A0DD0"/>
    <w:rsid w:val="002A49AC"/>
    <w:rsid w:val="002A64FD"/>
    <w:rsid w:val="002C7A84"/>
    <w:rsid w:val="002E2BF8"/>
    <w:rsid w:val="002E4FD9"/>
    <w:rsid w:val="0030657A"/>
    <w:rsid w:val="003118C4"/>
    <w:rsid w:val="00322A85"/>
    <w:rsid w:val="00324168"/>
    <w:rsid w:val="00330834"/>
    <w:rsid w:val="003448F4"/>
    <w:rsid w:val="00374F5E"/>
    <w:rsid w:val="00377E3E"/>
    <w:rsid w:val="003978D5"/>
    <w:rsid w:val="003A779E"/>
    <w:rsid w:val="003D0F4D"/>
    <w:rsid w:val="003D5B0D"/>
    <w:rsid w:val="003E0499"/>
    <w:rsid w:val="003E4F80"/>
    <w:rsid w:val="003E6439"/>
    <w:rsid w:val="003F3941"/>
    <w:rsid w:val="00406575"/>
    <w:rsid w:val="00414C74"/>
    <w:rsid w:val="00426CDB"/>
    <w:rsid w:val="0042722E"/>
    <w:rsid w:val="0044528D"/>
    <w:rsid w:val="00466E39"/>
    <w:rsid w:val="00491EA2"/>
    <w:rsid w:val="004A1847"/>
    <w:rsid w:val="004A305D"/>
    <w:rsid w:val="004F21C4"/>
    <w:rsid w:val="004F685F"/>
    <w:rsid w:val="00517898"/>
    <w:rsid w:val="005307ED"/>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282F"/>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792C"/>
    <w:rsid w:val="00997B63"/>
    <w:rsid w:val="009A0DFA"/>
    <w:rsid w:val="009A1C6F"/>
    <w:rsid w:val="009B2D26"/>
    <w:rsid w:val="009C71FA"/>
    <w:rsid w:val="009C72E7"/>
    <w:rsid w:val="009C7F7E"/>
    <w:rsid w:val="009D3058"/>
    <w:rsid w:val="009F3A13"/>
    <w:rsid w:val="00A122D3"/>
    <w:rsid w:val="00A12CE9"/>
    <w:rsid w:val="00A14468"/>
    <w:rsid w:val="00A17F13"/>
    <w:rsid w:val="00A20739"/>
    <w:rsid w:val="00A23AF9"/>
    <w:rsid w:val="00A33C78"/>
    <w:rsid w:val="00AB0ADB"/>
    <w:rsid w:val="00AE26CA"/>
    <w:rsid w:val="00B00C0E"/>
    <w:rsid w:val="00B01B1A"/>
    <w:rsid w:val="00B030D1"/>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5E97"/>
    <w:rsid w:val="00D361FD"/>
    <w:rsid w:val="00D423A2"/>
    <w:rsid w:val="00D44E26"/>
    <w:rsid w:val="00D520D8"/>
    <w:rsid w:val="00D63AC2"/>
    <w:rsid w:val="00D7383B"/>
    <w:rsid w:val="00D7788A"/>
    <w:rsid w:val="00DA231B"/>
    <w:rsid w:val="00DC39FC"/>
    <w:rsid w:val="00DF5254"/>
    <w:rsid w:val="00E02524"/>
    <w:rsid w:val="00E1354D"/>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4014"/>
    <w:rsid w:val="00F23FEA"/>
    <w:rsid w:val="00F31EDC"/>
    <w:rsid w:val="00F462B3"/>
    <w:rsid w:val="00F5664F"/>
    <w:rsid w:val="00F666C4"/>
    <w:rsid w:val="00F76AFC"/>
    <w:rsid w:val="00FA47C0"/>
    <w:rsid w:val="00FB5DD1"/>
    <w:rsid w:val="00FC2B5D"/>
    <w:rsid w:val="00FF1449"/>
    <w:rsid w:val="00FF6EE1"/>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7E01A58"/>
    <w:rsid w:val="504E46EE"/>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978D5"/>
    <w:pPr>
      <w:spacing w:line="240" w:lineRule="exact"/>
    </w:pPr>
    <w:rPr>
      <w:vertAlign w:val="superscript"/>
    </w:rPr>
  </w:style>
  <w:style w:type="character" w:customStyle="1" w:styleId="NormalWebCar">
    <w:name w:val="Normal (Web) Car"/>
    <w:link w:val="NormalWeb"/>
    <w:uiPriority w:val="99"/>
    <w:locked/>
    <w:rsid w:val="003978D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3978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3978D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B4D6702-180C-4D71-B85F-B4F3602A46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26</Pages>
  <Words>8336</Words>
  <Characters>45851</Characters>
  <Application>Microsoft Office Word</Application>
  <DocSecurity>0</DocSecurity>
  <Lines>382</Lines>
  <Paragraphs>108</Paragraphs>
  <ScaleCrop>false</ScaleCrop>
  <Company/>
  <LinksUpToDate>false</LinksUpToDate>
  <CharactersWithSpaces>54079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2026-06-16T21:26:00Z</dcterms:created>
  <dcterms:modified xsi:type="dcterms:W3CDTF">2026-06-18T20:33:00Z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