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AE7B2" w14:textId="77777777" w:rsidR="00ED23D5" w:rsidRPr="00AF1555" w:rsidRDefault="00ED23D5" w:rsidP="00ED23D5">
      <w:pPr>
        <w:spacing w:after="0" w:line="240" w:lineRule="auto"/>
        <w:jc w:val="both"/>
        <w:rPr>
          <w:rFonts w:ascii="Verdana" w:eastAsia="Calibri" w:hAnsi="Verdana" w:cs="Arial"/>
          <w:b/>
          <w:color w:val="000000" w:themeColor="text1"/>
          <w:lang w:val="es-ES"/>
        </w:rPr>
      </w:pPr>
      <w:r w:rsidRPr="00E95799">
        <w:rPr>
          <w:rFonts w:ascii="Verdana" w:eastAsia="Calibri" w:hAnsi="Verdana" w:cs="Arial"/>
          <w:b/>
          <w:color w:val="000000" w:themeColor="text1"/>
          <w:lang w:val="es-ES"/>
        </w:rPr>
        <w:t>LIQUIDACIÓN DEL CONTRATO – Definición – Objetivo</w:t>
      </w:r>
      <w:r w:rsidRPr="00AF1555">
        <w:rPr>
          <w:rFonts w:ascii="Verdana" w:eastAsia="Calibri" w:hAnsi="Verdana" w:cs="Arial"/>
          <w:b/>
          <w:color w:val="000000" w:themeColor="text1"/>
          <w:lang w:val="es-ES"/>
        </w:rPr>
        <w:t xml:space="preserve"> </w:t>
      </w:r>
    </w:p>
    <w:p w14:paraId="05E790FA" w14:textId="77777777" w:rsidR="00ED23D5" w:rsidRPr="00AF1555" w:rsidRDefault="00ED23D5" w:rsidP="00ED23D5">
      <w:pPr>
        <w:spacing w:after="0" w:line="240" w:lineRule="auto"/>
        <w:jc w:val="both"/>
        <w:rPr>
          <w:rFonts w:ascii="Verdana" w:eastAsia="Calibri" w:hAnsi="Verdana" w:cs="Arial"/>
          <w:bCs/>
          <w:color w:val="000000" w:themeColor="text1"/>
          <w:sz w:val="20"/>
          <w:szCs w:val="20"/>
          <w:lang w:val="es-ES"/>
        </w:rPr>
      </w:pPr>
    </w:p>
    <w:p w14:paraId="1FB17D38" w14:textId="77777777" w:rsidR="00ED23D5" w:rsidRPr="00AF1555" w:rsidRDefault="00ED23D5" w:rsidP="00ED23D5">
      <w:pPr>
        <w:spacing w:after="0" w:line="240" w:lineRule="auto"/>
        <w:jc w:val="both"/>
        <w:rPr>
          <w:rFonts w:ascii="Verdana" w:eastAsia="Calibri" w:hAnsi="Verdana" w:cs="Arial"/>
          <w:color w:val="000000" w:themeColor="text1"/>
          <w:sz w:val="20"/>
          <w:szCs w:val="20"/>
          <w:lang w:val="es-ES_tradnl"/>
        </w:rPr>
      </w:pPr>
      <w:r>
        <w:rPr>
          <w:rFonts w:ascii="Verdana" w:eastAsia="Calibri" w:hAnsi="Verdana" w:cs="Arial"/>
          <w:color w:val="000000" w:themeColor="text1"/>
          <w:sz w:val="20"/>
          <w:szCs w:val="20"/>
          <w:lang w:val="es-ES_tradnl" w:eastAsia="es-ES_tradnl"/>
        </w:rPr>
        <w:t>L</w:t>
      </w:r>
      <w:r w:rsidRPr="00E95799">
        <w:rPr>
          <w:rFonts w:ascii="Verdana" w:eastAsia="Calibri" w:hAnsi="Verdana" w:cs="Arial"/>
          <w:color w:val="000000" w:themeColor="text1"/>
          <w:sz w:val="20"/>
          <w:szCs w:val="20"/>
          <w:lang w:val="es-ES_tradnl" w:eastAsia="es-ES_tradnl"/>
        </w:rPr>
        <w:t>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liquidar supone un ajuste en relación con las cuentas y el estado de cumplimiento del contrato estatal y, por el otro, que la liquidación debe incluir el análisis de las condiciones de calidad y oportunidad en la entrega de los bienes, obras o servicios, así como el balance económico y el comportamiento financiero del negocio</w:t>
      </w:r>
      <w:r w:rsidRPr="00AF1555">
        <w:rPr>
          <w:rFonts w:ascii="Verdana" w:eastAsia="Calibri" w:hAnsi="Verdana" w:cs="Arial"/>
          <w:color w:val="000000" w:themeColor="text1"/>
          <w:sz w:val="20"/>
          <w:szCs w:val="20"/>
          <w:lang w:val="es-ES_tradnl"/>
        </w:rPr>
        <w:t>.</w:t>
      </w:r>
    </w:p>
    <w:p w14:paraId="771DA23C" w14:textId="77777777" w:rsidR="00ED23D5" w:rsidRPr="00AF1555" w:rsidRDefault="00ED23D5" w:rsidP="00ED23D5">
      <w:pPr>
        <w:spacing w:after="0" w:line="240" w:lineRule="auto"/>
        <w:rPr>
          <w:rFonts w:ascii="Verdana" w:eastAsia="Geomanist Light" w:hAnsi="Verdana" w:cs="Arial"/>
          <w:color w:val="000000" w:themeColor="text1"/>
          <w:sz w:val="20"/>
          <w:szCs w:val="20"/>
          <w:lang w:val="es-ES_tradnl"/>
        </w:rPr>
      </w:pPr>
    </w:p>
    <w:p w14:paraId="46E5D048" w14:textId="77777777" w:rsidR="00ED23D5" w:rsidRPr="00AF1555" w:rsidRDefault="00ED23D5" w:rsidP="00ED23D5">
      <w:pPr>
        <w:spacing w:after="0" w:line="240" w:lineRule="auto"/>
        <w:jc w:val="both"/>
        <w:rPr>
          <w:rFonts w:ascii="Verdana" w:eastAsia="Calibri" w:hAnsi="Verdana" w:cs="Arial"/>
          <w:b/>
          <w:lang w:val="es-ES"/>
        </w:rPr>
      </w:pPr>
      <w:r w:rsidRPr="00E95799">
        <w:rPr>
          <w:rFonts w:ascii="Verdana" w:eastAsia="Calibri" w:hAnsi="Verdana" w:cs="Arial"/>
          <w:b/>
          <w:lang w:val="es-ES"/>
        </w:rPr>
        <w:t>LIQUIDACIÓN DEL CONTRATO – Normativa – Oportunidad</w:t>
      </w:r>
    </w:p>
    <w:p w14:paraId="797436FD" w14:textId="77777777" w:rsidR="00ED23D5" w:rsidRPr="00AF1555" w:rsidRDefault="00ED23D5" w:rsidP="00ED23D5">
      <w:pPr>
        <w:spacing w:after="0" w:line="240" w:lineRule="auto"/>
        <w:jc w:val="both"/>
        <w:rPr>
          <w:rFonts w:ascii="Verdana" w:eastAsia="Calibri" w:hAnsi="Verdana" w:cs="Arial"/>
          <w:b/>
          <w:sz w:val="20"/>
          <w:szCs w:val="20"/>
          <w:lang w:val="es-ES"/>
        </w:rPr>
      </w:pPr>
    </w:p>
    <w:p w14:paraId="7A6E8A22" w14:textId="77777777" w:rsidR="00ED23D5" w:rsidRPr="00ED23D5" w:rsidRDefault="00ED23D5" w:rsidP="00ED23D5">
      <w:pPr>
        <w:spacing w:after="0" w:line="240" w:lineRule="auto"/>
        <w:jc w:val="both"/>
        <w:rPr>
          <w:rFonts w:ascii="Verdana" w:eastAsia="Calibri" w:hAnsi="Verdana" w:cs="Arial"/>
          <w:bCs/>
          <w:sz w:val="20"/>
          <w:szCs w:val="20"/>
          <w:lang w:val="es-ES"/>
        </w:rPr>
      </w:pPr>
      <w:r w:rsidRPr="00ED23D5">
        <w:rPr>
          <w:rFonts w:ascii="Verdana" w:eastAsia="Calibri" w:hAnsi="Verdana" w:cs="Arial"/>
          <w:bCs/>
          <w:sz w:val="20"/>
          <w:szCs w:val="20"/>
          <w:lang w:val="es-ES"/>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w:t>
      </w:r>
    </w:p>
    <w:p w14:paraId="7DB62EDD" w14:textId="77777777" w:rsidR="00ED23D5" w:rsidRPr="00ED23D5" w:rsidRDefault="00ED23D5" w:rsidP="00ED23D5">
      <w:pPr>
        <w:spacing w:after="0" w:line="240" w:lineRule="auto"/>
        <w:jc w:val="both"/>
        <w:rPr>
          <w:rFonts w:ascii="Verdana" w:eastAsia="Calibri" w:hAnsi="Verdana" w:cs="Arial"/>
          <w:bCs/>
          <w:sz w:val="20"/>
          <w:szCs w:val="20"/>
          <w:lang w:val="es-ES"/>
        </w:rPr>
      </w:pPr>
      <w:r w:rsidRPr="00ED23D5">
        <w:rPr>
          <w:rFonts w:ascii="Verdana" w:eastAsia="Calibri" w:hAnsi="Verdana" w:cs="Arial"/>
          <w:bCs/>
          <w:sz w:val="20"/>
          <w:szCs w:val="20"/>
          <w:lang w:val="es-ES"/>
        </w:rPr>
        <w:t>[…]</w:t>
      </w:r>
    </w:p>
    <w:p w14:paraId="5130BF82" w14:textId="77777777" w:rsidR="00ED23D5" w:rsidRPr="00ED23D5" w:rsidRDefault="00ED23D5" w:rsidP="00ED23D5">
      <w:pPr>
        <w:spacing w:after="0" w:line="240" w:lineRule="auto"/>
        <w:jc w:val="both"/>
        <w:rPr>
          <w:rFonts w:ascii="Verdana" w:eastAsia="Calibri" w:hAnsi="Verdana" w:cs="Arial"/>
          <w:bCs/>
          <w:sz w:val="20"/>
          <w:szCs w:val="20"/>
          <w:lang w:val="es-ES"/>
        </w:rPr>
      </w:pPr>
    </w:p>
    <w:p w14:paraId="562FB55E" w14:textId="77777777" w:rsidR="00ED23D5" w:rsidRPr="00ED23D5" w:rsidRDefault="00ED23D5" w:rsidP="00ED23D5">
      <w:pPr>
        <w:spacing w:after="0" w:line="240" w:lineRule="auto"/>
        <w:jc w:val="both"/>
        <w:rPr>
          <w:rFonts w:ascii="Verdana" w:eastAsia="Calibri" w:hAnsi="Verdana" w:cs="Arial"/>
          <w:color w:val="000000"/>
          <w:sz w:val="20"/>
          <w:szCs w:val="20"/>
          <w:lang w:val="es-ES_tradnl"/>
        </w:rPr>
      </w:pPr>
      <w:r w:rsidRPr="00ED23D5">
        <w:rPr>
          <w:rFonts w:ascii="Verdana" w:eastAsia="Calibri" w:hAnsi="Verdana" w:cs="Arial"/>
          <w:bCs/>
          <w:sz w:val="20"/>
          <w:szCs w:val="20"/>
          <w:lang w:val="es-ES"/>
        </w:rPr>
        <w:t>Por tanto, si se trata de un contrato en el cual no existe pacto sobre el término para la liquidación bilateral, el término supletivo aplicaría, y se podría liquidar el contrato dentro de los 4 meses siguientes a la terminación del contrato, de manera bilateral, dentro de los 2 meses siguientes a ellos de manera unilateral por la entidad, más un plazo de 2 años para la liquidación unilateral, bilateral o judicial: para un total de 2 años y 6 meses. Estos términos pueden verse modificados si las partes acuerdan un plazo mayor o menor para realizar la liquidación de mutuo acuerdo, con lo cual dejaría de estar incluido el término supletivo de la Ley 1150 de 2007</w:t>
      </w:r>
      <w:r w:rsidRPr="00ED23D5">
        <w:rPr>
          <w:rFonts w:ascii="Verdana" w:eastAsia="Calibri" w:hAnsi="Verdana" w:cs="Arial"/>
          <w:color w:val="000000"/>
          <w:sz w:val="20"/>
          <w:szCs w:val="20"/>
          <w:lang w:val="es-ES_tradnl"/>
        </w:rPr>
        <w:t>.</w:t>
      </w:r>
    </w:p>
    <w:p w14:paraId="7F4DBA80" w14:textId="77777777" w:rsidR="00ED23D5" w:rsidRPr="00AF1555" w:rsidRDefault="00ED23D5" w:rsidP="00ED23D5">
      <w:pPr>
        <w:spacing w:after="0" w:line="240" w:lineRule="auto"/>
        <w:rPr>
          <w:rFonts w:ascii="Verdana" w:eastAsia="Geomanist Light" w:hAnsi="Verdana" w:cs="Arial"/>
          <w:color w:val="000000" w:themeColor="text1"/>
          <w:sz w:val="20"/>
          <w:szCs w:val="20"/>
          <w:lang w:val="es-ES_tradnl"/>
        </w:rPr>
      </w:pPr>
    </w:p>
    <w:p w14:paraId="63F8BB28" w14:textId="77777777" w:rsidR="00ED23D5" w:rsidRPr="00AF1555" w:rsidRDefault="00ED23D5" w:rsidP="00ED23D5">
      <w:pPr>
        <w:tabs>
          <w:tab w:val="left" w:pos="426"/>
        </w:tabs>
        <w:spacing w:after="0" w:line="240" w:lineRule="auto"/>
        <w:jc w:val="both"/>
        <w:rPr>
          <w:rFonts w:ascii="Verdana" w:hAnsi="Verdana" w:cs="Arial"/>
          <w:b/>
          <w:lang w:eastAsia="es-CO"/>
        </w:rPr>
      </w:pPr>
      <w:r>
        <w:rPr>
          <w:rFonts w:ascii="Verdana" w:hAnsi="Verdana" w:cs="Arial"/>
          <w:b/>
          <w:lang w:eastAsia="es-CO"/>
        </w:rPr>
        <w:t>MEDIO DE CONTROL DE CONTROVERSIAS CONTRACTUALES – Caducidad – Efectos en el tiempo de los cambios de jurisprudencia</w:t>
      </w:r>
      <w:r w:rsidRPr="00AF1555">
        <w:rPr>
          <w:rFonts w:ascii="Verdana" w:hAnsi="Verdana" w:cs="Arial"/>
          <w:b/>
          <w:lang w:eastAsia="es-CO"/>
        </w:rPr>
        <w:t xml:space="preserve">  </w:t>
      </w:r>
    </w:p>
    <w:p w14:paraId="5830D4B5" w14:textId="77777777" w:rsidR="00ED23D5" w:rsidRPr="00AF1555" w:rsidRDefault="00ED23D5" w:rsidP="00ED23D5">
      <w:pPr>
        <w:tabs>
          <w:tab w:val="left" w:pos="426"/>
        </w:tabs>
        <w:spacing w:after="0" w:line="240" w:lineRule="auto"/>
        <w:jc w:val="both"/>
        <w:rPr>
          <w:rFonts w:ascii="Verdana" w:hAnsi="Verdana" w:cs="Arial"/>
          <w:b/>
          <w:sz w:val="20"/>
          <w:szCs w:val="20"/>
          <w:lang w:eastAsia="es-CO"/>
        </w:rPr>
      </w:pPr>
    </w:p>
    <w:p w14:paraId="645D0229" w14:textId="77777777" w:rsidR="00ED23D5" w:rsidRPr="00ED23D5" w:rsidRDefault="00ED23D5" w:rsidP="00ED23D5">
      <w:pPr>
        <w:spacing w:after="0" w:line="240" w:lineRule="auto"/>
        <w:jc w:val="both"/>
        <w:rPr>
          <w:rFonts w:ascii="Verdana" w:hAnsi="Verdana" w:cs="Arial"/>
          <w:bCs/>
          <w:sz w:val="20"/>
          <w:szCs w:val="20"/>
          <w:lang w:eastAsia="es-CO"/>
        </w:rPr>
      </w:pPr>
      <w:r w:rsidRPr="00ED23D5">
        <w:rPr>
          <w:rFonts w:ascii="Verdana" w:hAnsi="Verdana" w:cs="Arial"/>
          <w:bCs/>
          <w:sz w:val="20"/>
          <w:szCs w:val="20"/>
          <w:lang w:eastAsia="es-CO"/>
        </w:rPr>
        <w:t>De acuerdo con el literal j) del artículo 164.2 del CPACA, los plazos para liquidar bilateral, unilateral y judicialmente el contrato influyen en el acceso oportuno al sistema de administración de justicia. Por ello, bajo la consideración de que no en todos los negocios jurídicos suscritos por las entidades estatales se encuentra habilitada la liquidación unilateral, surge la duda de si el plazo correspondiente está o no dentro del cómputo de la caducidad. Al respecto, la Subsección B de la Sección Tercera del Consejo de Estado, en Sentencia del 20 de mayo de 2024 con ponencia del Magistrado Martín Bermúdez Muñoz, se decanta por una respuesta negativa.</w:t>
      </w:r>
    </w:p>
    <w:p w14:paraId="5F28DA00" w14:textId="77777777" w:rsidR="00ED23D5" w:rsidRPr="00ED23D5" w:rsidRDefault="00ED23D5" w:rsidP="00ED23D5">
      <w:pPr>
        <w:spacing w:after="0" w:line="240" w:lineRule="auto"/>
        <w:jc w:val="both"/>
        <w:rPr>
          <w:rFonts w:ascii="Verdana" w:hAnsi="Verdana" w:cs="Arial"/>
          <w:bCs/>
          <w:sz w:val="20"/>
          <w:szCs w:val="20"/>
          <w:lang w:eastAsia="es-CO"/>
        </w:rPr>
      </w:pPr>
    </w:p>
    <w:p w14:paraId="3D401C8C" w14:textId="77777777" w:rsidR="00ED23D5" w:rsidRPr="00ED23D5" w:rsidRDefault="00ED23D5" w:rsidP="00ED23D5">
      <w:pPr>
        <w:spacing w:after="0" w:line="240" w:lineRule="auto"/>
        <w:jc w:val="both"/>
        <w:rPr>
          <w:rFonts w:ascii="Verdana" w:eastAsia="Geomanist Light" w:hAnsi="Verdana" w:cs="Arial"/>
          <w:color w:val="000000" w:themeColor="text1"/>
          <w:sz w:val="20"/>
          <w:szCs w:val="20"/>
        </w:rPr>
      </w:pPr>
      <w:r w:rsidRPr="00ED23D5">
        <w:rPr>
          <w:rFonts w:ascii="Verdana" w:eastAsia="Geomanist Light" w:hAnsi="Verdana" w:cs="Arial"/>
          <w:color w:val="000000" w:themeColor="text1"/>
          <w:sz w:val="20"/>
          <w:szCs w:val="20"/>
        </w:rPr>
        <w:t xml:space="preserve">Conforme a la sentencia, la postura aplica a todos los convenios interadministrativos sin hacer distinción alguna, así como a los contratos exceptuados del EGCAP. En estos negocios deberá verificarse si es posible o no liquidar unilateralmente, para determinar si el plazo respectivo entra en el cómputo de la caducidad del medio de control de controversias contractuales. Respecto a la eficacia temporal de los cambios de </w:t>
      </w:r>
      <w:r w:rsidRPr="00ED23D5">
        <w:rPr>
          <w:rFonts w:ascii="Verdana" w:eastAsia="Geomanist Light" w:hAnsi="Verdana" w:cs="Arial"/>
          <w:color w:val="000000" w:themeColor="text1"/>
          <w:sz w:val="20"/>
          <w:szCs w:val="20"/>
        </w:rPr>
        <w:lastRenderedPageBreak/>
        <w:t>jurisprudencia, la Corte Constitucional resalta la importancia de que estos tengan hacia el futuro, con el objetivo de no perjudicar las expectativas legítimas de quienes acuden a la administración de justicia con fundamento en la postura superada.</w:t>
      </w:r>
    </w:p>
    <w:p w14:paraId="00B55347" w14:textId="77777777" w:rsidR="00ED23D5" w:rsidRDefault="00ED23D5" w:rsidP="009B1E07">
      <w:pPr>
        <w:spacing w:after="0" w:line="240" w:lineRule="auto"/>
        <w:jc w:val="both"/>
        <w:rPr>
          <w:rFonts w:ascii="Verdana" w:hAnsi="Verdana"/>
        </w:rPr>
      </w:pPr>
    </w:p>
    <w:p w14:paraId="40A5AB52" w14:textId="77777777" w:rsidR="00ED23D5" w:rsidRDefault="00ED23D5" w:rsidP="009B1E07">
      <w:pPr>
        <w:spacing w:after="0" w:line="240" w:lineRule="auto"/>
        <w:jc w:val="both"/>
        <w:rPr>
          <w:rFonts w:ascii="Verdana" w:hAnsi="Verdana"/>
        </w:rPr>
      </w:pPr>
    </w:p>
    <w:p w14:paraId="54F32A59" w14:textId="77777777" w:rsidR="00ED23D5" w:rsidRDefault="00ED23D5" w:rsidP="009B1E07">
      <w:pPr>
        <w:spacing w:after="0" w:line="240" w:lineRule="auto"/>
        <w:jc w:val="both"/>
        <w:rPr>
          <w:rFonts w:ascii="Verdana" w:hAnsi="Verdana"/>
        </w:rPr>
      </w:pPr>
    </w:p>
    <w:p w14:paraId="686DB395" w14:textId="77777777" w:rsidR="00ED23D5" w:rsidRDefault="00ED23D5" w:rsidP="009B1E07">
      <w:pPr>
        <w:spacing w:after="0" w:line="240" w:lineRule="auto"/>
        <w:jc w:val="both"/>
        <w:rPr>
          <w:rFonts w:ascii="Verdana" w:hAnsi="Verdana"/>
        </w:rPr>
      </w:pPr>
    </w:p>
    <w:p w14:paraId="39EF88BF" w14:textId="77777777" w:rsidR="00ED23D5" w:rsidRDefault="00ED23D5" w:rsidP="009B1E07">
      <w:pPr>
        <w:spacing w:after="0" w:line="240" w:lineRule="auto"/>
        <w:jc w:val="both"/>
        <w:rPr>
          <w:rFonts w:ascii="Verdana" w:hAnsi="Verdana"/>
        </w:rPr>
      </w:pPr>
    </w:p>
    <w:p w14:paraId="6CD2C889" w14:textId="77777777" w:rsidR="00ED23D5" w:rsidRDefault="00ED23D5" w:rsidP="009B1E07">
      <w:pPr>
        <w:spacing w:after="0" w:line="240" w:lineRule="auto"/>
        <w:jc w:val="both"/>
        <w:rPr>
          <w:rFonts w:ascii="Verdana" w:hAnsi="Verdana"/>
        </w:rPr>
      </w:pPr>
    </w:p>
    <w:p w14:paraId="3380A405" w14:textId="77777777" w:rsidR="00ED23D5" w:rsidRDefault="00ED23D5" w:rsidP="009B1E07">
      <w:pPr>
        <w:spacing w:after="0" w:line="240" w:lineRule="auto"/>
        <w:jc w:val="both"/>
        <w:rPr>
          <w:rFonts w:ascii="Verdana" w:hAnsi="Verdana"/>
        </w:rPr>
      </w:pPr>
    </w:p>
    <w:p w14:paraId="393793D3" w14:textId="77777777" w:rsidR="00ED23D5" w:rsidRDefault="00ED23D5" w:rsidP="009B1E07">
      <w:pPr>
        <w:spacing w:after="0" w:line="240" w:lineRule="auto"/>
        <w:jc w:val="both"/>
        <w:rPr>
          <w:rFonts w:ascii="Verdana" w:hAnsi="Verdana"/>
        </w:rPr>
      </w:pPr>
    </w:p>
    <w:p w14:paraId="33E7C5F7" w14:textId="77777777" w:rsidR="00ED23D5" w:rsidRDefault="00ED23D5" w:rsidP="009B1E07">
      <w:pPr>
        <w:spacing w:after="0" w:line="240" w:lineRule="auto"/>
        <w:jc w:val="both"/>
        <w:rPr>
          <w:rFonts w:ascii="Verdana" w:hAnsi="Verdana"/>
        </w:rPr>
      </w:pPr>
    </w:p>
    <w:p w14:paraId="3AC670BB" w14:textId="77777777" w:rsidR="00ED23D5" w:rsidRDefault="00ED23D5" w:rsidP="009B1E07">
      <w:pPr>
        <w:spacing w:after="0" w:line="240" w:lineRule="auto"/>
        <w:jc w:val="both"/>
        <w:rPr>
          <w:rFonts w:ascii="Verdana" w:hAnsi="Verdana"/>
        </w:rPr>
      </w:pPr>
    </w:p>
    <w:p w14:paraId="3E9607E1" w14:textId="77777777" w:rsidR="00ED23D5" w:rsidRDefault="00ED23D5" w:rsidP="009B1E07">
      <w:pPr>
        <w:spacing w:after="0" w:line="240" w:lineRule="auto"/>
        <w:jc w:val="both"/>
        <w:rPr>
          <w:rFonts w:ascii="Verdana" w:hAnsi="Verdana"/>
        </w:rPr>
      </w:pPr>
    </w:p>
    <w:p w14:paraId="066755F9" w14:textId="77777777" w:rsidR="00ED23D5" w:rsidRDefault="00ED23D5" w:rsidP="009B1E07">
      <w:pPr>
        <w:spacing w:after="0" w:line="240" w:lineRule="auto"/>
        <w:jc w:val="both"/>
        <w:rPr>
          <w:rFonts w:ascii="Verdana" w:hAnsi="Verdana"/>
        </w:rPr>
      </w:pPr>
    </w:p>
    <w:p w14:paraId="25966C27" w14:textId="77777777" w:rsidR="00ED23D5" w:rsidRDefault="00ED23D5" w:rsidP="009B1E07">
      <w:pPr>
        <w:spacing w:after="0" w:line="240" w:lineRule="auto"/>
        <w:jc w:val="both"/>
        <w:rPr>
          <w:rFonts w:ascii="Verdana" w:hAnsi="Verdana"/>
        </w:rPr>
      </w:pPr>
    </w:p>
    <w:p w14:paraId="589F7C7D" w14:textId="77777777" w:rsidR="00ED23D5" w:rsidRDefault="00ED23D5" w:rsidP="009B1E07">
      <w:pPr>
        <w:spacing w:after="0" w:line="240" w:lineRule="auto"/>
        <w:jc w:val="both"/>
        <w:rPr>
          <w:rFonts w:ascii="Verdana" w:hAnsi="Verdana"/>
        </w:rPr>
      </w:pPr>
    </w:p>
    <w:p w14:paraId="7F1B52C7" w14:textId="77777777" w:rsidR="00ED23D5" w:rsidRDefault="00ED23D5" w:rsidP="009B1E07">
      <w:pPr>
        <w:spacing w:after="0" w:line="240" w:lineRule="auto"/>
        <w:jc w:val="both"/>
        <w:rPr>
          <w:rFonts w:ascii="Verdana" w:hAnsi="Verdana"/>
        </w:rPr>
      </w:pPr>
    </w:p>
    <w:p w14:paraId="7B617FAC" w14:textId="77777777" w:rsidR="00ED23D5" w:rsidRDefault="00ED23D5" w:rsidP="009B1E07">
      <w:pPr>
        <w:spacing w:after="0" w:line="240" w:lineRule="auto"/>
        <w:jc w:val="both"/>
        <w:rPr>
          <w:rFonts w:ascii="Verdana" w:hAnsi="Verdana"/>
        </w:rPr>
      </w:pPr>
    </w:p>
    <w:p w14:paraId="5504F5DA" w14:textId="77777777" w:rsidR="00ED23D5" w:rsidRDefault="00ED23D5" w:rsidP="009B1E07">
      <w:pPr>
        <w:spacing w:after="0" w:line="240" w:lineRule="auto"/>
        <w:jc w:val="both"/>
        <w:rPr>
          <w:rFonts w:ascii="Verdana" w:hAnsi="Verdana"/>
        </w:rPr>
      </w:pPr>
    </w:p>
    <w:p w14:paraId="748D513C" w14:textId="77777777" w:rsidR="00ED23D5" w:rsidRDefault="00ED23D5" w:rsidP="009B1E07">
      <w:pPr>
        <w:spacing w:after="0" w:line="240" w:lineRule="auto"/>
        <w:jc w:val="both"/>
        <w:rPr>
          <w:rFonts w:ascii="Verdana" w:hAnsi="Verdana"/>
        </w:rPr>
      </w:pPr>
    </w:p>
    <w:p w14:paraId="7C8E1006" w14:textId="77777777" w:rsidR="00ED23D5" w:rsidRDefault="00ED23D5" w:rsidP="009B1E07">
      <w:pPr>
        <w:spacing w:after="0" w:line="240" w:lineRule="auto"/>
        <w:jc w:val="both"/>
        <w:rPr>
          <w:rFonts w:ascii="Verdana" w:hAnsi="Verdana"/>
        </w:rPr>
      </w:pPr>
    </w:p>
    <w:p w14:paraId="1981C390" w14:textId="77777777" w:rsidR="00ED23D5" w:rsidRDefault="00ED23D5" w:rsidP="009B1E07">
      <w:pPr>
        <w:spacing w:after="0" w:line="240" w:lineRule="auto"/>
        <w:jc w:val="both"/>
        <w:rPr>
          <w:rFonts w:ascii="Verdana" w:hAnsi="Verdana"/>
        </w:rPr>
      </w:pPr>
    </w:p>
    <w:p w14:paraId="5F71EC80" w14:textId="77777777" w:rsidR="00ED23D5" w:rsidRDefault="00ED23D5" w:rsidP="009B1E07">
      <w:pPr>
        <w:spacing w:after="0" w:line="240" w:lineRule="auto"/>
        <w:jc w:val="both"/>
        <w:rPr>
          <w:rFonts w:ascii="Verdana" w:hAnsi="Verdana"/>
        </w:rPr>
      </w:pPr>
    </w:p>
    <w:p w14:paraId="57F9BF80" w14:textId="77777777" w:rsidR="00ED23D5" w:rsidRDefault="00ED23D5" w:rsidP="009B1E07">
      <w:pPr>
        <w:spacing w:after="0" w:line="240" w:lineRule="auto"/>
        <w:jc w:val="both"/>
        <w:rPr>
          <w:rFonts w:ascii="Verdana" w:hAnsi="Verdana"/>
        </w:rPr>
      </w:pPr>
    </w:p>
    <w:p w14:paraId="2C5A420A" w14:textId="77777777" w:rsidR="00ED23D5" w:rsidRDefault="00ED23D5" w:rsidP="009B1E07">
      <w:pPr>
        <w:spacing w:after="0" w:line="240" w:lineRule="auto"/>
        <w:jc w:val="both"/>
        <w:rPr>
          <w:rFonts w:ascii="Verdana" w:hAnsi="Verdana"/>
        </w:rPr>
      </w:pPr>
    </w:p>
    <w:p w14:paraId="40E18022" w14:textId="77777777" w:rsidR="00ED23D5" w:rsidRDefault="00ED23D5" w:rsidP="009B1E07">
      <w:pPr>
        <w:spacing w:after="0" w:line="240" w:lineRule="auto"/>
        <w:jc w:val="both"/>
        <w:rPr>
          <w:rFonts w:ascii="Verdana" w:hAnsi="Verdana"/>
        </w:rPr>
      </w:pPr>
    </w:p>
    <w:p w14:paraId="07E18A2A" w14:textId="77777777" w:rsidR="00ED23D5" w:rsidRDefault="00ED23D5" w:rsidP="009B1E07">
      <w:pPr>
        <w:spacing w:after="0" w:line="240" w:lineRule="auto"/>
        <w:jc w:val="both"/>
        <w:rPr>
          <w:rFonts w:ascii="Verdana" w:hAnsi="Verdana"/>
        </w:rPr>
      </w:pPr>
    </w:p>
    <w:p w14:paraId="6D304D27" w14:textId="77777777" w:rsidR="00ED23D5" w:rsidRDefault="00ED23D5" w:rsidP="009B1E07">
      <w:pPr>
        <w:spacing w:after="0" w:line="240" w:lineRule="auto"/>
        <w:jc w:val="both"/>
        <w:rPr>
          <w:rFonts w:ascii="Verdana" w:hAnsi="Verdana"/>
        </w:rPr>
      </w:pPr>
    </w:p>
    <w:p w14:paraId="13EB79B6" w14:textId="77777777" w:rsidR="00ED23D5" w:rsidRDefault="00ED23D5" w:rsidP="009B1E07">
      <w:pPr>
        <w:spacing w:after="0" w:line="240" w:lineRule="auto"/>
        <w:jc w:val="both"/>
        <w:rPr>
          <w:rFonts w:ascii="Verdana" w:hAnsi="Verdana"/>
        </w:rPr>
      </w:pPr>
    </w:p>
    <w:p w14:paraId="2A2996A7" w14:textId="77777777" w:rsidR="00ED23D5" w:rsidRDefault="00ED23D5" w:rsidP="009B1E07">
      <w:pPr>
        <w:spacing w:after="0" w:line="240" w:lineRule="auto"/>
        <w:jc w:val="both"/>
        <w:rPr>
          <w:rFonts w:ascii="Verdana" w:hAnsi="Verdana"/>
        </w:rPr>
      </w:pPr>
    </w:p>
    <w:p w14:paraId="4C45D867" w14:textId="77777777" w:rsidR="00ED23D5" w:rsidRDefault="00ED23D5" w:rsidP="009B1E07">
      <w:pPr>
        <w:spacing w:after="0" w:line="240" w:lineRule="auto"/>
        <w:jc w:val="both"/>
        <w:rPr>
          <w:rFonts w:ascii="Verdana" w:hAnsi="Verdana"/>
        </w:rPr>
      </w:pPr>
    </w:p>
    <w:p w14:paraId="4350C956" w14:textId="77777777" w:rsidR="00ED23D5" w:rsidRDefault="00ED23D5" w:rsidP="009B1E07">
      <w:pPr>
        <w:spacing w:after="0" w:line="240" w:lineRule="auto"/>
        <w:jc w:val="both"/>
        <w:rPr>
          <w:rFonts w:ascii="Verdana" w:hAnsi="Verdana"/>
        </w:rPr>
      </w:pPr>
    </w:p>
    <w:p w14:paraId="3CC0207D" w14:textId="77777777" w:rsidR="00ED23D5" w:rsidRDefault="00ED23D5" w:rsidP="009B1E07">
      <w:pPr>
        <w:spacing w:after="0" w:line="240" w:lineRule="auto"/>
        <w:jc w:val="both"/>
        <w:rPr>
          <w:rFonts w:ascii="Verdana" w:hAnsi="Verdana"/>
        </w:rPr>
      </w:pPr>
    </w:p>
    <w:p w14:paraId="10492860" w14:textId="77777777" w:rsidR="00ED23D5" w:rsidRDefault="00ED23D5" w:rsidP="009B1E07">
      <w:pPr>
        <w:spacing w:after="0" w:line="240" w:lineRule="auto"/>
        <w:jc w:val="both"/>
        <w:rPr>
          <w:rFonts w:ascii="Verdana" w:hAnsi="Verdana"/>
        </w:rPr>
      </w:pPr>
    </w:p>
    <w:p w14:paraId="1B730849" w14:textId="77777777" w:rsidR="00ED23D5" w:rsidRDefault="00ED23D5" w:rsidP="009B1E07">
      <w:pPr>
        <w:spacing w:after="0" w:line="240" w:lineRule="auto"/>
        <w:jc w:val="both"/>
        <w:rPr>
          <w:rFonts w:ascii="Verdana" w:hAnsi="Verdana"/>
        </w:rPr>
      </w:pPr>
    </w:p>
    <w:p w14:paraId="6A426421" w14:textId="77777777" w:rsidR="00ED23D5" w:rsidRDefault="00ED23D5" w:rsidP="009B1E07">
      <w:pPr>
        <w:spacing w:after="0" w:line="240" w:lineRule="auto"/>
        <w:jc w:val="both"/>
        <w:rPr>
          <w:rFonts w:ascii="Verdana" w:hAnsi="Verdana"/>
        </w:rPr>
      </w:pPr>
    </w:p>
    <w:p w14:paraId="272666BC" w14:textId="77777777" w:rsidR="00ED23D5" w:rsidRDefault="00ED23D5" w:rsidP="009B1E07">
      <w:pPr>
        <w:spacing w:after="0" w:line="240" w:lineRule="auto"/>
        <w:jc w:val="both"/>
        <w:rPr>
          <w:rFonts w:ascii="Verdana" w:hAnsi="Verdana"/>
        </w:rPr>
      </w:pPr>
    </w:p>
    <w:p w14:paraId="3E62EAA2" w14:textId="77777777" w:rsidR="00ED23D5" w:rsidRDefault="00ED23D5" w:rsidP="009B1E07">
      <w:pPr>
        <w:spacing w:after="0" w:line="240" w:lineRule="auto"/>
        <w:jc w:val="both"/>
        <w:rPr>
          <w:rFonts w:ascii="Verdana" w:hAnsi="Verdana"/>
        </w:rPr>
      </w:pPr>
    </w:p>
    <w:p w14:paraId="0FBC1569" w14:textId="77777777" w:rsidR="00ED23D5" w:rsidRDefault="00ED23D5" w:rsidP="009B1E07">
      <w:pPr>
        <w:spacing w:after="0" w:line="240" w:lineRule="auto"/>
        <w:jc w:val="both"/>
        <w:rPr>
          <w:rFonts w:ascii="Verdana" w:hAnsi="Verdana"/>
        </w:rPr>
      </w:pPr>
    </w:p>
    <w:p w14:paraId="108D5981" w14:textId="77777777" w:rsidR="00ED23D5" w:rsidRDefault="00ED23D5" w:rsidP="009B1E07">
      <w:pPr>
        <w:spacing w:after="0" w:line="240" w:lineRule="auto"/>
        <w:jc w:val="both"/>
        <w:rPr>
          <w:rFonts w:ascii="Verdana" w:hAnsi="Verdana"/>
        </w:rPr>
      </w:pPr>
    </w:p>
    <w:p w14:paraId="7C515C39" w14:textId="77777777" w:rsidR="00ED23D5" w:rsidRDefault="00ED23D5" w:rsidP="009B1E07">
      <w:pPr>
        <w:spacing w:after="0" w:line="240" w:lineRule="auto"/>
        <w:jc w:val="both"/>
        <w:rPr>
          <w:rFonts w:ascii="Verdana" w:hAnsi="Verdana"/>
        </w:rPr>
      </w:pPr>
    </w:p>
    <w:p w14:paraId="0BF08A72" w14:textId="33150C29" w:rsidR="009B1E07" w:rsidRPr="008E4F36" w:rsidRDefault="00ED23D5" w:rsidP="009B1E07">
      <w:pPr>
        <w:spacing w:after="0" w:line="240" w:lineRule="auto"/>
        <w:jc w:val="both"/>
        <w:rPr>
          <w:rFonts w:ascii="Verdana" w:hAnsi="Verdana"/>
        </w:rPr>
      </w:pPr>
      <w:r w:rsidRPr="00ED23D5">
        <w:rPr>
          <w:rFonts w:ascii="Verdana" w:hAnsi="Verdana"/>
        </w:rPr>
        <w:lastRenderedPageBreak/>
        <w:t xml:space="preserve">Bogotá D.C., 17 </w:t>
      </w:r>
      <w:r w:rsidRPr="00ED23D5">
        <w:rPr>
          <w:rFonts w:ascii="Verdana" w:hAnsi="Verdana"/>
        </w:rPr>
        <w:t>junio</w:t>
      </w:r>
      <w:r w:rsidRPr="00ED23D5">
        <w:rPr>
          <w:rFonts w:ascii="Verdana" w:hAnsi="Verdana"/>
        </w:rPr>
        <w:t xml:space="preserve"> 2026</w:t>
      </w:r>
      <w:r>
        <w:rPr>
          <w:rFonts w:ascii="Verdana" w:hAnsi="Verdana"/>
        </w:rPr>
        <w:t xml:space="preserve"> </w:t>
      </w:r>
    </w:p>
    <w:p w14:paraId="4E46694A" w14:textId="77777777" w:rsidR="009B1E07" w:rsidRPr="003A469B" w:rsidRDefault="009B1E07" w:rsidP="009B1E07">
      <w:pPr>
        <w:spacing w:after="0" w:line="240" w:lineRule="auto"/>
        <w:jc w:val="both"/>
        <w:rPr>
          <w:rFonts w:ascii="Verdana" w:eastAsia="Calibri" w:hAnsi="Verdana" w:cs="Arial"/>
          <w:lang w:eastAsia="es-ES"/>
        </w:rPr>
      </w:pPr>
      <w:bookmarkStart w:id="0" w:name="_Hlk197462763"/>
      <w:bookmarkStart w:id="1" w:name="_Hlk197529996"/>
    </w:p>
    <w:p w14:paraId="761DF0DF" w14:textId="61A5AB06" w:rsidR="00ED23D5" w:rsidRDefault="00ED23D5" w:rsidP="009B1E07">
      <w:pPr>
        <w:spacing w:after="0" w:line="240" w:lineRule="auto"/>
        <w:jc w:val="both"/>
        <w:rPr>
          <w:rFonts w:ascii="Verdana" w:eastAsia="Calibri" w:hAnsi="Verdana" w:cs="Arial"/>
          <w:lang w:eastAsia="es-ES"/>
        </w:rPr>
      </w:pPr>
      <w:r w:rsidRPr="00ED23D5">
        <w:rPr>
          <w:rFonts w:ascii="Verdana" w:eastAsia="Calibri" w:hAnsi="Verdana" w:cs="Arial"/>
          <w:lang w:eastAsia="es-ES"/>
        </w:rPr>
        <w:drawing>
          <wp:anchor distT="0" distB="0" distL="114300" distR="114300" simplePos="0" relativeHeight="251659264" behindDoc="1" locked="0" layoutInCell="1" allowOverlap="1" wp14:anchorId="1230306C" wp14:editId="585150EE">
            <wp:simplePos x="0" y="0"/>
            <wp:positionH relativeFrom="column">
              <wp:posOffset>3465439</wp:posOffset>
            </wp:positionH>
            <wp:positionV relativeFrom="paragraph">
              <wp:posOffset>94176</wp:posOffset>
            </wp:positionV>
            <wp:extent cx="2495550" cy="742950"/>
            <wp:effectExtent l="0" t="0" r="0" b="0"/>
            <wp:wrapTight wrapText="bothSides">
              <wp:wrapPolygon edited="0">
                <wp:start x="0" y="0"/>
                <wp:lineTo x="0" y="21046"/>
                <wp:lineTo x="21435" y="21046"/>
                <wp:lineTo x="21435" y="0"/>
                <wp:lineTo x="0" y="0"/>
              </wp:wrapPolygon>
            </wp:wrapTight>
            <wp:docPr id="2874851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485102" name=""/>
                    <pic:cNvPicPr/>
                  </pic:nvPicPr>
                  <pic:blipFill>
                    <a:blip r:embed="rId10">
                      <a:extLst>
                        <a:ext uri="{28A0092B-C50C-407E-A947-70E740481C1C}">
                          <a14:useLocalDpi xmlns:a14="http://schemas.microsoft.com/office/drawing/2010/main" val="0"/>
                        </a:ext>
                      </a:extLst>
                    </a:blip>
                    <a:stretch>
                      <a:fillRect/>
                    </a:stretch>
                  </pic:blipFill>
                  <pic:spPr>
                    <a:xfrm>
                      <a:off x="0" y="0"/>
                      <a:ext cx="2495550" cy="742950"/>
                    </a:xfrm>
                    <a:prstGeom prst="rect">
                      <a:avLst/>
                    </a:prstGeom>
                  </pic:spPr>
                </pic:pic>
              </a:graphicData>
            </a:graphic>
          </wp:anchor>
        </w:drawing>
      </w:r>
    </w:p>
    <w:p w14:paraId="3286C121" w14:textId="54B21577" w:rsidR="00ED23D5" w:rsidRDefault="00ED23D5" w:rsidP="009B1E07">
      <w:pPr>
        <w:spacing w:after="0" w:line="240" w:lineRule="auto"/>
        <w:jc w:val="both"/>
        <w:rPr>
          <w:rFonts w:ascii="Verdana" w:eastAsia="Calibri" w:hAnsi="Verdana" w:cs="Arial"/>
          <w:lang w:eastAsia="es-ES"/>
        </w:rPr>
      </w:pPr>
    </w:p>
    <w:p w14:paraId="38278BB2" w14:textId="7EE63C56" w:rsidR="00ED23D5" w:rsidRDefault="00ED23D5" w:rsidP="009B1E07">
      <w:pPr>
        <w:spacing w:after="0" w:line="240" w:lineRule="auto"/>
        <w:jc w:val="both"/>
        <w:rPr>
          <w:rFonts w:ascii="Verdana" w:eastAsia="Calibri" w:hAnsi="Verdana" w:cs="Arial"/>
          <w:lang w:eastAsia="es-ES"/>
        </w:rPr>
      </w:pPr>
    </w:p>
    <w:p w14:paraId="7E4223F4" w14:textId="584BFC61" w:rsidR="009B1E07" w:rsidRPr="003A469B" w:rsidRDefault="009B1E07" w:rsidP="009B1E07">
      <w:pPr>
        <w:spacing w:after="0" w:line="240" w:lineRule="auto"/>
        <w:jc w:val="both"/>
        <w:rPr>
          <w:rFonts w:ascii="Verdana" w:eastAsia="Calibri" w:hAnsi="Verdana" w:cs="Arial"/>
          <w:lang w:eastAsia="es-ES"/>
        </w:rPr>
      </w:pPr>
      <w:r w:rsidRPr="003A469B">
        <w:rPr>
          <w:rFonts w:ascii="Verdana" w:eastAsia="Calibri" w:hAnsi="Verdana" w:cs="Arial"/>
          <w:lang w:eastAsia="es-ES"/>
        </w:rPr>
        <w:t>Señora</w:t>
      </w:r>
    </w:p>
    <w:p w14:paraId="4A6A534F" w14:textId="77777777" w:rsidR="009B1E07" w:rsidRDefault="009B1E07" w:rsidP="009B1E07">
      <w:pPr>
        <w:spacing w:after="0" w:line="240" w:lineRule="auto"/>
        <w:jc w:val="both"/>
        <w:rPr>
          <w:rFonts w:ascii="Verdana" w:eastAsia="Calibri" w:hAnsi="Verdana" w:cs="Arial"/>
          <w:b/>
          <w:lang w:eastAsia="es-ES_tradnl"/>
        </w:rPr>
      </w:pPr>
      <w:r w:rsidRPr="003A469B">
        <w:rPr>
          <w:rFonts w:ascii="Verdana" w:eastAsia="Calibri" w:hAnsi="Verdana" w:cs="Arial"/>
          <w:b/>
          <w:lang w:eastAsia="es-ES_tradnl"/>
        </w:rPr>
        <w:t xml:space="preserve">Martha Liliana González Martínez </w:t>
      </w:r>
    </w:p>
    <w:p w14:paraId="6C0AC75A" w14:textId="6E72A17E" w:rsidR="009B1E07" w:rsidRPr="000A1C1D" w:rsidRDefault="009B1E07" w:rsidP="009B1E07">
      <w:pPr>
        <w:spacing w:after="0" w:line="240" w:lineRule="auto"/>
        <w:jc w:val="both"/>
        <w:rPr>
          <w:rFonts w:ascii="Verdana" w:eastAsia="Calibri" w:hAnsi="Verdana" w:cs="Arial"/>
          <w:bCs/>
          <w:lang w:eastAsia="es-ES_tradnl"/>
        </w:rPr>
      </w:pPr>
      <w:r w:rsidRPr="000A1C1D">
        <w:rPr>
          <w:rFonts w:ascii="Verdana" w:eastAsia="Calibri" w:hAnsi="Verdana" w:cs="Arial"/>
          <w:bCs/>
          <w:lang w:eastAsia="es-ES_tradnl"/>
        </w:rPr>
        <w:t xml:space="preserve">Instituto </w:t>
      </w:r>
      <w:r w:rsidR="002870F6">
        <w:rPr>
          <w:rFonts w:ascii="Verdana" w:eastAsia="Calibri" w:hAnsi="Verdana" w:cs="Arial"/>
          <w:bCs/>
          <w:lang w:eastAsia="es-ES_tradnl"/>
        </w:rPr>
        <w:t>D</w:t>
      </w:r>
      <w:r w:rsidRPr="000A1C1D">
        <w:rPr>
          <w:rFonts w:ascii="Verdana" w:eastAsia="Calibri" w:hAnsi="Verdana" w:cs="Arial"/>
          <w:bCs/>
          <w:lang w:eastAsia="es-ES_tradnl"/>
        </w:rPr>
        <w:t>e Desarrollo Urbano - I</w:t>
      </w:r>
      <w:r>
        <w:rPr>
          <w:rFonts w:ascii="Verdana" w:eastAsia="Calibri" w:hAnsi="Verdana" w:cs="Arial"/>
          <w:bCs/>
          <w:lang w:eastAsia="es-ES_tradnl"/>
        </w:rPr>
        <w:t>DU</w:t>
      </w:r>
    </w:p>
    <w:p w14:paraId="748EB6BC" w14:textId="77777777" w:rsidR="009B1E07" w:rsidRPr="003A469B" w:rsidRDefault="009B1E07" w:rsidP="009B1E07">
      <w:pPr>
        <w:spacing w:after="0" w:line="240" w:lineRule="auto"/>
        <w:jc w:val="both"/>
        <w:rPr>
          <w:rFonts w:ascii="Verdana" w:eastAsia="Calibri" w:hAnsi="Verdana" w:cs="Arial"/>
          <w:bCs/>
          <w:lang w:eastAsia="es-ES_tradnl"/>
        </w:rPr>
      </w:pPr>
      <w:hyperlink r:id="rId11" w:history="1">
        <w:r w:rsidRPr="00E77D8C">
          <w:rPr>
            <w:rStyle w:val="Hipervnculo"/>
            <w:rFonts w:ascii="Verdana" w:eastAsia="Calibri" w:hAnsi="Verdana" w:cs="Arial"/>
            <w:bCs/>
            <w:lang w:eastAsia="es-ES_tradnl"/>
          </w:rPr>
          <w:t>sistemagestiondocumental@idu.gov.co</w:t>
        </w:r>
      </w:hyperlink>
    </w:p>
    <w:p w14:paraId="220551FF" w14:textId="77777777" w:rsidR="009B1E07" w:rsidRPr="003A469B" w:rsidRDefault="009B1E07" w:rsidP="009B1E07">
      <w:pPr>
        <w:spacing w:after="0" w:line="240" w:lineRule="auto"/>
        <w:jc w:val="both"/>
        <w:rPr>
          <w:rFonts w:ascii="Verdana" w:eastAsia="Calibri" w:hAnsi="Verdana" w:cs="Arial"/>
          <w:bCs/>
          <w:lang w:eastAsia="es-ES_tradnl"/>
        </w:rPr>
      </w:pPr>
      <w:r w:rsidRPr="003A469B">
        <w:rPr>
          <w:rFonts w:ascii="Verdana" w:eastAsia="Calibri" w:hAnsi="Verdana" w:cs="Arial"/>
          <w:bCs/>
          <w:lang w:eastAsia="es-ES_tradnl"/>
        </w:rPr>
        <w:t xml:space="preserve">Ciudad </w:t>
      </w:r>
    </w:p>
    <w:p w14:paraId="41275550" w14:textId="77777777" w:rsidR="009B1E07" w:rsidRPr="005B4C57" w:rsidRDefault="009B1E07" w:rsidP="009B1E07">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9B1E07" w:rsidRPr="002842E0" w14:paraId="308AE785" w14:textId="77777777" w:rsidTr="00E1677E">
        <w:trPr>
          <w:trHeight w:val="162"/>
        </w:trPr>
        <w:tc>
          <w:tcPr>
            <w:tcW w:w="3119" w:type="dxa"/>
          </w:tcPr>
          <w:p w14:paraId="1D00C850" w14:textId="77777777" w:rsidR="009B1E07" w:rsidRPr="005B4C57" w:rsidRDefault="009B1E07" w:rsidP="00E1677E">
            <w:pPr>
              <w:jc w:val="both"/>
              <w:rPr>
                <w:rFonts w:ascii="Verdana" w:eastAsia="Calibri" w:hAnsi="Verdana" w:cs="Arial"/>
                <w:b/>
                <w:bCs/>
                <w:color w:val="7030A0"/>
                <w:lang w:val="it-CH" w:eastAsia="es-ES_tradnl"/>
              </w:rPr>
            </w:pPr>
          </w:p>
        </w:tc>
        <w:tc>
          <w:tcPr>
            <w:tcW w:w="5670" w:type="dxa"/>
          </w:tcPr>
          <w:p w14:paraId="42116E45" w14:textId="77777777" w:rsidR="009B1E07" w:rsidRPr="00801462" w:rsidRDefault="009B1E07" w:rsidP="00E1677E">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748 de 2026</w:t>
            </w:r>
          </w:p>
          <w:p w14:paraId="31C0124D" w14:textId="77777777" w:rsidR="009B1E07" w:rsidRPr="00801462" w:rsidRDefault="009B1E07" w:rsidP="00E1677E">
            <w:pPr>
              <w:jc w:val="both"/>
              <w:rPr>
                <w:rFonts w:ascii="Verdana" w:eastAsia="Calibri" w:hAnsi="Verdana" w:cs="Arial"/>
                <w:b/>
                <w:bCs/>
                <w:color w:val="7030A0"/>
                <w:lang w:eastAsia="es-ES"/>
              </w:rPr>
            </w:pPr>
          </w:p>
        </w:tc>
      </w:tr>
      <w:tr w:rsidR="009B1E07" w:rsidRPr="002842E0" w14:paraId="1CA87A84" w14:textId="77777777" w:rsidTr="00E1677E">
        <w:trPr>
          <w:trHeight w:val="884"/>
        </w:trPr>
        <w:tc>
          <w:tcPr>
            <w:tcW w:w="3119" w:type="dxa"/>
          </w:tcPr>
          <w:p w14:paraId="5BE0A119" w14:textId="77777777" w:rsidR="009B1E07" w:rsidRPr="00801462" w:rsidRDefault="009B1E07" w:rsidP="00E1677E">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5391165F" w14:textId="77777777" w:rsidR="009B1E07" w:rsidRPr="00A11406" w:rsidRDefault="009B1E07" w:rsidP="00E1677E">
            <w:pPr>
              <w:spacing w:line="0" w:lineRule="atLeast"/>
              <w:jc w:val="both"/>
              <w:rPr>
                <w:rFonts w:ascii="Verdana" w:eastAsia="Calibri" w:hAnsi="Verdana" w:cs="Arial"/>
                <w:lang w:val="es-ES" w:eastAsia="es-ES"/>
              </w:rPr>
            </w:pPr>
            <w:r w:rsidRPr="003C1B7C">
              <w:rPr>
                <w:rFonts w:ascii="Verdana" w:eastAsia="Calibri" w:hAnsi="Verdana" w:cs="Arial"/>
                <w:lang w:val="es-ES" w:eastAsia="es-ES"/>
              </w:rPr>
              <w:t xml:space="preserve">LIQUIDACIÓN DEL CONTRATO – Definición – Objetivo </w:t>
            </w:r>
            <w:r>
              <w:rPr>
                <w:rFonts w:ascii="Verdana" w:eastAsia="Calibri" w:hAnsi="Verdana" w:cs="Arial"/>
                <w:lang w:val="es-ES" w:eastAsia="es-ES"/>
              </w:rPr>
              <w:t xml:space="preserve">/ </w:t>
            </w:r>
            <w:r w:rsidRPr="003C1B7C">
              <w:rPr>
                <w:rFonts w:ascii="Verdana" w:eastAsia="Calibri" w:hAnsi="Verdana" w:cs="Arial"/>
                <w:lang w:val="es-ES" w:eastAsia="es-ES"/>
              </w:rPr>
              <w:t>LIQUIDACIÓN DEL CONTRATO – Normativa – Oportunidad</w:t>
            </w:r>
            <w:r>
              <w:rPr>
                <w:rFonts w:ascii="Verdana" w:eastAsia="Calibri" w:hAnsi="Verdana" w:cs="Arial"/>
                <w:lang w:val="es-ES" w:eastAsia="es-ES"/>
              </w:rPr>
              <w:t xml:space="preserve"> / </w:t>
            </w:r>
            <w:r w:rsidRPr="003C1B7C">
              <w:rPr>
                <w:rFonts w:ascii="Verdana" w:eastAsia="Calibri" w:hAnsi="Verdana" w:cs="Arial"/>
                <w:lang w:val="es-ES" w:eastAsia="es-ES"/>
              </w:rPr>
              <w:t xml:space="preserve">MEDIO DE CONTROL DE CONTROVERSIAS CONTRACTUALES – Caducidad – Efectos en el tiempo de los cambios de jurisprudencia  </w:t>
            </w:r>
            <w:r w:rsidRPr="00B6323A">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00140FA2" w14:textId="77777777" w:rsidR="009B1E07" w:rsidRPr="00615550" w:rsidRDefault="009B1E07" w:rsidP="00E1677E">
            <w:pPr>
              <w:jc w:val="both"/>
              <w:rPr>
                <w:rFonts w:ascii="Verdana" w:eastAsia="Calibri" w:hAnsi="Verdana" w:cs="Arial"/>
                <w:lang w:val="es-ES" w:eastAsia="es-ES"/>
              </w:rPr>
            </w:pPr>
          </w:p>
        </w:tc>
      </w:tr>
      <w:tr w:rsidR="009B1E07" w:rsidRPr="002842E0" w14:paraId="4D9F4A64" w14:textId="77777777" w:rsidTr="00E1677E">
        <w:tc>
          <w:tcPr>
            <w:tcW w:w="3119" w:type="dxa"/>
          </w:tcPr>
          <w:p w14:paraId="0670EA6E" w14:textId="77777777" w:rsidR="009B1E07" w:rsidRPr="00801462" w:rsidRDefault="009B1E07" w:rsidP="00E1677E">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34DE4239" w14:textId="77777777" w:rsidR="009B1E07" w:rsidRPr="00C84654" w:rsidRDefault="009B1E07" w:rsidP="00E1677E">
            <w:pPr>
              <w:jc w:val="both"/>
              <w:rPr>
                <w:rFonts w:ascii="Verdana" w:eastAsia="Calibri" w:hAnsi="Verdana" w:cs="Arial"/>
                <w:lang w:eastAsia="es-ES_tradnl"/>
              </w:rPr>
            </w:pPr>
            <w:r w:rsidRPr="00E71927">
              <w:rPr>
                <w:rFonts w:ascii="Verdana" w:eastAsia="Calibri" w:hAnsi="Verdana" w:cs="Arial"/>
                <w:color w:val="000000" w:themeColor="text1"/>
                <w:lang w:eastAsia="es-ES_tradnl"/>
              </w:rPr>
              <w:t xml:space="preserve">Respuesta a consulta con radicado 1_2026_05_05_006079  </w:t>
            </w:r>
          </w:p>
        </w:tc>
      </w:tr>
    </w:tbl>
    <w:p w14:paraId="72F5B551" w14:textId="77777777" w:rsidR="009B1E07" w:rsidRDefault="009B1E07" w:rsidP="009B1E07">
      <w:pPr>
        <w:spacing w:after="0" w:line="276" w:lineRule="auto"/>
        <w:jc w:val="both"/>
        <w:rPr>
          <w:rFonts w:ascii="Verdana" w:eastAsia="Calibri" w:hAnsi="Verdana" w:cs="Arial"/>
          <w:lang w:eastAsia="es-ES_tradnl"/>
        </w:rPr>
      </w:pPr>
    </w:p>
    <w:p w14:paraId="5739E035" w14:textId="77777777" w:rsidR="009B1E07" w:rsidRPr="008E4F36" w:rsidRDefault="009B1E07" w:rsidP="00603F51">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a</w:t>
      </w:r>
      <w:r w:rsidRPr="00083AB6">
        <w:rPr>
          <w:rFonts w:ascii="Verdana" w:eastAsia="Calibri" w:hAnsi="Verdana" w:cs="Arial"/>
          <w:lang w:eastAsia="es-ES"/>
        </w:rPr>
        <w:t xml:space="preserve"> señor</w:t>
      </w:r>
      <w:r>
        <w:rPr>
          <w:rFonts w:ascii="Verdana" w:eastAsia="Calibri" w:hAnsi="Verdana" w:cs="Arial"/>
          <w:lang w:eastAsia="es-ES"/>
        </w:rPr>
        <w:t xml:space="preserve">a </w:t>
      </w:r>
      <w:r>
        <w:rPr>
          <w:rFonts w:ascii="Verdana" w:eastAsia="Calibri" w:hAnsi="Verdana" w:cs="Arial"/>
          <w:bCs/>
          <w:lang w:eastAsia="es-ES_tradnl"/>
        </w:rPr>
        <w:t>Martha</w:t>
      </w:r>
      <w:r w:rsidRPr="00083AB6">
        <w:rPr>
          <w:rFonts w:ascii="Verdana" w:eastAsia="Calibri" w:hAnsi="Verdana" w:cs="Arial"/>
          <w:lang w:eastAsia="es-ES"/>
        </w:rPr>
        <w:t>:</w:t>
      </w:r>
      <w:r w:rsidRPr="008E4F36">
        <w:rPr>
          <w:rFonts w:ascii="Verdana" w:eastAsia="Calibri" w:hAnsi="Verdana" w:cs="Arial"/>
          <w:lang w:eastAsia="es-ES"/>
        </w:rPr>
        <w:t xml:space="preserve"> </w:t>
      </w:r>
    </w:p>
    <w:p w14:paraId="625B2DCA" w14:textId="77777777" w:rsidR="009B1E07" w:rsidRDefault="009B1E07" w:rsidP="00BA0280">
      <w:pPr>
        <w:tabs>
          <w:tab w:val="left" w:pos="3768"/>
        </w:tabs>
        <w:spacing w:after="0" w:line="276" w:lineRule="auto"/>
        <w:jc w:val="both"/>
        <w:rPr>
          <w:rFonts w:ascii="Verdana" w:eastAsia="Calibri" w:hAnsi="Verdana" w:cs="Arial"/>
          <w:lang w:eastAsia="es-ES"/>
        </w:rPr>
      </w:pPr>
    </w:p>
    <w:p w14:paraId="5EF884BC" w14:textId="25C99135" w:rsidR="009B1E07" w:rsidRPr="008E4F36" w:rsidRDefault="009B1E07" w:rsidP="00603F51">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 xml:space="preserve">05 </w:t>
      </w:r>
      <w:r w:rsidRPr="00AF6D58">
        <w:rPr>
          <w:rFonts w:ascii="Verdana" w:eastAsia="Calibri" w:hAnsi="Verdana" w:cs="Arial"/>
          <w:lang w:eastAsia="es-ES"/>
        </w:rPr>
        <w:t xml:space="preserve">de </w:t>
      </w:r>
      <w:r w:rsidR="00A15981">
        <w:rPr>
          <w:rFonts w:ascii="Verdana" w:eastAsia="Calibri" w:hAnsi="Verdana" w:cs="Arial"/>
          <w:lang w:eastAsia="es-ES"/>
        </w:rPr>
        <w:t>mayo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7F08FEC7" w14:textId="77777777" w:rsidR="009B1E07" w:rsidRPr="008C54F3" w:rsidRDefault="009B1E07" w:rsidP="00BA0280">
      <w:pPr>
        <w:spacing w:after="0" w:line="276" w:lineRule="auto"/>
        <w:ind w:left="709" w:right="709"/>
        <w:jc w:val="both"/>
        <w:rPr>
          <w:rFonts w:ascii="Verdana" w:eastAsia="Calibri" w:hAnsi="Verdana" w:cs="Arial"/>
          <w:color w:val="000000" w:themeColor="text1"/>
          <w:sz w:val="20"/>
          <w:szCs w:val="20"/>
        </w:rPr>
      </w:pPr>
    </w:p>
    <w:p w14:paraId="17231A5F" w14:textId="77777777" w:rsidR="009B1E07" w:rsidRDefault="009B1E07" w:rsidP="00603F51">
      <w:pPr>
        <w:spacing w:after="0"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8C54F3">
        <w:rPr>
          <w:rFonts w:ascii="Verdana" w:eastAsia="Calibri" w:hAnsi="Verdana" w:cs="Arial"/>
          <w:i/>
          <w:iCs/>
          <w:color w:val="000000" w:themeColor="text1"/>
          <w:sz w:val="20"/>
          <w:szCs w:val="20"/>
        </w:rPr>
        <w:t>“</w:t>
      </w:r>
      <w:bookmarkEnd w:id="2"/>
      <w:bookmarkEnd w:id="3"/>
      <w:r w:rsidRPr="00C07A49">
        <w:rPr>
          <w:rFonts w:ascii="Verdana" w:eastAsia="Calibri" w:hAnsi="Verdana" w:cs="Arial"/>
          <w:i/>
          <w:iCs/>
          <w:color w:val="000000" w:themeColor="text1"/>
          <w:sz w:val="20"/>
          <w:szCs w:val="20"/>
        </w:rPr>
        <w:t>El artículo 60 de la Ley 80 de 1993, establece la liquidación como una etapa de</w:t>
      </w:r>
      <w:r>
        <w:rPr>
          <w:rFonts w:ascii="Verdana" w:eastAsia="Calibri" w:hAnsi="Verdana" w:cs="Arial"/>
          <w:i/>
          <w:iCs/>
          <w:color w:val="000000" w:themeColor="text1"/>
          <w:sz w:val="20"/>
          <w:szCs w:val="20"/>
        </w:rPr>
        <w:t xml:space="preserve"> </w:t>
      </w:r>
      <w:r w:rsidRPr="00C07A49">
        <w:rPr>
          <w:rFonts w:ascii="Verdana" w:eastAsia="Calibri" w:hAnsi="Verdana" w:cs="Arial"/>
          <w:i/>
          <w:iCs/>
          <w:color w:val="000000" w:themeColor="text1"/>
          <w:sz w:val="20"/>
          <w:szCs w:val="20"/>
        </w:rPr>
        <w:t>balance definitivo de la ejecución contractual a la terminación del</w:t>
      </w:r>
      <w:r>
        <w:rPr>
          <w:rFonts w:ascii="Verdana" w:eastAsia="Calibri" w:hAnsi="Verdana" w:cs="Arial"/>
          <w:i/>
          <w:iCs/>
          <w:color w:val="000000" w:themeColor="text1"/>
          <w:sz w:val="20"/>
          <w:szCs w:val="20"/>
        </w:rPr>
        <w:t xml:space="preserve"> </w:t>
      </w:r>
      <w:r w:rsidRPr="00C07A49">
        <w:rPr>
          <w:rFonts w:ascii="Verdana" w:eastAsia="Calibri" w:hAnsi="Verdana" w:cs="Arial"/>
          <w:i/>
          <w:iCs/>
          <w:color w:val="000000" w:themeColor="text1"/>
          <w:sz w:val="20"/>
          <w:szCs w:val="20"/>
        </w:rPr>
        <w:t xml:space="preserve">correspondiente negocio jurídico, en la cual se determinan las cuentas </w:t>
      </w:r>
      <w:proofErr w:type="spellStart"/>
      <w:r w:rsidRPr="00C07A49">
        <w:rPr>
          <w:rFonts w:ascii="Verdana" w:eastAsia="Calibri" w:hAnsi="Verdana" w:cs="Arial"/>
          <w:i/>
          <w:iCs/>
          <w:color w:val="000000" w:themeColor="text1"/>
          <w:sz w:val="20"/>
          <w:szCs w:val="20"/>
        </w:rPr>
        <w:t>finales,los</w:t>
      </w:r>
      <w:proofErr w:type="spellEnd"/>
      <w:r w:rsidRPr="00C07A49">
        <w:rPr>
          <w:rFonts w:ascii="Verdana" w:eastAsia="Calibri" w:hAnsi="Verdana" w:cs="Arial"/>
          <w:i/>
          <w:iCs/>
          <w:color w:val="000000" w:themeColor="text1"/>
          <w:sz w:val="20"/>
          <w:szCs w:val="20"/>
        </w:rPr>
        <w:t xml:space="preserve"> derechos y obligaciones pendientes y las reclamaciones entre las partes,</w:t>
      </w:r>
      <w:r>
        <w:rPr>
          <w:rFonts w:ascii="Verdana" w:eastAsia="Calibri" w:hAnsi="Verdana" w:cs="Arial"/>
          <w:i/>
          <w:iCs/>
          <w:color w:val="000000" w:themeColor="text1"/>
          <w:sz w:val="20"/>
          <w:szCs w:val="20"/>
        </w:rPr>
        <w:t xml:space="preserve"> </w:t>
      </w:r>
      <w:r w:rsidRPr="00C07A49">
        <w:rPr>
          <w:rFonts w:ascii="Verdana" w:eastAsia="Calibri" w:hAnsi="Verdana" w:cs="Arial"/>
          <w:i/>
          <w:iCs/>
          <w:color w:val="000000" w:themeColor="text1"/>
          <w:sz w:val="20"/>
          <w:szCs w:val="20"/>
        </w:rPr>
        <w:t>con el propósito de finiquitar la relación contractual.</w:t>
      </w:r>
    </w:p>
    <w:p w14:paraId="7BF47560" w14:textId="77777777" w:rsidR="005F64DA" w:rsidRPr="00C07A49" w:rsidRDefault="005F64DA" w:rsidP="00BA0280">
      <w:pPr>
        <w:spacing w:after="0" w:line="240" w:lineRule="auto"/>
        <w:ind w:left="709" w:right="709"/>
        <w:jc w:val="both"/>
        <w:rPr>
          <w:rFonts w:ascii="Verdana" w:eastAsia="Calibri" w:hAnsi="Verdana" w:cs="Arial"/>
          <w:i/>
          <w:iCs/>
          <w:color w:val="000000" w:themeColor="text1"/>
          <w:sz w:val="20"/>
          <w:szCs w:val="20"/>
        </w:rPr>
      </w:pPr>
    </w:p>
    <w:p w14:paraId="38B76E94" w14:textId="77777777" w:rsidR="009B1E07" w:rsidRDefault="009B1E07" w:rsidP="00603F51">
      <w:pPr>
        <w:spacing w:after="0" w:line="240" w:lineRule="auto"/>
        <w:ind w:left="709" w:right="709"/>
        <w:jc w:val="both"/>
        <w:rPr>
          <w:rFonts w:ascii="Verdana" w:eastAsia="Calibri" w:hAnsi="Verdana" w:cs="Arial"/>
          <w:i/>
          <w:iCs/>
          <w:color w:val="000000" w:themeColor="text1"/>
          <w:sz w:val="20"/>
          <w:szCs w:val="20"/>
        </w:rPr>
      </w:pPr>
      <w:r w:rsidRPr="00C07A49">
        <w:rPr>
          <w:rFonts w:ascii="Verdana" w:eastAsia="Calibri" w:hAnsi="Verdana" w:cs="Arial"/>
          <w:i/>
          <w:iCs/>
          <w:color w:val="000000" w:themeColor="text1"/>
          <w:sz w:val="20"/>
          <w:szCs w:val="20"/>
        </w:rPr>
        <w:t>El artículo 11 de la Ley 1150 de 2007dispone que los contratos que lo</w:t>
      </w:r>
      <w:r>
        <w:rPr>
          <w:rFonts w:ascii="Verdana" w:eastAsia="Calibri" w:hAnsi="Verdana" w:cs="Arial"/>
          <w:i/>
          <w:iCs/>
          <w:color w:val="000000" w:themeColor="text1"/>
          <w:sz w:val="20"/>
          <w:szCs w:val="20"/>
        </w:rPr>
        <w:t xml:space="preserve"> </w:t>
      </w:r>
      <w:r w:rsidRPr="00C07A49">
        <w:rPr>
          <w:rFonts w:ascii="Verdana" w:eastAsia="Calibri" w:hAnsi="Verdana" w:cs="Arial"/>
          <w:i/>
          <w:iCs/>
          <w:color w:val="000000" w:themeColor="text1"/>
          <w:sz w:val="20"/>
          <w:szCs w:val="20"/>
        </w:rPr>
        <w:t>requieran deberán liquidarse: i) de mutuo acuerdo, dentro del plazo fijado en el</w:t>
      </w:r>
      <w:r>
        <w:rPr>
          <w:rFonts w:ascii="Verdana" w:eastAsia="Calibri" w:hAnsi="Verdana" w:cs="Arial"/>
          <w:i/>
          <w:iCs/>
          <w:color w:val="000000" w:themeColor="text1"/>
          <w:sz w:val="20"/>
          <w:szCs w:val="20"/>
        </w:rPr>
        <w:t xml:space="preserve"> </w:t>
      </w:r>
      <w:r w:rsidRPr="00C07A49">
        <w:rPr>
          <w:rFonts w:ascii="Verdana" w:eastAsia="Calibri" w:hAnsi="Verdana" w:cs="Arial"/>
          <w:i/>
          <w:iCs/>
          <w:color w:val="000000" w:themeColor="text1"/>
          <w:sz w:val="20"/>
          <w:szCs w:val="20"/>
        </w:rPr>
        <w:t>contrato o, en su defecto, dentro de los cuatro (4) meses siguientes a su</w:t>
      </w:r>
      <w:r>
        <w:rPr>
          <w:rFonts w:ascii="Verdana" w:eastAsia="Calibri" w:hAnsi="Verdana" w:cs="Arial"/>
          <w:i/>
          <w:iCs/>
          <w:color w:val="000000" w:themeColor="text1"/>
          <w:sz w:val="20"/>
          <w:szCs w:val="20"/>
        </w:rPr>
        <w:t xml:space="preserve"> </w:t>
      </w:r>
      <w:r w:rsidRPr="00101CBA">
        <w:rPr>
          <w:rFonts w:ascii="Verdana" w:eastAsia="Calibri" w:hAnsi="Verdana" w:cs="Arial"/>
          <w:i/>
          <w:iCs/>
          <w:color w:val="000000" w:themeColor="text1"/>
          <w:sz w:val="20"/>
          <w:szCs w:val="20"/>
        </w:rPr>
        <w:t xml:space="preserve">terminación; y </w:t>
      </w:r>
      <w:proofErr w:type="spellStart"/>
      <w:r w:rsidRPr="00101CBA">
        <w:rPr>
          <w:rFonts w:ascii="Verdana" w:eastAsia="Calibri" w:hAnsi="Verdana" w:cs="Arial"/>
          <w:i/>
          <w:iCs/>
          <w:color w:val="000000" w:themeColor="text1"/>
          <w:sz w:val="20"/>
          <w:szCs w:val="20"/>
        </w:rPr>
        <w:t>ii</w:t>
      </w:r>
      <w:proofErr w:type="spellEnd"/>
      <w:r w:rsidRPr="00101CBA">
        <w:rPr>
          <w:rFonts w:ascii="Verdana" w:eastAsia="Calibri" w:hAnsi="Verdana" w:cs="Arial"/>
          <w:i/>
          <w:iCs/>
          <w:color w:val="000000" w:themeColor="text1"/>
          <w:sz w:val="20"/>
          <w:szCs w:val="20"/>
        </w:rPr>
        <w:t xml:space="preserve">) de manera unilateral por la entidad, dentro de los </w:t>
      </w:r>
      <w:r w:rsidRPr="00101CBA">
        <w:rPr>
          <w:rFonts w:ascii="Verdana" w:eastAsia="Calibri" w:hAnsi="Verdana" w:cs="Arial"/>
          <w:i/>
          <w:iCs/>
          <w:color w:val="000000" w:themeColor="text1"/>
          <w:sz w:val="20"/>
          <w:szCs w:val="20"/>
        </w:rPr>
        <w:lastRenderedPageBreak/>
        <w:t>dos (2)</w:t>
      </w:r>
      <w:r>
        <w:rPr>
          <w:rFonts w:ascii="Verdana" w:eastAsia="Calibri" w:hAnsi="Verdana" w:cs="Arial"/>
          <w:i/>
          <w:iCs/>
          <w:color w:val="000000" w:themeColor="text1"/>
          <w:sz w:val="20"/>
          <w:szCs w:val="20"/>
        </w:rPr>
        <w:t xml:space="preserve"> </w:t>
      </w:r>
      <w:r w:rsidRPr="00101CBA">
        <w:rPr>
          <w:rFonts w:ascii="Verdana" w:eastAsia="Calibri" w:hAnsi="Verdana" w:cs="Arial"/>
          <w:i/>
          <w:iCs/>
          <w:color w:val="000000" w:themeColor="text1"/>
          <w:sz w:val="20"/>
          <w:szCs w:val="20"/>
        </w:rPr>
        <w:t>meses siguientes al vencimiento del término para la liquidación bilateral.</w:t>
      </w:r>
    </w:p>
    <w:p w14:paraId="6A71D2DA" w14:textId="77777777" w:rsidR="005F64DA" w:rsidRDefault="005F64DA" w:rsidP="00BA0280">
      <w:pPr>
        <w:spacing w:after="0" w:line="240" w:lineRule="auto"/>
        <w:ind w:left="709" w:right="709"/>
        <w:jc w:val="both"/>
        <w:rPr>
          <w:rFonts w:ascii="Verdana" w:eastAsia="Calibri" w:hAnsi="Verdana" w:cs="Arial"/>
          <w:i/>
          <w:iCs/>
          <w:color w:val="000000" w:themeColor="text1"/>
          <w:sz w:val="20"/>
          <w:szCs w:val="20"/>
        </w:rPr>
      </w:pPr>
    </w:p>
    <w:p w14:paraId="7019E2DA" w14:textId="77777777" w:rsidR="009B1E07" w:rsidRDefault="009B1E07" w:rsidP="00603F51">
      <w:pPr>
        <w:spacing w:after="0" w:line="240" w:lineRule="auto"/>
        <w:ind w:left="709" w:right="709"/>
        <w:jc w:val="both"/>
        <w:rPr>
          <w:rFonts w:ascii="Verdana" w:eastAsia="Calibri" w:hAnsi="Verdana" w:cs="Arial"/>
          <w:i/>
          <w:iCs/>
          <w:color w:val="000000" w:themeColor="text1"/>
          <w:sz w:val="20"/>
          <w:szCs w:val="20"/>
        </w:rPr>
      </w:pPr>
      <w:r w:rsidRPr="00274972">
        <w:rPr>
          <w:rFonts w:ascii="Verdana" w:eastAsia="Calibri" w:hAnsi="Verdana" w:cs="Arial"/>
          <w:i/>
          <w:iCs/>
          <w:color w:val="000000" w:themeColor="text1"/>
          <w:sz w:val="20"/>
          <w:szCs w:val="20"/>
        </w:rPr>
        <w:t>El artículo 11 de la Ley 1150 de 2007 no prohíbe que la liquidación bilateral se</w:t>
      </w:r>
      <w:r>
        <w:rPr>
          <w:rFonts w:ascii="Verdana" w:eastAsia="Calibri" w:hAnsi="Verdana" w:cs="Arial"/>
          <w:i/>
          <w:iCs/>
          <w:color w:val="000000" w:themeColor="text1"/>
          <w:sz w:val="20"/>
          <w:szCs w:val="20"/>
        </w:rPr>
        <w:t xml:space="preserve"> </w:t>
      </w:r>
      <w:r w:rsidRPr="00274972">
        <w:rPr>
          <w:rFonts w:ascii="Verdana" w:eastAsia="Calibri" w:hAnsi="Verdana" w:cs="Arial"/>
          <w:i/>
          <w:iCs/>
          <w:color w:val="000000" w:themeColor="text1"/>
          <w:sz w:val="20"/>
          <w:szCs w:val="20"/>
        </w:rPr>
        <w:t>celebre una vez vencido el término pactado contractualmente o el término</w:t>
      </w:r>
      <w:r>
        <w:rPr>
          <w:rFonts w:ascii="Verdana" w:eastAsia="Calibri" w:hAnsi="Verdana" w:cs="Arial"/>
          <w:i/>
          <w:iCs/>
          <w:color w:val="000000" w:themeColor="text1"/>
          <w:sz w:val="20"/>
          <w:szCs w:val="20"/>
        </w:rPr>
        <w:t xml:space="preserve"> </w:t>
      </w:r>
      <w:r w:rsidRPr="00274972">
        <w:rPr>
          <w:rFonts w:ascii="Verdana" w:eastAsia="Calibri" w:hAnsi="Verdana" w:cs="Arial"/>
          <w:i/>
          <w:iCs/>
          <w:color w:val="000000" w:themeColor="text1"/>
          <w:sz w:val="20"/>
          <w:szCs w:val="20"/>
        </w:rPr>
        <w:t>supletivo legal, e incluso, después del término previsto para la liquidación</w:t>
      </w:r>
      <w:r>
        <w:rPr>
          <w:rFonts w:ascii="Verdana" w:eastAsia="Calibri" w:hAnsi="Verdana" w:cs="Arial"/>
          <w:i/>
          <w:iCs/>
          <w:color w:val="000000" w:themeColor="text1"/>
          <w:sz w:val="20"/>
          <w:szCs w:val="20"/>
        </w:rPr>
        <w:t xml:space="preserve"> </w:t>
      </w:r>
      <w:r w:rsidRPr="00274972">
        <w:rPr>
          <w:rFonts w:ascii="Verdana" w:eastAsia="Calibri" w:hAnsi="Verdana" w:cs="Arial"/>
          <w:i/>
          <w:iCs/>
          <w:color w:val="000000" w:themeColor="text1"/>
          <w:sz w:val="20"/>
          <w:szCs w:val="20"/>
        </w:rPr>
        <w:t xml:space="preserve">unilateral, siempre que el acuerdo </w:t>
      </w:r>
      <w:proofErr w:type="spellStart"/>
      <w:r w:rsidRPr="00274972">
        <w:rPr>
          <w:rFonts w:ascii="Verdana" w:eastAsia="Calibri" w:hAnsi="Verdana" w:cs="Arial"/>
          <w:i/>
          <w:iCs/>
          <w:color w:val="000000" w:themeColor="text1"/>
          <w:sz w:val="20"/>
          <w:szCs w:val="20"/>
        </w:rPr>
        <w:t>liquidatorio</w:t>
      </w:r>
      <w:proofErr w:type="spellEnd"/>
      <w:r w:rsidRPr="00274972">
        <w:rPr>
          <w:rFonts w:ascii="Verdana" w:eastAsia="Calibri" w:hAnsi="Verdana" w:cs="Arial"/>
          <w:i/>
          <w:iCs/>
          <w:color w:val="000000" w:themeColor="text1"/>
          <w:sz w:val="20"/>
          <w:szCs w:val="20"/>
        </w:rPr>
        <w:t xml:space="preserve"> se celebre dentro del término de</w:t>
      </w:r>
      <w:r>
        <w:rPr>
          <w:rFonts w:ascii="Verdana" w:eastAsia="Calibri" w:hAnsi="Verdana" w:cs="Arial"/>
          <w:i/>
          <w:iCs/>
          <w:color w:val="000000" w:themeColor="text1"/>
          <w:sz w:val="20"/>
          <w:szCs w:val="20"/>
        </w:rPr>
        <w:t xml:space="preserve"> </w:t>
      </w:r>
      <w:r w:rsidRPr="00274972">
        <w:rPr>
          <w:rFonts w:ascii="Verdana" w:eastAsia="Calibri" w:hAnsi="Verdana" w:cs="Arial"/>
          <w:i/>
          <w:iCs/>
          <w:color w:val="000000" w:themeColor="text1"/>
          <w:sz w:val="20"/>
          <w:szCs w:val="20"/>
        </w:rPr>
        <w:t>caducidad del medio de control de controversias contractuales.</w:t>
      </w:r>
    </w:p>
    <w:p w14:paraId="31C4BF21" w14:textId="77777777" w:rsidR="005F64DA" w:rsidRDefault="005F64DA" w:rsidP="00BA0280">
      <w:pPr>
        <w:spacing w:after="0" w:line="240" w:lineRule="auto"/>
        <w:ind w:left="709" w:right="709"/>
        <w:jc w:val="both"/>
        <w:rPr>
          <w:rFonts w:ascii="Verdana" w:eastAsia="Calibri" w:hAnsi="Verdana" w:cs="Arial"/>
          <w:i/>
          <w:iCs/>
          <w:color w:val="000000" w:themeColor="text1"/>
          <w:sz w:val="20"/>
          <w:szCs w:val="20"/>
        </w:rPr>
      </w:pPr>
    </w:p>
    <w:p w14:paraId="2C20C327" w14:textId="77777777" w:rsidR="009B1E07" w:rsidRDefault="009B1E07" w:rsidP="00603F51">
      <w:pPr>
        <w:spacing w:after="0" w:line="240" w:lineRule="auto"/>
        <w:ind w:left="709" w:right="709"/>
        <w:jc w:val="both"/>
        <w:rPr>
          <w:rFonts w:ascii="Verdana" w:eastAsia="Calibri" w:hAnsi="Verdana" w:cs="Arial"/>
          <w:i/>
          <w:iCs/>
          <w:color w:val="000000" w:themeColor="text1"/>
          <w:sz w:val="20"/>
          <w:szCs w:val="20"/>
        </w:rPr>
      </w:pPr>
      <w:r w:rsidRPr="00502BE0">
        <w:rPr>
          <w:rFonts w:ascii="Verdana" w:eastAsia="Calibri" w:hAnsi="Verdana" w:cs="Arial"/>
          <w:i/>
          <w:iCs/>
          <w:color w:val="000000" w:themeColor="text1"/>
          <w:sz w:val="20"/>
          <w:szCs w:val="20"/>
        </w:rPr>
        <w:t>Esta postura se encuentra recogida, entre otros, en el Auto de Unificación,</w:t>
      </w:r>
      <w:r>
        <w:rPr>
          <w:rFonts w:ascii="Verdana" w:eastAsia="Calibri" w:hAnsi="Verdana" w:cs="Arial"/>
          <w:i/>
          <w:iCs/>
          <w:color w:val="000000" w:themeColor="text1"/>
          <w:sz w:val="20"/>
          <w:szCs w:val="20"/>
        </w:rPr>
        <w:t xml:space="preserve"> </w:t>
      </w:r>
      <w:r w:rsidRPr="00502BE0">
        <w:rPr>
          <w:rFonts w:ascii="Verdana" w:eastAsia="Calibri" w:hAnsi="Verdana" w:cs="Arial"/>
          <w:i/>
          <w:iCs/>
          <w:color w:val="000000" w:themeColor="text1"/>
          <w:sz w:val="20"/>
          <w:szCs w:val="20"/>
        </w:rPr>
        <w:t>expediente 05001-23-33-000-2018-00342-01, en el cual la Sala Plena del</w:t>
      </w:r>
      <w:r>
        <w:rPr>
          <w:rFonts w:ascii="Verdana" w:eastAsia="Calibri" w:hAnsi="Verdana" w:cs="Arial"/>
          <w:i/>
          <w:iCs/>
          <w:color w:val="000000" w:themeColor="text1"/>
          <w:sz w:val="20"/>
          <w:szCs w:val="20"/>
        </w:rPr>
        <w:t xml:space="preserve"> </w:t>
      </w:r>
      <w:r w:rsidRPr="00502BE0">
        <w:rPr>
          <w:rFonts w:ascii="Verdana" w:eastAsia="Calibri" w:hAnsi="Verdana" w:cs="Arial"/>
          <w:i/>
          <w:iCs/>
          <w:color w:val="000000" w:themeColor="text1"/>
          <w:sz w:val="20"/>
          <w:szCs w:val="20"/>
        </w:rPr>
        <w:t>Consejo de Estado precisó que, la liquidación bilateral extemporánea es</w:t>
      </w:r>
      <w:r>
        <w:rPr>
          <w:rFonts w:ascii="Verdana" w:eastAsia="Calibri" w:hAnsi="Verdana" w:cs="Arial"/>
          <w:i/>
          <w:iCs/>
          <w:color w:val="000000" w:themeColor="text1"/>
          <w:sz w:val="20"/>
          <w:szCs w:val="20"/>
        </w:rPr>
        <w:t xml:space="preserve"> </w:t>
      </w:r>
      <w:r w:rsidRPr="00502BE0">
        <w:rPr>
          <w:rFonts w:ascii="Verdana" w:eastAsia="Calibri" w:hAnsi="Verdana" w:cs="Arial"/>
          <w:i/>
          <w:iCs/>
          <w:color w:val="000000" w:themeColor="text1"/>
          <w:sz w:val="20"/>
          <w:szCs w:val="20"/>
        </w:rPr>
        <w:t>jurídicamente válida mientras no haya operado la caducidad de la acción</w:t>
      </w:r>
      <w:r>
        <w:rPr>
          <w:rFonts w:ascii="Verdana" w:eastAsia="Calibri" w:hAnsi="Verdana" w:cs="Arial"/>
          <w:i/>
          <w:iCs/>
          <w:color w:val="000000" w:themeColor="text1"/>
          <w:sz w:val="20"/>
          <w:szCs w:val="20"/>
        </w:rPr>
        <w:t xml:space="preserve"> </w:t>
      </w:r>
      <w:r w:rsidRPr="00502BE0">
        <w:rPr>
          <w:rFonts w:ascii="Verdana" w:eastAsia="Calibri" w:hAnsi="Verdana" w:cs="Arial"/>
          <w:i/>
          <w:iCs/>
          <w:color w:val="000000" w:themeColor="text1"/>
          <w:sz w:val="20"/>
          <w:szCs w:val="20"/>
        </w:rPr>
        <w:t>contractual.</w:t>
      </w:r>
    </w:p>
    <w:p w14:paraId="7CA70862" w14:textId="77777777" w:rsidR="005F64DA" w:rsidRDefault="005F64DA" w:rsidP="00BA0280">
      <w:pPr>
        <w:spacing w:after="0" w:line="240" w:lineRule="auto"/>
        <w:ind w:left="709" w:right="709"/>
        <w:jc w:val="both"/>
        <w:rPr>
          <w:rFonts w:ascii="Verdana" w:eastAsia="Calibri" w:hAnsi="Verdana" w:cs="Arial"/>
          <w:i/>
          <w:iCs/>
          <w:color w:val="000000" w:themeColor="text1"/>
          <w:sz w:val="20"/>
          <w:szCs w:val="20"/>
        </w:rPr>
      </w:pPr>
    </w:p>
    <w:p w14:paraId="7FEB6FAD" w14:textId="77777777" w:rsidR="009B1E07" w:rsidRDefault="009B1E07" w:rsidP="00603F51">
      <w:pPr>
        <w:spacing w:after="0" w:line="240" w:lineRule="auto"/>
        <w:ind w:left="709" w:right="709"/>
        <w:jc w:val="both"/>
        <w:rPr>
          <w:rFonts w:ascii="Verdana" w:eastAsia="Calibri" w:hAnsi="Verdana" w:cs="Arial"/>
          <w:i/>
          <w:iCs/>
          <w:color w:val="000000" w:themeColor="text1"/>
          <w:sz w:val="20"/>
          <w:szCs w:val="20"/>
        </w:rPr>
      </w:pPr>
      <w:r w:rsidRPr="00A30D53">
        <w:rPr>
          <w:rFonts w:ascii="Verdana" w:eastAsia="Calibri" w:hAnsi="Verdana" w:cs="Arial"/>
          <w:i/>
          <w:iCs/>
          <w:color w:val="000000" w:themeColor="text1"/>
          <w:sz w:val="20"/>
          <w:szCs w:val="20"/>
        </w:rPr>
        <w:t>CONCEPTO SOLICITADO</w:t>
      </w:r>
    </w:p>
    <w:p w14:paraId="1C468562" w14:textId="77777777" w:rsidR="005F64DA" w:rsidRDefault="005F64DA" w:rsidP="00BA0280">
      <w:pPr>
        <w:spacing w:after="0" w:line="240" w:lineRule="auto"/>
        <w:ind w:left="709" w:right="709"/>
        <w:jc w:val="both"/>
        <w:rPr>
          <w:rFonts w:ascii="Verdana" w:eastAsia="Calibri" w:hAnsi="Verdana" w:cs="Arial"/>
          <w:i/>
          <w:iCs/>
          <w:color w:val="000000" w:themeColor="text1"/>
          <w:sz w:val="20"/>
          <w:szCs w:val="20"/>
        </w:rPr>
      </w:pPr>
    </w:p>
    <w:p w14:paraId="06284F1D" w14:textId="77777777" w:rsidR="009B1E07" w:rsidRDefault="009B1E07" w:rsidP="00603F51">
      <w:pPr>
        <w:spacing w:after="0" w:line="240" w:lineRule="auto"/>
        <w:ind w:left="709" w:right="709"/>
        <w:jc w:val="both"/>
        <w:rPr>
          <w:rFonts w:ascii="Verdana" w:eastAsia="Calibri" w:hAnsi="Verdana" w:cs="Arial"/>
          <w:i/>
          <w:iCs/>
          <w:color w:val="000000" w:themeColor="text1"/>
          <w:sz w:val="20"/>
          <w:szCs w:val="20"/>
        </w:rPr>
      </w:pPr>
      <w:r w:rsidRPr="00A30D53">
        <w:rPr>
          <w:rFonts w:ascii="Verdana" w:eastAsia="Calibri" w:hAnsi="Verdana" w:cs="Arial"/>
          <w:i/>
          <w:iCs/>
          <w:color w:val="000000" w:themeColor="text1"/>
          <w:sz w:val="20"/>
          <w:szCs w:val="20"/>
        </w:rPr>
        <w:t>El IDU solicita respetuosamente a Colombia Compra Eficiente que emita</w:t>
      </w:r>
      <w:r>
        <w:rPr>
          <w:rFonts w:ascii="Verdana" w:eastAsia="Calibri" w:hAnsi="Verdana" w:cs="Arial"/>
          <w:i/>
          <w:iCs/>
          <w:color w:val="000000" w:themeColor="text1"/>
          <w:sz w:val="20"/>
          <w:szCs w:val="20"/>
        </w:rPr>
        <w:t xml:space="preserve"> </w:t>
      </w:r>
      <w:r w:rsidRPr="00A30D53">
        <w:rPr>
          <w:rFonts w:ascii="Verdana" w:eastAsia="Calibri" w:hAnsi="Verdana" w:cs="Arial"/>
          <w:i/>
          <w:iCs/>
          <w:color w:val="000000" w:themeColor="text1"/>
          <w:sz w:val="20"/>
          <w:szCs w:val="20"/>
        </w:rPr>
        <w:t>concepto jurídico sobre la siguiente cuestión:</w:t>
      </w:r>
    </w:p>
    <w:p w14:paraId="2B033703" w14:textId="77777777" w:rsidR="000370D7" w:rsidRDefault="000370D7" w:rsidP="00BA0280">
      <w:pPr>
        <w:spacing w:after="0" w:line="240" w:lineRule="auto"/>
        <w:ind w:left="709" w:right="709"/>
        <w:jc w:val="both"/>
        <w:rPr>
          <w:rFonts w:ascii="Verdana" w:eastAsia="Calibri" w:hAnsi="Verdana" w:cs="Arial"/>
          <w:i/>
          <w:iCs/>
          <w:color w:val="000000" w:themeColor="text1"/>
          <w:sz w:val="20"/>
          <w:szCs w:val="20"/>
        </w:rPr>
      </w:pPr>
    </w:p>
    <w:p w14:paraId="536FCA66" w14:textId="77777777" w:rsidR="009B1E07" w:rsidRDefault="009B1E07" w:rsidP="00603F51">
      <w:pPr>
        <w:spacing w:after="0" w:line="240" w:lineRule="auto"/>
        <w:ind w:left="709" w:right="709"/>
        <w:jc w:val="both"/>
        <w:rPr>
          <w:rFonts w:ascii="Verdana" w:eastAsia="Calibri" w:hAnsi="Verdana" w:cs="Arial"/>
          <w:i/>
          <w:iCs/>
          <w:color w:val="000000" w:themeColor="text1"/>
          <w:sz w:val="20"/>
          <w:szCs w:val="20"/>
        </w:rPr>
      </w:pPr>
      <w:r w:rsidRPr="00BE033A">
        <w:rPr>
          <w:rFonts w:ascii="Verdana" w:eastAsia="Calibri" w:hAnsi="Verdana" w:cs="Arial"/>
          <w:i/>
          <w:iCs/>
          <w:color w:val="000000" w:themeColor="text1"/>
          <w:sz w:val="20"/>
          <w:szCs w:val="20"/>
        </w:rPr>
        <w:t>¿Existe algún lineamiento o interpretación jurídica que limite la autonomía de las entidades públicas para pactar contractualmente un término de liquidación bilateral de sus contratos, superior al supletivo de cuatro (4) meses? ¿Qué criterios podrían orientar a las entidades públicas para definir este plazo?</w:t>
      </w:r>
      <w:r>
        <w:rPr>
          <w:rFonts w:ascii="Verdana" w:eastAsia="Calibri" w:hAnsi="Verdana" w:cs="Arial"/>
          <w:i/>
          <w:iCs/>
          <w:color w:val="000000" w:themeColor="text1"/>
          <w:sz w:val="20"/>
          <w:szCs w:val="20"/>
        </w:rPr>
        <w:t>.”</w:t>
      </w:r>
    </w:p>
    <w:p w14:paraId="5E8AE59A" w14:textId="77777777" w:rsidR="00100BE1" w:rsidRPr="00453E03" w:rsidRDefault="00100BE1" w:rsidP="00BA0280">
      <w:pPr>
        <w:spacing w:after="0" w:line="240" w:lineRule="auto"/>
        <w:ind w:left="709" w:right="709"/>
        <w:jc w:val="both"/>
        <w:rPr>
          <w:rFonts w:ascii="Verdana" w:eastAsia="Calibri" w:hAnsi="Verdana" w:cs="Arial"/>
          <w:i/>
          <w:iCs/>
          <w:color w:val="000000" w:themeColor="text1"/>
          <w:sz w:val="20"/>
          <w:szCs w:val="20"/>
        </w:rPr>
      </w:pPr>
    </w:p>
    <w:p w14:paraId="02B4941C" w14:textId="77777777" w:rsidR="009B1E07" w:rsidRDefault="009B1E07" w:rsidP="00BA0280">
      <w:pPr>
        <w:spacing w:after="12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4A29C9C" w14:textId="77777777" w:rsidR="009B1E07" w:rsidRPr="00054383" w:rsidRDefault="009B1E07" w:rsidP="00BA0280">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w:t>
      </w:r>
      <w:r w:rsidRPr="008E4F36">
        <w:rPr>
          <w:rFonts w:ascii="Verdana" w:eastAsia="Calibri" w:hAnsi="Verdana" w:cs="Arial"/>
          <w:color w:val="000000"/>
          <w:lang w:eastAsia="es-ES"/>
        </w:rPr>
        <w:lastRenderedPageBreak/>
        <w:t xml:space="preserve">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4D5EED7B" w14:textId="77777777" w:rsidR="009B1E07" w:rsidRPr="008E4F36" w:rsidRDefault="009B1E07" w:rsidP="00BA0280">
      <w:pPr>
        <w:spacing w:after="0" w:line="276" w:lineRule="auto"/>
        <w:ind w:firstLine="709"/>
        <w:jc w:val="both"/>
        <w:rPr>
          <w:rFonts w:ascii="Verdana" w:eastAsia="Calibri" w:hAnsi="Verdana" w:cs="Arial"/>
          <w:color w:val="000000"/>
          <w:lang w:eastAsia="es-ES"/>
        </w:rPr>
      </w:pPr>
    </w:p>
    <w:p w14:paraId="4DC96C3D" w14:textId="77777777" w:rsidR="009B1E07" w:rsidRDefault="009B1E07" w:rsidP="00CB606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434A30DC" w14:textId="77777777" w:rsidR="009B1E07" w:rsidRDefault="009B1E07" w:rsidP="00CB6065">
      <w:pPr>
        <w:spacing w:after="0" w:line="276" w:lineRule="auto"/>
        <w:jc w:val="both"/>
        <w:rPr>
          <w:rFonts w:ascii="Verdana" w:eastAsia="Calibri" w:hAnsi="Verdana" w:cs="Arial"/>
          <w:color w:val="000000"/>
          <w:highlight w:val="yellow"/>
          <w:lang w:eastAsia="es-ES"/>
        </w:rPr>
      </w:pPr>
    </w:p>
    <w:p w14:paraId="10413374" w14:textId="5D7E2748" w:rsidR="009B1E07" w:rsidRPr="005A3B40" w:rsidRDefault="009B1E07" w:rsidP="00CB6065">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w:t>
      </w:r>
      <w:r w:rsidRPr="002817E4">
        <w:t xml:space="preserve"> </w:t>
      </w:r>
      <w:r w:rsidRPr="002817E4">
        <w:rPr>
          <w:rFonts w:ascii="Verdana" w:eastAsia="Calibri" w:hAnsi="Verdana" w:cs="Arial"/>
          <w:color w:val="000000"/>
          <w:lang w:eastAsia="es-ES"/>
        </w:rPr>
        <w:t>¿Existe algún límite legal o jurisprudencial que restrinja la facultad de las entidades públicas para pactar contractualmente un término de liquidación bilateral superior al plazo supletivo de cuatro (4) meses, y bajo qué criterios puede determinarse su razonabilidad y validez?</w:t>
      </w:r>
      <w:r>
        <w:rPr>
          <w:rFonts w:ascii="Verdana" w:eastAsia="Calibri" w:hAnsi="Verdana" w:cs="Arial"/>
          <w:color w:val="000000"/>
          <w:lang w:eastAsia="es-ES"/>
        </w:rPr>
        <w:t xml:space="preserve"> </w:t>
      </w:r>
    </w:p>
    <w:p w14:paraId="305FA037" w14:textId="77777777" w:rsidR="009B1E07" w:rsidRPr="00BF422F" w:rsidRDefault="009B1E07" w:rsidP="00CB6065">
      <w:pPr>
        <w:spacing w:after="0" w:line="276" w:lineRule="auto"/>
        <w:jc w:val="both"/>
        <w:rPr>
          <w:rFonts w:ascii="Verdana" w:eastAsia="Calibri" w:hAnsi="Verdana" w:cs="Times New Roman"/>
          <w:i/>
          <w:iCs/>
          <w:lang w:val="es-ES"/>
        </w:rPr>
      </w:pPr>
    </w:p>
    <w:p w14:paraId="5F9224DC" w14:textId="77777777" w:rsidR="009B1E07" w:rsidRPr="008E4F36" w:rsidRDefault="009B1E07" w:rsidP="00CB6065">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049D05AF" w14:textId="77777777" w:rsidR="009B1E07" w:rsidRPr="008E4F36" w:rsidRDefault="009B1E07" w:rsidP="00CB6065">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9B1E07" w:rsidRPr="008E4F36" w14:paraId="030D34AE" w14:textId="77777777" w:rsidTr="00E1677E">
        <w:tc>
          <w:tcPr>
            <w:tcW w:w="8828" w:type="dxa"/>
          </w:tcPr>
          <w:p w14:paraId="16EFC46C" w14:textId="77777777" w:rsidR="009B1E07" w:rsidRPr="00863761" w:rsidRDefault="009B1E07" w:rsidP="00E1677E">
            <w:pPr>
              <w:spacing w:after="120" w:line="276" w:lineRule="auto"/>
              <w:jc w:val="both"/>
              <w:rPr>
                <w:rFonts w:ascii="Verdana" w:eastAsia="Calibri" w:hAnsi="Verdana" w:cs="Arial"/>
                <w:lang w:val="es-ES"/>
              </w:rPr>
            </w:pPr>
            <w:r w:rsidRPr="00E71E80">
              <w:rPr>
                <w:rFonts w:ascii="Verdana" w:hAnsi="Verdana"/>
              </w:rPr>
              <w:t xml:space="preserve">De acuerdo con el literal j) del artículo 164.2 del CPACA, los plazos para liquidar bilateral, unilateral y judicialmente el contrato tienen incidencia directa en el acceso oportuno al sistema de administración de justicia, en la medida en que delimitan el momento a partir del cual se configura o no la caducidad del medio de control de controversias contractuales; por ello, bajo la consideración de que no en todos los negocios jurídicos suscritos por las entidades estatales se encuentra habilitada la liquidación unilateral, surge la necesidad de precisar si los términos previstos para cada modalidad de </w:t>
            </w:r>
            <w:r w:rsidRPr="00863761">
              <w:rPr>
                <w:rFonts w:ascii="Verdana" w:eastAsia="Calibri" w:hAnsi="Verdana" w:cs="Arial"/>
                <w:lang w:val="es-ES"/>
              </w:rPr>
              <w:t xml:space="preserve">liquidación integran o no el cómputo de la caducidad. </w:t>
            </w:r>
          </w:p>
          <w:p w14:paraId="074F1F68" w14:textId="77777777" w:rsidR="009B1E07" w:rsidRPr="00863761" w:rsidRDefault="009B1E07" w:rsidP="00E1677E">
            <w:pPr>
              <w:spacing w:after="120" w:line="276" w:lineRule="auto"/>
              <w:ind w:firstLine="709"/>
              <w:jc w:val="both"/>
              <w:rPr>
                <w:rFonts w:ascii="Verdana" w:eastAsia="Calibri" w:hAnsi="Verdana" w:cs="Arial"/>
                <w:lang w:val="es-ES"/>
              </w:rPr>
            </w:pPr>
            <w:r w:rsidRPr="00863761">
              <w:rPr>
                <w:rFonts w:ascii="Verdana" w:eastAsia="Calibri" w:hAnsi="Verdana" w:cs="Arial"/>
                <w:lang w:val="es-ES"/>
              </w:rPr>
              <w:t>En este contexto, el plazo para la liquidación bilateral puede</w:t>
            </w:r>
            <w:r w:rsidRPr="00E71E80">
              <w:rPr>
                <w:rFonts w:ascii="Verdana" w:hAnsi="Verdana"/>
              </w:rPr>
              <w:t xml:space="preserve"> ser el pactado por las partes en el contrato, en el pliego de condiciones o en su equivalente, o en su defecto el término supletivo de cuatro (4) meses previstos en el artículo 11 de la Ley 1150 de 2007, lo cual evidencia que el legislador reconoció un margen de autonomía para definir la oportunidad de cierre del negocio jurídico, sin establecer un límite máximo expreso a dicho acuerdo. Sobre este punto, la jurisprudencia ha indicado que la liquidación bilateral puede realizarse incluso de manera extemporánea, siempre que no haya operado la caducidad de la acción contractual, en la medida en que el ordenamiento privilegia la posibilidad de cierre del contrato sobre la rigidez temporal estricta, siempre dentro del marco de seguridad jurídica. En esa línea, esta postura se encuentra recogida, entre otros, en el Auto de Unificación dentro del expediente 05001-23-33-000-2018-00342-01, en el cual la Sala Plena del Consejo de Estado precisó que la liquidación bilateral </w:t>
            </w:r>
            <w:r w:rsidRPr="00E71E80">
              <w:rPr>
                <w:rFonts w:ascii="Verdana" w:hAnsi="Verdana"/>
              </w:rPr>
              <w:lastRenderedPageBreak/>
              <w:t xml:space="preserve">extemporánea es jurídicamente válida mientras no haya operado la caducidad del medio de control contractual, lo que implica que la autonomía de la voluntad para fijar el plazo de liquidación no puede interpretarse de manera aislada, sino en armonía con los límites derivados del sistema de caducidad y </w:t>
            </w:r>
            <w:r w:rsidRPr="00863761">
              <w:rPr>
                <w:rFonts w:ascii="Verdana" w:eastAsia="Calibri" w:hAnsi="Verdana" w:cs="Arial"/>
                <w:lang w:val="es-ES"/>
              </w:rPr>
              <w:t>la necesidad de asegurar estabilidad en las relaciones jurídicas del Estado.</w:t>
            </w:r>
          </w:p>
          <w:p w14:paraId="017486CB" w14:textId="77777777" w:rsidR="009B1E07" w:rsidRDefault="009B1E07" w:rsidP="00E1677E">
            <w:pPr>
              <w:spacing w:after="120" w:line="276" w:lineRule="auto"/>
              <w:ind w:firstLine="709"/>
              <w:jc w:val="both"/>
              <w:rPr>
                <w:rFonts w:ascii="Verdana" w:hAnsi="Verdana"/>
              </w:rPr>
            </w:pPr>
            <w:r w:rsidRPr="00863761">
              <w:rPr>
                <w:rFonts w:ascii="Verdana" w:eastAsia="Calibri" w:hAnsi="Verdana" w:cs="Arial"/>
                <w:lang w:val="es-ES"/>
              </w:rPr>
              <w:t>En consecuencia, aunque no existe un límite legal expreso</w:t>
            </w:r>
            <w:r w:rsidRPr="00E71E80">
              <w:rPr>
                <w:rFonts w:ascii="Verdana" w:hAnsi="Verdana"/>
              </w:rPr>
              <w:t xml:space="preserve"> que prohíba pactar un término de liquidación bilateral superior al plazo supletivo de cuatro (4) meses, dicha facultad no es absoluta, pues está condicionada por los principios de la función administrativa previstos en el artículo 209 de la Constitución Política (economía, eficacia, celeridad y planeación) y por el carácter finalista de la liquidación como etapa de cierre del contrato estatal. Así, la validez del plazo pactado depende de su razonabilidad y proporcionalidad, lo que exige que el término superior al supletivo esté debidamente justificado en las particularidades del contrato, tales como su complejidad técnica, financiera o jurídica, la necesidad de verificaciones especializadas, la existencia de saldos o reclamaciones pendientes, o la magnitud del objeto contractual. De esta manera, el límite jurídico no es estrictamente cuantitativo, sino material y funcional: el plazo será válido en la medida en que no desnaturalice la finalidad de la liquidación ni comprometa la seguridad jurídica protegida por el sistema de caducidad, conforme lo ha reiterado la jurisprudencia del Consejo de Estado al armonizar la autonomía contractual con la estabilidad de las relaciones jurídico-administrativas.</w:t>
            </w:r>
          </w:p>
          <w:p w14:paraId="6E63BB16" w14:textId="77777777" w:rsidR="009B1E07" w:rsidRPr="00E71E80" w:rsidRDefault="009B1E07" w:rsidP="00E1677E">
            <w:pPr>
              <w:spacing w:after="120" w:line="276" w:lineRule="auto"/>
              <w:ind w:firstLine="709"/>
              <w:jc w:val="both"/>
            </w:pPr>
            <w:r w:rsidRPr="00775D4B">
              <w:rPr>
                <w:rFonts w:ascii="Verdana" w:hAnsi="Verdana"/>
              </w:rPr>
              <w:t>Finalmente, en el marco de sus competencias, cada entidad estatal deberá verificar en cada caso concreto la razonabilidad y proporcionalidad del término de liquidación pactado, en armonía con los principios de la función administrativa y el régimen de caducidad aplicable. En todo caso, se precisa que la Agencia Nacional de Contratación Pública –Colombia Compra Eficiente– no tiene competencia para definir o validar situaciones contractuales particulares, cuya decisión corresponde exclusivamente a la entidad contratante y, en caso de controversia, a las autoridades judiciales competentes.</w:t>
            </w:r>
            <w:r>
              <w:rPr>
                <w:rFonts w:ascii="Verdana" w:hAnsi="Verdana"/>
              </w:rPr>
              <w:t xml:space="preserve"> </w:t>
            </w:r>
          </w:p>
        </w:tc>
      </w:tr>
    </w:tbl>
    <w:p w14:paraId="2CAAB5A1" w14:textId="77777777" w:rsidR="009B1E07" w:rsidRDefault="009B1E07" w:rsidP="009B1E07">
      <w:pPr>
        <w:tabs>
          <w:tab w:val="left" w:pos="142"/>
          <w:tab w:val="left" w:pos="284"/>
        </w:tabs>
        <w:spacing w:after="0" w:line="276" w:lineRule="auto"/>
        <w:jc w:val="both"/>
        <w:rPr>
          <w:rFonts w:ascii="Verdana" w:eastAsia="Century Gothic" w:hAnsi="Verdana" w:cs="Century Gothic"/>
          <w:b/>
          <w:bCs/>
        </w:rPr>
      </w:pPr>
    </w:p>
    <w:p w14:paraId="2C06A0BB" w14:textId="77777777" w:rsidR="009B1E07" w:rsidRPr="008E4F36" w:rsidRDefault="009B1E07" w:rsidP="009B1E07">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1550FC1B" w14:textId="77777777" w:rsidR="009B1E07" w:rsidRDefault="009B1E07" w:rsidP="009B1E07">
      <w:pPr>
        <w:pStyle w:val="Prrafodelista"/>
        <w:tabs>
          <w:tab w:val="left" w:pos="142"/>
          <w:tab w:val="left" w:pos="284"/>
        </w:tabs>
        <w:spacing w:after="0" w:line="276" w:lineRule="auto"/>
        <w:ind w:left="0"/>
        <w:contextualSpacing w:val="0"/>
        <w:jc w:val="both"/>
        <w:rPr>
          <w:rFonts w:ascii="Verdana" w:eastAsia="Calibri" w:hAnsi="Verdana" w:cs="Arial"/>
        </w:rPr>
      </w:pPr>
    </w:p>
    <w:p w14:paraId="5EE446F0" w14:textId="77777777" w:rsidR="009B1E07" w:rsidRDefault="009B1E07" w:rsidP="009B1E07">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768248B0" w14:textId="77777777" w:rsidR="009B1E07" w:rsidRDefault="009B1E07" w:rsidP="009B1E07">
      <w:pPr>
        <w:spacing w:after="120" w:line="276" w:lineRule="auto"/>
        <w:jc w:val="both"/>
        <w:rPr>
          <w:rFonts w:ascii="Verdana" w:eastAsia="Calibri" w:hAnsi="Verdana" w:cs="Arial"/>
          <w:color w:val="000000"/>
          <w:shd w:val="clear" w:color="auto" w:fill="FFFFFF"/>
          <w:lang w:val="es-ES"/>
        </w:rPr>
      </w:pPr>
    </w:p>
    <w:p w14:paraId="7F2B9087" w14:textId="77777777" w:rsidR="009B1E07" w:rsidRPr="00932772" w:rsidRDefault="009B1E07" w:rsidP="009B1E07">
      <w:pPr>
        <w:spacing w:after="120" w:line="276" w:lineRule="auto"/>
        <w:jc w:val="both"/>
        <w:rPr>
          <w:rFonts w:ascii="Verdana" w:eastAsia="Calibri" w:hAnsi="Verdana" w:cs="Arial"/>
          <w:lang w:val="es-ES"/>
        </w:rPr>
      </w:pPr>
      <w:bookmarkStart w:id="4" w:name="_Hlk204856061"/>
      <w:bookmarkStart w:id="5" w:name="_Hlk78820161"/>
      <w:bookmarkStart w:id="6" w:name="_Hlk204854194"/>
      <w:r w:rsidRPr="00932772">
        <w:rPr>
          <w:rFonts w:ascii="Verdana" w:eastAsia="Calibri" w:hAnsi="Verdana" w:cs="Arial"/>
          <w:lang w:val="es-ES"/>
        </w:rPr>
        <w:t>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w:t>
      </w:r>
      <w:r w:rsidRPr="00932772">
        <w:rPr>
          <w:rFonts w:ascii="Verdana" w:eastAsia="Calibri" w:hAnsi="Verdana" w:cs="Arial"/>
          <w:lang w:val="es-ES"/>
        </w:rPr>
        <w:footnoteReference w:id="1"/>
      </w:r>
      <w:r w:rsidRPr="00932772">
        <w:rPr>
          <w:rFonts w:ascii="Verdana" w:eastAsia="Calibri" w:hAnsi="Verdana" w:cs="Arial"/>
          <w:lang w:val="es-ES"/>
        </w:rPr>
        <w:t>. En armonía con lo anterior, la doctrina ha definido la liquidación de la siguiente manera:</w:t>
      </w:r>
    </w:p>
    <w:p w14:paraId="45549057" w14:textId="77777777" w:rsidR="009B1E07" w:rsidRPr="00FB5FC4" w:rsidRDefault="009B1E07" w:rsidP="009B1E07">
      <w:pPr>
        <w:spacing w:after="0" w:line="0" w:lineRule="atLeast"/>
        <w:jc w:val="both"/>
        <w:rPr>
          <w:rFonts w:ascii="Verdana" w:eastAsia="Calibri" w:hAnsi="Verdana" w:cs="Arial"/>
          <w:color w:val="000000"/>
          <w:lang w:val="es-ES_tradnl"/>
        </w:rPr>
      </w:pPr>
    </w:p>
    <w:p w14:paraId="583238D7" w14:textId="77777777" w:rsidR="009B1E07" w:rsidRPr="00650923" w:rsidRDefault="009B1E07" w:rsidP="009B1E07">
      <w:pPr>
        <w:spacing w:after="0" w:line="0" w:lineRule="atLeast"/>
        <w:ind w:left="709" w:right="758"/>
        <w:jc w:val="both"/>
        <w:rPr>
          <w:rFonts w:ascii="Verdana" w:eastAsia="Calibri" w:hAnsi="Verdana" w:cs="Arial"/>
          <w:sz w:val="20"/>
          <w:szCs w:val="20"/>
          <w:lang w:val="es-MX"/>
        </w:rPr>
      </w:pPr>
      <w:r w:rsidRPr="00650923">
        <w:rPr>
          <w:rFonts w:ascii="Verdana" w:eastAsia="Calibri" w:hAnsi="Verdana" w:cs="Arial"/>
          <w:i/>
          <w:iCs/>
          <w:color w:val="000000"/>
          <w:sz w:val="20"/>
          <w:szCs w:val="20"/>
          <w:lang w:val="es-ES_tradnl"/>
        </w:rPr>
        <w:t>“</w:t>
      </w:r>
      <w:r w:rsidRPr="00650923">
        <w:rPr>
          <w:rFonts w:ascii="Verdana" w:eastAsia="Calibri" w:hAnsi="Verdana" w:cs="Arial"/>
          <w:sz w:val="20"/>
          <w:szCs w:val="20"/>
          <w:lang w:val="es-MX"/>
        </w:rPr>
        <w:t>[…]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ii) definir la situación jurídica de las partes, estableciendo si pueden constituirse o no a paz y salvo; lo que exige, en la práctica, que los negociantes dialoguen e intenten ponerse de acuerdo (aspecto subjetivo)”</w:t>
      </w:r>
      <w:r w:rsidRPr="00650923">
        <w:rPr>
          <w:rFonts w:ascii="Verdana" w:eastAsia="Calibri" w:hAnsi="Verdana" w:cs="Arial"/>
          <w:sz w:val="20"/>
          <w:szCs w:val="20"/>
          <w:vertAlign w:val="superscript"/>
          <w:lang w:val="es-MX"/>
        </w:rPr>
        <w:footnoteReference w:id="2"/>
      </w:r>
      <w:r w:rsidRPr="00650923">
        <w:rPr>
          <w:rFonts w:ascii="Verdana" w:eastAsia="Calibri" w:hAnsi="Verdana" w:cs="Arial"/>
          <w:sz w:val="20"/>
          <w:szCs w:val="20"/>
          <w:lang w:val="es-MX"/>
        </w:rPr>
        <w:t>.</w:t>
      </w:r>
    </w:p>
    <w:p w14:paraId="19BB64C7" w14:textId="77777777" w:rsidR="009B1E07" w:rsidRPr="00FB5FC4" w:rsidRDefault="009B1E07" w:rsidP="009B1E07">
      <w:pPr>
        <w:spacing w:after="0" w:line="0" w:lineRule="atLeast"/>
        <w:jc w:val="both"/>
        <w:rPr>
          <w:rFonts w:ascii="Verdana" w:eastAsia="Calibri" w:hAnsi="Verdana" w:cs="Arial"/>
          <w:color w:val="000000"/>
          <w:lang w:val="es-ES_tradnl"/>
        </w:rPr>
      </w:pPr>
    </w:p>
    <w:p w14:paraId="4515E382" w14:textId="77777777" w:rsidR="009B1E07" w:rsidRPr="00D02C60" w:rsidRDefault="009B1E07" w:rsidP="009B1E07">
      <w:pPr>
        <w:spacing w:after="120" w:line="276" w:lineRule="auto"/>
        <w:ind w:firstLine="709"/>
        <w:jc w:val="both"/>
        <w:rPr>
          <w:rFonts w:ascii="Verdana" w:eastAsia="Calibri" w:hAnsi="Verdana" w:cs="Arial"/>
          <w:lang w:val="es-ES"/>
        </w:rPr>
      </w:pPr>
      <w:r w:rsidRPr="00BB3E01">
        <w:rPr>
          <w:rFonts w:ascii="Verdana" w:eastAsia="Calibri" w:hAnsi="Verdana" w:cs="Arial"/>
          <w:lang w:val="es-ES"/>
        </w:rPr>
        <w:t xml:space="preserve">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BB3E01">
        <w:rPr>
          <w:rFonts w:ascii="Verdana" w:eastAsia="Calibri" w:hAnsi="Verdana" w:cs="Arial"/>
          <w:lang w:val="es-ES"/>
        </w:rPr>
        <w:lastRenderedPageBreak/>
        <w:t>liquidar supone un ajuste en relación con las cuentas y el estado de cumplimiento del contrato estatal y, por el otro, que la liquidación debe incluir el análisis de las condiciones de calidad y oportunidad en la entrega de los bienes, obras o servicios, así como el balance económico y el comportamiento financiero del negocio</w:t>
      </w:r>
      <w:r w:rsidRPr="00D02C60">
        <w:rPr>
          <w:rFonts w:ascii="Verdana" w:eastAsia="Calibri" w:hAnsi="Verdana" w:cs="Arial"/>
          <w:vertAlign w:val="superscript"/>
          <w:lang w:val="es-ES"/>
        </w:rPr>
        <w:footnoteReference w:id="3"/>
      </w:r>
      <w:r w:rsidRPr="00BB3E01">
        <w:rPr>
          <w:rFonts w:ascii="Verdana" w:eastAsia="Calibri" w:hAnsi="Verdana" w:cs="Arial"/>
          <w:lang w:val="es-ES"/>
        </w:rPr>
        <w:t xml:space="preserve">. </w:t>
      </w:r>
    </w:p>
    <w:p w14:paraId="73C5DB6C" w14:textId="77777777" w:rsidR="009B1E07" w:rsidRPr="00D40AE7" w:rsidRDefault="009B1E07" w:rsidP="009B1E07">
      <w:pPr>
        <w:spacing w:after="120" w:line="276" w:lineRule="auto"/>
        <w:ind w:firstLine="709"/>
        <w:jc w:val="both"/>
        <w:rPr>
          <w:rFonts w:ascii="Verdana" w:eastAsia="Calibri" w:hAnsi="Verdana" w:cs="Arial"/>
          <w:lang w:val="es-ES"/>
        </w:rPr>
      </w:pPr>
      <w:r w:rsidRPr="00D40AE7">
        <w:rPr>
          <w:rFonts w:ascii="Verdana" w:eastAsia="Calibri" w:hAnsi="Verdana" w:cs="Arial"/>
          <w:lang w:val="es-ES"/>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w:t>
      </w:r>
    </w:p>
    <w:p w14:paraId="087FBF57" w14:textId="77777777" w:rsidR="009B1E07" w:rsidRPr="00D71733" w:rsidRDefault="009B1E07" w:rsidP="009B1E07">
      <w:pPr>
        <w:spacing w:after="0" w:line="0" w:lineRule="atLeast"/>
        <w:ind w:firstLine="708"/>
        <w:jc w:val="both"/>
        <w:rPr>
          <w:rFonts w:ascii="Verdana" w:eastAsia="Calibri" w:hAnsi="Verdana" w:cs="Arial"/>
          <w:lang w:val="es-ES"/>
        </w:rPr>
      </w:pPr>
    </w:p>
    <w:p w14:paraId="27DC1EE2" w14:textId="77777777" w:rsidR="009B1E07" w:rsidRPr="00650923" w:rsidRDefault="009B1E07" w:rsidP="009B1E07">
      <w:pPr>
        <w:spacing w:after="0" w:line="0" w:lineRule="atLeast"/>
        <w:ind w:left="709" w:right="758"/>
        <w:jc w:val="both"/>
        <w:rPr>
          <w:rFonts w:ascii="Verdana" w:eastAsia="Calibri" w:hAnsi="Verdana" w:cs="Arial"/>
          <w:sz w:val="20"/>
          <w:szCs w:val="20"/>
          <w:lang w:val="es-MX"/>
        </w:rPr>
      </w:pPr>
      <w:r w:rsidRPr="00650923">
        <w:rPr>
          <w:rFonts w:ascii="Verdana" w:eastAsia="Calibri" w:hAnsi="Verdana" w:cs="Arial"/>
          <w:sz w:val="20"/>
          <w:szCs w:val="20"/>
          <w:lang w:val="es-ES"/>
        </w:rPr>
        <w:t>“</w:t>
      </w:r>
      <w:r w:rsidRPr="00650923">
        <w:rPr>
          <w:rFonts w:ascii="Verdana" w:eastAsia="Calibri" w:hAnsi="Verdana" w:cs="Arial"/>
          <w:sz w:val="20"/>
          <w:szCs w:val="20"/>
          <w:lang w:val="es-MX"/>
        </w:rPr>
        <w:t>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“los acuerdos, conciliaciones y transacciones a que llegaren las partes para poner fin a las divergencias presentadas y poder declararse a paz y salvo”</w:t>
      </w:r>
      <w:r w:rsidRPr="00650923">
        <w:rPr>
          <w:rFonts w:ascii="Verdana" w:eastAsia="Calibri" w:hAnsi="Verdana" w:cs="Arial"/>
          <w:sz w:val="20"/>
          <w:szCs w:val="20"/>
          <w:vertAlign w:val="superscript"/>
          <w:lang w:val="es-MX"/>
        </w:rPr>
        <w:footnoteReference w:id="4"/>
      </w:r>
      <w:r w:rsidRPr="00650923">
        <w:rPr>
          <w:rFonts w:ascii="Verdana" w:eastAsia="Calibri" w:hAnsi="Verdana" w:cs="Arial"/>
          <w:sz w:val="20"/>
          <w:szCs w:val="20"/>
          <w:lang w:val="es-MX"/>
        </w:rPr>
        <w:t>.</w:t>
      </w:r>
    </w:p>
    <w:p w14:paraId="4299995F" w14:textId="77777777" w:rsidR="009B1E07" w:rsidRPr="00D71733" w:rsidRDefault="009B1E07" w:rsidP="009B1E07">
      <w:pPr>
        <w:spacing w:after="0" w:line="0" w:lineRule="atLeast"/>
        <w:ind w:left="709" w:right="758"/>
        <w:jc w:val="both"/>
        <w:rPr>
          <w:rFonts w:ascii="Verdana" w:eastAsia="Calibri" w:hAnsi="Verdana" w:cs="Arial"/>
          <w:lang w:val="es-ES"/>
        </w:rPr>
      </w:pPr>
    </w:p>
    <w:p w14:paraId="199DA01D" w14:textId="77777777" w:rsidR="009B1E07" w:rsidRPr="009F2E0F" w:rsidRDefault="009B1E07" w:rsidP="009B1E07">
      <w:pPr>
        <w:spacing w:after="120" w:line="276" w:lineRule="auto"/>
        <w:ind w:firstLine="709"/>
        <w:jc w:val="both"/>
        <w:rPr>
          <w:rFonts w:ascii="Verdana" w:eastAsia="Calibri" w:hAnsi="Verdana" w:cs="Arial"/>
          <w:lang w:val="es-ES"/>
        </w:rPr>
      </w:pPr>
      <w:r w:rsidRPr="00FB5FC4">
        <w:rPr>
          <w:rFonts w:ascii="Verdana" w:eastAsia="Calibri" w:hAnsi="Verdana" w:cs="Arial"/>
          <w:color w:val="000000"/>
          <w:lang w:val="es-ES_tradnl"/>
        </w:rPr>
        <w:t>Así las cosas, de acuerdo con el artículo 60 de la Ley 80 de 1993, los contratos de tracto sucesivo, aquellos cuyo cumplimiento o ejecución se prolongue en el tiempo y los demás que lo requieran “</w:t>
      </w:r>
      <w:r w:rsidRPr="00D71733">
        <w:rPr>
          <w:rFonts w:ascii="Verdana" w:eastAsia="Calibri" w:hAnsi="Verdana" w:cs="Arial"/>
          <w:color w:val="000000"/>
          <w:lang w:val="es-ES_tradnl"/>
        </w:rPr>
        <w:t>serán objeto de liquidación</w:t>
      </w:r>
      <w:r w:rsidRPr="00FB5FC4">
        <w:rPr>
          <w:rFonts w:ascii="Verdana" w:eastAsia="Calibri" w:hAnsi="Verdana" w:cs="Arial"/>
          <w:color w:val="000000"/>
          <w:lang w:val="es-ES_tradnl"/>
        </w:rPr>
        <w:t xml:space="preserve">”.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w:t>
      </w:r>
      <w:r w:rsidRPr="00FB5FC4">
        <w:rPr>
          <w:rFonts w:ascii="Verdana" w:eastAsia="Calibri" w:hAnsi="Verdana" w:cs="Arial"/>
          <w:color w:val="000000"/>
          <w:lang w:val="es-ES_tradnl"/>
        </w:rPr>
        <w:lastRenderedPageBreak/>
        <w:t>naturaleza, objeto y plazo del contrato</w:t>
      </w:r>
      <w:r w:rsidRPr="00FB5FC4">
        <w:rPr>
          <w:rFonts w:ascii="Verdana" w:eastAsia="Calibri" w:hAnsi="Verdana" w:cs="Arial"/>
          <w:color w:val="000000"/>
          <w:vertAlign w:val="superscript"/>
          <w:lang w:val="es-ES_tradnl"/>
        </w:rPr>
        <w:footnoteReference w:id="5"/>
      </w:r>
      <w:r w:rsidRPr="00FB5FC4">
        <w:rPr>
          <w:rFonts w:ascii="Verdana" w:eastAsia="Calibri" w:hAnsi="Verdana" w:cs="Arial"/>
          <w:color w:val="000000"/>
          <w:lang w:val="es-ES_tradnl"/>
        </w:rPr>
        <w:t xml:space="preserve">, así como la probabilidad de que puedan surgir diferencias durante la ejecución del contrato; sin perjuicio de que, como se indicó, todos los contratos estatales de </w:t>
      </w:r>
      <w:r w:rsidRPr="00FB5FC4">
        <w:rPr>
          <w:rFonts w:ascii="Verdana" w:eastAsia="Calibri" w:hAnsi="Verdana" w:cs="Arial"/>
          <w:i/>
          <w:iCs/>
          <w:color w:val="000000"/>
          <w:lang w:val="es-ES_tradnl"/>
        </w:rPr>
        <w:t>tracto sucesivo</w:t>
      </w:r>
      <w:r w:rsidRPr="00FB5FC4">
        <w:rPr>
          <w:rFonts w:ascii="Verdana" w:eastAsia="Calibri" w:hAnsi="Verdana" w:cs="Arial"/>
          <w:color w:val="000000"/>
          <w:lang w:val="es-ES_tradnl"/>
        </w:rPr>
        <w:t xml:space="preserve"> o aquellos cuya ejecución se prolongue en el tiempo siempre deban liquidarse, convirtiéndose en estos contratos en una cláusula de la naturaleza, conforme a la clasificación </w:t>
      </w:r>
      <w:r w:rsidRPr="009F2E0F">
        <w:rPr>
          <w:rFonts w:ascii="Verdana" w:eastAsia="Calibri" w:hAnsi="Verdana" w:cs="Arial"/>
          <w:lang w:val="es-ES"/>
        </w:rPr>
        <w:t>prevista en el Código Civil.</w:t>
      </w:r>
    </w:p>
    <w:p w14:paraId="4F1440C4" w14:textId="77777777" w:rsidR="009B1E07" w:rsidRPr="00732DAC" w:rsidRDefault="009B1E07" w:rsidP="009B1E07">
      <w:pPr>
        <w:spacing w:after="120" w:line="276" w:lineRule="auto"/>
        <w:ind w:firstLine="709"/>
        <w:jc w:val="both"/>
        <w:rPr>
          <w:rFonts w:ascii="Verdana" w:eastAsia="Calibri" w:hAnsi="Verdana" w:cs="Arial"/>
          <w:lang w:val="es-ES"/>
        </w:rPr>
      </w:pPr>
      <w:r w:rsidRPr="009F2E0F">
        <w:rPr>
          <w:rFonts w:ascii="Verdana" w:eastAsia="Calibri" w:hAnsi="Verdana" w:cs="Arial"/>
          <w:lang w:val="es-ES"/>
        </w:rPr>
        <w:t>Por su parte, el artículo 11 de la</w:t>
      </w:r>
      <w:r w:rsidRPr="0DF67D85">
        <w:rPr>
          <w:rFonts w:ascii="Verdana" w:eastAsia="Calibri" w:hAnsi="Verdana" w:cs="Arial"/>
          <w:color w:val="000000"/>
          <w:lang w:val="es-ES"/>
        </w:rPr>
        <w:t xml:space="preserve"> Ley 1150 de 2007 contiene las reglas de tipo procedimental para liquidar los contratos estatales, las cuales se pasan a explicar</w:t>
      </w:r>
      <w:r w:rsidRPr="0DF67D85">
        <w:rPr>
          <w:rFonts w:ascii="Verdana" w:eastAsia="Calibri" w:hAnsi="Verdana" w:cs="Arial"/>
          <w:color w:val="000000"/>
          <w:vertAlign w:val="superscript"/>
          <w:lang w:val="es-ES"/>
        </w:rPr>
        <w:footnoteReference w:id="6"/>
      </w:r>
      <w:r w:rsidRPr="0DF67D85">
        <w:rPr>
          <w:rFonts w:ascii="Verdana" w:eastAsia="Calibri" w:hAnsi="Verdana" w:cs="Arial"/>
          <w:color w:val="000000"/>
          <w:lang w:val="es-ES"/>
        </w:rPr>
        <w:t xml:space="preserve">. En primer lugar, en ejercicio de la autonomía de la voluntad y de conformidad con los criterios de la naturaleza, objeto y plazo del contrato, la entidad puede definir en el pliego de condiciones o en el contrato el plazo para efectuar la liquidación de mutuo acuerdo. En ausencia de pacto contractual, el artículo 11 de la Ley 1150 de 2007 prevé un término supletivo de 4 meses contados desde: i) el vencimiento del plazo previsto para la ejecución del contrato; </w:t>
      </w:r>
      <w:proofErr w:type="spellStart"/>
      <w:r w:rsidRPr="0DF67D85">
        <w:rPr>
          <w:rFonts w:ascii="Verdana" w:eastAsia="Calibri" w:hAnsi="Verdana" w:cs="Arial"/>
          <w:color w:val="000000"/>
          <w:lang w:val="es-ES"/>
        </w:rPr>
        <w:t>ii</w:t>
      </w:r>
      <w:proofErr w:type="spellEnd"/>
      <w:r w:rsidRPr="0DF67D85">
        <w:rPr>
          <w:rFonts w:ascii="Verdana" w:eastAsia="Calibri" w:hAnsi="Verdana" w:cs="Arial"/>
          <w:color w:val="000000"/>
          <w:lang w:val="es-ES"/>
        </w:rPr>
        <w:t xml:space="preserve">) la expedición del acto administrativo que ordene la terminación del </w:t>
      </w:r>
      <w:r w:rsidRPr="00732DAC">
        <w:rPr>
          <w:rFonts w:ascii="Verdana" w:eastAsia="Calibri" w:hAnsi="Verdana" w:cs="Arial"/>
          <w:lang w:val="es-ES"/>
        </w:rPr>
        <w:t xml:space="preserve">contrato; o, </w:t>
      </w:r>
      <w:proofErr w:type="spellStart"/>
      <w:r w:rsidRPr="00732DAC">
        <w:rPr>
          <w:rFonts w:ascii="Verdana" w:eastAsia="Calibri" w:hAnsi="Verdana" w:cs="Arial"/>
          <w:lang w:val="es-ES"/>
        </w:rPr>
        <w:t>iii</w:t>
      </w:r>
      <w:proofErr w:type="spellEnd"/>
      <w:r w:rsidRPr="00732DAC">
        <w:rPr>
          <w:rFonts w:ascii="Verdana" w:eastAsia="Calibri" w:hAnsi="Verdana" w:cs="Arial"/>
          <w:lang w:val="es-ES"/>
        </w:rPr>
        <w:t>) la fecha del acuerdo que disponga la terminación del contrato.</w:t>
      </w:r>
    </w:p>
    <w:p w14:paraId="57057CF0" w14:textId="77777777" w:rsidR="009B1E07" w:rsidRPr="00DC355D" w:rsidRDefault="009B1E07" w:rsidP="009B1E07">
      <w:pPr>
        <w:spacing w:after="120" w:line="276" w:lineRule="auto"/>
        <w:ind w:firstLine="709"/>
        <w:jc w:val="both"/>
        <w:rPr>
          <w:rFonts w:ascii="Verdana" w:eastAsia="Calibri" w:hAnsi="Verdana" w:cs="Arial"/>
          <w:lang w:val="es-ES"/>
        </w:rPr>
      </w:pPr>
      <w:r w:rsidRPr="00E874EE">
        <w:rPr>
          <w:rFonts w:ascii="Verdana" w:eastAsia="Calibri" w:hAnsi="Verdana" w:cs="Arial"/>
          <w:lang w:val="es-ES"/>
        </w:rPr>
        <w:t xml:space="preserve">El artículo 11 de la Ley 1150 de 2007 señala que la liquidación de mutuo acuerdo deberá realizar dentro del plazo previsto en “los pliegos de condiciones o sus equivalentes, o dentro del que acuerden las partes para el efecto”. Para dilucidar a qué se refiere la norma con “equivalentes” resulta necesario tener presente que el pliego de condiciones es un documento contentivo de las reglas aplicables a un determinado proceso de selección, que “materializa los principios de planeación contractual y de trasparencia, comoquiera que su adecuada formulación permite o garantiza la selección objetiva del contratista de acuerdo con los parámetros de calificación correspondientes para cada tipo de procedimiento [y que] constituye la ley tanto del procedimiento administrativo </w:t>
      </w:r>
      <w:r w:rsidRPr="00E874EE">
        <w:rPr>
          <w:rFonts w:ascii="Verdana" w:eastAsia="Calibri" w:hAnsi="Verdana" w:cs="Arial"/>
          <w:lang w:val="es-ES"/>
        </w:rPr>
        <w:lastRenderedPageBreak/>
        <w:t>de selección del contratista, como del contrato a celebrar”</w:t>
      </w:r>
      <w:r w:rsidRPr="00E874EE">
        <w:rPr>
          <w:rFonts w:ascii="Verdana" w:eastAsia="Calibri" w:hAnsi="Verdana" w:cs="Arial"/>
          <w:lang w:val="es-ES"/>
        </w:rPr>
        <w:footnoteReference w:id="7"/>
      </w:r>
      <w:r w:rsidRPr="00E874EE">
        <w:rPr>
          <w:rFonts w:ascii="Verdana" w:eastAsia="Calibri" w:hAnsi="Verdana" w:cs="Arial"/>
          <w:lang w:val="es-ES"/>
        </w:rPr>
        <w:t>. A partir de tales características debe determinarse la equivalencia de un documento con un pliego de condiciones, la cual se puede ejemplificar claramente con la invitación a participar en los procesos de mínima cuantía</w:t>
      </w:r>
      <w:r w:rsidRPr="00E874EE">
        <w:rPr>
          <w:rFonts w:ascii="Verdana" w:eastAsia="Calibri" w:hAnsi="Verdana" w:cs="Arial"/>
          <w:lang w:val="es-ES"/>
        </w:rPr>
        <w:footnoteReference w:id="8"/>
      </w:r>
      <w:r w:rsidRPr="00E874EE">
        <w:rPr>
          <w:rFonts w:ascii="Verdana" w:eastAsia="Calibri" w:hAnsi="Verdana" w:cs="Arial"/>
          <w:lang w:val="es-ES"/>
        </w:rPr>
        <w:t xml:space="preserve">, documento dentro del cual la entidad contratante debe fijar las reglas aplicables al procedimiento de selección, cumpliendo con la función del pliego de condiciones. En tal sentido, es un documento “equivalente” del mismo en los términos del artículo 11 </w:t>
      </w:r>
      <w:proofErr w:type="spellStart"/>
      <w:r w:rsidRPr="00E874EE">
        <w:rPr>
          <w:rFonts w:ascii="Verdana" w:eastAsia="Calibri" w:hAnsi="Verdana" w:cs="Arial"/>
          <w:lang w:val="es-ES"/>
        </w:rPr>
        <w:t>Ibídem</w:t>
      </w:r>
      <w:proofErr w:type="spellEnd"/>
      <w:r w:rsidRPr="00E874EE">
        <w:rPr>
          <w:rFonts w:ascii="Verdana" w:eastAsia="Calibri" w:hAnsi="Verdana" w:cs="Arial"/>
          <w:lang w:val="es-ES"/>
        </w:rPr>
        <w:t>, dentro del</w:t>
      </w:r>
      <w:r w:rsidRPr="005903E4">
        <w:rPr>
          <w:rFonts w:ascii="Verdana" w:eastAsia="Calibri" w:hAnsi="Verdana" w:cs="Arial"/>
          <w:lang w:val="es-ES"/>
        </w:rPr>
        <w:t xml:space="preserve"> cual es viable establecer el plazo para la liquidación de mutuo acuerdo. </w:t>
      </w:r>
    </w:p>
    <w:p w14:paraId="0896E5F2" w14:textId="77777777" w:rsidR="009B1E07" w:rsidRPr="00731583" w:rsidRDefault="009B1E07" w:rsidP="009B1E07">
      <w:pPr>
        <w:spacing w:after="120" w:line="276" w:lineRule="auto"/>
        <w:ind w:firstLine="709"/>
        <w:jc w:val="both"/>
        <w:rPr>
          <w:rFonts w:ascii="Verdana" w:eastAsia="Calibri" w:hAnsi="Verdana" w:cs="Arial"/>
          <w:lang w:val="es-ES"/>
        </w:rPr>
      </w:pPr>
      <w:r w:rsidRPr="0DF67D85">
        <w:rPr>
          <w:rFonts w:ascii="Verdana" w:eastAsia="Times New Roman" w:hAnsi="Verdana" w:cs="Arial"/>
          <w:lang w:val="es-ES" w:eastAsia="es-ES"/>
        </w:rPr>
        <w:t xml:space="preserve">De otra parte, cuando el artículo 11 de la Ley 1150 de 2007 hace referencia al término que “acuerden las partes” para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Este hecho no impide que, en el marco de la ejecución del contrato, las partes acuerden fijar el referido plazo; acuerdo que, en tanto significa una alteración de las reglas que orientan la relación contractual, implica una modificación del contrato. Por tal razón, su celebración debe cumplir con los requisitos del negocio jurídico, ameritando la concurrencia de capacidad jurídica de los agentes, un consentimiento libre de vicios, un objeto y causa lícita, así como la formalidad </w:t>
      </w:r>
      <w:r w:rsidRPr="00731583">
        <w:rPr>
          <w:rFonts w:ascii="Verdana" w:eastAsia="Calibri" w:hAnsi="Verdana" w:cs="Arial"/>
          <w:lang w:val="es-ES"/>
        </w:rPr>
        <w:t>escrita requerida en materia de contratación estatal</w:t>
      </w:r>
      <w:r w:rsidRPr="00731583">
        <w:rPr>
          <w:rFonts w:ascii="Verdana" w:eastAsia="Calibri" w:hAnsi="Verdana" w:cs="Arial"/>
          <w:vertAlign w:val="superscript"/>
          <w:lang w:val="es-ES"/>
        </w:rPr>
        <w:footnoteReference w:id="9"/>
      </w:r>
      <w:r w:rsidRPr="00731583">
        <w:rPr>
          <w:rFonts w:ascii="Verdana" w:eastAsia="Calibri" w:hAnsi="Verdana" w:cs="Arial"/>
          <w:lang w:val="es-ES"/>
        </w:rPr>
        <w:t xml:space="preserve">. </w:t>
      </w:r>
    </w:p>
    <w:p w14:paraId="200037D4" w14:textId="77777777" w:rsidR="009B1E07" w:rsidRPr="00FB5FC4" w:rsidRDefault="009B1E07" w:rsidP="009B1E07">
      <w:pPr>
        <w:spacing w:after="120" w:line="276" w:lineRule="auto"/>
        <w:ind w:firstLine="709"/>
        <w:jc w:val="both"/>
        <w:rPr>
          <w:rFonts w:ascii="Verdana" w:eastAsia="Calibri" w:hAnsi="Verdana" w:cs="Arial"/>
          <w:lang w:val="es-ES"/>
        </w:rPr>
      </w:pPr>
      <w:r w:rsidRPr="0DF67D85">
        <w:rPr>
          <w:rFonts w:ascii="Verdana" w:eastAsia="Calibri" w:hAnsi="Verdana" w:cs="Arial"/>
          <w:lang w:val="es-ES"/>
        </w:rPr>
        <w:lastRenderedPageBreak/>
        <w:t>Ahora bien, el término de 4 meses previsto en el artículo 11 de la Ley 1150 de 2007, dado su carácter supletivo, solo resulta aplicable ante la ausencia de regulación de este en el pliego de condiciones –documento equivalente– o acuerdo entre las partes en torno al plazo de liquidación bilateral. Por lo tanto, las partes, en desarrollo de la autonomía de la voluntad que les asiste, están habilitadas para pactar un término diferente, el cual puede ser inferior o incluso 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se encuentran sometidas a los principios de la función administrativa</w:t>
      </w:r>
      <w:r w:rsidRPr="00FE4F11">
        <w:rPr>
          <w:rFonts w:ascii="Verdana" w:eastAsia="Calibri" w:hAnsi="Verdana" w:cs="Arial"/>
          <w:lang w:val="es-ES"/>
        </w:rPr>
        <w:footnoteReference w:id="10"/>
      </w:r>
      <w:r w:rsidRPr="0DF67D85">
        <w:rPr>
          <w:rFonts w:ascii="Verdana" w:eastAsia="Calibri" w:hAnsi="Verdana" w:cs="Arial"/>
          <w:lang w:val="es-ES"/>
        </w:rPr>
        <w:t>, lo cual implica que las mismas se desarrollen en procura de la economía y la celeridad</w:t>
      </w:r>
      <w:r w:rsidRPr="00FE4F11">
        <w:rPr>
          <w:rFonts w:ascii="Verdana" w:eastAsia="Calibri" w:hAnsi="Verdana" w:cs="Arial"/>
          <w:lang w:val="es-ES"/>
        </w:rPr>
        <w:footnoteReference w:id="11"/>
      </w:r>
      <w:r w:rsidRPr="0DF67D85">
        <w:rPr>
          <w:rFonts w:ascii="Verdana" w:eastAsia="Calibri" w:hAnsi="Verdana" w:cs="Arial"/>
          <w:lang w:val="es-ES"/>
        </w:rPr>
        <w:t>. Esto significa que, en ejercicio de la facultad que les asiste para fijar el plazo para la liquidación bilateral, las partes deben actuar en garantía de estos principios, por lo que el término que se acuerde debe fijarse de manera razonable.</w:t>
      </w:r>
    </w:p>
    <w:p w14:paraId="436A7B5C" w14:textId="77777777" w:rsidR="009B1E07" w:rsidRPr="0024319B" w:rsidRDefault="009B1E07" w:rsidP="009B1E07">
      <w:pPr>
        <w:spacing w:after="120" w:line="276" w:lineRule="auto"/>
        <w:ind w:firstLine="709"/>
        <w:jc w:val="both"/>
        <w:rPr>
          <w:rFonts w:ascii="Verdana" w:eastAsia="Calibri" w:hAnsi="Verdana" w:cs="Arial"/>
          <w:lang w:val="es-ES"/>
        </w:rPr>
      </w:pPr>
      <w:r w:rsidRPr="002530A6">
        <w:rPr>
          <w:rFonts w:ascii="Verdana" w:eastAsia="Calibri" w:hAnsi="Verdana" w:cs="Arial"/>
          <w:lang w:val="es-ES"/>
        </w:rPr>
        <w:t>Durante este término, el contratista</w:t>
      </w:r>
      <w:r w:rsidRPr="00FB5FC4">
        <w:rPr>
          <w:rFonts w:ascii="Verdana" w:eastAsia="Calibri" w:hAnsi="Verdana" w:cs="Arial"/>
          <w:color w:val="000000"/>
          <w:lang w:val="es-ES_tradnl"/>
        </w:rPr>
        <w:t xml:space="preserve"> puede solicitar que se adelante el trámite de liquidación. Sin embargo, es responsabilidad de la entidad estatal convocarlo para adelantar la liquidación de común acuerdo o notificarlo para que se presente a realizarla</w:t>
      </w:r>
      <w:r w:rsidRPr="00FB5FC4">
        <w:rPr>
          <w:rFonts w:ascii="Verdana" w:eastAsia="Calibri" w:hAnsi="Verdana" w:cs="Arial"/>
          <w:color w:val="000000"/>
          <w:vertAlign w:val="superscript"/>
          <w:lang w:val="es-ES_tradnl"/>
        </w:rPr>
        <w:footnoteReference w:id="12"/>
      </w:r>
      <w:r w:rsidRPr="00FB5FC4">
        <w:rPr>
          <w:rFonts w:ascii="Verdana" w:eastAsia="Calibri" w:hAnsi="Verdana" w:cs="Arial"/>
          <w:color w:val="000000"/>
          <w:lang w:val="es-ES_tradnl"/>
        </w:rPr>
        <w:t>, de manera que el contrato pueda ser liquidado bilateralmente, bien sea en el plazo previsto en el pliego de condiciones, el acordado por las partes, o el supletivo de cuatro meses señalado en la ley, según corresponda. Esta liquidación bilateral puede ser total o parcial</w:t>
      </w:r>
      <w:r w:rsidRPr="00FB5FC4">
        <w:rPr>
          <w:rFonts w:ascii="Verdana" w:eastAsia="Calibri" w:hAnsi="Verdana" w:cs="Arial"/>
          <w:iCs/>
          <w:color w:val="000000"/>
          <w:vertAlign w:val="superscript"/>
          <w:lang w:val="es-ES_tradnl"/>
        </w:rPr>
        <w:footnoteReference w:id="13"/>
      </w:r>
      <w:r w:rsidRPr="00FB5FC4">
        <w:rPr>
          <w:rFonts w:ascii="Verdana" w:eastAsia="Calibri" w:hAnsi="Verdana" w:cs="Arial"/>
          <w:color w:val="000000"/>
          <w:lang w:val="es-ES_tradnl"/>
        </w:rPr>
        <w:t xml:space="preserve">, y </w:t>
      </w:r>
      <w:r w:rsidRPr="00FB5FC4">
        <w:rPr>
          <w:rFonts w:ascii="Verdana" w:eastAsia="Calibri" w:hAnsi="Verdana" w:cs="Arial"/>
          <w:iCs/>
          <w:color w:val="000000"/>
          <w:lang w:val="es-ES_tradnl"/>
        </w:rPr>
        <w:t xml:space="preserve">el documento </w:t>
      </w:r>
      <w:r w:rsidRPr="0024319B">
        <w:rPr>
          <w:rFonts w:ascii="Verdana" w:eastAsia="Calibri" w:hAnsi="Verdana" w:cs="Arial"/>
          <w:lang w:val="es-ES"/>
        </w:rPr>
        <w:t>que la contiene presta mérito ejecutivo, siempre que se satisfagan los elementos para considerarlo como tal.</w:t>
      </w:r>
    </w:p>
    <w:p w14:paraId="670B4CDD" w14:textId="77777777" w:rsidR="009B1E07" w:rsidRPr="000B47E8" w:rsidRDefault="009B1E07" w:rsidP="009B1E07">
      <w:pPr>
        <w:spacing w:after="120" w:line="276" w:lineRule="auto"/>
        <w:ind w:firstLine="709"/>
        <w:jc w:val="both"/>
        <w:rPr>
          <w:rFonts w:ascii="Verdana" w:eastAsia="Calibri" w:hAnsi="Verdana" w:cs="Arial"/>
          <w:lang w:val="es-ES"/>
        </w:rPr>
      </w:pPr>
      <w:r w:rsidRPr="000B47E8">
        <w:rPr>
          <w:rFonts w:ascii="Verdana" w:eastAsia="Calibri" w:hAnsi="Verdana" w:cs="Arial"/>
          <w:lang w:val="es-ES"/>
        </w:rPr>
        <w:lastRenderedPageBreak/>
        <w:t>Si no es posible efectuar la liquidación de manera bilateral, el ordenamiento jurídico prevé una facultad, de carácter subsidiario, para que la Entidad Estatal realice la liquidación unilateralmente. En relación con este aspecto, la Sala de Consulta y Servicio Civil del Consejo de Estado, en concepto del 28 de junio de 2016, manifestó que:  </w:t>
      </w:r>
    </w:p>
    <w:p w14:paraId="3790AF53" w14:textId="77777777" w:rsidR="009B1E07" w:rsidRPr="00FB5FC4" w:rsidRDefault="009B1E07" w:rsidP="009B1E07">
      <w:pPr>
        <w:spacing w:after="0" w:line="0" w:lineRule="atLeast"/>
        <w:ind w:left="705" w:right="750"/>
        <w:jc w:val="both"/>
        <w:rPr>
          <w:rFonts w:ascii="Verdana" w:eastAsia="Times New Roman" w:hAnsi="Verdana" w:cs="Arial"/>
          <w:color w:val="000000"/>
          <w:lang w:eastAsia="es-ES_tradnl"/>
        </w:rPr>
      </w:pPr>
    </w:p>
    <w:p w14:paraId="44A2D25A" w14:textId="77777777" w:rsidR="009B1E07" w:rsidRPr="00574326" w:rsidRDefault="009B1E07" w:rsidP="009B1E07">
      <w:pPr>
        <w:spacing w:after="0" w:line="0" w:lineRule="atLeast"/>
        <w:ind w:left="705" w:right="750"/>
        <w:jc w:val="both"/>
        <w:rPr>
          <w:rFonts w:ascii="Verdana" w:eastAsia="Times New Roman" w:hAnsi="Verdana" w:cs="Arial"/>
          <w:color w:val="000000"/>
          <w:sz w:val="20"/>
          <w:szCs w:val="20"/>
          <w:lang w:eastAsia="es-ES_tradnl"/>
        </w:rPr>
      </w:pPr>
      <w:r w:rsidRPr="00574326">
        <w:rPr>
          <w:rFonts w:ascii="Verdana" w:eastAsia="Times New Roman" w:hAnsi="Verdana" w:cs="Arial"/>
          <w:i/>
          <w:iCs/>
          <w:sz w:val="20"/>
          <w:szCs w:val="20"/>
          <w:lang w:val="es-ES_tradnl" w:eastAsia="es-ES_tradnl"/>
        </w:rPr>
        <w:t>“</w:t>
      </w:r>
      <w:r w:rsidRPr="00574326">
        <w:rPr>
          <w:rFonts w:ascii="Verdana" w:eastAsia="Calibri" w:hAnsi="Verdana" w:cs="Arial"/>
          <w:color w:val="000000"/>
          <w:sz w:val="20"/>
          <w:szCs w:val="20"/>
          <w:lang w:val="es-ES" w:eastAsia="es-ES_tradnl"/>
        </w:rPr>
        <w:t>[</w:t>
      </w:r>
      <w:r w:rsidRPr="00574326">
        <w:rPr>
          <w:rFonts w:ascii="Verdana" w:eastAsia="Times New Roman" w:hAnsi="Verdana" w:cs="Arial"/>
          <w:color w:val="000000"/>
          <w:sz w:val="20"/>
          <w:szCs w:val="20"/>
          <w:bdr w:val="none" w:sz="0" w:space="0" w:color="auto" w:frame="1"/>
          <w:shd w:val="clear" w:color="auto" w:fill="FFFFFF"/>
          <w:lang w:eastAsia="es-ES_tradnl"/>
        </w:rPr>
        <w:t>…]</w:t>
      </w:r>
      <w:r w:rsidRPr="00574326">
        <w:rPr>
          <w:rFonts w:ascii="Verdana" w:eastAsia="Times New Roman" w:hAnsi="Verdana" w:cs="Arial"/>
          <w:color w:val="000000"/>
          <w:sz w:val="20"/>
          <w:szCs w:val="20"/>
          <w:bdr w:val="none" w:sz="0" w:space="0" w:color="auto" w:frame="1"/>
          <w:shd w:val="clear" w:color="auto" w:fill="FFFFFF"/>
          <w:lang w:val="es-ES" w:eastAsia="es-ES_tradnl"/>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574326">
        <w:rPr>
          <w:rFonts w:ascii="Verdana" w:eastAsia="Times New Roman" w:hAnsi="Verdana" w:cs="Arial"/>
          <w:color w:val="000000"/>
          <w:sz w:val="20"/>
          <w:szCs w:val="20"/>
          <w:bdr w:val="none" w:sz="0" w:space="0" w:color="auto" w:frame="1"/>
          <w:shd w:val="clear" w:color="auto" w:fill="FFFFFF"/>
          <w:vertAlign w:val="superscript"/>
          <w:lang w:val="es-MX" w:eastAsia="es-ES_tradnl"/>
        </w:rPr>
        <w:footnoteReference w:id="14"/>
      </w:r>
      <w:r w:rsidRPr="00574326">
        <w:rPr>
          <w:rFonts w:ascii="Verdana" w:eastAsia="Times New Roman" w:hAnsi="Verdana" w:cs="Arial"/>
          <w:color w:val="000000"/>
          <w:sz w:val="20"/>
          <w:szCs w:val="20"/>
          <w:bdr w:val="none" w:sz="0" w:space="0" w:color="auto" w:frame="1"/>
          <w:shd w:val="clear" w:color="auto" w:fill="FFFFFF"/>
          <w:lang w:val="es-ES" w:eastAsia="es-ES_tradnl"/>
        </w:rPr>
        <w:t>. </w:t>
      </w:r>
      <w:r w:rsidRPr="00574326">
        <w:rPr>
          <w:rFonts w:ascii="Verdana" w:eastAsia="Times New Roman" w:hAnsi="Verdana" w:cs="Arial"/>
          <w:color w:val="000000"/>
          <w:sz w:val="20"/>
          <w:szCs w:val="20"/>
          <w:bdr w:val="none" w:sz="0" w:space="0" w:color="auto" w:frame="1"/>
          <w:shd w:val="clear" w:color="auto" w:fill="FFFFFF"/>
          <w:lang w:eastAsia="es-ES_tradnl"/>
        </w:rPr>
        <w:t>  </w:t>
      </w:r>
    </w:p>
    <w:p w14:paraId="356CA04F" w14:textId="77777777" w:rsidR="009B1E07" w:rsidRPr="00FB5FC4" w:rsidRDefault="009B1E07" w:rsidP="009B1E07">
      <w:pPr>
        <w:spacing w:after="0" w:line="0" w:lineRule="atLeast"/>
        <w:ind w:left="705" w:right="750"/>
        <w:jc w:val="both"/>
        <w:rPr>
          <w:rFonts w:ascii="Verdana" w:eastAsia="Times New Roman" w:hAnsi="Verdana" w:cs="Arial"/>
          <w:color w:val="000000"/>
          <w:lang w:eastAsia="es-ES_tradnl"/>
        </w:rPr>
      </w:pPr>
    </w:p>
    <w:p w14:paraId="234ED9D5" w14:textId="77777777" w:rsidR="009B1E07" w:rsidRPr="00574326" w:rsidRDefault="009B1E07" w:rsidP="009B1E07">
      <w:pPr>
        <w:spacing w:after="120" w:line="276" w:lineRule="auto"/>
        <w:ind w:firstLine="709"/>
        <w:jc w:val="both"/>
        <w:rPr>
          <w:rFonts w:ascii="Verdana" w:eastAsia="Calibri" w:hAnsi="Verdana" w:cs="Arial"/>
          <w:lang w:val="es-ES"/>
        </w:rPr>
      </w:pPr>
      <w:bookmarkStart w:id="14" w:name="_Hlk141851266"/>
      <w:r w:rsidRPr="00FB5FC4">
        <w:rPr>
          <w:rFonts w:ascii="Verdana" w:eastAsia="Times New Roman" w:hAnsi="Verdana" w:cs="Arial"/>
          <w:color w:val="000000"/>
          <w:bdr w:val="none" w:sz="0" w:space="0" w:color="auto" w:frame="1"/>
          <w:shd w:val="clear" w:color="auto" w:fill="FFFFFF"/>
          <w:lang w:val="es-ES" w:eastAsia="es-ES_tradnl"/>
        </w:rPr>
        <w:t xml:space="preserve">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w:t>
      </w:r>
      <w:r w:rsidRPr="00574326">
        <w:rPr>
          <w:rFonts w:ascii="Verdana" w:eastAsia="Calibri" w:hAnsi="Verdana" w:cs="Arial"/>
          <w:lang w:val="es-ES"/>
        </w:rPr>
        <w:t>supletivo establecido por la ley. </w:t>
      </w:r>
    </w:p>
    <w:p w14:paraId="23077FC5" w14:textId="77777777" w:rsidR="009B1E07" w:rsidRPr="00602834" w:rsidRDefault="009B1E07" w:rsidP="009B1E07">
      <w:pPr>
        <w:spacing w:after="120" w:line="276" w:lineRule="auto"/>
        <w:ind w:firstLine="709"/>
        <w:jc w:val="both"/>
        <w:rPr>
          <w:rFonts w:ascii="Verdana" w:eastAsia="Calibri" w:hAnsi="Verdana" w:cs="Arial"/>
          <w:lang w:val="es-ES"/>
        </w:rPr>
      </w:pPr>
      <w:r w:rsidRPr="00602834">
        <w:rPr>
          <w:rFonts w:ascii="Verdana" w:eastAsia="Calibri" w:hAnsi="Verdana" w:cs="Arial"/>
          <w:lang w:val="es-ES"/>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el interesado. </w:t>
      </w:r>
      <w:bookmarkEnd w:id="14"/>
      <w:r w:rsidRPr="00602834">
        <w:rPr>
          <w:rFonts w:ascii="Verdana" w:eastAsia="Calibri" w:hAnsi="Verdana" w:cs="Arial"/>
          <w:lang w:val="es-ES"/>
        </w:rPr>
        <w:t>En este sentido, en decisión de unificación de la Sección Tercera del Consejo de Estado del 1 de agosto de 2019, se expresó: </w:t>
      </w:r>
    </w:p>
    <w:p w14:paraId="71BD75AA" w14:textId="77777777" w:rsidR="009B1E07" w:rsidRPr="00FB5FC4" w:rsidRDefault="009B1E07" w:rsidP="009B1E07">
      <w:pPr>
        <w:spacing w:after="0" w:line="0" w:lineRule="atLeast"/>
        <w:ind w:firstLine="705"/>
        <w:jc w:val="both"/>
        <w:rPr>
          <w:rFonts w:ascii="Verdana" w:eastAsia="Times New Roman" w:hAnsi="Verdana" w:cs="Arial"/>
          <w:color w:val="000000"/>
          <w:lang w:eastAsia="es-ES_tradnl"/>
        </w:rPr>
      </w:pPr>
    </w:p>
    <w:p w14:paraId="0C57F771" w14:textId="77777777" w:rsidR="009B1E07" w:rsidRPr="00654200" w:rsidRDefault="009B1E07" w:rsidP="009B1E07">
      <w:pPr>
        <w:spacing w:after="0" w:line="0" w:lineRule="atLeast"/>
        <w:ind w:left="705" w:right="750"/>
        <w:jc w:val="both"/>
        <w:rPr>
          <w:rFonts w:ascii="Verdana" w:eastAsia="Times New Roman" w:hAnsi="Verdana" w:cs="Arial"/>
          <w:color w:val="000000"/>
          <w:sz w:val="20"/>
          <w:szCs w:val="20"/>
          <w:lang w:eastAsia="es-ES_tradnl"/>
        </w:rPr>
      </w:pPr>
      <w:r w:rsidRPr="00654200">
        <w:rPr>
          <w:rFonts w:ascii="Verdana" w:eastAsia="Times New Roman" w:hAnsi="Verdana" w:cs="Arial"/>
          <w:sz w:val="20"/>
          <w:szCs w:val="20"/>
          <w:lang w:val="es-ES_tradnl" w:eastAsia="es-ES_tradnl"/>
        </w:rPr>
        <w:t>“</w:t>
      </w:r>
      <w:r w:rsidRPr="00654200">
        <w:rPr>
          <w:rFonts w:ascii="Verdana" w:eastAsia="Times New Roman" w:hAnsi="Verdana" w:cs="Arial"/>
          <w:color w:val="000000"/>
          <w:sz w:val="20"/>
          <w:szCs w:val="20"/>
          <w:bdr w:val="none" w:sz="0" w:space="0" w:color="auto" w:frame="1"/>
          <w:shd w:val="clear" w:color="auto" w:fill="FFFFFF"/>
          <w:lang w:val="es-ES" w:eastAsia="es-ES_tradnl"/>
        </w:rPr>
        <w:t xml:space="preserve">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w:t>
      </w:r>
      <w:r w:rsidRPr="00654200">
        <w:rPr>
          <w:rFonts w:ascii="Verdana" w:eastAsia="Times New Roman" w:hAnsi="Verdana" w:cs="Arial"/>
          <w:color w:val="000000"/>
          <w:sz w:val="20"/>
          <w:szCs w:val="20"/>
          <w:bdr w:val="none" w:sz="0" w:space="0" w:color="auto" w:frame="1"/>
          <w:shd w:val="clear" w:color="auto" w:fill="FFFFFF"/>
          <w:lang w:val="es-ES" w:eastAsia="es-ES_tradnl"/>
        </w:rPr>
        <w:lastRenderedPageBreak/>
        <w:t>vencimiento sin que la administración lo hubiera liquidado unilateralmente, bajo condición de que el acuerdo </w:t>
      </w:r>
      <w:proofErr w:type="spellStart"/>
      <w:r w:rsidRPr="00654200">
        <w:rPr>
          <w:rFonts w:ascii="Verdana" w:eastAsia="Times New Roman" w:hAnsi="Verdana" w:cs="Arial"/>
          <w:color w:val="000000"/>
          <w:sz w:val="20"/>
          <w:szCs w:val="20"/>
          <w:bdr w:val="none" w:sz="0" w:space="0" w:color="auto" w:frame="1"/>
          <w:shd w:val="clear" w:color="auto" w:fill="FFFFFF"/>
          <w:lang w:val="es-ES" w:eastAsia="es-ES_tradnl"/>
        </w:rPr>
        <w:t>liquidatorio</w:t>
      </w:r>
      <w:proofErr w:type="spellEnd"/>
      <w:r w:rsidRPr="00654200">
        <w:rPr>
          <w:rFonts w:ascii="Verdana" w:eastAsia="Times New Roman" w:hAnsi="Verdana" w:cs="Arial"/>
          <w:color w:val="000000"/>
          <w:sz w:val="20"/>
          <w:szCs w:val="20"/>
          <w:bdr w:val="none" w:sz="0" w:space="0" w:color="auto" w:frame="1"/>
          <w:shd w:val="clear" w:color="auto" w:fill="FFFFFF"/>
          <w:lang w:val="es-ES" w:eastAsia="es-ES_tradnl"/>
        </w:rPr>
        <w:t> se logre dentro del lapso de dos años contados a partir del vencimiento del término legalmente conocido para la liquidación unilateral, pues ese es el lapso que el ordenamiento ha fijado para el ejercicio oportuno de la acción</w:t>
      </w:r>
      <w:r w:rsidRPr="00654200">
        <w:rPr>
          <w:rFonts w:ascii="Verdana" w:eastAsia="Times New Roman" w:hAnsi="Verdana" w:cs="Arial"/>
          <w:sz w:val="20"/>
          <w:szCs w:val="20"/>
          <w:lang w:val="es-ES_tradnl" w:eastAsia="es-ES_tradnl"/>
        </w:rPr>
        <w:t>”</w:t>
      </w:r>
      <w:r w:rsidRPr="00654200">
        <w:rPr>
          <w:rFonts w:ascii="Verdana" w:eastAsia="Times New Roman" w:hAnsi="Verdana" w:cs="Arial"/>
          <w:color w:val="000000"/>
          <w:sz w:val="20"/>
          <w:szCs w:val="20"/>
          <w:bdr w:val="none" w:sz="0" w:space="0" w:color="auto" w:frame="1"/>
          <w:shd w:val="clear" w:color="auto" w:fill="FFFFFF"/>
          <w:vertAlign w:val="superscript"/>
          <w:lang w:eastAsia="es-ES_tradnl"/>
        </w:rPr>
        <w:t xml:space="preserve"> </w:t>
      </w:r>
      <w:r w:rsidRPr="00654200">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5"/>
      </w:r>
      <w:r w:rsidRPr="00654200">
        <w:rPr>
          <w:rFonts w:ascii="Verdana" w:eastAsia="Times New Roman" w:hAnsi="Verdana" w:cs="Arial"/>
          <w:sz w:val="20"/>
          <w:szCs w:val="20"/>
          <w:lang w:val="es-ES_tradnl" w:eastAsia="es-ES_tradnl"/>
        </w:rPr>
        <w:t>.</w:t>
      </w:r>
      <w:r w:rsidRPr="00654200">
        <w:rPr>
          <w:rFonts w:ascii="Verdana" w:eastAsia="Times New Roman" w:hAnsi="Verdana" w:cs="Arial"/>
          <w:color w:val="000000"/>
          <w:sz w:val="20"/>
          <w:szCs w:val="20"/>
          <w:bdr w:val="none" w:sz="0" w:space="0" w:color="auto" w:frame="1"/>
          <w:shd w:val="clear" w:color="auto" w:fill="FFFFFF"/>
          <w:lang w:val="es-ES" w:eastAsia="es-ES_tradnl"/>
        </w:rPr>
        <w:t> </w:t>
      </w:r>
    </w:p>
    <w:p w14:paraId="25BC671F" w14:textId="77777777" w:rsidR="009B1E07" w:rsidRPr="00FB5FC4" w:rsidRDefault="009B1E07" w:rsidP="009B1E07">
      <w:pPr>
        <w:spacing w:after="0" w:line="0" w:lineRule="atLeast"/>
        <w:ind w:firstLine="708"/>
        <w:jc w:val="both"/>
        <w:rPr>
          <w:rFonts w:ascii="Verdana" w:eastAsia="Times New Roman" w:hAnsi="Verdana" w:cs="Arial"/>
          <w:color w:val="000000"/>
          <w:lang w:eastAsia="es-ES_tradnl"/>
        </w:rPr>
      </w:pPr>
    </w:p>
    <w:p w14:paraId="47CCC529" w14:textId="77777777" w:rsidR="009B1E07" w:rsidRPr="0027596F" w:rsidRDefault="009B1E07" w:rsidP="009B1E07">
      <w:pPr>
        <w:spacing w:after="120" w:line="276" w:lineRule="auto"/>
        <w:ind w:firstLine="709"/>
        <w:jc w:val="both"/>
        <w:rPr>
          <w:rFonts w:ascii="Verdana" w:eastAsia="Calibri" w:hAnsi="Verdana" w:cs="Arial"/>
          <w:lang w:val="es-ES"/>
        </w:rPr>
      </w:pPr>
      <w:r w:rsidRPr="00FB5FC4">
        <w:rPr>
          <w:rFonts w:ascii="Verdana" w:eastAsia="Times New Roman" w:hAnsi="Verdana" w:cs="Arial"/>
          <w:color w:val="000000"/>
          <w:bdr w:val="none" w:sz="0" w:space="0" w:color="auto" w:frame="1"/>
          <w:shd w:val="clear" w:color="auto" w:fill="FFFFFF"/>
          <w:lang w:eastAsia="es-ES_tradnl"/>
        </w:rPr>
        <w:t>A su turno</w:t>
      </w:r>
      <w:r>
        <w:rPr>
          <w:rFonts w:ascii="Verdana" w:eastAsia="Times New Roman" w:hAnsi="Verdana" w:cs="Arial"/>
          <w:color w:val="000000"/>
          <w:bdr w:val="none" w:sz="0" w:space="0" w:color="auto" w:frame="1"/>
          <w:shd w:val="clear" w:color="auto" w:fill="FFFFFF"/>
          <w:lang w:eastAsia="es-ES_tradnl"/>
        </w:rPr>
        <w:t xml:space="preserve">, la liquidación judicial hace parte de una de las pretensiones que admite el medio de control de controversias contractuales. Al respecto, el artículo 141 de la Ley 1437 de 2011 dispone que “[…] </w:t>
      </w:r>
      <w:r w:rsidRPr="00F915F3">
        <w:rPr>
          <w:rFonts w:ascii="Verdana" w:eastAsia="Times New Roman" w:hAnsi="Verdana" w:cs="Arial"/>
          <w:color w:val="000000"/>
          <w:bdr w:val="none" w:sz="0" w:space="0" w:color="auto" w:frame="1"/>
          <w:shd w:val="clear" w:color="auto" w:fill="FFFFFF"/>
          <w:lang w:eastAsia="es-ES_tradnl"/>
        </w:rPr>
        <w:t xml:space="preserve">el interesado podrá </w:t>
      </w:r>
      <w:bookmarkStart w:id="15" w:name="_Hlk172560769"/>
      <w:r w:rsidRPr="00F915F3">
        <w:rPr>
          <w:rFonts w:ascii="Verdana" w:eastAsia="Times New Roman" w:hAnsi="Verdana" w:cs="Arial"/>
          <w:color w:val="000000"/>
          <w:bdr w:val="none" w:sz="0" w:space="0" w:color="auto" w:frame="1"/>
          <w:shd w:val="clear" w:color="auto" w:fill="FFFFFF"/>
          <w:lang w:eastAsia="es-ES_tradnl"/>
        </w:rPr>
        <w:t>solicitar la liquidación judicial</w:t>
      </w:r>
      <w:bookmarkEnd w:id="15"/>
      <w:r w:rsidRPr="00F915F3">
        <w:rPr>
          <w:rFonts w:ascii="Verdana" w:eastAsia="Times New Roman" w:hAnsi="Verdana" w:cs="Arial"/>
          <w:color w:val="000000"/>
          <w:bdr w:val="none" w:sz="0" w:space="0" w:color="auto" w:frame="1"/>
          <w:shd w:val="clear" w:color="auto" w:fill="FFFFFF"/>
          <w:lang w:eastAsia="es-ES_tradnl"/>
        </w:rPr>
        <w:t xml:space="preserve"> del contrato cuando esta no se haya logrado de mutuo acuerdo y la entidad estatal no lo haya liquidado unilateralmente dentro de los dos (2) meses siguientes al vencimiento del plazo convenido para liquidar de mutuo acuerdo o, en su defecto, del término establecido por la ley</w:t>
      </w:r>
      <w:r>
        <w:rPr>
          <w:rFonts w:ascii="Verdana" w:eastAsia="Times New Roman" w:hAnsi="Verdana" w:cs="Arial"/>
          <w:color w:val="000000"/>
          <w:bdr w:val="none" w:sz="0" w:space="0" w:color="auto" w:frame="1"/>
          <w:shd w:val="clear" w:color="auto" w:fill="FFFFFF"/>
          <w:lang w:eastAsia="es-ES_tradnl"/>
        </w:rPr>
        <w:t>”</w:t>
      </w:r>
      <w:r w:rsidRPr="00F915F3">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Bajo esta </w:t>
      </w:r>
      <w:r w:rsidRPr="0027596F">
        <w:rPr>
          <w:rFonts w:ascii="Verdana" w:eastAsia="Calibri" w:hAnsi="Verdana" w:cs="Arial"/>
          <w:lang w:val="es-ES"/>
        </w:rPr>
        <w:t>perspectiva, para la entidad cesa la facultad de liquidar bilateral o unilateralmente, ya que el tema pasa de la administración a la jurisdicción.</w:t>
      </w:r>
    </w:p>
    <w:p w14:paraId="15B498E1" w14:textId="77777777" w:rsidR="009B1E07" w:rsidRDefault="009B1E07" w:rsidP="009B1E07">
      <w:pPr>
        <w:spacing w:after="120" w:line="276" w:lineRule="auto"/>
        <w:ind w:firstLine="709"/>
        <w:jc w:val="both"/>
        <w:rPr>
          <w:rFonts w:ascii="Verdana" w:eastAsia="Century Gothic" w:hAnsi="Verdana" w:cs="Century Gothic"/>
        </w:rPr>
      </w:pPr>
      <w:r w:rsidRPr="000971AB">
        <w:rPr>
          <w:rFonts w:ascii="Verdana" w:eastAsia="Calibri" w:hAnsi="Verdana" w:cs="Arial"/>
          <w:lang w:val="es-ES"/>
        </w:rPr>
        <w:t>De acuerdo con el literal j) del artículo 164.2 del CPACA, los plazos para liquidar bilateral, unilateral y judicialmente el contrato influyen en el acceso oportuno al sistema de administración de justicia</w:t>
      </w:r>
      <w:r w:rsidRPr="000971AB">
        <w:rPr>
          <w:rFonts w:eastAsia="Calibri"/>
          <w:lang w:val="es-ES"/>
        </w:rPr>
        <w:footnoteReference w:id="16"/>
      </w:r>
      <w:r w:rsidRPr="000971AB">
        <w:rPr>
          <w:rFonts w:ascii="Verdana" w:eastAsia="Calibri" w:hAnsi="Verdana" w:cs="Arial"/>
          <w:lang w:val="es-ES"/>
        </w:rPr>
        <w:t>. Por ello, bajo la consideración de que no en todos los negocios jurídicos suscritos por las entidades estatales se encuentra habilitada la liquidación unilateral, surge la duda de si el plazo correspondiente está o no dentro del cómputo de la caducidad. Al respecto, la Subsección B de la Sección Tercera del Consejo de Estado, en Sentencia del 20 de mayo de 2024 con ponencia del Magistrado Martín Bermúdez Muñoz, se decanta por una respuesta negativa; motivo por el que justifica el cambio de criterio de la subsección de la siguiente manera:</w:t>
      </w:r>
    </w:p>
    <w:p w14:paraId="4C59A131" w14:textId="77777777" w:rsidR="009B1E07" w:rsidRDefault="009B1E07" w:rsidP="009B1E07">
      <w:pPr>
        <w:tabs>
          <w:tab w:val="left" w:pos="709"/>
        </w:tabs>
        <w:spacing w:after="0" w:line="0" w:lineRule="atLeast"/>
        <w:jc w:val="both"/>
        <w:rPr>
          <w:rFonts w:ascii="Verdana" w:eastAsia="Century Gothic" w:hAnsi="Verdana" w:cs="Century Gothic"/>
        </w:rPr>
      </w:pPr>
    </w:p>
    <w:p w14:paraId="2589AA25" w14:textId="77777777" w:rsidR="009B1E07" w:rsidRPr="00435CCC" w:rsidRDefault="009B1E07" w:rsidP="009B1E07">
      <w:pPr>
        <w:tabs>
          <w:tab w:val="left" w:pos="709"/>
        </w:tabs>
        <w:spacing w:after="0" w:line="0" w:lineRule="atLeast"/>
        <w:ind w:left="709" w:right="709"/>
        <w:jc w:val="both"/>
        <w:rPr>
          <w:rFonts w:ascii="Verdana" w:eastAsia="Century Gothic" w:hAnsi="Verdana" w:cs="Century Gothic"/>
          <w:sz w:val="20"/>
          <w:szCs w:val="20"/>
        </w:rPr>
      </w:pPr>
      <w:r w:rsidRPr="00435CCC">
        <w:rPr>
          <w:rFonts w:ascii="Verdana" w:eastAsia="Century Gothic" w:hAnsi="Verdana" w:cs="Century Gothic"/>
          <w:sz w:val="20"/>
          <w:szCs w:val="20"/>
        </w:rPr>
        <w:t>“12.- Por su naturaleza, los convenios interadministrativos no se encuentran sujetos a las normas de la Ley 80 de 1993 sobre liquidación de los contratos. Así las cosas, para definir desde cuándo se computa el término de caducidad, debe verificarse si las partes regularon cómo hacer la liquidación en las estipulaciones del convenio.</w:t>
      </w:r>
    </w:p>
    <w:p w14:paraId="2D512303" w14:textId="77777777" w:rsidR="009B1E07" w:rsidRPr="00435CCC" w:rsidRDefault="009B1E07" w:rsidP="009B1E07">
      <w:pPr>
        <w:tabs>
          <w:tab w:val="left" w:pos="709"/>
        </w:tabs>
        <w:spacing w:after="0" w:line="0" w:lineRule="atLeast"/>
        <w:ind w:left="709" w:right="709"/>
        <w:jc w:val="both"/>
        <w:rPr>
          <w:rFonts w:ascii="Verdana" w:eastAsia="Century Gothic" w:hAnsi="Verdana" w:cs="Century Gothic"/>
          <w:sz w:val="20"/>
          <w:szCs w:val="20"/>
        </w:rPr>
      </w:pPr>
      <w:r w:rsidRPr="00435CCC">
        <w:rPr>
          <w:rFonts w:ascii="Verdana" w:eastAsia="Century Gothic" w:hAnsi="Verdana" w:cs="Century Gothic"/>
          <w:sz w:val="20"/>
          <w:szCs w:val="20"/>
        </w:rPr>
        <w:t xml:space="preserve">12.1.- Teniendo en cuenta lo anterior, la Sala estima necesario precisar que, en los casos de este tipo de convenios, así como en los contratos no sometidos a la Ley 80 de 1993, el cómputo del término de caducidad previsto en el aparte v del literal j) del numeral 2 del artículo 164 del CPACA13, debe sujetarse a la forma en que las partes hayan regulado la liquidación en el convenio o contrato. </w:t>
      </w:r>
    </w:p>
    <w:p w14:paraId="1CB8EE34" w14:textId="77777777" w:rsidR="009B1E07" w:rsidRPr="00435CCC" w:rsidRDefault="009B1E07" w:rsidP="009B1E07">
      <w:pPr>
        <w:tabs>
          <w:tab w:val="left" w:pos="709"/>
        </w:tabs>
        <w:spacing w:after="0" w:line="0" w:lineRule="atLeast"/>
        <w:ind w:left="709" w:right="709"/>
        <w:jc w:val="both"/>
        <w:rPr>
          <w:rFonts w:ascii="Verdana" w:eastAsia="Century Gothic" w:hAnsi="Verdana" w:cs="Century Gothic"/>
          <w:i/>
          <w:iCs/>
          <w:sz w:val="20"/>
          <w:szCs w:val="20"/>
        </w:rPr>
      </w:pPr>
      <w:r w:rsidRPr="00435CCC">
        <w:rPr>
          <w:rFonts w:ascii="Verdana" w:eastAsia="Century Gothic" w:hAnsi="Verdana" w:cs="Century Gothic"/>
          <w:sz w:val="20"/>
          <w:szCs w:val="20"/>
        </w:rPr>
        <w:t xml:space="preserve">a.- </w:t>
      </w:r>
      <w:r w:rsidRPr="00435CCC">
        <w:rPr>
          <w:rFonts w:ascii="Verdana" w:eastAsia="Century Gothic" w:hAnsi="Verdana" w:cs="Century Gothic"/>
          <w:i/>
          <w:iCs/>
          <w:sz w:val="20"/>
          <w:szCs w:val="20"/>
        </w:rPr>
        <w:t xml:space="preserve">Si las partes solo pactaron la liquidación bilateral, el término de caducidad se computará desde el vencimiento del plazo pactado para llevarla a cabo, o en su defecto, desde los 4 meses previstos en el referido aparte v del literal j) del numeral 2 del artículo 164 del CPACA. </w:t>
      </w:r>
    </w:p>
    <w:p w14:paraId="7D96F8A2" w14:textId="77777777" w:rsidR="009B1E07" w:rsidRPr="00435CCC" w:rsidRDefault="009B1E07" w:rsidP="009B1E07">
      <w:pPr>
        <w:tabs>
          <w:tab w:val="left" w:pos="709"/>
        </w:tabs>
        <w:spacing w:after="0" w:line="0" w:lineRule="atLeast"/>
        <w:ind w:left="709" w:right="709"/>
        <w:jc w:val="both"/>
        <w:rPr>
          <w:rFonts w:ascii="Verdana" w:eastAsia="Century Gothic" w:hAnsi="Verdana" w:cs="Century Gothic"/>
          <w:sz w:val="20"/>
          <w:szCs w:val="20"/>
        </w:rPr>
      </w:pPr>
      <w:r w:rsidRPr="00435CCC">
        <w:rPr>
          <w:rFonts w:ascii="Verdana" w:eastAsia="Century Gothic" w:hAnsi="Verdana" w:cs="Century Gothic"/>
          <w:sz w:val="20"/>
          <w:szCs w:val="20"/>
        </w:rPr>
        <w:t xml:space="preserve">b.- Si las partes pactaron tanto liquidación bilateral como unilateral, la caducidad se contará desde el vencimiento del plazo pactado en el contrato y, en su defecto desde el vencimiento de los 2 meses previstos en el aparte v del literal j) del numeral 2 del artículo 164 del CPACA para realizar la liquidación unilateral. </w:t>
      </w:r>
    </w:p>
    <w:p w14:paraId="23CD6473" w14:textId="77777777" w:rsidR="009B1E07" w:rsidRPr="00435CCC" w:rsidRDefault="009B1E07" w:rsidP="009B1E07">
      <w:pPr>
        <w:tabs>
          <w:tab w:val="left" w:pos="709"/>
        </w:tabs>
        <w:spacing w:after="0" w:line="0" w:lineRule="atLeast"/>
        <w:ind w:left="709" w:right="709"/>
        <w:jc w:val="both"/>
        <w:rPr>
          <w:rFonts w:ascii="Verdana" w:eastAsia="Century Gothic" w:hAnsi="Verdana" w:cs="Century Gothic"/>
          <w:sz w:val="20"/>
          <w:szCs w:val="20"/>
        </w:rPr>
      </w:pPr>
      <w:r w:rsidRPr="00435CCC">
        <w:rPr>
          <w:rFonts w:ascii="Verdana" w:eastAsia="Century Gothic" w:hAnsi="Verdana" w:cs="Century Gothic"/>
          <w:sz w:val="20"/>
          <w:szCs w:val="20"/>
        </w:rPr>
        <w:t xml:space="preserve">12.2.- </w:t>
      </w:r>
      <w:r w:rsidRPr="00435CCC">
        <w:rPr>
          <w:rFonts w:ascii="Verdana" w:eastAsia="Century Gothic" w:hAnsi="Verdana" w:cs="Century Gothic"/>
          <w:i/>
          <w:iCs/>
          <w:sz w:val="20"/>
          <w:szCs w:val="20"/>
        </w:rPr>
        <w:t>Con esta postura, la Subsección rectifica lo definido en providencias anteriores, en las cuales, pese a no ser procedente la liquidación unilateral, se sumaron al término de caducidad los dos meses previstos para la misma</w:t>
      </w:r>
      <w:r w:rsidRPr="00435CCC">
        <w:rPr>
          <w:rFonts w:ascii="Verdana" w:eastAsia="Century Gothic" w:hAnsi="Verdana" w:cs="Century Gothic"/>
          <w:sz w:val="20"/>
          <w:szCs w:val="20"/>
        </w:rPr>
        <w:t>. Esta precisión se adopta teniendo en cuenta las disposiciones legales antes mencionadas y particularmente considerando que el plazo adicional de los dos meses solo tiene justificación cuando se haya pactado la liquidación unilateral y no se haya fijado un término contractual para hacerla. Contabilizar un plazo adicional para una actividad que no está pactada ni debe cumplirse por disposición legal, carece de justificación”.</w:t>
      </w:r>
    </w:p>
    <w:p w14:paraId="19936486" w14:textId="77777777" w:rsidR="009B1E07" w:rsidRDefault="009B1E07" w:rsidP="009B1E07">
      <w:pPr>
        <w:tabs>
          <w:tab w:val="left" w:pos="709"/>
        </w:tabs>
        <w:spacing w:after="0" w:line="0" w:lineRule="atLeast"/>
        <w:jc w:val="both"/>
        <w:rPr>
          <w:rFonts w:ascii="Verdana" w:eastAsia="Century Gothic" w:hAnsi="Verdana" w:cs="Century Gothic"/>
        </w:rPr>
      </w:pPr>
    </w:p>
    <w:p w14:paraId="46842CDD" w14:textId="77777777" w:rsidR="009B1E07" w:rsidRPr="00435CCC" w:rsidRDefault="009B1E07" w:rsidP="009B1E07">
      <w:pPr>
        <w:spacing w:after="120" w:line="276" w:lineRule="auto"/>
        <w:ind w:firstLine="709"/>
        <w:jc w:val="both"/>
        <w:rPr>
          <w:rFonts w:ascii="Verdana" w:eastAsia="Calibri" w:hAnsi="Verdana" w:cs="Arial"/>
          <w:lang w:val="es-ES"/>
        </w:rPr>
      </w:pPr>
      <w:r w:rsidRPr="00435CCC">
        <w:rPr>
          <w:rFonts w:ascii="Verdana" w:eastAsia="Calibri" w:hAnsi="Verdana" w:cs="Arial"/>
          <w:lang w:val="es-ES"/>
        </w:rPr>
        <w:t xml:space="preserve">Conforme a la sentencia, la postura de la Subsección B aplica a todos los convenios interadministrativos sin hacer distinción alguna, así como a los contratos exceptuados del EGCAP. En estos negocios deberá verificarse si es posible o no liquidar unilateralmente, para determinar si el plazo respectivo entra en el cómputo de la caducidad del medio de control de controversias contractuales. </w:t>
      </w:r>
    </w:p>
    <w:p w14:paraId="57B9FF5D" w14:textId="77777777" w:rsidR="009B1E07" w:rsidRPr="00B35500" w:rsidRDefault="009B1E07" w:rsidP="009B1E07">
      <w:pPr>
        <w:spacing w:after="120" w:line="276" w:lineRule="auto"/>
        <w:ind w:firstLine="709"/>
        <w:jc w:val="both"/>
        <w:rPr>
          <w:rFonts w:ascii="Verdana" w:eastAsia="Calibri" w:hAnsi="Verdana" w:cs="Arial"/>
          <w:lang w:val="es-ES"/>
        </w:rPr>
      </w:pPr>
      <w:r w:rsidRPr="00930AB7">
        <w:rPr>
          <w:rFonts w:ascii="Verdana" w:eastAsia="Calibri" w:hAnsi="Verdana" w:cs="Arial"/>
          <w:lang w:val="es-ES"/>
        </w:rPr>
        <w:t xml:space="preserve">Respecto a la eficacia temporal de los cambios de jurisprudencia, la Corte Constitucional resalta la importancia de que estos tengan hacia el futuro, con el objetivo de no perjudicar las expectativas legítimas de quienes acuden a la </w:t>
      </w:r>
      <w:r w:rsidRPr="00930AB7">
        <w:rPr>
          <w:rFonts w:ascii="Verdana" w:eastAsia="Calibri" w:hAnsi="Verdana" w:cs="Arial"/>
          <w:lang w:val="es-ES"/>
        </w:rPr>
        <w:lastRenderedPageBreak/>
        <w:t>administración de justicia con fundamento en la postura superada</w:t>
      </w:r>
      <w:r w:rsidRPr="00435CCC">
        <w:rPr>
          <w:rFonts w:eastAsia="Calibri" w:cs="Arial"/>
          <w:vertAlign w:val="superscript"/>
          <w:lang w:val="es-ES"/>
        </w:rPr>
        <w:footnoteReference w:id="17"/>
      </w:r>
      <w:r w:rsidRPr="00930AB7">
        <w:rPr>
          <w:rFonts w:ascii="Verdana" w:eastAsia="Calibri" w:hAnsi="Verdana" w:cs="Arial"/>
          <w:lang w:val="es-ES"/>
        </w:rPr>
        <w:t xml:space="preserve">. De esta manera, “[…] todo caso donde el juez abandona una solución previamente acogida en anteriores pronunciamientos y que conduce a la adopción de una nueva contraria que altera la tendencia sobre la cual se venían resolviendo pleitos similares, lleva consigo una regla de modulación temporal de transición en cuya virtud se considera que la nueva posición se acoge sin perjuicio del estatus jurídico de las situaciones consolidadas surtidas antes de ese </w:t>
      </w:r>
      <w:r w:rsidRPr="00B35500">
        <w:rPr>
          <w:rFonts w:ascii="Verdana" w:eastAsia="Calibri" w:hAnsi="Verdana" w:cs="Arial"/>
          <w:lang w:val="es-ES"/>
        </w:rPr>
        <w:t>pronunciamiento”</w:t>
      </w:r>
      <w:r w:rsidRPr="00435CCC">
        <w:rPr>
          <w:rFonts w:ascii="Verdana" w:eastAsia="Calibri" w:hAnsi="Verdana" w:cs="Arial"/>
          <w:vertAlign w:val="superscript"/>
          <w:lang w:val="es-ES"/>
        </w:rPr>
        <w:footnoteReference w:id="18"/>
      </w:r>
      <w:r w:rsidRPr="00435CCC">
        <w:rPr>
          <w:rFonts w:ascii="Verdana" w:eastAsia="Calibri" w:hAnsi="Verdana" w:cs="Arial"/>
          <w:vertAlign w:val="superscript"/>
          <w:lang w:val="es-ES"/>
        </w:rPr>
        <w:t>.</w:t>
      </w:r>
    </w:p>
    <w:p w14:paraId="15866DE7" w14:textId="77777777" w:rsidR="009B1E07" w:rsidRPr="008D4174" w:rsidRDefault="009B1E07" w:rsidP="009B1E07">
      <w:pPr>
        <w:spacing w:after="120" w:line="276" w:lineRule="auto"/>
        <w:ind w:firstLine="709"/>
        <w:jc w:val="both"/>
        <w:rPr>
          <w:rFonts w:ascii="Verdana" w:eastAsia="Times New Roman" w:hAnsi="Verdana" w:cs="Arial"/>
          <w:color w:val="000000" w:themeColor="text1"/>
          <w:lang w:val="es-ES" w:eastAsia="es-ES"/>
        </w:rPr>
      </w:pPr>
      <w:r w:rsidRPr="00B35500">
        <w:rPr>
          <w:rFonts w:ascii="Verdana" w:eastAsia="Calibri" w:hAnsi="Verdana" w:cs="Arial"/>
          <w:lang w:val="es-ES"/>
        </w:rPr>
        <w:t>Sin perjuicio de lo</w:t>
      </w:r>
      <w:r w:rsidRPr="00891108">
        <w:rPr>
          <w:rFonts w:ascii="Verdana" w:eastAsia="Calibri" w:hAnsi="Verdana" w:cs="Arial"/>
          <w:lang w:val="es-ES"/>
        </w:rPr>
        <w:t xml:space="preserve"> anterior, vale la pena considerar que la postura de la decisión adoptada el 20 de mayo de 2024 no se encuentra unificada en los términos del artículo 270 de la Ley 1437 de 2011, por lo que no surge el deber de aplicación uniforme de que trata el artículo 10 ibidem</w:t>
      </w:r>
      <w:r w:rsidRPr="00891108">
        <w:rPr>
          <w:rFonts w:eastAsia="Calibri"/>
          <w:lang w:val="es-ES"/>
        </w:rPr>
        <w:footnoteReference w:id="19"/>
      </w:r>
      <w:r w:rsidRPr="00891108">
        <w:rPr>
          <w:rFonts w:ascii="Verdana" w:eastAsia="Calibri" w:hAnsi="Verdana" w:cs="Arial"/>
          <w:lang w:val="es-ES"/>
        </w:rPr>
        <w:t>. En este contexto, la Sentencia de la Subsección B de la Sección Tercera del Consejo de Estado tiene efectos de cosa juzgada en el proceso en que se expidió, sin que esta pauta interpretativa sea vinculante para los demás jueces de la república.</w:t>
      </w:r>
      <w:r w:rsidRPr="008D4174">
        <w:rPr>
          <w:rFonts w:ascii="Verdana" w:eastAsia="Times New Roman" w:hAnsi="Verdana" w:cs="Arial"/>
          <w:color w:val="000000" w:themeColor="text1"/>
          <w:lang w:val="es-ES" w:eastAsia="es-ES"/>
        </w:rPr>
        <w:t xml:space="preserve"> </w:t>
      </w:r>
    </w:p>
    <w:p w14:paraId="6132E599" w14:textId="77777777" w:rsidR="009B1E07" w:rsidRPr="00891108" w:rsidRDefault="009B1E07" w:rsidP="009B1E07">
      <w:pPr>
        <w:spacing w:after="120" w:line="276" w:lineRule="auto"/>
        <w:ind w:firstLine="709"/>
        <w:jc w:val="both"/>
        <w:rPr>
          <w:rFonts w:ascii="Verdana" w:eastAsia="Calibri" w:hAnsi="Verdana" w:cs="Arial"/>
          <w:lang w:val="es-ES"/>
        </w:rPr>
      </w:pPr>
      <w:r w:rsidRPr="008D4174">
        <w:rPr>
          <w:rFonts w:ascii="Verdana" w:eastAsia="Times New Roman" w:hAnsi="Verdana" w:cs="Arial"/>
          <w:color w:val="000000" w:themeColor="text1"/>
          <w:lang w:val="es-ES" w:eastAsia="es-ES"/>
        </w:rPr>
        <w:t>Ello es congruente</w:t>
      </w:r>
      <w:r>
        <w:rPr>
          <w:rFonts w:ascii="Verdana" w:hAnsi="Verdana" w:cs="Arial"/>
          <w:iCs/>
          <w:color w:val="000000" w:themeColor="text1"/>
        </w:rPr>
        <w:t xml:space="preserve"> con el artículo 17 del Código Civil, ya que “</w:t>
      </w:r>
      <w:r w:rsidRPr="001344F9">
        <w:rPr>
          <w:rFonts w:ascii="Verdana" w:hAnsi="Verdana" w:cs="Arial"/>
          <w:iCs/>
          <w:color w:val="000000" w:themeColor="text1"/>
        </w:rPr>
        <w:t>Las sentencias judiciales no tienen fuerza obligatoria sino respecto de las causas en que fueron pronunciadas. Es, por tanto, prohibido a los jueces proveer en los negocios de su competencia por vía de disposición general o reglamentaria</w:t>
      </w:r>
      <w:r>
        <w:rPr>
          <w:rFonts w:ascii="Verdana" w:hAnsi="Verdana" w:cs="Arial"/>
          <w:iCs/>
          <w:color w:val="000000" w:themeColor="text1"/>
        </w:rPr>
        <w:t>”</w:t>
      </w:r>
      <w:r w:rsidRPr="001344F9">
        <w:rPr>
          <w:rStyle w:val="Refdenotaalpie"/>
          <w:rFonts w:ascii="Verdana" w:hAnsi="Verdana" w:cs="Arial"/>
          <w:iCs/>
          <w:color w:val="000000" w:themeColor="text1"/>
          <w:sz w:val="21"/>
          <w:szCs w:val="21"/>
        </w:rPr>
        <w:footnoteReference w:id="20"/>
      </w:r>
      <w:r w:rsidRPr="001344F9">
        <w:rPr>
          <w:rFonts w:ascii="Verdana" w:hAnsi="Verdana" w:cs="Arial"/>
          <w:iCs/>
          <w:color w:val="000000" w:themeColor="text1"/>
        </w:rPr>
        <w:t>.</w:t>
      </w:r>
      <w:r>
        <w:rPr>
          <w:rFonts w:ascii="Verdana" w:hAnsi="Verdana" w:cs="Arial"/>
          <w:iCs/>
          <w:color w:val="000000" w:themeColor="text1"/>
        </w:rPr>
        <w:t xml:space="preserve"> </w:t>
      </w:r>
      <w:r>
        <w:rPr>
          <w:rFonts w:ascii="Verdana" w:hAnsi="Verdana" w:cs="Arial"/>
          <w:iCs/>
          <w:color w:val="000000" w:themeColor="text1"/>
        </w:rPr>
        <w:lastRenderedPageBreak/>
        <w:t xml:space="preserve">Por tanto, en ausencia de unificación jurisprudencial al interior de la Sección Tercera del Consejo de Estado, la forma como la Subsección B calcula la caducidad del medio de control de controversias contractuales no es vinculante para las Subsecciones A y C, cuyos magistrados pueden adoptar un criterio </w:t>
      </w:r>
      <w:r w:rsidRPr="00891108">
        <w:rPr>
          <w:rFonts w:ascii="Verdana" w:eastAsia="Calibri" w:hAnsi="Verdana" w:cs="Arial"/>
          <w:lang w:val="es-ES"/>
        </w:rPr>
        <w:t>totalmente distinto para su cómputo.</w:t>
      </w:r>
    </w:p>
    <w:p w14:paraId="789EFEA3" w14:textId="77777777" w:rsidR="009B1E07" w:rsidRPr="00930AB7" w:rsidRDefault="009B1E07" w:rsidP="009B1E07">
      <w:pPr>
        <w:spacing w:after="120" w:line="276" w:lineRule="auto"/>
        <w:ind w:firstLine="709"/>
        <w:jc w:val="both"/>
        <w:rPr>
          <w:rFonts w:ascii="Verdana" w:eastAsia="Calibri" w:hAnsi="Verdana" w:cs="Arial"/>
          <w:lang w:val="es-ES"/>
        </w:rPr>
      </w:pPr>
      <w:r w:rsidRPr="00891108">
        <w:rPr>
          <w:rFonts w:ascii="Verdana" w:eastAsia="Calibri" w:hAnsi="Verdana" w:cs="Arial"/>
          <w:lang w:val="es-ES"/>
        </w:rPr>
        <w:t>En todo caso, el análisis requerido</w:t>
      </w:r>
      <w:r w:rsidRPr="00930AB7">
        <w:rPr>
          <w:rFonts w:ascii="Verdana" w:eastAsia="Calibri" w:hAnsi="Verdana" w:cs="Arial"/>
          <w:lang w:val="es-ES"/>
        </w:rPr>
        <w:t xml:space="preserve"> para demandar oportunamente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69BAE2D" w14:textId="77777777" w:rsidR="009B1E07" w:rsidRPr="009F712D" w:rsidRDefault="009B1E07" w:rsidP="009B1E07">
      <w:pPr>
        <w:spacing w:after="120" w:line="276" w:lineRule="auto"/>
        <w:ind w:firstLine="709"/>
        <w:jc w:val="both"/>
        <w:rPr>
          <w:rFonts w:ascii="Verdana" w:eastAsia="Century Gothic" w:hAnsi="Verdana" w:cs="Century Gothic"/>
        </w:rPr>
      </w:pPr>
      <w:r w:rsidRPr="00930AB7">
        <w:rPr>
          <w:rFonts w:ascii="Verdana" w:eastAsia="Calibri" w:hAnsi="Verdana" w:cs="Arial"/>
          <w:lang w:val="es-ES"/>
        </w:rPr>
        <w:t>Dentro de este marco, la entidad contratante definirá en cada caso concreto lo relacionado con el tema objeto de consulta. Al tratarse de un análisis que debe realizarse en el proceso específico, la Agencia no puede definir un criterio universal y absoluto,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procesal, sin que sea atribución de Colombia Compra Eficiente validar sus actuaciones.</w:t>
      </w:r>
      <w:r>
        <w:rPr>
          <w:rFonts w:ascii="Verdana" w:hAnsi="Verdana" w:cs="Arial"/>
          <w:iCs/>
          <w:color w:val="000000" w:themeColor="text1"/>
        </w:rPr>
        <w:t xml:space="preserve"> </w:t>
      </w:r>
    </w:p>
    <w:p w14:paraId="1D75AAAC" w14:textId="77777777" w:rsidR="009B1E07" w:rsidRPr="00C54887" w:rsidRDefault="009B1E07" w:rsidP="009B1E07">
      <w:pPr>
        <w:widowControl w:val="0"/>
        <w:autoSpaceDE w:val="0"/>
        <w:autoSpaceDN w:val="0"/>
        <w:spacing w:after="0" w:line="276" w:lineRule="auto"/>
        <w:jc w:val="both"/>
        <w:rPr>
          <w:rFonts w:ascii="Verdana" w:hAnsi="Verdana" w:cs="Arial"/>
          <w:lang w:eastAsia="es-ES"/>
        </w:rPr>
      </w:pPr>
    </w:p>
    <w:bookmarkEnd w:id="4"/>
    <w:bookmarkEnd w:id="5"/>
    <w:p w14:paraId="46215669" w14:textId="77777777" w:rsidR="009B1E07" w:rsidRPr="001F283D" w:rsidRDefault="009B1E07" w:rsidP="009B1E07">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07FCD064" w14:textId="77777777" w:rsidR="009B1E07" w:rsidRPr="00593A5F" w:rsidRDefault="009B1E07" w:rsidP="009B1E0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B1E07" w:rsidRPr="002407CE" w14:paraId="3DCB5450" w14:textId="77777777" w:rsidTr="00E1677E">
        <w:trPr>
          <w:trHeight w:val="870"/>
          <w:jc w:val="center"/>
        </w:trPr>
        <w:tc>
          <w:tcPr>
            <w:tcW w:w="8647" w:type="dxa"/>
          </w:tcPr>
          <w:p w14:paraId="08D3426E" w14:textId="77777777" w:rsidR="009B1E07" w:rsidRDefault="009B1E07" w:rsidP="009B1E07">
            <w:pPr>
              <w:pStyle w:val="Prrafodelista"/>
              <w:widowControl w:val="0"/>
              <w:numPr>
                <w:ilvl w:val="0"/>
                <w:numId w:val="17"/>
              </w:numPr>
              <w:autoSpaceDE w:val="0"/>
              <w:autoSpaceDN w:val="0"/>
              <w:spacing w:line="0" w:lineRule="atLeast"/>
              <w:jc w:val="both"/>
              <w:rPr>
                <w:rFonts w:ascii="Verdana" w:hAnsi="Verdana" w:cs="Arial"/>
              </w:rPr>
            </w:pPr>
            <w:r>
              <w:rPr>
                <w:rFonts w:ascii="Verdana" w:hAnsi="Verdana" w:cs="Arial"/>
              </w:rPr>
              <w:t xml:space="preserve">Ley 80 de 1993, artículo 60. </w:t>
            </w:r>
          </w:p>
          <w:p w14:paraId="2BA82EFC" w14:textId="77777777" w:rsidR="009B1E07" w:rsidRPr="00B478FA" w:rsidRDefault="009B1E07" w:rsidP="00E1677E">
            <w:pPr>
              <w:pStyle w:val="Prrafodelista"/>
              <w:widowControl w:val="0"/>
              <w:autoSpaceDE w:val="0"/>
              <w:autoSpaceDN w:val="0"/>
              <w:spacing w:line="0" w:lineRule="atLeast"/>
              <w:jc w:val="both"/>
              <w:rPr>
                <w:rFonts w:ascii="Verdana" w:hAnsi="Verdana" w:cs="Arial"/>
                <w:sz w:val="12"/>
                <w:szCs w:val="12"/>
              </w:rPr>
            </w:pPr>
          </w:p>
          <w:p w14:paraId="6E1F35C9" w14:textId="77777777" w:rsidR="009B1E07" w:rsidRDefault="009B1E07" w:rsidP="009B1E07">
            <w:pPr>
              <w:pStyle w:val="Prrafodelista"/>
              <w:widowControl w:val="0"/>
              <w:numPr>
                <w:ilvl w:val="0"/>
                <w:numId w:val="17"/>
              </w:numPr>
              <w:autoSpaceDE w:val="0"/>
              <w:autoSpaceDN w:val="0"/>
              <w:spacing w:line="0" w:lineRule="atLeast"/>
              <w:jc w:val="both"/>
              <w:rPr>
                <w:rFonts w:ascii="Verdana" w:hAnsi="Verdana" w:cs="Arial"/>
              </w:rPr>
            </w:pPr>
            <w:r w:rsidRPr="00EA612E">
              <w:rPr>
                <w:rFonts w:ascii="Verdana" w:hAnsi="Verdana" w:cs="Arial"/>
              </w:rPr>
              <w:t xml:space="preserve">Ley 1150 de 2007, artículo </w:t>
            </w:r>
            <w:r>
              <w:rPr>
                <w:rFonts w:ascii="Verdana" w:hAnsi="Verdana" w:cs="Arial"/>
              </w:rPr>
              <w:t>11</w:t>
            </w:r>
            <w:r w:rsidRPr="00EA612E">
              <w:rPr>
                <w:rFonts w:ascii="Verdana" w:hAnsi="Verdana" w:cs="Arial"/>
              </w:rPr>
              <w:t xml:space="preserve">. </w:t>
            </w:r>
          </w:p>
          <w:p w14:paraId="3E5F61B9" w14:textId="77777777" w:rsidR="009B1E07" w:rsidRPr="00B478FA" w:rsidRDefault="009B1E07" w:rsidP="00E1677E">
            <w:pPr>
              <w:widowControl w:val="0"/>
              <w:autoSpaceDE w:val="0"/>
              <w:autoSpaceDN w:val="0"/>
              <w:spacing w:line="0" w:lineRule="atLeast"/>
              <w:jc w:val="both"/>
              <w:rPr>
                <w:rFonts w:ascii="Verdana" w:hAnsi="Verdana" w:cs="Arial"/>
                <w:sz w:val="12"/>
                <w:szCs w:val="12"/>
              </w:rPr>
            </w:pPr>
          </w:p>
          <w:p w14:paraId="6C34B9DD" w14:textId="77777777" w:rsidR="009B1E07" w:rsidRPr="00A57FA0" w:rsidRDefault="009B1E07" w:rsidP="009B1E07">
            <w:pPr>
              <w:pStyle w:val="NormalWeb"/>
              <w:numPr>
                <w:ilvl w:val="0"/>
                <w:numId w:val="17"/>
              </w:numPr>
              <w:spacing w:before="120" w:beforeAutospacing="0" w:after="0" w:afterAutospacing="0" w:line="276" w:lineRule="auto"/>
              <w:jc w:val="both"/>
              <w:rPr>
                <w:rFonts w:ascii="Verdana" w:hAnsi="Verdana" w:cs="Arial"/>
                <w:color w:val="000000" w:themeColor="text1"/>
                <w:sz w:val="22"/>
                <w:szCs w:val="22"/>
              </w:rPr>
            </w:pPr>
            <w:r>
              <w:rPr>
                <w:rFonts w:ascii="Verdana" w:hAnsi="Verdana" w:cs="Arial"/>
              </w:rPr>
              <w:t>Ley 1437 de 2011</w:t>
            </w:r>
            <w:r w:rsidRPr="00EA612E">
              <w:rPr>
                <w:rFonts w:ascii="Verdana" w:hAnsi="Verdana" w:cs="Arial"/>
              </w:rPr>
              <w:t xml:space="preserve">, artículos </w:t>
            </w:r>
            <w:r>
              <w:rPr>
                <w:rFonts w:ascii="Verdana" w:hAnsi="Verdana" w:cs="Arial"/>
              </w:rPr>
              <w:t>141 y 164</w:t>
            </w:r>
            <w:r w:rsidRPr="00EA612E">
              <w:rPr>
                <w:rFonts w:ascii="Verdana" w:hAnsi="Verdana" w:cs="Arial"/>
              </w:rPr>
              <w:t>.</w:t>
            </w:r>
          </w:p>
        </w:tc>
      </w:tr>
    </w:tbl>
    <w:p w14:paraId="3C6E52CF" w14:textId="77777777" w:rsidR="009B1E07" w:rsidRPr="00277E26" w:rsidRDefault="009B1E07" w:rsidP="009B1E07">
      <w:pPr>
        <w:widowControl w:val="0"/>
        <w:autoSpaceDE w:val="0"/>
        <w:autoSpaceDN w:val="0"/>
        <w:spacing w:after="0" w:line="276" w:lineRule="auto"/>
        <w:jc w:val="both"/>
        <w:rPr>
          <w:rFonts w:ascii="Verdana" w:hAnsi="Verdana" w:cs="Arial"/>
        </w:rPr>
      </w:pPr>
    </w:p>
    <w:p w14:paraId="6F6BAF8E" w14:textId="77777777" w:rsidR="009B1E07" w:rsidRPr="001F283D" w:rsidRDefault="009B1E07" w:rsidP="009B1E07">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113ACB0E" w14:textId="77777777" w:rsidR="009B1E07" w:rsidRPr="00E71927" w:rsidRDefault="009B1E07" w:rsidP="009B1E07">
      <w:pPr>
        <w:widowControl w:val="0"/>
        <w:autoSpaceDE w:val="0"/>
        <w:autoSpaceDN w:val="0"/>
        <w:spacing w:after="0" w:line="240" w:lineRule="auto"/>
        <w:jc w:val="both"/>
        <w:rPr>
          <w:rStyle w:val="normaltextrun"/>
          <w:rFonts w:ascii="Verdana" w:hAnsi="Verdana" w:cs="Arial"/>
          <w:shd w:val="clear" w:color="auto" w:fill="FFFFFF"/>
          <w:lang w:val="es-ES"/>
        </w:rPr>
      </w:pPr>
    </w:p>
    <w:p w14:paraId="178CA44A" w14:textId="77777777" w:rsidR="009B1E07" w:rsidRDefault="009B1E07" w:rsidP="009B1E07">
      <w:pPr>
        <w:widowControl w:val="0"/>
        <w:autoSpaceDE w:val="0"/>
        <w:autoSpaceDN w:val="0"/>
        <w:spacing w:after="0" w:line="0" w:lineRule="atLeast"/>
        <w:jc w:val="both"/>
        <w:rPr>
          <w:rStyle w:val="normaltextrun"/>
          <w:rFonts w:ascii="Verdana" w:hAnsi="Verdana" w:cs="Arial"/>
          <w:color w:val="FF0000"/>
          <w:shd w:val="clear" w:color="auto" w:fill="FFFFFF"/>
          <w:lang w:val="es-ES"/>
        </w:rPr>
      </w:pPr>
      <w:r w:rsidRPr="005344DB">
        <w:rPr>
          <w:rStyle w:val="normaltextrun"/>
          <w:rFonts w:ascii="Verdana" w:hAnsi="Verdana" w:cs="Arial"/>
          <w:shd w:val="clear" w:color="auto" w:fill="FFFFFF"/>
        </w:rPr>
        <w:lastRenderedPageBreak/>
        <w:t>Esta Subdirección se ha pronunciado sobre la liquidación en los Conceptos 4201912000004908 del 27 de septiembre de 2019, CU-028 de 25 de febrero de 2020, C-221 de 21 de abril de 2020, C-078 del 17 de marzo de 2021, C-220 del 18 de mayo de 2021, C-444 del 23 de julio de 2021, C-747 del 8 de noviembre de 2022, C-739 de del 29 de noviembre de 2022, C- 176 de 3 de mayo de 2023</w:t>
      </w:r>
      <w:r>
        <w:rPr>
          <w:rStyle w:val="normaltextrun"/>
          <w:rFonts w:ascii="Verdana" w:hAnsi="Verdana" w:cs="Arial"/>
          <w:shd w:val="clear" w:color="auto" w:fill="FFFFFF"/>
        </w:rPr>
        <w:t>,</w:t>
      </w:r>
      <w:r w:rsidRPr="005344DB">
        <w:rPr>
          <w:rStyle w:val="normaltextrun"/>
          <w:rFonts w:ascii="Verdana" w:hAnsi="Verdana" w:cs="Arial"/>
          <w:shd w:val="clear" w:color="auto" w:fill="FFFFFF"/>
        </w:rPr>
        <w:t xml:space="preserve"> C-158 del 6 de junio de 2023</w:t>
      </w:r>
      <w:r>
        <w:rPr>
          <w:rStyle w:val="normaltextrun"/>
          <w:rFonts w:ascii="Verdana" w:hAnsi="Verdana" w:cs="Arial"/>
          <w:shd w:val="clear" w:color="auto" w:fill="FFFFFF"/>
        </w:rPr>
        <w:t>, C-326 del 15 de agosto de 2024 y C-568 de 2024</w:t>
      </w:r>
      <w:r w:rsidRPr="008D0AB0">
        <w:rPr>
          <w:rStyle w:val="normaltextrun"/>
          <w:rFonts w:ascii="Verdana" w:hAnsi="Verdana" w:cs="Arial"/>
          <w:shd w:val="clear" w:color="auto" w:fill="FFFFFF"/>
        </w:rPr>
        <w:t xml:space="preserve">. Estos y otros 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9877A4F" w14:textId="77777777" w:rsidR="009B1E07" w:rsidRPr="00900D7D" w:rsidRDefault="009B1E07" w:rsidP="009B1E07">
      <w:pPr>
        <w:widowControl w:val="0"/>
        <w:autoSpaceDE w:val="0"/>
        <w:autoSpaceDN w:val="0"/>
        <w:spacing w:after="120" w:line="276" w:lineRule="auto"/>
        <w:jc w:val="both"/>
        <w:rPr>
          <w:rFonts w:ascii="Verdana" w:eastAsia="Calibri" w:hAnsi="Verdana" w:cs="Arial"/>
          <w:color w:val="000000" w:themeColor="text1"/>
          <w:lang w:eastAsia="es-ES_tradnl"/>
        </w:rPr>
      </w:pPr>
    </w:p>
    <w:p w14:paraId="2D6BF0DB" w14:textId="77777777" w:rsidR="009B1E07" w:rsidRPr="00237766" w:rsidRDefault="009B1E07" w:rsidP="009B1E07">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103D854" w14:textId="77777777" w:rsidR="009B1E07" w:rsidRPr="008E4F36" w:rsidRDefault="009B1E07" w:rsidP="009B1E07">
      <w:pPr>
        <w:pStyle w:val="Prrafodelista"/>
        <w:numPr>
          <w:ilvl w:val="0"/>
          <w:numId w:val="15"/>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2B8ECF08" w14:textId="77777777" w:rsidR="009B1E07" w:rsidRPr="008E4F36" w:rsidRDefault="009B1E07" w:rsidP="009B1E07">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20A92872" w14:textId="77777777" w:rsidR="009B1E07" w:rsidRPr="008E4F36" w:rsidRDefault="009B1E07" w:rsidP="009B1E07">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14815C48" w14:textId="77777777" w:rsidR="009B1E07" w:rsidRPr="008E4F36" w:rsidRDefault="009B1E07" w:rsidP="009B1E07">
      <w:pPr>
        <w:pStyle w:val="Prrafodelista"/>
        <w:numPr>
          <w:ilvl w:val="0"/>
          <w:numId w:val="15"/>
        </w:numPr>
        <w:spacing w:after="0" w:line="276" w:lineRule="auto"/>
        <w:contextualSpacing w:val="0"/>
        <w:jc w:val="both"/>
        <w:rPr>
          <w:rFonts w:ascii="Verdana" w:hAnsi="Verdana"/>
        </w:rPr>
      </w:pPr>
      <w:r w:rsidRPr="008E4F36">
        <w:rPr>
          <w:rFonts w:ascii="Verdana" w:hAnsi="Verdana"/>
        </w:rPr>
        <w:t xml:space="preserve">Página web: </w:t>
      </w:r>
      <w:hyperlink r:id="rId13" w:history="1">
        <w:r w:rsidRPr="008E4F36">
          <w:rPr>
            <w:rStyle w:val="Hipervnculo"/>
            <w:rFonts w:ascii="Verdana" w:hAnsi="Verdana"/>
          </w:rPr>
          <w:t>www.colombiacompra.gov.co</w:t>
        </w:r>
      </w:hyperlink>
    </w:p>
    <w:p w14:paraId="41BDF8D8" w14:textId="77777777" w:rsidR="009B1E07" w:rsidRPr="008E4F36" w:rsidRDefault="009B1E07" w:rsidP="009B1E07">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30004346" w14:textId="77777777" w:rsidR="009B1E07" w:rsidRPr="008E4F36" w:rsidRDefault="009B1E07" w:rsidP="009B1E07">
      <w:pPr>
        <w:spacing w:after="0" w:line="276" w:lineRule="auto"/>
        <w:jc w:val="both"/>
        <w:rPr>
          <w:rFonts w:ascii="Verdana" w:hAnsi="Verdana"/>
        </w:rPr>
      </w:pPr>
    </w:p>
    <w:p w14:paraId="15218EE0" w14:textId="77777777" w:rsidR="009B1E07" w:rsidRPr="008E4F36" w:rsidRDefault="009B1E07" w:rsidP="009B1E07">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4372F4ED" w14:textId="77777777" w:rsidR="009B1E07" w:rsidRPr="008E4F36" w:rsidRDefault="009B1E07" w:rsidP="009B1E07">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2C2B01DD" w14:textId="77777777" w:rsidR="009B1E07" w:rsidRPr="008E4F36" w:rsidRDefault="009B1E07" w:rsidP="009B1E07">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08F345FE" w14:textId="77777777" w:rsidR="009B1E07" w:rsidRDefault="009B1E07" w:rsidP="009B1E07">
      <w:pPr>
        <w:spacing w:before="120" w:after="0" w:line="276" w:lineRule="auto"/>
        <w:jc w:val="both"/>
        <w:rPr>
          <w:rFonts w:ascii="Verdana" w:hAnsi="Verdana"/>
        </w:rPr>
      </w:pPr>
    </w:p>
    <w:p w14:paraId="77D0D86B" w14:textId="77777777" w:rsidR="009B1E07" w:rsidRPr="00FB6C33" w:rsidRDefault="009B1E07" w:rsidP="009B1E07">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20B7516" w14:textId="77777777" w:rsidR="009B1E07" w:rsidRPr="008E4F36" w:rsidRDefault="009B1E07" w:rsidP="009B1E07">
      <w:pPr>
        <w:spacing w:after="0" w:line="276" w:lineRule="auto"/>
        <w:jc w:val="both"/>
        <w:rPr>
          <w:rFonts w:ascii="Verdana" w:eastAsia="Calibri" w:hAnsi="Verdana" w:cs="Times New Roman"/>
        </w:rPr>
      </w:pPr>
    </w:p>
    <w:p w14:paraId="2C979C58" w14:textId="77777777" w:rsidR="009B1E07" w:rsidRDefault="009B1E07" w:rsidP="009B1E07">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4F559D28" w14:textId="77777777" w:rsidR="009B1E07" w:rsidRDefault="009B1E07" w:rsidP="009B1E07">
      <w:pPr>
        <w:spacing w:after="0" w:line="256" w:lineRule="auto"/>
        <w:jc w:val="both"/>
        <w:rPr>
          <w:rFonts w:ascii="Verdana" w:eastAsia="Calibri" w:hAnsi="Verdana" w:cs="Times New Roman"/>
        </w:rPr>
      </w:pPr>
    </w:p>
    <w:p w14:paraId="666DBCAF" w14:textId="71FFAE9F" w:rsidR="009B1E07" w:rsidRPr="00ED23D5" w:rsidRDefault="00ED23D5" w:rsidP="00ED23D5">
      <w:pPr>
        <w:spacing w:after="0" w:line="256" w:lineRule="auto"/>
        <w:jc w:val="center"/>
        <w:rPr>
          <w:noProof/>
        </w:rPr>
      </w:pPr>
      <w:r>
        <w:rPr>
          <w:noProof/>
        </w:rPr>
        <w:lastRenderedPageBreak/>
        <w:drawing>
          <wp:inline distT="0" distB="0" distL="0" distR="0" wp14:anchorId="04764B5C" wp14:editId="4935C0EB">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bookmarkEnd w:id="0"/>
      <w:bookmarkEnd w:id="1"/>
    </w:p>
    <w:p w14:paraId="1AEC7020" w14:textId="77777777" w:rsidR="009B1E07" w:rsidRDefault="009B1E07" w:rsidP="009B1E07">
      <w:pPr>
        <w:spacing w:after="0"/>
        <w:rPr>
          <w:rFonts w:ascii="Verdana" w:hAnsi="Verdana"/>
        </w:rPr>
      </w:pPr>
    </w:p>
    <w:p w14:paraId="7B963A56" w14:textId="77777777" w:rsidR="009B1E07" w:rsidRDefault="009B1E07" w:rsidP="009B1E07">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B1E07" w:rsidRPr="002423D6" w14:paraId="35626A47" w14:textId="77777777" w:rsidTr="00E1677E">
        <w:trPr>
          <w:trHeight w:val="315"/>
        </w:trPr>
        <w:tc>
          <w:tcPr>
            <w:tcW w:w="893" w:type="dxa"/>
            <w:vAlign w:val="center"/>
            <w:hideMark/>
          </w:tcPr>
          <w:p w14:paraId="4D48F6B8" w14:textId="77777777" w:rsidR="009B1E07" w:rsidRPr="002423D6" w:rsidRDefault="009B1E07" w:rsidP="00E1677E">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32DC5E4" w14:textId="77777777" w:rsidR="009B1E07" w:rsidRPr="002423D6" w:rsidRDefault="009B1E07" w:rsidP="00E1677E">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0E0D7587" w14:textId="77777777" w:rsidR="009B1E07" w:rsidRPr="002423D6" w:rsidRDefault="009B1E07" w:rsidP="00E1677E">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9B1E07" w:rsidRPr="002423D6" w14:paraId="203927B4" w14:textId="77777777" w:rsidTr="00E1677E">
        <w:trPr>
          <w:trHeight w:val="330"/>
        </w:trPr>
        <w:tc>
          <w:tcPr>
            <w:tcW w:w="893" w:type="dxa"/>
            <w:vAlign w:val="center"/>
            <w:hideMark/>
          </w:tcPr>
          <w:p w14:paraId="1B93F30C" w14:textId="77777777" w:rsidR="009B1E07" w:rsidRPr="002423D6" w:rsidRDefault="009B1E07" w:rsidP="00E1677E">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DFD141" w14:textId="77777777" w:rsidR="009B1E07" w:rsidRPr="002423D6" w:rsidRDefault="009B1E07" w:rsidP="00E1677E">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466B5F70" w14:textId="77777777" w:rsidR="009B1E07" w:rsidRPr="002423D6" w:rsidRDefault="009B1E07" w:rsidP="00E1677E">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9B1E07" w:rsidRPr="002423D6" w14:paraId="49ADA8B0" w14:textId="77777777" w:rsidTr="00E1677E">
        <w:trPr>
          <w:trHeight w:val="300"/>
        </w:trPr>
        <w:tc>
          <w:tcPr>
            <w:tcW w:w="893" w:type="dxa"/>
            <w:vAlign w:val="center"/>
          </w:tcPr>
          <w:p w14:paraId="4BB4D9F7" w14:textId="77777777" w:rsidR="009B1E07" w:rsidRPr="002423D6" w:rsidRDefault="009B1E07" w:rsidP="00E1677E">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41AADB2" w14:textId="77777777" w:rsidR="009B1E07" w:rsidRPr="002423D6" w:rsidRDefault="009B1E07" w:rsidP="00E1677E">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3E86851E" w14:textId="77777777" w:rsidR="009B1E07" w:rsidRPr="002423D6" w:rsidRDefault="009B1E07" w:rsidP="00E1677E">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262D4B25" w14:textId="77777777" w:rsidR="009B1E07" w:rsidRDefault="009B1E07" w:rsidP="009B1E07"/>
    <w:p w14:paraId="32A890CD" w14:textId="78DAF19C" w:rsidR="009B1E07" w:rsidRDefault="009B1E07" w:rsidP="009B1E07"/>
    <w:p w14:paraId="07C7D175" w14:textId="77777777" w:rsidR="009B1E07" w:rsidRDefault="009B1E07" w:rsidP="009B1E07"/>
    <w:p w14:paraId="17BB25D6" w14:textId="77777777" w:rsidR="009B1E07" w:rsidRDefault="009B1E07" w:rsidP="009B1E07"/>
    <w:p w14:paraId="01A73C4B" w14:textId="77777777" w:rsidR="009B1E07" w:rsidRPr="00C84654" w:rsidRDefault="009B1E07" w:rsidP="009B1E07">
      <w:pPr>
        <w:rPr>
          <w:b/>
          <w:bCs/>
        </w:rPr>
      </w:pPr>
    </w:p>
    <w:p w14:paraId="07C0A98B" w14:textId="77777777" w:rsidR="009B1E07" w:rsidRDefault="009B1E07" w:rsidP="009B1E07"/>
    <w:p w14:paraId="0534F7FE" w14:textId="77777777" w:rsidR="009B1E07" w:rsidRDefault="009B1E07" w:rsidP="009B1E07"/>
    <w:p w14:paraId="5C1A769E" w14:textId="77777777" w:rsidR="009B1E07" w:rsidRDefault="009B1E07" w:rsidP="009B1E07"/>
    <w:p w14:paraId="7E457B73" w14:textId="77777777" w:rsidR="009B1E07" w:rsidRDefault="009B1E07" w:rsidP="009B1E07"/>
    <w:p w14:paraId="0F293BF4" w14:textId="57154C5C" w:rsidR="00127233" w:rsidRPr="00E256BA" w:rsidRDefault="00127233" w:rsidP="00E256BA"/>
    <w:sectPr w:rsidR="00127233" w:rsidRPr="00E256B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EC2B17" w14:textId="77777777" w:rsidR="001F2AB0" w:rsidRDefault="001F2AB0" w:rsidP="004A1847">
      <w:pPr>
        <w:spacing w:after="0" w:line="240" w:lineRule="auto"/>
      </w:pPr>
      <w:r>
        <w:separator/>
      </w:r>
    </w:p>
  </w:endnote>
  <w:endnote w:type="continuationSeparator" w:id="0">
    <w:p w14:paraId="782F5AEB" w14:textId="77777777" w:rsidR="001F2AB0" w:rsidRDefault="001F2AB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orbel"/>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48566" w14:textId="77777777" w:rsidR="001F2AB0" w:rsidRDefault="001F2AB0" w:rsidP="004A1847">
      <w:pPr>
        <w:spacing w:after="0" w:line="240" w:lineRule="auto"/>
      </w:pPr>
      <w:r>
        <w:separator/>
      </w:r>
    </w:p>
  </w:footnote>
  <w:footnote w:type="continuationSeparator" w:id="0">
    <w:p w14:paraId="07C43BB7" w14:textId="77777777" w:rsidR="001F2AB0" w:rsidRDefault="001F2AB0" w:rsidP="004A1847">
      <w:pPr>
        <w:spacing w:after="0" w:line="240" w:lineRule="auto"/>
      </w:pPr>
      <w:r>
        <w:continuationSeparator/>
      </w:r>
    </w:p>
  </w:footnote>
  <w:footnote w:id="1">
    <w:p w14:paraId="5D898C8D" w14:textId="77777777" w:rsidR="009B1E07" w:rsidRPr="00DC355D" w:rsidRDefault="009B1E07" w:rsidP="009B1E07">
      <w:pPr>
        <w:pStyle w:val="Textonotapie"/>
        <w:ind w:firstLine="708"/>
        <w:jc w:val="both"/>
        <w:rPr>
          <w:rFonts w:ascii="Verdana" w:hAnsi="Verdana" w:cs="Arial"/>
          <w:color w:val="000000"/>
          <w:sz w:val="14"/>
          <w:szCs w:val="14"/>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w:t>
      </w:r>
      <w:r w:rsidRPr="00FA74E7">
        <w:rPr>
          <w:rFonts w:ascii="Verdana" w:hAnsi="Verdana" w:cs="Arial"/>
          <w:color w:val="000000"/>
          <w:sz w:val="16"/>
          <w:szCs w:val="16"/>
        </w:rPr>
        <w:t xml:space="preserve"> </w:t>
      </w:r>
      <w:r w:rsidRPr="00DC355D">
        <w:rPr>
          <w:rFonts w:ascii="Verdana" w:hAnsi="Verdana" w:cs="Arial"/>
          <w:color w:val="000000"/>
          <w:sz w:val="14"/>
          <w:szCs w:val="14"/>
        </w:rPr>
        <w:t>del deudor de estas, sin perjuicio de</w:t>
      </w:r>
      <w:r w:rsidRPr="00FA74E7">
        <w:rPr>
          <w:rFonts w:ascii="Verdana" w:hAnsi="Verdana" w:cs="Arial"/>
          <w:color w:val="000000"/>
          <w:sz w:val="16"/>
          <w:szCs w:val="16"/>
        </w:rPr>
        <w:t xml:space="preserve"> </w:t>
      </w:r>
      <w:r w:rsidRPr="00DC355D">
        <w:rPr>
          <w:rFonts w:ascii="Verdana" w:hAnsi="Verdana" w:cs="Arial"/>
          <w:color w:val="000000"/>
          <w:sz w:val="14"/>
          <w:szCs w:val="14"/>
        </w:rPr>
        <w:t>los descuentos económicos a que haya lugar con motivo de la aplicación de estipulaciones contractuales específicas</w:t>
      </w:r>
      <w:r w:rsidRPr="00DC355D">
        <w:rPr>
          <w:rFonts w:ascii="Verdana" w:hAnsi="Verdana" w:cs="Arial"/>
          <w:color w:val="000000"/>
          <w:sz w:val="14"/>
          <w:szCs w:val="14"/>
          <w:shd w:val="clear" w:color="auto" w:fill="FFFFFF"/>
        </w:rPr>
        <w:t>” (</w:t>
      </w:r>
      <w:r w:rsidRPr="00DC355D">
        <w:rPr>
          <w:rFonts w:ascii="Verdana" w:hAnsi="Verdana" w:cs="Arial"/>
          <w:color w:val="000000"/>
          <w:sz w:val="14"/>
          <w:szCs w:val="14"/>
        </w:rPr>
        <w:t>EXPOSITO, Juan Carlos. Forma y contenido del contrato estatal. Bogotá: Universidad Externado de Colombia, p. 89 y 90).</w:t>
      </w:r>
    </w:p>
  </w:footnote>
  <w:footnote w:id="2">
    <w:p w14:paraId="00E1E78D" w14:textId="77777777" w:rsidR="009B1E07" w:rsidRPr="00DC355D" w:rsidRDefault="009B1E07" w:rsidP="009B1E07">
      <w:pPr>
        <w:pStyle w:val="Textonotapie"/>
        <w:ind w:firstLine="708"/>
        <w:jc w:val="both"/>
        <w:rPr>
          <w:rFonts w:ascii="Verdana" w:hAnsi="Verdana" w:cs="Arial"/>
          <w:color w:val="000000"/>
          <w:sz w:val="14"/>
          <w:szCs w:val="14"/>
          <w:lang w:val="es-CO"/>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DÍAZ DÍEZ, Cristian Andrés. La liquidación. Serie: Las Cláusulas del Contrato Estatal. Medellín: Librería Jurídica Sánchez y Centro de Estudios de Derecho Administrativo –CEDA–, 2013, pp. 53-54.</w:t>
      </w:r>
    </w:p>
  </w:footnote>
  <w:footnote w:id="3">
    <w:p w14:paraId="757CB608" w14:textId="77777777" w:rsidR="009B1E07" w:rsidRPr="00FA74E7" w:rsidRDefault="009B1E07" w:rsidP="009B1E07">
      <w:pPr>
        <w:spacing w:after="0"/>
        <w:ind w:firstLine="708"/>
        <w:jc w:val="both"/>
        <w:rPr>
          <w:rFonts w:ascii="Verdana" w:hAnsi="Verdana" w:cs="Arial"/>
          <w:color w:val="000000"/>
          <w:sz w:val="16"/>
          <w:szCs w:val="16"/>
          <w:lang w:val="es-ES"/>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w:t>
      </w:r>
      <w:r w:rsidRPr="00FA74E7">
        <w:rPr>
          <w:rFonts w:ascii="Verdana" w:hAnsi="Verdana" w:cs="Arial"/>
          <w:color w:val="000000"/>
          <w:sz w:val="16"/>
          <w:szCs w:val="16"/>
        </w:rPr>
        <w:t xml:space="preserve"> </w:t>
      </w:r>
      <w:r w:rsidRPr="00DC355D">
        <w:rPr>
          <w:rFonts w:ascii="Verdana" w:hAnsi="Verdana" w:cs="Arial"/>
          <w:color w:val="000000"/>
          <w:sz w:val="14"/>
          <w:szCs w:val="14"/>
        </w:rPr>
        <w:t>económico dará cuenta del comportamiento financiero del negocio:</w:t>
      </w:r>
      <w:r w:rsidRPr="00FA74E7">
        <w:rPr>
          <w:rFonts w:ascii="Verdana" w:hAnsi="Verdana" w:cs="Arial"/>
          <w:color w:val="000000"/>
          <w:sz w:val="16"/>
          <w:szCs w:val="16"/>
        </w:rPr>
        <w:t xml:space="preserve"> </w:t>
      </w:r>
      <w:r w:rsidRPr="00DC355D">
        <w:rPr>
          <w:rFonts w:ascii="Verdana" w:hAnsi="Verdana" w:cs="Arial"/>
          <w:color w:val="000000"/>
          <w:sz w:val="14"/>
          <w:szCs w:val="14"/>
        </w:rPr>
        <w:t xml:space="preserve">recursos </w:t>
      </w:r>
      <w:r w:rsidRPr="00FA74E7">
        <w:rPr>
          <w:rFonts w:ascii="Verdana" w:hAnsi="Verdana" w:cs="Arial"/>
          <w:color w:val="000000"/>
          <w:sz w:val="16"/>
          <w:szCs w:val="16"/>
        </w:rPr>
        <w:t>recibidos</w:t>
      </w:r>
      <w:r w:rsidRPr="00DC355D">
        <w:rPr>
          <w:rFonts w:ascii="Verdana" w:hAnsi="Verdana" w:cs="Arial"/>
          <w:color w:val="000000"/>
          <w:sz w:val="14"/>
          <w:szCs w:val="14"/>
        </w:rPr>
        <w:t>, pagos efectuados, estado del crédito o de la deuda de cada parte, entre otros detalles mínimos y necesarios para finiquitar una relación jurídica contractual”.</w:t>
      </w:r>
    </w:p>
  </w:footnote>
  <w:footnote w:id="4">
    <w:p w14:paraId="4C603862" w14:textId="77777777" w:rsidR="009B1E07" w:rsidRPr="00DC355D" w:rsidRDefault="009B1E07" w:rsidP="009B1E07">
      <w:pPr>
        <w:pStyle w:val="Textonotapie"/>
        <w:ind w:firstLine="708"/>
        <w:jc w:val="both"/>
        <w:rPr>
          <w:rFonts w:ascii="Verdana" w:hAnsi="Verdana" w:cs="Arial"/>
          <w:color w:val="000000"/>
          <w:sz w:val="14"/>
          <w:szCs w:val="14"/>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EXPÓSITO VÉLEZ, Juan Carlos. Forma y contenido del contrato estatal, p. 90.</w:t>
      </w:r>
    </w:p>
  </w:footnote>
  <w:footnote w:id="5">
    <w:p w14:paraId="225FE723" w14:textId="77777777" w:rsidR="009B1E07" w:rsidRPr="00FA74E7" w:rsidRDefault="009B1E07" w:rsidP="009B1E07">
      <w:pPr>
        <w:pStyle w:val="Textonotapie"/>
        <w:ind w:firstLine="708"/>
        <w:jc w:val="both"/>
        <w:rPr>
          <w:rFonts w:ascii="Verdana" w:hAnsi="Verdana" w:cs="Arial"/>
          <w:color w:val="000000"/>
          <w:sz w:val="16"/>
          <w:szCs w:val="16"/>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CONSEJO DE ESTADO, Sala de Consulta y Servicio Civil. Radicado No. 1453. Concepto de 6 de agosto de 2003. MP. Augusto Trejos.</w:t>
      </w:r>
    </w:p>
  </w:footnote>
  <w:footnote w:id="6">
    <w:p w14:paraId="5432F3E5" w14:textId="77777777" w:rsidR="009B1E07" w:rsidRPr="00DC355D" w:rsidRDefault="009B1E07" w:rsidP="009B1E07">
      <w:pPr>
        <w:pStyle w:val="Textonotapie"/>
        <w:ind w:firstLine="708"/>
        <w:jc w:val="both"/>
        <w:rPr>
          <w:rFonts w:ascii="Verdana" w:hAnsi="Verdana" w:cs="Arial"/>
          <w:color w:val="000000"/>
          <w:sz w:val="14"/>
          <w:szCs w:val="14"/>
          <w:lang w:val="es-ES"/>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w:t>
      </w:r>
      <w:r w:rsidRPr="00DC355D">
        <w:rPr>
          <w:rFonts w:ascii="Verdana" w:hAnsi="Verdana" w:cs="Arial"/>
          <w:color w:val="000000"/>
          <w:sz w:val="14"/>
          <w:szCs w:val="14"/>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41C36B49" w14:textId="77777777" w:rsidR="009B1E07" w:rsidRPr="00DC355D" w:rsidRDefault="009B1E07" w:rsidP="009B1E07">
      <w:pPr>
        <w:pStyle w:val="Textonotapie"/>
        <w:ind w:firstLine="708"/>
        <w:jc w:val="both"/>
        <w:rPr>
          <w:rFonts w:ascii="Verdana" w:hAnsi="Verdana" w:cs="Arial"/>
          <w:color w:val="000000"/>
          <w:sz w:val="14"/>
          <w:szCs w:val="14"/>
          <w:lang w:val="es-ES"/>
        </w:rPr>
      </w:pPr>
      <w:r w:rsidRPr="00DC355D">
        <w:rPr>
          <w:rFonts w:ascii="Verdana" w:hAnsi="Verdana" w:cs="Arial"/>
          <w:color w:val="000000"/>
          <w:sz w:val="14"/>
          <w:szCs w:val="14"/>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00F7BA39" w14:textId="77777777" w:rsidR="009B1E07" w:rsidRPr="00DC355D" w:rsidRDefault="009B1E07" w:rsidP="009B1E07">
      <w:pPr>
        <w:pStyle w:val="Textonotapie"/>
        <w:ind w:firstLine="708"/>
        <w:jc w:val="both"/>
        <w:rPr>
          <w:rFonts w:ascii="Verdana" w:hAnsi="Verdana" w:cs="Arial"/>
          <w:color w:val="000000"/>
          <w:sz w:val="14"/>
          <w:szCs w:val="14"/>
          <w:lang w:val="es-ES"/>
        </w:rPr>
      </w:pPr>
      <w:r w:rsidRPr="00DC355D">
        <w:rPr>
          <w:rFonts w:ascii="Verdana" w:hAnsi="Verdana" w:cs="Arial"/>
          <w:color w:val="000000"/>
          <w:sz w:val="14"/>
          <w:szCs w:val="14"/>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3AAFC2FF" w14:textId="77777777" w:rsidR="009B1E07" w:rsidRPr="00DC355D" w:rsidRDefault="009B1E07" w:rsidP="009B1E07">
      <w:pPr>
        <w:pStyle w:val="Textonotapie"/>
        <w:ind w:firstLine="708"/>
        <w:jc w:val="both"/>
        <w:rPr>
          <w:rFonts w:ascii="Verdana" w:hAnsi="Verdana" w:cs="Arial"/>
          <w:color w:val="000000"/>
          <w:sz w:val="14"/>
          <w:szCs w:val="14"/>
          <w:lang w:val="es-ES"/>
        </w:rPr>
      </w:pPr>
      <w:r w:rsidRPr="00DC355D">
        <w:rPr>
          <w:rFonts w:ascii="Verdana" w:hAnsi="Verdana" w:cs="Arial"/>
          <w:color w:val="000000"/>
          <w:sz w:val="14"/>
          <w:szCs w:val="14"/>
          <w:lang w:val="es-ES"/>
        </w:rPr>
        <w:t>Los contratistas tendrán derecho a efectuar salvedades a la liquidación por mutuo acuerdo, y en este evento la liquidación unilateral solo procederá en relación con los aspectos que no hayan sido objeto de acuerdo”.</w:t>
      </w:r>
    </w:p>
  </w:footnote>
  <w:footnote w:id="7">
    <w:p w14:paraId="03D88383" w14:textId="77777777" w:rsidR="009B1E07" w:rsidRPr="00FA74E7" w:rsidRDefault="009B1E07" w:rsidP="009B1E07">
      <w:pPr>
        <w:pStyle w:val="Textonotapie"/>
        <w:ind w:firstLine="709"/>
        <w:jc w:val="both"/>
        <w:rPr>
          <w:rFonts w:ascii="Verdana" w:hAnsi="Verdana" w:cs="Arial"/>
          <w:color w:val="000000"/>
          <w:sz w:val="16"/>
          <w:szCs w:val="16"/>
          <w:lang w:val="es-CO"/>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CONSEJO DE ESTADO, Sección Tercera, Subsección C, Sentencia del 24 de julio de 2013, radicado No. 25.642, Consejero Ponente Enrique Gil Botero.</w:t>
      </w:r>
    </w:p>
  </w:footnote>
  <w:footnote w:id="8">
    <w:p w14:paraId="2439F37C" w14:textId="77777777" w:rsidR="009B1E07" w:rsidRPr="00DC355D" w:rsidRDefault="009B1E07" w:rsidP="009B1E07">
      <w:pPr>
        <w:pStyle w:val="NormalWeb"/>
        <w:spacing w:before="0" w:beforeAutospacing="0" w:after="0" w:afterAutospacing="0"/>
        <w:ind w:firstLine="709"/>
        <w:jc w:val="both"/>
        <w:rPr>
          <w:rFonts w:ascii="Verdana" w:hAnsi="Verdana" w:cs="Arial"/>
          <w:color w:val="000000"/>
          <w:sz w:val="14"/>
          <w:szCs w:val="14"/>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Decreto 1082 de 2015 “</w:t>
      </w:r>
      <w:r w:rsidRPr="00DC355D">
        <w:rPr>
          <w:rStyle w:val="Fuerte"/>
          <w:rFonts w:ascii="Verdana" w:hAnsi="Verdana" w:cs="Arial"/>
          <w:b w:val="0"/>
          <w:bCs w:val="0"/>
          <w:color w:val="000000"/>
          <w:sz w:val="14"/>
          <w:szCs w:val="14"/>
        </w:rPr>
        <w:t>Artículo 2.2.1.2.1.5.2. </w:t>
      </w:r>
      <w:r w:rsidRPr="00DC355D">
        <w:rPr>
          <w:rStyle w:val="nfasis"/>
          <w:rFonts w:ascii="Verdana" w:eastAsia="MS Mincho" w:hAnsi="Verdana" w:cs="Arial"/>
          <w:color w:val="000000"/>
          <w:sz w:val="14"/>
          <w:szCs w:val="14"/>
        </w:rPr>
        <w:t>Procedimiento para la contratación de mínima cuantía. </w:t>
      </w:r>
      <w:r w:rsidRPr="00DC355D">
        <w:rPr>
          <w:rFonts w:ascii="Verdana" w:hAnsi="Verdana" w:cs="Arial"/>
          <w:color w:val="000000"/>
          <w:sz w:val="14"/>
          <w:szCs w:val="14"/>
        </w:rPr>
        <w:t>Las siguientes reglas son aplicables a la contratación cuyo valor no excede del 10% de la menor cuantía de la Entidad Estatal, independientemente de su objeto: </w:t>
      </w:r>
    </w:p>
    <w:p w14:paraId="5E3EAD0B" w14:textId="77777777" w:rsidR="009B1E07" w:rsidRPr="00DC355D" w:rsidRDefault="009B1E07" w:rsidP="009B1E07">
      <w:pPr>
        <w:pStyle w:val="NormalWeb"/>
        <w:spacing w:before="0" w:beforeAutospacing="0" w:after="0" w:afterAutospacing="0"/>
        <w:jc w:val="both"/>
        <w:rPr>
          <w:rFonts w:ascii="Verdana" w:hAnsi="Verdana" w:cs="Arial"/>
          <w:color w:val="000000"/>
          <w:sz w:val="14"/>
          <w:szCs w:val="14"/>
        </w:rPr>
      </w:pPr>
      <w:r w:rsidRPr="00DC355D">
        <w:rPr>
          <w:rFonts w:ascii="Verdana" w:hAnsi="Verdana" w:cs="Arial"/>
          <w:color w:val="000000"/>
          <w:sz w:val="14"/>
          <w:szCs w:val="14"/>
        </w:rPr>
        <w:t>  </w:t>
      </w:r>
      <w:r w:rsidRPr="00DC355D">
        <w:rPr>
          <w:rFonts w:ascii="Verdana" w:hAnsi="Verdana" w:cs="Arial"/>
          <w:color w:val="000000"/>
          <w:sz w:val="14"/>
          <w:szCs w:val="14"/>
        </w:rPr>
        <w:tab/>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y el cumplimiento de las condiciones técnicas exigidas […]”. </w:t>
      </w:r>
    </w:p>
    <w:p w14:paraId="25816666" w14:textId="77777777" w:rsidR="009B1E07" w:rsidRPr="00FA74E7" w:rsidRDefault="009B1E07" w:rsidP="009B1E07">
      <w:pPr>
        <w:pStyle w:val="Textonotapie"/>
        <w:ind w:firstLine="709"/>
        <w:jc w:val="both"/>
        <w:rPr>
          <w:rFonts w:ascii="Verdana" w:hAnsi="Verdana" w:cs="Arial"/>
          <w:color w:val="000000"/>
          <w:sz w:val="16"/>
          <w:szCs w:val="16"/>
          <w:lang w:val="es-CO"/>
        </w:rPr>
      </w:pPr>
      <w:r w:rsidRPr="00FA74E7">
        <w:rPr>
          <w:rFonts w:ascii="Verdana" w:hAnsi="Verdana" w:cs="Arial"/>
          <w:color w:val="000000"/>
          <w:sz w:val="16"/>
          <w:szCs w:val="16"/>
        </w:rPr>
        <w:t xml:space="preserve"> </w:t>
      </w:r>
    </w:p>
  </w:footnote>
  <w:footnote w:id="9">
    <w:p w14:paraId="70422401" w14:textId="77777777" w:rsidR="009B1E07" w:rsidRPr="00DC355D" w:rsidRDefault="009B1E07" w:rsidP="009B1E07">
      <w:pPr>
        <w:pStyle w:val="NormalWeb"/>
        <w:spacing w:before="0" w:beforeAutospacing="0" w:after="0" w:afterAutospacing="0"/>
        <w:ind w:firstLine="720"/>
        <w:jc w:val="both"/>
        <w:rPr>
          <w:rFonts w:ascii="Verdana" w:hAnsi="Verdana" w:cs="Arial"/>
          <w:color w:val="000000"/>
          <w:sz w:val="14"/>
          <w:szCs w:val="14"/>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Ley 80 de 1993 “</w:t>
      </w:r>
      <w:r w:rsidRPr="00DC355D">
        <w:rPr>
          <w:rStyle w:val="Fuerte"/>
          <w:rFonts w:ascii="Verdana" w:hAnsi="Verdana" w:cs="Arial"/>
          <w:b w:val="0"/>
          <w:bCs w:val="0"/>
          <w:color w:val="000000"/>
          <w:sz w:val="14"/>
          <w:szCs w:val="14"/>
        </w:rPr>
        <w:t>Articulo 39. De la forma del contrato estatal. </w:t>
      </w:r>
      <w:r w:rsidRPr="00DC355D">
        <w:rPr>
          <w:rFonts w:ascii="Verdana" w:hAnsi="Verdana" w:cs="Arial"/>
          <w:color w:val="000000"/>
          <w:sz w:val="14"/>
          <w:szCs w:val="14"/>
        </w:rPr>
        <w:t>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w:t>
      </w:r>
      <w:r w:rsidRPr="00DC355D">
        <w:rPr>
          <w:rFonts w:ascii="Verdana" w:hAnsi="Verdana" w:cs="Arial"/>
          <w:color w:val="000000"/>
          <w:sz w:val="14"/>
          <w:szCs w:val="14"/>
        </w:rPr>
        <w:tab/>
        <w:t>[…]</w:t>
      </w:r>
      <w:bookmarkStart w:id="7" w:name="ver_1790147"/>
      <w:bookmarkStart w:id="8" w:name="ver_30220791"/>
      <w:bookmarkStart w:id="9" w:name="ver_1790148"/>
      <w:bookmarkEnd w:id="7"/>
      <w:bookmarkEnd w:id="8"/>
    </w:p>
    <w:p w14:paraId="346C291C" w14:textId="77777777" w:rsidR="009B1E07" w:rsidRPr="00DC355D" w:rsidRDefault="009B1E07" w:rsidP="009B1E07">
      <w:pPr>
        <w:pStyle w:val="NormalWeb"/>
        <w:spacing w:before="0" w:beforeAutospacing="0" w:after="0" w:afterAutospacing="0"/>
        <w:ind w:firstLine="720"/>
        <w:jc w:val="both"/>
        <w:rPr>
          <w:rFonts w:ascii="Verdana" w:hAnsi="Verdana" w:cs="Arial"/>
          <w:color w:val="000000"/>
          <w:sz w:val="14"/>
          <w:szCs w:val="14"/>
        </w:rPr>
      </w:pPr>
      <w:r w:rsidRPr="00DC355D">
        <w:rPr>
          <w:rStyle w:val="Fuerte"/>
          <w:rFonts w:ascii="Verdana" w:hAnsi="Verdana" w:cs="Arial"/>
          <w:b w:val="0"/>
          <w:bCs w:val="0"/>
          <w:color w:val="000000"/>
          <w:sz w:val="14"/>
          <w:szCs w:val="14"/>
        </w:rPr>
        <w:t>Artículo 40. Del contenido del contrato estatal.</w:t>
      </w:r>
      <w:r w:rsidRPr="00DC355D">
        <w:rPr>
          <w:rFonts w:ascii="Verdana" w:hAnsi="Verdana" w:cs="Arial"/>
          <w:color w:val="000000"/>
          <w:sz w:val="14"/>
          <w:szCs w:val="14"/>
        </w:rPr>
        <w:t> Las estipulaciones de los contratos serán las que de acuerdo con las normas civiles, comerciales y las previstas en esta ley, correspondan a su esencia y naturaleza. </w:t>
      </w:r>
    </w:p>
    <w:p w14:paraId="3471DCA2" w14:textId="77777777" w:rsidR="009B1E07" w:rsidRPr="00DC355D" w:rsidRDefault="009B1E07" w:rsidP="009B1E07">
      <w:pPr>
        <w:pStyle w:val="NormalWeb"/>
        <w:spacing w:before="0" w:beforeAutospacing="0" w:after="0" w:afterAutospacing="0"/>
        <w:ind w:firstLine="720"/>
        <w:jc w:val="both"/>
        <w:rPr>
          <w:rFonts w:ascii="Verdana" w:hAnsi="Verdana" w:cs="Arial"/>
          <w:color w:val="000000"/>
          <w:sz w:val="14"/>
          <w:szCs w:val="14"/>
        </w:rPr>
      </w:pPr>
      <w:r w:rsidRPr="00DC355D">
        <w:rPr>
          <w:rFonts w:ascii="Verdana" w:hAnsi="Verdana" w:cs="Arial"/>
          <w:color w:val="000000"/>
          <w:sz w:val="14"/>
          <w:szCs w:val="14"/>
        </w:rPr>
        <w:t>Las entidades podrán celebrar los contratos y acuerdos que permitan la autonomía de la voluntad y requieran el cumplimiento de los fines estatales. </w:t>
      </w:r>
    </w:p>
    <w:p w14:paraId="0F29F4F1" w14:textId="77777777" w:rsidR="009B1E07" w:rsidRPr="00DC355D" w:rsidRDefault="009B1E07" w:rsidP="009B1E07">
      <w:pPr>
        <w:pStyle w:val="NormalWeb"/>
        <w:spacing w:before="0" w:beforeAutospacing="0" w:after="0" w:afterAutospacing="0"/>
        <w:jc w:val="both"/>
        <w:rPr>
          <w:rFonts w:ascii="Verdana" w:hAnsi="Verdana" w:cs="Arial"/>
          <w:color w:val="000000"/>
          <w:sz w:val="14"/>
          <w:szCs w:val="14"/>
        </w:rPr>
      </w:pPr>
      <w:r w:rsidRPr="00DC355D">
        <w:rPr>
          <w:rFonts w:ascii="Verdana" w:hAnsi="Verdana" w:cs="Arial"/>
          <w:color w:val="000000"/>
          <w:sz w:val="14"/>
          <w:szCs w:val="14"/>
        </w:rPr>
        <w:t>  </w:t>
      </w:r>
      <w:r w:rsidRPr="00DC355D">
        <w:rPr>
          <w:rFonts w:ascii="Verdana" w:hAnsi="Verdana" w:cs="Arial"/>
          <w:color w:val="000000"/>
          <w:sz w:val="14"/>
          <w:szCs w:val="14"/>
        </w:rPr>
        <w:tab/>
        <w:t>[…]  </w:t>
      </w:r>
    </w:p>
    <w:p w14:paraId="57A67CF8" w14:textId="77777777" w:rsidR="009B1E07" w:rsidRPr="00DC355D" w:rsidRDefault="009B1E07" w:rsidP="009B1E07">
      <w:pPr>
        <w:pStyle w:val="NormalWeb"/>
        <w:spacing w:before="0" w:beforeAutospacing="0" w:after="0" w:afterAutospacing="0"/>
        <w:ind w:firstLine="720"/>
        <w:jc w:val="both"/>
        <w:rPr>
          <w:rFonts w:ascii="Verdana" w:hAnsi="Verdana" w:cs="Arial"/>
          <w:color w:val="000000"/>
          <w:sz w:val="14"/>
          <w:szCs w:val="14"/>
        </w:rPr>
      </w:pPr>
      <w:bookmarkStart w:id="10" w:name="ver_30161420"/>
      <w:bookmarkStart w:id="11" w:name="ver_1790149"/>
      <w:bookmarkStart w:id="12" w:name="ver_30161408"/>
      <w:bookmarkStart w:id="13" w:name="ver_30161443"/>
      <w:bookmarkEnd w:id="9"/>
      <w:bookmarkEnd w:id="10"/>
      <w:bookmarkEnd w:id="11"/>
      <w:bookmarkEnd w:id="12"/>
      <w:bookmarkEnd w:id="13"/>
      <w:r w:rsidRPr="00DC355D">
        <w:rPr>
          <w:rStyle w:val="Fuerte"/>
          <w:rFonts w:ascii="Verdana" w:hAnsi="Verdana" w:cs="Arial"/>
          <w:b w:val="0"/>
          <w:bCs w:val="0"/>
          <w:color w:val="000000"/>
          <w:sz w:val="14"/>
          <w:szCs w:val="14"/>
        </w:rPr>
        <w:t>Artículo 41. Del perfeccionamiento del contrato.</w:t>
      </w:r>
      <w:r w:rsidRPr="00DC355D">
        <w:rPr>
          <w:rFonts w:ascii="Verdana" w:hAnsi="Verdana" w:cs="Arial"/>
          <w:color w:val="000000"/>
          <w:sz w:val="14"/>
          <w:szCs w:val="14"/>
        </w:rPr>
        <w:t> Los contratos del Estado se perfeccionan cuando se logre acuerdo sobre el objeto y la contraprestación y éste se eleve a escrito […]”.</w:t>
      </w:r>
    </w:p>
  </w:footnote>
  <w:footnote w:id="10">
    <w:p w14:paraId="29151182" w14:textId="77777777" w:rsidR="009B1E07" w:rsidRPr="00DC355D" w:rsidRDefault="009B1E07" w:rsidP="009B1E07">
      <w:pPr>
        <w:pStyle w:val="Textonotapie"/>
        <w:ind w:firstLine="709"/>
        <w:jc w:val="both"/>
        <w:rPr>
          <w:rFonts w:ascii="Verdana" w:hAnsi="Verdana" w:cs="Arial"/>
          <w:color w:val="000000"/>
          <w:sz w:val="14"/>
          <w:szCs w:val="14"/>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Ley 80 de 1993 “</w:t>
      </w:r>
      <w:r w:rsidRPr="00DC355D">
        <w:rPr>
          <w:rStyle w:val="Fuerte"/>
          <w:rFonts w:ascii="Verdana" w:hAnsi="Verdana" w:cs="Arial"/>
          <w:b w:val="0"/>
          <w:bCs w:val="0"/>
          <w:color w:val="000000"/>
          <w:sz w:val="14"/>
          <w:szCs w:val="14"/>
        </w:rPr>
        <w:t>Artículo 77. De la normatividad aplicable en las actuaciones administrativas.</w:t>
      </w:r>
      <w:r w:rsidRPr="00DC355D">
        <w:rPr>
          <w:rFonts w:ascii="Verdana" w:hAnsi="Verdana" w:cs="Arial"/>
          <w:color w:val="000000"/>
          <w:sz w:val="14"/>
          <w:szCs w:val="14"/>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 […]”. </w:t>
      </w:r>
    </w:p>
  </w:footnote>
  <w:footnote w:id="11">
    <w:p w14:paraId="284D72C8" w14:textId="77777777" w:rsidR="009B1E07" w:rsidRPr="00DC355D" w:rsidRDefault="009B1E07" w:rsidP="009B1E07">
      <w:pPr>
        <w:pStyle w:val="NormalWeb"/>
        <w:spacing w:before="0" w:beforeAutospacing="0" w:after="0" w:afterAutospacing="0"/>
        <w:ind w:firstLine="709"/>
        <w:jc w:val="both"/>
        <w:rPr>
          <w:rFonts w:ascii="Verdana" w:hAnsi="Verdana" w:cs="Arial"/>
          <w:color w:val="000000"/>
          <w:sz w:val="14"/>
          <w:szCs w:val="14"/>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Ley 80 de 1993 “</w:t>
      </w:r>
      <w:r w:rsidRPr="00DC355D">
        <w:rPr>
          <w:rStyle w:val="Fuerte"/>
          <w:rFonts w:ascii="Verdana" w:hAnsi="Verdana" w:cs="Arial"/>
          <w:b w:val="0"/>
          <w:bCs w:val="0"/>
          <w:color w:val="000000"/>
          <w:sz w:val="14"/>
          <w:szCs w:val="14"/>
        </w:rPr>
        <w:t>Artículo 25. Del principio de economía.</w:t>
      </w:r>
      <w:r w:rsidRPr="00DC355D">
        <w:rPr>
          <w:rFonts w:ascii="Verdana" w:hAnsi="Verdana" w:cs="Arial"/>
          <w:color w:val="000000"/>
          <w:sz w:val="14"/>
          <w:szCs w:val="14"/>
        </w:rPr>
        <w:t> En virtud de este principio: </w:t>
      </w:r>
    </w:p>
    <w:p w14:paraId="3E39323B" w14:textId="77777777" w:rsidR="009B1E07" w:rsidRPr="00DC355D" w:rsidRDefault="009B1E07" w:rsidP="009B1E07">
      <w:pPr>
        <w:pStyle w:val="NormalWeb"/>
        <w:spacing w:before="0" w:beforeAutospacing="0" w:after="0" w:afterAutospacing="0"/>
        <w:ind w:firstLine="709"/>
        <w:jc w:val="both"/>
        <w:rPr>
          <w:rFonts w:ascii="Verdana" w:hAnsi="Verdana" w:cs="Arial"/>
          <w:color w:val="000000"/>
          <w:sz w:val="14"/>
          <w:szCs w:val="14"/>
        </w:rPr>
      </w:pPr>
      <w:r w:rsidRPr="00DC355D">
        <w:rPr>
          <w:rFonts w:ascii="Verdana" w:hAnsi="Verdana" w:cs="Arial"/>
          <w:color w:val="000000"/>
          <w:sz w:val="14"/>
          <w:szCs w:val="14"/>
        </w:rPr>
        <w:t>[…]</w:t>
      </w:r>
    </w:p>
    <w:p w14:paraId="3348D787" w14:textId="77777777" w:rsidR="009B1E07" w:rsidRPr="00DC355D" w:rsidRDefault="009B1E07" w:rsidP="009B1E07">
      <w:pPr>
        <w:pStyle w:val="NormalWeb"/>
        <w:spacing w:before="0" w:beforeAutospacing="0" w:after="0" w:afterAutospacing="0"/>
        <w:ind w:firstLine="709"/>
        <w:jc w:val="both"/>
        <w:rPr>
          <w:rFonts w:ascii="Verdana" w:hAnsi="Verdana" w:cs="Arial"/>
          <w:color w:val="000000"/>
          <w:sz w:val="14"/>
          <w:szCs w:val="14"/>
        </w:rPr>
      </w:pPr>
      <w:r w:rsidRPr="00DC355D">
        <w:rPr>
          <w:rFonts w:ascii="Verdana" w:hAnsi="Verdana" w:cs="Arial"/>
          <w:color w:val="000000"/>
          <w:sz w:val="14"/>
          <w:szCs w:val="14"/>
        </w:rPr>
        <w:t>4o. Los trámites se adelantarán con austeridad de tiempo, medios y gastos y se impedirán las dilaciones y los retardos en la ejecución del contrato. </w:t>
      </w:r>
    </w:p>
    <w:p w14:paraId="0C812492" w14:textId="77777777" w:rsidR="009B1E07" w:rsidRPr="00DC355D" w:rsidRDefault="009B1E07" w:rsidP="009B1E07">
      <w:pPr>
        <w:pStyle w:val="NormalWeb"/>
        <w:spacing w:before="0" w:beforeAutospacing="0" w:after="0" w:afterAutospacing="0"/>
        <w:jc w:val="both"/>
        <w:rPr>
          <w:rFonts w:ascii="Verdana" w:hAnsi="Verdana" w:cs="Arial"/>
          <w:color w:val="000000"/>
          <w:sz w:val="14"/>
          <w:szCs w:val="14"/>
        </w:rPr>
      </w:pPr>
      <w:r w:rsidRPr="00DC355D">
        <w:rPr>
          <w:rFonts w:ascii="Verdana" w:hAnsi="Verdana" w:cs="Arial"/>
          <w:color w:val="000000"/>
          <w:sz w:val="14"/>
          <w:szCs w:val="14"/>
        </w:rPr>
        <w:t>  </w:t>
      </w:r>
      <w:r w:rsidRPr="00DC355D">
        <w:rPr>
          <w:rFonts w:ascii="Verdana" w:hAnsi="Verdana" w:cs="Arial"/>
          <w:color w:val="000000"/>
          <w:sz w:val="14"/>
          <w:szCs w:val="14"/>
        </w:rPr>
        <w:tab/>
        <w:t>5o. Se adoptarán procedimientos que garanticen la pronta solución de las diferencias y controversias que con motivo de la celebración y ejecución del contrato se presenten […]”.</w:t>
      </w:r>
    </w:p>
  </w:footnote>
  <w:footnote w:id="12">
    <w:p w14:paraId="5164B64D" w14:textId="77777777" w:rsidR="009B1E07" w:rsidRPr="00DC355D" w:rsidRDefault="009B1E07" w:rsidP="009B1E07">
      <w:pPr>
        <w:pStyle w:val="Textonotapie"/>
        <w:ind w:firstLine="708"/>
        <w:jc w:val="both"/>
        <w:rPr>
          <w:rFonts w:ascii="Verdana" w:hAnsi="Verdana" w:cs="Arial"/>
          <w:color w:val="000000"/>
          <w:sz w:val="14"/>
          <w:szCs w:val="14"/>
          <w:lang w:val="es-ES"/>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COLOMBIA COMPRA EFICIENTE. Guía para la Liquidación de los Procesos de Contratación. página 5, disponible en: </w:t>
      </w:r>
      <w:hyperlink r:id="rId1" w:history="1">
        <w:r w:rsidRPr="00DC355D">
          <w:rPr>
            <w:rStyle w:val="Hipervnculo"/>
            <w:rFonts w:ascii="Verdana" w:hAnsi="Verdana" w:cs="Arial"/>
            <w:sz w:val="14"/>
            <w:szCs w:val="14"/>
          </w:rPr>
          <w:t xml:space="preserve">https://www.colombiacompra.gov.co/sites/cce_public/files/cce_documents/cce_guia_liquidacion_procesos.pdf  </w:t>
        </w:r>
      </w:hyperlink>
    </w:p>
  </w:footnote>
  <w:footnote w:id="13">
    <w:p w14:paraId="1FB289D5" w14:textId="77777777" w:rsidR="009B1E07" w:rsidRPr="00FA74E7" w:rsidRDefault="009B1E07" w:rsidP="009B1E07">
      <w:pPr>
        <w:pStyle w:val="Textonotapie"/>
        <w:ind w:firstLine="708"/>
        <w:jc w:val="both"/>
        <w:rPr>
          <w:rFonts w:ascii="Verdana" w:hAnsi="Verdana" w:cs="Arial"/>
          <w:color w:val="000000"/>
          <w:sz w:val="16"/>
          <w:szCs w:val="16"/>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4">
    <w:p w14:paraId="1F5E6C66" w14:textId="77777777" w:rsidR="009B1E07" w:rsidRPr="00DC355D" w:rsidRDefault="009B1E07" w:rsidP="009B1E07">
      <w:pPr>
        <w:pStyle w:val="Textonotapie"/>
        <w:ind w:firstLine="708"/>
        <w:jc w:val="both"/>
        <w:rPr>
          <w:rFonts w:ascii="Verdana" w:hAnsi="Verdana" w:cs="Arial"/>
          <w:color w:val="000000"/>
          <w:sz w:val="14"/>
          <w:szCs w:val="14"/>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CONSEJO DE ESTADO. Sala de Consulta y Servicio Civil. Concepto de 28 de Junio de 2016. Radicación: 2253. C.P. Álvaro Namén Vargas. </w:t>
      </w:r>
    </w:p>
  </w:footnote>
  <w:footnote w:id="15">
    <w:p w14:paraId="04714B7E" w14:textId="77777777" w:rsidR="009B1E07" w:rsidRPr="00FA74E7" w:rsidRDefault="009B1E07" w:rsidP="009B1E07">
      <w:pPr>
        <w:pStyle w:val="Textonotapie"/>
        <w:ind w:firstLine="708"/>
        <w:jc w:val="both"/>
        <w:rPr>
          <w:rFonts w:ascii="Verdana" w:hAnsi="Verdana"/>
          <w:color w:val="000000"/>
          <w:sz w:val="16"/>
          <w:szCs w:val="16"/>
          <w:lang w:val="es-ES"/>
        </w:rPr>
      </w:pPr>
      <w:r w:rsidRPr="00DC355D">
        <w:rPr>
          <w:rStyle w:val="Refdenotaalpie"/>
          <w:rFonts w:ascii="Verdana" w:hAnsi="Verdana" w:cs="Arial"/>
          <w:color w:val="000000"/>
          <w:sz w:val="14"/>
          <w:szCs w:val="14"/>
        </w:rPr>
        <w:footnoteRef/>
      </w:r>
      <w:r w:rsidRPr="00DC355D">
        <w:rPr>
          <w:rFonts w:ascii="Verdana" w:hAnsi="Verdana" w:cs="Arial"/>
          <w:color w:val="000000"/>
          <w:sz w:val="14"/>
          <w:szCs w:val="14"/>
        </w:rPr>
        <w:t xml:space="preserve"> CONSEJO DE ESTADO. Sección Tercera. </w:t>
      </w:r>
      <w:r w:rsidRPr="00DC355D">
        <w:rPr>
          <w:rFonts w:ascii="Verdana" w:hAnsi="Verdana" w:cs="Arial"/>
          <w:color w:val="000000"/>
          <w:sz w:val="14"/>
          <w:szCs w:val="14"/>
          <w:lang w:val="es-CO"/>
        </w:rPr>
        <w:t xml:space="preserve">Sala Plena. Auto del 1 de agosto de 2019. </w:t>
      </w:r>
      <w:r w:rsidRPr="00DC355D">
        <w:rPr>
          <w:rFonts w:ascii="Verdana" w:hAnsi="Verdana" w:cs="Arial"/>
          <w:color w:val="000000"/>
          <w:sz w:val="14"/>
          <w:szCs w:val="14"/>
        </w:rPr>
        <w:t>Exp. 62009. C.P. Jaime Enrique Rodríguez Navas.</w:t>
      </w:r>
      <w:r w:rsidRPr="00FA74E7">
        <w:rPr>
          <w:rFonts w:ascii="Verdana" w:hAnsi="Verdana" w:cs="Arial"/>
          <w:color w:val="000000"/>
          <w:sz w:val="16"/>
          <w:szCs w:val="16"/>
        </w:rPr>
        <w:t xml:space="preserve"> </w:t>
      </w:r>
      <w:r w:rsidRPr="00FA74E7">
        <w:rPr>
          <w:rFonts w:ascii="Verdana" w:hAnsi="Verdana"/>
          <w:color w:val="000000"/>
          <w:sz w:val="16"/>
          <w:szCs w:val="16"/>
          <w:lang w:val="es-ES"/>
        </w:rPr>
        <w:t xml:space="preserve"> </w:t>
      </w:r>
    </w:p>
  </w:footnote>
  <w:footnote w:id="16">
    <w:p w14:paraId="0969CA5D" w14:textId="77777777" w:rsidR="009B1E07" w:rsidRPr="00DC355D" w:rsidRDefault="009B1E07" w:rsidP="009B1E07">
      <w:pPr>
        <w:pStyle w:val="Textonotapie"/>
        <w:ind w:firstLine="708"/>
        <w:jc w:val="both"/>
        <w:rPr>
          <w:rFonts w:ascii="Verdana" w:hAnsi="Verdana"/>
          <w:sz w:val="14"/>
          <w:szCs w:val="14"/>
        </w:rPr>
      </w:pPr>
      <w:r w:rsidRPr="00DC355D">
        <w:rPr>
          <w:rStyle w:val="Refdenotaalpie"/>
          <w:rFonts w:ascii="Verdana" w:hAnsi="Verdana"/>
          <w:sz w:val="14"/>
          <w:szCs w:val="14"/>
        </w:rPr>
        <w:footnoteRef/>
      </w:r>
      <w:r w:rsidRPr="00DC355D">
        <w:rPr>
          <w:rFonts w:ascii="Verdana" w:hAnsi="Verdana"/>
          <w:sz w:val="14"/>
          <w:szCs w:val="14"/>
        </w:rPr>
        <w:t xml:space="preserve"> Conforme al literal j) del artículo 164.2 de la Ley 1437 de 2011, “En las relativas a contratos el término para demandar será de dos (2) años que se contarán a partir del día siguiente a la ocurrencia de los motivos de hecho o de derecho que les sirvan de fundamento.</w:t>
      </w:r>
    </w:p>
    <w:p w14:paraId="3A84FDFE" w14:textId="77777777" w:rsidR="009B1E07" w:rsidRPr="00DC355D" w:rsidRDefault="009B1E07" w:rsidP="009B1E07">
      <w:pPr>
        <w:pStyle w:val="Textonotapie"/>
        <w:ind w:firstLine="708"/>
        <w:jc w:val="both"/>
        <w:rPr>
          <w:rFonts w:ascii="Verdana" w:hAnsi="Verdana"/>
          <w:sz w:val="14"/>
          <w:szCs w:val="14"/>
        </w:rPr>
      </w:pPr>
      <w:r w:rsidRPr="00DC355D">
        <w:rPr>
          <w:rFonts w:ascii="Verdana" w:hAnsi="Verdana"/>
          <w:sz w:val="14"/>
          <w:szCs w:val="14"/>
        </w:rPr>
        <w:t>Cuando se pretenda la nulidad absoluta o relativa del contrato, el término para demandar será de dos (2) años que se empezarán a contar desde el día siguiente al de su perfeccionamiento. En todo caso, podrá demandarse la nulidad absoluta del contrato mientras este se encuentre vigente.</w:t>
      </w:r>
    </w:p>
    <w:p w14:paraId="1B10D98F" w14:textId="77777777" w:rsidR="009B1E07" w:rsidRPr="00DC355D" w:rsidRDefault="009B1E07" w:rsidP="009B1E07">
      <w:pPr>
        <w:pStyle w:val="Textonotapie"/>
        <w:ind w:firstLine="708"/>
        <w:jc w:val="both"/>
        <w:rPr>
          <w:rFonts w:ascii="Verdana" w:hAnsi="Verdana"/>
          <w:sz w:val="14"/>
          <w:szCs w:val="14"/>
        </w:rPr>
      </w:pPr>
      <w:r w:rsidRPr="00DC355D">
        <w:rPr>
          <w:rFonts w:ascii="Verdana" w:hAnsi="Verdana"/>
          <w:sz w:val="14"/>
          <w:szCs w:val="14"/>
        </w:rPr>
        <w:t>En los siguientes contratos, el término de dos (2) años se contará así:</w:t>
      </w:r>
    </w:p>
    <w:p w14:paraId="70770615" w14:textId="77777777" w:rsidR="009B1E07" w:rsidRPr="00DC355D" w:rsidRDefault="009B1E07" w:rsidP="009B1E07">
      <w:pPr>
        <w:pStyle w:val="Textonotapie"/>
        <w:ind w:firstLine="708"/>
        <w:jc w:val="both"/>
        <w:rPr>
          <w:rFonts w:ascii="Verdana" w:hAnsi="Verdana"/>
          <w:sz w:val="14"/>
          <w:szCs w:val="14"/>
        </w:rPr>
      </w:pPr>
      <w:r w:rsidRPr="00DC355D">
        <w:rPr>
          <w:rFonts w:ascii="Verdana" w:hAnsi="Verdana"/>
          <w:sz w:val="14"/>
          <w:szCs w:val="14"/>
        </w:rPr>
        <w:t>i) En los de ejecución instantánea desde el día siguiente a cuando se cumplió o debió cumplirse el objeto del contrato;</w:t>
      </w:r>
    </w:p>
    <w:p w14:paraId="21314A3E" w14:textId="77777777" w:rsidR="009B1E07" w:rsidRPr="00DC355D" w:rsidRDefault="009B1E07" w:rsidP="009B1E07">
      <w:pPr>
        <w:pStyle w:val="Textonotapie"/>
        <w:ind w:firstLine="708"/>
        <w:jc w:val="both"/>
        <w:rPr>
          <w:rFonts w:ascii="Verdana" w:hAnsi="Verdana"/>
          <w:sz w:val="14"/>
          <w:szCs w:val="14"/>
        </w:rPr>
      </w:pPr>
      <w:r w:rsidRPr="00DC355D">
        <w:rPr>
          <w:rFonts w:ascii="Verdana" w:hAnsi="Verdana"/>
          <w:sz w:val="14"/>
          <w:szCs w:val="14"/>
        </w:rPr>
        <w:t>ii) En los que no requieran de liquidación, desde el día siguiente al de la terminación del contrato por cualquier causa;</w:t>
      </w:r>
    </w:p>
    <w:p w14:paraId="7AF9F4AD" w14:textId="77777777" w:rsidR="009B1E07" w:rsidRPr="00DC355D" w:rsidRDefault="009B1E07" w:rsidP="009B1E07">
      <w:pPr>
        <w:pStyle w:val="Textonotapie"/>
        <w:ind w:firstLine="708"/>
        <w:jc w:val="both"/>
        <w:rPr>
          <w:rFonts w:ascii="Verdana" w:hAnsi="Verdana"/>
          <w:i/>
          <w:iCs/>
          <w:sz w:val="14"/>
          <w:szCs w:val="14"/>
        </w:rPr>
      </w:pPr>
      <w:r w:rsidRPr="00DC355D">
        <w:rPr>
          <w:rFonts w:ascii="Verdana" w:hAnsi="Verdana"/>
          <w:i/>
          <w:iCs/>
          <w:sz w:val="14"/>
          <w:szCs w:val="14"/>
        </w:rPr>
        <w:t>iii) En los que requieran de liquidación y esta sea efectuada de común acuerdo por las partes, desde el día siguiente al de la firma del acta;</w:t>
      </w:r>
    </w:p>
    <w:p w14:paraId="622C8DFA" w14:textId="77777777" w:rsidR="009B1E07" w:rsidRPr="00DC355D" w:rsidRDefault="009B1E07" w:rsidP="009B1E07">
      <w:pPr>
        <w:pStyle w:val="Textonotapie"/>
        <w:ind w:firstLine="708"/>
        <w:jc w:val="both"/>
        <w:rPr>
          <w:rFonts w:ascii="Verdana" w:hAnsi="Verdana"/>
          <w:i/>
          <w:iCs/>
          <w:sz w:val="14"/>
          <w:szCs w:val="14"/>
        </w:rPr>
      </w:pPr>
      <w:r w:rsidRPr="00DC355D">
        <w:rPr>
          <w:rFonts w:ascii="Verdana" w:hAnsi="Verdana"/>
          <w:i/>
          <w:iCs/>
          <w:sz w:val="14"/>
          <w:szCs w:val="14"/>
        </w:rPr>
        <w:t>iv) En los que requieran de liquidación y esta sea efectuada unilateralmente por la administración, desde el día siguiente al de la ejecutoria del acto administrativo que la apruebe;</w:t>
      </w:r>
    </w:p>
    <w:p w14:paraId="624F96D8" w14:textId="77777777" w:rsidR="009B1E07" w:rsidRPr="00FA74E7" w:rsidRDefault="009B1E07" w:rsidP="009B1E07">
      <w:pPr>
        <w:pStyle w:val="Textonotapie"/>
        <w:ind w:firstLine="708"/>
        <w:jc w:val="both"/>
        <w:rPr>
          <w:rFonts w:ascii="Verdana" w:hAnsi="Verdana"/>
          <w:sz w:val="16"/>
          <w:szCs w:val="16"/>
          <w:lang w:val="es-CO"/>
        </w:rPr>
      </w:pPr>
      <w:r w:rsidRPr="00DC355D">
        <w:rPr>
          <w:rFonts w:ascii="Verdana" w:hAnsi="Verdana"/>
          <w:i/>
          <w:iCs/>
          <w:sz w:val="14"/>
          <w:szCs w:val="14"/>
        </w:rPr>
        <w:t>v) En los que requieran de liquidación y esta no se logre por mutuo acuerdo o no se practique por la administración unilateralmente, una vez cumplido el término de dos (2) meses contados a partir del vencimiento del plazo convenido para hacerlo bilateralmente o, en su defecto, del término de los cuatro (4) meses siguientes a la terminación del contrato o la expedición del acto que lo ordene o del acuerdo que la disponga</w:t>
      </w:r>
      <w:r w:rsidRPr="00DC355D">
        <w:rPr>
          <w:rFonts w:ascii="Verdana" w:hAnsi="Verdana"/>
          <w:sz w:val="14"/>
          <w:szCs w:val="14"/>
        </w:rPr>
        <w:t>” (Énfasis fuera de texto).</w:t>
      </w:r>
    </w:p>
  </w:footnote>
  <w:footnote w:id="17">
    <w:p w14:paraId="225AD34F" w14:textId="77777777" w:rsidR="009B1E07" w:rsidRPr="00DC355D" w:rsidRDefault="009B1E07" w:rsidP="009B1E07">
      <w:pPr>
        <w:pStyle w:val="Textonotapie"/>
        <w:ind w:firstLine="708"/>
        <w:jc w:val="both"/>
        <w:rPr>
          <w:rFonts w:ascii="Verdana" w:hAnsi="Verdana"/>
          <w:sz w:val="14"/>
          <w:szCs w:val="14"/>
          <w:lang w:val="es-CO"/>
        </w:rPr>
      </w:pPr>
      <w:r w:rsidRPr="00DC355D">
        <w:rPr>
          <w:rStyle w:val="Refdenotaalpie"/>
          <w:rFonts w:ascii="Verdana" w:hAnsi="Verdana"/>
          <w:sz w:val="14"/>
          <w:szCs w:val="14"/>
        </w:rPr>
        <w:footnoteRef/>
      </w:r>
      <w:r w:rsidRPr="00DC355D">
        <w:rPr>
          <w:rFonts w:ascii="Verdana" w:hAnsi="Verdana"/>
          <w:sz w:val="14"/>
          <w:szCs w:val="14"/>
        </w:rPr>
        <w:t xml:space="preserve"> Así, “[…] los cambios de precedente pueden dar lugar a afectaciones precisas de las reglas aplicables en procesos judiciales que estén en trámite, con lo cual los sujetos procesales y el mismo funcionario se encuentran frente a dos interpretaciones, en donde una ha sucedido a la otra. Incluso, el anterior escenario cobra mayor relevancia cuando el cambio de precedente afecta una actuación procesal que se inició al amparo del precedente anterior”, de manera que “[…] puede resultar que los sujetos procesales actúen con la confianza legítima de que serán aplicadas ciertas reglas jurisprudenciales vigentes, que luego serían modificadas. Por lo tanto, la aplicación inmediata del nuevo precedente, sin consideración alguna a esta circunstancia, podría derivar en el desconocimiento de derechos fundamentales. Esto, en el supuesto de que en aplicación del cambio jurisprudencial, no se den consecuencias jurídicas a actuaciones iniciadas bajo el precedente anterior, o que, se atribuyan consecuencias jurídicas desfavorables en razón a reglas que en su momento no existían y por tanto no se pudieron evitar” (Cfr. CORTE CONSTITUCIONAL. Sentencia SU-406 de 2016. M.P. Luis Guillermo Guerrero Pérez).</w:t>
      </w:r>
    </w:p>
  </w:footnote>
  <w:footnote w:id="18">
    <w:p w14:paraId="11693453" w14:textId="77777777" w:rsidR="009B1E07" w:rsidRPr="00DC355D" w:rsidRDefault="009B1E07" w:rsidP="009B1E07">
      <w:pPr>
        <w:pStyle w:val="Textonotapie"/>
        <w:ind w:firstLine="708"/>
        <w:jc w:val="both"/>
        <w:rPr>
          <w:rFonts w:ascii="Verdana" w:hAnsi="Verdana"/>
          <w:sz w:val="14"/>
          <w:szCs w:val="14"/>
          <w:lang w:val="es-CO"/>
        </w:rPr>
      </w:pPr>
      <w:r w:rsidRPr="00DC355D">
        <w:rPr>
          <w:rStyle w:val="Refdenotaalpie"/>
          <w:rFonts w:ascii="Verdana" w:hAnsi="Verdana"/>
          <w:sz w:val="14"/>
          <w:szCs w:val="14"/>
        </w:rPr>
        <w:footnoteRef/>
      </w:r>
      <w:r w:rsidRPr="00DC355D">
        <w:rPr>
          <w:rFonts w:ascii="Verdana" w:hAnsi="Verdana"/>
          <w:sz w:val="14"/>
          <w:szCs w:val="14"/>
        </w:rPr>
        <w:t xml:space="preserve"> CONSEJO DE ESTADO. Sección Tercera. Subsección C. Sentencia del 4 de septiembre de 2017. Exp. 57279. C.P. Jaime Orlando Santofimio Gamboa.</w:t>
      </w:r>
    </w:p>
  </w:footnote>
  <w:footnote w:id="19">
    <w:p w14:paraId="0C091797" w14:textId="77777777" w:rsidR="009B1E07" w:rsidRPr="00DC355D" w:rsidRDefault="009B1E07" w:rsidP="009B1E07">
      <w:pPr>
        <w:pStyle w:val="Textonotapie"/>
        <w:ind w:firstLine="708"/>
        <w:jc w:val="both"/>
        <w:rPr>
          <w:rFonts w:ascii="Verdana" w:hAnsi="Verdana"/>
          <w:sz w:val="14"/>
          <w:szCs w:val="14"/>
        </w:rPr>
      </w:pPr>
      <w:r w:rsidRPr="00DC355D">
        <w:rPr>
          <w:rStyle w:val="Refdenotaalpie"/>
          <w:rFonts w:ascii="Verdana" w:hAnsi="Verdana"/>
          <w:sz w:val="14"/>
          <w:szCs w:val="14"/>
        </w:rPr>
        <w:footnoteRef/>
      </w:r>
      <w:r w:rsidRPr="00DC355D">
        <w:rPr>
          <w:rFonts w:ascii="Verdana" w:hAnsi="Verdana"/>
          <w:sz w:val="14"/>
          <w:szCs w:val="14"/>
        </w:rPr>
        <w:t xml:space="preserve"> El artículo 270 del CPACA dispone que “Para los efectos de este Código se tendrán como sentencias de unificación jurisprudencial las que profiera o haya proferido el Consejo de Estado por importancia jurídica o trascendencia económica o social o por necesidad de unificar o sentar jurisprudencia o precisar su alcance o resolver las divergencias en su interpretación y aplicación; las proferidas al decidir los recursos extraordinarios y las relativas al mecanismo eventual de revisión previsto en el artículo 36A de la Ley 270 de 1995, adicionado por el artículo 11 de la Ley 1285 de 2009”. El concepto es relevante para la aplicación del artículo 10 </w:t>
      </w:r>
      <w:r w:rsidRPr="00DC355D">
        <w:rPr>
          <w:rFonts w:ascii="Verdana" w:hAnsi="Verdana"/>
          <w:i/>
          <w:iCs/>
          <w:sz w:val="14"/>
          <w:szCs w:val="14"/>
        </w:rPr>
        <w:t>ibidem</w:t>
      </w:r>
      <w:r w:rsidRPr="00DC355D">
        <w:rPr>
          <w:rFonts w:ascii="Verdana" w:hAnsi="Verdana"/>
          <w:sz w:val="14"/>
          <w:szCs w:val="14"/>
        </w:rPr>
        <w:t xml:space="preserve">, el cual prescribe que “Al resolver los asuntos de su competencia, las autoridades aplicarán las disposiciones constitucionales, legales y reglamentarias de manera uniforme a situaciones que tengan los mismos supuestos fácticos y jurídicos. </w:t>
      </w:r>
      <w:r w:rsidRPr="00DC355D">
        <w:rPr>
          <w:rFonts w:ascii="Verdana" w:hAnsi="Verdana"/>
          <w:i/>
          <w:iCs/>
          <w:sz w:val="14"/>
          <w:szCs w:val="14"/>
        </w:rPr>
        <w:t>Con este propósito, al adoptar las decisiones de su competencia, deberán tener en cuenta las sentencias de unificación jurisprudencial del Consejo de Estado en las que se interpreten y apliquen dichas normas</w:t>
      </w:r>
      <w:r w:rsidRPr="00DC355D">
        <w:rPr>
          <w:rFonts w:ascii="Verdana" w:hAnsi="Verdana"/>
          <w:sz w:val="14"/>
          <w:szCs w:val="14"/>
        </w:rPr>
        <w:t xml:space="preserve">” (Énfasis fuera de texto) </w:t>
      </w:r>
    </w:p>
  </w:footnote>
  <w:footnote w:id="20">
    <w:p w14:paraId="53DAC19D" w14:textId="77777777" w:rsidR="009B1E07" w:rsidRPr="00FA74E7" w:rsidRDefault="009B1E07" w:rsidP="009B1E07">
      <w:pPr>
        <w:pStyle w:val="Textonotapie"/>
        <w:ind w:firstLine="708"/>
        <w:jc w:val="both"/>
        <w:rPr>
          <w:rFonts w:ascii="Verdana" w:hAnsi="Verdana"/>
          <w:sz w:val="16"/>
          <w:szCs w:val="16"/>
        </w:rPr>
      </w:pPr>
      <w:r w:rsidRPr="00DC355D">
        <w:rPr>
          <w:rStyle w:val="Refdenotaalpie"/>
          <w:rFonts w:ascii="Verdana" w:hAnsi="Verdana"/>
          <w:sz w:val="14"/>
          <w:szCs w:val="14"/>
        </w:rPr>
        <w:footnoteRef/>
      </w:r>
      <w:r w:rsidRPr="00DC355D">
        <w:rPr>
          <w:rFonts w:ascii="Verdana" w:hAnsi="Verdana"/>
          <w:sz w:val="14"/>
          <w:szCs w:val="14"/>
        </w:rPr>
        <w:t xml:space="preserve"> Como explica la doctrina, “La eficacia vinculante que la decisión del juez despliega como cosa juzgada respecto del caso decidido, se considera conceptualmente distinta de la autoridad que el criterio de decisión en ella adoptada (la llamada </w:t>
      </w:r>
      <w:r w:rsidRPr="00DC355D">
        <w:rPr>
          <w:rFonts w:ascii="Verdana" w:hAnsi="Verdana"/>
          <w:i/>
          <w:iCs/>
          <w:sz w:val="14"/>
          <w:szCs w:val="14"/>
        </w:rPr>
        <w:t>ratio decidendi</w:t>
      </w:r>
      <w:r w:rsidRPr="00DC355D">
        <w:rPr>
          <w:rFonts w:ascii="Verdana" w:hAnsi="Verdana"/>
          <w:sz w:val="14"/>
          <w:szCs w:val="14"/>
        </w:rPr>
        <w:t xml:space="preserve">) pueda desplegar sobre la convicción de los juicios futuros que vengan llamados a decidir casos semejantes. La autoridad de la decisión precedente en este segundo aspecto no se impone al futuro juez como un precepto jurídico a observar, sino que hace referencia únicamente a la inteligencia y al sentido crítico del que ha de decidir, llamándolo a apreciar el criterio de decisión adoptado en cuanto a su valor interpretativo, o sea a reconocer si éste responde a las exigencias del caso decisivo y al esquema de coherencia del </w:t>
      </w:r>
      <w:r w:rsidRPr="00DC355D">
        <w:rPr>
          <w:rFonts w:ascii="Verdana" w:hAnsi="Verdana"/>
          <w:i/>
          <w:iCs/>
          <w:sz w:val="14"/>
          <w:szCs w:val="14"/>
        </w:rPr>
        <w:t>ius conditum</w:t>
      </w:r>
      <w:r w:rsidRPr="00DC355D">
        <w:rPr>
          <w:rFonts w:ascii="Verdana" w:hAnsi="Verdana"/>
          <w:sz w:val="14"/>
          <w:szCs w:val="14"/>
        </w:rPr>
        <w:t>, es decir, si representa en suma una interpretación exacta de las normas jurídicas en discusión […]” (BETTI, Emilio. La interpretación de la ley y los actos jurídicos. Santiago: Ediciones Olejnik, 2018. p. 264).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072"/>
    <w:rsid w:val="000370D7"/>
    <w:rsid w:val="00046945"/>
    <w:rsid w:val="00061B2A"/>
    <w:rsid w:val="00082362"/>
    <w:rsid w:val="000A683E"/>
    <w:rsid w:val="000B19B9"/>
    <w:rsid w:val="000D0334"/>
    <w:rsid w:val="000D5DA7"/>
    <w:rsid w:val="000F6486"/>
    <w:rsid w:val="00100BE1"/>
    <w:rsid w:val="00103874"/>
    <w:rsid w:val="00116940"/>
    <w:rsid w:val="00125105"/>
    <w:rsid w:val="00127233"/>
    <w:rsid w:val="0015699B"/>
    <w:rsid w:val="00156AF9"/>
    <w:rsid w:val="001A2BD2"/>
    <w:rsid w:val="001A33BF"/>
    <w:rsid w:val="001C09C5"/>
    <w:rsid w:val="001E4177"/>
    <w:rsid w:val="001F0B24"/>
    <w:rsid w:val="001F2AB0"/>
    <w:rsid w:val="001F7DC6"/>
    <w:rsid w:val="0022400B"/>
    <w:rsid w:val="002325B0"/>
    <w:rsid w:val="002332C0"/>
    <w:rsid w:val="002421BB"/>
    <w:rsid w:val="00256971"/>
    <w:rsid w:val="0025796E"/>
    <w:rsid w:val="002707A2"/>
    <w:rsid w:val="002870F6"/>
    <w:rsid w:val="002951A0"/>
    <w:rsid w:val="002962BC"/>
    <w:rsid w:val="002A093D"/>
    <w:rsid w:val="002A0DD0"/>
    <w:rsid w:val="002A49AC"/>
    <w:rsid w:val="002A64FD"/>
    <w:rsid w:val="002C7A84"/>
    <w:rsid w:val="002E2BF8"/>
    <w:rsid w:val="002E4FD9"/>
    <w:rsid w:val="002F712A"/>
    <w:rsid w:val="0030657A"/>
    <w:rsid w:val="00322A85"/>
    <w:rsid w:val="00324168"/>
    <w:rsid w:val="00330834"/>
    <w:rsid w:val="003448F4"/>
    <w:rsid w:val="00361853"/>
    <w:rsid w:val="00374F5E"/>
    <w:rsid w:val="00377E3E"/>
    <w:rsid w:val="003A779E"/>
    <w:rsid w:val="003C142A"/>
    <w:rsid w:val="003D0F4D"/>
    <w:rsid w:val="003D5B0D"/>
    <w:rsid w:val="003E0499"/>
    <w:rsid w:val="003E4F80"/>
    <w:rsid w:val="003E6439"/>
    <w:rsid w:val="003F3941"/>
    <w:rsid w:val="00404262"/>
    <w:rsid w:val="00406575"/>
    <w:rsid w:val="00414C74"/>
    <w:rsid w:val="00424DD9"/>
    <w:rsid w:val="0042722E"/>
    <w:rsid w:val="0044528D"/>
    <w:rsid w:val="00455D82"/>
    <w:rsid w:val="00462B69"/>
    <w:rsid w:val="00466E39"/>
    <w:rsid w:val="004A1847"/>
    <w:rsid w:val="004A305D"/>
    <w:rsid w:val="004F21C4"/>
    <w:rsid w:val="004F685F"/>
    <w:rsid w:val="005556D5"/>
    <w:rsid w:val="005566E8"/>
    <w:rsid w:val="00574867"/>
    <w:rsid w:val="00591460"/>
    <w:rsid w:val="00592211"/>
    <w:rsid w:val="005A65E0"/>
    <w:rsid w:val="005C3777"/>
    <w:rsid w:val="005C5CDC"/>
    <w:rsid w:val="005D476C"/>
    <w:rsid w:val="005F64DA"/>
    <w:rsid w:val="00602CA3"/>
    <w:rsid w:val="00603F51"/>
    <w:rsid w:val="006200BF"/>
    <w:rsid w:val="006219F8"/>
    <w:rsid w:val="006302F7"/>
    <w:rsid w:val="00646B9F"/>
    <w:rsid w:val="00665D70"/>
    <w:rsid w:val="006900D9"/>
    <w:rsid w:val="006A6355"/>
    <w:rsid w:val="00706C16"/>
    <w:rsid w:val="007340C3"/>
    <w:rsid w:val="0075235A"/>
    <w:rsid w:val="007527DB"/>
    <w:rsid w:val="00756841"/>
    <w:rsid w:val="007649AB"/>
    <w:rsid w:val="00771D0C"/>
    <w:rsid w:val="00775D4B"/>
    <w:rsid w:val="007833AC"/>
    <w:rsid w:val="00787377"/>
    <w:rsid w:val="007B268C"/>
    <w:rsid w:val="007B5CCA"/>
    <w:rsid w:val="007B7171"/>
    <w:rsid w:val="007C0C0F"/>
    <w:rsid w:val="007C3DC2"/>
    <w:rsid w:val="007E5497"/>
    <w:rsid w:val="007F566F"/>
    <w:rsid w:val="008013F7"/>
    <w:rsid w:val="008044F2"/>
    <w:rsid w:val="00806F5F"/>
    <w:rsid w:val="00820278"/>
    <w:rsid w:val="008258C9"/>
    <w:rsid w:val="00844AE9"/>
    <w:rsid w:val="00867F95"/>
    <w:rsid w:val="008843B6"/>
    <w:rsid w:val="00891928"/>
    <w:rsid w:val="008A21DF"/>
    <w:rsid w:val="008A446D"/>
    <w:rsid w:val="008B25F1"/>
    <w:rsid w:val="008D180B"/>
    <w:rsid w:val="008F0EA7"/>
    <w:rsid w:val="009035C1"/>
    <w:rsid w:val="009059C1"/>
    <w:rsid w:val="00923EEF"/>
    <w:rsid w:val="009419F9"/>
    <w:rsid w:val="00953442"/>
    <w:rsid w:val="0095685E"/>
    <w:rsid w:val="00957E36"/>
    <w:rsid w:val="00960067"/>
    <w:rsid w:val="00961B09"/>
    <w:rsid w:val="00965334"/>
    <w:rsid w:val="0097093E"/>
    <w:rsid w:val="009A0DFA"/>
    <w:rsid w:val="009A1C6F"/>
    <w:rsid w:val="009B1E07"/>
    <w:rsid w:val="009B2D26"/>
    <w:rsid w:val="009C48BA"/>
    <w:rsid w:val="009C71FA"/>
    <w:rsid w:val="009C72E7"/>
    <w:rsid w:val="009C7F7E"/>
    <w:rsid w:val="009D3058"/>
    <w:rsid w:val="009F3A13"/>
    <w:rsid w:val="00A122D3"/>
    <w:rsid w:val="00A14468"/>
    <w:rsid w:val="00A15981"/>
    <w:rsid w:val="00A17F13"/>
    <w:rsid w:val="00A20739"/>
    <w:rsid w:val="00A23AF9"/>
    <w:rsid w:val="00A33C78"/>
    <w:rsid w:val="00AB0ADB"/>
    <w:rsid w:val="00B00C0E"/>
    <w:rsid w:val="00B01B1A"/>
    <w:rsid w:val="00B0381D"/>
    <w:rsid w:val="00B357FB"/>
    <w:rsid w:val="00B44A47"/>
    <w:rsid w:val="00B72CD3"/>
    <w:rsid w:val="00B72FFF"/>
    <w:rsid w:val="00B87D95"/>
    <w:rsid w:val="00BA0280"/>
    <w:rsid w:val="00BC3D36"/>
    <w:rsid w:val="00BD54A6"/>
    <w:rsid w:val="00BD7F72"/>
    <w:rsid w:val="00BF7425"/>
    <w:rsid w:val="00C04FB3"/>
    <w:rsid w:val="00C11D8B"/>
    <w:rsid w:val="00C15139"/>
    <w:rsid w:val="00C327CA"/>
    <w:rsid w:val="00C330EB"/>
    <w:rsid w:val="00C42081"/>
    <w:rsid w:val="00C50D69"/>
    <w:rsid w:val="00C5365C"/>
    <w:rsid w:val="00C754BE"/>
    <w:rsid w:val="00C76B1C"/>
    <w:rsid w:val="00C925AC"/>
    <w:rsid w:val="00CA2A6C"/>
    <w:rsid w:val="00CB6065"/>
    <w:rsid w:val="00CB6357"/>
    <w:rsid w:val="00CC1B26"/>
    <w:rsid w:val="00CF2AEF"/>
    <w:rsid w:val="00D361FD"/>
    <w:rsid w:val="00D423A2"/>
    <w:rsid w:val="00D42F7E"/>
    <w:rsid w:val="00D44E26"/>
    <w:rsid w:val="00D520D8"/>
    <w:rsid w:val="00D63AC2"/>
    <w:rsid w:val="00D7383B"/>
    <w:rsid w:val="00D770AB"/>
    <w:rsid w:val="00D7788A"/>
    <w:rsid w:val="00D912DA"/>
    <w:rsid w:val="00DA231B"/>
    <w:rsid w:val="00DC39FC"/>
    <w:rsid w:val="00DF5254"/>
    <w:rsid w:val="00DF6F93"/>
    <w:rsid w:val="00E02524"/>
    <w:rsid w:val="00E16408"/>
    <w:rsid w:val="00E1677E"/>
    <w:rsid w:val="00E20894"/>
    <w:rsid w:val="00E245AB"/>
    <w:rsid w:val="00E256BA"/>
    <w:rsid w:val="00E2764C"/>
    <w:rsid w:val="00E27F2E"/>
    <w:rsid w:val="00E50AFE"/>
    <w:rsid w:val="00E75C92"/>
    <w:rsid w:val="00E771DC"/>
    <w:rsid w:val="00E8772A"/>
    <w:rsid w:val="00E90F6B"/>
    <w:rsid w:val="00E92C27"/>
    <w:rsid w:val="00EA0E3D"/>
    <w:rsid w:val="00EC38A7"/>
    <w:rsid w:val="00ED23D5"/>
    <w:rsid w:val="00EE1AA8"/>
    <w:rsid w:val="00F13FE0"/>
    <w:rsid w:val="00F23FEA"/>
    <w:rsid w:val="00F31EDC"/>
    <w:rsid w:val="00F431D3"/>
    <w:rsid w:val="00F462B3"/>
    <w:rsid w:val="00F5664F"/>
    <w:rsid w:val="00F666C4"/>
    <w:rsid w:val="00F76AFC"/>
    <w:rsid w:val="00F927BA"/>
    <w:rsid w:val="00FA17A8"/>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8FFE8B4"/>
    <w:rsid w:val="5BEB1497"/>
    <w:rsid w:val="69614A15"/>
    <w:rsid w:val="7397792A"/>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6B84A73-8D6F-4BF5-ACBF-B1662059C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A2BD2"/>
    <w:rPr>
      <w:rFonts w:ascii="Geomanist Light" w:hAnsi="Geomanist Light"/>
      <w:lang w:val="es-ES"/>
    </w:rPr>
  </w:style>
  <w:style w:type="character" w:customStyle="1" w:styleId="NormalWebCar">
    <w:name w:val="Normal (Web) Car"/>
    <w:link w:val="NormalWeb"/>
    <w:uiPriority w:val="99"/>
    <w:locked/>
    <w:rsid w:val="001A2BD2"/>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1A2BD2"/>
    <w:pPr>
      <w:spacing w:line="240" w:lineRule="exact"/>
    </w:pPr>
    <w:rPr>
      <w:vertAlign w:val="superscript"/>
    </w:rPr>
  </w:style>
  <w:style w:type="character" w:styleId="Fuerte">
    <w:name w:val="Strong"/>
    <w:basedOn w:val="Fuentedeprrafopredeter"/>
    <w:uiPriority w:val="22"/>
    <w:qFormat/>
    <w:rsid w:val="001A2BD2"/>
    <w:rPr>
      <w:b/>
      <w:bCs/>
    </w:rPr>
  </w:style>
  <w:style w:type="character" w:styleId="nfasis">
    <w:name w:val="Emphasis"/>
    <w:basedOn w:val="Fuentedeprrafopredeter"/>
    <w:uiPriority w:val="20"/>
    <w:qFormat/>
    <w:rsid w:val="001A2BD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istemagestiondocumental@idu.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cceficiente.sharepoint.com/sites/SGDEA/TRD_254/EXPEDIENTE_1668/DOCUMENTO_407171/DOCUMENTO_407171.doc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F51833-FE69-4CEE-B9DD-BBD2E93EFF05}"/>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18</Pages>
  <Words>5248</Words>
  <Characters>28868</Characters>
  <Application>Microsoft Office Word</Application>
  <DocSecurity>0</DocSecurity>
  <Lines>240</Lines>
  <Paragraphs>68</Paragraphs>
  <ScaleCrop>false</ScaleCrop>
  <Company/>
  <LinksUpToDate>false</LinksUpToDate>
  <CharactersWithSpaces>34048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2023-01-10T21:18:00Z</cp:lastPrinted>
  <dcterms:created xsi:type="dcterms:W3CDTF">2026-06-17T22:24:00Z</dcterms:created>
  <dcterms:modified xsi:type="dcterms:W3CDTF">2026-06-23T15:25:00Z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