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AAACD" w14:textId="48E45EE0" w:rsidR="009131CF" w:rsidRPr="009131CF" w:rsidRDefault="009131CF" w:rsidP="009131CF">
      <w:pPr>
        <w:spacing w:after="0"/>
        <w:jc w:val="both"/>
        <w:rPr>
          <w:rFonts w:ascii="Verdana" w:eastAsia="Verdana" w:hAnsi="Verdana" w:cs="Verdana"/>
        </w:rPr>
      </w:pPr>
      <w:bookmarkStart w:id="0" w:name="_Hlk143780582"/>
      <w:r w:rsidRPr="00F40F0E">
        <w:rPr>
          <w:rFonts w:ascii="Verdana" w:eastAsia="Calibri" w:hAnsi="Verdana" w:cs="Arial"/>
          <w:b/>
          <w:bCs/>
          <w:lang w:val="es-ES_tradnl" w:eastAsia="es-MX"/>
        </w:rPr>
        <w:t>EMPRESAS SOCIALES DEL ESTADO</w:t>
      </w:r>
      <w:r>
        <w:rPr>
          <w:rFonts w:ascii="Verdana" w:eastAsia="Calibri" w:hAnsi="Verdana" w:cs="Arial"/>
          <w:b/>
          <w:bCs/>
          <w:lang w:val="es-ES_tradnl" w:eastAsia="es-MX"/>
        </w:rPr>
        <w:t xml:space="preserve"> – Régimen contractual </w:t>
      </w:r>
    </w:p>
    <w:p w14:paraId="660773B4" w14:textId="77777777" w:rsidR="009131CF" w:rsidRDefault="009131CF" w:rsidP="009131CF">
      <w:pPr>
        <w:spacing w:after="0" w:line="240" w:lineRule="auto"/>
        <w:jc w:val="both"/>
        <w:rPr>
          <w:rFonts w:ascii="Verdana" w:eastAsia="Calibri" w:hAnsi="Verdana" w:cs="Arial"/>
          <w:b/>
          <w:bCs/>
          <w:lang w:val="es-ES_tradnl" w:eastAsia="es-MX"/>
        </w:rPr>
      </w:pPr>
    </w:p>
    <w:p w14:paraId="46EEBC8C" w14:textId="77777777" w:rsidR="009131CF" w:rsidRPr="00EF170F" w:rsidRDefault="009131CF" w:rsidP="009131CF">
      <w:pPr>
        <w:tabs>
          <w:tab w:val="left" w:pos="426"/>
        </w:tabs>
        <w:spacing w:after="0" w:line="240" w:lineRule="auto"/>
        <w:jc w:val="both"/>
        <w:rPr>
          <w:rFonts w:ascii="Verdana" w:eastAsia="Calibri" w:hAnsi="Verdana" w:cs="Arial"/>
          <w:color w:val="000000"/>
          <w:sz w:val="20"/>
          <w:szCs w:val="20"/>
          <w:lang w:val="es-ES"/>
        </w:rPr>
      </w:pPr>
      <w:r w:rsidRPr="00EF170F">
        <w:rPr>
          <w:rFonts w:ascii="Verdana" w:eastAsia="Calibri" w:hAnsi="Verdana" w:cs="Arial"/>
          <w:sz w:val="20"/>
          <w:szCs w:val="20"/>
          <w:lang w:val="es-MX"/>
        </w:rPr>
        <w:t xml:space="preserve">Una de las Entidades Estatales con régimen especial son las Empresas Sociales del Estado – ESE, sobre las que redunda el objeto de su concepto. Estas empresas han sido entendidas como Entidades Públicas que, conforme al artículo 194 de la Ley 100 de 1993, constituyen una categoría especial, descentralizada por servicios, con personería jurídica, patrimonio propio y autonomía administrativa. A través de ellas la Nación o las entidades territoriales prestan el servicio de salud de manera directa, es decir, las Empresas Sociales del Estado son, esencialmente, los hospitales públicos. El Consejo de Estado, en relación con la naturaleza jurídica de estas entidades, precisó: </w:t>
      </w:r>
    </w:p>
    <w:p w14:paraId="4FC41FE0" w14:textId="77777777" w:rsidR="009131CF" w:rsidRPr="00EF170F" w:rsidRDefault="009131CF" w:rsidP="009131CF">
      <w:pPr>
        <w:spacing w:after="0" w:line="240" w:lineRule="auto"/>
        <w:ind w:right="709"/>
        <w:jc w:val="both"/>
        <w:rPr>
          <w:rFonts w:ascii="Verdana" w:eastAsia="Calibri" w:hAnsi="Verdana" w:cs="Arial"/>
          <w:sz w:val="20"/>
          <w:szCs w:val="20"/>
        </w:rPr>
      </w:pPr>
      <w:r w:rsidRPr="00EF170F">
        <w:rPr>
          <w:rFonts w:ascii="Verdana" w:eastAsia="Calibri" w:hAnsi="Verdana" w:cs="Arial"/>
          <w:sz w:val="20"/>
          <w:szCs w:val="20"/>
          <w:lang w:val="es-MX"/>
        </w:rPr>
        <w:t>[…]</w:t>
      </w:r>
    </w:p>
    <w:p w14:paraId="3207A61F" w14:textId="77777777" w:rsidR="009131CF" w:rsidRPr="00EF170F" w:rsidRDefault="009131CF" w:rsidP="009131CF">
      <w:pPr>
        <w:widowControl w:val="0"/>
        <w:autoSpaceDE w:val="0"/>
        <w:autoSpaceDN w:val="0"/>
        <w:spacing w:after="0" w:line="240" w:lineRule="auto"/>
        <w:ind w:right="102"/>
        <w:jc w:val="both"/>
        <w:rPr>
          <w:rFonts w:ascii="Verdana" w:eastAsia="Arial" w:hAnsi="Verdana" w:cs="Arial"/>
          <w:sz w:val="20"/>
          <w:szCs w:val="20"/>
          <w:lang w:val="es-ES"/>
        </w:rPr>
      </w:pPr>
      <w:r w:rsidRPr="00EF170F">
        <w:rPr>
          <w:rFonts w:ascii="Verdana" w:eastAsia="Arial" w:hAnsi="Verdana" w:cs="Arial"/>
          <w:sz w:val="20"/>
          <w:szCs w:val="20"/>
          <w:lang w:val="es-ES"/>
        </w:rPr>
        <w:t xml:space="preserve">De la cita precedente puede concluirse entonces que, las Empresas Sociales del Estado </w:t>
      </w:r>
      <w:r w:rsidRPr="00EF170F">
        <w:rPr>
          <w:rFonts w:ascii="Verdana" w:eastAsia="Arial" w:hAnsi="Verdana" w:cs="Arial"/>
          <w:sz w:val="20"/>
          <w:szCs w:val="20"/>
          <w:lang w:val="es-MX"/>
        </w:rPr>
        <w:t>–ESE–</w:t>
      </w:r>
      <w:r w:rsidRPr="00EF170F">
        <w:rPr>
          <w:rFonts w:ascii="Verdana" w:eastAsia="Arial" w:hAnsi="Verdana" w:cs="Arial"/>
          <w:sz w:val="20"/>
          <w:szCs w:val="20"/>
          <w:lang w:val="es-ES"/>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6A7CD39E" w14:textId="77777777" w:rsidR="009131CF" w:rsidRDefault="009131CF" w:rsidP="009131CF">
      <w:pPr>
        <w:spacing w:after="0" w:line="240" w:lineRule="auto"/>
        <w:jc w:val="both"/>
        <w:rPr>
          <w:rFonts w:ascii="Verdana" w:eastAsia="Calibri" w:hAnsi="Verdana" w:cs="Arial"/>
          <w:b/>
          <w:color w:val="000000" w:themeColor="text1"/>
          <w:lang w:val="es-ES"/>
        </w:rPr>
      </w:pPr>
    </w:p>
    <w:p w14:paraId="51CF44DD" w14:textId="77777777" w:rsidR="009131CF" w:rsidRPr="00AF1555" w:rsidRDefault="009131CF" w:rsidP="009131CF">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EGCAP</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Ámbito de aplicación</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Entidades Estatales</w:t>
      </w:r>
      <w:r w:rsidRPr="00AF1555">
        <w:rPr>
          <w:rFonts w:ascii="Verdana" w:eastAsia="Calibri" w:hAnsi="Verdana" w:cs="Arial"/>
          <w:b/>
          <w:color w:val="000000" w:themeColor="text1"/>
          <w:lang w:val="es-ES"/>
        </w:rPr>
        <w:t xml:space="preserve"> </w:t>
      </w:r>
    </w:p>
    <w:p w14:paraId="1791C4C7" w14:textId="77777777" w:rsidR="009131CF" w:rsidRPr="00AF1555" w:rsidRDefault="009131CF" w:rsidP="009131CF">
      <w:pPr>
        <w:spacing w:after="0" w:line="240" w:lineRule="auto"/>
        <w:jc w:val="both"/>
        <w:rPr>
          <w:rFonts w:ascii="Verdana" w:eastAsia="Calibri" w:hAnsi="Verdana" w:cs="Arial"/>
          <w:bCs/>
          <w:color w:val="000000" w:themeColor="text1"/>
          <w:sz w:val="20"/>
          <w:szCs w:val="20"/>
          <w:lang w:val="es-ES"/>
        </w:rPr>
      </w:pPr>
    </w:p>
    <w:p w14:paraId="4E36CEC0" w14:textId="77777777" w:rsidR="009131CF" w:rsidRDefault="009131CF" w:rsidP="009131CF">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06328C">
        <w:rPr>
          <w:rFonts w:ascii="Verdana" w:eastAsia="Calibri" w:hAnsi="Verdana" w:cs="Arial"/>
          <w:bCs/>
          <w:i/>
          <w:iCs/>
          <w:color w:val="000000" w:themeColor="text1"/>
          <w:sz w:val="20"/>
          <w:szCs w:val="20"/>
          <w:lang w:val="es-ES" w:eastAsia="es-ES_tradnl"/>
        </w:rPr>
        <w:t>entidades estatales</w:t>
      </w:r>
      <w:r w:rsidRPr="0006328C">
        <w:rPr>
          <w:rFonts w:ascii="Verdana" w:eastAsia="Calibri" w:hAnsi="Verdana" w:cs="Arial"/>
          <w:bCs/>
          <w:color w:val="000000" w:themeColor="text1"/>
          <w:sz w:val="20"/>
          <w:szCs w:val="20"/>
          <w:lang w:val="es-ES" w:eastAsia="es-ES_tradnl"/>
        </w:rPr>
        <w:t xml:space="preserve">, esto es, aquellas previstas en los literales a) y b) del numeral 1 del artículo 2 </w:t>
      </w:r>
      <w:r w:rsidRPr="0006328C">
        <w:rPr>
          <w:rFonts w:ascii="Verdana" w:eastAsia="Calibri" w:hAnsi="Verdana" w:cs="Arial"/>
          <w:bCs/>
          <w:i/>
          <w:iCs/>
          <w:color w:val="000000" w:themeColor="text1"/>
          <w:sz w:val="20"/>
          <w:szCs w:val="20"/>
          <w:lang w:val="es-ES" w:eastAsia="es-ES_tradnl"/>
        </w:rPr>
        <w:t>ibidem</w:t>
      </w:r>
      <w:r w:rsidRPr="0006328C">
        <w:rPr>
          <w:rFonts w:ascii="Verdana" w:eastAsia="Calibri" w:hAnsi="Verdana" w:cs="Arial"/>
          <w:bCs/>
          <w:color w:val="000000" w:themeColor="text1"/>
          <w:sz w:val="20"/>
          <w:szCs w:val="20"/>
          <w:lang w:val="es-ES" w:eastAsia="es-ES_tradnl"/>
        </w:rPr>
        <w:t xml:space="preserve">. La norma citada define la competencia contractual en los siguientes términos: </w:t>
      </w:r>
    </w:p>
    <w:p w14:paraId="27A66807" w14:textId="77777777" w:rsidR="009131CF" w:rsidRPr="0006328C" w:rsidRDefault="009131CF" w:rsidP="009131CF">
      <w:pPr>
        <w:spacing w:after="0" w:line="240" w:lineRule="auto"/>
        <w:jc w:val="both"/>
        <w:rPr>
          <w:rFonts w:ascii="Verdana" w:eastAsia="Calibri" w:hAnsi="Verdana" w:cs="Arial"/>
          <w:bCs/>
          <w:color w:val="000000" w:themeColor="text1"/>
          <w:sz w:val="20"/>
          <w:szCs w:val="20"/>
          <w:lang w:val="es-ES" w:eastAsia="es-ES_tradnl"/>
        </w:rPr>
      </w:pPr>
    </w:p>
    <w:p w14:paraId="35F1AAF0" w14:textId="77777777" w:rsidR="009131CF" w:rsidRDefault="009131CF" w:rsidP="009131CF">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13377D3A" w14:textId="77777777" w:rsidR="009131CF" w:rsidRPr="0006328C" w:rsidRDefault="009131CF" w:rsidP="009131CF">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 </w:t>
      </w:r>
    </w:p>
    <w:p w14:paraId="52CBCAD9" w14:textId="77777777" w:rsidR="009131CF" w:rsidRPr="00EB0B5F" w:rsidRDefault="009131CF" w:rsidP="009131CF">
      <w:pPr>
        <w:spacing w:after="0" w:line="240" w:lineRule="auto"/>
        <w:jc w:val="both"/>
        <w:rPr>
          <w:rFonts w:ascii="Verdana" w:eastAsia="Calibri" w:hAnsi="Verdana" w:cs="Arial"/>
          <w:iCs/>
          <w:color w:val="000000" w:themeColor="text1"/>
          <w:sz w:val="20"/>
          <w:szCs w:val="20"/>
          <w:lang w:eastAsia="es-ES_tradnl"/>
        </w:rPr>
      </w:pPr>
      <w:r w:rsidRPr="0006328C">
        <w:rPr>
          <w:rFonts w:ascii="Verdana" w:eastAsia="Calibri" w:hAnsi="Verdana" w:cs="Arial"/>
          <w:bCs/>
          <w:color w:val="000000" w:themeColor="text1"/>
          <w:sz w:val="20"/>
          <w:szCs w:val="20"/>
          <w:lang w:val="es-ES" w:eastAsia="es-ES_tradnl"/>
        </w:rPr>
        <w:t xml:space="preserve">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w:t>
      </w:r>
      <w:r w:rsidRPr="0006328C">
        <w:rPr>
          <w:rFonts w:ascii="Verdana" w:eastAsia="Calibri" w:hAnsi="Verdana" w:cs="Arial"/>
          <w:bCs/>
          <w:color w:val="000000" w:themeColor="text1"/>
          <w:sz w:val="20"/>
          <w:szCs w:val="20"/>
          <w:lang w:val="es-ES" w:eastAsia="es-ES_tradnl"/>
        </w:rPr>
        <w:lastRenderedPageBreak/>
        <w:t>para celebrar contratos. De acuerdo con el artículo 352 superior, este último apartado debe armonizarse con el artículo 110 del Decreto 111 de 1996, modificado por el artículo 124 de la Ley 1957 de 2019</w:t>
      </w:r>
      <w:r w:rsidRPr="00AF1555">
        <w:rPr>
          <w:rFonts w:ascii="Verdana" w:eastAsia="Calibri" w:hAnsi="Verdana" w:cs="Arial"/>
          <w:color w:val="000000" w:themeColor="text1"/>
          <w:sz w:val="20"/>
          <w:szCs w:val="20"/>
          <w:lang w:val="es-ES_tradnl"/>
        </w:rPr>
        <w:t>.</w:t>
      </w:r>
    </w:p>
    <w:p w14:paraId="6F31CA2F" w14:textId="77777777" w:rsidR="009131CF" w:rsidRPr="00AF1555" w:rsidRDefault="009131CF" w:rsidP="009131CF">
      <w:pPr>
        <w:tabs>
          <w:tab w:val="left" w:pos="709"/>
        </w:tabs>
        <w:spacing w:after="0" w:line="240" w:lineRule="auto"/>
        <w:jc w:val="both"/>
        <w:rPr>
          <w:rFonts w:ascii="Verdana" w:eastAsia="Calibri" w:hAnsi="Verdana" w:cs="Arial"/>
          <w:bCs/>
          <w:sz w:val="20"/>
          <w:szCs w:val="20"/>
          <w:lang w:val="es-ES_tradnl" w:eastAsia="es-ES_tradnl"/>
        </w:rPr>
      </w:pPr>
    </w:p>
    <w:p w14:paraId="642667BB" w14:textId="77777777" w:rsidR="009131CF" w:rsidRPr="00FD1E54" w:rsidRDefault="009131CF" w:rsidP="009131CF">
      <w:pPr>
        <w:spacing w:after="0" w:line="240" w:lineRule="auto"/>
        <w:jc w:val="both"/>
        <w:rPr>
          <w:rFonts w:ascii="Verdana" w:eastAsia="Calibri" w:hAnsi="Verdana" w:cs="Arial"/>
          <w:b/>
          <w:color w:val="000000" w:themeColor="text1"/>
          <w:lang w:val="es-ES"/>
        </w:rPr>
      </w:pPr>
      <w:r w:rsidRPr="00847607">
        <w:rPr>
          <w:rFonts w:ascii="Verdana" w:eastAsia="Calibri" w:hAnsi="Verdana" w:cs="Arial"/>
          <w:b/>
          <w:color w:val="000000" w:themeColor="text1"/>
          <w:lang w:val="es-ES"/>
        </w:rPr>
        <w:t xml:space="preserve">ORGANISMOS INTERNACIONALES – Concepto </w:t>
      </w:r>
      <w:r w:rsidRPr="00FD1E54">
        <w:rPr>
          <w:rFonts w:ascii="Verdana" w:eastAsia="Calibri" w:hAnsi="Verdana" w:cs="Arial"/>
          <w:b/>
          <w:color w:val="000000" w:themeColor="text1"/>
          <w:lang w:val="es-ES"/>
        </w:rPr>
        <w:t xml:space="preserve"> </w:t>
      </w:r>
    </w:p>
    <w:p w14:paraId="3066581C" w14:textId="77777777" w:rsidR="009131CF" w:rsidRPr="00AF1555" w:rsidRDefault="009131CF" w:rsidP="009131CF">
      <w:pPr>
        <w:spacing w:after="0" w:line="240" w:lineRule="auto"/>
        <w:jc w:val="both"/>
        <w:rPr>
          <w:rFonts w:ascii="Verdana" w:eastAsia="Calibri" w:hAnsi="Verdana" w:cs="Arial"/>
          <w:bCs/>
          <w:color w:val="000000" w:themeColor="text1"/>
          <w:sz w:val="20"/>
          <w:szCs w:val="20"/>
          <w:lang w:val="es-ES"/>
        </w:rPr>
      </w:pPr>
    </w:p>
    <w:p w14:paraId="614F0894" w14:textId="77777777" w:rsidR="009131CF" w:rsidRPr="00847607" w:rsidRDefault="009131CF" w:rsidP="009131CF">
      <w:pPr>
        <w:spacing w:after="0" w:line="240" w:lineRule="auto"/>
        <w:jc w:val="both"/>
        <w:rPr>
          <w:rFonts w:ascii="Verdana" w:eastAsia="Calibri" w:hAnsi="Verdana" w:cs="Arial"/>
          <w:color w:val="000000" w:themeColor="text1"/>
          <w:sz w:val="20"/>
          <w:szCs w:val="20"/>
          <w:lang w:eastAsia="es-ES_tradnl"/>
        </w:rPr>
      </w:pPr>
      <w:r w:rsidRPr="00847607">
        <w:rPr>
          <w:rFonts w:ascii="Verdana" w:eastAsia="Calibri" w:hAnsi="Verdana" w:cs="Arial"/>
          <w:color w:val="000000" w:themeColor="text1"/>
          <w:sz w:val="20"/>
          <w:szCs w:val="20"/>
          <w:lang w:eastAsia="es-ES_tradnl"/>
        </w:rPr>
        <w:t xml:space="preserve">Por organismo internacional se entiende aquella organización, grupo o asociación que se extiende más allá de las fronteras de un Estado y cuenta con órganos gubernamentales permanentes distintos e independientes de los Estados miembros de la organización que garantizan su vigencia y operatividad, con el propósito de cumplir objetivos comunes entre los Estados miembros.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14:paraId="300910E0" w14:textId="77777777" w:rsidR="009131CF" w:rsidRPr="00847607" w:rsidRDefault="009131CF" w:rsidP="009131CF">
      <w:pPr>
        <w:spacing w:after="0" w:line="240" w:lineRule="auto"/>
        <w:jc w:val="both"/>
        <w:rPr>
          <w:rFonts w:ascii="Verdana" w:eastAsia="Calibri" w:hAnsi="Verdana" w:cs="Arial"/>
          <w:color w:val="000000" w:themeColor="text1"/>
          <w:sz w:val="20"/>
          <w:szCs w:val="20"/>
          <w:lang w:eastAsia="es-ES_tradnl"/>
        </w:rPr>
      </w:pPr>
    </w:p>
    <w:p w14:paraId="66D9258F" w14:textId="77777777" w:rsidR="009131CF" w:rsidRPr="00AF1555" w:rsidRDefault="009131CF" w:rsidP="009131CF">
      <w:pPr>
        <w:spacing w:after="0" w:line="240" w:lineRule="auto"/>
        <w:jc w:val="both"/>
        <w:rPr>
          <w:rFonts w:ascii="Verdana" w:eastAsia="Calibri" w:hAnsi="Verdana" w:cs="Arial"/>
          <w:color w:val="000000" w:themeColor="text1"/>
          <w:sz w:val="20"/>
          <w:szCs w:val="20"/>
          <w:lang w:val="es-ES_tradnl"/>
        </w:rPr>
      </w:pPr>
      <w:r w:rsidRPr="00847607">
        <w:rPr>
          <w:rFonts w:ascii="Verdana" w:eastAsia="Calibri" w:hAnsi="Verdana" w:cs="Arial"/>
          <w:color w:val="000000" w:themeColor="text1"/>
          <w:sz w:val="20"/>
          <w:szCs w:val="20"/>
          <w:lang w:eastAsia="es-ES_tradnl"/>
        </w:rPr>
        <w:t>El artículo 13 de la Ley 80 de 1993 regula de forma general el régimen aplicable a los contratos que celebren las entidades referidas en el artículo segundo del estatuto, señalando en el inciso primero, como primer criterio, la aplicabilidad de las disposiciones civiles y comerciales nacionales, sin perjuicio de la aplicación prevalente de las contenidas en el Estatuto General de Contratación de la Administración Pública.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w:t>
      </w:r>
      <w:r w:rsidRPr="00AF1555">
        <w:rPr>
          <w:rFonts w:ascii="Verdana" w:eastAsia="Calibri" w:hAnsi="Verdana" w:cs="Arial"/>
          <w:color w:val="000000" w:themeColor="text1"/>
          <w:sz w:val="20"/>
          <w:szCs w:val="20"/>
          <w:lang w:val="es-ES_tradnl"/>
        </w:rPr>
        <w:t>.</w:t>
      </w:r>
    </w:p>
    <w:p w14:paraId="3382C407" w14:textId="77777777" w:rsidR="009131CF" w:rsidRPr="00EF170F" w:rsidRDefault="009131CF" w:rsidP="009131CF">
      <w:pPr>
        <w:spacing w:after="0" w:line="240" w:lineRule="auto"/>
        <w:jc w:val="both"/>
        <w:rPr>
          <w:rFonts w:ascii="Verdana" w:hAnsi="Verdana" w:cs="Arial"/>
          <w:b/>
          <w:bCs/>
        </w:rPr>
      </w:pPr>
    </w:p>
    <w:p w14:paraId="3AA71BA8" w14:textId="77777777" w:rsidR="009131CF" w:rsidRPr="00FD1E54" w:rsidRDefault="009131CF" w:rsidP="009131CF">
      <w:pPr>
        <w:spacing w:after="0" w:line="240" w:lineRule="auto"/>
        <w:jc w:val="both"/>
        <w:rPr>
          <w:rFonts w:ascii="Verdana" w:hAnsi="Verdana" w:cs="Arial"/>
          <w:b/>
          <w:bCs/>
        </w:rPr>
      </w:pPr>
      <w:r w:rsidRPr="00847607">
        <w:rPr>
          <w:rFonts w:ascii="Verdana" w:hAnsi="Verdana" w:cs="Arial"/>
          <w:b/>
          <w:bCs/>
        </w:rPr>
        <w:t>RÉGIMEN CONTRACTUAL – Ley 1150 de 2007 – Artículo 20</w:t>
      </w:r>
    </w:p>
    <w:p w14:paraId="37DCD113" w14:textId="77777777" w:rsidR="009131CF" w:rsidRPr="003B5BDF" w:rsidRDefault="009131CF" w:rsidP="009131CF">
      <w:pPr>
        <w:spacing w:after="0" w:line="240" w:lineRule="auto"/>
        <w:jc w:val="both"/>
        <w:rPr>
          <w:rFonts w:ascii="Verdana" w:hAnsi="Verdana" w:cs="Arial"/>
        </w:rPr>
      </w:pPr>
    </w:p>
    <w:p w14:paraId="2D4DA5F6" w14:textId="77777777" w:rsidR="009131CF" w:rsidRPr="00847607" w:rsidRDefault="009131CF" w:rsidP="009131CF">
      <w:pPr>
        <w:spacing w:after="0" w:line="240" w:lineRule="auto"/>
        <w:jc w:val="both"/>
        <w:rPr>
          <w:rFonts w:ascii="Verdana" w:eastAsiaTheme="minorEastAsia" w:hAnsi="Verdana" w:cs="Arial"/>
          <w:sz w:val="20"/>
          <w:szCs w:val="20"/>
          <w:lang w:val="es-ES_tradnl" w:eastAsia="es-CO"/>
        </w:rPr>
      </w:pPr>
      <w:r w:rsidRPr="00847607">
        <w:rPr>
          <w:rFonts w:ascii="Verdana" w:eastAsiaTheme="minorEastAsia" w:hAnsi="Verdana" w:cs="Arial"/>
          <w:sz w:val="20"/>
          <w:szCs w:val="20"/>
          <w:lang w:val="es-ES_tradnl" w:eastAsia="es-CO"/>
        </w:rPr>
        <w:t>[…] en lo que tiene que ver con el inciso primero [del artículo 20 de la Ley 1150 de 2007], resulta que únicamente procederá la aplicación de los reglamentos de estas entidades y, por lo tanto, es facultativo dejar de aplicar el EGCAP cuando los contratos o convenios sean financiados en su totalidad o en sumas iguales o superiores al 50% con fondos del organismo de cooperación, asistencia o ayudas internacionales. Cuando la entidad contratante determine o establezca que los aportes del organismo internacional son inferiores al porcentaje señalado, el contrato o convenio debe someterse al EGCAP.</w:t>
      </w:r>
    </w:p>
    <w:p w14:paraId="16E4A2F7" w14:textId="77777777" w:rsidR="009131CF" w:rsidRPr="00847607" w:rsidRDefault="009131CF" w:rsidP="009131CF">
      <w:pPr>
        <w:spacing w:after="0" w:line="240" w:lineRule="auto"/>
        <w:jc w:val="both"/>
        <w:rPr>
          <w:rFonts w:ascii="Verdana" w:eastAsiaTheme="minorEastAsia" w:hAnsi="Verdana" w:cs="Arial"/>
          <w:sz w:val="20"/>
          <w:szCs w:val="20"/>
          <w:lang w:val="es-ES_tradnl" w:eastAsia="es-CO"/>
        </w:rPr>
      </w:pPr>
      <w:r w:rsidRPr="00847607">
        <w:rPr>
          <w:rFonts w:ascii="Verdana" w:eastAsiaTheme="minorEastAsia" w:hAnsi="Verdana" w:cs="Arial"/>
          <w:sz w:val="20"/>
          <w:szCs w:val="20"/>
          <w:lang w:val="es-ES_tradnl" w:eastAsia="es-CO"/>
        </w:rPr>
        <w:t>[…]</w:t>
      </w:r>
    </w:p>
    <w:p w14:paraId="5C4C93FA" w14:textId="77777777" w:rsidR="009131CF" w:rsidRPr="00847607" w:rsidRDefault="009131CF" w:rsidP="009131CF">
      <w:pPr>
        <w:spacing w:after="0" w:line="240" w:lineRule="auto"/>
        <w:jc w:val="both"/>
        <w:rPr>
          <w:rFonts w:ascii="Verdana" w:eastAsiaTheme="minorEastAsia" w:hAnsi="Verdana" w:cs="Arial"/>
          <w:sz w:val="20"/>
          <w:szCs w:val="20"/>
          <w:lang w:val="es-ES_tradnl" w:eastAsia="es-CO"/>
        </w:rPr>
      </w:pPr>
      <w:r w:rsidRPr="00847607">
        <w:rPr>
          <w:rFonts w:ascii="Verdana" w:eastAsiaTheme="minorEastAsia" w:hAnsi="Verdana" w:cs="Arial"/>
          <w:sz w:val="20"/>
          <w:szCs w:val="20"/>
          <w:lang w:val="es-ES_tradnl" w:eastAsia="es-CO"/>
        </w:rPr>
        <w:t>En los supuestos anteriores, regulados en el inciso segundo del artículo 20, independientemente del monto de los aportes de cada una de las partes, es posible optar por someter el contrato a los reglamentos de dichos organismos o bien someterlos al EGCAP, es decir, configurado alguno de los presupuestos anteriores es posible elegir cualquiera de los dos (2) regímenes indicados.</w:t>
      </w:r>
    </w:p>
    <w:p w14:paraId="00D5CB25" w14:textId="77777777" w:rsidR="009131CF" w:rsidRPr="00847607" w:rsidRDefault="009131CF" w:rsidP="009131CF">
      <w:pPr>
        <w:spacing w:after="0" w:line="240" w:lineRule="auto"/>
        <w:jc w:val="both"/>
        <w:rPr>
          <w:rFonts w:ascii="Verdana" w:eastAsiaTheme="minorEastAsia" w:hAnsi="Verdana" w:cs="Arial"/>
          <w:sz w:val="20"/>
          <w:szCs w:val="20"/>
          <w:lang w:val="es-ES_tradnl" w:eastAsia="es-CO"/>
        </w:rPr>
      </w:pPr>
      <w:r w:rsidRPr="00847607">
        <w:rPr>
          <w:rFonts w:ascii="Verdana" w:eastAsiaTheme="minorEastAsia" w:hAnsi="Verdana" w:cs="Arial"/>
          <w:sz w:val="20"/>
          <w:szCs w:val="20"/>
          <w:lang w:val="es-ES_tradnl" w:eastAsia="es-CO"/>
        </w:rPr>
        <w:t>[…]</w:t>
      </w:r>
    </w:p>
    <w:p w14:paraId="24DEFE72" w14:textId="77777777" w:rsidR="009131CF" w:rsidRPr="0081021E" w:rsidRDefault="009131CF" w:rsidP="009131CF">
      <w:pPr>
        <w:spacing w:after="0" w:line="240" w:lineRule="auto"/>
        <w:jc w:val="both"/>
        <w:rPr>
          <w:rFonts w:ascii="Verdana" w:hAnsi="Verdana" w:cs="Arial"/>
          <w:sz w:val="20"/>
          <w:szCs w:val="20"/>
        </w:rPr>
      </w:pPr>
      <w:r w:rsidRPr="00847607">
        <w:rPr>
          <w:rFonts w:ascii="Verdana" w:eastAsiaTheme="minorEastAsia" w:hAnsi="Verdana" w:cs="Arial"/>
          <w:sz w:val="20"/>
          <w:szCs w:val="20"/>
          <w:lang w:val="es-ES_tradnl" w:eastAsia="es-CO"/>
        </w:rPr>
        <w:lastRenderedPageBreak/>
        <w:t>Asimismo, el parágrafo primero del artículo 20 de la Ley 1150 de 2007 establece un tercer criterio para determinar el régimen contractual aplicable. De acuerdo con la norma, “Los contratos o acuerdos celebrados con personas extranjeras de derecho público, podrán someterse a las reglas de tales organismos”. Estos negocios jurídicos, a diferencia de los contratos del inciso primero ibidem, son independientes del monto de los aportes realizados por el organismo. Igualmente, en contraste con los contratos del inciso segundo ibidem, son negocios jurídicos independientes del objeto convenido. No obstante, al igual de los dos (2) supuestos explicados ut supra, en esta hipótesis también es posible optar por someter el contrato a los reglamentos de dichos organismos o bien someterlos a la Ley 80 de 1993</w:t>
      </w:r>
      <w:r w:rsidRPr="005D18F8">
        <w:rPr>
          <w:rFonts w:ascii="Verdana" w:hAnsi="Verdana" w:cs="Arial"/>
          <w:sz w:val="20"/>
          <w:szCs w:val="20"/>
        </w:rPr>
        <w:t>.</w:t>
      </w:r>
      <w:r w:rsidRPr="0081021E">
        <w:rPr>
          <w:rFonts w:ascii="Verdana" w:hAnsi="Verdana" w:cs="Arial"/>
          <w:sz w:val="20"/>
          <w:szCs w:val="20"/>
        </w:rPr>
        <w:t xml:space="preserve"> </w:t>
      </w:r>
    </w:p>
    <w:p w14:paraId="19D41124" w14:textId="77777777" w:rsidR="009131CF" w:rsidRPr="00EF170F" w:rsidRDefault="009131CF" w:rsidP="009131CF">
      <w:pPr>
        <w:spacing w:after="0"/>
        <w:rPr>
          <w:rFonts w:ascii="Verdana" w:eastAsia="Times New Roman" w:hAnsi="Verdana" w:cs="Arial"/>
          <w:b/>
          <w:bCs/>
          <w:sz w:val="21"/>
          <w:szCs w:val="21"/>
          <w:lang w:eastAsia="es-ES_tradnl"/>
        </w:rPr>
      </w:pPr>
    </w:p>
    <w:p w14:paraId="77A25A1E" w14:textId="77777777" w:rsidR="009131CF" w:rsidRPr="00F417BD" w:rsidRDefault="009131CF" w:rsidP="009131CF">
      <w:pPr>
        <w:spacing w:after="0" w:line="276" w:lineRule="auto"/>
        <w:jc w:val="both"/>
        <w:rPr>
          <w:rFonts w:ascii="Verdana" w:eastAsia="Verdana" w:hAnsi="Verdana" w:cs="Verdana"/>
        </w:rPr>
      </w:pPr>
      <w:r w:rsidRPr="00F40F0E">
        <w:rPr>
          <w:rFonts w:ascii="Verdana" w:eastAsia="Times New Roman" w:hAnsi="Verdana" w:cs="Arial"/>
          <w:b/>
          <w:bCs/>
          <w:lang w:eastAsia="es-ES_tradnl"/>
        </w:rPr>
        <w:t xml:space="preserve">DOCUMENTOS TIPO – Fundamento normativo – Obligatoriedad – Ámbito de aplicación – Entidades sometidas  </w:t>
      </w:r>
    </w:p>
    <w:p w14:paraId="2A6836C2" w14:textId="77777777" w:rsidR="009131CF" w:rsidRPr="00F40F0E" w:rsidRDefault="009131CF" w:rsidP="009131CF">
      <w:pPr>
        <w:spacing w:after="0" w:line="240" w:lineRule="auto"/>
        <w:jc w:val="both"/>
        <w:rPr>
          <w:rFonts w:ascii="Verdana" w:eastAsia="Times New Roman" w:hAnsi="Verdana" w:cs="Arial"/>
          <w:b/>
          <w:bCs/>
          <w:sz w:val="20"/>
          <w:szCs w:val="20"/>
          <w:lang w:eastAsia="es-ES_tradnl"/>
        </w:rPr>
      </w:pPr>
    </w:p>
    <w:p w14:paraId="7B098A76" w14:textId="77777777" w:rsidR="009131CF" w:rsidRPr="00F40F0E" w:rsidRDefault="009131CF" w:rsidP="009131CF">
      <w:pPr>
        <w:spacing w:after="0" w:line="240" w:lineRule="auto"/>
        <w:jc w:val="both"/>
        <w:rPr>
          <w:rFonts w:ascii="Verdana" w:eastAsia="Calibri" w:hAnsi="Verdana" w:cs="Arial"/>
          <w:sz w:val="20"/>
          <w:szCs w:val="20"/>
          <w:lang w:val="es-ES_tradnl" w:eastAsia="es-ES"/>
        </w:rPr>
      </w:pPr>
      <w:r w:rsidRPr="00F40F0E">
        <w:rPr>
          <w:rFonts w:ascii="Verdana" w:eastAsia="Calibri" w:hAnsi="Verdana" w:cs="Arial"/>
          <w:sz w:val="20"/>
          <w:szCs w:val="20"/>
          <w:lang w:val="es-ES_tradnl" w:eastAsia="es-ES"/>
        </w:rPr>
        <w:t xml:space="preserve">[…] la Ley 2022 de 2020 […] modificó el contenido del parágrafo 7 del artículo 2 de la Ley 1150 de 2007, que había sido adicionado por la Ley 1882 de 2018. Con esta modificación, si bien se mantuvo el mandato de aplicación obligatoria de los Documentos Tipo por parte de las entidades sometidas al </w:t>
      </w:r>
      <w:r w:rsidRPr="00F40F0E">
        <w:rPr>
          <w:rFonts w:ascii="Verdana" w:eastAsia="Calibri" w:hAnsi="Verdana" w:cs="Arial"/>
          <w:bCs/>
          <w:sz w:val="20"/>
          <w:szCs w:val="20"/>
          <w:lang w:val="es-ES_tradnl" w:eastAsia="es-ES_tradnl"/>
        </w:rPr>
        <w:t>EGCAP</w:t>
      </w:r>
      <w:r w:rsidRPr="00F40F0E">
        <w:rPr>
          <w:rFonts w:ascii="Verdana" w:eastAsia="Calibri" w:hAnsi="Verdana" w:cs="Arial"/>
          <w:sz w:val="20"/>
          <w:szCs w:val="20"/>
          <w:lang w:val="es-ES_tradnl" w:eastAsia="es-ES"/>
        </w:rPr>
        <w:t xml:space="preserve">, se atribuyó a la </w:t>
      </w:r>
      <w:r w:rsidRPr="00F40F0E">
        <w:rPr>
          <w:rFonts w:ascii="Verdana" w:eastAsia="Calibri" w:hAnsi="Verdana" w:cs="Arial"/>
          <w:sz w:val="20"/>
          <w:szCs w:val="20"/>
          <w:lang w:val="es-ES_tradnl" w:eastAsia="es-ES_tradnl"/>
        </w:rPr>
        <w:t xml:space="preserve">Agencia Nacional de Contratación Pública – Colombia Compra Eficiente la competencia para su expedición. </w:t>
      </w:r>
    </w:p>
    <w:p w14:paraId="3811D6D7" w14:textId="77777777" w:rsidR="009131CF" w:rsidRPr="00F40F0E" w:rsidRDefault="009131CF" w:rsidP="009131CF">
      <w:pPr>
        <w:spacing w:after="0" w:line="240" w:lineRule="auto"/>
        <w:jc w:val="both"/>
        <w:rPr>
          <w:rFonts w:ascii="Verdana" w:eastAsia="Calibri" w:hAnsi="Verdana" w:cs="Arial"/>
          <w:sz w:val="20"/>
          <w:szCs w:val="20"/>
          <w:lang w:val="es-ES_tradnl" w:eastAsia="es-ES"/>
        </w:rPr>
      </w:pPr>
    </w:p>
    <w:p w14:paraId="1F6BC741" w14:textId="77777777" w:rsidR="009131CF" w:rsidRPr="00F40F0E" w:rsidRDefault="009131CF" w:rsidP="009131CF">
      <w:pPr>
        <w:spacing w:after="0" w:line="240" w:lineRule="auto"/>
        <w:jc w:val="both"/>
        <w:rPr>
          <w:rFonts w:ascii="Verdana" w:eastAsia="Calibri" w:hAnsi="Verdana" w:cs="Arial"/>
          <w:sz w:val="20"/>
          <w:szCs w:val="20"/>
          <w:lang w:eastAsia="es-MX"/>
        </w:rPr>
      </w:pPr>
      <w:r w:rsidRPr="00F40F0E">
        <w:rPr>
          <w:rFonts w:ascii="Verdana" w:eastAsia="Calibri" w:hAnsi="Verdana" w:cs="Arial"/>
          <w:sz w:val="20"/>
          <w:szCs w:val="20"/>
          <w:lang w:eastAsia="es-ES_tradnl"/>
        </w:rPr>
        <w:t xml:space="preserve">De acuerdo con lo expuesto, </w:t>
      </w:r>
      <w:r w:rsidRPr="00F40F0E">
        <w:rPr>
          <w:rFonts w:ascii="Verdana" w:eastAsia="Calibri" w:hAnsi="Verdana" w:cs="Arial"/>
          <w:sz w:val="20"/>
          <w:szCs w:val="20"/>
          <w:bdr w:val="none" w:sz="0" w:space="0" w:color="auto" w:frame="1"/>
          <w:lang w:eastAsia="es-ES_tradnl"/>
        </w:rPr>
        <w:t xml:space="preserve">los Documentos Tipo adoptados son obligatorios para las Entidades Estatales regidas por el </w:t>
      </w:r>
      <w:r w:rsidRPr="00F40F0E">
        <w:rPr>
          <w:rFonts w:ascii="Verdana" w:eastAsia="Calibri" w:hAnsi="Verdana" w:cs="Arial"/>
          <w:bCs/>
          <w:sz w:val="20"/>
          <w:szCs w:val="20"/>
          <w:lang w:val="es-ES_tradnl" w:eastAsia="es-ES_tradnl"/>
        </w:rPr>
        <w:t>EGCAP</w:t>
      </w:r>
      <w:r w:rsidRPr="00F40F0E">
        <w:rPr>
          <w:rFonts w:ascii="Verdana" w:eastAsia="Calibri" w:hAnsi="Verdana" w:cs="Arial"/>
          <w:sz w:val="20"/>
          <w:szCs w:val="20"/>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 </w:t>
      </w:r>
      <w:r w:rsidRPr="00F40F0E">
        <w:rPr>
          <w:rFonts w:ascii="Verdana" w:eastAsia="Calibri" w:hAnsi="Verdana" w:cs="Arial"/>
          <w:sz w:val="20"/>
          <w:szCs w:val="20"/>
          <w:lang w:eastAsia="es-MX"/>
        </w:rPr>
        <w:t>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w:t>
      </w:r>
    </w:p>
    <w:p w14:paraId="04C7D797" w14:textId="77777777" w:rsidR="009131CF" w:rsidRPr="009436AE" w:rsidRDefault="009131CF" w:rsidP="009131CF">
      <w:pPr>
        <w:spacing w:after="0" w:line="240" w:lineRule="auto"/>
        <w:jc w:val="both"/>
        <w:rPr>
          <w:rFonts w:ascii="Verdana" w:eastAsia="Times New Roman" w:hAnsi="Verdana" w:cs="Arial"/>
          <w:b/>
          <w:bCs/>
          <w:lang w:eastAsia="es-ES_tradnl"/>
        </w:rPr>
      </w:pPr>
    </w:p>
    <w:p w14:paraId="01A68092" w14:textId="77777777" w:rsidR="009131CF" w:rsidRPr="00F40F0E" w:rsidRDefault="009131CF" w:rsidP="009131CF">
      <w:pPr>
        <w:spacing w:after="0" w:line="276" w:lineRule="auto"/>
        <w:jc w:val="both"/>
        <w:rPr>
          <w:rFonts w:ascii="Verdana" w:eastAsia="Calibri" w:hAnsi="Verdana" w:cs="Arial"/>
          <w:b/>
          <w:color w:val="000000"/>
          <w:lang w:val="es-ES_tradnl" w:eastAsia="es-ES_tradnl"/>
        </w:rPr>
      </w:pPr>
      <w:r w:rsidRPr="00F40F0E">
        <w:rPr>
          <w:rFonts w:ascii="Verdana" w:eastAsia="Calibri" w:hAnsi="Verdana" w:cs="Arial"/>
          <w:b/>
          <w:color w:val="000000"/>
          <w:lang w:val="es-ES_tradnl" w:eastAsia="es-ES_tradnl"/>
        </w:rPr>
        <w:t xml:space="preserve">LEY 2195 DE 2022 – Artículo 56 </w:t>
      </w:r>
      <w:r>
        <w:rPr>
          <w:rFonts w:ascii="Verdana" w:eastAsia="Calibri" w:hAnsi="Verdana" w:cs="Arial"/>
          <w:b/>
          <w:color w:val="000000"/>
          <w:lang w:val="es-ES_tradnl" w:eastAsia="es-ES_tradnl"/>
        </w:rPr>
        <w:t xml:space="preserve">– Entidades con régimen especial de contratación </w:t>
      </w:r>
      <w:r w:rsidRPr="00F40F0E">
        <w:rPr>
          <w:rFonts w:ascii="Verdana" w:eastAsia="Calibri" w:hAnsi="Verdana" w:cs="Arial"/>
          <w:b/>
          <w:color w:val="000000"/>
          <w:lang w:val="es-ES_tradnl" w:eastAsia="es-ES_tradnl"/>
        </w:rPr>
        <w:t>– Documentos tipo – Estatuto General de Contratación de la Administración Pública</w:t>
      </w:r>
    </w:p>
    <w:p w14:paraId="6B9F03CE" w14:textId="77777777" w:rsidR="009131CF" w:rsidRPr="009436AE" w:rsidRDefault="009131CF" w:rsidP="009131CF">
      <w:pPr>
        <w:spacing w:after="0" w:line="240" w:lineRule="auto"/>
        <w:jc w:val="both"/>
        <w:rPr>
          <w:rFonts w:ascii="Verdana" w:eastAsia="Calibri" w:hAnsi="Verdana" w:cs="Arial"/>
          <w:b/>
          <w:color w:val="000000"/>
          <w:lang w:val="es-ES_tradnl" w:eastAsia="es-ES_tradnl"/>
        </w:rPr>
      </w:pPr>
    </w:p>
    <w:p w14:paraId="4E61DA77" w14:textId="77777777" w:rsidR="009131CF" w:rsidRDefault="009131CF" w:rsidP="009131CF">
      <w:pPr>
        <w:snapToGrid w:val="0"/>
        <w:spacing w:after="0" w:line="240" w:lineRule="auto"/>
        <w:jc w:val="both"/>
        <w:rPr>
          <w:rFonts w:ascii="Verdana" w:eastAsia="Times New Roman" w:hAnsi="Verdana" w:cs="Arial"/>
          <w:noProof/>
          <w:color w:val="000000"/>
          <w:sz w:val="20"/>
          <w:szCs w:val="20"/>
          <w:lang w:val="es-ES_tradnl" w:eastAsia="es-ES_tradnl"/>
        </w:rPr>
      </w:pPr>
      <w:r w:rsidRPr="00F40F0E">
        <w:rPr>
          <w:rFonts w:ascii="Verdana" w:eastAsia="Calibri" w:hAnsi="Verdana" w:cs="Arial"/>
          <w:sz w:val="20"/>
          <w:szCs w:val="20"/>
          <w:lang w:val="es-ES_tradnl" w:eastAsia="es-ES"/>
        </w:rPr>
        <w:t xml:space="preserve">[…] </w:t>
      </w:r>
      <w:r w:rsidRPr="00F40F0E">
        <w:rPr>
          <w:rFonts w:ascii="Verdana" w:eastAsia="Times New Roman" w:hAnsi="Verdana" w:cs="Arial"/>
          <w:noProof/>
          <w:color w:val="000000"/>
          <w:sz w:val="20"/>
          <w:szCs w:val="20"/>
          <w:lang w:val="es-ES_tradnl" w:eastAsia="es-ES_tradnl"/>
        </w:rPr>
        <w:t xml:space="preserve">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ii) patrimonios autónomos o iii)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w:t>
      </w:r>
      <w:r w:rsidRPr="00F40F0E">
        <w:rPr>
          <w:rFonts w:ascii="Verdana" w:eastAsia="Times New Roman" w:hAnsi="Verdana" w:cs="Arial"/>
          <w:noProof/>
          <w:color w:val="000000"/>
          <w:sz w:val="20"/>
          <w:szCs w:val="20"/>
          <w:lang w:val="es-ES_tradnl" w:eastAsia="es-ES_tradnl"/>
        </w:rPr>
        <w:lastRenderedPageBreak/>
        <w:t>comprendan la adquisición de bienes, obras o servicios, que, al tenor de lo dispuesto en el apartado normativo bajo examen, deberán celebrarse mediante documentos tipo.</w:t>
      </w:r>
    </w:p>
    <w:p w14:paraId="1B06EA83" w14:textId="77777777" w:rsidR="009131CF" w:rsidRPr="0034171E" w:rsidRDefault="009131CF" w:rsidP="009131CF">
      <w:pPr>
        <w:snapToGrid w:val="0"/>
        <w:spacing w:after="0" w:line="240" w:lineRule="auto"/>
        <w:jc w:val="both"/>
        <w:rPr>
          <w:rFonts w:ascii="Verdana" w:eastAsia="Times New Roman" w:hAnsi="Verdana" w:cs="Arial"/>
          <w:noProof/>
          <w:color w:val="000000"/>
          <w:sz w:val="20"/>
          <w:szCs w:val="20"/>
          <w:lang w:val="es-ES_tradnl" w:eastAsia="es-ES_tradnl"/>
        </w:rPr>
      </w:pPr>
    </w:p>
    <w:p w14:paraId="735F70EA" w14:textId="77777777" w:rsidR="009131CF" w:rsidRPr="00F40F0E" w:rsidRDefault="009131CF" w:rsidP="009131CF">
      <w:pPr>
        <w:tabs>
          <w:tab w:val="left" w:pos="0"/>
        </w:tabs>
        <w:snapToGrid w:val="0"/>
        <w:spacing w:after="0" w:line="276" w:lineRule="auto"/>
        <w:jc w:val="both"/>
        <w:rPr>
          <w:rFonts w:ascii="Verdana" w:eastAsia="Calibri" w:hAnsi="Verdana" w:cs="Arial"/>
          <w:b/>
          <w:color w:val="000000"/>
          <w:lang w:val="es-ES_tradnl" w:eastAsia="es-ES_tradnl"/>
        </w:rPr>
      </w:pPr>
      <w:r w:rsidRPr="00F40F0E">
        <w:rPr>
          <w:rFonts w:ascii="Verdana" w:eastAsia="Calibri" w:hAnsi="Verdana" w:cs="Arial"/>
          <w:b/>
          <w:color w:val="000000"/>
          <w:lang w:val="es-ES_tradnl" w:eastAsia="es-ES_tradnl"/>
        </w:rPr>
        <w:t xml:space="preserve">LEY 2195 DE 2022 – Artículo 56 – Parágrafo – Alcance </w:t>
      </w:r>
    </w:p>
    <w:p w14:paraId="2F7BAC3B" w14:textId="77777777" w:rsidR="009131CF" w:rsidRPr="0034171E" w:rsidRDefault="009131CF" w:rsidP="009131CF">
      <w:pPr>
        <w:tabs>
          <w:tab w:val="left" w:pos="0"/>
        </w:tabs>
        <w:snapToGrid w:val="0"/>
        <w:spacing w:after="0" w:line="240" w:lineRule="auto"/>
        <w:jc w:val="both"/>
        <w:rPr>
          <w:rFonts w:ascii="Verdana" w:eastAsia="Times New Roman" w:hAnsi="Verdana" w:cs="Arial"/>
          <w:noProof/>
          <w:color w:val="000000"/>
          <w:lang w:val="es-ES_tradnl" w:eastAsia="es-ES_tradnl"/>
        </w:rPr>
      </w:pPr>
    </w:p>
    <w:p w14:paraId="368B2A93" w14:textId="77777777" w:rsidR="009131CF" w:rsidRPr="00F40F0E" w:rsidRDefault="009131CF" w:rsidP="009131CF">
      <w:pPr>
        <w:tabs>
          <w:tab w:val="left" w:pos="0"/>
        </w:tabs>
        <w:spacing w:after="0" w:line="240" w:lineRule="auto"/>
        <w:jc w:val="both"/>
        <w:rPr>
          <w:rFonts w:ascii="Arial" w:eastAsia="Calibri" w:hAnsi="Arial" w:cs="Arial"/>
          <w:bCs/>
          <w:sz w:val="20"/>
          <w:szCs w:val="20"/>
          <w:lang w:val="es-ES_tradnl" w:eastAsia="es-MX"/>
        </w:rPr>
      </w:pPr>
      <w:r w:rsidRPr="00F40F0E">
        <w:rPr>
          <w:rFonts w:ascii="Verdana" w:eastAsia="Times New Roman" w:hAnsi="Verdana" w:cs="Arial"/>
          <w:color w:val="000000"/>
          <w:sz w:val="20"/>
          <w:szCs w:val="20"/>
          <w:lang w:eastAsia="es-MX"/>
        </w:rPr>
        <w:t xml:space="preserve">En este contexto, </w:t>
      </w:r>
      <w:r w:rsidRPr="00F40F0E">
        <w:rPr>
          <w:rFonts w:ascii="Verdana" w:eastAsia="Calibri" w:hAnsi="Verdana" w:cs="Arial"/>
          <w:bCs/>
          <w:sz w:val="20"/>
          <w:szCs w:val="20"/>
          <w:lang w:val="es-ES_tradnl" w:eastAsia="es-ES_tradnl"/>
        </w:rPr>
        <w:t>de la lectura conjunta de los incisos primero y segundo</w:t>
      </w:r>
      <w:r w:rsidRPr="00F40F0E">
        <w:rPr>
          <w:rFonts w:ascii="Verdana" w:eastAsia="Calibri" w:hAnsi="Verdana" w:cs="Arial"/>
          <w:bCs/>
          <w:sz w:val="20"/>
          <w:szCs w:val="20"/>
          <w:lang w:eastAsia="es-ES_tradnl"/>
        </w:rPr>
        <w:t xml:space="preserve"> del artículo 56 de la Ley 2195 de 2022,</w:t>
      </w:r>
      <w:r w:rsidRPr="00F40F0E">
        <w:rPr>
          <w:rFonts w:ascii="Verdana" w:eastAsia="Calibri" w:hAnsi="Verdana" w:cs="Arial"/>
          <w:bCs/>
          <w:sz w:val="20"/>
          <w:szCs w:val="20"/>
          <w:lang w:val="es-ES_tradnl" w:eastAsia="es-ES_tradnl"/>
        </w:rPr>
        <w:t xml:space="preserve"> se desprende que </w:t>
      </w:r>
      <w:r w:rsidRPr="00F40F0E">
        <w:rPr>
          <w:rFonts w:ascii="Verdana" w:eastAsia="Calibri" w:hAnsi="Verdana" w:cs="Arial"/>
          <w:bCs/>
          <w:sz w:val="20"/>
          <w:szCs w:val="20"/>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F40F0E">
        <w:rPr>
          <w:rFonts w:ascii="Arial" w:eastAsia="Calibri" w:hAnsi="Arial" w:cs="Arial"/>
          <w:bCs/>
          <w:sz w:val="20"/>
          <w:szCs w:val="20"/>
          <w:lang w:val="es-ES_tradnl" w:eastAsia="es-MX"/>
        </w:rPr>
        <w:t xml:space="preserve"> </w:t>
      </w:r>
      <w:r w:rsidRPr="00F40F0E">
        <w:rPr>
          <w:rFonts w:ascii="Verdana" w:eastAsia="Calibri" w:hAnsi="Verdana" w:cs="Arial"/>
          <w:bCs/>
          <w:sz w:val="20"/>
          <w:szCs w:val="20"/>
          <w:lang w:val="es-ES_tradnl" w:eastAsia="es-MX"/>
        </w:rPr>
        <w:t xml:space="preserve">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13ED2CC3" w14:textId="77777777" w:rsidR="009131CF" w:rsidRPr="00F40F0E" w:rsidRDefault="009131CF" w:rsidP="009131CF">
      <w:pPr>
        <w:tabs>
          <w:tab w:val="left" w:pos="0"/>
        </w:tabs>
        <w:spacing w:after="0" w:line="240" w:lineRule="auto"/>
        <w:jc w:val="both"/>
        <w:rPr>
          <w:rFonts w:ascii="Verdana" w:eastAsia="Calibri" w:hAnsi="Verdana" w:cs="Arial"/>
          <w:bCs/>
          <w:sz w:val="20"/>
          <w:szCs w:val="20"/>
          <w:lang w:val="es-ES_tradnl" w:eastAsia="es-ES_tradnl"/>
        </w:rPr>
      </w:pPr>
    </w:p>
    <w:p w14:paraId="0CDAE2C6" w14:textId="77777777" w:rsidR="009131CF" w:rsidRPr="00F40F0E" w:rsidRDefault="009131CF" w:rsidP="009131CF">
      <w:pPr>
        <w:tabs>
          <w:tab w:val="left" w:pos="0"/>
        </w:tabs>
        <w:spacing w:after="0" w:line="240" w:lineRule="auto"/>
        <w:jc w:val="both"/>
        <w:rPr>
          <w:rFonts w:ascii="Verdana" w:eastAsia="Calibri" w:hAnsi="Verdana" w:cs="Arial"/>
          <w:bCs/>
          <w:color w:val="000000"/>
          <w:sz w:val="20"/>
          <w:szCs w:val="20"/>
          <w:lang w:val="es-ES_tradnl" w:eastAsia="es-ES_tradnl"/>
        </w:rPr>
      </w:pPr>
      <w:r w:rsidRPr="00F40F0E">
        <w:rPr>
          <w:rFonts w:ascii="Verdana" w:eastAsia="Calibri" w:hAnsi="Verdana" w:cs="Arial"/>
          <w:bCs/>
          <w:sz w:val="20"/>
          <w:szCs w:val="20"/>
          <w:lang w:val="es-ES_tradnl" w:eastAsia="es-ES_tradnl"/>
        </w:rPr>
        <w:t>Sin perjuicio de lo anterior</w:t>
      </w:r>
      <w:r w:rsidRPr="00F40F0E">
        <w:rPr>
          <w:rFonts w:ascii="Verdana" w:eastAsia="Times New Roman" w:hAnsi="Verdana" w:cs="Arial"/>
          <w:sz w:val="20"/>
          <w:szCs w:val="20"/>
          <w:lang w:eastAsia="es-ES_tradnl"/>
        </w:rPr>
        <w:t xml:space="preserve">, </w:t>
      </w:r>
      <w:r w:rsidRPr="00F40F0E">
        <w:rPr>
          <w:rFonts w:ascii="Verdana" w:eastAsia="Calibri" w:hAnsi="Verdana" w:cs="Arial"/>
          <w:bCs/>
          <w:sz w:val="20"/>
          <w:szCs w:val="20"/>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F40F0E">
        <w:rPr>
          <w:rFonts w:ascii="Verdana" w:eastAsia="Calibri" w:hAnsi="Verdana" w:cs="Arial"/>
          <w:bCs/>
          <w:i/>
          <w:iCs/>
          <w:sz w:val="20"/>
          <w:szCs w:val="20"/>
          <w:lang w:val="es-ES_tradnl" w:eastAsia="es-ES_tradnl"/>
        </w:rPr>
        <w:t>giro ordinario</w:t>
      </w:r>
      <w:r w:rsidRPr="00F40F0E">
        <w:rPr>
          <w:rFonts w:ascii="Verdana" w:eastAsia="Calibri" w:hAnsi="Verdana" w:cs="Arial"/>
          <w:bCs/>
          <w:sz w:val="20"/>
          <w:szCs w:val="20"/>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F40F0E">
        <w:rPr>
          <w:rFonts w:ascii="Verdana" w:eastAsia="Calibri" w:hAnsi="Verdana" w:cs="Arial"/>
          <w:bCs/>
          <w:sz w:val="20"/>
          <w:szCs w:val="20"/>
          <w:lang w:val="es-ES_tradnl" w:eastAsia="es-ES_tradnl"/>
        </w:rPr>
        <w:t>ii</w:t>
      </w:r>
      <w:proofErr w:type="spellEnd"/>
      <w:r w:rsidRPr="00F40F0E">
        <w:rPr>
          <w:rFonts w:ascii="Verdana" w:eastAsia="Calibri" w:hAnsi="Verdana" w:cs="Arial"/>
          <w:bCs/>
          <w:sz w:val="20"/>
          <w:szCs w:val="20"/>
          <w:lang w:val="es-ES_tradnl" w:eastAsia="es-ES_tradnl"/>
        </w:rPr>
        <w:t xml:space="preserve">) las </w:t>
      </w:r>
      <w:r w:rsidRPr="00F40F0E">
        <w:rPr>
          <w:rFonts w:ascii="Verdana" w:eastAsia="Calibri" w:hAnsi="Verdana" w:cs="Arial"/>
          <w:bCs/>
          <w:i/>
          <w:iCs/>
          <w:sz w:val="20"/>
          <w:szCs w:val="20"/>
          <w:lang w:val="es-ES_tradnl" w:eastAsia="es-ES_tradnl"/>
        </w:rPr>
        <w:t>empresas sociales del Estado</w:t>
      </w:r>
      <w:r w:rsidRPr="00F40F0E">
        <w:rPr>
          <w:rFonts w:ascii="Verdana" w:eastAsia="Calibri" w:hAnsi="Verdana" w:cs="Arial"/>
          <w:bCs/>
          <w:sz w:val="20"/>
          <w:szCs w:val="20"/>
          <w:lang w:val="es-ES_tradnl" w:eastAsia="es-ES_tradnl"/>
        </w:rPr>
        <w:t xml:space="preserve">, </w:t>
      </w:r>
      <w:proofErr w:type="spellStart"/>
      <w:r w:rsidRPr="00F40F0E">
        <w:rPr>
          <w:rFonts w:ascii="Verdana" w:eastAsia="Calibri" w:hAnsi="Verdana" w:cs="Arial"/>
          <w:bCs/>
          <w:sz w:val="20"/>
          <w:szCs w:val="20"/>
          <w:lang w:val="es-ES_tradnl" w:eastAsia="es-ES_tradnl"/>
        </w:rPr>
        <w:t>iii</w:t>
      </w:r>
      <w:proofErr w:type="spellEnd"/>
      <w:r w:rsidRPr="00F40F0E">
        <w:rPr>
          <w:rFonts w:ascii="Verdana" w:eastAsia="Calibri" w:hAnsi="Verdana" w:cs="Arial"/>
          <w:bCs/>
          <w:sz w:val="20"/>
          <w:szCs w:val="20"/>
          <w:lang w:val="es-ES_tradnl" w:eastAsia="es-ES_tradnl"/>
        </w:rPr>
        <w:t xml:space="preserve">) las sociedades de economía mixta y </w:t>
      </w:r>
      <w:proofErr w:type="spellStart"/>
      <w:r w:rsidRPr="00F40F0E">
        <w:rPr>
          <w:rFonts w:ascii="Verdana" w:eastAsia="Calibri" w:hAnsi="Verdana" w:cs="Arial"/>
          <w:bCs/>
          <w:sz w:val="20"/>
          <w:szCs w:val="20"/>
          <w:lang w:val="es-ES_tradnl" w:eastAsia="es-ES_tradnl"/>
        </w:rPr>
        <w:t>iv</w:t>
      </w:r>
      <w:proofErr w:type="spellEnd"/>
      <w:r w:rsidRPr="00F40F0E">
        <w:rPr>
          <w:rFonts w:ascii="Verdana" w:eastAsia="Calibri" w:hAnsi="Verdana" w:cs="Arial"/>
          <w:bCs/>
          <w:sz w:val="20"/>
          <w:szCs w:val="20"/>
          <w:lang w:val="es-ES_tradnl" w:eastAsia="es-ES_tradnl"/>
        </w:rPr>
        <w:t xml:space="preserve">) las empresas industriales y comerciales del Estado, únicamente, en la contratación relacionada con el </w:t>
      </w:r>
      <w:r w:rsidRPr="00F40F0E">
        <w:rPr>
          <w:rFonts w:ascii="Verdana" w:eastAsia="Calibri" w:hAnsi="Verdana" w:cs="Arial"/>
          <w:bCs/>
          <w:i/>
          <w:iCs/>
          <w:sz w:val="20"/>
          <w:szCs w:val="20"/>
          <w:lang w:val="es-ES_tradnl" w:eastAsia="es-ES_tradnl"/>
        </w:rPr>
        <w:t>giro ordinario.</w:t>
      </w:r>
      <w:r w:rsidRPr="00F40F0E">
        <w:rPr>
          <w:rFonts w:ascii="Verdana" w:eastAsia="Calibri" w:hAnsi="Verdana" w:cs="Arial"/>
          <w:bCs/>
          <w:sz w:val="20"/>
          <w:szCs w:val="20"/>
          <w:lang w:val="es-ES_tradnl" w:eastAsia="es-ES_tradnl"/>
        </w:rPr>
        <w:t xml:space="preserve"> Esto significa que, en la contratación asociada a su </w:t>
      </w:r>
      <w:r w:rsidRPr="00F40F0E">
        <w:rPr>
          <w:rFonts w:ascii="Verdana" w:eastAsia="Calibri" w:hAnsi="Verdana" w:cs="Arial"/>
          <w:bCs/>
          <w:i/>
          <w:iCs/>
          <w:sz w:val="20"/>
          <w:szCs w:val="20"/>
          <w:lang w:val="es-ES_tradnl" w:eastAsia="es-ES_tradnl"/>
        </w:rPr>
        <w:t xml:space="preserve">giro ordinario, </w:t>
      </w:r>
      <w:r w:rsidRPr="00F40F0E">
        <w:rPr>
          <w:rFonts w:ascii="Verdana" w:eastAsia="Calibri" w:hAnsi="Verdana" w:cs="Arial"/>
          <w:bCs/>
          <w:sz w:val="20"/>
          <w:szCs w:val="20"/>
          <w:lang w:val="es-ES_tradnl" w:eastAsia="es-ES_tradnl"/>
        </w:rPr>
        <w:t>estos tipos de entidades no tendrían que aplicar, de manera obligatoria, los Documentos Tipo, ni tampoco el EGCAP.</w:t>
      </w:r>
      <w:r w:rsidRPr="00F40F0E">
        <w:rPr>
          <w:rFonts w:ascii="Verdana" w:eastAsia="Times New Roman" w:hAnsi="Verdana" w:cs="Arial"/>
          <w:sz w:val="20"/>
          <w:szCs w:val="20"/>
          <w:lang w:eastAsia="es-ES_tradnl"/>
        </w:rPr>
        <w:t xml:space="preserve"> </w:t>
      </w:r>
      <w:r w:rsidRPr="00F40F0E">
        <w:rPr>
          <w:rFonts w:ascii="Verdana" w:eastAsia="Calibri" w:hAnsi="Verdana" w:cs="Arial"/>
          <w:bCs/>
          <w:sz w:val="20"/>
          <w:szCs w:val="20"/>
          <w:lang w:val="es-ES_tradnl" w:eastAsia="es-ES_tradnl"/>
        </w:rPr>
        <w:t>En este caso, la norma se limita a fomentar la implementación de Documentos Tipo a modo de buena práctica contractual, en los casos en los que se estime conveniente.</w:t>
      </w:r>
      <w:r w:rsidRPr="00F40F0E">
        <w:rPr>
          <w:rFonts w:ascii="Verdana" w:eastAsia="Calibri" w:hAnsi="Verdana" w:cs="Arial"/>
          <w:bCs/>
          <w:color w:val="000000"/>
          <w:sz w:val="20"/>
          <w:szCs w:val="20"/>
          <w:lang w:val="es-ES_tradnl" w:eastAsia="es-ES_tradnl"/>
        </w:rPr>
        <w:t xml:space="preserve"> </w:t>
      </w:r>
    </w:p>
    <w:p w14:paraId="443A86AB" w14:textId="77777777" w:rsidR="009131CF" w:rsidRPr="00F40F0E" w:rsidRDefault="009131CF" w:rsidP="009131CF">
      <w:pPr>
        <w:spacing w:after="0" w:line="240" w:lineRule="auto"/>
        <w:jc w:val="both"/>
        <w:rPr>
          <w:rFonts w:ascii="Verdana" w:eastAsia="Calibri" w:hAnsi="Verdana" w:cs="Arial"/>
          <w:b/>
          <w:bCs/>
          <w:lang w:val="es-ES_tradnl" w:eastAsia="es-MX"/>
        </w:rPr>
      </w:pPr>
    </w:p>
    <w:p w14:paraId="144D2591" w14:textId="77777777" w:rsidR="009131CF" w:rsidRPr="00F40F0E" w:rsidRDefault="009131CF" w:rsidP="009131CF">
      <w:pPr>
        <w:spacing w:after="0" w:line="240" w:lineRule="auto"/>
        <w:jc w:val="both"/>
        <w:rPr>
          <w:rFonts w:ascii="Verdana" w:eastAsia="Calibri" w:hAnsi="Verdana" w:cs="Arial"/>
          <w:lang w:eastAsia="es-MX"/>
        </w:rPr>
      </w:pPr>
    </w:p>
    <w:p w14:paraId="6EA6DE2D" w14:textId="77777777" w:rsidR="009131CF" w:rsidRPr="00F40F0E" w:rsidRDefault="009131CF" w:rsidP="009131CF">
      <w:pPr>
        <w:spacing w:after="0" w:line="240" w:lineRule="auto"/>
        <w:jc w:val="both"/>
        <w:rPr>
          <w:rFonts w:ascii="Verdana" w:eastAsia="Calibri" w:hAnsi="Verdana" w:cs="Arial"/>
          <w:lang w:eastAsia="es-MX"/>
        </w:rPr>
      </w:pPr>
    </w:p>
    <w:p w14:paraId="12A64E86" w14:textId="77777777" w:rsidR="009131CF" w:rsidRPr="00F40F0E" w:rsidRDefault="009131CF" w:rsidP="009131CF">
      <w:pPr>
        <w:spacing w:after="0" w:line="240" w:lineRule="auto"/>
        <w:jc w:val="both"/>
        <w:rPr>
          <w:rFonts w:ascii="Verdana" w:eastAsia="Calibri" w:hAnsi="Verdana" w:cs="Arial"/>
          <w:lang w:eastAsia="es-MX"/>
        </w:rPr>
      </w:pPr>
    </w:p>
    <w:p w14:paraId="111F2CFF" w14:textId="77777777" w:rsidR="009131CF" w:rsidRDefault="009131CF" w:rsidP="009131CF">
      <w:pPr>
        <w:tabs>
          <w:tab w:val="left" w:pos="1558"/>
        </w:tabs>
        <w:spacing w:after="0" w:line="240" w:lineRule="auto"/>
        <w:jc w:val="both"/>
        <w:rPr>
          <w:rFonts w:ascii="Verdana" w:eastAsia="Calibri" w:hAnsi="Verdana" w:cs="Arial"/>
          <w:lang w:eastAsia="es-MX"/>
        </w:rPr>
      </w:pPr>
    </w:p>
    <w:p w14:paraId="740DDC98" w14:textId="77777777" w:rsidR="009131CF" w:rsidRDefault="009131CF" w:rsidP="009131CF">
      <w:pPr>
        <w:tabs>
          <w:tab w:val="left" w:pos="1558"/>
        </w:tabs>
        <w:spacing w:after="0" w:line="240" w:lineRule="auto"/>
        <w:jc w:val="both"/>
        <w:rPr>
          <w:rFonts w:ascii="Verdana" w:eastAsia="Calibri" w:hAnsi="Verdana" w:cs="Arial"/>
          <w:lang w:eastAsia="es-MX"/>
        </w:rPr>
      </w:pPr>
    </w:p>
    <w:p w14:paraId="52D4A8A1" w14:textId="77777777" w:rsidR="009131CF" w:rsidRDefault="009131CF" w:rsidP="009131CF">
      <w:pPr>
        <w:tabs>
          <w:tab w:val="left" w:pos="1558"/>
        </w:tabs>
        <w:spacing w:after="0" w:line="240" w:lineRule="auto"/>
        <w:jc w:val="both"/>
        <w:rPr>
          <w:rFonts w:ascii="Verdana" w:eastAsia="Calibri" w:hAnsi="Verdana" w:cs="Arial"/>
          <w:lang w:eastAsia="es-MX"/>
        </w:rPr>
      </w:pPr>
    </w:p>
    <w:p w14:paraId="43561A9B" w14:textId="77777777" w:rsidR="009131CF" w:rsidRDefault="009131CF" w:rsidP="009131CF">
      <w:pPr>
        <w:tabs>
          <w:tab w:val="left" w:pos="1558"/>
        </w:tabs>
        <w:spacing w:after="0" w:line="240" w:lineRule="auto"/>
        <w:jc w:val="both"/>
        <w:rPr>
          <w:rFonts w:ascii="Verdana" w:eastAsia="Calibri" w:hAnsi="Verdana" w:cs="Arial"/>
          <w:lang w:eastAsia="es-MX"/>
        </w:rPr>
      </w:pPr>
    </w:p>
    <w:p w14:paraId="59477849" w14:textId="77777777" w:rsidR="009131CF" w:rsidRDefault="009131CF" w:rsidP="009131CF">
      <w:pPr>
        <w:tabs>
          <w:tab w:val="left" w:pos="1558"/>
        </w:tabs>
        <w:spacing w:after="0" w:line="240" w:lineRule="auto"/>
        <w:jc w:val="both"/>
        <w:rPr>
          <w:rFonts w:ascii="Verdana" w:eastAsia="Calibri" w:hAnsi="Verdana" w:cs="Arial"/>
          <w:lang w:eastAsia="es-MX"/>
        </w:rPr>
      </w:pPr>
    </w:p>
    <w:p w14:paraId="25DE6967" w14:textId="77777777" w:rsidR="009131CF" w:rsidRDefault="009131CF" w:rsidP="009131CF">
      <w:pPr>
        <w:tabs>
          <w:tab w:val="left" w:pos="1558"/>
        </w:tabs>
        <w:spacing w:after="0" w:line="240" w:lineRule="auto"/>
        <w:jc w:val="both"/>
        <w:rPr>
          <w:rFonts w:ascii="Verdana" w:eastAsia="Calibri" w:hAnsi="Verdana" w:cs="Arial"/>
          <w:lang w:eastAsia="es-MX"/>
        </w:rPr>
      </w:pPr>
    </w:p>
    <w:p w14:paraId="607E68EF" w14:textId="77777777" w:rsidR="009131CF" w:rsidRDefault="009131CF" w:rsidP="009131CF">
      <w:pPr>
        <w:tabs>
          <w:tab w:val="left" w:pos="1558"/>
        </w:tabs>
        <w:spacing w:after="0" w:line="240" w:lineRule="auto"/>
        <w:jc w:val="both"/>
        <w:rPr>
          <w:rFonts w:ascii="Verdana" w:eastAsia="Calibri" w:hAnsi="Verdana" w:cs="Arial"/>
          <w:lang w:eastAsia="es-MX"/>
        </w:rPr>
      </w:pPr>
    </w:p>
    <w:p w14:paraId="6C8C94D4" w14:textId="77777777" w:rsidR="009131CF" w:rsidRDefault="009131CF" w:rsidP="009131CF">
      <w:pPr>
        <w:tabs>
          <w:tab w:val="left" w:pos="1558"/>
        </w:tabs>
        <w:spacing w:after="0" w:line="240" w:lineRule="auto"/>
        <w:jc w:val="both"/>
        <w:rPr>
          <w:rFonts w:ascii="Verdana" w:eastAsia="Calibri" w:hAnsi="Verdana" w:cs="Arial"/>
          <w:lang w:eastAsia="es-MX"/>
        </w:rPr>
      </w:pPr>
    </w:p>
    <w:p w14:paraId="68367A74" w14:textId="77777777" w:rsidR="009131CF" w:rsidRDefault="009131CF" w:rsidP="009131CF">
      <w:pPr>
        <w:tabs>
          <w:tab w:val="left" w:pos="1558"/>
        </w:tabs>
        <w:spacing w:after="0" w:line="240" w:lineRule="auto"/>
        <w:jc w:val="both"/>
        <w:rPr>
          <w:rFonts w:ascii="Verdana" w:eastAsia="Calibri" w:hAnsi="Verdana" w:cs="Arial"/>
          <w:lang w:eastAsia="es-MX"/>
        </w:rPr>
      </w:pPr>
    </w:p>
    <w:p w14:paraId="0D04B4A5" w14:textId="77777777" w:rsidR="009131CF" w:rsidRDefault="009131CF" w:rsidP="009131CF">
      <w:pPr>
        <w:tabs>
          <w:tab w:val="left" w:pos="1558"/>
        </w:tabs>
        <w:spacing w:after="0" w:line="240" w:lineRule="auto"/>
        <w:jc w:val="both"/>
        <w:rPr>
          <w:rFonts w:ascii="Verdana" w:eastAsia="Calibri" w:hAnsi="Verdana" w:cs="Arial"/>
          <w:lang w:eastAsia="es-MX"/>
        </w:rPr>
      </w:pPr>
    </w:p>
    <w:p w14:paraId="17224E52" w14:textId="77777777" w:rsidR="000E262C" w:rsidRDefault="000E262C" w:rsidP="009131CF">
      <w:pPr>
        <w:tabs>
          <w:tab w:val="left" w:pos="1558"/>
        </w:tabs>
        <w:spacing w:after="0" w:line="240" w:lineRule="auto"/>
        <w:jc w:val="both"/>
        <w:rPr>
          <w:rFonts w:ascii="Verdana" w:eastAsia="Calibri" w:hAnsi="Verdana" w:cs="Arial"/>
          <w:lang w:eastAsia="es-MX"/>
        </w:rPr>
      </w:pPr>
    </w:p>
    <w:p w14:paraId="6C909619" w14:textId="0603A8B4" w:rsidR="009131CF" w:rsidRDefault="000E262C" w:rsidP="009131CF">
      <w:pPr>
        <w:spacing w:after="0" w:line="240" w:lineRule="auto"/>
        <w:rPr>
          <w:rFonts w:ascii="Verdana" w:eastAsia="Aptos" w:hAnsi="Verdana" w:cs="Times New Roman"/>
          <w:kern w:val="2"/>
          <w14:ligatures w14:val="standardContextual"/>
        </w:rPr>
      </w:pPr>
      <w:r w:rsidRPr="30821638">
        <w:rPr>
          <w:rFonts w:ascii="Verdana" w:eastAsia="Verdana" w:hAnsi="Verdana" w:cs="Verdana"/>
        </w:rPr>
        <w:lastRenderedPageBreak/>
        <w:t xml:space="preserve">Bogotá D.C., </w:t>
      </w:r>
      <w:r w:rsidR="00E60F35">
        <w:rPr>
          <w:rFonts w:ascii="Verdana" w:eastAsia="Verdana" w:hAnsi="Verdana" w:cs="Verdana"/>
        </w:rPr>
        <w:t>16 Junio 2026</w:t>
      </w:r>
      <w:r>
        <w:tab/>
      </w:r>
    </w:p>
    <w:p w14:paraId="1071C5C8" w14:textId="677ACF63" w:rsidR="000E262C" w:rsidRPr="00F40F0E" w:rsidRDefault="00E60F35" w:rsidP="00E60F35">
      <w:pPr>
        <w:spacing w:after="0" w:line="240" w:lineRule="auto"/>
        <w:jc w:val="right"/>
        <w:rPr>
          <w:rFonts w:ascii="Verdana" w:eastAsia="Calibri" w:hAnsi="Verdana" w:cs="Arial"/>
          <w:lang w:eastAsia="es-ES"/>
        </w:rPr>
      </w:pPr>
      <w:r>
        <w:rPr>
          <w:rFonts w:ascii="Verdana" w:eastAsia="Calibri" w:hAnsi="Verdana" w:cs="Arial"/>
          <w:noProof/>
          <w:lang w:eastAsia="es-ES"/>
        </w:rPr>
        <w:drawing>
          <wp:inline distT="0" distB="0" distL="0" distR="0" wp14:anchorId="6D730079" wp14:editId="22CF9FA1">
            <wp:extent cx="2631332" cy="769908"/>
            <wp:effectExtent l="0" t="0" r="0" b="5080"/>
            <wp:docPr id="14372966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296645" name="Imagen 1437296645"/>
                    <pic:cNvPicPr/>
                  </pic:nvPicPr>
                  <pic:blipFill>
                    <a:blip r:embed="rId10">
                      <a:extLst>
                        <a:ext uri="{28A0092B-C50C-407E-A947-70E740481C1C}">
                          <a14:useLocalDpi xmlns:a14="http://schemas.microsoft.com/office/drawing/2010/main" val="0"/>
                        </a:ext>
                      </a:extLst>
                    </a:blip>
                    <a:stretch>
                      <a:fillRect/>
                    </a:stretch>
                  </pic:blipFill>
                  <pic:spPr>
                    <a:xfrm>
                      <a:off x="0" y="0"/>
                      <a:ext cx="2640088" cy="772470"/>
                    </a:xfrm>
                    <a:prstGeom prst="rect">
                      <a:avLst/>
                    </a:prstGeom>
                  </pic:spPr>
                </pic:pic>
              </a:graphicData>
            </a:graphic>
          </wp:inline>
        </w:drawing>
      </w:r>
    </w:p>
    <w:p w14:paraId="4F38D464" w14:textId="77777777" w:rsidR="009131CF" w:rsidRPr="00F40F0E" w:rsidRDefault="009131CF" w:rsidP="009131CF">
      <w:pPr>
        <w:spacing w:after="0" w:line="276" w:lineRule="auto"/>
        <w:rPr>
          <w:rFonts w:ascii="Verdana" w:eastAsia="Calibri" w:hAnsi="Verdana" w:cs="Arial"/>
          <w:lang w:val="es-ES" w:eastAsia="es-ES"/>
        </w:rPr>
      </w:pPr>
      <w:r w:rsidRPr="00F40F0E">
        <w:rPr>
          <w:rFonts w:ascii="Verdana" w:eastAsia="Calibri" w:hAnsi="Verdana" w:cs="Arial"/>
          <w:lang w:val="es-ES" w:eastAsia="es-ES"/>
        </w:rPr>
        <w:t>Señor</w:t>
      </w:r>
    </w:p>
    <w:p w14:paraId="5238E6D5" w14:textId="77777777" w:rsidR="009131CF" w:rsidRPr="00F40F0E" w:rsidRDefault="009131CF" w:rsidP="009131CF">
      <w:pPr>
        <w:spacing w:after="0" w:line="276" w:lineRule="auto"/>
        <w:rPr>
          <w:rFonts w:ascii="Verdana" w:eastAsia="Times New Roman" w:hAnsi="Verdana" w:cs="Times New Roman"/>
          <w:b/>
          <w:bCs/>
          <w:color w:val="242424"/>
          <w:shd w:val="clear" w:color="auto" w:fill="FFFFFF"/>
          <w:lang w:eastAsia="es-MX"/>
        </w:rPr>
      </w:pPr>
      <w:r>
        <w:rPr>
          <w:rFonts w:ascii="Verdana" w:eastAsia="Times New Roman" w:hAnsi="Verdana" w:cs="Times New Roman"/>
          <w:b/>
          <w:bCs/>
          <w:color w:val="242424"/>
          <w:shd w:val="clear" w:color="auto" w:fill="FFFFFF"/>
          <w:lang w:eastAsia="es-MX"/>
        </w:rPr>
        <w:t>William Andrés Gómez Sánchez</w:t>
      </w:r>
    </w:p>
    <w:p w14:paraId="6BFC5670" w14:textId="77777777" w:rsidR="009131CF" w:rsidRDefault="009131CF" w:rsidP="009131CF">
      <w:pPr>
        <w:spacing w:after="0" w:line="276" w:lineRule="auto"/>
        <w:rPr>
          <w:rFonts w:ascii="Verdana" w:eastAsia="Times New Roman" w:hAnsi="Verdana" w:cs="Times New Roman"/>
          <w:color w:val="242424"/>
          <w:shd w:val="clear" w:color="auto" w:fill="FFFFFF"/>
          <w:lang w:eastAsia="es-MX"/>
        </w:rPr>
      </w:pPr>
      <w:r>
        <w:rPr>
          <w:rFonts w:ascii="Verdana" w:eastAsia="Times New Roman" w:hAnsi="Verdana" w:cs="Times New Roman"/>
          <w:color w:val="242424"/>
          <w:shd w:val="clear" w:color="auto" w:fill="FFFFFF"/>
          <w:lang w:eastAsia="es-MX"/>
        </w:rPr>
        <w:t>Profesional de la Oficina de Mantenimiento e Infraestructura</w:t>
      </w:r>
    </w:p>
    <w:p w14:paraId="4A8CF774" w14:textId="77777777" w:rsidR="009131CF" w:rsidRDefault="009131CF" w:rsidP="009131CF">
      <w:pPr>
        <w:spacing w:after="0" w:line="276" w:lineRule="auto"/>
        <w:rPr>
          <w:rFonts w:ascii="Verdana" w:eastAsia="Times New Roman" w:hAnsi="Verdana" w:cs="Times New Roman"/>
          <w:color w:val="242424"/>
          <w:shd w:val="clear" w:color="auto" w:fill="FFFFFF"/>
          <w:lang w:eastAsia="es-MX"/>
        </w:rPr>
      </w:pPr>
      <w:r>
        <w:rPr>
          <w:rFonts w:ascii="Verdana" w:eastAsia="Times New Roman" w:hAnsi="Verdana" w:cs="Times New Roman"/>
          <w:color w:val="242424"/>
          <w:shd w:val="clear" w:color="auto" w:fill="FFFFFF"/>
          <w:lang w:eastAsia="es-MX"/>
        </w:rPr>
        <w:t>E.S.E. Hospital Regional de Duitama</w:t>
      </w:r>
    </w:p>
    <w:p w14:paraId="1CFE0538" w14:textId="77777777" w:rsidR="009131CF" w:rsidRPr="00F40F0E" w:rsidRDefault="009131CF" w:rsidP="009131CF">
      <w:pPr>
        <w:spacing w:after="0" w:line="276" w:lineRule="auto"/>
        <w:rPr>
          <w:rFonts w:ascii="Verdana" w:eastAsia="Times New Roman" w:hAnsi="Verdana" w:cs="Times New Roman"/>
          <w:color w:val="242424"/>
          <w:shd w:val="clear" w:color="auto" w:fill="FFFFFF"/>
          <w:lang w:eastAsia="es-MX"/>
        </w:rPr>
      </w:pPr>
      <w:r>
        <w:rPr>
          <w:rFonts w:ascii="Verdana" w:eastAsia="Times New Roman" w:hAnsi="Verdana" w:cs="Times New Roman"/>
          <w:color w:val="242424"/>
          <w:shd w:val="clear" w:color="auto" w:fill="FFFFFF"/>
          <w:lang w:eastAsia="es-MX"/>
        </w:rPr>
        <w:t>Duitama, Boyacá</w:t>
      </w:r>
    </w:p>
    <w:p w14:paraId="581AF448" w14:textId="77777777" w:rsidR="009131CF" w:rsidRDefault="009131CF" w:rsidP="009131CF">
      <w:pPr>
        <w:spacing w:after="0" w:line="276" w:lineRule="auto"/>
        <w:rPr>
          <w:rFonts w:ascii="Verdana" w:eastAsia="Calibri" w:hAnsi="Verdana" w:cs="Arial"/>
          <w:b/>
          <w:bCs/>
          <w:lang w:val="es-ES_tradnl" w:eastAsia="es-ES_tradnl"/>
        </w:rPr>
      </w:pPr>
    </w:p>
    <w:p w14:paraId="1D1A5E2D" w14:textId="77777777" w:rsidR="009131CF" w:rsidRPr="00F40F0E" w:rsidRDefault="009131CF" w:rsidP="009131CF">
      <w:pPr>
        <w:spacing w:after="0" w:line="276"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9131CF" w:rsidRPr="00F40F0E" w14:paraId="0719B41C" w14:textId="77777777" w:rsidTr="007D4D86">
        <w:trPr>
          <w:trHeight w:val="229"/>
        </w:trPr>
        <w:tc>
          <w:tcPr>
            <w:tcW w:w="2268" w:type="dxa"/>
          </w:tcPr>
          <w:p w14:paraId="179BAD08" w14:textId="77777777" w:rsidR="009131CF" w:rsidRPr="00F40F0E" w:rsidRDefault="009131CF" w:rsidP="007D4D86">
            <w:pPr>
              <w:spacing w:line="276" w:lineRule="auto"/>
              <w:jc w:val="both"/>
              <w:rPr>
                <w:rFonts w:ascii="Verdana" w:eastAsia="Calibri" w:hAnsi="Verdana" w:cs="Arial"/>
                <w:b/>
                <w:bCs/>
                <w:lang w:val="es-ES_tradnl" w:eastAsia="es-ES_tradnl"/>
              </w:rPr>
            </w:pPr>
          </w:p>
        </w:tc>
        <w:tc>
          <w:tcPr>
            <w:tcW w:w="6100" w:type="dxa"/>
          </w:tcPr>
          <w:p w14:paraId="4A49C6BA" w14:textId="77777777" w:rsidR="009131CF" w:rsidRPr="00F40F0E" w:rsidRDefault="009131CF" w:rsidP="007D4D86">
            <w:pPr>
              <w:spacing w:line="276" w:lineRule="auto"/>
              <w:jc w:val="both"/>
              <w:rPr>
                <w:rFonts w:ascii="Verdana" w:eastAsia="Calibri" w:hAnsi="Verdana" w:cs="Arial"/>
                <w:b/>
                <w:bCs/>
                <w:lang w:val="es-ES" w:eastAsia="es-ES"/>
              </w:rPr>
            </w:pPr>
            <w:r w:rsidRPr="00F40F0E">
              <w:rPr>
                <w:rFonts w:ascii="Verdana" w:eastAsia="Calibri" w:hAnsi="Verdana" w:cs="Arial"/>
                <w:b/>
                <w:bCs/>
                <w:lang w:val="es-ES" w:eastAsia="es-ES"/>
              </w:rPr>
              <w:t xml:space="preserve">Concepto </w:t>
            </w:r>
            <w:bookmarkStart w:id="1" w:name="OLE_LINK1"/>
            <w:r w:rsidRPr="00F40F0E">
              <w:rPr>
                <w:rFonts w:ascii="Verdana" w:eastAsia="Calibri" w:hAnsi="Verdana" w:cs="Arial"/>
                <w:b/>
                <w:bCs/>
                <w:lang w:val="es-ES" w:eastAsia="es-ES"/>
              </w:rPr>
              <w:t>C</w:t>
            </w:r>
            <w:r>
              <w:rPr>
                <w:rFonts w:ascii="Verdana" w:eastAsia="Calibri" w:hAnsi="Verdana" w:cs="Arial"/>
                <w:b/>
                <w:bCs/>
                <w:lang w:val="es-ES" w:eastAsia="es-ES"/>
              </w:rPr>
              <w:t xml:space="preserve"> – 752 </w:t>
            </w:r>
            <w:r w:rsidRPr="00F40F0E">
              <w:rPr>
                <w:rFonts w:ascii="Verdana" w:eastAsia="Calibri" w:hAnsi="Verdana" w:cs="Arial"/>
                <w:b/>
                <w:bCs/>
                <w:lang w:val="es-ES" w:eastAsia="es-ES"/>
              </w:rPr>
              <w:t>de 2026</w:t>
            </w:r>
            <w:bookmarkEnd w:id="1"/>
          </w:p>
          <w:p w14:paraId="0B59979A" w14:textId="77777777" w:rsidR="009131CF" w:rsidRPr="00F40F0E" w:rsidRDefault="009131CF" w:rsidP="007D4D86">
            <w:pPr>
              <w:spacing w:line="276" w:lineRule="auto"/>
              <w:jc w:val="both"/>
              <w:rPr>
                <w:rFonts w:ascii="Verdana" w:eastAsia="Calibri" w:hAnsi="Verdana" w:cs="Arial"/>
                <w:b/>
                <w:bCs/>
                <w:lang w:val="es-ES" w:eastAsia="es-ES"/>
              </w:rPr>
            </w:pPr>
          </w:p>
        </w:tc>
      </w:tr>
      <w:tr w:rsidR="009131CF" w:rsidRPr="00F40F0E" w14:paraId="7C61F656" w14:textId="77777777" w:rsidTr="007D4D86">
        <w:trPr>
          <w:trHeight w:val="884"/>
        </w:trPr>
        <w:tc>
          <w:tcPr>
            <w:tcW w:w="2268" w:type="dxa"/>
          </w:tcPr>
          <w:p w14:paraId="001F3C64" w14:textId="77777777" w:rsidR="009131CF" w:rsidRPr="00F40F0E" w:rsidRDefault="009131CF" w:rsidP="007D4D86">
            <w:pPr>
              <w:spacing w:line="276" w:lineRule="auto"/>
              <w:jc w:val="both"/>
              <w:rPr>
                <w:rFonts w:ascii="Verdana" w:eastAsia="Calibri" w:hAnsi="Verdana" w:cs="Arial"/>
                <w:lang w:val="es-ES_tradnl" w:eastAsia="es-ES_tradnl"/>
              </w:rPr>
            </w:pPr>
            <w:r w:rsidRPr="00F40F0E">
              <w:rPr>
                <w:rFonts w:ascii="Verdana" w:eastAsia="Calibri" w:hAnsi="Verdana" w:cs="Arial"/>
                <w:b/>
                <w:lang w:val="es-ES_tradnl" w:eastAsia="es-ES_tradnl"/>
              </w:rPr>
              <w:t>Temas:</w:t>
            </w:r>
            <w:r w:rsidRPr="00F40F0E">
              <w:rPr>
                <w:rFonts w:ascii="Verdana" w:eastAsia="Calibri" w:hAnsi="Verdana" w:cs="Arial"/>
                <w:lang w:val="es-ES_tradnl" w:eastAsia="es-ES_tradnl"/>
              </w:rPr>
              <w:t xml:space="preserve">                   </w:t>
            </w:r>
          </w:p>
        </w:tc>
        <w:tc>
          <w:tcPr>
            <w:tcW w:w="6100" w:type="dxa"/>
          </w:tcPr>
          <w:p w14:paraId="495C6DDE" w14:textId="77777777" w:rsidR="009131CF" w:rsidRPr="009436AE" w:rsidRDefault="009131CF" w:rsidP="007D4D86">
            <w:pPr>
              <w:tabs>
                <w:tab w:val="left" w:pos="0"/>
              </w:tabs>
              <w:snapToGrid w:val="0"/>
              <w:spacing w:line="276" w:lineRule="auto"/>
              <w:jc w:val="both"/>
              <w:rPr>
                <w:rFonts w:ascii="Verdana" w:eastAsia="Calibri" w:hAnsi="Verdana" w:cs="Arial"/>
                <w:color w:val="000000"/>
                <w:lang w:val="es-ES_tradnl" w:eastAsia="es-ES_tradnl"/>
              </w:rPr>
            </w:pPr>
            <w:r w:rsidRPr="009436AE">
              <w:rPr>
                <w:rFonts w:ascii="Verdana" w:eastAsia="Calibri" w:hAnsi="Verdana" w:cs="Arial"/>
                <w:lang w:val="es-ES_tradnl" w:eastAsia="es-MX"/>
              </w:rPr>
              <w:t xml:space="preserve">EMPRESAS SOCIALES DEL ESTADO – Régimen contractual / </w:t>
            </w:r>
            <w:r w:rsidRPr="009436AE">
              <w:rPr>
                <w:rFonts w:ascii="Verdana" w:eastAsia="Calibri" w:hAnsi="Verdana" w:cs="Arial"/>
                <w:color w:val="000000" w:themeColor="text1"/>
                <w:lang w:val="es-ES"/>
              </w:rPr>
              <w:t xml:space="preserve">EGCAP – Ámbito de aplicación – Entidades Estatales / ORGANISMOS INTERNACIONALES – Concepto / </w:t>
            </w:r>
            <w:r w:rsidRPr="009436AE">
              <w:rPr>
                <w:rFonts w:ascii="Verdana" w:hAnsi="Verdana" w:cs="Arial"/>
              </w:rPr>
              <w:t xml:space="preserve">RÉGIMEN CONTRACTUAL – Ley 1150 de 2007 – Artículo 20 / </w:t>
            </w:r>
            <w:r w:rsidRPr="009436AE">
              <w:rPr>
                <w:rFonts w:ascii="Verdana" w:eastAsia="Times New Roman" w:hAnsi="Verdana" w:cs="Arial"/>
                <w:lang w:eastAsia="es-ES_tradnl"/>
              </w:rPr>
              <w:t xml:space="preserve">DOCUMENTOS TIPO – Fundamento normativo – Obligatoriedad – Ámbito de aplicación – Entidades sometidas / </w:t>
            </w:r>
            <w:r w:rsidRPr="009436AE">
              <w:rPr>
                <w:rFonts w:ascii="Verdana" w:eastAsia="Calibri" w:hAnsi="Verdana" w:cs="Arial"/>
                <w:color w:val="000000"/>
                <w:lang w:val="es-ES_tradnl" w:eastAsia="es-ES_tradnl"/>
              </w:rPr>
              <w:t xml:space="preserve">LEY 2195 DE 2022 – Artículo 56 – Entidades con régimen especial de contratación – Documentos tipo – Estatuto General de Contratación de la Administración Pública / LEY 2195 DE 2022 – Artículo 56 – Parágrafo – Alcance </w:t>
            </w:r>
          </w:p>
          <w:p w14:paraId="79EFB790" w14:textId="77777777" w:rsidR="009131CF" w:rsidRPr="009436AE" w:rsidRDefault="009131CF" w:rsidP="007D4D86">
            <w:pPr>
              <w:spacing w:line="276" w:lineRule="auto"/>
              <w:jc w:val="both"/>
              <w:textAlignment w:val="baseline"/>
              <w:rPr>
                <w:rFonts w:ascii="Verdana" w:eastAsia="Calibri" w:hAnsi="Verdana" w:cs="Arial"/>
                <w:lang w:eastAsia="es-ES"/>
              </w:rPr>
            </w:pPr>
          </w:p>
        </w:tc>
      </w:tr>
      <w:tr w:rsidR="009131CF" w:rsidRPr="00F40F0E" w14:paraId="7422AECF" w14:textId="77777777" w:rsidTr="007D4D86">
        <w:tc>
          <w:tcPr>
            <w:tcW w:w="2268" w:type="dxa"/>
          </w:tcPr>
          <w:p w14:paraId="55343827" w14:textId="77777777" w:rsidR="009131CF" w:rsidRPr="00F40F0E" w:rsidRDefault="009131CF" w:rsidP="007D4D86">
            <w:pPr>
              <w:spacing w:line="276" w:lineRule="auto"/>
              <w:jc w:val="both"/>
              <w:rPr>
                <w:rFonts w:ascii="Verdana" w:eastAsia="Calibri" w:hAnsi="Verdana" w:cs="Arial"/>
                <w:b/>
                <w:lang w:val="es-ES_tradnl" w:eastAsia="es-ES_tradnl"/>
              </w:rPr>
            </w:pPr>
            <w:r w:rsidRPr="00F40F0E">
              <w:rPr>
                <w:rFonts w:ascii="Verdana" w:eastAsia="Calibri" w:hAnsi="Verdana" w:cs="Arial"/>
                <w:b/>
                <w:lang w:val="es-ES_tradnl" w:eastAsia="es-ES_tradnl"/>
              </w:rPr>
              <w:t>Radicación:</w:t>
            </w:r>
            <w:r w:rsidRPr="00F40F0E">
              <w:rPr>
                <w:rFonts w:ascii="Verdana" w:eastAsia="Calibri" w:hAnsi="Verdana" w:cs="Arial"/>
                <w:lang w:val="es-ES_tradnl" w:eastAsia="es-ES_tradnl"/>
              </w:rPr>
              <w:t xml:space="preserve">               </w:t>
            </w:r>
          </w:p>
        </w:tc>
        <w:tc>
          <w:tcPr>
            <w:tcW w:w="6100" w:type="dxa"/>
          </w:tcPr>
          <w:p w14:paraId="4F5B1432" w14:textId="77777777" w:rsidR="009131CF" w:rsidRPr="00F40F0E" w:rsidRDefault="009131CF" w:rsidP="007D4D86">
            <w:pPr>
              <w:spacing w:line="276" w:lineRule="auto"/>
              <w:ind w:left="3" w:hanging="3"/>
              <w:jc w:val="both"/>
              <w:rPr>
                <w:rFonts w:ascii="Verdana" w:eastAsia="Calibri" w:hAnsi="Verdana" w:cs="Arial"/>
                <w:lang w:val="es-ES_tradnl" w:eastAsia="es-ES_tradnl"/>
              </w:rPr>
            </w:pPr>
            <w:r w:rsidRPr="00F40F0E">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5325E2">
              <w:rPr>
                <w:rFonts w:ascii="Verdana" w:eastAsia="Calibri" w:hAnsi="Verdana" w:cs="Arial"/>
                <w:lang w:val="es-ES_tradnl" w:eastAsia="es-ES_tradnl"/>
              </w:rPr>
              <w:t>1_2026_05_05_006085</w:t>
            </w:r>
          </w:p>
        </w:tc>
      </w:tr>
    </w:tbl>
    <w:p w14:paraId="71992392" w14:textId="77777777" w:rsidR="009131CF" w:rsidRDefault="009131CF" w:rsidP="009131CF">
      <w:pPr>
        <w:spacing w:after="0" w:line="276" w:lineRule="auto"/>
        <w:jc w:val="both"/>
        <w:rPr>
          <w:rFonts w:ascii="Verdana" w:eastAsia="Calibri" w:hAnsi="Verdana" w:cs="Arial"/>
          <w:lang w:val="es-ES_tradnl" w:eastAsia="es-ES_tradnl"/>
        </w:rPr>
      </w:pPr>
    </w:p>
    <w:p w14:paraId="1AF6994B" w14:textId="77777777" w:rsidR="009131CF" w:rsidRPr="00F40F0E" w:rsidRDefault="009131CF" w:rsidP="009131CF">
      <w:pPr>
        <w:spacing w:after="0" w:line="276" w:lineRule="auto"/>
        <w:jc w:val="both"/>
        <w:rPr>
          <w:rFonts w:ascii="Verdana" w:eastAsia="Calibri" w:hAnsi="Verdana" w:cs="Arial"/>
          <w:lang w:val="es-ES_tradnl" w:eastAsia="es-ES_tradnl"/>
        </w:rPr>
      </w:pPr>
    </w:p>
    <w:p w14:paraId="01639277" w14:textId="77777777" w:rsidR="009131CF" w:rsidRPr="00F40F0E" w:rsidRDefault="009131CF" w:rsidP="009131CF">
      <w:pPr>
        <w:spacing w:after="0" w:line="276" w:lineRule="auto"/>
        <w:jc w:val="both"/>
        <w:rPr>
          <w:rFonts w:ascii="Verdana" w:eastAsia="Calibri" w:hAnsi="Verdana" w:cs="Arial"/>
          <w:lang w:val="es-ES" w:eastAsia="es-ES"/>
        </w:rPr>
      </w:pPr>
      <w:r w:rsidRPr="00F40F0E">
        <w:rPr>
          <w:rFonts w:ascii="Verdana" w:eastAsia="Calibri" w:hAnsi="Verdana" w:cs="Arial"/>
          <w:lang w:val="es-ES" w:eastAsia="es-ES"/>
        </w:rPr>
        <w:t xml:space="preserve">Estimado señor </w:t>
      </w:r>
      <w:r>
        <w:rPr>
          <w:rFonts w:ascii="Verdana" w:eastAsia="Times New Roman" w:hAnsi="Verdana" w:cs="Times New Roman"/>
          <w:color w:val="242424"/>
          <w:shd w:val="clear" w:color="auto" w:fill="FFFFFF"/>
          <w:lang w:eastAsia="es-MX"/>
        </w:rPr>
        <w:t>Gómez Sánchez</w:t>
      </w:r>
      <w:r w:rsidRPr="00F40F0E">
        <w:rPr>
          <w:rFonts w:ascii="Verdana" w:eastAsia="Calibri" w:hAnsi="Verdana" w:cs="Arial"/>
          <w:lang w:val="es-ES" w:eastAsia="es-ES"/>
        </w:rPr>
        <w:t xml:space="preserve">: </w:t>
      </w:r>
    </w:p>
    <w:p w14:paraId="63F685E4" w14:textId="77777777" w:rsidR="009131CF" w:rsidRPr="00F40F0E" w:rsidRDefault="009131CF" w:rsidP="009131CF">
      <w:pPr>
        <w:tabs>
          <w:tab w:val="left" w:pos="3768"/>
        </w:tabs>
        <w:spacing w:after="0" w:line="276" w:lineRule="auto"/>
        <w:jc w:val="both"/>
        <w:rPr>
          <w:rFonts w:ascii="Verdana" w:eastAsia="Calibri" w:hAnsi="Verdana" w:cs="Arial"/>
          <w:lang w:val="es-ES" w:eastAsia="es-ES"/>
        </w:rPr>
      </w:pPr>
      <w:r w:rsidRPr="00F40F0E">
        <w:rPr>
          <w:rFonts w:ascii="Verdana" w:eastAsia="Calibri" w:hAnsi="Verdana" w:cs="Arial"/>
          <w:lang w:val="es-ES" w:eastAsia="es-ES"/>
        </w:rPr>
        <w:tab/>
      </w:r>
    </w:p>
    <w:p w14:paraId="037B718C" w14:textId="77777777" w:rsidR="009131CF" w:rsidRPr="00F40F0E" w:rsidRDefault="009131CF" w:rsidP="009131CF">
      <w:pPr>
        <w:spacing w:after="0" w:line="276" w:lineRule="auto"/>
        <w:jc w:val="both"/>
        <w:rPr>
          <w:rFonts w:ascii="Verdana" w:eastAsia="Calibri" w:hAnsi="Verdana" w:cs="Arial"/>
          <w:lang w:val="es-ES" w:eastAsia="es-ES"/>
        </w:rPr>
      </w:pPr>
      <w:r w:rsidRPr="00F40F0E">
        <w:rPr>
          <w:rFonts w:ascii="Verdana" w:eastAsia="Calibri" w:hAnsi="Verdana" w:cs="Arial"/>
          <w:lang w:val="es-ES" w:eastAsia="es-ES"/>
        </w:rPr>
        <w:t>En ejercicio de la competencia otorgada por los artículos 3, numeral 5º, y 11, numeral 8º, del Decreto Ley 4170 de 2011,</w:t>
      </w:r>
      <w:r w:rsidRPr="00F40F0E">
        <w:rPr>
          <w:rFonts w:ascii="Verdana" w:eastAsia="Arial MT" w:hAnsi="Verdana" w:cs="Arial MT"/>
          <w:lang w:val="es-ES" w:eastAsia="es-ES"/>
        </w:rPr>
        <w:t xml:space="preserve"> </w:t>
      </w:r>
      <w:r w:rsidRPr="00F40F0E">
        <w:rPr>
          <w:rFonts w:ascii="Verdana" w:eastAsia="Calibri" w:hAnsi="Verdana" w:cs="Arial"/>
          <w:lang w:eastAsia="es-MX"/>
        </w:rPr>
        <w:t xml:space="preserve">así como lo establecido por la </w:t>
      </w:r>
      <w:r w:rsidRPr="00F40F0E">
        <w:rPr>
          <w:rFonts w:ascii="Verdana" w:eastAsia="Aptos" w:hAnsi="Verdana" w:cs="Arial"/>
          <w:bCs/>
          <w:lang w:eastAsia="es-ES" w:bidi="es-ES"/>
        </w:rPr>
        <w:t>Resolución</w:t>
      </w:r>
      <w:r>
        <w:rPr>
          <w:rFonts w:ascii="Verdana" w:eastAsia="Aptos" w:hAnsi="Verdana" w:cs="Arial"/>
          <w:bCs/>
          <w:lang w:eastAsia="es-ES" w:bidi="es-ES"/>
        </w:rPr>
        <w:t xml:space="preserve"> No.</w:t>
      </w:r>
      <w:r w:rsidRPr="00F40F0E">
        <w:rPr>
          <w:rFonts w:ascii="Verdana" w:eastAsia="Aptos" w:hAnsi="Verdana" w:cs="Arial"/>
          <w:bCs/>
          <w:lang w:eastAsia="es-ES" w:bidi="es-ES"/>
        </w:rPr>
        <w:t xml:space="preserve"> 469 de 2025 expedida por esta Entidad</w:t>
      </w:r>
      <w:r w:rsidRPr="00F40F0E">
        <w:rPr>
          <w:rFonts w:ascii="Verdana" w:eastAsia="Calibri" w:hAnsi="Verdana" w:cs="Arial"/>
          <w:lang w:eastAsia="es-MX"/>
        </w:rPr>
        <w:t xml:space="preserve">, </w:t>
      </w:r>
      <w:r w:rsidRPr="00F40F0E">
        <w:rPr>
          <w:rFonts w:ascii="Verdana" w:eastAsia="Calibri" w:hAnsi="Verdana" w:cs="Arial"/>
          <w:lang w:val="es-ES" w:eastAsia="es-ES"/>
        </w:rPr>
        <w:t xml:space="preserve">la Agencia Nacional de Contratación Pública –Colombia Compra Eficiente– responde su solicitud de </w:t>
      </w:r>
      <w:r w:rsidRPr="00F40F0E">
        <w:rPr>
          <w:rFonts w:ascii="Verdana" w:eastAsia="Calibri" w:hAnsi="Verdana" w:cs="Arial"/>
          <w:lang w:val="es-ES" w:eastAsia="es-ES"/>
        </w:rPr>
        <w:lastRenderedPageBreak/>
        <w:t xml:space="preserve">consulta del </w:t>
      </w:r>
      <w:r>
        <w:rPr>
          <w:rFonts w:ascii="Verdana" w:eastAsia="Calibri" w:hAnsi="Verdana" w:cs="Arial"/>
          <w:lang w:val="es-ES" w:eastAsia="es-ES"/>
        </w:rPr>
        <w:t>5 de mayo</w:t>
      </w:r>
      <w:r w:rsidRPr="00F40F0E">
        <w:rPr>
          <w:rFonts w:ascii="Verdana" w:eastAsia="Calibri" w:hAnsi="Verdana" w:cs="Arial"/>
          <w:lang w:val="es-ES" w:eastAsia="es-ES"/>
        </w:rPr>
        <w:t xml:space="preserve"> de 2026</w:t>
      </w:r>
      <w:r>
        <w:rPr>
          <w:rFonts w:ascii="Verdana" w:eastAsia="Calibri" w:hAnsi="Verdana" w:cs="Arial"/>
          <w:lang w:val="es-ES" w:eastAsia="es-ES"/>
        </w:rPr>
        <w:t>. En relación con los documentos tipo y la contratación con organismos internacionales, usted manifiesta lo siguiente:</w:t>
      </w:r>
    </w:p>
    <w:p w14:paraId="31BFAE26" w14:textId="77777777" w:rsidR="009131CF" w:rsidRPr="00F40F0E" w:rsidRDefault="009131CF" w:rsidP="009131CF">
      <w:pPr>
        <w:tabs>
          <w:tab w:val="left" w:pos="142"/>
          <w:tab w:val="left" w:pos="284"/>
        </w:tabs>
        <w:spacing w:after="0" w:line="276" w:lineRule="auto"/>
        <w:ind w:left="709" w:right="709"/>
        <w:jc w:val="both"/>
        <w:rPr>
          <w:rFonts w:ascii="Verdana" w:eastAsia="Century Gothic" w:hAnsi="Verdana" w:cs="Century Gothic"/>
          <w:b/>
          <w:bCs/>
          <w:lang w:val="es-ES" w:eastAsia="es-MX"/>
        </w:rPr>
      </w:pPr>
    </w:p>
    <w:p w14:paraId="2188BAAD" w14:textId="77777777" w:rsidR="009131CF" w:rsidRPr="00622CAA" w:rsidRDefault="009131CF" w:rsidP="009131CF">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622CAA">
        <w:rPr>
          <w:rFonts w:ascii="Verdana" w:eastAsia="Times New Roman" w:hAnsi="Verdana" w:cs="Times New Roman"/>
          <w:color w:val="242424"/>
          <w:sz w:val="21"/>
          <w:szCs w:val="21"/>
          <w:lang w:eastAsia="es-MX"/>
        </w:rPr>
        <w:t>“</w:t>
      </w:r>
      <w:r w:rsidRPr="00622CAA">
        <w:rPr>
          <w:rFonts w:ascii="Verdana" w:eastAsia="Aptos" w:hAnsi="Verdana" w:cs="Times New Roman"/>
          <w:b/>
          <w:bCs/>
          <w:kern w:val="2"/>
          <w:sz w:val="21"/>
          <w:szCs w:val="21"/>
          <w14:ligatures w14:val="standardContextual"/>
        </w:rPr>
        <w:t xml:space="preserve">• PRIMERO: </w:t>
      </w:r>
      <w:r w:rsidRPr="00622CAA">
        <w:rPr>
          <w:rFonts w:ascii="Verdana" w:eastAsia="Aptos" w:hAnsi="Verdana" w:cs="Times New Roman"/>
          <w:kern w:val="2"/>
          <w:sz w:val="21"/>
          <w:szCs w:val="21"/>
          <w14:ligatures w14:val="standardContextual"/>
        </w:rPr>
        <w:t>¿Debe una E.S.E. de Régimen Especial aplicar el Estatuto General de la Contratación (Ley 80 de 1993) y las leyes 1150 y 1882 para un proyecto de estas características, o prevalece exclusivamente el manual de adquisiciones de la CAF en virtud del Art. 20 de la Ley 1150?</w:t>
      </w:r>
    </w:p>
    <w:p w14:paraId="156E54A5" w14:textId="77777777" w:rsidR="009131CF" w:rsidRPr="00622CAA" w:rsidRDefault="009131CF" w:rsidP="009131CF">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622CAA">
        <w:rPr>
          <w:rFonts w:ascii="Verdana" w:eastAsia="Aptos" w:hAnsi="Verdana" w:cs="Times New Roman"/>
          <w:b/>
          <w:bCs/>
          <w:kern w:val="2"/>
          <w:sz w:val="21"/>
          <w:szCs w:val="21"/>
          <w14:ligatures w14:val="standardContextual"/>
        </w:rPr>
        <w:t>• SEGUNDO:</w:t>
      </w:r>
      <w:r w:rsidRPr="00622CAA">
        <w:rPr>
          <w:rFonts w:ascii="Verdana" w:eastAsia="Aptos" w:hAnsi="Verdana" w:cs="Times New Roman"/>
          <w:kern w:val="2"/>
          <w:sz w:val="21"/>
          <w:szCs w:val="21"/>
          <w14:ligatures w14:val="standardContextual"/>
        </w:rPr>
        <w:t xml:space="preserve"> ¿Son de obligatorio cumplimiento los Pliegos Tipo de Infraestructura Social adoptados por CCE para una E.S.E. cuando el proyecto es financiado por banca multilateral, o las guías de la CAF desplazan el uso de estos documentos estándar?</w:t>
      </w:r>
    </w:p>
    <w:p w14:paraId="44B1F098" w14:textId="77777777" w:rsidR="009131CF" w:rsidRPr="00622CAA" w:rsidRDefault="009131CF" w:rsidP="009131CF">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622CAA">
        <w:rPr>
          <w:rFonts w:ascii="Verdana" w:eastAsia="Aptos" w:hAnsi="Verdana" w:cs="Times New Roman"/>
          <w:b/>
          <w:bCs/>
          <w:kern w:val="2"/>
          <w:sz w:val="21"/>
          <w:szCs w:val="21"/>
          <w14:ligatures w14:val="standardContextual"/>
        </w:rPr>
        <w:t>• TERCERO:</w:t>
      </w:r>
      <w:r w:rsidRPr="00622CAA">
        <w:rPr>
          <w:rFonts w:ascii="Verdana" w:eastAsia="Aptos" w:hAnsi="Verdana" w:cs="Times New Roman"/>
          <w:kern w:val="2"/>
          <w:sz w:val="21"/>
          <w:szCs w:val="21"/>
          <w14:ligatures w14:val="standardContextual"/>
        </w:rPr>
        <w:t xml:space="preserve"> En caso de ser obligatorios los Pliegos Tipo, ¿cómo debe proceder la entidad si la modalidad de "Llave en Mano" (diseño y construcción en un solo contrato) no se encuentra expresamente tipificada en los documentos estándar de obra pública vigentes?”</w:t>
      </w:r>
    </w:p>
    <w:p w14:paraId="7967C8F6" w14:textId="77777777" w:rsidR="009131CF" w:rsidRPr="00C27D37" w:rsidRDefault="009131CF" w:rsidP="009131CF">
      <w:pPr>
        <w:spacing w:after="0" w:line="240" w:lineRule="auto"/>
        <w:ind w:right="709"/>
        <w:jc w:val="both"/>
        <w:rPr>
          <w:rFonts w:ascii="Arial" w:eastAsia="Aptos" w:hAnsi="Arial" w:cs="Arial"/>
          <w:lang w:eastAsia="es-MX"/>
        </w:rPr>
      </w:pPr>
    </w:p>
    <w:p w14:paraId="1D958C17" w14:textId="77777777" w:rsidR="009131CF" w:rsidRPr="00F40F0E" w:rsidRDefault="009131CF" w:rsidP="009131CF">
      <w:pPr>
        <w:spacing w:after="120" w:line="276" w:lineRule="auto"/>
        <w:ind w:firstLine="709"/>
        <w:jc w:val="both"/>
        <w:rPr>
          <w:rFonts w:ascii="Verdana" w:eastAsia="Calibri" w:hAnsi="Verdana" w:cs="Arial"/>
          <w:color w:val="000000"/>
          <w:lang w:val="es-ES" w:eastAsia="es-ES"/>
        </w:rPr>
      </w:pPr>
      <w:r w:rsidRPr="00F40F0E">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40F0E">
        <w:rPr>
          <w:rFonts w:ascii="Verdana" w:eastAsia="Calibri" w:hAnsi="Verdana" w:cs="Arial"/>
          <w:color w:val="000000"/>
          <w:lang w:val="es-ES_tradnl" w:eastAsia="es-ES_tradnl"/>
        </w:rPr>
        <w:tab/>
      </w:r>
    </w:p>
    <w:p w14:paraId="0D2C189D" w14:textId="77777777" w:rsidR="009131CF" w:rsidRPr="00F40F0E" w:rsidRDefault="009131CF" w:rsidP="009131CF">
      <w:pPr>
        <w:spacing w:after="0" w:line="276" w:lineRule="auto"/>
        <w:ind w:firstLine="709"/>
        <w:jc w:val="both"/>
        <w:rPr>
          <w:rFonts w:ascii="Verdana" w:eastAsia="Calibri" w:hAnsi="Verdana" w:cs="Arial"/>
          <w:color w:val="000000"/>
          <w:lang w:val="es-ES" w:eastAsia="es-ES"/>
        </w:rPr>
      </w:pPr>
      <w:r w:rsidRPr="00F40F0E">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F40F0E">
        <w:rPr>
          <w:rFonts w:ascii="Verdana" w:eastAsia="Calibri" w:hAnsi="Verdana" w:cs="Arial"/>
          <w:color w:val="7030A0"/>
          <w:lang w:val="es-ES" w:eastAsia="es-ES"/>
        </w:rPr>
        <w:t xml:space="preserve"> </w:t>
      </w:r>
      <w:r w:rsidRPr="00F40F0E">
        <w:rPr>
          <w:rFonts w:ascii="Verdana" w:eastAsia="Calibri" w:hAnsi="Verdana" w:cs="Arial"/>
          <w:color w:val="000000"/>
          <w:lang w:val="es-ES" w:eastAsia="es-ES"/>
        </w:rPr>
        <w:t>problema</w:t>
      </w:r>
      <w:r w:rsidRPr="00F40F0E">
        <w:rPr>
          <w:rFonts w:ascii="Verdana" w:eastAsia="Calibri" w:hAnsi="Verdana" w:cs="Arial"/>
          <w:color w:val="7030A0"/>
          <w:lang w:val="es-ES" w:eastAsia="es-ES"/>
        </w:rPr>
        <w:t xml:space="preserve"> </w:t>
      </w:r>
      <w:r w:rsidRPr="00F40F0E">
        <w:rPr>
          <w:rFonts w:ascii="Verdana" w:eastAsia="Calibri" w:hAnsi="Verdana" w:cs="Arial"/>
          <w:color w:val="000000"/>
          <w:lang w:val="es-ES" w:eastAsia="es-ES"/>
        </w:rPr>
        <w:t>jurídico</w:t>
      </w:r>
      <w:r w:rsidRPr="00F40F0E">
        <w:rPr>
          <w:rFonts w:ascii="Verdana" w:eastAsia="Calibri" w:hAnsi="Verdana" w:cs="Arial"/>
          <w:color w:val="7030A0"/>
          <w:lang w:val="es-ES" w:eastAsia="es-ES"/>
        </w:rPr>
        <w:t xml:space="preserve"> </w:t>
      </w:r>
      <w:r w:rsidRPr="00F40F0E">
        <w:rPr>
          <w:rFonts w:ascii="Verdana" w:eastAsia="Calibri" w:hAnsi="Verdana" w:cs="Arial"/>
          <w:color w:val="000000"/>
          <w:lang w:val="es-ES" w:eastAsia="es-ES"/>
        </w:rPr>
        <w:t xml:space="preserve">de su consulta. </w:t>
      </w:r>
    </w:p>
    <w:p w14:paraId="6FB8F2BC" w14:textId="77777777" w:rsidR="009131CF" w:rsidRPr="00F40F0E" w:rsidRDefault="009131CF" w:rsidP="009131CF">
      <w:pPr>
        <w:spacing w:after="0" w:line="276" w:lineRule="auto"/>
        <w:jc w:val="both"/>
        <w:rPr>
          <w:rFonts w:ascii="Verdana" w:eastAsia="Calibri" w:hAnsi="Verdana" w:cs="Arial"/>
          <w:lang w:val="es-ES" w:eastAsia="es-ES"/>
        </w:rPr>
      </w:pPr>
    </w:p>
    <w:p w14:paraId="2544FCE0" w14:textId="77777777" w:rsidR="009131CF" w:rsidRPr="00F40F0E" w:rsidRDefault="009131CF" w:rsidP="009131CF">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F40F0E">
        <w:rPr>
          <w:rFonts w:ascii="Verdana" w:eastAsia="Century Gothic" w:hAnsi="Verdana" w:cs="Century Gothic"/>
          <w:b/>
          <w:bCs/>
          <w:lang w:eastAsia="es-MX"/>
        </w:rPr>
        <w:t>Problema planteado:</w:t>
      </w:r>
    </w:p>
    <w:p w14:paraId="62A5EA79" w14:textId="77777777" w:rsidR="009131CF" w:rsidRPr="00F40F0E" w:rsidRDefault="009131CF" w:rsidP="009131CF">
      <w:pPr>
        <w:tabs>
          <w:tab w:val="left" w:pos="426"/>
        </w:tabs>
        <w:spacing w:after="0" w:line="276" w:lineRule="auto"/>
        <w:jc w:val="both"/>
        <w:rPr>
          <w:rFonts w:ascii="Verdana" w:eastAsia="Century Gothic" w:hAnsi="Verdana" w:cs="Century Gothic"/>
          <w:lang w:val="es-ES" w:eastAsia="es-MX"/>
        </w:rPr>
      </w:pPr>
    </w:p>
    <w:p w14:paraId="122120A4" w14:textId="77777777" w:rsidR="009131CF" w:rsidRPr="00F40F0E" w:rsidRDefault="009131CF" w:rsidP="009131CF">
      <w:pPr>
        <w:spacing w:after="0" w:line="276" w:lineRule="auto"/>
        <w:jc w:val="both"/>
        <w:rPr>
          <w:rFonts w:ascii="Verdana" w:eastAsia="Century Gothic" w:hAnsi="Verdana" w:cs="Century Gothic"/>
          <w:lang w:eastAsia="es-MX"/>
        </w:rPr>
      </w:pPr>
      <w:r w:rsidRPr="00F40F0E">
        <w:rPr>
          <w:rFonts w:ascii="Verdana" w:eastAsia="Century Gothic" w:hAnsi="Verdana" w:cs="Century Gothic"/>
          <w:lang w:eastAsia="es-MX"/>
        </w:rPr>
        <w:t xml:space="preserve">De acuerdo con el contenido de su solicitud, esta Agencia resolverá </w:t>
      </w:r>
      <w:r>
        <w:rPr>
          <w:rFonts w:ascii="Verdana" w:eastAsia="Century Gothic" w:hAnsi="Verdana" w:cs="Century Gothic"/>
          <w:lang w:eastAsia="es-MX"/>
        </w:rPr>
        <w:t xml:space="preserve">el </w:t>
      </w:r>
      <w:r w:rsidRPr="00F40F0E">
        <w:rPr>
          <w:rFonts w:ascii="Verdana" w:eastAsia="Century Gothic" w:hAnsi="Verdana" w:cs="Century Gothic"/>
          <w:lang w:eastAsia="es-MX"/>
        </w:rPr>
        <w:t>siguiente problema jurídico:</w:t>
      </w:r>
      <w:r>
        <w:rPr>
          <w:rFonts w:ascii="Verdana" w:eastAsia="Century Gothic" w:hAnsi="Verdana" w:cs="Century Gothic"/>
          <w:lang w:eastAsia="es-MX"/>
        </w:rPr>
        <w:t xml:space="preserve"> ¿cuál es el alcance en torno a la aplicación de los documentos tipo y las disposiciones relacionadas con la contratación con organismos internacionales por parte de una Empresa Social del Estado –ESE–, teniendo en cuenta, entre otras normas, los artículos 20 de la Ley 1150 de 2007 y 56 de la Ley 2195 de 2022?</w:t>
      </w:r>
    </w:p>
    <w:p w14:paraId="1BEDF0A6" w14:textId="77777777" w:rsidR="009131CF" w:rsidRDefault="009131CF" w:rsidP="009131CF">
      <w:pPr>
        <w:tabs>
          <w:tab w:val="left" w:pos="142"/>
          <w:tab w:val="left" w:pos="284"/>
        </w:tabs>
        <w:spacing w:after="0" w:line="276" w:lineRule="auto"/>
        <w:jc w:val="both"/>
        <w:rPr>
          <w:rFonts w:ascii="Verdana" w:eastAsia="Century Gothic" w:hAnsi="Verdana" w:cs="Century Gothic"/>
          <w:b/>
          <w:bCs/>
          <w:lang w:val="es-ES" w:eastAsia="es-MX"/>
        </w:rPr>
      </w:pPr>
    </w:p>
    <w:p w14:paraId="1235C535" w14:textId="77777777" w:rsidR="009131CF" w:rsidRPr="00F40F0E" w:rsidRDefault="009131CF" w:rsidP="009131CF">
      <w:pPr>
        <w:tabs>
          <w:tab w:val="left" w:pos="142"/>
          <w:tab w:val="left" w:pos="284"/>
        </w:tabs>
        <w:spacing w:after="0" w:line="276" w:lineRule="auto"/>
        <w:jc w:val="both"/>
        <w:rPr>
          <w:rFonts w:ascii="Verdana" w:eastAsia="Century Gothic" w:hAnsi="Verdana" w:cs="Century Gothic"/>
          <w:b/>
          <w:bCs/>
          <w:lang w:val="es-ES" w:eastAsia="es-MX"/>
        </w:rPr>
      </w:pPr>
      <w:r w:rsidRPr="00F40F0E">
        <w:rPr>
          <w:rFonts w:ascii="Verdana" w:eastAsia="Century Gothic" w:hAnsi="Verdana" w:cs="Century Gothic"/>
          <w:b/>
          <w:bCs/>
          <w:lang w:val="es-ES" w:eastAsia="es-MX"/>
        </w:rPr>
        <w:t>2. Respuestas:</w:t>
      </w:r>
    </w:p>
    <w:p w14:paraId="33DB3EDF" w14:textId="77777777" w:rsidR="009131CF" w:rsidRPr="00F40F0E" w:rsidRDefault="009131CF" w:rsidP="009131CF">
      <w:pPr>
        <w:tabs>
          <w:tab w:val="left" w:pos="142"/>
          <w:tab w:val="left" w:pos="284"/>
        </w:tabs>
        <w:spacing w:after="0" w:line="276" w:lineRule="auto"/>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131CF" w:rsidRPr="00F40F0E" w14:paraId="78CED05A" w14:textId="77777777" w:rsidTr="007D4D86">
        <w:trPr>
          <w:trHeight w:val="1304"/>
        </w:trPr>
        <w:tc>
          <w:tcPr>
            <w:tcW w:w="8828" w:type="dxa"/>
            <w:tcBorders>
              <w:top w:val="dotted" w:sz="4" w:space="0" w:color="auto"/>
              <w:left w:val="dotted" w:sz="4" w:space="0" w:color="auto"/>
              <w:bottom w:val="dotted" w:sz="4" w:space="0" w:color="auto"/>
              <w:right w:val="dotted" w:sz="4" w:space="0" w:color="auto"/>
            </w:tcBorders>
          </w:tcPr>
          <w:p w14:paraId="7D07C8D3" w14:textId="77777777" w:rsidR="009131CF" w:rsidRPr="00F40F0E" w:rsidRDefault="009131CF" w:rsidP="007D4D86">
            <w:pPr>
              <w:tabs>
                <w:tab w:val="left" w:pos="426"/>
              </w:tabs>
              <w:spacing w:after="120" w:line="276" w:lineRule="auto"/>
              <w:jc w:val="both"/>
              <w:rPr>
                <w:rFonts w:ascii="Verdana" w:eastAsia="Calibri" w:hAnsi="Verdana" w:cs="Arial"/>
              </w:rPr>
            </w:pPr>
            <w:r w:rsidRPr="00F40F0E">
              <w:rPr>
                <w:rFonts w:ascii="Verdana" w:eastAsia="Calibri" w:hAnsi="Verdana" w:cs="Arial"/>
                <w:lang w:val="es-ES" w:eastAsia="es-MX"/>
              </w:rPr>
              <w:t xml:space="preserve">i. </w:t>
            </w:r>
            <w:r w:rsidRPr="00F40F0E">
              <w:rPr>
                <w:rFonts w:ascii="Verdana" w:eastAsia="Calibri" w:hAnsi="Verdana" w:cs="Arial"/>
                <w:lang w:val="es-MX"/>
              </w:rPr>
              <w:t>En materia contractual</w:t>
            </w:r>
            <w:r>
              <w:rPr>
                <w:rFonts w:ascii="Verdana" w:eastAsia="Calibri" w:hAnsi="Verdana" w:cs="Arial"/>
                <w:lang w:val="es-MX"/>
              </w:rPr>
              <w:t xml:space="preserve">, </w:t>
            </w:r>
            <w:r w:rsidRPr="00F40F0E">
              <w:rPr>
                <w:rFonts w:ascii="Verdana" w:eastAsia="Calibri" w:hAnsi="Verdana" w:cs="Arial"/>
              </w:rPr>
              <w:t>de conformidad con el numeral 6 del artículo 195 de la Ley 100 de 1993, el régimen de contratación de las Empresas Social</w:t>
            </w:r>
            <w:r>
              <w:rPr>
                <w:rFonts w:ascii="Verdana" w:eastAsia="Calibri" w:hAnsi="Verdana" w:cs="Arial"/>
              </w:rPr>
              <w:t>es</w:t>
            </w:r>
            <w:r w:rsidRPr="00F40F0E">
              <w:rPr>
                <w:rFonts w:ascii="Verdana" w:eastAsia="Calibri" w:hAnsi="Verdana" w:cs="Arial"/>
              </w:rPr>
              <w:t xml:space="preserve"> del Estado </w:t>
            </w:r>
            <w:r w:rsidRPr="00F40F0E">
              <w:rPr>
                <w:rFonts w:ascii="Verdana" w:eastAsia="Calibri" w:hAnsi="Verdana" w:cs="Arial"/>
                <w:lang w:val="es-MX"/>
              </w:rPr>
              <w:t>–ESE–</w:t>
            </w:r>
            <w:r w:rsidRPr="00F40F0E">
              <w:rPr>
                <w:rFonts w:ascii="Verdana" w:eastAsia="Calibri" w:hAnsi="Verdana" w:cs="Times New Roman"/>
              </w:rPr>
              <w:t xml:space="preserve"> </w:t>
            </w:r>
            <w:r w:rsidRPr="00F40F0E">
              <w:rPr>
                <w:rFonts w:ascii="Verdana" w:eastAsia="Calibri" w:hAnsi="Verdana" w:cs="Arial"/>
              </w:rPr>
              <w:t xml:space="preserve">es el de derecho privado, es decir, se rige por las disposiciones contenidas en el Código de Comercio y en el Código Civil, aplicables en lo que resulten pertinentes, salvo en las materias particularmente reguladas por el derecho público. </w:t>
            </w:r>
          </w:p>
          <w:p w14:paraId="2EB0425C" w14:textId="77777777" w:rsidR="009131CF" w:rsidRPr="00F40F0E" w:rsidRDefault="009131CF" w:rsidP="007D4D86">
            <w:pPr>
              <w:widowControl w:val="0"/>
              <w:autoSpaceDE w:val="0"/>
              <w:autoSpaceDN w:val="0"/>
              <w:spacing w:after="120" w:line="276" w:lineRule="auto"/>
              <w:ind w:firstLine="709"/>
              <w:jc w:val="both"/>
              <w:rPr>
                <w:rFonts w:ascii="Verdana" w:eastAsia="Calibri" w:hAnsi="Verdana" w:cs="Arial"/>
                <w:lang w:val="es-ES_tradnl"/>
              </w:rPr>
            </w:pPr>
            <w:r w:rsidRPr="00F40F0E">
              <w:rPr>
                <w:rFonts w:ascii="Verdana" w:eastAsia="Arial" w:hAnsi="Verdana" w:cs="Arial"/>
                <w:lang w:val="es-ES"/>
              </w:rPr>
              <w:t xml:space="preserve">En consecuencia, </w:t>
            </w:r>
            <w:r w:rsidRPr="00F40F0E">
              <w:rPr>
                <w:rFonts w:ascii="Verdana" w:eastAsia="Calibri" w:hAnsi="Verdana" w:cs="Arial"/>
                <w:color w:val="000000"/>
                <w:lang w:val="es-MX"/>
              </w:rPr>
              <w:t xml:space="preserve">las </w:t>
            </w:r>
            <w:r w:rsidRPr="00F40F0E">
              <w:rPr>
                <w:rFonts w:ascii="Verdana" w:eastAsia="Arial" w:hAnsi="Verdana" w:cs="Arial"/>
                <w:lang w:val="es-MX"/>
              </w:rPr>
              <w:t>–ESE–</w:t>
            </w:r>
            <w:r w:rsidRPr="00F40F0E">
              <w:rPr>
                <w:rFonts w:ascii="Verdana" w:eastAsia="Arial" w:hAnsi="Verdana" w:cs="Arial"/>
                <w:lang w:val="es-ES"/>
              </w:rPr>
              <w:t xml:space="preserve"> </w:t>
            </w:r>
            <w:r w:rsidRPr="00F40F0E">
              <w:rPr>
                <w:rFonts w:ascii="Verdana" w:eastAsia="Calibri" w:hAnsi="Verdana" w:cs="Arial"/>
                <w:color w:val="000000"/>
                <w:lang w:val="es-MX"/>
              </w:rPr>
              <w:t xml:space="preserve">no están sometidas al EGCAP ni a las normas que lo reglamentan o complementan, ya que, por disposición expresa de la norma transcrita, sus </w:t>
            </w:r>
            <w:r w:rsidRPr="00F40F0E">
              <w:rPr>
                <w:rFonts w:ascii="Verdana" w:eastAsia="Arial" w:hAnsi="Verdana" w:cs="Arial"/>
                <w:lang w:val="es-ES"/>
              </w:rPr>
              <w:t xml:space="preserve">contratos se rigen por el derecho privado. </w:t>
            </w:r>
          </w:p>
          <w:p w14:paraId="3AEE9911" w14:textId="77777777" w:rsidR="009131CF" w:rsidRPr="00F40F0E" w:rsidRDefault="009131CF" w:rsidP="007D4D86">
            <w:pPr>
              <w:spacing w:after="120" w:line="276" w:lineRule="auto"/>
              <w:ind w:firstLine="709"/>
              <w:jc w:val="both"/>
              <w:rPr>
                <w:rFonts w:ascii="Verdana" w:eastAsia="Arial" w:hAnsi="Verdana" w:cs="Arial"/>
              </w:rPr>
            </w:pPr>
            <w:r w:rsidRPr="00F40F0E">
              <w:rPr>
                <w:rFonts w:ascii="Verdana" w:eastAsia="Arial" w:hAnsi="Verdana" w:cs="Arial"/>
              </w:rPr>
              <w:t xml:space="preserve">Ahora bien, puede decirse que una de las reglas para las </w:t>
            </w:r>
            <w:r w:rsidRPr="00F40F0E">
              <w:rPr>
                <w:rFonts w:ascii="Verdana" w:eastAsia="Calibri" w:hAnsi="Verdana" w:cs="Arial"/>
                <w:lang w:val="es-MX"/>
              </w:rPr>
              <w:t>–ESE–</w:t>
            </w:r>
            <w:r w:rsidRPr="00F40F0E">
              <w:rPr>
                <w:rFonts w:ascii="Verdana" w:eastAsia="Arial" w:hAnsi="Verdana" w:cs="Arial"/>
              </w:rPr>
              <w:t xml:space="preserve">, derivada de las normas de derecho público estudiadas, consiste en el deber de expedir un manual de contratación. </w:t>
            </w:r>
            <w:r w:rsidRPr="00F40F0E">
              <w:rPr>
                <w:rFonts w:ascii="Verdana" w:eastAsia="Calibri" w:hAnsi="Verdana" w:cs="Arial"/>
                <w:lang w:val="es-ES_tradnl"/>
              </w:rPr>
              <w:t xml:space="preserve">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 </w:t>
            </w:r>
          </w:p>
          <w:p w14:paraId="6E72EC40" w14:textId="77777777" w:rsidR="009131CF" w:rsidRDefault="009131CF" w:rsidP="007D4D86">
            <w:pPr>
              <w:spacing w:line="276" w:lineRule="auto"/>
              <w:ind w:firstLine="708"/>
              <w:jc w:val="both"/>
              <w:rPr>
                <w:rFonts w:ascii="Verdana" w:eastAsia="Calibri" w:hAnsi="Verdana" w:cs="Arial"/>
                <w:bCs/>
                <w:color w:val="000000"/>
                <w:lang w:val="es-ES"/>
              </w:rPr>
            </w:pPr>
            <w:r w:rsidRPr="004B0AA7">
              <w:rPr>
                <w:rFonts w:ascii="Verdana" w:eastAsia="Calibri" w:hAnsi="Verdana" w:cs="Times New Roman"/>
              </w:rPr>
              <w:t xml:space="preserve">En este sentido, </w:t>
            </w:r>
            <w:r w:rsidRPr="004B0AA7">
              <w:rPr>
                <w:rFonts w:ascii="Verdana" w:eastAsia="Calibri" w:hAnsi="Verdana" w:cs="Arial"/>
                <w:bCs/>
                <w:color w:val="000000"/>
                <w:lang w:val="es-ES"/>
              </w:rPr>
              <w:t>las Empresas Sociales del Estado – ESE no se encuentran sometidas al Estatuto General de Contratación de la Administración Pública, ni a las normas que lo reglamentan o complementan y, en consecuencia, su actividad contractual se rige por un régimen especial de derecho privado y particularmente por lo dispuesto en sus respectivos manuales de contratación.</w:t>
            </w:r>
          </w:p>
          <w:p w14:paraId="49DE539A" w14:textId="77777777" w:rsidR="009131CF" w:rsidRPr="00F40F0E" w:rsidRDefault="009131CF" w:rsidP="007D4D86">
            <w:pPr>
              <w:spacing w:line="276" w:lineRule="auto"/>
              <w:ind w:firstLine="708"/>
              <w:jc w:val="both"/>
              <w:rPr>
                <w:rFonts w:ascii="Verdana" w:eastAsia="Calibri" w:hAnsi="Verdana" w:cs="Arial"/>
                <w:bCs/>
                <w:color w:val="000000"/>
                <w:lang w:val="es-ES"/>
              </w:rPr>
            </w:pPr>
          </w:p>
          <w:p w14:paraId="713A1AA0" w14:textId="77777777" w:rsidR="009131CF" w:rsidRPr="00614000" w:rsidRDefault="009131CF" w:rsidP="007D4D86">
            <w:pPr>
              <w:snapToGrid w:val="0"/>
              <w:spacing w:after="120" w:line="276" w:lineRule="auto"/>
              <w:jc w:val="both"/>
              <w:rPr>
                <w:rFonts w:ascii="Verdana" w:eastAsia="Times New Roman" w:hAnsi="Verdana" w:cs="Arial"/>
                <w:color w:val="000000" w:themeColor="text1"/>
                <w:lang w:eastAsia="es-CO"/>
              </w:rPr>
            </w:pPr>
            <w:proofErr w:type="spellStart"/>
            <w:r w:rsidRPr="00F40F0E">
              <w:rPr>
                <w:rFonts w:ascii="Verdana" w:eastAsia="Calibri" w:hAnsi="Verdana" w:cs="Arial"/>
                <w:lang w:val="es-ES" w:eastAsia="es-MX"/>
              </w:rPr>
              <w:lastRenderedPageBreak/>
              <w:t>ii</w:t>
            </w:r>
            <w:proofErr w:type="spellEnd"/>
            <w:r w:rsidRPr="00F40F0E">
              <w:rPr>
                <w:rFonts w:ascii="Verdana" w:eastAsia="Calibri" w:hAnsi="Verdana" w:cs="Arial"/>
                <w:lang w:val="es-ES" w:eastAsia="es-MX"/>
              </w:rPr>
              <w:t>.</w:t>
            </w:r>
            <w:r w:rsidRPr="006B78D3">
              <w:rPr>
                <w:rFonts w:ascii="Verdana" w:hAnsi="Verdana" w:cs="Arial"/>
                <w:lang w:val="es-ES"/>
              </w:rPr>
              <w:t xml:space="preserve"> Por organismo internacional se entiende aquella organización, grupo o asociación que se extiende más allá de las fronteras de un Estado y cuenta con órganos gubernamentales permanentes distintos e independientes de los Estados miembros de la organización que garantizan su vigencia y operatividad, con el propósito de cumplir objetivos comunes entre los Estados miembros</w:t>
            </w:r>
            <w:r w:rsidRPr="006B78D3">
              <w:rPr>
                <w:rFonts w:ascii="Verdana" w:hAnsi="Verdana" w:cs="Arial"/>
                <w:vertAlign w:val="superscript"/>
              </w:rPr>
              <w:footnoteReference w:id="2"/>
            </w:r>
            <w:r w:rsidRPr="006B78D3">
              <w:rPr>
                <w:rFonts w:ascii="Verdana" w:hAnsi="Verdana" w:cs="Arial"/>
                <w:lang w:val="es-ES"/>
              </w:rPr>
              <w:t xml:space="preserve">.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14:paraId="5D1C6A9A" w14:textId="77777777" w:rsidR="009131CF" w:rsidRPr="007F7659" w:rsidRDefault="009131CF" w:rsidP="007D4D86">
            <w:pPr>
              <w:snapToGrid w:val="0"/>
              <w:spacing w:after="120" w:line="276" w:lineRule="auto"/>
              <w:ind w:firstLine="709"/>
              <w:jc w:val="both"/>
              <w:rPr>
                <w:rFonts w:ascii="Verdana" w:eastAsia="Calibri" w:hAnsi="Verdana" w:cs="Arial"/>
                <w:lang w:val="es-ES"/>
              </w:rPr>
            </w:pPr>
            <w:r w:rsidRPr="006B78D3">
              <w:rPr>
                <w:rFonts w:ascii="Verdana" w:eastAsia="Calibri" w:hAnsi="Verdana" w:cs="Arial"/>
                <w:lang w:val="es-ES"/>
              </w:rPr>
              <w:t>El artículo 13 de la Ley 80 de 1993 regula de forma general el régimen aplicable a los contratos que celebren las entidades referidas en el artículo segundo del estatuto, señalando en el inciso primero, como primer criterio, la aplicabilidad de las disposiciones civiles y comerciales nacionales, sin perjuicio de la aplicación prevalente de las contenidas en el Estatuto General de Contratación de la Administración Pública</w:t>
            </w:r>
            <w:r w:rsidRPr="006B78D3">
              <w:rPr>
                <w:rFonts w:ascii="Verdana" w:hAnsi="Verdana" w:cs="Arial"/>
                <w:vertAlign w:val="superscript"/>
                <w:lang w:val="es-ES"/>
              </w:rPr>
              <w:footnoteReference w:id="3"/>
            </w:r>
            <w:r w:rsidRPr="006B78D3">
              <w:rPr>
                <w:rFonts w:ascii="Verdana" w:eastAsia="Calibri" w:hAnsi="Verdana" w:cs="Arial"/>
                <w:lang w:val="es-ES"/>
              </w:rPr>
              <w:t xml:space="preserve">.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 </w:t>
            </w:r>
          </w:p>
          <w:p w14:paraId="2632872A" w14:textId="77777777" w:rsidR="009131CF" w:rsidRPr="006B78D3" w:rsidRDefault="009131CF" w:rsidP="007D4D86">
            <w:pPr>
              <w:snapToGrid w:val="0"/>
              <w:spacing w:line="276" w:lineRule="auto"/>
              <w:ind w:firstLine="709"/>
              <w:contextualSpacing/>
              <w:jc w:val="both"/>
              <w:rPr>
                <w:rFonts w:ascii="Verdana" w:eastAsia="Calibri" w:hAnsi="Verdana" w:cs="Arial"/>
                <w:lang w:val="es-ES"/>
              </w:rPr>
            </w:pPr>
            <w:r w:rsidRPr="006B78D3">
              <w:rPr>
                <w:rFonts w:ascii="Verdana" w:eastAsia="Calibri" w:hAnsi="Verdana" w:cs="Arial"/>
                <w:lang w:val="es-ES"/>
              </w:rPr>
              <w:t>Nótese cómo el artículo citado permite que las entidades estatales no se rijan siempre por la normativa colombiana, permitiendo, en algunos casos, la aplicación de la ley extranjera. Además de los supuestos anteriores, el Consejo de Estado explica, en general, los siguientes escenarios, en los cuales el régimen jurídico puede ser uno diferente al prescrito en el derecho nacional, pese a tratarse de contratos sometidos, en principio, a la Ley 80 de 1993:</w:t>
            </w:r>
          </w:p>
          <w:p w14:paraId="7B781B57" w14:textId="77777777" w:rsidR="009131CF" w:rsidRPr="006B78D3" w:rsidRDefault="009131CF" w:rsidP="007D4D86">
            <w:pPr>
              <w:snapToGrid w:val="0"/>
              <w:spacing w:line="276" w:lineRule="auto"/>
              <w:ind w:firstLine="709"/>
              <w:contextualSpacing/>
              <w:jc w:val="both"/>
              <w:rPr>
                <w:rFonts w:ascii="Verdana" w:eastAsia="Calibri" w:hAnsi="Verdana" w:cs="Arial"/>
                <w:lang w:val="es-ES"/>
              </w:rPr>
            </w:pPr>
          </w:p>
          <w:p w14:paraId="49BDC494" w14:textId="77777777" w:rsidR="009131CF" w:rsidRPr="00013234" w:rsidRDefault="009131CF" w:rsidP="007D4D86">
            <w:pPr>
              <w:ind w:left="709" w:right="709"/>
              <w:contextualSpacing/>
              <w:jc w:val="both"/>
              <w:rPr>
                <w:rFonts w:ascii="Verdana" w:eastAsia="MS Mincho" w:hAnsi="Verdana" w:cs="Arial"/>
                <w:sz w:val="21"/>
                <w:szCs w:val="21"/>
                <w:lang w:val="es-ES" w:eastAsia="es-ES"/>
              </w:rPr>
            </w:pPr>
            <w:r w:rsidRPr="00013234">
              <w:rPr>
                <w:rFonts w:ascii="Verdana" w:eastAsia="MS Mincho" w:hAnsi="Verdana" w:cs="Arial"/>
                <w:sz w:val="21"/>
                <w:szCs w:val="21"/>
                <w:lang w:val="es-ES" w:eastAsia="es-ES"/>
              </w:rPr>
              <w:lastRenderedPageBreak/>
              <w:t xml:space="preserve">“i) Contratos celebrados en el exterior, los cuales se podrán regir en su ejecución por las reglas del país donde se ha suscrito, salvo cuando su cumplimiento deba hacerse en Colombia, caso en el cual se aplicará la legislación nacional, </w:t>
            </w:r>
            <w:proofErr w:type="spellStart"/>
            <w:r w:rsidRPr="00013234">
              <w:rPr>
                <w:rFonts w:ascii="Verdana" w:eastAsia="MS Mincho" w:hAnsi="Verdana" w:cs="Arial"/>
                <w:sz w:val="21"/>
                <w:szCs w:val="21"/>
                <w:lang w:val="es-ES" w:eastAsia="es-ES"/>
              </w:rPr>
              <w:t>ii</w:t>
            </w:r>
            <w:proofErr w:type="spellEnd"/>
            <w:r w:rsidRPr="00013234">
              <w:rPr>
                <w:rFonts w:ascii="Verdana" w:eastAsia="MS Mincho" w:hAnsi="Verdana" w:cs="Arial"/>
                <w:sz w:val="21"/>
                <w:szCs w:val="21"/>
                <w:lang w:val="es-ES" w:eastAsia="es-ES"/>
              </w:rPr>
              <w:t xml:space="preserve">) Contratos celebrados en territorio colombiano que deben ejecutarse o cumplirse en el extranjero, en tal caso podrá regirse bajo legislación foránea, salvo aquella parte que deba ejecutarse o cumplirse en Colombia, la cual se regirá por el derecho nacional, </w:t>
            </w:r>
            <w:proofErr w:type="spellStart"/>
            <w:r w:rsidRPr="00013234">
              <w:rPr>
                <w:rFonts w:ascii="Verdana" w:eastAsia="MS Mincho" w:hAnsi="Verdana" w:cs="Arial"/>
                <w:sz w:val="21"/>
                <w:szCs w:val="21"/>
                <w:lang w:val="es-ES" w:eastAsia="es-ES"/>
              </w:rPr>
              <w:t>iii</w:t>
            </w:r>
            <w:proofErr w:type="spellEnd"/>
            <w:r w:rsidRPr="00013234">
              <w:rPr>
                <w:rFonts w:ascii="Verdana" w:eastAsia="MS Mincho" w:hAnsi="Verdana" w:cs="Arial"/>
                <w:sz w:val="21"/>
                <w:szCs w:val="21"/>
                <w:lang w:val="es-ES" w:eastAsia="es-ES"/>
              </w:rPr>
              <w:t>) a) los contratos financiados con fondos de organismos multilaterales de crédito y b) aquellos celebrados con personas extranjeras de derecho público u organismos de cooperación, asistencia o ayudas internacionales, los cuales ‘podrán someterse a los reglamentos de tales entidades en todo lo relacionado con procedimientos de formación y adjudicación y cláusulas especiales de ejecución, cumplimiento, pagos y ajustes’”</w:t>
            </w:r>
            <w:r w:rsidRPr="00013234">
              <w:rPr>
                <w:rFonts w:ascii="Verdana" w:hAnsi="Verdana" w:cs="Arial"/>
                <w:sz w:val="21"/>
                <w:szCs w:val="21"/>
                <w:vertAlign w:val="superscript"/>
                <w:lang w:val="es-ES"/>
              </w:rPr>
              <w:footnoteReference w:id="4"/>
            </w:r>
            <w:r w:rsidRPr="00013234">
              <w:rPr>
                <w:rFonts w:ascii="Verdana" w:eastAsia="MS Mincho" w:hAnsi="Verdana" w:cs="Arial"/>
                <w:sz w:val="21"/>
                <w:szCs w:val="21"/>
                <w:lang w:val="es-ES" w:eastAsia="es-ES"/>
              </w:rPr>
              <w:t xml:space="preserve">. </w:t>
            </w:r>
          </w:p>
          <w:p w14:paraId="102B31DE" w14:textId="77777777" w:rsidR="009131CF" w:rsidRPr="006B78D3" w:rsidRDefault="009131CF" w:rsidP="007D4D86">
            <w:pPr>
              <w:spacing w:line="276" w:lineRule="auto"/>
              <w:ind w:right="709"/>
              <w:rPr>
                <w:rFonts w:ascii="Verdana" w:eastAsia="Calibri" w:hAnsi="Verdana" w:cs="Arial"/>
              </w:rPr>
            </w:pPr>
          </w:p>
          <w:p w14:paraId="6424CBCA" w14:textId="77777777" w:rsidR="009131CF" w:rsidRPr="00243996" w:rsidRDefault="009131CF" w:rsidP="007D4D86">
            <w:pPr>
              <w:snapToGrid w:val="0"/>
              <w:spacing w:after="120" w:line="276" w:lineRule="auto"/>
              <w:ind w:firstLine="709"/>
              <w:jc w:val="both"/>
              <w:rPr>
                <w:rFonts w:ascii="Verdana" w:eastAsia="Calibri" w:hAnsi="Verdana" w:cs="Arial"/>
                <w:lang w:val="es-ES"/>
              </w:rPr>
            </w:pPr>
            <w:r w:rsidRPr="006B78D3">
              <w:rPr>
                <w:rFonts w:ascii="Verdana" w:eastAsia="Calibri" w:hAnsi="Verdana" w:cs="Arial"/>
                <w:lang w:val="es-ES"/>
              </w:rPr>
              <w:t>La redacción original del artículo 13 de la Ley 80 de 1993 incluía un inciso cuarto en el que se regulaba el régimen aplicable a los contratos suscritos con organismos internacionales, estableciendo otros supuestos donde era posible aplicar un régimen distinto al del Estatuto General de Contratación de la Administración Pública –en adelante EGCAP–</w:t>
            </w:r>
            <w:r w:rsidRPr="006B78D3">
              <w:rPr>
                <w:rFonts w:ascii="Verdana" w:eastAsia="Calibri" w:hAnsi="Verdana" w:cs="Arial"/>
                <w:vertAlign w:val="superscript"/>
              </w:rPr>
              <w:footnoteReference w:id="5"/>
            </w:r>
            <w:r w:rsidRPr="006B78D3">
              <w:rPr>
                <w:rFonts w:ascii="Verdana" w:eastAsia="Calibri" w:hAnsi="Verdana" w:cs="Arial"/>
                <w:lang w:val="es-ES"/>
              </w:rPr>
              <w:t xml:space="preserve">. Sin embargo, el artículo 20 de la Ley 1150 de 2007 modificó el régimen contractual aplicable a los contratos o convenios suscritos con organismos internacionales, estableciendo, para algunos casos, la posible definición del régimen dependiendo del porcentaje de participación que el organismo internacional tuviera frente a dichos contratos, a partir del cual establece una potestad discrecional en torno a la elección del régimen contractual aplicable. Así, el artículo 20 de la citada norma señala que “podrán” someterse a los reglamentos de tales entidades, en lo que tiene que ver con el inciso primero de dicho artículo. </w:t>
            </w:r>
          </w:p>
          <w:p w14:paraId="72AB02C9" w14:textId="3F50A44C" w:rsidR="009131CF" w:rsidRPr="006B78D3" w:rsidRDefault="009131CF" w:rsidP="007D4D86">
            <w:pPr>
              <w:spacing w:line="276" w:lineRule="auto"/>
              <w:ind w:firstLine="709"/>
              <w:jc w:val="both"/>
              <w:rPr>
                <w:rFonts w:ascii="Verdana" w:hAnsi="Verdana" w:cs="Arial"/>
                <w:color w:val="000000" w:themeColor="text1"/>
                <w:lang w:val="es-ES_tradnl"/>
              </w:rPr>
            </w:pPr>
            <w:r>
              <w:rPr>
                <w:rFonts w:ascii="Verdana" w:eastAsia="Calibri" w:hAnsi="Verdana" w:cs="Arial"/>
                <w:lang w:val="es-ES" w:eastAsia="es-MX"/>
              </w:rPr>
              <w:t xml:space="preserve">Sin embargo, </w:t>
            </w:r>
            <w:r w:rsidRPr="00137258">
              <w:rPr>
                <w:rFonts w:ascii="Verdana" w:eastAsia="Calibri" w:hAnsi="Verdana" w:cs="Arial"/>
                <w:lang w:val="es-ES" w:eastAsia="es-MX"/>
              </w:rPr>
              <w:t>e</w:t>
            </w:r>
            <w:r w:rsidRPr="00137258">
              <w:rPr>
                <w:rFonts w:ascii="Verdana" w:hAnsi="Verdana" w:cs="Arial"/>
                <w:color w:val="000000" w:themeColor="text1"/>
                <w:lang w:val="es-ES_tradnl"/>
              </w:rPr>
              <w:t>n todo caso</w:t>
            </w:r>
            <w:r w:rsidR="00A85172">
              <w:rPr>
                <w:rFonts w:ascii="Verdana" w:hAnsi="Verdana" w:cs="Arial"/>
                <w:color w:val="000000" w:themeColor="text1"/>
                <w:lang w:val="es-ES_tradnl"/>
              </w:rPr>
              <w:t>,</w:t>
            </w:r>
            <w:r w:rsidRPr="00137258">
              <w:rPr>
                <w:rFonts w:ascii="Verdana" w:hAnsi="Verdana" w:cs="Arial"/>
                <w:color w:val="000000" w:themeColor="text1"/>
                <w:lang w:val="es-ES_tradnl"/>
              </w:rPr>
              <w:t xml:space="preserve"> es importante advertir que las reglas relacionadas con la contratación con organismos internacionales precisadas con anterioridad resultan aplicables cuando quien se encuentra en la relación </w:t>
            </w:r>
            <w:r w:rsidRPr="00137258">
              <w:rPr>
                <w:rFonts w:ascii="Verdana" w:hAnsi="Verdana" w:cs="Arial"/>
                <w:color w:val="000000" w:themeColor="text1"/>
                <w:lang w:val="es-ES_tradnl"/>
              </w:rPr>
              <w:lastRenderedPageBreak/>
              <w:t>negocial es una Entidad Estatal sometida al EGCAP. En este sentido, la contratación de este tipo por parte de entidades exceptuadas del Estatuto General de Contratación no se encuentra sometida a lo dispuesto en el artículo 20 de la Ley 1150 de 2007, y deberá realizarse conforme a lo establecido en las normas aplicables a la entidad de régimen especial, entre otras, el derecho privado y su manual de contratación.</w:t>
            </w:r>
            <w:r>
              <w:rPr>
                <w:rFonts w:ascii="Verdana" w:hAnsi="Verdana" w:cs="Arial"/>
                <w:color w:val="000000" w:themeColor="text1"/>
                <w:lang w:val="es-ES_tradnl"/>
              </w:rPr>
              <w:t xml:space="preserve"> </w:t>
            </w:r>
          </w:p>
          <w:p w14:paraId="2596C345" w14:textId="77777777" w:rsidR="009131CF" w:rsidRDefault="009131CF" w:rsidP="007D4D86">
            <w:pPr>
              <w:spacing w:before="120" w:line="276" w:lineRule="auto"/>
              <w:jc w:val="both"/>
              <w:rPr>
                <w:rFonts w:ascii="Verdana" w:eastAsia="Calibri" w:hAnsi="Verdana" w:cs="Arial"/>
                <w:lang w:val="es-ES" w:eastAsia="es-MX"/>
              </w:rPr>
            </w:pPr>
          </w:p>
          <w:p w14:paraId="23CDF76C" w14:textId="77777777" w:rsidR="009131CF" w:rsidRPr="00F40F0E" w:rsidRDefault="009131CF" w:rsidP="007D4D86">
            <w:pPr>
              <w:spacing w:after="120" w:line="276" w:lineRule="auto"/>
              <w:jc w:val="both"/>
              <w:rPr>
                <w:rFonts w:ascii="Verdana" w:eastAsia="Calibri" w:hAnsi="Verdana" w:cs="Arial"/>
                <w:lang w:val="es-ES" w:eastAsia="es-ES"/>
              </w:rPr>
            </w:pPr>
            <w:proofErr w:type="spellStart"/>
            <w:r>
              <w:rPr>
                <w:rFonts w:ascii="Verdana" w:eastAsia="Calibri" w:hAnsi="Verdana" w:cs="Arial"/>
                <w:lang w:val="es-ES" w:eastAsia="es-ES"/>
              </w:rPr>
              <w:t>iii</w:t>
            </w:r>
            <w:proofErr w:type="spellEnd"/>
            <w:r>
              <w:rPr>
                <w:rFonts w:ascii="Verdana" w:eastAsia="Calibri" w:hAnsi="Verdana" w:cs="Arial"/>
                <w:lang w:val="es-ES" w:eastAsia="es-ES"/>
              </w:rPr>
              <w:t xml:space="preserve">. El </w:t>
            </w:r>
            <w:r w:rsidRPr="00F40F0E">
              <w:rPr>
                <w:rFonts w:ascii="Verdana" w:eastAsia="Calibri" w:hAnsi="Verdana" w:cs="Arial"/>
                <w:lang w:val="es-ES" w:eastAsia="es-ES"/>
              </w:rPr>
              <w:t xml:space="preserve">efecto principal </w:t>
            </w:r>
            <w:r>
              <w:rPr>
                <w:rFonts w:ascii="Verdana" w:eastAsia="Calibri" w:hAnsi="Verdana" w:cs="Arial"/>
                <w:lang w:val="es-ES" w:eastAsia="es-ES"/>
              </w:rPr>
              <w:t>del artículo 56 de la Ley 2195 de 2022</w:t>
            </w:r>
            <w:r w:rsidRPr="00F40F0E">
              <w:rPr>
                <w:rFonts w:ascii="Verdana" w:eastAsia="Calibri" w:hAnsi="Verdana" w:cs="Arial"/>
                <w:lang w:val="es-ES" w:eastAsia="es-ES"/>
              </w:rPr>
              <w:t xml:space="preserve"> es la ampliación</w:t>
            </w:r>
            <w:r>
              <w:rPr>
                <w:rFonts w:ascii="Verdana" w:eastAsia="Calibri" w:hAnsi="Verdana" w:cs="Arial"/>
                <w:lang w:val="es-ES" w:eastAsia="es-ES"/>
              </w:rPr>
              <w:t xml:space="preserve"> del ámbito de aplicación</w:t>
            </w:r>
            <w:r w:rsidRPr="00F40F0E">
              <w:rPr>
                <w:rFonts w:ascii="Verdana" w:eastAsia="Calibri" w:hAnsi="Verdana" w:cs="Arial"/>
                <w:lang w:val="es-ES" w:eastAsia="es-ES"/>
              </w:rPr>
              <w:t xml:space="preserve"> de los Documentos Tipo, al hacerlos obligatorios frente a unos sujetos que, en principio, de acuerdo con la Ley 2022 de 2020 y el literal c) del numeral 4 del artículo 2 de la Ley 1150 de 2007, no estarían sometidos a esos documentos. Para complementar esta medida, la disposición además hace extensiva la aplicación del EGCAP a estos sujetos que, en virtud de su naturaleza jurídica, tienen, como regla general, un régimen de contratación diferente, tales como las entidades exceptuadas, los patrimonios autónomos y las personas naturales y jurídicas de derecho privado, a los que expresamente hace alusión el artículo 56. De esta forma, independientemente de que el inciso tercero del literal c) del artículo 2, numeral 4, de la Ley 1150 de 2007 parezca indicar que se debe aplicar el derecho privado, por ser este el régimen que por regla general aplica la entidad ejecutora, tratándose de objetos cobijados por Documentos Tipo, los mismos deberán ser contratados aplicando tales Pliegos Tipo y las disposiciones del EGCAP, por efecto del artículo 56 de la Ley 2195 de 2022.  </w:t>
            </w:r>
            <w:r w:rsidRPr="00F40F0E">
              <w:rPr>
                <w:rFonts w:ascii="Verdana" w:eastAsia="Calibri" w:hAnsi="Verdana" w:cs="Arial"/>
                <w:bCs/>
                <w:highlight w:val="yellow"/>
                <w:lang w:val="es-ES_tradnl" w:eastAsia="es-ES_tradnl"/>
              </w:rPr>
              <w:t xml:space="preserve"> </w:t>
            </w:r>
          </w:p>
          <w:p w14:paraId="2F99BD68" w14:textId="77777777" w:rsidR="009131CF" w:rsidRPr="00F40F0E" w:rsidRDefault="009131CF" w:rsidP="007D4D86">
            <w:pPr>
              <w:tabs>
                <w:tab w:val="left" w:pos="0"/>
              </w:tabs>
              <w:spacing w:after="120" w:line="276" w:lineRule="auto"/>
              <w:ind w:firstLine="709"/>
              <w:jc w:val="both"/>
              <w:rPr>
                <w:rFonts w:ascii="Arial" w:eastAsia="Calibri" w:hAnsi="Arial" w:cs="Arial"/>
                <w:bCs/>
                <w:lang w:val="es-ES_tradnl"/>
              </w:rPr>
            </w:pPr>
            <w:r w:rsidRPr="00F40F0E">
              <w:rPr>
                <w:rFonts w:ascii="Verdana" w:eastAsia="Calibri" w:hAnsi="Verdana" w:cs="Arial"/>
                <w:color w:val="000000"/>
              </w:rPr>
              <w:t xml:space="preserve">En este contexto, </w:t>
            </w:r>
            <w:r w:rsidRPr="00F40F0E">
              <w:rPr>
                <w:rFonts w:ascii="Verdana" w:eastAsia="Calibri" w:hAnsi="Verdana" w:cs="Arial"/>
                <w:bCs/>
                <w:lang w:val="es-ES_tradnl" w:eastAsia="es-ES_tradnl"/>
              </w:rPr>
              <w:t>de la lectura conjunta de los incisos primero y segundo</w:t>
            </w:r>
            <w:r w:rsidRPr="00F40F0E">
              <w:rPr>
                <w:rFonts w:ascii="Verdana" w:eastAsia="Calibri" w:hAnsi="Verdana" w:cs="Arial"/>
                <w:bCs/>
                <w:lang w:eastAsia="es-ES_tradnl"/>
              </w:rPr>
              <w:t xml:space="preserve"> del artículo 56 de la Ley 2195 de 2022,</w:t>
            </w:r>
            <w:r w:rsidRPr="00F40F0E">
              <w:rPr>
                <w:rFonts w:ascii="Verdana" w:eastAsia="Calibri" w:hAnsi="Verdana" w:cs="Arial"/>
                <w:bCs/>
                <w:lang w:val="es-ES_tradnl" w:eastAsia="es-ES_tradnl"/>
              </w:rPr>
              <w:t xml:space="preserve"> se desprende que </w:t>
            </w:r>
            <w:r w:rsidRPr="00F40F0E">
              <w:rPr>
                <w:rFonts w:ascii="Verdana" w:eastAsia="Calibri" w:hAnsi="Verdana" w:cs="Arial"/>
                <w:bCs/>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F40F0E">
              <w:rPr>
                <w:rFonts w:ascii="Arial" w:eastAsia="Calibri" w:hAnsi="Arial" w:cs="Arial"/>
                <w:bCs/>
                <w:lang w:val="es-ES_tradnl"/>
              </w:rPr>
              <w:t xml:space="preserve"> </w:t>
            </w:r>
            <w:r w:rsidRPr="00F40F0E">
              <w:rPr>
                <w:rFonts w:ascii="Verdana" w:eastAsia="Calibri" w:hAnsi="Verdana" w:cs="Arial"/>
                <w:bCs/>
                <w:lang w:val="es-ES_tradnl"/>
              </w:rPr>
              <w:t xml:space="preserve">siempre que exista documento tipo aplicable al objeto contractual que se planea contratar. Esto significa que los contratos no relacionados con los contratos y convenios adquiridos con la entidad sometida al EGCAP no tendrían que aplicar los </w:t>
            </w:r>
            <w:r w:rsidRPr="00F40F0E">
              <w:rPr>
                <w:rFonts w:ascii="Verdana" w:eastAsia="Calibri" w:hAnsi="Verdana" w:cs="Arial"/>
                <w:bCs/>
                <w:lang w:val="es-ES_tradnl"/>
              </w:rPr>
              <w:lastRenderedPageBreak/>
              <w:t xml:space="preserve">Documentos Tipo, salvo que quieran hacerlo como una buena práctica de contratación. </w:t>
            </w:r>
          </w:p>
          <w:p w14:paraId="38040A16" w14:textId="77777777" w:rsidR="009131CF" w:rsidRPr="00F40F0E" w:rsidRDefault="009131CF" w:rsidP="007D4D86">
            <w:pPr>
              <w:tabs>
                <w:tab w:val="left" w:pos="0"/>
              </w:tabs>
              <w:spacing w:after="120" w:line="276" w:lineRule="auto"/>
              <w:ind w:firstLine="709"/>
              <w:jc w:val="both"/>
              <w:rPr>
                <w:rFonts w:ascii="Verdana" w:eastAsia="Calibri" w:hAnsi="Verdana" w:cs="Arial"/>
                <w:bCs/>
                <w:color w:val="000000"/>
                <w:lang w:val="es-ES_tradnl" w:eastAsia="es-ES_tradnl"/>
              </w:rPr>
            </w:pPr>
            <w:r w:rsidRPr="00F40F0E">
              <w:rPr>
                <w:rFonts w:ascii="Verdana" w:eastAsia="Calibri" w:hAnsi="Verdana" w:cs="Arial"/>
                <w:bCs/>
                <w:lang w:val="es-ES_tradnl" w:eastAsia="es-ES_tradnl"/>
              </w:rPr>
              <w:t>Sin perjuicio de lo anterior</w:t>
            </w:r>
            <w:r w:rsidRPr="00F40F0E">
              <w:rPr>
                <w:rFonts w:ascii="Verdana" w:eastAsia="Times New Roman" w:hAnsi="Verdana" w:cs="Arial"/>
                <w:lang w:eastAsia="es-ES_tradnl"/>
              </w:rPr>
              <w:t xml:space="preserve">, </w:t>
            </w:r>
            <w:r w:rsidRPr="00F40F0E">
              <w:rPr>
                <w:rFonts w:ascii="Verdana" w:eastAsia="Calibri" w:hAnsi="Verdana" w:cs="Arial"/>
                <w:bCs/>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F40F0E">
              <w:rPr>
                <w:rFonts w:ascii="Verdana" w:eastAsia="Calibri" w:hAnsi="Verdana" w:cs="Arial"/>
                <w:bCs/>
                <w:i/>
                <w:iCs/>
                <w:lang w:val="es-ES_tradnl" w:eastAsia="es-ES_tradnl"/>
              </w:rPr>
              <w:t>giro ordinario</w:t>
            </w:r>
            <w:r w:rsidRPr="00F40F0E">
              <w:rPr>
                <w:rFonts w:ascii="Verdana" w:eastAsia="Calibri" w:hAnsi="Verdana" w:cs="Arial"/>
                <w:bCs/>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F40F0E">
              <w:rPr>
                <w:rFonts w:ascii="Verdana" w:eastAsia="Calibri" w:hAnsi="Verdana" w:cs="Arial"/>
                <w:bCs/>
                <w:lang w:val="es-ES_tradnl" w:eastAsia="es-ES_tradnl"/>
              </w:rPr>
              <w:t>ii</w:t>
            </w:r>
            <w:proofErr w:type="spellEnd"/>
            <w:r w:rsidRPr="00F40F0E">
              <w:rPr>
                <w:rFonts w:ascii="Verdana" w:eastAsia="Calibri" w:hAnsi="Verdana" w:cs="Arial"/>
                <w:bCs/>
                <w:lang w:val="es-ES_tradnl" w:eastAsia="es-ES_tradnl"/>
              </w:rPr>
              <w:t xml:space="preserve">) las empresas sociales del Estado, </w:t>
            </w:r>
            <w:proofErr w:type="spellStart"/>
            <w:r w:rsidRPr="00F40F0E">
              <w:rPr>
                <w:rFonts w:ascii="Verdana" w:eastAsia="Calibri" w:hAnsi="Verdana" w:cs="Arial"/>
                <w:bCs/>
                <w:lang w:val="es-ES_tradnl" w:eastAsia="es-ES_tradnl"/>
              </w:rPr>
              <w:t>iii</w:t>
            </w:r>
            <w:proofErr w:type="spellEnd"/>
            <w:r w:rsidRPr="00F40F0E">
              <w:rPr>
                <w:rFonts w:ascii="Verdana" w:eastAsia="Calibri" w:hAnsi="Verdana" w:cs="Arial"/>
                <w:bCs/>
                <w:lang w:val="es-ES_tradnl" w:eastAsia="es-ES_tradnl"/>
              </w:rPr>
              <w:t xml:space="preserve">) las sociedades de economía mixta y </w:t>
            </w:r>
            <w:proofErr w:type="spellStart"/>
            <w:r w:rsidRPr="00F40F0E">
              <w:rPr>
                <w:rFonts w:ascii="Verdana" w:eastAsia="Calibri" w:hAnsi="Verdana" w:cs="Arial"/>
                <w:bCs/>
                <w:lang w:val="es-ES_tradnl" w:eastAsia="es-ES_tradnl"/>
              </w:rPr>
              <w:t>iv</w:t>
            </w:r>
            <w:proofErr w:type="spellEnd"/>
            <w:r w:rsidRPr="00F40F0E">
              <w:rPr>
                <w:rFonts w:ascii="Verdana" w:eastAsia="Calibri" w:hAnsi="Verdana" w:cs="Arial"/>
                <w:bCs/>
                <w:lang w:val="es-ES_tradnl" w:eastAsia="es-ES_tradnl"/>
              </w:rPr>
              <w:t xml:space="preserve">) las empresas industriales y comerciales del Estado, únicamente, en la contratación relacionada con el </w:t>
            </w:r>
            <w:r w:rsidRPr="00F40F0E">
              <w:rPr>
                <w:rFonts w:ascii="Verdana" w:eastAsia="Calibri" w:hAnsi="Verdana" w:cs="Arial"/>
                <w:bCs/>
                <w:i/>
                <w:iCs/>
                <w:lang w:val="es-ES_tradnl" w:eastAsia="es-ES_tradnl"/>
              </w:rPr>
              <w:t>giro ordinario.</w:t>
            </w:r>
            <w:r w:rsidRPr="00F40F0E">
              <w:rPr>
                <w:rFonts w:ascii="Verdana" w:eastAsia="Calibri" w:hAnsi="Verdana" w:cs="Arial"/>
                <w:bCs/>
                <w:lang w:val="es-ES_tradnl" w:eastAsia="es-ES_tradnl"/>
              </w:rPr>
              <w:t xml:space="preserve"> Esto significa que, en la contratación asociada a su </w:t>
            </w:r>
            <w:r w:rsidRPr="00F40F0E">
              <w:rPr>
                <w:rFonts w:ascii="Verdana" w:eastAsia="Calibri" w:hAnsi="Verdana" w:cs="Arial"/>
                <w:bCs/>
                <w:i/>
                <w:iCs/>
                <w:lang w:val="es-ES_tradnl" w:eastAsia="es-ES_tradnl"/>
              </w:rPr>
              <w:t xml:space="preserve">giro ordinario, </w:t>
            </w:r>
            <w:r w:rsidRPr="00F40F0E">
              <w:rPr>
                <w:rFonts w:ascii="Verdana" w:eastAsia="Calibri" w:hAnsi="Verdana" w:cs="Arial"/>
                <w:bCs/>
                <w:lang w:val="es-ES_tradnl" w:eastAsia="es-ES_tradnl"/>
              </w:rPr>
              <w:t>estos tipos de entidades no tendrían que aplicar, de manera obligatoria, los Documentos Tipo, ni tampoco el EGCAP.</w:t>
            </w:r>
            <w:r w:rsidRPr="00F40F0E">
              <w:rPr>
                <w:rFonts w:ascii="Verdana" w:eastAsia="Times New Roman" w:hAnsi="Verdana" w:cs="Arial"/>
                <w:lang w:eastAsia="es-ES_tradnl"/>
              </w:rPr>
              <w:t xml:space="preserve"> </w:t>
            </w:r>
            <w:r w:rsidRPr="00F40F0E">
              <w:rPr>
                <w:rFonts w:ascii="Verdana" w:eastAsia="Calibri" w:hAnsi="Verdana" w:cs="Arial"/>
                <w:bCs/>
                <w:lang w:val="es-ES_tradnl" w:eastAsia="es-ES_tradnl"/>
              </w:rPr>
              <w:t>En este caso, la norma se limita a fomentar la implementación de Documentos Tipo a modo de buena práctica contractual, en los casos en los que se estime conveniente.</w:t>
            </w:r>
            <w:r w:rsidRPr="00F40F0E">
              <w:rPr>
                <w:rFonts w:ascii="Verdana" w:eastAsia="Calibri" w:hAnsi="Verdana" w:cs="Arial"/>
                <w:bCs/>
                <w:color w:val="000000"/>
                <w:lang w:val="es-ES_tradnl" w:eastAsia="es-ES_tradnl"/>
              </w:rPr>
              <w:t xml:space="preserve"> </w:t>
            </w:r>
          </w:p>
          <w:p w14:paraId="0E03B687" w14:textId="77777777" w:rsidR="009131CF" w:rsidRDefault="009131CF" w:rsidP="007D4D86">
            <w:pPr>
              <w:tabs>
                <w:tab w:val="left" w:pos="0"/>
              </w:tabs>
              <w:spacing w:line="276" w:lineRule="auto"/>
              <w:ind w:firstLine="709"/>
              <w:jc w:val="both"/>
              <w:rPr>
                <w:rFonts w:ascii="Verdana" w:eastAsia="Arial" w:hAnsi="Verdana" w:cs="Arial"/>
                <w:lang w:val="es-ES_tradnl" w:eastAsia="es-ES_tradnl"/>
              </w:rPr>
            </w:pPr>
            <w:r w:rsidRPr="00F40F0E">
              <w:rPr>
                <w:rFonts w:ascii="Verdana" w:eastAsia="Calibri" w:hAnsi="Verdana" w:cs="Arial"/>
                <w:bCs/>
                <w:lang w:val="es-ES_tradnl" w:eastAsia="es-ES_tradnl"/>
              </w:rPr>
              <w:t xml:space="preserve">Es importante tener en cuenta que cuando la norma se refiere a la contratación del </w:t>
            </w:r>
            <w:r w:rsidRPr="00F40F0E">
              <w:rPr>
                <w:rFonts w:ascii="Verdana" w:eastAsia="Calibri" w:hAnsi="Verdana" w:cs="Arial"/>
                <w:bCs/>
                <w:i/>
                <w:iCs/>
                <w:lang w:val="es-ES_tradnl" w:eastAsia="es-ES_tradnl"/>
              </w:rPr>
              <w:t>giro ordinario</w:t>
            </w:r>
            <w:r w:rsidRPr="00F40F0E">
              <w:rPr>
                <w:rFonts w:ascii="Verdana" w:eastAsia="Calibri" w:hAnsi="Verdana" w:cs="Arial"/>
                <w:bCs/>
                <w:lang w:val="es-ES_tradnl" w:eastAsia="es-ES_tradnl"/>
              </w:rPr>
              <w:t>, emplea un concepto jurídico indeterminado</w:t>
            </w:r>
            <w:r w:rsidRPr="00F40F0E">
              <w:rPr>
                <w:rFonts w:ascii="Verdana" w:eastAsia="Calibri" w:hAnsi="Verdana" w:cs="Arial"/>
                <w:vertAlign w:val="superscript"/>
                <w:lang w:eastAsia="es-ES_tradnl"/>
              </w:rPr>
              <w:footnoteReference w:id="6"/>
            </w:r>
            <w:r w:rsidRPr="00F40F0E">
              <w:rPr>
                <w:rFonts w:ascii="Verdana" w:eastAsia="Calibri" w:hAnsi="Verdana" w:cs="Arial"/>
                <w:bCs/>
                <w:lang w:val="es-ES_tradnl" w:eastAsia="es-ES_tradnl"/>
              </w:rPr>
              <w:t xml:space="preserve">. </w:t>
            </w:r>
            <w:r w:rsidRPr="00F40F0E">
              <w:rPr>
                <w:rFonts w:ascii="Verdana" w:eastAsia="Arial" w:hAnsi="Verdana" w:cs="Arial"/>
                <w:lang w:val="es-ES_tradnl" w:eastAsia="es-ES_tradnl"/>
              </w:rPr>
              <w:t xml:space="preserve">Un concepto adquiere esta denominación 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Por ejemplo, no podrán considerar que cualquier contrato que celebren hace parte del </w:t>
            </w:r>
            <w:r w:rsidRPr="00F40F0E">
              <w:rPr>
                <w:rFonts w:ascii="Verdana" w:eastAsia="Arial" w:hAnsi="Verdana" w:cs="Arial"/>
                <w:i/>
                <w:iCs/>
                <w:lang w:val="es-ES_tradnl" w:eastAsia="es-ES_tradnl"/>
              </w:rPr>
              <w:t>giro ordinario</w:t>
            </w:r>
            <w:r w:rsidRPr="00F40F0E">
              <w:rPr>
                <w:rFonts w:ascii="Verdana" w:eastAsia="Arial" w:hAnsi="Verdana" w:cs="Arial"/>
                <w:lang w:val="es-ES_tradnl" w:eastAsia="es-ES_tradnl"/>
              </w:rPr>
              <w:t xml:space="preserve"> de sus negocios.</w:t>
            </w:r>
          </w:p>
          <w:p w14:paraId="3F7E05ED" w14:textId="77777777" w:rsidR="009131CF" w:rsidRDefault="009131CF" w:rsidP="007D4D86">
            <w:pPr>
              <w:tabs>
                <w:tab w:val="left" w:pos="0"/>
              </w:tabs>
              <w:spacing w:line="276" w:lineRule="auto"/>
              <w:ind w:firstLine="709"/>
              <w:jc w:val="both"/>
              <w:rPr>
                <w:rFonts w:ascii="Verdana" w:eastAsia="Arial" w:hAnsi="Verdana" w:cs="Arial"/>
                <w:lang w:val="es-ES_tradnl" w:eastAsia="es-ES_tradnl"/>
              </w:rPr>
            </w:pPr>
            <w:r w:rsidRPr="00F40F0E">
              <w:rPr>
                <w:rFonts w:ascii="Verdana" w:eastAsia="Arial" w:hAnsi="Verdana" w:cs="Arial"/>
                <w:lang w:val="es-ES_tradnl" w:eastAsia="es-ES_tradnl"/>
              </w:rPr>
              <w:t xml:space="preserve"> </w:t>
            </w:r>
          </w:p>
          <w:p w14:paraId="60B6275E" w14:textId="77777777" w:rsidR="009131CF" w:rsidRPr="00830382" w:rsidRDefault="009131CF" w:rsidP="007D4D86">
            <w:pPr>
              <w:spacing w:after="120" w:line="276" w:lineRule="auto"/>
              <w:jc w:val="both"/>
              <w:rPr>
                <w:rFonts w:ascii="Verdana" w:eastAsia="Calibri" w:hAnsi="Verdana" w:cs="Arial"/>
                <w:kern w:val="2"/>
                <w:lang w:val="es-ES" w:eastAsia="es-ES"/>
                <w14:ligatures w14:val="standardContextual"/>
              </w:rPr>
            </w:pPr>
            <w:proofErr w:type="spellStart"/>
            <w:r>
              <w:rPr>
                <w:rFonts w:ascii="Verdana" w:eastAsia="Calibri" w:hAnsi="Verdana" w:cs="Arial"/>
                <w:bCs/>
                <w:color w:val="000000"/>
                <w:lang w:eastAsia="es-MX"/>
              </w:rPr>
              <w:t>iv</w:t>
            </w:r>
            <w:proofErr w:type="spellEnd"/>
            <w:r>
              <w:rPr>
                <w:rFonts w:ascii="Verdana" w:eastAsia="Calibri" w:hAnsi="Verdana" w:cs="Arial"/>
                <w:bCs/>
                <w:color w:val="000000"/>
                <w:lang w:eastAsia="es-MX"/>
              </w:rPr>
              <w:t xml:space="preserve">. </w:t>
            </w:r>
            <w:r w:rsidRPr="00F40F0E">
              <w:rPr>
                <w:rFonts w:ascii="Verdana" w:eastAsia="Calibri" w:hAnsi="Verdana" w:cs="Arial"/>
                <w:bCs/>
                <w:color w:val="000000"/>
                <w:lang w:eastAsia="es-MX"/>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w:t>
            </w:r>
            <w:r w:rsidRPr="00F40F0E">
              <w:rPr>
                <w:rFonts w:ascii="Verdana" w:eastAsia="Calibri" w:hAnsi="Verdana" w:cs="Arial"/>
                <w:bCs/>
                <w:color w:val="000000"/>
                <w:lang w:eastAsia="es-MX"/>
              </w:rPr>
              <w:lastRenderedPageBreak/>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7112BEC" w14:textId="77777777" w:rsidR="009131CF" w:rsidRPr="003E0463" w:rsidRDefault="009131CF" w:rsidP="007D4D86">
            <w:pPr>
              <w:spacing w:line="276" w:lineRule="auto"/>
              <w:ind w:firstLine="708"/>
              <w:jc w:val="both"/>
              <w:rPr>
                <w:rFonts w:ascii="Verdana" w:eastAsia="Calibri" w:hAnsi="Verdana" w:cs="Arial"/>
                <w:bCs/>
                <w:color w:val="000000"/>
                <w:lang w:eastAsia="es-MX"/>
              </w:rPr>
            </w:pPr>
            <w:r w:rsidRPr="00F40F0E">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311C01CF" w14:textId="77777777" w:rsidR="009131CF" w:rsidRPr="00F40F0E" w:rsidRDefault="009131CF" w:rsidP="009131CF">
      <w:pPr>
        <w:tabs>
          <w:tab w:val="left" w:pos="142"/>
          <w:tab w:val="left" w:pos="284"/>
        </w:tabs>
        <w:spacing w:after="0" w:line="276" w:lineRule="auto"/>
        <w:jc w:val="both"/>
        <w:rPr>
          <w:rFonts w:ascii="Verdana" w:eastAsia="Century Gothic" w:hAnsi="Verdana" w:cs="Century Gothic"/>
          <w:b/>
          <w:bCs/>
          <w:lang w:val="es-ES" w:eastAsia="es-MX"/>
        </w:rPr>
      </w:pPr>
    </w:p>
    <w:p w14:paraId="1A7E3872" w14:textId="77777777" w:rsidR="009131CF" w:rsidRPr="00F40F0E" w:rsidRDefault="009131CF" w:rsidP="009131CF">
      <w:pPr>
        <w:tabs>
          <w:tab w:val="left" w:pos="142"/>
          <w:tab w:val="left" w:pos="284"/>
        </w:tabs>
        <w:spacing w:after="0" w:line="276" w:lineRule="auto"/>
        <w:jc w:val="both"/>
        <w:rPr>
          <w:rFonts w:ascii="Verdana" w:eastAsia="Century Gothic" w:hAnsi="Verdana" w:cs="Century Gothic"/>
          <w:b/>
          <w:bCs/>
          <w:lang w:val="es-ES" w:eastAsia="es-MX"/>
        </w:rPr>
      </w:pPr>
      <w:r w:rsidRPr="00F40F0E">
        <w:rPr>
          <w:rFonts w:ascii="Verdana" w:eastAsia="Century Gothic" w:hAnsi="Verdana" w:cs="Century Gothic"/>
          <w:b/>
          <w:bCs/>
          <w:lang w:val="es-ES" w:eastAsia="es-MX"/>
        </w:rPr>
        <w:t>3. Razones de la respuesta:</w:t>
      </w:r>
    </w:p>
    <w:p w14:paraId="77482382" w14:textId="77777777" w:rsidR="009131CF" w:rsidRPr="00F40F0E" w:rsidRDefault="009131CF" w:rsidP="009131CF">
      <w:pPr>
        <w:spacing w:after="0" w:line="276" w:lineRule="auto"/>
        <w:jc w:val="both"/>
        <w:rPr>
          <w:rFonts w:ascii="Verdana" w:eastAsia="Calibri" w:hAnsi="Verdana" w:cs="Arial"/>
          <w:bCs/>
        </w:rPr>
      </w:pPr>
    </w:p>
    <w:p w14:paraId="258737FA" w14:textId="77777777" w:rsidR="009131CF" w:rsidRPr="00F40F0E" w:rsidRDefault="009131CF" w:rsidP="009131CF">
      <w:pPr>
        <w:tabs>
          <w:tab w:val="left" w:pos="426"/>
        </w:tabs>
        <w:spacing w:after="0" w:line="276" w:lineRule="auto"/>
        <w:jc w:val="both"/>
        <w:rPr>
          <w:rFonts w:ascii="Verdana" w:eastAsia="Calibri" w:hAnsi="Verdana" w:cs="Arial"/>
          <w:color w:val="000000"/>
          <w:lang w:val="es-ES"/>
        </w:rPr>
      </w:pPr>
      <w:r w:rsidRPr="00F40F0E">
        <w:rPr>
          <w:rFonts w:ascii="Verdana" w:eastAsia="Calibri" w:hAnsi="Verdana" w:cs="Arial"/>
          <w:bCs/>
        </w:rPr>
        <w:t xml:space="preserve">i. </w:t>
      </w:r>
      <w:r w:rsidRPr="00F40F0E">
        <w:rPr>
          <w:rFonts w:ascii="Verdana" w:eastAsia="Calibri" w:hAnsi="Verdana" w:cs="Arial"/>
          <w:lang w:val="es-MX"/>
        </w:rPr>
        <w:t>Una de las Entidades Estatales con régimen especial son las Empresas Sociales del Estado – ESE, sobre las que redunda el objeto de su concepto. Estas empresas han sido entendidas como Entidades Públicas que, conforme al artículo 194 de la Ley 100 de 1993, constituyen una categoría especial, descentralizada por servicios, con personería jurídica, patrimonio propio y autonomía administrativa</w:t>
      </w:r>
      <w:r w:rsidRPr="00F40F0E">
        <w:rPr>
          <w:rFonts w:ascii="Verdana" w:eastAsia="Calibri" w:hAnsi="Verdana" w:cs="Arial"/>
          <w:vertAlign w:val="superscript"/>
          <w:lang w:val="es-MX"/>
        </w:rPr>
        <w:footnoteReference w:id="7"/>
      </w:r>
      <w:r w:rsidRPr="00F40F0E">
        <w:rPr>
          <w:rFonts w:ascii="Verdana" w:eastAsia="Calibri" w:hAnsi="Verdana" w:cs="Arial"/>
          <w:lang w:val="es-MX"/>
        </w:rPr>
        <w:t xml:space="preserve">. A través de ellas la Nación o las entidades territoriales prestan el servicio de salud de manera directa, es decir, las Empresas Sociales del Estado son, esencialmente, los hospitales públicos. El Consejo de Estado, en relación con la naturaleza jurídica de estas entidades, precisó: </w:t>
      </w:r>
    </w:p>
    <w:p w14:paraId="4F7B2E23" w14:textId="77777777" w:rsidR="009131CF" w:rsidRPr="00F40F0E" w:rsidRDefault="009131CF" w:rsidP="009131CF">
      <w:pPr>
        <w:spacing w:after="0" w:line="276" w:lineRule="auto"/>
        <w:ind w:firstLine="709"/>
        <w:jc w:val="both"/>
        <w:rPr>
          <w:rFonts w:ascii="Verdana" w:eastAsia="Calibri" w:hAnsi="Verdana" w:cs="Arial"/>
          <w:lang w:val="es-MX"/>
        </w:rPr>
      </w:pPr>
    </w:p>
    <w:p w14:paraId="43A5D705" w14:textId="77777777" w:rsidR="009131CF" w:rsidRPr="007872B3" w:rsidRDefault="009131CF" w:rsidP="009131CF">
      <w:pPr>
        <w:spacing w:after="0" w:line="240" w:lineRule="auto"/>
        <w:ind w:left="709" w:right="709"/>
        <w:jc w:val="both"/>
        <w:rPr>
          <w:rFonts w:ascii="Verdana" w:eastAsia="Calibri" w:hAnsi="Verdana" w:cs="Arial"/>
          <w:sz w:val="21"/>
          <w:szCs w:val="21"/>
        </w:rPr>
      </w:pPr>
      <w:r w:rsidRPr="007872B3">
        <w:rPr>
          <w:rFonts w:ascii="Verdana" w:eastAsia="Calibri" w:hAnsi="Verdana" w:cs="Arial"/>
          <w:sz w:val="21"/>
          <w:szCs w:val="21"/>
        </w:rPr>
        <w:t xml:space="preserve">“[…] Se tiene que las empresas sociales del Estado, es decir, los hospitales públicos a que se refiere la ley 100 de 1993, son entidades descentralizadas por servicios, de naturaleza jurídica especial, es decir, son entidades estatales que pertenecen a la estructura de la rama </w:t>
      </w:r>
      <w:r w:rsidRPr="007872B3">
        <w:rPr>
          <w:rFonts w:ascii="Verdana" w:eastAsia="Calibri" w:hAnsi="Verdana" w:cs="Arial"/>
          <w:sz w:val="21"/>
          <w:szCs w:val="21"/>
        </w:rPr>
        <w:lastRenderedPageBreak/>
        <w:t>ejecutiva del poder público, porque así lo disponen los arts. 38 y 68 de la ley 489 de 1998 […]”</w:t>
      </w:r>
      <w:r w:rsidRPr="007872B3">
        <w:rPr>
          <w:rFonts w:ascii="Verdana" w:eastAsia="Calibri" w:hAnsi="Verdana" w:cs="Arial"/>
          <w:sz w:val="21"/>
          <w:szCs w:val="21"/>
          <w:vertAlign w:val="superscript"/>
        </w:rPr>
        <w:footnoteReference w:id="8"/>
      </w:r>
      <w:r w:rsidRPr="007872B3">
        <w:rPr>
          <w:rFonts w:ascii="Verdana" w:eastAsia="Calibri" w:hAnsi="Verdana" w:cs="Arial"/>
          <w:sz w:val="21"/>
          <w:szCs w:val="21"/>
        </w:rPr>
        <w:t xml:space="preserve">. </w:t>
      </w:r>
    </w:p>
    <w:p w14:paraId="4C36C0A5" w14:textId="77777777" w:rsidR="009131CF" w:rsidRPr="00F40F0E" w:rsidRDefault="009131CF" w:rsidP="009131CF">
      <w:pPr>
        <w:spacing w:after="0" w:line="276" w:lineRule="auto"/>
        <w:ind w:left="709" w:right="709"/>
        <w:jc w:val="both"/>
        <w:rPr>
          <w:rFonts w:ascii="Verdana" w:eastAsia="Calibri" w:hAnsi="Verdana" w:cs="Arial"/>
        </w:rPr>
      </w:pPr>
    </w:p>
    <w:p w14:paraId="6B894E02" w14:textId="77777777" w:rsidR="009131CF" w:rsidRPr="00F40F0E" w:rsidRDefault="009131CF" w:rsidP="009131CF">
      <w:pPr>
        <w:widowControl w:val="0"/>
        <w:autoSpaceDE w:val="0"/>
        <w:autoSpaceDN w:val="0"/>
        <w:spacing w:after="120" w:line="276" w:lineRule="auto"/>
        <w:ind w:right="102" w:firstLine="709"/>
        <w:jc w:val="both"/>
        <w:rPr>
          <w:rFonts w:ascii="Verdana" w:eastAsia="Arial" w:hAnsi="Verdana" w:cs="Arial"/>
          <w:lang w:val="es-ES"/>
        </w:rPr>
      </w:pPr>
      <w:r w:rsidRPr="00F40F0E">
        <w:rPr>
          <w:rFonts w:ascii="Verdana" w:eastAsia="Arial" w:hAnsi="Verdana" w:cs="Arial"/>
          <w:lang w:val="es-ES"/>
        </w:rPr>
        <w:t xml:space="preserve">De la cita precedente puede concluirse entonces que, las Empresas Sociales del Estado </w:t>
      </w:r>
      <w:r w:rsidRPr="00F40F0E">
        <w:rPr>
          <w:rFonts w:ascii="Verdana" w:eastAsia="Arial" w:hAnsi="Verdana" w:cs="Arial"/>
          <w:lang w:val="es-MX"/>
        </w:rPr>
        <w:t>–ESE–</w:t>
      </w:r>
      <w:r w:rsidRPr="00F40F0E">
        <w:rPr>
          <w:rFonts w:ascii="Verdana" w:eastAsia="Arial" w:hAnsi="Verdana" w:cs="Arial"/>
          <w:lang w:val="es-ES"/>
        </w:rPr>
        <w:t xml:space="preserve"> son una categoría especial de Entidades Públicas que hacen parte de la estructura de la Rama Ejecutiva del poder público. En este mismo 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0D829B4A" w14:textId="77777777" w:rsidR="009131CF" w:rsidRPr="00F40F0E" w:rsidRDefault="009131CF" w:rsidP="009131CF">
      <w:pPr>
        <w:spacing w:after="120" w:line="276" w:lineRule="auto"/>
        <w:ind w:firstLine="709"/>
        <w:jc w:val="both"/>
        <w:rPr>
          <w:rFonts w:ascii="Verdana" w:eastAsia="Calibri" w:hAnsi="Verdana" w:cs="Arial"/>
        </w:rPr>
      </w:pPr>
      <w:r w:rsidRPr="00F40F0E">
        <w:rPr>
          <w:rFonts w:ascii="Verdana" w:eastAsia="Calibri" w:hAnsi="Verdana" w:cs="Arial"/>
        </w:rPr>
        <w:t xml:space="preserve">Por su parte, en lo que a materia contractual se refiere, de conformidad con el numeral 6 del artículo 195 de la Ley 100 de 1993, el régimen de contratación de las </w:t>
      </w:r>
      <w:r w:rsidRPr="00F40F0E">
        <w:rPr>
          <w:rFonts w:ascii="Verdana" w:eastAsia="Calibri" w:hAnsi="Verdana" w:cs="Arial"/>
          <w:lang w:val="es-MX"/>
        </w:rPr>
        <w:t>–ESE–</w:t>
      </w:r>
      <w:r w:rsidRPr="00F40F0E">
        <w:rPr>
          <w:rFonts w:ascii="Verdana" w:eastAsia="Calibri" w:hAnsi="Verdana" w:cs="Times New Roman"/>
        </w:rPr>
        <w:t xml:space="preserve"> </w:t>
      </w:r>
      <w:r w:rsidRPr="00F40F0E">
        <w:rPr>
          <w:rFonts w:ascii="Verdana" w:eastAsia="Calibri" w:hAnsi="Verdana" w:cs="Arial"/>
        </w:rPr>
        <w:t xml:space="preserve">es el de derecho privado, es decir, se rige por las disposiciones contenidas en el Código de Comercio y en el Código Civil, aplicables en lo que resulten pertinentes, salvo en las materias particularmente reguladas por el derecho público. La norma referida prescribe que: “En materia contractual se regirá por el derecho privado, </w:t>
      </w:r>
      <w:r w:rsidRPr="00F40F0E">
        <w:rPr>
          <w:rFonts w:ascii="Verdana" w:eastAsia="Calibri" w:hAnsi="Verdana" w:cs="Arial"/>
          <w:i/>
        </w:rPr>
        <w:t>pero podrá discrecionalmente utilizar las cláusulas exorbitantes previstas en el estatuto general de contratación de la administración pública”</w:t>
      </w:r>
      <w:r w:rsidRPr="00F40F0E">
        <w:rPr>
          <w:rFonts w:ascii="Verdana" w:eastAsia="Calibri" w:hAnsi="Verdana" w:cs="Arial"/>
        </w:rPr>
        <w:t xml:space="preserve"> (énfasis fuera de texto). </w:t>
      </w:r>
    </w:p>
    <w:p w14:paraId="668C2366" w14:textId="77777777" w:rsidR="009131CF" w:rsidRPr="00F40F0E" w:rsidRDefault="009131CF" w:rsidP="009131CF">
      <w:pPr>
        <w:widowControl w:val="0"/>
        <w:autoSpaceDE w:val="0"/>
        <w:autoSpaceDN w:val="0"/>
        <w:spacing w:after="0" w:line="276" w:lineRule="auto"/>
        <w:ind w:right="102" w:firstLine="709"/>
        <w:jc w:val="both"/>
        <w:rPr>
          <w:rFonts w:ascii="Verdana" w:eastAsia="Arial" w:hAnsi="Verdana" w:cs="Arial"/>
          <w:lang w:val="es-ES"/>
        </w:rPr>
      </w:pPr>
      <w:r w:rsidRPr="00F40F0E">
        <w:rPr>
          <w:rFonts w:ascii="Verdana" w:eastAsia="Arial" w:hAnsi="Verdana" w:cs="Arial"/>
          <w:lang w:val="es-ES"/>
        </w:rPr>
        <w:t xml:space="preserve">En consecuencia, </w:t>
      </w:r>
      <w:r w:rsidRPr="00F40F0E">
        <w:rPr>
          <w:rFonts w:ascii="Verdana" w:eastAsia="Calibri" w:hAnsi="Verdana" w:cs="Arial"/>
          <w:color w:val="000000"/>
          <w:lang w:val="es-MX"/>
        </w:rPr>
        <w:t xml:space="preserve">las </w:t>
      </w:r>
      <w:r w:rsidRPr="00F40F0E">
        <w:rPr>
          <w:rFonts w:ascii="Verdana" w:eastAsia="Arial" w:hAnsi="Verdana" w:cs="Arial"/>
          <w:lang w:val="es-MX"/>
        </w:rPr>
        <w:t>–ESE–</w:t>
      </w:r>
      <w:r w:rsidRPr="00F40F0E">
        <w:rPr>
          <w:rFonts w:ascii="Verdana" w:eastAsia="Arial" w:hAnsi="Verdana" w:cs="Arial"/>
          <w:lang w:val="es-ES"/>
        </w:rPr>
        <w:t xml:space="preserve"> </w:t>
      </w:r>
      <w:r w:rsidRPr="00F40F0E">
        <w:rPr>
          <w:rFonts w:ascii="Verdana" w:eastAsia="Calibri" w:hAnsi="Verdana" w:cs="Arial"/>
          <w:color w:val="000000"/>
          <w:lang w:val="es-MX"/>
        </w:rPr>
        <w:t xml:space="preserve">no están sometidas al EGCAP ni a las normas que lo reglamentan o complementan, ya que, por disposición expresa de la norma transcrita, sus </w:t>
      </w:r>
      <w:r w:rsidRPr="00F40F0E">
        <w:rPr>
          <w:rFonts w:ascii="Verdana" w:eastAsia="Arial" w:hAnsi="Verdana" w:cs="Arial"/>
          <w:lang w:val="es-ES"/>
        </w:rPr>
        <w:t>contratos se rigen por el derecho privado. Sin embargo, esta circunstancia no implica la inobservancia de los principios de la función administrativa y la gestión fiscal, teniendo en cuenta que su objeto, conforme a la Sentencia C-665 de 2000 de la Corte Constitucional, corresponde a la prestación del servicio de salud a cargo del Estado o como parte del servicio de seguridad social</w:t>
      </w:r>
      <w:r w:rsidRPr="00F40F0E">
        <w:rPr>
          <w:rFonts w:ascii="Verdana" w:eastAsia="Arial" w:hAnsi="Verdana" w:cs="Arial"/>
          <w:vertAlign w:val="superscript"/>
          <w:lang w:val="es-ES"/>
        </w:rPr>
        <w:footnoteReference w:id="9"/>
      </w:r>
      <w:r w:rsidRPr="00F40F0E">
        <w:rPr>
          <w:rFonts w:ascii="Verdana" w:eastAsia="Arial" w:hAnsi="Verdana" w:cs="Arial"/>
          <w:lang w:val="es-ES"/>
        </w:rPr>
        <w:t xml:space="preserve">. En esta misma línea, el artículo 83 de la Ley 489 de 1998, </w:t>
      </w:r>
      <w:r w:rsidRPr="00F40F0E">
        <w:rPr>
          <w:rFonts w:ascii="Verdana" w:eastAsia="Arial" w:hAnsi="Verdana" w:cs="Arial"/>
          <w:lang w:val="es-ES"/>
        </w:rPr>
        <w:lastRenderedPageBreak/>
        <w:t>dispuso lo</w:t>
      </w:r>
      <w:r w:rsidRPr="00F40F0E">
        <w:rPr>
          <w:rFonts w:ascii="Verdana" w:eastAsia="Arial" w:hAnsi="Verdana" w:cs="Arial"/>
          <w:spacing w:val="-12"/>
          <w:lang w:val="es-ES"/>
        </w:rPr>
        <w:t xml:space="preserve"> </w:t>
      </w:r>
      <w:r w:rsidRPr="00F40F0E">
        <w:rPr>
          <w:rFonts w:ascii="Verdana" w:eastAsia="Arial" w:hAnsi="Verdana" w:cs="Arial"/>
          <w:lang w:val="es-ES"/>
        </w:rPr>
        <w:t>siguiente:</w:t>
      </w:r>
    </w:p>
    <w:p w14:paraId="2936DEC4" w14:textId="77777777" w:rsidR="009131CF" w:rsidRPr="00F40F0E" w:rsidRDefault="009131CF" w:rsidP="009131CF">
      <w:pPr>
        <w:widowControl w:val="0"/>
        <w:autoSpaceDE w:val="0"/>
        <w:autoSpaceDN w:val="0"/>
        <w:spacing w:after="0" w:line="276" w:lineRule="auto"/>
        <w:ind w:right="102" w:firstLine="709"/>
        <w:jc w:val="both"/>
        <w:rPr>
          <w:rFonts w:ascii="Verdana" w:eastAsia="Arial" w:hAnsi="Verdana" w:cs="Arial"/>
          <w:lang w:val="es-ES"/>
        </w:rPr>
      </w:pPr>
    </w:p>
    <w:p w14:paraId="390CCF75" w14:textId="77777777" w:rsidR="009131CF" w:rsidRPr="007872B3" w:rsidRDefault="009131CF" w:rsidP="009131CF">
      <w:pPr>
        <w:widowControl w:val="0"/>
        <w:autoSpaceDE w:val="0"/>
        <w:autoSpaceDN w:val="0"/>
        <w:spacing w:after="0" w:line="240" w:lineRule="auto"/>
        <w:ind w:left="709" w:right="709"/>
        <w:jc w:val="both"/>
        <w:rPr>
          <w:rFonts w:ascii="Verdana" w:eastAsia="Arial" w:hAnsi="Verdana" w:cs="Arial"/>
          <w:sz w:val="21"/>
          <w:szCs w:val="21"/>
          <w:lang w:val="es-ES"/>
        </w:rPr>
      </w:pPr>
      <w:r w:rsidRPr="007872B3">
        <w:rPr>
          <w:rFonts w:ascii="Verdana" w:eastAsia="Arial" w:hAnsi="Verdana" w:cs="Arial"/>
          <w:sz w:val="21"/>
          <w:szCs w:val="21"/>
          <w:lang w:val="es-ES"/>
        </w:rPr>
        <w:t>“Artículo 83. Empresas sociales del Estado. Las empresas sociales del Estado, creadas por la Nación o por las entidades territoriales para la prestación en forma directa de servicios de salud, se sujetan al régimen previsto en la Ley 100 de 1993, la Ley 344 de 1996 y en la presente Ley en los aspectos no regulados por dichas leyes y a las normas que las complementen, sustituyan o</w:t>
      </w:r>
      <w:r w:rsidRPr="007872B3">
        <w:rPr>
          <w:rFonts w:ascii="Verdana" w:eastAsia="Arial" w:hAnsi="Verdana" w:cs="Arial"/>
          <w:spacing w:val="-1"/>
          <w:sz w:val="21"/>
          <w:szCs w:val="21"/>
          <w:lang w:val="es-ES"/>
        </w:rPr>
        <w:t xml:space="preserve"> </w:t>
      </w:r>
      <w:r w:rsidRPr="007872B3">
        <w:rPr>
          <w:rFonts w:ascii="Verdana" w:eastAsia="Arial" w:hAnsi="Verdana" w:cs="Arial"/>
          <w:sz w:val="21"/>
          <w:szCs w:val="21"/>
          <w:lang w:val="es-ES"/>
        </w:rPr>
        <w:t>adicionen.”</w:t>
      </w:r>
    </w:p>
    <w:p w14:paraId="3B7F9591" w14:textId="77777777" w:rsidR="009131CF" w:rsidRPr="00F40F0E" w:rsidRDefault="009131CF" w:rsidP="009131CF">
      <w:pPr>
        <w:widowControl w:val="0"/>
        <w:autoSpaceDE w:val="0"/>
        <w:autoSpaceDN w:val="0"/>
        <w:spacing w:after="0" w:line="276" w:lineRule="auto"/>
        <w:jc w:val="both"/>
        <w:rPr>
          <w:rFonts w:ascii="Verdana" w:eastAsia="Arial" w:hAnsi="Verdana" w:cs="Arial"/>
          <w:lang w:val="es-ES"/>
        </w:rPr>
      </w:pPr>
    </w:p>
    <w:p w14:paraId="2899C241" w14:textId="77777777" w:rsidR="009131CF" w:rsidRPr="00F40F0E" w:rsidRDefault="009131CF" w:rsidP="009131CF">
      <w:pPr>
        <w:tabs>
          <w:tab w:val="left" w:pos="709"/>
        </w:tabs>
        <w:spacing w:after="120" w:line="276" w:lineRule="auto"/>
        <w:jc w:val="both"/>
        <w:rPr>
          <w:rFonts w:ascii="Verdana" w:eastAsia="Calibri" w:hAnsi="Verdana" w:cs="Arial"/>
          <w:color w:val="000000"/>
        </w:rPr>
      </w:pPr>
      <w:r w:rsidRPr="00F40F0E">
        <w:rPr>
          <w:rFonts w:ascii="Verdana" w:eastAsia="Calibri" w:hAnsi="Verdana" w:cs="Arial"/>
          <w:color w:val="000000"/>
          <w:lang w:val="es-ES"/>
        </w:rPr>
        <w:tab/>
        <w:t xml:space="preserve">Esta también ha sido la interpretación del Ministerio de Salud y Protección Social, que en el Concepto No. </w:t>
      </w:r>
      <w:r w:rsidRPr="00F40F0E">
        <w:rPr>
          <w:rFonts w:ascii="Verdana" w:eastAsia="Calibri" w:hAnsi="Verdana" w:cs="Arial"/>
          <w:color w:val="000000"/>
        </w:rPr>
        <w:t xml:space="preserve">201942301304712 </w:t>
      </w:r>
      <w:r w:rsidRPr="00F40F0E">
        <w:rPr>
          <w:rFonts w:ascii="Verdana" w:eastAsia="Calibri" w:hAnsi="Verdana" w:cs="Arial"/>
          <w:color w:val="000000"/>
          <w:lang w:val="es-ES"/>
        </w:rPr>
        <w:t>de 2019, reiterando lo expuesto por la Sala de Consulta y Servicio Civil del Consejo de Estado</w:t>
      </w:r>
      <w:r w:rsidRPr="00F40F0E">
        <w:rPr>
          <w:rFonts w:ascii="Verdana" w:eastAsia="Calibri" w:hAnsi="Verdana" w:cs="Arial"/>
          <w:color w:val="000000"/>
          <w:vertAlign w:val="superscript"/>
          <w:lang w:val="es-ES"/>
        </w:rPr>
        <w:footnoteReference w:id="10"/>
      </w:r>
      <w:r w:rsidRPr="00F40F0E">
        <w:rPr>
          <w:rFonts w:ascii="Verdana" w:eastAsia="Calibri" w:hAnsi="Verdana" w:cs="Arial"/>
          <w:color w:val="000000"/>
          <w:lang w:val="es-ES"/>
        </w:rPr>
        <w:t xml:space="preserve">, expresó que “[…] </w:t>
      </w:r>
      <w:r w:rsidRPr="00F40F0E">
        <w:rPr>
          <w:rFonts w:ascii="Verdana" w:eastAsia="Calibri" w:hAnsi="Verdana" w:cs="Arial"/>
          <w:color w:val="000000"/>
        </w:rPr>
        <w:t>el régimen de contratación de las Empresas Sociales del Estado, está sometido al derecho privado por disposición legal y la facultad discrecional de pactar las cláusulas excepcionales dota a las mentadas entidades de herramientas especiales para garantizar ciertos fines”</w:t>
      </w:r>
      <w:r w:rsidRPr="00F40F0E">
        <w:rPr>
          <w:rFonts w:ascii="Verdana" w:eastAsia="Calibri" w:hAnsi="Verdana" w:cs="Arial"/>
          <w:color w:val="000000"/>
          <w:vertAlign w:val="superscript"/>
          <w:lang w:val="es-ES"/>
        </w:rPr>
        <w:footnoteReference w:id="11"/>
      </w:r>
      <w:r w:rsidRPr="00F40F0E">
        <w:rPr>
          <w:rFonts w:ascii="Verdana" w:eastAsia="Calibri" w:hAnsi="Verdana" w:cs="Arial"/>
          <w:color w:val="000000"/>
          <w:lang w:val="es-ES"/>
        </w:rPr>
        <w:t xml:space="preserve">. </w:t>
      </w:r>
    </w:p>
    <w:p w14:paraId="2DBE04A4" w14:textId="77777777" w:rsidR="009131CF" w:rsidRPr="00F40F0E" w:rsidRDefault="009131CF" w:rsidP="009131CF">
      <w:pPr>
        <w:spacing w:after="120" w:line="276" w:lineRule="auto"/>
        <w:ind w:firstLine="709"/>
        <w:jc w:val="both"/>
        <w:rPr>
          <w:rFonts w:ascii="Verdana" w:eastAsia="Calibri" w:hAnsi="Verdana" w:cs="Arial"/>
          <w:lang w:val="es-ES"/>
        </w:rPr>
      </w:pPr>
      <w:r w:rsidRPr="00F40F0E">
        <w:rPr>
          <w:rFonts w:ascii="Verdana" w:eastAsia="Calibri" w:hAnsi="Verdana" w:cs="Times New Roman"/>
        </w:rPr>
        <w:t xml:space="preserve">En consecuencia, por mandato del legislador, el régimen jurídico de los contratos de las </w:t>
      </w:r>
      <w:r w:rsidRPr="00F40F0E">
        <w:rPr>
          <w:rFonts w:ascii="Verdana" w:eastAsia="Calibri" w:hAnsi="Verdana" w:cs="Arial"/>
          <w:lang w:val="es-MX"/>
        </w:rPr>
        <w:t>–ESE–</w:t>
      </w:r>
      <w:r w:rsidRPr="00F40F0E">
        <w:rPr>
          <w:rFonts w:ascii="Verdana" w:eastAsia="Calibri" w:hAnsi="Verdana" w:cs="Times New Roman"/>
        </w:rPr>
        <w:t xml:space="preserve"> constituye una de las excepciones legales existentes para la aplicación del EGCAP. Esta excepción permite que dichas empresas se sustraigan de las normas que regulan la actividad contractual de las Entidades Estatales a que hace referencia el artículo 2° de la Ley 80 de 1993. Sin perjuicio de lo anterior, la exclusión de las </w:t>
      </w:r>
      <w:r w:rsidRPr="00F40F0E">
        <w:rPr>
          <w:rFonts w:ascii="Verdana" w:eastAsia="Calibri" w:hAnsi="Verdana" w:cs="Arial"/>
          <w:lang w:val="es-MX"/>
        </w:rPr>
        <w:t>–ESE–</w:t>
      </w:r>
      <w:r w:rsidRPr="00F40F0E">
        <w:rPr>
          <w:rFonts w:ascii="Verdana" w:eastAsia="Calibri" w:hAnsi="Verdana" w:cs="Times New Roman"/>
        </w:rPr>
        <w:t>, frente al régimen jurídico contractual general de las Entidades Estatales, no ha sido absoluta, toda vez que intervienen en la prestación de servicios de salud, como actores dentro de un servicio público bajo responsabilidad del Estado, en los términos del artículo 49 de la Constitución Política. Además, de tiempo atrás en el ordenamiento jurídico colombiano se reconoció que las entidades exceptuadas del EGCAP debían respetar los principios de la función administrativa, tesis que luego fue acogida por el legislador con la expedición de la Ley 1150 de 2007.</w:t>
      </w:r>
    </w:p>
    <w:p w14:paraId="6DC4D6ED" w14:textId="77777777" w:rsidR="009131CF" w:rsidRPr="00F40F0E" w:rsidRDefault="009131CF" w:rsidP="009131CF">
      <w:pPr>
        <w:spacing w:after="120" w:line="276" w:lineRule="auto"/>
        <w:ind w:firstLine="709"/>
        <w:jc w:val="both"/>
        <w:rPr>
          <w:rFonts w:ascii="Verdana" w:eastAsia="Calibri" w:hAnsi="Verdana" w:cs="Arial"/>
          <w:sz w:val="20"/>
          <w:szCs w:val="20"/>
          <w:lang w:val="es-MX"/>
        </w:rPr>
      </w:pPr>
      <w:r w:rsidRPr="00F40F0E">
        <w:rPr>
          <w:rFonts w:ascii="Verdana" w:eastAsia="Calibri" w:hAnsi="Verdana" w:cs="Arial"/>
          <w:lang w:val="es-MX"/>
        </w:rPr>
        <w:t xml:space="preserve">Como se señaló anteriormente, el régimen de derecho privado que, por regla general, caracteriza a los regímenes especiales no implica la ausencia de elementos de derecho público que tienen como fin último garantizar que los </w:t>
      </w:r>
      <w:r w:rsidRPr="00F40F0E">
        <w:rPr>
          <w:rFonts w:ascii="Verdana" w:eastAsia="Calibri" w:hAnsi="Verdana" w:cs="Arial"/>
          <w:lang w:val="es-MX"/>
        </w:rPr>
        <w:lastRenderedPageBreak/>
        <w:t>regímenes especiales de contratación también se ordenen hacia la consecución de los fines del Estado. Estos elementos de derecho público encuentran su manifestación tanto en forma de reglas como de principios. En relación con este segundo tipo, esto es, principios de derecho público aplicables a regímenes especiales de contratación, la norma por excelencia es el artículo 13 de la Ley 1150 de 2007</w:t>
      </w:r>
      <w:r w:rsidRPr="00F40F0E">
        <w:rPr>
          <w:rFonts w:ascii="Verdana" w:eastAsia="Calibri" w:hAnsi="Verdana" w:cs="Arial"/>
          <w:sz w:val="20"/>
          <w:szCs w:val="20"/>
          <w:lang w:val="es-MX"/>
        </w:rPr>
        <w:t xml:space="preserve">. </w:t>
      </w:r>
    </w:p>
    <w:p w14:paraId="337629A6" w14:textId="77777777" w:rsidR="009131CF" w:rsidRPr="00F40F0E" w:rsidRDefault="009131CF" w:rsidP="009131CF">
      <w:pPr>
        <w:spacing w:after="0" w:line="276" w:lineRule="auto"/>
        <w:ind w:firstLine="709"/>
        <w:jc w:val="both"/>
        <w:rPr>
          <w:rFonts w:ascii="Verdana" w:eastAsia="Calibri" w:hAnsi="Verdana" w:cs="Arial"/>
          <w:lang w:val="es-MX"/>
        </w:rPr>
      </w:pPr>
      <w:r w:rsidRPr="00F40F0E">
        <w:rPr>
          <w:rFonts w:ascii="Verdana" w:eastAsia="Calibri" w:hAnsi="Verdana" w:cs="Arial"/>
          <w:lang w:val="es-MX"/>
        </w:rPr>
        <w:t>Al referirse al régimen contractual de las –ESE–, la Sección Tercera del Consejo de Estado manifestó que “la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 De esta forma, aunque los contratos suscritos por las –ESE–</w:t>
      </w:r>
      <w:r w:rsidRPr="00F40F0E">
        <w:rPr>
          <w:rFonts w:ascii="Verdana" w:eastAsia="Calibri" w:hAnsi="Verdana" w:cs="Times New Roman"/>
        </w:rPr>
        <w:t xml:space="preserve"> </w:t>
      </w:r>
      <w:r w:rsidRPr="00F40F0E">
        <w:rPr>
          <w:rFonts w:ascii="Verdana" w:eastAsia="Calibri" w:hAnsi="Verdana" w:cs="Arial"/>
          <w:lang w:val="es-MX"/>
        </w:rPr>
        <w:t>están excluidos del EGCAP, lo cierto es que no se rigen exclusivamente por el derecho civil y comercial, pues, conforme al artículo 13 de la Ley 1150 de 2007, a estos les aplican tanto los principios de la función administrativa y de la gestión fiscal, así como el régimen de inhabilidades e incompatibilidades, temáticas tratadas y reguladas en el referido estatuto, así como el deber de publicar en la plataforma transaccional SECOP II. Al respecto, el artículo 13 de la Ley 1150 de 2007 modificado por el artículo 53 de la Ley 2195 de 2022:</w:t>
      </w:r>
    </w:p>
    <w:p w14:paraId="5728A057" w14:textId="77777777" w:rsidR="009131CF" w:rsidRPr="00F40F0E" w:rsidRDefault="009131CF" w:rsidP="009131CF">
      <w:pPr>
        <w:spacing w:after="0" w:line="276" w:lineRule="auto"/>
        <w:ind w:left="709" w:right="709"/>
        <w:jc w:val="both"/>
        <w:rPr>
          <w:rFonts w:ascii="Verdana" w:eastAsia="Calibri" w:hAnsi="Verdana" w:cs="Arial"/>
          <w:lang w:val="es-MX"/>
        </w:rPr>
      </w:pPr>
    </w:p>
    <w:p w14:paraId="4C9C1E0B" w14:textId="77777777" w:rsidR="009131CF" w:rsidRPr="00F40F0E" w:rsidRDefault="009131CF" w:rsidP="009131CF">
      <w:pPr>
        <w:spacing w:after="0" w:line="240" w:lineRule="auto"/>
        <w:ind w:left="709" w:right="709"/>
        <w:jc w:val="both"/>
        <w:rPr>
          <w:rFonts w:ascii="Verdana" w:eastAsia="Calibri" w:hAnsi="Verdana" w:cs="Arial"/>
          <w:bCs/>
          <w:sz w:val="21"/>
          <w:szCs w:val="21"/>
        </w:rPr>
      </w:pPr>
      <w:r w:rsidRPr="00F40F0E">
        <w:rPr>
          <w:rFonts w:ascii="Verdana" w:eastAsia="Calibri" w:hAnsi="Verdana" w:cs="Arial"/>
          <w:bCs/>
          <w:sz w:val="21"/>
          <w:szCs w:val="21"/>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1C39702D" w14:textId="77777777" w:rsidR="009131CF" w:rsidRPr="00F40F0E" w:rsidRDefault="009131CF" w:rsidP="009131CF">
      <w:pPr>
        <w:spacing w:after="0" w:line="240" w:lineRule="auto"/>
        <w:ind w:left="709" w:right="709" w:firstLine="709"/>
        <w:jc w:val="both"/>
        <w:rPr>
          <w:rFonts w:ascii="Verdana" w:eastAsia="Calibri" w:hAnsi="Verdana" w:cs="Arial"/>
          <w:bCs/>
          <w:sz w:val="21"/>
          <w:szCs w:val="21"/>
        </w:rPr>
      </w:pPr>
    </w:p>
    <w:p w14:paraId="62914291" w14:textId="77777777" w:rsidR="009131CF" w:rsidRPr="00F40F0E" w:rsidRDefault="009131CF" w:rsidP="009131CF">
      <w:pPr>
        <w:spacing w:after="0" w:line="240" w:lineRule="auto"/>
        <w:ind w:left="709" w:right="709"/>
        <w:jc w:val="both"/>
        <w:rPr>
          <w:rFonts w:ascii="Verdana" w:eastAsia="Calibri" w:hAnsi="Verdana" w:cs="Arial"/>
          <w:bCs/>
          <w:i/>
          <w:iCs/>
          <w:sz w:val="21"/>
          <w:szCs w:val="21"/>
        </w:rPr>
      </w:pPr>
      <w:r w:rsidRPr="00F40F0E">
        <w:rPr>
          <w:rFonts w:ascii="Verdana" w:eastAsia="Calibri" w:hAnsi="Verdana" w:cs="Arial"/>
          <w:bCs/>
          <w:i/>
          <w:iCs/>
          <w:sz w:val="21"/>
          <w:szCs w:val="21"/>
        </w:rPr>
        <w:t xml:space="preserve">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w:t>
      </w:r>
      <w:r w:rsidRPr="00F40F0E">
        <w:rPr>
          <w:rFonts w:ascii="Verdana" w:eastAsia="Calibri" w:hAnsi="Verdana" w:cs="Arial"/>
          <w:bCs/>
          <w:i/>
          <w:iCs/>
          <w:sz w:val="21"/>
          <w:szCs w:val="21"/>
        </w:rPr>
        <w:lastRenderedPageBreak/>
        <w:t xml:space="preserve">supervisor o interventor, tanto en la etapa precontractual, como en la contractual y la </w:t>
      </w:r>
      <w:proofErr w:type="spellStart"/>
      <w:r w:rsidRPr="00F40F0E">
        <w:rPr>
          <w:rFonts w:ascii="Verdana" w:eastAsia="Calibri" w:hAnsi="Verdana" w:cs="Arial"/>
          <w:bCs/>
          <w:i/>
          <w:iCs/>
          <w:sz w:val="21"/>
          <w:szCs w:val="21"/>
        </w:rPr>
        <w:t>postcontractual</w:t>
      </w:r>
      <w:proofErr w:type="spellEnd"/>
      <w:r w:rsidRPr="00F40F0E">
        <w:rPr>
          <w:rFonts w:ascii="Verdana" w:eastAsia="Calibri" w:hAnsi="Verdana" w:cs="Arial"/>
          <w:bCs/>
          <w:i/>
          <w:iCs/>
          <w:sz w:val="21"/>
          <w:szCs w:val="21"/>
        </w:rPr>
        <w:t>.</w:t>
      </w:r>
    </w:p>
    <w:p w14:paraId="79B394CE" w14:textId="77777777" w:rsidR="009131CF" w:rsidRPr="00F40F0E" w:rsidRDefault="009131CF" w:rsidP="009131CF">
      <w:pPr>
        <w:spacing w:after="0" w:line="240" w:lineRule="auto"/>
        <w:ind w:left="709" w:right="709"/>
        <w:jc w:val="both"/>
        <w:rPr>
          <w:rFonts w:ascii="Verdana" w:eastAsia="Calibri" w:hAnsi="Verdana" w:cs="Arial"/>
          <w:bCs/>
          <w:i/>
          <w:iCs/>
          <w:sz w:val="21"/>
          <w:szCs w:val="21"/>
        </w:rPr>
      </w:pPr>
    </w:p>
    <w:p w14:paraId="7960A4C2" w14:textId="77777777" w:rsidR="009131CF" w:rsidRPr="00F40F0E" w:rsidRDefault="009131CF" w:rsidP="009131CF">
      <w:pPr>
        <w:spacing w:after="0" w:line="240" w:lineRule="auto"/>
        <w:ind w:left="709" w:right="709"/>
        <w:jc w:val="both"/>
        <w:rPr>
          <w:rFonts w:ascii="Verdana" w:eastAsia="Calibri" w:hAnsi="Verdana" w:cs="Arial"/>
          <w:bCs/>
          <w:i/>
          <w:iCs/>
          <w:sz w:val="21"/>
          <w:szCs w:val="21"/>
        </w:rPr>
      </w:pPr>
      <w:r w:rsidRPr="00F40F0E">
        <w:rPr>
          <w:rFonts w:ascii="Verdana" w:eastAsia="Calibri" w:hAnsi="Verdana" w:cs="Arial"/>
          <w:bCs/>
          <w:sz w:val="21"/>
          <w:szCs w:val="21"/>
        </w:rPr>
        <w:t>A partir de la entrada en vigencia de la presente Ley, se establecerá un periodo de transición de seis (6) meses, para que las entidades den cumplimiento efectivo a lo aquí establecido”. (Cursiva fuera del original).</w:t>
      </w:r>
    </w:p>
    <w:p w14:paraId="0B9DA57C" w14:textId="77777777" w:rsidR="009131CF" w:rsidRPr="00F40F0E" w:rsidRDefault="009131CF" w:rsidP="009131CF">
      <w:pPr>
        <w:spacing w:after="0" w:line="276" w:lineRule="auto"/>
        <w:ind w:firstLine="709"/>
        <w:jc w:val="both"/>
        <w:rPr>
          <w:rFonts w:ascii="Verdana" w:eastAsia="Calibri" w:hAnsi="Verdana" w:cs="Arial"/>
          <w:bCs/>
          <w:lang w:val="es-ES_tradnl"/>
        </w:rPr>
      </w:pPr>
    </w:p>
    <w:p w14:paraId="39E23507" w14:textId="77777777" w:rsidR="009131CF" w:rsidRPr="00F40F0E" w:rsidRDefault="009131CF" w:rsidP="009131CF">
      <w:pPr>
        <w:spacing w:after="120" w:line="276" w:lineRule="auto"/>
        <w:ind w:firstLine="709"/>
        <w:jc w:val="both"/>
        <w:rPr>
          <w:rFonts w:ascii="Verdana" w:eastAsia="Calibri" w:hAnsi="Verdana" w:cs="Arial"/>
          <w:bCs/>
          <w:iCs/>
        </w:rPr>
      </w:pPr>
      <w:r w:rsidRPr="00F40F0E">
        <w:rPr>
          <w:rFonts w:ascii="Verdana" w:eastAsia="Calibri" w:hAnsi="Verdana" w:cs="Arial"/>
          <w:bCs/>
          <w:lang w:val="es-ES"/>
        </w:rPr>
        <w:t xml:space="preserve">De la disposición transcrita, se deriva la interpretación de que a pesar que el régimen que aplican sea el derecho privado, tiene limitaciones dentro del derecho público como son los principios de la función administrativa y de la gestión fiscal y reglas del régimen de inhabilidades e incompatibilidades, así como el deber </w:t>
      </w:r>
      <w:r w:rsidRPr="00F40F0E">
        <w:rPr>
          <w:rFonts w:ascii="Verdana" w:eastAsia="Calibri" w:hAnsi="Verdana" w:cs="Arial"/>
          <w:bCs/>
          <w:i/>
          <w:iCs/>
        </w:rPr>
        <w:t xml:space="preserve">de </w:t>
      </w:r>
      <w:r w:rsidRPr="00F40F0E">
        <w:rPr>
          <w:rFonts w:ascii="Verdana" w:eastAsia="Calibri" w:hAnsi="Verdana" w:cs="Arial"/>
          <w:bCs/>
          <w:iCs/>
        </w:rPr>
        <w:t xml:space="preserve">publicar los documentos relacionados con su actividad contractual en el Sistema Electrónico para la Contratación Pública –SECOP II– o la plataforma transaccional que haga sus veces, sin perjuicio de las demás reglas que les aplique a la sociedad de economía exceptuada del EGCAP. </w:t>
      </w:r>
    </w:p>
    <w:p w14:paraId="3619231D" w14:textId="77777777" w:rsidR="009131CF" w:rsidRPr="00F40F0E" w:rsidRDefault="009131CF" w:rsidP="009131CF">
      <w:pPr>
        <w:spacing w:before="120" w:after="0" w:line="276" w:lineRule="auto"/>
        <w:ind w:firstLine="709"/>
        <w:jc w:val="both"/>
        <w:rPr>
          <w:rFonts w:ascii="Verdana" w:eastAsia="Calibri" w:hAnsi="Verdana" w:cs="Arial"/>
          <w:color w:val="000000"/>
          <w:lang w:val="es-ES_tradnl"/>
        </w:rPr>
      </w:pPr>
      <w:r w:rsidRPr="00F40F0E">
        <w:rPr>
          <w:rFonts w:ascii="Verdana" w:eastAsia="Calibri" w:hAnsi="Verdana" w:cs="Arial"/>
          <w:color w:val="000000"/>
          <w:lang w:val="es-ES_tradnl"/>
        </w:rPr>
        <w:t>Lo anterior es reafirmado por el Consejo de Estado en el caso particular de los manuales de contratación, que contiene algunas reglas que deben seguir las entidades con régimen especial en su actividad contractual:</w:t>
      </w:r>
    </w:p>
    <w:p w14:paraId="7D64D3A4" w14:textId="77777777" w:rsidR="009131CF" w:rsidRPr="00F40F0E" w:rsidRDefault="009131CF" w:rsidP="009131CF">
      <w:pPr>
        <w:spacing w:after="0" w:line="240" w:lineRule="auto"/>
        <w:jc w:val="both"/>
        <w:rPr>
          <w:rFonts w:ascii="Verdana" w:eastAsia="Calibri" w:hAnsi="Verdana" w:cs="Arial"/>
          <w:color w:val="000000"/>
          <w:lang w:val="es-ES_tradnl"/>
        </w:rPr>
      </w:pPr>
    </w:p>
    <w:p w14:paraId="20183F0E" w14:textId="77777777" w:rsidR="009131CF" w:rsidRPr="00F40F0E" w:rsidRDefault="009131CF" w:rsidP="009131CF">
      <w:pPr>
        <w:spacing w:after="0" w:line="240" w:lineRule="auto"/>
        <w:ind w:left="709" w:right="709"/>
        <w:jc w:val="both"/>
        <w:rPr>
          <w:rFonts w:ascii="Verdana" w:eastAsia="Calibri" w:hAnsi="Verdana" w:cs="Arial"/>
          <w:color w:val="000000"/>
          <w:sz w:val="21"/>
          <w:szCs w:val="21"/>
          <w:lang w:val="es-ES_tradnl"/>
        </w:rPr>
      </w:pPr>
      <w:r w:rsidRPr="00F40F0E">
        <w:rPr>
          <w:rFonts w:ascii="Verdana" w:eastAsia="Calibri" w:hAnsi="Verdana" w:cs="Arial"/>
          <w:color w:val="000000"/>
          <w:sz w:val="21"/>
          <w:szCs w:val="21"/>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5D37B4F4" w14:textId="77777777" w:rsidR="009131CF" w:rsidRPr="00F40F0E" w:rsidRDefault="009131CF" w:rsidP="009131CF">
      <w:pPr>
        <w:spacing w:after="0" w:line="240" w:lineRule="auto"/>
        <w:ind w:left="709" w:right="709"/>
        <w:jc w:val="both"/>
        <w:rPr>
          <w:rFonts w:ascii="Verdana" w:eastAsia="Calibri" w:hAnsi="Verdana" w:cs="Arial"/>
          <w:color w:val="000000"/>
          <w:sz w:val="21"/>
          <w:szCs w:val="21"/>
          <w:lang w:val="es-ES_tradnl"/>
        </w:rPr>
      </w:pPr>
    </w:p>
    <w:p w14:paraId="3D25EFAC" w14:textId="77777777" w:rsidR="009131CF" w:rsidRPr="00F40F0E" w:rsidRDefault="009131CF" w:rsidP="009131CF">
      <w:pPr>
        <w:spacing w:after="0" w:line="240" w:lineRule="auto"/>
        <w:ind w:left="709" w:right="709"/>
        <w:jc w:val="both"/>
        <w:rPr>
          <w:rFonts w:ascii="Verdana" w:eastAsia="Calibri" w:hAnsi="Verdana" w:cs="Arial"/>
          <w:color w:val="000000"/>
          <w:sz w:val="21"/>
          <w:szCs w:val="21"/>
          <w:lang w:val="es-ES"/>
        </w:rPr>
      </w:pPr>
      <w:r w:rsidRPr="00F40F0E">
        <w:rPr>
          <w:rFonts w:ascii="Verdana" w:eastAsia="Calibri" w:hAnsi="Verdana" w:cs="Arial"/>
          <w:color w:val="000000"/>
          <w:sz w:val="21"/>
          <w:szCs w:val="21"/>
          <w:lang w:val="es-ES"/>
        </w:rPr>
        <w:t>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w:t>
      </w:r>
      <w:r w:rsidRPr="00F40F0E">
        <w:rPr>
          <w:rFonts w:ascii="Verdana" w:eastAsia="Calibri" w:hAnsi="Verdana" w:cs="Arial"/>
          <w:color w:val="000000"/>
          <w:sz w:val="21"/>
          <w:szCs w:val="21"/>
          <w:vertAlign w:val="superscript"/>
          <w:lang w:val="es-ES_tradnl"/>
        </w:rPr>
        <w:footnoteReference w:id="12"/>
      </w:r>
      <w:r w:rsidRPr="00F40F0E">
        <w:rPr>
          <w:rFonts w:ascii="Verdana" w:eastAsia="Calibri" w:hAnsi="Verdana" w:cs="Arial"/>
          <w:color w:val="000000"/>
          <w:sz w:val="21"/>
          <w:szCs w:val="21"/>
          <w:lang w:val="es-ES"/>
        </w:rPr>
        <w:t>.</w:t>
      </w:r>
    </w:p>
    <w:p w14:paraId="73687D10" w14:textId="77777777" w:rsidR="009131CF" w:rsidRPr="00F40F0E" w:rsidRDefault="009131CF" w:rsidP="009131CF">
      <w:pPr>
        <w:spacing w:after="0" w:line="276" w:lineRule="auto"/>
        <w:ind w:firstLine="709"/>
        <w:jc w:val="both"/>
        <w:rPr>
          <w:rFonts w:ascii="Verdana" w:eastAsia="Calibri" w:hAnsi="Verdana" w:cs="Arial"/>
          <w:lang w:val="es-ES_tradnl"/>
        </w:rPr>
      </w:pPr>
    </w:p>
    <w:p w14:paraId="0A92B804" w14:textId="77777777" w:rsidR="009131CF" w:rsidRPr="00F40F0E" w:rsidRDefault="009131CF" w:rsidP="009131CF">
      <w:pPr>
        <w:spacing w:after="120" w:line="276" w:lineRule="auto"/>
        <w:ind w:firstLine="709"/>
        <w:jc w:val="both"/>
        <w:rPr>
          <w:rFonts w:ascii="Verdana" w:eastAsia="Arial" w:hAnsi="Verdana" w:cs="Arial"/>
        </w:rPr>
      </w:pPr>
      <w:r w:rsidRPr="00F40F0E">
        <w:rPr>
          <w:rFonts w:ascii="Verdana" w:eastAsia="Arial" w:hAnsi="Verdana" w:cs="Arial"/>
        </w:rPr>
        <w:t xml:space="preserve">Ahora bien, puede decirse que una de las reglas para las </w:t>
      </w:r>
      <w:r w:rsidRPr="00F40F0E">
        <w:rPr>
          <w:rFonts w:ascii="Verdana" w:eastAsia="Calibri" w:hAnsi="Verdana" w:cs="Arial"/>
          <w:lang w:val="es-MX"/>
        </w:rPr>
        <w:t>–ESE–</w:t>
      </w:r>
      <w:r w:rsidRPr="00F40F0E">
        <w:rPr>
          <w:rFonts w:ascii="Verdana" w:eastAsia="Arial" w:hAnsi="Verdana" w:cs="Arial"/>
        </w:rPr>
        <w:t xml:space="preserve">, derivada de las normas de derecho público estudiadas, consiste en el deber de expedir un </w:t>
      </w:r>
      <w:r w:rsidRPr="00F40F0E">
        <w:rPr>
          <w:rFonts w:ascii="Verdana" w:eastAsia="Arial" w:hAnsi="Verdana" w:cs="Arial"/>
        </w:rPr>
        <w:lastRenderedPageBreak/>
        <w:t>manual de contratación. En este documento deben concretarse los principios de la función administrativa y de la gestión fiscal, así como determinarse la manera concreta como dichos principios orientarán el derecho privado en el ejercicio de la actividad contractual. De esta manera, los potenciales oferentes podrán identificar las reglas que aplica la entidad en sus procesos contractuales.</w:t>
      </w:r>
    </w:p>
    <w:p w14:paraId="39AA25D4" w14:textId="77777777" w:rsidR="009131CF" w:rsidRPr="00F40F0E" w:rsidRDefault="009131CF" w:rsidP="009131CF">
      <w:pPr>
        <w:spacing w:after="120" w:line="276" w:lineRule="auto"/>
        <w:ind w:firstLine="708"/>
        <w:jc w:val="both"/>
        <w:rPr>
          <w:rFonts w:ascii="Verdana" w:eastAsia="Calibri" w:hAnsi="Verdana" w:cs="Arial"/>
          <w:lang w:val="es-ES"/>
        </w:rPr>
      </w:pPr>
      <w:r w:rsidRPr="00F40F0E">
        <w:rPr>
          <w:rFonts w:ascii="Verdana" w:eastAsia="Calibri" w:hAnsi="Verdana" w:cs="Arial"/>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00F40F0E">
        <w:rPr>
          <w:rFonts w:ascii="Verdana" w:eastAsia="Calibri" w:hAnsi="Verdana" w:cs="Arial"/>
          <w:vertAlign w:val="superscript"/>
          <w:lang w:val="es-ES"/>
        </w:rPr>
        <w:footnoteReference w:id="13"/>
      </w:r>
      <w:r w:rsidRPr="00F40F0E">
        <w:rPr>
          <w:rFonts w:ascii="Verdana" w:eastAsia="Calibri" w:hAnsi="Verdana" w:cs="Arial"/>
          <w:lang w:val="es-ES"/>
        </w:rPr>
        <w:t>. Ahora bien, dicha libertad es similar a la reconocida a los particulares por el derecho privado, pero no es idéntica a aquella, en la medida en que encuentra importantes limitantes.</w:t>
      </w:r>
    </w:p>
    <w:p w14:paraId="4F7A0E95" w14:textId="77777777" w:rsidR="009131CF" w:rsidRPr="00F40F0E" w:rsidRDefault="009131CF" w:rsidP="009131CF">
      <w:pPr>
        <w:spacing w:after="120" w:line="276" w:lineRule="auto"/>
        <w:ind w:firstLine="709"/>
        <w:jc w:val="both"/>
        <w:rPr>
          <w:rFonts w:ascii="Verdana" w:eastAsia="Calibri" w:hAnsi="Verdana" w:cs="Arial"/>
          <w:lang w:val="es-ES"/>
        </w:rPr>
      </w:pPr>
      <w:r w:rsidRPr="00F40F0E">
        <w:rPr>
          <w:rFonts w:ascii="Verdana" w:eastAsia="Calibri" w:hAnsi="Verdana" w:cs="Arial"/>
          <w:lang w:val="es-ES"/>
        </w:rPr>
        <w:t>La elaboración de esos manuales debe contemplar procedimientos de selección públicos, en los cuales se garantice la imparcialidad de la entidad contratante, la igualdad entre los oferentes, y en los cuales se respeten los principios constitucionales relevantes, como la eficacia, economía, celeridad, moralidad, entre otros. Es decir, deben reflejar los principios de la función administrativa y, también, los de la gestión fiscal. La forma precisa en que se concretan estos principios, así como la manera como se armonizan con su régimen de derecho privado, es un asunto que debe decidir la entidad en el ejercicio de la discrecionalidad concedida por el ordenamiento jurídico. No obstante, se considera que, como mínimo, los manuales diseñados por la entidad se deben indicar cuáles son sus procedimientos de selección y una descripción de cada uno de ellos, al igual que las etapas que los componen, los cuales deben estar alineados con la garantía de los principios de la función administrativa</w:t>
      </w:r>
      <w:r w:rsidRPr="00F40F0E">
        <w:rPr>
          <w:rFonts w:ascii="Verdana" w:eastAsia="Calibri" w:hAnsi="Verdana" w:cs="Arial"/>
          <w:vertAlign w:val="superscript"/>
          <w:lang w:val="es-ES"/>
        </w:rPr>
        <w:footnoteReference w:id="14"/>
      </w:r>
      <w:r w:rsidRPr="00F40F0E">
        <w:rPr>
          <w:rFonts w:ascii="Verdana" w:eastAsia="Calibri" w:hAnsi="Verdana" w:cs="Arial"/>
          <w:lang w:val="es-ES"/>
        </w:rPr>
        <w:t xml:space="preserve">. </w:t>
      </w:r>
    </w:p>
    <w:p w14:paraId="188E386F" w14:textId="77777777" w:rsidR="009131CF" w:rsidRPr="00F40F0E" w:rsidRDefault="009131CF" w:rsidP="009131CF">
      <w:pPr>
        <w:widowControl w:val="0"/>
        <w:autoSpaceDE w:val="0"/>
        <w:autoSpaceDN w:val="0"/>
        <w:spacing w:after="120" w:line="276" w:lineRule="auto"/>
        <w:ind w:firstLine="608"/>
        <w:jc w:val="both"/>
        <w:rPr>
          <w:rFonts w:ascii="Verdana" w:eastAsia="Arial" w:hAnsi="Verdana" w:cs="Arial"/>
          <w:lang w:val="es-ES"/>
        </w:rPr>
      </w:pPr>
      <w:r w:rsidRPr="00F40F0E">
        <w:rPr>
          <w:rFonts w:ascii="Verdana" w:eastAsia="Arial" w:hAnsi="Verdana" w:cs="Arial"/>
          <w:lang w:val="es-ES"/>
        </w:rPr>
        <w:t>De esta forma, las</w:t>
      </w:r>
      <w:r w:rsidRPr="00F40F0E">
        <w:rPr>
          <w:rFonts w:ascii="Verdana" w:eastAsia="Arial" w:hAnsi="Verdana" w:cs="Arial"/>
          <w:spacing w:val="-7"/>
          <w:lang w:val="es-ES"/>
        </w:rPr>
        <w:t xml:space="preserve"> </w:t>
      </w:r>
      <w:r w:rsidRPr="00F40F0E">
        <w:rPr>
          <w:rFonts w:ascii="Verdana" w:eastAsia="Arial" w:hAnsi="Verdana" w:cs="Arial"/>
          <w:lang w:val="es-ES"/>
        </w:rPr>
        <w:t>reglas</w:t>
      </w:r>
      <w:r w:rsidRPr="00F40F0E">
        <w:rPr>
          <w:rFonts w:ascii="Verdana" w:eastAsia="Arial" w:hAnsi="Verdana" w:cs="Arial"/>
          <w:spacing w:val="-6"/>
          <w:lang w:val="es-ES"/>
        </w:rPr>
        <w:t xml:space="preserve"> </w:t>
      </w:r>
      <w:r w:rsidRPr="00F40F0E">
        <w:rPr>
          <w:rFonts w:ascii="Verdana" w:eastAsia="Arial" w:hAnsi="Verdana" w:cs="Arial"/>
          <w:lang w:val="es-ES"/>
        </w:rPr>
        <w:t>establecidas</w:t>
      </w:r>
      <w:r w:rsidRPr="00F40F0E">
        <w:rPr>
          <w:rFonts w:ascii="Verdana" w:eastAsia="Arial" w:hAnsi="Verdana" w:cs="Arial"/>
          <w:spacing w:val="-5"/>
          <w:lang w:val="es-ES"/>
        </w:rPr>
        <w:t xml:space="preserve"> </w:t>
      </w:r>
      <w:r w:rsidRPr="00F40F0E">
        <w:rPr>
          <w:rFonts w:ascii="Verdana" w:eastAsia="Arial" w:hAnsi="Verdana" w:cs="Arial"/>
          <w:lang w:val="es-ES"/>
        </w:rPr>
        <w:t>en</w:t>
      </w:r>
      <w:r w:rsidRPr="00F40F0E">
        <w:rPr>
          <w:rFonts w:ascii="Verdana" w:eastAsia="Arial" w:hAnsi="Verdana" w:cs="Arial"/>
          <w:spacing w:val="-7"/>
          <w:lang w:val="es-ES"/>
        </w:rPr>
        <w:t xml:space="preserve"> </w:t>
      </w:r>
      <w:r w:rsidRPr="00F40F0E">
        <w:rPr>
          <w:rFonts w:ascii="Verdana" w:eastAsia="Arial" w:hAnsi="Verdana" w:cs="Arial"/>
          <w:lang w:val="es-ES"/>
        </w:rPr>
        <w:t>los</w:t>
      </w:r>
      <w:r w:rsidRPr="00F40F0E">
        <w:rPr>
          <w:rFonts w:ascii="Verdana" w:eastAsia="Arial" w:hAnsi="Verdana" w:cs="Arial"/>
          <w:spacing w:val="-6"/>
          <w:lang w:val="es-ES"/>
        </w:rPr>
        <w:t xml:space="preserve"> </w:t>
      </w:r>
      <w:r w:rsidRPr="00F40F0E">
        <w:rPr>
          <w:rFonts w:ascii="Verdana" w:eastAsia="Arial" w:hAnsi="Verdana" w:cs="Arial"/>
          <w:lang w:val="es-ES"/>
        </w:rPr>
        <w:t>manuales</w:t>
      </w:r>
      <w:r w:rsidRPr="00F40F0E">
        <w:rPr>
          <w:rFonts w:ascii="Verdana" w:eastAsia="Arial" w:hAnsi="Verdana" w:cs="Arial"/>
          <w:spacing w:val="-6"/>
          <w:lang w:val="es-ES"/>
        </w:rPr>
        <w:t xml:space="preserve"> </w:t>
      </w:r>
      <w:r w:rsidRPr="00F40F0E">
        <w:rPr>
          <w:rFonts w:ascii="Verdana" w:eastAsia="Arial" w:hAnsi="Verdana" w:cs="Arial"/>
          <w:lang w:val="es-ES"/>
        </w:rPr>
        <w:t>o</w:t>
      </w:r>
      <w:r w:rsidRPr="00F40F0E">
        <w:rPr>
          <w:rFonts w:ascii="Verdana" w:eastAsia="Arial" w:hAnsi="Verdana" w:cs="Arial"/>
          <w:spacing w:val="-6"/>
          <w:lang w:val="es-ES"/>
        </w:rPr>
        <w:t xml:space="preserve"> </w:t>
      </w:r>
      <w:r w:rsidRPr="00F40F0E">
        <w:rPr>
          <w:rFonts w:ascii="Verdana" w:eastAsia="Arial" w:hAnsi="Verdana" w:cs="Arial"/>
          <w:lang w:val="es-ES"/>
        </w:rPr>
        <w:t>reglamentos</w:t>
      </w:r>
      <w:r w:rsidRPr="00F40F0E">
        <w:rPr>
          <w:rFonts w:ascii="Verdana" w:eastAsia="Arial" w:hAnsi="Verdana" w:cs="Arial"/>
          <w:spacing w:val="-7"/>
          <w:lang w:val="es-ES"/>
        </w:rPr>
        <w:t xml:space="preserve"> </w:t>
      </w:r>
      <w:r w:rsidRPr="00F40F0E">
        <w:rPr>
          <w:rFonts w:ascii="Verdana" w:eastAsia="Arial" w:hAnsi="Verdana" w:cs="Arial"/>
          <w:lang w:val="es-ES"/>
        </w:rPr>
        <w:t>internos</w:t>
      </w:r>
      <w:r w:rsidRPr="00F40F0E">
        <w:rPr>
          <w:rFonts w:ascii="Verdana" w:eastAsia="Arial" w:hAnsi="Verdana" w:cs="Arial"/>
          <w:spacing w:val="-5"/>
          <w:lang w:val="es-ES"/>
        </w:rPr>
        <w:t xml:space="preserve"> </w:t>
      </w:r>
      <w:r w:rsidRPr="00F40F0E">
        <w:rPr>
          <w:rFonts w:ascii="Verdana" w:eastAsia="Arial" w:hAnsi="Verdana" w:cs="Arial"/>
          <w:lang w:val="es-ES"/>
        </w:rPr>
        <w:t>de</w:t>
      </w:r>
      <w:r w:rsidRPr="00F40F0E">
        <w:rPr>
          <w:rFonts w:ascii="Verdana" w:eastAsia="Arial" w:hAnsi="Verdana" w:cs="Arial"/>
          <w:spacing w:val="-6"/>
          <w:lang w:val="es-ES"/>
        </w:rPr>
        <w:t xml:space="preserve"> </w:t>
      </w:r>
      <w:r w:rsidRPr="00F40F0E">
        <w:rPr>
          <w:rFonts w:ascii="Verdana" w:eastAsia="Arial" w:hAnsi="Verdana" w:cs="Arial"/>
          <w:lang w:val="es-ES"/>
        </w:rPr>
        <w:t>contratación son muy importantes, toda vez que las entidades se obligan a cumplir su contenido.</w:t>
      </w:r>
      <w:r w:rsidRPr="00F40F0E">
        <w:rPr>
          <w:rFonts w:ascii="Verdana" w:eastAsia="Arial" w:hAnsi="Verdana" w:cs="Arial"/>
          <w:spacing w:val="1"/>
          <w:lang w:val="es-ES"/>
        </w:rPr>
        <w:t xml:space="preserve"> </w:t>
      </w:r>
      <w:r w:rsidRPr="00F40F0E">
        <w:rPr>
          <w:rFonts w:ascii="Verdana" w:eastAsia="Arial" w:hAnsi="Verdana" w:cs="Arial"/>
          <w:lang w:val="es-ES"/>
        </w:rPr>
        <w:t>Además, tratándose de un acto administrativo, concretamente de un reglamento, le</w:t>
      </w:r>
      <w:r w:rsidRPr="00F40F0E">
        <w:rPr>
          <w:rFonts w:ascii="Verdana" w:eastAsia="Arial" w:hAnsi="Verdana" w:cs="Arial"/>
          <w:spacing w:val="1"/>
          <w:lang w:val="es-ES"/>
        </w:rPr>
        <w:t xml:space="preserve"> </w:t>
      </w:r>
      <w:r w:rsidRPr="00F40F0E">
        <w:rPr>
          <w:rFonts w:ascii="Verdana" w:eastAsia="Arial" w:hAnsi="Verdana" w:cs="Arial"/>
          <w:lang w:val="es-ES"/>
        </w:rPr>
        <w:t>aplican</w:t>
      </w:r>
      <w:r w:rsidRPr="00F40F0E">
        <w:rPr>
          <w:rFonts w:ascii="Verdana" w:eastAsia="Arial" w:hAnsi="Verdana" w:cs="Arial"/>
          <w:spacing w:val="-10"/>
          <w:lang w:val="es-ES"/>
        </w:rPr>
        <w:t xml:space="preserve"> </w:t>
      </w:r>
      <w:r w:rsidRPr="00F40F0E">
        <w:rPr>
          <w:rFonts w:ascii="Verdana" w:eastAsia="Arial" w:hAnsi="Verdana" w:cs="Arial"/>
          <w:lang w:val="es-ES"/>
        </w:rPr>
        <w:t>los</w:t>
      </w:r>
      <w:r w:rsidRPr="00F40F0E">
        <w:rPr>
          <w:rFonts w:ascii="Verdana" w:eastAsia="Arial" w:hAnsi="Verdana" w:cs="Arial"/>
          <w:spacing w:val="-10"/>
          <w:lang w:val="es-ES"/>
        </w:rPr>
        <w:t xml:space="preserve"> </w:t>
      </w:r>
      <w:r w:rsidRPr="00F40F0E">
        <w:rPr>
          <w:rFonts w:ascii="Verdana" w:eastAsia="Arial" w:hAnsi="Verdana" w:cs="Arial"/>
          <w:lang w:val="es-ES"/>
        </w:rPr>
        <w:t>atributos</w:t>
      </w:r>
      <w:r w:rsidRPr="00F40F0E">
        <w:rPr>
          <w:rFonts w:ascii="Verdana" w:eastAsia="Arial" w:hAnsi="Verdana" w:cs="Arial"/>
          <w:spacing w:val="-10"/>
          <w:lang w:val="es-ES"/>
        </w:rPr>
        <w:t xml:space="preserve"> </w:t>
      </w:r>
      <w:r w:rsidRPr="00F40F0E">
        <w:rPr>
          <w:rFonts w:ascii="Verdana" w:eastAsia="Arial" w:hAnsi="Verdana" w:cs="Arial"/>
          <w:lang w:val="es-ES"/>
        </w:rPr>
        <w:t>propios</w:t>
      </w:r>
      <w:r w:rsidRPr="00F40F0E">
        <w:rPr>
          <w:rFonts w:ascii="Verdana" w:eastAsia="Arial" w:hAnsi="Verdana" w:cs="Arial"/>
          <w:spacing w:val="-10"/>
          <w:lang w:val="es-ES"/>
        </w:rPr>
        <w:t xml:space="preserve"> </w:t>
      </w:r>
      <w:r w:rsidRPr="00F40F0E">
        <w:rPr>
          <w:rFonts w:ascii="Verdana" w:eastAsia="Arial" w:hAnsi="Verdana" w:cs="Arial"/>
          <w:lang w:val="es-ES"/>
        </w:rPr>
        <w:t>de</w:t>
      </w:r>
      <w:r w:rsidRPr="00F40F0E">
        <w:rPr>
          <w:rFonts w:ascii="Verdana" w:eastAsia="Arial" w:hAnsi="Verdana" w:cs="Arial"/>
          <w:spacing w:val="-9"/>
          <w:lang w:val="es-ES"/>
        </w:rPr>
        <w:t xml:space="preserve"> </w:t>
      </w:r>
      <w:r w:rsidRPr="00F40F0E">
        <w:rPr>
          <w:rFonts w:ascii="Verdana" w:eastAsia="Arial" w:hAnsi="Verdana" w:cs="Arial"/>
          <w:lang w:val="es-ES"/>
        </w:rPr>
        <w:t>estos</w:t>
      </w:r>
      <w:r w:rsidRPr="00F40F0E">
        <w:rPr>
          <w:rFonts w:ascii="Verdana" w:eastAsia="Arial" w:hAnsi="Verdana" w:cs="Arial"/>
          <w:spacing w:val="-10"/>
          <w:lang w:val="es-ES"/>
        </w:rPr>
        <w:t xml:space="preserve"> </w:t>
      </w:r>
      <w:r w:rsidRPr="00F40F0E">
        <w:rPr>
          <w:rFonts w:ascii="Verdana" w:eastAsia="Arial" w:hAnsi="Verdana" w:cs="Arial"/>
          <w:lang w:val="es-ES"/>
        </w:rPr>
        <w:t>tipos</w:t>
      </w:r>
      <w:r w:rsidRPr="00F40F0E">
        <w:rPr>
          <w:rFonts w:ascii="Verdana" w:eastAsia="Arial" w:hAnsi="Verdana" w:cs="Arial"/>
          <w:spacing w:val="-10"/>
          <w:lang w:val="es-ES"/>
        </w:rPr>
        <w:t xml:space="preserve"> </w:t>
      </w:r>
      <w:r w:rsidRPr="00F40F0E">
        <w:rPr>
          <w:rFonts w:ascii="Verdana" w:eastAsia="Arial" w:hAnsi="Verdana" w:cs="Arial"/>
          <w:lang w:val="es-ES"/>
        </w:rPr>
        <w:t>de</w:t>
      </w:r>
      <w:r w:rsidRPr="00F40F0E">
        <w:rPr>
          <w:rFonts w:ascii="Verdana" w:eastAsia="Arial" w:hAnsi="Verdana" w:cs="Arial"/>
          <w:spacing w:val="-10"/>
          <w:lang w:val="es-ES"/>
        </w:rPr>
        <w:t xml:space="preserve"> </w:t>
      </w:r>
      <w:r w:rsidRPr="00F40F0E">
        <w:rPr>
          <w:rFonts w:ascii="Verdana" w:eastAsia="Arial" w:hAnsi="Verdana" w:cs="Arial"/>
          <w:lang w:val="es-ES"/>
        </w:rPr>
        <w:t>actos,</w:t>
      </w:r>
      <w:r w:rsidRPr="00F40F0E">
        <w:rPr>
          <w:rFonts w:ascii="Verdana" w:eastAsia="Arial" w:hAnsi="Verdana" w:cs="Arial"/>
          <w:spacing w:val="-9"/>
          <w:lang w:val="es-ES"/>
        </w:rPr>
        <w:t xml:space="preserve"> </w:t>
      </w:r>
      <w:r w:rsidRPr="00F40F0E">
        <w:rPr>
          <w:rFonts w:ascii="Verdana" w:eastAsia="Arial" w:hAnsi="Verdana" w:cs="Arial"/>
          <w:lang w:val="es-ES"/>
        </w:rPr>
        <w:t>entre</w:t>
      </w:r>
      <w:r w:rsidRPr="00F40F0E">
        <w:rPr>
          <w:rFonts w:ascii="Verdana" w:eastAsia="Arial" w:hAnsi="Verdana" w:cs="Arial"/>
          <w:spacing w:val="-10"/>
          <w:lang w:val="es-ES"/>
        </w:rPr>
        <w:t xml:space="preserve"> </w:t>
      </w:r>
      <w:r w:rsidRPr="00F40F0E">
        <w:rPr>
          <w:rFonts w:ascii="Verdana" w:eastAsia="Arial" w:hAnsi="Verdana" w:cs="Arial"/>
          <w:lang w:val="es-ES"/>
        </w:rPr>
        <w:t>otras</w:t>
      </w:r>
      <w:r w:rsidRPr="00F40F0E">
        <w:rPr>
          <w:rFonts w:ascii="Verdana" w:eastAsia="Arial" w:hAnsi="Verdana" w:cs="Arial"/>
          <w:spacing w:val="-10"/>
          <w:lang w:val="es-ES"/>
        </w:rPr>
        <w:t xml:space="preserve"> </w:t>
      </w:r>
      <w:r w:rsidRPr="00F40F0E">
        <w:rPr>
          <w:rFonts w:ascii="Verdana" w:eastAsia="Arial" w:hAnsi="Verdana" w:cs="Arial"/>
          <w:lang w:val="es-ES"/>
        </w:rPr>
        <w:t>cosas,</w:t>
      </w:r>
      <w:r w:rsidRPr="00F40F0E">
        <w:rPr>
          <w:rFonts w:ascii="Verdana" w:eastAsia="Arial" w:hAnsi="Verdana" w:cs="Arial"/>
          <w:spacing w:val="-10"/>
          <w:lang w:val="es-ES"/>
        </w:rPr>
        <w:t xml:space="preserve"> </w:t>
      </w:r>
      <w:r w:rsidRPr="00F40F0E">
        <w:rPr>
          <w:rFonts w:ascii="Verdana" w:eastAsia="Arial" w:hAnsi="Verdana" w:cs="Arial"/>
          <w:lang w:val="es-ES"/>
        </w:rPr>
        <w:t>la</w:t>
      </w:r>
      <w:r w:rsidRPr="00F40F0E">
        <w:rPr>
          <w:rFonts w:ascii="Verdana" w:eastAsia="Arial" w:hAnsi="Verdana" w:cs="Arial"/>
          <w:spacing w:val="-9"/>
          <w:lang w:val="es-ES"/>
        </w:rPr>
        <w:t xml:space="preserve"> </w:t>
      </w:r>
      <w:r w:rsidRPr="00F40F0E">
        <w:rPr>
          <w:rFonts w:ascii="Verdana" w:eastAsia="Arial" w:hAnsi="Verdana" w:cs="Arial"/>
          <w:lang w:val="es-ES"/>
        </w:rPr>
        <w:t>presunción</w:t>
      </w:r>
      <w:r w:rsidRPr="00F40F0E">
        <w:rPr>
          <w:rFonts w:ascii="Verdana" w:eastAsia="Arial" w:hAnsi="Verdana" w:cs="Arial"/>
          <w:spacing w:val="-10"/>
          <w:lang w:val="es-ES"/>
        </w:rPr>
        <w:t xml:space="preserve"> </w:t>
      </w:r>
      <w:r w:rsidRPr="00F40F0E">
        <w:rPr>
          <w:rFonts w:ascii="Verdana" w:eastAsia="Arial" w:hAnsi="Verdana" w:cs="Arial"/>
          <w:lang w:val="es-ES"/>
        </w:rPr>
        <w:t xml:space="preserve">de legalidad y la regla de </w:t>
      </w:r>
      <w:r w:rsidRPr="00F40F0E">
        <w:rPr>
          <w:rFonts w:ascii="Verdana" w:eastAsia="Arial" w:hAnsi="Verdana" w:cs="Arial"/>
          <w:i/>
          <w:lang w:val="es-ES"/>
        </w:rPr>
        <w:lastRenderedPageBreak/>
        <w:t>inderogabilidad singular del reglamento</w:t>
      </w:r>
      <w:r w:rsidRPr="00F40F0E">
        <w:rPr>
          <w:rFonts w:ascii="Verdana" w:eastAsia="Arial" w:hAnsi="Verdana" w:cs="Arial"/>
          <w:i/>
          <w:vertAlign w:val="superscript"/>
          <w:lang w:val="es-ES"/>
        </w:rPr>
        <w:footnoteReference w:id="15"/>
      </w:r>
      <w:r w:rsidRPr="00F40F0E">
        <w:rPr>
          <w:rFonts w:ascii="Verdana" w:eastAsia="Arial" w:hAnsi="Verdana" w:cs="Arial"/>
          <w:lang w:val="es-ES"/>
        </w:rPr>
        <w:t>. En tal sentido, su</w:t>
      </w:r>
      <w:r w:rsidRPr="00F40F0E">
        <w:rPr>
          <w:rFonts w:ascii="Verdana" w:eastAsia="Arial" w:hAnsi="Verdana" w:cs="Arial"/>
          <w:spacing w:val="1"/>
          <w:lang w:val="es-ES"/>
        </w:rPr>
        <w:t xml:space="preserve"> </w:t>
      </w:r>
      <w:r w:rsidRPr="00F40F0E">
        <w:rPr>
          <w:rFonts w:ascii="Verdana" w:eastAsia="Arial" w:hAnsi="Verdana" w:cs="Arial"/>
          <w:lang w:val="es-ES"/>
        </w:rPr>
        <w:t>contenido vincula a la propia entidad que lo expidió y no puede desconocerlo a su</w:t>
      </w:r>
      <w:r w:rsidRPr="00F40F0E">
        <w:rPr>
          <w:rFonts w:ascii="Verdana" w:eastAsia="Arial" w:hAnsi="Verdana" w:cs="Arial"/>
          <w:spacing w:val="1"/>
          <w:lang w:val="es-ES"/>
        </w:rPr>
        <w:t xml:space="preserve"> </w:t>
      </w:r>
      <w:r w:rsidRPr="00F40F0E">
        <w:rPr>
          <w:rFonts w:ascii="Verdana" w:eastAsia="Arial" w:hAnsi="Verdana" w:cs="Arial"/>
          <w:spacing w:val="-1"/>
          <w:lang w:val="es-ES"/>
        </w:rPr>
        <w:t>capricho</w:t>
      </w:r>
      <w:r w:rsidRPr="00F40F0E">
        <w:rPr>
          <w:rFonts w:ascii="Verdana" w:eastAsia="Arial" w:hAnsi="Verdana" w:cs="Arial"/>
          <w:spacing w:val="-15"/>
          <w:lang w:val="es-ES"/>
        </w:rPr>
        <w:t xml:space="preserve"> </w:t>
      </w:r>
      <w:r w:rsidRPr="00F40F0E">
        <w:rPr>
          <w:rFonts w:ascii="Verdana" w:eastAsia="Arial" w:hAnsi="Verdana" w:cs="Arial"/>
          <w:spacing w:val="-1"/>
          <w:lang w:val="es-ES"/>
        </w:rPr>
        <w:t>en</w:t>
      </w:r>
      <w:r w:rsidRPr="00F40F0E">
        <w:rPr>
          <w:rFonts w:ascii="Verdana" w:eastAsia="Arial" w:hAnsi="Verdana" w:cs="Arial"/>
          <w:spacing w:val="-14"/>
          <w:lang w:val="es-ES"/>
        </w:rPr>
        <w:t xml:space="preserve"> </w:t>
      </w:r>
      <w:r w:rsidRPr="00F40F0E">
        <w:rPr>
          <w:rFonts w:ascii="Verdana" w:eastAsia="Arial" w:hAnsi="Verdana" w:cs="Arial"/>
          <w:spacing w:val="-1"/>
          <w:lang w:val="es-ES"/>
        </w:rPr>
        <w:t>casos</w:t>
      </w:r>
      <w:r w:rsidRPr="00F40F0E">
        <w:rPr>
          <w:rFonts w:ascii="Verdana" w:eastAsia="Arial" w:hAnsi="Verdana" w:cs="Arial"/>
          <w:spacing w:val="-14"/>
          <w:lang w:val="es-ES"/>
        </w:rPr>
        <w:t xml:space="preserve"> </w:t>
      </w:r>
      <w:r w:rsidRPr="00F40F0E">
        <w:rPr>
          <w:rFonts w:ascii="Verdana" w:eastAsia="Arial" w:hAnsi="Verdana" w:cs="Arial"/>
          <w:spacing w:val="-1"/>
          <w:lang w:val="es-ES"/>
        </w:rPr>
        <w:t>específicos;</w:t>
      </w:r>
      <w:r w:rsidRPr="00F40F0E">
        <w:rPr>
          <w:rFonts w:ascii="Verdana" w:eastAsia="Arial" w:hAnsi="Verdana" w:cs="Arial"/>
          <w:spacing w:val="-15"/>
          <w:lang w:val="es-ES"/>
        </w:rPr>
        <w:t xml:space="preserve"> </w:t>
      </w:r>
      <w:r w:rsidRPr="00F40F0E">
        <w:rPr>
          <w:rFonts w:ascii="Verdana" w:eastAsia="Arial" w:hAnsi="Verdana" w:cs="Arial"/>
          <w:spacing w:val="-1"/>
          <w:lang w:val="es-ES"/>
        </w:rPr>
        <w:t>sin</w:t>
      </w:r>
      <w:r w:rsidRPr="00F40F0E">
        <w:rPr>
          <w:rFonts w:ascii="Verdana" w:eastAsia="Arial" w:hAnsi="Verdana" w:cs="Arial"/>
          <w:spacing w:val="-14"/>
          <w:lang w:val="es-ES"/>
        </w:rPr>
        <w:t xml:space="preserve"> </w:t>
      </w:r>
      <w:r w:rsidRPr="00F40F0E">
        <w:rPr>
          <w:rFonts w:ascii="Verdana" w:eastAsia="Arial" w:hAnsi="Verdana" w:cs="Arial"/>
          <w:spacing w:val="-1"/>
          <w:lang w:val="es-ES"/>
        </w:rPr>
        <w:t>perjuicio</w:t>
      </w:r>
      <w:r w:rsidRPr="00F40F0E">
        <w:rPr>
          <w:rFonts w:ascii="Verdana" w:eastAsia="Arial" w:hAnsi="Verdana" w:cs="Arial"/>
          <w:spacing w:val="-14"/>
          <w:lang w:val="es-ES"/>
        </w:rPr>
        <w:t xml:space="preserve"> </w:t>
      </w:r>
      <w:r w:rsidRPr="00F40F0E">
        <w:rPr>
          <w:rFonts w:ascii="Verdana" w:eastAsia="Arial" w:hAnsi="Verdana" w:cs="Arial"/>
          <w:spacing w:val="-1"/>
          <w:lang w:val="es-ES"/>
        </w:rPr>
        <w:t>de</w:t>
      </w:r>
      <w:r w:rsidRPr="00F40F0E">
        <w:rPr>
          <w:rFonts w:ascii="Verdana" w:eastAsia="Arial" w:hAnsi="Verdana" w:cs="Arial"/>
          <w:spacing w:val="-15"/>
          <w:lang w:val="es-ES"/>
        </w:rPr>
        <w:t xml:space="preserve"> </w:t>
      </w:r>
      <w:r w:rsidRPr="00F40F0E">
        <w:rPr>
          <w:rFonts w:ascii="Verdana" w:eastAsia="Arial" w:hAnsi="Verdana" w:cs="Arial"/>
          <w:spacing w:val="-1"/>
          <w:lang w:val="es-ES"/>
        </w:rPr>
        <w:t>la</w:t>
      </w:r>
      <w:r w:rsidRPr="00F40F0E">
        <w:rPr>
          <w:rFonts w:ascii="Verdana" w:eastAsia="Arial" w:hAnsi="Verdana" w:cs="Arial"/>
          <w:spacing w:val="-14"/>
          <w:lang w:val="es-ES"/>
        </w:rPr>
        <w:t xml:space="preserve"> </w:t>
      </w:r>
      <w:r w:rsidRPr="00F40F0E">
        <w:rPr>
          <w:rFonts w:ascii="Verdana" w:eastAsia="Arial" w:hAnsi="Verdana" w:cs="Arial"/>
          <w:spacing w:val="-1"/>
          <w:lang w:val="es-ES"/>
        </w:rPr>
        <w:t>posibilidad</w:t>
      </w:r>
      <w:r w:rsidRPr="00F40F0E">
        <w:rPr>
          <w:rFonts w:ascii="Verdana" w:eastAsia="Arial" w:hAnsi="Verdana" w:cs="Arial"/>
          <w:spacing w:val="-14"/>
          <w:lang w:val="es-ES"/>
        </w:rPr>
        <w:t xml:space="preserve"> </w:t>
      </w:r>
      <w:r w:rsidRPr="00F40F0E">
        <w:rPr>
          <w:rFonts w:ascii="Verdana" w:eastAsia="Arial" w:hAnsi="Verdana" w:cs="Arial"/>
          <w:lang w:val="es-ES"/>
        </w:rPr>
        <w:t>de</w:t>
      </w:r>
      <w:r w:rsidRPr="00F40F0E">
        <w:rPr>
          <w:rFonts w:ascii="Verdana" w:eastAsia="Arial" w:hAnsi="Verdana" w:cs="Arial"/>
          <w:spacing w:val="-14"/>
          <w:lang w:val="es-ES"/>
        </w:rPr>
        <w:t xml:space="preserve"> </w:t>
      </w:r>
      <w:r w:rsidRPr="00F40F0E">
        <w:rPr>
          <w:rFonts w:ascii="Verdana" w:eastAsia="Arial" w:hAnsi="Verdana" w:cs="Arial"/>
          <w:lang w:val="es-ES"/>
        </w:rPr>
        <w:t>expedir</w:t>
      </w:r>
      <w:r w:rsidRPr="00F40F0E">
        <w:rPr>
          <w:rFonts w:ascii="Verdana" w:eastAsia="Arial" w:hAnsi="Verdana" w:cs="Arial"/>
          <w:spacing w:val="-15"/>
          <w:lang w:val="es-ES"/>
        </w:rPr>
        <w:t xml:space="preserve"> </w:t>
      </w:r>
      <w:r w:rsidRPr="00F40F0E">
        <w:rPr>
          <w:rFonts w:ascii="Verdana" w:eastAsia="Arial" w:hAnsi="Verdana" w:cs="Arial"/>
          <w:lang w:val="es-ES"/>
        </w:rPr>
        <w:t>un</w:t>
      </w:r>
      <w:r w:rsidRPr="00F40F0E">
        <w:rPr>
          <w:rFonts w:ascii="Verdana" w:eastAsia="Arial" w:hAnsi="Verdana" w:cs="Arial"/>
          <w:spacing w:val="-14"/>
          <w:lang w:val="es-ES"/>
        </w:rPr>
        <w:t xml:space="preserve"> </w:t>
      </w:r>
      <w:r w:rsidRPr="00F40F0E">
        <w:rPr>
          <w:rFonts w:ascii="Verdana" w:eastAsia="Arial" w:hAnsi="Verdana" w:cs="Arial"/>
          <w:lang w:val="es-ES"/>
        </w:rPr>
        <w:t>nuevo</w:t>
      </w:r>
      <w:r w:rsidRPr="00F40F0E">
        <w:rPr>
          <w:rFonts w:ascii="Verdana" w:eastAsia="Arial" w:hAnsi="Verdana" w:cs="Arial"/>
          <w:spacing w:val="-14"/>
          <w:lang w:val="es-ES"/>
        </w:rPr>
        <w:t xml:space="preserve"> </w:t>
      </w:r>
      <w:r w:rsidRPr="00F40F0E">
        <w:rPr>
          <w:rFonts w:ascii="Verdana" w:eastAsia="Arial" w:hAnsi="Verdana" w:cs="Arial"/>
          <w:lang w:val="es-ES"/>
        </w:rPr>
        <w:t>manual o</w:t>
      </w:r>
      <w:r w:rsidRPr="00F40F0E">
        <w:rPr>
          <w:rFonts w:ascii="Verdana" w:eastAsia="Arial" w:hAnsi="Verdana" w:cs="Arial"/>
          <w:spacing w:val="-2"/>
          <w:lang w:val="es-ES"/>
        </w:rPr>
        <w:t xml:space="preserve"> </w:t>
      </w:r>
      <w:r w:rsidRPr="00F40F0E">
        <w:rPr>
          <w:rFonts w:ascii="Verdana" w:eastAsia="Arial" w:hAnsi="Verdana" w:cs="Arial"/>
          <w:lang w:val="es-ES"/>
        </w:rPr>
        <w:t>de</w:t>
      </w:r>
      <w:r w:rsidRPr="00F40F0E">
        <w:rPr>
          <w:rFonts w:ascii="Verdana" w:eastAsia="Arial" w:hAnsi="Verdana" w:cs="Arial"/>
          <w:spacing w:val="-1"/>
          <w:lang w:val="es-ES"/>
        </w:rPr>
        <w:t xml:space="preserve"> </w:t>
      </w:r>
      <w:r w:rsidRPr="00F40F0E">
        <w:rPr>
          <w:rFonts w:ascii="Verdana" w:eastAsia="Arial" w:hAnsi="Verdana" w:cs="Arial"/>
          <w:lang w:val="es-ES"/>
        </w:rPr>
        <w:t>modificar</w:t>
      </w:r>
      <w:r w:rsidRPr="00F40F0E">
        <w:rPr>
          <w:rFonts w:ascii="Verdana" w:eastAsia="Arial" w:hAnsi="Verdana" w:cs="Arial"/>
          <w:spacing w:val="-1"/>
          <w:lang w:val="es-ES"/>
        </w:rPr>
        <w:t xml:space="preserve"> </w:t>
      </w:r>
      <w:r w:rsidRPr="00F40F0E">
        <w:rPr>
          <w:rFonts w:ascii="Verdana" w:eastAsia="Arial" w:hAnsi="Verdana" w:cs="Arial"/>
          <w:lang w:val="es-ES"/>
        </w:rPr>
        <w:t>el</w:t>
      </w:r>
      <w:r w:rsidRPr="00F40F0E">
        <w:rPr>
          <w:rFonts w:ascii="Verdana" w:eastAsia="Arial" w:hAnsi="Verdana" w:cs="Arial"/>
          <w:spacing w:val="-1"/>
          <w:lang w:val="es-ES"/>
        </w:rPr>
        <w:t xml:space="preserve"> </w:t>
      </w:r>
      <w:r w:rsidRPr="00F40F0E">
        <w:rPr>
          <w:rFonts w:ascii="Verdana" w:eastAsia="Arial" w:hAnsi="Verdana" w:cs="Arial"/>
          <w:lang w:val="es-ES"/>
        </w:rPr>
        <w:t>existente.</w:t>
      </w:r>
    </w:p>
    <w:p w14:paraId="2317A6AF" w14:textId="77777777" w:rsidR="009131CF" w:rsidRPr="00F40F0E" w:rsidRDefault="009131CF" w:rsidP="009131CF">
      <w:pPr>
        <w:spacing w:after="120" w:line="276" w:lineRule="auto"/>
        <w:ind w:firstLine="709"/>
        <w:jc w:val="both"/>
        <w:rPr>
          <w:rFonts w:ascii="Verdana" w:eastAsia="Calibri" w:hAnsi="Verdana" w:cs="Arial"/>
          <w:color w:val="000000"/>
          <w:lang w:val="es-ES_tradnl"/>
        </w:rPr>
      </w:pPr>
      <w:r w:rsidRPr="00F40F0E">
        <w:rPr>
          <w:rFonts w:ascii="Verdana" w:eastAsia="Calibri" w:hAnsi="Verdana" w:cs="Arial"/>
          <w:color w:val="000000"/>
          <w:lang w:val="es-ES_tradnl"/>
        </w:rPr>
        <w:t>Además, los procedimientos de selección que creen las entidades de régimen especial en sus manuales de contratación deben estar acordes, en cuanto a sus etapas, publicidad, duración, requisitos y demás aspectos con los acuerdos comerciales suscritos por Colombia, en caso de que la entidad se encuentre dentro del ámbito de cobertura de algún acuerdo comercial.</w:t>
      </w:r>
    </w:p>
    <w:p w14:paraId="5D624F6E" w14:textId="77777777" w:rsidR="009131CF" w:rsidRPr="00F40F0E" w:rsidRDefault="009131CF" w:rsidP="009131CF">
      <w:pPr>
        <w:spacing w:after="120" w:line="276" w:lineRule="auto"/>
        <w:ind w:firstLine="709"/>
        <w:jc w:val="both"/>
        <w:rPr>
          <w:rFonts w:ascii="Verdana" w:eastAsia="Calibri" w:hAnsi="Verdana" w:cs="Arial"/>
          <w:color w:val="000000"/>
          <w:lang w:val="es-ES"/>
        </w:rPr>
      </w:pPr>
      <w:r w:rsidRPr="00F40F0E">
        <w:rPr>
          <w:rFonts w:ascii="Verdana" w:eastAsia="Calibri" w:hAnsi="Verdana" w:cs="Arial"/>
          <w:color w:val="000000"/>
          <w:lang w:val="es-ES"/>
        </w:rPr>
        <w:t>De otro lado, existen ciertos contenidos determinados por el ordenamiento jurídico que no pueden ser modificados por los manuales internos, por tratarse de asuntos con reserva de ley. En este sentido, estos reglamentos internos de las entidades con régimen especial no pueden crear causales de inhabilidad o incompatibilidad, prescribir requisitos de perfeccionamiento, tipologías contractuales, limitar la capacidad contractual establecida en la ley. En efecto, estos contenidos no pueden ser regulados o modificados por los manuales de contratación, ya que se trata de aspectos con reserva de ley o con congelación en el rango de nivel legal, por lo que un acto administrativo no podría alterarlos</w:t>
      </w:r>
      <w:r w:rsidRPr="00F40F0E">
        <w:rPr>
          <w:rFonts w:ascii="Verdana" w:eastAsia="Calibri" w:hAnsi="Verdana" w:cs="Arial"/>
          <w:color w:val="000000"/>
          <w:vertAlign w:val="superscript"/>
          <w:lang w:val="es-ES_tradnl"/>
        </w:rPr>
        <w:footnoteReference w:id="16"/>
      </w:r>
      <w:r w:rsidRPr="00F40F0E">
        <w:rPr>
          <w:rFonts w:ascii="Verdana" w:eastAsia="Calibri" w:hAnsi="Verdana" w:cs="Arial"/>
          <w:color w:val="000000"/>
          <w:lang w:val="es-ES"/>
        </w:rPr>
        <w:t>.</w:t>
      </w:r>
    </w:p>
    <w:p w14:paraId="1F8E1038" w14:textId="77777777" w:rsidR="009131CF" w:rsidRPr="00F40F0E" w:rsidRDefault="009131CF" w:rsidP="009131CF">
      <w:pPr>
        <w:spacing w:after="0" w:line="276" w:lineRule="auto"/>
        <w:ind w:firstLine="708"/>
        <w:jc w:val="both"/>
        <w:rPr>
          <w:rFonts w:ascii="Verdana" w:eastAsia="Calibri" w:hAnsi="Verdana" w:cs="Arial"/>
          <w:color w:val="000000"/>
          <w:lang w:val="es-ES"/>
        </w:rPr>
      </w:pPr>
      <w:r w:rsidRPr="00F40F0E">
        <w:rPr>
          <w:rFonts w:ascii="Verdana" w:eastAsia="Calibri" w:hAnsi="Verdana" w:cs="Arial"/>
          <w:color w:val="000000"/>
          <w:lang w:val="es-ES"/>
        </w:rPr>
        <w:t xml:space="preserve">Sin perjuicio de lo anterior, existen múltiples contenidos que pueden ser objeto de regulación en el manual de contratación, por hacer parte del ámbito de configuración en desarrollo de su autonomía contractual, siempre que no contravengan la Constitución ni la ley. Por ejemplo, la definición de algunos requisitos de ejecución del contrato, con excepción de los que la ley imponga, la </w:t>
      </w:r>
      <w:r w:rsidRPr="00F40F0E">
        <w:rPr>
          <w:rFonts w:ascii="Verdana" w:eastAsia="Calibri" w:hAnsi="Verdana" w:cs="Arial"/>
          <w:color w:val="000000"/>
          <w:lang w:val="es-ES"/>
        </w:rPr>
        <w:lastRenderedPageBreak/>
        <w:t>definición de si cierta actuación de la actividad contractual la debe realizar cierta dependencia de la entidad, establecer límites en cuanto a posibilidad de realizar adiciones, detallar los trámites internos que se surten al interior de la entidad y demás aspectos que hagan parte de su ámbito de configuración.</w:t>
      </w:r>
    </w:p>
    <w:p w14:paraId="28110558" w14:textId="77777777" w:rsidR="009131CF" w:rsidRDefault="009131CF" w:rsidP="009131CF">
      <w:pPr>
        <w:spacing w:after="0" w:line="276" w:lineRule="auto"/>
        <w:jc w:val="both"/>
        <w:rPr>
          <w:rFonts w:ascii="Verdana" w:eastAsia="Calibri" w:hAnsi="Verdana" w:cs="Arial"/>
          <w:bCs/>
          <w:color w:val="000000" w:themeColor="text1"/>
        </w:rPr>
      </w:pPr>
    </w:p>
    <w:p w14:paraId="3006C202" w14:textId="77777777" w:rsidR="009131CF" w:rsidRPr="006B78D3" w:rsidRDefault="009131CF" w:rsidP="009131CF">
      <w:pPr>
        <w:spacing w:after="120" w:line="276" w:lineRule="auto"/>
        <w:jc w:val="both"/>
        <w:rPr>
          <w:rFonts w:ascii="Verdana" w:hAnsi="Verdana" w:cs="Arial"/>
          <w:lang w:val="es-ES"/>
        </w:rPr>
      </w:pPr>
      <w:proofErr w:type="spellStart"/>
      <w:r w:rsidRPr="006B78D3">
        <w:rPr>
          <w:rFonts w:ascii="Verdana" w:eastAsia="Calibri" w:hAnsi="Verdana" w:cs="Arial"/>
          <w:bCs/>
          <w:color w:val="000000" w:themeColor="text1"/>
        </w:rPr>
        <w:t>i</w:t>
      </w:r>
      <w:r>
        <w:rPr>
          <w:rFonts w:ascii="Verdana" w:eastAsia="Calibri" w:hAnsi="Verdana" w:cs="Arial"/>
          <w:bCs/>
          <w:color w:val="000000" w:themeColor="text1"/>
        </w:rPr>
        <w:t>i</w:t>
      </w:r>
      <w:proofErr w:type="spellEnd"/>
      <w:r w:rsidRPr="006B78D3">
        <w:rPr>
          <w:rFonts w:ascii="Verdana" w:eastAsia="Calibri" w:hAnsi="Verdana" w:cs="Arial"/>
          <w:bCs/>
          <w:color w:val="000000" w:themeColor="text1"/>
        </w:rPr>
        <w:t xml:space="preserve">. </w:t>
      </w:r>
      <w:r w:rsidRPr="006B78D3">
        <w:rPr>
          <w:rFonts w:ascii="Verdana" w:hAnsi="Verdana" w:cs="Arial"/>
          <w:lang w:val="es-ES"/>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6B78D3">
        <w:rPr>
          <w:rFonts w:ascii="Verdana" w:hAnsi="Verdana" w:cs="Arial"/>
          <w:i/>
          <w:iCs/>
          <w:lang w:val="es-ES"/>
        </w:rPr>
        <w:t>entidades estatales</w:t>
      </w:r>
      <w:r w:rsidRPr="006B78D3">
        <w:rPr>
          <w:rFonts w:ascii="Verdana" w:hAnsi="Verdana" w:cs="Arial"/>
          <w:lang w:val="es-ES"/>
        </w:rPr>
        <w:t xml:space="preserve">, esto es, aquellas previstas en los literales a) y b) del numeral 1 del artículo 2 </w:t>
      </w:r>
      <w:r w:rsidRPr="006B78D3">
        <w:rPr>
          <w:rFonts w:ascii="Verdana" w:hAnsi="Verdana" w:cs="Arial"/>
          <w:i/>
          <w:iCs/>
          <w:lang w:val="es-ES"/>
        </w:rPr>
        <w:t>ibidem</w:t>
      </w:r>
      <w:r w:rsidRPr="006B78D3">
        <w:rPr>
          <w:rFonts w:ascii="Verdana" w:hAnsi="Verdana" w:cs="Arial"/>
          <w:lang w:val="es-ES"/>
        </w:rPr>
        <w:t xml:space="preserve">. La norma citada define la competencia contractual en los siguientes términos: </w:t>
      </w:r>
    </w:p>
    <w:p w14:paraId="0E4D93AE" w14:textId="77777777" w:rsidR="009131CF" w:rsidRPr="006B78D3" w:rsidRDefault="009131CF" w:rsidP="009131CF">
      <w:pPr>
        <w:spacing w:after="120" w:line="276" w:lineRule="auto"/>
        <w:ind w:firstLine="708"/>
        <w:jc w:val="both"/>
        <w:rPr>
          <w:rFonts w:ascii="Verdana" w:hAnsi="Verdana" w:cs="Arial"/>
          <w:lang w:val="es-ES"/>
        </w:rPr>
      </w:pPr>
      <w:r w:rsidRPr="006B78D3">
        <w:rPr>
          <w:rFonts w:ascii="Verdana" w:hAnsi="Verdana" w:cs="Arial"/>
          <w:lang w:val="es-ES"/>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51274297" w14:textId="77777777" w:rsidR="009131CF" w:rsidRPr="006B78D3" w:rsidRDefault="009131CF" w:rsidP="009131CF">
      <w:pPr>
        <w:spacing w:after="120" w:line="276" w:lineRule="auto"/>
        <w:ind w:firstLine="708"/>
        <w:jc w:val="both"/>
        <w:rPr>
          <w:rFonts w:ascii="Verdana" w:hAnsi="Verdana" w:cs="Arial"/>
          <w:lang w:val="es-ES"/>
        </w:rPr>
      </w:pPr>
      <w:r w:rsidRPr="006B78D3">
        <w:rPr>
          <w:rFonts w:ascii="Verdana" w:hAnsi="Verdana" w:cs="Arial"/>
          <w:lang w:val="es-ES"/>
        </w:rPr>
        <w:t xml:space="preserve">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w:t>
      </w:r>
      <w:r w:rsidRPr="006B78D3">
        <w:rPr>
          <w:rFonts w:ascii="Verdana" w:hAnsi="Verdana" w:cs="Arial"/>
          <w:lang w:val="es-ES"/>
        </w:rPr>
        <w:lastRenderedPageBreak/>
        <w:t>debe armonizarse con el artículo 110 del Decreto 111 de 1996, modificado por el artículo 124 de la Ley 1957 de 2019</w:t>
      </w:r>
      <w:r w:rsidRPr="006B78D3">
        <w:rPr>
          <w:rFonts w:ascii="Verdana" w:hAnsi="Verdana" w:cs="Arial"/>
          <w:vertAlign w:val="superscript"/>
          <w:lang w:val="es-ES"/>
        </w:rPr>
        <w:footnoteReference w:id="17"/>
      </w:r>
      <w:r w:rsidRPr="006B78D3">
        <w:rPr>
          <w:rFonts w:ascii="Verdana" w:hAnsi="Verdana" w:cs="Arial"/>
          <w:lang w:val="es-ES"/>
        </w:rPr>
        <w:t xml:space="preserve">. </w:t>
      </w:r>
    </w:p>
    <w:p w14:paraId="6A328686" w14:textId="77777777" w:rsidR="009131CF" w:rsidRPr="006B78D3" w:rsidRDefault="009131CF" w:rsidP="009131CF">
      <w:pPr>
        <w:spacing w:after="0" w:line="276" w:lineRule="auto"/>
        <w:ind w:firstLine="709"/>
        <w:jc w:val="both"/>
        <w:rPr>
          <w:rFonts w:ascii="Verdana" w:hAnsi="Verdana" w:cs="Arial"/>
          <w:bCs/>
          <w:lang w:val="es-MX"/>
        </w:rPr>
      </w:pPr>
      <w:r w:rsidRPr="006B78D3">
        <w:rPr>
          <w:rFonts w:ascii="Verdana" w:hAnsi="Verdana" w:cs="Arial"/>
          <w:lang w:val="es-ES"/>
        </w:rPr>
        <w:t xml:space="preserve">Para las entidades de los párrafos anteriores, sin perjuicio de las excepciones puntales a la aplicación del EGCAP, los procesos de selección se rigen por el artículo 2 de la Ley 1150 de 2007. El </w:t>
      </w:r>
      <w:r w:rsidRPr="006B78D3">
        <w:rPr>
          <w:rFonts w:ascii="Verdana" w:hAnsi="Verdana" w:cs="Arial"/>
          <w:bCs/>
          <w:lang w:val="es-MX"/>
        </w:rPr>
        <w:t xml:space="preserve">numeral uno, inciso primero, dispone que “La escogencia del contratista se efectuará por </w:t>
      </w:r>
      <w:r w:rsidRPr="006B78D3">
        <w:rPr>
          <w:rFonts w:ascii="Verdana" w:hAnsi="Verdana" w:cs="Arial"/>
          <w:bCs/>
          <w:i/>
          <w:iCs/>
          <w:lang w:val="es-MX"/>
        </w:rPr>
        <w:t>regla general</w:t>
      </w:r>
      <w:r w:rsidRPr="006B78D3">
        <w:rPr>
          <w:rFonts w:ascii="Verdana" w:hAnsi="Verdana" w:cs="Arial"/>
          <w:bCs/>
          <w:lang w:val="es-MX"/>
        </w:rPr>
        <w:t xml:space="preserve"> a través de licitación pública, con las </w:t>
      </w:r>
      <w:r w:rsidRPr="006B78D3">
        <w:rPr>
          <w:rFonts w:ascii="Verdana" w:hAnsi="Verdana" w:cs="Arial"/>
          <w:bCs/>
          <w:i/>
          <w:iCs/>
          <w:lang w:val="es-MX"/>
        </w:rPr>
        <w:t>excepciones</w:t>
      </w:r>
      <w:r w:rsidRPr="006B78D3">
        <w:rPr>
          <w:rFonts w:ascii="Verdana" w:hAnsi="Verdana" w:cs="Arial"/>
          <w:bCs/>
          <w:lang w:val="es-MX"/>
        </w:rPr>
        <w:t xml:space="preserve"> que se señalan en los numerales 2, 3 y 4 del presente artículo” (</w:t>
      </w:r>
      <w:r>
        <w:rPr>
          <w:rFonts w:ascii="Verdana" w:hAnsi="Verdana" w:cs="Arial"/>
          <w:bCs/>
          <w:lang w:val="es-MX"/>
        </w:rPr>
        <w:t>é</w:t>
      </w:r>
      <w:r w:rsidRPr="006B78D3">
        <w:rPr>
          <w:rFonts w:ascii="Verdana" w:hAnsi="Verdana" w:cs="Arial"/>
          <w:bCs/>
          <w:lang w:val="es-MX"/>
        </w:rPr>
        <w:t>nfasis fuera de texto), norma que sustituye el derogado numeral 1 del artículo 24 de la Ley 80 de 1993 sobre el principio de transparencia</w:t>
      </w:r>
      <w:r w:rsidRPr="006B78D3">
        <w:rPr>
          <w:rFonts w:ascii="Verdana" w:hAnsi="Verdana" w:cs="Arial"/>
          <w:bCs/>
          <w:vertAlign w:val="superscript"/>
          <w:lang w:val="es-MX"/>
        </w:rPr>
        <w:footnoteReference w:id="18"/>
      </w:r>
      <w:r w:rsidRPr="006B78D3">
        <w:rPr>
          <w:rFonts w:ascii="Verdana" w:hAnsi="Verdana" w:cs="Arial"/>
          <w:bCs/>
          <w:lang w:val="es-MX"/>
        </w:rPr>
        <w:t>. En este contexto, salvo norma especial que ordene la celebración del negocio jurídico por selección abreviada, concurso de méritos, mínima cuantía o contratación directa, debe aplicarse la regla general de licitación pública</w:t>
      </w:r>
      <w:r w:rsidRPr="006B78D3">
        <w:rPr>
          <w:rFonts w:ascii="Verdana" w:hAnsi="Verdana" w:cs="Arial"/>
          <w:bCs/>
          <w:vertAlign w:val="superscript"/>
          <w:lang w:val="es-MX"/>
        </w:rPr>
        <w:footnoteReference w:id="19"/>
      </w:r>
      <w:r w:rsidRPr="006B78D3">
        <w:rPr>
          <w:rFonts w:ascii="Verdana" w:hAnsi="Verdana" w:cs="Arial"/>
          <w:bCs/>
          <w:lang w:val="es-MX"/>
        </w:rPr>
        <w:t>.</w:t>
      </w:r>
    </w:p>
    <w:p w14:paraId="2F5FC38F" w14:textId="77777777" w:rsidR="009131CF" w:rsidRPr="006B78D3" w:rsidRDefault="009131CF" w:rsidP="009131CF">
      <w:pPr>
        <w:spacing w:after="0" w:line="276" w:lineRule="auto"/>
        <w:ind w:firstLine="709"/>
        <w:jc w:val="both"/>
        <w:rPr>
          <w:rFonts w:ascii="Verdana" w:hAnsi="Verdana" w:cs="Arial"/>
          <w:bCs/>
          <w:lang w:val="es-MX"/>
        </w:rPr>
      </w:pPr>
    </w:p>
    <w:p w14:paraId="07DE089D" w14:textId="77777777" w:rsidR="009131CF" w:rsidRPr="00614000" w:rsidRDefault="009131CF" w:rsidP="009131CF">
      <w:pPr>
        <w:snapToGrid w:val="0"/>
        <w:spacing w:after="120" w:line="276" w:lineRule="auto"/>
        <w:jc w:val="both"/>
        <w:rPr>
          <w:rFonts w:ascii="Verdana" w:eastAsia="Times New Roman" w:hAnsi="Verdana" w:cs="Arial"/>
          <w:color w:val="000000" w:themeColor="text1"/>
          <w:lang w:eastAsia="es-CO"/>
        </w:rPr>
      </w:pPr>
      <w:proofErr w:type="spellStart"/>
      <w:r w:rsidRPr="006B78D3">
        <w:rPr>
          <w:rFonts w:ascii="Verdana" w:hAnsi="Verdana" w:cs="Arial"/>
          <w:bCs/>
        </w:rPr>
        <w:t>ii</w:t>
      </w:r>
      <w:r>
        <w:rPr>
          <w:rFonts w:ascii="Verdana" w:hAnsi="Verdana" w:cs="Arial"/>
          <w:bCs/>
        </w:rPr>
        <w:t>i</w:t>
      </w:r>
      <w:proofErr w:type="spellEnd"/>
      <w:r w:rsidRPr="006B78D3">
        <w:rPr>
          <w:rFonts w:ascii="Verdana" w:hAnsi="Verdana" w:cs="Arial"/>
          <w:bCs/>
        </w:rPr>
        <w:t>.</w:t>
      </w:r>
      <w:r>
        <w:rPr>
          <w:rFonts w:ascii="Verdana" w:hAnsi="Verdana" w:cs="Arial"/>
          <w:bCs/>
        </w:rPr>
        <w:t xml:space="preserve"> </w:t>
      </w:r>
      <w:r w:rsidRPr="006B78D3">
        <w:rPr>
          <w:rFonts w:ascii="Verdana" w:hAnsi="Verdana" w:cs="Arial"/>
          <w:lang w:val="es-ES"/>
        </w:rPr>
        <w:t>Por organismo internacional se entiende aquella organización, grupo o asociación que se extiende más allá de las fronteras de un Estado y cuenta con órganos gubernamentales permanentes distintos e independientes de los Estados miembros de la organización que garantizan su vigencia y operatividad, con el propósito de cumplir objetivos comunes entre los Estados miembros</w:t>
      </w:r>
      <w:r w:rsidRPr="006B78D3">
        <w:rPr>
          <w:rFonts w:ascii="Verdana" w:hAnsi="Verdana" w:cs="Arial"/>
          <w:vertAlign w:val="superscript"/>
        </w:rPr>
        <w:footnoteReference w:id="20"/>
      </w:r>
      <w:r w:rsidRPr="006B78D3">
        <w:rPr>
          <w:rFonts w:ascii="Verdana" w:hAnsi="Verdana" w:cs="Arial"/>
          <w:lang w:val="es-ES"/>
        </w:rPr>
        <w:t xml:space="preserve">.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14:paraId="6BFD2355" w14:textId="77777777" w:rsidR="009131CF" w:rsidRPr="007F7659" w:rsidRDefault="009131CF" w:rsidP="009131CF">
      <w:pPr>
        <w:snapToGrid w:val="0"/>
        <w:spacing w:after="120" w:line="276" w:lineRule="auto"/>
        <w:ind w:firstLine="709"/>
        <w:jc w:val="both"/>
        <w:rPr>
          <w:rFonts w:ascii="Verdana" w:eastAsia="Calibri" w:hAnsi="Verdana" w:cs="Arial"/>
          <w:lang w:val="es-ES"/>
        </w:rPr>
      </w:pPr>
      <w:bookmarkStart w:id="2" w:name="_Hlk99449078"/>
      <w:r w:rsidRPr="006B78D3">
        <w:rPr>
          <w:rFonts w:ascii="Verdana" w:eastAsia="Calibri" w:hAnsi="Verdana" w:cs="Arial"/>
          <w:lang w:val="es-ES"/>
        </w:rPr>
        <w:t>El artículo 13 de la Ley 80 de 1993 regula de forma general el régimen aplicable a los contratos que celebren las entidades referidas en el artículo segundo del estatuto, señalando en el inciso primero, como primer criterio, la aplicabilidad de las disposiciones civiles y comerciales nacionales, sin perjuicio de la aplicación prevalente de las contenidas en el Estatuto General de Contratación de la Administración Pública</w:t>
      </w:r>
      <w:r w:rsidRPr="006B78D3">
        <w:rPr>
          <w:rFonts w:ascii="Verdana" w:hAnsi="Verdana" w:cs="Arial"/>
          <w:vertAlign w:val="superscript"/>
          <w:lang w:val="es-ES"/>
        </w:rPr>
        <w:footnoteReference w:id="21"/>
      </w:r>
      <w:r w:rsidRPr="006B78D3">
        <w:rPr>
          <w:rFonts w:ascii="Verdana" w:eastAsia="Calibri" w:hAnsi="Verdana" w:cs="Arial"/>
          <w:lang w:val="es-ES"/>
        </w:rPr>
        <w:t xml:space="preserve">.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 </w:t>
      </w:r>
      <w:bookmarkEnd w:id="2"/>
    </w:p>
    <w:p w14:paraId="69416BD6" w14:textId="77777777" w:rsidR="009131CF" w:rsidRPr="006B78D3" w:rsidRDefault="009131CF" w:rsidP="009131CF">
      <w:pPr>
        <w:snapToGrid w:val="0"/>
        <w:spacing w:after="0" w:line="276" w:lineRule="auto"/>
        <w:ind w:firstLine="709"/>
        <w:contextualSpacing/>
        <w:jc w:val="both"/>
        <w:rPr>
          <w:rFonts w:ascii="Verdana" w:eastAsia="Calibri" w:hAnsi="Verdana" w:cs="Arial"/>
          <w:lang w:val="es-ES"/>
        </w:rPr>
      </w:pPr>
      <w:r w:rsidRPr="006B78D3">
        <w:rPr>
          <w:rFonts w:ascii="Verdana" w:eastAsia="Calibri" w:hAnsi="Verdana" w:cs="Arial"/>
          <w:lang w:val="es-ES"/>
        </w:rPr>
        <w:t>Nótese cómo el artículo citado permite que las entidades estatales no se rijan siempre por la normativa colombiana, permitiendo, en algunos casos, la aplicación de la ley extranjera. Además de los supuestos anteriores, el Consejo de Estado explica, en general, los siguientes escenarios, en los cuales el régimen jurídico puede ser uno diferente al prescrito en el derecho nacional, pese a tratarse de contratos sometidos, en principio, a la Ley 80 de 1993:</w:t>
      </w:r>
    </w:p>
    <w:p w14:paraId="0DD2E99B" w14:textId="77777777" w:rsidR="009131CF" w:rsidRPr="006B78D3" w:rsidRDefault="009131CF" w:rsidP="009131CF">
      <w:pPr>
        <w:snapToGrid w:val="0"/>
        <w:spacing w:line="276" w:lineRule="auto"/>
        <w:ind w:firstLine="709"/>
        <w:contextualSpacing/>
        <w:jc w:val="both"/>
        <w:rPr>
          <w:rFonts w:ascii="Verdana" w:eastAsia="Calibri" w:hAnsi="Verdana" w:cs="Arial"/>
          <w:lang w:val="es-ES"/>
        </w:rPr>
      </w:pPr>
    </w:p>
    <w:p w14:paraId="6F589242" w14:textId="77777777" w:rsidR="009131CF" w:rsidRPr="00013234" w:rsidRDefault="009131CF" w:rsidP="009131CF">
      <w:pPr>
        <w:spacing w:after="0" w:line="240" w:lineRule="auto"/>
        <w:ind w:left="709" w:right="709"/>
        <w:contextualSpacing/>
        <w:jc w:val="both"/>
        <w:rPr>
          <w:rFonts w:ascii="Verdana" w:eastAsia="MS Mincho" w:hAnsi="Verdana" w:cs="Arial"/>
          <w:sz w:val="21"/>
          <w:szCs w:val="21"/>
          <w:lang w:val="es-ES" w:eastAsia="es-ES"/>
        </w:rPr>
      </w:pPr>
      <w:r w:rsidRPr="00013234">
        <w:rPr>
          <w:rFonts w:ascii="Verdana" w:eastAsia="MS Mincho" w:hAnsi="Verdana" w:cs="Arial"/>
          <w:sz w:val="21"/>
          <w:szCs w:val="21"/>
          <w:lang w:val="es-ES" w:eastAsia="es-ES"/>
        </w:rPr>
        <w:lastRenderedPageBreak/>
        <w:t xml:space="preserve">“i) Contratos celebrados en el exterior, los cuales se podrán regir en su ejecución por las reglas del país donde se ha suscrito, salvo cuando su cumplimiento deba hacerse en Colombia, caso en el cual se aplicará la legislación nacional, </w:t>
      </w:r>
      <w:proofErr w:type="spellStart"/>
      <w:r w:rsidRPr="00013234">
        <w:rPr>
          <w:rFonts w:ascii="Verdana" w:eastAsia="MS Mincho" w:hAnsi="Verdana" w:cs="Arial"/>
          <w:sz w:val="21"/>
          <w:szCs w:val="21"/>
          <w:lang w:val="es-ES" w:eastAsia="es-ES"/>
        </w:rPr>
        <w:t>ii</w:t>
      </w:r>
      <w:proofErr w:type="spellEnd"/>
      <w:r w:rsidRPr="00013234">
        <w:rPr>
          <w:rFonts w:ascii="Verdana" w:eastAsia="MS Mincho" w:hAnsi="Verdana" w:cs="Arial"/>
          <w:sz w:val="21"/>
          <w:szCs w:val="21"/>
          <w:lang w:val="es-ES" w:eastAsia="es-ES"/>
        </w:rPr>
        <w:t xml:space="preserve">) Contratos celebrados en territorio colombiano que deben ejecutarse o cumplirse en el extranjero, en tal caso podrá regirse bajo legislación foránea, salvo aquella parte que deba ejecutarse o cumplirse en Colombia, la cual se regirá por el derecho nacional, </w:t>
      </w:r>
      <w:proofErr w:type="spellStart"/>
      <w:r w:rsidRPr="00013234">
        <w:rPr>
          <w:rFonts w:ascii="Verdana" w:eastAsia="MS Mincho" w:hAnsi="Verdana" w:cs="Arial"/>
          <w:sz w:val="21"/>
          <w:szCs w:val="21"/>
          <w:lang w:val="es-ES" w:eastAsia="es-ES"/>
        </w:rPr>
        <w:t>iii</w:t>
      </w:r>
      <w:proofErr w:type="spellEnd"/>
      <w:r w:rsidRPr="00013234">
        <w:rPr>
          <w:rFonts w:ascii="Verdana" w:eastAsia="MS Mincho" w:hAnsi="Verdana" w:cs="Arial"/>
          <w:sz w:val="21"/>
          <w:szCs w:val="21"/>
          <w:lang w:val="es-ES" w:eastAsia="es-ES"/>
        </w:rPr>
        <w:t>) a) los contratos financiados con fondos de organismos multilaterales de crédito y b) aquellos celebrados con personas extranjeras de derecho público u organismos de cooperación, asistencia o ayudas internacionales, los cuales ‘podrán someterse a los reglamentos de tales entidades en todo lo relacionado con procedimientos de formación y adjudicación y cláusulas especiales de ejecución, cumplimiento, pagos y ajustes’”</w:t>
      </w:r>
      <w:r w:rsidRPr="00013234">
        <w:rPr>
          <w:rFonts w:ascii="Verdana" w:hAnsi="Verdana" w:cs="Arial"/>
          <w:sz w:val="21"/>
          <w:szCs w:val="21"/>
          <w:vertAlign w:val="superscript"/>
          <w:lang w:val="es-ES"/>
        </w:rPr>
        <w:footnoteReference w:id="22"/>
      </w:r>
      <w:r w:rsidRPr="00013234">
        <w:rPr>
          <w:rFonts w:ascii="Verdana" w:eastAsia="MS Mincho" w:hAnsi="Verdana" w:cs="Arial"/>
          <w:sz w:val="21"/>
          <w:szCs w:val="21"/>
          <w:lang w:val="es-ES" w:eastAsia="es-ES"/>
        </w:rPr>
        <w:t xml:space="preserve">. </w:t>
      </w:r>
    </w:p>
    <w:p w14:paraId="33EFDB99" w14:textId="77777777" w:rsidR="009131CF" w:rsidRPr="006B78D3" w:rsidRDefault="009131CF" w:rsidP="009131CF">
      <w:pPr>
        <w:spacing w:after="0" w:line="276" w:lineRule="auto"/>
        <w:ind w:right="709"/>
        <w:rPr>
          <w:rFonts w:ascii="Verdana" w:eastAsia="Calibri" w:hAnsi="Verdana" w:cs="Arial"/>
        </w:rPr>
      </w:pPr>
    </w:p>
    <w:p w14:paraId="13C84C89" w14:textId="77777777" w:rsidR="009131CF" w:rsidRPr="006B78D3" w:rsidRDefault="009131CF" w:rsidP="009131CF">
      <w:pPr>
        <w:snapToGrid w:val="0"/>
        <w:spacing w:after="120" w:line="276" w:lineRule="auto"/>
        <w:ind w:firstLine="709"/>
        <w:jc w:val="both"/>
        <w:rPr>
          <w:rFonts w:ascii="Verdana" w:eastAsia="Calibri" w:hAnsi="Verdana" w:cs="Arial"/>
          <w:lang w:val="es-ES"/>
        </w:rPr>
      </w:pPr>
      <w:r w:rsidRPr="006B78D3">
        <w:rPr>
          <w:rFonts w:ascii="Verdana" w:eastAsia="Calibri" w:hAnsi="Verdana" w:cs="Arial"/>
          <w:lang w:val="es-ES"/>
        </w:rPr>
        <w:t>La redacción original del artículo 13 de la Ley 80 de 1993 incluía un inciso cuarto en el que se regulaba el régimen aplicable a los contratos suscritos con organismos internacionales, estableciendo otros supuestos donde era posible aplicar un régimen distinto al del Estatuto General de Contratación de la Administración Pública –en adelante EGCAP–</w:t>
      </w:r>
      <w:r w:rsidRPr="006B78D3">
        <w:rPr>
          <w:rFonts w:ascii="Verdana" w:eastAsia="Calibri" w:hAnsi="Verdana" w:cs="Arial"/>
          <w:vertAlign w:val="superscript"/>
        </w:rPr>
        <w:footnoteReference w:id="23"/>
      </w:r>
      <w:r w:rsidRPr="006B78D3">
        <w:rPr>
          <w:rFonts w:ascii="Verdana" w:eastAsia="Calibri" w:hAnsi="Verdana" w:cs="Arial"/>
          <w:lang w:val="es-ES"/>
        </w:rPr>
        <w:t xml:space="preserve">. Sin embargo, el artículo 20 de la Ley 1150 de 2007 modificó el régimen contractual aplicable a los contratos o convenios suscritos con organismos internacionales, estableciendo, para algunos casos, la posible definición del régimen dependiendo del porcentaje de participación que el organismo internacional tuviera frente a dichos contratos, a partir del cual establece una potestad discrecional en torno a la elección del régimen contractual aplicable. Así, el artículo 20 de la citada norma señala que “podrán” someterse a los reglamentos de tales entidades, en lo que tiene que ver con el inciso primero de dicho artículo. </w:t>
      </w:r>
    </w:p>
    <w:p w14:paraId="062CCFFB" w14:textId="77777777" w:rsidR="009131CF" w:rsidRPr="006B78D3" w:rsidRDefault="009131CF" w:rsidP="009131CF">
      <w:pPr>
        <w:snapToGrid w:val="0"/>
        <w:spacing w:after="120" w:line="276" w:lineRule="auto"/>
        <w:ind w:firstLine="709"/>
        <w:jc w:val="both"/>
        <w:rPr>
          <w:rFonts w:ascii="Verdana" w:eastAsia="Calibri" w:hAnsi="Verdana" w:cs="Arial"/>
          <w:lang w:val="es-ES"/>
        </w:rPr>
      </w:pPr>
      <w:r w:rsidRPr="006B78D3">
        <w:rPr>
          <w:rFonts w:ascii="Verdana" w:eastAsia="Calibri" w:hAnsi="Verdana" w:cs="Arial"/>
          <w:lang w:val="es-ES"/>
        </w:rPr>
        <w:t xml:space="preserve">Para comprender el alcance del régimen aplicable a los contratos o convenios que se suscriban con organismos internacionales, de acuerdo con la financiación de estos, resulta necesario analizar el artículo 20 de la Ley 1150 de </w:t>
      </w:r>
      <w:r w:rsidRPr="006B78D3">
        <w:rPr>
          <w:rFonts w:ascii="Verdana" w:eastAsia="Calibri" w:hAnsi="Verdana" w:cs="Arial"/>
          <w:lang w:val="es-ES"/>
        </w:rPr>
        <w:lastRenderedPageBreak/>
        <w:t>2007</w:t>
      </w:r>
      <w:r w:rsidRPr="006B78D3">
        <w:rPr>
          <w:rFonts w:ascii="Verdana" w:eastAsia="Calibri" w:hAnsi="Verdana" w:cs="Arial"/>
          <w:vertAlign w:val="superscript"/>
        </w:rPr>
        <w:footnoteReference w:id="24"/>
      </w:r>
      <w:r w:rsidRPr="006B78D3">
        <w:rPr>
          <w:rFonts w:ascii="Verdana" w:eastAsia="Calibri" w:hAnsi="Verdana" w:cs="Arial"/>
          <w:lang w:val="es-ES"/>
        </w:rPr>
        <w:t xml:space="preserve">. De conformidad con este artículo, en lo que tiene que ver con el </w:t>
      </w:r>
      <w:r w:rsidRPr="006B78D3">
        <w:rPr>
          <w:rFonts w:ascii="Verdana" w:eastAsia="Calibri" w:hAnsi="Verdana" w:cs="Arial"/>
          <w:i/>
          <w:lang w:val="es-ES"/>
        </w:rPr>
        <w:t>inciso primero</w:t>
      </w:r>
      <w:r w:rsidRPr="006B78D3">
        <w:rPr>
          <w:rFonts w:ascii="Verdana" w:eastAsia="Calibri" w:hAnsi="Verdana" w:cs="Arial"/>
          <w:lang w:val="es-ES"/>
        </w:rPr>
        <w:t xml:space="preserve">, resulta que únicamente procederá la aplicación de los reglamentos de estas entidades y, por lo tanto, es facultativo dejar de aplicar el EGCAP cuando los contratos o convenios sean financiados en su totalidad o en sumas iguales o superiores al 50% con fondos del organismo de cooperación, asistencia o ayudas internacionales. Cuando la entidad contratante determine o establezca que los aportes del organismo internacional son inferiores al porcentaje señalado, el contrato o convenio debe someterse al EGCAP. </w:t>
      </w:r>
    </w:p>
    <w:p w14:paraId="00338A1B" w14:textId="77777777" w:rsidR="009131CF" w:rsidRPr="006B78D3" w:rsidRDefault="009131CF" w:rsidP="009131CF">
      <w:pPr>
        <w:snapToGrid w:val="0"/>
        <w:spacing w:after="120" w:line="276" w:lineRule="auto"/>
        <w:ind w:firstLine="709"/>
        <w:jc w:val="both"/>
        <w:rPr>
          <w:rFonts w:ascii="Verdana" w:hAnsi="Verdana" w:cs="Arial"/>
        </w:rPr>
      </w:pPr>
      <w:r w:rsidRPr="006B78D3">
        <w:rPr>
          <w:rFonts w:ascii="Verdana" w:eastAsia="Calibri" w:hAnsi="Verdana" w:cs="Arial"/>
          <w:lang w:val="es-ES"/>
        </w:rPr>
        <w:t>Conviene mencionar que dentro de la ejecución del contrato o convenio pueden presentarse situaciones en las que el porcentaje de los aportes sea modificado, en virtud de su adición o no ejecución en los términos pactados. Previendo este escenario, el artículo 2.2.1.2.4.4.1 del Decreto 1082 de 2015 dispuso que se deben modificar los contratos o convenios para efectos de que estos estén sujetos a las normas del sistema de compras y contratación pública, si el aporte de recursos públicos es superior al cincuenta por ciento (50%) del total o de las normas internas de la entidad de cooperación si el aporte es inferior</w:t>
      </w:r>
      <w:r w:rsidRPr="006B78D3">
        <w:rPr>
          <w:rFonts w:ascii="Verdana" w:eastAsia="Calibri" w:hAnsi="Verdana" w:cs="Arial"/>
          <w:vertAlign w:val="superscript"/>
        </w:rPr>
        <w:footnoteReference w:id="25"/>
      </w:r>
      <w:r w:rsidRPr="006B78D3">
        <w:rPr>
          <w:rFonts w:ascii="Verdana" w:eastAsia="Calibri" w:hAnsi="Verdana" w:cs="Arial"/>
          <w:lang w:val="es-ES"/>
        </w:rPr>
        <w:t xml:space="preserve">. Así las cosas, la entidad contratante debe realizar un constante </w:t>
      </w:r>
      <w:r w:rsidRPr="006B78D3">
        <w:rPr>
          <w:rFonts w:ascii="Verdana" w:eastAsia="Calibri" w:hAnsi="Verdana" w:cs="Arial"/>
          <w:lang w:val="es-ES"/>
        </w:rPr>
        <w:lastRenderedPageBreak/>
        <w:t>monitoreo respecto de los aportes de cada una de las partes para determinar si se debe realizar un ajuste frente al régimen aplicable, esto es, en relación con los contratos regulados en el inciso primero del artículo 20 de la Ley 1150 de 2007</w:t>
      </w:r>
      <w:r w:rsidRPr="006B78D3">
        <w:rPr>
          <w:rFonts w:ascii="Verdana" w:hAnsi="Verdana" w:cs="Arial"/>
        </w:rPr>
        <w:t xml:space="preserve">. </w:t>
      </w:r>
    </w:p>
    <w:p w14:paraId="5445F0F2" w14:textId="77777777" w:rsidR="009131CF" w:rsidRPr="006B78D3" w:rsidRDefault="009131CF" w:rsidP="009131CF">
      <w:pPr>
        <w:snapToGrid w:val="0"/>
        <w:spacing w:after="120" w:line="276" w:lineRule="auto"/>
        <w:ind w:firstLine="709"/>
        <w:jc w:val="both"/>
        <w:rPr>
          <w:rFonts w:ascii="Verdana" w:hAnsi="Verdana" w:cs="Arial"/>
          <w:lang w:val="es-MX"/>
        </w:rPr>
      </w:pPr>
      <w:r w:rsidRPr="006B78D3">
        <w:rPr>
          <w:rFonts w:ascii="Verdana" w:hAnsi="Verdana" w:cs="Arial"/>
          <w:color w:val="000000"/>
          <w:shd w:val="clear" w:color="auto" w:fill="FFFFFF"/>
          <w:lang w:val="es-ES"/>
        </w:rPr>
        <w:t>De conformidad con lo expuesto, los contratos o convenios suscritos con organismos de cooperación, asistencia o ayudas internacionales pueden financiarse con aportes en sumas liquidas de dinero o en especie, pues el parágrafo 3 de la misma disposición así lo permite al establecer la obligación de cuantificar en moneda colombiana los aportes en especie realizados por estos organismos. En caso de que supere el 50% de la totalidad del presupuesto de la contratación, la entidad podrá someter el convenio o contrato a las reglas de contratación del referido organismo.</w:t>
      </w:r>
      <w:r w:rsidRPr="006B78D3">
        <w:rPr>
          <w:rFonts w:ascii="Verdana" w:hAnsi="Verdana" w:cs="Arial"/>
          <w:color w:val="000000"/>
          <w:shd w:val="clear" w:color="auto" w:fill="FFFFFF"/>
        </w:rPr>
        <w:t> </w:t>
      </w:r>
    </w:p>
    <w:p w14:paraId="1A39442B" w14:textId="77777777" w:rsidR="009131CF" w:rsidRPr="006B78D3" w:rsidRDefault="009131CF" w:rsidP="009131CF">
      <w:pPr>
        <w:spacing w:before="120" w:after="0" w:line="276" w:lineRule="auto"/>
        <w:ind w:firstLine="709"/>
        <w:jc w:val="both"/>
        <w:rPr>
          <w:rFonts w:ascii="Verdana" w:eastAsia="Calibri" w:hAnsi="Verdana" w:cs="Arial"/>
          <w:lang w:val="es-ES"/>
        </w:rPr>
      </w:pPr>
      <w:r w:rsidRPr="006B78D3">
        <w:rPr>
          <w:rFonts w:ascii="Verdana" w:eastAsia="Calibri" w:hAnsi="Verdana" w:cs="Arial"/>
          <w:lang w:val="es-ES"/>
        </w:rPr>
        <w:t xml:space="preserve">Por otro lado, la norma establece un criterio adicional en el </w:t>
      </w:r>
      <w:r w:rsidRPr="006B78D3">
        <w:rPr>
          <w:rFonts w:ascii="Verdana" w:eastAsia="Calibri" w:hAnsi="Verdana" w:cs="Arial"/>
          <w:i/>
          <w:lang w:val="es-ES"/>
        </w:rPr>
        <w:t>inciso segundo,</w:t>
      </w:r>
      <w:r w:rsidRPr="006B78D3">
        <w:rPr>
          <w:rFonts w:ascii="Verdana" w:eastAsia="Calibri" w:hAnsi="Verdana" w:cs="Arial"/>
          <w:lang w:val="es-ES"/>
        </w:rPr>
        <w:t xml:space="preserve"> para determinar la posible aplicación de los reglamentos de los organismos internacionales. Este segundo criterio depende del objeto del convenio o contrato a celebrar con personas extranjeras de derecho público u organismos de derecho internacional, de manera que en dichos casos puede pactarse el sometimiento a los reglamentos de estas entidades. En tal sentido, los supuestos en que es posible someter el régimen contractual a los reglamentos de los organismos internacionales son los siguientes: </w:t>
      </w:r>
    </w:p>
    <w:p w14:paraId="21F8D5BA" w14:textId="77777777" w:rsidR="009131CF" w:rsidRPr="006B78D3" w:rsidRDefault="009131CF" w:rsidP="009131CF">
      <w:pPr>
        <w:spacing w:after="0" w:line="276" w:lineRule="auto"/>
        <w:ind w:firstLine="709"/>
        <w:jc w:val="both"/>
        <w:rPr>
          <w:rFonts w:ascii="Verdana" w:eastAsia="Calibri" w:hAnsi="Verdana" w:cs="Arial"/>
          <w:lang w:val="es-ES"/>
        </w:rPr>
      </w:pPr>
    </w:p>
    <w:p w14:paraId="622C0B92" w14:textId="77777777" w:rsidR="009131CF" w:rsidRPr="003310E3" w:rsidRDefault="009131CF" w:rsidP="009131CF">
      <w:pPr>
        <w:numPr>
          <w:ilvl w:val="0"/>
          <w:numId w:val="18"/>
        </w:numPr>
        <w:spacing w:after="200" w:line="240" w:lineRule="auto"/>
        <w:ind w:left="1134" w:right="709" w:hanging="141"/>
        <w:contextualSpacing/>
        <w:jc w:val="both"/>
        <w:rPr>
          <w:rFonts w:ascii="Verdana" w:eastAsia="Calibri" w:hAnsi="Verdana" w:cs="Arial"/>
          <w:sz w:val="21"/>
          <w:szCs w:val="21"/>
          <w:lang w:val="es-ES"/>
        </w:rPr>
      </w:pPr>
      <w:r w:rsidRPr="003310E3">
        <w:rPr>
          <w:rFonts w:ascii="Verdana" w:eastAsia="Calibri" w:hAnsi="Verdana" w:cs="Arial"/>
          <w:sz w:val="21"/>
          <w:szCs w:val="21"/>
          <w:lang w:val="es-ES"/>
        </w:rPr>
        <w:t xml:space="preserve">Desarrollo de programas de promoción, prevención y atención en salud. </w:t>
      </w:r>
    </w:p>
    <w:p w14:paraId="4EC4D96C" w14:textId="77777777" w:rsidR="009131CF" w:rsidRPr="003310E3" w:rsidRDefault="009131CF" w:rsidP="009131CF">
      <w:pPr>
        <w:numPr>
          <w:ilvl w:val="0"/>
          <w:numId w:val="18"/>
        </w:numPr>
        <w:spacing w:after="0" w:line="240" w:lineRule="auto"/>
        <w:ind w:left="1134" w:right="709" w:hanging="141"/>
        <w:contextualSpacing/>
        <w:jc w:val="both"/>
        <w:rPr>
          <w:rFonts w:ascii="Verdana" w:hAnsi="Verdana" w:cs="Arial"/>
          <w:sz w:val="21"/>
          <w:szCs w:val="21"/>
          <w:lang w:val="es-ES"/>
        </w:rPr>
      </w:pPr>
      <w:r w:rsidRPr="003310E3">
        <w:rPr>
          <w:rFonts w:ascii="Verdana" w:hAnsi="Verdana" w:cs="Arial"/>
          <w:sz w:val="21"/>
          <w:szCs w:val="21"/>
          <w:lang w:val="es-ES"/>
        </w:rPr>
        <w:t>Contratos y convenios necesarios para la operación de la OIT.</w:t>
      </w:r>
    </w:p>
    <w:p w14:paraId="70D5E7F6" w14:textId="77777777" w:rsidR="009131CF" w:rsidRPr="003310E3" w:rsidRDefault="009131CF" w:rsidP="009131CF">
      <w:pPr>
        <w:numPr>
          <w:ilvl w:val="0"/>
          <w:numId w:val="18"/>
        </w:numPr>
        <w:spacing w:after="0" w:line="240" w:lineRule="auto"/>
        <w:ind w:left="1134" w:right="709" w:hanging="141"/>
        <w:contextualSpacing/>
        <w:jc w:val="both"/>
        <w:rPr>
          <w:rFonts w:ascii="Verdana" w:hAnsi="Verdana" w:cs="Arial"/>
          <w:sz w:val="21"/>
          <w:szCs w:val="21"/>
          <w:lang w:val="es-ES"/>
        </w:rPr>
      </w:pPr>
      <w:r w:rsidRPr="003310E3">
        <w:rPr>
          <w:rFonts w:ascii="Verdana" w:hAnsi="Verdana" w:cs="Arial"/>
          <w:sz w:val="21"/>
          <w:szCs w:val="21"/>
          <w:lang w:val="es-ES"/>
        </w:rPr>
        <w:lastRenderedPageBreak/>
        <w:t>Contratos y convenios que se ejecuten en desarrollo del sistema integrado de monitoreo de cultivos ilícitos.</w:t>
      </w:r>
    </w:p>
    <w:p w14:paraId="5930BF81" w14:textId="77777777" w:rsidR="009131CF" w:rsidRPr="003310E3" w:rsidRDefault="009131CF" w:rsidP="009131CF">
      <w:pPr>
        <w:numPr>
          <w:ilvl w:val="0"/>
          <w:numId w:val="18"/>
        </w:numPr>
        <w:spacing w:after="0" w:line="240" w:lineRule="auto"/>
        <w:ind w:left="1134" w:right="709" w:hanging="141"/>
        <w:contextualSpacing/>
        <w:jc w:val="both"/>
        <w:rPr>
          <w:rFonts w:ascii="Verdana" w:hAnsi="Verdana" w:cs="Arial"/>
          <w:sz w:val="21"/>
          <w:szCs w:val="21"/>
          <w:lang w:val="es-ES"/>
        </w:rPr>
      </w:pPr>
      <w:r w:rsidRPr="003310E3">
        <w:rPr>
          <w:rFonts w:ascii="Verdana" w:hAnsi="Verdana" w:cs="Arial"/>
          <w:sz w:val="21"/>
          <w:szCs w:val="21"/>
          <w:lang w:val="es-ES"/>
        </w:rPr>
        <w:t>Contratos y convenios para la operación del programa mundial de alimentos.</w:t>
      </w:r>
    </w:p>
    <w:p w14:paraId="3E2F8A82" w14:textId="77777777" w:rsidR="009131CF" w:rsidRPr="003310E3" w:rsidRDefault="009131CF" w:rsidP="009131CF">
      <w:pPr>
        <w:numPr>
          <w:ilvl w:val="0"/>
          <w:numId w:val="18"/>
        </w:numPr>
        <w:spacing w:after="0" w:line="240" w:lineRule="auto"/>
        <w:ind w:left="1134" w:right="709" w:hanging="141"/>
        <w:contextualSpacing/>
        <w:jc w:val="both"/>
        <w:rPr>
          <w:rFonts w:ascii="Verdana" w:hAnsi="Verdana" w:cs="Arial"/>
          <w:sz w:val="21"/>
          <w:szCs w:val="21"/>
          <w:lang w:val="es-ES"/>
        </w:rPr>
      </w:pPr>
      <w:r w:rsidRPr="003310E3">
        <w:rPr>
          <w:rFonts w:ascii="Verdana" w:hAnsi="Verdana" w:cs="Arial"/>
          <w:sz w:val="21"/>
          <w:szCs w:val="21"/>
          <w:lang w:val="es-ES"/>
        </w:rPr>
        <w:t>Contratos y convenios para el desarrollo de programas de apoyo educativo a población desplazada y vulnerable adelantados por la Unesco y la OIM.</w:t>
      </w:r>
    </w:p>
    <w:p w14:paraId="40E1847A" w14:textId="77777777" w:rsidR="009131CF" w:rsidRPr="003310E3" w:rsidRDefault="009131CF" w:rsidP="009131CF">
      <w:pPr>
        <w:numPr>
          <w:ilvl w:val="0"/>
          <w:numId w:val="18"/>
        </w:numPr>
        <w:spacing w:after="0" w:line="240" w:lineRule="auto"/>
        <w:ind w:left="1134" w:right="709" w:hanging="141"/>
        <w:contextualSpacing/>
        <w:jc w:val="both"/>
        <w:rPr>
          <w:rFonts w:ascii="Verdana" w:hAnsi="Verdana" w:cs="Arial"/>
          <w:sz w:val="21"/>
          <w:szCs w:val="21"/>
          <w:lang w:val="es-ES"/>
        </w:rPr>
      </w:pPr>
      <w:r w:rsidRPr="003310E3">
        <w:rPr>
          <w:rFonts w:ascii="Verdana" w:hAnsi="Verdana" w:cs="Arial"/>
          <w:sz w:val="21"/>
          <w:szCs w:val="21"/>
          <w:lang w:val="es-ES"/>
        </w:rPr>
        <w:t xml:space="preserve">Los contratos o convenios financiados con fondos de los organismos multilaterales de crédito y entes gubernamentales extranjeros. </w:t>
      </w:r>
    </w:p>
    <w:p w14:paraId="26A421B3" w14:textId="77777777" w:rsidR="009131CF" w:rsidRPr="006B78D3" w:rsidRDefault="009131CF" w:rsidP="009131CF">
      <w:pPr>
        <w:spacing w:after="0" w:line="276" w:lineRule="auto"/>
        <w:ind w:left="1429"/>
        <w:contextualSpacing/>
        <w:rPr>
          <w:rFonts w:ascii="Verdana" w:hAnsi="Verdana" w:cs="Arial"/>
          <w:lang w:val="es-ES"/>
        </w:rPr>
      </w:pPr>
    </w:p>
    <w:p w14:paraId="01ADA0A8" w14:textId="77777777" w:rsidR="009131CF" w:rsidRPr="006B78D3" w:rsidRDefault="009131CF" w:rsidP="009131CF">
      <w:pPr>
        <w:spacing w:after="0" w:line="276" w:lineRule="auto"/>
        <w:ind w:firstLine="709"/>
        <w:jc w:val="both"/>
        <w:rPr>
          <w:rFonts w:ascii="Verdana" w:eastAsia="Calibri" w:hAnsi="Verdana" w:cs="Arial"/>
          <w:lang w:val="es-ES"/>
        </w:rPr>
      </w:pPr>
      <w:bookmarkStart w:id="5" w:name="_Hlk148447946"/>
      <w:r w:rsidRPr="006B78D3">
        <w:rPr>
          <w:rFonts w:ascii="Verdana" w:eastAsia="Calibri" w:hAnsi="Verdana" w:cs="Arial"/>
          <w:lang w:val="es-ES"/>
        </w:rPr>
        <w:t>En los supuestos anteriores, regulados en el inciso segundo del artículo 20, independientemente del monto de los aportes de cada una de las partes, es posible optar por someter el contrato a los reglamentos de dichos organismos o bien someterlos al EGCAP, es decir, configurado alguno de los presupuestos anteriores es posible elegir cualquiera de los dos (2) regímenes indicados</w:t>
      </w:r>
      <w:bookmarkEnd w:id="5"/>
      <w:r w:rsidRPr="006B78D3">
        <w:rPr>
          <w:rFonts w:ascii="Verdana" w:eastAsia="Calibri" w:hAnsi="Verdana" w:cs="Arial"/>
          <w:lang w:val="es-ES"/>
        </w:rPr>
        <w:t>. Al respecto, en el Concepto C-374 del 27 de julio de 2020, esta Agencia –después de analizar el artículo 20 de la Ley 1150 de 2007– concluyó que:</w:t>
      </w:r>
    </w:p>
    <w:p w14:paraId="7CF8EB39" w14:textId="77777777" w:rsidR="009131CF" w:rsidRPr="006B78D3" w:rsidRDefault="009131CF" w:rsidP="009131CF">
      <w:pPr>
        <w:spacing w:after="0" w:line="276" w:lineRule="auto"/>
        <w:ind w:firstLine="709"/>
        <w:jc w:val="both"/>
        <w:rPr>
          <w:rFonts w:ascii="Verdana" w:eastAsia="Calibri" w:hAnsi="Verdana" w:cs="Arial"/>
          <w:lang w:val="es-ES"/>
        </w:rPr>
      </w:pPr>
    </w:p>
    <w:p w14:paraId="7464F1A0" w14:textId="77777777" w:rsidR="009131CF" w:rsidRPr="00F46DCB" w:rsidRDefault="009131CF" w:rsidP="009131CF">
      <w:pPr>
        <w:spacing w:after="0" w:line="240" w:lineRule="auto"/>
        <w:ind w:left="709" w:right="709"/>
        <w:jc w:val="both"/>
        <w:rPr>
          <w:rFonts w:ascii="Verdana" w:eastAsia="Calibri" w:hAnsi="Verdana" w:cs="Arial"/>
          <w:sz w:val="21"/>
          <w:szCs w:val="21"/>
          <w:lang w:val="es-ES"/>
        </w:rPr>
      </w:pPr>
      <w:r w:rsidRPr="00F46DCB">
        <w:rPr>
          <w:rFonts w:ascii="Verdana" w:eastAsia="Calibri" w:hAnsi="Verdana" w:cs="Arial"/>
          <w:sz w:val="21"/>
          <w:szCs w:val="21"/>
          <w:lang w:val="es-ES"/>
        </w:rPr>
        <w:t>“[…] existen dos grupos de supuestos en el artículo 20 de la Ley 1150 de 2007, bajo los cuales es posible someter el régimen contractual aplicable a los reglamentos de los organismos internacionales: el primer grupo, regulado en el inciso primero, donde dicha posibilidad se condiciona a que los contratos o convenios  se financien en el 50% o más con fondos de dichos organismos de cooperación, asistencia o ayudas internacionales y, el segundo grupo, regulado en el inciso segundo, donde dicha posibilidad se condiciona a que se configure alguno de los 6 supuestos enlistados atrás, sin que resulte exigible algún porcentaje de incorporación de recursos. En todo caso, frente a ambos grupos, la aplicación de los reglamentos de tales entidades internacionales es una posibilidad por la que pueden optar o no las partes; es decir, configurados los requisitos indicados, las partes pueden decidir si someten los contratos a los reglamentos de las entidades internacionales o si se rigen por el Estatuto General de Contratación de la Administración Pública”.</w:t>
      </w:r>
    </w:p>
    <w:p w14:paraId="5F968B12" w14:textId="77777777" w:rsidR="009131CF" w:rsidRPr="006B78D3" w:rsidRDefault="009131CF" w:rsidP="009131CF">
      <w:pPr>
        <w:spacing w:after="0" w:line="276" w:lineRule="auto"/>
        <w:ind w:left="709" w:right="709"/>
        <w:jc w:val="both"/>
        <w:rPr>
          <w:rFonts w:ascii="Verdana" w:eastAsia="Calibri" w:hAnsi="Verdana" w:cs="Arial"/>
          <w:sz w:val="21"/>
          <w:szCs w:val="21"/>
          <w:lang w:val="es-ES"/>
        </w:rPr>
      </w:pPr>
    </w:p>
    <w:p w14:paraId="2D622CCC" w14:textId="77777777" w:rsidR="009131CF" w:rsidRPr="006B78D3" w:rsidRDefault="009131CF" w:rsidP="009131CF">
      <w:pPr>
        <w:spacing w:after="0" w:line="276" w:lineRule="auto"/>
        <w:ind w:firstLine="709"/>
        <w:jc w:val="both"/>
        <w:rPr>
          <w:rFonts w:ascii="Verdana" w:eastAsia="Calibri" w:hAnsi="Verdana" w:cs="Arial"/>
          <w:lang w:val="es-ES"/>
        </w:rPr>
      </w:pPr>
      <w:r w:rsidRPr="006B78D3">
        <w:rPr>
          <w:rFonts w:ascii="Verdana" w:eastAsia="Calibri" w:hAnsi="Verdana" w:cs="Arial"/>
          <w:lang w:val="es-ES"/>
        </w:rPr>
        <w:t xml:space="preserve">Asimismo, el parágrafo primero del artículo 20 de la Ley 1150 de 2007 establece un tercer criterio para determinar el régimen contractual aplicable. De acuerdo con la norma, “Los contratos o acuerdos celebrados con personas extranjeras de derecho público, podrán someterse a las reglas de tales organismos”. Estos negocios jurídicos, a diferencia de los contratos del inciso </w:t>
      </w:r>
      <w:r w:rsidRPr="006B78D3">
        <w:rPr>
          <w:rFonts w:ascii="Verdana" w:eastAsia="Calibri" w:hAnsi="Verdana" w:cs="Arial"/>
          <w:lang w:val="es-ES"/>
        </w:rPr>
        <w:lastRenderedPageBreak/>
        <w:t xml:space="preserve">primero </w:t>
      </w:r>
      <w:r w:rsidRPr="006B78D3">
        <w:rPr>
          <w:rFonts w:ascii="Verdana" w:eastAsia="Calibri" w:hAnsi="Verdana" w:cs="Arial"/>
          <w:i/>
          <w:lang w:val="es-ES"/>
        </w:rPr>
        <w:t>ibidem</w:t>
      </w:r>
      <w:r w:rsidRPr="006B78D3">
        <w:rPr>
          <w:rFonts w:ascii="Verdana" w:eastAsia="Calibri" w:hAnsi="Verdana" w:cs="Arial"/>
          <w:lang w:val="es-ES"/>
        </w:rPr>
        <w:t xml:space="preserve">, son independientes del monto de los aportes realizados por el organismo. Igualmente, en contraste con los contratos del inciso segundo </w:t>
      </w:r>
      <w:r w:rsidRPr="006B78D3">
        <w:rPr>
          <w:rFonts w:ascii="Verdana" w:eastAsia="Calibri" w:hAnsi="Verdana" w:cs="Arial"/>
          <w:i/>
          <w:lang w:val="es-ES"/>
        </w:rPr>
        <w:t>ibidem</w:t>
      </w:r>
      <w:r w:rsidRPr="006B78D3">
        <w:rPr>
          <w:rFonts w:ascii="Verdana" w:eastAsia="Calibri" w:hAnsi="Verdana" w:cs="Arial"/>
          <w:lang w:val="es-ES"/>
        </w:rPr>
        <w:t xml:space="preserve">, son negocios jurídicos independientes del objeto convenido. No obstante, al igual de los dos (2) supuestos explicados </w:t>
      </w:r>
      <w:r w:rsidRPr="006B78D3">
        <w:rPr>
          <w:rFonts w:ascii="Verdana" w:eastAsia="Calibri" w:hAnsi="Verdana" w:cs="Arial"/>
          <w:i/>
          <w:lang w:val="es-ES"/>
        </w:rPr>
        <w:t>ut supra</w:t>
      </w:r>
      <w:r w:rsidRPr="006B78D3">
        <w:rPr>
          <w:rFonts w:ascii="Verdana" w:eastAsia="Calibri" w:hAnsi="Verdana" w:cs="Arial"/>
          <w:lang w:val="es-ES"/>
        </w:rPr>
        <w:t>, en esta hipótesis también es posible optar por someter el contrato a los reglamentos de dichos organismos o bien someterlos a la Ley 80 de 1993.</w:t>
      </w:r>
    </w:p>
    <w:p w14:paraId="2A5D603C" w14:textId="77777777" w:rsidR="009131CF" w:rsidRPr="006B78D3" w:rsidRDefault="009131CF" w:rsidP="009131CF">
      <w:pPr>
        <w:spacing w:after="0" w:line="276" w:lineRule="auto"/>
        <w:ind w:firstLine="709"/>
        <w:jc w:val="both"/>
        <w:rPr>
          <w:rFonts w:ascii="Verdana" w:eastAsia="Calibri" w:hAnsi="Verdana" w:cs="Arial"/>
          <w:lang w:val="es-ES"/>
        </w:rPr>
      </w:pPr>
    </w:p>
    <w:p w14:paraId="5B419445" w14:textId="77777777" w:rsidR="009131CF" w:rsidRPr="006B78D3" w:rsidRDefault="009131CF" w:rsidP="009131CF">
      <w:pPr>
        <w:spacing w:after="0" w:line="276" w:lineRule="auto"/>
        <w:jc w:val="both"/>
        <w:rPr>
          <w:rFonts w:ascii="Verdana" w:hAnsi="Verdana" w:cs="Arial"/>
          <w:color w:val="000000" w:themeColor="text1"/>
          <w:lang w:val="es-ES_tradnl"/>
        </w:rPr>
      </w:pPr>
      <w:proofErr w:type="spellStart"/>
      <w:r>
        <w:rPr>
          <w:rFonts w:ascii="Verdana" w:eastAsia="Calibri" w:hAnsi="Verdana" w:cs="Arial"/>
          <w:lang w:val="es-ES"/>
        </w:rPr>
        <w:t>iv</w:t>
      </w:r>
      <w:proofErr w:type="spellEnd"/>
      <w:r w:rsidRPr="006B78D3">
        <w:rPr>
          <w:rFonts w:ascii="Verdana" w:eastAsia="Calibri" w:hAnsi="Verdana" w:cs="Arial"/>
          <w:lang w:val="es-ES"/>
        </w:rPr>
        <w:t xml:space="preserve">. </w:t>
      </w:r>
      <w:r w:rsidRPr="006B78D3">
        <w:rPr>
          <w:rFonts w:ascii="Verdana" w:hAnsi="Verdana" w:cs="Arial"/>
          <w:color w:val="000000" w:themeColor="text1"/>
          <w:lang w:val="es-ES_tradnl"/>
        </w:rPr>
        <w:t>Como se explicó con anterioridad, el segundo inciso del artículo 20 de la Ley 1150 de 2007 establece que “[…] los contratos o convenios financiados con fondos de los organismos multilaterales de crédito […] podrán someterse a los reglamentos de tales entidades”. Esto significa que, aunque no sea obligatorio, es posible que el régimen al que se vinculen las partes del contrato respectivo sean las directrices internas de dichos organismos, independientemente de la cuantía de los recursos provenientes de los fondos de los organismos multilaterales de crédito, pues el inciso al que se ha hecho referencia no condiciona la posibilidad de someterse a tales reglamentos a un porcentaje específico. Así lo reitera el inciso quinto del artículo 2.2.1.2.4.4.1. del Decreto 1082 de 2015, cuando establece:</w:t>
      </w:r>
    </w:p>
    <w:p w14:paraId="7DE1F6ED" w14:textId="77777777" w:rsidR="009131CF" w:rsidRPr="006B78D3" w:rsidRDefault="009131CF" w:rsidP="009131CF">
      <w:pPr>
        <w:spacing w:after="0" w:line="276" w:lineRule="auto"/>
        <w:jc w:val="both"/>
        <w:rPr>
          <w:rFonts w:ascii="Verdana" w:hAnsi="Verdana" w:cs="Arial"/>
          <w:color w:val="000000" w:themeColor="text1"/>
          <w:lang w:val="es-ES_tradnl"/>
        </w:rPr>
      </w:pPr>
    </w:p>
    <w:p w14:paraId="60CAD676" w14:textId="77777777" w:rsidR="009131CF" w:rsidRPr="00A807CC" w:rsidRDefault="009131CF" w:rsidP="009131CF">
      <w:pPr>
        <w:spacing w:after="0" w:line="240" w:lineRule="auto"/>
        <w:ind w:left="709" w:right="709"/>
        <w:jc w:val="both"/>
        <w:rPr>
          <w:rFonts w:ascii="Verdana" w:hAnsi="Verdana" w:cs="Arial"/>
          <w:color w:val="000000" w:themeColor="text1"/>
          <w:sz w:val="21"/>
          <w:szCs w:val="21"/>
          <w:lang w:val="es-ES_tradnl"/>
        </w:rPr>
      </w:pPr>
      <w:r w:rsidRPr="00A807CC">
        <w:rPr>
          <w:rFonts w:ascii="Verdana" w:hAnsi="Verdana" w:cs="Arial"/>
          <w:color w:val="000000" w:themeColor="text1"/>
          <w:sz w:val="21"/>
          <w:szCs w:val="21"/>
          <w:lang w:val="es-ES_tradnl"/>
        </w:rPr>
        <w:t>“Los contratos o convenios financiados con fondos de los organismos multilaterales de crédito, entes gubernamentales extranjeros o personas extranjeras de derecho público, así como aquellos a los que se refiere el inciso 2 del artículo 20 de la Ley 1150 de 2007, se ejecutarán de conformidad con lo establecido en los tratados internacionales marco y complementarios, y en los convenios celebrados, o sus reglamentos, según sea el caso, incluidos los recursos de aporte de fuente nacional o sus equivalentes vinculados a tales operaciones en dichos documentos, sin que a ellos le sea aplicable el porcentaje señalado en el inciso primero del artículo 20 de la Ley 1150 de 2007”.</w:t>
      </w:r>
    </w:p>
    <w:p w14:paraId="60924A27" w14:textId="77777777" w:rsidR="009131CF" w:rsidRPr="006B78D3" w:rsidRDefault="009131CF" w:rsidP="009131CF">
      <w:pPr>
        <w:tabs>
          <w:tab w:val="left" w:pos="0"/>
        </w:tabs>
        <w:spacing w:after="0" w:line="276" w:lineRule="auto"/>
        <w:jc w:val="both"/>
        <w:rPr>
          <w:rFonts w:ascii="Verdana" w:hAnsi="Verdana" w:cs="Arial"/>
          <w:color w:val="000000" w:themeColor="text1"/>
          <w:lang w:val="es-ES_tradnl"/>
        </w:rPr>
      </w:pPr>
      <w:r w:rsidRPr="006B78D3">
        <w:rPr>
          <w:rFonts w:ascii="Verdana" w:hAnsi="Verdana" w:cs="Arial"/>
          <w:color w:val="000000" w:themeColor="text1"/>
          <w:lang w:val="es-ES_tradnl"/>
        </w:rPr>
        <w:t xml:space="preserve"> </w:t>
      </w:r>
    </w:p>
    <w:p w14:paraId="6733997A" w14:textId="77777777" w:rsidR="009131CF" w:rsidRPr="006B78D3" w:rsidRDefault="009131CF" w:rsidP="009131CF">
      <w:pPr>
        <w:spacing w:after="120" w:line="276" w:lineRule="auto"/>
        <w:ind w:firstLine="709"/>
        <w:jc w:val="both"/>
        <w:rPr>
          <w:rFonts w:ascii="Verdana" w:hAnsi="Verdana" w:cs="Arial"/>
          <w:color w:val="000000" w:themeColor="text1"/>
          <w:lang w:val="es-ES_tradnl"/>
        </w:rPr>
      </w:pPr>
      <w:r w:rsidRPr="006B78D3">
        <w:rPr>
          <w:rFonts w:ascii="Verdana" w:hAnsi="Verdana" w:cs="Arial"/>
          <w:color w:val="000000" w:themeColor="text1"/>
          <w:lang w:val="es-ES_tradnl"/>
        </w:rPr>
        <w:t xml:space="preserve">En concepto con radicado 4201714000006964 del 16 de julio de 2018, esta Subdirección ratificó dicha postura, indicando que “[…] los contratos o convenios financiados con fondos de organismos multilaterales de crédito podrán someterse a sus reglamentos, sin que sea relevante el porcentaje del aporte realizado por ellos, serán sus reglamentos y políticas los encargados de establecer todo lo relacionado con procedimientos de selección, adjudicación, </w:t>
      </w:r>
      <w:r w:rsidRPr="006B78D3">
        <w:rPr>
          <w:rFonts w:ascii="Verdana" w:hAnsi="Verdana" w:cs="Arial"/>
          <w:color w:val="000000" w:themeColor="text1"/>
          <w:lang w:val="es-ES_tradnl"/>
        </w:rPr>
        <w:lastRenderedPageBreak/>
        <w:t>cláusulas especiales de ejecución, cumplimiento, pagos y ajustes, sin violar los fines estatales ni el deber de aplicar el Estatuto de la Contratación Pública”.</w:t>
      </w:r>
    </w:p>
    <w:p w14:paraId="4193B8F5" w14:textId="77777777" w:rsidR="009131CF" w:rsidRPr="006B78D3" w:rsidRDefault="009131CF" w:rsidP="009131CF">
      <w:pPr>
        <w:spacing w:after="0" w:line="276" w:lineRule="auto"/>
        <w:ind w:firstLine="709"/>
        <w:jc w:val="both"/>
        <w:rPr>
          <w:rFonts w:ascii="Verdana" w:hAnsi="Verdana" w:cs="Arial"/>
          <w:color w:val="000000" w:themeColor="text1"/>
          <w:lang w:val="es-ES_tradnl"/>
        </w:rPr>
      </w:pPr>
      <w:r w:rsidRPr="006B78D3">
        <w:rPr>
          <w:rFonts w:ascii="Verdana" w:hAnsi="Verdana" w:cs="Arial"/>
          <w:color w:val="000000" w:themeColor="text1"/>
          <w:lang w:val="es-ES_tradnl"/>
        </w:rPr>
        <w:t>Esta interpretación es acorde con lo expresado por la doctrina. En efecto, para José Luis Benavides, uno de los factores más influyentes en la regulación de los contratos públicos en la actualidad “[…] proviene de la banca multilateral, en particular, para los países latinoamericanos, del Banco Mundial y del Banco Interamericano de Desarrollo”</w:t>
      </w:r>
      <w:r w:rsidRPr="006B78D3">
        <w:rPr>
          <w:rFonts w:ascii="Verdana" w:hAnsi="Verdana" w:cs="Arial"/>
          <w:color w:val="000000" w:themeColor="text1"/>
          <w:vertAlign w:val="superscript"/>
          <w:lang w:val="es-ES_tradnl"/>
        </w:rPr>
        <w:footnoteReference w:id="26"/>
      </w:r>
      <w:r w:rsidRPr="006B78D3">
        <w:rPr>
          <w:rFonts w:ascii="Verdana" w:hAnsi="Verdana" w:cs="Arial"/>
          <w:color w:val="000000" w:themeColor="text1"/>
          <w:lang w:val="es-ES_tradnl"/>
        </w:rPr>
        <w:t>. Al respecto, el autor mencionado señala:</w:t>
      </w:r>
    </w:p>
    <w:p w14:paraId="5B2B6E76" w14:textId="77777777" w:rsidR="009131CF" w:rsidRPr="006B78D3" w:rsidRDefault="009131CF" w:rsidP="009131CF">
      <w:pPr>
        <w:spacing w:after="0"/>
        <w:ind w:left="851" w:right="851"/>
        <w:jc w:val="both"/>
        <w:rPr>
          <w:rFonts w:ascii="Verdana" w:hAnsi="Verdana" w:cs="Arial"/>
          <w:color w:val="000000" w:themeColor="text1"/>
          <w:lang w:val="es-ES_tradnl"/>
        </w:rPr>
      </w:pPr>
    </w:p>
    <w:p w14:paraId="2C398E71" w14:textId="77777777" w:rsidR="009131CF" w:rsidRPr="00A807CC" w:rsidRDefault="009131CF" w:rsidP="009131CF">
      <w:pPr>
        <w:spacing w:after="0" w:line="240" w:lineRule="auto"/>
        <w:ind w:left="709" w:right="709"/>
        <w:jc w:val="both"/>
        <w:rPr>
          <w:rFonts w:ascii="Verdana" w:hAnsi="Verdana" w:cs="Arial"/>
          <w:color w:val="000000" w:themeColor="text1"/>
          <w:sz w:val="21"/>
          <w:szCs w:val="21"/>
          <w:lang w:val="es-ES_tradnl"/>
        </w:rPr>
      </w:pPr>
      <w:r w:rsidRPr="00A807CC">
        <w:rPr>
          <w:rFonts w:ascii="Verdana" w:hAnsi="Verdana" w:cs="Arial"/>
          <w:color w:val="000000" w:themeColor="text1"/>
          <w:sz w:val="21"/>
          <w:szCs w:val="21"/>
          <w:lang w:val="es-ES_tradnl"/>
        </w:rPr>
        <w:t>“[…] el Banco Interamericano de Desarrollo (BID) financia, como el Banco mundial, muchos proyectos gubernamentales que se desarrollan mediante la contratación pública. El BID impone igualmente sus reglamentos de contratación, ejerciendo una importante influencia sobre los regímenes internos de contratación, y también estuvo muy presente en los proyectos de participación privada en los proyectos de infraestructura bajo los distintos modelos de concesión, después de los años noventa”</w:t>
      </w:r>
      <w:r w:rsidRPr="00A807CC">
        <w:rPr>
          <w:rFonts w:ascii="Verdana" w:hAnsi="Verdana" w:cs="Arial"/>
          <w:color w:val="000000" w:themeColor="text1"/>
          <w:sz w:val="21"/>
          <w:szCs w:val="21"/>
          <w:vertAlign w:val="superscript"/>
          <w:lang w:val="es-ES_tradnl"/>
        </w:rPr>
        <w:footnoteReference w:id="27"/>
      </w:r>
      <w:r w:rsidRPr="00A807CC">
        <w:rPr>
          <w:rFonts w:ascii="Verdana" w:hAnsi="Verdana" w:cs="Arial"/>
          <w:color w:val="000000" w:themeColor="text1"/>
          <w:sz w:val="21"/>
          <w:szCs w:val="21"/>
          <w:lang w:val="es-ES_tradnl"/>
        </w:rPr>
        <w:t>.</w:t>
      </w:r>
    </w:p>
    <w:p w14:paraId="371A5C45" w14:textId="77777777" w:rsidR="009131CF" w:rsidRPr="006B78D3" w:rsidRDefault="009131CF" w:rsidP="009131CF">
      <w:pPr>
        <w:spacing w:after="0"/>
        <w:rPr>
          <w:rFonts w:ascii="Verdana" w:hAnsi="Verdana" w:cs="Arial"/>
          <w:color w:val="000000" w:themeColor="text1"/>
          <w:lang w:val="es-ES_tradnl"/>
        </w:rPr>
      </w:pPr>
    </w:p>
    <w:p w14:paraId="09528708" w14:textId="77777777" w:rsidR="009131CF" w:rsidRPr="006B78D3" w:rsidRDefault="009131CF" w:rsidP="009131CF">
      <w:pPr>
        <w:tabs>
          <w:tab w:val="left" w:pos="489"/>
        </w:tabs>
        <w:spacing w:after="120" w:line="276" w:lineRule="auto"/>
        <w:ind w:firstLine="709"/>
        <w:jc w:val="both"/>
        <w:rPr>
          <w:rFonts w:ascii="Verdana" w:hAnsi="Verdana" w:cs="Arial"/>
          <w:color w:val="000000" w:themeColor="text1"/>
          <w:lang w:val="es-ES_tradnl"/>
        </w:rPr>
      </w:pPr>
      <w:r w:rsidRPr="006B78D3">
        <w:rPr>
          <w:rFonts w:ascii="Verdana" w:hAnsi="Verdana" w:cs="Arial"/>
          <w:color w:val="000000" w:themeColor="text1"/>
          <w:lang w:val="es-ES_tradnl"/>
        </w:rPr>
        <w:t>Por su parte, un sector de la doctrina explica que el segundo inciso del artículo 20 de la Ley 1150 de 2007 permite que las entidades estatales que en principio se encuentran sometidas al Estatuto General de Contratación de la Administración Pública se rijan por los reglamentos de los organismos multilaterales de créditos. En tal sentido, señala que “La excepción bajo análisis abarca la contratación que haga una entidad regida por las Leyes 80 de 1993 y 1150 de 2007 […], que va a pagar los contratos que celebre con recursos que haya obtenido de un crédito con un organismo multilateral de crédito”</w:t>
      </w:r>
      <w:r w:rsidRPr="006B78D3">
        <w:rPr>
          <w:rFonts w:ascii="Verdana" w:hAnsi="Verdana" w:cs="Arial"/>
          <w:color w:val="000000" w:themeColor="text1"/>
          <w:vertAlign w:val="superscript"/>
          <w:lang w:val="es-ES_tradnl"/>
        </w:rPr>
        <w:footnoteReference w:id="28"/>
      </w:r>
      <w:r w:rsidRPr="006B78D3">
        <w:rPr>
          <w:rFonts w:ascii="Verdana" w:hAnsi="Verdana" w:cs="Arial"/>
          <w:color w:val="000000" w:themeColor="text1"/>
          <w:lang w:val="es-ES_tradnl"/>
        </w:rPr>
        <w:t>. Además, comenta que esta remisión efectuada por la Ley 1150 de 2007 a los reglamentos de dichos internacionales, éstos deben aplicarse en el sentido de que cuando las partes del contrato se someten a dicha normativa, las disposiciones reguladas en los reglamentos prevalecen sobre las del Estatuto General de Contratación de la Administración Pública</w:t>
      </w:r>
      <w:r w:rsidRPr="006B78D3">
        <w:rPr>
          <w:rFonts w:ascii="Verdana" w:hAnsi="Verdana" w:cs="Arial"/>
          <w:color w:val="000000" w:themeColor="text1"/>
          <w:vertAlign w:val="superscript"/>
          <w:lang w:val="es-ES_tradnl"/>
        </w:rPr>
        <w:footnoteReference w:id="29"/>
      </w:r>
      <w:r w:rsidRPr="006B78D3">
        <w:rPr>
          <w:rFonts w:ascii="Verdana" w:hAnsi="Verdana" w:cs="Arial"/>
          <w:color w:val="000000" w:themeColor="text1"/>
          <w:lang w:val="es-ES_tradnl"/>
        </w:rPr>
        <w:t>.</w:t>
      </w:r>
    </w:p>
    <w:p w14:paraId="3E12E7B7" w14:textId="77777777" w:rsidR="009131CF" w:rsidRPr="006B78D3" w:rsidRDefault="009131CF" w:rsidP="009131CF">
      <w:pPr>
        <w:widowControl w:val="0"/>
        <w:autoSpaceDE w:val="0"/>
        <w:autoSpaceDN w:val="0"/>
        <w:spacing w:after="120" w:line="276" w:lineRule="auto"/>
        <w:ind w:firstLine="737"/>
        <w:jc w:val="both"/>
        <w:rPr>
          <w:rFonts w:ascii="Verdana" w:eastAsia="Calibri" w:hAnsi="Verdana" w:cs="Arial"/>
          <w:bCs/>
          <w:color w:val="000000" w:themeColor="text1"/>
        </w:rPr>
      </w:pPr>
      <w:r w:rsidRPr="006B78D3">
        <w:rPr>
          <w:rFonts w:ascii="Verdana" w:eastAsia="Calibri" w:hAnsi="Verdana" w:cs="Arial"/>
          <w:color w:val="000000" w:themeColor="text1"/>
        </w:rPr>
        <w:t xml:space="preserve">Si el artículo 5 de la Ley 1150 de 2007 entiende que “Es objetiva la selección en la cual la escogencia se haga al ofrecimiento más favorable a la </w:t>
      </w:r>
      <w:r w:rsidRPr="006B78D3">
        <w:rPr>
          <w:rFonts w:ascii="Verdana" w:eastAsia="Calibri" w:hAnsi="Verdana" w:cs="Arial"/>
          <w:color w:val="000000" w:themeColor="text1"/>
        </w:rPr>
        <w:lastRenderedPageBreak/>
        <w:t>entidad y a los fines que ella busca, sin tener en consideración factores de afecto o de interés y, en general, cualquier clase de motivación subjetiva […]”, dicha definición aplica principalmente a los contratos sometidos al EGCAP. Esto significa que, en los casos donde los contratos se regulen por los reglamentos de los organismos internacionales, éstos definirán el marco jurídico aplicable para negocios que se adelanten, las cuales –por sustracción de materia– son ajenas a las del estatuto general.</w:t>
      </w:r>
      <w:r w:rsidRPr="006B78D3">
        <w:rPr>
          <w:rFonts w:ascii="Verdana" w:eastAsia="Calibri" w:hAnsi="Verdana" w:cs="Arial"/>
          <w:bCs/>
          <w:color w:val="000000" w:themeColor="text1"/>
        </w:rPr>
        <w:t xml:space="preserve"> </w:t>
      </w:r>
    </w:p>
    <w:p w14:paraId="76503EF4" w14:textId="77777777" w:rsidR="009131CF" w:rsidRPr="006B78D3" w:rsidRDefault="009131CF" w:rsidP="009131CF">
      <w:pPr>
        <w:spacing w:after="120" w:line="276" w:lineRule="auto"/>
        <w:ind w:firstLine="709"/>
        <w:jc w:val="both"/>
        <w:rPr>
          <w:rFonts w:ascii="Verdana" w:hAnsi="Verdana" w:cs="Arial"/>
          <w:color w:val="000000" w:themeColor="text1"/>
          <w:lang w:val="es-ES_tradnl"/>
        </w:rPr>
      </w:pPr>
      <w:r w:rsidRPr="006B78D3">
        <w:rPr>
          <w:rFonts w:ascii="Verdana" w:hAnsi="Verdana" w:cs="Arial"/>
          <w:color w:val="000000" w:themeColor="text1"/>
          <w:lang w:val="es-ES_tradnl"/>
        </w:rPr>
        <w:t xml:space="preserve">El segundo inciso del artículo 20 de la Ley 1150 de 2007 permite que las entidades estatales celebren convenios con las personas extranjeras de derecho público u organismos de derecho internacional –para los objetos contractuales señalados en dicha norma–, pudiendo someterse en tales casos a los reglamentos de dichas instituciones. El legislador no distinguió los aspectos sobre los cuales es factible aplicar los reglamentos de estos organismos internacionales. En consecuencia, ante dicho silencio, debe entenderse que dentro de la remisión también cabe el régimen de garantías. Esto significa que las entidades estatales pueden contratar siguiendo los mecanismos de cobertura establecidos en los reglamentos de los organismos internacionales a los que alude el citado artículo 20, y no los previstos en el Estatuto General de Contratación de la Administración Pública. </w:t>
      </w:r>
    </w:p>
    <w:p w14:paraId="7F8C10EC" w14:textId="77777777" w:rsidR="009131CF" w:rsidRDefault="009131CF" w:rsidP="009131CF">
      <w:pPr>
        <w:spacing w:after="120" w:line="276" w:lineRule="auto"/>
        <w:ind w:firstLine="709"/>
        <w:jc w:val="both"/>
        <w:rPr>
          <w:rFonts w:ascii="Verdana" w:hAnsi="Verdana" w:cs="Arial"/>
          <w:color w:val="000000" w:themeColor="text1"/>
          <w:lang w:val="es-ES_tradnl"/>
        </w:rPr>
      </w:pPr>
      <w:r w:rsidRPr="006B78D3">
        <w:rPr>
          <w:rFonts w:ascii="Verdana" w:hAnsi="Verdana" w:cs="Arial"/>
          <w:color w:val="000000" w:themeColor="text1"/>
          <w:lang w:val="es-ES_tradnl"/>
        </w:rPr>
        <w:t xml:space="preserve">En esta hipótesis, no son exigibles los criterios establecidos en el EGCAP, por lo que, al existir una remisión absoluta a los reglamentos de los organismos internacionales, </w:t>
      </w:r>
      <w:r>
        <w:rPr>
          <w:rFonts w:ascii="Verdana" w:hAnsi="Verdana" w:cs="Arial"/>
          <w:color w:val="000000" w:themeColor="text1"/>
          <w:lang w:val="es-ES_tradnl"/>
        </w:rPr>
        <w:t>e</w:t>
      </w:r>
      <w:r w:rsidRPr="006B78D3">
        <w:rPr>
          <w:rFonts w:ascii="Verdana" w:hAnsi="Verdana" w:cs="Arial"/>
          <w:color w:val="000000" w:themeColor="text1"/>
          <w:lang w:val="es-ES_tradnl"/>
        </w:rPr>
        <w:t xml:space="preserve">stos deben aplicarse de manera integral. </w:t>
      </w:r>
      <w:r w:rsidRPr="006B78D3">
        <w:rPr>
          <w:rFonts w:ascii="Verdana" w:hAnsi="Verdana" w:cs="Arial"/>
          <w:i/>
          <w:iCs/>
          <w:color w:val="000000" w:themeColor="text1"/>
          <w:lang w:val="es-ES_tradnl"/>
        </w:rPr>
        <w:t>Contrario sensu</w:t>
      </w:r>
      <w:r w:rsidRPr="006B78D3">
        <w:rPr>
          <w:rFonts w:ascii="Verdana" w:hAnsi="Verdana" w:cs="Arial"/>
          <w:color w:val="000000" w:themeColor="text1"/>
          <w:lang w:val="es-ES_tradnl"/>
        </w:rPr>
        <w:t xml:space="preserve">, si las partes deciden someter dichos contratos a la Ley 80 de 1993, los negocios suscritos se rigen por el artículo 7 de la Ley 1150 de 2007; razón por la cual, con los requisitos establecidos en el Decreto 1082 de 2015, los amparos pueden cubrirse a través de pólizas de seguro, fiducias en garantía o garantías bancarias. </w:t>
      </w:r>
    </w:p>
    <w:p w14:paraId="3B72185C" w14:textId="77777777" w:rsidR="009131CF" w:rsidRPr="006B78D3" w:rsidRDefault="009131CF" w:rsidP="009131CF">
      <w:pPr>
        <w:spacing w:after="0" w:line="276" w:lineRule="auto"/>
        <w:ind w:firstLine="709"/>
        <w:jc w:val="both"/>
        <w:rPr>
          <w:rFonts w:ascii="Verdana" w:hAnsi="Verdana" w:cs="Arial"/>
          <w:color w:val="000000" w:themeColor="text1"/>
          <w:lang w:val="es-ES_tradnl"/>
        </w:rPr>
      </w:pPr>
      <w:r w:rsidRPr="00BA1608">
        <w:rPr>
          <w:rFonts w:ascii="Verdana" w:hAnsi="Verdana" w:cs="Arial"/>
          <w:color w:val="000000" w:themeColor="text1"/>
          <w:lang w:val="es-ES_tradnl"/>
        </w:rPr>
        <w:t xml:space="preserve">En todo caso, teniendo en cuenta el objeto de su consulta, es importante señalar que las reglas relacionadas con la contratación con organismos internacionales precisadas con anterioridad resultan aplicables cuando quien se encuentra en la relación negocial es una Entidad Estatal sometida al EGCAP. En este sentido, la contratación de este tipo por parte de entidades exceptuadas del Estatuto General de Contratación no se encuentra sometida a lo dispuesto en el artículo 20 de la Ley 1150 de 2007, y deberá realizarse conforme a lo establecido </w:t>
      </w:r>
      <w:r w:rsidRPr="00BA1608">
        <w:rPr>
          <w:rFonts w:ascii="Verdana" w:hAnsi="Verdana" w:cs="Arial"/>
          <w:color w:val="000000" w:themeColor="text1"/>
          <w:lang w:val="es-ES_tradnl"/>
        </w:rPr>
        <w:lastRenderedPageBreak/>
        <w:t>en las normas aplicables a la entidad de régimen especial, entre otras, el derecho privado y su manual de contratación.</w:t>
      </w:r>
      <w:r>
        <w:rPr>
          <w:rFonts w:ascii="Verdana" w:hAnsi="Verdana" w:cs="Arial"/>
          <w:color w:val="000000" w:themeColor="text1"/>
          <w:lang w:val="es-ES_tradnl"/>
        </w:rPr>
        <w:t xml:space="preserve"> </w:t>
      </w:r>
    </w:p>
    <w:p w14:paraId="231D472F" w14:textId="77777777" w:rsidR="009131CF" w:rsidRPr="00F40F0E" w:rsidRDefault="009131CF" w:rsidP="009131CF">
      <w:pPr>
        <w:spacing w:after="0" w:line="276" w:lineRule="auto"/>
        <w:jc w:val="both"/>
        <w:rPr>
          <w:rFonts w:ascii="Verdana" w:eastAsia="Calibri" w:hAnsi="Verdana" w:cs="Arial"/>
          <w:lang w:val="es-ES" w:eastAsia="es-MX"/>
        </w:rPr>
      </w:pPr>
    </w:p>
    <w:p w14:paraId="35408DAC" w14:textId="77777777" w:rsidR="009131CF" w:rsidRPr="00F40F0E" w:rsidRDefault="009131CF" w:rsidP="009131CF">
      <w:pPr>
        <w:spacing w:after="120" w:line="276" w:lineRule="auto"/>
        <w:jc w:val="both"/>
        <w:rPr>
          <w:rFonts w:ascii="Verdana" w:eastAsia="Calibri" w:hAnsi="Verdana" w:cs="Arial"/>
          <w:lang w:val="es-ES_tradnl" w:eastAsia="es-ES"/>
        </w:rPr>
      </w:pPr>
      <w:bookmarkStart w:id="6" w:name="_Hlk176861190"/>
      <w:bookmarkStart w:id="7" w:name="_Hlk176877108"/>
      <w:r>
        <w:rPr>
          <w:rFonts w:ascii="Verdana" w:eastAsia="Calibri" w:hAnsi="Verdana" w:cs="Arial"/>
          <w:lang w:val="es-ES_tradnl" w:eastAsia="es-ES"/>
        </w:rPr>
        <w:t>v</w:t>
      </w:r>
      <w:r w:rsidRPr="00F40F0E">
        <w:rPr>
          <w:rFonts w:ascii="Verdana" w:eastAsia="Calibri" w:hAnsi="Verdana" w:cs="Arial"/>
          <w:lang w:val="es-ES_tradnl" w:eastAsia="es-ES"/>
        </w:rPr>
        <w:t xml:space="preserve">. La </w:t>
      </w:r>
      <w:bookmarkStart w:id="8" w:name="_Hlk176876754"/>
      <w:r w:rsidRPr="00F40F0E">
        <w:rPr>
          <w:rFonts w:ascii="Verdana" w:eastAsia="Calibri" w:hAnsi="Verdana" w:cs="Arial"/>
          <w:lang w:val="es-ES_tradnl" w:eastAsia="es-ES"/>
        </w:rPr>
        <w:t>Ley 2022 de 2020, modificó el contenido del parágrafo 7 del artículo 2 de la Ley 1150 de 2007, que había sido adicionado por la Ley 1882 de 2018</w:t>
      </w:r>
      <w:bookmarkEnd w:id="8"/>
      <w:r w:rsidRPr="00F40F0E">
        <w:rPr>
          <w:rFonts w:ascii="Verdana" w:eastAsia="Times New Roman" w:hAnsi="Verdana" w:cs="Times New Roman"/>
          <w:vertAlign w:val="superscript"/>
          <w:lang w:eastAsia="es-ES"/>
        </w:rPr>
        <w:footnoteReference w:id="30"/>
      </w:r>
      <w:r w:rsidRPr="00F40F0E">
        <w:rPr>
          <w:rFonts w:ascii="Verdana" w:eastAsia="Calibri" w:hAnsi="Verdana" w:cs="Arial"/>
          <w:lang w:val="es-ES_tradnl" w:eastAsia="es-ES"/>
        </w:rPr>
        <w:t xml:space="preserve">. Con esta modificación, si bien se mantuvo el mandato de aplicación obligatoria de los Documentos Tipo por parte de las entidades sometidas al </w:t>
      </w:r>
      <w:r w:rsidRPr="00F40F0E">
        <w:rPr>
          <w:rFonts w:ascii="Verdana" w:eastAsia="Calibri" w:hAnsi="Verdana" w:cs="Arial"/>
          <w:bCs/>
          <w:lang w:val="es-ES_tradnl" w:eastAsia="es-ES_tradnl"/>
        </w:rPr>
        <w:t>EGCAP</w:t>
      </w:r>
      <w:r w:rsidRPr="00F40F0E">
        <w:rPr>
          <w:rFonts w:ascii="Verdana" w:eastAsia="Calibri" w:hAnsi="Verdana" w:cs="Arial"/>
          <w:lang w:val="es-ES_tradnl" w:eastAsia="es-ES"/>
        </w:rPr>
        <w:t xml:space="preserve">, se atribuyó a la </w:t>
      </w:r>
      <w:r w:rsidRPr="00F40F0E">
        <w:rPr>
          <w:rFonts w:ascii="Verdana" w:eastAsia="Calibri" w:hAnsi="Verdana" w:cs="Arial"/>
          <w:lang w:val="es-ES_tradnl" w:eastAsia="es-ES_tradnl"/>
        </w:rPr>
        <w:t xml:space="preserve">Agencia Nacional de Contratación Pública – Colombia Compra Eficiente la competencia para su expedición. </w:t>
      </w:r>
    </w:p>
    <w:p w14:paraId="0887D0C9" w14:textId="77777777" w:rsidR="009131CF" w:rsidRPr="00F40F0E" w:rsidRDefault="009131CF" w:rsidP="009131CF">
      <w:pPr>
        <w:spacing w:after="120" w:line="276" w:lineRule="auto"/>
        <w:ind w:firstLine="709"/>
        <w:jc w:val="both"/>
        <w:rPr>
          <w:rFonts w:ascii="Verdana" w:eastAsia="Aptos" w:hAnsi="Verdana" w:cs="Arial"/>
          <w:lang w:val="es-ES" w:eastAsia="es-MX"/>
        </w:rPr>
      </w:pPr>
      <w:r w:rsidRPr="00F40F0E">
        <w:rPr>
          <w:rFonts w:ascii="Verdana" w:eastAsia="Aptos" w:hAnsi="Verdana" w:cs="Arial"/>
          <w:lang w:val="es-ES" w:eastAsia="es-MX"/>
        </w:rPr>
        <w:t xml:space="preserve">Con sustento en esta competencia, esta Agencia ha expedido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w:t>
      </w:r>
      <w:r w:rsidRPr="00F40F0E">
        <w:rPr>
          <w:rFonts w:ascii="Verdana" w:eastAsia="Aptos" w:hAnsi="Verdana" w:cs="Arial"/>
          <w:lang w:val="es-ES" w:eastAsia="es-MX"/>
        </w:rPr>
        <w:lastRenderedPageBreak/>
        <w:t xml:space="preserve">de licitación pública, selección abreviada de menor cuantía, mínima cuantía, concurso de méritos y contratación directa. </w:t>
      </w:r>
    </w:p>
    <w:p w14:paraId="5D616591" w14:textId="77777777" w:rsidR="009131CF" w:rsidRPr="00F40F0E" w:rsidRDefault="009131CF" w:rsidP="009131CF">
      <w:pPr>
        <w:spacing w:after="120" w:line="276" w:lineRule="auto"/>
        <w:ind w:firstLine="708"/>
        <w:jc w:val="both"/>
        <w:rPr>
          <w:rFonts w:ascii="Verdana" w:eastAsia="Calibri" w:hAnsi="Verdana" w:cs="Arial"/>
          <w:lang w:eastAsia="es-MX"/>
        </w:rPr>
      </w:pPr>
      <w:r w:rsidRPr="00F40F0E">
        <w:rPr>
          <w:rFonts w:ascii="Verdana" w:eastAsia="Calibri" w:hAnsi="Verdana" w:cs="Arial"/>
          <w:lang w:eastAsia="es-ES_tradnl"/>
        </w:rPr>
        <w:t xml:space="preserve">De acuerdo con lo expuesto, </w:t>
      </w:r>
      <w:r w:rsidRPr="00F40F0E">
        <w:rPr>
          <w:rFonts w:ascii="Verdana" w:eastAsia="Calibri" w:hAnsi="Verdana" w:cs="Arial"/>
          <w:bdr w:val="none" w:sz="0" w:space="0" w:color="auto" w:frame="1"/>
          <w:lang w:eastAsia="es-ES_tradnl"/>
        </w:rPr>
        <w:t xml:space="preserve">los Documentos Tipo adoptados son obligatorios para las Entidades Estatales regidas por el </w:t>
      </w:r>
      <w:r w:rsidRPr="00F40F0E">
        <w:rPr>
          <w:rFonts w:ascii="Verdana" w:eastAsia="Calibri" w:hAnsi="Verdana" w:cs="Arial"/>
          <w:bCs/>
          <w:lang w:val="es-ES_tradnl" w:eastAsia="es-ES_tradnl"/>
        </w:rPr>
        <w:t>EGCAP</w:t>
      </w:r>
      <w:r w:rsidRPr="00F40F0E">
        <w:rPr>
          <w:rFonts w:ascii="Verdana" w:eastAsia="Calibri" w:hAnsi="Verdana" w:cs="Arial"/>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w:t>
      </w:r>
      <w:r w:rsidRPr="00F40F0E">
        <w:rPr>
          <w:rFonts w:ascii="Verdana" w:eastAsia="Calibri" w:hAnsi="Verdana" w:cs="Arial"/>
          <w:bdr w:val="none" w:sz="0" w:space="0" w:color="auto" w:frame="1"/>
          <w:vertAlign w:val="superscript"/>
          <w:lang w:eastAsia="es-ES_tradnl"/>
        </w:rPr>
        <w:footnoteReference w:id="31"/>
      </w:r>
      <w:r w:rsidRPr="00F40F0E">
        <w:rPr>
          <w:rFonts w:ascii="Verdana" w:eastAsia="Calibri" w:hAnsi="Verdana" w:cs="Arial"/>
          <w:bdr w:val="none" w:sz="0" w:space="0" w:color="auto" w:frame="1"/>
          <w:lang w:eastAsia="es-ES_tradnl"/>
        </w:rPr>
        <w:t xml:space="preserve">. </w:t>
      </w:r>
      <w:r w:rsidRPr="00F40F0E">
        <w:rPr>
          <w:rFonts w:ascii="Verdana" w:eastAsia="Calibri" w:hAnsi="Verdana" w:cs="Arial"/>
          <w:lang w:eastAsia="es-MX"/>
        </w:rPr>
        <w:t xml:space="preserve">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 Lo anterior, por cuanto los Documentos Tipo se caracterizan por ser inalterables, es decir, que las Entidades Públicas carecen de la facultad de modificarlos, con excepción de aquellos aspectos que pueden diligenciar, que son las descripciones que están incluidas entre corchetes y resaltadas en gris en cada uno de los Documentos Tipo. </w:t>
      </w:r>
    </w:p>
    <w:p w14:paraId="7C824E81" w14:textId="77777777" w:rsidR="009131CF" w:rsidRPr="00F40F0E" w:rsidRDefault="009131CF" w:rsidP="009131CF">
      <w:pPr>
        <w:spacing w:after="120" w:line="276" w:lineRule="auto"/>
        <w:ind w:firstLine="709"/>
        <w:jc w:val="both"/>
        <w:rPr>
          <w:rFonts w:ascii="Verdana" w:eastAsia="Calibri" w:hAnsi="Verdana" w:cs="Arial"/>
          <w:lang w:val="es-ES" w:eastAsia="es-MX"/>
        </w:rPr>
      </w:pPr>
      <w:r w:rsidRPr="00F40F0E">
        <w:rPr>
          <w:rFonts w:ascii="Verdana" w:eastAsia="Calibri" w:hAnsi="Verdana" w:cs="Arial"/>
          <w:shd w:val="clear" w:color="auto" w:fill="FFFFFF"/>
          <w:lang w:val="es-ES" w:eastAsia="es-MX"/>
        </w:rPr>
        <w:t xml:space="preserve">En ese orden, </w:t>
      </w:r>
      <w:r w:rsidRPr="00F40F0E">
        <w:rPr>
          <w:rFonts w:ascii="Verdana" w:eastAsia="Calibri" w:hAnsi="Verdana" w:cs="Arial"/>
          <w:lang w:val="es-ES" w:eastAsia="es-MX"/>
        </w:rPr>
        <w:t xml:space="preserve">las Entidades Estatales regidas por el EGCAP, de conformidad con el parágrafo 7 del artículo 2 de la Ley 1150 de 2007, adicionado por la Ley 1882 de 2018 y modificado por la Ley 2022 de 2020, se encuentran obligadas a aplicar los Documentos Tipo implementados por esta Agencia para adelantar los Procesos de Contratación que se encuentren cobijados por los Documentos Tipo expedidos. Sin embargo, si el objeto contractual no se relaciona con actividades u objetos contractuales descritos en los Documentos Tipo que han sido expedidos por Colombia Compra Eficiente, o estos no aplican a la modalidad de escogencia aplicable, no será obligatorio aplicar los Pliegos Tipo. </w:t>
      </w:r>
    </w:p>
    <w:p w14:paraId="2E0A9B1B" w14:textId="77777777" w:rsidR="009131CF" w:rsidRPr="00F40F0E" w:rsidRDefault="009131CF" w:rsidP="009131CF">
      <w:pPr>
        <w:spacing w:after="120" w:line="276" w:lineRule="auto"/>
        <w:ind w:firstLine="709"/>
        <w:jc w:val="both"/>
        <w:rPr>
          <w:rFonts w:ascii="Verdana" w:eastAsia="Calibri" w:hAnsi="Verdana" w:cs="Arial"/>
          <w:lang w:val="es-ES_tradnl" w:eastAsia="es-MX"/>
        </w:rPr>
      </w:pPr>
      <w:r w:rsidRPr="00F40F0E">
        <w:rPr>
          <w:rFonts w:ascii="Verdana" w:eastAsia="Calibri" w:hAnsi="Verdana" w:cs="Arial"/>
          <w:lang w:val="es-ES" w:eastAsia="es-MX"/>
        </w:rPr>
        <w:t xml:space="preserve">Además del objeto y la modalidad de escogencia aplicable, para delimitar de forma más precisa el ámbito de aplicación de cada uno de los Documentos Tipo será necesario analizar la matriz de experiencia asociada a cada uno de ellos, pues estos aplicarán a los proyectos y/o actividades específicas contempladas en cada una de dichas matrices de experiencia. En este sentido, la matriz de experiencia de cada uno de los Documentos Tipo, además de estandarizar este importante requisito en los procedimientos de selección, </w:t>
      </w:r>
      <w:r w:rsidRPr="00F40F0E">
        <w:rPr>
          <w:rFonts w:ascii="Verdana" w:eastAsia="Calibri" w:hAnsi="Verdana" w:cs="Arial"/>
          <w:lang w:val="es-ES" w:eastAsia="es-MX"/>
        </w:rPr>
        <w:lastRenderedPageBreak/>
        <w:t>delimita o precisa el ámbito de aplicación de estos, por lo que aplicarán a las actividades establecidas en cada una de estas matrices</w:t>
      </w:r>
      <w:r w:rsidRPr="00F40F0E">
        <w:rPr>
          <w:rFonts w:ascii="Verdana" w:eastAsia="Calibri" w:hAnsi="Verdana" w:cs="Arial"/>
          <w:vertAlign w:val="superscript"/>
          <w:lang w:val="es-ES" w:eastAsia="es-MX"/>
        </w:rPr>
        <w:footnoteReference w:id="32"/>
      </w:r>
      <w:r w:rsidRPr="00F40F0E">
        <w:rPr>
          <w:rFonts w:ascii="Verdana" w:eastAsia="Calibri" w:hAnsi="Verdana" w:cs="Arial"/>
          <w:lang w:val="es-ES" w:eastAsia="es-MX"/>
        </w:rPr>
        <w:t>.</w:t>
      </w:r>
    </w:p>
    <w:p w14:paraId="67ED388B" w14:textId="77777777" w:rsidR="009131CF" w:rsidRPr="00F40F0E" w:rsidRDefault="009131CF" w:rsidP="009131CF">
      <w:pPr>
        <w:spacing w:after="120" w:line="276" w:lineRule="auto"/>
        <w:jc w:val="both"/>
        <w:rPr>
          <w:rFonts w:ascii="Verdana" w:eastAsia="Aptos" w:hAnsi="Verdana" w:cs="Arial"/>
          <w:lang w:val="es-ES" w:eastAsia="es-MX"/>
        </w:rPr>
      </w:pPr>
      <w:r w:rsidRPr="00F40F0E">
        <w:rPr>
          <w:rFonts w:ascii="Verdana" w:eastAsia="Aptos" w:hAnsi="Verdana" w:cs="Arial"/>
          <w:lang w:val="es-ES" w:eastAsia="es-MX"/>
        </w:rPr>
        <w:tab/>
      </w:r>
      <w:bookmarkStart w:id="9" w:name="_Hlk104104535"/>
      <w:r w:rsidRPr="00F40F0E">
        <w:rPr>
          <w:rFonts w:ascii="Verdana" w:eastAsia="Aptos" w:hAnsi="Verdana" w:cs="Arial"/>
          <w:lang w:val="es-ES" w:eastAsia="es-MX"/>
        </w:rPr>
        <w:t xml:space="preserve">En conclusión, la definición de si a un Proceso de Contratación le aplican los Documentos Tipo radicará en si el contrato a ejecutar </w:t>
      </w:r>
      <w:proofErr w:type="gramStart"/>
      <w:r w:rsidRPr="00F40F0E">
        <w:rPr>
          <w:rFonts w:ascii="Verdana" w:eastAsia="Aptos" w:hAnsi="Verdana" w:cs="Arial"/>
          <w:lang w:val="es-ES" w:eastAsia="es-MX"/>
        </w:rPr>
        <w:t>se enmarca dentro de</w:t>
      </w:r>
      <w:proofErr w:type="gramEnd"/>
      <w:r w:rsidRPr="00F40F0E">
        <w:rPr>
          <w:rFonts w:ascii="Verdana" w:eastAsia="Aptos" w:hAnsi="Verdana" w:cs="Arial"/>
          <w:lang w:val="es-ES" w:eastAsia="es-MX"/>
        </w:rPr>
        <w:t xml:space="preserve"> las actividades establecidas en la matriz de experiencia del Documento Tipo, de modo que las Entidades Estatales sometidas al EGCAP deberán aplicar los Documentos Tipo en dichos supuestos. En todo caso, independientemente de la correspondencia entre el objeto a contratar y alguna de las actividades tipificadas en las matrices de experiencia, la aplicación del Documento Tipo solo será forzosa, si además el correspondiente Documento Tipo ha sido expedido para la modalidad de escogencia en la que se debe adelantar el proceso de selección. </w:t>
      </w:r>
      <w:bookmarkEnd w:id="9"/>
    </w:p>
    <w:p w14:paraId="129F0F41" w14:textId="77777777" w:rsidR="009131CF" w:rsidRDefault="009131CF" w:rsidP="009131CF">
      <w:pPr>
        <w:spacing w:after="0" w:line="276" w:lineRule="auto"/>
        <w:ind w:firstLine="708"/>
        <w:jc w:val="both"/>
        <w:rPr>
          <w:rFonts w:ascii="Verdana" w:eastAsia="Calibri" w:hAnsi="Verdana" w:cs="Arial"/>
          <w:bCs/>
          <w:lang w:val="es-ES_tradnl" w:eastAsia="es-ES_tradnl"/>
        </w:rPr>
      </w:pPr>
      <w:r w:rsidRPr="00F40F0E">
        <w:rPr>
          <w:rFonts w:ascii="Verdana" w:eastAsia="Calibri" w:hAnsi="Verdana" w:cs="Arial"/>
          <w:bCs/>
          <w:lang w:val="es-ES_tradnl" w:eastAsia="es-ES_tradnl"/>
        </w:rPr>
        <w:t xml:space="preserve">Conforme se explicó en los párrafos anteriores, en virtud de la Ley 2022 de 2020, los Documentos Tipo expedidos por la Agencia Nacional de Contratación Pública – Colombia Compra Eficiente son de aplicación obligatoria para las Entidades Estatales sometidas al EGCAP. En ese sentido, el contenido normativo de la Ley 2022 de 2020, y en su momento también de la Ley 1882 de 2018, excluyen del ámbito de aplicación de los Documentos Tipo la contratación de Entidades Estatales de régimen exceptuado, por lo general, sujetas al derecho privado. </w:t>
      </w:r>
    </w:p>
    <w:p w14:paraId="7B18F385" w14:textId="77777777" w:rsidR="009131CF" w:rsidRPr="00F40F0E" w:rsidRDefault="009131CF" w:rsidP="009131CF">
      <w:pPr>
        <w:spacing w:after="0" w:line="276" w:lineRule="auto"/>
        <w:ind w:firstLine="708"/>
        <w:jc w:val="both"/>
        <w:rPr>
          <w:rFonts w:ascii="Verdana" w:eastAsia="Aptos" w:hAnsi="Verdana" w:cs="Arial"/>
          <w:lang w:val="es-ES" w:eastAsia="es-MX"/>
        </w:rPr>
      </w:pPr>
    </w:p>
    <w:p w14:paraId="07433D64" w14:textId="77777777" w:rsidR="009131CF" w:rsidRPr="00F40F0E" w:rsidRDefault="009131CF" w:rsidP="009131CF">
      <w:pPr>
        <w:spacing w:after="120" w:line="276" w:lineRule="auto"/>
        <w:jc w:val="both"/>
        <w:rPr>
          <w:rFonts w:ascii="Verdana" w:eastAsia="Calibri" w:hAnsi="Verdana" w:cs="Arial"/>
          <w:lang w:val="es-ES" w:eastAsia="es-ES"/>
        </w:rPr>
      </w:pPr>
      <w:r>
        <w:rPr>
          <w:rFonts w:ascii="Verdana" w:eastAsia="Calibri" w:hAnsi="Verdana" w:cs="Arial"/>
          <w:lang w:val="es-ES" w:eastAsia="es-ES"/>
        </w:rPr>
        <w:t>vi</w:t>
      </w:r>
      <w:r w:rsidRPr="00F40F0E">
        <w:rPr>
          <w:rFonts w:ascii="Verdana" w:eastAsia="Calibri" w:hAnsi="Verdana" w:cs="Arial"/>
          <w:lang w:val="es-ES" w:eastAsia="es-ES"/>
        </w:rPr>
        <w:t xml:space="preserve">. No obstante, este panorama varió con la expedición de la Ley 2195 de 2022, “Por medio de la cual se adoptan medidas en materia de transparencia, prevención y lucha contra la corrupción y se dictan otras disposiciones”. De conformidad con su artículo 1, esta norma tiene por objeto la adopción de diferentes medidas tendientes a prevenir los actos de corrupción, reforzar la articulación de las entidades del Estado y a recuperar los daños ocasionados por la corrupción, promoviendo la cultura de la legalidad e integridad. </w:t>
      </w:r>
    </w:p>
    <w:p w14:paraId="3996D369" w14:textId="77777777" w:rsidR="009131CF" w:rsidRPr="00F40F0E" w:rsidRDefault="009131CF" w:rsidP="009131CF">
      <w:pPr>
        <w:spacing w:after="0" w:line="276" w:lineRule="auto"/>
        <w:ind w:firstLine="708"/>
        <w:jc w:val="both"/>
        <w:rPr>
          <w:rFonts w:ascii="Verdana" w:eastAsia="Calibri" w:hAnsi="Verdana" w:cs="Arial"/>
          <w:bCs/>
          <w:lang w:val="es-ES_tradnl" w:eastAsia="es-ES_tradnl"/>
        </w:rPr>
      </w:pPr>
      <w:r w:rsidRPr="00F40F0E">
        <w:rPr>
          <w:rFonts w:ascii="Verdana" w:eastAsia="Calibri" w:hAnsi="Verdana" w:cs="Arial"/>
          <w:bCs/>
          <w:lang w:val="es-ES_tradnl" w:eastAsia="es-ES_tradnl"/>
        </w:rPr>
        <w:t xml:space="preserve">Entre las medidas adoptadas por la Ley mencionada se destaca el artículo 56, norma sobre la que versa la presente consulta. Esta disposición se refiere de </w:t>
      </w:r>
      <w:r w:rsidRPr="00F40F0E">
        <w:rPr>
          <w:rFonts w:ascii="Verdana" w:eastAsia="Calibri" w:hAnsi="Verdana" w:cs="Arial"/>
          <w:bCs/>
          <w:lang w:val="es-ES_tradnl" w:eastAsia="es-ES_tradnl"/>
        </w:rPr>
        <w:lastRenderedPageBreak/>
        <w:t>manera expresa a los documentos tipo y a su aplicabilidad a sujetos diferentes de las entidades estatales sometidas al Estatuto General de Contratación de la Administración Pública:</w:t>
      </w:r>
    </w:p>
    <w:p w14:paraId="6A3931D1" w14:textId="77777777" w:rsidR="009131CF" w:rsidRPr="00F40F0E" w:rsidRDefault="009131CF" w:rsidP="009131CF">
      <w:pPr>
        <w:tabs>
          <w:tab w:val="left" w:pos="0"/>
        </w:tabs>
        <w:spacing w:after="0" w:line="276" w:lineRule="auto"/>
        <w:jc w:val="both"/>
        <w:rPr>
          <w:rFonts w:ascii="Arial" w:eastAsia="Calibri" w:hAnsi="Arial" w:cs="Arial"/>
          <w:bCs/>
          <w:szCs w:val="24"/>
          <w:lang w:val="es-ES_tradnl" w:eastAsia="es-ES_tradnl"/>
        </w:rPr>
      </w:pPr>
    </w:p>
    <w:p w14:paraId="2F39147D" w14:textId="77777777" w:rsidR="009131CF" w:rsidRPr="003D37CE" w:rsidRDefault="009131CF" w:rsidP="009131CF">
      <w:pPr>
        <w:tabs>
          <w:tab w:val="left" w:pos="0"/>
        </w:tabs>
        <w:spacing w:after="0" w:line="240" w:lineRule="auto"/>
        <w:ind w:left="709" w:right="709"/>
        <w:jc w:val="both"/>
        <w:rPr>
          <w:rFonts w:ascii="Verdana" w:eastAsia="Times New Roman" w:hAnsi="Verdana" w:cs="Arial"/>
          <w:sz w:val="21"/>
          <w:szCs w:val="21"/>
          <w:lang w:val="es-ES_tradnl" w:eastAsia="es-ES_tradnl"/>
        </w:rPr>
      </w:pPr>
      <w:r w:rsidRPr="003D37CE">
        <w:rPr>
          <w:rFonts w:ascii="Verdana" w:eastAsia="Times New Roman" w:hAnsi="Verdana" w:cs="Arial"/>
          <w:sz w:val="21"/>
          <w:szCs w:val="21"/>
          <w:lang w:val="es-ES_tradnl" w:eastAsia="es-ES_tradnl"/>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3BD3D906" w14:textId="77777777" w:rsidR="009131CF" w:rsidRPr="003D37CE" w:rsidRDefault="009131CF" w:rsidP="009131CF">
      <w:pPr>
        <w:tabs>
          <w:tab w:val="left" w:pos="0"/>
        </w:tabs>
        <w:spacing w:after="0" w:line="240" w:lineRule="auto"/>
        <w:ind w:left="709" w:right="709"/>
        <w:jc w:val="both"/>
        <w:rPr>
          <w:rFonts w:ascii="Verdana" w:eastAsia="Times New Roman" w:hAnsi="Verdana" w:cs="Arial"/>
          <w:sz w:val="21"/>
          <w:szCs w:val="21"/>
          <w:lang w:val="es-ES_tradnl" w:eastAsia="es-ES_tradnl"/>
        </w:rPr>
      </w:pPr>
    </w:p>
    <w:p w14:paraId="49399E4F" w14:textId="77777777" w:rsidR="009131CF" w:rsidRPr="003D37CE" w:rsidRDefault="009131CF" w:rsidP="009131CF">
      <w:pPr>
        <w:tabs>
          <w:tab w:val="left" w:pos="0"/>
        </w:tabs>
        <w:spacing w:after="120" w:line="240" w:lineRule="auto"/>
        <w:ind w:left="709" w:right="709"/>
        <w:jc w:val="both"/>
        <w:rPr>
          <w:rFonts w:ascii="Verdana" w:eastAsia="Times New Roman" w:hAnsi="Verdana" w:cs="Arial"/>
          <w:sz w:val="21"/>
          <w:szCs w:val="21"/>
          <w:lang w:val="es-ES_tradnl" w:eastAsia="es-ES_tradnl"/>
        </w:rPr>
      </w:pPr>
      <w:r w:rsidRPr="003D37CE">
        <w:rPr>
          <w:rFonts w:ascii="Verdana" w:eastAsia="Times New Roman" w:hAnsi="Verdana" w:cs="Arial"/>
          <w:sz w:val="21"/>
          <w:szCs w:val="21"/>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427B2274" w14:textId="77777777" w:rsidR="009131CF" w:rsidRPr="003D37CE" w:rsidRDefault="009131CF" w:rsidP="009131CF">
      <w:pPr>
        <w:spacing w:after="0" w:line="240" w:lineRule="auto"/>
        <w:ind w:left="709" w:right="709"/>
        <w:jc w:val="both"/>
        <w:rPr>
          <w:rFonts w:ascii="Verdana" w:eastAsia="Calibri" w:hAnsi="Verdana" w:cs="Arial"/>
          <w:sz w:val="21"/>
          <w:szCs w:val="21"/>
          <w:lang w:val="es-ES" w:eastAsia="es-ES"/>
        </w:rPr>
      </w:pPr>
      <w:r w:rsidRPr="003D37CE">
        <w:rPr>
          <w:rFonts w:ascii="Verdana" w:eastAsia="Times New Roman" w:hAnsi="Verdana" w:cs="Arial"/>
          <w:sz w:val="21"/>
          <w:szCs w:val="21"/>
          <w:lang w:val="es-ES" w:eastAsia="es-ES"/>
        </w:rPr>
        <w:t xml:space="preserve">Parágrafo. Se exceptúan del presente artículo las Instituciones de Educación Superior públicas, las empresas sociales del Estado, las sociedades de economía mixta y las empresas industriales y comerciales del Estado, únicamente en cuanto a la contratación de su </w:t>
      </w:r>
      <w:r w:rsidRPr="003D37CE">
        <w:rPr>
          <w:rFonts w:ascii="Verdana" w:eastAsia="Times New Roman" w:hAnsi="Verdana" w:cs="Arial"/>
          <w:i/>
          <w:iCs/>
          <w:sz w:val="21"/>
          <w:szCs w:val="21"/>
          <w:lang w:val="es-ES" w:eastAsia="es-ES"/>
        </w:rPr>
        <w:t>giro ordinario</w:t>
      </w:r>
      <w:r w:rsidRPr="003D37CE">
        <w:rPr>
          <w:rFonts w:ascii="Verdana" w:eastAsia="Times New Roman" w:hAnsi="Verdana" w:cs="Arial"/>
          <w:sz w:val="21"/>
          <w:szCs w:val="21"/>
          <w:lang w:val="es-ES" w:eastAsia="es-ES"/>
        </w:rPr>
        <w:t>. En estos casos, en los manuales de contratación de estas entidades, se fomentará como buena práctica la aplicación de los pliegos tipo.</w:t>
      </w:r>
    </w:p>
    <w:p w14:paraId="08E5893F" w14:textId="77777777" w:rsidR="009131CF" w:rsidRPr="00F40F0E" w:rsidRDefault="009131CF" w:rsidP="009131CF">
      <w:pPr>
        <w:tabs>
          <w:tab w:val="left" w:pos="0"/>
        </w:tabs>
        <w:spacing w:after="0" w:line="276" w:lineRule="auto"/>
        <w:jc w:val="both"/>
        <w:rPr>
          <w:rFonts w:ascii="Arial" w:eastAsia="Calibri" w:hAnsi="Arial" w:cs="Arial"/>
          <w:bCs/>
          <w:szCs w:val="24"/>
          <w:lang w:val="es-ES_tradnl" w:eastAsia="es-ES_tradnl"/>
        </w:rPr>
      </w:pPr>
    </w:p>
    <w:p w14:paraId="68CEE5D7" w14:textId="77777777" w:rsidR="009131CF" w:rsidRPr="00F40F0E" w:rsidRDefault="009131CF" w:rsidP="009131CF">
      <w:pPr>
        <w:tabs>
          <w:tab w:val="left" w:pos="0"/>
        </w:tabs>
        <w:spacing w:after="120" w:line="276" w:lineRule="auto"/>
        <w:jc w:val="both"/>
        <w:rPr>
          <w:rFonts w:ascii="Verdana" w:eastAsia="Calibri" w:hAnsi="Verdana" w:cs="Arial"/>
          <w:color w:val="000000"/>
        </w:rPr>
      </w:pPr>
      <w:r w:rsidRPr="00F40F0E">
        <w:rPr>
          <w:rFonts w:ascii="Arial" w:eastAsia="Calibri" w:hAnsi="Arial" w:cs="Arial"/>
          <w:bCs/>
          <w:szCs w:val="24"/>
          <w:lang w:val="es-ES_tradnl" w:eastAsia="es-ES_tradnl"/>
        </w:rPr>
        <w:tab/>
      </w:r>
      <w:r w:rsidRPr="00F40F0E">
        <w:rPr>
          <w:rFonts w:ascii="Verdana" w:eastAsia="Calibri" w:hAnsi="Verdana" w:cs="Arial"/>
          <w:bCs/>
          <w:szCs w:val="24"/>
          <w:lang w:val="es-ES_tradnl" w:eastAsia="es-ES_tradnl"/>
        </w:rPr>
        <w:t xml:space="preserve">Las implicaciones de lo establecido en esta norma son variadas y se presentan en múltiples ámbitos de la actividad contractual de las entidades estatales, </w:t>
      </w:r>
      <w:proofErr w:type="gramStart"/>
      <w:r w:rsidRPr="00F40F0E">
        <w:rPr>
          <w:rFonts w:ascii="Verdana" w:eastAsia="Calibri" w:hAnsi="Verdana" w:cs="Arial"/>
          <w:bCs/>
          <w:szCs w:val="24"/>
          <w:lang w:val="es-ES_tradnl" w:eastAsia="es-ES_tradnl"/>
        </w:rPr>
        <w:t>que</w:t>
      </w:r>
      <w:proofErr w:type="gramEnd"/>
      <w:r w:rsidRPr="00F40F0E">
        <w:rPr>
          <w:rFonts w:ascii="Verdana" w:eastAsia="Calibri" w:hAnsi="Verdana" w:cs="Arial"/>
          <w:bCs/>
          <w:szCs w:val="24"/>
          <w:lang w:val="es-ES_tradnl" w:eastAsia="es-ES_tradnl"/>
        </w:rPr>
        <w:t xml:space="preserve"> como consecuencia de la entrada en vigor de la disposición en cita, ven alterado su régimen jurídico. </w:t>
      </w:r>
      <w:r w:rsidRPr="00F40F0E">
        <w:rPr>
          <w:rFonts w:ascii="Verdana" w:eastAsia="Calibri" w:hAnsi="Verdana" w:cs="Arial"/>
          <w:color w:val="000000"/>
        </w:rPr>
        <w:t xml:space="preserve">En tal sentido, para efectos de dar respuesta concreta al problema jurídico planteado, es importante tener en cuenta las posturas que se han sustentado en torno al alcance del artículo 56 de la Ley 2195 de 2022. </w:t>
      </w:r>
    </w:p>
    <w:p w14:paraId="64544C89" w14:textId="77777777" w:rsidR="009131CF" w:rsidRPr="00F40F0E" w:rsidRDefault="009131CF" w:rsidP="009131CF">
      <w:pPr>
        <w:tabs>
          <w:tab w:val="left" w:pos="0"/>
        </w:tabs>
        <w:spacing w:after="120" w:line="276" w:lineRule="auto"/>
        <w:ind w:firstLine="709"/>
        <w:jc w:val="both"/>
        <w:rPr>
          <w:rFonts w:ascii="Verdana" w:eastAsia="Calibri" w:hAnsi="Verdana" w:cs="Arial"/>
          <w:bCs/>
          <w:szCs w:val="24"/>
          <w:lang w:val="es-ES_tradnl" w:eastAsia="es-ES_tradnl"/>
        </w:rPr>
      </w:pPr>
      <w:r w:rsidRPr="00F40F0E">
        <w:rPr>
          <w:rFonts w:ascii="Verdana" w:eastAsia="Calibri" w:hAnsi="Verdana" w:cs="Arial"/>
          <w:color w:val="000000"/>
        </w:rPr>
        <w:lastRenderedPageBreak/>
        <w:t xml:space="preserve">Así, </w:t>
      </w:r>
      <w:r w:rsidRPr="00F40F0E">
        <w:rPr>
          <w:rFonts w:ascii="Verdana" w:eastAsia="Times New Roman" w:hAnsi="Verdana" w:cs="Arial"/>
          <w:lang w:eastAsia="es-ES_tradnl"/>
        </w:rPr>
        <w:t>a partir del concepto C-066 del 28 de enero de 2022</w:t>
      </w:r>
      <w:r w:rsidRPr="00F40F0E">
        <w:rPr>
          <w:rFonts w:ascii="Verdana" w:eastAsia="Times New Roman" w:hAnsi="Verdana" w:cs="Arial"/>
          <w:vertAlign w:val="superscript"/>
          <w:lang w:eastAsia="es-ES_tradnl"/>
        </w:rPr>
        <w:footnoteReference w:id="33"/>
      </w:r>
      <w:r w:rsidRPr="00F40F0E">
        <w:rPr>
          <w:rFonts w:ascii="Verdana" w:eastAsia="Times New Roman" w:hAnsi="Verdana" w:cs="Arial"/>
          <w:lang w:eastAsia="es-ES_tradnl"/>
        </w:rPr>
        <w:t xml:space="preserve">, esta </w:t>
      </w:r>
      <w:r>
        <w:rPr>
          <w:rFonts w:ascii="Verdana" w:eastAsia="Times New Roman" w:hAnsi="Verdana" w:cs="Arial"/>
          <w:lang w:eastAsia="es-ES_tradnl"/>
        </w:rPr>
        <w:t>A</w:t>
      </w:r>
      <w:r w:rsidRPr="00F40F0E">
        <w:rPr>
          <w:rFonts w:ascii="Verdana" w:eastAsia="Times New Roman" w:hAnsi="Verdana" w:cs="Arial"/>
          <w:lang w:eastAsia="es-ES_tradnl"/>
        </w:rPr>
        <w:t xml:space="preserve">gencia consideró que </w:t>
      </w:r>
      <w:r w:rsidRPr="00F40F0E">
        <w:rPr>
          <w:rFonts w:ascii="Verdana" w:eastAsia="Calibri" w:hAnsi="Verdana" w:cs="Arial"/>
          <w:bCs/>
          <w:lang w:val="es-ES_tradnl" w:eastAsia="es-ES_tradnl"/>
        </w:rPr>
        <w:t xml:space="preserve">el primer y principal mandato de la norma se encuentra dirigido a las Entidades Estatales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 En ese sentido, el primer inciso de la norma reafirma el deber de las entidades sometidas al EGCAP de aplicar los Documentos Tipo. </w:t>
      </w:r>
    </w:p>
    <w:p w14:paraId="1108FF09" w14:textId="77777777" w:rsidR="009131CF" w:rsidRPr="00F40F0E" w:rsidRDefault="009131CF" w:rsidP="009131CF">
      <w:pPr>
        <w:spacing w:after="120" w:line="276" w:lineRule="auto"/>
        <w:jc w:val="both"/>
        <w:rPr>
          <w:rFonts w:ascii="Verdana" w:eastAsia="Calibri" w:hAnsi="Verdana" w:cs="Arial"/>
          <w:lang w:val="es-ES"/>
        </w:rPr>
      </w:pPr>
      <w:r w:rsidRPr="00F40F0E">
        <w:rPr>
          <w:rFonts w:ascii="Verdana" w:eastAsia="Calibri" w:hAnsi="Verdana" w:cs="Arial"/>
          <w:bCs/>
          <w:lang w:val="es-ES_tradnl" w:eastAsia="es-ES_tradnl"/>
        </w:rPr>
        <w:tab/>
      </w:r>
      <w:r w:rsidRPr="00F40F0E">
        <w:rPr>
          <w:rFonts w:ascii="Verdana" w:eastAsia="Calibri" w:hAnsi="Verdana" w:cs="Arial"/>
          <w:lang w:val="es-ES"/>
        </w:rPr>
        <w:t xml:space="preserve">De acuerdo con esto, se sostuvo que el artículo 56 de la Ley 2195 de 2022 es una norma que complementa al parágrafo 7 del artículo 2 de la Ley 1150 de 2007, modificado por la Ley 2022 de 2020, que establece el mandato de aplicación obligatoria de los Documentos Tipo para las entidades sometidas al EGCAP. Si bien el texto de la Ley 2022 de 2020 establece con claridad la regla de aplicación obligatoria de los documentos tipo en los Procesos de Contratación adelantados por las entidades estatales regidas por el EGCAP, lo cierto es que sus efectos no eran los mismos en los procesos de selección adelantados por entidades exceptuadas o con regímenes especiales.  </w:t>
      </w:r>
    </w:p>
    <w:p w14:paraId="212CB8E4" w14:textId="3BE01ECA" w:rsidR="009131CF" w:rsidRPr="00F40F0E" w:rsidRDefault="009131CF" w:rsidP="009131CF">
      <w:pPr>
        <w:spacing w:after="120" w:line="276" w:lineRule="auto"/>
        <w:jc w:val="both"/>
        <w:rPr>
          <w:rFonts w:ascii="Verdana" w:eastAsia="Calibri" w:hAnsi="Verdana" w:cs="Arial"/>
          <w:lang w:val="es-ES"/>
        </w:rPr>
      </w:pPr>
      <w:r w:rsidRPr="00F40F0E">
        <w:rPr>
          <w:rFonts w:ascii="Verdana" w:eastAsia="Calibri" w:hAnsi="Verdana" w:cs="Arial"/>
          <w:bCs/>
          <w:lang w:val="es-ES_tradnl"/>
        </w:rPr>
        <w:tab/>
      </w:r>
      <w:r w:rsidRPr="00F40F0E">
        <w:rPr>
          <w:rFonts w:ascii="Verdana" w:eastAsia="Calibri" w:hAnsi="Verdana" w:cs="Arial"/>
          <w:lang w:val="es-ES"/>
        </w:rPr>
        <w:t xml:space="preserve">Antes de la expedición del artículo 56 </w:t>
      </w:r>
      <w:r w:rsidR="00BA1608">
        <w:rPr>
          <w:rFonts w:ascii="Verdana" w:eastAsia="Calibri" w:hAnsi="Verdana" w:cs="Arial"/>
          <w:i/>
          <w:iCs/>
          <w:lang w:val="es-ES"/>
        </w:rPr>
        <w:t>i</w:t>
      </w:r>
      <w:r w:rsidR="00BA1608" w:rsidRPr="00F40F0E">
        <w:rPr>
          <w:rFonts w:ascii="Verdana" w:eastAsia="Calibri" w:hAnsi="Verdana" w:cs="Arial"/>
          <w:i/>
          <w:iCs/>
          <w:lang w:val="es-ES"/>
        </w:rPr>
        <w:t>bidem</w:t>
      </w:r>
      <w:r w:rsidRPr="00F40F0E">
        <w:rPr>
          <w:rFonts w:ascii="Verdana" w:eastAsia="Calibri" w:hAnsi="Verdana" w:cs="Arial"/>
          <w:i/>
          <w:iCs/>
          <w:lang w:val="es-ES"/>
        </w:rPr>
        <w:t>,</w:t>
      </w:r>
      <w:r w:rsidRPr="00F40F0E">
        <w:rPr>
          <w:rFonts w:ascii="Verdana" w:eastAsia="Calibri" w:hAnsi="Verdana" w:cs="Arial"/>
          <w:lang w:val="es-ES"/>
        </w:rPr>
        <w:t xml:space="preserve"> la Ley 2022 de 2020 ya había establecido el mandato de aplicación obligatoria de los Documentos Tipo, atribuyendo a esta a Agencia la competencia para expedirlos. Dicha Ley restringe su aplicación en los Procesos de Contratación a través de los que una entidad estatal regida por el EGCAP debe adquirir una obra o servicio, por supuesto siempre que el objeto a contratar, al igual que la modalidad que se requiere emplear, estén cobijados por algún documento tipo vigente. Por el contrario, la aplicación de Documentos Tipo por parte de entidades con regímenes especiales o de derecho privado era un asunto que escapaba del ámbito de aplicación de lo establecido por la Ley 2022 de 2020, incluso tratándose de obras o servicios para cuya contratación les resultaba aplicable los Documentos Tipo vigentes, comoquiera que la aplicación de estos solo era procedente cuando el régimen de </w:t>
      </w:r>
      <w:r w:rsidRPr="00F40F0E">
        <w:rPr>
          <w:rFonts w:ascii="Verdana" w:eastAsia="Calibri" w:hAnsi="Verdana" w:cs="Arial"/>
          <w:lang w:val="es-ES"/>
        </w:rPr>
        <w:lastRenderedPageBreak/>
        <w:t xml:space="preserve">la entidad contratante fuera el EGCAP, toda vez que el parágrafo 7 del artículo 2 de la Ley 1150 de 2007 solo se refiere a la obligación de aplicar los Documentos Tipo en los Procesos de Contratación que adelanten las entidades sometidas al EGCAP. </w:t>
      </w:r>
    </w:p>
    <w:p w14:paraId="4BBDB448" w14:textId="77777777" w:rsidR="009131CF" w:rsidRPr="00F40F0E" w:rsidRDefault="009131CF" w:rsidP="009131CF">
      <w:pPr>
        <w:spacing w:after="120" w:line="276" w:lineRule="auto"/>
        <w:jc w:val="both"/>
        <w:rPr>
          <w:rFonts w:ascii="Verdana" w:eastAsia="Calibri" w:hAnsi="Verdana" w:cs="Arial"/>
          <w:lang w:val="es-ES"/>
        </w:rPr>
      </w:pPr>
      <w:r w:rsidRPr="00F40F0E">
        <w:rPr>
          <w:rFonts w:ascii="Verdana" w:eastAsia="Calibri" w:hAnsi="Verdana" w:cs="Arial"/>
          <w:bCs/>
          <w:lang w:val="es-ES_tradnl"/>
        </w:rPr>
        <w:tab/>
      </w:r>
      <w:r w:rsidRPr="00F40F0E">
        <w:rPr>
          <w:rFonts w:ascii="Verdana" w:eastAsia="Calibri" w:hAnsi="Verdana" w:cs="Arial"/>
          <w:lang w:val="es-ES"/>
        </w:rPr>
        <w:t>Por tanto, la norma, por el hecho de estar dirigida únicamente a las entidades sometidas a la Ley 80 de 1993 y la Ley 1150 de 2007, solo permitía que los Documentos Tipo tuvieran que aplicarse de manera obligatoria cuando este era el régimen general de la contratación de la entidad que adelantaba el Proceso de Contratación. En estos términos, si bien la Ley 2022 de 2020 no limitó la aplicabilidad de los Documentos Tipo expedidos por esta Agencia a una modalidad en específico, sí estableció que su implementación debía hacerse en el marco del EGCAP.</w:t>
      </w:r>
    </w:p>
    <w:p w14:paraId="47BA0380" w14:textId="77777777" w:rsidR="009131CF" w:rsidRPr="00F40F0E" w:rsidRDefault="009131CF" w:rsidP="009131CF">
      <w:pPr>
        <w:spacing w:after="120" w:line="276" w:lineRule="auto"/>
        <w:jc w:val="both"/>
        <w:rPr>
          <w:rFonts w:ascii="Verdana" w:eastAsia="Calibri" w:hAnsi="Verdana" w:cs="Arial"/>
          <w:lang w:val="es-ES"/>
        </w:rPr>
      </w:pPr>
      <w:r w:rsidRPr="00F40F0E">
        <w:rPr>
          <w:rFonts w:ascii="Verdana" w:eastAsia="Calibri" w:hAnsi="Verdana" w:cs="Arial"/>
          <w:lang w:val="es-ES"/>
        </w:rPr>
        <w:tab/>
        <w:t xml:space="preserve">En este escenario, 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w:t>
      </w:r>
      <w:proofErr w:type="spellStart"/>
      <w:r w:rsidRPr="00F40F0E">
        <w:rPr>
          <w:rFonts w:ascii="Verdana" w:eastAsia="Calibri" w:hAnsi="Verdana" w:cs="Arial"/>
          <w:lang w:val="es-ES"/>
        </w:rPr>
        <w:t>ii</w:t>
      </w:r>
      <w:proofErr w:type="spellEnd"/>
      <w:r w:rsidRPr="00F40F0E">
        <w:rPr>
          <w:rFonts w:ascii="Verdana" w:eastAsia="Calibri" w:hAnsi="Verdana" w:cs="Arial"/>
          <w:lang w:val="es-ES"/>
        </w:rPr>
        <w:t xml:space="preserve">) patrimonios autónomos o </w:t>
      </w:r>
      <w:proofErr w:type="spellStart"/>
      <w:r w:rsidRPr="00F40F0E">
        <w:rPr>
          <w:rFonts w:ascii="Verdana" w:eastAsia="Calibri" w:hAnsi="Verdana" w:cs="Arial"/>
          <w:lang w:val="es-ES"/>
        </w:rPr>
        <w:t>iii</w:t>
      </w:r>
      <w:proofErr w:type="spellEnd"/>
      <w:r w:rsidRPr="00F40F0E">
        <w:rPr>
          <w:rFonts w:ascii="Verdana" w:eastAsia="Calibri" w:hAnsi="Verdana" w:cs="Arial"/>
          <w:lang w:val="es-ES"/>
        </w:rPr>
        <w:t xml:space="preserve">)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    </w:t>
      </w:r>
    </w:p>
    <w:p w14:paraId="46251B11" w14:textId="77777777" w:rsidR="009131CF" w:rsidRPr="00F40F0E" w:rsidRDefault="009131CF" w:rsidP="009131CF">
      <w:pPr>
        <w:tabs>
          <w:tab w:val="left" w:pos="0"/>
        </w:tabs>
        <w:spacing w:after="120" w:line="276" w:lineRule="auto"/>
        <w:jc w:val="both"/>
        <w:rPr>
          <w:rFonts w:ascii="Verdana" w:eastAsia="Calibri" w:hAnsi="Verdana" w:cs="Arial"/>
          <w:lang w:val="es-ES" w:eastAsia="es-ES"/>
        </w:rPr>
      </w:pPr>
      <w:r w:rsidRPr="00F40F0E">
        <w:rPr>
          <w:rFonts w:ascii="Verdana" w:eastAsia="Calibri" w:hAnsi="Verdana" w:cs="Arial"/>
          <w:bCs/>
          <w:lang w:val="es-ES_tradnl" w:eastAsia="es-ES_tradnl"/>
        </w:rPr>
        <w:tab/>
      </w:r>
      <w:r w:rsidRPr="00F40F0E">
        <w:rPr>
          <w:rFonts w:ascii="Verdana" w:eastAsia="Calibri" w:hAnsi="Verdana" w:cs="Arial"/>
          <w:lang w:val="es-ES" w:eastAsia="es-ES"/>
        </w:rPr>
        <w:t xml:space="preserve"> Sin perjuicio de lo anterior, solo es posible comprender los efectos de lo dispuesto en el artículo 56 de la </w:t>
      </w:r>
      <w:bookmarkStart w:id="11" w:name="_Hlk205276572"/>
      <w:r w:rsidRPr="00F40F0E">
        <w:rPr>
          <w:rFonts w:ascii="Verdana" w:eastAsia="Calibri" w:hAnsi="Verdana" w:cs="Arial"/>
          <w:lang w:val="es-ES" w:eastAsia="es-ES"/>
        </w:rPr>
        <w:t xml:space="preserve">Ley 2195 de 2022 </w:t>
      </w:r>
      <w:bookmarkEnd w:id="11"/>
      <w:r w:rsidRPr="00F40F0E">
        <w:rPr>
          <w:rFonts w:ascii="Verdana" w:eastAsia="Calibri" w:hAnsi="Verdana" w:cs="Arial"/>
          <w:lang w:val="es-ES" w:eastAsia="es-ES"/>
        </w:rPr>
        <w:t xml:space="preserve">cuando se interpretan en conjunto todos sus componentes. Esto comoquiera que, a lo anterior se le suman las implicaciones de lo ordenado por el segundo inciso de la norma en estudio cuando usa la expresión “los procedimientos de selección y contratos que realicen en desarrollo de los anteriores negocios jurídicos”, a los que se refiere el primer inciso, en los que, además de la aplicación de los Documentos Tipo, se dispone la aplicación del EGCAP. </w:t>
      </w:r>
    </w:p>
    <w:p w14:paraId="188C45A7" w14:textId="77777777" w:rsidR="009131CF" w:rsidRPr="00F40F0E" w:rsidRDefault="009131CF" w:rsidP="009131CF">
      <w:pPr>
        <w:tabs>
          <w:tab w:val="left" w:pos="0"/>
        </w:tabs>
        <w:spacing w:after="120" w:line="276" w:lineRule="auto"/>
        <w:jc w:val="both"/>
        <w:rPr>
          <w:rFonts w:ascii="Verdana" w:eastAsia="Calibri" w:hAnsi="Verdana" w:cs="Arial"/>
          <w:lang w:val="es-ES" w:eastAsia="es-ES"/>
        </w:rPr>
      </w:pPr>
      <w:r w:rsidRPr="00F40F0E">
        <w:rPr>
          <w:rFonts w:ascii="Verdana" w:eastAsia="Calibri" w:hAnsi="Verdana" w:cs="Arial"/>
          <w:lang w:val="es-ES" w:eastAsia="es-ES"/>
        </w:rPr>
        <w:lastRenderedPageBreak/>
        <w:tab/>
        <w:t xml:space="preserve">De acuerdo con esto, el cambio normativo que supone el artículo en comento no se agota con el mandato de aplicación obligatoria de los Documentos Tipo en los convenios o contratos que celebren las entidades estatales regidas por el EGCAP con otras entidades de régimen especial, patrimonios autónomos, personas naturales o jurídicas de derecho privado, pues, según se desprende del segundo inciso de la norma, esta además ordena la aplicación del EGCAP a los Procesos de Contratación que se adelanten y a los contratos que se celebren con ocasión de los contratos o convenios a los que se refiere el primer inciso. Esto significa que, ya sea una entidad estatal de régimen especial, un patrimonio autónomo o una persona natural o jurídica de derecho privado, en virtud de lo dispuesto en los incisos primero y segundo del artículo 56 </w:t>
      </w:r>
      <w:proofErr w:type="spellStart"/>
      <w:r w:rsidRPr="00F40F0E">
        <w:rPr>
          <w:rFonts w:ascii="Verdana" w:eastAsia="Calibri" w:hAnsi="Verdana" w:cs="Arial"/>
          <w:lang w:val="es-ES" w:eastAsia="es-ES"/>
        </w:rPr>
        <w:t>ejusdem</w:t>
      </w:r>
      <w:proofErr w:type="spellEnd"/>
      <w:r w:rsidRPr="00F40F0E">
        <w:rPr>
          <w:rFonts w:ascii="Verdana" w:eastAsia="Calibri" w:hAnsi="Verdana" w:cs="Arial"/>
          <w:lang w:val="es-ES" w:eastAsia="es-ES"/>
        </w:rPr>
        <w:t xml:space="preserve">, si, en efecto, deben subcontratar bienes, obras o servicios, en cumplimiento de un contrato o convenio interadministrativo o de cualquier otra índole, con una entidad estatal sometida a la Ley 80 de 1993, deberá adelantar el procedimiento de selección, así como celebrar el respectivo contrato, implementando los Documentos Tipo  y aplicando las disposiciones del EGCAP. </w:t>
      </w:r>
    </w:p>
    <w:p w14:paraId="5858CF6A" w14:textId="77777777" w:rsidR="009131CF" w:rsidRPr="00F40F0E" w:rsidRDefault="009131CF" w:rsidP="009131CF">
      <w:pPr>
        <w:tabs>
          <w:tab w:val="left" w:pos="0"/>
        </w:tabs>
        <w:spacing w:after="0" w:line="276" w:lineRule="auto"/>
        <w:jc w:val="both"/>
        <w:rPr>
          <w:rFonts w:ascii="Verdana" w:eastAsia="Calibri" w:hAnsi="Verdana" w:cs="Arial"/>
          <w:lang w:val="es-ES" w:eastAsia="es-ES"/>
        </w:rPr>
      </w:pPr>
      <w:r w:rsidRPr="00F40F0E">
        <w:rPr>
          <w:rFonts w:ascii="Arial" w:eastAsia="Calibri" w:hAnsi="Arial" w:cs="Arial"/>
          <w:bCs/>
          <w:color w:val="000000"/>
          <w:lang w:val="es-ES_tradnl"/>
        </w:rPr>
        <w:tab/>
      </w:r>
      <w:r w:rsidRPr="00F40F0E">
        <w:rPr>
          <w:rFonts w:ascii="Verdana" w:eastAsia="Calibri" w:hAnsi="Verdana" w:cs="Arial"/>
          <w:lang w:val="es-ES" w:eastAsia="es-ES"/>
        </w:rPr>
        <w:t xml:space="preserve">Esta, además, es la interpretación que se desprende de la justificación del proyecto normativo que se convirtió en la Ley 2195 de 2022, en la que, respecto de los contratos ejecutados por entidades de derecho privado, se refirió a la “[..] obligatoriedad de aplicar los Documentos Tipo, aun si son ejecutados con entidades de régimen especial”, como uno de los propósitos de la Ley.  Conforme se indica en la justificación jurídica del proyecto ley, este: </w:t>
      </w:r>
    </w:p>
    <w:p w14:paraId="6219F4BD" w14:textId="77777777" w:rsidR="009131CF" w:rsidRPr="00F40F0E" w:rsidRDefault="009131CF" w:rsidP="009131CF">
      <w:pPr>
        <w:tabs>
          <w:tab w:val="left" w:pos="0"/>
        </w:tabs>
        <w:spacing w:after="0" w:line="276" w:lineRule="auto"/>
        <w:jc w:val="both"/>
        <w:rPr>
          <w:rFonts w:ascii="Verdana" w:eastAsia="Calibri" w:hAnsi="Verdana" w:cs="Arial"/>
          <w:lang w:val="es-ES" w:eastAsia="es-ES"/>
        </w:rPr>
      </w:pPr>
    </w:p>
    <w:p w14:paraId="18CEF1B2" w14:textId="77777777" w:rsidR="009131CF" w:rsidRPr="003D37CE" w:rsidRDefault="009131CF" w:rsidP="009131CF">
      <w:pPr>
        <w:tabs>
          <w:tab w:val="left" w:pos="0"/>
        </w:tabs>
        <w:spacing w:after="0" w:line="240" w:lineRule="auto"/>
        <w:ind w:left="709" w:right="709"/>
        <w:jc w:val="both"/>
        <w:rPr>
          <w:rFonts w:ascii="Verdana" w:eastAsia="Calibri" w:hAnsi="Verdana" w:cs="Arial"/>
          <w:bCs/>
          <w:color w:val="000000"/>
          <w:sz w:val="21"/>
          <w:szCs w:val="21"/>
          <w:lang w:val="es-ES_tradnl"/>
        </w:rPr>
      </w:pPr>
      <w:r w:rsidRPr="003D37CE">
        <w:rPr>
          <w:rFonts w:ascii="Verdana" w:eastAsia="Calibri" w:hAnsi="Verdana" w:cs="Arial"/>
          <w:bCs/>
          <w:color w:val="000000"/>
          <w:sz w:val="21"/>
          <w:szCs w:val="21"/>
          <w:lang w:val="es-ES_tradnl"/>
        </w:rPr>
        <w:t>“[…] determina la aplicación de documentos tipo, en los términos del parágrafo 7 del artículo 2 de la Ley 1150 de 2007 o las normas que lo modifiquen o sustituyan, en los eventos en que entidades públicas sometidas al Estatuto General de Contratación de la Administración Pública celebren contratos o convenios interadministrativos o de cualquier otra índole con otras entidades estatales, patrimonios autónomos o personas naturales o jurídicas de derecho privado. Así mismo, se determina que los procedimientos de selección y los contratos realizados en dichos negocios jurídicos deben regirse por las normas de contratación pública”</w:t>
      </w:r>
      <w:r w:rsidRPr="003D37CE">
        <w:rPr>
          <w:rFonts w:ascii="Verdana" w:eastAsia="Calibri" w:hAnsi="Verdana" w:cs="Arial"/>
          <w:color w:val="000000"/>
          <w:sz w:val="21"/>
          <w:szCs w:val="21"/>
          <w:vertAlign w:val="superscript"/>
        </w:rPr>
        <w:footnoteReference w:id="34"/>
      </w:r>
      <w:r w:rsidRPr="003D37CE">
        <w:rPr>
          <w:rFonts w:ascii="Verdana" w:eastAsia="Calibri" w:hAnsi="Verdana" w:cs="Arial"/>
          <w:bCs/>
          <w:color w:val="000000"/>
          <w:sz w:val="21"/>
          <w:szCs w:val="21"/>
          <w:lang w:val="es-ES_tradnl"/>
        </w:rPr>
        <w:t xml:space="preserve">. </w:t>
      </w:r>
    </w:p>
    <w:p w14:paraId="561AF6E1" w14:textId="77777777" w:rsidR="009131CF" w:rsidRPr="00F40F0E" w:rsidRDefault="009131CF" w:rsidP="009131CF">
      <w:pPr>
        <w:tabs>
          <w:tab w:val="left" w:pos="0"/>
        </w:tabs>
        <w:spacing w:after="0" w:line="276" w:lineRule="auto"/>
        <w:jc w:val="both"/>
        <w:rPr>
          <w:rFonts w:ascii="Arial" w:eastAsia="Calibri" w:hAnsi="Arial" w:cs="Arial"/>
          <w:bCs/>
          <w:color w:val="000000"/>
          <w:lang w:val="es-ES_tradnl"/>
        </w:rPr>
      </w:pPr>
      <w:r w:rsidRPr="00F40F0E">
        <w:rPr>
          <w:rFonts w:ascii="Arial" w:eastAsia="Calibri" w:hAnsi="Arial" w:cs="Arial"/>
          <w:bCs/>
          <w:color w:val="000000"/>
          <w:lang w:val="es-ES_tradnl"/>
        </w:rPr>
        <w:tab/>
        <w:t xml:space="preserve"> </w:t>
      </w:r>
    </w:p>
    <w:p w14:paraId="637DFEF0" w14:textId="77777777" w:rsidR="009131CF" w:rsidRPr="00F40F0E" w:rsidRDefault="009131CF" w:rsidP="009131CF">
      <w:pPr>
        <w:spacing w:after="120" w:line="276" w:lineRule="auto"/>
        <w:jc w:val="both"/>
        <w:rPr>
          <w:rFonts w:ascii="Verdana" w:eastAsia="Calibri" w:hAnsi="Verdana" w:cs="Arial"/>
          <w:color w:val="000000"/>
          <w:lang w:val="es-ES"/>
        </w:rPr>
      </w:pPr>
      <w:r w:rsidRPr="00F40F0E">
        <w:rPr>
          <w:rFonts w:ascii="Arial" w:eastAsia="Calibri" w:hAnsi="Arial" w:cs="Arial"/>
          <w:bCs/>
          <w:color w:val="000000"/>
          <w:lang w:val="es-ES_tradnl"/>
        </w:rPr>
        <w:lastRenderedPageBreak/>
        <w:tab/>
      </w:r>
      <w:r w:rsidRPr="00F40F0E">
        <w:rPr>
          <w:rFonts w:ascii="Verdana" w:eastAsia="Calibri" w:hAnsi="Verdana" w:cs="Arial"/>
          <w:color w:val="000000"/>
          <w:lang w:val="es-ES"/>
        </w:rPr>
        <w:t xml:space="preserve">De lo anterior se evidencia que el propósito del legislador con la expedición de la norma objeto de consulta, tal como se ha explicado, es que las entidades estatales que tienen como régimen contractual el EGCAP no puedan eludir su aplicación, ni la de los Documentos Tipo que resulten obligatorios, celebrando convenios o contratos interadministrativo o de cualquier otra índole, con entidades exceptuadas o particulares sometidos al derecho privado, para que sean estos últimos quienes, en el marco de sus regímenes especiales o de derecho privado, realicen la subcontratación de los bienes, obras o servicios que demanda la entidad estatal, en una suerte de tercerización de la contratación. Lo anterior teniendo en cuenta que, a la luz de lo dispuesto en el artículo 56 de la Ley 2195 de 2022, tales entidades exceptuadas, patrimonios autónomos o particulares, que han suscrito convenios o contratos de cualquier índole con entidades sometidas al EGCAP, estarán obligadas a aplicar dicho estatuto para la subcontratación derivada de obras, bienes o servicios, siempre que exista Documentos Tipo en el sector en el que se adelanta la contratación.  </w:t>
      </w:r>
    </w:p>
    <w:p w14:paraId="73AA17EC" w14:textId="77777777" w:rsidR="009131CF" w:rsidRPr="00F40F0E" w:rsidRDefault="009131CF" w:rsidP="009131CF">
      <w:pPr>
        <w:spacing w:after="120" w:line="276" w:lineRule="auto"/>
        <w:ind w:firstLine="709"/>
        <w:jc w:val="both"/>
        <w:rPr>
          <w:rFonts w:ascii="Verdana" w:eastAsia="Calibri" w:hAnsi="Verdana" w:cs="Arial"/>
          <w:lang w:val="es-ES" w:eastAsia="es-ES"/>
        </w:rPr>
      </w:pPr>
      <w:r w:rsidRPr="00F40F0E">
        <w:rPr>
          <w:rFonts w:ascii="Verdana" w:eastAsia="Calibri" w:hAnsi="Verdana" w:cs="Arial"/>
          <w:lang w:val="es-ES" w:eastAsia="es-ES"/>
        </w:rPr>
        <w:t>En este punto es necesario analizar los efectos del artículo 56 de la Ley 2195 de 2022, respecto de lo dispuesto en el artículo 2, numeral 4, de la Ley 1150 de 2007, particularmente, de lo establecido en el tercer inciso del literal c). Lo anterior por cuanto esta norma, al establecer como causal de contratación directa la celebración de convenios o contratos interadministrativos regulaba la normativa aplicable a estos cuando el régimen prevalente de la entidad encargada de la ejecución no fuera el de la Ley 80 de 1993, casos en los que la norma imponía la aplicación de esta normativa, a menos que la entidad ejecutora desarrollara su actividad en competencia con el sector privado, o cuando la ejecución del contrato tuviere relación directa con el desarrollo de su actividad, eventos en los que se imponía el derecho privado.</w:t>
      </w:r>
    </w:p>
    <w:p w14:paraId="5F64B7A9" w14:textId="77777777" w:rsidR="009131CF" w:rsidRPr="00F40F0E" w:rsidRDefault="009131CF" w:rsidP="009131CF">
      <w:pPr>
        <w:spacing w:after="120" w:line="276" w:lineRule="auto"/>
        <w:ind w:firstLine="709"/>
        <w:jc w:val="both"/>
        <w:rPr>
          <w:rFonts w:ascii="Verdana" w:eastAsia="Calibri" w:hAnsi="Verdana" w:cs="Arial"/>
          <w:lang w:val="es-ES" w:eastAsia="es-ES"/>
        </w:rPr>
      </w:pPr>
      <w:r w:rsidRPr="00F40F0E">
        <w:rPr>
          <w:rFonts w:ascii="Verdana" w:eastAsia="Calibri" w:hAnsi="Verdana" w:cs="Arial"/>
          <w:lang w:val="es-ES" w:eastAsia="es-ES"/>
        </w:rPr>
        <w:t xml:space="preserve"> En ese sentido, en este último evento el tercer inciso del literal c) del artículo 2, numeral 4 de la Ley 1150 de 2007 daba pie a la aplicación de normas de derecho privado, lo que evidencia una supuesta o aparente tensión entre este y el artículo 56 de la Ley 2195 de 2022, en lo que se refiere al régimen aplicable en estas situaciones, comoquiera que, en estos eventos, al tenor de criterios interpretativos aplicados a lo dispuesto en esta última norma, se entendía que debía aplicarse el EGCAP y los Documentos Tipo. </w:t>
      </w:r>
    </w:p>
    <w:p w14:paraId="35E6C335" w14:textId="77777777" w:rsidR="009131CF" w:rsidRPr="00F40F0E" w:rsidRDefault="009131CF" w:rsidP="009131CF">
      <w:pPr>
        <w:spacing w:after="120" w:line="276" w:lineRule="auto"/>
        <w:jc w:val="both"/>
        <w:rPr>
          <w:rFonts w:ascii="Verdana" w:eastAsia="Calibri" w:hAnsi="Verdana" w:cs="Arial"/>
          <w:lang w:val="es-ES" w:eastAsia="es-ES"/>
        </w:rPr>
      </w:pPr>
      <w:r w:rsidRPr="00F40F0E">
        <w:rPr>
          <w:rFonts w:ascii="Verdana" w:eastAsia="Calibri" w:hAnsi="Verdana" w:cs="Arial"/>
          <w:bCs/>
          <w:lang w:val="es-ES_tradnl" w:eastAsia="es-ES_tradnl"/>
        </w:rPr>
        <w:tab/>
      </w:r>
      <w:r w:rsidRPr="00F40F0E">
        <w:rPr>
          <w:rFonts w:ascii="Verdana" w:eastAsia="Calibri" w:hAnsi="Verdana" w:cs="Arial"/>
          <w:lang w:val="es-ES" w:eastAsia="es-ES"/>
        </w:rPr>
        <w:t xml:space="preserve">Lo anterior suponía una antinomia entre el literal c) del artículo 2, numeral 4, de la Ley 1150 de 2007 y el artículo 56 de la Ley 2195 de 2022, en la medida </w:t>
      </w:r>
      <w:r w:rsidRPr="00F40F0E">
        <w:rPr>
          <w:rFonts w:ascii="Verdana" w:eastAsia="Calibri" w:hAnsi="Verdana" w:cs="Arial"/>
          <w:lang w:val="es-ES" w:eastAsia="es-ES"/>
        </w:rPr>
        <w:lastRenderedPageBreak/>
        <w:t>en que para un mismo supuesto de hecho –la celebración de un convenio interadministrativo entre una entidad sometida al EGCAP y otra exceptuada, en la que la última es la ejecutora y desarrolla su actividad en competencia con el sector privado–, se establecían diferentes consecuencias jurídicas, ya que mientras que la primera norma dispone la aplicación del derecho privado, la última impone la aplicación de Documentos Tipo y del EGCAP. Esta aparente contradicción, como se expuso en el numeral anterior, debe ser resuelta en favor del artículo 56 de la Ley 2195 de 2022.</w:t>
      </w:r>
    </w:p>
    <w:p w14:paraId="70DBA8E9" w14:textId="77777777" w:rsidR="009131CF" w:rsidRPr="00F40F0E" w:rsidRDefault="009131CF" w:rsidP="009131CF">
      <w:pPr>
        <w:tabs>
          <w:tab w:val="left" w:pos="0"/>
        </w:tabs>
        <w:spacing w:after="120" w:line="276" w:lineRule="auto"/>
        <w:jc w:val="both"/>
        <w:rPr>
          <w:rFonts w:ascii="Verdana" w:eastAsia="Calibri" w:hAnsi="Verdana" w:cs="Arial"/>
          <w:bCs/>
          <w:lang w:val="es-ES_tradnl" w:eastAsia="es-ES_tradnl"/>
        </w:rPr>
      </w:pPr>
      <w:r w:rsidRPr="00F40F0E">
        <w:rPr>
          <w:rFonts w:ascii="Verdana" w:eastAsia="Calibri" w:hAnsi="Verdana" w:cs="Arial"/>
          <w:bCs/>
          <w:lang w:val="es-ES_tradnl" w:eastAsia="es-ES_tradnl"/>
        </w:rPr>
        <w:tab/>
        <w:t xml:space="preserve">En efecto, tratándose de disposiciones de igual jerarquía normativa –ambas son leyes ordinarias–, que coinciden en su ámbito de aplicación, debe colegirse que, en lo que respecta al régimen aplicable a los contratos con entidades exceptuadas ejecutoras de contratos o convenios interadministrativos, que desarrollen su actividad en competencia con el sector privado, el artículo 56 de la Ley 2195 de 2022 supuso una modificación tácita del artículo 2, numeral 4, literal c), de la Ley 1150 de 2007. </w:t>
      </w:r>
    </w:p>
    <w:p w14:paraId="35EBD89F" w14:textId="77777777" w:rsidR="009131CF" w:rsidRPr="00F40F0E" w:rsidRDefault="009131CF" w:rsidP="009131CF">
      <w:pPr>
        <w:spacing w:after="120" w:line="276" w:lineRule="auto"/>
        <w:jc w:val="both"/>
        <w:rPr>
          <w:rFonts w:ascii="Verdana" w:eastAsia="Calibri" w:hAnsi="Verdana" w:cs="Arial"/>
          <w:lang w:val="es-ES" w:eastAsia="es-ES"/>
        </w:rPr>
      </w:pPr>
      <w:r w:rsidRPr="00F40F0E">
        <w:rPr>
          <w:rFonts w:ascii="Verdana" w:eastAsia="Calibri" w:hAnsi="Verdana" w:cs="Arial"/>
          <w:bCs/>
          <w:lang w:val="es-ES_tradnl" w:eastAsia="es-ES_tradnl"/>
        </w:rPr>
        <w:tab/>
      </w:r>
      <w:r w:rsidRPr="00F40F0E">
        <w:rPr>
          <w:rFonts w:ascii="Verdana" w:eastAsia="Calibri" w:hAnsi="Verdana" w:cs="Arial"/>
          <w:lang w:val="es-ES" w:eastAsia="es-ES"/>
        </w:rPr>
        <w:t xml:space="preserve">En tales términos, de lo analizado hasta aquí es posible concluir que el efecto principal de la norma bajo estudio es la ampliación de los Documentos Tipo, al hacerlos obligatorios frente a unos sujetos que, en principio, de acuerdo con la Ley 2022 de 2020 y el literal c) del numeral 4 del artículo 2 de la Ley 1150 de 2007, no estarían sometidos a esos documentos. Para complementar esta medida, la disposición además hace extensiva la aplicación del EGCAP a estos sujetos que, en virtud de su naturaleza jurídica, tienen, como regla general, un régimen de contratación diferente, tales como las entidades exceptuadas, los patrimonios autónomos y las personas naturales y jurídicas de derecho privado, a los que expresamente hace alusión el artículo 56. De esta forma, independientemente de que el inciso tercero del literal c) del artículo 2, numeral 4, de la Ley 1150 de 2007 parezca indicar que se debe aplicar el derecho privado, por ser este el régimen que por regla general aplica la entidad ejecutora, tratándose de objetos cobijados por Documentos Tipo, los mismos deberán ser contratados aplicando tales Pliegos Tipo y las disposiciones del EGCAP, por efecto del artículo 56 de la Ley 2195 de 2022.  </w:t>
      </w:r>
      <w:r w:rsidRPr="00F40F0E">
        <w:rPr>
          <w:rFonts w:ascii="Verdana" w:eastAsia="Calibri" w:hAnsi="Verdana" w:cs="Arial"/>
          <w:bCs/>
          <w:highlight w:val="yellow"/>
          <w:lang w:val="es-ES_tradnl" w:eastAsia="es-ES_tradnl"/>
        </w:rPr>
        <w:t xml:space="preserve"> </w:t>
      </w:r>
    </w:p>
    <w:p w14:paraId="33E22DD8" w14:textId="77777777" w:rsidR="009131CF" w:rsidRPr="00F40F0E" w:rsidRDefault="009131CF" w:rsidP="009131CF">
      <w:pPr>
        <w:tabs>
          <w:tab w:val="left" w:pos="0"/>
        </w:tabs>
        <w:spacing w:after="120" w:line="276" w:lineRule="auto"/>
        <w:ind w:firstLine="709"/>
        <w:jc w:val="both"/>
        <w:rPr>
          <w:rFonts w:ascii="Arial" w:eastAsia="Calibri" w:hAnsi="Arial" w:cs="Arial"/>
          <w:bCs/>
          <w:lang w:val="es-ES_tradnl"/>
        </w:rPr>
      </w:pPr>
      <w:r w:rsidRPr="00F40F0E">
        <w:rPr>
          <w:rFonts w:ascii="Verdana" w:eastAsia="Calibri" w:hAnsi="Verdana" w:cs="Arial"/>
          <w:color w:val="000000"/>
        </w:rPr>
        <w:t xml:space="preserve">En este contexto, </w:t>
      </w:r>
      <w:r w:rsidRPr="00F40F0E">
        <w:rPr>
          <w:rFonts w:ascii="Verdana" w:eastAsia="Calibri" w:hAnsi="Verdana" w:cs="Arial"/>
          <w:bCs/>
          <w:lang w:val="es-ES_tradnl" w:eastAsia="es-ES_tradnl"/>
        </w:rPr>
        <w:t>de la lectura conjunta de los incisos primero y segundo</w:t>
      </w:r>
      <w:r w:rsidRPr="00F40F0E">
        <w:rPr>
          <w:rFonts w:ascii="Verdana" w:eastAsia="Calibri" w:hAnsi="Verdana" w:cs="Arial"/>
          <w:bCs/>
          <w:lang w:eastAsia="es-ES_tradnl"/>
        </w:rPr>
        <w:t xml:space="preserve"> del artículo 56 de la Ley 2195 de 2022,</w:t>
      </w:r>
      <w:r w:rsidRPr="00F40F0E">
        <w:rPr>
          <w:rFonts w:ascii="Verdana" w:eastAsia="Calibri" w:hAnsi="Verdana" w:cs="Arial"/>
          <w:bCs/>
          <w:lang w:val="es-ES_tradnl" w:eastAsia="es-ES_tradnl"/>
        </w:rPr>
        <w:t xml:space="preserve"> se desprende que </w:t>
      </w:r>
      <w:r w:rsidRPr="00F40F0E">
        <w:rPr>
          <w:rFonts w:ascii="Verdana" w:eastAsia="Calibri" w:hAnsi="Verdana" w:cs="Arial"/>
          <w:bCs/>
          <w:lang w:eastAsia="es-ES_tradnl"/>
        </w:rPr>
        <w:t xml:space="preserve">cuando se celebre un contrato o convenio interadministrativo o de cualquier otra índole entre una entidad sometida al EGCAP y los sujetos allí mencionados, del cual se derive la </w:t>
      </w:r>
      <w:r w:rsidRPr="00F40F0E">
        <w:rPr>
          <w:rFonts w:ascii="Verdana" w:eastAsia="Calibri" w:hAnsi="Verdana" w:cs="Arial"/>
          <w:bCs/>
          <w:lang w:eastAsia="es-ES_tradnl"/>
        </w:rPr>
        <w:lastRenderedPageBreak/>
        <w:t>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F40F0E">
        <w:rPr>
          <w:rFonts w:ascii="Arial" w:eastAsia="Calibri" w:hAnsi="Arial" w:cs="Arial"/>
          <w:bCs/>
          <w:lang w:val="es-ES_tradnl"/>
        </w:rPr>
        <w:t xml:space="preserve"> </w:t>
      </w:r>
      <w:r w:rsidRPr="00F40F0E">
        <w:rPr>
          <w:rFonts w:ascii="Verdana" w:eastAsia="Calibri" w:hAnsi="Verdana" w:cs="Arial"/>
          <w:bCs/>
          <w:lang w:val="es-ES_tradnl"/>
        </w:rPr>
        <w:t xml:space="preserve">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07058865" w14:textId="77777777" w:rsidR="009131CF" w:rsidRPr="00F40F0E" w:rsidRDefault="009131CF" w:rsidP="009131CF">
      <w:pPr>
        <w:tabs>
          <w:tab w:val="left" w:pos="0"/>
        </w:tabs>
        <w:spacing w:after="120" w:line="276" w:lineRule="auto"/>
        <w:ind w:firstLine="709"/>
        <w:jc w:val="both"/>
        <w:rPr>
          <w:rFonts w:ascii="Verdana" w:eastAsia="Calibri" w:hAnsi="Verdana" w:cs="Arial"/>
          <w:bCs/>
          <w:color w:val="000000"/>
          <w:lang w:val="es-ES_tradnl" w:eastAsia="es-ES_tradnl"/>
        </w:rPr>
      </w:pPr>
      <w:r w:rsidRPr="00F40F0E">
        <w:rPr>
          <w:rFonts w:ascii="Verdana" w:eastAsia="Calibri" w:hAnsi="Verdana" w:cs="Arial"/>
          <w:bCs/>
          <w:lang w:val="es-ES_tradnl" w:eastAsia="es-ES_tradnl"/>
        </w:rPr>
        <w:t>Sin perjuicio de lo anterior</w:t>
      </w:r>
      <w:r w:rsidRPr="00F40F0E">
        <w:rPr>
          <w:rFonts w:ascii="Verdana" w:eastAsia="Times New Roman" w:hAnsi="Verdana" w:cs="Arial"/>
          <w:lang w:eastAsia="es-ES_tradnl"/>
        </w:rPr>
        <w:t xml:space="preserve">, </w:t>
      </w:r>
      <w:r w:rsidRPr="00F40F0E">
        <w:rPr>
          <w:rFonts w:ascii="Verdana" w:eastAsia="Calibri" w:hAnsi="Verdana" w:cs="Arial"/>
          <w:bCs/>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F40F0E">
        <w:rPr>
          <w:rFonts w:ascii="Verdana" w:eastAsia="Calibri" w:hAnsi="Verdana" w:cs="Arial"/>
          <w:bCs/>
          <w:i/>
          <w:iCs/>
          <w:lang w:val="es-ES_tradnl" w:eastAsia="es-ES_tradnl"/>
        </w:rPr>
        <w:t>giro ordinario</w:t>
      </w:r>
      <w:r w:rsidRPr="00F40F0E">
        <w:rPr>
          <w:rFonts w:ascii="Verdana" w:eastAsia="Calibri" w:hAnsi="Verdana" w:cs="Arial"/>
          <w:bCs/>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F40F0E">
        <w:rPr>
          <w:rFonts w:ascii="Verdana" w:eastAsia="Calibri" w:hAnsi="Verdana" w:cs="Arial"/>
          <w:bCs/>
          <w:lang w:val="es-ES_tradnl" w:eastAsia="es-ES_tradnl"/>
        </w:rPr>
        <w:t>ii</w:t>
      </w:r>
      <w:proofErr w:type="spellEnd"/>
      <w:r w:rsidRPr="00F40F0E">
        <w:rPr>
          <w:rFonts w:ascii="Verdana" w:eastAsia="Calibri" w:hAnsi="Verdana" w:cs="Arial"/>
          <w:bCs/>
          <w:lang w:val="es-ES_tradnl" w:eastAsia="es-ES_tradnl"/>
        </w:rPr>
        <w:t xml:space="preserve">) las empresas sociales del Estado, </w:t>
      </w:r>
      <w:proofErr w:type="spellStart"/>
      <w:r w:rsidRPr="00F40F0E">
        <w:rPr>
          <w:rFonts w:ascii="Verdana" w:eastAsia="Calibri" w:hAnsi="Verdana" w:cs="Arial"/>
          <w:bCs/>
          <w:lang w:val="es-ES_tradnl" w:eastAsia="es-ES_tradnl"/>
        </w:rPr>
        <w:t>iii</w:t>
      </w:r>
      <w:proofErr w:type="spellEnd"/>
      <w:r w:rsidRPr="00F40F0E">
        <w:rPr>
          <w:rFonts w:ascii="Verdana" w:eastAsia="Calibri" w:hAnsi="Verdana" w:cs="Arial"/>
          <w:bCs/>
          <w:lang w:val="es-ES_tradnl" w:eastAsia="es-ES_tradnl"/>
        </w:rPr>
        <w:t xml:space="preserve">) las sociedades de economía mixta y </w:t>
      </w:r>
      <w:proofErr w:type="spellStart"/>
      <w:r w:rsidRPr="00F40F0E">
        <w:rPr>
          <w:rFonts w:ascii="Verdana" w:eastAsia="Calibri" w:hAnsi="Verdana" w:cs="Arial"/>
          <w:bCs/>
          <w:lang w:val="es-ES_tradnl" w:eastAsia="es-ES_tradnl"/>
        </w:rPr>
        <w:t>iv</w:t>
      </w:r>
      <w:proofErr w:type="spellEnd"/>
      <w:r w:rsidRPr="00F40F0E">
        <w:rPr>
          <w:rFonts w:ascii="Verdana" w:eastAsia="Calibri" w:hAnsi="Verdana" w:cs="Arial"/>
          <w:bCs/>
          <w:lang w:val="es-ES_tradnl" w:eastAsia="es-ES_tradnl"/>
        </w:rPr>
        <w:t xml:space="preserve">) las empresas industriales y comerciales del Estado, únicamente, en la contratación relacionada con el </w:t>
      </w:r>
      <w:r w:rsidRPr="00F40F0E">
        <w:rPr>
          <w:rFonts w:ascii="Verdana" w:eastAsia="Calibri" w:hAnsi="Verdana" w:cs="Arial"/>
          <w:bCs/>
          <w:i/>
          <w:iCs/>
          <w:lang w:val="es-ES_tradnl" w:eastAsia="es-ES_tradnl"/>
        </w:rPr>
        <w:t>giro ordinario.</w:t>
      </w:r>
      <w:r w:rsidRPr="00F40F0E">
        <w:rPr>
          <w:rFonts w:ascii="Verdana" w:eastAsia="Calibri" w:hAnsi="Verdana" w:cs="Arial"/>
          <w:bCs/>
          <w:lang w:val="es-ES_tradnl" w:eastAsia="es-ES_tradnl"/>
        </w:rPr>
        <w:t xml:space="preserve"> Esto significa que, en la contratación asociada a su </w:t>
      </w:r>
      <w:r w:rsidRPr="00F40F0E">
        <w:rPr>
          <w:rFonts w:ascii="Verdana" w:eastAsia="Calibri" w:hAnsi="Verdana" w:cs="Arial"/>
          <w:bCs/>
          <w:i/>
          <w:iCs/>
          <w:lang w:val="es-ES_tradnl" w:eastAsia="es-ES_tradnl"/>
        </w:rPr>
        <w:t xml:space="preserve">giro ordinario, </w:t>
      </w:r>
      <w:r w:rsidRPr="00F40F0E">
        <w:rPr>
          <w:rFonts w:ascii="Verdana" w:eastAsia="Calibri" w:hAnsi="Verdana" w:cs="Arial"/>
          <w:bCs/>
          <w:lang w:val="es-ES_tradnl" w:eastAsia="es-ES_tradnl"/>
        </w:rPr>
        <w:t>estos tipos de entidades no tendrían que aplicar, de manera obligatoria, los Documentos Tipo, ni tampoco el EGCAP.</w:t>
      </w:r>
      <w:r w:rsidRPr="00F40F0E">
        <w:rPr>
          <w:rFonts w:ascii="Verdana" w:eastAsia="Times New Roman" w:hAnsi="Verdana" w:cs="Arial"/>
          <w:lang w:eastAsia="es-ES_tradnl"/>
        </w:rPr>
        <w:t xml:space="preserve"> </w:t>
      </w:r>
      <w:r w:rsidRPr="00F40F0E">
        <w:rPr>
          <w:rFonts w:ascii="Verdana" w:eastAsia="Calibri" w:hAnsi="Verdana" w:cs="Arial"/>
          <w:bCs/>
          <w:lang w:val="es-ES_tradnl" w:eastAsia="es-ES_tradnl"/>
        </w:rPr>
        <w:t>En este caso, la norma se limita a fomentar la implementación de Documentos Tipo a modo de buena práctica contractual, en los casos en los que se estime conveniente.</w:t>
      </w:r>
      <w:r w:rsidRPr="00F40F0E">
        <w:rPr>
          <w:rFonts w:ascii="Verdana" w:eastAsia="Calibri" w:hAnsi="Verdana" w:cs="Arial"/>
          <w:bCs/>
          <w:color w:val="000000"/>
          <w:lang w:val="es-ES_tradnl" w:eastAsia="es-ES_tradnl"/>
        </w:rPr>
        <w:t xml:space="preserve"> </w:t>
      </w:r>
    </w:p>
    <w:p w14:paraId="7A4E44C2" w14:textId="77777777" w:rsidR="009131CF" w:rsidRPr="00F40F0E" w:rsidRDefault="009131CF" w:rsidP="009131CF">
      <w:pPr>
        <w:tabs>
          <w:tab w:val="left" w:pos="0"/>
        </w:tabs>
        <w:spacing w:after="120" w:line="276" w:lineRule="auto"/>
        <w:ind w:firstLine="709"/>
        <w:jc w:val="both"/>
        <w:rPr>
          <w:rFonts w:ascii="Verdana" w:eastAsia="Arial" w:hAnsi="Verdana" w:cs="Arial"/>
          <w:lang w:val="es-ES_tradnl" w:eastAsia="es-ES_tradnl"/>
        </w:rPr>
      </w:pPr>
      <w:r w:rsidRPr="00F40F0E">
        <w:rPr>
          <w:rFonts w:ascii="Verdana" w:eastAsia="Calibri" w:hAnsi="Verdana" w:cs="Arial"/>
          <w:bCs/>
          <w:lang w:val="es-ES_tradnl" w:eastAsia="es-ES_tradnl"/>
        </w:rPr>
        <w:t xml:space="preserve">Es importante tener en cuenta que cuando la norma se refiere a la contratación del </w:t>
      </w:r>
      <w:r w:rsidRPr="00F40F0E">
        <w:rPr>
          <w:rFonts w:ascii="Verdana" w:eastAsia="Calibri" w:hAnsi="Verdana" w:cs="Arial"/>
          <w:bCs/>
          <w:i/>
          <w:iCs/>
          <w:lang w:val="es-ES_tradnl" w:eastAsia="es-ES_tradnl"/>
        </w:rPr>
        <w:t>giro ordinario</w:t>
      </w:r>
      <w:r w:rsidRPr="00F40F0E">
        <w:rPr>
          <w:rFonts w:ascii="Verdana" w:eastAsia="Calibri" w:hAnsi="Verdana" w:cs="Arial"/>
          <w:bCs/>
          <w:lang w:val="es-ES_tradnl" w:eastAsia="es-ES_tradnl"/>
        </w:rPr>
        <w:t>, emplea un concepto jurídico indeterminado</w:t>
      </w:r>
      <w:r w:rsidRPr="00F40F0E">
        <w:rPr>
          <w:rFonts w:ascii="Verdana" w:eastAsia="Calibri" w:hAnsi="Verdana" w:cs="Arial"/>
          <w:vertAlign w:val="superscript"/>
          <w:lang w:eastAsia="es-ES_tradnl"/>
        </w:rPr>
        <w:footnoteReference w:id="35"/>
      </w:r>
      <w:r w:rsidRPr="00F40F0E">
        <w:rPr>
          <w:rFonts w:ascii="Verdana" w:eastAsia="Calibri" w:hAnsi="Verdana" w:cs="Arial"/>
          <w:bCs/>
          <w:lang w:val="es-ES_tradnl" w:eastAsia="es-ES_tradnl"/>
        </w:rPr>
        <w:t xml:space="preserve">. </w:t>
      </w:r>
      <w:r w:rsidRPr="00F40F0E">
        <w:rPr>
          <w:rFonts w:ascii="Verdana" w:eastAsia="Arial" w:hAnsi="Verdana" w:cs="Arial"/>
          <w:lang w:val="es-ES_tradnl" w:eastAsia="es-ES_tradnl"/>
        </w:rPr>
        <w:t xml:space="preserve">Un concepto adquiere esta denominación 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Por ejemplo, no podrán considerar que cualquier contrato que celebren hace parte del </w:t>
      </w:r>
      <w:r w:rsidRPr="00F40F0E">
        <w:rPr>
          <w:rFonts w:ascii="Verdana" w:eastAsia="Arial" w:hAnsi="Verdana" w:cs="Arial"/>
          <w:i/>
          <w:iCs/>
          <w:lang w:val="es-ES_tradnl" w:eastAsia="es-ES_tradnl"/>
        </w:rPr>
        <w:t>giro ordinario</w:t>
      </w:r>
      <w:r w:rsidRPr="00F40F0E">
        <w:rPr>
          <w:rFonts w:ascii="Verdana" w:eastAsia="Arial" w:hAnsi="Verdana" w:cs="Arial"/>
          <w:lang w:val="es-ES_tradnl" w:eastAsia="es-ES_tradnl"/>
        </w:rPr>
        <w:t xml:space="preserve"> de sus negocios. </w:t>
      </w:r>
    </w:p>
    <w:p w14:paraId="27B0BDEA" w14:textId="77777777" w:rsidR="009131CF" w:rsidRPr="00F40F0E" w:rsidRDefault="009131CF" w:rsidP="009131CF">
      <w:pPr>
        <w:tabs>
          <w:tab w:val="left" w:pos="0"/>
        </w:tabs>
        <w:spacing w:after="120" w:line="276" w:lineRule="auto"/>
        <w:ind w:firstLine="709"/>
        <w:jc w:val="both"/>
        <w:rPr>
          <w:rFonts w:ascii="Verdana" w:eastAsia="Calibri" w:hAnsi="Verdana" w:cs="Arial"/>
          <w:bCs/>
          <w:lang w:val="es-ES_tradnl" w:eastAsia="es-ES_tradnl"/>
        </w:rPr>
      </w:pPr>
      <w:r w:rsidRPr="00F40F0E">
        <w:rPr>
          <w:rFonts w:ascii="Verdana" w:eastAsia="Arial" w:hAnsi="Verdana" w:cs="Arial"/>
          <w:lang w:val="es-ES_tradnl" w:eastAsia="es-ES_tradnl"/>
        </w:rPr>
        <w:lastRenderedPageBreak/>
        <w:t>La Corte Constitucional</w:t>
      </w:r>
      <w:r w:rsidRPr="00F40F0E">
        <w:rPr>
          <w:rFonts w:ascii="Verdana" w:eastAsia="Arial" w:hAnsi="Verdana" w:cs="Arial"/>
          <w:vertAlign w:val="superscript"/>
          <w:lang w:eastAsia="es-ES_tradnl"/>
        </w:rPr>
        <w:footnoteReference w:id="36"/>
      </w:r>
      <w:r w:rsidRPr="00F40F0E">
        <w:rPr>
          <w:rFonts w:ascii="Verdana" w:eastAsia="Arial" w:hAnsi="Verdana" w:cs="Arial"/>
          <w:lang w:val="es-ES_tradnl" w:eastAsia="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r w:rsidRPr="00F40F0E">
        <w:rPr>
          <w:rFonts w:ascii="Verdana" w:eastAsia="Calibri" w:hAnsi="Verdana" w:cs="Arial"/>
          <w:bCs/>
          <w:lang w:val="es-ES_tradnl" w:eastAsia="es-ES_tradnl"/>
        </w:rPr>
        <w:t xml:space="preserve"> </w:t>
      </w:r>
    </w:p>
    <w:p w14:paraId="4272822A" w14:textId="77777777" w:rsidR="009131CF" w:rsidRPr="00F40F0E" w:rsidRDefault="009131CF" w:rsidP="009131CF">
      <w:pPr>
        <w:tabs>
          <w:tab w:val="left" w:pos="0"/>
        </w:tabs>
        <w:spacing w:after="0" w:line="276" w:lineRule="auto"/>
        <w:ind w:firstLine="709"/>
        <w:jc w:val="both"/>
        <w:rPr>
          <w:rFonts w:ascii="Verdana" w:eastAsia="Calibri" w:hAnsi="Verdana" w:cs="Arial"/>
          <w:bCs/>
          <w:lang w:val="es-ES_tradnl" w:eastAsia="es-ES_tradnl"/>
        </w:rPr>
      </w:pPr>
      <w:r w:rsidRPr="00F40F0E">
        <w:rPr>
          <w:rFonts w:ascii="Verdana" w:eastAsia="Calibri" w:hAnsi="Verdana" w:cs="Arial"/>
          <w:bCs/>
          <w:lang w:val="es-ES_tradnl" w:eastAsia="es-ES_tradnl"/>
        </w:rPr>
        <w:t xml:space="preserve">Aunque, como se indicó, la expresión giro ordinario de los negocios es un concepto jurídico indeterminado, el Consejo de Estado ha tenido la oportunidad de pronunciarse en distintas ocasiones sobre su alcance, estableciendo algunos criterios de interpretación. En su momento, en relación con el alcance de la expresión </w:t>
      </w:r>
      <w:r w:rsidRPr="00F40F0E">
        <w:rPr>
          <w:rFonts w:ascii="Verdana" w:eastAsia="Calibri" w:hAnsi="Verdana" w:cs="Arial"/>
          <w:bCs/>
          <w:i/>
          <w:iCs/>
          <w:lang w:val="es-ES_tradnl" w:eastAsia="es-ES_tradnl"/>
        </w:rPr>
        <w:t xml:space="preserve">giro ordinario </w:t>
      </w:r>
      <w:r w:rsidRPr="00F40F0E">
        <w:rPr>
          <w:rFonts w:ascii="Verdana" w:eastAsia="Calibri" w:hAnsi="Verdana" w:cs="Arial"/>
          <w:bCs/>
          <w:lang w:val="es-ES_tradnl" w:eastAsia="es-ES_tradnl"/>
        </w:rPr>
        <w:t>incluida en la redacción original del parágrafo 1° del artículo 32 de la Ley 80 de 1993</w:t>
      </w:r>
      <w:r w:rsidRPr="00F40F0E">
        <w:rPr>
          <w:rFonts w:ascii="Verdana" w:eastAsia="Calibri" w:hAnsi="Verdana" w:cs="Arial"/>
          <w:vertAlign w:val="superscript"/>
          <w:lang w:eastAsia="es-ES_tradnl"/>
        </w:rPr>
        <w:footnoteReference w:id="37"/>
      </w:r>
      <w:r w:rsidRPr="00F40F0E">
        <w:rPr>
          <w:rFonts w:ascii="Verdana" w:eastAsia="Calibri" w:hAnsi="Verdana" w:cs="Arial"/>
          <w:bCs/>
          <w:lang w:val="es-ES_tradnl" w:eastAsia="es-ES_tradnl"/>
        </w:rPr>
        <w:t xml:space="preserve">, la Sección Tercera manifestó lo siguiente: </w:t>
      </w:r>
    </w:p>
    <w:p w14:paraId="3DF85C06" w14:textId="77777777" w:rsidR="009131CF" w:rsidRPr="00F40F0E" w:rsidRDefault="009131CF" w:rsidP="009131CF">
      <w:pPr>
        <w:tabs>
          <w:tab w:val="left" w:pos="0"/>
        </w:tabs>
        <w:spacing w:after="0" w:line="276" w:lineRule="auto"/>
        <w:jc w:val="both"/>
        <w:rPr>
          <w:rFonts w:ascii="Verdana" w:eastAsia="Calibri" w:hAnsi="Verdana" w:cs="Arial"/>
          <w:bCs/>
          <w:lang w:val="es-ES_tradnl" w:eastAsia="es-ES_tradnl"/>
        </w:rPr>
      </w:pPr>
    </w:p>
    <w:p w14:paraId="7BEF390E" w14:textId="77777777" w:rsidR="009131CF" w:rsidRPr="003D37CE" w:rsidRDefault="009131CF" w:rsidP="009131CF">
      <w:pPr>
        <w:spacing w:after="0" w:line="240" w:lineRule="auto"/>
        <w:ind w:left="709" w:right="709"/>
        <w:jc w:val="both"/>
        <w:rPr>
          <w:rFonts w:ascii="Verdana" w:eastAsia="Times New Roman" w:hAnsi="Verdana" w:cs="Arial"/>
          <w:sz w:val="21"/>
          <w:szCs w:val="21"/>
          <w:lang w:val="es-ES_tradnl" w:eastAsia="es-CO"/>
        </w:rPr>
      </w:pPr>
      <w:r w:rsidRPr="003D37CE">
        <w:rPr>
          <w:rFonts w:ascii="Verdana" w:eastAsia="Times New Roman" w:hAnsi="Verdana" w:cs="Arial"/>
          <w:sz w:val="21"/>
          <w:szCs w:val="21"/>
          <w:lang w:val="es-ES_tradnl" w:eastAsia="es-ES_tradnl"/>
        </w:rPr>
        <w:t xml:space="preserve">“[E]l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en el objeto de la sociedad. </w:t>
      </w:r>
      <w:proofErr w:type="gramStart"/>
      <w:r w:rsidRPr="003D37CE">
        <w:rPr>
          <w:rFonts w:ascii="Verdana" w:eastAsia="Times New Roman" w:hAnsi="Verdana" w:cs="Arial"/>
          <w:sz w:val="21"/>
          <w:szCs w:val="21"/>
          <w:lang w:val="es-ES_tradnl" w:eastAsia="es-ES_tradnl"/>
        </w:rPr>
        <w:t>Siendo</w:t>
      </w:r>
      <w:proofErr w:type="gramEnd"/>
      <w:r w:rsidRPr="003D37CE">
        <w:rPr>
          <w:rFonts w:ascii="Verdana" w:eastAsia="Times New Roman" w:hAnsi="Verdana" w:cs="Arial"/>
          <w:sz w:val="21"/>
          <w:szCs w:val="21"/>
          <w:lang w:val="es-ES_tradnl" w:eastAsia="es-ES_tradnl"/>
        </w:rPr>
        <w:t xml:space="preserve"> así las cosas, resulta que el concepto “giro ordinario de las actividades” […], hace relación tanto a las actividades o negocios realizados en cumplimiento del objeto social o de las funciones principales, expresamente definidas por la Ley, como también a todo aquello que es conexo con ellas y que se realiza para desarrollar la función principal, estableciéndose entre estos una relación de medio a fin, estrecha y complementaria”</w:t>
      </w:r>
      <w:r w:rsidRPr="003D37CE">
        <w:rPr>
          <w:rFonts w:ascii="Verdana" w:eastAsia="Times New Roman" w:hAnsi="Verdana" w:cs="Arial"/>
          <w:sz w:val="21"/>
          <w:szCs w:val="21"/>
          <w:vertAlign w:val="superscript"/>
          <w:lang w:eastAsia="es-ES_tradnl"/>
        </w:rPr>
        <w:footnoteReference w:id="38"/>
      </w:r>
      <w:r w:rsidRPr="003D37CE">
        <w:rPr>
          <w:rFonts w:ascii="Verdana" w:eastAsia="Times New Roman" w:hAnsi="Verdana" w:cs="Arial"/>
          <w:sz w:val="21"/>
          <w:szCs w:val="21"/>
          <w:lang w:val="es-ES_tradnl" w:eastAsia="es-ES_tradnl"/>
        </w:rPr>
        <w:t>.</w:t>
      </w:r>
    </w:p>
    <w:p w14:paraId="236CB6FD" w14:textId="77777777" w:rsidR="009131CF" w:rsidRPr="00F40F0E" w:rsidRDefault="009131CF" w:rsidP="009131CF">
      <w:pPr>
        <w:tabs>
          <w:tab w:val="left" w:pos="0"/>
        </w:tabs>
        <w:spacing w:after="0" w:line="276" w:lineRule="auto"/>
        <w:jc w:val="both"/>
        <w:rPr>
          <w:rFonts w:ascii="Verdana" w:eastAsia="Calibri" w:hAnsi="Verdana" w:cs="Arial"/>
          <w:bCs/>
          <w:i/>
          <w:iCs/>
          <w:lang w:val="es-ES_tradnl" w:eastAsia="es-ES_tradnl"/>
        </w:rPr>
      </w:pPr>
    </w:p>
    <w:p w14:paraId="1CB4C6C7" w14:textId="77777777" w:rsidR="009131CF" w:rsidRPr="00F40F0E" w:rsidRDefault="009131CF" w:rsidP="009131CF">
      <w:pPr>
        <w:tabs>
          <w:tab w:val="left" w:pos="0"/>
        </w:tabs>
        <w:spacing w:after="120" w:line="276" w:lineRule="auto"/>
        <w:jc w:val="both"/>
        <w:rPr>
          <w:rFonts w:ascii="Verdana" w:eastAsia="Calibri" w:hAnsi="Verdana" w:cs="Arial"/>
          <w:bCs/>
          <w:lang w:val="es-ES_tradnl" w:eastAsia="es-ES_tradnl"/>
        </w:rPr>
      </w:pPr>
      <w:r w:rsidRPr="00F40F0E">
        <w:rPr>
          <w:rFonts w:ascii="Verdana" w:eastAsia="Calibri" w:hAnsi="Verdana" w:cs="Arial"/>
          <w:bCs/>
          <w:lang w:val="es-ES_tradnl" w:eastAsia="es-ES_tradnl"/>
        </w:rPr>
        <w:tab/>
        <w:t xml:space="preserve">En el mismo sentido se pronunció recientemente el Alto Tribunal de lo Contencioso Administrativo, reiterando las anteriores consideraciones, al expresar que el concepto de </w:t>
      </w:r>
      <w:r w:rsidRPr="00F40F0E">
        <w:rPr>
          <w:rFonts w:ascii="Verdana" w:eastAsia="Calibri" w:hAnsi="Verdana" w:cs="Arial"/>
          <w:i/>
          <w:lang w:val="es-ES_tradnl" w:eastAsia="es-ES_tradnl"/>
        </w:rPr>
        <w:t xml:space="preserve">“giro ordinario de los negocios” </w:t>
      </w:r>
      <w:r w:rsidRPr="00F40F0E">
        <w:rPr>
          <w:rFonts w:ascii="Verdana" w:eastAsia="Calibri" w:hAnsi="Verdana" w:cs="Arial"/>
          <w:bCs/>
          <w:lang w:val="es-ES_tradnl" w:eastAsia="es-ES_tradnl"/>
        </w:rPr>
        <w:t>se refiere a aquellas actividades compatibles con el objeto social, funciones previstas en la ley, o en</w:t>
      </w:r>
      <w:r>
        <w:rPr>
          <w:rFonts w:ascii="Verdana" w:eastAsia="Calibri" w:hAnsi="Verdana" w:cs="Arial"/>
          <w:bCs/>
          <w:lang w:val="es-ES_tradnl" w:eastAsia="es-ES_tradnl"/>
        </w:rPr>
        <w:t xml:space="preserve"> </w:t>
      </w:r>
      <w:r w:rsidRPr="00F40F0E">
        <w:rPr>
          <w:rFonts w:ascii="Verdana" w:eastAsia="Calibri" w:hAnsi="Verdana" w:cs="Arial"/>
          <w:bCs/>
          <w:lang w:val="es-ES_tradnl" w:eastAsia="es-ES_tradnl"/>
        </w:rPr>
        <w:lastRenderedPageBreak/>
        <w:t>las normas de creación y en sus estatutos internos de las personas</w:t>
      </w:r>
      <w:r w:rsidRPr="00F40F0E">
        <w:rPr>
          <w:rFonts w:ascii="Verdana" w:eastAsia="Calibri" w:hAnsi="Verdana" w:cs="Arial"/>
          <w:vertAlign w:val="superscript"/>
          <w:lang w:eastAsia="es-ES_tradnl"/>
        </w:rPr>
        <w:footnoteReference w:id="39"/>
      </w:r>
      <w:r w:rsidRPr="00F40F0E">
        <w:rPr>
          <w:rFonts w:ascii="Verdana" w:eastAsia="Calibri" w:hAnsi="Verdana" w:cs="Arial"/>
          <w:bCs/>
          <w:lang w:val="es-ES_tradnl" w:eastAsia="es-ES_tradnl"/>
        </w:rPr>
        <w:t xml:space="preserve"> y la doctrina societaria</w:t>
      </w:r>
      <w:r w:rsidRPr="00F40F0E">
        <w:rPr>
          <w:rFonts w:ascii="Verdana" w:eastAsia="Calibri" w:hAnsi="Verdana" w:cs="Arial"/>
          <w:bCs/>
          <w:vertAlign w:val="superscript"/>
          <w:lang w:val="es-ES_tradnl" w:eastAsia="es-ES_tradnl"/>
        </w:rPr>
        <w:footnoteReference w:id="40"/>
      </w:r>
      <w:r w:rsidRPr="00F40F0E">
        <w:rPr>
          <w:rFonts w:ascii="Verdana" w:eastAsia="Calibri" w:hAnsi="Verdana" w:cs="Arial"/>
          <w:bCs/>
          <w:lang w:val="es-ES_tradnl" w:eastAsia="es-ES_tradnl"/>
        </w:rPr>
        <w:t xml:space="preserve">. </w:t>
      </w:r>
    </w:p>
    <w:p w14:paraId="5E3A82FA" w14:textId="77777777" w:rsidR="009131CF" w:rsidRPr="00F40F0E" w:rsidRDefault="009131CF" w:rsidP="009131CF">
      <w:pPr>
        <w:spacing w:after="120" w:line="276" w:lineRule="auto"/>
        <w:jc w:val="both"/>
        <w:rPr>
          <w:rFonts w:ascii="Verdana" w:eastAsia="Calibri" w:hAnsi="Verdana" w:cs="Arial"/>
          <w:lang w:val="es-ES" w:eastAsia="es-ES"/>
        </w:rPr>
      </w:pPr>
      <w:r w:rsidRPr="00F40F0E">
        <w:rPr>
          <w:rFonts w:ascii="Verdana" w:eastAsia="Calibri" w:hAnsi="Verdana" w:cs="Arial"/>
          <w:bCs/>
          <w:lang w:val="es-ES_tradnl" w:eastAsia="es-ES_tradnl"/>
        </w:rPr>
        <w:tab/>
      </w:r>
      <w:r w:rsidRPr="00F40F0E">
        <w:rPr>
          <w:rFonts w:ascii="Verdana" w:eastAsia="Calibri" w:hAnsi="Verdana" w:cs="Arial"/>
          <w:lang w:val="es-ES" w:eastAsia="es-ES"/>
        </w:rPr>
        <w:t xml:space="preserve">Conforme con lo expresado, el </w:t>
      </w:r>
      <w:r w:rsidRPr="00F40F0E">
        <w:rPr>
          <w:rFonts w:ascii="Verdana" w:eastAsia="Calibri" w:hAnsi="Verdana" w:cs="Arial"/>
          <w:i/>
          <w:lang w:val="es-ES" w:eastAsia="es-ES"/>
        </w:rPr>
        <w:t xml:space="preserve">giro ordinario </w:t>
      </w:r>
      <w:r w:rsidRPr="00F40F0E">
        <w:rPr>
          <w:rFonts w:ascii="Verdana" w:eastAsia="Calibri" w:hAnsi="Verdana" w:cs="Arial"/>
          <w:lang w:val="es-ES" w:eastAsia="es-ES"/>
        </w:rPr>
        <w:t>involucra los asuntos que integran el desarrollo del objeto social de una sociedad comercial, una empresa o Entidad Pública, lo cual comprende tanto unas actividades directamente relacionadas con dicho objeto social, así como otros actos conexos al mismo. Esta interpretación, en principio, es coherente con la regulación de la capacidad de las sociedades comerciales establecida en el Código de Comercio, cuyo artículo 99 dispone que “[</w:t>
      </w:r>
      <w:r w:rsidRPr="00F40F0E">
        <w:rPr>
          <w:rFonts w:ascii="Verdana" w:eastAsia="Times New Roman" w:hAnsi="Verdana" w:cs="Arial"/>
          <w:lang w:val="es-ES" w:eastAsia="es-ES"/>
        </w:rPr>
        <w:t>S]e</w:t>
      </w:r>
      <w:r w:rsidRPr="00F40F0E">
        <w:rPr>
          <w:rFonts w:ascii="Verdana" w:eastAsia="Calibri" w:hAnsi="Verdana" w:cs="Arial"/>
          <w:lang w:val="es-ES" w:eastAsia="es-ES"/>
        </w:rPr>
        <w:t xml:space="preserve"> entenderán incluidos en el objeto social los actos directamente relacionados con el mismo y los que tengan como finalidad ejercer los derechos o cumplir las obligaciones, legal o convencionalmente derivados de la existencia y actividad de la sociedad.”</w:t>
      </w:r>
      <w:r w:rsidRPr="00F40F0E">
        <w:rPr>
          <w:rFonts w:ascii="Verdana" w:eastAsia="Calibri" w:hAnsi="Verdana" w:cs="Arial"/>
          <w:vertAlign w:val="superscript"/>
          <w:lang w:eastAsia="es-ES"/>
        </w:rPr>
        <w:footnoteReference w:id="41"/>
      </w:r>
    </w:p>
    <w:p w14:paraId="05BFA3FD" w14:textId="77777777" w:rsidR="009131CF" w:rsidRPr="00F40F0E" w:rsidRDefault="009131CF" w:rsidP="009131CF">
      <w:pPr>
        <w:spacing w:after="120" w:line="276" w:lineRule="auto"/>
        <w:jc w:val="both"/>
        <w:rPr>
          <w:rFonts w:ascii="Verdana" w:eastAsia="Calibri" w:hAnsi="Verdana" w:cs="Arial"/>
          <w:lang w:val="es-ES" w:eastAsia="es-ES"/>
        </w:rPr>
      </w:pPr>
      <w:r w:rsidRPr="00F40F0E">
        <w:rPr>
          <w:rFonts w:ascii="Verdana" w:eastAsia="Calibri" w:hAnsi="Verdana" w:cs="Arial"/>
          <w:bCs/>
          <w:lang w:val="es-ES_tradnl" w:eastAsia="es-ES_tradnl"/>
        </w:rPr>
        <w:tab/>
      </w:r>
      <w:r w:rsidRPr="00F40F0E">
        <w:rPr>
          <w:rFonts w:ascii="Verdana" w:eastAsia="Calibri" w:hAnsi="Verdana" w:cs="Arial"/>
          <w:lang w:val="es-ES" w:eastAsia="es-ES"/>
        </w:rPr>
        <w:t xml:space="preserve">En relación con la aplicación de lo dispuesto en el parágrafo del artículo 56 de la Ley 2195 de 2022, conviene aclarar que, a juicio de esta Agencia, la expresión </w:t>
      </w:r>
      <w:r w:rsidRPr="00F40F0E">
        <w:rPr>
          <w:rFonts w:ascii="Verdana" w:eastAsia="Calibri" w:hAnsi="Verdana" w:cs="Arial"/>
          <w:i/>
          <w:lang w:val="es-ES" w:eastAsia="es-ES"/>
        </w:rPr>
        <w:t xml:space="preserve">giro ordinario </w:t>
      </w:r>
      <w:r w:rsidRPr="00F40F0E">
        <w:rPr>
          <w:rFonts w:ascii="Verdana" w:eastAsia="Calibri" w:hAnsi="Verdana" w:cs="Arial"/>
          <w:lang w:val="es-ES" w:eastAsia="es-ES"/>
        </w:rPr>
        <w:t xml:space="preserve">se usa para designar a la contratación directamente relacionada con los asuntos de la gestión habitual u ordinaria de los tipos de entidades mencionadas en el parágrafo. No obstante, la determinación de las actividades que comprenden el </w:t>
      </w:r>
      <w:r w:rsidRPr="00F40F0E">
        <w:rPr>
          <w:rFonts w:ascii="Verdana" w:eastAsia="Calibri" w:hAnsi="Verdana" w:cs="Arial"/>
          <w:i/>
          <w:lang w:val="es-ES" w:eastAsia="es-ES"/>
        </w:rPr>
        <w:t>giro ordinario</w:t>
      </w:r>
      <w:r w:rsidRPr="00F40F0E">
        <w:rPr>
          <w:rFonts w:ascii="Verdana" w:eastAsia="Calibri" w:hAnsi="Verdana" w:cs="Arial"/>
          <w:lang w:val="es-ES" w:eastAsia="es-ES"/>
        </w:rPr>
        <w:t xml:space="preserve"> es un asunto que debe </w:t>
      </w:r>
      <w:r w:rsidRPr="00F40F0E">
        <w:rPr>
          <w:rFonts w:ascii="Verdana" w:eastAsia="Calibri" w:hAnsi="Verdana" w:cs="Arial"/>
          <w:lang w:val="es-ES" w:eastAsia="es-ES"/>
        </w:rPr>
        <w:lastRenderedPageBreak/>
        <w:t xml:space="preserve">establecerse en cada caso concreto por parte de las Entidades Estatales –analizando lo establecido en sus actos de creación y verificando los negocios habituales u ordinarios que desarrollan–, pues el parágrafo del artículo 56 </w:t>
      </w:r>
      <w:proofErr w:type="spellStart"/>
      <w:r w:rsidRPr="00F40F0E">
        <w:rPr>
          <w:rFonts w:ascii="Verdana" w:eastAsia="Calibri" w:hAnsi="Verdana" w:cs="Arial"/>
          <w:i/>
          <w:lang w:val="es-ES" w:eastAsia="es-ES"/>
        </w:rPr>
        <w:t>ejusdem</w:t>
      </w:r>
      <w:proofErr w:type="spellEnd"/>
      <w:r w:rsidRPr="00F40F0E">
        <w:rPr>
          <w:rFonts w:ascii="Verdana" w:eastAsia="Calibri" w:hAnsi="Verdana" w:cs="Arial"/>
          <w:lang w:val="es-ES" w:eastAsia="es-ES"/>
        </w:rPr>
        <w:t xml:space="preserve"> se limita a enunciar algunos tipos de Entidades Estatales, las cuales no solo difieren en su naturaleza jurídica, sino también en las actividades que realizan. </w:t>
      </w:r>
    </w:p>
    <w:p w14:paraId="2402DB5B" w14:textId="77777777" w:rsidR="009131CF" w:rsidRPr="00F40F0E" w:rsidRDefault="009131CF" w:rsidP="009131CF">
      <w:pPr>
        <w:tabs>
          <w:tab w:val="left" w:pos="0"/>
        </w:tabs>
        <w:spacing w:after="120" w:line="276" w:lineRule="auto"/>
        <w:ind w:firstLine="709"/>
        <w:jc w:val="both"/>
        <w:rPr>
          <w:rFonts w:ascii="Verdana" w:eastAsia="Calibri" w:hAnsi="Verdana" w:cs="Arial"/>
          <w:bCs/>
          <w:lang w:val="es-ES_tradnl"/>
        </w:rPr>
      </w:pPr>
      <w:r w:rsidRPr="00F40F0E">
        <w:rPr>
          <w:rFonts w:ascii="Verdana" w:eastAsia="Calibri" w:hAnsi="Verdana" w:cs="Arial"/>
          <w:lang w:val="es-ES" w:eastAsia="es-ES"/>
        </w:rPr>
        <w:t xml:space="preserve">Esto impide que la Agencia Nacional de Contratación Pública – Colombia Compra Eficiente, en sede consultiva, pueda determinar, con un criterio universal y absoluto, qué actividades específicas hacen parte del giro ordinario de los negocios de dichas entidades y cuáles escapan de este, pues, como se indicó, al explicar la naturaleza de los conceptos jurídicos indeterminados, la concreción del alcance de la expresión </w:t>
      </w:r>
      <w:r w:rsidRPr="00F40F0E">
        <w:rPr>
          <w:rFonts w:ascii="Verdana" w:eastAsia="Calibri" w:hAnsi="Verdana" w:cs="Arial"/>
          <w:i/>
          <w:lang w:val="es-ES" w:eastAsia="es-ES"/>
        </w:rPr>
        <w:t>giro ordinario</w:t>
      </w:r>
      <w:r w:rsidRPr="00F40F0E">
        <w:rPr>
          <w:rFonts w:ascii="Verdana" w:eastAsia="Calibri" w:hAnsi="Verdana" w:cs="Arial"/>
          <w:lang w:val="es-ES" w:eastAsia="es-ES"/>
        </w:rPr>
        <w:t xml:space="preserve"> debe hacerse en el caso concreto, empleando un criterio de interpretación restrictiva. Ello en la medida en que el parágrafo del artículo 56 consagra una excepción a una regla general. </w:t>
      </w:r>
      <w:r w:rsidRPr="00F40F0E">
        <w:rPr>
          <w:rFonts w:ascii="Verdana" w:eastAsia="Calibri" w:hAnsi="Verdana" w:cs="Arial"/>
          <w:bCs/>
          <w:lang w:val="es-ES_tradnl"/>
        </w:rPr>
        <w:t>Además, cada una de las entidades estatales señaladas en dicho parágrafo se encuentra circunscrita, hermenéuticamente –para acotar aquel concepto–, a lo que establezcan sus normas estatutarias –actos de creación y demás reglamentos–, así como a la realidad de los negocios que hacen parte de su dinámica habitual.</w:t>
      </w:r>
    </w:p>
    <w:p w14:paraId="1CA5FF9D" w14:textId="77777777" w:rsidR="009131CF" w:rsidRPr="00F40F0E" w:rsidRDefault="009131CF" w:rsidP="009131CF">
      <w:pPr>
        <w:spacing w:after="120" w:line="276" w:lineRule="auto"/>
        <w:jc w:val="both"/>
        <w:rPr>
          <w:rFonts w:ascii="Verdana" w:eastAsia="Calibri" w:hAnsi="Verdana" w:cs="Arial"/>
          <w:lang w:val="es-ES" w:eastAsia="es-ES"/>
        </w:rPr>
      </w:pPr>
      <w:r w:rsidRPr="00F40F0E">
        <w:rPr>
          <w:rFonts w:ascii="Verdana" w:eastAsia="Calibri" w:hAnsi="Verdana" w:cs="Arial"/>
          <w:bCs/>
          <w:lang w:val="es-ES_tradnl" w:eastAsia="es-ES_tradnl"/>
        </w:rPr>
        <w:tab/>
      </w:r>
      <w:r w:rsidRPr="00F40F0E">
        <w:rPr>
          <w:rFonts w:ascii="Verdana" w:eastAsia="Calibri" w:hAnsi="Verdana" w:cs="Arial"/>
          <w:color w:val="000000"/>
          <w:lang w:val="es-ES"/>
        </w:rPr>
        <w:t xml:space="preserve"> </w:t>
      </w:r>
      <w:r w:rsidRPr="00F40F0E">
        <w:rPr>
          <w:rFonts w:ascii="Verdana" w:eastAsia="Calibri" w:hAnsi="Verdana" w:cs="Arial"/>
          <w:lang w:val="es-ES" w:eastAsia="es-ES"/>
        </w:rPr>
        <w:t xml:space="preserve">En tales términos, lo dispuesto en el parágrafo del artículo 56 implica que las instituciones de educación superior públicas, las empresas sociales del Estado, las sociedades de economía mixta y las empresas industriales y comerciales del Estado, no tendrán que implementar Documentos Tipo </w:t>
      </w:r>
      <w:r>
        <w:rPr>
          <w:rFonts w:ascii="Verdana" w:eastAsia="Calibri" w:hAnsi="Verdana" w:cs="Arial"/>
          <w:lang w:val="es-ES" w:eastAsia="es-ES"/>
        </w:rPr>
        <w:t xml:space="preserve">a excepción de aquellos casos en los que la contratación esté </w:t>
      </w:r>
      <w:r w:rsidRPr="00F40F0E">
        <w:rPr>
          <w:rFonts w:ascii="Verdana" w:eastAsia="Calibri" w:hAnsi="Verdana" w:cs="Arial"/>
          <w:lang w:val="es-ES" w:eastAsia="es-ES"/>
        </w:rPr>
        <w:t xml:space="preserve">relacionada con el </w:t>
      </w:r>
      <w:r w:rsidRPr="00F40F0E">
        <w:rPr>
          <w:rFonts w:ascii="Verdana" w:eastAsia="Calibri" w:hAnsi="Verdana" w:cs="Arial"/>
          <w:i/>
          <w:iCs/>
          <w:lang w:val="es-ES" w:eastAsia="es-ES"/>
        </w:rPr>
        <w:t xml:space="preserve">giro ordinario </w:t>
      </w:r>
      <w:r w:rsidRPr="00F40F0E">
        <w:rPr>
          <w:rFonts w:ascii="Verdana" w:eastAsia="Calibri" w:hAnsi="Verdana" w:cs="Arial"/>
          <w:lang w:val="es-ES" w:eastAsia="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F40F0E">
        <w:rPr>
          <w:rFonts w:ascii="Verdana" w:eastAsia="Calibri" w:hAnsi="Verdana" w:cs="Arial"/>
          <w:i/>
          <w:iCs/>
          <w:lang w:val="es-ES" w:eastAsia="es-ES"/>
        </w:rPr>
        <w:t>su giro ordinario</w:t>
      </w:r>
      <w:r w:rsidRPr="00F40F0E">
        <w:rPr>
          <w:rFonts w:ascii="Verdana" w:eastAsia="Calibri" w:hAnsi="Verdana" w:cs="Arial"/>
          <w:lang w:val="es-ES" w:eastAsia="es-ES"/>
        </w:rPr>
        <w:t xml:space="preserve">, entendido este conforme a los criterios jurisprudenciales y doctrinarios aquí explicados. En otras palabras, ninguna entidad cuya naturaleza jurídica coincida con las mencionadas en el parágrafo del artículo 56, tendrá que someterse de manera obligatoria a los Documentos Tipo o el EGCAP para la </w:t>
      </w:r>
      <w:r w:rsidRPr="00F40F0E">
        <w:rPr>
          <w:rFonts w:ascii="Verdana" w:eastAsia="Calibri" w:hAnsi="Verdana" w:cs="Arial"/>
          <w:lang w:val="es-ES" w:eastAsia="es-ES"/>
        </w:rPr>
        <w:lastRenderedPageBreak/>
        <w:t xml:space="preserve">contratación de obras o servicios asociadas a su </w:t>
      </w:r>
      <w:r w:rsidRPr="00F40F0E">
        <w:rPr>
          <w:rFonts w:ascii="Verdana" w:eastAsia="Calibri" w:hAnsi="Verdana" w:cs="Arial"/>
          <w:i/>
          <w:iCs/>
          <w:lang w:val="es-ES" w:eastAsia="es-ES"/>
        </w:rPr>
        <w:t>giro ordinario</w:t>
      </w:r>
      <w:r w:rsidRPr="00F40F0E">
        <w:rPr>
          <w:rFonts w:ascii="Verdana" w:eastAsia="Calibri" w:hAnsi="Verdana" w:cs="Arial"/>
          <w:lang w:val="es-ES" w:eastAsia="es-ES"/>
        </w:rPr>
        <w:t xml:space="preserve">, a menos que su manual de contratación establezca lo contrario. De hacerlo, primará el principio de inderogabilidad singular del reglamento, que obliga a aplicarlo en las actuaciones concretas.  </w:t>
      </w:r>
    </w:p>
    <w:p w14:paraId="274BDD70" w14:textId="77777777" w:rsidR="009131CF" w:rsidRPr="00F40F0E" w:rsidRDefault="009131CF" w:rsidP="009131CF">
      <w:pPr>
        <w:tabs>
          <w:tab w:val="left" w:pos="0"/>
        </w:tabs>
        <w:spacing w:after="120" w:line="276" w:lineRule="auto"/>
        <w:ind w:firstLine="709"/>
        <w:jc w:val="both"/>
        <w:rPr>
          <w:rFonts w:ascii="Verdana" w:eastAsia="Calibri" w:hAnsi="Verdana" w:cs="Arial"/>
          <w:bCs/>
          <w:lang w:val="es-ES" w:eastAsia="es-ES_tradnl"/>
        </w:rPr>
      </w:pPr>
      <w:r w:rsidRPr="00F40F0E">
        <w:rPr>
          <w:rFonts w:ascii="Verdana" w:eastAsia="Calibri" w:hAnsi="Verdana" w:cs="Arial"/>
          <w:bCs/>
          <w:lang w:val="es-ES" w:eastAsia="es-ES_tradnl"/>
        </w:rPr>
        <w:t>Ahora bien, debe señalarse que este parágrafo es una norma que establece una excepción, por lo que, en virtud de dicho carácter, está sujeto a una interpretación restrictiva, esto es, apegada a lo que, literalmente, se desprende del texto. La redacción de la norma evidencia cómo la excepción a la aplicación forzosa es formulada respecto de ciertos tipos de Entidades Estatales, las cuales son mencionadas por su naturaleza jurídica, sin que se incluya consideración alguna relacionada con el régimen jurídico al que se encuentren sometidas. La norma tampoco determina algún supuesto en atención al cual pueda aplicarse la excepción a algún sujeto con una naturaleza jurídica distinta de las específicamente mencionadas.</w:t>
      </w:r>
    </w:p>
    <w:p w14:paraId="247ADC65" w14:textId="77777777" w:rsidR="009131CF" w:rsidRPr="00F40F0E" w:rsidRDefault="009131CF" w:rsidP="009131CF">
      <w:pPr>
        <w:tabs>
          <w:tab w:val="left" w:pos="0"/>
        </w:tabs>
        <w:spacing w:after="120" w:line="276" w:lineRule="auto"/>
        <w:ind w:firstLine="709"/>
        <w:jc w:val="both"/>
        <w:rPr>
          <w:rFonts w:ascii="Verdana" w:eastAsia="Calibri" w:hAnsi="Verdana" w:cs="Arial"/>
          <w:bCs/>
          <w:lang w:val="es-ES" w:eastAsia="es-ES_tradnl"/>
        </w:rPr>
      </w:pPr>
      <w:r w:rsidRPr="00F40F0E">
        <w:rPr>
          <w:rFonts w:ascii="Verdana" w:eastAsia="Calibri" w:hAnsi="Verdana" w:cs="Arial"/>
          <w:bCs/>
          <w:lang w:val="es-ES_tradnl" w:eastAsia="es-ES_tradnl"/>
        </w:rPr>
        <w:t>De acuerdo con este criterio interpretativo y comoquiera que la norma determina las excepciones en consideración a la naturaleza jurídica de los sujetos que menciona, sin hacer distinción alguna respecto de su régimen contractual, es posible concluir que la excepción predicable de las instituciones de educación superior públicas, las empresas sociales del Estado, las sociedades de economía mixta y las empresas industriales y comerciales del Estado no resulta extensible a entidades que no cuenten con dicha naturaleza.</w:t>
      </w:r>
    </w:p>
    <w:p w14:paraId="1865C5D7" w14:textId="77777777" w:rsidR="009131CF" w:rsidRDefault="009131CF" w:rsidP="009131CF">
      <w:pPr>
        <w:spacing w:after="0" w:line="276" w:lineRule="auto"/>
        <w:ind w:firstLine="708"/>
        <w:jc w:val="both"/>
        <w:rPr>
          <w:rFonts w:ascii="Verdana" w:eastAsia="Calibri" w:hAnsi="Verdana" w:cs="Arial"/>
          <w:kern w:val="2"/>
          <w:lang w:val="es-ES" w:eastAsia="es-ES"/>
          <w14:ligatures w14:val="standardContextual"/>
        </w:rPr>
      </w:pPr>
      <w:r w:rsidRPr="00F40F0E">
        <w:rPr>
          <w:rFonts w:ascii="Verdana" w:eastAsia="Calibri" w:hAnsi="Verdana" w:cs="Arial"/>
          <w:kern w:val="2"/>
          <w:lang w:val="es-ES" w:eastAsia="es-ES"/>
          <w14:ligatures w14:val="standardContextual"/>
        </w:rPr>
        <w:t xml:space="preserve">En conclusión, a juicio de esta Agencia lo dispuesto en el parágrafo del artículo 56 de la Ley 2195 de 2022, es una manifestación de la voluntad del Legislador </w:t>
      </w:r>
      <w:r>
        <w:rPr>
          <w:rFonts w:ascii="Verdana" w:eastAsia="Calibri" w:hAnsi="Verdana" w:cs="Arial"/>
          <w:kern w:val="2"/>
          <w:lang w:val="es-ES" w:eastAsia="es-ES"/>
          <w14:ligatures w14:val="standardContextual"/>
        </w:rPr>
        <w:t xml:space="preserve">de </w:t>
      </w:r>
      <w:r w:rsidRPr="007D2E04">
        <w:rPr>
          <w:rFonts w:ascii="Verdana" w:eastAsia="Calibri" w:hAnsi="Verdana" w:cs="Arial"/>
          <w:kern w:val="2"/>
          <w:lang w:val="es-ES" w:eastAsia="es-ES"/>
          <w14:ligatures w14:val="standardContextual"/>
        </w:rPr>
        <w:t xml:space="preserve">excluir de la aplicación del presente artículo </w:t>
      </w:r>
      <w:r>
        <w:rPr>
          <w:rFonts w:ascii="Verdana" w:eastAsia="Calibri" w:hAnsi="Verdana" w:cs="Arial"/>
          <w:kern w:val="2"/>
          <w:lang w:val="es-ES" w:eastAsia="es-ES"/>
          <w14:ligatures w14:val="standardContextual"/>
        </w:rPr>
        <w:t xml:space="preserve">a </w:t>
      </w:r>
      <w:r w:rsidRPr="007D2E04">
        <w:rPr>
          <w:rFonts w:ascii="Verdana" w:eastAsia="Calibri" w:hAnsi="Verdana" w:cs="Arial"/>
          <w:kern w:val="2"/>
          <w:lang w:val="es-ES" w:eastAsia="es-ES"/>
          <w14:ligatures w14:val="standardContextual"/>
        </w:rPr>
        <w:t>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w:t>
      </w:r>
      <w:bookmarkEnd w:id="6"/>
      <w:bookmarkEnd w:id="7"/>
    </w:p>
    <w:p w14:paraId="136396F6" w14:textId="77777777" w:rsidR="009131CF" w:rsidRDefault="009131CF" w:rsidP="009131CF">
      <w:pPr>
        <w:spacing w:after="0" w:line="276" w:lineRule="auto"/>
        <w:jc w:val="both"/>
        <w:rPr>
          <w:rFonts w:ascii="Verdana" w:eastAsia="Calibri" w:hAnsi="Verdana" w:cs="Arial"/>
          <w:bCs/>
          <w:color w:val="000000"/>
          <w:lang w:eastAsia="es-MX"/>
        </w:rPr>
      </w:pPr>
    </w:p>
    <w:p w14:paraId="6EA30447" w14:textId="77777777" w:rsidR="009131CF" w:rsidRPr="00830382" w:rsidRDefault="009131CF" w:rsidP="009131CF">
      <w:pPr>
        <w:spacing w:after="120" w:line="276" w:lineRule="auto"/>
        <w:jc w:val="both"/>
        <w:rPr>
          <w:rFonts w:ascii="Verdana" w:eastAsia="Calibri" w:hAnsi="Verdana" w:cs="Arial"/>
          <w:kern w:val="2"/>
          <w:lang w:val="es-ES" w:eastAsia="es-ES"/>
          <w14:ligatures w14:val="standardContextual"/>
        </w:rPr>
      </w:pPr>
      <w:proofErr w:type="spellStart"/>
      <w:r>
        <w:rPr>
          <w:rFonts w:ascii="Verdana" w:eastAsia="Calibri" w:hAnsi="Verdana" w:cs="Arial"/>
          <w:bCs/>
          <w:color w:val="000000"/>
          <w:lang w:eastAsia="es-MX"/>
        </w:rPr>
        <w:t>vii</w:t>
      </w:r>
      <w:proofErr w:type="spellEnd"/>
      <w:r>
        <w:rPr>
          <w:rFonts w:ascii="Verdana" w:eastAsia="Calibri" w:hAnsi="Verdana" w:cs="Arial"/>
          <w:bCs/>
          <w:color w:val="000000"/>
          <w:lang w:eastAsia="es-MX"/>
        </w:rPr>
        <w:t xml:space="preserve">. </w:t>
      </w:r>
      <w:r w:rsidRPr="00F40F0E">
        <w:rPr>
          <w:rFonts w:ascii="Verdana" w:eastAsia="Calibri" w:hAnsi="Verdana" w:cs="Arial"/>
          <w:bCs/>
          <w:color w:val="000000"/>
          <w:lang w:eastAsia="es-MX"/>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w:t>
      </w:r>
      <w:r w:rsidRPr="00F40F0E">
        <w:rPr>
          <w:rFonts w:ascii="Verdana" w:eastAsia="Calibri" w:hAnsi="Verdana" w:cs="Arial"/>
          <w:bCs/>
          <w:color w:val="000000"/>
          <w:lang w:eastAsia="es-MX"/>
        </w:rPr>
        <w:lastRenderedPageBreak/>
        <w:t>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EE7F85F" w14:textId="77777777" w:rsidR="009131CF" w:rsidRDefault="009131CF" w:rsidP="009131CF">
      <w:pPr>
        <w:spacing w:after="0" w:line="276" w:lineRule="auto"/>
        <w:ind w:firstLine="708"/>
        <w:jc w:val="both"/>
        <w:rPr>
          <w:rFonts w:ascii="Verdana" w:eastAsia="Calibri" w:hAnsi="Verdana" w:cs="Arial"/>
          <w:bCs/>
          <w:color w:val="000000"/>
          <w:lang w:eastAsia="es-MX"/>
        </w:rPr>
      </w:pPr>
      <w:r w:rsidRPr="00F40F0E">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43059F6" w14:textId="77777777" w:rsidR="009131CF" w:rsidRPr="00F40F0E" w:rsidRDefault="009131CF" w:rsidP="009131CF">
      <w:pPr>
        <w:spacing w:after="0" w:line="276" w:lineRule="auto"/>
        <w:ind w:left="708" w:hanging="708"/>
        <w:jc w:val="both"/>
        <w:rPr>
          <w:rFonts w:ascii="Verdana" w:eastAsia="Calibri" w:hAnsi="Verdana" w:cs="Times New Roman"/>
          <w:lang w:eastAsia="es-MX"/>
        </w:rPr>
      </w:pPr>
    </w:p>
    <w:p w14:paraId="6DF7F92C" w14:textId="77777777" w:rsidR="009131CF" w:rsidRPr="00F40F0E" w:rsidRDefault="009131CF" w:rsidP="009131CF">
      <w:pPr>
        <w:tabs>
          <w:tab w:val="left" w:pos="142"/>
          <w:tab w:val="left" w:pos="284"/>
        </w:tabs>
        <w:spacing w:after="0" w:line="276" w:lineRule="auto"/>
        <w:jc w:val="both"/>
        <w:rPr>
          <w:rFonts w:ascii="Verdana" w:eastAsia="Century Gothic" w:hAnsi="Verdana" w:cs="Century Gothic"/>
          <w:b/>
          <w:bCs/>
          <w:lang w:val="es-ES_tradnl" w:eastAsia="es-MX"/>
        </w:rPr>
      </w:pPr>
      <w:r w:rsidRPr="00F40F0E">
        <w:rPr>
          <w:rFonts w:ascii="Verdana" w:eastAsia="Century Gothic" w:hAnsi="Verdana" w:cs="Century Gothic"/>
          <w:b/>
          <w:bCs/>
          <w:lang w:val="es-ES_tradnl" w:eastAsia="es-MX"/>
        </w:rPr>
        <w:t>4. Referencias normativas, jurisprudenciales y otras fuentes:</w:t>
      </w:r>
    </w:p>
    <w:p w14:paraId="5D1EFFC6" w14:textId="77777777" w:rsidR="009131CF" w:rsidRPr="00F40F0E" w:rsidRDefault="009131CF" w:rsidP="009131CF">
      <w:pPr>
        <w:spacing w:after="0"/>
        <w:ind w:left="-15840"/>
        <w:jc w:val="both"/>
        <w:rPr>
          <w:rFonts w:ascii="Verdana" w:eastAsia="Calibri" w:hAnsi="Verdana" w:cs="Arial"/>
          <w:b/>
          <w:bCs/>
          <w:lang w:eastAsia="es-MX"/>
        </w:rPr>
      </w:pPr>
      <w:r w:rsidRPr="00F40F0E">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9131CF" w:rsidRPr="00F40F0E" w14:paraId="05BC26C4" w14:textId="77777777" w:rsidTr="007D4D86">
        <w:trPr>
          <w:trHeight w:val="297"/>
        </w:trPr>
        <w:tc>
          <w:tcPr>
            <w:tcW w:w="8647" w:type="dxa"/>
            <w:tcBorders>
              <w:top w:val="dotted" w:sz="4" w:space="0" w:color="auto"/>
              <w:left w:val="dotted" w:sz="4" w:space="0" w:color="auto"/>
              <w:bottom w:val="dotted" w:sz="4" w:space="0" w:color="auto"/>
              <w:right w:val="dotted" w:sz="4" w:space="0" w:color="auto"/>
            </w:tcBorders>
          </w:tcPr>
          <w:p w14:paraId="09473343" w14:textId="77777777" w:rsidR="009131CF" w:rsidRPr="002E5C52" w:rsidRDefault="009131CF" w:rsidP="007D4D86">
            <w:pPr>
              <w:pStyle w:val="Prrafodelista"/>
              <w:widowControl w:val="0"/>
              <w:numPr>
                <w:ilvl w:val="0"/>
                <w:numId w:val="19"/>
              </w:numPr>
              <w:autoSpaceDE w:val="0"/>
              <w:autoSpaceDN w:val="0"/>
              <w:snapToGrid w:val="0"/>
              <w:spacing w:after="120" w:line="276" w:lineRule="auto"/>
              <w:ind w:left="714" w:hanging="357"/>
              <w:contextualSpacing w:val="0"/>
              <w:jc w:val="both"/>
              <w:rPr>
                <w:rFonts w:ascii="Verdana" w:hAnsi="Verdana" w:cs="Arial"/>
              </w:rPr>
            </w:pPr>
            <w:r w:rsidRPr="002E5C52">
              <w:rPr>
                <w:rFonts w:ascii="Verdana" w:hAnsi="Verdana" w:cs="Arial"/>
              </w:rPr>
              <w:t>Constitución Política de 1991, artículos 150, 209, 267 y 352.</w:t>
            </w:r>
          </w:p>
          <w:p w14:paraId="0B864D23" w14:textId="77777777" w:rsidR="009131CF" w:rsidRDefault="009131CF" w:rsidP="007D4D86">
            <w:pPr>
              <w:pStyle w:val="Prrafodelista"/>
              <w:widowControl w:val="0"/>
              <w:numPr>
                <w:ilvl w:val="0"/>
                <w:numId w:val="16"/>
              </w:numPr>
              <w:autoSpaceDE w:val="0"/>
              <w:autoSpaceDN w:val="0"/>
              <w:snapToGrid w:val="0"/>
              <w:spacing w:after="120" w:line="276" w:lineRule="auto"/>
              <w:ind w:left="714" w:hanging="357"/>
              <w:contextualSpacing w:val="0"/>
              <w:jc w:val="both"/>
              <w:rPr>
                <w:rFonts w:ascii="Verdana" w:hAnsi="Verdana" w:cs="Arial"/>
              </w:rPr>
            </w:pPr>
            <w:r>
              <w:rPr>
                <w:rFonts w:ascii="Verdana" w:hAnsi="Verdana" w:cs="Arial"/>
              </w:rPr>
              <w:t>Ley 80 de 1993, artículos 2, 13, 24 y 32.</w:t>
            </w:r>
          </w:p>
          <w:p w14:paraId="3A49E93E" w14:textId="77777777" w:rsidR="009131CF" w:rsidRDefault="009131CF" w:rsidP="007D4D86">
            <w:pPr>
              <w:pStyle w:val="Prrafodelista"/>
              <w:widowControl w:val="0"/>
              <w:numPr>
                <w:ilvl w:val="0"/>
                <w:numId w:val="16"/>
              </w:numPr>
              <w:autoSpaceDE w:val="0"/>
              <w:autoSpaceDN w:val="0"/>
              <w:snapToGrid w:val="0"/>
              <w:spacing w:after="120" w:line="276" w:lineRule="auto"/>
              <w:ind w:left="714" w:hanging="357"/>
              <w:contextualSpacing w:val="0"/>
              <w:jc w:val="both"/>
              <w:rPr>
                <w:rFonts w:ascii="Verdana" w:hAnsi="Verdana" w:cs="Arial"/>
              </w:rPr>
            </w:pPr>
            <w:r>
              <w:rPr>
                <w:rFonts w:ascii="Verdana" w:hAnsi="Verdana" w:cs="Arial"/>
              </w:rPr>
              <w:t>Ley 1150 de 2007, artículos 2, 5, 7, 13 y 20.</w:t>
            </w:r>
          </w:p>
          <w:p w14:paraId="4085CBD6" w14:textId="77777777" w:rsidR="009131CF" w:rsidRDefault="009131CF" w:rsidP="007D4D86">
            <w:pPr>
              <w:pStyle w:val="Prrafodelista"/>
              <w:widowControl w:val="0"/>
              <w:numPr>
                <w:ilvl w:val="0"/>
                <w:numId w:val="16"/>
              </w:numPr>
              <w:autoSpaceDE w:val="0"/>
              <w:autoSpaceDN w:val="0"/>
              <w:snapToGrid w:val="0"/>
              <w:spacing w:after="120" w:line="276" w:lineRule="auto"/>
              <w:ind w:left="714" w:hanging="357"/>
              <w:contextualSpacing w:val="0"/>
              <w:jc w:val="both"/>
              <w:rPr>
                <w:rFonts w:ascii="Verdana" w:hAnsi="Verdana" w:cs="Arial"/>
              </w:rPr>
            </w:pPr>
            <w:r>
              <w:rPr>
                <w:rFonts w:ascii="Verdana" w:hAnsi="Verdana" w:cs="Arial"/>
              </w:rPr>
              <w:t>Ley 2022 de 2020, artículo 1.</w:t>
            </w:r>
          </w:p>
          <w:p w14:paraId="67E9A230" w14:textId="77777777" w:rsidR="009131CF" w:rsidRDefault="009131CF" w:rsidP="007D4D86">
            <w:pPr>
              <w:pStyle w:val="Prrafodelista"/>
              <w:widowControl w:val="0"/>
              <w:numPr>
                <w:ilvl w:val="0"/>
                <w:numId w:val="16"/>
              </w:numPr>
              <w:autoSpaceDE w:val="0"/>
              <w:autoSpaceDN w:val="0"/>
              <w:snapToGrid w:val="0"/>
              <w:spacing w:after="120" w:line="276" w:lineRule="auto"/>
              <w:ind w:left="714" w:hanging="357"/>
              <w:contextualSpacing w:val="0"/>
              <w:jc w:val="both"/>
              <w:rPr>
                <w:rFonts w:ascii="Verdana" w:hAnsi="Verdana" w:cs="Arial"/>
              </w:rPr>
            </w:pPr>
            <w:r>
              <w:rPr>
                <w:rFonts w:ascii="Verdana" w:hAnsi="Verdana" w:cs="Arial"/>
              </w:rPr>
              <w:t>Ley 2195 de 2022, artículo 56.</w:t>
            </w:r>
          </w:p>
          <w:p w14:paraId="08FFF64A" w14:textId="77777777" w:rsidR="009131CF" w:rsidRPr="00166E36" w:rsidRDefault="009131CF" w:rsidP="007D4D86">
            <w:pPr>
              <w:pStyle w:val="Prrafodelista"/>
              <w:numPr>
                <w:ilvl w:val="0"/>
                <w:numId w:val="16"/>
              </w:numPr>
              <w:snapToGrid w:val="0"/>
              <w:spacing w:after="120" w:line="276" w:lineRule="auto"/>
              <w:contextualSpacing w:val="0"/>
              <w:jc w:val="both"/>
              <w:rPr>
                <w:rFonts w:ascii="Verdana" w:eastAsia="Calibri" w:hAnsi="Verdana" w:cs="Arial"/>
                <w:bCs/>
                <w:lang w:eastAsia="es-MX"/>
              </w:rPr>
            </w:pPr>
            <w:r w:rsidRPr="00F52993">
              <w:rPr>
                <w:rFonts w:ascii="Verdana" w:eastAsia="Aptos" w:hAnsi="Verdana" w:cs="Arial"/>
              </w:rPr>
              <w:t xml:space="preserve">Ley 100 de 1993, artículo 195. </w:t>
            </w:r>
          </w:p>
          <w:p w14:paraId="5E98291B" w14:textId="77777777" w:rsidR="009131CF" w:rsidRPr="00166E36" w:rsidRDefault="009131CF" w:rsidP="007D4D86">
            <w:pPr>
              <w:pStyle w:val="Prrafodelista"/>
              <w:numPr>
                <w:ilvl w:val="0"/>
                <w:numId w:val="16"/>
              </w:numPr>
              <w:snapToGrid w:val="0"/>
              <w:spacing w:after="120" w:line="276" w:lineRule="auto"/>
              <w:contextualSpacing w:val="0"/>
              <w:jc w:val="both"/>
              <w:rPr>
                <w:rFonts w:ascii="Verdana" w:eastAsia="Calibri" w:hAnsi="Verdana" w:cs="Arial"/>
                <w:bCs/>
                <w:lang w:eastAsia="es-MX"/>
              </w:rPr>
            </w:pPr>
            <w:r w:rsidRPr="005325E2">
              <w:rPr>
                <w:rFonts w:ascii="Verdana" w:hAnsi="Verdana" w:cs="Arial"/>
              </w:rPr>
              <w:t>Código de Comercio, artículo</w:t>
            </w:r>
            <w:r>
              <w:rPr>
                <w:rFonts w:ascii="Verdana" w:hAnsi="Verdana" w:cs="Arial"/>
              </w:rPr>
              <w:t xml:space="preserve"> 99.</w:t>
            </w:r>
          </w:p>
          <w:p w14:paraId="0E6DE1CE" w14:textId="77777777" w:rsidR="009131CF" w:rsidRPr="005447E6" w:rsidRDefault="009131CF" w:rsidP="007D4D86">
            <w:pPr>
              <w:pStyle w:val="Prrafodelista"/>
              <w:widowControl w:val="0"/>
              <w:numPr>
                <w:ilvl w:val="0"/>
                <w:numId w:val="16"/>
              </w:numPr>
              <w:autoSpaceDE w:val="0"/>
              <w:autoSpaceDN w:val="0"/>
              <w:snapToGrid w:val="0"/>
              <w:spacing w:after="120" w:line="276" w:lineRule="auto"/>
              <w:ind w:left="714" w:hanging="357"/>
              <w:contextualSpacing w:val="0"/>
              <w:jc w:val="both"/>
              <w:rPr>
                <w:rFonts w:ascii="Verdana" w:hAnsi="Verdana" w:cs="Arial"/>
              </w:rPr>
            </w:pPr>
            <w:r>
              <w:rPr>
                <w:rFonts w:ascii="Verdana" w:hAnsi="Verdana" w:cs="Arial"/>
              </w:rPr>
              <w:t>Decreto Ley 111 de 1996, artículo 110.</w:t>
            </w:r>
          </w:p>
          <w:p w14:paraId="287C4C04" w14:textId="77777777" w:rsidR="009131CF" w:rsidRPr="00B954AE" w:rsidRDefault="009131CF" w:rsidP="007D4D86">
            <w:pPr>
              <w:pStyle w:val="Prrafodelista"/>
              <w:widowControl w:val="0"/>
              <w:numPr>
                <w:ilvl w:val="0"/>
                <w:numId w:val="16"/>
              </w:numPr>
              <w:autoSpaceDE w:val="0"/>
              <w:autoSpaceDN w:val="0"/>
              <w:snapToGrid w:val="0"/>
              <w:spacing w:after="120" w:line="276" w:lineRule="auto"/>
              <w:ind w:left="714" w:hanging="357"/>
              <w:contextualSpacing w:val="0"/>
              <w:jc w:val="both"/>
              <w:rPr>
                <w:rFonts w:ascii="Verdana" w:hAnsi="Verdana" w:cs="Arial"/>
              </w:rPr>
            </w:pPr>
            <w:r w:rsidRPr="004076CB">
              <w:rPr>
                <w:rFonts w:ascii="Verdana" w:hAnsi="Verdana" w:cs="Arial"/>
              </w:rPr>
              <w:t>Decreto 1082 de 2015</w:t>
            </w:r>
            <w:r>
              <w:rPr>
                <w:rFonts w:ascii="Verdana" w:hAnsi="Verdana" w:cs="Arial"/>
              </w:rPr>
              <w:t xml:space="preserve">, artículo </w:t>
            </w:r>
            <w:r w:rsidRPr="00A679CC">
              <w:rPr>
                <w:rFonts w:ascii="Verdana" w:eastAsia="Calibri" w:hAnsi="Verdana" w:cs="Arial"/>
              </w:rPr>
              <w:t>2.2.1.2.4.4.1</w:t>
            </w:r>
            <w:r>
              <w:rPr>
                <w:rFonts w:ascii="Verdana" w:hAnsi="Verdana" w:cs="Arial"/>
              </w:rPr>
              <w:t xml:space="preserve">. </w:t>
            </w:r>
          </w:p>
          <w:p w14:paraId="437D076D" w14:textId="77777777" w:rsidR="009131CF" w:rsidRPr="00F40F0E" w:rsidRDefault="009131CF" w:rsidP="007D4D86">
            <w:pPr>
              <w:widowControl w:val="0"/>
              <w:numPr>
                <w:ilvl w:val="0"/>
                <w:numId w:val="16"/>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after="120" w:line="276" w:lineRule="auto"/>
              <w:jc w:val="both"/>
              <w:rPr>
                <w:rFonts w:ascii="Verdana" w:eastAsia="Aptos" w:hAnsi="Verdana" w:cs="Times New Roman"/>
              </w:rPr>
            </w:pPr>
            <w:r w:rsidRPr="00F40F0E">
              <w:rPr>
                <w:rFonts w:ascii="Verdana" w:eastAsia="Aptos" w:hAnsi="Verdana" w:cs="Times New Roman"/>
              </w:rPr>
              <w:t xml:space="preserve">Consejo de Estado. Sala de Consulta y Servicio Civil. Concepto del 27 de agosto de 1998, Rad. 1.127, C.P. Javier Henao Hidrón. Rad. 1.127. </w:t>
            </w:r>
          </w:p>
          <w:p w14:paraId="2E92AF80" w14:textId="77777777" w:rsidR="009131CF" w:rsidRPr="00F40F0E" w:rsidRDefault="009131CF" w:rsidP="007D4D86">
            <w:pPr>
              <w:widowControl w:val="0"/>
              <w:numPr>
                <w:ilvl w:val="0"/>
                <w:numId w:val="16"/>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after="120" w:line="276" w:lineRule="auto"/>
              <w:jc w:val="both"/>
              <w:rPr>
                <w:rFonts w:ascii="Verdana" w:eastAsia="Aptos" w:hAnsi="Verdana" w:cs="Times New Roman"/>
              </w:rPr>
            </w:pPr>
            <w:r w:rsidRPr="00F40F0E">
              <w:rPr>
                <w:rFonts w:ascii="Verdana" w:eastAsia="Aptos" w:hAnsi="Verdana" w:cs="Times New Roman"/>
              </w:rPr>
              <w:t>Consejo de Estado. Sala de Consulta y Servicio Civil. Concepto del 6 de abril de 2000, C.P. Flavio Augusto Rodriguez Arce. Rad. 1.263.</w:t>
            </w:r>
          </w:p>
          <w:p w14:paraId="4C637F3E" w14:textId="77777777" w:rsidR="009131CF" w:rsidRPr="00F40F0E" w:rsidRDefault="009131CF" w:rsidP="007D4D86">
            <w:pPr>
              <w:widowControl w:val="0"/>
              <w:numPr>
                <w:ilvl w:val="0"/>
                <w:numId w:val="16"/>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after="120" w:line="276" w:lineRule="auto"/>
              <w:jc w:val="both"/>
              <w:rPr>
                <w:rFonts w:ascii="Verdana" w:eastAsia="Aptos" w:hAnsi="Verdana" w:cs="Times New Roman"/>
              </w:rPr>
            </w:pPr>
            <w:r w:rsidRPr="00F40F0E">
              <w:rPr>
                <w:rFonts w:ascii="Verdana" w:eastAsia="Aptos" w:hAnsi="Verdana" w:cs="Times New Roman"/>
              </w:rPr>
              <w:t xml:space="preserve">Consejo de Estado. Sección Tercera. Sentencia 18 de febrero de 2010. </w:t>
            </w:r>
            <w:r w:rsidRPr="00F40F0E">
              <w:rPr>
                <w:rFonts w:ascii="Verdana" w:eastAsia="Aptos" w:hAnsi="Verdana" w:cs="Times New Roman"/>
              </w:rPr>
              <w:lastRenderedPageBreak/>
              <w:t xml:space="preserve">CP, Enrique Gil Botero. </w:t>
            </w:r>
            <w:proofErr w:type="spellStart"/>
            <w:r w:rsidRPr="00F40F0E">
              <w:rPr>
                <w:rFonts w:ascii="Verdana" w:eastAsia="Aptos" w:hAnsi="Verdana" w:cs="Times New Roman"/>
              </w:rPr>
              <w:t>Exp</w:t>
            </w:r>
            <w:proofErr w:type="spellEnd"/>
            <w:r w:rsidRPr="00F40F0E">
              <w:rPr>
                <w:rFonts w:ascii="Verdana" w:eastAsia="Aptos" w:hAnsi="Verdana" w:cs="Times New Roman"/>
              </w:rPr>
              <w:t xml:space="preserve">. 37004. </w:t>
            </w:r>
          </w:p>
          <w:p w14:paraId="20153AC7" w14:textId="77777777" w:rsidR="009131CF" w:rsidRPr="00F40F0E" w:rsidRDefault="009131CF" w:rsidP="007D4D86">
            <w:pPr>
              <w:widowControl w:val="0"/>
              <w:numPr>
                <w:ilvl w:val="0"/>
                <w:numId w:val="16"/>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after="120" w:line="276" w:lineRule="auto"/>
              <w:jc w:val="both"/>
              <w:rPr>
                <w:rFonts w:ascii="Verdana" w:eastAsia="Aptos" w:hAnsi="Verdana" w:cs="Times New Roman"/>
              </w:rPr>
            </w:pPr>
            <w:r w:rsidRPr="00F40F0E">
              <w:rPr>
                <w:rFonts w:ascii="Verdana" w:eastAsia="Aptos" w:hAnsi="Verdana" w:cs="Times New Roman"/>
              </w:rPr>
              <w:t xml:space="preserve">Consejo de Estado. Sección Tercera. Subsección A. Sentencia del 24 de octubre de 2016. C.P. Marta Nubia Velásquez Rico. </w:t>
            </w:r>
            <w:proofErr w:type="spellStart"/>
            <w:r w:rsidRPr="00F40F0E">
              <w:rPr>
                <w:rFonts w:ascii="Verdana" w:eastAsia="Aptos" w:hAnsi="Verdana" w:cs="Times New Roman"/>
              </w:rPr>
              <w:t>Exp</w:t>
            </w:r>
            <w:proofErr w:type="spellEnd"/>
            <w:r w:rsidRPr="00F40F0E">
              <w:rPr>
                <w:rFonts w:ascii="Verdana" w:eastAsia="Aptos" w:hAnsi="Verdana" w:cs="Times New Roman"/>
              </w:rPr>
              <w:t>. 45.607.</w:t>
            </w:r>
          </w:p>
          <w:p w14:paraId="697CA22E" w14:textId="77777777" w:rsidR="009131CF" w:rsidRDefault="009131CF" w:rsidP="007D4D86">
            <w:pPr>
              <w:widowControl w:val="0"/>
              <w:numPr>
                <w:ilvl w:val="0"/>
                <w:numId w:val="16"/>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after="120" w:line="276" w:lineRule="auto"/>
              <w:jc w:val="both"/>
              <w:rPr>
                <w:rFonts w:ascii="Verdana" w:eastAsia="Aptos" w:hAnsi="Verdana" w:cs="Times New Roman"/>
                <w:lang w:val="pt-BR"/>
              </w:rPr>
            </w:pPr>
            <w:r w:rsidRPr="00F40F0E">
              <w:rPr>
                <w:rFonts w:ascii="Verdana" w:eastAsia="Aptos" w:hAnsi="Verdana" w:cs="Times New Roman"/>
                <w:lang w:val="pt-BR"/>
              </w:rPr>
              <w:t xml:space="preserve">Corte Constitucional. Sentencia C-665 de 2000. M.P. José </w:t>
            </w:r>
            <w:proofErr w:type="spellStart"/>
            <w:r w:rsidRPr="00F40F0E">
              <w:rPr>
                <w:rFonts w:ascii="Verdana" w:eastAsia="Aptos" w:hAnsi="Verdana" w:cs="Times New Roman"/>
                <w:lang w:val="pt-BR"/>
              </w:rPr>
              <w:t>Gregorio</w:t>
            </w:r>
            <w:proofErr w:type="spellEnd"/>
            <w:r w:rsidRPr="00F40F0E">
              <w:rPr>
                <w:rFonts w:ascii="Verdana" w:eastAsia="Aptos" w:hAnsi="Verdana" w:cs="Times New Roman"/>
                <w:lang w:val="pt-BR"/>
              </w:rPr>
              <w:t xml:space="preserve"> Hernández Galindo</w:t>
            </w:r>
            <w:r>
              <w:rPr>
                <w:rFonts w:ascii="Verdana" w:eastAsia="Aptos" w:hAnsi="Verdana" w:cs="Times New Roman"/>
                <w:lang w:val="pt-BR"/>
              </w:rPr>
              <w:t>.</w:t>
            </w:r>
          </w:p>
          <w:p w14:paraId="6D66C042" w14:textId="77777777" w:rsidR="009131CF" w:rsidRPr="00F40F0E" w:rsidRDefault="009131CF" w:rsidP="007D4D86">
            <w:pPr>
              <w:widowControl w:val="0"/>
              <w:numPr>
                <w:ilvl w:val="0"/>
                <w:numId w:val="16"/>
              </w:numPr>
              <w:autoSpaceDE w:val="0"/>
              <w:autoSpaceDN w:val="0"/>
              <w:snapToGrid w:val="0"/>
              <w:spacing w:after="120" w:line="276" w:lineRule="auto"/>
              <w:ind w:left="714" w:hanging="357"/>
              <w:jc w:val="both"/>
              <w:rPr>
                <w:rFonts w:ascii="Verdana" w:eastAsia="Aptos" w:hAnsi="Verdana" w:cs="Arial"/>
              </w:rPr>
            </w:pPr>
            <w:r w:rsidRPr="00F40F0E">
              <w:rPr>
                <w:rFonts w:ascii="Verdana" w:eastAsia="Aptos" w:hAnsi="Verdana" w:cs="Arial"/>
              </w:rPr>
              <w:t xml:space="preserve">Consejo de Estado. Sección Tercera. Sentencia del 6 de julio de 2005. </w:t>
            </w:r>
            <w:proofErr w:type="spellStart"/>
            <w:r w:rsidRPr="00F40F0E">
              <w:rPr>
                <w:rFonts w:ascii="Verdana" w:eastAsia="Aptos" w:hAnsi="Verdana" w:cs="Arial"/>
              </w:rPr>
              <w:t>Exp</w:t>
            </w:r>
            <w:proofErr w:type="spellEnd"/>
            <w:r w:rsidRPr="00F40F0E">
              <w:rPr>
                <w:rFonts w:ascii="Verdana" w:eastAsia="Aptos" w:hAnsi="Verdana" w:cs="Arial"/>
              </w:rPr>
              <w:t>. No. 11575. C.P. Alier E. Hernández Enríquez</w:t>
            </w:r>
            <w:r>
              <w:rPr>
                <w:rFonts w:ascii="Verdana" w:eastAsia="Aptos" w:hAnsi="Verdana" w:cs="Arial"/>
              </w:rPr>
              <w:t>.</w:t>
            </w:r>
          </w:p>
          <w:p w14:paraId="19EAA65B" w14:textId="77777777" w:rsidR="009131CF" w:rsidRPr="00F40F0E" w:rsidRDefault="009131CF" w:rsidP="007D4D86">
            <w:pPr>
              <w:widowControl w:val="0"/>
              <w:numPr>
                <w:ilvl w:val="0"/>
                <w:numId w:val="16"/>
              </w:numPr>
              <w:autoSpaceDE w:val="0"/>
              <w:autoSpaceDN w:val="0"/>
              <w:snapToGrid w:val="0"/>
              <w:spacing w:after="120" w:line="276" w:lineRule="auto"/>
              <w:ind w:left="714" w:hanging="357"/>
              <w:jc w:val="both"/>
              <w:rPr>
                <w:rFonts w:ascii="Verdana" w:eastAsia="Aptos" w:hAnsi="Verdana" w:cs="Arial"/>
              </w:rPr>
            </w:pPr>
            <w:r w:rsidRPr="00F40F0E">
              <w:rPr>
                <w:rFonts w:ascii="Verdana" w:eastAsia="Aptos" w:hAnsi="Verdana" w:cs="Arial"/>
              </w:rPr>
              <w:t>C</w:t>
            </w:r>
            <w:r>
              <w:rPr>
                <w:rFonts w:ascii="Verdana" w:eastAsia="Aptos" w:hAnsi="Verdana" w:cs="Arial"/>
              </w:rPr>
              <w:t>onsejo de Estado</w:t>
            </w:r>
            <w:r w:rsidRPr="00F40F0E">
              <w:rPr>
                <w:rFonts w:ascii="Verdana" w:eastAsia="Aptos" w:hAnsi="Verdana" w:cs="Arial"/>
              </w:rPr>
              <w:t xml:space="preserve">. Sección Tercera. Subsección A. Sentencia del 3 de marzo de 2021. </w:t>
            </w:r>
            <w:proofErr w:type="spellStart"/>
            <w:r w:rsidRPr="00F40F0E">
              <w:rPr>
                <w:rFonts w:ascii="Verdana" w:eastAsia="Aptos" w:hAnsi="Verdana" w:cs="Arial"/>
              </w:rPr>
              <w:t>Exp</w:t>
            </w:r>
            <w:proofErr w:type="spellEnd"/>
            <w:r w:rsidRPr="00F40F0E">
              <w:rPr>
                <w:rFonts w:ascii="Verdana" w:eastAsia="Aptos" w:hAnsi="Verdana" w:cs="Arial"/>
              </w:rPr>
              <w:t>. No. 51373. C.P. José Roberto Sáchica Méndez.</w:t>
            </w:r>
          </w:p>
          <w:p w14:paraId="59FCA6A2" w14:textId="77777777" w:rsidR="009131CF" w:rsidRPr="00F40F0E" w:rsidRDefault="009131CF" w:rsidP="007D4D86">
            <w:pPr>
              <w:widowControl w:val="0"/>
              <w:numPr>
                <w:ilvl w:val="0"/>
                <w:numId w:val="16"/>
              </w:numPr>
              <w:autoSpaceDE w:val="0"/>
              <w:autoSpaceDN w:val="0"/>
              <w:snapToGrid w:val="0"/>
              <w:spacing w:after="120" w:line="276" w:lineRule="auto"/>
              <w:ind w:left="714" w:hanging="357"/>
              <w:jc w:val="both"/>
              <w:rPr>
                <w:rFonts w:ascii="Verdana" w:eastAsia="Aptos" w:hAnsi="Verdana" w:cs="Arial"/>
              </w:rPr>
            </w:pPr>
            <w:r w:rsidRPr="00F40F0E">
              <w:rPr>
                <w:rFonts w:ascii="Verdana" w:eastAsia="Aptos" w:hAnsi="Verdana" w:cs="Arial"/>
              </w:rPr>
              <w:t>C</w:t>
            </w:r>
            <w:r>
              <w:rPr>
                <w:rFonts w:ascii="Verdana" w:eastAsia="Aptos" w:hAnsi="Verdana" w:cs="Arial"/>
              </w:rPr>
              <w:t>onsejo de Estado</w:t>
            </w:r>
            <w:r w:rsidRPr="00F40F0E">
              <w:rPr>
                <w:rFonts w:ascii="Verdana" w:eastAsia="Aptos" w:hAnsi="Verdana" w:cs="Arial"/>
              </w:rPr>
              <w:t xml:space="preserve">. Sección Tercera. Subsección B. Sentencia del 12 de octubre de 2011. </w:t>
            </w:r>
            <w:proofErr w:type="spellStart"/>
            <w:r w:rsidRPr="00F40F0E">
              <w:rPr>
                <w:rFonts w:ascii="Verdana" w:eastAsia="Aptos" w:hAnsi="Verdana" w:cs="Arial"/>
              </w:rPr>
              <w:t>Exp</w:t>
            </w:r>
            <w:proofErr w:type="spellEnd"/>
            <w:r w:rsidRPr="00F40F0E">
              <w:rPr>
                <w:rFonts w:ascii="Verdana" w:eastAsia="Aptos" w:hAnsi="Verdana" w:cs="Arial"/>
              </w:rPr>
              <w:t>. No. 20070. C.P. Danilo Rojas Betancourt.</w:t>
            </w:r>
          </w:p>
          <w:p w14:paraId="4C9169D2" w14:textId="77777777" w:rsidR="009131CF" w:rsidRPr="00F40F0E" w:rsidRDefault="009131CF" w:rsidP="007D4D86">
            <w:pPr>
              <w:widowControl w:val="0"/>
              <w:numPr>
                <w:ilvl w:val="0"/>
                <w:numId w:val="16"/>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after="120" w:line="276" w:lineRule="auto"/>
              <w:jc w:val="both"/>
              <w:rPr>
                <w:rFonts w:ascii="Verdana" w:eastAsia="Aptos" w:hAnsi="Verdana" w:cs="Times New Roman"/>
                <w:lang w:val="pt-BR"/>
              </w:rPr>
            </w:pPr>
            <w:r>
              <w:rPr>
                <w:rFonts w:ascii="Verdana" w:eastAsia="Aptos" w:hAnsi="Verdana" w:cs="Arial"/>
              </w:rPr>
              <w:t>Corte Constitucional</w:t>
            </w:r>
            <w:r w:rsidRPr="00F40F0E">
              <w:rPr>
                <w:rFonts w:ascii="Verdana" w:eastAsia="Aptos" w:hAnsi="Verdana" w:cs="Arial"/>
              </w:rPr>
              <w:t>, Sentencia C-382 de 2019, M.P. Alejandro Linares Cantillo.</w:t>
            </w:r>
          </w:p>
          <w:p w14:paraId="01957662" w14:textId="77777777" w:rsidR="009131CF" w:rsidRDefault="009131CF" w:rsidP="007D4D86">
            <w:pPr>
              <w:widowControl w:val="0"/>
              <w:numPr>
                <w:ilvl w:val="0"/>
                <w:numId w:val="16"/>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after="120" w:line="276" w:lineRule="auto"/>
              <w:jc w:val="both"/>
              <w:rPr>
                <w:rFonts w:ascii="Verdana" w:eastAsia="Aptos" w:hAnsi="Verdana" w:cs="Times New Roman"/>
              </w:rPr>
            </w:pPr>
            <w:r w:rsidRPr="00F40F0E">
              <w:rPr>
                <w:rFonts w:ascii="Verdana" w:eastAsia="Aptos" w:hAnsi="Verdana" w:cs="Times New Roman"/>
              </w:rPr>
              <w:t>Ministerio de Salud y la Protección Social. Concepto del 16 de agosto de 2019. Expediente No. 201942301304712.</w:t>
            </w:r>
          </w:p>
          <w:p w14:paraId="5DEB3FF4" w14:textId="77777777" w:rsidR="009131CF" w:rsidRPr="00485D3C" w:rsidRDefault="009131CF" w:rsidP="007D4D86">
            <w:pPr>
              <w:widowControl w:val="0"/>
              <w:numPr>
                <w:ilvl w:val="0"/>
                <w:numId w:val="16"/>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after="120" w:line="276" w:lineRule="auto"/>
              <w:jc w:val="both"/>
              <w:rPr>
                <w:rFonts w:ascii="Verdana" w:eastAsia="Aptos" w:hAnsi="Verdana" w:cs="Times New Roman"/>
              </w:rPr>
            </w:pPr>
            <w:r w:rsidRPr="00485D3C">
              <w:rPr>
                <w:rFonts w:ascii="Verdana" w:hAnsi="Verdana" w:cs="Arial"/>
                <w:color w:val="000000" w:themeColor="text1"/>
              </w:rPr>
              <w:t>FIGUEROA U. Organismos internacionales. 2ª edición. Santiago de Chile: Editorial RIL editores, 2010.</w:t>
            </w:r>
          </w:p>
          <w:p w14:paraId="25014FE1" w14:textId="77777777" w:rsidR="009131CF" w:rsidRPr="00F40F0E" w:rsidRDefault="009131CF" w:rsidP="007D4D86">
            <w:pPr>
              <w:widowControl w:val="0"/>
              <w:numPr>
                <w:ilvl w:val="0"/>
                <w:numId w:val="16"/>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napToGrid w:val="0"/>
              <w:spacing w:after="120" w:line="276" w:lineRule="auto"/>
              <w:jc w:val="both"/>
              <w:rPr>
                <w:rFonts w:ascii="Verdana" w:eastAsia="Aptos" w:hAnsi="Verdana" w:cs="Times New Roman"/>
              </w:rPr>
            </w:pPr>
            <w:r w:rsidRPr="00F40F0E">
              <w:rPr>
                <w:rFonts w:ascii="Verdana" w:eastAsia="Aptos" w:hAnsi="Verdana" w:cs="Times New Roman"/>
              </w:rPr>
              <w:t xml:space="preserve">HINESTROSA FORERO, Fernando. Tratado de las Obligaciones II. De las fuentes de las obligaciones: el negocio jurídico. Vol. I. Bogotá: Universidad Externado de Colombia, 2015. p. 116.  </w:t>
            </w:r>
          </w:p>
          <w:p w14:paraId="3E6240AE" w14:textId="77777777" w:rsidR="009131CF" w:rsidRPr="00F40F0E" w:rsidRDefault="009131CF" w:rsidP="007D4D86">
            <w:pPr>
              <w:widowControl w:val="0"/>
              <w:numPr>
                <w:ilvl w:val="0"/>
                <w:numId w:val="16"/>
              </w:numPr>
              <w:autoSpaceDE w:val="0"/>
              <w:autoSpaceDN w:val="0"/>
              <w:snapToGrid w:val="0"/>
              <w:spacing w:after="120" w:line="276" w:lineRule="auto"/>
              <w:jc w:val="both"/>
              <w:rPr>
                <w:rFonts w:ascii="Verdana" w:eastAsia="Calibri" w:hAnsi="Verdana" w:cs="Arial"/>
                <w:lang w:val="es-ES_tradnl" w:eastAsia="es-MX"/>
              </w:rPr>
            </w:pPr>
            <w:r w:rsidRPr="00F40F0E">
              <w:rPr>
                <w:rFonts w:ascii="Verdana" w:eastAsia="Aptos" w:hAnsi="Verdana" w:cs="Times New Roman"/>
              </w:rPr>
              <w:t>JOJOA BOLAÑOS, Alexander. Los regímenes exceptuados en los contratos estatales. Bogotá: Grupo Editorial Ibáñez, 2012.</w:t>
            </w:r>
          </w:p>
          <w:p w14:paraId="5A583A29" w14:textId="77777777" w:rsidR="009131CF" w:rsidRPr="002E5C52" w:rsidRDefault="009131CF" w:rsidP="007D4D86">
            <w:pPr>
              <w:widowControl w:val="0"/>
              <w:numPr>
                <w:ilvl w:val="0"/>
                <w:numId w:val="16"/>
              </w:numPr>
              <w:autoSpaceDE w:val="0"/>
              <w:autoSpaceDN w:val="0"/>
              <w:snapToGrid w:val="0"/>
              <w:spacing w:after="120" w:line="276" w:lineRule="auto"/>
              <w:jc w:val="both"/>
              <w:rPr>
                <w:rFonts w:ascii="Verdana" w:eastAsia="Calibri" w:hAnsi="Verdana" w:cs="Arial"/>
                <w:lang w:eastAsia="es-MX"/>
              </w:rPr>
            </w:pPr>
            <w:r w:rsidRPr="00F40F0E">
              <w:rPr>
                <w:rFonts w:ascii="Verdana" w:eastAsia="Calibri" w:hAnsi="Verdana" w:cs="Arial"/>
                <w:lang w:val="es-ES_tradnl" w:eastAsia="es-MX"/>
              </w:rPr>
              <w:t xml:space="preserve">Documentos Tipo. Disponibles en: </w:t>
            </w:r>
            <w:hyperlink r:id="rId11" w:history="1">
              <w:r w:rsidRPr="00F40F0E">
                <w:rPr>
                  <w:rFonts w:ascii="Verdana" w:eastAsia="Calibri" w:hAnsi="Verdana" w:cs="Arial"/>
                  <w:color w:val="0000FF"/>
                  <w:u w:val="single"/>
                  <w:lang w:val="es-ES_tradnl" w:eastAsia="es-MX"/>
                </w:rPr>
                <w:t>https://www.colombiacompra.gov.co/documentos-tipo/documentos-tipo</w:t>
              </w:r>
            </w:hyperlink>
          </w:p>
        </w:tc>
      </w:tr>
    </w:tbl>
    <w:p w14:paraId="1E27E7F3" w14:textId="77777777" w:rsidR="009131CF" w:rsidRPr="00F40F0E" w:rsidRDefault="009131CF" w:rsidP="009131CF">
      <w:pPr>
        <w:tabs>
          <w:tab w:val="left" w:pos="142"/>
          <w:tab w:val="left" w:pos="284"/>
        </w:tabs>
        <w:spacing w:after="0" w:line="276" w:lineRule="auto"/>
        <w:jc w:val="both"/>
        <w:rPr>
          <w:rFonts w:ascii="Verdana" w:eastAsia="Calibri" w:hAnsi="Verdana" w:cs="Arial"/>
          <w:lang w:eastAsia="es-MX"/>
        </w:rPr>
      </w:pPr>
    </w:p>
    <w:p w14:paraId="7BFA1856" w14:textId="77777777" w:rsidR="009131CF" w:rsidRPr="00F40F0E" w:rsidRDefault="009131CF" w:rsidP="009131CF">
      <w:pPr>
        <w:tabs>
          <w:tab w:val="left" w:pos="142"/>
          <w:tab w:val="left" w:pos="284"/>
        </w:tabs>
        <w:spacing w:after="0" w:line="276" w:lineRule="auto"/>
        <w:jc w:val="both"/>
        <w:rPr>
          <w:rFonts w:ascii="Verdana" w:eastAsia="Century Gothic" w:hAnsi="Verdana" w:cs="Century Gothic"/>
          <w:b/>
          <w:bCs/>
          <w:lang w:val="es-ES" w:eastAsia="es-MX"/>
        </w:rPr>
      </w:pPr>
      <w:r w:rsidRPr="00F40F0E">
        <w:rPr>
          <w:rFonts w:ascii="Verdana" w:eastAsia="Calibri" w:hAnsi="Verdana" w:cs="Arial"/>
          <w:b/>
          <w:bCs/>
          <w:lang w:eastAsia="es-MX"/>
        </w:rPr>
        <w:t>5</w:t>
      </w:r>
      <w:r w:rsidRPr="00F40F0E">
        <w:rPr>
          <w:rFonts w:ascii="Verdana" w:eastAsia="Calibri" w:hAnsi="Verdana" w:cs="Arial"/>
          <w:lang w:eastAsia="es-MX"/>
        </w:rPr>
        <w:t>.</w:t>
      </w:r>
      <w:r w:rsidRPr="00F40F0E">
        <w:rPr>
          <w:rFonts w:ascii="Verdana" w:eastAsia="Century Gothic" w:hAnsi="Verdana" w:cs="Century Gothic"/>
          <w:b/>
          <w:bCs/>
          <w:lang w:val="es-ES" w:eastAsia="es-MX"/>
        </w:rPr>
        <w:t>Doctrina de la Agencia Nacional de Contratación Pública:</w:t>
      </w:r>
    </w:p>
    <w:p w14:paraId="44848AE3" w14:textId="77777777" w:rsidR="009131CF" w:rsidRDefault="009131CF" w:rsidP="009131CF">
      <w:pPr>
        <w:widowControl w:val="0"/>
        <w:autoSpaceDE w:val="0"/>
        <w:autoSpaceDN w:val="0"/>
        <w:spacing w:after="0" w:line="276" w:lineRule="auto"/>
        <w:jc w:val="both"/>
        <w:rPr>
          <w:rFonts w:ascii="Verdana" w:eastAsia="Calibri" w:hAnsi="Verdana" w:cs="Arial"/>
          <w:lang w:eastAsia="es-MX"/>
        </w:rPr>
      </w:pPr>
    </w:p>
    <w:p w14:paraId="2BD0F2D1" w14:textId="77777777" w:rsidR="009131CF" w:rsidRPr="00570A3A" w:rsidRDefault="009131CF" w:rsidP="009131CF">
      <w:pPr>
        <w:widowControl w:val="0"/>
        <w:autoSpaceDE w:val="0"/>
        <w:autoSpaceDN w:val="0"/>
        <w:spacing w:after="0" w:line="276" w:lineRule="auto"/>
        <w:jc w:val="both"/>
        <w:rPr>
          <w:rFonts w:ascii="Verdana" w:eastAsia="Calibri" w:hAnsi="Verdana" w:cs="Arial"/>
          <w:lang w:eastAsia="es-MX"/>
        </w:rPr>
      </w:pPr>
      <w:r>
        <w:rPr>
          <w:rFonts w:ascii="Verdana" w:eastAsia="Calibri" w:hAnsi="Verdana" w:cs="Arial"/>
          <w:shd w:val="clear" w:color="auto" w:fill="FFFFFF"/>
        </w:rPr>
        <w:t>La Agencia Nacional de Contratación Pública – Colombia Compra Eficiente</w:t>
      </w:r>
      <w:r w:rsidRPr="003775F4">
        <w:rPr>
          <w:rFonts w:ascii="Verdana" w:eastAsia="Calibri" w:hAnsi="Verdana" w:cs="Arial"/>
          <w:shd w:val="clear" w:color="auto" w:fill="FFFFFF"/>
        </w:rPr>
        <w:t xml:space="preserve"> se ha pronunciado sobre </w:t>
      </w:r>
      <w:r>
        <w:rPr>
          <w:rFonts w:ascii="Verdana" w:eastAsia="Calibri" w:hAnsi="Verdana" w:cs="Arial"/>
          <w:shd w:val="clear" w:color="auto" w:fill="FFFFFF"/>
        </w:rPr>
        <w:t xml:space="preserve">los contratos con organismos internacionales en los conceptos </w:t>
      </w:r>
      <w:r w:rsidRPr="00AA5E50">
        <w:rPr>
          <w:rFonts w:ascii="Verdana" w:eastAsia="Calibri" w:hAnsi="Verdana" w:cs="Arial"/>
          <w:shd w:val="clear" w:color="auto" w:fill="FFFFFF"/>
        </w:rPr>
        <w:t xml:space="preserve">C-185 del 13 de abril de 2020, C-374 del 23 de julio de 2020, C-680 del 18 de noviembre de 2020, C-771 de 13 de enero de 2021, C-781 del 19 de </w:t>
      </w:r>
      <w:r w:rsidRPr="00AA5E50">
        <w:rPr>
          <w:rFonts w:ascii="Verdana" w:eastAsia="Calibri" w:hAnsi="Verdana" w:cs="Arial"/>
          <w:shd w:val="clear" w:color="auto" w:fill="FFFFFF"/>
        </w:rPr>
        <w:lastRenderedPageBreak/>
        <w:t>enero de 2021, C-377 del 28 de julio de 2021, C-049 de 8 de marzo de 2021 y C-461 de 19 de julio de 2021, C-367 de 25 de abril de 2022, C-461 de 2 de junio de 2022, C- 012 de 7 de marzo de 2023, C-039 de 29 de marzo de 2023</w:t>
      </w:r>
      <w:r>
        <w:rPr>
          <w:rFonts w:ascii="Verdana" w:eastAsia="Calibri" w:hAnsi="Verdana" w:cs="Arial"/>
          <w:shd w:val="clear" w:color="auto" w:fill="FFFFFF"/>
        </w:rPr>
        <w:t>, C-979 del 30 de diciembre de 2024 y C-158 del 16 de febrero de 2026.</w:t>
      </w:r>
      <w:r>
        <w:rPr>
          <w:rFonts w:ascii="Verdana" w:eastAsia="Calibri" w:hAnsi="Verdana" w:cs="Arial"/>
          <w:lang w:eastAsia="es-MX"/>
        </w:rPr>
        <w:t xml:space="preserve"> A su vez, </w:t>
      </w:r>
      <w:r w:rsidRPr="00F40F0E">
        <w:rPr>
          <w:rFonts w:ascii="Verdana" w:eastAsia="Aptos" w:hAnsi="Verdana" w:cs="Arial"/>
          <w:kern w:val="2"/>
          <w:shd w:val="clear" w:color="auto" w:fill="FFFFFF"/>
          <w14:ligatures w14:val="standardContextual"/>
        </w:rPr>
        <w:t>se ha</w:t>
      </w:r>
      <w:r>
        <w:rPr>
          <w:rFonts w:ascii="Verdana" w:eastAsia="Aptos" w:hAnsi="Verdana" w:cs="Arial"/>
          <w:kern w:val="2"/>
          <w:shd w:val="clear" w:color="auto" w:fill="FFFFFF"/>
          <w14:ligatures w14:val="standardContextual"/>
        </w:rPr>
        <w:t xml:space="preserve"> referido al </w:t>
      </w:r>
      <w:r w:rsidRPr="00F40F0E">
        <w:rPr>
          <w:rFonts w:ascii="Verdana" w:eastAsia="Aptos" w:hAnsi="Verdana" w:cs="Arial"/>
          <w:kern w:val="2"/>
          <w:shd w:val="clear" w:color="auto" w:fill="FFFFFF"/>
          <w14:ligatures w14:val="standardContextual"/>
        </w:rPr>
        <w:t>régimen de contratación de las entidades exceptuadas del Estatuto General de Contratación de la Administración Pública, entre otros</w:t>
      </w:r>
      <w:r>
        <w:rPr>
          <w:rFonts w:ascii="Verdana" w:eastAsia="Aptos" w:hAnsi="Verdana" w:cs="Arial"/>
          <w:kern w:val="2"/>
          <w:shd w:val="clear" w:color="auto" w:fill="FFFFFF"/>
          <w14:ligatures w14:val="standardContextual"/>
        </w:rPr>
        <w:t>,</w:t>
      </w:r>
      <w:r w:rsidRPr="00F40F0E">
        <w:rPr>
          <w:rFonts w:ascii="Verdana" w:eastAsia="Aptos" w:hAnsi="Verdana" w:cs="Arial"/>
          <w:kern w:val="2"/>
          <w:shd w:val="clear" w:color="auto" w:fill="FFFFFF"/>
          <w14:ligatures w14:val="standardContextual"/>
        </w:rPr>
        <w:t xml:space="preserve"> en los siguientes conceptos: C- 792 del 28 de noviembre de 2024, C-998 del 18 de diciembre de 2024, C- 429 del 13 de mayo de 2025, C-477 del 20 de mayo de 2025, C-1004 del 29 de agosto de 2025, C- 1012 del 4 de septiembre de 2025, C-1224 del 25 de septiembre de 2025, C-1208 del 7 de octubre de 2025, C-1368 del 5 de noviembre de 2025, C-1573 del 5 de diciembre de 2025, C-1605 del 15 de diciembre de 2026, C-1831 del 23 de diciembre de 2025, C-1851 del 21 de enero de 2026 y C-089 del 4 de marzo de 2026.</w:t>
      </w:r>
    </w:p>
    <w:p w14:paraId="0A00194A" w14:textId="77777777" w:rsidR="009131CF" w:rsidRPr="00F40F0E" w:rsidRDefault="009131CF" w:rsidP="009131CF">
      <w:pPr>
        <w:widowControl w:val="0"/>
        <w:autoSpaceDE w:val="0"/>
        <w:autoSpaceDN w:val="0"/>
        <w:spacing w:after="0" w:line="276" w:lineRule="auto"/>
        <w:jc w:val="both"/>
        <w:rPr>
          <w:rFonts w:ascii="Verdana" w:eastAsia="Calibri" w:hAnsi="Verdana" w:cs="Arial"/>
          <w:lang w:eastAsia="es-MX"/>
        </w:rPr>
      </w:pPr>
    </w:p>
    <w:p w14:paraId="40D6EBCC" w14:textId="77777777" w:rsidR="009131CF" w:rsidRPr="00F40F0E" w:rsidRDefault="009131CF" w:rsidP="009131CF">
      <w:pPr>
        <w:widowControl w:val="0"/>
        <w:autoSpaceDE w:val="0"/>
        <w:autoSpaceDN w:val="0"/>
        <w:spacing w:after="0" w:line="276" w:lineRule="auto"/>
        <w:jc w:val="both"/>
        <w:rPr>
          <w:rFonts w:ascii="Verdana" w:eastAsia="Aptos" w:hAnsi="Verdana" w:cs="Arial"/>
          <w:color w:val="FF0000"/>
          <w:kern w:val="2"/>
          <w:shd w:val="clear" w:color="auto" w:fill="FFFFFF"/>
          <w:lang w:val="es-ES"/>
          <w14:ligatures w14:val="standardContextual"/>
        </w:rPr>
      </w:pPr>
      <w:r>
        <w:rPr>
          <w:rFonts w:ascii="Verdana" w:eastAsia="Calibri" w:hAnsi="Verdana" w:cs="Arial"/>
          <w:kern w:val="2"/>
          <w:lang w:val="es-ES" w:eastAsia="es-ES_tradnl"/>
          <w14:ligatures w14:val="standardContextual"/>
        </w:rPr>
        <w:t xml:space="preserve">Por su parte, esta Subdirección </w:t>
      </w:r>
      <w:r w:rsidRPr="00F40F0E">
        <w:rPr>
          <w:rFonts w:ascii="Verdana" w:eastAsia="Times New Roman" w:hAnsi="Verdana" w:cs="Arial"/>
          <w:kern w:val="2"/>
          <w:lang w:val="es-ES_tradnl" w:eastAsia="es-ES_tradnl"/>
          <w14:ligatures w14:val="standardContextual"/>
        </w:rPr>
        <w:t xml:space="preserve">se ha pronunciado sobre </w:t>
      </w:r>
      <w:r w:rsidRPr="00F40F0E">
        <w:rPr>
          <w:rFonts w:ascii="Verdana" w:eastAsia="Times New Roman" w:hAnsi="Verdana" w:cs="Arial"/>
          <w:kern w:val="2"/>
          <w:lang w:eastAsia="es-ES_tradnl"/>
          <w14:ligatures w14:val="standardContextual"/>
        </w:rPr>
        <w:t>el alcance del artículo 56 de la Ley 2195 de 2022, específicamente, a partir del concepto C-066 del 28 de enero de 2022, cuya tesis se desarrolló y complementó</w:t>
      </w:r>
      <w:r>
        <w:rPr>
          <w:rFonts w:ascii="Verdana" w:eastAsia="Times New Roman" w:hAnsi="Verdana" w:cs="Arial"/>
          <w:kern w:val="2"/>
          <w:lang w:eastAsia="es-ES_tradnl"/>
          <w14:ligatures w14:val="standardContextual"/>
        </w:rPr>
        <w:t xml:space="preserve"> en</w:t>
      </w:r>
      <w:r w:rsidRPr="00F40F0E">
        <w:rPr>
          <w:rFonts w:ascii="Verdana" w:eastAsia="Times New Roman" w:hAnsi="Verdana" w:cs="Arial"/>
          <w:kern w:val="2"/>
          <w:lang w:eastAsia="es-ES_tradnl"/>
          <w14:ligatures w14:val="standardContextual"/>
        </w:rPr>
        <w:t xml:space="preserve"> los conceptos </w:t>
      </w:r>
      <w:r w:rsidRPr="00F40F0E">
        <w:rPr>
          <w:rFonts w:ascii="Verdana" w:eastAsia="Aptos" w:hAnsi="Verdana" w:cs="Times New Roman"/>
          <w:kern w:val="2"/>
          <w14:ligatures w14:val="standardContextual"/>
        </w:rPr>
        <w:t xml:space="preserve">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 C-808 del 30 de julio de 2025 y C-246 del 12 de marzo de 2026. </w:t>
      </w:r>
    </w:p>
    <w:p w14:paraId="1020C8A1" w14:textId="77777777" w:rsidR="009131CF" w:rsidRPr="00F40F0E" w:rsidRDefault="009131CF" w:rsidP="009131CF">
      <w:pPr>
        <w:spacing w:after="0" w:line="240" w:lineRule="auto"/>
        <w:jc w:val="both"/>
        <w:rPr>
          <w:rFonts w:ascii="Verdana" w:eastAsia="Calibri" w:hAnsi="Verdana" w:cs="Arial"/>
          <w:color w:val="000000"/>
          <w:shd w:val="clear" w:color="auto" w:fill="FFFFFF"/>
          <w:lang w:eastAsia="es-MX"/>
        </w:rPr>
      </w:pPr>
    </w:p>
    <w:p w14:paraId="54BD81F5" w14:textId="77777777" w:rsidR="009131CF" w:rsidRPr="00F40F0E" w:rsidRDefault="009131CF" w:rsidP="009131CF">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F40F0E">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F40F0E">
          <w:rPr>
            <w:rFonts w:ascii="Verdana" w:eastAsia="Calibri" w:hAnsi="Verdana" w:cs="Arial"/>
            <w:color w:val="0000FF"/>
            <w:u w:val="single"/>
            <w:shd w:val="clear" w:color="auto" w:fill="FFFFFF"/>
            <w:lang w:eastAsia="es-MX"/>
          </w:rPr>
          <w:t>https://relatoria.colombiacompra.gov.co/</w:t>
        </w:r>
      </w:hyperlink>
      <w:r w:rsidRPr="00F40F0E">
        <w:rPr>
          <w:rFonts w:ascii="Verdana" w:eastAsia="Calibri" w:hAnsi="Verdana" w:cs="Arial"/>
          <w:color w:val="0000FF"/>
          <w:u w:val="single"/>
          <w:shd w:val="clear" w:color="auto" w:fill="FFFFFF"/>
          <w:lang w:eastAsia="es-MX"/>
        </w:rPr>
        <w:t> .</w:t>
      </w:r>
    </w:p>
    <w:p w14:paraId="052F7A0F" w14:textId="77777777" w:rsidR="009131CF" w:rsidRPr="00F40F0E" w:rsidRDefault="009131CF" w:rsidP="009131CF">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096A5410" w14:textId="77777777" w:rsidR="009131CF" w:rsidRPr="00F40F0E" w:rsidRDefault="009131CF" w:rsidP="009131CF">
      <w:pPr>
        <w:spacing w:after="0" w:line="276" w:lineRule="auto"/>
        <w:jc w:val="both"/>
        <w:rPr>
          <w:rFonts w:ascii="Verdana" w:eastAsia="Times New Roman" w:hAnsi="Verdana" w:cs="Arial"/>
          <w:lang w:eastAsia="es-MX"/>
        </w:rPr>
      </w:pPr>
      <w:r w:rsidRPr="00F40F0E">
        <w:rPr>
          <w:rFonts w:ascii="Verdana" w:eastAsia="Times New Roman" w:hAnsi="Verdana" w:cs="Arial"/>
          <w:lang w:eastAsia="es-MX"/>
        </w:rPr>
        <w:t xml:space="preserve">La sostenibilidad no es una opción, es una obligación. Por ello, la Agencia Nacional de Contratación Pública –Colombia Compra Eficiente– </w:t>
      </w:r>
      <w:r>
        <w:rPr>
          <w:rFonts w:ascii="Verdana" w:eastAsia="Times New Roman" w:hAnsi="Verdana" w:cs="Arial"/>
          <w:lang w:eastAsia="es-MX"/>
        </w:rPr>
        <w:t>l</w:t>
      </w:r>
      <w:r w:rsidRPr="00F40F0E">
        <w:rPr>
          <w:rFonts w:ascii="Verdana" w:eastAsia="Times New Roman" w:hAnsi="Verdana" w:cs="Arial"/>
          <w:lang w:eastAsia="es-MX"/>
        </w:rPr>
        <w:t xml:space="preserve">e invita a realizar el </w:t>
      </w:r>
      <w:r w:rsidRPr="00F40F0E">
        <w:rPr>
          <w:rFonts w:ascii="Verdana" w:eastAsia="Times New Roman" w:hAnsi="Verdana" w:cs="Arial"/>
          <w:b/>
          <w:bCs/>
          <w:lang w:eastAsia="es-MX"/>
        </w:rPr>
        <w:t>Curso de Contratación Pública Sostenible y Socialmente Responsable</w:t>
      </w:r>
      <w:r w:rsidRPr="00F40F0E">
        <w:rPr>
          <w:rFonts w:ascii="Verdana" w:eastAsia="Times New Roman" w:hAnsi="Verdana" w:cs="Arial"/>
          <w:lang w:eastAsia="es-MX"/>
        </w:rPr>
        <w:t xml:space="preserve">, </w:t>
      </w:r>
      <w:r w:rsidRPr="00F40F0E">
        <w:rPr>
          <w:rFonts w:ascii="Verdana" w:eastAsia="Times New Roman" w:hAnsi="Verdana" w:cs="Arial"/>
          <w:lang w:eastAsia="es-MX"/>
        </w:rPr>
        <w:lastRenderedPageBreak/>
        <w:t>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F40F0E">
        <w:rPr>
          <w:rFonts w:ascii="Verdana" w:eastAsia="Times New Roman" w:hAnsi="Verdana" w:cs="Arial"/>
          <w:lang w:eastAsia="es-MX"/>
        </w:rPr>
        <w:br/>
      </w:r>
      <w:hyperlink r:id="rId13" w:tgtFrame="_new" w:history="1">
        <w:r w:rsidRPr="00F40F0E">
          <w:rPr>
            <w:rFonts w:ascii="Verdana" w:eastAsia="Times New Roman" w:hAnsi="Verdana" w:cs="Arial"/>
            <w:color w:val="0000FF"/>
            <w:u w:val="single"/>
            <w:lang w:eastAsia="es-MX"/>
          </w:rPr>
          <w:t>https://formacionvirtual.colombiacompra.gov.co/mod/page/view.php?id=3718</w:t>
        </w:r>
      </w:hyperlink>
    </w:p>
    <w:p w14:paraId="4F27AFA5" w14:textId="77777777" w:rsidR="009131CF" w:rsidRPr="00F40F0E" w:rsidRDefault="009131CF" w:rsidP="009131CF">
      <w:pPr>
        <w:spacing w:after="0" w:line="276" w:lineRule="auto"/>
        <w:jc w:val="both"/>
        <w:rPr>
          <w:rFonts w:ascii="Verdana" w:eastAsia="Times New Roman" w:hAnsi="Verdana" w:cs="Arial"/>
          <w:lang w:eastAsia="es-MX"/>
        </w:rPr>
      </w:pPr>
      <w:r w:rsidRPr="00F40F0E">
        <w:rPr>
          <w:rFonts w:ascii="Verdana" w:eastAsia="Times New Roman" w:hAnsi="Verdana" w:cs="Arial"/>
          <w:lang w:eastAsia="es-MX"/>
        </w:rPr>
        <w:t xml:space="preserve">De otro lado, </w:t>
      </w:r>
      <w:r>
        <w:rPr>
          <w:rFonts w:ascii="Verdana" w:eastAsia="Times New Roman" w:hAnsi="Verdana" w:cs="Arial"/>
          <w:lang w:eastAsia="es-MX"/>
        </w:rPr>
        <w:t>l</w:t>
      </w:r>
      <w:r w:rsidRPr="00F40F0E">
        <w:rPr>
          <w:rFonts w:ascii="Verdana" w:eastAsia="Times New Roman" w:hAnsi="Verdana" w:cs="Arial"/>
          <w:lang w:eastAsia="es-MX"/>
        </w:rPr>
        <w:t xml:space="preserve">e contamos que esta Agencia ha da un paso decisivo en la estandarización y modernización del </w:t>
      </w:r>
      <w:r w:rsidRPr="00F40F0E">
        <w:rPr>
          <w:rFonts w:ascii="Verdana" w:eastAsia="Times New Roman" w:hAnsi="Verdana" w:cs="Arial"/>
          <w:b/>
          <w:bCs/>
          <w:lang w:eastAsia="es-MX"/>
        </w:rPr>
        <w:t>sector  social</w:t>
      </w:r>
      <w:r w:rsidRPr="00F40F0E">
        <w:rPr>
          <w:rFonts w:ascii="Verdana" w:eastAsia="Times New Roman" w:hAnsi="Verdana" w:cs="Arial"/>
          <w:lang w:eastAsia="es-MX"/>
        </w:rPr>
        <w:t xml:space="preserve"> con la expedición de las </w:t>
      </w:r>
      <w:r w:rsidRPr="00F40F0E">
        <w:rPr>
          <w:rFonts w:ascii="Verdana" w:eastAsia="Times New Roman" w:hAnsi="Verdana" w:cs="Arial"/>
          <w:b/>
          <w:bCs/>
          <w:lang w:eastAsia="es-MX"/>
        </w:rPr>
        <w:t>Resoluciones 539, 540, 541, 952 y 953 de 2025</w:t>
      </w:r>
      <w:r w:rsidRPr="00F40F0E">
        <w:rPr>
          <w:rFonts w:ascii="Verdana" w:eastAsia="Times New Roman" w:hAnsi="Verdana" w:cs="Arial"/>
          <w:lang w:eastAsia="es-MX"/>
        </w:rPr>
        <w:t xml:space="preserve">, </w:t>
      </w:r>
      <w:r w:rsidRPr="00F40F0E">
        <w:rPr>
          <w:rFonts w:ascii="Verdana" w:eastAsia="Times New Roman" w:hAnsi="Verdana" w:cs="Arial"/>
          <w:b/>
          <w:bCs/>
          <w:lang w:eastAsia="es-MX"/>
        </w:rPr>
        <w:t>mediante las cuales adoptó Documentos Tipo</w:t>
      </w:r>
      <w:r w:rsidRPr="00F40F0E">
        <w:rPr>
          <w:rFonts w:ascii="Verdana" w:eastAsia="Times New Roman" w:hAnsi="Verdana" w:cs="Arial"/>
          <w:lang w:eastAsia="es-MX"/>
        </w:rPr>
        <w:t xml:space="preserve"> para las modalidades de selección de</w:t>
      </w:r>
      <w:r w:rsidRPr="00F40F0E">
        <w:rPr>
          <w:rFonts w:ascii="Verdana" w:eastAsia="Times New Roman" w:hAnsi="Verdana" w:cs="Arial"/>
          <w:b/>
          <w:bCs/>
          <w:lang w:eastAsia="es-MX"/>
        </w:rPr>
        <w:t xml:space="preserve"> licitación pública (versión 2), selección abreviada de menor cuantía, mínima cuantía, consultoría e interventoría</w:t>
      </w:r>
      <w:r w:rsidRPr="00F40F0E">
        <w:rPr>
          <w:rFonts w:ascii="Verdana" w:eastAsia="Times New Roman" w:hAnsi="Verdana" w:cs="Arial"/>
          <w:lang w:eastAsia="es-MX"/>
        </w:rPr>
        <w:t>, promoviendo procesos más transparentes, eficientes  competitivos y sostenibles en sectores estratégicos como educación, salud, cultura, recreación, deporte, institucional y vivienda. Consult</w:t>
      </w:r>
      <w:r>
        <w:rPr>
          <w:rFonts w:ascii="Verdana" w:eastAsia="Times New Roman" w:hAnsi="Verdana" w:cs="Arial"/>
          <w:lang w:eastAsia="es-MX"/>
        </w:rPr>
        <w:t>e</w:t>
      </w:r>
      <w:r w:rsidRPr="00F40F0E">
        <w:rPr>
          <w:rFonts w:ascii="Verdana" w:eastAsia="Times New Roman" w:hAnsi="Verdana" w:cs="Arial"/>
          <w:lang w:eastAsia="es-MX"/>
        </w:rPr>
        <w:t xml:space="preserve"> y descarg</w:t>
      </w:r>
      <w:r>
        <w:rPr>
          <w:rFonts w:ascii="Verdana" w:eastAsia="Times New Roman" w:hAnsi="Verdana" w:cs="Arial"/>
          <w:lang w:eastAsia="es-MX"/>
        </w:rPr>
        <w:t>ue</w:t>
      </w:r>
      <w:r w:rsidRPr="00F40F0E">
        <w:rPr>
          <w:rFonts w:ascii="Verdana" w:eastAsia="Times New Roman" w:hAnsi="Verdana" w:cs="Arial"/>
          <w:lang w:eastAsia="es-MX"/>
        </w:rPr>
        <w:t xml:space="preserve"> los documentos aquí: </w:t>
      </w:r>
      <w:hyperlink r:id="rId14" w:tgtFrame="_new" w:history="1">
        <w:r w:rsidRPr="00F40F0E">
          <w:rPr>
            <w:rFonts w:ascii="Verdana" w:eastAsia="Times New Roman" w:hAnsi="Verdana" w:cs="Arial"/>
            <w:color w:val="0000FF"/>
            <w:u w:val="single"/>
            <w:lang w:eastAsia="es-MX"/>
          </w:rPr>
          <w:t>https://www.colombiacompra.gov.co/normativa-y-relatoria/documentos-tipo</w:t>
        </w:r>
      </w:hyperlink>
    </w:p>
    <w:p w14:paraId="408A31DF" w14:textId="77777777" w:rsidR="009131CF" w:rsidRPr="00F40F0E" w:rsidRDefault="009131CF" w:rsidP="009131CF">
      <w:pPr>
        <w:spacing w:after="0" w:line="276" w:lineRule="auto"/>
        <w:jc w:val="both"/>
        <w:rPr>
          <w:rFonts w:ascii="Verdana" w:eastAsia="Times New Roman" w:hAnsi="Verdana" w:cs="Arial"/>
          <w:lang w:eastAsia="es-MX"/>
        </w:rPr>
      </w:pPr>
    </w:p>
    <w:p w14:paraId="10A80531" w14:textId="77777777" w:rsidR="009131CF" w:rsidRPr="00F40F0E" w:rsidRDefault="009131CF" w:rsidP="009131CF">
      <w:pPr>
        <w:spacing w:after="0" w:line="276" w:lineRule="auto"/>
        <w:jc w:val="both"/>
        <w:rPr>
          <w:rFonts w:ascii="Verdana" w:eastAsia="Times New Roman" w:hAnsi="Verdana" w:cs="Arial"/>
          <w:lang w:eastAsia="es-MX"/>
        </w:rPr>
      </w:pPr>
      <w:r w:rsidRPr="00F40F0E">
        <w:rPr>
          <w:rFonts w:ascii="Verdana" w:eastAsia="Times New Roman" w:hAnsi="Verdana" w:cs="Arial"/>
          <w:lang w:eastAsia="es-MX"/>
        </w:rPr>
        <w:t xml:space="preserve">Si quiere conocer más sobre la aplicación de Documentos Tipo puede consultar la última versión de la </w:t>
      </w:r>
      <w:r w:rsidRPr="00F40F0E">
        <w:rPr>
          <w:rFonts w:ascii="Verdana" w:eastAsia="Times New Roman" w:hAnsi="Verdana" w:cs="Arial"/>
          <w:b/>
          <w:bCs/>
          <w:lang w:eastAsia="es-MX"/>
        </w:rPr>
        <w:t>Guía para la comprensión e implementación de los Documentos Tipo de obra pública de infraestructura de transporte</w:t>
      </w:r>
      <w:r w:rsidRPr="00F40F0E">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w:t>
      </w:r>
      <w:r>
        <w:rPr>
          <w:rFonts w:ascii="Verdana" w:eastAsia="Times New Roman" w:hAnsi="Verdana" w:cs="Arial"/>
          <w:lang w:eastAsia="es-MX"/>
        </w:rPr>
        <w:t>e</w:t>
      </w:r>
      <w:r w:rsidRPr="00F40F0E">
        <w:rPr>
          <w:rFonts w:ascii="Verdana" w:eastAsia="Times New Roman" w:hAnsi="Verdana" w:cs="Arial"/>
          <w:lang w:eastAsia="es-MX"/>
        </w:rPr>
        <w:t xml:space="preserve"> la guía aquí:</w:t>
      </w:r>
      <w:r w:rsidRPr="00F40F0E">
        <w:rPr>
          <w:rFonts w:ascii="Verdana" w:eastAsia="Times New Roman" w:hAnsi="Verdana" w:cs="Arial"/>
          <w:lang w:eastAsia="es-MX"/>
        </w:rPr>
        <w:br/>
      </w:r>
      <w:hyperlink r:id="rId15" w:tgtFrame="_new" w:history="1">
        <w:r w:rsidRPr="00F40F0E">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18DBDFBA" w14:textId="77777777" w:rsidR="009131CF" w:rsidRPr="00F40F0E" w:rsidRDefault="009131CF" w:rsidP="009131CF">
      <w:pPr>
        <w:spacing w:after="0"/>
        <w:jc w:val="both"/>
        <w:rPr>
          <w:rFonts w:ascii="Verdana" w:eastAsia="Aptos" w:hAnsi="Verdana" w:cs="Times New Roman"/>
          <w:color w:val="212121"/>
          <w:lang w:eastAsia="es-MX"/>
        </w:rPr>
      </w:pPr>
    </w:p>
    <w:p w14:paraId="46229B84" w14:textId="77777777" w:rsidR="009131CF" w:rsidRPr="00F40F0E" w:rsidRDefault="009131CF" w:rsidP="009131CF">
      <w:pPr>
        <w:spacing w:after="0" w:line="240" w:lineRule="auto"/>
        <w:jc w:val="both"/>
        <w:rPr>
          <w:rFonts w:ascii="Verdana" w:eastAsia="Calibri" w:hAnsi="Verdana" w:cs="Times New Roman"/>
          <w:lang w:eastAsia="es-MX"/>
        </w:rPr>
      </w:pPr>
      <w:r w:rsidRPr="00F40F0E">
        <w:rPr>
          <w:rFonts w:ascii="Verdana" w:eastAsia="Aptos" w:hAnsi="Verdana" w:cs="Times New Roman"/>
          <w:lang w:eastAsia="es-MX"/>
        </w:rPr>
        <w:t xml:space="preserve">Por último, lo invitamos a seguirnos en las redes sociales en las cuales se difunde información institucional: </w:t>
      </w:r>
    </w:p>
    <w:p w14:paraId="38B4F297" w14:textId="77777777" w:rsidR="009131CF" w:rsidRPr="00F40F0E" w:rsidRDefault="009131CF" w:rsidP="009131CF">
      <w:pPr>
        <w:spacing w:after="0" w:line="240" w:lineRule="auto"/>
        <w:jc w:val="both"/>
        <w:rPr>
          <w:rFonts w:ascii="Verdana" w:eastAsia="Aptos" w:hAnsi="Verdana" w:cs="Times New Roman"/>
          <w:lang w:eastAsia="es-MX"/>
        </w:rPr>
      </w:pPr>
    </w:p>
    <w:p w14:paraId="10CB6A51" w14:textId="77777777" w:rsidR="009131CF" w:rsidRPr="00F40F0E" w:rsidRDefault="009131CF" w:rsidP="009131CF">
      <w:pPr>
        <w:spacing w:after="0" w:line="240" w:lineRule="auto"/>
        <w:jc w:val="both"/>
        <w:rPr>
          <w:rFonts w:ascii="Verdana" w:eastAsia="Aptos" w:hAnsi="Verdana" w:cs="Times New Roman"/>
          <w:lang w:eastAsia="es-MX"/>
        </w:rPr>
      </w:pPr>
      <w:r>
        <w:rPr>
          <w:rFonts w:ascii="Verdana" w:eastAsia="Aptos" w:hAnsi="Verdana" w:cs="Times New Roman"/>
          <w:lang w:eastAsia="es-MX"/>
        </w:rPr>
        <w:t>X</w:t>
      </w:r>
      <w:r w:rsidRPr="00F40F0E">
        <w:rPr>
          <w:rFonts w:ascii="Verdana" w:eastAsia="Aptos" w:hAnsi="Verdana" w:cs="Times New Roman"/>
          <w:lang w:eastAsia="es-MX"/>
        </w:rPr>
        <w:t xml:space="preserve">: </w:t>
      </w:r>
      <w:r w:rsidRPr="00F40F0E">
        <w:rPr>
          <w:rFonts w:ascii="Verdana" w:eastAsia="Calibri" w:hAnsi="Verdana" w:cs="Times New Roman"/>
          <w:color w:val="156082"/>
          <w:u w:val="single"/>
          <w:lang w:eastAsia="es-MX"/>
        </w:rPr>
        <w:t>@colombiacompra</w:t>
      </w:r>
      <w:r w:rsidRPr="00F40F0E">
        <w:rPr>
          <w:rFonts w:ascii="Verdana" w:eastAsia="Calibri" w:hAnsi="Verdana" w:cs="Times New Roman"/>
          <w:color w:val="156082"/>
          <w:lang w:eastAsia="es-MX"/>
        </w:rPr>
        <w:t xml:space="preserve"> </w:t>
      </w:r>
    </w:p>
    <w:p w14:paraId="66BA68A2" w14:textId="77777777" w:rsidR="009131CF" w:rsidRPr="00F40F0E" w:rsidRDefault="009131CF" w:rsidP="009131CF">
      <w:pPr>
        <w:spacing w:after="0" w:line="240" w:lineRule="auto"/>
        <w:jc w:val="both"/>
        <w:rPr>
          <w:rFonts w:ascii="Verdana" w:eastAsia="Aptos" w:hAnsi="Verdana" w:cs="Times New Roman"/>
          <w:lang w:eastAsia="es-MX"/>
        </w:rPr>
      </w:pPr>
      <w:r w:rsidRPr="00F40F0E">
        <w:rPr>
          <w:rFonts w:ascii="Verdana" w:eastAsia="Aptos" w:hAnsi="Verdana" w:cs="Times New Roman"/>
          <w:lang w:eastAsia="es-MX"/>
        </w:rPr>
        <w:t xml:space="preserve">Facebook: </w:t>
      </w:r>
      <w:proofErr w:type="spellStart"/>
      <w:r w:rsidRPr="00F40F0E">
        <w:rPr>
          <w:rFonts w:ascii="Verdana" w:eastAsia="Calibri" w:hAnsi="Verdana" w:cs="Times New Roman"/>
          <w:color w:val="156082"/>
          <w:u w:val="single"/>
          <w:lang w:eastAsia="es-MX"/>
        </w:rPr>
        <w:t>ColombiaCompraEficiente</w:t>
      </w:r>
      <w:proofErr w:type="spellEnd"/>
    </w:p>
    <w:p w14:paraId="184D0C6F" w14:textId="77777777" w:rsidR="009131CF" w:rsidRPr="00F40F0E" w:rsidRDefault="009131CF" w:rsidP="009131CF">
      <w:pPr>
        <w:spacing w:after="0" w:line="240" w:lineRule="auto"/>
        <w:jc w:val="both"/>
        <w:rPr>
          <w:rFonts w:ascii="Verdana" w:eastAsia="Aptos" w:hAnsi="Verdana" w:cs="Times New Roman"/>
          <w:lang w:eastAsia="es-MX"/>
        </w:rPr>
      </w:pPr>
      <w:r w:rsidRPr="00F40F0E">
        <w:rPr>
          <w:rFonts w:ascii="Verdana" w:eastAsia="Aptos" w:hAnsi="Verdana" w:cs="Times New Roman"/>
          <w:lang w:eastAsia="es-MX"/>
        </w:rPr>
        <w:t xml:space="preserve">LinkedIn: </w:t>
      </w:r>
      <w:r w:rsidRPr="00F40F0E">
        <w:rPr>
          <w:rFonts w:ascii="Verdana" w:eastAsia="Calibri" w:hAnsi="Verdana" w:cs="Times New Roman"/>
          <w:color w:val="156082"/>
          <w:u w:val="single"/>
          <w:lang w:eastAsia="es-MX"/>
        </w:rPr>
        <w:t>Agencia Nacional de Contratación Pública - Colombia Compra Eficiente</w:t>
      </w:r>
      <w:r w:rsidRPr="00F40F0E">
        <w:rPr>
          <w:rFonts w:ascii="Verdana" w:eastAsia="Calibri" w:hAnsi="Verdana" w:cs="Times New Roman"/>
          <w:color w:val="156082"/>
          <w:lang w:eastAsia="es-MX"/>
        </w:rPr>
        <w:t xml:space="preserve"> </w:t>
      </w:r>
      <w:r w:rsidRPr="00F40F0E">
        <w:rPr>
          <w:rFonts w:ascii="Verdana" w:eastAsia="Aptos" w:hAnsi="Verdana" w:cs="Times New Roman"/>
          <w:lang w:eastAsia="es-MX"/>
        </w:rPr>
        <w:t xml:space="preserve">Instagram: </w:t>
      </w:r>
      <w:r w:rsidRPr="00F40F0E">
        <w:rPr>
          <w:rFonts w:ascii="Verdana" w:eastAsia="Calibri" w:hAnsi="Verdana" w:cs="Times New Roman"/>
          <w:color w:val="156082"/>
          <w:u w:val="single"/>
          <w:lang w:eastAsia="es-MX"/>
        </w:rPr>
        <w:t>@colombiacompraeficiente_cce</w:t>
      </w:r>
    </w:p>
    <w:p w14:paraId="5EE2C248" w14:textId="77777777" w:rsidR="009131CF" w:rsidRPr="00F40F0E" w:rsidRDefault="009131CF" w:rsidP="009131CF">
      <w:pPr>
        <w:spacing w:after="0" w:line="276" w:lineRule="auto"/>
        <w:jc w:val="both"/>
        <w:rPr>
          <w:rFonts w:ascii="Verdana" w:eastAsia="Aptos" w:hAnsi="Verdana" w:cs="Times New Roman"/>
          <w:lang w:eastAsia="es-MX"/>
        </w:rPr>
      </w:pPr>
    </w:p>
    <w:p w14:paraId="3C443AB1" w14:textId="77777777" w:rsidR="009131CF" w:rsidRPr="00F40F0E" w:rsidRDefault="009131CF" w:rsidP="009131CF">
      <w:pPr>
        <w:spacing w:after="0" w:line="276" w:lineRule="auto"/>
        <w:jc w:val="both"/>
        <w:rPr>
          <w:rFonts w:ascii="Verdana" w:eastAsia="Calibri" w:hAnsi="Verdana" w:cs="Times New Roman"/>
          <w:bCs/>
          <w:lang w:val="es-ES_tradnl" w:eastAsia="es-MX"/>
        </w:rPr>
      </w:pPr>
      <w:r w:rsidRPr="00F40F0E">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08C7FC7" w14:textId="77777777" w:rsidR="009131CF" w:rsidRPr="00F40F0E" w:rsidRDefault="009131CF" w:rsidP="009131CF">
      <w:pPr>
        <w:spacing w:after="0" w:line="276" w:lineRule="auto"/>
        <w:jc w:val="both"/>
        <w:rPr>
          <w:rFonts w:ascii="Verdana" w:eastAsia="Calibri" w:hAnsi="Verdana" w:cs="Times New Roman"/>
          <w:lang w:eastAsia="es-MX"/>
        </w:rPr>
      </w:pPr>
    </w:p>
    <w:p w14:paraId="490EC936" w14:textId="77777777" w:rsidR="009131CF" w:rsidRPr="00F40F0E" w:rsidRDefault="009131CF" w:rsidP="009131CF">
      <w:pPr>
        <w:spacing w:after="0" w:line="276" w:lineRule="auto"/>
        <w:jc w:val="both"/>
        <w:rPr>
          <w:rFonts w:ascii="Verdana" w:eastAsia="Calibri" w:hAnsi="Verdana" w:cs="Times New Roman"/>
          <w:lang w:eastAsia="es-MX"/>
        </w:rPr>
      </w:pPr>
      <w:r w:rsidRPr="00F40F0E">
        <w:rPr>
          <w:rFonts w:ascii="Verdana" w:eastAsia="Calibri" w:hAnsi="Verdana" w:cs="Times New Roman"/>
          <w:lang w:eastAsia="es-MX"/>
        </w:rPr>
        <w:t>Atentamente,</w:t>
      </w:r>
    </w:p>
    <w:p w14:paraId="574A073D" w14:textId="77777777" w:rsidR="009131CF" w:rsidRPr="00F40F0E" w:rsidRDefault="009131CF" w:rsidP="009131CF">
      <w:pPr>
        <w:tabs>
          <w:tab w:val="left" w:pos="1320"/>
        </w:tabs>
        <w:spacing w:after="0"/>
        <w:jc w:val="center"/>
        <w:rPr>
          <w:rFonts w:ascii="Century Gothic" w:eastAsia="Calibri" w:hAnsi="Century Gothic" w:cs="Times New Roman"/>
          <w:lang w:eastAsia="es-MX"/>
        </w:rPr>
      </w:pPr>
    </w:p>
    <w:p w14:paraId="4E049B35" w14:textId="567A65DB" w:rsidR="009131CF" w:rsidRPr="00F40F0E" w:rsidRDefault="00F134AD" w:rsidP="009131CF">
      <w:pPr>
        <w:tabs>
          <w:tab w:val="left" w:pos="1320"/>
        </w:tabs>
        <w:spacing w:after="0"/>
        <w:jc w:val="center"/>
        <w:rPr>
          <w:rFonts w:ascii="Century Gothic" w:eastAsia="Calibri" w:hAnsi="Century Gothic" w:cs="Times New Roman"/>
          <w:lang w:eastAsia="es-MX"/>
        </w:rPr>
      </w:pPr>
      <w:r w:rsidRPr="002C3AD6">
        <w:rPr>
          <w:rFonts w:ascii="Century Gothic" w:hAnsi="Century Gothic"/>
          <w:noProof/>
        </w:rPr>
        <w:drawing>
          <wp:inline distT="0" distB="0" distL="0" distR="0" wp14:anchorId="30A26CF5" wp14:editId="623ACA25">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560419" cy="1321670"/>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9131CF" w:rsidRPr="00F40F0E" w14:paraId="433C4C6B" w14:textId="77777777" w:rsidTr="007D4D86">
        <w:trPr>
          <w:trHeight w:val="323"/>
        </w:trPr>
        <w:tc>
          <w:tcPr>
            <w:tcW w:w="1041" w:type="dxa"/>
            <w:vAlign w:val="center"/>
            <w:hideMark/>
          </w:tcPr>
          <w:p w14:paraId="21C3173F" w14:textId="77777777" w:rsidR="009131CF" w:rsidRPr="00F40F0E" w:rsidRDefault="009131CF" w:rsidP="007D4D86">
            <w:pPr>
              <w:rPr>
                <w:rFonts w:ascii="Verdana" w:eastAsia="Calibri" w:hAnsi="Verdana" w:cs="Arial"/>
                <w:sz w:val="16"/>
                <w:szCs w:val="16"/>
                <w:lang w:val="es-ES_tradnl" w:eastAsia="es-ES"/>
              </w:rPr>
            </w:pPr>
            <w:r w:rsidRPr="00F40F0E">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545FA14E" w14:textId="77777777" w:rsidR="009131CF" w:rsidRPr="00F40F0E" w:rsidRDefault="009131CF" w:rsidP="007D4D86">
            <w:pPr>
              <w:rPr>
                <w:rFonts w:ascii="Verdana" w:eastAsia="Arial" w:hAnsi="Verdana" w:cs="Arial"/>
                <w:sz w:val="16"/>
                <w:szCs w:val="16"/>
                <w:lang w:val="es-ES" w:eastAsia="es-MX"/>
              </w:rPr>
            </w:pPr>
            <w:r>
              <w:rPr>
                <w:rFonts w:ascii="Verdana" w:eastAsia="Arial" w:hAnsi="Verdana" w:cs="Arial"/>
                <w:sz w:val="16"/>
                <w:szCs w:val="16"/>
                <w:lang w:val="es-ES" w:eastAsia="es-MX"/>
              </w:rPr>
              <w:t>Kevin Arlid Herrera Santa</w:t>
            </w:r>
          </w:p>
          <w:p w14:paraId="73BC09DF" w14:textId="77777777" w:rsidR="009131CF" w:rsidRPr="00F40F0E" w:rsidRDefault="009131CF" w:rsidP="007D4D86">
            <w:pPr>
              <w:rPr>
                <w:rFonts w:ascii="Verdana" w:eastAsia="Arial" w:hAnsi="Verdana" w:cs="Arial"/>
                <w:sz w:val="16"/>
                <w:szCs w:val="16"/>
                <w:lang w:val="es-ES_tradnl" w:eastAsia="es-MX"/>
              </w:rPr>
            </w:pPr>
            <w:r w:rsidRPr="00F40F0E">
              <w:rPr>
                <w:rFonts w:ascii="Verdana" w:eastAsia="Arial" w:hAnsi="Verdana" w:cs="Arial"/>
                <w:sz w:val="16"/>
                <w:szCs w:val="16"/>
                <w:lang w:val="es-ES_tradnl" w:eastAsia="es-MX"/>
              </w:rPr>
              <w:t>Contratista de la Subdirección de Gestión Contractual</w:t>
            </w:r>
          </w:p>
          <w:p w14:paraId="0FD3965E" w14:textId="77777777" w:rsidR="009131CF" w:rsidRPr="00F40F0E" w:rsidRDefault="009131CF" w:rsidP="007D4D86">
            <w:pPr>
              <w:rPr>
                <w:rFonts w:ascii="Verdana" w:eastAsia="Arial" w:hAnsi="Verdana" w:cs="Arial"/>
                <w:sz w:val="16"/>
                <w:szCs w:val="16"/>
                <w:lang w:val="es-ES_tradnl" w:eastAsia="es-MX"/>
              </w:rPr>
            </w:pPr>
          </w:p>
        </w:tc>
      </w:tr>
      <w:tr w:rsidR="009131CF" w:rsidRPr="00F40F0E" w14:paraId="3194DFCF" w14:textId="77777777" w:rsidTr="007D4D86">
        <w:trPr>
          <w:trHeight w:val="338"/>
        </w:trPr>
        <w:tc>
          <w:tcPr>
            <w:tcW w:w="1041" w:type="dxa"/>
            <w:vAlign w:val="center"/>
            <w:hideMark/>
          </w:tcPr>
          <w:p w14:paraId="7B4C8E84" w14:textId="77777777" w:rsidR="009131CF" w:rsidRPr="00F40F0E" w:rsidRDefault="009131CF" w:rsidP="007D4D86">
            <w:pPr>
              <w:rPr>
                <w:rFonts w:ascii="Verdana" w:eastAsia="Calibri" w:hAnsi="Verdana" w:cs="Arial"/>
                <w:sz w:val="16"/>
                <w:szCs w:val="16"/>
                <w:lang w:val="es-ES_tradnl" w:eastAsia="es-ES"/>
              </w:rPr>
            </w:pPr>
            <w:r w:rsidRPr="00F40F0E">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43046280" w14:textId="77777777" w:rsidR="009131CF" w:rsidRDefault="009131CF" w:rsidP="007D4D86">
            <w:pPr>
              <w:rPr>
                <w:rFonts w:ascii="Verdana" w:eastAsia="Arial" w:hAnsi="Verdana" w:cs="Arial"/>
                <w:sz w:val="16"/>
                <w:szCs w:val="16"/>
                <w:lang w:val="es-ES_tradnl" w:eastAsia="es-MX"/>
              </w:rPr>
            </w:pPr>
            <w:r>
              <w:rPr>
                <w:rFonts w:ascii="Verdana" w:eastAsia="Arial" w:hAnsi="Verdana" w:cs="Arial"/>
                <w:sz w:val="16"/>
                <w:szCs w:val="16"/>
                <w:lang w:val="es-ES_tradnl" w:eastAsia="es-MX"/>
              </w:rPr>
              <w:t xml:space="preserve">Adriana </w:t>
            </w:r>
            <w:proofErr w:type="spellStart"/>
            <w:r>
              <w:rPr>
                <w:rFonts w:ascii="Verdana" w:eastAsia="Arial" w:hAnsi="Verdana" w:cs="Arial"/>
                <w:sz w:val="16"/>
                <w:szCs w:val="16"/>
                <w:lang w:val="es-ES_tradnl" w:eastAsia="es-MX"/>
              </w:rPr>
              <w:t>Katerine</w:t>
            </w:r>
            <w:proofErr w:type="spellEnd"/>
            <w:r>
              <w:rPr>
                <w:rFonts w:ascii="Verdana" w:eastAsia="Arial" w:hAnsi="Verdana" w:cs="Arial"/>
                <w:sz w:val="16"/>
                <w:szCs w:val="16"/>
                <w:lang w:val="es-ES_tradnl" w:eastAsia="es-MX"/>
              </w:rPr>
              <w:t xml:space="preserve"> López Rodríguez</w:t>
            </w:r>
          </w:p>
          <w:p w14:paraId="1A43AEC8" w14:textId="77777777" w:rsidR="009131CF" w:rsidRPr="00F40F0E" w:rsidRDefault="009131CF" w:rsidP="007D4D86">
            <w:pPr>
              <w:rPr>
                <w:rFonts w:ascii="Verdana" w:eastAsia="Arial" w:hAnsi="Verdana" w:cs="Arial"/>
                <w:sz w:val="16"/>
                <w:szCs w:val="16"/>
                <w:lang w:val="es-ES_tradnl" w:eastAsia="es-MX"/>
              </w:rPr>
            </w:pPr>
            <w:r>
              <w:rPr>
                <w:rFonts w:ascii="Verdana" w:eastAsia="Arial" w:hAnsi="Verdana" w:cs="Arial"/>
                <w:sz w:val="16"/>
                <w:szCs w:val="16"/>
                <w:lang w:val="es-ES_tradnl" w:eastAsia="es-MX"/>
              </w:rPr>
              <w:t>Contratista</w:t>
            </w:r>
            <w:r w:rsidRPr="00F40F0E">
              <w:rPr>
                <w:rFonts w:ascii="Verdana" w:eastAsia="Arial" w:hAnsi="Verdana" w:cs="Arial"/>
                <w:sz w:val="16"/>
                <w:szCs w:val="16"/>
                <w:lang w:val="es-ES_tradnl" w:eastAsia="es-MX"/>
              </w:rPr>
              <w:t xml:space="preserve"> de la Subdirección de Gestión Contractual</w:t>
            </w:r>
          </w:p>
        </w:tc>
      </w:tr>
      <w:tr w:rsidR="009131CF" w:rsidRPr="00F40F0E" w14:paraId="39A28604" w14:textId="77777777" w:rsidTr="007D4D86">
        <w:trPr>
          <w:trHeight w:val="308"/>
        </w:trPr>
        <w:tc>
          <w:tcPr>
            <w:tcW w:w="1041" w:type="dxa"/>
            <w:vAlign w:val="center"/>
          </w:tcPr>
          <w:p w14:paraId="375AE809" w14:textId="77777777" w:rsidR="009131CF" w:rsidRPr="00F40F0E" w:rsidRDefault="009131CF" w:rsidP="007D4D86">
            <w:pPr>
              <w:rPr>
                <w:rFonts w:ascii="Verdana" w:eastAsia="Calibri" w:hAnsi="Verdana" w:cs="Arial"/>
                <w:sz w:val="16"/>
                <w:szCs w:val="16"/>
                <w:lang w:val="es-ES_tradnl" w:eastAsia="es-ES"/>
              </w:rPr>
            </w:pPr>
            <w:r w:rsidRPr="00F40F0E">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358460F6" w14:textId="77777777" w:rsidR="009131CF" w:rsidRPr="00F40F0E" w:rsidRDefault="009131CF" w:rsidP="007D4D86">
            <w:pPr>
              <w:rPr>
                <w:rFonts w:ascii="Verdana" w:eastAsia="Calibri" w:hAnsi="Verdana" w:cs="Arial"/>
                <w:sz w:val="16"/>
                <w:szCs w:val="16"/>
                <w:lang w:val="es-ES" w:eastAsia="es-ES"/>
              </w:rPr>
            </w:pPr>
            <w:r w:rsidRPr="00F40F0E">
              <w:rPr>
                <w:rFonts w:ascii="Verdana" w:eastAsia="Calibri" w:hAnsi="Verdana" w:cs="Arial"/>
                <w:sz w:val="16"/>
                <w:szCs w:val="16"/>
                <w:lang w:val="es-ES" w:eastAsia="es-ES"/>
              </w:rPr>
              <w:t>Carolina Quintero Gacharná</w:t>
            </w:r>
          </w:p>
          <w:p w14:paraId="32887FFB" w14:textId="77777777" w:rsidR="009131CF" w:rsidRPr="00F40F0E" w:rsidRDefault="009131CF" w:rsidP="007D4D86">
            <w:pPr>
              <w:rPr>
                <w:rFonts w:ascii="Verdana" w:eastAsia="Calibri" w:hAnsi="Verdana" w:cs="Arial"/>
                <w:sz w:val="16"/>
                <w:szCs w:val="16"/>
                <w:lang w:val="es-ES_tradnl" w:eastAsia="es-ES"/>
              </w:rPr>
            </w:pPr>
            <w:r w:rsidRPr="00F40F0E">
              <w:rPr>
                <w:rFonts w:ascii="Verdana" w:eastAsia="Calibri" w:hAnsi="Verdana" w:cs="Arial"/>
                <w:sz w:val="16"/>
                <w:szCs w:val="16"/>
                <w:lang w:val="es-ES_tradnl" w:eastAsia="es-ES"/>
              </w:rPr>
              <w:t>Subdirectora de Gestión Contractual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69BC4D14" w14:textId="50AE451A"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B0DD8E" w14:textId="77777777" w:rsidR="00C80D1B" w:rsidRDefault="00C80D1B" w:rsidP="004A1847">
      <w:pPr>
        <w:spacing w:after="0" w:line="240" w:lineRule="auto"/>
      </w:pPr>
      <w:r>
        <w:separator/>
      </w:r>
    </w:p>
  </w:endnote>
  <w:endnote w:type="continuationSeparator" w:id="0">
    <w:p w14:paraId="1375C009" w14:textId="77777777" w:rsidR="00C80D1B" w:rsidRDefault="00C80D1B" w:rsidP="004A1847">
      <w:pPr>
        <w:spacing w:after="0" w:line="240" w:lineRule="auto"/>
      </w:pPr>
      <w:r>
        <w:continuationSeparator/>
      </w:r>
    </w:p>
  </w:endnote>
  <w:endnote w:type="continuationNotice" w:id="1">
    <w:p w14:paraId="7AA4540A" w14:textId="77777777" w:rsidR="00C80D1B" w:rsidRDefault="00C80D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8B4BF" w14:textId="77777777" w:rsidR="00C80D1B" w:rsidRDefault="00C80D1B" w:rsidP="004A1847">
      <w:pPr>
        <w:spacing w:after="0" w:line="240" w:lineRule="auto"/>
      </w:pPr>
      <w:r>
        <w:separator/>
      </w:r>
    </w:p>
  </w:footnote>
  <w:footnote w:type="continuationSeparator" w:id="0">
    <w:p w14:paraId="33E8670D" w14:textId="77777777" w:rsidR="00C80D1B" w:rsidRDefault="00C80D1B" w:rsidP="004A1847">
      <w:pPr>
        <w:spacing w:after="0" w:line="240" w:lineRule="auto"/>
      </w:pPr>
      <w:r>
        <w:continuationSeparator/>
      </w:r>
    </w:p>
  </w:footnote>
  <w:footnote w:type="continuationNotice" w:id="1">
    <w:p w14:paraId="4D03EF8B" w14:textId="77777777" w:rsidR="00C80D1B" w:rsidRDefault="00C80D1B">
      <w:pPr>
        <w:spacing w:after="0" w:line="240" w:lineRule="auto"/>
      </w:pPr>
    </w:p>
  </w:footnote>
  <w:footnote w:id="2">
    <w:p w14:paraId="040BD814" w14:textId="77777777" w:rsidR="009131CF" w:rsidRPr="00A15008" w:rsidRDefault="009131CF" w:rsidP="009131CF">
      <w:pPr>
        <w:pStyle w:val="Textonotapie"/>
        <w:ind w:firstLine="709"/>
        <w:jc w:val="both"/>
        <w:rPr>
          <w:rFonts w:ascii="Verdana" w:hAnsi="Verdana" w:cs="Arial"/>
          <w:color w:val="000000" w:themeColor="text1"/>
          <w:sz w:val="16"/>
          <w:szCs w:val="16"/>
          <w:lang w:val="es-CO"/>
        </w:rPr>
      </w:pPr>
      <w:r w:rsidRPr="00A15008">
        <w:rPr>
          <w:rStyle w:val="Refdenotaalpie"/>
          <w:rFonts w:ascii="Verdana" w:hAnsi="Verdana" w:cs="Arial"/>
          <w:sz w:val="16"/>
          <w:szCs w:val="16"/>
        </w:rPr>
        <w:footnoteRef/>
      </w:r>
      <w:r w:rsidRPr="00A15008">
        <w:rPr>
          <w:rFonts w:ascii="Verdana" w:hAnsi="Verdana" w:cs="Arial"/>
          <w:color w:val="000000" w:themeColor="text1"/>
          <w:sz w:val="16"/>
          <w:szCs w:val="16"/>
          <w:lang w:val="es-CO"/>
        </w:rPr>
        <w:t xml:space="preserve"> FIGUEROA U. Organismos internacionales. 2ª edición. Santiago de Chile: Editorial RIL editores, 2010.</w:t>
      </w:r>
    </w:p>
  </w:footnote>
  <w:footnote w:id="3">
    <w:p w14:paraId="556D2C8A" w14:textId="77777777" w:rsidR="009131CF" w:rsidRPr="00A15008" w:rsidRDefault="009131CF" w:rsidP="009131CF">
      <w:pPr>
        <w:pStyle w:val="NormalWeb"/>
        <w:spacing w:before="0" w:beforeAutospacing="0" w:after="0" w:afterAutospacing="0"/>
        <w:ind w:firstLine="709"/>
        <w:jc w:val="both"/>
        <w:rPr>
          <w:rFonts w:ascii="Verdana" w:hAnsi="Verdana" w:cs="Arial"/>
          <w:color w:val="000000" w:themeColor="text1"/>
          <w:sz w:val="16"/>
          <w:szCs w:val="16"/>
        </w:rPr>
      </w:pPr>
      <w:r w:rsidRPr="00A15008">
        <w:rPr>
          <w:rStyle w:val="Refdenotaalpie"/>
          <w:rFonts w:ascii="Verdana" w:hAnsi="Verdana" w:cs="Arial"/>
          <w:sz w:val="16"/>
          <w:szCs w:val="16"/>
        </w:rPr>
        <w:footnoteRef/>
      </w:r>
      <w:r w:rsidRPr="00A15008">
        <w:rPr>
          <w:rFonts w:ascii="Verdana" w:hAnsi="Verdana" w:cs="Arial"/>
          <w:color w:val="000000" w:themeColor="text1"/>
          <w:sz w:val="16"/>
          <w:szCs w:val="16"/>
        </w:rPr>
        <w:t xml:space="preserve"> Ley 80 de 1993: “Artículo 13. De la normatividad aplicable a los contratos estatales. Los contratos que celebren las entidades a que se refiere el artículo </w:t>
      </w:r>
      <w:hyperlink r:id="rId1" w:anchor="2" w:history="1">
        <w:r w:rsidRPr="00A15008">
          <w:rPr>
            <w:rStyle w:val="Hipervnculo"/>
            <w:rFonts w:ascii="Verdana" w:hAnsi="Verdana" w:cs="Arial"/>
            <w:color w:val="000000" w:themeColor="text1"/>
            <w:sz w:val="16"/>
            <w:szCs w:val="16"/>
          </w:rPr>
          <w:t>2</w:t>
        </w:r>
      </w:hyperlink>
      <w:r w:rsidRPr="00A15008">
        <w:rPr>
          <w:rFonts w:ascii="Verdana" w:hAnsi="Verdana" w:cs="Arial"/>
          <w:color w:val="000000" w:themeColor="text1"/>
          <w:sz w:val="16"/>
          <w:szCs w:val="16"/>
        </w:rPr>
        <w:t>o. del presente estatuto se regirán por las disposiciones comerciales y civiles pertinentes, salvo en las materias particularmente reguladas en esta ley.</w:t>
      </w:r>
    </w:p>
    <w:p w14:paraId="58528997" w14:textId="77777777" w:rsidR="009131CF" w:rsidRPr="00A15008" w:rsidRDefault="009131CF" w:rsidP="009131CF">
      <w:pPr>
        <w:pStyle w:val="NormalWeb"/>
        <w:spacing w:before="0" w:beforeAutospacing="0" w:after="0" w:afterAutospacing="0"/>
        <w:ind w:firstLine="709"/>
        <w:jc w:val="both"/>
        <w:rPr>
          <w:rFonts w:ascii="Verdana" w:hAnsi="Verdana" w:cs="Arial"/>
          <w:color w:val="000000" w:themeColor="text1"/>
          <w:sz w:val="16"/>
          <w:szCs w:val="16"/>
        </w:rPr>
      </w:pPr>
      <w:r w:rsidRPr="00A15008">
        <w:rPr>
          <w:rFonts w:ascii="Verdana" w:hAnsi="Verdana" w:cs="Arial"/>
          <w:color w:val="000000" w:themeColor="text1"/>
          <w:sz w:val="16"/>
          <w:szCs w:val="16"/>
        </w:rPr>
        <w:t>Los contratos celebrados en el exterior se podrán regir en su ejecución por las reglas del país en donde se hayan suscrito, a menos que deban cumplirse en Colombia.</w:t>
      </w:r>
    </w:p>
    <w:p w14:paraId="71754F6D" w14:textId="77777777" w:rsidR="009131CF" w:rsidRPr="00A15008" w:rsidRDefault="009131CF" w:rsidP="009131CF">
      <w:pPr>
        <w:pStyle w:val="NormalWeb"/>
        <w:spacing w:before="0" w:beforeAutospacing="0" w:after="0" w:afterAutospacing="0"/>
        <w:ind w:firstLine="709"/>
        <w:jc w:val="both"/>
        <w:rPr>
          <w:rFonts w:ascii="Verdana" w:hAnsi="Verdana" w:cs="Arial"/>
          <w:color w:val="000000" w:themeColor="text1"/>
          <w:sz w:val="16"/>
          <w:szCs w:val="16"/>
        </w:rPr>
      </w:pPr>
      <w:r w:rsidRPr="00A15008">
        <w:rPr>
          <w:rFonts w:ascii="Verdana" w:hAnsi="Verdana" w:cs="Arial"/>
          <w:color w:val="000000" w:themeColor="text1"/>
          <w:sz w:val="16"/>
          <w:szCs w:val="16"/>
        </w:rPr>
        <w:t>Los contratos que se celebren en Colombia y deban ejecutarse o cumplirse en el extranjero, podrán someterse a la ley extranjera”.</w:t>
      </w:r>
    </w:p>
  </w:footnote>
  <w:footnote w:id="4">
    <w:p w14:paraId="3C75062E" w14:textId="77777777" w:rsidR="009131CF" w:rsidRPr="00A15008" w:rsidRDefault="009131CF" w:rsidP="009131CF">
      <w:pPr>
        <w:pStyle w:val="Textonotapie"/>
        <w:ind w:firstLine="709"/>
        <w:jc w:val="both"/>
        <w:rPr>
          <w:rFonts w:ascii="Verdana" w:hAnsi="Verdana" w:cs="Arial"/>
          <w:color w:val="000000" w:themeColor="text1"/>
          <w:sz w:val="16"/>
          <w:szCs w:val="16"/>
          <w:lang w:val="es-CO"/>
        </w:rPr>
      </w:pPr>
      <w:r w:rsidRPr="00A15008">
        <w:rPr>
          <w:rStyle w:val="Refdenotaalpie"/>
          <w:rFonts w:ascii="Verdana" w:hAnsi="Verdana" w:cs="Arial"/>
          <w:sz w:val="16"/>
          <w:szCs w:val="16"/>
        </w:rPr>
        <w:footnoteRef/>
      </w:r>
      <w:r w:rsidRPr="00A15008">
        <w:rPr>
          <w:rFonts w:ascii="Verdana" w:hAnsi="Verdana" w:cs="Arial"/>
          <w:color w:val="000000" w:themeColor="text1"/>
          <w:sz w:val="16"/>
          <w:szCs w:val="16"/>
        </w:rPr>
        <w:t xml:space="preserve"> Consejo de Estado. Sección Tercera, Subsección C. Sentencia del 26 de noviembre de 2015. </w:t>
      </w:r>
      <w:r w:rsidRPr="00A15008">
        <w:rPr>
          <w:rFonts w:ascii="Verdana" w:hAnsi="Verdana" w:cs="Arial"/>
          <w:color w:val="000000" w:themeColor="text1"/>
          <w:sz w:val="16"/>
          <w:szCs w:val="16"/>
          <w:lang w:val="es-ES_tradnl"/>
        </w:rPr>
        <w:t xml:space="preserve">Exp. </w:t>
      </w:r>
      <w:r w:rsidRPr="00A15008">
        <w:rPr>
          <w:rFonts w:ascii="Verdana" w:hAnsi="Verdana" w:cs="Arial"/>
          <w:color w:val="000000" w:themeColor="text1"/>
          <w:sz w:val="16"/>
          <w:szCs w:val="16"/>
          <w:lang w:val="es-CO"/>
        </w:rPr>
        <w:t xml:space="preserve">54.069. C.P Jaime Orlando Santofimio Gamboa. </w:t>
      </w:r>
    </w:p>
  </w:footnote>
  <w:footnote w:id="5">
    <w:p w14:paraId="707AD6AB" w14:textId="77777777" w:rsidR="009131CF" w:rsidRPr="00A15008" w:rsidRDefault="009131CF" w:rsidP="009131CF">
      <w:pPr>
        <w:pStyle w:val="Textonotapie"/>
        <w:ind w:firstLine="709"/>
        <w:jc w:val="both"/>
        <w:rPr>
          <w:rFonts w:ascii="Verdana" w:hAnsi="Verdana" w:cs="Arial"/>
          <w:color w:val="000000" w:themeColor="text1"/>
          <w:sz w:val="16"/>
          <w:szCs w:val="16"/>
          <w:lang w:eastAsia="es-CO"/>
        </w:rPr>
      </w:pPr>
      <w:r w:rsidRPr="00A15008">
        <w:rPr>
          <w:rStyle w:val="Refdenotaalpie"/>
          <w:rFonts w:ascii="Verdana" w:hAnsi="Verdana" w:cs="Arial"/>
          <w:sz w:val="16"/>
          <w:szCs w:val="16"/>
        </w:rPr>
        <w:footnoteRef/>
      </w:r>
      <w:r w:rsidRPr="00A15008">
        <w:rPr>
          <w:rFonts w:ascii="Verdana" w:hAnsi="Verdana" w:cs="Arial"/>
          <w:color w:val="000000" w:themeColor="text1"/>
          <w:sz w:val="16"/>
          <w:szCs w:val="16"/>
        </w:rPr>
        <w:t xml:space="preserve"> </w:t>
      </w:r>
      <w:r w:rsidRPr="00A15008">
        <w:rPr>
          <w:rFonts w:ascii="Verdana" w:hAnsi="Verdana" w:cs="Arial"/>
          <w:color w:val="000000" w:themeColor="text1"/>
          <w:sz w:val="16"/>
          <w:szCs w:val="16"/>
          <w:lang w:eastAsia="es-CO"/>
        </w:rPr>
        <w:t>“Los contratos financiados con fondos de los organismos multilaterales de crédito o celebrados con personas extranjeras de derecho público u organismos de cooperación, asistencia o ayuda internacionales, podrán someterse a los reglamentos de tales entidades en todo lo relacionado con procedimientos de formación y adjudicación y cláusulas especiales de ejecución, cumplimiento, pago y ajustes”. (Derogado por el artículo 32 de la Ley 1150 de 2007).</w:t>
      </w:r>
    </w:p>
  </w:footnote>
  <w:footnote w:id="6">
    <w:p w14:paraId="338A54A9" w14:textId="77777777" w:rsidR="009131CF" w:rsidRPr="00A15008" w:rsidRDefault="009131CF" w:rsidP="009131CF">
      <w:pPr>
        <w:pStyle w:val="Textonotapie"/>
        <w:ind w:firstLine="709"/>
        <w:contextualSpacing/>
        <w:jc w:val="both"/>
        <w:rPr>
          <w:rFonts w:ascii="Verdana" w:hAnsi="Verdana" w:cs="Arial"/>
          <w:color w:val="000000"/>
          <w:sz w:val="16"/>
          <w:szCs w:val="16"/>
          <w:lang w:val="es-ES"/>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w:t>
      </w:r>
      <w:r w:rsidRPr="00A15008">
        <w:rPr>
          <w:rFonts w:ascii="Verdana" w:hAnsi="Verdana" w:cs="Arial"/>
          <w:color w:val="000000"/>
          <w:sz w:val="16"/>
          <w:szCs w:val="16"/>
          <w:lang w:val="es-ES"/>
        </w:rPr>
        <w:t xml:space="preserve">Según García de Enterría: “Estos conceptos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w:t>
      </w:r>
      <w:r w:rsidRPr="00A15008">
        <w:rPr>
          <w:rFonts w:ascii="Verdana" w:hAnsi="Verdana" w:cs="Arial"/>
          <w:color w:val="000000"/>
          <w:sz w:val="16"/>
          <w:szCs w:val="16"/>
          <w:lang w:val="es-ES"/>
        </w:rPr>
        <w:t xml:space="preserve">los mismos en un caso particular no nos la resuelve o determina con exactitud la propia Ley que los ha creado y de cuya aplicación se trata”. (GARCÍA DE ENTERRÍA, Eduardo. La lucha contra las inmunidades del poder en el derecho administrativo. 3ª ed. Madrid: </w:t>
      </w:r>
      <w:r w:rsidRPr="00A15008">
        <w:rPr>
          <w:rFonts w:ascii="Verdana" w:hAnsi="Verdana" w:cs="Arial"/>
          <w:color w:val="000000"/>
          <w:sz w:val="16"/>
          <w:szCs w:val="16"/>
          <w:lang w:val="es-ES"/>
        </w:rPr>
        <w:t>Civitas, 1983. pp. 33-34).</w:t>
      </w:r>
    </w:p>
  </w:footnote>
  <w:footnote w:id="7">
    <w:p w14:paraId="5CDE98A8" w14:textId="77777777" w:rsidR="009131CF" w:rsidRPr="00A15008" w:rsidRDefault="009131CF" w:rsidP="009131CF">
      <w:pPr>
        <w:pStyle w:val="Textonotapie"/>
        <w:ind w:firstLine="709"/>
        <w:jc w:val="both"/>
        <w:rPr>
          <w:rFonts w:ascii="Verdana" w:hAnsi="Verdana" w:cs="Arial"/>
          <w:color w:val="000000"/>
          <w:sz w:val="16"/>
          <w:szCs w:val="16"/>
          <w:lang w:val="es-ES"/>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w:t>
      </w:r>
      <w:r w:rsidRPr="00A15008">
        <w:rPr>
          <w:rFonts w:ascii="Verdana" w:hAnsi="Verdana" w:cs="Arial"/>
          <w:color w:val="000000"/>
          <w:sz w:val="16"/>
          <w:szCs w:val="16"/>
          <w:lang w:val="es-ES"/>
        </w:rPr>
        <w:t>“</w:t>
      </w:r>
      <w:r w:rsidRPr="00A15008">
        <w:rPr>
          <w:rFonts w:ascii="Verdana" w:hAnsi="Verdana" w:cs="Arial"/>
          <w:color w:val="000000"/>
          <w:sz w:val="16"/>
          <w:szCs w:val="16"/>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A15008">
        <w:rPr>
          <w:rFonts w:ascii="Verdana" w:hAnsi="Verdana" w:cs="Arial"/>
          <w:color w:val="000000"/>
          <w:sz w:val="16"/>
          <w:szCs w:val="16"/>
          <w:lang w:val="es-ES"/>
        </w:rPr>
        <w:t>”.</w:t>
      </w:r>
    </w:p>
  </w:footnote>
  <w:footnote w:id="8">
    <w:p w14:paraId="629346E3" w14:textId="77777777" w:rsidR="009131CF" w:rsidRPr="00A15008" w:rsidRDefault="009131CF" w:rsidP="009131CF">
      <w:pPr>
        <w:pStyle w:val="Textonotapie"/>
        <w:ind w:firstLine="709"/>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Consejo de Estado. Sección Tercera. Sentencia 18 de febrero de 2010. CP, Enrique Gil Botero. </w:t>
      </w:r>
      <w:r w:rsidRPr="00A15008">
        <w:rPr>
          <w:rFonts w:ascii="Verdana" w:hAnsi="Verdana" w:cs="Arial"/>
          <w:color w:val="000000"/>
          <w:sz w:val="16"/>
          <w:szCs w:val="16"/>
        </w:rPr>
        <w:t xml:space="preserve">Exp. 37004. </w:t>
      </w:r>
    </w:p>
    <w:p w14:paraId="471354D8" w14:textId="77777777" w:rsidR="009131CF" w:rsidRPr="00A15008" w:rsidRDefault="009131CF" w:rsidP="009131CF">
      <w:pPr>
        <w:pStyle w:val="Textonotapie"/>
        <w:ind w:firstLine="709"/>
        <w:jc w:val="both"/>
        <w:rPr>
          <w:rFonts w:ascii="Verdana" w:hAnsi="Verdana" w:cs="Arial"/>
          <w:color w:val="000000"/>
          <w:sz w:val="16"/>
          <w:szCs w:val="16"/>
        </w:rPr>
      </w:pPr>
    </w:p>
  </w:footnote>
  <w:footnote w:id="9">
    <w:p w14:paraId="4BAACF44" w14:textId="77777777" w:rsidR="009131CF" w:rsidRPr="00A15008" w:rsidRDefault="009131CF" w:rsidP="009131CF">
      <w:pPr>
        <w:pStyle w:val="Textonotapie"/>
        <w:ind w:firstLine="709"/>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En sentencia C-665 de 2000, la Corte Constitucional se pronunció, así: </w:t>
      </w:r>
      <w:r w:rsidRPr="00A15008">
        <w:rPr>
          <w:rFonts w:ascii="Verdana" w:hAnsi="Verdana" w:cs="Arial"/>
          <w:color w:val="000000"/>
          <w:sz w:val="16"/>
          <w:szCs w:val="16"/>
          <w:lang w:val="es-ES_tradnl"/>
        </w:rPr>
        <w:t>“</w:t>
      </w:r>
      <w:r w:rsidRPr="00A15008">
        <w:rPr>
          <w:rFonts w:ascii="Verdana" w:hAnsi="Verdana" w:cs="Arial"/>
          <w:color w:val="000000"/>
          <w:sz w:val="16"/>
          <w:szCs w:val="16"/>
        </w:rPr>
        <w:t>En los términos del artículo 49 de la Constitución Política, la atención de la salud y el saneamiento ambiental son servicios públicos a cargo del Estado; al cual corresponde organizarlos, dirigirlos y reglamentarlos conforme a los principios de eficiencia, universalidad y solidaridad. Igualmente es deber del Estado establecer las políticas para la prestación de servicios de salud por entidades privadas y ejercer su vigilancia y control. Debe también el Estado señalar las competencias de la Nación, las entidades territoriales y los particulares y determinar los aportes a su cargo en los términos y condiciones señalados en la ley</w:t>
      </w:r>
      <w:r w:rsidRPr="00A15008">
        <w:rPr>
          <w:rFonts w:ascii="Verdana" w:hAnsi="Verdana" w:cs="Arial"/>
          <w:color w:val="000000"/>
          <w:sz w:val="16"/>
          <w:szCs w:val="16"/>
          <w:lang w:val="es-ES_tradnl"/>
        </w:rPr>
        <w:t>”</w:t>
      </w:r>
      <w:r w:rsidRPr="00A15008">
        <w:rPr>
          <w:rFonts w:ascii="Verdana" w:hAnsi="Verdana" w:cs="Arial"/>
          <w:color w:val="000000"/>
          <w:sz w:val="16"/>
          <w:szCs w:val="16"/>
        </w:rPr>
        <w:t xml:space="preserve"> (Corte Constitucional. Sentencia C-665 de 2000. M.P. José Gregorio Hernández Galindo)</w:t>
      </w:r>
    </w:p>
  </w:footnote>
  <w:footnote w:id="10">
    <w:p w14:paraId="72DE33A6" w14:textId="77777777" w:rsidR="009131CF" w:rsidRPr="00A15008" w:rsidRDefault="009131CF" w:rsidP="009131CF">
      <w:pPr>
        <w:pStyle w:val="Textonotapie"/>
        <w:ind w:firstLine="708"/>
        <w:jc w:val="both"/>
        <w:rPr>
          <w:rFonts w:ascii="Verdana" w:hAnsi="Verdana" w:cs="Arial"/>
          <w:color w:val="000000"/>
          <w:sz w:val="16"/>
          <w:szCs w:val="16"/>
          <w:lang w:val="es-CO"/>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Consejo de Estado. Sala de Consulta y Servicio Civil. Concepto del 27 de agosto de 1998, Rad. 1.127, C.P. Javier Henao Hidrón. </w:t>
      </w:r>
      <w:r w:rsidRPr="00A15008">
        <w:rPr>
          <w:rFonts w:ascii="Verdana" w:hAnsi="Verdana" w:cs="Arial"/>
          <w:color w:val="000000"/>
          <w:sz w:val="16"/>
          <w:szCs w:val="16"/>
          <w:lang w:val="es-CO"/>
        </w:rPr>
        <w:t>Rad. 1.127</w:t>
      </w:r>
      <w:r w:rsidRPr="00A15008">
        <w:rPr>
          <w:rFonts w:ascii="Verdana" w:hAnsi="Verdana" w:cs="Arial"/>
          <w:color w:val="000000"/>
          <w:sz w:val="16"/>
          <w:szCs w:val="16"/>
        </w:rPr>
        <w:t xml:space="preserve">; y </w:t>
      </w:r>
      <w:r w:rsidRPr="00A15008">
        <w:rPr>
          <w:rFonts w:ascii="Verdana" w:hAnsi="Verdana" w:cs="Arial"/>
          <w:color w:val="000000"/>
          <w:sz w:val="16"/>
          <w:szCs w:val="16"/>
          <w:lang w:val="es-CO"/>
        </w:rPr>
        <w:t>concepto del 6 de abril de 2000, C.P. Flavio Augusto Rodriguez Arce. Rad. 1.263.</w:t>
      </w:r>
    </w:p>
    <w:p w14:paraId="5170603D" w14:textId="77777777" w:rsidR="009131CF" w:rsidRPr="00A15008" w:rsidRDefault="009131CF" w:rsidP="009131CF">
      <w:pPr>
        <w:pStyle w:val="Textonotapie"/>
        <w:ind w:firstLine="708"/>
        <w:jc w:val="both"/>
        <w:rPr>
          <w:rFonts w:ascii="Verdana" w:hAnsi="Verdana" w:cs="Arial"/>
          <w:color w:val="000000"/>
          <w:sz w:val="16"/>
          <w:szCs w:val="16"/>
          <w:lang w:val="es-CO"/>
        </w:rPr>
      </w:pPr>
    </w:p>
  </w:footnote>
  <w:footnote w:id="11">
    <w:p w14:paraId="5F28E497" w14:textId="77777777" w:rsidR="009131CF" w:rsidRPr="00A15008" w:rsidRDefault="009131CF" w:rsidP="009131CF">
      <w:pPr>
        <w:pStyle w:val="Textonotapie"/>
        <w:ind w:firstLine="709"/>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Ministerio de Salud y la Protección Social. Concepto del 16 de agosto de 2019. Expediente No. 201942301304712. </w:t>
      </w:r>
    </w:p>
  </w:footnote>
  <w:footnote w:id="12">
    <w:p w14:paraId="3ED66C4B" w14:textId="77777777" w:rsidR="009131CF" w:rsidRPr="00A15008" w:rsidRDefault="009131CF" w:rsidP="009131CF">
      <w:pPr>
        <w:pStyle w:val="Textonotapie"/>
        <w:ind w:firstLine="709"/>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Consejo de Estado. Sección Tercera. Subsección A. Sentencia del 24 de octubre de 2016. C.P. Marta Nubia Velásquez Rico. </w:t>
      </w:r>
      <w:r w:rsidRPr="00A15008">
        <w:rPr>
          <w:rFonts w:ascii="Verdana" w:hAnsi="Verdana" w:cs="Arial"/>
          <w:color w:val="000000"/>
          <w:sz w:val="16"/>
          <w:szCs w:val="16"/>
          <w:lang w:val="es-CO"/>
        </w:rPr>
        <w:t>Exp. 45.607.</w:t>
      </w:r>
    </w:p>
  </w:footnote>
  <w:footnote w:id="13">
    <w:p w14:paraId="43054141" w14:textId="77777777" w:rsidR="009131CF" w:rsidRPr="00A15008" w:rsidRDefault="009131CF" w:rsidP="009131CF">
      <w:pPr>
        <w:pStyle w:val="Textonotapie"/>
        <w:snapToGrid w:val="0"/>
        <w:ind w:firstLine="709"/>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HINESTROSA FORERO, Fernando. Tratado de las Obligaciones II. De las fuentes de las obligaciones: el negocio jurídico. Vol. I. Bogotá: Universidad Externado de Colombia, 2015. p. 116.  </w:t>
      </w:r>
    </w:p>
    <w:p w14:paraId="3BA52372" w14:textId="77777777" w:rsidR="009131CF" w:rsidRPr="00A15008" w:rsidRDefault="009131CF" w:rsidP="009131CF">
      <w:pPr>
        <w:pStyle w:val="Textonotapie"/>
        <w:snapToGrid w:val="0"/>
        <w:ind w:firstLine="709"/>
        <w:jc w:val="both"/>
        <w:rPr>
          <w:rFonts w:ascii="Verdana" w:hAnsi="Verdana" w:cs="Arial"/>
          <w:color w:val="000000"/>
          <w:sz w:val="16"/>
          <w:szCs w:val="16"/>
        </w:rPr>
      </w:pPr>
    </w:p>
  </w:footnote>
  <w:footnote w:id="14">
    <w:p w14:paraId="494D952B" w14:textId="77777777" w:rsidR="009131CF" w:rsidRPr="00A15008" w:rsidRDefault="009131CF" w:rsidP="009131CF">
      <w:pPr>
        <w:pStyle w:val="Textonotapie"/>
        <w:snapToGrid w:val="0"/>
        <w:ind w:firstLine="709"/>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Cfr. Colombia Compra Eficiente. Subdirección de Gestión Contractual. Concepto C-362 del 3 de julio de 2020. Pág. 9.</w:t>
      </w:r>
    </w:p>
  </w:footnote>
  <w:footnote w:id="15">
    <w:p w14:paraId="40607AC6" w14:textId="77777777" w:rsidR="009131CF" w:rsidRPr="00A15008" w:rsidRDefault="009131CF" w:rsidP="009131CF">
      <w:pPr>
        <w:snapToGrid w:val="0"/>
        <w:spacing w:after="0" w:line="240" w:lineRule="auto"/>
        <w:ind w:firstLine="709"/>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“La</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fuerza</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vinculante</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de</w:t>
      </w:r>
      <w:r w:rsidRPr="00A15008">
        <w:rPr>
          <w:rFonts w:ascii="Verdana" w:hAnsi="Verdana" w:cs="Arial"/>
          <w:color w:val="000000"/>
          <w:spacing w:val="-11"/>
          <w:sz w:val="16"/>
          <w:szCs w:val="16"/>
        </w:rPr>
        <w:t xml:space="preserve"> </w:t>
      </w:r>
      <w:r w:rsidRPr="00A15008">
        <w:rPr>
          <w:rFonts w:ascii="Verdana" w:hAnsi="Verdana" w:cs="Arial"/>
          <w:color w:val="000000"/>
          <w:sz w:val="16"/>
          <w:szCs w:val="16"/>
        </w:rPr>
        <w:t>los</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reglamentos</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–tanto</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para</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los</w:t>
      </w:r>
      <w:r w:rsidRPr="00A15008">
        <w:rPr>
          <w:rFonts w:ascii="Verdana" w:hAnsi="Verdana" w:cs="Arial"/>
          <w:color w:val="000000"/>
          <w:spacing w:val="-11"/>
          <w:sz w:val="16"/>
          <w:szCs w:val="16"/>
        </w:rPr>
        <w:t xml:space="preserve"> </w:t>
      </w:r>
      <w:r w:rsidRPr="00A15008">
        <w:rPr>
          <w:rFonts w:ascii="Verdana" w:hAnsi="Verdana" w:cs="Arial"/>
          <w:color w:val="000000"/>
          <w:sz w:val="16"/>
          <w:szCs w:val="16"/>
        </w:rPr>
        <w:t>administrados</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como</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para</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la</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propia</w:t>
      </w:r>
      <w:r w:rsidRPr="00A15008">
        <w:rPr>
          <w:rFonts w:ascii="Verdana" w:hAnsi="Verdana" w:cs="Arial"/>
          <w:color w:val="000000"/>
          <w:spacing w:val="-50"/>
          <w:sz w:val="16"/>
          <w:szCs w:val="16"/>
        </w:rPr>
        <w:t xml:space="preserve"> </w:t>
      </w:r>
      <w:r w:rsidRPr="00A15008">
        <w:rPr>
          <w:rFonts w:ascii="Verdana" w:hAnsi="Verdana" w:cs="Arial"/>
          <w:color w:val="000000"/>
          <w:sz w:val="16"/>
          <w:szCs w:val="16"/>
        </w:rPr>
        <w:t>administración– surge del hecho de ser una norma jurídica, y de compartir la naturaleza del acto</w:t>
      </w:r>
      <w:r w:rsidRPr="00A15008">
        <w:rPr>
          <w:rFonts w:ascii="Verdana" w:hAnsi="Verdana" w:cs="Arial"/>
          <w:color w:val="000000"/>
          <w:spacing w:val="1"/>
          <w:sz w:val="16"/>
          <w:szCs w:val="16"/>
        </w:rPr>
        <w:t xml:space="preserve"> </w:t>
      </w:r>
      <w:r w:rsidRPr="00A15008">
        <w:rPr>
          <w:rFonts w:ascii="Verdana" w:hAnsi="Verdana" w:cs="Arial"/>
          <w:color w:val="000000"/>
          <w:sz w:val="16"/>
          <w:szCs w:val="16"/>
        </w:rPr>
        <w:t>administrativo,</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luego,</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de</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allí</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también</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se</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desprende</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que</w:t>
      </w:r>
      <w:r w:rsidRPr="00A15008">
        <w:rPr>
          <w:rFonts w:ascii="Verdana" w:hAnsi="Verdana" w:cs="Arial"/>
          <w:color w:val="000000"/>
          <w:spacing w:val="-3"/>
          <w:sz w:val="16"/>
          <w:szCs w:val="16"/>
        </w:rPr>
        <w:t xml:space="preserve"> </w:t>
      </w:r>
      <w:r w:rsidRPr="00A15008">
        <w:rPr>
          <w:rFonts w:ascii="Verdana" w:hAnsi="Verdana" w:cs="Arial"/>
          <w:color w:val="000000"/>
          <w:sz w:val="16"/>
          <w:szCs w:val="16"/>
        </w:rPr>
        <w:t>se</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presuman</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legales</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y</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sean</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ejecutorios.</w:t>
      </w:r>
    </w:p>
    <w:p w14:paraId="5052C3D6" w14:textId="77777777" w:rsidR="009131CF" w:rsidRPr="00A15008" w:rsidRDefault="009131CF" w:rsidP="009131CF">
      <w:pPr>
        <w:spacing w:after="0" w:line="240" w:lineRule="auto"/>
        <w:ind w:firstLine="708"/>
        <w:jc w:val="both"/>
        <w:rPr>
          <w:rFonts w:ascii="Verdana" w:hAnsi="Verdana" w:cs="Arial"/>
          <w:color w:val="000000"/>
          <w:sz w:val="16"/>
          <w:szCs w:val="16"/>
        </w:rPr>
      </w:pPr>
      <w:r w:rsidRPr="00A15008">
        <w:rPr>
          <w:rFonts w:ascii="Verdana" w:hAnsi="Verdana" w:cs="Arial"/>
          <w:color w:val="000000"/>
          <w:sz w:val="16"/>
          <w:szCs w:val="16"/>
        </w:rPr>
        <w:t>Por esta misma razón, la doctrina española –con especial fuerza– ha señalado que su</w:t>
      </w:r>
      <w:r w:rsidRPr="00A15008">
        <w:rPr>
          <w:rFonts w:ascii="Verdana" w:hAnsi="Verdana" w:cs="Arial"/>
          <w:color w:val="000000"/>
          <w:spacing w:val="1"/>
          <w:sz w:val="16"/>
          <w:szCs w:val="16"/>
        </w:rPr>
        <w:t xml:space="preserve"> </w:t>
      </w:r>
      <w:r w:rsidRPr="00A15008">
        <w:rPr>
          <w:rFonts w:ascii="Verdana" w:hAnsi="Verdana" w:cs="Arial"/>
          <w:color w:val="000000"/>
          <w:sz w:val="16"/>
          <w:szCs w:val="16"/>
        </w:rPr>
        <w:t>observancia</w:t>
      </w:r>
      <w:r w:rsidRPr="00A15008">
        <w:rPr>
          <w:rFonts w:ascii="Verdana" w:hAnsi="Verdana" w:cs="Arial"/>
          <w:color w:val="000000"/>
          <w:spacing w:val="-5"/>
          <w:sz w:val="16"/>
          <w:szCs w:val="16"/>
        </w:rPr>
        <w:t xml:space="preserve"> </w:t>
      </w:r>
      <w:r w:rsidRPr="00A15008">
        <w:rPr>
          <w:rFonts w:ascii="Verdana" w:hAnsi="Verdana" w:cs="Arial"/>
          <w:color w:val="000000"/>
          <w:sz w:val="16"/>
          <w:szCs w:val="16"/>
        </w:rPr>
        <w:t>no</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queda</w:t>
      </w:r>
      <w:r w:rsidRPr="00A15008">
        <w:rPr>
          <w:rFonts w:ascii="Verdana" w:hAnsi="Verdana" w:cs="Arial"/>
          <w:color w:val="000000"/>
          <w:spacing w:val="-5"/>
          <w:sz w:val="16"/>
          <w:szCs w:val="16"/>
        </w:rPr>
        <w:t xml:space="preserve"> </w:t>
      </w:r>
      <w:r w:rsidRPr="00A15008">
        <w:rPr>
          <w:rFonts w:ascii="Verdana" w:hAnsi="Verdana" w:cs="Arial"/>
          <w:color w:val="000000"/>
          <w:sz w:val="16"/>
          <w:szCs w:val="16"/>
        </w:rPr>
        <w:t>al</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capricho</w:t>
      </w:r>
      <w:r w:rsidRPr="00A15008">
        <w:rPr>
          <w:rFonts w:ascii="Verdana" w:hAnsi="Verdana" w:cs="Arial"/>
          <w:color w:val="000000"/>
          <w:spacing w:val="-5"/>
          <w:sz w:val="16"/>
          <w:szCs w:val="16"/>
        </w:rPr>
        <w:t xml:space="preserve"> </w:t>
      </w:r>
      <w:r w:rsidRPr="00A15008">
        <w:rPr>
          <w:rFonts w:ascii="Verdana" w:hAnsi="Verdana" w:cs="Arial"/>
          <w:color w:val="000000"/>
          <w:sz w:val="16"/>
          <w:szCs w:val="16"/>
        </w:rPr>
        <w:t>del</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órgano</w:t>
      </w:r>
      <w:r w:rsidRPr="00A15008">
        <w:rPr>
          <w:rFonts w:ascii="Verdana" w:hAnsi="Verdana" w:cs="Arial"/>
          <w:color w:val="000000"/>
          <w:spacing w:val="-5"/>
          <w:sz w:val="16"/>
          <w:szCs w:val="16"/>
        </w:rPr>
        <w:t xml:space="preserve"> </w:t>
      </w:r>
      <w:r w:rsidRPr="00A15008">
        <w:rPr>
          <w:rFonts w:ascii="Verdana" w:hAnsi="Verdana" w:cs="Arial"/>
          <w:color w:val="000000"/>
          <w:sz w:val="16"/>
          <w:szCs w:val="16"/>
        </w:rPr>
        <w:t>que</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la</w:t>
      </w:r>
      <w:r w:rsidRPr="00A15008">
        <w:rPr>
          <w:rFonts w:ascii="Verdana" w:hAnsi="Verdana" w:cs="Arial"/>
          <w:color w:val="000000"/>
          <w:spacing w:val="-5"/>
          <w:sz w:val="16"/>
          <w:szCs w:val="16"/>
        </w:rPr>
        <w:t xml:space="preserve"> </w:t>
      </w:r>
      <w:r w:rsidRPr="00A15008">
        <w:rPr>
          <w:rFonts w:ascii="Verdana" w:hAnsi="Verdana" w:cs="Arial"/>
          <w:color w:val="000000"/>
          <w:sz w:val="16"/>
          <w:szCs w:val="16"/>
        </w:rPr>
        <w:t>expidió,</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pues</w:t>
      </w:r>
      <w:r w:rsidRPr="00A15008">
        <w:rPr>
          <w:rFonts w:ascii="Verdana" w:hAnsi="Verdana" w:cs="Arial"/>
          <w:color w:val="000000"/>
          <w:spacing w:val="-5"/>
          <w:sz w:val="16"/>
          <w:szCs w:val="16"/>
        </w:rPr>
        <w:t xml:space="preserve"> </w:t>
      </w:r>
      <w:r w:rsidRPr="00A15008">
        <w:rPr>
          <w:rFonts w:ascii="Verdana" w:hAnsi="Verdana" w:cs="Arial"/>
          <w:color w:val="000000"/>
          <w:sz w:val="16"/>
          <w:szCs w:val="16"/>
        </w:rPr>
        <w:t>si</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quisiera</w:t>
      </w:r>
      <w:r w:rsidRPr="00A15008">
        <w:rPr>
          <w:rFonts w:ascii="Verdana" w:hAnsi="Verdana" w:cs="Arial"/>
          <w:color w:val="000000"/>
          <w:spacing w:val="-5"/>
          <w:sz w:val="16"/>
          <w:szCs w:val="16"/>
        </w:rPr>
        <w:t xml:space="preserve"> </w:t>
      </w:r>
      <w:r w:rsidRPr="00A15008">
        <w:rPr>
          <w:rFonts w:ascii="Verdana" w:hAnsi="Verdana" w:cs="Arial"/>
          <w:color w:val="000000"/>
          <w:sz w:val="16"/>
          <w:szCs w:val="16"/>
        </w:rPr>
        <w:t>él</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lo</w:t>
      </w:r>
      <w:r w:rsidRPr="00A15008">
        <w:rPr>
          <w:rFonts w:ascii="Verdana" w:hAnsi="Verdana" w:cs="Arial"/>
          <w:color w:val="000000"/>
          <w:spacing w:val="-4"/>
          <w:sz w:val="16"/>
          <w:szCs w:val="16"/>
        </w:rPr>
        <w:t xml:space="preserve"> </w:t>
      </w:r>
      <w:r w:rsidRPr="00A15008">
        <w:rPr>
          <w:rFonts w:ascii="Verdana" w:hAnsi="Verdana" w:cs="Arial"/>
          <w:color w:val="000000"/>
          <w:sz w:val="16"/>
          <w:szCs w:val="16"/>
        </w:rPr>
        <w:t>puede</w:t>
      </w:r>
      <w:r w:rsidRPr="00A15008">
        <w:rPr>
          <w:rFonts w:ascii="Verdana" w:hAnsi="Verdana" w:cs="Arial"/>
          <w:color w:val="000000"/>
          <w:spacing w:val="-5"/>
          <w:sz w:val="16"/>
          <w:szCs w:val="16"/>
        </w:rPr>
        <w:t xml:space="preserve"> </w:t>
      </w:r>
      <w:r w:rsidRPr="00A15008">
        <w:rPr>
          <w:rFonts w:ascii="Verdana" w:hAnsi="Verdana" w:cs="Arial"/>
          <w:color w:val="000000"/>
          <w:sz w:val="16"/>
          <w:szCs w:val="16"/>
        </w:rPr>
        <w:t>desconocer.</w:t>
      </w:r>
      <w:r w:rsidRPr="00A15008">
        <w:rPr>
          <w:rFonts w:ascii="Verdana" w:hAnsi="Verdana" w:cs="Arial"/>
          <w:color w:val="000000"/>
          <w:spacing w:val="1"/>
          <w:sz w:val="16"/>
          <w:szCs w:val="16"/>
        </w:rPr>
        <w:t xml:space="preserve"> </w:t>
      </w:r>
      <w:r w:rsidRPr="00A15008">
        <w:rPr>
          <w:rFonts w:ascii="Verdana" w:hAnsi="Verdana" w:cs="Arial"/>
          <w:color w:val="000000"/>
          <w:sz w:val="16"/>
          <w:szCs w:val="16"/>
        </w:rPr>
        <w:t>De algún modo, como acontece con todo acto administrativo, el acto cobra vida propia, y autonomía</w:t>
      </w:r>
      <w:r w:rsidRPr="00A15008">
        <w:rPr>
          <w:rFonts w:ascii="Verdana" w:hAnsi="Verdana" w:cs="Arial"/>
          <w:color w:val="000000"/>
          <w:spacing w:val="1"/>
          <w:sz w:val="16"/>
          <w:szCs w:val="16"/>
        </w:rPr>
        <w:t xml:space="preserve"> </w:t>
      </w:r>
      <w:r w:rsidRPr="00A15008">
        <w:rPr>
          <w:rFonts w:ascii="Verdana" w:hAnsi="Verdana" w:cs="Arial"/>
          <w:color w:val="000000"/>
          <w:sz w:val="16"/>
          <w:szCs w:val="16"/>
        </w:rPr>
        <w:t>en</w:t>
      </w:r>
      <w:r w:rsidRPr="00A15008">
        <w:rPr>
          <w:rFonts w:ascii="Verdana" w:hAnsi="Verdana" w:cs="Arial"/>
          <w:color w:val="000000"/>
          <w:spacing w:val="-7"/>
          <w:sz w:val="16"/>
          <w:szCs w:val="16"/>
        </w:rPr>
        <w:t xml:space="preserve"> </w:t>
      </w:r>
      <w:r w:rsidRPr="00A15008">
        <w:rPr>
          <w:rFonts w:ascii="Verdana" w:hAnsi="Verdana" w:cs="Arial"/>
          <w:color w:val="000000"/>
          <w:sz w:val="16"/>
          <w:szCs w:val="16"/>
        </w:rPr>
        <w:t>relación</w:t>
      </w:r>
      <w:r w:rsidRPr="00A15008">
        <w:rPr>
          <w:rFonts w:ascii="Verdana" w:hAnsi="Verdana" w:cs="Arial"/>
          <w:color w:val="000000"/>
          <w:spacing w:val="-7"/>
          <w:sz w:val="16"/>
          <w:szCs w:val="16"/>
        </w:rPr>
        <w:t xml:space="preserve"> </w:t>
      </w:r>
      <w:r w:rsidRPr="00A15008">
        <w:rPr>
          <w:rFonts w:ascii="Verdana" w:hAnsi="Verdana" w:cs="Arial"/>
          <w:color w:val="000000"/>
          <w:sz w:val="16"/>
          <w:szCs w:val="16"/>
        </w:rPr>
        <w:t>con</w:t>
      </w:r>
      <w:r w:rsidRPr="00A15008">
        <w:rPr>
          <w:rFonts w:ascii="Verdana" w:hAnsi="Verdana" w:cs="Arial"/>
          <w:color w:val="000000"/>
          <w:spacing w:val="-6"/>
          <w:sz w:val="16"/>
          <w:szCs w:val="16"/>
        </w:rPr>
        <w:t xml:space="preserve"> </w:t>
      </w:r>
      <w:r w:rsidRPr="00A15008">
        <w:rPr>
          <w:rFonts w:ascii="Verdana" w:hAnsi="Verdana" w:cs="Arial"/>
          <w:color w:val="000000"/>
          <w:sz w:val="16"/>
          <w:szCs w:val="16"/>
        </w:rPr>
        <w:t>su</w:t>
      </w:r>
      <w:r w:rsidRPr="00A15008">
        <w:rPr>
          <w:rFonts w:ascii="Verdana" w:hAnsi="Verdana" w:cs="Arial"/>
          <w:color w:val="000000"/>
          <w:spacing w:val="-7"/>
          <w:sz w:val="16"/>
          <w:szCs w:val="16"/>
        </w:rPr>
        <w:t xml:space="preserve"> </w:t>
      </w:r>
      <w:r w:rsidRPr="00A15008">
        <w:rPr>
          <w:rFonts w:ascii="Verdana" w:hAnsi="Verdana" w:cs="Arial"/>
          <w:color w:val="000000"/>
          <w:sz w:val="16"/>
          <w:szCs w:val="16"/>
        </w:rPr>
        <w:t>propio</w:t>
      </w:r>
      <w:r w:rsidRPr="00A15008">
        <w:rPr>
          <w:rFonts w:ascii="Verdana" w:hAnsi="Verdana" w:cs="Arial"/>
          <w:color w:val="000000"/>
          <w:spacing w:val="-7"/>
          <w:sz w:val="16"/>
          <w:szCs w:val="16"/>
        </w:rPr>
        <w:t xml:space="preserve"> </w:t>
      </w:r>
      <w:r w:rsidRPr="00A15008">
        <w:rPr>
          <w:rFonts w:ascii="Verdana" w:hAnsi="Verdana" w:cs="Arial"/>
          <w:color w:val="000000"/>
          <w:sz w:val="16"/>
          <w:szCs w:val="16"/>
        </w:rPr>
        <w:t>creador.</w:t>
      </w:r>
      <w:r w:rsidRPr="00A15008">
        <w:rPr>
          <w:rFonts w:ascii="Verdana" w:hAnsi="Verdana" w:cs="Arial"/>
          <w:color w:val="000000"/>
          <w:spacing w:val="-6"/>
          <w:sz w:val="16"/>
          <w:szCs w:val="16"/>
        </w:rPr>
        <w:t xml:space="preserve"> </w:t>
      </w:r>
      <w:r w:rsidRPr="00A15008">
        <w:rPr>
          <w:rFonts w:ascii="Verdana" w:hAnsi="Verdana" w:cs="Arial"/>
          <w:color w:val="000000"/>
          <w:sz w:val="16"/>
          <w:szCs w:val="16"/>
        </w:rPr>
        <w:t>A</w:t>
      </w:r>
      <w:r w:rsidRPr="00A15008">
        <w:rPr>
          <w:rFonts w:ascii="Verdana" w:hAnsi="Verdana" w:cs="Arial"/>
          <w:color w:val="000000"/>
          <w:spacing w:val="-7"/>
          <w:sz w:val="16"/>
          <w:szCs w:val="16"/>
        </w:rPr>
        <w:t xml:space="preserve"> </w:t>
      </w:r>
      <w:r w:rsidRPr="00A15008">
        <w:rPr>
          <w:rFonts w:ascii="Verdana" w:hAnsi="Verdana" w:cs="Arial"/>
          <w:color w:val="000000"/>
          <w:sz w:val="16"/>
          <w:szCs w:val="16"/>
        </w:rPr>
        <w:t>este</w:t>
      </w:r>
      <w:r w:rsidRPr="00A15008">
        <w:rPr>
          <w:rFonts w:ascii="Verdana" w:hAnsi="Verdana" w:cs="Arial"/>
          <w:color w:val="000000"/>
          <w:spacing w:val="-6"/>
          <w:sz w:val="16"/>
          <w:szCs w:val="16"/>
        </w:rPr>
        <w:t xml:space="preserve"> </w:t>
      </w:r>
      <w:r w:rsidRPr="00A15008">
        <w:rPr>
          <w:rFonts w:ascii="Verdana" w:hAnsi="Verdana" w:cs="Arial"/>
          <w:color w:val="000000"/>
          <w:sz w:val="16"/>
          <w:szCs w:val="16"/>
        </w:rPr>
        <w:t>último</w:t>
      </w:r>
      <w:r w:rsidRPr="00A15008">
        <w:rPr>
          <w:rFonts w:ascii="Verdana" w:hAnsi="Verdana" w:cs="Arial"/>
          <w:color w:val="000000"/>
          <w:spacing w:val="-7"/>
          <w:sz w:val="16"/>
          <w:szCs w:val="16"/>
        </w:rPr>
        <w:t xml:space="preserve"> </w:t>
      </w:r>
      <w:r w:rsidRPr="00A15008">
        <w:rPr>
          <w:rFonts w:ascii="Verdana" w:hAnsi="Verdana" w:cs="Arial"/>
          <w:color w:val="000000"/>
          <w:sz w:val="16"/>
          <w:szCs w:val="16"/>
        </w:rPr>
        <w:t>evento</w:t>
      </w:r>
      <w:r w:rsidRPr="00A15008">
        <w:rPr>
          <w:rFonts w:ascii="Verdana" w:hAnsi="Verdana" w:cs="Arial"/>
          <w:color w:val="000000"/>
          <w:spacing w:val="-7"/>
          <w:sz w:val="16"/>
          <w:szCs w:val="16"/>
        </w:rPr>
        <w:t xml:space="preserve"> </w:t>
      </w:r>
      <w:r w:rsidRPr="00A15008">
        <w:rPr>
          <w:rFonts w:ascii="Verdana" w:hAnsi="Verdana" w:cs="Arial"/>
          <w:color w:val="000000"/>
          <w:sz w:val="16"/>
          <w:szCs w:val="16"/>
        </w:rPr>
        <w:t>se</w:t>
      </w:r>
      <w:r w:rsidRPr="00A15008">
        <w:rPr>
          <w:rFonts w:ascii="Verdana" w:hAnsi="Verdana" w:cs="Arial"/>
          <w:color w:val="000000"/>
          <w:spacing w:val="-6"/>
          <w:sz w:val="16"/>
          <w:szCs w:val="16"/>
        </w:rPr>
        <w:t xml:space="preserve"> </w:t>
      </w:r>
      <w:r w:rsidRPr="00A15008">
        <w:rPr>
          <w:rFonts w:ascii="Verdana" w:hAnsi="Verdana" w:cs="Arial"/>
          <w:color w:val="000000"/>
          <w:sz w:val="16"/>
          <w:szCs w:val="16"/>
        </w:rPr>
        <w:t>le</w:t>
      </w:r>
      <w:r w:rsidRPr="00A15008">
        <w:rPr>
          <w:rFonts w:ascii="Verdana" w:hAnsi="Verdana" w:cs="Arial"/>
          <w:color w:val="000000"/>
          <w:spacing w:val="-7"/>
          <w:sz w:val="16"/>
          <w:szCs w:val="16"/>
        </w:rPr>
        <w:t xml:space="preserve"> </w:t>
      </w:r>
      <w:r w:rsidRPr="00A15008">
        <w:rPr>
          <w:rFonts w:ascii="Verdana" w:hAnsi="Verdana" w:cs="Arial"/>
          <w:color w:val="000000"/>
          <w:sz w:val="16"/>
          <w:szCs w:val="16"/>
        </w:rPr>
        <w:t>denomina</w:t>
      </w:r>
      <w:r w:rsidRPr="00A15008">
        <w:rPr>
          <w:rFonts w:ascii="Verdana" w:hAnsi="Verdana" w:cs="Arial"/>
          <w:color w:val="000000"/>
          <w:spacing w:val="-6"/>
          <w:sz w:val="16"/>
          <w:szCs w:val="16"/>
        </w:rPr>
        <w:t xml:space="preserve"> </w:t>
      </w:r>
      <w:r w:rsidRPr="00A15008">
        <w:rPr>
          <w:rFonts w:ascii="Verdana" w:hAnsi="Verdana" w:cs="Arial"/>
          <w:color w:val="000000"/>
          <w:sz w:val="16"/>
          <w:szCs w:val="16"/>
        </w:rPr>
        <w:t>la</w:t>
      </w:r>
      <w:r w:rsidRPr="00A15008">
        <w:rPr>
          <w:rFonts w:ascii="Verdana" w:hAnsi="Verdana" w:cs="Arial"/>
          <w:color w:val="000000"/>
          <w:spacing w:val="-6"/>
          <w:sz w:val="16"/>
          <w:szCs w:val="16"/>
        </w:rPr>
        <w:t xml:space="preserve"> </w:t>
      </w:r>
      <w:r w:rsidRPr="00A15008">
        <w:rPr>
          <w:rFonts w:ascii="Verdana" w:hAnsi="Verdana" w:cs="Arial"/>
          <w:color w:val="000000"/>
          <w:sz w:val="16"/>
          <w:szCs w:val="16"/>
        </w:rPr>
        <w:t>inderogabilidad</w:t>
      </w:r>
      <w:r w:rsidRPr="00A15008">
        <w:rPr>
          <w:rFonts w:ascii="Verdana" w:hAnsi="Verdana" w:cs="Arial"/>
          <w:color w:val="000000"/>
          <w:spacing w:val="-6"/>
          <w:sz w:val="16"/>
          <w:szCs w:val="16"/>
        </w:rPr>
        <w:t xml:space="preserve"> </w:t>
      </w:r>
      <w:r w:rsidRPr="00A15008">
        <w:rPr>
          <w:rFonts w:ascii="Verdana" w:hAnsi="Verdana" w:cs="Arial"/>
          <w:color w:val="000000"/>
          <w:sz w:val="16"/>
          <w:szCs w:val="16"/>
        </w:rPr>
        <w:t>singular</w:t>
      </w:r>
      <w:r w:rsidRPr="00A15008">
        <w:rPr>
          <w:rFonts w:ascii="Verdana" w:hAnsi="Verdana" w:cs="Arial"/>
          <w:color w:val="000000"/>
          <w:spacing w:val="-6"/>
          <w:sz w:val="16"/>
          <w:szCs w:val="16"/>
        </w:rPr>
        <w:t xml:space="preserve"> </w:t>
      </w:r>
      <w:r w:rsidRPr="00A15008">
        <w:rPr>
          <w:rFonts w:ascii="Verdana" w:hAnsi="Verdana" w:cs="Arial"/>
          <w:color w:val="000000"/>
          <w:sz w:val="16"/>
          <w:szCs w:val="16"/>
        </w:rPr>
        <w:t>del</w:t>
      </w:r>
      <w:r w:rsidRPr="00A15008">
        <w:rPr>
          <w:rFonts w:ascii="Verdana" w:hAnsi="Verdana" w:cs="Arial"/>
          <w:color w:val="000000"/>
          <w:spacing w:val="1"/>
          <w:sz w:val="16"/>
          <w:szCs w:val="16"/>
        </w:rPr>
        <w:t xml:space="preserve"> </w:t>
      </w:r>
      <w:r w:rsidRPr="00A15008">
        <w:rPr>
          <w:rFonts w:ascii="Verdana" w:hAnsi="Verdana" w:cs="Arial"/>
          <w:color w:val="000000"/>
          <w:sz w:val="16"/>
          <w:szCs w:val="16"/>
        </w:rPr>
        <w:t>reglamento,</w:t>
      </w:r>
      <w:r w:rsidRPr="00A15008">
        <w:rPr>
          <w:rFonts w:ascii="Verdana" w:hAnsi="Verdana" w:cs="Arial"/>
          <w:color w:val="000000"/>
          <w:spacing w:val="-3"/>
          <w:sz w:val="16"/>
          <w:szCs w:val="16"/>
        </w:rPr>
        <w:t xml:space="preserve"> </w:t>
      </w:r>
      <w:r w:rsidRPr="00A15008">
        <w:rPr>
          <w:rFonts w:ascii="Verdana" w:hAnsi="Verdana" w:cs="Arial"/>
          <w:color w:val="000000"/>
          <w:sz w:val="16"/>
          <w:szCs w:val="16"/>
        </w:rPr>
        <w:t>que</w:t>
      </w:r>
      <w:r w:rsidRPr="00A15008">
        <w:rPr>
          <w:rFonts w:ascii="Verdana" w:hAnsi="Verdana" w:cs="Arial"/>
          <w:color w:val="000000"/>
          <w:spacing w:val="-2"/>
          <w:sz w:val="16"/>
          <w:szCs w:val="16"/>
        </w:rPr>
        <w:t xml:space="preserve"> </w:t>
      </w:r>
      <w:r w:rsidRPr="00A15008">
        <w:rPr>
          <w:rFonts w:ascii="Verdana" w:hAnsi="Verdana" w:cs="Arial"/>
          <w:color w:val="000000"/>
          <w:sz w:val="16"/>
          <w:szCs w:val="16"/>
        </w:rPr>
        <w:t>no</w:t>
      </w:r>
      <w:r w:rsidRPr="00A15008">
        <w:rPr>
          <w:rFonts w:ascii="Verdana" w:hAnsi="Verdana" w:cs="Arial"/>
          <w:color w:val="000000"/>
          <w:spacing w:val="-2"/>
          <w:sz w:val="16"/>
          <w:szCs w:val="16"/>
        </w:rPr>
        <w:t xml:space="preserve"> </w:t>
      </w:r>
      <w:r w:rsidRPr="00A15008">
        <w:rPr>
          <w:rFonts w:ascii="Verdana" w:hAnsi="Verdana" w:cs="Arial"/>
          <w:color w:val="000000"/>
          <w:sz w:val="16"/>
          <w:szCs w:val="16"/>
        </w:rPr>
        <w:t>es</w:t>
      </w:r>
      <w:r w:rsidRPr="00A15008">
        <w:rPr>
          <w:rFonts w:ascii="Verdana" w:hAnsi="Verdana" w:cs="Arial"/>
          <w:color w:val="000000"/>
          <w:spacing w:val="-2"/>
          <w:sz w:val="16"/>
          <w:szCs w:val="16"/>
        </w:rPr>
        <w:t xml:space="preserve"> </w:t>
      </w:r>
      <w:r w:rsidRPr="00A15008">
        <w:rPr>
          <w:rFonts w:ascii="Verdana" w:hAnsi="Verdana" w:cs="Arial"/>
          <w:color w:val="000000"/>
          <w:sz w:val="16"/>
          <w:szCs w:val="16"/>
        </w:rPr>
        <w:t>otra</w:t>
      </w:r>
      <w:r w:rsidRPr="00A15008">
        <w:rPr>
          <w:rFonts w:ascii="Verdana" w:hAnsi="Verdana" w:cs="Arial"/>
          <w:color w:val="000000"/>
          <w:spacing w:val="-2"/>
          <w:sz w:val="16"/>
          <w:szCs w:val="16"/>
        </w:rPr>
        <w:t xml:space="preserve"> </w:t>
      </w:r>
      <w:r w:rsidRPr="00A15008">
        <w:rPr>
          <w:rFonts w:ascii="Verdana" w:hAnsi="Verdana" w:cs="Arial"/>
          <w:color w:val="000000"/>
          <w:sz w:val="16"/>
          <w:szCs w:val="16"/>
        </w:rPr>
        <w:t>cosa</w:t>
      </w:r>
      <w:r w:rsidRPr="00A15008">
        <w:rPr>
          <w:rFonts w:ascii="Verdana" w:hAnsi="Verdana" w:cs="Arial"/>
          <w:color w:val="000000"/>
          <w:spacing w:val="-2"/>
          <w:sz w:val="16"/>
          <w:szCs w:val="16"/>
        </w:rPr>
        <w:t xml:space="preserve"> </w:t>
      </w:r>
      <w:r w:rsidRPr="00A15008">
        <w:rPr>
          <w:rFonts w:ascii="Verdana" w:hAnsi="Verdana" w:cs="Arial"/>
          <w:color w:val="000000"/>
          <w:sz w:val="16"/>
          <w:szCs w:val="16"/>
        </w:rPr>
        <w:t>que</w:t>
      </w:r>
      <w:r w:rsidRPr="00A15008">
        <w:rPr>
          <w:rFonts w:ascii="Verdana" w:hAnsi="Verdana" w:cs="Arial"/>
          <w:color w:val="000000"/>
          <w:spacing w:val="-2"/>
          <w:sz w:val="16"/>
          <w:szCs w:val="16"/>
        </w:rPr>
        <w:t xml:space="preserve"> </w:t>
      </w:r>
      <w:r w:rsidRPr="00A15008">
        <w:rPr>
          <w:rFonts w:ascii="Verdana" w:hAnsi="Verdana" w:cs="Arial"/>
          <w:color w:val="000000"/>
          <w:sz w:val="16"/>
          <w:szCs w:val="16"/>
        </w:rPr>
        <w:t>la</w:t>
      </w:r>
      <w:r w:rsidRPr="00A15008">
        <w:rPr>
          <w:rFonts w:ascii="Verdana" w:hAnsi="Verdana" w:cs="Arial"/>
          <w:color w:val="000000"/>
          <w:spacing w:val="-2"/>
          <w:sz w:val="16"/>
          <w:szCs w:val="16"/>
        </w:rPr>
        <w:t xml:space="preserve"> </w:t>
      </w:r>
      <w:r w:rsidRPr="00A15008">
        <w:rPr>
          <w:rFonts w:ascii="Verdana" w:hAnsi="Verdana" w:cs="Arial"/>
          <w:color w:val="000000"/>
          <w:sz w:val="16"/>
          <w:szCs w:val="16"/>
        </w:rPr>
        <w:t>prohibición</w:t>
      </w:r>
      <w:r w:rsidRPr="00A15008">
        <w:rPr>
          <w:rFonts w:ascii="Verdana" w:hAnsi="Verdana" w:cs="Arial"/>
          <w:color w:val="000000"/>
          <w:spacing w:val="-2"/>
          <w:sz w:val="16"/>
          <w:szCs w:val="16"/>
        </w:rPr>
        <w:t xml:space="preserve"> </w:t>
      </w:r>
      <w:r w:rsidRPr="00A15008">
        <w:rPr>
          <w:rFonts w:ascii="Verdana" w:hAnsi="Verdana" w:cs="Arial"/>
          <w:color w:val="000000"/>
          <w:sz w:val="16"/>
          <w:szCs w:val="16"/>
        </w:rPr>
        <w:t>de</w:t>
      </w:r>
      <w:r w:rsidRPr="00A15008">
        <w:rPr>
          <w:rFonts w:ascii="Verdana" w:hAnsi="Verdana" w:cs="Arial"/>
          <w:color w:val="000000"/>
          <w:spacing w:val="-2"/>
          <w:sz w:val="16"/>
          <w:szCs w:val="16"/>
        </w:rPr>
        <w:t xml:space="preserve"> </w:t>
      </w:r>
      <w:r w:rsidRPr="00A15008">
        <w:rPr>
          <w:rFonts w:ascii="Verdana" w:hAnsi="Verdana" w:cs="Arial"/>
          <w:color w:val="000000"/>
          <w:sz w:val="16"/>
          <w:szCs w:val="16"/>
        </w:rPr>
        <w:t>insertarlo</w:t>
      </w:r>
      <w:r w:rsidRPr="00A15008">
        <w:rPr>
          <w:rFonts w:ascii="Verdana" w:hAnsi="Verdana" w:cs="Arial"/>
          <w:color w:val="000000"/>
          <w:spacing w:val="-2"/>
          <w:sz w:val="16"/>
          <w:szCs w:val="16"/>
        </w:rPr>
        <w:t xml:space="preserve"> </w:t>
      </w:r>
      <w:r w:rsidRPr="00A15008">
        <w:rPr>
          <w:rFonts w:ascii="Verdana" w:hAnsi="Verdana" w:cs="Arial"/>
          <w:color w:val="000000"/>
          <w:sz w:val="16"/>
          <w:szCs w:val="16"/>
        </w:rPr>
        <w:t>en</w:t>
      </w:r>
      <w:r w:rsidRPr="00A15008">
        <w:rPr>
          <w:rFonts w:ascii="Verdana" w:hAnsi="Verdana" w:cs="Arial"/>
          <w:color w:val="000000"/>
          <w:spacing w:val="-3"/>
          <w:sz w:val="16"/>
          <w:szCs w:val="16"/>
        </w:rPr>
        <w:t xml:space="preserve"> </w:t>
      </w:r>
      <w:r w:rsidRPr="00A15008">
        <w:rPr>
          <w:rFonts w:ascii="Verdana" w:hAnsi="Verdana" w:cs="Arial"/>
          <w:color w:val="000000"/>
          <w:sz w:val="16"/>
          <w:szCs w:val="16"/>
        </w:rPr>
        <w:t>un</w:t>
      </w:r>
      <w:r w:rsidRPr="00A15008">
        <w:rPr>
          <w:rFonts w:ascii="Verdana" w:hAnsi="Verdana" w:cs="Arial"/>
          <w:color w:val="000000"/>
          <w:spacing w:val="-2"/>
          <w:sz w:val="16"/>
          <w:szCs w:val="16"/>
        </w:rPr>
        <w:t xml:space="preserve"> </w:t>
      </w:r>
      <w:r w:rsidRPr="00A15008">
        <w:rPr>
          <w:rFonts w:ascii="Verdana" w:hAnsi="Verdana" w:cs="Arial"/>
          <w:color w:val="000000"/>
          <w:sz w:val="16"/>
          <w:szCs w:val="16"/>
        </w:rPr>
        <w:t>caso</w:t>
      </w:r>
      <w:r w:rsidRPr="00A15008">
        <w:rPr>
          <w:rFonts w:ascii="Verdana" w:hAnsi="Verdana" w:cs="Arial"/>
          <w:color w:val="000000"/>
          <w:spacing w:val="-2"/>
          <w:sz w:val="16"/>
          <w:szCs w:val="16"/>
        </w:rPr>
        <w:t xml:space="preserve"> </w:t>
      </w:r>
      <w:r w:rsidRPr="00A15008">
        <w:rPr>
          <w:rFonts w:ascii="Verdana" w:hAnsi="Verdana" w:cs="Arial"/>
          <w:color w:val="000000"/>
          <w:sz w:val="16"/>
          <w:szCs w:val="16"/>
        </w:rPr>
        <w:t>particular.</w:t>
      </w:r>
    </w:p>
    <w:p w14:paraId="122FD4A4" w14:textId="77777777" w:rsidR="009131CF" w:rsidRPr="00A15008" w:rsidRDefault="009131CF" w:rsidP="009131CF">
      <w:pPr>
        <w:spacing w:after="0" w:line="240" w:lineRule="auto"/>
        <w:ind w:firstLine="708"/>
        <w:jc w:val="both"/>
        <w:rPr>
          <w:rFonts w:ascii="Verdana" w:hAnsi="Verdana" w:cs="Arial"/>
          <w:color w:val="000000"/>
          <w:sz w:val="16"/>
          <w:szCs w:val="16"/>
        </w:rPr>
      </w:pPr>
      <w:r w:rsidRPr="00A15008">
        <w:rPr>
          <w:rFonts w:ascii="Verdana" w:hAnsi="Verdana" w:cs="Arial"/>
          <w:color w:val="000000"/>
          <w:sz w:val="16"/>
          <w:szCs w:val="16"/>
        </w:rPr>
        <w:t>Esta tesis –de absoluta razonabilidad–, protege tanto al ciudadano como al ordenamiento</w:t>
      </w:r>
      <w:r w:rsidRPr="00A15008">
        <w:rPr>
          <w:rFonts w:ascii="Verdana" w:hAnsi="Verdana" w:cs="Arial"/>
          <w:color w:val="000000"/>
          <w:spacing w:val="1"/>
          <w:sz w:val="16"/>
          <w:szCs w:val="16"/>
        </w:rPr>
        <w:t xml:space="preserve"> </w:t>
      </w:r>
      <w:r w:rsidRPr="00A15008">
        <w:rPr>
          <w:rFonts w:ascii="Verdana" w:hAnsi="Verdana" w:cs="Arial"/>
          <w:color w:val="000000"/>
          <w:sz w:val="16"/>
          <w:szCs w:val="16"/>
        </w:rPr>
        <w:t xml:space="preserve">jurídico en general, de la arbitrariedad de la administración, pues si se admitiera </w:t>
      </w:r>
      <w:r w:rsidRPr="00A15008">
        <w:rPr>
          <w:rFonts w:ascii="Verdana" w:hAnsi="Verdana" w:cs="Arial"/>
          <w:color w:val="000000"/>
          <w:sz w:val="16"/>
          <w:szCs w:val="16"/>
        </w:rPr>
        <w:t>que pese a estar en</w:t>
      </w:r>
      <w:r w:rsidRPr="00A15008">
        <w:rPr>
          <w:rFonts w:ascii="Verdana" w:hAnsi="Verdana" w:cs="Arial"/>
          <w:color w:val="000000"/>
          <w:spacing w:val="-50"/>
          <w:sz w:val="16"/>
          <w:szCs w:val="16"/>
        </w:rPr>
        <w:t xml:space="preserve"> </w:t>
      </w:r>
      <w:r w:rsidRPr="00A15008">
        <w:rPr>
          <w:rFonts w:ascii="Verdana" w:hAnsi="Verdana" w:cs="Arial"/>
          <w:color w:val="000000"/>
          <w:sz w:val="16"/>
          <w:szCs w:val="16"/>
        </w:rPr>
        <w:t>vigencia</w:t>
      </w:r>
      <w:r w:rsidRPr="00A15008">
        <w:rPr>
          <w:rFonts w:ascii="Verdana" w:hAnsi="Verdana" w:cs="Arial"/>
          <w:color w:val="000000"/>
          <w:spacing w:val="-10"/>
          <w:sz w:val="16"/>
          <w:szCs w:val="16"/>
        </w:rPr>
        <w:t xml:space="preserve"> </w:t>
      </w:r>
      <w:r w:rsidRPr="00A15008">
        <w:rPr>
          <w:rFonts w:ascii="Verdana" w:hAnsi="Verdana" w:cs="Arial"/>
          <w:color w:val="000000"/>
          <w:sz w:val="16"/>
          <w:szCs w:val="16"/>
        </w:rPr>
        <w:t>un</w:t>
      </w:r>
      <w:r w:rsidRPr="00A15008">
        <w:rPr>
          <w:rFonts w:ascii="Verdana" w:hAnsi="Verdana" w:cs="Arial"/>
          <w:color w:val="000000"/>
          <w:spacing w:val="-9"/>
          <w:sz w:val="16"/>
          <w:szCs w:val="16"/>
        </w:rPr>
        <w:t xml:space="preserve"> </w:t>
      </w:r>
      <w:r w:rsidRPr="00A15008">
        <w:rPr>
          <w:rFonts w:ascii="Verdana" w:hAnsi="Verdana" w:cs="Arial"/>
          <w:color w:val="000000"/>
          <w:sz w:val="16"/>
          <w:szCs w:val="16"/>
        </w:rPr>
        <w:t>reglamento</w:t>
      </w:r>
      <w:r w:rsidRPr="00A15008">
        <w:rPr>
          <w:rFonts w:ascii="Verdana" w:hAnsi="Verdana" w:cs="Arial"/>
          <w:color w:val="000000"/>
          <w:spacing w:val="-10"/>
          <w:sz w:val="16"/>
          <w:szCs w:val="16"/>
        </w:rPr>
        <w:t xml:space="preserve"> </w:t>
      </w:r>
      <w:r w:rsidRPr="00A15008">
        <w:rPr>
          <w:rFonts w:ascii="Verdana" w:hAnsi="Verdana" w:cs="Arial"/>
          <w:color w:val="000000"/>
          <w:sz w:val="16"/>
          <w:szCs w:val="16"/>
        </w:rPr>
        <w:t>la</w:t>
      </w:r>
      <w:r w:rsidRPr="00A15008">
        <w:rPr>
          <w:rFonts w:ascii="Verdana" w:hAnsi="Verdana" w:cs="Arial"/>
          <w:color w:val="000000"/>
          <w:spacing w:val="-9"/>
          <w:sz w:val="16"/>
          <w:szCs w:val="16"/>
        </w:rPr>
        <w:t xml:space="preserve"> </w:t>
      </w:r>
      <w:r w:rsidRPr="00A15008">
        <w:rPr>
          <w:rFonts w:ascii="Verdana" w:hAnsi="Verdana" w:cs="Arial"/>
          <w:color w:val="000000"/>
          <w:sz w:val="16"/>
          <w:szCs w:val="16"/>
        </w:rPr>
        <w:t>propia</w:t>
      </w:r>
      <w:r w:rsidRPr="00A15008">
        <w:rPr>
          <w:rFonts w:ascii="Verdana" w:hAnsi="Verdana" w:cs="Arial"/>
          <w:color w:val="000000"/>
          <w:spacing w:val="-10"/>
          <w:sz w:val="16"/>
          <w:szCs w:val="16"/>
        </w:rPr>
        <w:t xml:space="preserve"> </w:t>
      </w:r>
      <w:r w:rsidRPr="00A15008">
        <w:rPr>
          <w:rFonts w:ascii="Verdana" w:hAnsi="Verdana" w:cs="Arial"/>
          <w:color w:val="000000"/>
          <w:sz w:val="16"/>
          <w:szCs w:val="16"/>
        </w:rPr>
        <w:t>administración</w:t>
      </w:r>
      <w:r w:rsidRPr="00A15008">
        <w:rPr>
          <w:rFonts w:ascii="Verdana" w:hAnsi="Verdana" w:cs="Arial"/>
          <w:color w:val="000000"/>
          <w:spacing w:val="-9"/>
          <w:sz w:val="16"/>
          <w:szCs w:val="16"/>
        </w:rPr>
        <w:t xml:space="preserve"> </w:t>
      </w:r>
      <w:r w:rsidRPr="00A15008">
        <w:rPr>
          <w:rFonts w:ascii="Verdana" w:hAnsi="Verdana" w:cs="Arial"/>
          <w:color w:val="000000"/>
          <w:sz w:val="16"/>
          <w:szCs w:val="16"/>
        </w:rPr>
        <w:t>que</w:t>
      </w:r>
      <w:r w:rsidRPr="00A15008">
        <w:rPr>
          <w:rFonts w:ascii="Verdana" w:hAnsi="Verdana" w:cs="Arial"/>
          <w:color w:val="000000"/>
          <w:spacing w:val="-10"/>
          <w:sz w:val="16"/>
          <w:szCs w:val="16"/>
        </w:rPr>
        <w:t xml:space="preserve"> </w:t>
      </w:r>
      <w:r w:rsidRPr="00A15008">
        <w:rPr>
          <w:rFonts w:ascii="Verdana" w:hAnsi="Verdana" w:cs="Arial"/>
          <w:color w:val="000000"/>
          <w:sz w:val="16"/>
          <w:szCs w:val="16"/>
        </w:rPr>
        <w:t>lo</w:t>
      </w:r>
      <w:r w:rsidRPr="00A15008">
        <w:rPr>
          <w:rFonts w:ascii="Verdana" w:hAnsi="Verdana" w:cs="Arial"/>
          <w:color w:val="000000"/>
          <w:spacing w:val="-9"/>
          <w:sz w:val="16"/>
          <w:szCs w:val="16"/>
        </w:rPr>
        <w:t xml:space="preserve"> </w:t>
      </w:r>
      <w:r w:rsidRPr="00A15008">
        <w:rPr>
          <w:rFonts w:ascii="Verdana" w:hAnsi="Verdana" w:cs="Arial"/>
          <w:color w:val="000000"/>
          <w:sz w:val="16"/>
          <w:szCs w:val="16"/>
        </w:rPr>
        <w:t>dictó</w:t>
      </w:r>
      <w:r w:rsidRPr="00A15008">
        <w:rPr>
          <w:rFonts w:ascii="Verdana" w:hAnsi="Verdana" w:cs="Arial"/>
          <w:color w:val="000000"/>
          <w:spacing w:val="-10"/>
          <w:sz w:val="16"/>
          <w:szCs w:val="16"/>
        </w:rPr>
        <w:t xml:space="preserve"> </w:t>
      </w:r>
      <w:r w:rsidRPr="00A15008">
        <w:rPr>
          <w:rFonts w:ascii="Verdana" w:hAnsi="Verdana" w:cs="Arial"/>
          <w:color w:val="000000"/>
          <w:sz w:val="16"/>
          <w:szCs w:val="16"/>
        </w:rPr>
        <w:t>lo</w:t>
      </w:r>
      <w:r w:rsidRPr="00A15008">
        <w:rPr>
          <w:rFonts w:ascii="Verdana" w:hAnsi="Verdana" w:cs="Arial"/>
          <w:color w:val="000000"/>
          <w:spacing w:val="-9"/>
          <w:sz w:val="16"/>
          <w:szCs w:val="16"/>
        </w:rPr>
        <w:t xml:space="preserve"> </w:t>
      </w:r>
      <w:r w:rsidRPr="00A15008">
        <w:rPr>
          <w:rFonts w:ascii="Verdana" w:hAnsi="Verdana" w:cs="Arial"/>
          <w:color w:val="000000"/>
          <w:sz w:val="16"/>
          <w:szCs w:val="16"/>
        </w:rPr>
        <w:t>pudiera</w:t>
      </w:r>
      <w:r w:rsidRPr="00A15008">
        <w:rPr>
          <w:rFonts w:ascii="Verdana" w:hAnsi="Verdana" w:cs="Arial"/>
          <w:color w:val="000000"/>
          <w:spacing w:val="-10"/>
          <w:sz w:val="16"/>
          <w:szCs w:val="16"/>
        </w:rPr>
        <w:t xml:space="preserve"> </w:t>
      </w:r>
      <w:r w:rsidRPr="00A15008">
        <w:rPr>
          <w:rFonts w:ascii="Verdana" w:hAnsi="Verdana" w:cs="Arial"/>
          <w:color w:val="000000"/>
          <w:sz w:val="16"/>
          <w:szCs w:val="16"/>
        </w:rPr>
        <w:t>inaplicar,</w:t>
      </w:r>
      <w:r w:rsidRPr="00A15008">
        <w:rPr>
          <w:rFonts w:ascii="Verdana" w:hAnsi="Verdana" w:cs="Arial"/>
          <w:color w:val="000000"/>
          <w:spacing w:val="-9"/>
          <w:sz w:val="16"/>
          <w:szCs w:val="16"/>
        </w:rPr>
        <w:t xml:space="preserve"> </w:t>
      </w:r>
      <w:r w:rsidRPr="00A15008">
        <w:rPr>
          <w:rFonts w:ascii="Verdana" w:hAnsi="Verdana" w:cs="Arial"/>
          <w:color w:val="000000"/>
          <w:sz w:val="16"/>
          <w:szCs w:val="16"/>
        </w:rPr>
        <w:t>aduciendo</w:t>
      </w:r>
      <w:r w:rsidRPr="00A15008">
        <w:rPr>
          <w:rFonts w:ascii="Verdana" w:hAnsi="Verdana" w:cs="Arial"/>
          <w:color w:val="000000"/>
          <w:spacing w:val="-10"/>
          <w:sz w:val="16"/>
          <w:szCs w:val="16"/>
        </w:rPr>
        <w:t xml:space="preserve"> </w:t>
      </w:r>
      <w:r w:rsidRPr="00A15008">
        <w:rPr>
          <w:rFonts w:ascii="Verdana" w:hAnsi="Verdana" w:cs="Arial"/>
          <w:color w:val="000000"/>
          <w:sz w:val="16"/>
          <w:szCs w:val="16"/>
        </w:rPr>
        <w:t>que</w:t>
      </w:r>
      <w:r w:rsidRPr="00A15008">
        <w:rPr>
          <w:rFonts w:ascii="Verdana" w:hAnsi="Verdana" w:cs="Arial"/>
          <w:color w:val="000000"/>
          <w:spacing w:val="-9"/>
          <w:sz w:val="16"/>
          <w:szCs w:val="16"/>
        </w:rPr>
        <w:t xml:space="preserve"> </w:t>
      </w:r>
      <w:r w:rsidRPr="00A15008">
        <w:rPr>
          <w:rFonts w:ascii="Verdana" w:hAnsi="Verdana" w:cs="Arial"/>
          <w:color w:val="000000"/>
          <w:sz w:val="16"/>
          <w:szCs w:val="16"/>
        </w:rPr>
        <w:t>si</w:t>
      </w:r>
      <w:r w:rsidRPr="00A15008">
        <w:rPr>
          <w:rFonts w:ascii="Verdana" w:hAnsi="Verdana" w:cs="Arial"/>
          <w:color w:val="000000"/>
          <w:spacing w:val="-10"/>
          <w:sz w:val="16"/>
          <w:szCs w:val="16"/>
        </w:rPr>
        <w:t xml:space="preserve"> </w:t>
      </w:r>
      <w:r w:rsidRPr="00A15008">
        <w:rPr>
          <w:rFonts w:ascii="Verdana" w:hAnsi="Verdana" w:cs="Arial"/>
          <w:color w:val="000000"/>
          <w:sz w:val="16"/>
          <w:szCs w:val="16"/>
        </w:rPr>
        <w:t>ella</w:t>
      </w:r>
      <w:r w:rsidRPr="00A15008">
        <w:rPr>
          <w:rFonts w:ascii="Verdana" w:hAnsi="Verdana" w:cs="Arial"/>
          <w:color w:val="000000"/>
          <w:spacing w:val="1"/>
          <w:sz w:val="16"/>
          <w:szCs w:val="16"/>
        </w:rPr>
        <w:t xml:space="preserve"> </w:t>
      </w:r>
      <w:r w:rsidRPr="00A15008">
        <w:rPr>
          <w:rFonts w:ascii="Verdana" w:hAnsi="Verdana" w:cs="Arial"/>
          <w:color w:val="000000"/>
          <w:sz w:val="16"/>
          <w:szCs w:val="16"/>
        </w:rPr>
        <w:t>lo</w:t>
      </w:r>
      <w:r w:rsidRPr="00A15008">
        <w:rPr>
          <w:rFonts w:ascii="Verdana" w:hAnsi="Verdana" w:cs="Arial"/>
          <w:color w:val="000000"/>
          <w:spacing w:val="-13"/>
          <w:sz w:val="16"/>
          <w:szCs w:val="16"/>
        </w:rPr>
        <w:t xml:space="preserve"> </w:t>
      </w:r>
      <w:r w:rsidRPr="00A15008">
        <w:rPr>
          <w:rFonts w:ascii="Verdana" w:hAnsi="Verdana" w:cs="Arial"/>
          <w:color w:val="000000"/>
          <w:sz w:val="16"/>
          <w:szCs w:val="16"/>
        </w:rPr>
        <w:t>produjo</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entonces</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cuenta</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con</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la</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autoridad</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para</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desconocerlo,</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los</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abusos</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y</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la</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violación</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a</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sus</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propias</w:t>
      </w:r>
      <w:r w:rsidRPr="00A15008">
        <w:rPr>
          <w:rFonts w:ascii="Verdana" w:hAnsi="Verdana" w:cs="Arial"/>
          <w:color w:val="000000"/>
          <w:spacing w:val="1"/>
          <w:sz w:val="16"/>
          <w:szCs w:val="16"/>
        </w:rPr>
        <w:t xml:space="preserve"> </w:t>
      </w:r>
      <w:r w:rsidRPr="00A15008">
        <w:rPr>
          <w:rFonts w:ascii="Verdana" w:hAnsi="Verdana" w:cs="Arial"/>
          <w:color w:val="000000"/>
          <w:sz w:val="16"/>
          <w:szCs w:val="16"/>
        </w:rPr>
        <w:t>reglas propiciaría el atropello y la corrupción”. (MARÍN CORTÉS, Fabián G. El reglamento como</w:t>
      </w:r>
      <w:r w:rsidRPr="00A15008">
        <w:rPr>
          <w:rFonts w:ascii="Verdana" w:hAnsi="Verdana" w:cs="Arial"/>
          <w:color w:val="000000"/>
          <w:spacing w:val="1"/>
          <w:sz w:val="16"/>
          <w:szCs w:val="16"/>
        </w:rPr>
        <w:t xml:space="preserve"> </w:t>
      </w:r>
      <w:r w:rsidRPr="00A15008">
        <w:rPr>
          <w:rFonts w:ascii="Verdana" w:hAnsi="Verdana" w:cs="Arial"/>
          <w:color w:val="000000"/>
          <w:sz w:val="16"/>
          <w:szCs w:val="16"/>
        </w:rPr>
        <w:t>fuente</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del</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derecho</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administrativo.</w:t>
      </w:r>
      <w:r w:rsidRPr="00A15008">
        <w:rPr>
          <w:rFonts w:ascii="Verdana" w:hAnsi="Verdana" w:cs="Arial"/>
          <w:color w:val="000000"/>
          <w:spacing w:val="-11"/>
          <w:sz w:val="16"/>
          <w:szCs w:val="16"/>
        </w:rPr>
        <w:t xml:space="preserve"> </w:t>
      </w:r>
      <w:r w:rsidRPr="00A15008">
        <w:rPr>
          <w:rFonts w:ascii="Verdana" w:hAnsi="Verdana" w:cs="Arial"/>
          <w:color w:val="000000"/>
          <w:sz w:val="16"/>
          <w:szCs w:val="16"/>
        </w:rPr>
        <w:t>En:</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Las</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fuentes</w:t>
      </w:r>
      <w:r w:rsidRPr="00A15008">
        <w:rPr>
          <w:rFonts w:ascii="Verdana" w:hAnsi="Verdana" w:cs="Arial"/>
          <w:color w:val="000000"/>
          <w:spacing w:val="-11"/>
          <w:sz w:val="16"/>
          <w:szCs w:val="16"/>
        </w:rPr>
        <w:t xml:space="preserve"> </w:t>
      </w:r>
      <w:r w:rsidRPr="00A15008">
        <w:rPr>
          <w:rFonts w:ascii="Verdana" w:hAnsi="Verdana" w:cs="Arial"/>
          <w:color w:val="000000"/>
          <w:sz w:val="16"/>
          <w:szCs w:val="16"/>
        </w:rPr>
        <w:t>del</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derecho</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administrativo.</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Texto</w:t>
      </w:r>
      <w:r w:rsidRPr="00A15008">
        <w:rPr>
          <w:rFonts w:ascii="Verdana" w:hAnsi="Verdana" w:cs="Arial"/>
          <w:color w:val="000000"/>
          <w:spacing w:val="-11"/>
          <w:sz w:val="16"/>
          <w:szCs w:val="16"/>
        </w:rPr>
        <w:t xml:space="preserve"> </w:t>
      </w:r>
      <w:r w:rsidRPr="00A15008">
        <w:rPr>
          <w:rFonts w:ascii="Verdana" w:hAnsi="Verdana" w:cs="Arial"/>
          <w:color w:val="000000"/>
          <w:sz w:val="16"/>
          <w:szCs w:val="16"/>
        </w:rPr>
        <w:t>inédito.</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2010.</w:t>
      </w:r>
      <w:r w:rsidRPr="00A15008">
        <w:rPr>
          <w:rFonts w:ascii="Verdana" w:hAnsi="Verdana" w:cs="Arial"/>
          <w:color w:val="000000"/>
          <w:spacing w:val="-12"/>
          <w:sz w:val="16"/>
          <w:szCs w:val="16"/>
        </w:rPr>
        <w:t xml:space="preserve"> </w:t>
      </w:r>
      <w:r w:rsidRPr="00A15008">
        <w:rPr>
          <w:rFonts w:ascii="Verdana" w:hAnsi="Verdana" w:cs="Arial"/>
          <w:color w:val="000000"/>
          <w:sz w:val="16"/>
          <w:szCs w:val="16"/>
        </w:rPr>
        <w:t>pp.</w:t>
      </w:r>
      <w:r w:rsidRPr="00A15008">
        <w:rPr>
          <w:rFonts w:ascii="Verdana" w:hAnsi="Verdana" w:cs="Arial"/>
          <w:color w:val="000000"/>
          <w:spacing w:val="1"/>
          <w:sz w:val="16"/>
          <w:szCs w:val="16"/>
        </w:rPr>
        <w:t xml:space="preserve"> </w:t>
      </w:r>
      <w:r w:rsidRPr="00A15008">
        <w:rPr>
          <w:rFonts w:ascii="Verdana" w:hAnsi="Verdana" w:cs="Arial"/>
          <w:color w:val="000000"/>
          <w:sz w:val="16"/>
          <w:szCs w:val="16"/>
        </w:rPr>
        <w:t>200-201).</w:t>
      </w:r>
    </w:p>
    <w:p w14:paraId="4FFD60A2" w14:textId="77777777" w:rsidR="009131CF" w:rsidRPr="00A15008" w:rsidRDefault="009131CF" w:rsidP="009131CF">
      <w:pPr>
        <w:spacing w:after="0" w:line="240" w:lineRule="auto"/>
        <w:ind w:firstLine="708"/>
        <w:jc w:val="both"/>
        <w:rPr>
          <w:rFonts w:ascii="Verdana" w:hAnsi="Verdana" w:cs="Arial"/>
          <w:color w:val="000000"/>
          <w:sz w:val="16"/>
          <w:szCs w:val="16"/>
        </w:rPr>
      </w:pPr>
    </w:p>
  </w:footnote>
  <w:footnote w:id="16">
    <w:p w14:paraId="46710483" w14:textId="77777777" w:rsidR="009131CF" w:rsidRPr="00A15008" w:rsidRDefault="009131CF" w:rsidP="009131CF">
      <w:pPr>
        <w:pStyle w:val="Textonotapie"/>
        <w:ind w:firstLine="708"/>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w:t>
      </w:r>
      <w:r w:rsidRPr="00A15008">
        <w:rPr>
          <w:rFonts w:ascii="Verdana" w:hAnsi="Verdana" w:cs="Arial"/>
          <w:color w:val="000000"/>
          <w:sz w:val="16"/>
          <w:szCs w:val="16"/>
        </w:rPr>
        <w:t xml:space="preserve">Ibíd. </w:t>
      </w:r>
    </w:p>
  </w:footnote>
  <w:footnote w:id="17">
    <w:p w14:paraId="78C6F160" w14:textId="77777777" w:rsidR="009131CF" w:rsidRPr="00A15008" w:rsidRDefault="009131CF" w:rsidP="009131CF">
      <w:pPr>
        <w:pStyle w:val="Textonotapie"/>
        <w:ind w:firstLine="708"/>
        <w:jc w:val="both"/>
        <w:rPr>
          <w:rFonts w:ascii="Verdana" w:hAnsi="Verdana"/>
          <w:sz w:val="16"/>
          <w:szCs w:val="16"/>
        </w:rPr>
      </w:pPr>
      <w:r w:rsidRPr="00A15008">
        <w:rPr>
          <w:rStyle w:val="Refdenotaalpie"/>
          <w:rFonts w:ascii="Verdana" w:hAnsi="Verdana"/>
          <w:sz w:val="16"/>
          <w:szCs w:val="16"/>
        </w:rPr>
        <w:footnoteRef/>
      </w:r>
      <w:r w:rsidRPr="00A15008">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0326DD46" w14:textId="77777777" w:rsidR="009131CF" w:rsidRPr="00A15008" w:rsidRDefault="009131CF" w:rsidP="009131CF">
      <w:pPr>
        <w:pStyle w:val="Textonotapie"/>
        <w:ind w:firstLine="708"/>
        <w:jc w:val="both"/>
        <w:rPr>
          <w:rFonts w:ascii="Verdana" w:hAnsi="Verdana"/>
          <w:sz w:val="16"/>
          <w:szCs w:val="16"/>
        </w:rPr>
      </w:pPr>
      <w:r w:rsidRPr="00A15008">
        <w:rPr>
          <w:rFonts w:ascii="Verdana" w:hAnsi="Verdana"/>
          <w:sz w:val="16"/>
          <w:szCs w:val="16"/>
        </w:rPr>
        <w:t>[…]</w:t>
      </w:r>
    </w:p>
    <w:p w14:paraId="05038167" w14:textId="77777777" w:rsidR="009131CF" w:rsidRPr="00A15008" w:rsidRDefault="009131CF" w:rsidP="009131CF">
      <w:pPr>
        <w:pStyle w:val="Textonotapie"/>
        <w:ind w:firstLine="708"/>
        <w:jc w:val="both"/>
        <w:rPr>
          <w:rFonts w:ascii="Verdana" w:hAnsi="Verdana"/>
          <w:sz w:val="16"/>
          <w:szCs w:val="16"/>
        </w:rPr>
      </w:pPr>
      <w:r w:rsidRPr="00A15008">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7287FE05" w14:textId="77777777" w:rsidR="009131CF" w:rsidRPr="00A15008" w:rsidRDefault="009131CF" w:rsidP="009131CF">
      <w:pPr>
        <w:pStyle w:val="Textonotapie"/>
        <w:ind w:firstLine="708"/>
        <w:jc w:val="both"/>
        <w:rPr>
          <w:rFonts w:ascii="Verdana" w:hAnsi="Verdana"/>
          <w:sz w:val="16"/>
          <w:szCs w:val="16"/>
        </w:rPr>
      </w:pPr>
      <w:r w:rsidRPr="00A15008">
        <w:rPr>
          <w:rFonts w:ascii="Verdana" w:hAnsi="Verdana"/>
          <w:sz w:val="16"/>
          <w:szCs w:val="16"/>
        </w:rPr>
        <w:t xml:space="preserve">En todo caso, el </w:t>
      </w:r>
      <w:r w:rsidRPr="00A15008">
        <w:rPr>
          <w:rFonts w:ascii="Verdana" w:hAnsi="Verdana"/>
          <w:sz w:val="16"/>
          <w:szCs w:val="16"/>
        </w:rPr>
        <w:t>Presidente de la República podrá celebrar contratos a nombre de la Nación”.</w:t>
      </w:r>
    </w:p>
  </w:footnote>
  <w:footnote w:id="18">
    <w:p w14:paraId="66290017" w14:textId="77777777" w:rsidR="009131CF" w:rsidRPr="00A15008" w:rsidRDefault="009131CF" w:rsidP="009131CF">
      <w:pPr>
        <w:pStyle w:val="Textonotapie"/>
        <w:ind w:firstLine="708"/>
        <w:jc w:val="both"/>
        <w:rPr>
          <w:rFonts w:ascii="Verdana" w:hAnsi="Verdana" w:cs="Arial"/>
          <w:sz w:val="16"/>
          <w:szCs w:val="16"/>
        </w:rPr>
      </w:pPr>
      <w:r w:rsidRPr="00A15008">
        <w:rPr>
          <w:rStyle w:val="Refdenotaalpie"/>
          <w:rFonts w:ascii="Verdana" w:hAnsi="Verdana" w:cs="Arial"/>
          <w:sz w:val="16"/>
          <w:szCs w:val="16"/>
        </w:rPr>
        <w:footnoteRef/>
      </w:r>
      <w:r w:rsidRPr="00A15008">
        <w:rPr>
          <w:rFonts w:ascii="Verdana" w:hAnsi="Verdana" w:cs="Arial"/>
          <w:sz w:val="16"/>
          <w:szCs w:val="16"/>
        </w:rPr>
        <w:t xml:space="preserve"> El inciso primero de norma disponía que, conforme al principio de transparencia, “</w:t>
      </w:r>
      <w:r w:rsidRPr="00A15008">
        <w:rPr>
          <w:rFonts w:ascii="Verdana" w:hAnsi="Verdana" w:cs="Arial"/>
          <w:i/>
          <w:iCs/>
          <w:sz w:val="16"/>
          <w:szCs w:val="16"/>
        </w:rPr>
        <w:t>La escogencia del contratista se efectuará siempre a través de licitación o concurso públicos</w:t>
      </w:r>
      <w:r w:rsidRPr="00A15008">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19">
    <w:p w14:paraId="4DF54DD8" w14:textId="77777777" w:rsidR="009131CF" w:rsidRPr="00A15008" w:rsidRDefault="009131CF" w:rsidP="009131CF">
      <w:pPr>
        <w:pStyle w:val="Textonotapie"/>
        <w:ind w:firstLine="708"/>
        <w:jc w:val="both"/>
        <w:rPr>
          <w:rFonts w:ascii="Verdana" w:hAnsi="Verdana" w:cs="Arial"/>
          <w:sz w:val="16"/>
          <w:szCs w:val="16"/>
        </w:rPr>
      </w:pPr>
      <w:r w:rsidRPr="00A15008">
        <w:rPr>
          <w:rStyle w:val="Refdenotaalpie"/>
          <w:rFonts w:ascii="Verdana" w:hAnsi="Verdana" w:cs="Arial"/>
          <w:sz w:val="16"/>
          <w:szCs w:val="16"/>
        </w:rPr>
        <w:footnoteRef/>
      </w:r>
      <w:r w:rsidRPr="00A15008">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w:t>
      </w:r>
      <w:r w:rsidRPr="00A15008">
        <w:rPr>
          <w:rFonts w:ascii="Verdana" w:hAnsi="Verdana" w:cs="Arial"/>
          <w:sz w:val="16"/>
          <w:szCs w:val="16"/>
        </w:rPr>
        <w:t xml:space="preserve">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w:t>
      </w:r>
      <w:r w:rsidRPr="00A15008">
        <w:rPr>
          <w:rFonts w:ascii="Verdana" w:hAnsi="Verdana" w:cs="Arial"/>
          <w:sz w:val="16"/>
          <w:szCs w:val="16"/>
        </w:rPr>
        <w:t>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A15008">
        <w:rPr>
          <w:rFonts w:ascii="Verdana" w:hAnsi="Verdana" w:cs="Arial"/>
          <w:i/>
          <w:iCs/>
          <w:sz w:val="16"/>
          <w:szCs w:val="16"/>
        </w:rPr>
        <w:t>Presentación de la oferta de manera dinámica</w:t>
      </w:r>
      <w:r w:rsidRPr="00A15008">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20">
    <w:p w14:paraId="56B828FD" w14:textId="77777777" w:rsidR="009131CF" w:rsidRPr="00A15008" w:rsidRDefault="009131CF" w:rsidP="009131CF">
      <w:pPr>
        <w:pStyle w:val="Textonotapie"/>
        <w:ind w:firstLine="709"/>
        <w:jc w:val="both"/>
        <w:rPr>
          <w:rFonts w:ascii="Verdana" w:hAnsi="Verdana" w:cs="Arial"/>
          <w:color w:val="000000" w:themeColor="text1"/>
          <w:sz w:val="16"/>
          <w:szCs w:val="16"/>
          <w:lang w:val="es-CO"/>
        </w:rPr>
      </w:pPr>
      <w:r w:rsidRPr="00A15008">
        <w:rPr>
          <w:rStyle w:val="Refdenotaalpie"/>
          <w:rFonts w:ascii="Verdana" w:hAnsi="Verdana" w:cs="Arial"/>
          <w:sz w:val="16"/>
          <w:szCs w:val="16"/>
        </w:rPr>
        <w:footnoteRef/>
      </w:r>
      <w:r w:rsidRPr="00A15008">
        <w:rPr>
          <w:rFonts w:ascii="Verdana" w:hAnsi="Verdana" w:cs="Arial"/>
          <w:color w:val="000000" w:themeColor="text1"/>
          <w:sz w:val="16"/>
          <w:szCs w:val="16"/>
          <w:lang w:val="es-CO"/>
        </w:rPr>
        <w:t xml:space="preserve"> FIGUEROA U. Organismos internacionales. 2ª edición. Santiago de Chile: Editorial RIL editores, 2010.</w:t>
      </w:r>
    </w:p>
  </w:footnote>
  <w:footnote w:id="21">
    <w:p w14:paraId="720963B9" w14:textId="77777777" w:rsidR="009131CF" w:rsidRPr="00A15008" w:rsidRDefault="009131CF" w:rsidP="009131CF">
      <w:pPr>
        <w:pStyle w:val="NormalWeb"/>
        <w:spacing w:before="0" w:beforeAutospacing="0" w:after="0" w:afterAutospacing="0"/>
        <w:ind w:firstLine="709"/>
        <w:jc w:val="both"/>
        <w:rPr>
          <w:rFonts w:ascii="Verdana" w:hAnsi="Verdana" w:cs="Arial"/>
          <w:color w:val="000000" w:themeColor="text1"/>
          <w:sz w:val="16"/>
          <w:szCs w:val="16"/>
        </w:rPr>
      </w:pPr>
      <w:r w:rsidRPr="00A15008">
        <w:rPr>
          <w:rStyle w:val="Refdenotaalpie"/>
          <w:rFonts w:ascii="Verdana" w:hAnsi="Verdana" w:cs="Arial"/>
          <w:sz w:val="16"/>
          <w:szCs w:val="16"/>
        </w:rPr>
        <w:footnoteRef/>
      </w:r>
      <w:r w:rsidRPr="00A15008">
        <w:rPr>
          <w:rFonts w:ascii="Verdana" w:hAnsi="Verdana" w:cs="Arial"/>
          <w:color w:val="000000" w:themeColor="text1"/>
          <w:sz w:val="16"/>
          <w:szCs w:val="16"/>
        </w:rPr>
        <w:t xml:space="preserve"> Ley 80 de 1993: “Artículo 13. De la normatividad aplicable a los contratos estatales. Los contratos que celebren las entidades a que se refiere el artículo </w:t>
      </w:r>
      <w:hyperlink r:id="rId2" w:anchor="2" w:history="1">
        <w:r w:rsidRPr="00A15008">
          <w:rPr>
            <w:rStyle w:val="Hipervnculo"/>
            <w:rFonts w:ascii="Verdana" w:hAnsi="Verdana" w:cs="Arial"/>
            <w:color w:val="000000" w:themeColor="text1"/>
            <w:sz w:val="16"/>
            <w:szCs w:val="16"/>
          </w:rPr>
          <w:t>2</w:t>
        </w:r>
      </w:hyperlink>
      <w:r w:rsidRPr="00A15008">
        <w:rPr>
          <w:rFonts w:ascii="Verdana" w:hAnsi="Verdana" w:cs="Arial"/>
          <w:color w:val="000000" w:themeColor="text1"/>
          <w:sz w:val="16"/>
          <w:szCs w:val="16"/>
        </w:rPr>
        <w:t>o. del presente estatuto se regirán por las disposiciones comerciales y civiles pertinentes, salvo en las materias particularmente reguladas en esta ley.</w:t>
      </w:r>
    </w:p>
    <w:p w14:paraId="6D43AD09" w14:textId="77777777" w:rsidR="009131CF" w:rsidRPr="00A15008" w:rsidRDefault="009131CF" w:rsidP="009131CF">
      <w:pPr>
        <w:pStyle w:val="NormalWeb"/>
        <w:spacing w:before="0" w:beforeAutospacing="0" w:after="0" w:afterAutospacing="0"/>
        <w:ind w:firstLine="709"/>
        <w:jc w:val="both"/>
        <w:rPr>
          <w:rFonts w:ascii="Verdana" w:hAnsi="Verdana" w:cs="Arial"/>
          <w:color w:val="000000" w:themeColor="text1"/>
          <w:sz w:val="16"/>
          <w:szCs w:val="16"/>
        </w:rPr>
      </w:pPr>
      <w:r w:rsidRPr="00A15008">
        <w:rPr>
          <w:rFonts w:ascii="Verdana" w:hAnsi="Verdana" w:cs="Arial"/>
          <w:color w:val="000000" w:themeColor="text1"/>
          <w:sz w:val="16"/>
          <w:szCs w:val="16"/>
        </w:rPr>
        <w:t>Los contratos celebrados en el exterior se podrán regir en su ejecución por las reglas del país en donde se hayan suscrito, a menos que deban cumplirse en Colombia.</w:t>
      </w:r>
    </w:p>
    <w:p w14:paraId="585223C9" w14:textId="77777777" w:rsidR="009131CF" w:rsidRPr="00A15008" w:rsidRDefault="009131CF" w:rsidP="009131CF">
      <w:pPr>
        <w:pStyle w:val="NormalWeb"/>
        <w:spacing w:before="0" w:beforeAutospacing="0" w:after="0" w:afterAutospacing="0"/>
        <w:ind w:firstLine="709"/>
        <w:jc w:val="both"/>
        <w:rPr>
          <w:rFonts w:ascii="Verdana" w:hAnsi="Verdana" w:cs="Arial"/>
          <w:color w:val="000000" w:themeColor="text1"/>
          <w:sz w:val="16"/>
          <w:szCs w:val="16"/>
        </w:rPr>
      </w:pPr>
      <w:r w:rsidRPr="00A15008">
        <w:rPr>
          <w:rFonts w:ascii="Verdana" w:hAnsi="Verdana" w:cs="Arial"/>
          <w:color w:val="000000" w:themeColor="text1"/>
          <w:sz w:val="16"/>
          <w:szCs w:val="16"/>
        </w:rPr>
        <w:t>Los contratos que se celebren en Colombia y deban ejecutarse o cumplirse en el extranjero, podrán someterse a la ley extranjera”.</w:t>
      </w:r>
    </w:p>
  </w:footnote>
  <w:footnote w:id="22">
    <w:p w14:paraId="6233B70D" w14:textId="77777777" w:rsidR="009131CF" w:rsidRPr="00A15008" w:rsidRDefault="009131CF" w:rsidP="009131CF">
      <w:pPr>
        <w:pStyle w:val="Textonotapie"/>
        <w:ind w:firstLine="709"/>
        <w:jc w:val="both"/>
        <w:rPr>
          <w:rFonts w:ascii="Verdana" w:hAnsi="Verdana" w:cs="Arial"/>
          <w:color w:val="000000" w:themeColor="text1"/>
          <w:sz w:val="16"/>
          <w:szCs w:val="16"/>
          <w:lang w:val="es-CO"/>
        </w:rPr>
      </w:pPr>
      <w:r w:rsidRPr="00A15008">
        <w:rPr>
          <w:rStyle w:val="Refdenotaalpie"/>
          <w:rFonts w:ascii="Verdana" w:hAnsi="Verdana" w:cs="Arial"/>
          <w:sz w:val="16"/>
          <w:szCs w:val="16"/>
        </w:rPr>
        <w:footnoteRef/>
      </w:r>
      <w:r w:rsidRPr="00A15008">
        <w:rPr>
          <w:rFonts w:ascii="Verdana" w:hAnsi="Verdana" w:cs="Arial"/>
          <w:color w:val="000000" w:themeColor="text1"/>
          <w:sz w:val="16"/>
          <w:szCs w:val="16"/>
        </w:rPr>
        <w:t xml:space="preserve"> Consejo de Estado. Sección Tercera, Subsección C. Sentencia del 26 de noviembre de 2015. </w:t>
      </w:r>
      <w:r w:rsidRPr="00A15008">
        <w:rPr>
          <w:rFonts w:ascii="Verdana" w:hAnsi="Verdana" w:cs="Arial"/>
          <w:color w:val="000000" w:themeColor="text1"/>
          <w:sz w:val="16"/>
          <w:szCs w:val="16"/>
          <w:lang w:val="es-ES_tradnl"/>
        </w:rPr>
        <w:t xml:space="preserve">Exp. </w:t>
      </w:r>
      <w:r w:rsidRPr="00A15008">
        <w:rPr>
          <w:rFonts w:ascii="Verdana" w:hAnsi="Verdana" w:cs="Arial"/>
          <w:color w:val="000000" w:themeColor="text1"/>
          <w:sz w:val="16"/>
          <w:szCs w:val="16"/>
          <w:lang w:val="es-CO"/>
        </w:rPr>
        <w:t xml:space="preserve">54.069. C.P Jaime Orlando Santofimio Gamboa. </w:t>
      </w:r>
    </w:p>
  </w:footnote>
  <w:footnote w:id="23">
    <w:p w14:paraId="7502502D" w14:textId="77777777" w:rsidR="009131CF" w:rsidRPr="00A15008" w:rsidRDefault="009131CF" w:rsidP="009131CF">
      <w:pPr>
        <w:pStyle w:val="Textonotapie"/>
        <w:ind w:firstLine="709"/>
        <w:jc w:val="both"/>
        <w:rPr>
          <w:rFonts w:ascii="Verdana" w:hAnsi="Verdana" w:cs="Arial"/>
          <w:color w:val="000000" w:themeColor="text1"/>
          <w:sz w:val="16"/>
          <w:szCs w:val="16"/>
          <w:lang w:eastAsia="es-CO"/>
        </w:rPr>
      </w:pPr>
      <w:r w:rsidRPr="00A15008">
        <w:rPr>
          <w:rStyle w:val="Refdenotaalpie"/>
          <w:rFonts w:ascii="Verdana" w:hAnsi="Verdana" w:cs="Arial"/>
          <w:sz w:val="16"/>
          <w:szCs w:val="16"/>
        </w:rPr>
        <w:footnoteRef/>
      </w:r>
      <w:r w:rsidRPr="00A15008">
        <w:rPr>
          <w:rFonts w:ascii="Verdana" w:hAnsi="Verdana" w:cs="Arial"/>
          <w:color w:val="000000" w:themeColor="text1"/>
          <w:sz w:val="16"/>
          <w:szCs w:val="16"/>
        </w:rPr>
        <w:t xml:space="preserve"> </w:t>
      </w:r>
      <w:r w:rsidRPr="00A15008">
        <w:rPr>
          <w:rFonts w:ascii="Verdana" w:hAnsi="Verdana" w:cs="Arial"/>
          <w:color w:val="000000" w:themeColor="text1"/>
          <w:sz w:val="16"/>
          <w:szCs w:val="16"/>
          <w:lang w:eastAsia="es-CO"/>
        </w:rPr>
        <w:t>“Los contratos financiados con fondos de los organismos multilaterales de crédito o celebrados con personas extranjeras de derecho público u organismos de cooperación, asistencia o ayuda internacionales, podrán someterse a los reglamentos de tales entidades en todo lo relacionado con procedimientos de formación y adjudicación y cláusulas especiales de ejecución, cumplimiento, pago y ajustes”. (Derogado por el artículo 32 de la Ley 1150 de 2007).</w:t>
      </w:r>
    </w:p>
  </w:footnote>
  <w:footnote w:id="24">
    <w:p w14:paraId="74CAC21C" w14:textId="77777777" w:rsidR="009131CF" w:rsidRPr="00A15008" w:rsidRDefault="009131CF" w:rsidP="009131CF">
      <w:pPr>
        <w:pStyle w:val="NormalWeb"/>
        <w:spacing w:before="0" w:beforeAutospacing="0" w:after="0" w:afterAutospacing="0"/>
        <w:ind w:firstLine="709"/>
        <w:jc w:val="both"/>
        <w:rPr>
          <w:rFonts w:ascii="Verdana" w:hAnsi="Verdana" w:cs="Arial"/>
          <w:color w:val="000000" w:themeColor="text1"/>
          <w:sz w:val="16"/>
          <w:szCs w:val="16"/>
        </w:rPr>
      </w:pPr>
      <w:r w:rsidRPr="00A15008">
        <w:rPr>
          <w:rStyle w:val="Refdenotaalpie"/>
          <w:rFonts w:ascii="Verdana" w:hAnsi="Verdana" w:cs="Arial"/>
          <w:sz w:val="16"/>
          <w:szCs w:val="16"/>
        </w:rPr>
        <w:footnoteRef/>
      </w:r>
      <w:r w:rsidRPr="00A15008">
        <w:rPr>
          <w:rFonts w:ascii="Verdana" w:hAnsi="Verdana" w:cs="Arial"/>
          <w:color w:val="000000" w:themeColor="text1"/>
          <w:sz w:val="16"/>
          <w:szCs w:val="16"/>
        </w:rPr>
        <w:t xml:space="preserve"> Ley 1150 de 2007. “Artículo 20: Los contratos o convenios financiados en su totalidad o en sumas iguales o superiores al cincuenta por ciento (50%) con fondos de los organismos de cooperación, asistencia o ayudas internacionales, podrán someterse a los reglamentos de tales entidades. En caso contrario, se someterán a los procedimientos establecidos en la Ley de 1993. Los recursos de contrapartida vinculados a estas operaciones podrán tener el mismo tratamiento.</w:t>
      </w:r>
    </w:p>
    <w:p w14:paraId="21859E71" w14:textId="77777777" w:rsidR="009131CF" w:rsidRPr="00A15008" w:rsidRDefault="009131CF" w:rsidP="009131CF">
      <w:pPr>
        <w:pStyle w:val="NormalWeb"/>
        <w:spacing w:before="0" w:beforeAutospacing="0" w:after="0" w:afterAutospacing="0"/>
        <w:ind w:firstLine="709"/>
        <w:jc w:val="both"/>
        <w:rPr>
          <w:rFonts w:ascii="Verdana" w:hAnsi="Verdana" w:cs="Arial"/>
          <w:color w:val="000000" w:themeColor="text1"/>
          <w:sz w:val="16"/>
          <w:szCs w:val="16"/>
        </w:rPr>
      </w:pPr>
      <w:r w:rsidRPr="00A15008">
        <w:rPr>
          <w:rFonts w:ascii="Verdana" w:hAnsi="Verdana" w:cs="Arial"/>
          <w:color w:val="000000" w:themeColor="text1"/>
          <w:sz w:val="16"/>
          <w:szCs w:val="16"/>
        </w:rPr>
        <w:t xml:space="preserve">Los contratos o convenios celebrados con </w:t>
      </w:r>
      <w:bookmarkStart w:id="3" w:name="_Hlk148436103"/>
      <w:r w:rsidRPr="00A15008">
        <w:rPr>
          <w:rFonts w:ascii="Verdana" w:hAnsi="Verdana" w:cs="Arial"/>
          <w:color w:val="000000" w:themeColor="text1"/>
          <w:sz w:val="16"/>
          <w:szCs w:val="16"/>
        </w:rPr>
        <w:t>personas extranjeras de derecho público u organismos de derecho internacional</w:t>
      </w:r>
      <w:bookmarkEnd w:id="3"/>
      <w:r w:rsidRPr="00A15008">
        <w:rPr>
          <w:rFonts w:ascii="Verdana" w:hAnsi="Verdana" w:cs="Arial"/>
          <w:color w:val="000000" w:themeColor="text1"/>
          <w:sz w:val="16"/>
          <w:szCs w:val="16"/>
        </w:rPr>
        <w:t xml:space="preserve">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w:t>
      </w:r>
    </w:p>
    <w:p w14:paraId="1E1C08AE" w14:textId="77777777" w:rsidR="009131CF" w:rsidRPr="00A15008" w:rsidRDefault="009131CF" w:rsidP="009131CF">
      <w:pPr>
        <w:pStyle w:val="NormalWeb"/>
        <w:spacing w:before="0" w:beforeAutospacing="0" w:after="0" w:afterAutospacing="0"/>
        <w:ind w:firstLine="709"/>
        <w:jc w:val="both"/>
        <w:rPr>
          <w:rFonts w:ascii="Verdana" w:hAnsi="Verdana" w:cs="Arial"/>
          <w:color w:val="000000" w:themeColor="text1"/>
          <w:sz w:val="16"/>
          <w:szCs w:val="16"/>
        </w:rPr>
      </w:pPr>
      <w:r w:rsidRPr="00A15008">
        <w:rPr>
          <w:rFonts w:ascii="Verdana" w:hAnsi="Verdana" w:cs="Arial"/>
          <w:color w:val="000000" w:themeColor="text1"/>
          <w:sz w:val="16"/>
          <w:szCs w:val="16"/>
        </w:rPr>
        <w:t>Las entidades estatales no podrán celebrar contratos o convenios para la administración o gerencia de sus recursos propios o de aquellos que les asignen los presupuestos públicos, con organismos de cooperación, asistencia o ayuda internacional.</w:t>
      </w:r>
    </w:p>
    <w:p w14:paraId="3485B475" w14:textId="77777777" w:rsidR="009131CF" w:rsidRPr="00A15008" w:rsidRDefault="009131CF" w:rsidP="009131CF">
      <w:pPr>
        <w:pStyle w:val="NormalWeb"/>
        <w:spacing w:before="0" w:beforeAutospacing="0" w:after="0" w:afterAutospacing="0"/>
        <w:ind w:firstLine="709"/>
        <w:jc w:val="both"/>
        <w:rPr>
          <w:rFonts w:ascii="Verdana" w:hAnsi="Verdana" w:cs="Arial"/>
          <w:color w:val="000000" w:themeColor="text1"/>
          <w:sz w:val="16"/>
          <w:szCs w:val="16"/>
        </w:rPr>
      </w:pPr>
      <w:r w:rsidRPr="00A15008">
        <w:rPr>
          <w:rStyle w:val="baj"/>
          <w:rFonts w:ascii="Verdana" w:hAnsi="Verdana" w:cs="Arial"/>
          <w:color w:val="000000" w:themeColor="text1"/>
          <w:sz w:val="16"/>
          <w:szCs w:val="16"/>
        </w:rPr>
        <w:t>PARÁGRAFO 1o.</w:t>
      </w:r>
      <w:r w:rsidRPr="00A15008">
        <w:rPr>
          <w:rFonts w:ascii="Verdana" w:hAnsi="Verdana" w:cs="Arial"/>
          <w:color w:val="000000" w:themeColor="text1"/>
          <w:sz w:val="16"/>
          <w:szCs w:val="16"/>
        </w:rPr>
        <w:t> </w:t>
      </w:r>
      <w:bookmarkStart w:id="4" w:name="_Hlk148436375"/>
      <w:r w:rsidRPr="00A15008">
        <w:rPr>
          <w:rFonts w:ascii="Verdana" w:hAnsi="Verdana" w:cs="Arial"/>
          <w:color w:val="000000" w:themeColor="text1"/>
          <w:sz w:val="16"/>
          <w:szCs w:val="16"/>
        </w:rPr>
        <w:t xml:space="preserve">Los contratos o acuerdos celebrados con personas extranjeras de derecho </w:t>
      </w:r>
      <w:r w:rsidRPr="00A15008">
        <w:rPr>
          <w:rFonts w:ascii="Verdana" w:hAnsi="Verdana" w:cs="Arial"/>
          <w:color w:val="000000" w:themeColor="text1"/>
          <w:sz w:val="16"/>
          <w:szCs w:val="16"/>
        </w:rPr>
        <w:t>público, podrán someterse a las reglas de tales organismos</w:t>
      </w:r>
      <w:bookmarkEnd w:id="4"/>
      <w:r w:rsidRPr="00A15008">
        <w:rPr>
          <w:rFonts w:ascii="Verdana" w:hAnsi="Verdana" w:cs="Arial"/>
          <w:color w:val="000000" w:themeColor="text1"/>
          <w:sz w:val="16"/>
          <w:szCs w:val="16"/>
        </w:rPr>
        <w:t>.</w:t>
      </w:r>
    </w:p>
    <w:p w14:paraId="0868BDA8" w14:textId="77777777" w:rsidR="009131CF" w:rsidRPr="00A15008" w:rsidRDefault="009131CF" w:rsidP="009131CF">
      <w:pPr>
        <w:pStyle w:val="NormalWeb"/>
        <w:spacing w:before="0" w:beforeAutospacing="0" w:after="0" w:afterAutospacing="0"/>
        <w:ind w:firstLine="709"/>
        <w:jc w:val="both"/>
        <w:rPr>
          <w:rFonts w:ascii="Verdana" w:hAnsi="Verdana" w:cs="Arial"/>
          <w:color w:val="000000" w:themeColor="text1"/>
          <w:sz w:val="16"/>
          <w:szCs w:val="16"/>
        </w:rPr>
      </w:pPr>
      <w:r w:rsidRPr="00A15008">
        <w:rPr>
          <w:rStyle w:val="baj"/>
          <w:rFonts w:ascii="Verdana" w:hAnsi="Verdana" w:cs="Arial"/>
          <w:color w:val="000000" w:themeColor="text1"/>
          <w:sz w:val="16"/>
          <w:szCs w:val="16"/>
        </w:rPr>
        <w:t>PARÁGRAFO 2o.</w:t>
      </w:r>
      <w:r w:rsidRPr="00A15008">
        <w:rPr>
          <w:rFonts w:ascii="Verdana" w:hAnsi="Verdana" w:cs="Arial"/>
          <w:color w:val="000000" w:themeColor="text1"/>
          <w:sz w:val="16"/>
          <w:szCs w:val="16"/>
        </w:rPr>
        <w:t xml:space="preserve"> Las entidades estatales tendrán la obligación de reportar la información a los organismos de control y al </w:t>
      </w:r>
      <w:r w:rsidRPr="00A15008">
        <w:rPr>
          <w:rFonts w:ascii="Verdana" w:hAnsi="Verdana" w:cs="Arial"/>
          <w:color w:val="000000" w:themeColor="text1"/>
          <w:sz w:val="16"/>
          <w:szCs w:val="16"/>
        </w:rPr>
        <w:t>Secop relativa a la ejecución de los contratos a los que se refiere el presente artículo.</w:t>
      </w:r>
    </w:p>
    <w:p w14:paraId="35407EA5" w14:textId="77777777" w:rsidR="009131CF" w:rsidRPr="00A15008" w:rsidRDefault="009131CF" w:rsidP="009131CF">
      <w:pPr>
        <w:pStyle w:val="NormalWeb"/>
        <w:spacing w:before="0" w:beforeAutospacing="0" w:after="0" w:afterAutospacing="0"/>
        <w:ind w:firstLine="709"/>
        <w:jc w:val="both"/>
        <w:rPr>
          <w:rFonts w:ascii="Verdana" w:hAnsi="Verdana" w:cs="Arial"/>
          <w:color w:val="000000" w:themeColor="text1"/>
          <w:sz w:val="16"/>
          <w:szCs w:val="16"/>
        </w:rPr>
      </w:pPr>
      <w:r w:rsidRPr="00A15008">
        <w:rPr>
          <w:rStyle w:val="baj"/>
          <w:rFonts w:ascii="Verdana" w:hAnsi="Verdana" w:cs="Arial"/>
          <w:color w:val="000000" w:themeColor="text1"/>
          <w:sz w:val="16"/>
          <w:szCs w:val="16"/>
        </w:rPr>
        <w:t>PARÁGRAFO 3o.</w:t>
      </w:r>
      <w:r w:rsidRPr="00A15008">
        <w:rPr>
          <w:rFonts w:ascii="Verdana" w:hAnsi="Verdana" w:cs="Arial"/>
          <w:color w:val="000000" w:themeColor="text1"/>
          <w:sz w:val="16"/>
          <w:szCs w:val="16"/>
        </w:rPr>
        <w:t> En todo Proyecto de cooperación que involucre recursos estatales se deberán cuantificar en moneda nacional, los aportes en especie de la entidad, organización o persona cooperante, así como los del ente nacional colombiano. Las contralorías ejercerán el control fiscal sobre los proyectos y contratos celebrados con organismos multilaterales”.</w:t>
      </w:r>
    </w:p>
  </w:footnote>
  <w:footnote w:id="25">
    <w:p w14:paraId="064744A8" w14:textId="77777777" w:rsidR="009131CF" w:rsidRPr="00A15008" w:rsidRDefault="009131CF" w:rsidP="009131CF">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A15008">
        <w:rPr>
          <w:rStyle w:val="Refdenotaalpie"/>
          <w:rFonts w:ascii="Verdana" w:hAnsi="Verdana" w:cs="Arial"/>
          <w:sz w:val="16"/>
          <w:szCs w:val="16"/>
        </w:rPr>
        <w:footnoteRef/>
      </w:r>
      <w:r w:rsidRPr="00A15008">
        <w:rPr>
          <w:rFonts w:ascii="Verdana" w:hAnsi="Verdana" w:cs="Arial"/>
          <w:color w:val="000000" w:themeColor="text1"/>
          <w:sz w:val="16"/>
          <w:szCs w:val="16"/>
        </w:rPr>
        <w:t xml:space="preserve"> Decreto 1082 de 2015. “Artículo </w:t>
      </w:r>
      <w:r w:rsidRPr="00A15008">
        <w:rPr>
          <w:rStyle w:val="Fuerte"/>
          <w:rFonts w:ascii="Verdana" w:hAnsi="Verdana" w:cs="Arial"/>
          <w:b w:val="0"/>
          <w:color w:val="000000" w:themeColor="text1"/>
          <w:sz w:val="16"/>
          <w:szCs w:val="16"/>
        </w:rPr>
        <w:t>2.2.1.2.4.4.1.</w:t>
      </w:r>
      <w:r w:rsidRPr="00A15008">
        <w:rPr>
          <w:rStyle w:val="Fuerte"/>
          <w:rFonts w:ascii="Verdana" w:hAnsi="Verdana" w:cs="Arial"/>
          <w:color w:val="000000" w:themeColor="text1"/>
          <w:sz w:val="16"/>
          <w:szCs w:val="16"/>
        </w:rPr>
        <w:t> </w:t>
      </w:r>
      <w:r w:rsidRPr="00A15008">
        <w:rPr>
          <w:rStyle w:val="nfasis"/>
          <w:rFonts w:ascii="Verdana" w:hAnsi="Verdana" w:cs="Arial"/>
          <w:color w:val="000000" w:themeColor="text1"/>
          <w:sz w:val="16"/>
          <w:szCs w:val="16"/>
        </w:rPr>
        <w:t>Régimen aplicable a los contratos o convenios de cooperación Internacional. </w:t>
      </w:r>
      <w:r w:rsidRPr="00A15008">
        <w:rPr>
          <w:rFonts w:ascii="Verdana" w:hAnsi="Verdana" w:cs="Arial"/>
          <w:color w:val="000000" w:themeColor="text1"/>
          <w:sz w:val="16"/>
          <w:szCs w:val="16"/>
        </w:rPr>
        <w:t>Los contratos o convenios financiados en su totalidad o en sumas iguales o superiores al cincuenta por ciento (50%) con fondos de los organismos de cooperación, asistencia o ayudas internacionales, pueden someterse a los reglamentos de tales entidades incluidos los recursos de aporte de fuente nacional o sus equivalentes vinculados a estas operaciones en los acuerdos celebrados, o sus reglamentos, según el caso. En caso contrario, los contratos o convenios que se celebren en su totalidad o en sumas iguales o superiores al cincuenta por ciento (50%) con recursos de origen nacional se someterán al presente título.</w:t>
      </w:r>
    </w:p>
    <w:p w14:paraId="772183CC" w14:textId="77777777" w:rsidR="009131CF" w:rsidRPr="00A15008" w:rsidRDefault="009131CF" w:rsidP="009131CF">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A15008">
        <w:rPr>
          <w:rFonts w:ascii="Verdana" w:hAnsi="Verdana" w:cs="Arial"/>
          <w:color w:val="000000" w:themeColor="text1"/>
          <w:sz w:val="16"/>
          <w:szCs w:val="16"/>
        </w:rPr>
        <w:t>Si el aporte de fuente nacional o internacional de un contrato o convenio de cooperación internacional es modificado o los aportes no se ejecutan en los términos pactados, las Entidades Estatales deben modificar los contratos o convenios para efectos de que estos estén sujetos a las normas del sistema de compras y contratación pública, si el aporte de recursos públicos es superior al cincuenta por ciento (50%) del total o de las normas internas de la entidad de cooperación si el aporte es inferior.</w:t>
      </w:r>
    </w:p>
    <w:p w14:paraId="5BCA0DBD" w14:textId="77777777" w:rsidR="009131CF" w:rsidRPr="00A15008" w:rsidRDefault="009131CF" w:rsidP="009131CF">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A15008">
        <w:rPr>
          <w:rFonts w:ascii="Verdana" w:hAnsi="Verdana" w:cs="Arial"/>
          <w:color w:val="000000" w:themeColor="text1"/>
          <w:sz w:val="16"/>
          <w:szCs w:val="16"/>
        </w:rPr>
        <w:t>Cuando la variación de la participación de los aportes de las partes es consecuencia de las fluctuaciones de la tasa de cambio de la moneda pactada en el convenio o contrato de cooperación internacional, este seguirá sometido a las reglas establecidas en el momento de su suscripción.</w:t>
      </w:r>
    </w:p>
    <w:p w14:paraId="717DE366" w14:textId="77777777" w:rsidR="009131CF" w:rsidRPr="00A15008" w:rsidRDefault="009131CF" w:rsidP="009131CF">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A15008">
        <w:rPr>
          <w:rFonts w:ascii="Verdana" w:hAnsi="Verdana" w:cs="Arial"/>
          <w:color w:val="000000" w:themeColor="text1"/>
          <w:sz w:val="16"/>
          <w:szCs w:val="16"/>
        </w:rPr>
        <w:t>Los recursos generados en desarrollo de los contratos o convenios financiados con fondos de los organismos de cooperación, asistencia o ayudas internacionales no deben ser tenidos en cuenta para determinar los porcentajes de los aportes de las partes.</w:t>
      </w:r>
    </w:p>
    <w:p w14:paraId="0589B4CC" w14:textId="77777777" w:rsidR="009131CF" w:rsidRPr="00A15008" w:rsidRDefault="009131CF" w:rsidP="009131CF">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A15008">
        <w:rPr>
          <w:rFonts w:ascii="Verdana" w:hAnsi="Verdana" w:cs="Arial"/>
          <w:color w:val="000000" w:themeColor="text1"/>
          <w:sz w:val="16"/>
          <w:szCs w:val="16"/>
        </w:rPr>
        <w:t>[…]”.</w:t>
      </w:r>
    </w:p>
  </w:footnote>
  <w:footnote w:id="26">
    <w:p w14:paraId="0EE9A997" w14:textId="77777777" w:rsidR="009131CF" w:rsidRPr="00A15008" w:rsidRDefault="009131CF" w:rsidP="009131CF">
      <w:pPr>
        <w:pStyle w:val="Textonotapie"/>
        <w:ind w:firstLine="709"/>
        <w:jc w:val="both"/>
        <w:rPr>
          <w:rFonts w:ascii="Verdana" w:hAnsi="Verdana" w:cs="Arial"/>
          <w:sz w:val="16"/>
          <w:szCs w:val="16"/>
        </w:rPr>
      </w:pPr>
      <w:r w:rsidRPr="00A15008">
        <w:rPr>
          <w:rStyle w:val="Refdenotaalpie"/>
          <w:rFonts w:ascii="Verdana" w:hAnsi="Verdana" w:cs="Arial"/>
          <w:sz w:val="16"/>
          <w:szCs w:val="16"/>
        </w:rPr>
        <w:footnoteRef/>
      </w:r>
      <w:r w:rsidRPr="00A15008">
        <w:rPr>
          <w:rFonts w:ascii="Verdana" w:hAnsi="Verdana" w:cs="Arial"/>
          <w:sz w:val="16"/>
          <w:szCs w:val="16"/>
        </w:rPr>
        <w:t xml:space="preserve"> BENAVIDES, José Luis. La internacionalización de los contratos públicos. En: Contratos públicos. Estudios. Bogotá: Universidad Externado de Colombia, 2014, pp. 41-42.</w:t>
      </w:r>
    </w:p>
  </w:footnote>
  <w:footnote w:id="27">
    <w:p w14:paraId="351BB12A" w14:textId="77777777" w:rsidR="009131CF" w:rsidRPr="00A15008" w:rsidRDefault="009131CF" w:rsidP="009131CF">
      <w:pPr>
        <w:pStyle w:val="Textonotapie"/>
        <w:ind w:firstLine="709"/>
        <w:jc w:val="both"/>
        <w:rPr>
          <w:rFonts w:ascii="Verdana" w:hAnsi="Verdana" w:cs="Arial"/>
          <w:sz w:val="16"/>
          <w:szCs w:val="16"/>
          <w:lang w:val="es-ES"/>
        </w:rPr>
      </w:pPr>
      <w:r w:rsidRPr="00A15008">
        <w:rPr>
          <w:rStyle w:val="Refdenotaalpie"/>
          <w:rFonts w:ascii="Verdana" w:hAnsi="Verdana" w:cs="Arial"/>
          <w:sz w:val="16"/>
          <w:szCs w:val="16"/>
        </w:rPr>
        <w:footnoteRef/>
      </w:r>
      <w:r w:rsidRPr="00A15008">
        <w:rPr>
          <w:rFonts w:ascii="Verdana" w:hAnsi="Verdana" w:cs="Arial"/>
          <w:sz w:val="16"/>
          <w:szCs w:val="16"/>
        </w:rPr>
        <w:t xml:space="preserve"> </w:t>
      </w:r>
      <w:r w:rsidRPr="00A15008">
        <w:rPr>
          <w:rFonts w:ascii="Verdana" w:hAnsi="Verdana" w:cs="Arial"/>
          <w:sz w:val="16"/>
          <w:szCs w:val="16"/>
          <w:lang w:val="es-ES"/>
        </w:rPr>
        <w:t>Ibíd., p. 54.</w:t>
      </w:r>
    </w:p>
  </w:footnote>
  <w:footnote w:id="28">
    <w:p w14:paraId="026871A7" w14:textId="77777777" w:rsidR="009131CF" w:rsidRPr="00A15008" w:rsidRDefault="009131CF" w:rsidP="009131CF">
      <w:pPr>
        <w:pStyle w:val="Textonotapie"/>
        <w:ind w:firstLine="709"/>
        <w:jc w:val="both"/>
        <w:rPr>
          <w:rFonts w:ascii="Verdana" w:hAnsi="Verdana" w:cs="Arial"/>
          <w:sz w:val="16"/>
          <w:szCs w:val="16"/>
          <w:lang w:val="es-CO"/>
        </w:rPr>
      </w:pPr>
      <w:r w:rsidRPr="00A15008">
        <w:rPr>
          <w:rStyle w:val="Refdenotaalpie"/>
          <w:rFonts w:ascii="Verdana" w:hAnsi="Verdana" w:cs="Arial"/>
          <w:sz w:val="16"/>
          <w:szCs w:val="16"/>
        </w:rPr>
        <w:footnoteRef/>
      </w:r>
      <w:r w:rsidRPr="00A15008">
        <w:rPr>
          <w:rFonts w:ascii="Verdana" w:hAnsi="Verdana" w:cs="Arial"/>
          <w:sz w:val="16"/>
          <w:szCs w:val="16"/>
        </w:rPr>
        <w:t xml:space="preserve"> </w:t>
      </w:r>
      <w:r w:rsidRPr="00A15008">
        <w:rPr>
          <w:rFonts w:ascii="Verdana" w:hAnsi="Verdana" w:cs="Arial"/>
          <w:sz w:val="16"/>
          <w:szCs w:val="16"/>
          <w:lang w:val="es-ES"/>
        </w:rPr>
        <w:t xml:space="preserve">DÁVILA VINUEZA, Luis Guillermo. Régimen jurídico de la contratación estatal. </w:t>
      </w:r>
      <w:r w:rsidRPr="00A15008">
        <w:rPr>
          <w:rFonts w:ascii="Verdana" w:hAnsi="Verdana" w:cs="Arial"/>
          <w:sz w:val="16"/>
          <w:szCs w:val="16"/>
          <w:lang w:val="es-CO"/>
        </w:rPr>
        <w:t>2ª ed. Bogotá: Legis, 2006, p. 53.</w:t>
      </w:r>
    </w:p>
  </w:footnote>
  <w:footnote w:id="29">
    <w:p w14:paraId="7BDCBB87" w14:textId="77777777" w:rsidR="009131CF" w:rsidRPr="00A15008" w:rsidRDefault="009131CF" w:rsidP="009131CF">
      <w:pPr>
        <w:pStyle w:val="Textonotapie"/>
        <w:ind w:firstLine="709"/>
        <w:jc w:val="both"/>
        <w:rPr>
          <w:rFonts w:ascii="Verdana" w:hAnsi="Verdana" w:cs="Arial"/>
          <w:sz w:val="16"/>
          <w:szCs w:val="16"/>
          <w:lang w:val="es-CO"/>
        </w:rPr>
      </w:pPr>
      <w:r w:rsidRPr="00A15008">
        <w:rPr>
          <w:rStyle w:val="Refdenotaalpie"/>
          <w:rFonts w:ascii="Verdana" w:hAnsi="Verdana" w:cs="Arial"/>
          <w:sz w:val="16"/>
          <w:szCs w:val="16"/>
        </w:rPr>
        <w:footnoteRef/>
      </w:r>
      <w:r w:rsidRPr="00A15008">
        <w:rPr>
          <w:rFonts w:ascii="Verdana" w:hAnsi="Verdana" w:cs="Arial"/>
          <w:sz w:val="16"/>
          <w:szCs w:val="16"/>
          <w:lang w:val="es-CO"/>
        </w:rPr>
        <w:t xml:space="preserve"> </w:t>
      </w:r>
      <w:r w:rsidRPr="00A15008">
        <w:rPr>
          <w:rFonts w:ascii="Verdana" w:hAnsi="Verdana" w:cs="Arial"/>
          <w:sz w:val="16"/>
          <w:szCs w:val="16"/>
          <w:lang w:val="es-CO"/>
        </w:rPr>
        <w:t>Ibíd., p. 53.</w:t>
      </w:r>
    </w:p>
  </w:footnote>
  <w:footnote w:id="30">
    <w:p w14:paraId="5E131C29" w14:textId="77777777" w:rsidR="009131CF" w:rsidRPr="00A15008" w:rsidRDefault="009131CF" w:rsidP="009131CF">
      <w:pPr>
        <w:pStyle w:val="NormalWeb"/>
        <w:spacing w:after="0"/>
        <w:ind w:firstLine="708"/>
        <w:contextualSpacing/>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Ley 2022 de 2020: “</w:t>
      </w:r>
      <w:r w:rsidRPr="00A15008">
        <w:rPr>
          <w:rStyle w:val="Fuerte"/>
          <w:rFonts w:ascii="Verdana" w:hAnsi="Verdana" w:cs="Arial"/>
          <w:color w:val="000000"/>
          <w:sz w:val="16"/>
          <w:szCs w:val="16"/>
        </w:rPr>
        <w:t xml:space="preserve">Artículo 1º. </w:t>
      </w:r>
      <w:r w:rsidRPr="00A15008">
        <w:rPr>
          <w:rFonts w:ascii="Verdana" w:hAnsi="Verdana" w:cs="Arial"/>
          <w:color w:val="000000"/>
          <w:sz w:val="16"/>
          <w:szCs w:val="16"/>
        </w:rPr>
        <w:t>Modifíquese el artículo 4º de la Ley 1882 de 2018, el cual quedará así:</w:t>
      </w:r>
    </w:p>
    <w:p w14:paraId="1E2C33E1" w14:textId="77777777" w:rsidR="009131CF" w:rsidRPr="00A15008" w:rsidRDefault="009131CF" w:rsidP="009131CF">
      <w:pPr>
        <w:pStyle w:val="NormalWeb"/>
        <w:spacing w:after="0"/>
        <w:ind w:firstLine="708"/>
        <w:contextualSpacing/>
        <w:jc w:val="both"/>
        <w:rPr>
          <w:rFonts w:ascii="Verdana" w:hAnsi="Verdana" w:cs="Arial"/>
          <w:color w:val="000000"/>
          <w:sz w:val="16"/>
          <w:szCs w:val="16"/>
        </w:rPr>
      </w:pPr>
      <w:r w:rsidRPr="00A15008">
        <w:rPr>
          <w:rStyle w:val="Fuerte"/>
          <w:rFonts w:ascii="Verdana" w:hAnsi="Verdana" w:cs="Arial"/>
          <w:color w:val="000000"/>
          <w:sz w:val="16"/>
          <w:szCs w:val="16"/>
        </w:rPr>
        <w:t xml:space="preserve">“Artículo 4º. </w:t>
      </w:r>
      <w:r w:rsidRPr="00A15008">
        <w:rPr>
          <w:rFonts w:ascii="Verdana" w:hAnsi="Verdana" w:cs="Arial"/>
          <w:color w:val="000000"/>
          <w:sz w:val="16"/>
          <w:szCs w:val="16"/>
        </w:rPr>
        <w:t>Adiciónese el siguiente parágrafo al artículo 2º de la Ley 1150 de 2007.</w:t>
      </w:r>
    </w:p>
    <w:p w14:paraId="20CEF031" w14:textId="77777777" w:rsidR="009131CF" w:rsidRPr="00A15008" w:rsidRDefault="009131CF" w:rsidP="009131CF">
      <w:pPr>
        <w:pStyle w:val="NormalWeb"/>
        <w:spacing w:after="0"/>
        <w:ind w:firstLine="708"/>
        <w:contextualSpacing/>
        <w:jc w:val="both"/>
        <w:rPr>
          <w:rFonts w:ascii="Verdana" w:hAnsi="Verdana" w:cs="Arial"/>
          <w:color w:val="000000"/>
          <w:sz w:val="16"/>
          <w:szCs w:val="16"/>
        </w:rPr>
      </w:pPr>
      <w:r w:rsidRPr="00A15008">
        <w:rPr>
          <w:rStyle w:val="Fuerte"/>
          <w:rFonts w:ascii="Verdana" w:hAnsi="Verdana" w:cs="Arial"/>
          <w:color w:val="000000"/>
          <w:sz w:val="16"/>
          <w:szCs w:val="16"/>
        </w:rPr>
        <w:t xml:space="preserve">Parágrafo 7º. </w:t>
      </w:r>
      <w:r w:rsidRPr="00A15008">
        <w:rPr>
          <w:rFonts w:ascii="Verdana" w:hAnsi="Verdana" w:cs="Arial"/>
          <w:color w:val="000000"/>
          <w:sz w:val="16"/>
          <w:szCs w:val="16"/>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3DE15D25" w14:textId="77777777" w:rsidR="009131CF" w:rsidRPr="00A15008" w:rsidRDefault="009131CF" w:rsidP="009131CF">
      <w:pPr>
        <w:pStyle w:val="NormalWeb"/>
        <w:spacing w:after="0"/>
        <w:ind w:firstLine="708"/>
        <w:contextualSpacing/>
        <w:jc w:val="both"/>
        <w:rPr>
          <w:rFonts w:ascii="Verdana" w:hAnsi="Verdana" w:cs="Arial"/>
          <w:color w:val="000000"/>
          <w:sz w:val="16"/>
          <w:szCs w:val="16"/>
        </w:rPr>
      </w:pPr>
      <w:r w:rsidRPr="00A15008">
        <w:rPr>
          <w:rFonts w:ascii="Verdana" w:hAnsi="Verdana" w:cs="Arial"/>
          <w:color w:val="000000"/>
          <w:sz w:val="16"/>
          <w:szCs w:val="16"/>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9BF2A03" w14:textId="77777777" w:rsidR="009131CF" w:rsidRPr="00A15008" w:rsidRDefault="009131CF" w:rsidP="009131CF">
      <w:pPr>
        <w:pStyle w:val="NormalWeb"/>
        <w:spacing w:after="0"/>
        <w:ind w:firstLine="708"/>
        <w:contextualSpacing/>
        <w:jc w:val="both"/>
        <w:rPr>
          <w:rFonts w:ascii="Verdana" w:hAnsi="Verdana" w:cs="Arial"/>
          <w:color w:val="000000"/>
          <w:sz w:val="16"/>
          <w:szCs w:val="16"/>
        </w:rPr>
      </w:pPr>
      <w:r w:rsidRPr="00A15008">
        <w:rPr>
          <w:rFonts w:ascii="Verdana" w:hAnsi="Verdana" w:cs="Arial"/>
          <w:color w:val="000000"/>
          <w:sz w:val="16"/>
          <w:szCs w:val="16"/>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05BB7934" w14:textId="77777777" w:rsidR="009131CF" w:rsidRPr="00A15008" w:rsidRDefault="009131CF" w:rsidP="009131CF">
      <w:pPr>
        <w:pStyle w:val="NormalWeb"/>
        <w:spacing w:after="0"/>
        <w:ind w:firstLine="708"/>
        <w:contextualSpacing/>
        <w:jc w:val="both"/>
        <w:rPr>
          <w:rFonts w:ascii="Verdana" w:hAnsi="Verdana" w:cs="Arial"/>
          <w:color w:val="000000"/>
          <w:sz w:val="16"/>
          <w:szCs w:val="16"/>
        </w:rPr>
      </w:pPr>
      <w:r w:rsidRPr="00A15008">
        <w:rPr>
          <w:rFonts w:ascii="Verdana" w:hAnsi="Verdana" w:cs="Arial"/>
          <w:color w:val="000000"/>
          <w:sz w:val="16"/>
          <w:szCs w:val="16"/>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042577A4" w14:textId="77777777" w:rsidR="009131CF" w:rsidRPr="00A15008" w:rsidRDefault="009131CF" w:rsidP="009131CF">
      <w:pPr>
        <w:pStyle w:val="NormalWeb"/>
        <w:spacing w:after="0"/>
        <w:ind w:firstLine="708"/>
        <w:contextualSpacing/>
        <w:jc w:val="both"/>
        <w:rPr>
          <w:rFonts w:ascii="Verdana" w:hAnsi="Verdana" w:cs="Arial"/>
          <w:color w:val="000000"/>
          <w:sz w:val="16"/>
          <w:szCs w:val="16"/>
        </w:rPr>
      </w:pPr>
      <w:r w:rsidRPr="00A15008">
        <w:rPr>
          <w:rFonts w:ascii="Verdana" w:hAnsi="Verdana" w:cs="Arial"/>
          <w:color w:val="000000"/>
          <w:sz w:val="16"/>
          <w:szCs w:val="16"/>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31">
    <w:p w14:paraId="2C6B8773" w14:textId="77777777" w:rsidR="009131CF" w:rsidRPr="00A15008" w:rsidRDefault="009131CF" w:rsidP="009131CF">
      <w:pPr>
        <w:pStyle w:val="Textonotapie"/>
        <w:ind w:firstLine="708"/>
        <w:contextualSpacing/>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Los Documentos Tipo expedidos por la Agencia Nacional de Contratación Pública – Colombia Compra Eficiente pueden ser consultados en el siguiente enlace: </w:t>
      </w:r>
      <w:hyperlink r:id="rId3" w:history="1">
        <w:r w:rsidRPr="00A15008">
          <w:rPr>
            <w:rStyle w:val="Hipervnculo"/>
            <w:rFonts w:ascii="Verdana" w:hAnsi="Verdana" w:cs="Arial"/>
            <w:color w:val="000000"/>
            <w:sz w:val="16"/>
            <w:szCs w:val="16"/>
          </w:rPr>
          <w:t>https://www.colombiacompra.gov.co/documentos-tipo/documentos-tipo</w:t>
        </w:r>
      </w:hyperlink>
      <w:r w:rsidRPr="00A15008">
        <w:rPr>
          <w:rFonts w:ascii="Verdana" w:hAnsi="Verdana" w:cs="Arial"/>
          <w:color w:val="000000"/>
          <w:sz w:val="16"/>
          <w:szCs w:val="16"/>
        </w:rPr>
        <w:t xml:space="preserve"> </w:t>
      </w:r>
    </w:p>
    <w:p w14:paraId="34381B73" w14:textId="77777777" w:rsidR="009131CF" w:rsidRPr="00A15008" w:rsidRDefault="009131CF" w:rsidP="009131CF">
      <w:pPr>
        <w:pStyle w:val="Textonotapie"/>
        <w:ind w:firstLine="708"/>
        <w:contextualSpacing/>
        <w:jc w:val="both"/>
        <w:rPr>
          <w:rFonts w:ascii="Verdana" w:hAnsi="Verdana" w:cs="Arial"/>
          <w:color w:val="000000"/>
          <w:sz w:val="16"/>
          <w:szCs w:val="16"/>
        </w:rPr>
      </w:pPr>
    </w:p>
  </w:footnote>
  <w:footnote w:id="32">
    <w:p w14:paraId="6781C7FE" w14:textId="42E1325E" w:rsidR="009131CF" w:rsidRPr="00A15008" w:rsidRDefault="009131CF" w:rsidP="009131CF">
      <w:pPr>
        <w:pStyle w:val="Textonotapie"/>
        <w:ind w:firstLine="708"/>
        <w:contextualSpacing/>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En este sentido, a modo de ejemplo, en el </w:t>
      </w:r>
      <w:r w:rsidR="006E3246">
        <w:rPr>
          <w:rFonts w:ascii="Verdana" w:hAnsi="Verdana" w:cs="Arial"/>
          <w:color w:val="000000"/>
          <w:sz w:val="16"/>
          <w:szCs w:val="16"/>
        </w:rPr>
        <w:t>“</w:t>
      </w:r>
      <w:r w:rsidRPr="00A15008">
        <w:rPr>
          <w:rFonts w:ascii="Verdana" w:hAnsi="Verdana" w:cs="Arial"/>
          <w:color w:val="000000"/>
          <w:sz w:val="16"/>
          <w:szCs w:val="16"/>
        </w:rPr>
        <w:t>documento base</w:t>
      </w:r>
      <w:r w:rsidR="006E3246">
        <w:rPr>
          <w:rFonts w:ascii="Verdana" w:hAnsi="Verdana" w:cs="Arial"/>
          <w:color w:val="000000"/>
          <w:sz w:val="16"/>
          <w:szCs w:val="16"/>
        </w:rPr>
        <w:t>”</w:t>
      </w:r>
      <w:r w:rsidRPr="00A15008">
        <w:rPr>
          <w:rFonts w:ascii="Verdana" w:hAnsi="Verdana" w:cs="Arial"/>
          <w:color w:val="000000"/>
          <w:sz w:val="16"/>
          <w:szCs w:val="16"/>
        </w:rPr>
        <w:t xml:space="preserve"> del documento tipo de licitación se establece lo siguiente: “Los Documentos Tipo aplica a los procesos de licitación de obra pública de infraestructura de transporte (versión 3), que correspondan a las actividades definidas en la Matriz 1 – Experiencia. En consecuencia, las actividades de infraestructura de transporte no contempladas en la Matriz 1 – Experiencia no tienen que aplicar los documentos tipo; sin perjuicio de lo previsto en el artículo 2.2.1.2.6.1.5. del Decreto 1082 de 2015”.</w:t>
      </w:r>
    </w:p>
  </w:footnote>
  <w:footnote w:id="33">
    <w:p w14:paraId="78E24478" w14:textId="77777777" w:rsidR="009131CF" w:rsidRPr="00A15008" w:rsidRDefault="009131CF" w:rsidP="009131CF">
      <w:pPr>
        <w:pStyle w:val="Textonotapie"/>
        <w:ind w:firstLine="709"/>
        <w:jc w:val="both"/>
        <w:rPr>
          <w:rFonts w:ascii="Verdana" w:hAnsi="Verdana"/>
          <w:bCs/>
          <w:color w:val="000000"/>
          <w:sz w:val="16"/>
          <w:szCs w:val="16"/>
          <w:lang w:val="es-ES_tradnl"/>
        </w:rPr>
      </w:pPr>
      <w:r w:rsidRPr="00A15008">
        <w:rPr>
          <w:rStyle w:val="Refdenotaalpie"/>
          <w:rFonts w:ascii="Verdana" w:hAnsi="Verdana"/>
          <w:color w:val="000000"/>
          <w:sz w:val="16"/>
          <w:szCs w:val="16"/>
        </w:rPr>
        <w:footnoteRef/>
      </w:r>
      <w:r w:rsidRPr="00A15008">
        <w:rPr>
          <w:rFonts w:ascii="Verdana" w:hAnsi="Verdana"/>
          <w:color w:val="000000"/>
          <w:sz w:val="16"/>
          <w:szCs w:val="16"/>
        </w:rPr>
        <w:t xml:space="preserve"> </w:t>
      </w:r>
      <w:r w:rsidRPr="00A15008">
        <w:rPr>
          <w:rFonts w:ascii="Verdana" w:hAnsi="Verdana"/>
          <w:color w:val="000000"/>
          <w:sz w:val="16"/>
          <w:szCs w:val="16"/>
          <w:lang w:val="es-CO"/>
        </w:rPr>
        <w:t xml:space="preserve">Esta tesis se desarrolló y complementó, entre otros, en los siguientes conceptos </w:t>
      </w:r>
      <w:bookmarkStart w:id="10" w:name="_Hlk205384358"/>
      <w:r w:rsidRPr="00A15008">
        <w:rPr>
          <w:rFonts w:ascii="Verdana" w:hAnsi="Verdana"/>
          <w:color w:val="000000"/>
          <w:sz w:val="16"/>
          <w:szCs w:val="16"/>
          <w:lang w:val="es-CO"/>
        </w:rPr>
        <w:t xml:space="preserve">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 y C-808 del 30 de julio de2025 </w:t>
      </w:r>
      <w:bookmarkEnd w:id="10"/>
    </w:p>
  </w:footnote>
  <w:footnote w:id="34">
    <w:p w14:paraId="1B69B0B3" w14:textId="77777777" w:rsidR="009131CF" w:rsidRPr="00A15008" w:rsidRDefault="009131CF" w:rsidP="009131CF">
      <w:pPr>
        <w:pStyle w:val="Textonotapie"/>
        <w:ind w:firstLine="709"/>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CONGRESO DE LA REPÚBLICA. Gaceta </w:t>
      </w:r>
      <w:r w:rsidRPr="00A15008">
        <w:rPr>
          <w:rFonts w:ascii="Verdana" w:hAnsi="Verdana" w:cs="Arial"/>
          <w:color w:val="000000"/>
          <w:sz w:val="16"/>
          <w:szCs w:val="16"/>
        </w:rPr>
        <w:t>Nº 1677 del 23 de noviembre de 2021. Justificación jurídica del Proyecto de Ley No. 226 de 2021 Cámara. p. 15.</w:t>
      </w:r>
      <w:r w:rsidRPr="00A15008">
        <w:rPr>
          <w:rFonts w:ascii="Verdana" w:hAnsi="Verdana" w:cs="Arial"/>
          <w:color w:val="000000"/>
          <w:sz w:val="16"/>
          <w:szCs w:val="16"/>
        </w:rPr>
        <w:cr/>
      </w:r>
    </w:p>
  </w:footnote>
  <w:footnote w:id="35">
    <w:p w14:paraId="40AC754E" w14:textId="77777777" w:rsidR="009131CF" w:rsidRPr="00A15008" w:rsidRDefault="009131CF" w:rsidP="009131CF">
      <w:pPr>
        <w:pStyle w:val="Textonotapie"/>
        <w:ind w:firstLine="709"/>
        <w:contextualSpacing/>
        <w:jc w:val="both"/>
        <w:rPr>
          <w:rFonts w:ascii="Verdana" w:hAnsi="Verdana" w:cs="Arial"/>
          <w:color w:val="000000"/>
          <w:sz w:val="16"/>
          <w:szCs w:val="16"/>
          <w:lang w:val="es-ES"/>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w:t>
      </w:r>
      <w:r w:rsidRPr="00A15008">
        <w:rPr>
          <w:rFonts w:ascii="Verdana" w:hAnsi="Verdana" w:cs="Arial"/>
          <w:color w:val="000000"/>
          <w:sz w:val="16"/>
          <w:szCs w:val="16"/>
          <w:lang w:val="es-ES"/>
        </w:rPr>
        <w:t xml:space="preserve">Según García de Enterría: “Estos conceptos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w:t>
      </w:r>
      <w:r w:rsidRPr="00A15008">
        <w:rPr>
          <w:rFonts w:ascii="Verdana" w:hAnsi="Verdana" w:cs="Arial"/>
          <w:color w:val="000000"/>
          <w:sz w:val="16"/>
          <w:szCs w:val="16"/>
          <w:lang w:val="es-ES"/>
        </w:rPr>
        <w:t xml:space="preserve">los mismos en un caso particular no nos la resuelve o determina con exactitud la propia Ley que los ha creado y de cuya aplicación se trata”. (GARCÍA DE ENTERRÍA, Eduardo. La lucha contra las inmunidades del poder en el derecho administrativo. 3ª ed. Madrid: </w:t>
      </w:r>
      <w:r w:rsidRPr="00A15008">
        <w:rPr>
          <w:rFonts w:ascii="Verdana" w:hAnsi="Verdana" w:cs="Arial"/>
          <w:color w:val="000000"/>
          <w:sz w:val="16"/>
          <w:szCs w:val="16"/>
          <w:lang w:val="es-ES"/>
        </w:rPr>
        <w:t>Civitas, 1983. pp. 33-34).</w:t>
      </w:r>
    </w:p>
  </w:footnote>
  <w:footnote w:id="36">
    <w:p w14:paraId="331D069B" w14:textId="77777777" w:rsidR="009131CF" w:rsidRPr="00A15008" w:rsidRDefault="009131CF" w:rsidP="009131CF">
      <w:pPr>
        <w:pStyle w:val="Textonotapie"/>
        <w:ind w:firstLine="709"/>
        <w:contextualSpacing/>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CORTE CONSTITUCIONAL, Sentencia C-382 de 2019, M.P. Alejandro Linares Cantillo.</w:t>
      </w:r>
    </w:p>
  </w:footnote>
  <w:footnote w:id="37">
    <w:p w14:paraId="7B9336E8" w14:textId="77777777" w:rsidR="009131CF" w:rsidRPr="00A15008" w:rsidRDefault="009131CF" w:rsidP="009131CF">
      <w:pPr>
        <w:pStyle w:val="Textonotapie"/>
        <w:ind w:firstLine="709"/>
        <w:contextualSpacing/>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La redacción original del parágrafo primero del artículo 32 de la Ley 80 de 1993, incluía la expresión giro ordinario, la cual servía de elemento calificante para la determinación del régimen aplicable a los contratos de los establecimientos de crédito público, las compañías de seguros y las demás entidades financieras públicas. Dicho parágrafo establecía “Sin perjuicio de lo dispuesto en esta ley sobre fiducia y encargo fiduciario, los contratos que celebren los establecimientos de crédito, las compañías de seguros y las demás entidades financieras de carácter estatal, que correspondan al giro ordinario de las actividades propias de su objeto social, no estarán sujetos a las disposiciones del presente estatuto y se regirán por las disposiciones legales y reglamentarias aplicables a dichas actividades” [Énfasis fuera de texto].</w:t>
      </w:r>
    </w:p>
    <w:p w14:paraId="59AE50E0" w14:textId="77777777" w:rsidR="009131CF" w:rsidRPr="00A15008" w:rsidRDefault="009131CF" w:rsidP="009131CF">
      <w:pPr>
        <w:pStyle w:val="Textonotapie"/>
        <w:ind w:firstLine="709"/>
        <w:contextualSpacing/>
        <w:jc w:val="both"/>
        <w:rPr>
          <w:rFonts w:ascii="Verdana" w:hAnsi="Verdana" w:cs="Arial"/>
          <w:color w:val="000000"/>
          <w:sz w:val="16"/>
          <w:szCs w:val="16"/>
        </w:rPr>
      </w:pPr>
    </w:p>
  </w:footnote>
  <w:footnote w:id="38">
    <w:p w14:paraId="0F617F1D" w14:textId="77777777" w:rsidR="009131CF" w:rsidRPr="00A15008" w:rsidRDefault="009131CF" w:rsidP="009131CF">
      <w:pPr>
        <w:pStyle w:val="Textonotapie"/>
        <w:ind w:firstLine="709"/>
        <w:contextualSpacing/>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CONSEJO DE ESTADO. Sección Tercera. Subsección B. Sentencia del 12 de octubre de 2011. </w:t>
      </w:r>
      <w:r w:rsidRPr="00A15008">
        <w:rPr>
          <w:rFonts w:ascii="Verdana" w:hAnsi="Verdana" w:cs="Arial"/>
          <w:color w:val="000000"/>
          <w:sz w:val="16"/>
          <w:szCs w:val="16"/>
        </w:rPr>
        <w:t>Exp. No. 20070. C.P. Danilo Rojas Betancourt.</w:t>
      </w:r>
    </w:p>
  </w:footnote>
  <w:footnote w:id="39">
    <w:p w14:paraId="2A5637EE" w14:textId="77777777" w:rsidR="009131CF" w:rsidRPr="00A15008" w:rsidRDefault="009131CF" w:rsidP="009131CF">
      <w:pPr>
        <w:tabs>
          <w:tab w:val="left" w:pos="0"/>
        </w:tabs>
        <w:spacing w:line="240" w:lineRule="auto"/>
        <w:contextualSpacing/>
        <w:jc w:val="both"/>
        <w:rPr>
          <w:rFonts w:ascii="Verdana" w:eastAsia="Calibri" w:hAnsi="Verdana" w:cs="Arial"/>
          <w:color w:val="000000"/>
          <w:sz w:val="16"/>
          <w:szCs w:val="16"/>
          <w:lang w:val="es-ES_tradnl" w:eastAsia="es-ES_tradnl"/>
        </w:rPr>
      </w:pPr>
      <w:r w:rsidRPr="00A15008">
        <w:rPr>
          <w:rFonts w:ascii="Verdana" w:hAnsi="Verdana" w:cs="Arial"/>
          <w:color w:val="000000"/>
          <w:sz w:val="16"/>
          <w:szCs w:val="16"/>
        </w:rPr>
        <w:tab/>
      </w: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CONSEJO DE ESTADO. Sección Tercera. Subsección A. Sentencia del 3 de marzo de 2021. </w:t>
      </w:r>
      <w:r w:rsidRPr="00A15008">
        <w:rPr>
          <w:rFonts w:ascii="Verdana" w:hAnsi="Verdana" w:cs="Arial"/>
          <w:color w:val="000000"/>
          <w:sz w:val="16"/>
          <w:szCs w:val="16"/>
        </w:rPr>
        <w:t xml:space="preserve">Exp. No. 51373. C.P. José Roberto Sáchica Méndez. </w:t>
      </w:r>
      <w:r w:rsidRPr="00A15008">
        <w:rPr>
          <w:rFonts w:ascii="Verdana" w:eastAsia="Calibri" w:hAnsi="Verdana" w:cs="Arial"/>
          <w:color w:val="000000"/>
          <w:sz w:val="16"/>
          <w:szCs w:val="16"/>
          <w:lang w:val="es-ES_tradnl" w:eastAsia="es-ES_tradnl"/>
        </w:rPr>
        <w:t>“[E]l elemento central para la determinación de este concepto jurídico, remite al objeto social –cuando se trata de empresas públicas o privadas constituidas bajo alguno de los tipos societarios definidos en la ley– pero también se refiere, mutatis mutandis, al objeto y funciones expresamente definidas en los actos de creación de entidades públicas que, por su naturaleza, se orientan al desarrollo de actividades industriales y comerciales. De forma que, el giro ordinario de los negocios se explica a partir del objeto social o, también, de las funciones expresamente fijadas por ley, según se trate de una persona jurídica pública o privada, pues ambas categorías, para estos efectos, resultan equivalentes.”</w:t>
      </w:r>
    </w:p>
  </w:footnote>
  <w:footnote w:id="40">
    <w:p w14:paraId="48AC685F" w14:textId="77777777" w:rsidR="009131CF" w:rsidRPr="00A15008" w:rsidRDefault="009131CF" w:rsidP="009131CF">
      <w:pPr>
        <w:pStyle w:val="Textonotapie"/>
        <w:ind w:firstLine="708"/>
        <w:contextualSpacing/>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w:t>
      </w:r>
      <w:r>
        <w:rPr>
          <w:rFonts w:ascii="Verdana" w:hAnsi="Verdana" w:cs="Arial"/>
          <w:color w:val="000000"/>
          <w:sz w:val="16"/>
          <w:szCs w:val="16"/>
        </w:rPr>
        <w:t>L</w:t>
      </w:r>
      <w:r w:rsidRPr="00A15008">
        <w:rPr>
          <w:rFonts w:ascii="Verdana" w:hAnsi="Verdana" w:cs="Arial"/>
          <w:color w:val="000000"/>
          <w:sz w:val="16"/>
          <w:szCs w:val="16"/>
        </w:rPr>
        <w:t>a Superintendencia de Sociedades, citando doctrina autorizada en la materia, ha señalado: “Si bien el llamado giro ordinario de los negocios se encuentra determinado por las actividades que constituyen el objeto social, resultan oportunas algunas precisiones conceptuales en torno al empleo constante en la práctica mercantil de la referida expresión "giro ordinario de los negocios". Partiendo de las anteriores consideraciones en cuanto al tema del objeto social, se concluye que éste alude a las actividades que desarrolla o se propone realizar el ente social, al paso que solamente quedan cobijadas por "giro ordinario" aquellas actividades que, en forma habitual u ordinaria, ejecuta la sociedad</w:t>
      </w:r>
      <w:r>
        <w:rPr>
          <w:rFonts w:ascii="Verdana" w:hAnsi="Verdana" w:cs="Arial"/>
          <w:color w:val="000000"/>
          <w:sz w:val="16"/>
          <w:szCs w:val="16"/>
        </w:rPr>
        <w:t>”</w:t>
      </w:r>
      <w:r w:rsidRPr="00A15008">
        <w:rPr>
          <w:rFonts w:ascii="Verdana" w:hAnsi="Verdana" w:cs="Arial"/>
          <w:color w:val="000000"/>
          <w:sz w:val="16"/>
          <w:szCs w:val="16"/>
        </w:rPr>
        <w:t>.</w:t>
      </w:r>
    </w:p>
    <w:p w14:paraId="192CE639" w14:textId="77777777" w:rsidR="009131CF" w:rsidRPr="00A15008" w:rsidRDefault="009131CF" w:rsidP="009131CF">
      <w:pPr>
        <w:pStyle w:val="Textonotapie"/>
        <w:ind w:firstLine="708"/>
        <w:contextualSpacing/>
        <w:jc w:val="both"/>
        <w:rPr>
          <w:rFonts w:ascii="Verdana" w:hAnsi="Verdana" w:cs="Arial"/>
          <w:color w:val="000000"/>
          <w:sz w:val="16"/>
          <w:szCs w:val="16"/>
        </w:rPr>
      </w:pPr>
    </w:p>
  </w:footnote>
  <w:footnote w:id="41">
    <w:p w14:paraId="6A88C6C9" w14:textId="77777777" w:rsidR="009131CF" w:rsidRPr="00A15008" w:rsidRDefault="009131CF" w:rsidP="009131CF">
      <w:pPr>
        <w:pStyle w:val="Textonotapie"/>
        <w:ind w:firstLine="709"/>
        <w:contextualSpacing/>
        <w:jc w:val="both"/>
        <w:rPr>
          <w:rFonts w:ascii="Verdana" w:hAnsi="Verdana" w:cs="Arial"/>
          <w:color w:val="000000"/>
          <w:sz w:val="16"/>
          <w:szCs w:val="16"/>
        </w:rPr>
      </w:pPr>
      <w:r w:rsidRPr="00A15008">
        <w:rPr>
          <w:rStyle w:val="Refdenotaalpie"/>
          <w:rFonts w:ascii="Verdana" w:hAnsi="Verdana" w:cs="Arial"/>
          <w:color w:val="000000"/>
          <w:sz w:val="16"/>
          <w:szCs w:val="16"/>
        </w:rPr>
        <w:footnoteRef/>
      </w:r>
      <w:r w:rsidRPr="00A15008">
        <w:rPr>
          <w:rFonts w:ascii="Verdana" w:hAnsi="Verdana" w:cs="Arial"/>
          <w:color w:val="000000"/>
          <w:sz w:val="16"/>
          <w:szCs w:val="16"/>
        </w:rPr>
        <w:t xml:space="preserve"> El Consejo de Estado ha precisado que: “Según esta norma, 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del objeto de la sociedad. Tal es el caso de la contratación de la publicidad para promocionar la empresa o sus productos, o la contratación de profesionales para que realicen una consultoría o asesoría relacionada con las actividades de la empresa, etc.</w:t>
      </w:r>
    </w:p>
    <w:p w14:paraId="1C3F020F" w14:textId="77777777" w:rsidR="009131CF" w:rsidRPr="00A15008" w:rsidRDefault="009131CF" w:rsidP="009131CF">
      <w:pPr>
        <w:pStyle w:val="Textonotapie"/>
        <w:ind w:firstLine="709"/>
        <w:contextualSpacing/>
        <w:jc w:val="both"/>
        <w:rPr>
          <w:rFonts w:ascii="Verdana" w:hAnsi="Verdana" w:cs="Arial"/>
          <w:color w:val="000000"/>
          <w:sz w:val="16"/>
          <w:szCs w:val="16"/>
        </w:rPr>
      </w:pPr>
      <w:r w:rsidRPr="00A15008">
        <w:rPr>
          <w:rFonts w:ascii="Verdana" w:hAnsi="Verdana" w:cs="Arial"/>
          <w:color w:val="000000"/>
          <w:sz w:val="16"/>
          <w:szCs w:val="16"/>
        </w:rPr>
        <w:t xml:space="preserve">En estos casos, mal podría decirse que la sociedad no puede realizar este tipo de actos necesarios para el buen desempeño de sus actividades comerciales. Lo propio cabe decir de las entidades financieras. De manera que la norma comercial citada es perfectamente trasladable al campo financiero”.  (Consejo de Estado. Sección Tercera. Sentencia del 6 de julio de 2005. </w:t>
      </w:r>
      <w:r w:rsidRPr="00A15008">
        <w:rPr>
          <w:rFonts w:ascii="Verdana" w:hAnsi="Verdana" w:cs="Arial"/>
          <w:color w:val="000000"/>
          <w:sz w:val="16"/>
          <w:szCs w:val="16"/>
        </w:rPr>
        <w:t>Exp. No. 11575. C.P. Alier E. Hernández Enríquez).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DE7CD1EE"/>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4FC62861"/>
    <w:multiLevelType w:val="hybridMultilevel"/>
    <w:tmpl w:val="751644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num w:numId="1" w16cid:durableId="615719878">
    <w:abstractNumId w:val="6"/>
  </w:num>
  <w:num w:numId="2" w16cid:durableId="1532913667">
    <w:abstractNumId w:val="2"/>
  </w:num>
  <w:num w:numId="3" w16cid:durableId="1160779696">
    <w:abstractNumId w:val="4"/>
  </w:num>
  <w:num w:numId="4" w16cid:durableId="91732240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92415847">
    <w:abstractNumId w:val="2"/>
  </w:num>
  <w:num w:numId="6" w16cid:durableId="431555962">
    <w:abstractNumId w:val="14"/>
  </w:num>
  <w:num w:numId="7" w16cid:durableId="263002292">
    <w:abstractNumId w:val="5"/>
  </w:num>
  <w:num w:numId="8" w16cid:durableId="1420129435">
    <w:abstractNumId w:val="13"/>
  </w:num>
  <w:num w:numId="9" w16cid:durableId="1492480167">
    <w:abstractNumId w:val="7"/>
  </w:num>
  <w:num w:numId="10" w16cid:durableId="1218669299">
    <w:abstractNumId w:val="12"/>
  </w:num>
  <w:num w:numId="11" w16cid:durableId="20714267">
    <w:abstractNumId w:val="8"/>
  </w:num>
  <w:num w:numId="12" w16cid:durableId="2137985918">
    <w:abstractNumId w:val="1"/>
  </w:num>
  <w:num w:numId="13" w16cid:durableId="285936327">
    <w:abstractNumId w:val="3"/>
  </w:num>
  <w:num w:numId="14" w16cid:durableId="487676556">
    <w:abstractNumId w:val="15"/>
  </w:num>
  <w:num w:numId="15" w16cid:durableId="2046248948">
    <w:abstractNumId w:val="11"/>
  </w:num>
  <w:num w:numId="16" w16cid:durableId="67116670">
    <w:abstractNumId w:val="9"/>
  </w:num>
  <w:num w:numId="17" w16cid:durableId="959147544">
    <w:abstractNumId w:val="0"/>
  </w:num>
  <w:num w:numId="18" w16cid:durableId="143898788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98442740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3B23"/>
    <w:rsid w:val="000A683E"/>
    <w:rsid w:val="000B19B9"/>
    <w:rsid w:val="000B6736"/>
    <w:rsid w:val="000C7FCC"/>
    <w:rsid w:val="000D0334"/>
    <w:rsid w:val="000D5DA7"/>
    <w:rsid w:val="000E262C"/>
    <w:rsid w:val="000F497A"/>
    <w:rsid w:val="000F6486"/>
    <w:rsid w:val="00116940"/>
    <w:rsid w:val="00125105"/>
    <w:rsid w:val="00127233"/>
    <w:rsid w:val="00137258"/>
    <w:rsid w:val="0015699B"/>
    <w:rsid w:val="001A33BF"/>
    <w:rsid w:val="001C1BF1"/>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45AA8"/>
    <w:rsid w:val="00374F5E"/>
    <w:rsid w:val="00377E3E"/>
    <w:rsid w:val="003A779E"/>
    <w:rsid w:val="003B5BDF"/>
    <w:rsid w:val="003D0F4D"/>
    <w:rsid w:val="003D2C15"/>
    <w:rsid w:val="003D5B0D"/>
    <w:rsid w:val="003E0499"/>
    <w:rsid w:val="003E4F80"/>
    <w:rsid w:val="003E6439"/>
    <w:rsid w:val="003F3941"/>
    <w:rsid w:val="00406575"/>
    <w:rsid w:val="00414C74"/>
    <w:rsid w:val="0042722E"/>
    <w:rsid w:val="0044528D"/>
    <w:rsid w:val="004463A4"/>
    <w:rsid w:val="00466E39"/>
    <w:rsid w:val="004A1847"/>
    <w:rsid w:val="004A305D"/>
    <w:rsid w:val="004F21C4"/>
    <w:rsid w:val="004F685F"/>
    <w:rsid w:val="005566E8"/>
    <w:rsid w:val="00574867"/>
    <w:rsid w:val="00591460"/>
    <w:rsid w:val="005A65E0"/>
    <w:rsid w:val="005C3777"/>
    <w:rsid w:val="005C5CDC"/>
    <w:rsid w:val="005D476C"/>
    <w:rsid w:val="005E3434"/>
    <w:rsid w:val="006106E8"/>
    <w:rsid w:val="006200BF"/>
    <w:rsid w:val="006219F8"/>
    <w:rsid w:val="006302F7"/>
    <w:rsid w:val="00646B9F"/>
    <w:rsid w:val="00650209"/>
    <w:rsid w:val="00665D70"/>
    <w:rsid w:val="006900D9"/>
    <w:rsid w:val="006E3246"/>
    <w:rsid w:val="00706C16"/>
    <w:rsid w:val="007340C3"/>
    <w:rsid w:val="0075235A"/>
    <w:rsid w:val="00756841"/>
    <w:rsid w:val="007649AB"/>
    <w:rsid w:val="00771D0C"/>
    <w:rsid w:val="007833AC"/>
    <w:rsid w:val="007B268C"/>
    <w:rsid w:val="007B7171"/>
    <w:rsid w:val="007C0C0F"/>
    <w:rsid w:val="007C3DC2"/>
    <w:rsid w:val="007E4F0D"/>
    <w:rsid w:val="007E5497"/>
    <w:rsid w:val="00806F5F"/>
    <w:rsid w:val="00820278"/>
    <w:rsid w:val="008258C9"/>
    <w:rsid w:val="00844AE9"/>
    <w:rsid w:val="00867F95"/>
    <w:rsid w:val="008843B6"/>
    <w:rsid w:val="00891928"/>
    <w:rsid w:val="008A446D"/>
    <w:rsid w:val="008B25F1"/>
    <w:rsid w:val="008D180B"/>
    <w:rsid w:val="008F0EA7"/>
    <w:rsid w:val="009131CF"/>
    <w:rsid w:val="00923EEF"/>
    <w:rsid w:val="009419F9"/>
    <w:rsid w:val="009459B7"/>
    <w:rsid w:val="0095685E"/>
    <w:rsid w:val="00961B09"/>
    <w:rsid w:val="00965334"/>
    <w:rsid w:val="0097093E"/>
    <w:rsid w:val="00986CA2"/>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5172"/>
    <w:rsid w:val="00AA2C64"/>
    <w:rsid w:val="00AB0ADB"/>
    <w:rsid w:val="00B00C0E"/>
    <w:rsid w:val="00B01B1A"/>
    <w:rsid w:val="00B0381D"/>
    <w:rsid w:val="00B44A47"/>
    <w:rsid w:val="00B72CD3"/>
    <w:rsid w:val="00B72FFF"/>
    <w:rsid w:val="00B96711"/>
    <w:rsid w:val="00BA1608"/>
    <w:rsid w:val="00BC3D36"/>
    <w:rsid w:val="00BD54A6"/>
    <w:rsid w:val="00BD7F72"/>
    <w:rsid w:val="00BF7425"/>
    <w:rsid w:val="00C04FB3"/>
    <w:rsid w:val="00C11D8B"/>
    <w:rsid w:val="00C15139"/>
    <w:rsid w:val="00C330EB"/>
    <w:rsid w:val="00C50D69"/>
    <w:rsid w:val="00C5365C"/>
    <w:rsid w:val="00C754BE"/>
    <w:rsid w:val="00C76B1C"/>
    <w:rsid w:val="00C80D1B"/>
    <w:rsid w:val="00C925AC"/>
    <w:rsid w:val="00CB6357"/>
    <w:rsid w:val="00CC1B26"/>
    <w:rsid w:val="00D361FD"/>
    <w:rsid w:val="00D423A2"/>
    <w:rsid w:val="00D44E26"/>
    <w:rsid w:val="00D520D8"/>
    <w:rsid w:val="00D62A6F"/>
    <w:rsid w:val="00D62B7F"/>
    <w:rsid w:val="00D63AC2"/>
    <w:rsid w:val="00D7383B"/>
    <w:rsid w:val="00D761B6"/>
    <w:rsid w:val="00D7788A"/>
    <w:rsid w:val="00DA231B"/>
    <w:rsid w:val="00DC39FC"/>
    <w:rsid w:val="00DF4E5F"/>
    <w:rsid w:val="00DF5254"/>
    <w:rsid w:val="00E019A8"/>
    <w:rsid w:val="00E02524"/>
    <w:rsid w:val="00E16408"/>
    <w:rsid w:val="00E20894"/>
    <w:rsid w:val="00E245AB"/>
    <w:rsid w:val="00E2764C"/>
    <w:rsid w:val="00E27F2E"/>
    <w:rsid w:val="00E50AFE"/>
    <w:rsid w:val="00E60F35"/>
    <w:rsid w:val="00E75C92"/>
    <w:rsid w:val="00E771DC"/>
    <w:rsid w:val="00E8772A"/>
    <w:rsid w:val="00E90F6B"/>
    <w:rsid w:val="00E92C27"/>
    <w:rsid w:val="00EA0E3D"/>
    <w:rsid w:val="00EC38A7"/>
    <w:rsid w:val="00EE1AA8"/>
    <w:rsid w:val="00F134AD"/>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1E28BB0E"/>
    <w:rsid w:val="21779BE6"/>
    <w:rsid w:val="2859CA1B"/>
    <w:rsid w:val="2C4D2425"/>
    <w:rsid w:val="2EE1E026"/>
    <w:rsid w:val="2F44F38F"/>
    <w:rsid w:val="30821638"/>
    <w:rsid w:val="32A4F9CF"/>
    <w:rsid w:val="33A1FF93"/>
    <w:rsid w:val="356CEDFD"/>
    <w:rsid w:val="3C591AFD"/>
    <w:rsid w:val="42183F0A"/>
    <w:rsid w:val="545B112A"/>
    <w:rsid w:val="5BEB1497"/>
    <w:rsid w:val="60C924B5"/>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9131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131CF"/>
    <w:pPr>
      <w:spacing w:after="0" w:line="240" w:lineRule="exact"/>
    </w:pPr>
    <w:rPr>
      <w:vertAlign w:val="superscript"/>
    </w:rPr>
  </w:style>
  <w:style w:type="character" w:styleId="Fuerte">
    <w:name w:val="Strong"/>
    <w:basedOn w:val="Fuentedeprrafopredeter"/>
    <w:uiPriority w:val="22"/>
    <w:qFormat/>
    <w:rsid w:val="009131CF"/>
    <w:rPr>
      <w:b/>
      <w:bCs/>
    </w:rPr>
  </w:style>
  <w:style w:type="character" w:customStyle="1" w:styleId="NormalWebCar">
    <w:name w:val="Normal (Web) Car"/>
    <w:link w:val="NormalWeb"/>
    <w:uiPriority w:val="99"/>
    <w:rsid w:val="009131CF"/>
    <w:rPr>
      <w:rFonts w:ascii="Times New Roman" w:eastAsia="Times New Roman" w:hAnsi="Times New Roman" w:cs="Times New Roman"/>
      <w:sz w:val="24"/>
      <w:szCs w:val="24"/>
      <w:lang w:eastAsia="es-CO"/>
    </w:rPr>
  </w:style>
  <w:style w:type="character" w:customStyle="1" w:styleId="baj">
    <w:name w:val="b_aj"/>
    <w:basedOn w:val="Fuentedeprrafopredeter"/>
    <w:rsid w:val="009131CF"/>
  </w:style>
  <w:style w:type="character" w:styleId="nfasis">
    <w:name w:val="Emphasis"/>
    <w:basedOn w:val="Fuentedeprrafopredeter"/>
    <w:uiPriority w:val="20"/>
    <w:qFormat/>
    <w:rsid w:val="009131CF"/>
    <w:rPr>
      <w:i/>
      <w:iC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131CF"/>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documentos-tipo/documentos-tipo" TargetMode="External"/><Relationship Id="rId2" Type="http://schemas.openxmlformats.org/officeDocument/2006/relationships/hyperlink" Target="http://www.secretariasenado.gov.co/senado/basedoc/ley_0080_1993.html" TargetMode="External"/><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B4C1A19-929E-4E28-96D9-02009A99AD45}"/>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47</Pages>
  <Words>15436</Words>
  <Characters>84900</Characters>
  <Application>Microsoft Office Word</Application>
  <DocSecurity>0</DocSecurity>
  <Lines>707</Lines>
  <Paragraphs>200</Paragraphs>
  <ScaleCrop>false</ScaleCrop>
  <Company/>
  <LinksUpToDate>false</LinksUpToDate>
  <CharactersWithSpaces>100136</CharactersWithSpaces>
  <SharedDoc>false</SharedDoc>
  <HLinks>
    <vt:vector size="48"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ariant>
        <vt:i4>4653144</vt:i4>
      </vt:variant>
      <vt:variant>
        <vt:i4>6</vt:i4>
      </vt:variant>
      <vt:variant>
        <vt:i4>0</vt:i4>
      </vt:variant>
      <vt:variant>
        <vt:i4>5</vt:i4>
      </vt:variant>
      <vt:variant>
        <vt:lpwstr>https://www.colombiacompra.gov.co/documentos-tipo/documentos-tipo</vt:lpwstr>
      </vt:variant>
      <vt:variant>
        <vt:lpwstr/>
      </vt:variant>
      <vt:variant>
        <vt:i4>3735572</vt:i4>
      </vt:variant>
      <vt:variant>
        <vt:i4>3</vt:i4>
      </vt:variant>
      <vt:variant>
        <vt:i4>0</vt:i4>
      </vt:variant>
      <vt:variant>
        <vt:i4>5</vt:i4>
      </vt:variant>
      <vt:variant>
        <vt:lpwstr>http://www.secretariasenado.gov.co/senado/basedoc/ley_0080_1993.html</vt:lpwstr>
      </vt:variant>
      <vt:variant>
        <vt:lpwstr>2</vt:lpwstr>
      </vt:variant>
      <vt:variant>
        <vt:i4>3735572</vt:i4>
      </vt:variant>
      <vt:variant>
        <vt:i4>0</vt:i4>
      </vt:variant>
      <vt:variant>
        <vt:i4>0</vt:i4>
      </vt:variant>
      <vt:variant>
        <vt:i4>5</vt:i4>
      </vt:variant>
      <vt:variant>
        <vt:lpwstr>http://www.secretariasenado.gov.co/senado/basedoc/ley_0080_1993.html</vt:lpwstr>
      </vt:variant>
      <vt:variant>
        <vt:lpwstr>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4</cp:revision>
  <cp:lastPrinted>2023-01-10T21:18:00Z</cp:lastPrinted>
  <dcterms:created xsi:type="dcterms:W3CDTF">2026-06-16T20:23:00Z</dcterms:created>
  <dcterms:modified xsi:type="dcterms:W3CDTF">2026-06-16T23:18:00Z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