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C7CAB" w14:textId="77777777" w:rsidR="00FE66BB" w:rsidRPr="00FE66BB" w:rsidRDefault="00FE66BB" w:rsidP="00FE66BB">
      <w:pPr>
        <w:spacing w:after="0" w:line="276" w:lineRule="auto"/>
        <w:jc w:val="both"/>
        <w:rPr>
          <w:rFonts w:ascii="Verdana" w:eastAsia="Calibri" w:hAnsi="Verdana" w:cs="Arial"/>
          <w:b/>
          <w:bCs/>
          <w:lang w:val="es-ES_tradnl" w:eastAsia="es-MX"/>
        </w:rPr>
      </w:pPr>
      <w:bookmarkStart w:id="0" w:name="_Hlk143780582"/>
      <w:r w:rsidRPr="00FE66BB">
        <w:rPr>
          <w:rFonts w:ascii="Verdana" w:eastAsia="Calibri" w:hAnsi="Verdana" w:cs="Arial"/>
          <w:b/>
          <w:bCs/>
          <w:lang w:val="es-ES_tradnl" w:eastAsia="es-MX"/>
        </w:rPr>
        <w:t xml:space="preserve">DOCUMENTOS TIPO – Fundamento normativo – Obligatoriedad </w:t>
      </w:r>
    </w:p>
    <w:p w14:paraId="42D78AC1" w14:textId="77777777" w:rsidR="00FE66BB" w:rsidRPr="00FE66BB" w:rsidRDefault="00FE66BB" w:rsidP="00FE66BB">
      <w:pPr>
        <w:spacing w:after="0" w:line="276" w:lineRule="auto"/>
        <w:jc w:val="both"/>
        <w:rPr>
          <w:rFonts w:ascii="Verdana" w:eastAsia="Calibri" w:hAnsi="Verdana" w:cs="Arial"/>
          <w:b/>
          <w:bCs/>
          <w:sz w:val="20"/>
          <w:szCs w:val="20"/>
          <w:lang w:val="es-ES_tradnl" w:eastAsia="es-MX"/>
        </w:rPr>
      </w:pPr>
    </w:p>
    <w:p w14:paraId="61F2F7C3" w14:textId="77777777" w:rsidR="00FE66BB" w:rsidRPr="00FE66BB" w:rsidRDefault="00FE66BB" w:rsidP="00FE66BB">
      <w:pPr>
        <w:tabs>
          <w:tab w:val="left" w:pos="709"/>
        </w:tabs>
        <w:spacing w:after="0" w:line="240" w:lineRule="auto"/>
        <w:jc w:val="both"/>
        <w:rPr>
          <w:rFonts w:ascii="Verdana" w:eastAsia="Calibri" w:hAnsi="Verdana" w:cs="Arial"/>
          <w:sz w:val="20"/>
          <w:szCs w:val="20"/>
          <w:lang w:val="es-ES" w:eastAsia="es-MX"/>
        </w:rPr>
      </w:pPr>
      <w:r w:rsidRPr="00FE66BB">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117D206" w14:textId="77777777" w:rsidR="00FE66BB" w:rsidRPr="00FE66BB" w:rsidRDefault="00FE66BB" w:rsidP="00FE66BB">
      <w:pPr>
        <w:spacing w:after="0" w:line="276" w:lineRule="auto"/>
        <w:jc w:val="both"/>
        <w:rPr>
          <w:rFonts w:ascii="Verdana" w:eastAsia="Calibri" w:hAnsi="Verdana" w:cs="Arial"/>
          <w:b/>
          <w:bCs/>
          <w:lang w:val="es-ES_tradnl" w:eastAsia="es-MX"/>
        </w:rPr>
      </w:pPr>
    </w:p>
    <w:p w14:paraId="49E11662" w14:textId="77777777" w:rsidR="00FE66BB" w:rsidRPr="00FE66BB" w:rsidRDefault="00FE66BB" w:rsidP="00FE66BB">
      <w:pPr>
        <w:widowControl w:val="0"/>
        <w:autoSpaceDE w:val="0"/>
        <w:autoSpaceDN w:val="0"/>
        <w:spacing w:after="0" w:line="276" w:lineRule="auto"/>
        <w:jc w:val="both"/>
        <w:rPr>
          <w:rFonts w:ascii="Verdana" w:eastAsia="Calibri" w:hAnsi="Verdana" w:cs="Times New Roman"/>
          <w:b/>
          <w:bCs/>
          <w:lang w:val="es-ES" w:eastAsia="es-MX"/>
        </w:rPr>
      </w:pPr>
      <w:r w:rsidRPr="00FE66BB">
        <w:rPr>
          <w:rFonts w:ascii="Verdana" w:eastAsia="Calibri" w:hAnsi="Verdana" w:cs="Arial"/>
          <w:b/>
          <w:bCs/>
          <w:lang w:val="es-ES_tradnl" w:eastAsia="es-MX"/>
        </w:rPr>
        <w:t>SECTOR SOCIAL</w:t>
      </w:r>
      <w:r w:rsidRPr="00FE66BB">
        <w:rPr>
          <w:rFonts w:ascii="Verdana" w:eastAsia="Calibri" w:hAnsi="Verdana" w:cs="Times New Roman"/>
          <w:lang w:val="es-ES" w:eastAsia="es-MX"/>
        </w:rPr>
        <w:t xml:space="preserve"> </w:t>
      </w:r>
      <w:r w:rsidRPr="00FE66BB">
        <w:rPr>
          <w:rFonts w:ascii="Verdana" w:eastAsia="Calibri" w:hAnsi="Verdana" w:cs="Times New Roman"/>
          <w:b/>
          <w:bCs/>
          <w:lang w:val="es-ES" w:eastAsia="es-MX"/>
        </w:rPr>
        <w:t>– Documentos tipo – Vigentes</w:t>
      </w:r>
    </w:p>
    <w:p w14:paraId="5B247E26" w14:textId="77777777" w:rsidR="00FE66BB" w:rsidRPr="00FE66BB" w:rsidRDefault="00FE66BB" w:rsidP="00FE66BB">
      <w:pPr>
        <w:widowControl w:val="0"/>
        <w:autoSpaceDE w:val="0"/>
        <w:autoSpaceDN w:val="0"/>
        <w:spacing w:after="0" w:line="276" w:lineRule="auto"/>
        <w:jc w:val="both"/>
        <w:rPr>
          <w:rFonts w:ascii="Verdana" w:eastAsia="Calibri" w:hAnsi="Verdana" w:cs="Times New Roman"/>
          <w:b/>
          <w:bCs/>
          <w:lang w:val="es-ES" w:eastAsia="es-MX"/>
        </w:rPr>
      </w:pPr>
    </w:p>
    <w:p w14:paraId="22085BC3"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sz w:val="20"/>
          <w:szCs w:val="20"/>
          <w:lang w:val="es-ES" w:eastAsia="es-MX"/>
        </w:rPr>
      </w:pPr>
      <w:r w:rsidRPr="00FE66BB">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5B50728" w14:textId="77777777" w:rsidR="00FE66BB" w:rsidRPr="00FE66BB" w:rsidRDefault="00FE66BB" w:rsidP="00FE66BB">
      <w:pPr>
        <w:widowControl w:val="0"/>
        <w:autoSpaceDE w:val="0"/>
        <w:autoSpaceDN w:val="0"/>
        <w:spacing w:after="0" w:line="276" w:lineRule="auto"/>
        <w:jc w:val="both"/>
        <w:rPr>
          <w:rFonts w:ascii="Verdana" w:eastAsia="Calibri" w:hAnsi="Verdana" w:cs="Times New Roman"/>
          <w:lang w:val="es-ES" w:eastAsia="es-MX"/>
        </w:rPr>
      </w:pPr>
    </w:p>
    <w:p w14:paraId="7CE04FA9" w14:textId="77777777" w:rsidR="00FE66BB" w:rsidRPr="00FE66BB" w:rsidRDefault="00FE66BB" w:rsidP="00FE66BB">
      <w:pPr>
        <w:spacing w:after="0" w:line="276" w:lineRule="auto"/>
        <w:jc w:val="both"/>
        <w:rPr>
          <w:rFonts w:ascii="Verdana" w:eastAsia="Calibri" w:hAnsi="Verdana" w:cs="Times New Roman"/>
          <w:sz w:val="20"/>
          <w:szCs w:val="20"/>
          <w:lang w:val="es-ES" w:eastAsia="es-MX"/>
        </w:rPr>
      </w:pPr>
      <w:r w:rsidRPr="00FE66BB">
        <w:rPr>
          <w:rFonts w:ascii="Verdana" w:eastAsia="Calibri" w:hAnsi="Verdana" w:cs="Times New Roman"/>
          <w:b/>
          <w:bCs/>
          <w:lang w:val="es-ES" w:eastAsia="es-MX"/>
        </w:rPr>
        <w:t xml:space="preserve">DOCUMENTOS TIPO – Aplicación – Matriz de Experiencia </w:t>
      </w:r>
    </w:p>
    <w:p w14:paraId="445D0732" w14:textId="77777777" w:rsidR="00FE66BB" w:rsidRPr="00FE66BB" w:rsidRDefault="00FE66BB" w:rsidP="00FE66BB">
      <w:pPr>
        <w:spacing w:after="0" w:line="240" w:lineRule="auto"/>
        <w:rPr>
          <w:rFonts w:ascii="Verdana" w:eastAsia="Geomanist Light" w:hAnsi="Verdana" w:cs="Arial"/>
          <w:lang w:val="es-MX" w:eastAsia="es-MX"/>
        </w:rPr>
      </w:pPr>
    </w:p>
    <w:p w14:paraId="3FE9EC4B"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sz w:val="20"/>
          <w:szCs w:val="20"/>
          <w:lang w:val="es-ES" w:eastAsia="es-MX"/>
        </w:rPr>
      </w:pPr>
      <w:r w:rsidRPr="00FE66BB">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C1ADF01"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sz w:val="20"/>
          <w:szCs w:val="20"/>
          <w:lang w:val="es-ES" w:eastAsia="es-MX"/>
        </w:rPr>
      </w:pPr>
    </w:p>
    <w:p w14:paraId="7DE9D019"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sz w:val="20"/>
          <w:szCs w:val="20"/>
          <w:lang w:val="es-ES" w:eastAsia="es-MX"/>
        </w:rPr>
      </w:pPr>
      <w:r w:rsidRPr="00FE66BB">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DE14BC4"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sz w:val="20"/>
          <w:szCs w:val="20"/>
          <w:lang w:val="es-ES" w:eastAsia="es-MX"/>
        </w:rPr>
      </w:pPr>
    </w:p>
    <w:p w14:paraId="17245B46"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lang w:val="es-ES" w:eastAsia="es-MX"/>
        </w:rPr>
      </w:pPr>
      <w:r w:rsidRPr="00FE66BB">
        <w:rPr>
          <w:rFonts w:ascii="Verdana" w:eastAsia="Calibri" w:hAnsi="Verdana" w:cs="Times New Roman"/>
          <w:b/>
          <w:bCs/>
          <w:lang w:val="es-ES" w:eastAsia="es-MX"/>
        </w:rPr>
        <w:t>DOCUMENTOS TIPO – Sector social – Infraestructura de servicio público – NSR-10</w:t>
      </w:r>
    </w:p>
    <w:p w14:paraId="68CE4154"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sz w:val="20"/>
          <w:szCs w:val="20"/>
          <w:lang w:val="es-ES" w:eastAsia="es-MX"/>
        </w:rPr>
      </w:pPr>
    </w:p>
    <w:p w14:paraId="4BAD167F" w14:textId="77777777" w:rsidR="00FE66BB" w:rsidRPr="00FE66BB" w:rsidRDefault="00FE66BB" w:rsidP="00FE66BB">
      <w:pPr>
        <w:spacing w:after="0" w:line="240" w:lineRule="auto"/>
        <w:jc w:val="both"/>
        <w:rPr>
          <w:rFonts w:ascii="Verdana" w:eastAsia="Calibri" w:hAnsi="Verdana" w:cs="Arial"/>
          <w:color w:val="0D0D0D"/>
          <w:sz w:val="20"/>
          <w:szCs w:val="20"/>
          <w:lang w:eastAsia="es-MX"/>
        </w:rPr>
      </w:pPr>
      <w:r w:rsidRPr="00FE66BB">
        <w:rPr>
          <w:rFonts w:ascii="Verdana" w:eastAsia="Calibri" w:hAnsi="Verdana" w:cs="Arial"/>
          <w:sz w:val="20"/>
          <w:szCs w:val="20"/>
          <w:lang w:val="es-ES_tradnl" w:eastAsia="es-MX"/>
        </w:rPr>
        <w:t xml:space="preserve">Como se indicó, las actividades señaladas recaen sobre </w:t>
      </w:r>
      <w:r w:rsidRPr="00FE66BB">
        <w:rPr>
          <w:rFonts w:ascii="Verdana" w:eastAsia="Times New Roman" w:hAnsi="Verdana" w:cs="Calibri"/>
          <w:sz w:val="20"/>
          <w:szCs w:val="20"/>
          <w:lang w:eastAsia="es-MX"/>
        </w:rPr>
        <w:t xml:space="preserve">obras en proyectos de infraestructura institucional de servicio público. De esta forma, para determinar qué abarca este tipo de infraestructura, debe indicarse que, de conformidad con la norma </w:t>
      </w:r>
      <w:r w:rsidRPr="00FE66BB">
        <w:rPr>
          <w:rFonts w:ascii="Verdana" w:eastAsia="Calibri" w:hAnsi="Verdana" w:cs="Arial"/>
          <w:color w:val="0D0D0D"/>
          <w:sz w:val="20"/>
          <w:szCs w:val="20"/>
          <w:lang w:eastAsia="es-MX"/>
        </w:rPr>
        <w:lastRenderedPageBreak/>
        <w:t>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4A44DDF4" w14:textId="77777777" w:rsidR="00FE66BB" w:rsidRPr="00FE66BB" w:rsidRDefault="00FE66BB" w:rsidP="00FE66BB">
      <w:pPr>
        <w:spacing w:after="0" w:line="278" w:lineRule="auto"/>
        <w:jc w:val="both"/>
        <w:rPr>
          <w:rFonts w:ascii="Verdana" w:eastAsia="Calibri" w:hAnsi="Verdana" w:cs="Arial"/>
          <w:color w:val="0D0D0D"/>
          <w:kern w:val="2"/>
          <w:sz w:val="20"/>
          <w:szCs w:val="20"/>
          <w:lang w:eastAsia="es-MX"/>
          <w14:ligatures w14:val="standardContextual"/>
        </w:rPr>
      </w:pPr>
    </w:p>
    <w:p w14:paraId="4F03AEFC" w14:textId="77777777" w:rsidR="00FE66BB" w:rsidRPr="00FE66BB" w:rsidRDefault="00FE66BB" w:rsidP="00FE66BB">
      <w:pPr>
        <w:spacing w:after="0" w:line="240" w:lineRule="auto"/>
        <w:jc w:val="both"/>
        <w:rPr>
          <w:rFonts w:ascii="Verdana" w:eastAsia="Calibri" w:hAnsi="Verdana" w:cs="Arial"/>
          <w:color w:val="0D0D0D"/>
          <w:sz w:val="20"/>
          <w:szCs w:val="20"/>
          <w:lang w:eastAsia="es-MX"/>
        </w:rPr>
      </w:pPr>
      <w:r w:rsidRPr="00FE66BB">
        <w:rPr>
          <w:rFonts w:ascii="Verdana" w:eastAsia="Calibri" w:hAnsi="Verdana" w:cs="Arial"/>
          <w:color w:val="0D0D0D"/>
          <w:sz w:val="20"/>
          <w:szCs w:val="20"/>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  </w:t>
      </w:r>
    </w:p>
    <w:p w14:paraId="5B5CCF1D"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lang w:val="es-ES" w:eastAsia="es-MX"/>
        </w:rPr>
      </w:pPr>
    </w:p>
    <w:p w14:paraId="12827603"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lang w:val="es-ES" w:eastAsia="es-MX"/>
        </w:rPr>
      </w:pPr>
      <w:r w:rsidRPr="00FE66BB">
        <w:rPr>
          <w:rFonts w:ascii="Verdana" w:eastAsia="Calibri" w:hAnsi="Verdana" w:cs="Times New Roman"/>
          <w:b/>
          <w:bCs/>
          <w:lang w:val="es-ES" w:eastAsia="es-MX"/>
        </w:rPr>
        <w:t xml:space="preserve">INFRAESTRUCTURA DE SERVICIO PÚBLICO – Documentos tipo – Sector – Instituto Nacional de Medicina Legal y Ciencias Forenses – Aplicación </w:t>
      </w:r>
    </w:p>
    <w:p w14:paraId="31F608D6"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lang w:val="es-ES" w:eastAsia="es-MX"/>
        </w:rPr>
      </w:pPr>
    </w:p>
    <w:p w14:paraId="46BDD8FA" w14:textId="77777777" w:rsidR="00FE66BB" w:rsidRPr="00FE66BB" w:rsidRDefault="00FE66BB" w:rsidP="00FE66BB">
      <w:pPr>
        <w:spacing w:after="0" w:line="240" w:lineRule="auto"/>
        <w:jc w:val="both"/>
        <w:rPr>
          <w:rFonts w:ascii="Verdana" w:eastAsia="Calibri" w:hAnsi="Verdana" w:cs="Arial"/>
          <w:color w:val="000000"/>
          <w:sz w:val="20"/>
          <w:szCs w:val="20"/>
          <w:lang w:eastAsia="es-MX"/>
        </w:rPr>
      </w:pPr>
      <w:r w:rsidRPr="00FE66BB">
        <w:rPr>
          <w:rFonts w:ascii="Verdana" w:eastAsia="Calibri" w:hAnsi="Verdana" w:cs="Arial"/>
          <w:color w:val="000000"/>
          <w:sz w:val="20"/>
          <w:szCs w:val="20"/>
          <w:lang w:eastAsia="es-MX"/>
        </w:rPr>
        <w:t xml:space="preserve">Considerando que el Instituto Nacional de Medicina Legal y Ciencias Forenses pertenece a la Rama Judicial y se encuentra adscrito a la Fiscalía General de la Nación, y que su </w:t>
      </w:r>
      <w:r w:rsidRPr="00FE66BB">
        <w:rPr>
          <w:rFonts w:ascii="Verdana" w:eastAsia="Calibri" w:hAnsi="Verdana" w:cs="Arial"/>
          <w:i/>
          <w:iCs/>
          <w:color w:val="000000"/>
          <w:sz w:val="20"/>
          <w:szCs w:val="20"/>
          <w:lang w:eastAsia="es-MX"/>
        </w:rPr>
        <w:t>“(…) misión</w:t>
      </w:r>
      <w:r w:rsidRPr="00FE66BB">
        <w:rPr>
          <w:rFonts w:ascii="Verdana" w:eastAsia="Aptos" w:hAnsi="Verdana" w:cs="Times New Roman"/>
          <w:i/>
          <w:iCs/>
          <w:color w:val="000000"/>
          <w:kern w:val="2"/>
          <w:sz w:val="20"/>
          <w:szCs w:val="20"/>
          <w:shd w:val="clear" w:color="auto" w:fill="FFFFFF"/>
          <w14:ligatures w14:val="standardContextual"/>
        </w:rPr>
        <w:t xml:space="preserve"> fundamental (…) es prestar auxilio y soporte científico y técnico a la administración de justicia en todo el territorio nacional, en lo concerniente a medicina legal y las ciencias forenses”</w:t>
      </w:r>
      <w:r w:rsidRPr="00FE66BB">
        <w:rPr>
          <w:rFonts w:ascii="Verdana" w:eastAsia="Calibri" w:hAnsi="Verdana" w:cs="Arial"/>
          <w:i/>
          <w:iCs/>
          <w:color w:val="000000"/>
          <w:sz w:val="20"/>
          <w:szCs w:val="20"/>
          <w:lang w:eastAsia="es-MX"/>
        </w:rPr>
        <w:t>;</w:t>
      </w:r>
      <w:r w:rsidRPr="00FE66BB">
        <w:rPr>
          <w:rFonts w:ascii="Verdana" w:eastAsia="Calibri" w:hAnsi="Verdana" w:cs="Arial"/>
          <w:color w:val="000000"/>
          <w:sz w:val="20"/>
          <w:szCs w:val="20"/>
          <w:lang w:eastAsia="es-MX"/>
        </w:rPr>
        <w:t xml:space="preserve"> bajo este contexto, las actividades desarrolladas por el Instituto revisten la naturaleza de un servicio asociado a la administración de justicia, en la medida en que realiza labores médico-legales, periciales, científicas, extra-periciales, entre otras, requeridas por los jueces, fiscales, policía judicial, defensoría pública y demás autoridades competentes en todo el territorio nacional. </w:t>
      </w:r>
    </w:p>
    <w:p w14:paraId="7C39C37C" w14:textId="77777777" w:rsidR="00FE66BB" w:rsidRPr="00FE66BB" w:rsidRDefault="00FE66BB" w:rsidP="00FE66BB">
      <w:pPr>
        <w:spacing w:after="0" w:line="240" w:lineRule="auto"/>
        <w:jc w:val="both"/>
        <w:rPr>
          <w:rFonts w:ascii="Verdana" w:eastAsia="Calibri" w:hAnsi="Verdana" w:cs="Arial"/>
          <w:color w:val="000000"/>
          <w:sz w:val="20"/>
          <w:szCs w:val="20"/>
          <w:lang w:eastAsia="es-MX"/>
        </w:rPr>
      </w:pPr>
    </w:p>
    <w:p w14:paraId="4F0D75FD" w14:textId="77777777" w:rsidR="00FE66BB" w:rsidRPr="00FE66BB" w:rsidRDefault="00FE66BB" w:rsidP="00FE66BB">
      <w:pPr>
        <w:spacing w:after="0" w:line="240" w:lineRule="auto"/>
        <w:jc w:val="both"/>
        <w:rPr>
          <w:rFonts w:ascii="Verdana" w:eastAsia="Calibri" w:hAnsi="Verdana" w:cs="Arial"/>
          <w:color w:val="000000"/>
          <w:sz w:val="20"/>
          <w:szCs w:val="20"/>
          <w:lang w:eastAsia="es-MX"/>
        </w:rPr>
      </w:pPr>
      <w:r w:rsidRPr="00FE66BB">
        <w:rPr>
          <w:rFonts w:ascii="Verdana" w:eastAsia="Calibri" w:hAnsi="Verdana" w:cs="Arial"/>
          <w:color w:val="000000"/>
          <w:sz w:val="20"/>
          <w:szCs w:val="20"/>
          <w:lang w:eastAsia="es-MX"/>
        </w:rPr>
        <w:t>Teniendo en cuenta la naturaleza jurídica, funcional y misional del Instituto Nacional de Medicina Legal y Ciencias Forenses, así como el uso y la destinación de sus edificaciones, orientadas al ejercicio de funciones asociadas al auxilio y soporte científico y técnico a la administración de justicia, estas deben clasificarse dentro del Subgrupo de Ocupación Institucional de Servicio Público. En consecuencia, les resultan aplicables los documentos tipo del sector institucional, particularmente las actividades contenidas en el capítulo 2 “Obras en proyectos de infraestructura institucional de servicio público”.</w:t>
      </w:r>
    </w:p>
    <w:p w14:paraId="5274542F" w14:textId="77777777" w:rsidR="00FE66BB" w:rsidRPr="00FE66BB" w:rsidRDefault="00FE66BB" w:rsidP="00FE66BB">
      <w:pPr>
        <w:spacing w:after="0" w:line="240" w:lineRule="auto"/>
        <w:jc w:val="both"/>
        <w:rPr>
          <w:rFonts w:ascii="Verdana" w:eastAsia="Calibri" w:hAnsi="Verdana" w:cs="Arial"/>
          <w:color w:val="000000"/>
          <w:sz w:val="20"/>
          <w:szCs w:val="20"/>
          <w:lang w:eastAsia="es-MX"/>
        </w:rPr>
      </w:pPr>
    </w:p>
    <w:p w14:paraId="53CE70C8" w14:textId="77777777" w:rsidR="00FE66BB" w:rsidRPr="00FE66BB" w:rsidRDefault="00FE66BB" w:rsidP="00FE66BB">
      <w:pPr>
        <w:widowControl w:val="0"/>
        <w:autoSpaceDE w:val="0"/>
        <w:autoSpaceDN w:val="0"/>
        <w:spacing w:after="0" w:line="240" w:lineRule="auto"/>
        <w:jc w:val="both"/>
        <w:rPr>
          <w:rFonts w:ascii="Verdana" w:eastAsia="Calibri" w:hAnsi="Verdana" w:cs="Times New Roman"/>
          <w:b/>
          <w:bCs/>
          <w:lang w:val="es-ES" w:eastAsia="es-MX"/>
        </w:rPr>
      </w:pPr>
      <w:r w:rsidRPr="00FE66BB">
        <w:rPr>
          <w:rFonts w:ascii="Verdana" w:eastAsia="Calibri" w:hAnsi="Verdana" w:cs="Times New Roman"/>
          <w:b/>
          <w:bCs/>
          <w:lang w:val="es-ES" w:eastAsia="es-MX"/>
        </w:rPr>
        <w:t>INFRAESTRUCTURA DE SERVICIO PÚBLICO – Construcción – Sedes – Actividad 2.1 – Matriz 1 – Experiencia – Documento tipo – Sector Institucional</w:t>
      </w:r>
    </w:p>
    <w:p w14:paraId="31C97D1A" w14:textId="77777777" w:rsidR="00FE66BB" w:rsidRPr="00FE66BB" w:rsidRDefault="00FE66BB" w:rsidP="00FE66BB">
      <w:pPr>
        <w:spacing w:after="0" w:line="240" w:lineRule="auto"/>
        <w:jc w:val="both"/>
        <w:rPr>
          <w:rFonts w:ascii="Verdana" w:eastAsia="Calibri" w:hAnsi="Verdana" w:cs="Arial"/>
          <w:color w:val="000000"/>
          <w:sz w:val="20"/>
          <w:szCs w:val="20"/>
          <w:lang w:val="es-ES" w:eastAsia="es-MX"/>
        </w:rPr>
      </w:pPr>
    </w:p>
    <w:p w14:paraId="19D11D1F" w14:textId="77777777" w:rsidR="00FE66BB" w:rsidRPr="00FE66BB" w:rsidRDefault="00FE66BB" w:rsidP="00FE66BB">
      <w:pPr>
        <w:spacing w:after="0" w:line="240" w:lineRule="auto"/>
        <w:jc w:val="both"/>
        <w:rPr>
          <w:rFonts w:ascii="Verdana" w:eastAsia="Aptos" w:hAnsi="Verdana" w:cs="Aptos"/>
          <w:kern w:val="2"/>
          <w:sz w:val="20"/>
          <w:szCs w:val="20"/>
          <w14:ligatures w14:val="standardContextual"/>
        </w:rPr>
      </w:pPr>
      <w:r w:rsidRPr="00FE66BB">
        <w:rPr>
          <w:rFonts w:ascii="Verdana" w:eastAsia="Aptos" w:hAnsi="Verdana" w:cs="Aptos"/>
          <w:kern w:val="2"/>
          <w:sz w:val="20"/>
          <w:szCs w:val="20"/>
          <w14:ligatures w14:val="standardContextual"/>
        </w:rPr>
        <w:t xml:space="preserve">Sobre el particular, la Agencia Nacional de Contratación Pública – Colombia Compra Eficiente le informa que, para efectos de la construcción de las sedes del Instituto Nacional de Medicina Legal y Ciencias Forenses, debe aplicarse la actividad 2.1 contenida </w:t>
      </w:r>
      <w:r w:rsidRPr="00FE66BB">
        <w:rPr>
          <w:rFonts w:ascii="Verdana" w:eastAsia="Aptos" w:hAnsi="Verdana" w:cs="Aptos"/>
          <w:kern w:val="2"/>
          <w:sz w:val="20"/>
          <w:szCs w:val="20"/>
          <w14:ligatures w14:val="standardContextual"/>
        </w:rPr>
        <w:lastRenderedPageBreak/>
        <w:t xml:space="preserve">en el capítulo 2 “Obras en proyectos de infraestructura institucional de servicio público” de la Matriz 1 – Experiencia del Sector Institucional, considerando que esta corresponde a “PROYECTOS DE CONSTRUCCIÓN Y/O AMPLIACIÓN Y/O RECONSTRUCCIÓN DE INFRAESTRUCTURA DE SERVICIO PUBLICO”. </w:t>
      </w:r>
    </w:p>
    <w:p w14:paraId="0656FD77" w14:textId="77777777" w:rsidR="00FE66BB" w:rsidRPr="00FE66BB" w:rsidRDefault="00FE66BB" w:rsidP="00FE66BB">
      <w:pPr>
        <w:spacing w:after="0" w:line="240" w:lineRule="auto"/>
        <w:jc w:val="both"/>
        <w:rPr>
          <w:rFonts w:ascii="Verdana" w:eastAsia="Aptos" w:hAnsi="Verdana" w:cs="Aptos"/>
          <w:kern w:val="2"/>
          <w:sz w:val="20"/>
          <w:szCs w:val="20"/>
          <w14:ligatures w14:val="standardContextual"/>
        </w:rPr>
      </w:pPr>
    </w:p>
    <w:p w14:paraId="5246717B" w14:textId="77777777" w:rsidR="00FE66BB" w:rsidRPr="00FE66BB" w:rsidRDefault="00FE66BB" w:rsidP="00FE66BB">
      <w:pPr>
        <w:spacing w:after="0" w:line="240" w:lineRule="auto"/>
        <w:jc w:val="both"/>
        <w:rPr>
          <w:rFonts w:ascii="Verdana" w:eastAsia="Aptos" w:hAnsi="Verdana" w:cs="Aptos"/>
          <w:kern w:val="2"/>
          <w:sz w:val="20"/>
          <w:szCs w:val="20"/>
          <w14:ligatures w14:val="standardContextual"/>
        </w:rPr>
      </w:pPr>
      <w:r w:rsidRPr="00FE66BB">
        <w:rPr>
          <w:rFonts w:ascii="Verdana" w:eastAsia="Aptos" w:hAnsi="Verdana" w:cs="Aptos"/>
          <w:kern w:val="2"/>
          <w:sz w:val="20"/>
          <w:szCs w:val="20"/>
          <w14:ligatures w14:val="standardContextual"/>
        </w:rPr>
        <w:t xml:space="preserve">En ese sentido, la construcción de infraestructura de servicio público que, para este caso, comprende las sedes del Instituto Nacional de Medicina Legal y Ciencias Forenses, deberá adelantarse bajo la actividad anteriormente señalada. En consecuencia, todos los espacios que integren la edificación, tales como áreas administrativas, salas de atención, laboratorios forenses, morgues y demás dependencias requeridas para el cumplimiento de sus funciones institucionales, deberán contratarse bajo la referida actividad. Esto, en consideración a que la incorporación de componentes técnicos o especializados dentro de la infraestructura no modifica la naturaleza principal del proyecto ni desvirtúa su clasificación como infraestructura institucional de servicio público. Por el contrario, dichos espacios constituyen áreas funcionales necesarias para el desarrollo de las funciones misionales del Instituto, relacionadas con el apoyo técnico-científico a la administración de justicia, razón por la cual hacen parte integral de una edificación institucional de carácter judicial y no de otro tipo de infraestructura. </w:t>
      </w:r>
    </w:p>
    <w:p w14:paraId="737C5ED0"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054E3752"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24ACEB87"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18D4705D"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28E75CDA"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4EE1F275"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4D1F557C"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461F4DDD"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39FAECA1"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6A54B20E"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4E3FAD8F"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7BF2250E"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13848FB0"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5F890151"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26046AFA"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1288B78A"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21F5DDE2"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704DFC24"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7ACEF77F"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70F9BE17" w14:textId="77777777" w:rsid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70A2A074" w14:textId="77777777" w:rsidR="00997168" w:rsidRPr="00FE66BB" w:rsidRDefault="00997168" w:rsidP="00FE66BB">
      <w:pPr>
        <w:spacing w:after="0" w:line="240" w:lineRule="auto"/>
        <w:jc w:val="both"/>
        <w:rPr>
          <w:rFonts w:ascii="Verdana" w:eastAsia="Calibri" w:hAnsi="Verdana" w:cs="Arial"/>
          <w:b/>
          <w:bCs/>
          <w:color w:val="000000"/>
          <w:sz w:val="24"/>
          <w:szCs w:val="24"/>
          <w:highlight w:val="yellow"/>
          <w:lang w:eastAsia="es-MX"/>
        </w:rPr>
      </w:pPr>
    </w:p>
    <w:p w14:paraId="37FE7B68"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38D112C8" w14:textId="77777777" w:rsidR="00FE66BB" w:rsidRPr="00FE66BB" w:rsidRDefault="00FE66BB" w:rsidP="00FE66BB">
      <w:pPr>
        <w:spacing w:after="0" w:line="240" w:lineRule="auto"/>
        <w:jc w:val="both"/>
        <w:rPr>
          <w:rFonts w:ascii="Verdana" w:eastAsia="Calibri" w:hAnsi="Verdana" w:cs="Arial"/>
          <w:b/>
          <w:bCs/>
          <w:color w:val="000000"/>
          <w:sz w:val="24"/>
          <w:szCs w:val="24"/>
          <w:highlight w:val="yellow"/>
          <w:lang w:eastAsia="es-MX"/>
        </w:rPr>
      </w:pPr>
    </w:p>
    <w:p w14:paraId="47CA5FDE" w14:textId="2ABD5387" w:rsidR="00FE66BB" w:rsidRDefault="00FE66BB" w:rsidP="00FE66BB">
      <w:pPr>
        <w:spacing w:after="0" w:line="240" w:lineRule="auto"/>
        <w:rPr>
          <w:rFonts w:ascii="Verdana" w:eastAsia="Verdana" w:hAnsi="Verdana" w:cs="Verdana"/>
          <w:kern w:val="2"/>
          <w14:ligatures w14:val="standardContextual"/>
        </w:rPr>
      </w:pPr>
      <w:r w:rsidRPr="00FE66BB">
        <w:rPr>
          <w:rFonts w:ascii="Verdana" w:eastAsia="Verdana" w:hAnsi="Verdana" w:cs="Verdana"/>
          <w:kern w:val="2"/>
          <w14:ligatures w14:val="standardContextual"/>
        </w:rPr>
        <w:lastRenderedPageBreak/>
        <w:t xml:space="preserve">Bogotá D.C., </w:t>
      </w:r>
      <w:r w:rsidR="00997168">
        <w:rPr>
          <w:rFonts w:ascii="Verdana" w:eastAsia="Verdana" w:hAnsi="Verdana" w:cs="Verdana"/>
          <w:kern w:val="2"/>
          <w14:ligatures w14:val="standardContextual"/>
        </w:rPr>
        <w:t>17 de junio de 2026</w:t>
      </w:r>
    </w:p>
    <w:p w14:paraId="39CC9FFD" w14:textId="3A7F20D4" w:rsidR="00FE66BB" w:rsidRDefault="00FE66BB" w:rsidP="00FE66BB">
      <w:pPr>
        <w:spacing w:after="0" w:line="240" w:lineRule="auto"/>
        <w:rPr>
          <w:rFonts w:ascii="Verdana" w:eastAsia="Verdana" w:hAnsi="Verdana" w:cs="Verdana"/>
          <w:kern w:val="2"/>
          <w14:ligatures w14:val="standardContextual"/>
        </w:rPr>
      </w:pPr>
    </w:p>
    <w:p w14:paraId="47DBA99F" w14:textId="3A1B40CE" w:rsidR="00997168" w:rsidRDefault="000D6866" w:rsidP="00FE66BB">
      <w:pPr>
        <w:spacing w:after="0" w:line="240" w:lineRule="auto"/>
        <w:rPr>
          <w:rFonts w:ascii="Verdana" w:eastAsia="Verdana" w:hAnsi="Verdana" w:cs="Verdana"/>
          <w:kern w:val="2"/>
          <w14:ligatures w14:val="standardContextual"/>
        </w:rPr>
      </w:pPr>
      <w:r w:rsidRPr="00997168">
        <w:rPr>
          <w:rFonts w:ascii="Aptos" w:eastAsia="Aptos" w:hAnsi="Aptos" w:cs="Times New Roman"/>
          <w:noProof/>
          <w:kern w:val="2"/>
          <w:sz w:val="24"/>
          <w:szCs w:val="24"/>
          <w14:ligatures w14:val="standardContextual"/>
        </w:rPr>
        <w:drawing>
          <wp:anchor distT="0" distB="0" distL="114300" distR="114300" simplePos="0" relativeHeight="251658240" behindDoc="0" locked="0" layoutInCell="1" allowOverlap="1" wp14:anchorId="5F36331B" wp14:editId="4291E5DE">
            <wp:simplePos x="0" y="0"/>
            <wp:positionH relativeFrom="margin">
              <wp:align>right</wp:align>
            </wp:positionH>
            <wp:positionV relativeFrom="paragraph">
              <wp:posOffset>10437</wp:posOffset>
            </wp:positionV>
            <wp:extent cx="2475837" cy="708573"/>
            <wp:effectExtent l="0" t="0" r="1270" b="0"/>
            <wp:wrapNone/>
            <wp:docPr id="17366525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52537" name=""/>
                    <pic:cNvPicPr/>
                  </pic:nvPicPr>
                  <pic:blipFill>
                    <a:blip r:embed="rId10">
                      <a:extLst>
                        <a:ext uri="{28A0092B-C50C-407E-A947-70E740481C1C}">
                          <a14:useLocalDpi xmlns:a14="http://schemas.microsoft.com/office/drawing/2010/main" val="0"/>
                        </a:ext>
                      </a:extLst>
                    </a:blip>
                    <a:stretch>
                      <a:fillRect/>
                    </a:stretch>
                  </pic:blipFill>
                  <pic:spPr>
                    <a:xfrm>
                      <a:off x="0" y="0"/>
                      <a:ext cx="2475837" cy="708573"/>
                    </a:xfrm>
                    <a:prstGeom prst="rect">
                      <a:avLst/>
                    </a:prstGeom>
                  </pic:spPr>
                </pic:pic>
              </a:graphicData>
            </a:graphic>
            <wp14:sizeRelH relativeFrom="page">
              <wp14:pctWidth>0</wp14:pctWidth>
            </wp14:sizeRelH>
            <wp14:sizeRelV relativeFrom="page">
              <wp14:pctHeight>0</wp14:pctHeight>
            </wp14:sizeRelV>
          </wp:anchor>
        </w:drawing>
      </w:r>
    </w:p>
    <w:p w14:paraId="1A2A4F8C" w14:textId="77777777" w:rsidR="00997168" w:rsidRPr="00997168" w:rsidRDefault="00997168" w:rsidP="00FE66BB">
      <w:pPr>
        <w:spacing w:after="0" w:line="240" w:lineRule="auto"/>
        <w:rPr>
          <w:rFonts w:ascii="Verdana" w:eastAsia="Verdana" w:hAnsi="Verdana" w:cs="Verdana"/>
          <w:kern w:val="2"/>
          <w14:ligatures w14:val="standardContextual"/>
        </w:rPr>
      </w:pPr>
    </w:p>
    <w:p w14:paraId="7A228CAA" w14:textId="77777777" w:rsidR="00FE66BB" w:rsidRPr="00FE66BB" w:rsidRDefault="00FE66BB" w:rsidP="00FE66BB">
      <w:pPr>
        <w:spacing w:after="0" w:line="240" w:lineRule="auto"/>
        <w:rPr>
          <w:rFonts w:ascii="Verdana" w:eastAsia="Calibri" w:hAnsi="Verdana" w:cs="Arial"/>
          <w:lang w:val="es-ES" w:eastAsia="es-ES"/>
        </w:rPr>
      </w:pPr>
      <w:r w:rsidRPr="00FE66BB">
        <w:rPr>
          <w:rFonts w:ascii="Verdana" w:eastAsia="Calibri" w:hAnsi="Verdana" w:cs="Arial"/>
          <w:lang w:val="es-ES" w:eastAsia="es-ES"/>
        </w:rPr>
        <w:t>Doctora</w:t>
      </w:r>
    </w:p>
    <w:p w14:paraId="1A7B5B35" w14:textId="77777777" w:rsidR="00FE66BB" w:rsidRPr="00FE66BB" w:rsidRDefault="00FE66BB" w:rsidP="00FE66BB">
      <w:pPr>
        <w:spacing w:after="0" w:line="240" w:lineRule="auto"/>
        <w:rPr>
          <w:rFonts w:ascii="Verdana" w:eastAsia="Times New Roman" w:hAnsi="Verdana" w:cs="Times New Roman"/>
          <w:b/>
          <w:bCs/>
          <w:color w:val="242424"/>
          <w:shd w:val="clear" w:color="auto" w:fill="FFFFFF"/>
          <w:lang w:eastAsia="es-MX"/>
        </w:rPr>
      </w:pPr>
      <w:r w:rsidRPr="00FE66BB">
        <w:rPr>
          <w:rFonts w:ascii="Verdana" w:eastAsia="Times New Roman" w:hAnsi="Verdana" w:cs="Times New Roman"/>
          <w:b/>
          <w:bCs/>
          <w:color w:val="242424"/>
          <w:shd w:val="clear" w:color="auto" w:fill="FFFFFF"/>
          <w:lang w:eastAsia="es-MX"/>
        </w:rPr>
        <w:t>Jakeline Ortega Valencia</w:t>
      </w:r>
    </w:p>
    <w:p w14:paraId="0966C711" w14:textId="77777777" w:rsidR="00FE66BB" w:rsidRPr="00FE66BB" w:rsidRDefault="00FE66BB" w:rsidP="00FE66BB">
      <w:pPr>
        <w:spacing w:after="0" w:line="240" w:lineRule="auto"/>
        <w:rPr>
          <w:rFonts w:ascii="Verdana" w:eastAsia="Times New Roman" w:hAnsi="Verdana" w:cs="Times New Roman"/>
          <w:color w:val="242424"/>
          <w:shd w:val="clear" w:color="auto" w:fill="FFFFFF"/>
          <w:lang w:eastAsia="es-MX"/>
        </w:rPr>
      </w:pPr>
      <w:r w:rsidRPr="00FE66BB">
        <w:rPr>
          <w:rFonts w:ascii="Verdana" w:eastAsia="Times New Roman" w:hAnsi="Verdana" w:cs="Times New Roman"/>
          <w:color w:val="242424"/>
          <w:shd w:val="clear" w:color="auto" w:fill="FFFFFF"/>
          <w:lang w:eastAsia="es-MX"/>
        </w:rPr>
        <w:t>Coordinadora Grupo Nacional de Gestión Contractual</w:t>
      </w:r>
    </w:p>
    <w:p w14:paraId="46EF7D3D" w14:textId="77777777" w:rsidR="00FE66BB" w:rsidRPr="00FE66BB" w:rsidRDefault="00FE66BB" w:rsidP="00FE66BB">
      <w:pPr>
        <w:spacing w:after="0" w:line="240" w:lineRule="auto"/>
        <w:rPr>
          <w:rFonts w:ascii="Verdana" w:eastAsia="Aptos" w:hAnsi="Verdana" w:cs="Times New Roman"/>
          <w:lang w:eastAsia="es-MX"/>
        </w:rPr>
      </w:pPr>
      <w:r w:rsidRPr="00FE66BB">
        <w:rPr>
          <w:rFonts w:ascii="Verdana" w:eastAsia="Aptos" w:hAnsi="Verdana" w:cs="Times New Roman"/>
          <w:lang w:eastAsia="es-MX"/>
        </w:rPr>
        <w:t>Instituto Nacional de Medicina Legal y Ciencias Forenses</w:t>
      </w:r>
    </w:p>
    <w:p w14:paraId="6CA4717D" w14:textId="77777777" w:rsidR="00FE66BB" w:rsidRPr="00FE66BB" w:rsidRDefault="00FE66BB" w:rsidP="00FE66BB">
      <w:pPr>
        <w:spacing w:after="0" w:line="240" w:lineRule="auto"/>
        <w:rPr>
          <w:rFonts w:ascii="Verdana" w:eastAsia="Aptos" w:hAnsi="Verdana" w:cs="Times New Roman"/>
          <w:lang w:eastAsia="es-MX"/>
        </w:rPr>
      </w:pPr>
      <w:r w:rsidRPr="00FE66BB">
        <w:rPr>
          <w:rFonts w:ascii="Verdana" w:eastAsia="Aptos" w:hAnsi="Verdana" w:cs="Times New Roman"/>
          <w:lang w:eastAsia="es-MX"/>
        </w:rPr>
        <w:t>Bogotá D.C</w:t>
      </w:r>
    </w:p>
    <w:p w14:paraId="7BA2AA90" w14:textId="77777777" w:rsidR="00FE66BB" w:rsidRDefault="00FE66BB" w:rsidP="00FE66BB">
      <w:pPr>
        <w:spacing w:after="0" w:line="240" w:lineRule="auto"/>
        <w:rPr>
          <w:rFonts w:ascii="Verdana" w:eastAsia="Calibri" w:hAnsi="Verdana" w:cs="Arial"/>
          <w:b/>
          <w:bCs/>
          <w:lang w:val="es-ES_tradnl" w:eastAsia="es-ES_tradnl"/>
        </w:rPr>
      </w:pPr>
    </w:p>
    <w:p w14:paraId="30B49AE5" w14:textId="77777777" w:rsidR="00997168" w:rsidRPr="00FE66BB" w:rsidRDefault="00997168" w:rsidP="00FE66BB">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FE66BB" w:rsidRPr="00FE66BB" w14:paraId="356650CC" w14:textId="77777777" w:rsidTr="003D59B9">
        <w:trPr>
          <w:trHeight w:val="229"/>
        </w:trPr>
        <w:tc>
          <w:tcPr>
            <w:tcW w:w="2268" w:type="dxa"/>
          </w:tcPr>
          <w:p w14:paraId="2A765491" w14:textId="77777777" w:rsidR="00FE66BB" w:rsidRPr="00FE66BB" w:rsidRDefault="00FE66BB" w:rsidP="00FE66BB">
            <w:pPr>
              <w:spacing w:line="278" w:lineRule="auto"/>
              <w:jc w:val="both"/>
              <w:rPr>
                <w:rFonts w:ascii="Verdana" w:eastAsia="Calibri" w:hAnsi="Verdana" w:cs="Arial"/>
                <w:b/>
                <w:bCs/>
                <w:kern w:val="2"/>
                <w:sz w:val="24"/>
                <w:szCs w:val="24"/>
                <w:lang w:val="es-ES_tradnl" w:eastAsia="es-ES_tradnl"/>
                <w14:ligatures w14:val="standardContextual"/>
              </w:rPr>
            </w:pPr>
          </w:p>
        </w:tc>
        <w:tc>
          <w:tcPr>
            <w:tcW w:w="6100" w:type="dxa"/>
          </w:tcPr>
          <w:p w14:paraId="18971B11" w14:textId="39478EE2" w:rsidR="00FE66BB" w:rsidRPr="00C54F08" w:rsidRDefault="00FE66BB" w:rsidP="00FE66BB">
            <w:pPr>
              <w:spacing w:line="278" w:lineRule="auto"/>
              <w:jc w:val="both"/>
              <w:rPr>
                <w:rFonts w:ascii="Verdana" w:eastAsia="Calibri" w:hAnsi="Verdana" w:cs="Arial"/>
                <w:b/>
                <w:bCs/>
                <w:kern w:val="2"/>
                <w:lang w:val="es-ES" w:eastAsia="es-ES"/>
                <w14:ligatures w14:val="standardContextual"/>
              </w:rPr>
            </w:pPr>
            <w:r w:rsidRPr="00C54F08">
              <w:rPr>
                <w:rFonts w:ascii="Verdana" w:eastAsia="Calibri" w:hAnsi="Verdana" w:cs="Arial"/>
                <w:b/>
                <w:bCs/>
                <w:kern w:val="2"/>
                <w:lang w:val="es-ES" w:eastAsia="es-ES"/>
                <w14:ligatures w14:val="standardContextual"/>
              </w:rPr>
              <w:t xml:space="preserve">Concepto </w:t>
            </w:r>
            <w:bookmarkStart w:id="1" w:name="OLE_LINK1"/>
            <w:r w:rsidRPr="00C54F08">
              <w:rPr>
                <w:rFonts w:ascii="Verdana" w:eastAsia="Calibri" w:hAnsi="Verdana" w:cs="Arial"/>
                <w:b/>
                <w:bCs/>
                <w:kern w:val="2"/>
                <w:lang w:val="es-ES" w:eastAsia="es-ES"/>
                <w14:ligatures w14:val="standardContextual"/>
              </w:rPr>
              <w:t>C-754 de 2026</w:t>
            </w:r>
            <w:bookmarkEnd w:id="1"/>
          </w:p>
          <w:p w14:paraId="77F60D3A" w14:textId="77777777" w:rsidR="00FE66BB" w:rsidRPr="00FE66BB" w:rsidRDefault="00FE66BB" w:rsidP="00FE66BB">
            <w:pPr>
              <w:spacing w:line="278" w:lineRule="auto"/>
              <w:jc w:val="both"/>
              <w:rPr>
                <w:rFonts w:ascii="Verdana" w:eastAsia="Calibri" w:hAnsi="Verdana" w:cs="Arial"/>
                <w:b/>
                <w:bCs/>
                <w:kern w:val="2"/>
                <w:sz w:val="24"/>
                <w:szCs w:val="24"/>
                <w:lang w:val="es-ES" w:eastAsia="es-ES"/>
                <w14:ligatures w14:val="standardContextual"/>
              </w:rPr>
            </w:pPr>
          </w:p>
        </w:tc>
      </w:tr>
      <w:tr w:rsidR="00FE66BB" w:rsidRPr="00FE66BB" w14:paraId="1F218298" w14:textId="77777777" w:rsidTr="003D59B9">
        <w:trPr>
          <w:trHeight w:val="884"/>
        </w:trPr>
        <w:tc>
          <w:tcPr>
            <w:tcW w:w="2268" w:type="dxa"/>
          </w:tcPr>
          <w:p w14:paraId="31367D26" w14:textId="77777777" w:rsidR="00FE66BB" w:rsidRPr="00C54F08" w:rsidRDefault="00FE66BB" w:rsidP="00FE66BB">
            <w:pPr>
              <w:spacing w:line="278" w:lineRule="auto"/>
              <w:jc w:val="both"/>
              <w:rPr>
                <w:rFonts w:ascii="Verdana" w:eastAsia="Calibri" w:hAnsi="Verdana" w:cs="Arial"/>
                <w:kern w:val="2"/>
                <w:lang w:val="es-ES_tradnl" w:eastAsia="es-ES_tradnl"/>
                <w14:ligatures w14:val="standardContextual"/>
              </w:rPr>
            </w:pPr>
            <w:r w:rsidRPr="00C54F08">
              <w:rPr>
                <w:rFonts w:ascii="Verdana" w:eastAsia="Calibri" w:hAnsi="Verdana" w:cs="Arial"/>
                <w:b/>
                <w:kern w:val="2"/>
                <w:lang w:val="es-ES_tradnl" w:eastAsia="es-ES_tradnl"/>
                <w14:ligatures w14:val="standardContextual"/>
              </w:rPr>
              <w:t>Temas:</w:t>
            </w:r>
            <w:r w:rsidRPr="00C54F08">
              <w:rPr>
                <w:rFonts w:ascii="Verdana" w:eastAsia="Calibri" w:hAnsi="Verdana" w:cs="Arial"/>
                <w:kern w:val="2"/>
                <w:lang w:val="es-ES_tradnl" w:eastAsia="es-ES_tradnl"/>
                <w14:ligatures w14:val="standardContextual"/>
              </w:rPr>
              <w:t xml:space="preserve">                   </w:t>
            </w:r>
          </w:p>
        </w:tc>
        <w:tc>
          <w:tcPr>
            <w:tcW w:w="6100" w:type="dxa"/>
          </w:tcPr>
          <w:p w14:paraId="126BE8E2" w14:textId="688B0D3A" w:rsidR="00FE66BB" w:rsidRPr="00C54F08" w:rsidRDefault="00FE66BB" w:rsidP="00FE66BB">
            <w:pPr>
              <w:widowControl w:val="0"/>
              <w:autoSpaceDE w:val="0"/>
              <w:autoSpaceDN w:val="0"/>
              <w:spacing w:line="278" w:lineRule="auto"/>
              <w:jc w:val="both"/>
              <w:rPr>
                <w:rFonts w:ascii="Verdana" w:eastAsia="Calibri" w:hAnsi="Verdana" w:cs="Times New Roman"/>
                <w:kern w:val="2"/>
                <w:lang w:val="es-ES" w:eastAsia="es-MX"/>
                <w14:ligatures w14:val="standardContextual"/>
              </w:rPr>
            </w:pPr>
            <w:r w:rsidRPr="00C54F08">
              <w:rPr>
                <w:rFonts w:ascii="Verdana" w:eastAsia="Calibri" w:hAnsi="Verdana" w:cs="Arial"/>
                <w:kern w:val="2"/>
                <w:lang w:val="es-ES_tradnl" w:eastAsia="es-MX"/>
                <w14:ligatures w14:val="standardContextual"/>
              </w:rPr>
              <w:t>DOCUMENTOS TIPO – Fundamento normativo – Obligatoriedad  / SECTOR SOCIAL</w:t>
            </w:r>
            <w:r w:rsidRPr="00C54F08">
              <w:rPr>
                <w:rFonts w:ascii="Verdana" w:eastAsia="Calibri" w:hAnsi="Verdana" w:cs="Times New Roman"/>
                <w:kern w:val="2"/>
                <w:lang w:val="es-ES" w:eastAsia="es-MX"/>
                <w14:ligatures w14:val="standardContextual"/>
              </w:rPr>
              <w:t xml:space="preserve"> – Documentos tipo – Vigentes / DOCUMENTOS TIPO – Aplicación – Matriz de Experiencia  / DOCUMENTOS TIPO – Sector social – Infraestructura de servicio público – NSR-10 / INFRAESTRUCTURA DE SERVICIO PÚBLICO – Documentos tipo – Sector – Instituto Nacional de Medicina Legal y Ciencias Forenses – Aplicación / INFRAESTRUCTURA DE SERVICIO PÚBLICO – Construcción – Sedes – Actividad 2.1 – Matriz 1 – Experiencia – Documento tipo – Sector Institucional</w:t>
            </w:r>
          </w:p>
          <w:p w14:paraId="50D1E3EB" w14:textId="77777777" w:rsidR="00FE66BB" w:rsidRPr="00C54F08" w:rsidRDefault="00FE66BB" w:rsidP="00FE66BB">
            <w:pPr>
              <w:spacing w:line="278" w:lineRule="auto"/>
              <w:jc w:val="both"/>
              <w:rPr>
                <w:rFonts w:ascii="Verdana" w:eastAsia="Calibri" w:hAnsi="Verdana" w:cs="Arial"/>
                <w:bCs/>
                <w:kern w:val="2"/>
                <w:lang w:val="es-ES" w:eastAsia="es-ES"/>
                <w14:ligatures w14:val="standardContextual"/>
              </w:rPr>
            </w:pPr>
          </w:p>
        </w:tc>
      </w:tr>
      <w:tr w:rsidR="00FE66BB" w:rsidRPr="00FE66BB" w14:paraId="79659572" w14:textId="77777777" w:rsidTr="003D59B9">
        <w:tc>
          <w:tcPr>
            <w:tcW w:w="2268" w:type="dxa"/>
          </w:tcPr>
          <w:p w14:paraId="639BBAFD" w14:textId="77777777" w:rsidR="00FE66BB" w:rsidRPr="00C54F08" w:rsidRDefault="00FE66BB" w:rsidP="00FE66BB">
            <w:pPr>
              <w:spacing w:line="278" w:lineRule="auto"/>
              <w:jc w:val="both"/>
              <w:rPr>
                <w:rFonts w:ascii="Verdana" w:eastAsia="Calibri" w:hAnsi="Verdana" w:cs="Arial"/>
                <w:b/>
                <w:kern w:val="2"/>
                <w:lang w:val="es-ES_tradnl" w:eastAsia="es-ES_tradnl"/>
                <w14:ligatures w14:val="standardContextual"/>
              </w:rPr>
            </w:pPr>
            <w:r w:rsidRPr="00C54F08">
              <w:rPr>
                <w:rFonts w:ascii="Verdana" w:eastAsia="Calibri" w:hAnsi="Verdana" w:cs="Arial"/>
                <w:b/>
                <w:kern w:val="2"/>
                <w:lang w:val="es-ES_tradnl" w:eastAsia="es-ES_tradnl"/>
                <w14:ligatures w14:val="standardContextual"/>
              </w:rPr>
              <w:t>Radicación:</w:t>
            </w:r>
            <w:r w:rsidRPr="00C54F08">
              <w:rPr>
                <w:rFonts w:ascii="Verdana" w:eastAsia="Calibri" w:hAnsi="Verdana" w:cs="Arial"/>
                <w:kern w:val="2"/>
                <w:lang w:val="es-ES_tradnl" w:eastAsia="es-ES_tradnl"/>
                <w14:ligatures w14:val="standardContextual"/>
              </w:rPr>
              <w:t xml:space="preserve">               </w:t>
            </w:r>
          </w:p>
        </w:tc>
        <w:tc>
          <w:tcPr>
            <w:tcW w:w="6100" w:type="dxa"/>
          </w:tcPr>
          <w:p w14:paraId="68615778" w14:textId="77777777" w:rsidR="00FE66BB" w:rsidRPr="00C54F08" w:rsidRDefault="00FE66BB" w:rsidP="00FE66BB">
            <w:pPr>
              <w:spacing w:line="278" w:lineRule="auto"/>
              <w:ind w:left="3" w:hanging="3"/>
              <w:jc w:val="both"/>
              <w:rPr>
                <w:rFonts w:ascii="Verdana" w:eastAsia="Calibri" w:hAnsi="Verdana" w:cs="Arial"/>
                <w:kern w:val="2"/>
                <w:lang w:val="es-ES_tradnl" w:eastAsia="es-ES_tradnl"/>
                <w14:ligatures w14:val="standardContextual"/>
              </w:rPr>
            </w:pPr>
            <w:r w:rsidRPr="00C54F08">
              <w:rPr>
                <w:rFonts w:ascii="Verdana" w:eastAsia="Calibri" w:hAnsi="Verdana" w:cs="Arial"/>
                <w:kern w:val="2"/>
                <w:lang w:val="es-ES_tradnl" w:eastAsia="es-ES_tradnl"/>
                <w14:ligatures w14:val="standardContextual"/>
              </w:rPr>
              <w:t>Respuesta a consulta con radicado No. 1_2026_05_06_006126</w:t>
            </w:r>
          </w:p>
        </w:tc>
      </w:tr>
    </w:tbl>
    <w:p w14:paraId="4923241C" w14:textId="77777777" w:rsidR="00FE66BB" w:rsidRPr="00FE66BB" w:rsidRDefault="00FE66BB" w:rsidP="00FE66BB">
      <w:pPr>
        <w:spacing w:after="0" w:line="240" w:lineRule="auto"/>
        <w:jc w:val="both"/>
        <w:rPr>
          <w:rFonts w:ascii="Verdana" w:eastAsia="Calibri" w:hAnsi="Verdana" w:cs="Arial"/>
          <w:lang w:val="es-ES_tradnl" w:eastAsia="es-ES_tradnl"/>
        </w:rPr>
      </w:pPr>
    </w:p>
    <w:p w14:paraId="642D1D03" w14:textId="77777777" w:rsidR="00FE66BB" w:rsidRPr="00FE66BB" w:rsidRDefault="00FE66BB" w:rsidP="00FE66BB">
      <w:pPr>
        <w:spacing w:after="0" w:line="276" w:lineRule="auto"/>
        <w:jc w:val="both"/>
        <w:rPr>
          <w:rFonts w:ascii="Verdana" w:eastAsia="Calibri" w:hAnsi="Verdana" w:cs="Arial"/>
          <w:lang w:val="es-ES" w:eastAsia="es-ES"/>
        </w:rPr>
      </w:pPr>
      <w:r w:rsidRPr="00FE66BB">
        <w:rPr>
          <w:rFonts w:ascii="Verdana" w:eastAsia="Calibri" w:hAnsi="Verdana" w:cs="Arial"/>
          <w:lang w:val="es-ES" w:eastAsia="es-ES"/>
        </w:rPr>
        <w:t xml:space="preserve">Estimada doctora </w:t>
      </w:r>
      <w:r w:rsidRPr="00FE66BB">
        <w:rPr>
          <w:rFonts w:ascii="Verdana" w:eastAsia="Times New Roman" w:hAnsi="Verdana" w:cs="Times New Roman"/>
          <w:color w:val="242424"/>
          <w:shd w:val="clear" w:color="auto" w:fill="FFFFFF"/>
          <w:lang w:eastAsia="es-MX"/>
        </w:rPr>
        <w:t>Ortega Valencia</w:t>
      </w:r>
      <w:r w:rsidRPr="00FE66BB">
        <w:rPr>
          <w:rFonts w:ascii="Verdana" w:eastAsia="Calibri" w:hAnsi="Verdana" w:cs="Arial"/>
          <w:lang w:val="es-ES" w:eastAsia="es-ES"/>
        </w:rPr>
        <w:t xml:space="preserve">: </w:t>
      </w:r>
    </w:p>
    <w:p w14:paraId="31BEE9F0" w14:textId="77777777" w:rsidR="00FE66BB" w:rsidRPr="00FE66BB" w:rsidRDefault="00FE66BB" w:rsidP="00FE66BB">
      <w:pPr>
        <w:tabs>
          <w:tab w:val="left" w:pos="3768"/>
        </w:tabs>
        <w:spacing w:after="0" w:line="276" w:lineRule="auto"/>
        <w:jc w:val="both"/>
        <w:rPr>
          <w:rFonts w:ascii="Verdana" w:eastAsia="Calibri" w:hAnsi="Verdana" w:cs="Arial"/>
          <w:lang w:val="es-ES" w:eastAsia="es-ES"/>
        </w:rPr>
      </w:pPr>
      <w:r w:rsidRPr="00FE66BB">
        <w:rPr>
          <w:rFonts w:ascii="Verdana" w:eastAsia="Calibri" w:hAnsi="Verdana" w:cs="Arial"/>
          <w:lang w:val="es-ES" w:eastAsia="es-ES"/>
        </w:rPr>
        <w:tab/>
      </w:r>
    </w:p>
    <w:p w14:paraId="04215A9B" w14:textId="77777777" w:rsidR="00FE66BB" w:rsidRPr="00FE66BB" w:rsidRDefault="00FE66BB" w:rsidP="00FE66BB">
      <w:pPr>
        <w:spacing w:after="0" w:line="276" w:lineRule="auto"/>
        <w:jc w:val="both"/>
        <w:rPr>
          <w:rFonts w:ascii="Verdana" w:eastAsia="Calibri" w:hAnsi="Verdana" w:cs="Arial"/>
          <w:lang w:val="es-ES" w:eastAsia="es-ES"/>
        </w:rPr>
      </w:pPr>
      <w:r w:rsidRPr="00FE66BB">
        <w:rPr>
          <w:rFonts w:ascii="Verdana" w:eastAsia="Calibri" w:hAnsi="Verdana" w:cs="Arial"/>
          <w:lang w:val="es-ES" w:eastAsia="es-ES"/>
        </w:rPr>
        <w:t>En ejercicio de la competencia otorgada por los artículos 3, numeral 5º, y 11, numeral 8º, del Decreto Ley 4170 de 2011,</w:t>
      </w:r>
      <w:r w:rsidRPr="00FE66BB">
        <w:rPr>
          <w:rFonts w:ascii="Verdana" w:eastAsia="Arial MT" w:hAnsi="Verdana" w:cs="Arial MT"/>
          <w:lang w:val="es-ES" w:eastAsia="es-ES"/>
        </w:rPr>
        <w:t xml:space="preserve"> </w:t>
      </w:r>
      <w:r w:rsidRPr="00FE66BB">
        <w:rPr>
          <w:rFonts w:ascii="Verdana" w:eastAsia="Calibri" w:hAnsi="Verdana" w:cs="Arial"/>
          <w:lang w:eastAsia="es-MX"/>
        </w:rPr>
        <w:t xml:space="preserve">así como lo establecido por la </w:t>
      </w:r>
      <w:r w:rsidRPr="00FE66BB">
        <w:rPr>
          <w:rFonts w:ascii="Verdana" w:eastAsia="Aptos" w:hAnsi="Verdana" w:cs="Arial"/>
          <w:bCs/>
          <w:lang w:eastAsia="es-ES" w:bidi="es-ES"/>
        </w:rPr>
        <w:t>Resolución 469 de 2025 expedida por esta Entidad</w:t>
      </w:r>
      <w:r w:rsidRPr="00FE66BB">
        <w:rPr>
          <w:rFonts w:ascii="Verdana" w:eastAsia="Calibri" w:hAnsi="Verdana" w:cs="Arial"/>
          <w:lang w:eastAsia="es-MX"/>
        </w:rPr>
        <w:t xml:space="preserve">, </w:t>
      </w:r>
      <w:r w:rsidRPr="00FE66BB">
        <w:rPr>
          <w:rFonts w:ascii="Verdana" w:eastAsia="Calibri" w:hAnsi="Verdana" w:cs="Arial"/>
          <w:lang w:val="es-ES" w:eastAsia="es-ES"/>
        </w:rPr>
        <w:t xml:space="preserve">la Agencia Nacional de Contratación Pública – Colombia Compra Eficiente– responde su solicitud de consulta del 05 de mayo de 2026, en la cual manifiesta lo siguiente: </w:t>
      </w:r>
    </w:p>
    <w:p w14:paraId="0E9DAB8D" w14:textId="77777777" w:rsidR="00FE66BB" w:rsidRPr="00FE66BB" w:rsidRDefault="00FE66BB" w:rsidP="00FE66BB">
      <w:pPr>
        <w:tabs>
          <w:tab w:val="left" w:pos="142"/>
          <w:tab w:val="left" w:pos="284"/>
        </w:tabs>
        <w:spacing w:after="0" w:line="276" w:lineRule="auto"/>
        <w:ind w:left="709" w:right="709"/>
        <w:jc w:val="both"/>
        <w:rPr>
          <w:rFonts w:ascii="Verdana" w:eastAsia="Century Gothic" w:hAnsi="Verdana" w:cs="Century Gothic"/>
          <w:b/>
          <w:bCs/>
          <w:lang w:eastAsia="es-MX"/>
        </w:rPr>
      </w:pPr>
    </w:p>
    <w:p w14:paraId="51CAFF63"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Times New Roman" w:hAnsi="Verdana" w:cs="Times New Roman"/>
          <w:color w:val="242424"/>
          <w:sz w:val="20"/>
          <w:szCs w:val="20"/>
          <w:lang w:eastAsia="es-MX"/>
        </w:rPr>
        <w:t>“</w:t>
      </w:r>
      <w:r w:rsidRPr="00FE66BB">
        <w:rPr>
          <w:rFonts w:ascii="Verdana" w:eastAsia="Aptos" w:hAnsi="Verdana" w:cs="Times New Roman"/>
          <w:kern w:val="2"/>
          <w:sz w:val="20"/>
          <w:szCs w:val="20"/>
          <w14:ligatures w14:val="standardContextual"/>
        </w:rPr>
        <w:t xml:space="preserve">En ejercicio del derecho de petición consagrado en el artículo 23 de la Constitución Política de Colombia y conforme a lo dispuesto en la Ley 1755 </w:t>
      </w:r>
      <w:r w:rsidRPr="00FE66BB">
        <w:rPr>
          <w:rFonts w:ascii="Verdana" w:eastAsia="Aptos" w:hAnsi="Verdana" w:cs="Times New Roman"/>
          <w:kern w:val="2"/>
          <w:sz w:val="20"/>
          <w:szCs w:val="20"/>
          <w14:ligatures w14:val="standardContextual"/>
        </w:rPr>
        <w:lastRenderedPageBreak/>
        <w:t xml:space="preserve">de 2015, me permito solicitar aclaración respecto de la aplicación de los pliegos tipo en procesos de contratación de obra pública. </w:t>
      </w:r>
    </w:p>
    <w:p w14:paraId="73B45786"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La presente solicitud se fundamenta en el marco normativo del sistema de compra pública, particularmente en lo dispuesto por la Ley 80 de 1993, la Ley 1150 de 2007 y el Decreto 1082 de 2015, así como en los principios que rigen la contratación estatal. </w:t>
      </w:r>
    </w:p>
    <w:p w14:paraId="688E925C"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En este sentido, es pertinente recordar que el artículo 24 de la Ley 80 de 1993 establece: </w:t>
      </w:r>
    </w:p>
    <w:p w14:paraId="4091B5CE"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"La escogencia del contratista se efectuará siempre a través de licitación o concurso público, salvo las excepciones previstas en la ley, garantizando la selección objetiva y la transparencia." </w:t>
      </w:r>
    </w:p>
    <w:p w14:paraId="30F86645"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De igual forma, el artículo 5 de la Ley 1150 de 2007 señala: </w:t>
      </w:r>
    </w:p>
    <w:p w14:paraId="44783504"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"Las entidades estatales deberán aplicar en los procesos de contratación los principios de transparencia, </w:t>
      </w:r>
      <w:proofErr w:type="spellStart"/>
      <w:r w:rsidRPr="00FE66BB">
        <w:rPr>
          <w:rFonts w:ascii="Verdana" w:eastAsia="Aptos" w:hAnsi="Verdana" w:cs="Times New Roman"/>
          <w:kern w:val="2"/>
          <w:sz w:val="20"/>
          <w:szCs w:val="20"/>
          <w14:ligatures w14:val="standardContextual"/>
        </w:rPr>
        <w:t>economia</w:t>
      </w:r>
      <w:proofErr w:type="spellEnd"/>
      <w:r w:rsidRPr="00FE66BB">
        <w:rPr>
          <w:rFonts w:ascii="Verdana" w:eastAsia="Aptos" w:hAnsi="Verdana" w:cs="Times New Roman"/>
          <w:kern w:val="2"/>
          <w:sz w:val="20"/>
          <w:szCs w:val="20"/>
          <w14:ligatures w14:val="standardContextual"/>
        </w:rPr>
        <w:t xml:space="preserve"> y responsabilidad, y garantizar la selección objetiva del contratista." </w:t>
      </w:r>
    </w:p>
    <w:p w14:paraId="5296AD06"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Así mismo, el principio de selección objetiva implica que: </w:t>
      </w:r>
    </w:p>
    <w:p w14:paraId="79789F76"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"La escogencia se hará con base en reglas previamente establecidas, claras, completas y objetivas, que permitan la escogencia de la oferta más favorable." </w:t>
      </w:r>
    </w:p>
    <w:p w14:paraId="238A5B5E"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Por otra parte, el Decreto 1082 de 2015, en desarrollo de la política de estandarización, establece la obligatoriedad del uso de documentos tipo en ciertos procesos de contratación de obra pública, con el fin de:</w:t>
      </w:r>
    </w:p>
    <w:p w14:paraId="0DDFF566"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"Promover la transparencia, la pluralidad de oferentes y la eficiencia en la contratación estatal mediante la adopción de condiciones habilitantes y factores técnicos y económicos uniformes." </w:t>
      </w:r>
    </w:p>
    <w:p w14:paraId="63D61222"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En virtud de lo anterior, respetuosamente solicito se sirvan conceptuar sobre los siguientes aspectos:</w:t>
      </w:r>
    </w:p>
    <w:p w14:paraId="26829884"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1. Si resulta obligatoria la aplicación de pliegos tipo en procesos cuyo objeto corresponde a la construcción de sedes del Instituto Nacional de Medicina Legal y Ciencias Forenses, que incluyen componentes especializados tales como morgue, laboratorios forenses, salas de atención al público, áreas administrativas y zonas comunes.</w:t>
      </w:r>
    </w:p>
    <w:p w14:paraId="7B21C496"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2. En caso afirmativo, cuál sería la tipología de documento tipo aplicable, teniendo en cuenta que este tipo de infraestructura presenta condiciones técnicas especiales que podrían no encajar plenamente dentro de las categorías estándar de obra pública. </w:t>
      </w:r>
    </w:p>
    <w:p w14:paraId="597F9704" w14:textId="77777777" w:rsidR="00FE66BB" w:rsidRPr="00FE66BB" w:rsidRDefault="00FE66BB" w:rsidP="00FE66BB">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3. Si, en aplicación de los principios de planeación, responsabilidad y selección objetiva, es jurídicamente viable introducir ajustes o condiciones </w:t>
      </w:r>
      <w:r w:rsidRPr="00FE66BB">
        <w:rPr>
          <w:rFonts w:ascii="Verdana" w:eastAsia="Aptos" w:hAnsi="Verdana" w:cs="Times New Roman"/>
          <w:kern w:val="2"/>
          <w:sz w:val="20"/>
          <w:szCs w:val="20"/>
          <w14:ligatures w14:val="standardContextual"/>
        </w:rPr>
        <w:lastRenderedPageBreak/>
        <w:t xml:space="preserve">particulares a los pliegos tipo, con el fin de garantizar la idoneidad técnica del contratista frente a las necesidades específicas del proyecto. </w:t>
      </w:r>
    </w:p>
    <w:p w14:paraId="0ED15D48" w14:textId="77777777" w:rsidR="00FE66BB" w:rsidRPr="00FE66BB" w:rsidRDefault="00FE66BB" w:rsidP="00FE66BB">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FE66BB">
        <w:rPr>
          <w:rFonts w:ascii="Verdana" w:eastAsia="Aptos" w:hAnsi="Verdana" w:cs="Times New Roman"/>
          <w:kern w:val="2"/>
          <w:sz w:val="20"/>
          <w:szCs w:val="20"/>
          <w14:ligatures w14:val="standardContextual"/>
        </w:rPr>
        <w:t>4. Si esa entidad ha emitido lineamientos, conceptos o criterios interpretativos aplicables a proyectos de infraestructura con características similares.</w:t>
      </w:r>
    </w:p>
    <w:p w14:paraId="10F44B0E" w14:textId="77777777" w:rsidR="00FE66BB" w:rsidRPr="00FE66BB" w:rsidRDefault="00FE66BB" w:rsidP="00FE66BB">
      <w:pPr>
        <w:spacing w:after="120" w:line="240" w:lineRule="auto"/>
        <w:ind w:left="700"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La presente solicitud se formula en atención al principio de planeación, conforme al cual las entidades estatales deben estructurar adecuadamente sus procesos contractuales, así como al principio de responsabilidad, que exige asegurar el cumplimiento de los fines de la contratación estatal, en los términos del artículo 3 de la Ley 80 de 1993: </w:t>
      </w:r>
    </w:p>
    <w:p w14:paraId="06F01EE6" w14:textId="77777777" w:rsidR="00FE66BB" w:rsidRPr="00FE66BB" w:rsidRDefault="00FE66BB" w:rsidP="00FE66BB">
      <w:pPr>
        <w:spacing w:after="120" w:line="240" w:lineRule="auto"/>
        <w:ind w:left="700"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 xml:space="preserve">"Los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w:t>
      </w:r>
    </w:p>
    <w:p w14:paraId="44DE039E" w14:textId="77777777" w:rsidR="00FE66BB" w:rsidRPr="00FE66BB" w:rsidRDefault="00FE66BB" w:rsidP="00FE66BB">
      <w:pPr>
        <w:spacing w:after="120" w:line="240" w:lineRule="auto"/>
        <w:ind w:left="700" w:right="709"/>
        <w:jc w:val="both"/>
        <w:rPr>
          <w:rFonts w:ascii="Verdana" w:eastAsia="Aptos" w:hAnsi="Verdana" w:cs="Times New Roman"/>
          <w:kern w:val="2"/>
          <w:sz w:val="20"/>
          <w:szCs w:val="20"/>
          <w14:ligatures w14:val="standardContextual"/>
        </w:rPr>
      </w:pPr>
      <w:r w:rsidRPr="00FE66BB">
        <w:rPr>
          <w:rFonts w:ascii="Verdana" w:eastAsia="Aptos" w:hAnsi="Verdana" w:cs="Times New Roman"/>
          <w:kern w:val="2"/>
          <w:sz w:val="20"/>
          <w:szCs w:val="20"/>
          <w14:ligatures w14:val="standardContextual"/>
        </w:rPr>
        <w:t>Agradezco de antemano la atención prestada y quedo atento a su respuesta dentro de los términos legales”.</w:t>
      </w:r>
    </w:p>
    <w:p w14:paraId="143DA8BB" w14:textId="77777777" w:rsidR="00FE66BB" w:rsidRPr="00FE66BB" w:rsidRDefault="00FE66BB" w:rsidP="00FE66BB">
      <w:pPr>
        <w:spacing w:after="0" w:line="240" w:lineRule="auto"/>
        <w:ind w:left="700" w:right="709"/>
        <w:jc w:val="both"/>
        <w:rPr>
          <w:rFonts w:ascii="Verdana" w:eastAsia="Aptos" w:hAnsi="Verdana" w:cs="Arial"/>
          <w:sz w:val="21"/>
          <w:szCs w:val="21"/>
          <w:lang w:eastAsia="es-MX"/>
        </w:rPr>
      </w:pPr>
    </w:p>
    <w:p w14:paraId="1C7EC9BB" w14:textId="77777777" w:rsidR="00FE66BB" w:rsidRPr="00FE66BB" w:rsidRDefault="00FE66BB" w:rsidP="00FE66BB">
      <w:pPr>
        <w:spacing w:after="120" w:line="276" w:lineRule="auto"/>
        <w:ind w:firstLine="709"/>
        <w:jc w:val="both"/>
        <w:rPr>
          <w:rFonts w:ascii="Verdana" w:eastAsia="Calibri" w:hAnsi="Verdana" w:cs="Arial"/>
          <w:color w:val="000000"/>
          <w:lang w:val="es-ES" w:eastAsia="es-ES"/>
        </w:rPr>
      </w:pPr>
      <w:r w:rsidRPr="00FE66BB">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66BB">
        <w:rPr>
          <w:rFonts w:ascii="Verdana" w:eastAsia="Calibri" w:hAnsi="Verdana" w:cs="Arial"/>
          <w:color w:val="000000"/>
          <w:lang w:val="es-ES_tradnl" w:eastAsia="es-ES_tradnl"/>
        </w:rPr>
        <w:tab/>
      </w:r>
    </w:p>
    <w:p w14:paraId="470DBC76" w14:textId="77777777" w:rsidR="00FE66BB" w:rsidRPr="00FE66BB" w:rsidRDefault="00FE66BB" w:rsidP="00FE66BB">
      <w:pPr>
        <w:spacing w:after="0" w:line="276" w:lineRule="auto"/>
        <w:ind w:firstLine="709"/>
        <w:jc w:val="both"/>
        <w:rPr>
          <w:rFonts w:ascii="Verdana" w:eastAsia="Calibri" w:hAnsi="Verdana" w:cs="Arial"/>
          <w:color w:val="000000"/>
          <w:lang w:val="es-ES" w:eastAsia="es-ES"/>
        </w:rPr>
      </w:pPr>
      <w:r w:rsidRPr="00FE66BB">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FE66BB">
        <w:rPr>
          <w:rFonts w:ascii="Verdana" w:eastAsia="Calibri" w:hAnsi="Verdana" w:cs="Arial"/>
          <w:color w:val="7030A0"/>
          <w:lang w:val="es-ES" w:eastAsia="es-ES"/>
        </w:rPr>
        <w:t xml:space="preserve"> </w:t>
      </w:r>
      <w:r w:rsidRPr="00FE66BB">
        <w:rPr>
          <w:rFonts w:ascii="Verdana" w:eastAsia="Calibri" w:hAnsi="Verdana" w:cs="Arial"/>
          <w:color w:val="000000"/>
          <w:lang w:val="es-ES" w:eastAsia="es-ES"/>
        </w:rPr>
        <w:t>problema</w:t>
      </w:r>
      <w:r w:rsidRPr="00FE66BB">
        <w:rPr>
          <w:rFonts w:ascii="Verdana" w:eastAsia="Calibri" w:hAnsi="Verdana" w:cs="Arial"/>
          <w:color w:val="7030A0"/>
          <w:lang w:val="es-ES" w:eastAsia="es-ES"/>
        </w:rPr>
        <w:t xml:space="preserve"> </w:t>
      </w:r>
      <w:r w:rsidRPr="00FE66BB">
        <w:rPr>
          <w:rFonts w:ascii="Verdana" w:eastAsia="Calibri" w:hAnsi="Verdana" w:cs="Arial"/>
          <w:color w:val="000000"/>
          <w:lang w:val="es-ES" w:eastAsia="es-ES"/>
        </w:rPr>
        <w:t>jurídico</w:t>
      </w:r>
      <w:r w:rsidRPr="00FE66BB">
        <w:rPr>
          <w:rFonts w:ascii="Verdana" w:eastAsia="Calibri" w:hAnsi="Verdana" w:cs="Arial"/>
          <w:color w:val="7030A0"/>
          <w:lang w:val="es-ES" w:eastAsia="es-ES"/>
        </w:rPr>
        <w:t xml:space="preserve"> </w:t>
      </w:r>
      <w:r w:rsidRPr="00FE66BB">
        <w:rPr>
          <w:rFonts w:ascii="Verdana" w:eastAsia="Calibri" w:hAnsi="Verdana" w:cs="Arial"/>
          <w:color w:val="000000"/>
          <w:lang w:val="es-ES" w:eastAsia="es-ES"/>
        </w:rPr>
        <w:t xml:space="preserve">de su consulta. </w:t>
      </w:r>
    </w:p>
    <w:p w14:paraId="7503D72D" w14:textId="77777777" w:rsidR="00FE66BB" w:rsidRPr="00FE66BB" w:rsidRDefault="00FE66BB" w:rsidP="00FE66BB">
      <w:pPr>
        <w:spacing w:after="0" w:line="276" w:lineRule="auto"/>
        <w:jc w:val="both"/>
        <w:rPr>
          <w:rFonts w:ascii="Verdana" w:eastAsia="Calibri" w:hAnsi="Verdana" w:cs="Arial"/>
          <w:lang w:val="es-ES" w:eastAsia="es-ES"/>
        </w:rPr>
      </w:pPr>
    </w:p>
    <w:p w14:paraId="2F62D129" w14:textId="77777777" w:rsidR="00FE66BB" w:rsidRPr="00FE66BB" w:rsidRDefault="00FE66BB" w:rsidP="00FE66BB">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FE66BB">
        <w:rPr>
          <w:rFonts w:ascii="Verdana" w:eastAsia="Century Gothic" w:hAnsi="Verdana" w:cs="Century Gothic"/>
          <w:b/>
          <w:bCs/>
          <w:lang w:eastAsia="es-MX"/>
        </w:rPr>
        <w:t>Problema planteado:</w:t>
      </w:r>
    </w:p>
    <w:p w14:paraId="7CFED673" w14:textId="77777777" w:rsidR="00FE66BB" w:rsidRPr="00FE66BB" w:rsidRDefault="00FE66BB" w:rsidP="00FE66BB">
      <w:pPr>
        <w:tabs>
          <w:tab w:val="left" w:pos="426"/>
        </w:tabs>
        <w:spacing w:after="0" w:line="276" w:lineRule="auto"/>
        <w:jc w:val="both"/>
        <w:rPr>
          <w:rFonts w:ascii="Verdana" w:eastAsia="Century Gothic" w:hAnsi="Verdana" w:cs="Century Gothic"/>
          <w:lang w:val="es-ES" w:eastAsia="es-MX"/>
        </w:rPr>
      </w:pPr>
    </w:p>
    <w:p w14:paraId="577601B2" w14:textId="77777777" w:rsidR="00FE66BB" w:rsidRPr="00FE66BB" w:rsidRDefault="00FE66BB" w:rsidP="00FE66BB">
      <w:pPr>
        <w:spacing w:after="0" w:line="276" w:lineRule="auto"/>
        <w:jc w:val="both"/>
        <w:rPr>
          <w:rFonts w:ascii="Verdana" w:eastAsia="Aptos" w:hAnsi="Verdana" w:cs="Times New Roman"/>
          <w:kern w:val="2"/>
          <w14:ligatures w14:val="standardContextual"/>
        </w:rPr>
      </w:pPr>
      <w:r w:rsidRPr="00FE66BB">
        <w:rPr>
          <w:rFonts w:ascii="Verdana" w:eastAsia="Aptos" w:hAnsi="Verdana" w:cs="Times New Roman"/>
          <w:kern w:val="2"/>
          <w14:ligatures w14:val="standardContextual"/>
        </w:rPr>
        <w:t xml:space="preserve">De acuerdo con el contenido de su solicitud, esta Agencia resolverá los siguientes problemas jurídicos: i) ¿Qué documentos tipo del sector institucional debe implementar el Instituto Nacional de Medicina Legal y Ciencias Forenses para adelantar actividades de obra pública en sus sedes?; y </w:t>
      </w:r>
      <w:proofErr w:type="spellStart"/>
      <w:r w:rsidRPr="00FE66BB">
        <w:rPr>
          <w:rFonts w:ascii="Verdana" w:eastAsia="Aptos" w:hAnsi="Verdana" w:cs="Times New Roman"/>
          <w:kern w:val="2"/>
          <w14:ligatures w14:val="standardContextual"/>
        </w:rPr>
        <w:t>ii</w:t>
      </w:r>
      <w:proofErr w:type="spellEnd"/>
      <w:r w:rsidRPr="00FE66BB">
        <w:rPr>
          <w:rFonts w:ascii="Verdana" w:eastAsia="Aptos" w:hAnsi="Verdana" w:cs="Times New Roman"/>
          <w:kern w:val="2"/>
          <w14:ligatures w14:val="standardContextual"/>
        </w:rPr>
        <w:t>) ¿Qué actividad de los documentos tipo del sector institucional debe utilizar el Instituto Nacional de Medicina Legal y Ciencias Forenses para la construcción de sus sedes que incluyen componentes especializados, tales como morgues, laboratorios forenses, salas de atención al público, áreas administrativas y zonas comunes?</w:t>
      </w:r>
    </w:p>
    <w:p w14:paraId="652BF688" w14:textId="77777777" w:rsidR="00FE66BB" w:rsidRPr="00FE66BB" w:rsidRDefault="00FE66BB" w:rsidP="00FE66BB">
      <w:pPr>
        <w:spacing w:after="0" w:line="276" w:lineRule="auto"/>
        <w:jc w:val="both"/>
        <w:rPr>
          <w:rFonts w:ascii="Verdana" w:eastAsia="Century Gothic" w:hAnsi="Verdana" w:cs="Century Gothic"/>
          <w:lang w:val="es-ES_tradnl" w:eastAsia="es-MX"/>
        </w:rPr>
      </w:pPr>
    </w:p>
    <w:p w14:paraId="629DBCAF" w14:textId="77777777" w:rsidR="00FE66BB" w:rsidRPr="00FE66BB" w:rsidRDefault="00FE66BB" w:rsidP="00FE66BB">
      <w:pPr>
        <w:tabs>
          <w:tab w:val="left" w:pos="142"/>
          <w:tab w:val="left" w:pos="284"/>
        </w:tabs>
        <w:spacing w:after="0" w:line="276" w:lineRule="auto"/>
        <w:contextualSpacing/>
        <w:jc w:val="both"/>
        <w:rPr>
          <w:rFonts w:ascii="Verdana" w:eastAsia="Century Gothic" w:hAnsi="Verdana" w:cs="Century Gothic"/>
          <w:b/>
          <w:bCs/>
          <w:lang w:val="es-ES" w:eastAsia="es-MX"/>
        </w:rPr>
      </w:pPr>
      <w:r w:rsidRPr="00FE66BB">
        <w:rPr>
          <w:rFonts w:ascii="Verdana" w:eastAsia="Century Gothic" w:hAnsi="Verdana" w:cs="Century Gothic"/>
          <w:b/>
          <w:bCs/>
          <w:lang w:val="es-ES" w:eastAsia="es-MX"/>
        </w:rPr>
        <w:t>2. Respuestas:</w:t>
      </w:r>
    </w:p>
    <w:p w14:paraId="585C7A63" w14:textId="77777777" w:rsidR="00FE66BB" w:rsidRPr="00FE66BB" w:rsidRDefault="00FE66BB" w:rsidP="00FE66BB">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66BB" w:rsidRPr="00FE66BB" w14:paraId="624D3AC0" w14:textId="77777777" w:rsidTr="7611732E">
        <w:trPr>
          <w:trHeight w:val="40"/>
        </w:trPr>
        <w:tc>
          <w:tcPr>
            <w:tcW w:w="8828" w:type="dxa"/>
            <w:tcBorders>
              <w:top w:val="dotted" w:sz="4" w:space="0" w:color="auto"/>
              <w:left w:val="dotted" w:sz="4" w:space="0" w:color="auto"/>
              <w:bottom w:val="dotted" w:sz="4" w:space="0" w:color="auto"/>
              <w:right w:val="dotted" w:sz="4" w:space="0" w:color="auto"/>
            </w:tcBorders>
          </w:tcPr>
          <w:p w14:paraId="6ED0089F" w14:textId="77777777" w:rsidR="00FE66BB" w:rsidRPr="000D6866" w:rsidRDefault="00FE66BB" w:rsidP="00FE66BB">
            <w:pPr>
              <w:spacing w:after="120" w:line="276" w:lineRule="auto"/>
              <w:jc w:val="both"/>
              <w:rPr>
                <w:rFonts w:ascii="Verdana" w:eastAsia="Arial" w:hAnsi="Verdana" w:cs="Aptos"/>
                <w:kern w:val="2"/>
                <w:lang w:eastAsia="es-ES"/>
                <w14:ligatures w14:val="standardContextual"/>
              </w:rPr>
            </w:pPr>
            <w:r w:rsidRPr="000D6866">
              <w:rPr>
                <w:rFonts w:ascii="Verdana" w:eastAsia="Times New Roman" w:hAnsi="Verdana" w:cs="Times New Roman"/>
                <w:color w:val="000000"/>
                <w:kern w:val="2"/>
                <w:lang w:eastAsia="es-CO"/>
                <w14:ligatures w14:val="standardContextual"/>
              </w:rPr>
              <w:t xml:space="preserve">i. En los documentos tipo complementarios del sector Institucional, en la modalidad de licitación pública, selección abreviada de menor cuantía y mínima cuantía, la Matriz 1 contiene </w:t>
            </w:r>
            <w:r w:rsidRPr="000D6866">
              <w:rPr>
                <w:rFonts w:ascii="Verdana" w:eastAsia="Calibri" w:hAnsi="Verdana" w:cs="Times New Roman"/>
                <w:kern w:val="2"/>
                <w:lang w:eastAsia="es-MX"/>
                <w14:ligatures w14:val="standardContextual"/>
              </w:rPr>
              <w:t>el Capítulo dos (2) “</w:t>
            </w:r>
            <w:r w:rsidRPr="000D6866">
              <w:rPr>
                <w:rFonts w:ascii="Verdana" w:eastAsia="Arial" w:hAnsi="Verdana" w:cs="Aptos"/>
                <w:kern w:val="2"/>
                <w:lang w:eastAsia="es-ES"/>
                <w14:ligatures w14:val="standardContextual"/>
              </w:rPr>
              <w:t xml:space="preserve">Obras en proyectos de infraestructura institucional de servicio público”. </w:t>
            </w:r>
          </w:p>
          <w:p w14:paraId="3DE7A1BD" w14:textId="77777777" w:rsidR="00FE66BB" w:rsidRPr="000D6866" w:rsidRDefault="00FE66BB" w:rsidP="00FE66BB">
            <w:pPr>
              <w:spacing w:after="120" w:line="276" w:lineRule="auto"/>
              <w:ind w:firstLine="709"/>
              <w:jc w:val="both"/>
              <w:rPr>
                <w:rFonts w:ascii="Verdana" w:eastAsia="Times New Roman" w:hAnsi="Verdana" w:cs="Aptos"/>
                <w:i/>
                <w:iCs/>
                <w:kern w:val="2"/>
                <w:lang w:eastAsia="es-MX"/>
                <w14:ligatures w14:val="standardContextual"/>
              </w:rPr>
            </w:pPr>
            <w:r w:rsidRPr="000D6866">
              <w:rPr>
                <w:rFonts w:ascii="Verdana" w:eastAsia="Times New Roman" w:hAnsi="Verdana" w:cs="Aptos"/>
                <w:kern w:val="2"/>
                <w:lang w:eastAsia="es-MX"/>
                <w14:ligatures w14:val="standardContextual"/>
              </w:rPr>
              <w:t xml:space="preserve">En dicho capítulo se incluyen actividades que corresponden 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y/o suministro y/o instalación y/o dotación de mobiliario interno y externo; y/o suministro y/o instalación de equipos especiales y/o electromecánicos y/o electrónicos y/o maquinaria; y/o suministro y/o instalación de sistemas de aires acondicionados o sistemas de ventilación o similares, todos estos proyectos sobre </w:t>
            </w:r>
            <w:r w:rsidRPr="000D6866">
              <w:rPr>
                <w:rFonts w:ascii="Verdana" w:eastAsia="Times New Roman" w:hAnsi="Verdana" w:cs="Aptos"/>
                <w:i/>
                <w:iCs/>
                <w:kern w:val="2"/>
                <w:lang w:eastAsia="es-MX"/>
                <w14:ligatures w14:val="standardContextual"/>
              </w:rPr>
              <w:t>infraestructura de servicio público.</w:t>
            </w:r>
          </w:p>
          <w:p w14:paraId="7A34B1BD" w14:textId="77777777" w:rsidR="00FE66BB" w:rsidRPr="000D6866" w:rsidRDefault="00FE66BB" w:rsidP="00FE66BB">
            <w:pPr>
              <w:spacing w:after="120" w:line="276" w:lineRule="auto"/>
              <w:ind w:firstLine="708"/>
              <w:jc w:val="both"/>
              <w:rPr>
                <w:rFonts w:ascii="Verdana" w:eastAsia="Times New Roman" w:hAnsi="Verdana" w:cs="Aptos"/>
                <w:kern w:val="2"/>
                <w:lang w:eastAsia="es-MX"/>
                <w14:ligatures w14:val="standardContextual"/>
              </w:rPr>
            </w:pPr>
            <w:r w:rsidRPr="000D6866">
              <w:rPr>
                <w:rFonts w:ascii="Verdana" w:eastAsia="Times New Roman" w:hAnsi="Verdana" w:cs="Aptos"/>
                <w:kern w:val="2"/>
                <w:lang w:eastAsia="es-MX"/>
                <w14:ligatures w14:val="standardContextual"/>
              </w:rPr>
              <w:t xml:space="preserve">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o aquellas que los modifiquen, adicionen o </w:t>
            </w:r>
            <w:r w:rsidRPr="000D6866">
              <w:rPr>
                <w:rFonts w:ascii="Verdana" w:eastAsia="Times New Roman" w:hAnsi="Verdana" w:cs="Aptos"/>
                <w:kern w:val="2"/>
                <w:lang w:eastAsia="es-MX"/>
                <w14:ligatures w14:val="standardContextual"/>
              </w:rPr>
              <w:lastRenderedPageBreak/>
              <w:t>sustituyan, así como a las definiciones contenidas en el "Anexo - Glosario del Sector Social””.</w:t>
            </w:r>
          </w:p>
          <w:p w14:paraId="529396F2" w14:textId="77777777" w:rsidR="00FE66BB" w:rsidRPr="000D6866" w:rsidRDefault="00FE66BB" w:rsidP="00FE66BB">
            <w:pPr>
              <w:spacing w:after="120" w:line="276" w:lineRule="auto"/>
              <w:ind w:firstLine="708"/>
              <w:jc w:val="both"/>
              <w:rPr>
                <w:rFonts w:ascii="Verdana" w:eastAsia="Calibri" w:hAnsi="Verdana" w:cs="Arial"/>
                <w:color w:val="0D0D0D"/>
                <w:kern w:val="2"/>
                <w:lang w:eastAsia="es-MX"/>
                <w14:ligatures w14:val="standardContextual"/>
              </w:rPr>
            </w:pPr>
            <w:r w:rsidRPr="000D6866">
              <w:rPr>
                <w:rFonts w:ascii="Verdana" w:eastAsia="Calibri" w:hAnsi="Verdana" w:cs="Arial"/>
                <w:kern w:val="2"/>
                <w:lang w:val="es-ES_tradnl" w:eastAsia="es-MX"/>
                <w14:ligatures w14:val="standardContextual"/>
              </w:rPr>
              <w:t xml:space="preserve">Ahora bien, como se precisó las actividades señaladas recaen sobre </w:t>
            </w:r>
            <w:r w:rsidRPr="000D6866">
              <w:rPr>
                <w:rFonts w:ascii="Verdana" w:eastAsia="Times New Roman" w:hAnsi="Verdana" w:cs="Calibri"/>
                <w:kern w:val="2"/>
                <w:lang w:eastAsia="es-MX"/>
                <w14:ligatures w14:val="standardContextual"/>
              </w:rPr>
              <w:t xml:space="preserve">obras en proyectos de infraestructura institucional de servicio público. De esta forma, para determinar qué abarca este tipo de infraestructura, debe indicarse que, de conformidad con la norma </w:t>
            </w:r>
            <w:r w:rsidRPr="000D6866">
              <w:rPr>
                <w:rFonts w:ascii="Verdana" w:eastAsia="Calibri" w:hAnsi="Verdana" w:cs="Arial"/>
                <w:color w:val="0D0D0D"/>
                <w:kern w:val="2"/>
                <w:lang w:eastAsia="es-MX"/>
                <w14:ligatures w14:val="standardContextual"/>
              </w:rPr>
              <w:t>NSR-10 en el Subgrupo de Ocupación Institucional de Servicio Público (I-5) “se clasifican las edificaciones o espacios destinados a funciones administrativas y prestación de servicios públicos necesarios para el buen funcionamiento de las ciudades”</w:t>
            </w:r>
            <w:r w:rsidRPr="000D6866">
              <w:rPr>
                <w:rFonts w:ascii="Verdana" w:eastAsia="Calibri" w:hAnsi="Verdana" w:cs="Arial"/>
                <w:color w:val="0D0D0D"/>
                <w:kern w:val="2"/>
                <w:vertAlign w:val="superscript"/>
                <w:lang w:eastAsia="es-MX"/>
                <w14:ligatures w14:val="standardContextual"/>
              </w:rPr>
              <w:footnoteReference w:id="2"/>
            </w:r>
            <w:r w:rsidRPr="000D6866">
              <w:rPr>
                <w:rFonts w:ascii="Verdana" w:eastAsia="Calibri" w:hAnsi="Verdana" w:cs="Arial"/>
                <w:color w:val="0D0D0D"/>
                <w:kern w:val="2"/>
                <w:lang w:eastAsia="es-MX"/>
                <w14:ligatures w14:val="standardContextual"/>
              </w:rPr>
              <w:t>. Entre las edificaciones o espacios que pertenecen a este Subgrupo se encuentran las siguientes: “Centros de comunicación o administrativos o administrativos de servicios municipales, distritales o gubernamentales, juzgados y otros similares”</w:t>
            </w:r>
            <w:r w:rsidRPr="000D6866">
              <w:rPr>
                <w:rFonts w:ascii="Verdana" w:eastAsia="Calibri" w:hAnsi="Verdana" w:cs="Arial"/>
                <w:color w:val="0D0D0D"/>
                <w:kern w:val="2"/>
                <w:vertAlign w:val="superscript"/>
                <w:lang w:eastAsia="es-MX"/>
                <w14:ligatures w14:val="standardContextual"/>
              </w:rPr>
              <w:footnoteReference w:id="3"/>
            </w:r>
            <w:r w:rsidRPr="000D6866">
              <w:rPr>
                <w:rFonts w:ascii="Verdana" w:eastAsia="Calibri" w:hAnsi="Verdana" w:cs="Arial"/>
                <w:color w:val="0D0D0D"/>
                <w:kern w:val="2"/>
                <w:lang w:eastAsia="es-MX"/>
                <w14:ligatures w14:val="standardContextual"/>
              </w:rPr>
              <w:t>.</w:t>
            </w:r>
          </w:p>
          <w:p w14:paraId="0312A25A" w14:textId="772E3401" w:rsidR="00FE66BB" w:rsidRPr="000D6866" w:rsidRDefault="00FE66BB" w:rsidP="00FE66BB">
            <w:pPr>
              <w:spacing w:after="120" w:line="276" w:lineRule="auto"/>
              <w:ind w:firstLine="708"/>
              <w:jc w:val="both"/>
              <w:rPr>
                <w:rFonts w:ascii="Verdana" w:eastAsia="Calibri" w:hAnsi="Verdana" w:cs="Arial"/>
                <w:color w:val="0D0D0D"/>
                <w:kern w:val="2"/>
                <w:lang w:eastAsia="es-MX"/>
                <w14:ligatures w14:val="standardContextual"/>
              </w:rPr>
            </w:pPr>
            <w:r w:rsidRPr="000D6866">
              <w:rPr>
                <w:rFonts w:ascii="Verdana" w:eastAsia="Calibri" w:hAnsi="Verdana" w:cs="Arial"/>
                <w:color w:val="0D0D0D"/>
                <w:kern w:val="2"/>
                <w:lang w:eastAsia="es-MX"/>
                <w14:ligatures w14:val="standardContextual"/>
              </w:rPr>
              <w:t>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w:t>
            </w:r>
            <w:r w:rsidR="1D04C703" w:rsidRPr="000D6866">
              <w:rPr>
                <w:rFonts w:ascii="Verdana" w:eastAsia="Calibri" w:hAnsi="Verdana" w:cs="Arial"/>
                <w:color w:val="0D0D0D"/>
                <w:kern w:val="2"/>
                <w:lang w:eastAsia="es-MX"/>
                <w14:ligatures w14:val="standardContextual"/>
              </w:rPr>
              <w:t>,</w:t>
            </w:r>
            <w:r w:rsidRPr="000D6866">
              <w:rPr>
                <w:rFonts w:ascii="Verdana" w:eastAsia="Calibri" w:hAnsi="Verdana" w:cs="Arial"/>
                <w:color w:val="0D0D0D"/>
                <w:kern w:val="2"/>
                <w:lang w:eastAsia="es-MX"/>
                <w14:ligatures w14:val="standardContextual"/>
              </w:rPr>
              <w:t xml:space="preserve"> por su naturaleza y finalidad, están orientadas a la prestación de servicios públicos y al desarrollo de funciones institucionales del Estado.  </w:t>
            </w:r>
          </w:p>
          <w:p w14:paraId="7CEB0167" w14:textId="77777777" w:rsidR="00FE66BB" w:rsidRPr="000D6866" w:rsidRDefault="00FE66BB" w:rsidP="00FE66BB">
            <w:pPr>
              <w:spacing w:after="120" w:line="276" w:lineRule="auto"/>
              <w:ind w:firstLine="708"/>
              <w:jc w:val="both"/>
              <w:rPr>
                <w:rFonts w:ascii="Verdana" w:eastAsia="Calibri" w:hAnsi="Verdana" w:cs="Arial"/>
                <w:color w:val="000000"/>
                <w:kern w:val="2"/>
                <w:lang w:eastAsia="es-MX"/>
                <w14:ligatures w14:val="standardContextual"/>
              </w:rPr>
            </w:pPr>
            <w:r w:rsidRPr="000D6866">
              <w:rPr>
                <w:rFonts w:ascii="Verdana" w:eastAsia="Calibri" w:hAnsi="Verdana" w:cs="Arial"/>
                <w:color w:val="000000"/>
                <w:kern w:val="2"/>
                <w:lang w:eastAsia="es-MX"/>
                <w14:ligatures w14:val="standardContextual"/>
              </w:rPr>
              <w:t xml:space="preserve">De acuerdo con la definición del Subgrupo de Ocupación Institucional y las edificaciones que este comprende, dentro de este se encuentran las edificaciones institucionales judiciales, entendidas estas como el lugar físico –edificio, sedes u oficinas– destinados al funcionamiento de los órganos que integran la administración de justicia, tales como tribunales, juzgados, fiscalías </w:t>
            </w:r>
            <w:r w:rsidRPr="000D6866">
              <w:rPr>
                <w:rFonts w:ascii="Verdana" w:eastAsia="Calibri" w:hAnsi="Verdana" w:cs="Arial"/>
                <w:color w:val="000000"/>
                <w:kern w:val="2"/>
                <w:lang w:eastAsia="es-MX"/>
                <w14:ligatures w14:val="standardContextual"/>
              </w:rPr>
              <w:lastRenderedPageBreak/>
              <w:t>y demás entidades que cumplen funciones relacionadas con la actividad judicial y de apoyo a esta</w:t>
            </w:r>
            <w:r w:rsidRPr="000D6866">
              <w:rPr>
                <w:rFonts w:ascii="Verdana" w:eastAsia="Calibri" w:hAnsi="Verdana" w:cs="Arial"/>
                <w:color w:val="000000"/>
                <w:kern w:val="2"/>
                <w:vertAlign w:val="superscript"/>
                <w:lang w:eastAsia="es-MX"/>
                <w14:ligatures w14:val="standardContextual"/>
              </w:rPr>
              <w:footnoteReference w:id="4"/>
            </w:r>
            <w:r w:rsidRPr="000D6866">
              <w:rPr>
                <w:rFonts w:ascii="Verdana" w:eastAsia="Calibri" w:hAnsi="Verdana" w:cs="Arial"/>
                <w:color w:val="000000"/>
                <w:kern w:val="2"/>
                <w:lang w:eastAsia="es-MX"/>
                <w14:ligatures w14:val="standardContextual"/>
              </w:rPr>
              <w:t xml:space="preserve">. </w:t>
            </w:r>
          </w:p>
          <w:p w14:paraId="5EA1BACA" w14:textId="77777777" w:rsidR="00FE66BB" w:rsidRPr="000D6866" w:rsidRDefault="00FE66BB" w:rsidP="00FE66BB">
            <w:pPr>
              <w:spacing w:after="120" w:line="276" w:lineRule="auto"/>
              <w:ind w:firstLine="708"/>
              <w:jc w:val="both"/>
              <w:rPr>
                <w:rFonts w:ascii="Verdana" w:eastAsia="Calibri" w:hAnsi="Verdana" w:cs="Arial"/>
                <w:color w:val="000000"/>
                <w:kern w:val="2"/>
                <w:lang w:eastAsia="es-MX"/>
                <w14:ligatures w14:val="standardContextual"/>
              </w:rPr>
            </w:pPr>
            <w:r w:rsidRPr="000D6866">
              <w:rPr>
                <w:rFonts w:ascii="Verdana" w:eastAsia="Calibri" w:hAnsi="Verdana" w:cs="Arial"/>
                <w:color w:val="000000"/>
                <w:kern w:val="2"/>
                <w:lang w:eastAsia="es-MX"/>
                <w14:ligatures w14:val="standardContextual"/>
              </w:rPr>
              <w:t>Considerando que el Instituto Nacional de Medicina Legal y Ciencias Forenses pertenece a la Rama Judicial y se encuentra adscrito a la Fiscalía General de la Nación</w:t>
            </w:r>
            <w:r w:rsidRPr="000D6866">
              <w:rPr>
                <w:rFonts w:ascii="Verdana" w:eastAsia="Calibri" w:hAnsi="Verdana" w:cs="Arial"/>
                <w:color w:val="000000"/>
                <w:kern w:val="2"/>
                <w:vertAlign w:val="superscript"/>
                <w:lang w:eastAsia="es-MX"/>
                <w14:ligatures w14:val="standardContextual"/>
              </w:rPr>
              <w:footnoteReference w:id="5"/>
            </w:r>
            <w:r w:rsidRPr="000D6866">
              <w:rPr>
                <w:rFonts w:ascii="Verdana" w:eastAsia="Calibri" w:hAnsi="Verdana" w:cs="Arial"/>
                <w:color w:val="000000"/>
                <w:kern w:val="2"/>
                <w:lang w:eastAsia="es-MX"/>
                <w14:ligatures w14:val="standardContextual"/>
              </w:rPr>
              <w:t xml:space="preserve">, y que su </w:t>
            </w:r>
            <w:r w:rsidRPr="000D6866">
              <w:rPr>
                <w:rFonts w:ascii="Verdana" w:eastAsia="Calibri" w:hAnsi="Verdana" w:cs="Arial"/>
                <w:i/>
                <w:iCs/>
                <w:color w:val="000000"/>
                <w:kern w:val="2"/>
                <w:lang w:eastAsia="es-MX"/>
                <w14:ligatures w14:val="standardContextual"/>
              </w:rPr>
              <w:t>“(…) misión</w:t>
            </w:r>
            <w:r w:rsidRPr="000D6866">
              <w:rPr>
                <w:rFonts w:ascii="Verdana" w:eastAsia="Aptos" w:hAnsi="Verdana" w:cs="Times New Roman"/>
                <w:i/>
                <w:iCs/>
                <w:color w:val="000000"/>
                <w:kern w:val="2"/>
                <w:shd w:val="clear" w:color="auto" w:fill="FFFFFF"/>
                <w14:ligatures w14:val="standardContextual"/>
              </w:rPr>
              <w:t xml:space="preserve"> fundamental (…) es prestar auxilio y soporte científico y técnico a la administración de justicia en todo el territorio nacional, en lo concerniente a medicina legal y las ciencias forenses”</w:t>
            </w:r>
            <w:r w:rsidRPr="000D6866">
              <w:rPr>
                <w:rFonts w:ascii="Verdana" w:eastAsia="Calibri" w:hAnsi="Verdana" w:cs="Arial"/>
                <w:i/>
                <w:iCs/>
                <w:color w:val="000000"/>
                <w:kern w:val="2"/>
                <w:vertAlign w:val="superscript"/>
                <w:lang w:eastAsia="es-MX"/>
                <w14:ligatures w14:val="standardContextual"/>
              </w:rPr>
              <w:footnoteReference w:id="6"/>
            </w:r>
            <w:r w:rsidRPr="000D6866">
              <w:rPr>
                <w:rFonts w:ascii="Verdana" w:eastAsia="Calibri" w:hAnsi="Verdana" w:cs="Arial"/>
                <w:i/>
                <w:iCs/>
                <w:color w:val="000000"/>
                <w:kern w:val="2"/>
                <w:lang w:eastAsia="es-MX"/>
                <w14:ligatures w14:val="standardContextual"/>
              </w:rPr>
              <w:t>;</w:t>
            </w:r>
            <w:r w:rsidRPr="000D6866">
              <w:rPr>
                <w:rFonts w:ascii="Verdana" w:eastAsia="Calibri" w:hAnsi="Verdana" w:cs="Arial"/>
                <w:color w:val="000000"/>
                <w:kern w:val="2"/>
                <w:lang w:eastAsia="es-MX"/>
                <w14:ligatures w14:val="standardContextual"/>
              </w:rPr>
              <w:t xml:space="preserve"> bajo este contexto, las actividades desarrolladas por el Instituto revisten la naturaleza de un servicio asociado a la administración de justicia, en la medida en que realiza labores médico-legales, periciales, científicas, extra-periciales, entre otras, requeridas por los jueces, fiscales, policía judicial, defensoría pública y demás autoridades competentes en todo el territorio nacional</w:t>
            </w:r>
            <w:r w:rsidRPr="000D6866">
              <w:rPr>
                <w:rFonts w:ascii="Verdana" w:eastAsia="Aptos" w:hAnsi="Verdana" w:cs="Times New Roman"/>
                <w:kern w:val="2"/>
                <w:vertAlign w:val="superscript"/>
                <w14:ligatures w14:val="standardContextual"/>
              </w:rPr>
              <w:footnoteReference w:id="7"/>
            </w:r>
            <w:r w:rsidRPr="000D6866">
              <w:rPr>
                <w:rFonts w:ascii="Verdana" w:eastAsia="Calibri" w:hAnsi="Verdana" w:cs="Arial"/>
                <w:color w:val="000000"/>
                <w:kern w:val="2"/>
                <w:lang w:eastAsia="es-MX"/>
                <w14:ligatures w14:val="standardContextual"/>
              </w:rPr>
              <w:t xml:space="preserve">. </w:t>
            </w:r>
          </w:p>
          <w:p w14:paraId="7D87B736" w14:textId="77777777" w:rsidR="00FE66BB" w:rsidRPr="000D6866" w:rsidRDefault="00FE66BB" w:rsidP="00FE66BB">
            <w:pPr>
              <w:spacing w:after="120" w:line="276" w:lineRule="auto"/>
              <w:ind w:firstLine="708"/>
              <w:jc w:val="both"/>
              <w:rPr>
                <w:rFonts w:ascii="Verdana" w:eastAsia="Calibri" w:hAnsi="Verdana" w:cs="Arial"/>
                <w:color w:val="000000"/>
                <w:kern w:val="2"/>
                <w:lang w:eastAsia="es-MX"/>
                <w14:ligatures w14:val="standardContextual"/>
              </w:rPr>
            </w:pPr>
            <w:r w:rsidRPr="000D6866">
              <w:rPr>
                <w:rFonts w:ascii="Verdana" w:eastAsia="Calibri" w:hAnsi="Verdana" w:cs="Arial"/>
                <w:color w:val="000000"/>
                <w:kern w:val="2"/>
                <w:lang w:eastAsia="es-MX"/>
                <w14:ligatures w14:val="standardContextual"/>
              </w:rPr>
              <w:t>Teniendo en cuenta la naturaleza jurídica, funcional y misional del Instituto Nacional de Medicina Legal y Ciencias Forenses, así como el uso y la destinación de sus edificaciones, orientadas al ejercicio de funciones asociadas al auxilio y soporte científico y técnico a la administración de justicia, estas deben clasificarse dentro del Subgrupo de Ocupación Institucional de Servicio Público. En consecuencia, les resultan aplicables los documentos tipo del sector institucional, particularmente las actividades contenidas en el capítulo 2 “Obras en proyectos de infraestructura institucional de servicio público”.</w:t>
            </w:r>
          </w:p>
          <w:p w14:paraId="5A8C9F08" w14:textId="77777777" w:rsidR="00FE66BB" w:rsidRPr="000D6866" w:rsidRDefault="00FE66BB" w:rsidP="00FE66BB">
            <w:pPr>
              <w:spacing w:after="120" w:line="276" w:lineRule="auto"/>
              <w:jc w:val="both"/>
              <w:rPr>
                <w:rFonts w:ascii="Verdana" w:eastAsia="Aptos" w:hAnsi="Verdana" w:cs="Aptos"/>
                <w:kern w:val="2"/>
                <w14:ligatures w14:val="standardContextual"/>
              </w:rPr>
            </w:pPr>
            <w:proofErr w:type="spellStart"/>
            <w:r w:rsidRPr="000D6866">
              <w:rPr>
                <w:rFonts w:ascii="Verdana" w:eastAsia="Calibri" w:hAnsi="Verdana" w:cs="Arial"/>
                <w:color w:val="000000"/>
                <w:kern w:val="2"/>
                <w:lang w:eastAsia="es-MX"/>
                <w14:ligatures w14:val="standardContextual"/>
              </w:rPr>
              <w:t>ii</w:t>
            </w:r>
            <w:proofErr w:type="spellEnd"/>
            <w:r w:rsidRPr="000D6866">
              <w:rPr>
                <w:rFonts w:ascii="Verdana" w:eastAsia="Calibri" w:hAnsi="Verdana" w:cs="Arial"/>
                <w:color w:val="000000"/>
                <w:kern w:val="2"/>
                <w:lang w:eastAsia="es-MX"/>
                <w14:ligatures w14:val="standardContextual"/>
              </w:rPr>
              <w:t>. P</w:t>
            </w:r>
            <w:r w:rsidRPr="000D6866">
              <w:rPr>
                <w:rFonts w:ascii="Verdana" w:eastAsia="Aptos" w:hAnsi="Verdana" w:cs="Aptos"/>
                <w:kern w:val="2"/>
                <w14:ligatures w14:val="standardContextual"/>
              </w:rPr>
              <w:t xml:space="preserve">ara efectos de la construcción de las sedes del Instituto Nacional de Medicina Legal y Ciencias Forenses, debe aplicarse la actividad 2.1 contenida en el capítulo 2 “Obras en proyectos de infraestructura institucional de servicio público” de la Matriz 1 – Experiencia del Sector Institucional, considerando que esta corresponde a “PROYECTOS DE CONSTRUCCIÓN Y/O AMPLIACIÓN Y/O RECONSTRUCCIÓN DE INFRAESTRUCTURA DE SERVICIO PUBLICO”. </w:t>
            </w:r>
          </w:p>
          <w:p w14:paraId="5FBDDEE1" w14:textId="77777777" w:rsidR="00FE66BB" w:rsidRPr="000D6866" w:rsidRDefault="00FE66BB" w:rsidP="00FE66BB">
            <w:pPr>
              <w:spacing w:after="120" w:line="276" w:lineRule="auto"/>
              <w:ind w:firstLine="708"/>
              <w:jc w:val="both"/>
              <w:rPr>
                <w:rFonts w:ascii="Verdana" w:eastAsia="Aptos" w:hAnsi="Verdana" w:cs="Aptos"/>
                <w:kern w:val="2"/>
                <w14:ligatures w14:val="standardContextual"/>
              </w:rPr>
            </w:pPr>
            <w:r w:rsidRPr="000D6866">
              <w:rPr>
                <w:rFonts w:ascii="Verdana" w:eastAsia="Aptos" w:hAnsi="Verdana" w:cs="Aptos"/>
                <w:kern w:val="2"/>
                <w14:ligatures w14:val="standardContextual"/>
              </w:rPr>
              <w:lastRenderedPageBreak/>
              <w:t xml:space="preserve">En ese sentido, la construcción de infraestructura de servicio público que, para este caso, comprende las sedes del Instituto Nacional de Medicina Legal y Ciencias Forenses, deberá adelantarse bajo la actividad anteriormente señalada. En consecuencia, todos los espacios que integren la edificación, tales como áreas administrativas, salas de atención, laboratorios forenses, morgues y demás dependencias requeridas para el cumplimiento de sus funciones institucionales, deberán contratarse bajo la referida actividad. Esto, en consideración a que la incorporación de componentes técnicos o especializados dentro de la infraestructura no modifica la naturaleza principal del proyecto ni desvirtúa su clasificación como infraestructura institucional de servicio público. Por el contrario, dichos espacios constituyen áreas funcionales necesarias para el desarrollo de las funciones misionales del Instituto, relacionadas con el apoyo técnico-científico a la administración de justicia, razón por la cual hacen parte integral de una edificación institucional de carácter judicial y no de otro tipo de infraestructura. </w:t>
            </w:r>
          </w:p>
          <w:p w14:paraId="121C49F0" w14:textId="77777777" w:rsidR="00FE66BB" w:rsidRPr="00FE66BB" w:rsidRDefault="00FE66BB" w:rsidP="00FE66BB">
            <w:pPr>
              <w:spacing w:after="120" w:line="276" w:lineRule="auto"/>
              <w:ind w:firstLine="708"/>
              <w:jc w:val="both"/>
              <w:rPr>
                <w:rFonts w:ascii="Verdana" w:eastAsia="Calibri" w:hAnsi="Verdana" w:cs="Arial"/>
                <w:bCs/>
                <w:color w:val="000000"/>
                <w:kern w:val="2"/>
                <w:sz w:val="24"/>
                <w:szCs w:val="24"/>
                <w14:ligatures w14:val="standardContextual"/>
              </w:rPr>
            </w:pPr>
            <w:r w:rsidRPr="000D6866">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0D6866">
              <w:rPr>
                <w:rFonts w:ascii="Verdana" w:eastAsia="Times New Roman" w:hAnsi="Verdana" w:cs="Arial"/>
                <w:kern w:val="2"/>
                <w:shd w:val="clear" w:color="auto" w:fill="FFFFFF"/>
                <w:lang w:val="es-ES_tradnl" w:eastAsia="es-ES_tradnl"/>
                <w14:ligatures w14:val="standardContextual"/>
              </w:rPr>
              <w:t xml:space="preserve"> </w:t>
            </w:r>
            <w:r w:rsidRPr="000D6866">
              <w:rPr>
                <w:rFonts w:ascii="Verdana" w:eastAsia="Calibri" w:hAnsi="Verdana" w:cs="Arial"/>
                <w:bCs/>
                <w:color w:val="000000"/>
                <w:kern w:val="2"/>
                <w14:ligatures w14:val="standardContextual"/>
              </w:rPr>
              <w:t xml:space="preserve"> </w:t>
            </w:r>
            <w:r w:rsidRPr="000D6866">
              <w:rPr>
                <w:rFonts w:ascii="Verdana" w:eastAsia="Calibri" w:hAnsi="Verdana" w:cs="Arial"/>
                <w:color w:val="000000"/>
                <w:kern w:val="2"/>
                <w14:ligatures w14:val="standardContextual"/>
              </w:rPr>
              <w:t xml:space="preserve"> </w:t>
            </w:r>
          </w:p>
        </w:tc>
      </w:tr>
    </w:tbl>
    <w:p w14:paraId="47D3CB4A" w14:textId="77777777" w:rsidR="00FE66BB" w:rsidRPr="00FE66BB" w:rsidRDefault="00FE66BB" w:rsidP="00FE66BB">
      <w:pPr>
        <w:tabs>
          <w:tab w:val="left" w:pos="142"/>
          <w:tab w:val="left" w:pos="284"/>
        </w:tabs>
        <w:spacing w:after="0" w:line="276" w:lineRule="auto"/>
        <w:jc w:val="both"/>
        <w:rPr>
          <w:rFonts w:ascii="Verdana" w:eastAsia="Century Gothic" w:hAnsi="Verdana" w:cs="Century Gothic"/>
          <w:b/>
          <w:bCs/>
          <w:lang w:val="es-ES" w:eastAsia="es-MX"/>
        </w:rPr>
      </w:pPr>
    </w:p>
    <w:p w14:paraId="232AB32C" w14:textId="77777777" w:rsidR="00FE66BB" w:rsidRPr="00FE66BB" w:rsidRDefault="00FE66BB" w:rsidP="00FE66BB">
      <w:pPr>
        <w:tabs>
          <w:tab w:val="left" w:pos="142"/>
          <w:tab w:val="left" w:pos="284"/>
        </w:tabs>
        <w:spacing w:after="0" w:line="276" w:lineRule="auto"/>
        <w:jc w:val="both"/>
        <w:rPr>
          <w:rFonts w:ascii="Verdana" w:eastAsia="Century Gothic" w:hAnsi="Verdana" w:cs="Century Gothic"/>
          <w:b/>
          <w:bCs/>
          <w:lang w:val="es-ES" w:eastAsia="es-MX"/>
        </w:rPr>
      </w:pPr>
      <w:r w:rsidRPr="00FE66BB">
        <w:rPr>
          <w:rFonts w:ascii="Verdana" w:eastAsia="Century Gothic" w:hAnsi="Verdana" w:cs="Century Gothic"/>
          <w:b/>
          <w:bCs/>
          <w:lang w:val="es-ES" w:eastAsia="es-MX"/>
        </w:rPr>
        <w:t>3. Razones de la respuesta:</w:t>
      </w:r>
    </w:p>
    <w:p w14:paraId="382857EE" w14:textId="77777777" w:rsidR="00FE66BB" w:rsidRPr="00FE66BB" w:rsidRDefault="00FE66BB" w:rsidP="00FE66BB">
      <w:pPr>
        <w:spacing w:after="0" w:line="276" w:lineRule="auto"/>
        <w:jc w:val="both"/>
        <w:rPr>
          <w:rFonts w:ascii="Verdana" w:eastAsia="Calibri" w:hAnsi="Verdana" w:cs="Arial"/>
          <w:lang w:val="es-ES" w:eastAsia="es-MX"/>
        </w:rPr>
      </w:pPr>
    </w:p>
    <w:p w14:paraId="7EC22118" w14:textId="77777777" w:rsidR="00FE66BB" w:rsidRPr="00FE66BB" w:rsidRDefault="00FE66BB" w:rsidP="00FE66BB">
      <w:pPr>
        <w:spacing w:after="0" w:line="276" w:lineRule="auto"/>
        <w:jc w:val="both"/>
        <w:rPr>
          <w:rFonts w:ascii="Verdana" w:eastAsia="Calibri" w:hAnsi="Verdana" w:cs="Arial"/>
          <w:lang w:val="es-ES" w:eastAsia="es-MX"/>
        </w:rPr>
      </w:pPr>
      <w:r w:rsidRPr="00FE66BB">
        <w:rPr>
          <w:rFonts w:ascii="Verdana" w:eastAsia="Calibri" w:hAnsi="Verdana" w:cs="Arial"/>
          <w:lang w:val="es-ES" w:eastAsia="es-MX"/>
        </w:rPr>
        <w:t xml:space="preserve">Lo anterior se sustenta en las siguientes consideraciones: </w:t>
      </w:r>
    </w:p>
    <w:p w14:paraId="787C9B8A" w14:textId="77777777" w:rsidR="00FE66BB" w:rsidRPr="00FE66BB" w:rsidRDefault="00FE66BB" w:rsidP="00FE66BB">
      <w:pPr>
        <w:spacing w:after="0" w:line="276" w:lineRule="auto"/>
        <w:jc w:val="both"/>
        <w:rPr>
          <w:rFonts w:ascii="Verdana" w:eastAsia="Calibri" w:hAnsi="Verdana" w:cs="Arial"/>
          <w:lang w:val="es-ES" w:eastAsia="es-MX"/>
        </w:rPr>
      </w:pPr>
    </w:p>
    <w:p w14:paraId="5F67E6B5" w14:textId="77777777" w:rsidR="00FE66BB" w:rsidRPr="00FE66BB" w:rsidRDefault="00FE66BB" w:rsidP="00FE66BB">
      <w:pPr>
        <w:spacing w:after="120" w:line="276" w:lineRule="auto"/>
        <w:jc w:val="both"/>
        <w:rPr>
          <w:rFonts w:ascii="Verdana" w:eastAsia="Aptos" w:hAnsi="Verdana" w:cs="Arial"/>
          <w:lang w:eastAsia="es-MX"/>
        </w:rPr>
      </w:pPr>
      <w:r w:rsidRPr="00FE66BB">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00A850C" w14:textId="77777777" w:rsidR="00FE66BB" w:rsidRPr="00FE66BB" w:rsidRDefault="00FE66BB" w:rsidP="00FE66BB">
      <w:pPr>
        <w:spacing w:after="120" w:line="276" w:lineRule="auto"/>
        <w:ind w:firstLine="708"/>
        <w:jc w:val="both"/>
        <w:rPr>
          <w:rFonts w:ascii="Verdana" w:eastAsia="Aptos" w:hAnsi="Verdana" w:cs="Arial"/>
          <w:lang w:eastAsia="es-MX"/>
        </w:rPr>
      </w:pPr>
      <w:r w:rsidRPr="00FE66BB">
        <w:rPr>
          <w:rFonts w:ascii="Verdana" w:eastAsia="Aptos" w:hAnsi="Verdana" w:cs="Arial"/>
          <w:lang w:val="es-ES" w:eastAsia="es-MX"/>
        </w:rPr>
        <w:lastRenderedPageBreak/>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E9EE84A"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r w:rsidRPr="00FE66BB">
        <w:rPr>
          <w:rFonts w:ascii="Verdana" w:eastAsia="Aptos" w:hAnsi="Verdana" w:cs="Arial"/>
          <w:lang w:eastAsia="es-MX"/>
        </w:rPr>
        <w:t xml:space="preserve">En el sector social, </w:t>
      </w:r>
      <w:r w:rsidRPr="00FE66BB">
        <w:rPr>
          <w:rFonts w:ascii="Verdana" w:eastAsia="Calibri" w:hAnsi="Verdana" w:cs="Arial"/>
          <w:lang w:val="es-MX" w:eastAsia="es-MX"/>
        </w:rPr>
        <w:t xml:space="preserve">la Agencia Nacional de Contratación Pública – Colombia Compra </w:t>
      </w:r>
      <w:r w:rsidRPr="00FE66BB">
        <w:rPr>
          <w:rFonts w:ascii="Verdana" w:eastAsia="Calibri" w:hAnsi="Verdana" w:cs="Arial"/>
          <w:lang w:eastAsia="es-MX"/>
        </w:rPr>
        <w:t xml:space="preserve">Eficiente </w:t>
      </w:r>
      <w:r w:rsidRPr="00FE66BB">
        <w:rPr>
          <w:rFonts w:ascii="Verdana" w:eastAsia="Times New Roman" w:hAnsi="Verdana" w:cs="Times New Roman"/>
          <w:color w:val="000000"/>
          <w:lang w:eastAsia="es-CO"/>
        </w:rPr>
        <w:t>en el segundo semestre del año 2025 adoptó las siguientes Resoluciones para contratar obra pública y concurso de méritos:</w:t>
      </w:r>
    </w:p>
    <w:p w14:paraId="51422AEF"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275FAAC"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 xml:space="preserve"> </w:t>
      </w:r>
      <w:proofErr w:type="spellStart"/>
      <w:r w:rsidRPr="00FE66BB">
        <w:rPr>
          <w:rFonts w:ascii="Verdana" w:eastAsia="Times New Roman" w:hAnsi="Verdana" w:cs="Times New Roman"/>
          <w:color w:val="000000"/>
          <w:lang w:eastAsia="es-CO"/>
        </w:rPr>
        <w:t>ii</w:t>
      </w:r>
      <w:proofErr w:type="spellEnd"/>
      <w:r w:rsidRPr="00FE66BB">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31E8F3F"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proofErr w:type="spellStart"/>
      <w:r w:rsidRPr="00FE66BB">
        <w:rPr>
          <w:rFonts w:ascii="Verdana" w:eastAsia="Times New Roman" w:hAnsi="Verdana" w:cs="Times New Roman"/>
          <w:color w:val="000000"/>
          <w:lang w:eastAsia="es-CO"/>
        </w:rPr>
        <w:t>iii</w:t>
      </w:r>
      <w:proofErr w:type="spellEnd"/>
      <w:r w:rsidRPr="00FE66BB">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366A39FB"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proofErr w:type="spellStart"/>
      <w:r w:rsidRPr="00FE66BB">
        <w:rPr>
          <w:rFonts w:ascii="Verdana" w:eastAsia="Times New Roman" w:hAnsi="Verdana" w:cs="Times New Roman"/>
          <w:color w:val="000000"/>
          <w:lang w:eastAsia="es-CO"/>
        </w:rPr>
        <w:lastRenderedPageBreak/>
        <w:t>iv</w:t>
      </w:r>
      <w:proofErr w:type="spellEnd"/>
      <w:r w:rsidRPr="00FE66BB">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43F20B6" w14:textId="77777777" w:rsidR="00FE66BB" w:rsidRPr="00FE66BB" w:rsidRDefault="00FE66BB" w:rsidP="00FE66BB">
      <w:pPr>
        <w:spacing w:after="120" w:line="276" w:lineRule="auto"/>
        <w:ind w:firstLine="708"/>
        <w:jc w:val="both"/>
        <w:rPr>
          <w:rFonts w:ascii="Verdana" w:eastAsia="Times New Roman" w:hAnsi="Verdana" w:cs="Times New Roman"/>
          <w:color w:val="000000"/>
          <w:lang w:eastAsia="es-CO"/>
        </w:rPr>
      </w:pPr>
      <w:r w:rsidRPr="00FE66BB">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FE66BB">
        <w:rPr>
          <w:rFonts w:ascii="Verdana" w:eastAsia="Aptos" w:hAnsi="Verdana" w:cs="Times New Roman"/>
          <w:lang w:eastAsia="es-MX"/>
        </w:rPr>
        <w:t xml:space="preserve"> </w:t>
      </w:r>
    </w:p>
    <w:p w14:paraId="24D6A762" w14:textId="77777777" w:rsidR="00FE66BB" w:rsidRPr="00FE66BB" w:rsidRDefault="00FE66BB" w:rsidP="00FE66BB">
      <w:pPr>
        <w:spacing w:after="120" w:line="276" w:lineRule="auto"/>
        <w:ind w:firstLine="708"/>
        <w:jc w:val="both"/>
        <w:textAlignment w:val="baseline"/>
        <w:rPr>
          <w:rFonts w:ascii="Verdana" w:eastAsia="Calibri" w:hAnsi="Verdana" w:cs="Arial"/>
          <w:lang w:eastAsia="es-MX"/>
        </w:rPr>
      </w:pPr>
      <w:r w:rsidRPr="00FE66BB">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FE66BB">
        <w:rPr>
          <w:rFonts w:ascii="Verdana" w:eastAsia="Calibri" w:hAnsi="Verdana" w:cs="Arial"/>
          <w:vertAlign w:val="superscript"/>
          <w:lang w:eastAsia="es-MX"/>
        </w:rPr>
        <w:footnoteReference w:id="8"/>
      </w:r>
      <w:r w:rsidRPr="00FE66BB">
        <w:rPr>
          <w:rFonts w:ascii="Verdana" w:eastAsia="Calibri" w:hAnsi="Verdana" w:cs="Arial"/>
          <w:lang w:eastAsia="es-MX"/>
        </w:rPr>
        <w:t>.</w:t>
      </w:r>
    </w:p>
    <w:p w14:paraId="59E01618" w14:textId="77777777" w:rsidR="00FE66BB" w:rsidRPr="00FE66BB" w:rsidRDefault="00FE66BB" w:rsidP="00FE66B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E66BB">
        <w:rPr>
          <w:rFonts w:ascii="Verdana" w:eastAsia="Calibri" w:hAnsi="Verdana" w:cs="Times New Roman"/>
          <w:shd w:val="clear" w:color="auto" w:fill="E8E8E8"/>
          <w:lang w:val="es-ES" w:eastAsia="es-MX"/>
        </w:rPr>
        <w:t>–[texto]–,</w:t>
      </w:r>
      <w:r w:rsidRPr="00FE66BB">
        <w:rPr>
          <w:rFonts w:ascii="Verdana" w:eastAsia="Calibri" w:hAnsi="Verdana" w:cs="Times New Roman"/>
          <w:lang w:val="es-ES" w:eastAsia="es-MX"/>
        </w:rPr>
        <w:t xml:space="preserve"> para lo cual deberán observarse las instrucciones contenidas en los mismos para su diligenciamiento.</w:t>
      </w:r>
    </w:p>
    <w:p w14:paraId="04BC791B" w14:textId="77777777" w:rsidR="00FE66BB" w:rsidRPr="00FE66BB" w:rsidRDefault="00FE66BB" w:rsidP="00FE66B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D7EA0E1" w14:textId="77777777" w:rsidR="00FE66BB" w:rsidRPr="00FE66BB" w:rsidRDefault="00FE66BB" w:rsidP="00FE66B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DEEA7B1" w14:textId="77777777" w:rsidR="00FE66BB" w:rsidRPr="00FE66BB" w:rsidRDefault="00FE66BB" w:rsidP="00FE66B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7A3DD83" w14:textId="77777777" w:rsidR="00FE66BB" w:rsidRPr="00FE66BB" w:rsidRDefault="00FE66BB" w:rsidP="00FE66BB">
      <w:pPr>
        <w:widowControl w:val="0"/>
        <w:autoSpaceDE w:val="0"/>
        <w:autoSpaceDN w:val="0"/>
        <w:spacing w:after="12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 xml:space="preserve">La Matriz – Experiencia, cumple una doble función: Por un lado, sirve para </w:t>
      </w:r>
      <w:r w:rsidRPr="00FE66BB">
        <w:rPr>
          <w:rFonts w:ascii="Verdana" w:eastAsia="Calibri" w:hAnsi="Verdana" w:cs="Times New Roman"/>
          <w:lang w:val="es-ES" w:eastAsia="es-MX"/>
        </w:rPr>
        <w:lastRenderedPageBreak/>
        <w:t>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475A483" w14:textId="77777777" w:rsidR="00FE66BB" w:rsidRPr="00FE66BB" w:rsidRDefault="00FE66BB" w:rsidP="00FE66BB">
      <w:pPr>
        <w:widowControl w:val="0"/>
        <w:autoSpaceDE w:val="0"/>
        <w:autoSpaceDN w:val="0"/>
        <w:spacing w:after="0" w:line="276" w:lineRule="auto"/>
        <w:ind w:firstLine="708"/>
        <w:jc w:val="both"/>
        <w:rPr>
          <w:rFonts w:ascii="Verdana" w:eastAsia="Calibri" w:hAnsi="Verdana" w:cs="Times New Roman"/>
          <w:lang w:val="es-ES" w:eastAsia="es-MX"/>
        </w:rPr>
      </w:pPr>
      <w:r w:rsidRPr="00FE66BB">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034F8BA" w14:textId="77777777" w:rsidR="00FE66BB" w:rsidRPr="00FE66BB" w:rsidRDefault="00FE66BB" w:rsidP="00FE66BB">
      <w:pPr>
        <w:widowControl w:val="0"/>
        <w:autoSpaceDE w:val="0"/>
        <w:autoSpaceDN w:val="0"/>
        <w:spacing w:after="0" w:line="276" w:lineRule="auto"/>
        <w:ind w:firstLine="708"/>
        <w:jc w:val="both"/>
        <w:rPr>
          <w:rFonts w:ascii="Verdana" w:eastAsia="Calibri" w:hAnsi="Verdana" w:cs="Times New Roman"/>
          <w:lang w:val="es-ES" w:eastAsia="es-MX"/>
        </w:rPr>
      </w:pPr>
    </w:p>
    <w:p w14:paraId="7B36C7D1" w14:textId="77777777" w:rsidR="00FE66BB" w:rsidRPr="00FE66BB" w:rsidRDefault="00FE66BB" w:rsidP="00FE66BB">
      <w:pPr>
        <w:spacing w:after="0" w:line="276" w:lineRule="auto"/>
        <w:jc w:val="both"/>
        <w:rPr>
          <w:rFonts w:ascii="Verdana" w:eastAsia="Calibri" w:hAnsi="Verdana" w:cs="Times New Roman"/>
          <w:lang w:eastAsia="es-MX"/>
        </w:rPr>
      </w:pPr>
      <w:proofErr w:type="spellStart"/>
      <w:r w:rsidRPr="00FE66BB">
        <w:rPr>
          <w:rFonts w:ascii="Verdana" w:eastAsia="Calibri" w:hAnsi="Verdana" w:cs="Times New Roman"/>
          <w:lang w:val="es-ES" w:eastAsia="es-MX"/>
        </w:rPr>
        <w:t>ii</w:t>
      </w:r>
      <w:proofErr w:type="spellEnd"/>
      <w:r w:rsidRPr="00FE66BB">
        <w:rPr>
          <w:rFonts w:ascii="Verdana" w:eastAsia="Calibri" w:hAnsi="Verdana" w:cs="Times New Roman"/>
          <w:lang w:val="es-ES" w:eastAsia="es-MX"/>
        </w:rPr>
        <w:t xml:space="preserve">. </w:t>
      </w:r>
      <w:r w:rsidRPr="00FE66BB">
        <w:rPr>
          <w:rFonts w:ascii="Verdana" w:eastAsia="Times New Roman" w:hAnsi="Verdana" w:cs="Times New Roman"/>
          <w:color w:val="000000"/>
          <w:lang w:eastAsia="es-CO"/>
        </w:rPr>
        <w:t>En los documentos tipo complementarios del sector Institucional, en la modalidad de licitación pública, selección abreviada de menor cuantía y mínima cuantía, en la Matriz 1 se encuentran los siguientes tipos de infraestructura:</w:t>
      </w:r>
      <w:r w:rsidRPr="00FE66BB">
        <w:rPr>
          <w:rFonts w:ascii="Verdana" w:eastAsia="Arial" w:hAnsi="Verdana" w:cs="Aptos"/>
          <w:lang w:eastAsia="es-ES"/>
        </w:rPr>
        <w:t xml:space="preserve"> “1)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FE66BB">
        <w:rPr>
          <w:rFonts w:ascii="Verdana" w:eastAsia="Times New Roman" w:hAnsi="Verdana" w:cs="Arial"/>
          <w:lang w:eastAsia="es-MX"/>
        </w:rPr>
        <w:t>.</w:t>
      </w:r>
      <w:r w:rsidRPr="00FE66BB">
        <w:rPr>
          <w:rFonts w:ascii="Verdana" w:eastAsia="Calibri" w:hAnsi="Verdana" w:cs="Times New Roman"/>
          <w:lang w:eastAsia="es-MX"/>
        </w:rPr>
        <w:t xml:space="preserve"> Particularmente, en relación con el primer problema jurídico planteado en este concepto, en el Capítulo dos (2) “</w:t>
      </w:r>
      <w:r w:rsidRPr="00FE66BB">
        <w:rPr>
          <w:rFonts w:ascii="Verdana" w:eastAsia="Arial" w:hAnsi="Verdana" w:cs="Aptos"/>
          <w:lang w:eastAsia="es-ES"/>
        </w:rPr>
        <w:t>Obras en proyectos de infraestructura institucional de servicio público”,</w:t>
      </w:r>
      <w:r w:rsidRPr="00FE66BB">
        <w:rPr>
          <w:rFonts w:ascii="Verdana" w:eastAsia="Calibri" w:hAnsi="Verdana" w:cs="Times New Roman"/>
          <w:lang w:eastAsia="es-MX"/>
        </w:rPr>
        <w:t xml:space="preserve"> se incluyen las siguientes actividades:  </w:t>
      </w:r>
    </w:p>
    <w:p w14:paraId="7F9C8B5E" w14:textId="77777777" w:rsidR="00FE66BB" w:rsidRPr="00FE66BB" w:rsidRDefault="00FE66BB" w:rsidP="00FE66BB">
      <w:pPr>
        <w:spacing w:after="0" w:line="276" w:lineRule="auto"/>
        <w:ind w:firstLine="708"/>
        <w:jc w:val="both"/>
        <w:rPr>
          <w:rFonts w:ascii="Verdana" w:eastAsia="Calibri" w:hAnsi="Verdana" w:cs="Times New Roman"/>
          <w:lang w:eastAsia="es-MX"/>
        </w:rPr>
      </w:pPr>
    </w:p>
    <w:p w14:paraId="339B8B50" w14:textId="77777777" w:rsidR="00FE66BB" w:rsidRPr="00FE66BB" w:rsidRDefault="00FE66BB" w:rsidP="00FE66BB">
      <w:pPr>
        <w:snapToGrid w:val="0"/>
        <w:spacing w:after="120" w:line="240" w:lineRule="auto"/>
        <w:ind w:left="709" w:right="709"/>
        <w:jc w:val="both"/>
        <w:rPr>
          <w:rFonts w:ascii="Verdana" w:eastAsia="Arial" w:hAnsi="Verdana" w:cs="Aptos"/>
          <w:i/>
          <w:iCs/>
          <w:sz w:val="21"/>
          <w:szCs w:val="21"/>
          <w:lang w:eastAsia="es-ES"/>
        </w:rPr>
      </w:pPr>
      <w:r w:rsidRPr="00FE66BB">
        <w:rPr>
          <w:rFonts w:ascii="Verdana" w:eastAsia="Calibri" w:hAnsi="Verdana" w:cs="Times New Roman"/>
          <w:sz w:val="21"/>
          <w:szCs w:val="21"/>
          <w:lang w:eastAsia="es-MX"/>
        </w:rPr>
        <w:t>“</w:t>
      </w:r>
      <w:r w:rsidRPr="00FE66BB">
        <w:rPr>
          <w:rFonts w:ascii="Verdana" w:eastAsia="Arial" w:hAnsi="Verdana" w:cs="Aptos"/>
          <w:i/>
          <w:iCs/>
          <w:sz w:val="21"/>
          <w:szCs w:val="21"/>
          <w:lang w:eastAsia="es-ES"/>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w:t>
      </w:r>
    </w:p>
    <w:p w14:paraId="713C40C5" w14:textId="77777777" w:rsidR="00FE66BB" w:rsidRPr="00FE66BB" w:rsidRDefault="00FE66BB" w:rsidP="00FE66BB">
      <w:pPr>
        <w:snapToGrid w:val="0"/>
        <w:spacing w:after="120" w:line="240" w:lineRule="auto"/>
        <w:ind w:left="709" w:right="709"/>
        <w:jc w:val="both"/>
        <w:rPr>
          <w:rFonts w:ascii="Verdana" w:eastAsia="Arial" w:hAnsi="Verdana" w:cs="Aptos"/>
          <w:i/>
          <w:iCs/>
          <w:sz w:val="21"/>
          <w:szCs w:val="21"/>
          <w:lang w:eastAsia="es-ES"/>
        </w:rPr>
      </w:pPr>
      <w:r w:rsidRPr="00FE66BB">
        <w:rPr>
          <w:rFonts w:ascii="Verdana" w:eastAsia="Arial" w:hAnsi="Verdana" w:cs="Aptos"/>
          <w:i/>
          <w:iCs/>
          <w:sz w:val="21"/>
          <w:szCs w:val="21"/>
          <w:lang w:eastAsia="es-ES"/>
        </w:rPr>
        <w:lastRenderedPageBreak/>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PÚBLICO.</w:t>
      </w:r>
    </w:p>
    <w:p w14:paraId="2F8DB510" w14:textId="77777777" w:rsidR="00FE66BB" w:rsidRPr="00FE66BB" w:rsidRDefault="00FE66BB" w:rsidP="00FE66BB">
      <w:pPr>
        <w:snapToGrid w:val="0"/>
        <w:spacing w:after="120" w:line="240" w:lineRule="auto"/>
        <w:ind w:left="709" w:right="709"/>
        <w:jc w:val="both"/>
        <w:rPr>
          <w:rFonts w:ascii="Verdana" w:eastAsia="Calibri" w:hAnsi="Verdana" w:cs="Times New Roman"/>
          <w:sz w:val="21"/>
          <w:szCs w:val="21"/>
          <w:lang w:eastAsia="es-MX"/>
        </w:rPr>
      </w:pPr>
      <w:r w:rsidRPr="00FE66BB">
        <w:rPr>
          <w:rFonts w:ascii="Verdana" w:eastAsia="Arial" w:hAnsi="Verdana" w:cs="Aptos"/>
          <w:i/>
          <w:iCs/>
          <w:sz w:val="21"/>
          <w:szCs w:val="21"/>
          <w:lang w:eastAsia="es-ES"/>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w:t>
      </w:r>
      <w:r w:rsidRPr="00FE66BB">
        <w:rPr>
          <w:rFonts w:ascii="Verdana" w:eastAsia="Calibri" w:hAnsi="Verdana" w:cs="Times New Roman"/>
          <w:sz w:val="21"/>
          <w:szCs w:val="21"/>
          <w:lang w:eastAsia="es-MX"/>
        </w:rPr>
        <w:t>.</w:t>
      </w:r>
    </w:p>
    <w:p w14:paraId="6A67E513" w14:textId="77777777" w:rsidR="00FE66BB" w:rsidRPr="00FE66BB" w:rsidRDefault="00FE66BB" w:rsidP="00FE66B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2ECC07EF" w14:textId="77777777" w:rsidR="00FE66BB" w:rsidRPr="00FE66BB" w:rsidRDefault="00FE66BB" w:rsidP="00FE66B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2.11. PROYECTOS DE SUMINISTRO Y/O INSTALACIÓN DE DOTACIÓN Y/O DE MOBILIARIO INTERNO O EXTERNO PARA INFRAESTRUCTURA DE SERVICIO PUBLICO</w:t>
      </w:r>
    </w:p>
    <w:p w14:paraId="6459233B" w14:textId="77777777" w:rsidR="00FE66BB" w:rsidRPr="00FE66BB" w:rsidRDefault="00FE66BB" w:rsidP="00FE66B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2.12. PROYECTOS DE SUMINISTRO Y/O INSTALACION DE EQUIPOS ESPECIALES Y/O ELECTROMECÁNICOS Y/O ELECTRÓNICOS Y/O MAQUINARIA U OTROS TIPOS DE EQUIPOS PARA INFRAESTRUCTURA DE SERVICIO PUBLICO</w:t>
      </w:r>
    </w:p>
    <w:p w14:paraId="4AA96C3E" w14:textId="77777777" w:rsidR="00FE66BB" w:rsidRPr="00FE66BB" w:rsidRDefault="00FE66BB" w:rsidP="00FE66B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 xml:space="preserve">2.13. PROYECTOS DE CONSTRUCCIÓN Y/O AMPLIACIÓN Y/O RECONSTRUCCIÓN Y/O ADECUACIÓN Y/O CONSERVACIÓN Y/O INTERVENCIÓN Y/O INSTALACIÓN Y/O MANTENIMIENTO Y/O </w:t>
      </w:r>
      <w:r w:rsidRPr="00FE66BB">
        <w:rPr>
          <w:rFonts w:ascii="Verdana" w:eastAsia="Arial" w:hAnsi="Verdana" w:cs="Aptos"/>
          <w:kern w:val="2"/>
          <w:sz w:val="21"/>
          <w:szCs w:val="21"/>
          <w:lang w:eastAsia="es-ES"/>
          <w14:ligatures w14:val="standardContextual"/>
        </w:rPr>
        <w:lastRenderedPageBreak/>
        <w:t>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60AA703F" w14:textId="77777777" w:rsidR="00FE66BB" w:rsidRPr="00FE66BB" w:rsidRDefault="00FE66BB" w:rsidP="00FE66BB">
      <w:pPr>
        <w:snapToGrid w:val="0"/>
        <w:spacing w:after="120" w:line="240" w:lineRule="auto"/>
        <w:ind w:left="709" w:right="709"/>
        <w:jc w:val="both"/>
        <w:rPr>
          <w:rFonts w:ascii="Verdana" w:eastAsia="Arial" w:hAnsi="Verdana" w:cs="Aptos"/>
          <w:kern w:val="2"/>
          <w:sz w:val="21"/>
          <w:szCs w:val="21"/>
          <w:lang w:eastAsia="es-ES"/>
          <w14:ligatures w14:val="standardContextual"/>
        </w:rPr>
      </w:pPr>
      <w:r w:rsidRPr="00FE66BB">
        <w:rPr>
          <w:rFonts w:ascii="Verdana" w:eastAsia="Arial" w:hAnsi="Verdana" w:cs="Aptos"/>
          <w:kern w:val="2"/>
          <w:sz w:val="21"/>
          <w:szCs w:val="21"/>
          <w:lang w:eastAsia="es-ES"/>
          <w14:ligatures w14:val="standardContextual"/>
        </w:rPr>
        <w:t>2.14. PROYECTOS DE SUMINISTRO Y/O INSTALACIÓN DE SISTEMAS DE AIRES ACONDICIONADOS O SISTEMAS DE VENTILACIÓN O SIMILARES PARA INFRAESTRUCTURA DE SERVICIO PUBLICO”.</w:t>
      </w:r>
    </w:p>
    <w:p w14:paraId="05A1060B" w14:textId="77777777" w:rsidR="00FE66BB" w:rsidRPr="00FE66BB" w:rsidRDefault="00FE66BB" w:rsidP="00FE66BB">
      <w:pPr>
        <w:spacing w:after="0" w:line="276" w:lineRule="auto"/>
        <w:ind w:firstLine="708"/>
        <w:jc w:val="both"/>
        <w:rPr>
          <w:rFonts w:ascii="Verdana" w:eastAsia="Calibri" w:hAnsi="Verdana" w:cs="Times New Roman"/>
          <w:lang w:eastAsia="es-MX"/>
        </w:rPr>
      </w:pPr>
    </w:p>
    <w:p w14:paraId="0D718FB8" w14:textId="77777777" w:rsidR="00FE66BB" w:rsidRPr="00FE66BB" w:rsidRDefault="00FE66BB" w:rsidP="00FE66B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 xml:space="preserve">Las actividades señaladas, contenidas el capítulo 2 “Obras en proyectos de infraestructura institucional de servicio público” de los documentos tipo del sector institucional, de manera general corresponden entre otras, a las siguientes: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y/o suministro y/o instalación y/o dotación de mobiliario interno y externo; y/o suministro y/o instalación de equipos especiales y/o electromecánicos y/o electrónicos y/o maquinaria; y/o suministro y/o instalación de sistemas de aires acondicionados o sistemas de ventilación o similares; todos estos proyectos sobre </w:t>
      </w:r>
      <w:r w:rsidRPr="00FE66BB">
        <w:rPr>
          <w:rFonts w:ascii="Verdana" w:eastAsia="Arial" w:hAnsi="Verdana" w:cs="Aptos"/>
          <w:i/>
          <w:iCs/>
          <w:kern w:val="2"/>
          <w:lang w:eastAsia="es-ES"/>
          <w14:ligatures w14:val="standardContextual"/>
        </w:rPr>
        <w:t>infraestructura de servicio público</w:t>
      </w:r>
      <w:r w:rsidRPr="00FE66BB">
        <w:rPr>
          <w:rFonts w:ascii="Verdana" w:eastAsia="Times New Roman" w:hAnsi="Verdana" w:cs="Aptos"/>
          <w:kern w:val="2"/>
          <w:lang w:eastAsia="es-MX"/>
          <w14:ligatures w14:val="standardContextual"/>
        </w:rPr>
        <w:t>.</w:t>
      </w:r>
    </w:p>
    <w:p w14:paraId="58A33067" w14:textId="77777777" w:rsidR="00FE66BB" w:rsidRPr="00FE66BB" w:rsidRDefault="00FE66BB" w:rsidP="00FE66B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0784BFDB" w14:textId="77777777" w:rsidR="00FE66BB" w:rsidRPr="00FE66BB" w:rsidRDefault="00FE66BB" w:rsidP="00FE66BB">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 xml:space="preserve">La nota general 1 contenida en la Matriz 1 – Experiencia de los Documentos Tipo indicados, es congruente con el numeral 1.10 del documento base que dispone que “[p]ara los fines de este Pliego de Condiciones, a menos que expresamente se estipule de otra manera, los términos deben entenderse de acuerdo con la definición contenida en el artículo 2.2.1.1.1.3.1 del Decreto </w:t>
      </w:r>
      <w:r w:rsidRPr="00FE66BB">
        <w:rPr>
          <w:rFonts w:ascii="Verdana" w:eastAsia="Times New Roman" w:hAnsi="Verdana" w:cs="Aptos"/>
          <w:kern w:val="2"/>
          <w:lang w:eastAsia="es-MX"/>
          <w14:ligatures w14:val="standardContextual"/>
        </w:rPr>
        <w:lastRenderedPageBreak/>
        <w:t>1082 de 2015, el glosario aplicable a la obra pública de infraestructura social y demás normas, decretos reglamentarios y legislación aplicable en la materia”.</w:t>
      </w:r>
    </w:p>
    <w:p w14:paraId="0AC0DF45" w14:textId="77777777" w:rsidR="00FE66BB" w:rsidRPr="00FE66BB" w:rsidRDefault="00FE66BB" w:rsidP="00FE66BB">
      <w:pPr>
        <w:spacing w:after="120" w:line="276" w:lineRule="auto"/>
        <w:ind w:firstLine="708"/>
        <w:jc w:val="both"/>
        <w:rPr>
          <w:rFonts w:ascii="Verdana" w:eastAsia="Calibri" w:hAnsi="Verdana" w:cs="Arial"/>
          <w:color w:val="0D0D0D"/>
          <w:lang w:eastAsia="es-MX"/>
        </w:rPr>
      </w:pPr>
      <w:r w:rsidRPr="00FE66BB">
        <w:rPr>
          <w:rFonts w:ascii="Verdana" w:eastAsia="Calibri" w:hAnsi="Verdana" w:cs="Arial"/>
          <w:lang w:val="es-ES_tradnl" w:eastAsia="es-MX"/>
        </w:rPr>
        <w:t xml:space="preserve">Ahora bien, como se precisó las actividades señaladas recaen sobre </w:t>
      </w:r>
      <w:r w:rsidRPr="00FE66BB">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FE66BB">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FE66BB">
        <w:rPr>
          <w:rFonts w:ascii="Verdana" w:eastAsia="Calibri" w:hAnsi="Verdana" w:cs="Arial"/>
          <w:color w:val="0D0D0D"/>
          <w:vertAlign w:val="superscript"/>
          <w:lang w:eastAsia="es-MX"/>
        </w:rPr>
        <w:footnoteReference w:id="9"/>
      </w:r>
      <w:r w:rsidRPr="00FE66BB">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FE66BB">
        <w:rPr>
          <w:rFonts w:ascii="Verdana" w:eastAsia="Calibri" w:hAnsi="Verdana" w:cs="Arial"/>
          <w:color w:val="0D0D0D"/>
          <w:vertAlign w:val="superscript"/>
          <w:lang w:eastAsia="es-MX"/>
        </w:rPr>
        <w:footnoteReference w:id="10"/>
      </w:r>
      <w:r w:rsidRPr="00FE66BB">
        <w:rPr>
          <w:rFonts w:ascii="Verdana" w:eastAsia="Calibri" w:hAnsi="Verdana" w:cs="Arial"/>
          <w:color w:val="0D0D0D"/>
          <w:lang w:eastAsia="es-MX"/>
        </w:rPr>
        <w:t>.</w:t>
      </w:r>
    </w:p>
    <w:p w14:paraId="24422213" w14:textId="77777777" w:rsidR="00FE66BB" w:rsidRPr="00FE66BB" w:rsidRDefault="00FE66BB" w:rsidP="00FE66BB">
      <w:pPr>
        <w:spacing w:after="120" w:line="276" w:lineRule="auto"/>
        <w:ind w:firstLine="708"/>
        <w:jc w:val="both"/>
        <w:rPr>
          <w:rFonts w:ascii="Verdana" w:eastAsia="Calibri" w:hAnsi="Verdana" w:cs="Arial"/>
          <w:color w:val="0D0D0D"/>
          <w:lang w:eastAsia="es-MX"/>
        </w:rPr>
      </w:pPr>
      <w:r w:rsidRPr="00FE66BB">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  </w:t>
      </w:r>
    </w:p>
    <w:p w14:paraId="1821FBBC" w14:textId="77777777" w:rsidR="00FE66BB" w:rsidRPr="00FE66BB" w:rsidRDefault="00FE66BB" w:rsidP="00FE66BB">
      <w:pPr>
        <w:spacing w:after="120" w:line="276"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t>De acuerdo con la definición del Subgrupo de Ocupación Institucional y las edificaciones que este comprende, dentro de este se encuentran las edificaciones institucionales judiciales, entendidas estas como el lugar físico –edificio, sedes u oficinas– destinados al funcionamiento de los órganos que integran la administración de justicia, tales como tribunales, juzgados, fiscalías y demás entidades que cumplen funciones relacionadas con la actividad judicial y de apoyo a esta</w:t>
      </w:r>
      <w:r w:rsidRPr="00FE66BB">
        <w:rPr>
          <w:rFonts w:ascii="Verdana" w:eastAsia="Calibri" w:hAnsi="Verdana" w:cs="Arial"/>
          <w:color w:val="000000"/>
          <w:vertAlign w:val="superscript"/>
          <w:lang w:eastAsia="es-MX"/>
        </w:rPr>
        <w:footnoteReference w:id="11"/>
      </w:r>
      <w:r w:rsidRPr="00FE66BB">
        <w:rPr>
          <w:rFonts w:ascii="Verdana" w:eastAsia="Calibri" w:hAnsi="Verdana" w:cs="Arial"/>
          <w:color w:val="000000"/>
          <w:lang w:eastAsia="es-MX"/>
        </w:rPr>
        <w:t xml:space="preserve">. </w:t>
      </w:r>
    </w:p>
    <w:p w14:paraId="6AC3240D" w14:textId="77777777" w:rsidR="00FE66BB" w:rsidRPr="00FE66BB" w:rsidRDefault="00FE66BB" w:rsidP="00FE66BB">
      <w:pPr>
        <w:spacing w:after="120" w:line="278"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lastRenderedPageBreak/>
        <w:t>Considerando que el Instituto Nacional de Medicina Legal y Ciencias Forenses pertenece a la Rama Judicial y se encuentra adscrito a la Fiscalía General de la Nación</w:t>
      </w:r>
      <w:r w:rsidRPr="00FE66BB">
        <w:rPr>
          <w:rFonts w:ascii="Verdana" w:eastAsia="Calibri" w:hAnsi="Verdana" w:cs="Arial"/>
          <w:color w:val="000000"/>
          <w:vertAlign w:val="superscript"/>
          <w:lang w:eastAsia="es-MX"/>
        </w:rPr>
        <w:footnoteReference w:id="12"/>
      </w:r>
      <w:r w:rsidRPr="00FE66BB">
        <w:rPr>
          <w:rFonts w:ascii="Verdana" w:eastAsia="Calibri" w:hAnsi="Verdana" w:cs="Arial"/>
          <w:color w:val="000000"/>
          <w:lang w:eastAsia="es-MX"/>
        </w:rPr>
        <w:t xml:space="preserve">, y que su </w:t>
      </w:r>
      <w:r w:rsidRPr="00FE66BB">
        <w:rPr>
          <w:rFonts w:ascii="Verdana" w:eastAsia="Calibri" w:hAnsi="Verdana" w:cs="Arial"/>
          <w:i/>
          <w:iCs/>
          <w:color w:val="000000"/>
          <w:lang w:eastAsia="es-MX"/>
        </w:rPr>
        <w:t>“(…) misión</w:t>
      </w:r>
      <w:r w:rsidRPr="00FE66BB">
        <w:rPr>
          <w:rFonts w:ascii="Verdana" w:eastAsia="Aptos" w:hAnsi="Verdana" w:cs="Times New Roman"/>
          <w:i/>
          <w:iCs/>
          <w:color w:val="000000"/>
          <w:kern w:val="2"/>
          <w:shd w:val="clear" w:color="auto" w:fill="FFFFFF"/>
          <w14:ligatures w14:val="standardContextual"/>
        </w:rPr>
        <w:t xml:space="preserve"> fundamental (…) es prestar auxilio y soporte científico y técnico a la administración de justicia en todo el territorio nacional, en lo concerniente a medicina legal y las ciencias forenses”</w:t>
      </w:r>
      <w:r w:rsidRPr="00FE66BB">
        <w:rPr>
          <w:rFonts w:ascii="Verdana" w:eastAsia="Calibri" w:hAnsi="Verdana" w:cs="Arial"/>
          <w:i/>
          <w:iCs/>
          <w:color w:val="000000"/>
          <w:vertAlign w:val="superscript"/>
          <w:lang w:eastAsia="es-MX"/>
        </w:rPr>
        <w:footnoteReference w:id="13"/>
      </w:r>
      <w:r w:rsidRPr="00FE66BB">
        <w:rPr>
          <w:rFonts w:ascii="Verdana" w:eastAsia="Calibri" w:hAnsi="Verdana" w:cs="Arial"/>
          <w:i/>
          <w:iCs/>
          <w:color w:val="000000"/>
          <w:lang w:eastAsia="es-MX"/>
        </w:rPr>
        <w:t>;</w:t>
      </w:r>
      <w:r w:rsidRPr="00FE66BB">
        <w:rPr>
          <w:rFonts w:ascii="Verdana" w:eastAsia="Calibri" w:hAnsi="Verdana" w:cs="Arial"/>
          <w:color w:val="000000"/>
          <w:lang w:eastAsia="es-MX"/>
        </w:rPr>
        <w:t xml:space="preserve"> bajo este contexto, las actividades desarrolladas por el Instituto revisten la naturaleza de un servicio asociado a la administración de justicia, en la medida en que realiza labores médico-legales, periciales, científicas, extra-periciales, entre otras, requeridas por los jueces, fiscales, policía judicial, defensoría pública y demás autoridades competentes en todo el territorio nacional</w:t>
      </w:r>
      <w:r w:rsidRPr="00FE66BB">
        <w:rPr>
          <w:rFonts w:ascii="Verdana" w:eastAsia="Aptos" w:hAnsi="Verdana" w:cs="Times New Roman"/>
          <w:kern w:val="2"/>
          <w:sz w:val="24"/>
          <w:szCs w:val="24"/>
          <w:vertAlign w:val="superscript"/>
          <w14:ligatures w14:val="standardContextual"/>
        </w:rPr>
        <w:footnoteReference w:id="14"/>
      </w:r>
      <w:r w:rsidRPr="00FE66BB">
        <w:rPr>
          <w:rFonts w:ascii="Verdana" w:eastAsia="Calibri" w:hAnsi="Verdana" w:cs="Arial"/>
          <w:color w:val="000000"/>
          <w:lang w:eastAsia="es-MX"/>
        </w:rPr>
        <w:t xml:space="preserve">. </w:t>
      </w:r>
    </w:p>
    <w:p w14:paraId="5B4AEEDF" w14:textId="77777777" w:rsidR="00FE66BB" w:rsidRPr="00FE66BB" w:rsidRDefault="00FE66BB" w:rsidP="00FE66BB">
      <w:pPr>
        <w:spacing w:after="120" w:line="276" w:lineRule="auto"/>
        <w:ind w:firstLine="708"/>
        <w:jc w:val="both"/>
        <w:rPr>
          <w:rFonts w:ascii="Verdana" w:eastAsia="Calibri" w:hAnsi="Verdana" w:cs="Arial"/>
          <w:color w:val="000000"/>
          <w:lang w:eastAsia="es-MX"/>
        </w:rPr>
      </w:pPr>
      <w:r w:rsidRPr="00FE66BB">
        <w:rPr>
          <w:rFonts w:ascii="Verdana" w:eastAsia="Calibri" w:hAnsi="Verdana" w:cs="Arial"/>
          <w:color w:val="000000"/>
          <w:lang w:eastAsia="es-MX"/>
        </w:rPr>
        <w:t>Considerando la naturaleza jurídica, funcional y misional del Instituto Nacional de Medicina Legal y Ciencias Forenses, así como el uso y la destinación de sus edificaciones, orientadas al ejercicio de funciones asociadas al auxilio y soporte científico y técnico a la administración de justicia, estas deben clasificarse dentro del Subgrupo de Ocupación Institucional de Servicio Público. En consecuencia, les resultan aplicables los documentos tipo del sector institucional, particularmente las actividades contenidas en el capítulo 2 “Obras en proyectos de infraestructura institucional de servicio público”.</w:t>
      </w:r>
    </w:p>
    <w:p w14:paraId="64BACD48" w14:textId="77777777" w:rsidR="00FE66BB" w:rsidRPr="00FE66BB" w:rsidRDefault="00FE66BB" w:rsidP="00FE66BB">
      <w:pPr>
        <w:spacing w:after="120" w:line="276" w:lineRule="auto"/>
        <w:ind w:firstLine="708"/>
        <w:jc w:val="both"/>
        <w:rPr>
          <w:rFonts w:ascii="Verdana" w:eastAsia="Aptos" w:hAnsi="Verdana" w:cs="Aptos"/>
          <w:kern w:val="2"/>
          <w14:ligatures w14:val="standardContextual"/>
        </w:rPr>
      </w:pPr>
      <w:r w:rsidRPr="00FE66BB">
        <w:rPr>
          <w:rFonts w:ascii="Verdana" w:eastAsia="Calibri" w:hAnsi="Verdana" w:cs="Arial"/>
          <w:color w:val="000000"/>
          <w:lang w:eastAsia="es-MX"/>
        </w:rPr>
        <w:t>Ahora bien, aclarado que los documentos tipo del sector institucional,</w:t>
      </w:r>
      <w:r w:rsidRPr="00FE66BB">
        <w:rPr>
          <w:rFonts w:ascii="Verdana" w:eastAsia="Aptos" w:hAnsi="Verdana" w:cs="Aptos"/>
          <w:kern w:val="2"/>
          <w14:ligatures w14:val="standardContextual"/>
        </w:rPr>
        <w:t xml:space="preserve"> específicamente los del capítulo 2 “Obras en proyectos de infraestructura institucional de servicio público”, resultan aplicables a las actividades que adelante el Instituto Nacional de Medicina Legal y Ciencias Forenses sobre sus sedes, conviene referirse puntualmente al segundo problema jurídico planteado en este concepto, en el cual se indaga si resulta obligatoria la aplicación de los pliegos tipo en procesos cuyo objeto corresponda a la construcción de sedes de dicha entidad que incluyan componentes especializados, tales como morgues, laboratorios forenses, salas de atención al público, áreas administrativas y zonas comunes.</w:t>
      </w:r>
    </w:p>
    <w:p w14:paraId="6D622F0D" w14:textId="77777777" w:rsidR="00FE66BB" w:rsidRPr="00FE66BB" w:rsidRDefault="00FE66BB" w:rsidP="00FE66BB">
      <w:pPr>
        <w:spacing w:after="120" w:line="278" w:lineRule="auto"/>
        <w:ind w:firstLine="708"/>
        <w:jc w:val="both"/>
        <w:rPr>
          <w:rFonts w:ascii="Verdana" w:eastAsia="Aptos" w:hAnsi="Verdana" w:cs="Aptos"/>
          <w:kern w:val="2"/>
          <w14:ligatures w14:val="standardContextual"/>
        </w:rPr>
      </w:pPr>
      <w:r w:rsidRPr="00FE66BB">
        <w:rPr>
          <w:rFonts w:ascii="Verdana" w:eastAsia="Aptos" w:hAnsi="Verdana" w:cs="Aptos"/>
          <w:kern w:val="2"/>
          <w14:ligatures w14:val="standardContextual"/>
        </w:rPr>
        <w:lastRenderedPageBreak/>
        <w:t xml:space="preserve">Sobre el particular, la </w:t>
      </w:r>
      <w:r w:rsidRPr="00356C7C">
        <w:rPr>
          <w:rFonts w:ascii="Verdana" w:eastAsia="Aptos" w:hAnsi="Verdana" w:cs="Aptos"/>
          <w:kern w:val="2"/>
          <w14:ligatures w14:val="standardContextual"/>
        </w:rPr>
        <w:t>Agencia Nacional de Contratación Pública – Colombia Compra Eficiente</w:t>
      </w:r>
      <w:r w:rsidRPr="00FE66BB">
        <w:rPr>
          <w:rFonts w:ascii="Verdana" w:eastAsia="Aptos" w:hAnsi="Verdana" w:cs="Aptos"/>
          <w:kern w:val="2"/>
          <w14:ligatures w14:val="standardContextual"/>
        </w:rPr>
        <w:t xml:space="preserve"> le informa que, para efectos de la construcción de las sedes del </w:t>
      </w:r>
      <w:r w:rsidRPr="00356C7C">
        <w:rPr>
          <w:rFonts w:ascii="Verdana" w:eastAsia="Aptos" w:hAnsi="Verdana" w:cs="Aptos"/>
          <w:kern w:val="2"/>
          <w14:ligatures w14:val="standardContextual"/>
        </w:rPr>
        <w:t>Instituto Nacional de Medicina Legal y Ciencias Forenses</w:t>
      </w:r>
      <w:r w:rsidRPr="00FE66BB">
        <w:rPr>
          <w:rFonts w:ascii="Verdana" w:eastAsia="Aptos" w:hAnsi="Verdana" w:cs="Aptos"/>
          <w:kern w:val="2"/>
          <w14:ligatures w14:val="standardContextual"/>
        </w:rPr>
        <w:t xml:space="preserve">, debe aplicarse la actividad 2.1 contenida en el capítulo 2 “Obras en proyectos de infraestructura institucional de servicio público” de la Matriz 1 – Experiencia del Sector Institucional, considerando que esta corresponde a “PROYECTOS DE CONSTRUCCIÓN Y/O AMPLIACIÓN Y/O RECONSTRUCCIÓN DE INFRAESTRUCTURA DE SERVICIO PUBLICO”. </w:t>
      </w:r>
    </w:p>
    <w:p w14:paraId="6AB3F524" w14:textId="77777777" w:rsidR="00FE66BB" w:rsidRPr="00FE66BB" w:rsidRDefault="00FE66BB" w:rsidP="00FE66BB">
      <w:pPr>
        <w:spacing w:after="120" w:line="276" w:lineRule="auto"/>
        <w:ind w:firstLine="708"/>
        <w:jc w:val="both"/>
        <w:rPr>
          <w:rFonts w:ascii="Verdana" w:eastAsia="Aptos" w:hAnsi="Verdana" w:cs="Aptos"/>
          <w:kern w:val="2"/>
          <w14:ligatures w14:val="standardContextual"/>
        </w:rPr>
      </w:pPr>
      <w:r w:rsidRPr="00FE66BB">
        <w:rPr>
          <w:rFonts w:ascii="Verdana" w:eastAsia="Aptos" w:hAnsi="Verdana" w:cs="Aptos"/>
          <w:kern w:val="2"/>
          <w14:ligatures w14:val="standardContextual"/>
        </w:rPr>
        <w:t xml:space="preserve">En ese sentido, la construcción de infraestructura de servicio público que, para este caso, comprende las sedes del Instituto Nacional de Medicina Legal y Ciencias Forenses, deberá adelantarse bajo la actividad anteriormente señalada. En consecuencia, todos los espacios que integren la edificación, tales como áreas administrativas, salas de atención, laboratorios forenses, morgues y demás dependencias requeridas para el cumplimiento de sus funciones institucionales, deberán contratarse bajo la referida actividad. Esto, en consideración a que la incorporación de componentes técnicos o especializados dentro de la infraestructura no modifica la naturaleza principal del proyecto ni desvirtúa su clasificación como infraestructura institucional de servicio público. Por el contrario, dichos espacios constituyen áreas funcionales necesarias para el desarrollo de las funciones misionales del Instituto, relacionadas con el apoyo técnico-científico a la administración de justicia, razón por la cual hacen parte integral de una edificación institucional de carácter judicial y no de otro tipo de infraestructura. </w:t>
      </w:r>
    </w:p>
    <w:p w14:paraId="14D043D1" w14:textId="77777777" w:rsidR="00FE66BB" w:rsidRPr="00FE66BB" w:rsidRDefault="00FE66BB" w:rsidP="00FE66BB">
      <w:pPr>
        <w:spacing w:after="0" w:line="278" w:lineRule="auto"/>
        <w:ind w:firstLine="708"/>
        <w:jc w:val="both"/>
        <w:rPr>
          <w:rFonts w:ascii="Verdana" w:eastAsia="Calibri" w:hAnsi="Verdana" w:cs="Arial"/>
          <w:bCs/>
          <w:color w:val="000000"/>
          <w:kern w:val="2"/>
          <w14:ligatures w14:val="standardContextual"/>
        </w:rPr>
      </w:pPr>
      <w:r w:rsidRPr="00FE66BB">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FE66BB">
        <w:rPr>
          <w:rFonts w:ascii="Verdana" w:eastAsia="Times New Roman" w:hAnsi="Verdana" w:cs="Arial"/>
          <w:kern w:val="2"/>
          <w:shd w:val="clear" w:color="auto" w:fill="FFFFFF"/>
          <w:lang w:val="es-ES_tradnl" w:eastAsia="es-ES_tradnl"/>
          <w14:ligatures w14:val="standardContextual"/>
        </w:rPr>
        <w:t xml:space="preserve"> </w:t>
      </w:r>
      <w:r w:rsidRPr="00FE66BB">
        <w:rPr>
          <w:rFonts w:ascii="Verdana" w:eastAsia="Calibri" w:hAnsi="Verdana" w:cs="Arial"/>
          <w:bCs/>
          <w:color w:val="000000"/>
          <w:kern w:val="2"/>
          <w14:ligatures w14:val="standardContextual"/>
        </w:rPr>
        <w:t xml:space="preserve"> </w:t>
      </w:r>
    </w:p>
    <w:p w14:paraId="14C66552" w14:textId="77777777" w:rsidR="00FE66BB" w:rsidRPr="00FE66BB" w:rsidRDefault="00FE66BB" w:rsidP="00FE66BB">
      <w:pPr>
        <w:spacing w:after="0" w:line="278" w:lineRule="auto"/>
        <w:ind w:firstLine="708"/>
        <w:jc w:val="both"/>
        <w:rPr>
          <w:rFonts w:ascii="Verdana" w:eastAsia="Calibri" w:hAnsi="Verdana" w:cs="Arial"/>
          <w:bCs/>
          <w:color w:val="000000"/>
          <w:kern w:val="2"/>
          <w14:ligatures w14:val="standardContextual"/>
        </w:rPr>
      </w:pPr>
    </w:p>
    <w:p w14:paraId="1A29BDB4" w14:textId="77777777" w:rsidR="00FE66BB" w:rsidRPr="00FE66BB" w:rsidRDefault="00FE66BB" w:rsidP="00FE66BB">
      <w:pPr>
        <w:spacing w:after="120" w:line="276" w:lineRule="auto"/>
        <w:jc w:val="both"/>
        <w:rPr>
          <w:rFonts w:ascii="Verdana" w:eastAsia="Times New Roman" w:hAnsi="Verdana" w:cs="Times New Roman"/>
          <w:lang w:eastAsia="es-MX"/>
        </w:rPr>
      </w:pPr>
      <w:proofErr w:type="spellStart"/>
      <w:r w:rsidRPr="00FE66BB">
        <w:rPr>
          <w:rFonts w:ascii="Verdana" w:eastAsia="Calibri" w:hAnsi="Verdana" w:cs="Arial"/>
          <w:lang w:eastAsia="es-MX"/>
        </w:rPr>
        <w:t>iii</w:t>
      </w:r>
      <w:proofErr w:type="spellEnd"/>
      <w:r w:rsidRPr="00FE66BB">
        <w:rPr>
          <w:rFonts w:ascii="Verdana" w:eastAsia="Calibri" w:hAnsi="Verdana" w:cs="Arial"/>
          <w:lang w:eastAsia="es-MX"/>
        </w:rPr>
        <w:t xml:space="preserve">. </w:t>
      </w:r>
      <w:r w:rsidRPr="00FE66BB">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w:t>
      </w:r>
      <w:r w:rsidRPr="00FE66BB">
        <w:rPr>
          <w:rFonts w:ascii="Verdana" w:eastAsia="Calibri" w:hAnsi="Verdana" w:cs="Arial"/>
          <w:bCs/>
          <w:color w:val="000000"/>
          <w:lang w:eastAsia="es-MX"/>
        </w:rPr>
        <w:lastRenderedPageBreak/>
        <w:t>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5F5DBC" w14:textId="77777777" w:rsidR="00FE66BB" w:rsidRPr="00FE66BB" w:rsidRDefault="00FE66BB" w:rsidP="00FE66BB">
      <w:pPr>
        <w:spacing w:after="120" w:line="276" w:lineRule="auto"/>
        <w:ind w:firstLine="708"/>
        <w:jc w:val="both"/>
        <w:rPr>
          <w:rFonts w:ascii="Verdana" w:eastAsia="Calibri" w:hAnsi="Verdana" w:cs="Arial"/>
          <w:bCs/>
          <w:color w:val="000000"/>
          <w:lang w:eastAsia="es-MX"/>
        </w:rPr>
      </w:pPr>
      <w:r w:rsidRPr="00FE66BB">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B9BC9BE" w14:textId="77777777" w:rsidR="00FE66BB" w:rsidRPr="00FE66BB" w:rsidRDefault="00FE66BB" w:rsidP="00FE66BB">
      <w:pPr>
        <w:spacing w:after="0" w:line="276" w:lineRule="auto"/>
        <w:jc w:val="both"/>
        <w:rPr>
          <w:rFonts w:ascii="Verdana" w:eastAsia="Calibri" w:hAnsi="Verdana" w:cs="Times New Roman"/>
          <w:lang w:eastAsia="es-MX"/>
        </w:rPr>
      </w:pPr>
    </w:p>
    <w:p w14:paraId="62974CB2" w14:textId="77777777" w:rsidR="00FE66BB" w:rsidRPr="00FE66BB" w:rsidRDefault="00FE66BB" w:rsidP="00FE66BB">
      <w:pPr>
        <w:tabs>
          <w:tab w:val="left" w:pos="142"/>
          <w:tab w:val="left" w:pos="284"/>
        </w:tabs>
        <w:spacing w:after="0" w:line="276" w:lineRule="auto"/>
        <w:jc w:val="both"/>
        <w:rPr>
          <w:rFonts w:ascii="Verdana" w:eastAsia="Century Gothic" w:hAnsi="Verdana" w:cs="Century Gothic"/>
          <w:b/>
          <w:bCs/>
          <w:lang w:val="es-ES_tradnl" w:eastAsia="es-MX"/>
        </w:rPr>
      </w:pPr>
      <w:r w:rsidRPr="00FE66BB">
        <w:rPr>
          <w:rFonts w:ascii="Verdana" w:eastAsia="Century Gothic" w:hAnsi="Verdana" w:cs="Century Gothic"/>
          <w:b/>
          <w:bCs/>
          <w:lang w:val="es-ES_tradnl" w:eastAsia="es-MX"/>
        </w:rPr>
        <w:t>4. Referencias normativas, jurisprudenciales y otras fuentes:</w:t>
      </w:r>
    </w:p>
    <w:p w14:paraId="61663E3A" w14:textId="77777777" w:rsidR="00FE66BB" w:rsidRPr="00FE66BB" w:rsidRDefault="00FE66BB" w:rsidP="00FE66BB">
      <w:pPr>
        <w:spacing w:after="0"/>
        <w:ind w:left="-15840"/>
        <w:jc w:val="both"/>
        <w:rPr>
          <w:rFonts w:ascii="Verdana" w:eastAsia="Calibri" w:hAnsi="Verdana" w:cs="Arial"/>
          <w:b/>
          <w:bCs/>
          <w:lang w:eastAsia="es-MX"/>
        </w:rPr>
      </w:pPr>
      <w:r w:rsidRPr="00FE66BB">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E66BB" w:rsidRPr="00FE66BB" w14:paraId="308070C0" w14:textId="77777777" w:rsidTr="003D59B9">
        <w:trPr>
          <w:trHeight w:val="870"/>
        </w:trPr>
        <w:tc>
          <w:tcPr>
            <w:tcW w:w="8647" w:type="dxa"/>
            <w:tcBorders>
              <w:top w:val="dotted" w:sz="4" w:space="0" w:color="auto"/>
              <w:left w:val="dotted" w:sz="4" w:space="0" w:color="auto"/>
              <w:bottom w:val="dotted" w:sz="4" w:space="0" w:color="auto"/>
              <w:right w:val="dotted" w:sz="4" w:space="0" w:color="auto"/>
            </w:tcBorders>
          </w:tcPr>
          <w:p w14:paraId="2A6E10B0" w14:textId="77777777" w:rsidR="00FE66BB" w:rsidRPr="00FE66BB" w:rsidRDefault="00FE66BB" w:rsidP="00FE66BB">
            <w:pPr>
              <w:spacing w:line="278" w:lineRule="auto"/>
              <w:contextualSpacing/>
              <w:jc w:val="both"/>
              <w:rPr>
                <w:rFonts w:ascii="Verdana" w:eastAsia="Calibri" w:hAnsi="Verdana" w:cs="Arial"/>
                <w:bCs/>
                <w:kern w:val="2"/>
                <w:sz w:val="24"/>
                <w:szCs w:val="24"/>
                <w:lang w:eastAsia="es-MX"/>
                <w14:ligatures w14:val="standardContextual"/>
              </w:rPr>
            </w:pPr>
          </w:p>
          <w:p w14:paraId="5B82ECB4" w14:textId="77777777" w:rsidR="00FE66BB" w:rsidRPr="0034004A" w:rsidRDefault="00FE66BB" w:rsidP="00FE66BB">
            <w:pPr>
              <w:widowControl w:val="0"/>
              <w:numPr>
                <w:ilvl w:val="0"/>
                <w:numId w:val="16"/>
              </w:numPr>
              <w:autoSpaceDE w:val="0"/>
              <w:autoSpaceDN w:val="0"/>
              <w:spacing w:line="276" w:lineRule="auto"/>
              <w:ind w:left="714" w:hanging="357"/>
              <w:jc w:val="both"/>
              <w:rPr>
                <w:rFonts w:ascii="Verdana" w:eastAsia="Calibri" w:hAnsi="Verdana" w:cs="Arial"/>
                <w:kern w:val="2"/>
                <w:lang w:val="es-ES_tradnl" w:eastAsia="es-MX"/>
                <w14:ligatures w14:val="standardContextual"/>
              </w:rPr>
            </w:pPr>
            <w:r w:rsidRPr="0034004A">
              <w:rPr>
                <w:rFonts w:ascii="Verdana" w:eastAsia="Calibri" w:hAnsi="Verdana" w:cs="Arial"/>
                <w:kern w:val="2"/>
                <w:lang w:val="es-ES_tradnl" w:eastAsia="es-MX"/>
                <w14:ligatures w14:val="standardContextual"/>
              </w:rPr>
              <w:t xml:space="preserve">Ley 2022 de 2020, artículo 1. </w:t>
            </w:r>
          </w:p>
          <w:p w14:paraId="48BF9B25" w14:textId="77777777" w:rsidR="00FE66BB" w:rsidRPr="0034004A" w:rsidRDefault="00FE66BB" w:rsidP="00FE66BB">
            <w:pPr>
              <w:widowControl w:val="0"/>
              <w:numPr>
                <w:ilvl w:val="0"/>
                <w:numId w:val="16"/>
              </w:numPr>
              <w:autoSpaceDE w:val="0"/>
              <w:autoSpaceDN w:val="0"/>
              <w:spacing w:line="276" w:lineRule="auto"/>
              <w:jc w:val="both"/>
              <w:rPr>
                <w:rFonts w:ascii="Verdana" w:eastAsia="Calibri" w:hAnsi="Verdana" w:cs="Arial"/>
                <w:kern w:val="2"/>
                <w:lang w:eastAsia="es-MX"/>
                <w14:ligatures w14:val="standardContextual"/>
              </w:rPr>
            </w:pPr>
            <w:r w:rsidRPr="0034004A">
              <w:rPr>
                <w:rFonts w:ascii="Verdana" w:eastAsia="Calibri" w:hAnsi="Verdana" w:cs="Arial"/>
                <w:kern w:val="2"/>
                <w:lang w:eastAsia="es-MX"/>
                <w14:ligatures w14:val="standardContextual"/>
              </w:rPr>
              <w:t>Ley 1150 de 2007, artículo 2.</w:t>
            </w:r>
          </w:p>
          <w:p w14:paraId="79AFA78A" w14:textId="77777777" w:rsidR="00FE66BB" w:rsidRPr="0034004A" w:rsidRDefault="00FE66BB" w:rsidP="00FE66BB">
            <w:pPr>
              <w:widowControl w:val="0"/>
              <w:numPr>
                <w:ilvl w:val="0"/>
                <w:numId w:val="16"/>
              </w:numPr>
              <w:autoSpaceDE w:val="0"/>
              <w:autoSpaceDN w:val="0"/>
              <w:spacing w:line="276" w:lineRule="auto"/>
              <w:contextualSpacing/>
              <w:jc w:val="both"/>
              <w:rPr>
                <w:rFonts w:ascii="Verdana" w:eastAsia="Calibri" w:hAnsi="Verdana" w:cs="Arial"/>
                <w:kern w:val="2"/>
                <w:lang w:eastAsia="es-MX"/>
                <w14:ligatures w14:val="standardContextual"/>
              </w:rPr>
            </w:pPr>
            <w:r w:rsidRPr="0034004A">
              <w:rPr>
                <w:rFonts w:ascii="Verdana" w:eastAsia="Calibri" w:hAnsi="Verdana" w:cs="Arial"/>
                <w:kern w:val="2"/>
                <w:lang w:val="es-ES_tradnl" w:eastAsia="es-MX"/>
                <w14:ligatures w14:val="standardContextual"/>
              </w:rPr>
              <w:t xml:space="preserve">Documentos Tipo. Disponibles en: </w:t>
            </w:r>
            <w:hyperlink r:id="rId11" w:history="1">
              <w:r w:rsidRPr="0034004A">
                <w:rPr>
                  <w:rFonts w:ascii="Verdana" w:eastAsia="Calibri" w:hAnsi="Verdana" w:cs="Arial"/>
                  <w:color w:val="0000FF"/>
                  <w:kern w:val="2"/>
                  <w:u w:val="single"/>
                  <w:lang w:val="es-ES_tradnl" w:eastAsia="es-MX"/>
                  <w14:ligatures w14:val="standardContextual"/>
                </w:rPr>
                <w:t>https://www.colombiacompra.gov.co/documentos-tipo/documentos-tipo</w:t>
              </w:r>
            </w:hyperlink>
            <w:r w:rsidRPr="0034004A">
              <w:rPr>
                <w:rFonts w:ascii="Verdana" w:eastAsia="Calibri" w:hAnsi="Verdana" w:cs="Arial"/>
                <w:kern w:val="2"/>
                <w:lang w:val="es-ES_tradnl" w:eastAsia="es-MX"/>
                <w14:ligatures w14:val="standardContextual"/>
              </w:rPr>
              <w:t>.</w:t>
            </w:r>
          </w:p>
          <w:p w14:paraId="62BB55D0" w14:textId="77777777" w:rsidR="00FE66BB" w:rsidRPr="0034004A" w:rsidRDefault="00FE66BB" w:rsidP="00FE66BB">
            <w:pPr>
              <w:widowControl w:val="0"/>
              <w:numPr>
                <w:ilvl w:val="0"/>
                <w:numId w:val="16"/>
              </w:numPr>
              <w:autoSpaceDE w:val="0"/>
              <w:autoSpaceDN w:val="0"/>
              <w:spacing w:line="276" w:lineRule="auto"/>
              <w:contextualSpacing/>
              <w:jc w:val="both"/>
              <w:rPr>
                <w:rFonts w:ascii="Verdana" w:eastAsia="Calibri" w:hAnsi="Verdana" w:cs="Arial"/>
                <w:kern w:val="2"/>
                <w:lang w:eastAsia="es-MX"/>
                <w14:ligatures w14:val="standardContextual"/>
              </w:rPr>
            </w:pPr>
            <w:r w:rsidRPr="0034004A">
              <w:rPr>
                <w:rFonts w:ascii="Verdana" w:eastAsia="Calibri" w:hAnsi="Verdana" w:cs="Arial"/>
                <w:kern w:val="2"/>
                <w:lang w:val="es-ES_tradnl" w:eastAsia="es-MX"/>
                <w14:ligatures w14:val="standardContextual"/>
              </w:rPr>
              <w:t>Reglamento Colombiano de Construcción Sismo Resistente NSR-10</w:t>
            </w:r>
          </w:p>
          <w:p w14:paraId="47D7EFFE" w14:textId="77777777" w:rsidR="00FE66BB" w:rsidRPr="0034004A" w:rsidRDefault="00FE66BB" w:rsidP="00FE66BB">
            <w:pPr>
              <w:widowControl w:val="0"/>
              <w:numPr>
                <w:ilvl w:val="0"/>
                <w:numId w:val="16"/>
              </w:numPr>
              <w:autoSpaceDE w:val="0"/>
              <w:autoSpaceDN w:val="0"/>
              <w:spacing w:line="276" w:lineRule="auto"/>
              <w:contextualSpacing/>
              <w:jc w:val="both"/>
              <w:rPr>
                <w:rFonts w:ascii="Verdana" w:eastAsia="Calibri" w:hAnsi="Verdana" w:cs="Arial"/>
                <w:kern w:val="2"/>
                <w:lang w:eastAsia="es-MX"/>
                <w14:ligatures w14:val="standardContextual"/>
              </w:rPr>
            </w:pPr>
            <w:r w:rsidRPr="0034004A">
              <w:rPr>
                <w:rFonts w:ascii="Verdana" w:eastAsia="Aptos" w:hAnsi="Verdana" w:cs="Arial"/>
                <w:kern w:val="2"/>
                <w14:ligatures w14:val="standardContextual"/>
              </w:rPr>
              <w:t>PODETTI, Humberto. El contrato de construcción. Buenos Aires: Astrea, 2004. Pp. 254-255.</w:t>
            </w:r>
          </w:p>
          <w:p w14:paraId="421EBE89" w14:textId="77777777" w:rsidR="00FE66BB" w:rsidRPr="00FE66BB" w:rsidRDefault="00FE66BB" w:rsidP="00FE66BB">
            <w:pPr>
              <w:widowControl w:val="0"/>
              <w:numPr>
                <w:ilvl w:val="0"/>
                <w:numId w:val="16"/>
              </w:numPr>
              <w:autoSpaceDE w:val="0"/>
              <w:autoSpaceDN w:val="0"/>
              <w:spacing w:line="276" w:lineRule="auto"/>
              <w:contextualSpacing/>
              <w:jc w:val="both"/>
              <w:rPr>
                <w:rFonts w:ascii="Verdana" w:eastAsia="Calibri" w:hAnsi="Verdana" w:cs="Arial"/>
                <w:kern w:val="2"/>
                <w:sz w:val="24"/>
                <w:szCs w:val="24"/>
                <w:lang w:eastAsia="es-MX"/>
                <w14:ligatures w14:val="standardContextual"/>
              </w:rPr>
            </w:pPr>
            <w:r w:rsidRPr="0034004A">
              <w:rPr>
                <w:rFonts w:ascii="Verdana" w:eastAsia="Aptos" w:hAnsi="Verdana" w:cs="Arial"/>
                <w:kern w:val="2"/>
                <w14:ligatures w14:val="standardContextual"/>
              </w:rPr>
              <w:t>PLANIOL, Marcel &amp; RIPERT, Jeorge. Tratado práctico de derecho civil francés. Tomo XI. La Habana: Cultural SA, 1940. p. 163.</w:t>
            </w:r>
            <w:r w:rsidRPr="00FE66BB">
              <w:rPr>
                <w:rFonts w:ascii="Verdana" w:eastAsia="Aptos" w:hAnsi="Verdana" w:cs="Arial"/>
                <w:kern w:val="2"/>
                <w:sz w:val="24"/>
                <w:szCs w:val="24"/>
                <w14:ligatures w14:val="standardContextual"/>
              </w:rPr>
              <w:t xml:space="preserve"> </w:t>
            </w:r>
          </w:p>
        </w:tc>
      </w:tr>
    </w:tbl>
    <w:p w14:paraId="4A724D91" w14:textId="77777777" w:rsidR="00FE66BB" w:rsidRPr="00FE66BB" w:rsidRDefault="00FE66BB" w:rsidP="00FE66BB">
      <w:pPr>
        <w:tabs>
          <w:tab w:val="left" w:pos="142"/>
          <w:tab w:val="left" w:pos="284"/>
        </w:tabs>
        <w:spacing w:after="0" w:line="276" w:lineRule="auto"/>
        <w:jc w:val="both"/>
        <w:rPr>
          <w:rFonts w:ascii="Verdana" w:eastAsia="Calibri" w:hAnsi="Verdana" w:cs="Arial"/>
          <w:lang w:eastAsia="es-MX"/>
        </w:rPr>
      </w:pPr>
    </w:p>
    <w:p w14:paraId="1E168906" w14:textId="77777777" w:rsidR="00FE66BB" w:rsidRPr="00FE66BB" w:rsidRDefault="00FE66BB" w:rsidP="00FE66BB">
      <w:pPr>
        <w:tabs>
          <w:tab w:val="left" w:pos="142"/>
          <w:tab w:val="left" w:pos="284"/>
        </w:tabs>
        <w:spacing w:after="0" w:line="276" w:lineRule="auto"/>
        <w:jc w:val="both"/>
        <w:rPr>
          <w:rFonts w:ascii="Verdana" w:eastAsia="Century Gothic" w:hAnsi="Verdana" w:cs="Century Gothic"/>
          <w:b/>
          <w:bCs/>
          <w:lang w:val="es-ES" w:eastAsia="es-MX"/>
        </w:rPr>
      </w:pPr>
      <w:r w:rsidRPr="00FE66BB">
        <w:rPr>
          <w:rFonts w:ascii="Verdana" w:eastAsia="Calibri" w:hAnsi="Verdana" w:cs="Arial"/>
          <w:b/>
          <w:bCs/>
          <w:lang w:eastAsia="es-MX"/>
        </w:rPr>
        <w:t>5</w:t>
      </w:r>
      <w:r w:rsidRPr="00FE66BB">
        <w:rPr>
          <w:rFonts w:ascii="Verdana" w:eastAsia="Calibri" w:hAnsi="Verdana" w:cs="Arial"/>
          <w:lang w:eastAsia="es-MX"/>
        </w:rPr>
        <w:t>.</w:t>
      </w:r>
      <w:r w:rsidRPr="00FE66BB">
        <w:rPr>
          <w:rFonts w:ascii="Verdana" w:eastAsia="Century Gothic" w:hAnsi="Verdana" w:cs="Century Gothic"/>
          <w:b/>
          <w:bCs/>
          <w:lang w:val="es-ES" w:eastAsia="es-MX"/>
        </w:rPr>
        <w:t>Doctrina de la Agencia Nacional de Contratación Pública:</w:t>
      </w:r>
    </w:p>
    <w:p w14:paraId="61935A62" w14:textId="77777777" w:rsidR="00FE66BB" w:rsidRPr="00FE66BB" w:rsidRDefault="00FE66BB" w:rsidP="00FE66BB">
      <w:pPr>
        <w:widowControl w:val="0"/>
        <w:autoSpaceDE w:val="0"/>
        <w:autoSpaceDN w:val="0"/>
        <w:spacing w:after="0" w:line="276" w:lineRule="auto"/>
        <w:jc w:val="both"/>
        <w:rPr>
          <w:rFonts w:ascii="Verdana" w:eastAsia="Calibri" w:hAnsi="Verdana" w:cs="Arial"/>
          <w:lang w:eastAsia="es-MX"/>
        </w:rPr>
      </w:pPr>
    </w:p>
    <w:p w14:paraId="6CFF4C12" w14:textId="77777777" w:rsidR="00FE66BB" w:rsidRPr="00FE66BB" w:rsidRDefault="00FE66BB" w:rsidP="00FE66BB">
      <w:pPr>
        <w:spacing w:after="0" w:line="276" w:lineRule="auto"/>
        <w:jc w:val="both"/>
        <w:rPr>
          <w:rFonts w:ascii="Verdana" w:eastAsia="Calibri" w:hAnsi="Verdana" w:cs="Arial"/>
          <w:shd w:val="clear" w:color="auto" w:fill="FFFFFF"/>
          <w:lang w:val="es-ES" w:eastAsia="es-MX"/>
        </w:rPr>
      </w:pPr>
      <w:r w:rsidRPr="00FE66BB">
        <w:rPr>
          <w:rFonts w:ascii="Verdana" w:eastAsia="Calibri" w:hAnsi="Verdana" w:cs="Arial"/>
          <w:shd w:val="clear" w:color="auto" w:fill="FFFFFF"/>
          <w:lang w:val="es-ES" w:eastAsia="es-MX"/>
        </w:rPr>
        <w:lastRenderedPageBreak/>
        <w:t>La Agencia Nacional de Contratación Pública – Colombia Compra Eficiente se pronunció</w:t>
      </w:r>
      <w:r w:rsidRPr="00FE66BB">
        <w:rPr>
          <w:rFonts w:ascii="Verdana" w:eastAsia="Calibri" w:hAnsi="Verdana" w:cs="Times New Roman"/>
          <w:lang w:eastAsia="es-MX"/>
        </w:rPr>
        <w:t xml:space="preserve"> </w:t>
      </w:r>
      <w:r w:rsidRPr="00FE66BB">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E66BB">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 y C-682 del 22 de mayo de 2026. </w:t>
      </w:r>
    </w:p>
    <w:p w14:paraId="19165304" w14:textId="77777777" w:rsidR="00FE66BB" w:rsidRPr="00FE66BB" w:rsidRDefault="00FE66BB" w:rsidP="00FE66BB">
      <w:pPr>
        <w:spacing w:after="0" w:line="240" w:lineRule="auto"/>
        <w:jc w:val="both"/>
        <w:rPr>
          <w:rFonts w:ascii="Verdana" w:eastAsia="Calibri" w:hAnsi="Verdana" w:cs="Arial"/>
          <w:color w:val="000000"/>
          <w:shd w:val="clear" w:color="auto" w:fill="FFFFFF"/>
          <w:lang w:eastAsia="es-MX"/>
        </w:rPr>
      </w:pPr>
    </w:p>
    <w:p w14:paraId="087B7954" w14:textId="77777777" w:rsidR="00FE66BB" w:rsidRPr="00FE66BB" w:rsidRDefault="00FE66BB" w:rsidP="00FE66BB">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FE66BB">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E66BB">
          <w:rPr>
            <w:rFonts w:ascii="Verdana" w:eastAsia="Calibri" w:hAnsi="Verdana" w:cs="Arial"/>
            <w:color w:val="0000FF"/>
            <w:u w:val="single"/>
            <w:shd w:val="clear" w:color="auto" w:fill="FFFFFF"/>
            <w:lang w:eastAsia="es-MX"/>
          </w:rPr>
          <w:t>https://relatoria.colombiacompra.gov.co/</w:t>
        </w:r>
      </w:hyperlink>
      <w:r w:rsidRPr="00FE66BB">
        <w:rPr>
          <w:rFonts w:ascii="Verdana" w:eastAsia="Calibri" w:hAnsi="Verdana" w:cs="Arial"/>
          <w:color w:val="0000FF"/>
          <w:u w:val="single"/>
          <w:shd w:val="clear" w:color="auto" w:fill="FFFFFF"/>
          <w:lang w:eastAsia="es-MX"/>
        </w:rPr>
        <w:t> .</w:t>
      </w:r>
    </w:p>
    <w:p w14:paraId="03EA39D3" w14:textId="77777777" w:rsidR="00FE66BB" w:rsidRPr="00FE66BB" w:rsidRDefault="00FE66BB" w:rsidP="00FE66BB">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4BB910DE" w14:textId="77777777" w:rsidR="00FE66BB" w:rsidRPr="00FE66BB" w:rsidRDefault="00FE66BB" w:rsidP="00FE66BB">
      <w:pPr>
        <w:spacing w:after="0" w:line="276" w:lineRule="auto"/>
        <w:jc w:val="both"/>
        <w:rPr>
          <w:rFonts w:ascii="Verdana" w:eastAsia="Times New Roman" w:hAnsi="Verdana" w:cs="Arial"/>
          <w:lang w:eastAsia="es-MX"/>
        </w:rPr>
      </w:pPr>
      <w:r w:rsidRPr="00FE66BB">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FE66BB">
        <w:rPr>
          <w:rFonts w:ascii="Verdana" w:eastAsia="Times New Roman" w:hAnsi="Verdana" w:cs="Arial"/>
          <w:b/>
          <w:bCs/>
          <w:lang w:eastAsia="es-MX"/>
        </w:rPr>
        <w:t>Curso de Contratación Pública Sostenible y Socialmente Responsable</w:t>
      </w:r>
      <w:r w:rsidRPr="00FE66BB">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FE66BB">
        <w:rPr>
          <w:rFonts w:ascii="Verdana" w:eastAsia="Times New Roman" w:hAnsi="Verdana" w:cs="Arial"/>
          <w:lang w:eastAsia="es-MX"/>
        </w:rPr>
        <w:br/>
      </w:r>
      <w:hyperlink r:id="rId13" w:tgtFrame="_new" w:history="1">
        <w:r w:rsidRPr="00FE66BB">
          <w:rPr>
            <w:rFonts w:ascii="Verdana" w:eastAsia="Times New Roman" w:hAnsi="Verdana" w:cs="Arial"/>
            <w:color w:val="0000FF"/>
            <w:u w:val="single"/>
            <w:lang w:eastAsia="es-MX"/>
          </w:rPr>
          <w:t>https://formacionvirtual.colombiacompra.gov.co/mod/page/view.php?id=3718</w:t>
        </w:r>
      </w:hyperlink>
    </w:p>
    <w:p w14:paraId="15C8FDDA" w14:textId="77777777" w:rsidR="00FE66BB" w:rsidRPr="00FE66BB" w:rsidRDefault="00FE66BB" w:rsidP="00FE66BB">
      <w:pPr>
        <w:spacing w:after="0" w:line="276" w:lineRule="auto"/>
        <w:jc w:val="both"/>
        <w:rPr>
          <w:rFonts w:ascii="Verdana" w:eastAsia="Times New Roman" w:hAnsi="Verdana" w:cs="Arial"/>
          <w:lang w:eastAsia="es-MX"/>
        </w:rPr>
      </w:pPr>
      <w:r w:rsidRPr="00FE66BB">
        <w:rPr>
          <w:rFonts w:ascii="Verdana" w:eastAsia="Times New Roman" w:hAnsi="Verdana" w:cs="Arial"/>
          <w:lang w:eastAsia="es-MX"/>
        </w:rPr>
        <w:t xml:space="preserve">De otro lado, te contamos que esta Agencia ha da un paso decisivo en la estandarización y modernización del </w:t>
      </w:r>
      <w:r w:rsidRPr="00FE66BB">
        <w:rPr>
          <w:rFonts w:ascii="Verdana" w:eastAsia="Times New Roman" w:hAnsi="Verdana" w:cs="Arial"/>
          <w:b/>
          <w:bCs/>
          <w:lang w:eastAsia="es-MX"/>
        </w:rPr>
        <w:t>sector  social</w:t>
      </w:r>
      <w:r w:rsidRPr="00FE66BB">
        <w:rPr>
          <w:rFonts w:ascii="Verdana" w:eastAsia="Times New Roman" w:hAnsi="Verdana" w:cs="Arial"/>
          <w:lang w:eastAsia="es-MX"/>
        </w:rPr>
        <w:t xml:space="preserve"> con la expedición de las </w:t>
      </w:r>
      <w:r w:rsidRPr="00FE66BB">
        <w:rPr>
          <w:rFonts w:ascii="Verdana" w:eastAsia="Times New Roman" w:hAnsi="Verdana" w:cs="Arial"/>
          <w:b/>
          <w:bCs/>
          <w:lang w:eastAsia="es-MX"/>
        </w:rPr>
        <w:t>Resoluciones 539, 540, 541, 952 y 953 de 2025</w:t>
      </w:r>
      <w:r w:rsidRPr="00FE66BB">
        <w:rPr>
          <w:rFonts w:ascii="Verdana" w:eastAsia="Times New Roman" w:hAnsi="Verdana" w:cs="Arial"/>
          <w:lang w:eastAsia="es-MX"/>
        </w:rPr>
        <w:t xml:space="preserve">, </w:t>
      </w:r>
      <w:r w:rsidRPr="00FE66BB">
        <w:rPr>
          <w:rFonts w:ascii="Verdana" w:eastAsia="Times New Roman" w:hAnsi="Verdana" w:cs="Arial"/>
          <w:b/>
          <w:bCs/>
          <w:lang w:eastAsia="es-MX"/>
        </w:rPr>
        <w:t>mediante las cuales adoptó Documentos Tipo</w:t>
      </w:r>
      <w:r w:rsidRPr="00FE66BB">
        <w:rPr>
          <w:rFonts w:ascii="Verdana" w:eastAsia="Times New Roman" w:hAnsi="Verdana" w:cs="Arial"/>
          <w:lang w:eastAsia="es-MX"/>
        </w:rPr>
        <w:t xml:space="preserve"> para las modalidades de selección de</w:t>
      </w:r>
      <w:r w:rsidRPr="00FE66BB">
        <w:rPr>
          <w:rFonts w:ascii="Verdana" w:eastAsia="Times New Roman" w:hAnsi="Verdana" w:cs="Arial"/>
          <w:b/>
          <w:bCs/>
          <w:lang w:eastAsia="es-MX"/>
        </w:rPr>
        <w:t xml:space="preserve"> licitación pública (versión 2), selección abreviada de menor cuantía, mínima cuantía, consultoría e interventoría</w:t>
      </w:r>
      <w:r w:rsidRPr="00FE66BB">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w:t>
      </w:r>
      <w:r w:rsidRPr="00FE66BB">
        <w:rPr>
          <w:rFonts w:ascii="Verdana" w:eastAsia="Times New Roman" w:hAnsi="Verdana" w:cs="Arial"/>
          <w:lang w:eastAsia="es-MX"/>
        </w:rPr>
        <w:lastRenderedPageBreak/>
        <w:t xml:space="preserve">Consulta y descarga los documentos aquí: </w:t>
      </w:r>
      <w:hyperlink r:id="rId14" w:tgtFrame="_new" w:history="1">
        <w:r w:rsidRPr="00FE66BB">
          <w:rPr>
            <w:rFonts w:ascii="Verdana" w:eastAsia="Times New Roman" w:hAnsi="Verdana" w:cs="Arial"/>
            <w:color w:val="0000FF"/>
            <w:u w:val="single"/>
            <w:lang w:eastAsia="es-MX"/>
          </w:rPr>
          <w:t>https://www.colombiacompra.gov.co/normativa-y-relatoria/documentos-tipo</w:t>
        </w:r>
      </w:hyperlink>
    </w:p>
    <w:p w14:paraId="5ABF4892" w14:textId="77777777" w:rsidR="00FE66BB" w:rsidRPr="00FE66BB" w:rsidRDefault="00FE66BB" w:rsidP="00FE66BB">
      <w:pPr>
        <w:spacing w:after="0" w:line="276" w:lineRule="auto"/>
        <w:jc w:val="both"/>
        <w:rPr>
          <w:rFonts w:ascii="Verdana" w:eastAsia="Times New Roman" w:hAnsi="Verdana" w:cs="Arial"/>
          <w:lang w:eastAsia="es-MX"/>
        </w:rPr>
      </w:pPr>
    </w:p>
    <w:p w14:paraId="774FE19A" w14:textId="77777777" w:rsidR="00FE66BB" w:rsidRPr="00FE66BB" w:rsidRDefault="00FE66BB" w:rsidP="00FE66BB">
      <w:pPr>
        <w:spacing w:after="0" w:line="276" w:lineRule="auto"/>
        <w:jc w:val="both"/>
        <w:rPr>
          <w:rFonts w:ascii="Verdana" w:eastAsia="Times New Roman" w:hAnsi="Verdana" w:cs="Arial"/>
          <w:lang w:eastAsia="es-MX"/>
        </w:rPr>
      </w:pPr>
      <w:r w:rsidRPr="00FE66BB">
        <w:rPr>
          <w:rFonts w:ascii="Verdana" w:eastAsia="Times New Roman" w:hAnsi="Verdana" w:cs="Arial"/>
          <w:lang w:eastAsia="es-MX"/>
        </w:rPr>
        <w:t xml:space="preserve">Si quieres conocer más sobre la aplicación de Documentos Tipo puedes consultar la última versión de la </w:t>
      </w:r>
      <w:r w:rsidRPr="00FE66BB">
        <w:rPr>
          <w:rFonts w:ascii="Verdana" w:eastAsia="Times New Roman" w:hAnsi="Verdana" w:cs="Arial"/>
          <w:b/>
          <w:bCs/>
          <w:lang w:eastAsia="es-MX"/>
        </w:rPr>
        <w:t>Guía para la comprensión e implementación de los Documentos Tipo de obra pública de infraestructura de transporte</w:t>
      </w:r>
      <w:r w:rsidRPr="00FE66BB">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E66BB">
        <w:rPr>
          <w:rFonts w:ascii="Verdana" w:eastAsia="Times New Roman" w:hAnsi="Verdana" w:cs="Arial"/>
          <w:lang w:eastAsia="es-MX"/>
        </w:rPr>
        <w:br/>
      </w:r>
      <w:hyperlink r:id="rId15" w:tgtFrame="_new" w:history="1">
        <w:r w:rsidRPr="00FE66BB">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E8EC59C" w14:textId="77777777" w:rsidR="00FE66BB" w:rsidRPr="00FE66BB" w:rsidRDefault="00FE66BB" w:rsidP="00FE66BB">
      <w:pPr>
        <w:spacing w:after="0"/>
        <w:jc w:val="both"/>
        <w:rPr>
          <w:rFonts w:ascii="Verdana" w:eastAsia="Aptos" w:hAnsi="Verdana" w:cs="Times New Roman"/>
          <w:color w:val="212121"/>
          <w:lang w:eastAsia="es-MX"/>
        </w:rPr>
      </w:pPr>
    </w:p>
    <w:p w14:paraId="563FC477" w14:textId="77777777" w:rsidR="00FE66BB" w:rsidRPr="00FE66BB" w:rsidRDefault="00FE66BB" w:rsidP="00FE66BB">
      <w:pPr>
        <w:spacing w:after="0" w:line="240" w:lineRule="auto"/>
        <w:jc w:val="both"/>
        <w:rPr>
          <w:rFonts w:ascii="Verdana" w:eastAsia="Calibri" w:hAnsi="Verdana" w:cs="Times New Roman"/>
          <w:lang w:eastAsia="es-MX"/>
        </w:rPr>
      </w:pPr>
      <w:r w:rsidRPr="00FE66BB">
        <w:rPr>
          <w:rFonts w:ascii="Verdana" w:eastAsia="Aptos" w:hAnsi="Verdana" w:cs="Times New Roman"/>
          <w:lang w:eastAsia="es-MX"/>
        </w:rPr>
        <w:t xml:space="preserve">Por último, lo invitamos a seguirnos en las redes sociales en las cuales se difunde información institucional: </w:t>
      </w:r>
    </w:p>
    <w:p w14:paraId="6760FE6B" w14:textId="77777777" w:rsidR="00FE66BB" w:rsidRPr="00FE66BB" w:rsidRDefault="00FE66BB" w:rsidP="00FE66BB">
      <w:pPr>
        <w:spacing w:after="0" w:line="240" w:lineRule="auto"/>
        <w:jc w:val="both"/>
        <w:rPr>
          <w:rFonts w:ascii="Verdana" w:eastAsia="Aptos" w:hAnsi="Verdana" w:cs="Times New Roman"/>
          <w:lang w:eastAsia="es-MX"/>
        </w:rPr>
      </w:pPr>
    </w:p>
    <w:p w14:paraId="0F0D2C03" w14:textId="77777777" w:rsidR="00FE66BB" w:rsidRPr="00FE66BB" w:rsidRDefault="00FE66BB" w:rsidP="00FE66BB">
      <w:pPr>
        <w:spacing w:after="0" w:line="240" w:lineRule="auto"/>
        <w:jc w:val="both"/>
        <w:rPr>
          <w:rFonts w:ascii="Verdana" w:eastAsia="Aptos" w:hAnsi="Verdana" w:cs="Times New Roman"/>
          <w:lang w:eastAsia="es-MX"/>
        </w:rPr>
      </w:pPr>
      <w:r w:rsidRPr="00FE66BB">
        <w:rPr>
          <w:rFonts w:ascii="Verdana" w:eastAsia="Aptos" w:hAnsi="Verdana" w:cs="Times New Roman"/>
          <w:lang w:eastAsia="es-MX"/>
        </w:rPr>
        <w:t xml:space="preserve">Twitter: </w:t>
      </w:r>
      <w:r w:rsidRPr="00FE66BB">
        <w:rPr>
          <w:rFonts w:ascii="Verdana" w:eastAsia="Calibri" w:hAnsi="Verdana" w:cs="Times New Roman"/>
          <w:color w:val="156082"/>
          <w:u w:val="single"/>
          <w:lang w:eastAsia="es-MX"/>
        </w:rPr>
        <w:t>@colombiacompra</w:t>
      </w:r>
      <w:r w:rsidRPr="00FE66BB">
        <w:rPr>
          <w:rFonts w:ascii="Verdana" w:eastAsia="Calibri" w:hAnsi="Verdana" w:cs="Times New Roman"/>
          <w:color w:val="156082"/>
          <w:lang w:eastAsia="es-MX"/>
        </w:rPr>
        <w:t xml:space="preserve"> </w:t>
      </w:r>
    </w:p>
    <w:p w14:paraId="075E1A1A" w14:textId="77777777" w:rsidR="00FE66BB" w:rsidRPr="00FE66BB" w:rsidRDefault="00FE66BB" w:rsidP="00FE66BB">
      <w:pPr>
        <w:spacing w:after="0" w:line="240" w:lineRule="auto"/>
        <w:jc w:val="both"/>
        <w:rPr>
          <w:rFonts w:ascii="Verdana" w:eastAsia="Aptos" w:hAnsi="Verdana" w:cs="Times New Roman"/>
          <w:lang w:eastAsia="es-MX"/>
        </w:rPr>
      </w:pPr>
      <w:r w:rsidRPr="00FE66BB">
        <w:rPr>
          <w:rFonts w:ascii="Verdana" w:eastAsia="Aptos" w:hAnsi="Verdana" w:cs="Times New Roman"/>
          <w:lang w:eastAsia="es-MX"/>
        </w:rPr>
        <w:t xml:space="preserve">Facebook: </w:t>
      </w:r>
      <w:proofErr w:type="spellStart"/>
      <w:r w:rsidRPr="00FE66BB">
        <w:rPr>
          <w:rFonts w:ascii="Verdana" w:eastAsia="Calibri" w:hAnsi="Verdana" w:cs="Times New Roman"/>
          <w:color w:val="156082"/>
          <w:u w:val="single"/>
          <w:lang w:eastAsia="es-MX"/>
        </w:rPr>
        <w:t>ColombiaCompraEficiente</w:t>
      </w:r>
      <w:proofErr w:type="spellEnd"/>
    </w:p>
    <w:p w14:paraId="401C14F6" w14:textId="77777777" w:rsidR="00FE66BB" w:rsidRPr="00FE66BB" w:rsidRDefault="00FE66BB" w:rsidP="00FE66BB">
      <w:pPr>
        <w:spacing w:after="0" w:line="240" w:lineRule="auto"/>
        <w:jc w:val="both"/>
        <w:rPr>
          <w:rFonts w:ascii="Verdana" w:eastAsia="Aptos" w:hAnsi="Verdana" w:cs="Times New Roman"/>
          <w:lang w:eastAsia="es-MX"/>
        </w:rPr>
      </w:pPr>
      <w:r w:rsidRPr="00FE66BB">
        <w:rPr>
          <w:rFonts w:ascii="Verdana" w:eastAsia="Aptos" w:hAnsi="Verdana" w:cs="Times New Roman"/>
          <w:lang w:eastAsia="es-MX"/>
        </w:rPr>
        <w:t xml:space="preserve">LinkedIn: </w:t>
      </w:r>
      <w:r w:rsidRPr="00FE66BB">
        <w:rPr>
          <w:rFonts w:ascii="Verdana" w:eastAsia="Calibri" w:hAnsi="Verdana" w:cs="Times New Roman"/>
          <w:color w:val="156082"/>
          <w:u w:val="single"/>
          <w:lang w:eastAsia="es-MX"/>
        </w:rPr>
        <w:t>Agencia Nacional de Contratación Pública - Colombia Compra Eficiente</w:t>
      </w:r>
      <w:r w:rsidRPr="00FE66BB">
        <w:rPr>
          <w:rFonts w:ascii="Verdana" w:eastAsia="Calibri" w:hAnsi="Verdana" w:cs="Times New Roman"/>
          <w:color w:val="156082"/>
          <w:lang w:eastAsia="es-MX"/>
        </w:rPr>
        <w:t xml:space="preserve"> </w:t>
      </w:r>
      <w:r w:rsidRPr="00FE66BB">
        <w:rPr>
          <w:rFonts w:ascii="Verdana" w:eastAsia="Aptos" w:hAnsi="Verdana" w:cs="Times New Roman"/>
          <w:lang w:eastAsia="es-MX"/>
        </w:rPr>
        <w:t xml:space="preserve">Instagram: </w:t>
      </w:r>
      <w:r w:rsidRPr="00FE66BB">
        <w:rPr>
          <w:rFonts w:ascii="Verdana" w:eastAsia="Calibri" w:hAnsi="Verdana" w:cs="Times New Roman"/>
          <w:color w:val="156082"/>
          <w:u w:val="single"/>
          <w:lang w:eastAsia="es-MX"/>
        </w:rPr>
        <w:t>@colombiacompraeficiente_cce</w:t>
      </w:r>
    </w:p>
    <w:p w14:paraId="105D0014" w14:textId="77777777" w:rsidR="00FE66BB" w:rsidRPr="00FE66BB" w:rsidRDefault="00FE66BB" w:rsidP="00FE66BB">
      <w:pPr>
        <w:spacing w:after="0" w:line="276" w:lineRule="auto"/>
        <w:jc w:val="both"/>
        <w:rPr>
          <w:rFonts w:ascii="Verdana" w:eastAsia="Aptos" w:hAnsi="Verdana" w:cs="Times New Roman"/>
          <w:lang w:eastAsia="es-MX"/>
        </w:rPr>
      </w:pPr>
    </w:p>
    <w:p w14:paraId="5AD8C985" w14:textId="77777777" w:rsidR="00FE66BB" w:rsidRPr="00FE66BB" w:rsidRDefault="00FE66BB" w:rsidP="00FE66BB">
      <w:pPr>
        <w:spacing w:after="0" w:line="276" w:lineRule="auto"/>
        <w:jc w:val="both"/>
        <w:rPr>
          <w:rFonts w:ascii="Verdana" w:eastAsia="Calibri" w:hAnsi="Verdana" w:cs="Times New Roman"/>
          <w:bCs/>
          <w:lang w:val="es-ES_tradnl" w:eastAsia="es-MX"/>
        </w:rPr>
      </w:pPr>
      <w:r w:rsidRPr="00FE66BB">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9B7CD61" w14:textId="01CF7FD5" w:rsidR="00FE66BB" w:rsidRPr="00FE66BB" w:rsidRDefault="00FE66BB" w:rsidP="00FE66BB">
      <w:pPr>
        <w:spacing w:after="0" w:line="276" w:lineRule="auto"/>
        <w:jc w:val="both"/>
        <w:rPr>
          <w:rFonts w:ascii="Verdana" w:eastAsia="Calibri" w:hAnsi="Verdana" w:cs="Times New Roman"/>
          <w:lang w:eastAsia="es-MX"/>
        </w:rPr>
      </w:pPr>
    </w:p>
    <w:p w14:paraId="2B4EE8D1" w14:textId="67D2493D" w:rsidR="00FE66BB" w:rsidRPr="00FE66BB" w:rsidRDefault="00FE66BB" w:rsidP="00FE66BB">
      <w:pPr>
        <w:spacing w:after="0" w:line="276" w:lineRule="auto"/>
        <w:jc w:val="both"/>
        <w:rPr>
          <w:rFonts w:ascii="Verdana" w:eastAsia="Calibri" w:hAnsi="Verdana" w:cs="Times New Roman"/>
          <w:lang w:eastAsia="es-MX"/>
        </w:rPr>
      </w:pPr>
      <w:r w:rsidRPr="00FE66BB">
        <w:rPr>
          <w:rFonts w:ascii="Verdana" w:eastAsia="Calibri" w:hAnsi="Verdana" w:cs="Times New Roman"/>
          <w:lang w:eastAsia="es-MX"/>
        </w:rPr>
        <w:t>Atentamente,</w:t>
      </w:r>
    </w:p>
    <w:p w14:paraId="0D4666F5" w14:textId="1067B1AC" w:rsidR="00FE66BB" w:rsidRPr="00FE66BB" w:rsidRDefault="00122B17" w:rsidP="00FE66BB">
      <w:pPr>
        <w:tabs>
          <w:tab w:val="left" w:pos="1320"/>
        </w:tabs>
        <w:spacing w:after="0"/>
        <w:jc w:val="center"/>
        <w:rPr>
          <w:rFonts w:ascii="Verdana" w:eastAsia="Calibri" w:hAnsi="Verdana" w:cs="Times New Roman"/>
          <w:lang w:eastAsia="es-MX"/>
        </w:rPr>
      </w:pPr>
      <w:r>
        <w:rPr>
          <w:rFonts w:ascii="Verdana" w:eastAsia="Calibri" w:hAnsi="Verdana" w:cs="Times New Roman"/>
          <w:noProof/>
          <w:lang w:eastAsia="es-MX"/>
        </w:rPr>
        <w:drawing>
          <wp:anchor distT="0" distB="0" distL="114300" distR="114300" simplePos="0" relativeHeight="251659264" behindDoc="0" locked="0" layoutInCell="1" allowOverlap="1" wp14:anchorId="384CF58C" wp14:editId="016BC53B">
            <wp:simplePos x="0" y="0"/>
            <wp:positionH relativeFrom="margin">
              <wp:align>center</wp:align>
            </wp:positionH>
            <wp:positionV relativeFrom="paragraph">
              <wp:posOffset>127745</wp:posOffset>
            </wp:positionV>
            <wp:extent cx="2610485" cy="969010"/>
            <wp:effectExtent l="0" t="0" r="0" b="2540"/>
            <wp:wrapSquare wrapText="bothSides"/>
            <wp:docPr id="15185506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550681" name="Imagen 1518550681"/>
                    <pic:cNvPicPr/>
                  </pic:nvPicPr>
                  <pic:blipFill>
                    <a:blip r:embed="rId16">
                      <a:extLst>
                        <a:ext uri="{28A0092B-C50C-407E-A947-70E740481C1C}">
                          <a14:useLocalDpi xmlns:a14="http://schemas.microsoft.com/office/drawing/2010/main" val="0"/>
                        </a:ext>
                      </a:extLst>
                    </a:blip>
                    <a:stretch>
                      <a:fillRect/>
                    </a:stretch>
                  </pic:blipFill>
                  <pic:spPr>
                    <a:xfrm>
                      <a:off x="0" y="0"/>
                      <a:ext cx="2610485" cy="969010"/>
                    </a:xfrm>
                    <a:prstGeom prst="rect">
                      <a:avLst/>
                    </a:prstGeom>
                  </pic:spPr>
                </pic:pic>
              </a:graphicData>
            </a:graphic>
            <wp14:sizeRelH relativeFrom="margin">
              <wp14:pctWidth>0</wp14:pctWidth>
            </wp14:sizeRelH>
            <wp14:sizeRelV relativeFrom="margin">
              <wp14:pctHeight>0</wp14:pctHeight>
            </wp14:sizeRelV>
          </wp:anchor>
        </w:drawing>
      </w:r>
    </w:p>
    <w:p w14:paraId="60E86DFD" w14:textId="08A2F577" w:rsidR="00FE66BB" w:rsidRPr="00FE66BB" w:rsidRDefault="00FE66BB" w:rsidP="00FE66BB">
      <w:pPr>
        <w:tabs>
          <w:tab w:val="left" w:pos="1320"/>
        </w:tabs>
        <w:spacing w:after="0"/>
        <w:jc w:val="center"/>
        <w:rPr>
          <w:rFonts w:ascii="Verdana" w:eastAsia="Calibri" w:hAnsi="Verdana" w:cs="Times New Roman"/>
          <w:lang w:eastAsia="es-MX"/>
        </w:rPr>
      </w:pPr>
    </w:p>
    <w:p w14:paraId="4FD06A76" w14:textId="77777777" w:rsidR="00FE66BB" w:rsidRPr="00FE66BB" w:rsidRDefault="00FE66BB" w:rsidP="00FE66BB">
      <w:pPr>
        <w:tabs>
          <w:tab w:val="left" w:pos="1320"/>
        </w:tabs>
        <w:spacing w:after="0"/>
        <w:jc w:val="center"/>
        <w:rPr>
          <w:rFonts w:ascii="Verdana" w:eastAsia="Calibri" w:hAnsi="Verdana"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FE66BB" w:rsidRPr="00FE66BB" w14:paraId="50F8A6A2" w14:textId="77777777" w:rsidTr="003D59B9">
        <w:trPr>
          <w:trHeight w:val="323"/>
        </w:trPr>
        <w:tc>
          <w:tcPr>
            <w:tcW w:w="1041" w:type="dxa"/>
            <w:vAlign w:val="center"/>
            <w:hideMark/>
          </w:tcPr>
          <w:p w14:paraId="09910BC2" w14:textId="77777777" w:rsidR="00FE66BB" w:rsidRPr="00FE66BB" w:rsidRDefault="00FE66BB" w:rsidP="00FE66BB">
            <w:pPr>
              <w:spacing w:line="278" w:lineRule="auto"/>
              <w:rPr>
                <w:rFonts w:ascii="Verdana" w:eastAsia="Calibri" w:hAnsi="Verdana" w:cs="Arial"/>
                <w:kern w:val="2"/>
                <w:sz w:val="16"/>
                <w:szCs w:val="16"/>
                <w:lang w:val="es-ES_tradnl" w:eastAsia="es-ES"/>
                <w14:ligatures w14:val="standardContextual"/>
              </w:rPr>
            </w:pPr>
            <w:r w:rsidRPr="00FE66BB">
              <w:rPr>
                <w:rFonts w:ascii="Verdana" w:eastAsia="Calibri" w:hAnsi="Verdana" w:cs="Arial"/>
                <w:kern w:val="2"/>
                <w:sz w:val="16"/>
                <w:szCs w:val="16"/>
                <w:lang w:val="es-ES_tradnl" w:eastAsia="es-ES"/>
                <w14:ligatures w14:val="standardContextual"/>
              </w:rPr>
              <w:lastRenderedPageBreak/>
              <w:t>Elaboró:</w:t>
            </w:r>
          </w:p>
        </w:tc>
        <w:tc>
          <w:tcPr>
            <w:tcW w:w="6561" w:type="dxa"/>
            <w:tcBorders>
              <w:top w:val="nil"/>
              <w:left w:val="nil"/>
              <w:bottom w:val="dotted" w:sz="4" w:space="0" w:color="7F7F7F"/>
              <w:right w:val="nil"/>
            </w:tcBorders>
            <w:vAlign w:val="center"/>
            <w:hideMark/>
          </w:tcPr>
          <w:p w14:paraId="1C7CD19E" w14:textId="77777777" w:rsidR="00FE66BB" w:rsidRPr="00FE66BB" w:rsidRDefault="00FE66BB" w:rsidP="00FE66BB">
            <w:pPr>
              <w:spacing w:line="278" w:lineRule="auto"/>
              <w:rPr>
                <w:rFonts w:ascii="Verdana" w:eastAsia="Arial" w:hAnsi="Verdana" w:cs="Arial"/>
                <w:kern w:val="2"/>
                <w:sz w:val="16"/>
                <w:szCs w:val="16"/>
                <w:lang w:val="es-ES" w:eastAsia="es-MX"/>
                <w14:ligatures w14:val="standardContextual"/>
              </w:rPr>
            </w:pPr>
            <w:r w:rsidRPr="00FE66BB">
              <w:rPr>
                <w:rFonts w:ascii="Verdana" w:eastAsia="Arial" w:hAnsi="Verdana" w:cs="Arial"/>
                <w:kern w:val="2"/>
                <w:sz w:val="16"/>
                <w:szCs w:val="16"/>
                <w:lang w:val="es-ES" w:eastAsia="es-MX"/>
                <w14:ligatures w14:val="standardContextual"/>
              </w:rPr>
              <w:t xml:space="preserve">Carlos Mario Castrillón Endo </w:t>
            </w:r>
          </w:p>
          <w:p w14:paraId="7B826074" w14:textId="77777777" w:rsidR="00FE66BB" w:rsidRPr="00FE66BB" w:rsidRDefault="00FE66BB" w:rsidP="00FE66BB">
            <w:pPr>
              <w:spacing w:line="278" w:lineRule="auto"/>
              <w:rPr>
                <w:rFonts w:ascii="Verdana" w:eastAsia="Arial" w:hAnsi="Verdana" w:cs="Arial"/>
                <w:kern w:val="2"/>
                <w:sz w:val="16"/>
                <w:szCs w:val="16"/>
                <w:lang w:val="es-ES_tradnl" w:eastAsia="es-MX"/>
                <w14:ligatures w14:val="standardContextual"/>
              </w:rPr>
            </w:pPr>
            <w:r w:rsidRPr="00FE66BB">
              <w:rPr>
                <w:rFonts w:ascii="Verdana" w:eastAsia="Arial" w:hAnsi="Verdana" w:cs="Arial"/>
                <w:kern w:val="2"/>
                <w:sz w:val="16"/>
                <w:szCs w:val="16"/>
                <w:lang w:val="es-ES_tradnl" w:eastAsia="es-MX"/>
                <w14:ligatures w14:val="standardContextual"/>
              </w:rPr>
              <w:t>Contratista de la Subdirección de Gestión Contractual</w:t>
            </w:r>
          </w:p>
          <w:p w14:paraId="53BB3BF9" w14:textId="77777777" w:rsidR="00FE66BB" w:rsidRPr="00FE66BB" w:rsidRDefault="00FE66BB" w:rsidP="00FE66BB">
            <w:pPr>
              <w:spacing w:line="278" w:lineRule="auto"/>
              <w:rPr>
                <w:rFonts w:ascii="Verdana" w:eastAsia="Arial" w:hAnsi="Verdana" w:cs="Arial"/>
                <w:kern w:val="2"/>
                <w:sz w:val="16"/>
                <w:szCs w:val="16"/>
                <w:lang w:val="es-ES_tradnl" w:eastAsia="es-MX"/>
                <w14:ligatures w14:val="standardContextual"/>
              </w:rPr>
            </w:pPr>
          </w:p>
        </w:tc>
      </w:tr>
      <w:tr w:rsidR="00FE66BB" w:rsidRPr="00FE66BB" w14:paraId="4B241641" w14:textId="77777777" w:rsidTr="003D59B9">
        <w:trPr>
          <w:trHeight w:val="338"/>
        </w:trPr>
        <w:tc>
          <w:tcPr>
            <w:tcW w:w="1041" w:type="dxa"/>
            <w:vAlign w:val="center"/>
            <w:hideMark/>
          </w:tcPr>
          <w:p w14:paraId="6E1D7342" w14:textId="77777777" w:rsidR="00FE66BB" w:rsidRPr="00FE66BB" w:rsidRDefault="00FE66BB" w:rsidP="00FE66BB">
            <w:pPr>
              <w:spacing w:line="278" w:lineRule="auto"/>
              <w:rPr>
                <w:rFonts w:ascii="Verdana" w:eastAsia="Calibri" w:hAnsi="Verdana" w:cs="Arial"/>
                <w:kern w:val="2"/>
                <w:sz w:val="16"/>
                <w:szCs w:val="16"/>
                <w:lang w:val="es-ES_tradnl" w:eastAsia="es-ES"/>
                <w14:ligatures w14:val="standardContextual"/>
              </w:rPr>
            </w:pPr>
            <w:r w:rsidRPr="00FE66BB">
              <w:rPr>
                <w:rFonts w:ascii="Verdana" w:eastAsia="Calibri" w:hAnsi="Verdana" w:cs="Arial"/>
                <w:kern w:val="2"/>
                <w:sz w:val="16"/>
                <w:szCs w:val="16"/>
                <w:lang w:val="es-ES_tradnl" w:eastAsia="es-ES"/>
                <w14:ligatures w14:val="standardContextual"/>
              </w:rPr>
              <w:t>Revisó:</w:t>
            </w:r>
          </w:p>
        </w:tc>
        <w:tc>
          <w:tcPr>
            <w:tcW w:w="6561" w:type="dxa"/>
            <w:tcBorders>
              <w:top w:val="dotted" w:sz="4" w:space="0" w:color="7F7F7F"/>
              <w:left w:val="nil"/>
              <w:bottom w:val="dotted" w:sz="4" w:space="0" w:color="7F7F7F"/>
              <w:right w:val="nil"/>
            </w:tcBorders>
            <w:vAlign w:val="center"/>
            <w:hideMark/>
          </w:tcPr>
          <w:p w14:paraId="7ADBA615" w14:textId="77777777" w:rsidR="00FE66BB" w:rsidRPr="00FE66BB" w:rsidRDefault="00FE66BB" w:rsidP="00FE66BB">
            <w:pPr>
              <w:spacing w:line="278" w:lineRule="auto"/>
              <w:rPr>
                <w:rFonts w:ascii="Verdana" w:eastAsia="Arial" w:hAnsi="Verdana" w:cs="Arial"/>
                <w:kern w:val="2"/>
                <w:sz w:val="16"/>
                <w:szCs w:val="16"/>
                <w:lang w:val="es-ES" w:eastAsia="es-MX"/>
                <w14:ligatures w14:val="standardContextual"/>
              </w:rPr>
            </w:pPr>
            <w:r w:rsidRPr="00FE66BB">
              <w:rPr>
                <w:rFonts w:ascii="Verdana" w:eastAsia="Arial" w:hAnsi="Verdana" w:cs="Arial"/>
                <w:kern w:val="2"/>
                <w:sz w:val="16"/>
                <w:szCs w:val="16"/>
                <w:lang w:val="es-ES" w:eastAsia="es-MX"/>
                <w14:ligatures w14:val="standardContextual"/>
              </w:rPr>
              <w:t>Lida Milena Guanumen Pacheco</w:t>
            </w:r>
          </w:p>
          <w:p w14:paraId="577F5E40" w14:textId="77777777" w:rsidR="00FE66BB" w:rsidRPr="00FE66BB" w:rsidRDefault="00FE66BB" w:rsidP="00FE66BB">
            <w:pPr>
              <w:spacing w:line="278" w:lineRule="auto"/>
              <w:rPr>
                <w:rFonts w:ascii="Verdana" w:eastAsia="Arial" w:hAnsi="Verdana" w:cs="Arial"/>
                <w:kern w:val="2"/>
                <w:sz w:val="16"/>
                <w:szCs w:val="16"/>
                <w:lang w:val="es-ES" w:eastAsia="es-MX"/>
                <w14:ligatures w14:val="standardContextual"/>
              </w:rPr>
            </w:pPr>
            <w:r w:rsidRPr="00FE66BB">
              <w:rPr>
                <w:rFonts w:ascii="Verdana" w:eastAsia="Arial" w:hAnsi="Verdana" w:cs="Arial"/>
                <w:kern w:val="2"/>
                <w:sz w:val="16"/>
                <w:szCs w:val="16"/>
                <w:lang w:val="es-ES_tradnl" w:eastAsia="es-MX"/>
                <w14:ligatures w14:val="standardContextual"/>
              </w:rPr>
              <w:t>Contratista de la Subdirección de Gestión Contractual</w:t>
            </w:r>
          </w:p>
          <w:p w14:paraId="4C4FA95F" w14:textId="77777777" w:rsidR="00FE66BB" w:rsidRPr="00FE66BB" w:rsidRDefault="00FE66BB" w:rsidP="00FE66BB">
            <w:pPr>
              <w:spacing w:line="278" w:lineRule="auto"/>
              <w:rPr>
                <w:rFonts w:ascii="Verdana" w:eastAsia="Arial" w:hAnsi="Verdana" w:cs="Arial"/>
                <w:kern w:val="2"/>
                <w:sz w:val="16"/>
                <w:szCs w:val="16"/>
                <w:lang w:val="es-ES_tradnl" w:eastAsia="es-MX"/>
                <w14:ligatures w14:val="standardContextual"/>
              </w:rPr>
            </w:pPr>
            <w:r w:rsidRPr="00FE66BB">
              <w:rPr>
                <w:rFonts w:ascii="Verdana" w:eastAsia="Arial" w:hAnsi="Verdana" w:cs="Arial"/>
                <w:kern w:val="2"/>
                <w:sz w:val="16"/>
                <w:szCs w:val="16"/>
                <w:lang w:val="es-ES_tradnl" w:eastAsia="es-MX"/>
                <w14:ligatures w14:val="standardContextual"/>
              </w:rPr>
              <w:t>Martha Alicia Romero Vargas</w:t>
            </w:r>
          </w:p>
          <w:p w14:paraId="27217F79" w14:textId="77777777" w:rsidR="00FE66BB" w:rsidRPr="00FE66BB" w:rsidRDefault="00FE66BB" w:rsidP="00FE66BB">
            <w:pPr>
              <w:spacing w:line="278" w:lineRule="auto"/>
              <w:rPr>
                <w:rFonts w:ascii="Verdana" w:eastAsia="Arial" w:hAnsi="Verdana" w:cs="Arial"/>
                <w:kern w:val="2"/>
                <w:sz w:val="16"/>
                <w:szCs w:val="16"/>
                <w:lang w:val="es-ES_tradnl" w:eastAsia="es-MX"/>
                <w14:ligatures w14:val="standardContextual"/>
              </w:rPr>
            </w:pPr>
            <w:r w:rsidRPr="00FE66BB">
              <w:rPr>
                <w:rFonts w:ascii="Verdana" w:eastAsia="Arial" w:hAnsi="Verdana" w:cs="Arial"/>
                <w:kern w:val="2"/>
                <w:sz w:val="16"/>
                <w:szCs w:val="16"/>
                <w:lang w:val="es-ES_tradnl" w:eastAsia="es-MX"/>
                <w14:ligatures w14:val="standardContextual"/>
              </w:rPr>
              <w:t>Gestor T1-15 de la Subdirección de Gestión Contractual</w:t>
            </w:r>
          </w:p>
        </w:tc>
      </w:tr>
      <w:tr w:rsidR="00FE66BB" w:rsidRPr="00FE66BB" w14:paraId="6D159F2D" w14:textId="77777777" w:rsidTr="003D59B9">
        <w:trPr>
          <w:trHeight w:val="308"/>
        </w:trPr>
        <w:tc>
          <w:tcPr>
            <w:tcW w:w="1041" w:type="dxa"/>
            <w:vAlign w:val="center"/>
          </w:tcPr>
          <w:p w14:paraId="42769886" w14:textId="77777777" w:rsidR="00FE66BB" w:rsidRPr="00FE66BB" w:rsidRDefault="00FE66BB" w:rsidP="00FE66BB">
            <w:pPr>
              <w:spacing w:line="278" w:lineRule="auto"/>
              <w:rPr>
                <w:rFonts w:ascii="Verdana" w:eastAsia="Calibri" w:hAnsi="Verdana" w:cs="Arial"/>
                <w:kern w:val="2"/>
                <w:sz w:val="16"/>
                <w:szCs w:val="16"/>
                <w:lang w:val="es-ES_tradnl" w:eastAsia="es-ES"/>
                <w14:ligatures w14:val="standardContextual"/>
              </w:rPr>
            </w:pPr>
            <w:r w:rsidRPr="00FE66BB">
              <w:rPr>
                <w:rFonts w:ascii="Verdana" w:eastAsia="Calibri" w:hAnsi="Verdana" w:cs="Arial"/>
                <w:kern w:val="2"/>
                <w:sz w:val="16"/>
                <w:szCs w:val="16"/>
                <w:lang w:val="es-ES_tradnl" w:eastAsia="es-ES"/>
                <w14:ligatures w14:val="standardContextual"/>
              </w:rPr>
              <w:t>Aprobó:</w:t>
            </w:r>
          </w:p>
        </w:tc>
        <w:tc>
          <w:tcPr>
            <w:tcW w:w="6561" w:type="dxa"/>
            <w:tcBorders>
              <w:top w:val="dotted" w:sz="4" w:space="0" w:color="7F7F7F"/>
              <w:left w:val="nil"/>
              <w:bottom w:val="dotted" w:sz="4" w:space="0" w:color="7F7F7F"/>
              <w:right w:val="nil"/>
            </w:tcBorders>
            <w:vAlign w:val="center"/>
          </w:tcPr>
          <w:p w14:paraId="5AC62F82" w14:textId="77777777" w:rsidR="00FE66BB" w:rsidRPr="00FE66BB" w:rsidRDefault="00FE66BB" w:rsidP="00FE66BB">
            <w:pPr>
              <w:spacing w:line="278" w:lineRule="auto"/>
              <w:rPr>
                <w:rFonts w:ascii="Verdana" w:eastAsia="Calibri" w:hAnsi="Verdana" w:cs="Arial"/>
                <w:kern w:val="2"/>
                <w:sz w:val="16"/>
                <w:szCs w:val="16"/>
                <w:lang w:val="es-ES" w:eastAsia="es-ES"/>
                <w14:ligatures w14:val="standardContextual"/>
              </w:rPr>
            </w:pPr>
            <w:r w:rsidRPr="00FE66BB">
              <w:rPr>
                <w:rFonts w:ascii="Verdana" w:eastAsia="Calibri" w:hAnsi="Verdana" w:cs="Arial"/>
                <w:kern w:val="2"/>
                <w:sz w:val="16"/>
                <w:szCs w:val="16"/>
                <w:lang w:val="es-ES" w:eastAsia="es-ES"/>
                <w14:ligatures w14:val="standardContextual"/>
              </w:rPr>
              <w:t>Carolina Quintero Gacharná</w:t>
            </w:r>
          </w:p>
          <w:p w14:paraId="00197E79" w14:textId="77777777" w:rsidR="00FE66BB" w:rsidRPr="00FE66BB" w:rsidRDefault="00FE66BB" w:rsidP="00FE66BB">
            <w:pPr>
              <w:spacing w:line="278" w:lineRule="auto"/>
              <w:rPr>
                <w:rFonts w:ascii="Verdana" w:eastAsia="Calibri" w:hAnsi="Verdana" w:cs="Arial"/>
                <w:kern w:val="2"/>
                <w:sz w:val="16"/>
                <w:szCs w:val="16"/>
                <w:lang w:val="es-ES_tradnl" w:eastAsia="es-ES"/>
                <w14:ligatures w14:val="standardContextual"/>
              </w:rPr>
            </w:pPr>
            <w:r w:rsidRPr="00FE66BB">
              <w:rPr>
                <w:rFonts w:ascii="Verdana" w:eastAsia="Calibri" w:hAnsi="Verdana" w:cs="Arial"/>
                <w:kern w:val="2"/>
                <w:sz w:val="16"/>
                <w:szCs w:val="16"/>
                <w:lang w:val="es-ES_tradnl" w:eastAsia="es-ES"/>
                <w14:ligatures w14:val="standardContextual"/>
              </w:rPr>
              <w:t>Subdirectora de Gestión Contractual ANCP – CCE</w:t>
            </w:r>
          </w:p>
        </w:tc>
      </w:tr>
    </w:tbl>
    <w:p w14:paraId="71887C87" w14:textId="77777777" w:rsidR="00FE66BB" w:rsidRPr="00FE66BB" w:rsidRDefault="00FE66BB" w:rsidP="00FE66BB">
      <w:pPr>
        <w:spacing w:after="0" w:line="240" w:lineRule="auto"/>
        <w:jc w:val="both"/>
        <w:textAlignment w:val="baseline"/>
        <w:rPr>
          <w:rFonts w:ascii="Verdana" w:eastAsia="Verdana" w:hAnsi="Verdana" w:cs="Verdana"/>
          <w:lang w:eastAsia="es-CO"/>
        </w:rPr>
      </w:pPr>
    </w:p>
    <w:p w14:paraId="1C1E4633" w14:textId="77777777" w:rsidR="00FE66BB" w:rsidRPr="00FE66BB" w:rsidRDefault="00FE66BB" w:rsidP="00FE66BB">
      <w:pPr>
        <w:spacing w:after="0" w:line="240" w:lineRule="auto"/>
        <w:textAlignment w:val="baseline"/>
        <w:rPr>
          <w:rFonts w:ascii="Verdana" w:eastAsia="Verdana" w:hAnsi="Verdana" w:cs="Verdana"/>
          <w:lang w:eastAsia="es-CO"/>
        </w:rPr>
      </w:pPr>
      <w:r w:rsidRPr="00FE66BB">
        <w:rPr>
          <w:rFonts w:ascii="Verdana" w:eastAsia="Verdana" w:hAnsi="Verdana" w:cs="Verdana"/>
          <w:lang w:eastAsia="es-CO"/>
        </w:rPr>
        <w:t> </w:t>
      </w:r>
    </w:p>
    <w:p w14:paraId="5077CF72" w14:textId="77777777" w:rsidR="00FE66BB" w:rsidRPr="00FE66BB" w:rsidRDefault="00FE66BB" w:rsidP="00FE66BB">
      <w:pPr>
        <w:spacing w:after="0" w:line="240" w:lineRule="auto"/>
        <w:textAlignment w:val="baseline"/>
        <w:rPr>
          <w:rFonts w:ascii="Verdana" w:eastAsia="Verdana" w:hAnsi="Verdana" w:cs="Verdana"/>
          <w:lang w:eastAsia="es-CO"/>
        </w:rPr>
      </w:pPr>
    </w:p>
    <w:p w14:paraId="1F5E15BE" w14:textId="77777777" w:rsidR="00FE66BB" w:rsidRPr="00FE66BB" w:rsidRDefault="00FE66BB" w:rsidP="00FE66BB">
      <w:pPr>
        <w:spacing w:line="278" w:lineRule="auto"/>
        <w:rPr>
          <w:rFonts w:ascii="Verdana" w:eastAsia="Aptos" w:hAnsi="Verdana" w:cs="Times New Roman"/>
          <w:kern w:val="2"/>
          <w:sz w:val="24"/>
          <w:szCs w:val="24"/>
          <w14:ligatures w14:val="standardContextual"/>
        </w:rPr>
      </w:pPr>
    </w:p>
    <w:p w14:paraId="35FEC06E" w14:textId="77777777" w:rsidR="001E7C0C" w:rsidRPr="001E7C0C" w:rsidRDefault="001E7C0C" w:rsidP="001E7C0C">
      <w:pPr>
        <w:spacing w:line="278" w:lineRule="auto"/>
        <w:rPr>
          <w:rFonts w:ascii="Verdana" w:eastAsia="Aptos" w:hAnsi="Verdana" w:cs="Times New Roman"/>
          <w:kern w:val="2"/>
          <w:sz w:val="24"/>
          <w:szCs w:val="24"/>
          <w14:ligatures w14:val="standardContextual"/>
        </w:rPr>
      </w:pPr>
    </w:p>
    <w:p w14:paraId="7C9026E2" w14:textId="09291C06" w:rsidR="002A0DD0" w:rsidRPr="001E7C0C" w:rsidRDefault="002A0DD0" w:rsidP="00E11CB8">
      <w:pPr>
        <w:spacing w:after="0"/>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88222E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0F0D9947" w:rsidR="00127233" w:rsidRPr="0015699B" w:rsidRDefault="00127233" w:rsidP="00E11CB8">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FD077" w14:textId="77777777" w:rsidR="001C65CD" w:rsidRDefault="001C65CD" w:rsidP="004A1847">
      <w:pPr>
        <w:spacing w:after="0" w:line="240" w:lineRule="auto"/>
      </w:pPr>
      <w:r>
        <w:separator/>
      </w:r>
    </w:p>
  </w:endnote>
  <w:endnote w:type="continuationSeparator" w:id="0">
    <w:p w14:paraId="0988CFE1" w14:textId="77777777" w:rsidR="001C65CD" w:rsidRDefault="001C65CD" w:rsidP="004A1847">
      <w:pPr>
        <w:spacing w:after="0" w:line="240" w:lineRule="auto"/>
      </w:pPr>
      <w:r>
        <w:continuationSeparator/>
      </w:r>
    </w:p>
  </w:endnote>
  <w:endnote w:type="continuationNotice" w:id="1">
    <w:p w14:paraId="4E25693D" w14:textId="77777777" w:rsidR="001C65CD" w:rsidRDefault="001C65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FE66BB">
      <w:rPr>
        <w:rFonts w:ascii="Verdana" w:eastAsia="Verdana" w:hAnsi="Verdana" w:cs="Verdana"/>
        <w:b/>
        <w:bCs/>
        <w:color w:val="000000"/>
        <w:sz w:val="18"/>
        <w:szCs w:val="18"/>
        <w:lang w:eastAsia="es-CO"/>
      </w:rPr>
      <w:t xml:space="preserve">Código: </w:t>
    </w:r>
    <w:r w:rsidRPr="00FE66BB">
      <w:rPr>
        <w:rFonts w:ascii="Verdana" w:eastAsia="Verdana" w:hAnsi="Verdana" w:cs="Verdana"/>
        <w:color w:val="000000"/>
        <w:sz w:val="18"/>
        <w:szCs w:val="18"/>
        <w:lang w:eastAsia="es-CO"/>
      </w:rPr>
      <w:t xml:space="preserve">CCE-REC-FM-17 </w:t>
    </w:r>
    <w:r w:rsidRPr="00FE66BB">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F4F90" w14:textId="77777777" w:rsidR="001C65CD" w:rsidRDefault="001C65CD" w:rsidP="004A1847">
      <w:pPr>
        <w:spacing w:after="0" w:line="240" w:lineRule="auto"/>
      </w:pPr>
      <w:r>
        <w:separator/>
      </w:r>
    </w:p>
  </w:footnote>
  <w:footnote w:type="continuationSeparator" w:id="0">
    <w:p w14:paraId="48AC7D58" w14:textId="77777777" w:rsidR="001C65CD" w:rsidRDefault="001C65CD" w:rsidP="004A1847">
      <w:pPr>
        <w:spacing w:after="0" w:line="240" w:lineRule="auto"/>
      </w:pPr>
      <w:r>
        <w:continuationSeparator/>
      </w:r>
    </w:p>
  </w:footnote>
  <w:footnote w:type="continuationNotice" w:id="1">
    <w:p w14:paraId="79D6D614" w14:textId="77777777" w:rsidR="001C65CD" w:rsidRDefault="001C65CD">
      <w:pPr>
        <w:spacing w:after="0" w:line="240" w:lineRule="auto"/>
      </w:pPr>
    </w:p>
  </w:footnote>
  <w:footnote w:id="2">
    <w:p w14:paraId="1E915D03"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Reglamento Colombiano de Construcción Sismo Resistente NSR-10</w:t>
      </w:r>
    </w:p>
    <w:p w14:paraId="49A9EE24" w14:textId="77777777" w:rsidR="00FE66BB" w:rsidRPr="00332C8A" w:rsidRDefault="00FE66BB" w:rsidP="00FE66BB">
      <w:pPr>
        <w:pStyle w:val="Textonotapie"/>
        <w:ind w:firstLine="708"/>
        <w:jc w:val="both"/>
        <w:rPr>
          <w:rFonts w:ascii="Verdana" w:hAnsi="Verdana"/>
          <w:sz w:val="18"/>
          <w:szCs w:val="18"/>
          <w:lang w:val="es-ES_tradnl"/>
        </w:rPr>
      </w:pPr>
    </w:p>
  </w:footnote>
  <w:footnote w:id="3">
    <w:p w14:paraId="1721C1CF" w14:textId="77777777" w:rsidR="00FE66BB" w:rsidRPr="00332C8A" w:rsidRDefault="00FE66BB" w:rsidP="00FE66BB">
      <w:pPr>
        <w:pStyle w:val="Textonotapie"/>
        <w:ind w:firstLine="708"/>
        <w:jc w:val="both"/>
        <w:rPr>
          <w:rFonts w:ascii="Verdana" w:hAnsi="Verdana"/>
          <w:sz w:val="18"/>
          <w:szCs w:val="18"/>
          <w:lang w:val="es-ES_tradnl"/>
        </w:rPr>
      </w:pPr>
      <w:r w:rsidRPr="00332C8A">
        <w:rPr>
          <w:rStyle w:val="Refdenotaalpie"/>
          <w:rFonts w:ascii="Verdana" w:hAnsi="Verdana"/>
          <w:sz w:val="18"/>
          <w:szCs w:val="18"/>
        </w:rPr>
        <w:footnoteRef/>
      </w:r>
      <w:r w:rsidRPr="00332C8A">
        <w:rPr>
          <w:rFonts w:ascii="Verdana" w:hAnsi="Verdana"/>
          <w:sz w:val="18"/>
          <w:szCs w:val="18"/>
        </w:rPr>
        <w:t xml:space="preserve"> </w:t>
      </w:r>
      <w:r w:rsidRPr="00332C8A">
        <w:rPr>
          <w:rFonts w:ascii="Verdana" w:hAnsi="Verdana"/>
          <w:sz w:val="18"/>
          <w:szCs w:val="18"/>
          <w:lang w:val="es-ES_tradnl"/>
        </w:rPr>
        <w:t xml:space="preserve">Ibidem </w:t>
      </w:r>
    </w:p>
    <w:p w14:paraId="0514D6CE" w14:textId="77777777" w:rsidR="00FE66BB" w:rsidRPr="00332C8A" w:rsidRDefault="00FE66BB" w:rsidP="00FE66BB">
      <w:pPr>
        <w:pStyle w:val="Textonotapie"/>
        <w:ind w:firstLine="708"/>
        <w:jc w:val="both"/>
        <w:rPr>
          <w:rFonts w:ascii="Verdana" w:hAnsi="Verdana"/>
          <w:sz w:val="18"/>
          <w:szCs w:val="18"/>
          <w:lang w:val="es-ES_tradnl"/>
        </w:rPr>
      </w:pPr>
    </w:p>
  </w:footnote>
  <w:footnote w:id="4">
    <w:p w14:paraId="0B813D95"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Definición construida con base, entre otros de los diccionarios: Lexvademecum y Poder Judicial de la República de Costa Rica. </w:t>
      </w:r>
    </w:p>
    <w:p w14:paraId="78243F10" w14:textId="77777777" w:rsidR="00FE66BB" w:rsidRPr="00332C8A" w:rsidRDefault="00FE66BB" w:rsidP="00FE66BB">
      <w:pPr>
        <w:pStyle w:val="Textonotapie"/>
        <w:ind w:firstLine="708"/>
        <w:jc w:val="both"/>
        <w:rPr>
          <w:rFonts w:ascii="Verdana" w:hAnsi="Verdana"/>
          <w:sz w:val="18"/>
          <w:szCs w:val="18"/>
          <w:lang w:val="es-ES_tradnl"/>
        </w:rPr>
      </w:pPr>
    </w:p>
  </w:footnote>
  <w:footnote w:id="5">
    <w:p w14:paraId="21944306"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Ley 938 de 2004 “Por la cual se expide el Estatuto Orgánico de la Fiscalía General de la Nación, </w:t>
      </w:r>
      <w:r>
        <w:rPr>
          <w:rFonts w:ascii="Verdana" w:hAnsi="Verdana"/>
          <w:sz w:val="18"/>
          <w:szCs w:val="18"/>
        </w:rPr>
        <w:t>A</w:t>
      </w:r>
      <w:r w:rsidRPr="00332C8A">
        <w:rPr>
          <w:rFonts w:ascii="Verdana" w:hAnsi="Verdana"/>
          <w:sz w:val="18"/>
          <w:szCs w:val="18"/>
        </w:rPr>
        <w:t>rtículo 33</w:t>
      </w:r>
      <w:r>
        <w:rPr>
          <w:rFonts w:ascii="Verdana" w:hAnsi="Verdana"/>
          <w:sz w:val="18"/>
          <w:szCs w:val="18"/>
        </w:rPr>
        <w:t>.</w:t>
      </w:r>
    </w:p>
    <w:p w14:paraId="4FDBFA8C" w14:textId="77777777" w:rsidR="00FE66BB" w:rsidRPr="00332C8A" w:rsidRDefault="00FE66BB" w:rsidP="00FE66BB">
      <w:pPr>
        <w:pStyle w:val="Textonotapie"/>
        <w:ind w:firstLine="708"/>
        <w:jc w:val="both"/>
        <w:rPr>
          <w:rFonts w:ascii="Verdana" w:hAnsi="Verdana"/>
          <w:sz w:val="18"/>
          <w:szCs w:val="18"/>
          <w:lang w:val="es-ES_tradnl"/>
        </w:rPr>
      </w:pPr>
    </w:p>
  </w:footnote>
  <w:footnote w:id="6">
    <w:p w14:paraId="45279DA2" w14:textId="77777777" w:rsidR="00FE66BB"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Información tomada de la página web del Instituto Nacional de Medicina Legal y Ciencias Forenses disponible en el siguiente enlace: </w:t>
      </w:r>
      <w:hyperlink r:id="rId1" w:history="1">
        <w:r w:rsidRPr="00332C8A">
          <w:rPr>
            <w:rStyle w:val="Hipervnculo"/>
            <w:rFonts w:ascii="Verdana" w:hAnsi="Verdana"/>
            <w:sz w:val="18"/>
            <w:szCs w:val="18"/>
          </w:rPr>
          <w:t>https://www.medicinalegal.gov.co/objetivos-y-funciones</w:t>
        </w:r>
      </w:hyperlink>
      <w:r w:rsidRPr="00332C8A">
        <w:rPr>
          <w:rFonts w:ascii="Verdana" w:hAnsi="Verdana"/>
          <w:sz w:val="18"/>
          <w:szCs w:val="18"/>
        </w:rPr>
        <w:t xml:space="preserve"> </w:t>
      </w:r>
    </w:p>
    <w:p w14:paraId="1BD7225A" w14:textId="77777777" w:rsidR="00FE66BB" w:rsidRPr="00332C8A" w:rsidRDefault="00FE66BB" w:rsidP="00FE66BB">
      <w:pPr>
        <w:pStyle w:val="Textonotapie"/>
        <w:ind w:firstLine="708"/>
        <w:jc w:val="both"/>
        <w:rPr>
          <w:rFonts w:ascii="Verdana" w:hAnsi="Verdana"/>
          <w:sz w:val="18"/>
          <w:szCs w:val="18"/>
          <w:lang w:val="es-ES_tradnl"/>
        </w:rPr>
      </w:pPr>
    </w:p>
  </w:footnote>
  <w:footnote w:id="7">
    <w:p w14:paraId="274D89A6" w14:textId="77777777" w:rsidR="00FE66BB" w:rsidRPr="00550E25" w:rsidRDefault="00FE66BB" w:rsidP="00FE66BB">
      <w:pPr>
        <w:pStyle w:val="Textonotapie"/>
        <w:ind w:firstLine="708"/>
        <w:rPr>
          <w:lang w:val="es-ES_tradnl"/>
        </w:rPr>
      </w:pPr>
      <w:r>
        <w:rPr>
          <w:rStyle w:val="Refdenotaalpie"/>
        </w:rPr>
        <w:footnoteRef/>
      </w:r>
      <w:r>
        <w:t xml:space="preserve"> Ibidem </w:t>
      </w:r>
    </w:p>
  </w:footnote>
  <w:footnote w:id="8">
    <w:p w14:paraId="64A66C8F"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F9FA02F" w14:textId="77777777" w:rsidR="00FE66BB" w:rsidRPr="00332C8A" w:rsidRDefault="00FE66BB" w:rsidP="00FE66BB">
      <w:pPr>
        <w:pStyle w:val="Textonotapie"/>
        <w:ind w:firstLine="708"/>
        <w:jc w:val="both"/>
        <w:rPr>
          <w:rFonts w:ascii="Verdana" w:hAnsi="Verdana"/>
          <w:sz w:val="18"/>
          <w:szCs w:val="18"/>
        </w:rPr>
      </w:pPr>
    </w:p>
    <w:p w14:paraId="09D11D0B" w14:textId="77777777" w:rsidR="00FE66BB" w:rsidRPr="00332C8A" w:rsidRDefault="00FE66BB" w:rsidP="00FE66BB">
      <w:pPr>
        <w:pStyle w:val="Textonotapie"/>
        <w:ind w:firstLine="708"/>
        <w:jc w:val="both"/>
        <w:rPr>
          <w:rFonts w:ascii="Verdana" w:hAnsi="Verdana"/>
          <w:sz w:val="18"/>
          <w:szCs w:val="18"/>
        </w:rPr>
      </w:pPr>
      <w:r w:rsidRPr="00332C8A">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3653ED0A" w14:textId="77777777" w:rsidR="00FE66BB" w:rsidRPr="00332C8A" w:rsidRDefault="00FE66BB" w:rsidP="00FE66BB">
      <w:pPr>
        <w:pStyle w:val="Textonotapie"/>
        <w:ind w:firstLine="708"/>
        <w:jc w:val="both"/>
        <w:rPr>
          <w:rFonts w:ascii="Verdana" w:hAnsi="Verdana"/>
          <w:sz w:val="18"/>
          <w:szCs w:val="18"/>
        </w:rPr>
      </w:pPr>
    </w:p>
    <w:p w14:paraId="4CB95B65" w14:textId="77777777" w:rsidR="00FE66BB" w:rsidRPr="00332C8A" w:rsidRDefault="00FE66BB" w:rsidP="00FE66BB">
      <w:pPr>
        <w:pStyle w:val="Textonotapie"/>
        <w:ind w:firstLine="708"/>
        <w:jc w:val="both"/>
        <w:rPr>
          <w:rFonts w:ascii="Verdana" w:hAnsi="Verdana"/>
          <w:sz w:val="18"/>
          <w:szCs w:val="18"/>
        </w:rPr>
      </w:pPr>
      <w:r w:rsidRPr="00332C8A">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DF40575" w14:textId="77777777" w:rsidR="00FE66BB" w:rsidRPr="00332C8A" w:rsidRDefault="00FE66BB" w:rsidP="00FE66BB">
      <w:pPr>
        <w:pStyle w:val="Textonotapie"/>
        <w:ind w:firstLine="708"/>
        <w:jc w:val="both"/>
        <w:rPr>
          <w:rFonts w:ascii="Verdana" w:hAnsi="Verdana"/>
          <w:sz w:val="18"/>
          <w:szCs w:val="18"/>
        </w:rPr>
      </w:pPr>
    </w:p>
    <w:p w14:paraId="15825C8E" w14:textId="77777777" w:rsidR="00FE66BB" w:rsidRPr="00332C8A" w:rsidRDefault="00FE66BB" w:rsidP="00FE66BB">
      <w:pPr>
        <w:pStyle w:val="Textonotapie"/>
        <w:ind w:firstLine="708"/>
        <w:jc w:val="both"/>
        <w:rPr>
          <w:rFonts w:ascii="Verdana" w:hAnsi="Verdana"/>
          <w:sz w:val="18"/>
          <w:szCs w:val="18"/>
        </w:rPr>
      </w:pPr>
      <w:r w:rsidRPr="00332C8A">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45258196" w14:textId="77777777" w:rsidR="00FE66BB" w:rsidRPr="00332C8A" w:rsidRDefault="00FE66BB" w:rsidP="00FE66BB">
      <w:pPr>
        <w:pStyle w:val="Textonotapie"/>
        <w:ind w:firstLine="708"/>
        <w:jc w:val="both"/>
        <w:rPr>
          <w:rFonts w:ascii="Verdana" w:hAnsi="Verdana"/>
          <w:sz w:val="18"/>
          <w:szCs w:val="18"/>
        </w:rPr>
      </w:pPr>
    </w:p>
    <w:p w14:paraId="4AE934B4" w14:textId="77777777" w:rsidR="00FE66BB" w:rsidRPr="00332C8A" w:rsidRDefault="00FE66BB" w:rsidP="00FE66BB">
      <w:pPr>
        <w:pStyle w:val="Textonotapie"/>
        <w:ind w:firstLine="708"/>
        <w:jc w:val="both"/>
        <w:rPr>
          <w:rFonts w:ascii="Verdana" w:hAnsi="Verdana"/>
          <w:sz w:val="18"/>
          <w:szCs w:val="18"/>
        </w:rPr>
      </w:pPr>
      <w:r w:rsidRPr="00332C8A">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9">
    <w:p w14:paraId="6F97B5BA"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Reglamento Colombiano de Construcción Sismo Resistente NSR-10</w:t>
      </w:r>
    </w:p>
    <w:p w14:paraId="2A23A6B2" w14:textId="77777777" w:rsidR="00FE66BB" w:rsidRPr="00332C8A" w:rsidRDefault="00FE66BB" w:rsidP="00FE66BB">
      <w:pPr>
        <w:pStyle w:val="Textonotapie"/>
        <w:ind w:firstLine="708"/>
        <w:jc w:val="both"/>
        <w:rPr>
          <w:rFonts w:ascii="Verdana" w:hAnsi="Verdana"/>
          <w:sz w:val="18"/>
          <w:szCs w:val="18"/>
          <w:lang w:val="es-ES_tradnl"/>
        </w:rPr>
      </w:pPr>
    </w:p>
  </w:footnote>
  <w:footnote w:id="10">
    <w:p w14:paraId="34BEB363" w14:textId="77777777" w:rsidR="00FE66BB" w:rsidRPr="00332C8A" w:rsidRDefault="00FE66BB" w:rsidP="00FE66BB">
      <w:pPr>
        <w:pStyle w:val="Textonotapie"/>
        <w:ind w:firstLine="708"/>
        <w:jc w:val="both"/>
        <w:rPr>
          <w:rFonts w:ascii="Verdana" w:hAnsi="Verdana"/>
          <w:sz w:val="18"/>
          <w:szCs w:val="18"/>
          <w:lang w:val="es-ES_tradnl"/>
        </w:rPr>
      </w:pPr>
      <w:r w:rsidRPr="00332C8A">
        <w:rPr>
          <w:rStyle w:val="Refdenotaalpie"/>
          <w:rFonts w:ascii="Verdana" w:hAnsi="Verdana"/>
          <w:sz w:val="18"/>
          <w:szCs w:val="18"/>
        </w:rPr>
        <w:footnoteRef/>
      </w:r>
      <w:r w:rsidRPr="00332C8A">
        <w:rPr>
          <w:rFonts w:ascii="Verdana" w:hAnsi="Verdana"/>
          <w:sz w:val="18"/>
          <w:szCs w:val="18"/>
        </w:rPr>
        <w:t xml:space="preserve"> </w:t>
      </w:r>
      <w:r w:rsidRPr="00332C8A">
        <w:rPr>
          <w:rFonts w:ascii="Verdana" w:hAnsi="Verdana"/>
          <w:sz w:val="18"/>
          <w:szCs w:val="18"/>
          <w:lang w:val="es-ES_tradnl"/>
        </w:rPr>
        <w:t xml:space="preserve">Ibidem </w:t>
      </w:r>
    </w:p>
    <w:p w14:paraId="12F4A3B3" w14:textId="77777777" w:rsidR="00FE66BB" w:rsidRPr="00332C8A" w:rsidRDefault="00FE66BB" w:rsidP="00FE66BB">
      <w:pPr>
        <w:pStyle w:val="Textonotapie"/>
        <w:ind w:firstLine="708"/>
        <w:jc w:val="both"/>
        <w:rPr>
          <w:rFonts w:ascii="Verdana" w:hAnsi="Verdana"/>
          <w:sz w:val="18"/>
          <w:szCs w:val="18"/>
          <w:lang w:val="es-ES_tradnl"/>
        </w:rPr>
      </w:pPr>
    </w:p>
  </w:footnote>
  <w:footnote w:id="11">
    <w:p w14:paraId="4E38CF7C"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Definición construida con base, entre otros de los diccionarios: Lexvademecum y Poder Judicial de la República de Costa Rica. </w:t>
      </w:r>
    </w:p>
    <w:p w14:paraId="747CB07E" w14:textId="77777777" w:rsidR="00FE66BB" w:rsidRPr="00332C8A" w:rsidRDefault="00FE66BB" w:rsidP="00FE66BB">
      <w:pPr>
        <w:pStyle w:val="Textonotapie"/>
        <w:ind w:firstLine="708"/>
        <w:jc w:val="both"/>
        <w:rPr>
          <w:rFonts w:ascii="Verdana" w:hAnsi="Verdana"/>
          <w:sz w:val="18"/>
          <w:szCs w:val="18"/>
          <w:lang w:val="es-ES_tradnl"/>
        </w:rPr>
      </w:pPr>
    </w:p>
  </w:footnote>
  <w:footnote w:id="12">
    <w:p w14:paraId="6E8BD9EA" w14:textId="77777777" w:rsidR="00FE66BB" w:rsidRPr="00332C8A"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Ley 938 de 2004 “Por la cual se expide el Estatuto Orgánico de la Fiscalía General de la Nación, </w:t>
      </w:r>
      <w:r>
        <w:rPr>
          <w:rFonts w:ascii="Verdana" w:hAnsi="Verdana"/>
          <w:sz w:val="18"/>
          <w:szCs w:val="18"/>
        </w:rPr>
        <w:t>A</w:t>
      </w:r>
      <w:r w:rsidRPr="00332C8A">
        <w:rPr>
          <w:rFonts w:ascii="Verdana" w:hAnsi="Verdana"/>
          <w:sz w:val="18"/>
          <w:szCs w:val="18"/>
        </w:rPr>
        <w:t>rtículo 33</w:t>
      </w:r>
      <w:r>
        <w:rPr>
          <w:rFonts w:ascii="Verdana" w:hAnsi="Verdana"/>
          <w:sz w:val="18"/>
          <w:szCs w:val="18"/>
        </w:rPr>
        <w:t>.</w:t>
      </w:r>
    </w:p>
    <w:p w14:paraId="0633E7DD" w14:textId="77777777" w:rsidR="00FE66BB" w:rsidRPr="00332C8A" w:rsidRDefault="00FE66BB" w:rsidP="00FE66BB">
      <w:pPr>
        <w:pStyle w:val="Textonotapie"/>
        <w:ind w:firstLine="708"/>
        <w:jc w:val="both"/>
        <w:rPr>
          <w:rFonts w:ascii="Verdana" w:hAnsi="Verdana"/>
          <w:sz w:val="18"/>
          <w:szCs w:val="18"/>
          <w:lang w:val="es-ES_tradnl"/>
        </w:rPr>
      </w:pPr>
    </w:p>
  </w:footnote>
  <w:footnote w:id="13">
    <w:p w14:paraId="1052B486" w14:textId="77777777" w:rsidR="00FE66BB" w:rsidRDefault="00FE66BB" w:rsidP="00FE66BB">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Información tomada de la página web del Instituto Nacional de Medicina Legal y Ciencias Forenses disponible en el siguiente enlace: </w:t>
      </w:r>
      <w:hyperlink r:id="rId2" w:history="1">
        <w:r w:rsidRPr="00332C8A">
          <w:rPr>
            <w:rStyle w:val="Hipervnculo"/>
            <w:rFonts w:ascii="Verdana" w:hAnsi="Verdana"/>
            <w:sz w:val="18"/>
            <w:szCs w:val="18"/>
          </w:rPr>
          <w:t>https://www.medicinalegal.gov.co/objetivos-y-funciones</w:t>
        </w:r>
      </w:hyperlink>
      <w:r w:rsidRPr="00332C8A">
        <w:rPr>
          <w:rFonts w:ascii="Verdana" w:hAnsi="Verdana"/>
          <w:sz w:val="18"/>
          <w:szCs w:val="18"/>
        </w:rPr>
        <w:t xml:space="preserve"> </w:t>
      </w:r>
    </w:p>
    <w:p w14:paraId="4FE424BD" w14:textId="77777777" w:rsidR="00FE66BB" w:rsidRPr="00332C8A" w:rsidRDefault="00FE66BB" w:rsidP="00FE66BB">
      <w:pPr>
        <w:pStyle w:val="Textonotapie"/>
        <w:ind w:firstLine="708"/>
        <w:jc w:val="both"/>
        <w:rPr>
          <w:rFonts w:ascii="Verdana" w:hAnsi="Verdana"/>
          <w:sz w:val="18"/>
          <w:szCs w:val="18"/>
          <w:lang w:val="es-ES_tradnl"/>
        </w:rPr>
      </w:pPr>
    </w:p>
  </w:footnote>
  <w:footnote w:id="14">
    <w:p w14:paraId="7E623901" w14:textId="77777777" w:rsidR="00FE66BB" w:rsidRPr="00550E25" w:rsidRDefault="00FE66BB" w:rsidP="00FE66BB">
      <w:pPr>
        <w:pStyle w:val="Textonotapie"/>
        <w:ind w:firstLine="708"/>
        <w:rPr>
          <w:lang w:val="es-ES_tradnl"/>
        </w:rPr>
      </w:pPr>
      <w:r>
        <w:rPr>
          <w:rStyle w:val="Refdenotaalpie"/>
        </w:rPr>
        <w:footnoteRef/>
      </w:r>
      <w: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CD6"/>
    <w:rsid w:val="00082362"/>
    <w:rsid w:val="000A683E"/>
    <w:rsid w:val="000B19B9"/>
    <w:rsid w:val="000D0334"/>
    <w:rsid w:val="000D5DA7"/>
    <w:rsid w:val="000D6866"/>
    <w:rsid w:val="000F6486"/>
    <w:rsid w:val="00116940"/>
    <w:rsid w:val="00122B17"/>
    <w:rsid w:val="00125105"/>
    <w:rsid w:val="00127233"/>
    <w:rsid w:val="0015699B"/>
    <w:rsid w:val="00192D0D"/>
    <w:rsid w:val="001A33BF"/>
    <w:rsid w:val="001C65CD"/>
    <w:rsid w:val="001E4177"/>
    <w:rsid w:val="001E7C0C"/>
    <w:rsid w:val="001F0B24"/>
    <w:rsid w:val="001F138D"/>
    <w:rsid w:val="001F7DC6"/>
    <w:rsid w:val="0022400B"/>
    <w:rsid w:val="002421BB"/>
    <w:rsid w:val="0025796E"/>
    <w:rsid w:val="002707A2"/>
    <w:rsid w:val="00291CDE"/>
    <w:rsid w:val="002951A0"/>
    <w:rsid w:val="002962BC"/>
    <w:rsid w:val="002A093D"/>
    <w:rsid w:val="002A0DD0"/>
    <w:rsid w:val="002A49AC"/>
    <w:rsid w:val="002A64FD"/>
    <w:rsid w:val="002C7A84"/>
    <w:rsid w:val="002E2BF8"/>
    <w:rsid w:val="002E4FD9"/>
    <w:rsid w:val="0030657A"/>
    <w:rsid w:val="00322A85"/>
    <w:rsid w:val="00324168"/>
    <w:rsid w:val="00330834"/>
    <w:rsid w:val="0034004A"/>
    <w:rsid w:val="003448F4"/>
    <w:rsid w:val="00356C7C"/>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64175"/>
    <w:rsid w:val="00574867"/>
    <w:rsid w:val="00584486"/>
    <w:rsid w:val="00591460"/>
    <w:rsid w:val="005A65E0"/>
    <w:rsid w:val="005C1ABD"/>
    <w:rsid w:val="005C3777"/>
    <w:rsid w:val="005C5CDC"/>
    <w:rsid w:val="005D476C"/>
    <w:rsid w:val="006200BF"/>
    <w:rsid w:val="006219F8"/>
    <w:rsid w:val="006302F7"/>
    <w:rsid w:val="00632E24"/>
    <w:rsid w:val="00646B9F"/>
    <w:rsid w:val="00665D70"/>
    <w:rsid w:val="006900D9"/>
    <w:rsid w:val="006B18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7168"/>
    <w:rsid w:val="009A0DFA"/>
    <w:rsid w:val="009A1C6F"/>
    <w:rsid w:val="009B2D26"/>
    <w:rsid w:val="009C71FA"/>
    <w:rsid w:val="009C72E7"/>
    <w:rsid w:val="009C7F7E"/>
    <w:rsid w:val="009D3058"/>
    <w:rsid w:val="009F3A13"/>
    <w:rsid w:val="00A122D3"/>
    <w:rsid w:val="00A14468"/>
    <w:rsid w:val="00A17F13"/>
    <w:rsid w:val="00A20739"/>
    <w:rsid w:val="00A23AF9"/>
    <w:rsid w:val="00A31110"/>
    <w:rsid w:val="00A33C78"/>
    <w:rsid w:val="00AB0ADB"/>
    <w:rsid w:val="00AC0FFA"/>
    <w:rsid w:val="00B00C0E"/>
    <w:rsid w:val="00B01B1A"/>
    <w:rsid w:val="00B0381D"/>
    <w:rsid w:val="00B44A47"/>
    <w:rsid w:val="00B72CD3"/>
    <w:rsid w:val="00B72FFF"/>
    <w:rsid w:val="00BC3D36"/>
    <w:rsid w:val="00BD54A6"/>
    <w:rsid w:val="00BD7F72"/>
    <w:rsid w:val="00BF7425"/>
    <w:rsid w:val="00C04FB3"/>
    <w:rsid w:val="00C11D8B"/>
    <w:rsid w:val="00C15139"/>
    <w:rsid w:val="00C23377"/>
    <w:rsid w:val="00C330EB"/>
    <w:rsid w:val="00C50D69"/>
    <w:rsid w:val="00C5365C"/>
    <w:rsid w:val="00C54F08"/>
    <w:rsid w:val="00C754BE"/>
    <w:rsid w:val="00C76B1C"/>
    <w:rsid w:val="00C925AC"/>
    <w:rsid w:val="00C97203"/>
    <w:rsid w:val="00CB6357"/>
    <w:rsid w:val="00CC1B26"/>
    <w:rsid w:val="00D361FD"/>
    <w:rsid w:val="00D423A2"/>
    <w:rsid w:val="00D44E26"/>
    <w:rsid w:val="00D520D8"/>
    <w:rsid w:val="00D63AC2"/>
    <w:rsid w:val="00D64244"/>
    <w:rsid w:val="00D7383B"/>
    <w:rsid w:val="00D7788A"/>
    <w:rsid w:val="00DA231B"/>
    <w:rsid w:val="00DC39FC"/>
    <w:rsid w:val="00DF5254"/>
    <w:rsid w:val="00E02524"/>
    <w:rsid w:val="00E11CB8"/>
    <w:rsid w:val="00E16408"/>
    <w:rsid w:val="00E20894"/>
    <w:rsid w:val="00E245AB"/>
    <w:rsid w:val="00E2764C"/>
    <w:rsid w:val="00E27F2E"/>
    <w:rsid w:val="00E50AFE"/>
    <w:rsid w:val="00E610E5"/>
    <w:rsid w:val="00E652CB"/>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2C42"/>
    <w:rsid w:val="00FB5DD1"/>
    <w:rsid w:val="00FC2B5D"/>
    <w:rsid w:val="00FE66BB"/>
    <w:rsid w:val="00FF1449"/>
    <w:rsid w:val="00FF7963"/>
    <w:rsid w:val="071B8F93"/>
    <w:rsid w:val="07C73DD1"/>
    <w:rsid w:val="09908A09"/>
    <w:rsid w:val="0EFE6349"/>
    <w:rsid w:val="0FF4CCA8"/>
    <w:rsid w:val="13CFC91B"/>
    <w:rsid w:val="19A2EC2C"/>
    <w:rsid w:val="1D04C703"/>
    <w:rsid w:val="21779BE6"/>
    <w:rsid w:val="2859CA1B"/>
    <w:rsid w:val="2C4D2425"/>
    <w:rsid w:val="2EE1E026"/>
    <w:rsid w:val="2F44F38F"/>
    <w:rsid w:val="30821638"/>
    <w:rsid w:val="32A4F9CF"/>
    <w:rsid w:val="33A1FF93"/>
    <w:rsid w:val="356CEDFD"/>
    <w:rsid w:val="3C591AFD"/>
    <w:rsid w:val="3D93A2A8"/>
    <w:rsid w:val="42183F0A"/>
    <w:rsid w:val="545B112A"/>
    <w:rsid w:val="5BEB1497"/>
    <w:rsid w:val="69614A15"/>
    <w:rsid w:val="6FCD514D"/>
    <w:rsid w:val="74BA017B"/>
    <w:rsid w:val="7611732E"/>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E7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E7C0C"/>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edicinalegal.gov.co/objetivos-y-funciones" TargetMode="External"/><Relationship Id="rId1" Type="http://schemas.openxmlformats.org/officeDocument/2006/relationships/hyperlink" Target="https://www.medicinalegal.gov.co/objetivos-y-funcion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854F5C-F4C5-4B19-A0E8-60CE5841C2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23</Pages>
  <Words>7476</Words>
  <Characters>41119</Characters>
  <Application>Microsoft Office Word</Application>
  <DocSecurity>0</DocSecurity>
  <Lines>342</Lines>
  <Paragraphs>96</Paragraphs>
  <ScaleCrop>false</ScaleCrop>
  <Company/>
  <LinksUpToDate>false</LinksUpToDate>
  <CharactersWithSpaces>48499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2026-06-17T18:45:00Z</dcterms:created>
  <dcterms:modified xsi:type="dcterms:W3CDTF">2026-06-17T20:41:00Z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