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3CFB8A" w14:textId="77777777" w:rsidR="00750095" w:rsidRPr="00265468" w:rsidRDefault="00750095" w:rsidP="00750095">
      <w:pPr>
        <w:spacing w:after="0"/>
        <w:jc w:val="both"/>
        <w:rPr>
          <w:rFonts w:ascii="Verdana" w:eastAsia="Verdana" w:hAnsi="Verdana" w:cs="Verdana"/>
        </w:rPr>
      </w:pPr>
      <w:bookmarkStart w:id="0" w:name="_Hlk143780582"/>
      <w:r w:rsidRPr="00265468">
        <w:rPr>
          <w:rFonts w:ascii="Verdana" w:eastAsia="Aptos" w:hAnsi="Verdana" w:cs="Arial"/>
          <w:b/>
          <w:color w:val="000000"/>
          <w:kern w:val="2"/>
          <w:lang w:val="es-ES_tradnl"/>
          <w14:ligatures w14:val="standardContextual"/>
        </w:rPr>
        <w:t>DOCUMENTOS TIPO – Fundamento normativo</w:t>
      </w:r>
    </w:p>
    <w:p w14:paraId="2A8AD0C0" w14:textId="77777777" w:rsidR="00750095" w:rsidRPr="00265468" w:rsidRDefault="00750095" w:rsidP="00750095">
      <w:pPr>
        <w:spacing w:after="0" w:line="276" w:lineRule="auto"/>
        <w:jc w:val="both"/>
        <w:rPr>
          <w:rFonts w:ascii="Verdana" w:eastAsia="Aptos" w:hAnsi="Verdana" w:cs="Arial"/>
          <w:b/>
          <w:color w:val="000000"/>
          <w:kern w:val="2"/>
          <w:lang w:val="es-ES_tradnl"/>
          <w14:ligatures w14:val="standardContextual"/>
        </w:rPr>
      </w:pPr>
    </w:p>
    <w:p w14:paraId="2A7713A4" w14:textId="77777777" w:rsidR="00750095" w:rsidRPr="00265468" w:rsidRDefault="00750095" w:rsidP="00750095">
      <w:pPr>
        <w:snapToGrid w:val="0"/>
        <w:spacing w:after="0" w:line="240" w:lineRule="auto"/>
        <w:jc w:val="both"/>
        <w:rPr>
          <w:rFonts w:ascii="Verdana" w:eastAsia="Calibri" w:hAnsi="Verdana" w:cs="Times New Roman"/>
          <w:kern w:val="2"/>
          <w:sz w:val="20"/>
          <w:szCs w:val="20"/>
          <w:lang w:val="es-ES_tradnl"/>
          <w14:ligatures w14:val="standardContextual"/>
        </w:rPr>
      </w:pPr>
      <w:r w:rsidRPr="00265468">
        <w:rPr>
          <w:rFonts w:ascii="Verdana" w:eastAsia="Calibri" w:hAnsi="Verdana" w:cs="Arial"/>
          <w:kern w:val="2"/>
          <w:sz w:val="20"/>
          <w:szCs w:val="20"/>
          <w:lang w:val="es-ES_tradnl"/>
          <w14:ligatures w14:val="standardContextua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353955C4" w14:textId="77777777" w:rsidR="00750095" w:rsidRPr="00265468" w:rsidRDefault="00750095" w:rsidP="00750095">
      <w:pPr>
        <w:spacing w:after="0" w:line="276" w:lineRule="auto"/>
        <w:jc w:val="both"/>
        <w:rPr>
          <w:rFonts w:ascii="Verdana" w:eastAsia="Aptos" w:hAnsi="Verdana" w:cs="Arial"/>
          <w:b/>
          <w:color w:val="000000"/>
          <w:kern w:val="2"/>
          <w:lang w:val="es-ES_tradnl"/>
          <w14:ligatures w14:val="standardContextual"/>
        </w:rPr>
      </w:pPr>
    </w:p>
    <w:p w14:paraId="739C1C36" w14:textId="77777777" w:rsidR="00750095" w:rsidRPr="00265468" w:rsidRDefault="00750095" w:rsidP="00750095">
      <w:pPr>
        <w:spacing w:after="0" w:line="276" w:lineRule="auto"/>
        <w:jc w:val="both"/>
        <w:rPr>
          <w:rFonts w:ascii="Verdana" w:eastAsia="Aptos" w:hAnsi="Verdana" w:cs="Arial"/>
          <w:b/>
          <w:color w:val="000000"/>
          <w:kern w:val="2"/>
          <w:lang w:val="es-ES_tradnl"/>
          <w14:ligatures w14:val="standardContextual"/>
        </w:rPr>
      </w:pPr>
      <w:r w:rsidRPr="00265468">
        <w:rPr>
          <w:rFonts w:ascii="Verdana" w:eastAsia="Aptos" w:hAnsi="Verdana" w:cs="Arial"/>
          <w:b/>
          <w:color w:val="000000"/>
          <w:kern w:val="2"/>
          <w:lang w:val="es-ES_tradnl"/>
          <w14:ligatures w14:val="standardContextual"/>
        </w:rPr>
        <w:t>DOCUMENTOS TIPO – Experiencia</w:t>
      </w:r>
    </w:p>
    <w:p w14:paraId="46F345EB" w14:textId="77777777" w:rsidR="00750095" w:rsidRPr="00265468" w:rsidRDefault="00750095" w:rsidP="00750095">
      <w:pPr>
        <w:spacing w:after="0" w:line="276" w:lineRule="auto"/>
        <w:jc w:val="both"/>
        <w:rPr>
          <w:rFonts w:ascii="Verdana" w:eastAsia="Aptos" w:hAnsi="Verdana" w:cs="Arial"/>
          <w:b/>
          <w:color w:val="000000"/>
          <w:kern w:val="2"/>
          <w:lang w:val="es-ES_tradnl"/>
          <w14:ligatures w14:val="standardContextual"/>
        </w:rPr>
      </w:pPr>
    </w:p>
    <w:p w14:paraId="7DCE1D69" w14:textId="77777777" w:rsidR="00750095" w:rsidRPr="00265468" w:rsidRDefault="00750095" w:rsidP="00750095">
      <w:pPr>
        <w:snapToGrid w:val="0"/>
        <w:spacing w:after="0" w:line="240" w:lineRule="auto"/>
        <w:jc w:val="both"/>
        <w:rPr>
          <w:rFonts w:ascii="Verdana" w:eastAsia="Calibri" w:hAnsi="Verdana" w:cs="Times New Roman"/>
          <w:sz w:val="20"/>
          <w:szCs w:val="20"/>
          <w:lang w:val="es-ES"/>
        </w:rPr>
      </w:pPr>
      <w:r w:rsidRPr="00265468">
        <w:rPr>
          <w:rFonts w:ascii="Verdana" w:eastAsia="Calibri" w:hAnsi="Verdana" w:cs="Times New Roman"/>
          <w:sz w:val="20"/>
          <w:szCs w:val="20"/>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265468">
        <w:rPr>
          <w:rFonts w:ascii="Verdana" w:eastAsia="Calibri" w:hAnsi="Verdana" w:cs="Times New Roman"/>
          <w:sz w:val="20"/>
          <w:szCs w:val="20"/>
          <w:lang w:val="es-ES"/>
        </w:rPr>
        <w:t>ii</w:t>
      </w:r>
      <w:proofErr w:type="spellEnd"/>
      <w:r w:rsidRPr="00265468">
        <w:rPr>
          <w:rFonts w:ascii="Verdana" w:eastAsia="Calibri" w:hAnsi="Verdana" w:cs="Times New Roman"/>
          <w:sz w:val="20"/>
          <w:szCs w:val="20"/>
          <w:lang w:val="es-ES"/>
        </w:rPr>
        <w:t xml:space="preserve">) la actividad a contratar y </w:t>
      </w:r>
      <w:proofErr w:type="spellStart"/>
      <w:r w:rsidRPr="00265468">
        <w:rPr>
          <w:rFonts w:ascii="Verdana" w:eastAsia="Calibri" w:hAnsi="Verdana" w:cs="Times New Roman"/>
          <w:sz w:val="20"/>
          <w:szCs w:val="20"/>
          <w:lang w:val="es-ES"/>
        </w:rPr>
        <w:t>iii</w:t>
      </w:r>
      <w:proofErr w:type="spellEnd"/>
      <w:r w:rsidRPr="00265468">
        <w:rPr>
          <w:rFonts w:ascii="Verdana" w:eastAsia="Calibri" w:hAnsi="Verdana" w:cs="Times New Roman"/>
          <w:sz w:val="20"/>
          <w:szCs w:val="20"/>
          <w:lang w:val="es-ES"/>
        </w:rPr>
        <w:t>) la cuantía del proceso de contratación.</w:t>
      </w:r>
    </w:p>
    <w:p w14:paraId="674B4B90" w14:textId="77777777" w:rsidR="00750095" w:rsidRPr="00265468" w:rsidRDefault="00750095" w:rsidP="00750095">
      <w:pPr>
        <w:snapToGrid w:val="0"/>
        <w:spacing w:after="0" w:line="240" w:lineRule="auto"/>
        <w:jc w:val="both"/>
        <w:rPr>
          <w:rFonts w:ascii="Verdana" w:eastAsia="Times New Roman" w:hAnsi="Verdana" w:cs="Aptos"/>
          <w:color w:val="000000"/>
          <w:sz w:val="20"/>
          <w:szCs w:val="20"/>
          <w:lang w:val="es-ES_tradnl" w:eastAsia="es-MX"/>
        </w:rPr>
      </w:pPr>
    </w:p>
    <w:p w14:paraId="4E9ECE45" w14:textId="77777777" w:rsidR="00750095" w:rsidRPr="00265468" w:rsidRDefault="00750095" w:rsidP="00750095">
      <w:pPr>
        <w:snapToGrid w:val="0"/>
        <w:spacing w:after="0" w:line="240" w:lineRule="auto"/>
        <w:jc w:val="both"/>
        <w:rPr>
          <w:rFonts w:ascii="Verdana" w:eastAsia="Times New Roman" w:hAnsi="Verdana" w:cs="Aptos"/>
          <w:color w:val="000000"/>
          <w:sz w:val="20"/>
          <w:szCs w:val="20"/>
          <w:lang w:val="es-ES" w:eastAsia="es-MX"/>
        </w:rPr>
      </w:pPr>
      <w:r w:rsidRPr="00265468">
        <w:rPr>
          <w:rFonts w:ascii="Verdana" w:eastAsia="Times New Roman" w:hAnsi="Verdana" w:cs="Aptos"/>
          <w:color w:val="000000"/>
          <w:sz w:val="20"/>
          <w:szCs w:val="20"/>
          <w:lang w:val="es-ES_tradnl" w:eastAsia="es-MX"/>
        </w:rPr>
        <w:t>Por su parte, el numeral 3.5 “EXPERIENCIA” del documento base de los documentos tipo de infraestructura de transporte indica que los proponentes deben acreditar la experiencia a través de los siguientes documentos:</w:t>
      </w:r>
      <w:r w:rsidRPr="00265468">
        <w:rPr>
          <w:rFonts w:ascii="Verdana" w:eastAsia="Aptos" w:hAnsi="Verdana" w:cs="Aptos"/>
          <w:color w:val="000000"/>
          <w:sz w:val="20"/>
          <w:szCs w:val="20"/>
          <w:lang w:val="es-MX"/>
        </w:rPr>
        <w:t xml:space="preserve"> </w:t>
      </w:r>
      <w:r w:rsidRPr="00265468">
        <w:rPr>
          <w:rFonts w:ascii="Verdana" w:eastAsia="Times New Roman" w:hAnsi="Verdana" w:cs="Aptos"/>
          <w:color w:val="000000"/>
          <w:sz w:val="20"/>
          <w:szCs w:val="20"/>
          <w:lang w:val="es-MX" w:eastAsia="es-MX"/>
        </w:rPr>
        <w:t xml:space="preserve">i)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r w:rsidRPr="00265468">
        <w:rPr>
          <w:rFonts w:ascii="Verdana" w:eastAsia="Times New Roman" w:hAnsi="Verdana" w:cs="Aptos"/>
          <w:color w:val="000000"/>
          <w:sz w:val="20"/>
          <w:szCs w:val="20"/>
          <w:lang w:val="es-ES" w:eastAsia="es-MX"/>
        </w:rPr>
        <w:t xml:space="preserve">Adicionalmente, en el numeral </w:t>
      </w:r>
      <w:r w:rsidRPr="00265468">
        <w:rPr>
          <w:rFonts w:ascii="Verdana" w:eastAsia="Times New Roman" w:hAnsi="Verdana" w:cs="Aptos"/>
          <w:iCs/>
          <w:color w:val="000000"/>
          <w:sz w:val="20"/>
          <w:szCs w:val="20"/>
          <w:lang w:val="es-ES" w:eastAsia="es-MX"/>
        </w:rPr>
        <w:t xml:space="preserve">3.5.5 “ACREDITACIÓN DE LA EXPERIENCIA REQUERIDA” </w:t>
      </w:r>
      <w:r w:rsidRPr="00265468">
        <w:rPr>
          <w:rFonts w:ascii="Verdana" w:eastAsia="Times New Roman" w:hAnsi="Verdana" w:cs="Aptos"/>
          <w:color w:val="000000"/>
          <w:sz w:val="20"/>
          <w:szCs w:val="20"/>
          <w:lang w:val="es-ES" w:eastAsia="es-MX"/>
        </w:rPr>
        <w:t xml:space="preserve">señala la información que deben presentar los proponentes para efectos de acreditar la experiencia en cada uno de los contratos que se presenten. </w:t>
      </w:r>
    </w:p>
    <w:p w14:paraId="3D5C09AE" w14:textId="77777777" w:rsidR="00750095" w:rsidRPr="00F23CDD" w:rsidRDefault="00750095" w:rsidP="00750095">
      <w:pPr>
        <w:snapToGrid w:val="0"/>
        <w:spacing w:after="0" w:line="276" w:lineRule="auto"/>
        <w:jc w:val="both"/>
        <w:rPr>
          <w:rFonts w:ascii="Verdana" w:eastAsia="Aptos" w:hAnsi="Verdana" w:cs="Arial"/>
          <w:b/>
          <w:color w:val="000000"/>
          <w:kern w:val="2"/>
          <w:lang w:val="es-ES_tradnl"/>
          <w14:ligatures w14:val="standardContextual"/>
        </w:rPr>
      </w:pPr>
    </w:p>
    <w:p w14:paraId="0B7F5328" w14:textId="1F50790A" w:rsidR="006B53E5" w:rsidRPr="00F23CDD" w:rsidRDefault="006B53E5" w:rsidP="006B53E5">
      <w:pPr>
        <w:spacing w:after="0" w:line="276" w:lineRule="auto"/>
        <w:jc w:val="both"/>
        <w:rPr>
          <w:rFonts w:ascii="Verdana" w:eastAsia="Aptos" w:hAnsi="Verdana" w:cs="Arial"/>
          <w:b/>
          <w:color w:val="000000" w:themeColor="text1"/>
          <w:kern w:val="2"/>
          <w:lang w:val="es-ES_tradnl"/>
          <w14:ligatures w14:val="standardContextual"/>
        </w:rPr>
      </w:pPr>
      <w:r w:rsidRPr="00F23CDD">
        <w:rPr>
          <w:rFonts w:ascii="Verdana" w:eastAsia="Aptos" w:hAnsi="Verdana" w:cs="Arial"/>
          <w:b/>
          <w:color w:val="000000" w:themeColor="text1"/>
          <w:kern w:val="2"/>
          <w:lang w:val="es-ES_tradnl"/>
          <w14:ligatures w14:val="standardContextual"/>
        </w:rPr>
        <w:t xml:space="preserve">DOCUMENTOS TIPO DE INFRAESTRUCTURA DE TRANSPORTE – Aplicación – </w:t>
      </w:r>
      <w:r w:rsidR="00F23CDD" w:rsidRPr="00F23CDD">
        <w:rPr>
          <w:rFonts w:ascii="Verdana" w:eastAsia="Calibri" w:hAnsi="Verdana" w:cs="Times New Roman"/>
          <w:b/>
          <w:color w:val="000000" w:themeColor="text1"/>
          <w:kern w:val="2"/>
          <w14:ligatures w14:val="standardContextual"/>
        </w:rPr>
        <w:t>Reglamento Técnico de Instalaciones Eléctricas (RETIE)</w:t>
      </w:r>
    </w:p>
    <w:p w14:paraId="1E72427B" w14:textId="77777777" w:rsidR="00A11AA2" w:rsidRPr="006B53E5" w:rsidRDefault="00A11AA2" w:rsidP="00B55898">
      <w:pPr>
        <w:spacing w:after="0"/>
        <w:jc w:val="both"/>
        <w:rPr>
          <w:rFonts w:ascii="Verdana" w:eastAsia="Calibri" w:hAnsi="Verdana" w:cs="Times New Roman"/>
          <w:color w:val="6699FF"/>
          <w:kern w:val="2"/>
          <w:sz w:val="20"/>
          <w:szCs w:val="20"/>
          <w:lang w:val="es-ES_tradnl"/>
          <w14:ligatures w14:val="standardContextual"/>
        </w:rPr>
      </w:pPr>
    </w:p>
    <w:p w14:paraId="32DBE113" w14:textId="77777777" w:rsidR="00B55898" w:rsidRPr="00B55898" w:rsidRDefault="00B55898" w:rsidP="00B55898">
      <w:pPr>
        <w:spacing w:after="0"/>
        <w:jc w:val="both"/>
        <w:rPr>
          <w:rFonts w:ascii="Verdana" w:eastAsia="Calibri" w:hAnsi="Verdana" w:cs="Times New Roman"/>
          <w:color w:val="000000" w:themeColor="text1"/>
          <w:kern w:val="2"/>
          <w:sz w:val="20"/>
          <w:szCs w:val="20"/>
          <w14:ligatures w14:val="standardContextual"/>
        </w:rPr>
      </w:pPr>
      <w:r w:rsidRPr="00B55898">
        <w:rPr>
          <w:rFonts w:ascii="Verdana" w:eastAsia="Calibri" w:hAnsi="Verdana" w:cs="Times New Roman"/>
          <w:color w:val="000000" w:themeColor="text1"/>
          <w:kern w:val="2"/>
          <w:sz w:val="20"/>
          <w:szCs w:val="20"/>
          <w14:ligatures w14:val="standardContextual"/>
        </w:rPr>
        <w:t>En todo caso, la aplicabilidad de alguna de las actividades antes señaladas dependerá del alcance concreto del objeto contractual, de la naturaleza de las obras a ejecutar y de la correspondiente estructuración del proceso de contratación. Por consiguiente, aunque no existe actualmente un documento tipo expedido en el que de manera expresa se incluyan redes de baja tensión, sí es posible que, en función de sus componentes técnicos, algunos de estos proyectos puedan encontrarse enmarcados en las actividades previamente señaladas de la Matriz 1 – Experiencia del sector Infraestructura de Transporte.</w:t>
      </w:r>
    </w:p>
    <w:p w14:paraId="67099DB1" w14:textId="77777777" w:rsidR="00B55898" w:rsidRPr="00B55898" w:rsidRDefault="00B55898" w:rsidP="00B55898">
      <w:pPr>
        <w:spacing w:after="0"/>
        <w:jc w:val="both"/>
        <w:rPr>
          <w:rFonts w:ascii="Verdana" w:eastAsia="Calibri" w:hAnsi="Verdana" w:cs="Times New Roman"/>
          <w:color w:val="000000" w:themeColor="text1"/>
          <w:kern w:val="2"/>
          <w:sz w:val="20"/>
          <w:szCs w:val="20"/>
          <w14:ligatures w14:val="standardContextual"/>
        </w:rPr>
      </w:pPr>
    </w:p>
    <w:p w14:paraId="16177479" w14:textId="0161E8AC" w:rsidR="00A11AA2" w:rsidRPr="00B55898" w:rsidRDefault="00B55898" w:rsidP="00B55898">
      <w:pPr>
        <w:spacing w:after="0"/>
        <w:jc w:val="both"/>
        <w:rPr>
          <w:rFonts w:ascii="Verdana" w:eastAsia="Calibri" w:hAnsi="Verdana" w:cs="Times New Roman"/>
          <w:color w:val="000000" w:themeColor="text1"/>
          <w:kern w:val="2"/>
          <w:sz w:val="20"/>
          <w:szCs w:val="20"/>
          <w14:ligatures w14:val="standardContextual"/>
        </w:rPr>
      </w:pPr>
      <w:r w:rsidRPr="00B55898">
        <w:rPr>
          <w:rFonts w:ascii="Verdana" w:eastAsia="Calibri" w:hAnsi="Verdana" w:cs="Times New Roman"/>
          <w:color w:val="000000" w:themeColor="text1"/>
          <w:kern w:val="2"/>
          <w:sz w:val="20"/>
          <w:szCs w:val="20"/>
          <w14:ligatures w14:val="standardContextual"/>
        </w:rPr>
        <w:t xml:space="preserve">En este contexto, conviene mencionar que este tipo de </w:t>
      </w:r>
      <w:proofErr w:type="gramStart"/>
      <w:r w:rsidRPr="00B55898">
        <w:rPr>
          <w:rFonts w:ascii="Verdana" w:eastAsia="Calibri" w:hAnsi="Verdana" w:cs="Times New Roman"/>
          <w:color w:val="000000" w:themeColor="text1"/>
          <w:kern w:val="2"/>
          <w:sz w:val="20"/>
          <w:szCs w:val="20"/>
          <w14:ligatures w14:val="standardContextual"/>
        </w:rPr>
        <w:t>redes  de</w:t>
      </w:r>
      <w:proofErr w:type="gramEnd"/>
      <w:r w:rsidRPr="00B55898">
        <w:rPr>
          <w:rFonts w:ascii="Verdana" w:eastAsia="Calibri" w:hAnsi="Verdana" w:cs="Times New Roman"/>
          <w:color w:val="000000" w:themeColor="text1"/>
          <w:kern w:val="2"/>
          <w:sz w:val="20"/>
          <w:szCs w:val="20"/>
          <w14:ligatures w14:val="standardContextual"/>
        </w:rPr>
        <w:t xml:space="preserve"> baja tensión, hacen referencia al tramo final del sistema eléctrico y se utilizan para suministrar energía </w:t>
      </w:r>
      <w:r w:rsidRPr="00B55898">
        <w:rPr>
          <w:rFonts w:ascii="Verdana" w:eastAsia="Calibri" w:hAnsi="Verdana" w:cs="Times New Roman"/>
          <w:color w:val="000000" w:themeColor="text1"/>
          <w:kern w:val="2"/>
          <w:sz w:val="20"/>
          <w:szCs w:val="20"/>
          <w14:ligatures w14:val="standardContextual"/>
        </w:rPr>
        <w:lastRenderedPageBreak/>
        <w:t>directamente a los usuarios finales, y conforme a las definiciones contenidas en el Reglamento Técnico de Instalaciones Eléctricas (RETIE), el título 9 clasifica dichos niveles de las redes en: “</w:t>
      </w:r>
      <w:r w:rsidRPr="00B55898">
        <w:rPr>
          <w:rFonts w:ascii="Verdana" w:eastAsia="Calibri" w:hAnsi="Verdana" w:cs="Times New Roman"/>
          <w:i/>
          <w:iCs/>
          <w:color w:val="000000" w:themeColor="text1"/>
          <w:kern w:val="2"/>
          <w:sz w:val="20"/>
          <w:szCs w:val="20"/>
          <w14:ligatures w14:val="standardContextual"/>
        </w:rPr>
        <w:t xml:space="preserve">Extra alta tensión – EAT: Corresponde a tensiones superiores a 230 kV. Tensión normalizada 345 kV y 500 kV. Alta tensión – AT: Tensiones mayores o iguales a 57,5 kV y menores o iguales a 230 kV. Tensiones normalizadas o nominales de 66 kV, 110 kV, 115 kV, 220 kV y 230 kV. Media tensión – MT: Los de tensión nominal superior a 1.000 V e inferior a 57,5 kV. Tensiones normalizadas o nominales de 11,4 kV, 13,2 kV, 34,5 kV, 44 kV. Baja tensión – BT: Los de tensión nominal menor o igual a 1.000 V y mayores o iguales de 25 V </w:t>
      </w:r>
      <w:proofErr w:type="spellStart"/>
      <w:r w:rsidRPr="00B55898">
        <w:rPr>
          <w:rFonts w:ascii="Verdana" w:eastAsia="Calibri" w:hAnsi="Verdana" w:cs="Times New Roman"/>
          <w:i/>
          <w:iCs/>
          <w:color w:val="000000" w:themeColor="text1"/>
          <w:kern w:val="2"/>
          <w:sz w:val="20"/>
          <w:szCs w:val="20"/>
          <w14:ligatures w14:val="standardContextual"/>
        </w:rPr>
        <w:t>c.a.</w:t>
      </w:r>
      <w:proofErr w:type="spellEnd"/>
      <w:r w:rsidRPr="00B55898">
        <w:rPr>
          <w:rFonts w:ascii="Verdana" w:eastAsia="Calibri" w:hAnsi="Verdana" w:cs="Times New Roman"/>
          <w:i/>
          <w:iCs/>
          <w:color w:val="000000" w:themeColor="text1"/>
          <w:kern w:val="2"/>
          <w:sz w:val="20"/>
          <w:szCs w:val="20"/>
          <w14:ligatures w14:val="standardContextual"/>
        </w:rPr>
        <w:t xml:space="preserve"> o 60 V c.c. Muy Baja tensión – MBT: Las tensiones inferiores a 25 V en corriente alterna y menores a 50 V en corriente continua. Conforme a la norma IEC 61140 de 2016”</w:t>
      </w:r>
    </w:p>
    <w:p w14:paraId="3F97F681" w14:textId="77777777" w:rsidR="00A11AA2" w:rsidRDefault="00A11AA2" w:rsidP="00F91C09">
      <w:pPr>
        <w:spacing w:after="0"/>
        <w:rPr>
          <w:rFonts w:ascii="Verdana" w:eastAsia="Calibri" w:hAnsi="Verdana" w:cs="Times New Roman"/>
          <w:color w:val="6699FF"/>
          <w:kern w:val="2"/>
          <w:sz w:val="20"/>
          <w:szCs w:val="20"/>
          <w14:ligatures w14:val="standardContextual"/>
        </w:rPr>
      </w:pPr>
    </w:p>
    <w:p w14:paraId="2E0CEC94" w14:textId="21270E5B" w:rsidR="001030CD" w:rsidRPr="009E31C5" w:rsidRDefault="009E31C5" w:rsidP="009E31C5">
      <w:pPr>
        <w:spacing w:after="0"/>
        <w:jc w:val="both"/>
        <w:rPr>
          <w:rFonts w:ascii="Verdana" w:eastAsia="Calibri" w:hAnsi="Verdana" w:cs="Times New Roman"/>
          <w:b/>
          <w:bCs/>
          <w:color w:val="000000" w:themeColor="text1"/>
          <w:kern w:val="2"/>
          <w14:ligatures w14:val="standardContextual"/>
        </w:rPr>
      </w:pPr>
      <w:r w:rsidRPr="009E31C5">
        <w:rPr>
          <w:rFonts w:ascii="Verdana" w:eastAsia="Calibri" w:hAnsi="Verdana" w:cs="Times New Roman"/>
          <w:b/>
          <w:bCs/>
          <w:color w:val="000000" w:themeColor="text1"/>
          <w:kern w:val="2"/>
          <w14:ligatures w14:val="standardContextual"/>
        </w:rPr>
        <w:t>DOCUMENTOS TIPO DE INFRAESTRUCTURA DE TRANSPORTE - C</w:t>
      </w:r>
      <w:r w:rsidR="001030CD" w:rsidRPr="009E31C5">
        <w:rPr>
          <w:rFonts w:ascii="Verdana" w:eastAsia="Calibri" w:hAnsi="Verdana" w:cs="Times New Roman"/>
          <w:b/>
          <w:bCs/>
          <w:color w:val="000000" w:themeColor="text1"/>
          <w:kern w:val="2"/>
          <w14:ligatures w14:val="standardContextual"/>
        </w:rPr>
        <w:t xml:space="preserve">ombinación de experiencia – </w:t>
      </w:r>
      <w:r w:rsidRPr="009E31C5">
        <w:rPr>
          <w:rFonts w:ascii="Verdana" w:eastAsia="Calibri" w:hAnsi="Verdana" w:cs="Times New Roman"/>
          <w:b/>
          <w:bCs/>
          <w:color w:val="000000" w:themeColor="text1"/>
          <w:kern w:val="2"/>
          <w14:ligatures w14:val="standardContextual"/>
        </w:rPr>
        <w:t>A</w:t>
      </w:r>
      <w:r w:rsidR="001030CD" w:rsidRPr="009E31C5">
        <w:rPr>
          <w:rFonts w:ascii="Verdana" w:eastAsia="Calibri" w:hAnsi="Verdana" w:cs="Times New Roman"/>
          <w:b/>
          <w:bCs/>
          <w:color w:val="000000" w:themeColor="text1"/>
          <w:kern w:val="2"/>
          <w14:ligatures w14:val="standardContextual"/>
        </w:rPr>
        <w:t>ctividad principal y secundaria –</w:t>
      </w:r>
      <w:r w:rsidRPr="009E31C5">
        <w:rPr>
          <w:rFonts w:ascii="Verdana" w:eastAsia="Calibri" w:hAnsi="Verdana" w:cs="Times New Roman"/>
          <w:b/>
          <w:bCs/>
          <w:color w:val="000000" w:themeColor="text1"/>
          <w:kern w:val="2"/>
          <w14:ligatures w14:val="standardContextual"/>
        </w:rPr>
        <w:t xml:space="preserve"> Aplicación</w:t>
      </w:r>
      <w:r w:rsidR="001030CD" w:rsidRPr="009E31C5">
        <w:rPr>
          <w:rFonts w:ascii="Verdana" w:eastAsia="Calibri" w:hAnsi="Verdana" w:cs="Times New Roman"/>
          <w:b/>
          <w:bCs/>
          <w:color w:val="000000" w:themeColor="text1"/>
          <w:kern w:val="2"/>
          <w14:ligatures w14:val="standardContextual"/>
        </w:rPr>
        <w:t xml:space="preserve"> de la </w:t>
      </w:r>
      <w:r w:rsidRPr="009E31C5">
        <w:rPr>
          <w:rFonts w:ascii="Verdana" w:eastAsia="Calibri" w:hAnsi="Verdana" w:cs="Times New Roman"/>
          <w:b/>
          <w:bCs/>
          <w:color w:val="000000" w:themeColor="text1"/>
          <w:kern w:val="2"/>
          <w14:ligatures w14:val="standardContextual"/>
        </w:rPr>
        <w:t>M</w:t>
      </w:r>
      <w:r w:rsidR="001030CD" w:rsidRPr="009E31C5">
        <w:rPr>
          <w:rFonts w:ascii="Verdana" w:eastAsia="Calibri" w:hAnsi="Verdana" w:cs="Times New Roman"/>
          <w:b/>
          <w:bCs/>
          <w:color w:val="000000" w:themeColor="text1"/>
          <w:kern w:val="2"/>
          <w14:ligatures w14:val="standardContextual"/>
        </w:rPr>
        <w:t xml:space="preserve">atriz 1 experiencia – </w:t>
      </w:r>
      <w:r w:rsidRPr="009E31C5">
        <w:rPr>
          <w:rFonts w:ascii="Verdana" w:eastAsia="Calibri" w:hAnsi="Verdana" w:cs="Times New Roman"/>
          <w:b/>
          <w:bCs/>
          <w:color w:val="000000" w:themeColor="text1"/>
          <w:kern w:val="2"/>
          <w14:ligatures w14:val="standardContextual"/>
        </w:rPr>
        <w:t>E</w:t>
      </w:r>
      <w:r w:rsidR="001030CD" w:rsidRPr="009E31C5">
        <w:rPr>
          <w:rFonts w:ascii="Verdana" w:eastAsia="Calibri" w:hAnsi="Verdana" w:cs="Times New Roman"/>
          <w:b/>
          <w:bCs/>
          <w:color w:val="000000" w:themeColor="text1"/>
          <w:kern w:val="2"/>
          <w14:ligatures w14:val="standardContextual"/>
        </w:rPr>
        <w:t>xperiencia general y específica</w:t>
      </w:r>
    </w:p>
    <w:p w14:paraId="63759FC3" w14:textId="77777777" w:rsidR="00A11AA2" w:rsidRPr="00896CEE" w:rsidRDefault="00A11AA2" w:rsidP="00F91C09">
      <w:pPr>
        <w:spacing w:after="0"/>
        <w:rPr>
          <w:rFonts w:ascii="Verdana" w:eastAsia="Calibri" w:hAnsi="Verdana" w:cs="Times New Roman"/>
          <w:color w:val="6699FF"/>
          <w:kern w:val="2"/>
          <w:sz w:val="20"/>
          <w:szCs w:val="20"/>
          <w14:ligatures w14:val="standardContextual"/>
        </w:rPr>
      </w:pPr>
    </w:p>
    <w:p w14:paraId="574C153C" w14:textId="77777777" w:rsidR="00F7766A" w:rsidRPr="00F7766A" w:rsidRDefault="00F7766A" w:rsidP="00F7766A">
      <w:pPr>
        <w:spacing w:after="0"/>
        <w:jc w:val="both"/>
        <w:rPr>
          <w:rFonts w:ascii="Verdana" w:eastAsia="Calibri" w:hAnsi="Verdana" w:cs="Times New Roman"/>
          <w:color w:val="000000" w:themeColor="text1"/>
          <w:kern w:val="2"/>
          <w:sz w:val="20"/>
          <w:szCs w:val="20"/>
          <w14:ligatures w14:val="standardContextual"/>
        </w:rPr>
      </w:pPr>
      <w:r w:rsidRPr="00F7766A">
        <w:rPr>
          <w:rFonts w:ascii="Verdana" w:eastAsia="Calibri" w:hAnsi="Verdana" w:cs="Times New Roman"/>
          <w:color w:val="000000" w:themeColor="text1"/>
          <w:kern w:val="2"/>
          <w:sz w:val="20"/>
          <w:szCs w:val="20"/>
          <w14:ligatures w14:val="standardContextual"/>
        </w:rPr>
        <w:t xml:space="preserve">Conforme a esta regla de combinación de experiencia, la entidad estatal deberá identificar y definir la actividad principal o de mayor relevancia, así como la actividad secundaria o accesoria, de acuerdo con las características del proyecto particular. Para estos efectos, la entidad determinará la actividad principal entre las actividades definidas en la matriz del proyecto respectivo y podrá establecer hasta dos actividades secundarias cuando: i) en un mismo proyecto se incluyan otras actividades definidas en la Matriz 1 – Experiencia de estos documentos tipo, o </w:t>
      </w:r>
      <w:proofErr w:type="spellStart"/>
      <w:r w:rsidRPr="00F7766A">
        <w:rPr>
          <w:rFonts w:ascii="Verdana" w:eastAsia="Calibri" w:hAnsi="Verdana" w:cs="Times New Roman"/>
          <w:color w:val="000000" w:themeColor="text1"/>
          <w:kern w:val="2"/>
          <w:sz w:val="20"/>
          <w:szCs w:val="20"/>
          <w14:ligatures w14:val="standardContextual"/>
        </w:rPr>
        <w:t>ii</w:t>
      </w:r>
      <w:proofErr w:type="spellEnd"/>
      <w:r w:rsidRPr="00F7766A">
        <w:rPr>
          <w:rFonts w:ascii="Verdana" w:eastAsia="Calibri" w:hAnsi="Verdana" w:cs="Times New Roman"/>
          <w:color w:val="000000" w:themeColor="text1"/>
          <w:kern w:val="2"/>
          <w:sz w:val="20"/>
          <w:szCs w:val="20"/>
          <w14:ligatures w14:val="standardContextual"/>
        </w:rPr>
        <w:t>) en un proceso de contratación resulten aplicables matrices de experiencia de otros documentos tipo y la entidad considere conveniente incluir dicha experiencia.</w:t>
      </w:r>
    </w:p>
    <w:p w14:paraId="1503BAD4" w14:textId="77777777" w:rsidR="00F7766A" w:rsidRPr="00F7766A" w:rsidRDefault="00F7766A" w:rsidP="00F7766A">
      <w:pPr>
        <w:spacing w:after="0"/>
        <w:jc w:val="both"/>
        <w:rPr>
          <w:rFonts w:ascii="Verdana" w:eastAsia="Calibri" w:hAnsi="Verdana" w:cs="Times New Roman"/>
          <w:color w:val="000000" w:themeColor="text1"/>
          <w:kern w:val="2"/>
          <w:sz w:val="20"/>
          <w:szCs w:val="20"/>
          <w14:ligatures w14:val="standardContextual"/>
        </w:rPr>
      </w:pPr>
    </w:p>
    <w:p w14:paraId="1CD77AA9" w14:textId="77777777" w:rsidR="00F7766A" w:rsidRPr="00F7766A" w:rsidRDefault="00F7766A" w:rsidP="00F7766A">
      <w:pPr>
        <w:spacing w:after="0"/>
        <w:jc w:val="both"/>
        <w:rPr>
          <w:rFonts w:ascii="Verdana" w:eastAsia="Calibri" w:hAnsi="Verdana" w:cs="Times New Roman"/>
          <w:color w:val="000000" w:themeColor="text1"/>
          <w:kern w:val="2"/>
          <w:sz w:val="20"/>
          <w:szCs w:val="20"/>
          <w14:ligatures w14:val="standardContextual"/>
        </w:rPr>
      </w:pPr>
      <w:r w:rsidRPr="00F7766A">
        <w:rPr>
          <w:rFonts w:ascii="Verdana" w:eastAsia="Calibri" w:hAnsi="Verdana" w:cs="Times New Roman"/>
          <w:color w:val="000000" w:themeColor="text1"/>
          <w:kern w:val="2"/>
          <w:sz w:val="20"/>
          <w:szCs w:val="20"/>
          <w14:ligatures w14:val="standardContextual"/>
        </w:rPr>
        <w:t xml:space="preserve">Una vez definidas la actividad principal y las actividades secundarias, la entidad estatal deberá determinar los requisitos de experiencia exigibles de acuerdo con la matriz aplicable, de alguna de las siguientes formas: i) sin solicitar experiencia para la actividad secundaria y exigiéndola únicamente para la principal, siempre que esta corresponda a una actividad definida en la Matriz 1 – Experiencia de los documentos tipo de licitación de obra pública de infraestructura de transporte; o </w:t>
      </w:r>
      <w:proofErr w:type="spellStart"/>
      <w:r w:rsidRPr="00F7766A">
        <w:rPr>
          <w:rFonts w:ascii="Verdana" w:eastAsia="Calibri" w:hAnsi="Verdana" w:cs="Times New Roman"/>
          <w:color w:val="000000" w:themeColor="text1"/>
          <w:kern w:val="2"/>
          <w:sz w:val="20"/>
          <w:szCs w:val="20"/>
          <w14:ligatures w14:val="standardContextual"/>
        </w:rPr>
        <w:t>ii</w:t>
      </w:r>
      <w:proofErr w:type="spellEnd"/>
      <w:r w:rsidRPr="00F7766A">
        <w:rPr>
          <w:rFonts w:ascii="Verdana" w:eastAsia="Calibri" w:hAnsi="Verdana" w:cs="Times New Roman"/>
          <w:color w:val="000000" w:themeColor="text1"/>
          <w:kern w:val="2"/>
          <w:sz w:val="20"/>
          <w:szCs w:val="20"/>
          <w14:ligatures w14:val="standardContextual"/>
        </w:rPr>
        <w:t>) solicitando experiencia general y específica para la actividad principal, y requiriendo la experiencia general o específica correspondiente a la respectiva matriz para las actividades secundarias, salvo que la matriz aplicable no contemple experiencia específica para determinada actividad secundaria, caso en el cual podrá solicitarse experiencia general.</w:t>
      </w:r>
    </w:p>
    <w:p w14:paraId="1BEBA336" w14:textId="77777777" w:rsidR="00F7766A" w:rsidRPr="00F7766A" w:rsidRDefault="00F7766A" w:rsidP="00F7766A">
      <w:pPr>
        <w:spacing w:after="0"/>
        <w:jc w:val="both"/>
        <w:rPr>
          <w:rFonts w:ascii="Verdana" w:eastAsia="Calibri" w:hAnsi="Verdana" w:cs="Times New Roman"/>
          <w:color w:val="000000" w:themeColor="text1"/>
          <w:kern w:val="2"/>
          <w:sz w:val="20"/>
          <w:szCs w:val="20"/>
          <w14:ligatures w14:val="standardContextual"/>
        </w:rPr>
      </w:pPr>
    </w:p>
    <w:p w14:paraId="11897366" w14:textId="77777777" w:rsidR="00F7766A" w:rsidRPr="00F7766A" w:rsidRDefault="00F7766A" w:rsidP="00F7766A">
      <w:pPr>
        <w:spacing w:after="0"/>
        <w:jc w:val="both"/>
        <w:rPr>
          <w:rFonts w:ascii="Verdana" w:eastAsia="Calibri" w:hAnsi="Verdana" w:cs="Times New Roman"/>
          <w:color w:val="000000" w:themeColor="text1"/>
          <w:kern w:val="2"/>
          <w:sz w:val="20"/>
          <w:szCs w:val="20"/>
          <w14:ligatures w14:val="standardContextual"/>
        </w:rPr>
      </w:pPr>
      <w:r w:rsidRPr="00F7766A">
        <w:rPr>
          <w:rFonts w:ascii="Verdana" w:eastAsia="Calibri" w:hAnsi="Verdana" w:cs="Times New Roman"/>
          <w:color w:val="000000" w:themeColor="text1"/>
          <w:kern w:val="2"/>
          <w:sz w:val="20"/>
          <w:szCs w:val="20"/>
          <w14:ligatures w14:val="standardContextual"/>
        </w:rPr>
        <w:t>La experiencia exigible para las actividades principal y secundaria debe definirse en función de los rangos de cuantía aplicables al respectivo proceso de contratación. En todo caso, la entidad contratante no podrá incluir más de dos combinaciones de experiencia adicionales a la prevista para la actividad principal.</w:t>
      </w:r>
    </w:p>
    <w:p w14:paraId="3EE7F18D" w14:textId="20A94455" w:rsidR="00F23CDD" w:rsidRPr="00F7766A" w:rsidRDefault="00F7766A" w:rsidP="00F7766A">
      <w:pPr>
        <w:spacing w:after="0"/>
        <w:jc w:val="both"/>
        <w:rPr>
          <w:rFonts w:ascii="Verdana" w:eastAsia="Calibri" w:hAnsi="Verdana" w:cs="Times New Roman"/>
          <w:color w:val="000000" w:themeColor="text1"/>
          <w:kern w:val="2"/>
          <w:sz w:val="20"/>
          <w:szCs w:val="20"/>
          <w14:ligatures w14:val="standardContextual"/>
        </w:rPr>
      </w:pPr>
      <w:r w:rsidRPr="00F7766A">
        <w:rPr>
          <w:rFonts w:ascii="Verdana" w:eastAsia="Calibri" w:hAnsi="Verdana" w:cs="Times New Roman"/>
          <w:color w:val="000000" w:themeColor="text1"/>
          <w:kern w:val="2"/>
          <w:sz w:val="20"/>
          <w:szCs w:val="20"/>
          <w14:ligatures w14:val="standardContextual"/>
        </w:rPr>
        <w:lastRenderedPageBreak/>
        <w:t xml:space="preserve">Si en la actividad secundaria se solicita la experiencia específica, y ésta contempla más de un requisito 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  </w:t>
      </w:r>
    </w:p>
    <w:p w14:paraId="709EABE6"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28E05086"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3A74FEB1"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152A4579"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58045701"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149F1502"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2A3C04D1"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78D6BFF9"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5EBBA549"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7F81AE5C"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174E6DB5"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6BBA5943"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6B8BA57D"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4D1714E9"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0DF0402E"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6D75FAA5"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22BB976F"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3F9CF2F6"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38F9450B"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53E7F672"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10B3195C"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60412B1A" w14:textId="77777777" w:rsidR="00F23CDD" w:rsidRDefault="00F23CDD" w:rsidP="00F91C09">
      <w:pPr>
        <w:spacing w:after="0"/>
        <w:rPr>
          <w:rFonts w:ascii="Verdana" w:eastAsia="Calibri" w:hAnsi="Verdana" w:cs="Times New Roman"/>
          <w:color w:val="6699FF"/>
          <w:kern w:val="2"/>
          <w:sz w:val="20"/>
          <w:szCs w:val="20"/>
          <w14:ligatures w14:val="standardContextual"/>
        </w:rPr>
      </w:pPr>
    </w:p>
    <w:p w14:paraId="3D20C860" w14:textId="77777777" w:rsidR="00B5307E" w:rsidRDefault="00B5307E" w:rsidP="00F91C09">
      <w:pPr>
        <w:spacing w:after="0"/>
        <w:rPr>
          <w:rFonts w:ascii="Verdana" w:eastAsia="Calibri" w:hAnsi="Verdana" w:cs="Times New Roman"/>
          <w:color w:val="6699FF"/>
          <w:kern w:val="2"/>
          <w:sz w:val="20"/>
          <w:szCs w:val="20"/>
          <w14:ligatures w14:val="standardContextual"/>
        </w:rPr>
      </w:pPr>
    </w:p>
    <w:p w14:paraId="66CAAFA3" w14:textId="77777777" w:rsidR="00B5307E" w:rsidRDefault="00B5307E" w:rsidP="00F91C09">
      <w:pPr>
        <w:spacing w:after="0"/>
        <w:rPr>
          <w:rFonts w:ascii="Verdana" w:eastAsia="Calibri" w:hAnsi="Verdana" w:cs="Times New Roman"/>
          <w:color w:val="6699FF"/>
          <w:kern w:val="2"/>
          <w:sz w:val="20"/>
          <w:szCs w:val="20"/>
          <w14:ligatures w14:val="standardContextual"/>
        </w:rPr>
      </w:pPr>
    </w:p>
    <w:p w14:paraId="6C3D3CF1" w14:textId="77777777" w:rsidR="00B5307E" w:rsidRDefault="00B5307E" w:rsidP="00F91C09">
      <w:pPr>
        <w:spacing w:after="0"/>
        <w:rPr>
          <w:rFonts w:ascii="Verdana" w:eastAsia="Calibri" w:hAnsi="Verdana" w:cs="Times New Roman"/>
          <w:color w:val="6699FF"/>
          <w:kern w:val="2"/>
          <w:sz w:val="20"/>
          <w:szCs w:val="20"/>
          <w14:ligatures w14:val="standardContextual"/>
        </w:rPr>
      </w:pPr>
    </w:p>
    <w:p w14:paraId="392B7FD4" w14:textId="77777777" w:rsidR="00B5307E" w:rsidRDefault="00B5307E" w:rsidP="00F91C09">
      <w:pPr>
        <w:spacing w:after="0"/>
        <w:rPr>
          <w:rFonts w:ascii="Verdana" w:eastAsia="Calibri" w:hAnsi="Verdana" w:cs="Times New Roman"/>
          <w:color w:val="6699FF"/>
          <w:kern w:val="2"/>
          <w:sz w:val="20"/>
          <w:szCs w:val="20"/>
          <w14:ligatures w14:val="standardContextual"/>
        </w:rPr>
      </w:pPr>
    </w:p>
    <w:p w14:paraId="5C16D0D7" w14:textId="77777777" w:rsidR="00B5307E" w:rsidRDefault="00B5307E" w:rsidP="00F91C09">
      <w:pPr>
        <w:spacing w:after="0"/>
        <w:rPr>
          <w:rFonts w:ascii="Verdana" w:eastAsia="Calibri" w:hAnsi="Verdana" w:cs="Times New Roman"/>
          <w:color w:val="6699FF"/>
          <w:kern w:val="2"/>
          <w:sz w:val="20"/>
          <w:szCs w:val="20"/>
          <w14:ligatures w14:val="standardContextual"/>
        </w:rPr>
      </w:pPr>
    </w:p>
    <w:p w14:paraId="01BD6503" w14:textId="77777777" w:rsidR="00B5307E" w:rsidRDefault="00B5307E" w:rsidP="00F91C09">
      <w:pPr>
        <w:spacing w:after="0"/>
        <w:rPr>
          <w:rFonts w:ascii="Verdana" w:eastAsia="Calibri" w:hAnsi="Verdana" w:cs="Times New Roman"/>
          <w:color w:val="6699FF"/>
          <w:kern w:val="2"/>
          <w:sz w:val="20"/>
          <w:szCs w:val="20"/>
          <w14:ligatures w14:val="standardContextual"/>
        </w:rPr>
      </w:pPr>
    </w:p>
    <w:p w14:paraId="6D293A7D" w14:textId="77777777" w:rsidR="00B5307E" w:rsidRDefault="00B5307E" w:rsidP="00F91C09">
      <w:pPr>
        <w:spacing w:after="0"/>
        <w:rPr>
          <w:rFonts w:ascii="Verdana" w:eastAsia="Calibri" w:hAnsi="Verdana" w:cs="Times New Roman"/>
          <w:color w:val="6699FF"/>
          <w:kern w:val="2"/>
          <w:sz w:val="20"/>
          <w:szCs w:val="20"/>
          <w14:ligatures w14:val="standardContextual"/>
        </w:rPr>
      </w:pPr>
    </w:p>
    <w:p w14:paraId="13A9D3B9" w14:textId="77777777" w:rsidR="00B5307E" w:rsidRDefault="00B5307E" w:rsidP="00F91C09">
      <w:pPr>
        <w:spacing w:after="0"/>
        <w:rPr>
          <w:rFonts w:ascii="Verdana" w:eastAsia="Calibri" w:hAnsi="Verdana" w:cs="Times New Roman"/>
          <w:color w:val="6699FF"/>
          <w:kern w:val="2"/>
          <w:sz w:val="20"/>
          <w:szCs w:val="20"/>
          <w14:ligatures w14:val="standardContextual"/>
        </w:rPr>
      </w:pPr>
    </w:p>
    <w:p w14:paraId="385D8257" w14:textId="77777777" w:rsidR="00B5307E" w:rsidRDefault="00B5307E" w:rsidP="00F91C09">
      <w:pPr>
        <w:spacing w:after="0"/>
        <w:rPr>
          <w:rFonts w:ascii="Verdana" w:eastAsia="Calibri" w:hAnsi="Verdana" w:cs="Times New Roman"/>
          <w:color w:val="6699FF"/>
          <w:kern w:val="2"/>
          <w:sz w:val="20"/>
          <w:szCs w:val="20"/>
          <w14:ligatures w14:val="standardContextual"/>
        </w:rPr>
      </w:pPr>
    </w:p>
    <w:p w14:paraId="1254BED5" w14:textId="77777777" w:rsidR="00B5307E" w:rsidRDefault="00B5307E" w:rsidP="00F91C09">
      <w:pPr>
        <w:spacing w:after="0"/>
        <w:rPr>
          <w:rFonts w:ascii="Verdana" w:eastAsia="Calibri" w:hAnsi="Verdana" w:cs="Times New Roman"/>
          <w:color w:val="6699FF"/>
          <w:kern w:val="2"/>
          <w:sz w:val="20"/>
          <w:szCs w:val="20"/>
          <w14:ligatures w14:val="standardContextual"/>
        </w:rPr>
      </w:pPr>
    </w:p>
    <w:p w14:paraId="51FF27B6" w14:textId="77777777" w:rsidR="00B5307E" w:rsidRDefault="00B5307E" w:rsidP="00F91C09">
      <w:pPr>
        <w:spacing w:after="0"/>
        <w:rPr>
          <w:rFonts w:ascii="Verdana" w:eastAsia="Calibri" w:hAnsi="Verdana" w:cs="Times New Roman"/>
          <w:color w:val="6699FF"/>
          <w:kern w:val="2"/>
          <w:sz w:val="20"/>
          <w:szCs w:val="20"/>
          <w14:ligatures w14:val="standardContextual"/>
        </w:rPr>
      </w:pPr>
    </w:p>
    <w:p w14:paraId="480F2436" w14:textId="77777777" w:rsidR="00B5307E" w:rsidRDefault="00B5307E" w:rsidP="00F91C09">
      <w:pPr>
        <w:spacing w:after="0"/>
        <w:rPr>
          <w:rFonts w:ascii="Verdana" w:eastAsia="Calibri" w:hAnsi="Verdana" w:cs="Times New Roman"/>
          <w:color w:val="6699FF"/>
          <w:kern w:val="2"/>
          <w:sz w:val="20"/>
          <w:szCs w:val="20"/>
          <w14:ligatures w14:val="standardContextual"/>
        </w:rPr>
      </w:pPr>
    </w:p>
    <w:p w14:paraId="28C3C486" w14:textId="77777777" w:rsidR="00B5307E" w:rsidRDefault="00B5307E" w:rsidP="00F91C09">
      <w:pPr>
        <w:spacing w:after="0"/>
        <w:rPr>
          <w:rFonts w:ascii="Verdana" w:eastAsia="Calibri" w:hAnsi="Verdana" w:cs="Times New Roman"/>
          <w:color w:val="6699FF"/>
          <w:kern w:val="2"/>
          <w:sz w:val="20"/>
          <w:szCs w:val="20"/>
          <w14:ligatures w14:val="standardContextual"/>
        </w:rPr>
      </w:pPr>
    </w:p>
    <w:p w14:paraId="1F135725" w14:textId="77777777" w:rsidR="00B5307E" w:rsidRPr="00896CEE" w:rsidRDefault="00B5307E" w:rsidP="00F91C09">
      <w:pPr>
        <w:spacing w:after="0"/>
        <w:rPr>
          <w:rFonts w:ascii="Verdana" w:eastAsia="Calibri" w:hAnsi="Verdana" w:cs="Times New Roman"/>
          <w:color w:val="6699FF"/>
          <w:kern w:val="2"/>
          <w:sz w:val="20"/>
          <w:szCs w:val="20"/>
          <w14:ligatures w14:val="standardContextual"/>
        </w:rPr>
      </w:pPr>
    </w:p>
    <w:p w14:paraId="3F695357" w14:textId="77777777" w:rsidR="00A710CE" w:rsidRDefault="00A710CE" w:rsidP="00F91C09">
      <w:pPr>
        <w:spacing w:after="0"/>
        <w:rPr>
          <w:rFonts w:ascii="Verdana" w:hAnsi="Verdana"/>
          <w:color w:val="000000" w:themeColor="text1"/>
        </w:rPr>
      </w:pPr>
      <w:r w:rsidRPr="00A710CE">
        <w:rPr>
          <w:rFonts w:ascii="Verdana" w:hAnsi="Verdana"/>
          <w:color w:val="000000" w:themeColor="text1"/>
        </w:rPr>
        <w:lastRenderedPageBreak/>
        <w:t>Bogotá D.C, 16 Junio 2026</w:t>
      </w:r>
    </w:p>
    <w:p w14:paraId="139D789B" w14:textId="4AB5E6F0" w:rsidR="00F91C09" w:rsidRPr="00896CEE" w:rsidRDefault="00D0258F" w:rsidP="00F91C09">
      <w:pPr>
        <w:spacing w:after="0"/>
        <w:rPr>
          <w:rFonts w:ascii="Verdana" w:hAnsi="Verdana"/>
          <w:color w:val="6699FF"/>
        </w:rPr>
      </w:pPr>
      <w:r w:rsidRPr="00D0258F">
        <w:rPr>
          <w:rFonts w:ascii="Verdana" w:eastAsia="Calibri" w:hAnsi="Verdana" w:cs="Arial"/>
          <w:lang w:val="es-ES" w:eastAsia="es-ES"/>
        </w:rPr>
        <w:drawing>
          <wp:anchor distT="0" distB="0" distL="114300" distR="114300" simplePos="0" relativeHeight="251658240" behindDoc="0" locked="0" layoutInCell="1" allowOverlap="1" wp14:anchorId="0D3AD589" wp14:editId="17BAB1AC">
            <wp:simplePos x="0" y="0"/>
            <wp:positionH relativeFrom="margin">
              <wp:align>right</wp:align>
            </wp:positionH>
            <wp:positionV relativeFrom="margin">
              <wp:posOffset>258938</wp:posOffset>
            </wp:positionV>
            <wp:extent cx="2092960" cy="677545"/>
            <wp:effectExtent l="0" t="0" r="2540" b="8255"/>
            <wp:wrapSquare wrapText="bothSides"/>
            <wp:docPr id="7234075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407555" name=""/>
                    <pic:cNvPicPr/>
                  </pic:nvPicPr>
                  <pic:blipFill>
                    <a:blip r:embed="rId11">
                      <a:extLst>
                        <a:ext uri="{28A0092B-C50C-407E-A947-70E740481C1C}">
                          <a14:useLocalDpi xmlns:a14="http://schemas.microsoft.com/office/drawing/2010/main" val="0"/>
                        </a:ext>
                      </a:extLst>
                    </a:blip>
                    <a:stretch>
                      <a:fillRect/>
                    </a:stretch>
                  </pic:blipFill>
                  <pic:spPr>
                    <a:xfrm>
                      <a:off x="0" y="0"/>
                      <a:ext cx="2092960" cy="677545"/>
                    </a:xfrm>
                    <a:prstGeom prst="rect">
                      <a:avLst/>
                    </a:prstGeom>
                  </pic:spPr>
                </pic:pic>
              </a:graphicData>
            </a:graphic>
          </wp:anchor>
        </w:drawing>
      </w:r>
    </w:p>
    <w:p w14:paraId="5A969EF6" w14:textId="2F3669E7" w:rsidR="00D753D8" w:rsidRPr="00C570EC" w:rsidRDefault="00F91C09" w:rsidP="00F91C09">
      <w:pPr>
        <w:spacing w:after="0" w:line="276" w:lineRule="auto"/>
      </w:pPr>
      <w:r w:rsidRPr="005B1686">
        <w:rPr>
          <w:rFonts w:ascii="Verdana" w:eastAsia="Calibri" w:hAnsi="Verdana" w:cs="Arial"/>
          <w:lang w:val="es-ES" w:eastAsia="es-ES"/>
        </w:rPr>
        <w:t>Señor</w:t>
      </w:r>
      <w:r w:rsidR="00D753D8" w:rsidRPr="005B1686">
        <w:rPr>
          <w:rFonts w:ascii="Verdana" w:eastAsia="Calibri" w:hAnsi="Verdana" w:cs="Arial"/>
          <w:lang w:val="es-ES" w:eastAsia="es-ES"/>
        </w:rPr>
        <w:t>a</w:t>
      </w:r>
    </w:p>
    <w:p w14:paraId="6F9A297B" w14:textId="3A5407ED" w:rsidR="00B923C3" w:rsidRPr="005B1686" w:rsidRDefault="005F35B6" w:rsidP="00F91C09">
      <w:pPr>
        <w:spacing w:after="0" w:line="276" w:lineRule="auto"/>
        <w:rPr>
          <w:rFonts w:ascii="Verdana" w:eastAsia="Calibri" w:hAnsi="Verdana" w:cs="Arial"/>
          <w:b/>
          <w:bCs/>
          <w:lang w:eastAsia="es-ES"/>
        </w:rPr>
      </w:pPr>
      <w:proofErr w:type="spellStart"/>
      <w:r w:rsidRPr="005B1686">
        <w:rPr>
          <w:rFonts w:ascii="Verdana" w:eastAsia="Calibri" w:hAnsi="Verdana" w:cs="Arial"/>
          <w:b/>
          <w:bCs/>
          <w:lang w:eastAsia="es-ES"/>
        </w:rPr>
        <w:t>Sindy</w:t>
      </w:r>
      <w:proofErr w:type="spellEnd"/>
      <w:r w:rsidRPr="005B1686">
        <w:rPr>
          <w:rFonts w:ascii="Verdana" w:eastAsia="Calibri" w:hAnsi="Verdana" w:cs="Arial"/>
          <w:b/>
          <w:bCs/>
          <w:lang w:eastAsia="es-ES"/>
        </w:rPr>
        <w:t xml:space="preserve"> Paola Bolaño Figueroa</w:t>
      </w:r>
    </w:p>
    <w:p w14:paraId="6A52E2FB" w14:textId="3BA6FD04" w:rsidR="005B1686" w:rsidRPr="005B1686" w:rsidRDefault="005B1686" w:rsidP="00F91C09">
      <w:pPr>
        <w:spacing w:after="0" w:line="276" w:lineRule="auto"/>
        <w:rPr>
          <w:rFonts w:ascii="Verdana" w:hAnsi="Verdana"/>
        </w:rPr>
      </w:pPr>
      <w:hyperlink r:id="rId12" w:history="1">
        <w:r w:rsidRPr="005B1686">
          <w:rPr>
            <w:rStyle w:val="Hipervnculo"/>
            <w:rFonts w:ascii="Verdana" w:hAnsi="Verdana"/>
          </w:rPr>
          <w:t>sindybolano611@gmail.com</w:t>
        </w:r>
      </w:hyperlink>
    </w:p>
    <w:p w14:paraId="3D954858" w14:textId="3F4C4FE8" w:rsidR="00F91C09" w:rsidRPr="005B1686" w:rsidRDefault="00905078" w:rsidP="00F91C09">
      <w:pPr>
        <w:spacing w:after="0" w:line="276" w:lineRule="auto"/>
        <w:rPr>
          <w:rFonts w:ascii="Verdana" w:hAnsi="Verdana"/>
        </w:rPr>
      </w:pPr>
      <w:r>
        <w:rPr>
          <w:rFonts w:ascii="Verdana" w:hAnsi="Verdana"/>
        </w:rPr>
        <w:t>Valledupar</w:t>
      </w:r>
      <w:r w:rsidR="001C4FB5" w:rsidRPr="005B1686">
        <w:rPr>
          <w:rFonts w:ascii="Verdana" w:hAnsi="Verdana"/>
        </w:rPr>
        <w:t xml:space="preserve">, </w:t>
      </w:r>
      <w:r w:rsidR="00AE3631">
        <w:rPr>
          <w:rFonts w:ascii="Verdana" w:hAnsi="Verdana"/>
        </w:rPr>
        <w:t>Cesa</w:t>
      </w:r>
      <w:r w:rsidR="001C4FB5" w:rsidRPr="005B1686">
        <w:rPr>
          <w:rFonts w:ascii="Verdana" w:hAnsi="Verdana"/>
        </w:rPr>
        <w:t>r</w:t>
      </w:r>
    </w:p>
    <w:p w14:paraId="70A3F46C" w14:textId="77777777" w:rsidR="002249AB" w:rsidRPr="007E53B7" w:rsidRDefault="002249AB" w:rsidP="00F91C09">
      <w:pPr>
        <w:spacing w:after="0" w:line="276" w:lineRule="auto"/>
        <w:rPr>
          <w:rFonts w:ascii="Verdana" w:eastAsia="Calibri" w:hAnsi="Verdana" w:cs="Arial"/>
          <w:b/>
          <w:bCs/>
          <w:color w:val="66CCFF"/>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6114"/>
      </w:tblGrid>
      <w:tr w:rsidR="00F91C09" w:rsidRPr="007E53B7" w14:paraId="2C17D75A" w14:textId="77777777" w:rsidTr="00703D63">
        <w:trPr>
          <w:trHeight w:val="999"/>
        </w:trPr>
        <w:tc>
          <w:tcPr>
            <w:tcW w:w="3119" w:type="dxa"/>
          </w:tcPr>
          <w:p w14:paraId="23052AFE" w14:textId="77777777" w:rsidR="00F91C09" w:rsidRPr="007E53B7" w:rsidRDefault="00F91C09" w:rsidP="00A76661">
            <w:pPr>
              <w:spacing w:line="276" w:lineRule="auto"/>
              <w:jc w:val="both"/>
              <w:rPr>
                <w:rFonts w:ascii="Verdana" w:eastAsia="Calibri" w:hAnsi="Verdana" w:cs="Arial"/>
                <w:b/>
                <w:bCs/>
                <w:color w:val="66CCFF"/>
                <w:lang w:val="es-ES_tradnl" w:eastAsia="es-ES_tradnl"/>
              </w:rPr>
            </w:pPr>
          </w:p>
        </w:tc>
        <w:tc>
          <w:tcPr>
            <w:tcW w:w="6114" w:type="dxa"/>
            <w:hideMark/>
          </w:tcPr>
          <w:p w14:paraId="184F0FA4" w14:textId="66F4F596" w:rsidR="00F91C09" w:rsidRPr="00DF2EA7" w:rsidRDefault="00F91C09" w:rsidP="00A76661">
            <w:pPr>
              <w:spacing w:line="276" w:lineRule="auto"/>
              <w:jc w:val="both"/>
              <w:rPr>
                <w:rFonts w:ascii="Verdana" w:eastAsia="Calibri" w:hAnsi="Verdana" w:cs="Arial"/>
                <w:b/>
                <w:bCs/>
                <w:lang w:val="es-ES" w:eastAsia="es-ES"/>
              </w:rPr>
            </w:pPr>
            <w:r w:rsidRPr="00DF2EA7">
              <w:rPr>
                <w:rFonts w:ascii="Verdana" w:eastAsia="Calibri" w:hAnsi="Verdana" w:cs="Arial"/>
                <w:b/>
                <w:bCs/>
                <w:lang w:val="es-ES" w:eastAsia="es-ES"/>
              </w:rPr>
              <w:t xml:space="preserve">Concepto C – </w:t>
            </w:r>
            <w:r w:rsidR="002249AB">
              <w:rPr>
                <w:rFonts w:ascii="Verdana" w:eastAsia="Calibri" w:hAnsi="Verdana" w:cs="Arial"/>
                <w:b/>
                <w:bCs/>
                <w:lang w:val="es-ES" w:eastAsia="es-ES"/>
              </w:rPr>
              <w:t>7</w:t>
            </w:r>
            <w:r w:rsidR="00F436C5">
              <w:rPr>
                <w:rFonts w:ascii="Verdana" w:eastAsia="Calibri" w:hAnsi="Verdana" w:cs="Arial"/>
                <w:b/>
                <w:bCs/>
                <w:lang w:val="es-ES" w:eastAsia="es-ES"/>
              </w:rPr>
              <w:t>55</w:t>
            </w:r>
            <w:r>
              <w:rPr>
                <w:rFonts w:ascii="Verdana" w:eastAsia="Calibri" w:hAnsi="Verdana" w:cs="Arial"/>
                <w:b/>
                <w:bCs/>
                <w:lang w:val="es-ES" w:eastAsia="es-ES"/>
              </w:rPr>
              <w:t xml:space="preserve"> </w:t>
            </w:r>
            <w:r w:rsidRPr="00DF2EA7">
              <w:rPr>
                <w:rFonts w:ascii="Verdana" w:eastAsia="Calibri" w:hAnsi="Verdana" w:cs="Arial"/>
                <w:b/>
                <w:bCs/>
                <w:lang w:val="es-ES" w:eastAsia="es-ES"/>
              </w:rPr>
              <w:t>de 2026</w:t>
            </w:r>
          </w:p>
        </w:tc>
      </w:tr>
      <w:tr w:rsidR="00F91C09" w:rsidRPr="007E53B7" w14:paraId="63F7C77A" w14:textId="77777777" w:rsidTr="00703D63">
        <w:trPr>
          <w:trHeight w:val="999"/>
        </w:trPr>
        <w:tc>
          <w:tcPr>
            <w:tcW w:w="3119" w:type="dxa"/>
            <w:hideMark/>
          </w:tcPr>
          <w:p w14:paraId="29AD6A31" w14:textId="77777777" w:rsidR="00F91C09" w:rsidRPr="00A11AA2" w:rsidRDefault="00F91C09" w:rsidP="00A76661">
            <w:pPr>
              <w:spacing w:line="276" w:lineRule="auto"/>
              <w:jc w:val="both"/>
              <w:rPr>
                <w:rFonts w:ascii="Verdana" w:eastAsia="Calibri" w:hAnsi="Verdana" w:cs="Arial"/>
                <w:color w:val="66CCFF"/>
                <w:lang w:val="es-ES_tradnl" w:eastAsia="es-ES_tradnl"/>
              </w:rPr>
            </w:pPr>
            <w:r w:rsidRPr="00A11AA2">
              <w:rPr>
                <w:rFonts w:ascii="Verdana" w:eastAsia="Calibri" w:hAnsi="Verdana" w:cs="Arial"/>
                <w:b/>
                <w:lang w:val="es-ES_tradnl" w:eastAsia="es-ES_tradnl"/>
              </w:rPr>
              <w:t>Temas:</w:t>
            </w:r>
            <w:r w:rsidRPr="00A11AA2">
              <w:rPr>
                <w:rFonts w:ascii="Verdana" w:eastAsia="Calibri" w:hAnsi="Verdana" w:cs="Arial"/>
                <w:lang w:val="es-ES_tradnl" w:eastAsia="es-ES_tradnl"/>
              </w:rPr>
              <w:t xml:space="preserve">                   </w:t>
            </w:r>
          </w:p>
        </w:tc>
        <w:tc>
          <w:tcPr>
            <w:tcW w:w="6114" w:type="dxa"/>
          </w:tcPr>
          <w:p w14:paraId="7CCFB31D" w14:textId="77777777" w:rsidR="00F91C09" w:rsidRPr="00A11AA2" w:rsidRDefault="00F91C09" w:rsidP="00A76661">
            <w:pPr>
              <w:jc w:val="both"/>
              <w:rPr>
                <w:rFonts w:ascii="Verdana" w:eastAsia="Calibri" w:hAnsi="Verdana" w:cs="Times New Roman"/>
                <w:lang w:val="es-ES" w:eastAsia="es-MX"/>
              </w:rPr>
            </w:pPr>
            <w:r w:rsidRPr="00A11AA2">
              <w:rPr>
                <w:rFonts w:ascii="Verdana" w:eastAsia="Calibri" w:hAnsi="Verdana" w:cs="Arial"/>
                <w:lang w:val="es-ES_tradnl" w:eastAsia="es-MX"/>
              </w:rPr>
              <w:t>DOCUMENTOS TIPO – Fundamento normativo – Obligatoriedad / SECTOR SOCIAL</w:t>
            </w:r>
            <w:r w:rsidRPr="00A11AA2">
              <w:rPr>
                <w:rFonts w:ascii="Verdana" w:eastAsia="Calibri" w:hAnsi="Verdana" w:cs="Times New Roman"/>
                <w:lang w:val="es-ES" w:eastAsia="es-MX"/>
              </w:rPr>
              <w:t xml:space="preserve"> – Documentos tipo – Vigentes / DOCUMENTOS TIPO – Aplicación – Matriz de Experiencia / NSR10 – Subgrupo de ocupación institucional – Documentos tipo – Sector social – Aplicación / </w:t>
            </w:r>
            <w:r w:rsidRPr="00A11AA2">
              <w:rPr>
                <w:rFonts w:ascii="Verdana" w:eastAsia="Calibri" w:hAnsi="Verdana" w:cs="Times New Roman"/>
                <w:lang w:eastAsia="es-MX"/>
              </w:rPr>
              <w:t>INFRAESTRUCTURA DE SALUD</w:t>
            </w:r>
            <w:r w:rsidRPr="00A11AA2">
              <w:rPr>
                <w:rFonts w:ascii="Verdana" w:eastAsia="Calibri" w:hAnsi="Verdana" w:cs="Times New Roman"/>
                <w:lang w:val="es-ES" w:eastAsia="es-MX"/>
              </w:rPr>
              <w:t xml:space="preserve"> – Documentos tipo – Complementarios – Sector Institucional – Aplicación </w:t>
            </w:r>
          </w:p>
          <w:p w14:paraId="47174D28" w14:textId="77777777" w:rsidR="00F91C09" w:rsidRPr="00A11AA2" w:rsidRDefault="00F91C09" w:rsidP="00A76661">
            <w:pPr>
              <w:spacing w:line="276" w:lineRule="auto"/>
              <w:jc w:val="both"/>
              <w:rPr>
                <w:rFonts w:ascii="Verdana" w:hAnsi="Verdana" w:cs="Arial"/>
                <w:lang w:val="es-MX" w:eastAsia="es-ES"/>
              </w:rPr>
            </w:pPr>
          </w:p>
        </w:tc>
      </w:tr>
      <w:tr w:rsidR="00F91C09" w:rsidRPr="00724695" w14:paraId="4B54698C" w14:textId="77777777" w:rsidTr="00703D63">
        <w:trPr>
          <w:trHeight w:val="597"/>
        </w:trPr>
        <w:tc>
          <w:tcPr>
            <w:tcW w:w="3119" w:type="dxa"/>
            <w:hideMark/>
          </w:tcPr>
          <w:p w14:paraId="33AC8C41" w14:textId="77777777" w:rsidR="00F91C09" w:rsidRPr="008C5E3B" w:rsidRDefault="00F91C09" w:rsidP="00A76661">
            <w:pPr>
              <w:spacing w:line="276" w:lineRule="auto"/>
              <w:jc w:val="both"/>
              <w:rPr>
                <w:rFonts w:ascii="Verdana" w:eastAsia="Calibri" w:hAnsi="Verdana" w:cs="Arial"/>
                <w:b/>
                <w:lang w:val="es-ES_tradnl" w:eastAsia="es-ES_tradnl"/>
              </w:rPr>
            </w:pPr>
            <w:r w:rsidRPr="008C5E3B">
              <w:rPr>
                <w:rFonts w:ascii="Verdana" w:eastAsia="Calibri" w:hAnsi="Verdana" w:cs="Arial"/>
                <w:b/>
                <w:lang w:val="es-ES_tradnl" w:eastAsia="es-ES_tradnl"/>
              </w:rPr>
              <w:t xml:space="preserve">Radicación:               </w:t>
            </w:r>
          </w:p>
        </w:tc>
        <w:tc>
          <w:tcPr>
            <w:tcW w:w="6114" w:type="dxa"/>
          </w:tcPr>
          <w:p w14:paraId="7D8D79E5" w14:textId="39C017B8" w:rsidR="00F91C09" w:rsidRPr="00724695" w:rsidRDefault="00F91C09" w:rsidP="00A76661">
            <w:pPr>
              <w:spacing w:line="276" w:lineRule="auto"/>
              <w:jc w:val="both"/>
              <w:rPr>
                <w:rFonts w:ascii="Verdana" w:eastAsia="Calibri" w:hAnsi="Verdana" w:cs="Arial"/>
                <w:bCs/>
                <w:lang w:eastAsia="es-ES_tradnl"/>
              </w:rPr>
            </w:pPr>
            <w:r w:rsidRPr="00724695">
              <w:rPr>
                <w:rFonts w:ascii="Verdana" w:eastAsia="Calibri" w:hAnsi="Verdana" w:cs="Arial"/>
                <w:bCs/>
                <w:lang w:val="es-ES_tradnl" w:eastAsia="es-ES_tradnl"/>
              </w:rPr>
              <w:t xml:space="preserve">Respuesta a consulta con radicado </w:t>
            </w:r>
            <w:r w:rsidR="003B77F6" w:rsidRPr="00724695">
              <w:rPr>
                <w:rFonts w:ascii="Verdana" w:eastAsia="Calibri" w:hAnsi="Verdana" w:cs="Arial"/>
                <w:bCs/>
                <w:lang w:eastAsia="es-ES_tradnl"/>
              </w:rPr>
              <w:t xml:space="preserve">No. </w:t>
            </w:r>
            <w:r w:rsidR="00F436C5" w:rsidRPr="00F436C5">
              <w:rPr>
                <w:rFonts w:ascii="Verdana" w:eastAsia="Calibri" w:hAnsi="Verdana" w:cs="Arial"/>
                <w:bCs/>
                <w:lang w:eastAsia="es-ES_tradnl"/>
              </w:rPr>
              <w:t>1_2026_05_05_006125</w:t>
            </w:r>
          </w:p>
          <w:p w14:paraId="378A2FB1" w14:textId="77777777" w:rsidR="00F91C09" w:rsidRPr="00724695" w:rsidRDefault="00F91C09" w:rsidP="00A76661">
            <w:pPr>
              <w:spacing w:line="276" w:lineRule="auto"/>
              <w:jc w:val="both"/>
              <w:rPr>
                <w:rFonts w:ascii="Verdana" w:eastAsia="Calibri" w:hAnsi="Verdana" w:cs="Arial"/>
                <w:bCs/>
                <w:lang w:val="es-ES_tradnl" w:eastAsia="es-ES_tradnl"/>
              </w:rPr>
            </w:pPr>
          </w:p>
        </w:tc>
      </w:tr>
    </w:tbl>
    <w:p w14:paraId="00620E4F" w14:textId="77777777" w:rsidR="00F91C09" w:rsidRPr="005F35B6" w:rsidRDefault="00F91C09" w:rsidP="00F91C09">
      <w:pPr>
        <w:spacing w:after="0" w:line="276" w:lineRule="auto"/>
        <w:jc w:val="both"/>
        <w:rPr>
          <w:rFonts w:ascii="Verdana" w:eastAsia="Calibri" w:hAnsi="Verdana" w:cs="Arial"/>
          <w:bCs/>
          <w:lang w:val="es-ES_tradnl" w:eastAsia="es-ES_tradnl"/>
        </w:rPr>
      </w:pPr>
    </w:p>
    <w:p w14:paraId="4CCB9622" w14:textId="48345FBC" w:rsidR="00F91C09" w:rsidRPr="005F35B6" w:rsidRDefault="00F91C09" w:rsidP="00F91C09">
      <w:pPr>
        <w:spacing w:after="0" w:line="276" w:lineRule="auto"/>
        <w:jc w:val="both"/>
        <w:rPr>
          <w:rFonts w:ascii="Verdana" w:eastAsia="Calibri" w:hAnsi="Verdana" w:cs="Arial"/>
          <w:bCs/>
          <w:lang w:val="es-ES" w:eastAsia="es-ES"/>
        </w:rPr>
      </w:pPr>
      <w:r w:rsidRPr="005F35B6">
        <w:rPr>
          <w:rFonts w:ascii="Verdana" w:eastAsia="Calibri" w:hAnsi="Verdana" w:cs="Arial"/>
          <w:bCs/>
          <w:lang w:val="es-ES" w:eastAsia="es-ES"/>
        </w:rPr>
        <w:t>Estimad</w:t>
      </w:r>
      <w:r w:rsidR="00AB5C52" w:rsidRPr="005F35B6">
        <w:rPr>
          <w:rFonts w:ascii="Verdana" w:eastAsia="Calibri" w:hAnsi="Verdana" w:cs="Arial"/>
          <w:bCs/>
          <w:lang w:val="es-ES" w:eastAsia="es-ES"/>
        </w:rPr>
        <w:t>a</w:t>
      </w:r>
      <w:r w:rsidRPr="005F35B6">
        <w:rPr>
          <w:rFonts w:ascii="Verdana" w:eastAsia="Calibri" w:hAnsi="Verdana" w:cs="Arial"/>
          <w:bCs/>
          <w:lang w:val="es-ES" w:eastAsia="es-ES"/>
        </w:rPr>
        <w:t xml:space="preserve"> señor</w:t>
      </w:r>
      <w:r w:rsidR="00AB5C52" w:rsidRPr="005F35B6">
        <w:rPr>
          <w:rFonts w:ascii="Verdana" w:eastAsia="Calibri" w:hAnsi="Verdana" w:cs="Arial"/>
          <w:bCs/>
          <w:lang w:val="es-ES" w:eastAsia="es-ES"/>
        </w:rPr>
        <w:t>a</w:t>
      </w:r>
      <w:r w:rsidRPr="005F35B6">
        <w:rPr>
          <w:rFonts w:ascii="Verdana" w:eastAsia="Calibri" w:hAnsi="Verdana" w:cs="Arial"/>
          <w:bCs/>
          <w:lang w:val="es-ES" w:eastAsia="es-ES"/>
        </w:rPr>
        <w:t xml:space="preserve"> </w:t>
      </w:r>
      <w:proofErr w:type="spellStart"/>
      <w:r w:rsidR="005F35B6" w:rsidRPr="005F35B6">
        <w:rPr>
          <w:rFonts w:ascii="Verdana" w:eastAsia="Calibri" w:hAnsi="Verdana" w:cs="Arial"/>
          <w:bCs/>
          <w:lang w:eastAsia="es-ES"/>
        </w:rPr>
        <w:t>Sindy</w:t>
      </w:r>
      <w:proofErr w:type="spellEnd"/>
      <w:r w:rsidR="005F35B6" w:rsidRPr="005F35B6">
        <w:rPr>
          <w:rFonts w:ascii="Verdana" w:eastAsia="Calibri" w:hAnsi="Verdana" w:cs="Arial"/>
          <w:bCs/>
          <w:lang w:eastAsia="es-ES"/>
        </w:rPr>
        <w:t xml:space="preserve"> Paola</w:t>
      </w:r>
      <w:r w:rsidRPr="005F35B6">
        <w:rPr>
          <w:rFonts w:ascii="Verdana" w:eastAsia="Calibri" w:hAnsi="Verdana" w:cs="Arial"/>
          <w:bCs/>
          <w:lang w:val="es-ES" w:eastAsia="es-ES"/>
        </w:rPr>
        <w:t xml:space="preserve">:  </w:t>
      </w:r>
    </w:p>
    <w:p w14:paraId="394B815A" w14:textId="77777777" w:rsidR="00F91C09" w:rsidRPr="00AB5C52" w:rsidRDefault="00F91C09" w:rsidP="00F91C09">
      <w:pPr>
        <w:tabs>
          <w:tab w:val="left" w:pos="3768"/>
        </w:tabs>
        <w:spacing w:after="0" w:line="276" w:lineRule="auto"/>
        <w:jc w:val="both"/>
        <w:rPr>
          <w:rFonts w:ascii="Verdana" w:eastAsia="Calibri" w:hAnsi="Verdana" w:cs="Arial"/>
          <w:bCs/>
          <w:lang w:val="es-ES" w:eastAsia="es-ES"/>
        </w:rPr>
      </w:pPr>
      <w:r w:rsidRPr="00AB5C52">
        <w:rPr>
          <w:rFonts w:ascii="Verdana" w:eastAsia="Calibri" w:hAnsi="Verdana" w:cs="Arial"/>
          <w:bCs/>
          <w:lang w:val="es-ES" w:eastAsia="es-ES"/>
        </w:rPr>
        <w:tab/>
      </w:r>
    </w:p>
    <w:p w14:paraId="20AE2A3F" w14:textId="71B5FA9B" w:rsidR="00F91C09" w:rsidRPr="003125D1" w:rsidRDefault="00F91C09" w:rsidP="00F91C09">
      <w:pPr>
        <w:spacing w:after="0" w:line="276" w:lineRule="auto"/>
        <w:jc w:val="both"/>
        <w:rPr>
          <w:rFonts w:ascii="Verdana" w:eastAsia="Calibri" w:hAnsi="Verdana" w:cs="Arial"/>
          <w:lang w:val="es-ES" w:eastAsia="es-ES"/>
        </w:rPr>
      </w:pPr>
      <w:r w:rsidRPr="003125D1">
        <w:rPr>
          <w:rFonts w:ascii="Verdana" w:eastAsia="Calibri" w:hAnsi="Verdana" w:cs="Arial"/>
          <w:lang w:val="es-ES" w:eastAsia="es-ES"/>
        </w:rPr>
        <w:t>En ejercicio de la competencia otorgada por los artículos 3, numeral 5º, y 11, numeral 8º, del Decreto Ley 4170 de 2011,</w:t>
      </w:r>
      <w:r w:rsidRPr="003125D1">
        <w:rPr>
          <w:rFonts w:ascii="Verdana" w:eastAsia="Arial MT" w:hAnsi="Verdana" w:cs="Arial MT"/>
          <w:lang w:val="es-ES" w:eastAsia="es-ES"/>
        </w:rPr>
        <w:t xml:space="preserve"> </w:t>
      </w:r>
      <w:r w:rsidRPr="003125D1">
        <w:rPr>
          <w:rFonts w:ascii="Verdana" w:eastAsia="Calibri" w:hAnsi="Verdana" w:cs="Arial"/>
        </w:rPr>
        <w:t xml:space="preserve">así como lo establecido en el artículo 4 de la Resolución 1707 de 2018 expedida por esta Entidad, </w:t>
      </w:r>
      <w:r w:rsidRPr="003125D1">
        <w:rPr>
          <w:rFonts w:ascii="Verdana" w:eastAsia="Calibri" w:hAnsi="Verdana" w:cs="Arial"/>
          <w:lang w:val="es-ES" w:eastAsia="es-ES"/>
        </w:rPr>
        <w:t xml:space="preserve">la Agencia Nacional de Contratación Pública –Colombia Compra Eficiente– responde su solicitud de consulta de fecha </w:t>
      </w:r>
      <w:r w:rsidR="00D4098B">
        <w:rPr>
          <w:rFonts w:ascii="Verdana" w:eastAsia="Calibri" w:hAnsi="Verdana" w:cs="Arial"/>
          <w:lang w:val="es-ES" w:eastAsia="es-ES"/>
        </w:rPr>
        <w:t>04 de mayo</w:t>
      </w:r>
      <w:r w:rsidRPr="003125D1">
        <w:rPr>
          <w:rFonts w:ascii="Verdana" w:eastAsia="Calibri" w:hAnsi="Verdana" w:cs="Arial"/>
          <w:lang w:val="es-ES" w:eastAsia="es-ES"/>
        </w:rPr>
        <w:t xml:space="preserve"> de 2026, en la cual manifiesta lo siguiente: </w:t>
      </w:r>
      <w:bookmarkStart w:id="1" w:name="_Hlk95313578"/>
    </w:p>
    <w:p w14:paraId="5497707A" w14:textId="77777777" w:rsidR="00F91C09" w:rsidRPr="003125D1" w:rsidRDefault="00F91C09" w:rsidP="00F91C09">
      <w:pPr>
        <w:spacing w:after="0" w:line="276" w:lineRule="auto"/>
        <w:jc w:val="both"/>
        <w:rPr>
          <w:rFonts w:ascii="Verdana" w:eastAsia="Calibri" w:hAnsi="Verdana" w:cs="Arial"/>
          <w:bCs/>
          <w:lang w:val="es-ES" w:eastAsia="es-ES"/>
        </w:rPr>
      </w:pPr>
    </w:p>
    <w:bookmarkEnd w:id="1"/>
    <w:p w14:paraId="777FCB17" w14:textId="77777777" w:rsidR="009417A9" w:rsidRDefault="00F91C09" w:rsidP="009417A9">
      <w:pPr>
        <w:spacing w:after="0" w:line="240" w:lineRule="auto"/>
        <w:ind w:left="709" w:right="709"/>
        <w:jc w:val="both"/>
        <w:rPr>
          <w:rFonts w:ascii="Verdana" w:eastAsia="Calibri" w:hAnsi="Verdana" w:cs="Arial"/>
          <w:i/>
          <w:iCs/>
          <w:sz w:val="21"/>
          <w:szCs w:val="21"/>
          <w:lang w:val="es-ES" w:eastAsia="es-ES"/>
        </w:rPr>
      </w:pPr>
      <w:r w:rsidRPr="003125D1">
        <w:rPr>
          <w:rFonts w:ascii="Verdana" w:eastAsia="Calibri" w:hAnsi="Verdana" w:cs="Arial"/>
          <w:i/>
          <w:iCs/>
          <w:sz w:val="21"/>
          <w:szCs w:val="21"/>
          <w:lang w:val="es-ES" w:eastAsia="es-ES"/>
        </w:rPr>
        <w:t>“(…)</w:t>
      </w:r>
    </w:p>
    <w:p w14:paraId="02BB8702" w14:textId="77777777" w:rsidR="009417A9" w:rsidRDefault="009417A9" w:rsidP="009417A9">
      <w:pPr>
        <w:spacing w:after="0" w:line="240" w:lineRule="auto"/>
        <w:ind w:left="709" w:right="709"/>
        <w:jc w:val="both"/>
        <w:rPr>
          <w:rFonts w:ascii="Verdana" w:eastAsia="Calibri" w:hAnsi="Verdana" w:cs="Arial"/>
          <w:i/>
          <w:iCs/>
          <w:sz w:val="21"/>
          <w:szCs w:val="21"/>
          <w:lang w:val="es-ES" w:eastAsia="es-ES"/>
        </w:rPr>
      </w:pPr>
    </w:p>
    <w:p w14:paraId="6C80D335" w14:textId="7C9F34DA" w:rsidR="009417A9" w:rsidRDefault="009417A9" w:rsidP="009417A9">
      <w:pPr>
        <w:spacing w:after="0" w:line="240" w:lineRule="auto"/>
        <w:ind w:left="709" w:right="709"/>
        <w:jc w:val="both"/>
        <w:rPr>
          <w:rFonts w:ascii="Verdana" w:eastAsia="Calibri" w:hAnsi="Verdana" w:cs="Arial"/>
          <w:i/>
          <w:iCs/>
          <w:sz w:val="21"/>
          <w:szCs w:val="21"/>
          <w:lang w:val="es-ES" w:eastAsia="es-ES"/>
        </w:rPr>
      </w:pPr>
      <w:r w:rsidRPr="009417A9">
        <w:rPr>
          <w:rFonts w:ascii="Verdana" w:eastAsia="Calibri" w:hAnsi="Verdana" w:cs="Arial"/>
          <w:i/>
          <w:iCs/>
          <w:sz w:val="21"/>
          <w:szCs w:val="21"/>
          <w:lang w:val="es-ES" w:eastAsia="es-ES"/>
        </w:rPr>
        <w:t>Con base en lo expuesto, se solicita a la Agencia conceptuar sobre lo siguiente:</w:t>
      </w:r>
    </w:p>
    <w:p w14:paraId="3044FE14" w14:textId="77777777" w:rsidR="009417A9" w:rsidRPr="009417A9" w:rsidRDefault="009417A9" w:rsidP="009417A9">
      <w:pPr>
        <w:spacing w:after="0" w:line="240" w:lineRule="auto"/>
        <w:ind w:left="709" w:right="709"/>
        <w:jc w:val="both"/>
        <w:rPr>
          <w:rFonts w:ascii="Verdana" w:eastAsia="Calibri" w:hAnsi="Verdana" w:cs="Arial"/>
          <w:i/>
          <w:iCs/>
          <w:sz w:val="21"/>
          <w:szCs w:val="21"/>
          <w:lang w:val="es-ES" w:eastAsia="es-ES"/>
        </w:rPr>
      </w:pPr>
    </w:p>
    <w:p w14:paraId="25338DBE" w14:textId="660D4994" w:rsidR="009417A9" w:rsidRPr="009417A9" w:rsidRDefault="009417A9" w:rsidP="009417A9">
      <w:pPr>
        <w:pStyle w:val="Prrafodelista"/>
        <w:numPr>
          <w:ilvl w:val="0"/>
          <w:numId w:val="20"/>
        </w:numPr>
        <w:spacing w:after="0" w:line="240" w:lineRule="auto"/>
        <w:ind w:left="993" w:right="709"/>
        <w:jc w:val="both"/>
        <w:rPr>
          <w:rFonts w:ascii="Verdana" w:eastAsia="Calibri" w:hAnsi="Verdana" w:cs="Arial"/>
          <w:i/>
          <w:iCs/>
          <w:sz w:val="21"/>
          <w:szCs w:val="21"/>
          <w:lang w:eastAsia="es-ES"/>
        </w:rPr>
      </w:pPr>
      <w:r w:rsidRPr="009417A9">
        <w:rPr>
          <w:rFonts w:ascii="Verdana" w:eastAsia="Calibri" w:hAnsi="Verdana" w:cs="Arial"/>
          <w:i/>
          <w:iCs/>
          <w:sz w:val="21"/>
          <w:szCs w:val="21"/>
          <w:lang w:eastAsia="es-ES"/>
        </w:rPr>
        <w:t xml:space="preserve">¿Es correcto afirmar que la obligatoriedad de los Documentos Tipo de Infraestructura de Transporte se restringe exclusivamente a las </w:t>
      </w:r>
      <w:r w:rsidRPr="009417A9">
        <w:rPr>
          <w:rFonts w:ascii="Verdana" w:eastAsia="Calibri" w:hAnsi="Verdana" w:cs="Arial"/>
          <w:i/>
          <w:iCs/>
          <w:sz w:val="21"/>
          <w:szCs w:val="21"/>
          <w:lang w:eastAsia="es-ES"/>
        </w:rPr>
        <w:lastRenderedPageBreak/>
        <w:t>actividades cuya descripción técnica en la Matriz 1 y el Glosario guarde una identidad absoluta con el objeto a contratar? En ese sentido, ¿se rompe la obligatoriedad cuando el requerimiento técnico es de Baja Tensión y el rubro contemplado en la Matriz 1 Experiencia (Numerales 8.11¹ y 8.132) describe taxativamente redes de "Media Tensión"?</w:t>
      </w:r>
    </w:p>
    <w:p w14:paraId="0787D9FF" w14:textId="77777777" w:rsidR="00D4098B" w:rsidRDefault="009417A9" w:rsidP="00D4098B">
      <w:pPr>
        <w:pStyle w:val="Prrafodelista"/>
        <w:numPr>
          <w:ilvl w:val="0"/>
          <w:numId w:val="20"/>
        </w:numPr>
        <w:spacing w:after="0" w:line="240" w:lineRule="auto"/>
        <w:ind w:left="993" w:right="709"/>
        <w:jc w:val="both"/>
        <w:rPr>
          <w:rFonts w:ascii="Verdana" w:eastAsia="Calibri" w:hAnsi="Verdana" w:cs="Arial"/>
          <w:i/>
          <w:iCs/>
          <w:sz w:val="21"/>
          <w:szCs w:val="21"/>
          <w:lang w:eastAsia="es-ES"/>
        </w:rPr>
      </w:pPr>
      <w:r w:rsidRPr="009417A9">
        <w:rPr>
          <w:rFonts w:ascii="Verdana" w:eastAsia="Calibri" w:hAnsi="Verdana" w:cs="Arial"/>
          <w:i/>
          <w:iCs/>
          <w:sz w:val="21"/>
          <w:szCs w:val="21"/>
          <w:lang w:eastAsia="es-ES"/>
        </w:rPr>
        <w:t>Bajo el principio de autonomía en la etapa de planeación y el deber de selección objetiva, ¿constituye un ejercicio legítimo de la función administrativa y por ende, no configura vulneración normativa alguna la decisión de una Entidad Estatal de prescindir de los Documentos Tipo de Infraestructura de Transporte en un proceso de selección cuyo objeto integral comprenda los estudios, diseño y construcción de iluminación pública exterior en redes de baja tensión, considerando que los rubros de la Matriz 1- Experiencia se limitan taxativamente a redes de Media Tensión?</w:t>
      </w:r>
    </w:p>
    <w:p w14:paraId="54E2177C" w14:textId="1D9ADAD7" w:rsidR="00667126" w:rsidRPr="00D4098B" w:rsidRDefault="009417A9" w:rsidP="00D4098B">
      <w:pPr>
        <w:pStyle w:val="Prrafodelista"/>
        <w:numPr>
          <w:ilvl w:val="0"/>
          <w:numId w:val="20"/>
        </w:numPr>
        <w:spacing w:after="0" w:line="240" w:lineRule="auto"/>
        <w:ind w:left="993" w:right="709"/>
        <w:jc w:val="both"/>
        <w:rPr>
          <w:rFonts w:ascii="Verdana" w:eastAsia="Calibri" w:hAnsi="Verdana" w:cs="Arial"/>
          <w:i/>
          <w:iCs/>
          <w:sz w:val="21"/>
          <w:szCs w:val="21"/>
          <w:lang w:eastAsia="es-ES"/>
        </w:rPr>
      </w:pPr>
      <w:r w:rsidRPr="00D4098B">
        <w:rPr>
          <w:rFonts w:ascii="Verdana" w:eastAsia="Calibri" w:hAnsi="Verdana" w:cs="Arial"/>
          <w:i/>
          <w:iCs/>
          <w:sz w:val="21"/>
          <w:szCs w:val="21"/>
          <w:lang w:eastAsia="es-ES"/>
        </w:rPr>
        <w:t xml:space="preserve">En aquellos casos donde el objeto contractual (Iluminación Electrónica en Baja Tensión) no sea subsumible en las </w:t>
      </w:r>
      <w:proofErr w:type="spellStart"/>
      <w:r w:rsidRPr="00D4098B">
        <w:rPr>
          <w:rFonts w:ascii="Verdana" w:eastAsia="Calibri" w:hAnsi="Verdana" w:cs="Arial"/>
          <w:i/>
          <w:iCs/>
          <w:sz w:val="21"/>
          <w:szCs w:val="21"/>
          <w:lang w:eastAsia="es-ES"/>
        </w:rPr>
        <w:t>categorias</w:t>
      </w:r>
      <w:proofErr w:type="spellEnd"/>
      <w:r w:rsidRPr="00D4098B">
        <w:rPr>
          <w:rFonts w:ascii="Verdana" w:eastAsia="Calibri" w:hAnsi="Verdana" w:cs="Arial"/>
          <w:i/>
          <w:iCs/>
          <w:sz w:val="21"/>
          <w:szCs w:val="21"/>
          <w:lang w:eastAsia="es-ES"/>
        </w:rPr>
        <w:t xml:space="preserve"> de la Matriz de Experiencia de CCE, ¿debe entenderse que el uso de los Documentos Tipo tiene un carácter meramente facultativo como guía de buenas prácticas, y que </w:t>
      </w:r>
      <w:proofErr w:type="spellStart"/>
      <w:r w:rsidRPr="00D4098B">
        <w:rPr>
          <w:rFonts w:ascii="Verdana" w:eastAsia="Calibri" w:hAnsi="Verdana" w:cs="Arial"/>
          <w:i/>
          <w:iCs/>
          <w:sz w:val="21"/>
          <w:szCs w:val="21"/>
          <w:lang w:eastAsia="es-ES"/>
        </w:rPr>
        <w:t>su</w:t>
      </w:r>
      <w:r w:rsidR="00D4098B" w:rsidRPr="00D4098B">
        <w:rPr>
          <w:rFonts w:ascii="Verdana" w:eastAsia="Calibri" w:hAnsi="Verdana" w:cs="Arial"/>
          <w:i/>
          <w:iCs/>
          <w:sz w:val="21"/>
          <w:szCs w:val="21"/>
          <w:lang w:eastAsia="es-ES"/>
        </w:rPr>
        <w:t>inaplicación</w:t>
      </w:r>
      <w:proofErr w:type="spellEnd"/>
      <w:r w:rsidR="00D4098B" w:rsidRPr="00D4098B">
        <w:rPr>
          <w:rFonts w:ascii="Verdana" w:eastAsia="Calibri" w:hAnsi="Verdana" w:cs="Arial"/>
          <w:i/>
          <w:iCs/>
          <w:sz w:val="21"/>
          <w:szCs w:val="21"/>
          <w:lang w:eastAsia="es-ES"/>
        </w:rPr>
        <w:t xml:space="preserve"> no constituye, bajo ningún supuesto, un incumplimiento normativo a la Ley 2022 de</w:t>
      </w:r>
      <w:r w:rsidR="00D4098B">
        <w:rPr>
          <w:rFonts w:ascii="Verdana" w:eastAsia="Calibri" w:hAnsi="Verdana" w:cs="Arial"/>
          <w:i/>
          <w:iCs/>
          <w:sz w:val="21"/>
          <w:szCs w:val="21"/>
          <w:lang w:eastAsia="es-ES"/>
        </w:rPr>
        <w:t xml:space="preserve"> </w:t>
      </w:r>
      <w:r w:rsidR="00D4098B" w:rsidRPr="00D4098B">
        <w:rPr>
          <w:rFonts w:ascii="Verdana" w:eastAsia="Calibri" w:hAnsi="Verdana" w:cs="Arial"/>
          <w:i/>
          <w:iCs/>
          <w:sz w:val="21"/>
          <w:szCs w:val="21"/>
          <w:lang w:eastAsia="es-ES"/>
        </w:rPr>
        <w:t xml:space="preserve">2020? </w:t>
      </w:r>
    </w:p>
    <w:p w14:paraId="506D52D9" w14:textId="77777777" w:rsidR="009417A9" w:rsidRPr="009417A9" w:rsidRDefault="009417A9" w:rsidP="009417A9">
      <w:pPr>
        <w:pStyle w:val="Prrafodelista"/>
        <w:spacing w:after="0" w:line="240" w:lineRule="auto"/>
        <w:ind w:left="993" w:right="709"/>
        <w:jc w:val="both"/>
        <w:rPr>
          <w:rFonts w:ascii="Verdana" w:eastAsia="Calibri" w:hAnsi="Verdana" w:cs="Arial"/>
          <w:i/>
          <w:iCs/>
          <w:sz w:val="21"/>
          <w:szCs w:val="21"/>
          <w:lang w:eastAsia="es-ES"/>
        </w:rPr>
      </w:pPr>
    </w:p>
    <w:p w14:paraId="3AD54D79" w14:textId="193D047E" w:rsidR="00F91C09" w:rsidRPr="003125D1" w:rsidRDefault="00F91C09" w:rsidP="00667126">
      <w:pPr>
        <w:spacing w:after="0" w:line="240" w:lineRule="auto"/>
        <w:ind w:left="709" w:right="709"/>
        <w:jc w:val="both"/>
        <w:rPr>
          <w:rFonts w:ascii="Verdana" w:eastAsia="Calibri" w:hAnsi="Verdana" w:cs="Arial"/>
          <w:i/>
          <w:iCs/>
          <w:sz w:val="21"/>
          <w:szCs w:val="21"/>
          <w:lang w:val="es-ES" w:eastAsia="es-ES"/>
        </w:rPr>
      </w:pPr>
      <w:r w:rsidRPr="003125D1">
        <w:rPr>
          <w:rFonts w:ascii="Verdana" w:eastAsia="Calibri" w:hAnsi="Verdana" w:cs="Arial"/>
          <w:i/>
          <w:iCs/>
          <w:sz w:val="21"/>
          <w:szCs w:val="21"/>
          <w:lang w:val="es-ES" w:eastAsia="es-ES"/>
        </w:rPr>
        <w:t>(…)</w:t>
      </w:r>
      <w:r w:rsidRPr="003125D1">
        <w:rPr>
          <w:rFonts w:ascii="Verdana" w:eastAsia="Calibri" w:hAnsi="Verdana" w:cs="Arial"/>
          <w:i/>
          <w:iCs/>
          <w:sz w:val="21"/>
          <w:szCs w:val="21"/>
          <w:lang w:eastAsia="es-ES"/>
        </w:rPr>
        <w:t>”</w:t>
      </w:r>
    </w:p>
    <w:p w14:paraId="2409EC2E" w14:textId="77777777" w:rsidR="00F91C09" w:rsidRPr="003125D1" w:rsidRDefault="00F91C09" w:rsidP="00F91C09">
      <w:pPr>
        <w:spacing w:after="0" w:line="276" w:lineRule="auto"/>
        <w:ind w:left="709" w:right="709"/>
        <w:jc w:val="both"/>
        <w:rPr>
          <w:rFonts w:ascii="Verdana" w:eastAsia="Times New Roman" w:hAnsi="Verdana" w:cs="Times New Roman"/>
          <w:lang w:eastAsia="es-CO"/>
        </w:rPr>
      </w:pPr>
    </w:p>
    <w:p w14:paraId="2BB676A8" w14:textId="77777777" w:rsidR="00F91C09" w:rsidRPr="003125D1" w:rsidRDefault="00F91C09" w:rsidP="00F91C09">
      <w:pPr>
        <w:spacing w:after="120" w:line="276" w:lineRule="auto"/>
        <w:ind w:firstLine="709"/>
        <w:jc w:val="both"/>
        <w:rPr>
          <w:rFonts w:ascii="Verdana" w:eastAsia="Calibri" w:hAnsi="Verdana" w:cs="Arial"/>
          <w:lang w:val="es-ES_tradnl" w:eastAsia="es-ES_tradnl"/>
        </w:rPr>
      </w:pPr>
      <w:r w:rsidRPr="003125D1">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125D1">
        <w:rPr>
          <w:rFonts w:ascii="Verdana" w:eastAsia="Calibri" w:hAnsi="Verdana" w:cs="Arial"/>
          <w:lang w:val="es-ES_tradnl" w:eastAsia="es-ES_tradnl"/>
        </w:rPr>
        <w:tab/>
      </w:r>
    </w:p>
    <w:p w14:paraId="11F2CB9F" w14:textId="77777777" w:rsidR="00F91C09" w:rsidRPr="003125D1" w:rsidRDefault="00F91C09" w:rsidP="00F91C09">
      <w:pPr>
        <w:spacing w:after="0" w:line="276" w:lineRule="auto"/>
        <w:ind w:firstLine="708"/>
        <w:jc w:val="both"/>
        <w:rPr>
          <w:rFonts w:ascii="Verdana" w:eastAsia="Calibri" w:hAnsi="Verdana" w:cs="Arial"/>
          <w:lang w:val="es-ES" w:eastAsia="es-ES"/>
        </w:rPr>
      </w:pPr>
      <w:r w:rsidRPr="003125D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w:t>
      </w:r>
      <w:r w:rsidRPr="003125D1">
        <w:rPr>
          <w:rFonts w:ascii="Verdana" w:eastAsia="Calibri" w:hAnsi="Verdana" w:cs="Arial"/>
          <w:lang w:val="es-ES" w:eastAsia="es-ES"/>
        </w:rPr>
        <w:lastRenderedPageBreak/>
        <w:t>concretas mencionadas en su petición, pero haciendo unas consideraciones sobre las normas generales relacionadas con el problema jurídico de su consulta.</w:t>
      </w:r>
    </w:p>
    <w:p w14:paraId="2A7A5C45" w14:textId="77777777" w:rsidR="00F91C09" w:rsidRPr="003125D1" w:rsidRDefault="00F91C09" w:rsidP="00F91C09">
      <w:pPr>
        <w:spacing w:after="0" w:line="276" w:lineRule="auto"/>
        <w:ind w:firstLine="709"/>
        <w:jc w:val="both"/>
        <w:rPr>
          <w:rFonts w:ascii="Verdana" w:eastAsia="Calibri" w:hAnsi="Verdana" w:cs="Arial"/>
          <w:lang w:val="es-ES" w:eastAsia="es-ES"/>
        </w:rPr>
      </w:pPr>
    </w:p>
    <w:p w14:paraId="33327DD0" w14:textId="77777777" w:rsidR="00F91C09" w:rsidRPr="003125D1" w:rsidRDefault="00F91C09" w:rsidP="00F91C0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3125D1">
        <w:rPr>
          <w:rFonts w:ascii="Verdana" w:eastAsia="Century Gothic" w:hAnsi="Verdana" w:cs="Century Gothic"/>
          <w:b/>
          <w:bCs/>
          <w:lang w:val="es-ES"/>
        </w:rPr>
        <w:t>Problema planteado:</w:t>
      </w:r>
    </w:p>
    <w:p w14:paraId="331157A0" w14:textId="77777777" w:rsidR="00F91C09" w:rsidRPr="003125D1" w:rsidRDefault="00F91C09" w:rsidP="00F91C09">
      <w:pPr>
        <w:tabs>
          <w:tab w:val="left" w:pos="426"/>
        </w:tabs>
        <w:spacing w:after="0" w:line="276" w:lineRule="auto"/>
        <w:jc w:val="both"/>
        <w:rPr>
          <w:rFonts w:ascii="Verdana" w:eastAsia="Century Gothic" w:hAnsi="Verdana" w:cs="Century Gothic"/>
          <w:lang w:val="es-ES"/>
        </w:rPr>
      </w:pPr>
    </w:p>
    <w:p w14:paraId="3B5B5E68" w14:textId="77777777" w:rsidR="00F91C09" w:rsidRDefault="00F91C09" w:rsidP="00F91C09">
      <w:pPr>
        <w:spacing w:line="276" w:lineRule="auto"/>
        <w:jc w:val="both"/>
        <w:rPr>
          <w:rFonts w:ascii="Verdana" w:eastAsia="Century Gothic" w:hAnsi="Verdana" w:cs="Century Gothic"/>
        </w:rPr>
      </w:pPr>
      <w:r w:rsidRPr="003125D1">
        <w:rPr>
          <w:rFonts w:ascii="Verdana" w:eastAsia="Century Gothic" w:hAnsi="Verdana" w:cs="Century Gothic"/>
        </w:rPr>
        <w:t>De acuerdo con el contenido de su solicitud, esta Agencia resolverá el siguiente problema jurídico:</w:t>
      </w:r>
    </w:p>
    <w:p w14:paraId="6619EB46" w14:textId="22A5313A" w:rsidR="003F45C6" w:rsidRDefault="0094436E" w:rsidP="00A34B9E">
      <w:pPr>
        <w:pStyle w:val="Prrafodelista"/>
        <w:numPr>
          <w:ilvl w:val="0"/>
          <w:numId w:val="21"/>
        </w:numPr>
        <w:spacing w:line="276" w:lineRule="auto"/>
        <w:jc w:val="both"/>
        <w:rPr>
          <w:rFonts w:ascii="Verdana" w:eastAsia="Century Gothic" w:hAnsi="Verdana" w:cs="Century Gothic"/>
        </w:rPr>
      </w:pPr>
      <w:r w:rsidRPr="0094436E">
        <w:rPr>
          <w:rFonts w:ascii="Verdana" w:eastAsia="Century Gothic" w:hAnsi="Verdana" w:cs="Century Gothic"/>
          <w:lang w:val="es-CO"/>
        </w:rPr>
        <w:t>¿La obligatoriedad de los Documentos Tipo aplica únicamente cuando el objeto a contratar coincide con las actividades o categorías técnicas previstas en las matrices y glosarios correspondientes?</w:t>
      </w:r>
    </w:p>
    <w:p w14:paraId="43B31BB1" w14:textId="70CA7DCA" w:rsidR="005171A4" w:rsidRPr="00A34B9E" w:rsidRDefault="00A34B9E" w:rsidP="00F91C09">
      <w:pPr>
        <w:pStyle w:val="Prrafodelista"/>
        <w:numPr>
          <w:ilvl w:val="0"/>
          <w:numId w:val="21"/>
        </w:numPr>
        <w:spacing w:line="276" w:lineRule="auto"/>
        <w:jc w:val="both"/>
        <w:rPr>
          <w:rFonts w:ascii="Verdana" w:eastAsia="Century Gothic" w:hAnsi="Verdana" w:cs="Century Gothic"/>
        </w:rPr>
      </w:pPr>
      <w:r w:rsidRPr="00A34B9E">
        <w:rPr>
          <w:rFonts w:ascii="Verdana" w:eastAsia="Century Gothic" w:hAnsi="Verdana" w:cs="Century Gothic"/>
          <w:lang w:val="es-CO"/>
        </w:rPr>
        <w:t>Cuando un objeto contractual relacionado con infraestructura de baja tensión no se encuentre expresamente contemplado dentro de las categorías o matrices de experiencia de los Documentos Tipo, ¿su uso debe entenderse como orientador o facultativo, sin que su no aplicación implique, por sí sola, un incumplimiento normativo?</w:t>
      </w:r>
    </w:p>
    <w:p w14:paraId="5C0A9DF8" w14:textId="77777777" w:rsidR="00F91C09" w:rsidRPr="003125D1" w:rsidRDefault="00F91C09" w:rsidP="00F91C0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3125D1">
        <w:rPr>
          <w:rFonts w:ascii="Verdana" w:eastAsia="Century Gothic" w:hAnsi="Verdana" w:cs="Century Gothic"/>
          <w:b/>
          <w:bCs/>
          <w:lang w:val="es-ES"/>
        </w:rPr>
        <w:t>Respuesta:</w:t>
      </w:r>
    </w:p>
    <w:p w14:paraId="1E5B219E" w14:textId="77777777" w:rsidR="00F91C09" w:rsidRPr="00AB496C" w:rsidRDefault="00F91C09" w:rsidP="00F91C09">
      <w:pPr>
        <w:tabs>
          <w:tab w:val="left" w:pos="142"/>
          <w:tab w:val="left" w:pos="284"/>
        </w:tabs>
        <w:spacing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B496C" w:rsidRPr="00AB496C" w14:paraId="59EF4302" w14:textId="77777777" w:rsidTr="00A76661">
        <w:trPr>
          <w:trHeight w:val="1057"/>
        </w:trPr>
        <w:tc>
          <w:tcPr>
            <w:tcW w:w="8828" w:type="dxa"/>
            <w:tcBorders>
              <w:top w:val="dotted" w:sz="4" w:space="0" w:color="auto"/>
              <w:left w:val="dotted" w:sz="4" w:space="0" w:color="auto"/>
              <w:bottom w:val="dotted" w:sz="4" w:space="0" w:color="auto"/>
              <w:right w:val="dotted" w:sz="4" w:space="0" w:color="auto"/>
            </w:tcBorders>
          </w:tcPr>
          <w:p w14:paraId="61B07DCB" w14:textId="77777777" w:rsidR="00026748" w:rsidRPr="00026748" w:rsidRDefault="00701617" w:rsidP="00026748">
            <w:pPr>
              <w:spacing w:after="120" w:line="276" w:lineRule="auto"/>
              <w:jc w:val="both"/>
              <w:rPr>
                <w:rFonts w:ascii="Verdana" w:eastAsia="Calibri" w:hAnsi="Verdana" w:cs="Arial"/>
                <w:shd w:val="clear" w:color="auto" w:fill="FFFFFF"/>
                <w:lang w:val="es-ES"/>
              </w:rPr>
            </w:pPr>
            <w:r>
              <w:rPr>
                <w:rFonts w:ascii="Verdana" w:eastAsia="Calibri" w:hAnsi="Verdana" w:cs="Arial"/>
                <w:shd w:val="clear" w:color="auto" w:fill="FFFFFF"/>
              </w:rPr>
              <w:t xml:space="preserve">I). </w:t>
            </w:r>
            <w:r w:rsidR="00026748" w:rsidRPr="00026748">
              <w:rPr>
                <w:rFonts w:ascii="Verdana" w:eastAsia="Calibri" w:hAnsi="Verdana" w:cs="Arial"/>
                <w:shd w:val="clear" w:color="auto" w:fill="FFFFFF"/>
                <w:lang w:val="es-ES"/>
              </w:rPr>
              <w:t>La obligatoriedad de los Documentos Tipo procede únicamente cuando el objeto contractual y la modalidad de selección se encuentran comprendidos dentro del ámbito de aplicación definido en las resoluciones expedidas por la Agencia Nacional de Contratación Pública – Colombia Compra Eficiente, particularmente cuando las actividades a contratar pueden enmarcarse en las categorías previstas en la respectiva “Matriz 1 – Experiencia” del sector aplicable.</w:t>
            </w:r>
          </w:p>
          <w:p w14:paraId="4AD6D09A" w14:textId="77777777" w:rsidR="00026748" w:rsidRPr="00026748" w:rsidRDefault="00026748" w:rsidP="00026748">
            <w:pPr>
              <w:spacing w:after="120" w:line="276" w:lineRule="auto"/>
              <w:ind w:firstLine="709"/>
              <w:jc w:val="both"/>
              <w:rPr>
                <w:rFonts w:ascii="Verdana" w:eastAsia="Calibri" w:hAnsi="Verdana" w:cs="Arial"/>
                <w:shd w:val="clear" w:color="auto" w:fill="FFFFFF"/>
                <w:lang w:val="es-ES"/>
              </w:rPr>
            </w:pPr>
            <w:r w:rsidRPr="00026748">
              <w:rPr>
                <w:rFonts w:ascii="Verdana" w:eastAsia="Calibri" w:hAnsi="Verdana" w:cs="Arial"/>
                <w:shd w:val="clear" w:color="auto" w:fill="FFFFFF"/>
                <w:lang w:val="es-ES"/>
              </w:rPr>
              <w:t>En este sentido, la aplicación obligatoria de los Documentos Tipo depende de que el objeto contractual corresponda a alguna de las actividades estandarizadas en las matrices de experiencia y demás instrumentos asociados. Por tanto, cuando la actividad a contratar no se encuentre contemplada o no resulte técnicamente subsumible dentro de las categorías previstas, la entidad deberá analizar, desde la etapa de planeación y conforme al alcance concreto del proyecto, si existe correspondencia material que justifique su aplicación.</w:t>
            </w:r>
          </w:p>
          <w:p w14:paraId="2E0D8774" w14:textId="77777777" w:rsidR="00026748" w:rsidRPr="00026748" w:rsidRDefault="00026748" w:rsidP="00026748">
            <w:pPr>
              <w:spacing w:after="120" w:line="276" w:lineRule="auto"/>
              <w:ind w:firstLine="709"/>
              <w:jc w:val="both"/>
              <w:rPr>
                <w:rFonts w:ascii="Verdana" w:eastAsia="Calibri" w:hAnsi="Verdana" w:cs="Arial"/>
                <w:shd w:val="clear" w:color="auto" w:fill="FFFFFF"/>
                <w:lang w:val="es-ES"/>
              </w:rPr>
            </w:pPr>
            <w:r w:rsidRPr="00026748">
              <w:rPr>
                <w:rFonts w:ascii="Verdana" w:eastAsia="Calibri" w:hAnsi="Verdana" w:cs="Arial"/>
                <w:shd w:val="clear" w:color="auto" w:fill="FFFFFF"/>
                <w:lang w:val="es-ES"/>
              </w:rPr>
              <w:t xml:space="preserve">No obstante, aun cuando no exista una referencia expresa a determinada actividad —como puede ocurrir con proyectos de redes de baja </w:t>
            </w:r>
            <w:r w:rsidRPr="00026748">
              <w:rPr>
                <w:rFonts w:ascii="Verdana" w:eastAsia="Calibri" w:hAnsi="Verdana" w:cs="Arial"/>
                <w:shd w:val="clear" w:color="auto" w:fill="FFFFFF"/>
                <w:lang w:val="es-ES"/>
              </w:rPr>
              <w:lastRenderedPageBreak/>
              <w:t>tensión—, la entidad debe verificar si, por sus componentes técnicos, el objeto contractual puede encajar en alguna de las actividades previstas o si procede la aplicación de reglas como la combinación de experiencia o la exigencia de experiencia adicional para bienes, obras o servicios complementarios.</w:t>
            </w:r>
          </w:p>
          <w:p w14:paraId="5B60773E" w14:textId="77777777" w:rsidR="00176E40" w:rsidRPr="00176E40" w:rsidRDefault="00176E40" w:rsidP="00176E40">
            <w:pPr>
              <w:spacing w:after="120" w:line="276" w:lineRule="auto"/>
              <w:jc w:val="both"/>
              <w:rPr>
                <w:rFonts w:ascii="Verdana" w:eastAsia="Calibri" w:hAnsi="Verdana" w:cs="Arial"/>
                <w:shd w:val="clear" w:color="auto" w:fill="FFFFFF"/>
                <w:lang w:val="es-ES"/>
              </w:rPr>
            </w:pPr>
            <w:r>
              <w:rPr>
                <w:rFonts w:ascii="Verdana" w:eastAsia="Calibri" w:hAnsi="Verdana" w:cs="Arial"/>
                <w:shd w:val="clear" w:color="auto" w:fill="FFFFFF"/>
              </w:rPr>
              <w:t xml:space="preserve">II). </w:t>
            </w:r>
            <w:r w:rsidRPr="00176E40">
              <w:rPr>
                <w:rFonts w:ascii="Verdana" w:eastAsia="Calibri" w:hAnsi="Verdana" w:cs="Arial"/>
                <w:shd w:val="clear" w:color="auto" w:fill="FFFFFF"/>
                <w:lang w:val="es-ES"/>
              </w:rPr>
              <w:t>Cuando un objeto contractual relacionado con infraestructura de baja tensión no se encuentre expresamente previsto en las categorías o matrices de experiencia de los Documentos Tipo aplicables, y luego del análisis técnico y jurídico correspondiente no resulte posible establecer una correspondencia material con las actividades allí definidas, la entidad estatal podrá concluir que su aplicación no es obligatoria.</w:t>
            </w:r>
          </w:p>
          <w:p w14:paraId="1ECB68A8" w14:textId="77777777" w:rsidR="00176E40" w:rsidRPr="00176E40" w:rsidRDefault="00176E40" w:rsidP="004E1B8A">
            <w:pPr>
              <w:spacing w:after="120" w:line="276" w:lineRule="auto"/>
              <w:ind w:firstLine="709"/>
              <w:jc w:val="both"/>
              <w:rPr>
                <w:rFonts w:ascii="Verdana" w:eastAsia="Calibri" w:hAnsi="Verdana" w:cs="Arial"/>
                <w:shd w:val="clear" w:color="auto" w:fill="FFFFFF"/>
                <w:lang w:val="es-ES"/>
              </w:rPr>
            </w:pPr>
            <w:r w:rsidRPr="00176E40">
              <w:rPr>
                <w:rFonts w:ascii="Verdana" w:eastAsia="Calibri" w:hAnsi="Verdana" w:cs="Arial"/>
                <w:shd w:val="clear" w:color="auto" w:fill="FFFFFF"/>
                <w:lang w:val="es-ES"/>
              </w:rPr>
              <w:t>En estos eventos, los Documentos Tipo pueden servir como referencia metodológica u orientadora de buenas prácticas para la estructuración del proceso contractual; sin embargo, su no aplicación, por sí sola, no configura automáticamente un incumplimiento de la Ley 2022 de 2020. Ello, siempre que la entidad haya sustentado adecuadamente, desde la etapa de planeación, las razones técnicas y jurídicas por las cuales el objeto contractual no se encuentra cobijado por las matrices de experiencia vigentes y que la estructuración del proceso respete los principios de selección objetiva, pluralidad de oferentes y transparencia.</w:t>
            </w:r>
          </w:p>
          <w:p w14:paraId="7C7AB46B" w14:textId="77777777" w:rsidR="00176E40" w:rsidRPr="00176E40" w:rsidRDefault="00176E40" w:rsidP="004E1B8A">
            <w:pPr>
              <w:spacing w:after="120" w:line="276" w:lineRule="auto"/>
              <w:ind w:firstLine="709"/>
              <w:jc w:val="both"/>
              <w:rPr>
                <w:rFonts w:ascii="Verdana" w:eastAsia="Calibri" w:hAnsi="Verdana" w:cs="Arial"/>
                <w:shd w:val="clear" w:color="auto" w:fill="FFFFFF"/>
                <w:lang w:val="es-ES"/>
              </w:rPr>
            </w:pPr>
            <w:r w:rsidRPr="00176E40">
              <w:rPr>
                <w:rFonts w:ascii="Verdana" w:eastAsia="Calibri" w:hAnsi="Verdana" w:cs="Arial"/>
                <w:shd w:val="clear" w:color="auto" w:fill="FFFFFF"/>
                <w:lang w:val="es-ES"/>
              </w:rPr>
              <w:t>En todo caso, corresponde a la entidad estatal determinar, con fundamento en el alcance específico del proyecto y las reglas de los Documentos Tipo, si las actividades asociadas a redes de baja tensión pueden encajar en alguna categoría existente, si procede la combinación de experiencia o si resulta viable exigir experiencia adicional respecto de bienes, obras o servicios complementarios.</w:t>
            </w:r>
          </w:p>
          <w:p w14:paraId="493A3AD1" w14:textId="0A686057" w:rsidR="00701617" w:rsidRPr="00AB496C" w:rsidRDefault="00701617" w:rsidP="00701617">
            <w:pPr>
              <w:spacing w:after="120" w:line="276" w:lineRule="auto"/>
              <w:jc w:val="both"/>
              <w:rPr>
                <w:rFonts w:ascii="Verdana" w:eastAsia="Calibri" w:hAnsi="Verdana" w:cs="Arial"/>
                <w:shd w:val="clear" w:color="auto" w:fill="FFFFFF"/>
              </w:rPr>
            </w:pPr>
          </w:p>
        </w:tc>
      </w:tr>
    </w:tbl>
    <w:p w14:paraId="4AEA90D2" w14:textId="77777777" w:rsidR="00F91C09" w:rsidRPr="0010023F" w:rsidRDefault="00F91C09" w:rsidP="00F91C09">
      <w:pPr>
        <w:tabs>
          <w:tab w:val="left" w:pos="142"/>
          <w:tab w:val="left" w:pos="284"/>
        </w:tabs>
        <w:spacing w:after="0" w:line="276" w:lineRule="auto"/>
        <w:ind w:left="142" w:hanging="142"/>
        <w:jc w:val="both"/>
        <w:rPr>
          <w:rFonts w:ascii="Verdana" w:eastAsia="Century Gothic" w:hAnsi="Verdana" w:cs="Century Gothic"/>
          <w:b/>
          <w:bCs/>
          <w:lang w:val="es-ES"/>
        </w:rPr>
      </w:pPr>
    </w:p>
    <w:p w14:paraId="23C2B41D" w14:textId="77777777" w:rsidR="00F91C09" w:rsidRPr="0010023F" w:rsidRDefault="00F91C09" w:rsidP="00F91C09">
      <w:pPr>
        <w:numPr>
          <w:ilvl w:val="0"/>
          <w:numId w:val="16"/>
        </w:numPr>
        <w:tabs>
          <w:tab w:val="left" w:pos="142"/>
          <w:tab w:val="left" w:pos="284"/>
        </w:tabs>
        <w:spacing w:after="0" w:line="276" w:lineRule="auto"/>
        <w:contextualSpacing/>
        <w:jc w:val="both"/>
        <w:rPr>
          <w:rFonts w:ascii="Verdana" w:eastAsia="Calibri" w:hAnsi="Verdana" w:cs="Arial"/>
          <w:lang w:val="es-ES" w:eastAsia="es-MX"/>
        </w:rPr>
      </w:pPr>
      <w:r w:rsidRPr="0010023F">
        <w:rPr>
          <w:rFonts w:ascii="Verdana" w:eastAsia="Century Gothic" w:hAnsi="Verdana" w:cs="Century Gothic"/>
          <w:b/>
          <w:bCs/>
          <w:lang w:val="es-ES"/>
        </w:rPr>
        <w:t>Razones de la respuesta:</w:t>
      </w:r>
    </w:p>
    <w:p w14:paraId="7F847E9E" w14:textId="77777777" w:rsidR="00F91C09" w:rsidRPr="0010023F" w:rsidRDefault="00F91C09" w:rsidP="00F91C09">
      <w:pPr>
        <w:tabs>
          <w:tab w:val="left" w:pos="142"/>
          <w:tab w:val="left" w:pos="284"/>
        </w:tabs>
        <w:spacing w:after="0" w:line="276" w:lineRule="auto"/>
        <w:contextualSpacing/>
        <w:jc w:val="both"/>
        <w:rPr>
          <w:rFonts w:ascii="Verdana" w:eastAsia="Century Gothic" w:hAnsi="Verdana" w:cs="Century Gothic"/>
          <w:b/>
          <w:bCs/>
          <w:lang w:val="es-ES"/>
        </w:rPr>
      </w:pPr>
    </w:p>
    <w:p w14:paraId="18FA7B8C" w14:textId="77777777" w:rsidR="00F91C09" w:rsidRPr="0010023F" w:rsidRDefault="00F91C09" w:rsidP="00F91C09">
      <w:pPr>
        <w:tabs>
          <w:tab w:val="left" w:pos="142"/>
          <w:tab w:val="left" w:pos="284"/>
        </w:tabs>
        <w:spacing w:after="0" w:line="276" w:lineRule="auto"/>
        <w:contextualSpacing/>
        <w:jc w:val="both"/>
        <w:rPr>
          <w:rFonts w:ascii="Verdana" w:eastAsia="Calibri" w:hAnsi="Verdana" w:cs="Arial"/>
          <w:lang w:val="es-ES" w:eastAsia="es-MX"/>
        </w:rPr>
      </w:pPr>
      <w:r w:rsidRPr="0010023F">
        <w:rPr>
          <w:rFonts w:ascii="Verdana" w:eastAsia="Calibri" w:hAnsi="Verdana" w:cs="Arial"/>
          <w:lang w:val="es-ES" w:eastAsia="es-MX"/>
        </w:rPr>
        <w:t xml:space="preserve">Lo anterior se sustenta en las siguientes consideraciones: </w:t>
      </w:r>
    </w:p>
    <w:p w14:paraId="5C625EFB" w14:textId="77777777" w:rsidR="00F91C09" w:rsidRDefault="00F91C09" w:rsidP="00F91C09">
      <w:pPr>
        <w:spacing w:after="0" w:line="276" w:lineRule="auto"/>
        <w:jc w:val="both"/>
        <w:rPr>
          <w:rFonts w:ascii="Verdana" w:eastAsia="Calibri" w:hAnsi="Verdana" w:cs="Arial"/>
          <w:lang w:val="es-ES" w:eastAsia="es-MX"/>
        </w:rPr>
      </w:pPr>
    </w:p>
    <w:p w14:paraId="2F10694F" w14:textId="36C3FF84" w:rsidR="001073CC" w:rsidRPr="00265468" w:rsidRDefault="001073CC" w:rsidP="001073CC">
      <w:pPr>
        <w:snapToGrid w:val="0"/>
        <w:spacing w:after="0" w:line="276" w:lineRule="auto"/>
        <w:jc w:val="both"/>
        <w:rPr>
          <w:rFonts w:ascii="Verdana" w:eastAsia="Calibri" w:hAnsi="Verdana" w:cs="Arial"/>
          <w:lang w:val="es-ES_tradnl"/>
        </w:rPr>
      </w:pPr>
      <w:r>
        <w:rPr>
          <w:rFonts w:ascii="Verdana" w:eastAsia="Calibri" w:hAnsi="Verdana" w:cs="Arial"/>
          <w:lang w:val="es-ES"/>
        </w:rPr>
        <w:t xml:space="preserve">I). </w:t>
      </w:r>
      <w:r w:rsidRPr="00265468">
        <w:rPr>
          <w:rFonts w:ascii="Verdana" w:eastAsia="Calibri" w:hAnsi="Verdana" w:cs="Arial"/>
          <w:lang w:val="es-ES_tradnl"/>
        </w:rPr>
        <w:t xml:space="preserve">Los Documentos Tipo expedidos por esta Agencia en ejercicio de la potestad otorgada por la Ley 2022 de 2020 son de obligatoria observancia por parte de las Entidades Estatales sometidas al Estatuto General de Contratación de la </w:t>
      </w:r>
      <w:r w:rsidRPr="00265468">
        <w:rPr>
          <w:rFonts w:ascii="Verdana" w:eastAsia="Calibri" w:hAnsi="Verdana" w:cs="Arial"/>
          <w:lang w:val="es-ES_tradnl"/>
        </w:rPr>
        <w:lastRenderedPageBreak/>
        <w:t>Administración Pública –EGCAP–. Debido a esto, tales entidades deben aplicar de manera forzosa los Documentos Tipo para desarrollar los Procesos de Contratación en los objetos y modalidades cobijadas por los Pliegos Tipo.</w:t>
      </w:r>
    </w:p>
    <w:p w14:paraId="23A4BE50" w14:textId="77777777" w:rsidR="001073CC" w:rsidRPr="00265468" w:rsidRDefault="001073CC" w:rsidP="001073CC">
      <w:pPr>
        <w:snapToGrid w:val="0"/>
        <w:spacing w:before="120" w:after="0" w:line="276" w:lineRule="auto"/>
        <w:ind w:firstLine="709"/>
        <w:jc w:val="both"/>
        <w:rPr>
          <w:rFonts w:ascii="Verdana" w:eastAsia="Calibri" w:hAnsi="Verdana" w:cs="Times New Roman"/>
          <w:lang w:val="es-ES"/>
        </w:rPr>
      </w:pPr>
      <w:r w:rsidRPr="00265468">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0225C8E6" w14:textId="77777777" w:rsidR="001073CC" w:rsidRPr="00265468" w:rsidRDefault="001073CC" w:rsidP="001073CC">
      <w:pPr>
        <w:snapToGrid w:val="0"/>
        <w:spacing w:before="120" w:after="0" w:line="276" w:lineRule="auto"/>
        <w:ind w:firstLine="709"/>
        <w:jc w:val="both"/>
        <w:rPr>
          <w:rFonts w:ascii="Verdana" w:eastAsia="Calibri" w:hAnsi="Verdana" w:cs="Arial"/>
          <w:lang w:val="es-ES_tradnl"/>
        </w:rPr>
      </w:pPr>
      <w:r w:rsidRPr="00265468">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265468">
        <w:rPr>
          <w:rFonts w:ascii="Verdana" w:eastAsia="Calibri" w:hAnsi="Verdana" w:cs="Times New Roman"/>
          <w:vertAlign w:val="superscript"/>
          <w:lang w:val="es-ES_tradnl"/>
        </w:rPr>
        <w:footnoteReference w:id="2"/>
      </w:r>
      <w:r w:rsidRPr="00265468">
        <w:rPr>
          <w:rFonts w:ascii="Verdana" w:eastAsia="Calibri" w:hAnsi="Verdana" w:cs="Times New Roman"/>
          <w:lang w:val="es-ES_tradnl"/>
        </w:rPr>
        <w:t xml:space="preserve"> </w:t>
      </w:r>
    </w:p>
    <w:p w14:paraId="7E98DE1E" w14:textId="77777777" w:rsidR="001073CC" w:rsidRPr="00265468" w:rsidRDefault="001073CC" w:rsidP="001073CC">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265468">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265468">
        <w:rPr>
          <w:rFonts w:ascii="Verdana" w:eastAsia="Times New Roman" w:hAnsi="Verdana" w:cs="Arial"/>
          <w:kern w:val="2"/>
          <w:highlight w:val="lightGray"/>
          <w:shd w:val="clear" w:color="auto" w:fill="FFFFFF"/>
          <w:lang w:val="es-ES" w:eastAsia="es-ES"/>
          <w14:ligatures w14:val="standardContextual"/>
        </w:rPr>
        <w:t>[texto]</w:t>
      </w:r>
      <w:r w:rsidRPr="00265468">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498E1871" w14:textId="77777777" w:rsidR="001073CC" w:rsidRPr="00265468" w:rsidRDefault="001073CC" w:rsidP="001073CC">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265468">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6B4C74E6" w14:textId="77777777" w:rsidR="001073CC" w:rsidRPr="00265468" w:rsidRDefault="001073CC" w:rsidP="001073CC">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265468">
        <w:rPr>
          <w:rFonts w:ascii="Verdana" w:eastAsia="Times New Roman" w:hAnsi="Verdana" w:cs="Arial"/>
          <w:kern w:val="2"/>
          <w:shd w:val="clear" w:color="auto" w:fill="FFFFFF"/>
          <w:lang w:val="es-ES_tradnl" w:eastAsia="es-ES"/>
          <w14:ligatures w14:val="standardContextual"/>
        </w:rPr>
        <w:t xml:space="preserve">En virtud de lo anterior, cuando existan documentos tipo y la actividad a contratar por parte de una entidad sometida al EGCAP se encuentre cobijada por </w:t>
      </w:r>
      <w:r w:rsidRPr="00265468">
        <w:rPr>
          <w:rFonts w:ascii="Verdana" w:eastAsia="Times New Roman" w:hAnsi="Verdana" w:cs="Arial"/>
          <w:kern w:val="2"/>
          <w:shd w:val="clear" w:color="auto" w:fill="FFFFFF"/>
          <w:lang w:val="es-ES_tradnl" w:eastAsia="es-ES"/>
          <w14:ligatures w14:val="standardContextual"/>
        </w:rPr>
        <w:lastRenderedPageBreak/>
        <w:t>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6F2D9131" w14:textId="77777777" w:rsidR="001073CC" w:rsidRPr="00265468" w:rsidRDefault="001073CC" w:rsidP="001073CC">
      <w:pPr>
        <w:snapToGrid w:val="0"/>
        <w:spacing w:after="120" w:line="276" w:lineRule="auto"/>
        <w:ind w:firstLine="709"/>
        <w:jc w:val="both"/>
        <w:rPr>
          <w:rFonts w:ascii="Verdana" w:eastAsia="Calibri" w:hAnsi="Verdana" w:cs="Times New Roman"/>
          <w:lang w:val="es-ES"/>
        </w:rPr>
      </w:pPr>
      <w:r w:rsidRPr="00265468">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265468">
        <w:rPr>
          <w:rFonts w:ascii="Verdana" w:eastAsia="Calibri" w:hAnsi="Verdana" w:cs="Times New Roman"/>
          <w:lang w:val="es-ES"/>
        </w:rPr>
        <w:t>ii</w:t>
      </w:r>
      <w:proofErr w:type="spellEnd"/>
      <w:r w:rsidRPr="00265468">
        <w:rPr>
          <w:rFonts w:ascii="Verdana" w:eastAsia="Calibri" w:hAnsi="Verdana" w:cs="Times New Roman"/>
          <w:lang w:val="es-ES"/>
        </w:rPr>
        <w:t xml:space="preserve">) la actividad a contratar y </w:t>
      </w:r>
      <w:proofErr w:type="spellStart"/>
      <w:r w:rsidRPr="00265468">
        <w:rPr>
          <w:rFonts w:ascii="Verdana" w:eastAsia="Calibri" w:hAnsi="Verdana" w:cs="Times New Roman"/>
          <w:lang w:val="es-ES"/>
        </w:rPr>
        <w:t>iii</w:t>
      </w:r>
      <w:proofErr w:type="spellEnd"/>
      <w:r w:rsidRPr="00265468">
        <w:rPr>
          <w:rFonts w:ascii="Verdana" w:eastAsia="Calibri" w:hAnsi="Verdana" w:cs="Times New Roman"/>
          <w:lang w:val="es-ES"/>
        </w:rPr>
        <w:t>) la cuantía del proceso de contratación.</w:t>
      </w:r>
    </w:p>
    <w:p w14:paraId="4227E562" w14:textId="77777777" w:rsidR="001073CC" w:rsidRPr="00265468" w:rsidRDefault="001073CC" w:rsidP="001073CC">
      <w:pPr>
        <w:snapToGrid w:val="0"/>
        <w:spacing w:after="120" w:line="276" w:lineRule="auto"/>
        <w:ind w:firstLine="709"/>
        <w:jc w:val="both"/>
        <w:rPr>
          <w:rFonts w:ascii="Verdana" w:eastAsia="Times New Roman" w:hAnsi="Verdana" w:cs="Aptos"/>
          <w:color w:val="000000"/>
          <w:lang w:val="es-ES" w:eastAsia="es-MX"/>
        </w:rPr>
      </w:pPr>
      <w:r w:rsidRPr="00265468">
        <w:rPr>
          <w:rFonts w:ascii="Verdana" w:eastAsia="Times New Roman" w:hAnsi="Verdana" w:cs="Aptos"/>
          <w:color w:val="000000"/>
          <w:lang w:val="es-ES_tradnl" w:eastAsia="es-MX"/>
        </w:rPr>
        <w:t>Por su parte, el numeral 3.5 “EXPERIENCIA” del documento base de los documentos tipo de infraestructura de transporte indica que los proponentes deben acreditar la experiencia a través de los siguientes documentos:</w:t>
      </w:r>
      <w:r w:rsidRPr="00265468">
        <w:rPr>
          <w:rFonts w:ascii="Verdana" w:eastAsia="Aptos" w:hAnsi="Verdana" w:cs="Aptos"/>
          <w:color w:val="000000"/>
          <w:lang w:val="es-MX"/>
        </w:rPr>
        <w:t xml:space="preserve"> </w:t>
      </w:r>
      <w:r w:rsidRPr="00265468">
        <w:rPr>
          <w:rFonts w:ascii="Verdana" w:eastAsia="Times New Roman" w:hAnsi="Verdana" w:cs="Aptos"/>
          <w:color w:val="000000"/>
          <w:lang w:val="es-MX" w:eastAsia="es-MX"/>
        </w:rPr>
        <w:t xml:space="preserve">i)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r w:rsidRPr="00265468">
        <w:rPr>
          <w:rFonts w:ascii="Verdana" w:eastAsia="Times New Roman" w:hAnsi="Verdana" w:cs="Aptos"/>
          <w:color w:val="000000"/>
          <w:lang w:val="es-ES" w:eastAsia="es-MX"/>
        </w:rPr>
        <w:t xml:space="preserve">Adicionalmente, en el numeral </w:t>
      </w:r>
      <w:r w:rsidRPr="00265468">
        <w:rPr>
          <w:rFonts w:ascii="Verdana" w:eastAsia="Times New Roman" w:hAnsi="Verdana" w:cs="Aptos"/>
          <w:iCs/>
          <w:color w:val="000000"/>
          <w:lang w:val="es-ES" w:eastAsia="es-MX"/>
        </w:rPr>
        <w:t xml:space="preserve">3.5.5 “ACREDITACIÓN DE LA EXPERIENCIA REQUERIDA” </w:t>
      </w:r>
      <w:r w:rsidRPr="00265468">
        <w:rPr>
          <w:rFonts w:ascii="Verdana" w:eastAsia="Times New Roman" w:hAnsi="Verdana" w:cs="Aptos"/>
          <w:color w:val="000000"/>
          <w:lang w:val="es-ES" w:eastAsia="es-MX"/>
        </w:rPr>
        <w:t xml:space="preserve">señala la información que deben presentar los proponentes para efectos de acreditar la experiencia en cada uno de los contratos que se presenten. </w:t>
      </w:r>
    </w:p>
    <w:p w14:paraId="35A4FE3E" w14:textId="77777777" w:rsidR="00E37D90" w:rsidRDefault="001073CC" w:rsidP="00E37D90">
      <w:pPr>
        <w:snapToGrid w:val="0"/>
        <w:spacing w:after="120" w:line="276" w:lineRule="auto"/>
        <w:ind w:firstLine="709"/>
        <w:jc w:val="both"/>
        <w:rPr>
          <w:rFonts w:ascii="Verdana" w:eastAsia="Times New Roman" w:hAnsi="Verdana" w:cs="Calibri"/>
          <w:lang w:eastAsia="es-MX"/>
        </w:rPr>
      </w:pPr>
      <w:r w:rsidRPr="00265468">
        <w:rPr>
          <w:rFonts w:ascii="Verdana" w:eastAsia="Arial" w:hAnsi="Verdana" w:cs="Calibri"/>
          <w:lang w:eastAsia="es-ES"/>
        </w:rPr>
        <w:t xml:space="preserve">Teniendo en cuenta su consulta, en línea con lo ya expuesto, conviene indicar </w:t>
      </w:r>
      <w:r w:rsidRPr="00265468">
        <w:rPr>
          <w:rFonts w:ascii="Verdana" w:eastAsia="Aptos" w:hAnsi="Verdana" w:cs="Aptos"/>
          <w:kern w:val="2"/>
          <w:lang w:val="es-ES_tradnl"/>
          <w14:ligatures w14:val="standardContextual"/>
        </w:rPr>
        <w:t>que, esta</w:t>
      </w:r>
      <w:r w:rsidRPr="00265468">
        <w:rPr>
          <w:rFonts w:ascii="Verdana" w:eastAsia="Times New Roman" w:hAnsi="Verdana" w:cs="Calibri"/>
          <w:lang w:eastAsia="es-MX"/>
        </w:rPr>
        <w:t xml:space="preserve"> Agencia ha expedido documentos tipo para los sectores de infraestructura de: a) Transporte; b) Agua Potable y Saneamiento Básico; c) Social (Salud, Vivienda, Educación, Institucional y Cultura, Recreación y Deporte); c) Convenios Solidarios, y d) Catastro con Enfoque Multipropósito. Ahora bien, para las actividades relacionadas con </w:t>
      </w:r>
      <w:r w:rsidRPr="00265468">
        <w:rPr>
          <w:rFonts w:ascii="Verdana" w:eastAsia="Times New Roman" w:hAnsi="Verdana" w:cs="Calibri"/>
          <w:i/>
          <w:iCs/>
          <w:lang w:eastAsia="es-MX"/>
        </w:rPr>
        <w:t xml:space="preserve">el servicio, modernización, expansión, operación, mantenimiento o suministro asociado al alumbrado público, </w:t>
      </w:r>
      <w:r w:rsidRPr="00265468">
        <w:rPr>
          <w:rFonts w:ascii="Verdana" w:eastAsia="Times New Roman" w:hAnsi="Verdana" w:cs="Calibri"/>
          <w:lang w:eastAsia="es-MX"/>
        </w:rPr>
        <w:t>debe precisarse que no existe un documento tipo en particular, sin embargo, los documentos tipo del sector de infraestructura de transporte, en su Matriz 1 – Experiencia, incluye varias actividades sobre las cuales se podría enmarcar el objeto del proyecto mencionado.</w:t>
      </w:r>
    </w:p>
    <w:p w14:paraId="175FD5D1" w14:textId="4C15BA20" w:rsidR="00254E8C" w:rsidRPr="00145A70" w:rsidRDefault="00170E63" w:rsidP="00145A70">
      <w:pPr>
        <w:jc w:val="both"/>
        <w:rPr>
          <w:rFonts w:ascii="Verdana" w:eastAsia="Times New Roman" w:hAnsi="Verdana" w:cs="Calibri"/>
          <w:lang w:eastAsia="es-MX"/>
        </w:rPr>
      </w:pPr>
      <w:r>
        <w:rPr>
          <w:rFonts w:ascii="Verdana" w:eastAsia="Times New Roman" w:hAnsi="Verdana" w:cs="Calibri"/>
          <w:lang w:eastAsia="es-MX"/>
        </w:rPr>
        <w:t xml:space="preserve">II). </w:t>
      </w:r>
      <w:r w:rsidR="00E37D90" w:rsidRPr="00265468">
        <w:rPr>
          <w:rFonts w:ascii="Verdana" w:eastAsia="Times New Roman" w:hAnsi="Verdana" w:cs="Calibri"/>
          <w:lang w:eastAsia="es-MX"/>
        </w:rPr>
        <w:t>De acuerdo con lo anterior, dentro de la Matriz 1 – Experiencia del sector infraestructura de transporte,</w:t>
      </w:r>
      <w:r w:rsidR="00145A70" w:rsidRPr="00145A70">
        <w:t xml:space="preserve"> </w:t>
      </w:r>
      <w:r w:rsidR="00145A70" w:rsidRPr="00145A70">
        <w:rPr>
          <w:rFonts w:ascii="Verdana" w:eastAsia="Times New Roman" w:hAnsi="Verdana" w:cs="Calibri"/>
          <w:lang w:eastAsia="es-MX"/>
        </w:rPr>
        <w:t xml:space="preserve">conviene mencionar que la aplicabilidad de los </w:t>
      </w:r>
      <w:r w:rsidR="00145A70" w:rsidRPr="00145A70">
        <w:rPr>
          <w:rFonts w:ascii="Verdana" w:eastAsia="Times New Roman" w:hAnsi="Verdana" w:cs="Calibri"/>
          <w:lang w:eastAsia="es-MX"/>
        </w:rPr>
        <w:lastRenderedPageBreak/>
        <w:t xml:space="preserve">documentos tipo depende de si el objeto contractual corresponde a alguna de las actividades previstas en la Matriz 1 de experiencia del sector de documentos tipo aplicable. En ese sentido, </w:t>
      </w:r>
      <w:r w:rsidR="004207F1">
        <w:rPr>
          <w:rFonts w:ascii="Verdana" w:eastAsia="Times New Roman" w:hAnsi="Verdana" w:cs="Calibri"/>
          <w:lang w:eastAsia="es-MX"/>
        </w:rPr>
        <w:t xml:space="preserve">teniendo en cuenta el objeto de la petición, </w:t>
      </w:r>
      <w:r w:rsidR="00145A70" w:rsidRPr="00145A70">
        <w:rPr>
          <w:rFonts w:ascii="Verdana" w:eastAsia="Times New Roman" w:hAnsi="Verdana" w:cs="Calibri"/>
          <w:lang w:eastAsia="es-MX"/>
        </w:rPr>
        <w:t>si el contrato relacionado con obras de “redes de media tensión” se enmarca en alguna de las actividades contempladas en la matriz de experiencia del sector transporte, en tal caso, la entidad tendrá la obligación de adoptar estos documentos tipo.</w:t>
      </w:r>
    </w:p>
    <w:p w14:paraId="6B85D888" w14:textId="248A07E2" w:rsidR="00C27561" w:rsidRPr="00863F85" w:rsidRDefault="00C27561" w:rsidP="00C27561">
      <w:pPr>
        <w:snapToGrid w:val="0"/>
        <w:spacing w:after="120" w:line="276" w:lineRule="auto"/>
        <w:ind w:firstLine="709"/>
        <w:jc w:val="both"/>
        <w:rPr>
          <w:rFonts w:ascii="Verdana" w:eastAsia="Times New Roman" w:hAnsi="Verdana" w:cs="Calibri"/>
          <w:lang w:eastAsia="es-MX"/>
        </w:rPr>
      </w:pPr>
      <w:r w:rsidRPr="00C27561">
        <w:rPr>
          <w:rFonts w:ascii="Verdana" w:eastAsia="Times New Roman" w:hAnsi="Verdana" w:cs="Calibri"/>
          <w:lang w:eastAsia="es-MX"/>
        </w:rPr>
        <w:t xml:space="preserve">Es importante resaltar que el documento base de Licitación pública del sector Trasporte, en su parte introductoria hace mención </w:t>
      </w:r>
      <w:proofErr w:type="gramStart"/>
      <w:r w:rsidRPr="00C27561">
        <w:rPr>
          <w:rFonts w:ascii="Verdana" w:eastAsia="Times New Roman" w:hAnsi="Verdana" w:cs="Calibri"/>
          <w:lang w:eastAsia="es-MX"/>
        </w:rPr>
        <w:t>a</w:t>
      </w:r>
      <w:proofErr w:type="gramEnd"/>
      <w:r w:rsidRPr="00C27561">
        <w:rPr>
          <w:rFonts w:ascii="Verdana" w:eastAsia="Times New Roman" w:hAnsi="Verdana" w:cs="Calibri"/>
          <w:lang w:eastAsia="es-MX"/>
        </w:rPr>
        <w:t xml:space="preserve"> lo referido </w:t>
      </w:r>
      <w:r w:rsidRPr="00863F85">
        <w:rPr>
          <w:rFonts w:ascii="Verdana" w:eastAsia="Times New Roman" w:hAnsi="Verdana" w:cs="Calibri"/>
          <w:lang w:eastAsia="es-MX"/>
        </w:rPr>
        <w:t>previamente y se indica de manera expresa:</w:t>
      </w:r>
    </w:p>
    <w:p w14:paraId="08D0B951" w14:textId="77777777" w:rsidR="00C27561" w:rsidRPr="00C27561" w:rsidRDefault="00C27561" w:rsidP="00863F85">
      <w:pPr>
        <w:snapToGrid w:val="0"/>
        <w:spacing w:after="120" w:line="240" w:lineRule="auto"/>
        <w:ind w:left="709" w:right="709"/>
        <w:jc w:val="both"/>
        <w:rPr>
          <w:rFonts w:ascii="Verdana" w:eastAsia="Times New Roman" w:hAnsi="Verdana" w:cs="Calibri"/>
          <w:sz w:val="21"/>
          <w:szCs w:val="21"/>
          <w:lang w:eastAsia="es-MX"/>
        </w:rPr>
      </w:pPr>
      <w:r w:rsidRPr="00863F85">
        <w:rPr>
          <w:rFonts w:ascii="Verdana" w:eastAsia="Times New Roman" w:hAnsi="Verdana" w:cs="Calibri"/>
          <w:sz w:val="21"/>
          <w:szCs w:val="21"/>
          <w:lang w:eastAsia="es-MX"/>
        </w:rPr>
        <w:t>“Este Documentos Tipo aplica a los procesos de licitación de obra pública de infraestructura de transporte (versión 4), que correspondan a las actividades definidas en la Matriz 1 – Experiencia. En consecuencia, para las actividades de infraestructura de transporte no contempladas en la Matriz 1 – Experiencia no tienen que aplicar los documentos tipo; sin perjuicio de lo previsto en el artículo 2.2.1.2.6.1.5. del Decreto 1082 de 2015.”</w:t>
      </w:r>
    </w:p>
    <w:p w14:paraId="5ACE3372" w14:textId="77777777" w:rsidR="00117C12" w:rsidRPr="00863F85" w:rsidRDefault="00117C12" w:rsidP="00863F85">
      <w:pPr>
        <w:autoSpaceDE w:val="0"/>
        <w:autoSpaceDN w:val="0"/>
        <w:adjustRightInd w:val="0"/>
        <w:ind w:firstLine="708"/>
        <w:jc w:val="both"/>
        <w:rPr>
          <w:rFonts w:ascii="Verdana" w:hAnsi="Verdana" w:cs="Calibri"/>
        </w:rPr>
      </w:pPr>
      <w:r w:rsidRPr="00863F85">
        <w:rPr>
          <w:rFonts w:ascii="Verdana" w:hAnsi="Verdana" w:cs="Calibri"/>
        </w:rPr>
        <w:t>En ese sentido, dentro de la Matriz 1 – Experiencia del sector Infraestructura de Transporte se identifican, las siguientes actividades que podrían resultar aplicables, dependiendo del alcance específico del proyecto:</w:t>
      </w:r>
    </w:p>
    <w:p w14:paraId="5A627D1A" w14:textId="77777777" w:rsidR="00863F85" w:rsidRPr="002816CF" w:rsidRDefault="00117C12" w:rsidP="00863F85">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1.</w:t>
      </w:r>
      <w:proofErr w:type="gramStart"/>
      <w:r w:rsidRPr="002816CF">
        <w:rPr>
          <w:rFonts w:ascii="Verdana" w:hAnsi="Verdana" w:cs="Calibri"/>
          <w:sz w:val="21"/>
          <w:szCs w:val="21"/>
        </w:rPr>
        <w:t>8.Proyectos</w:t>
      </w:r>
      <w:proofErr w:type="gramEnd"/>
      <w:r w:rsidRPr="002816CF">
        <w:rPr>
          <w:rFonts w:ascii="Verdana" w:hAnsi="Verdana" w:cs="Calibri"/>
          <w:sz w:val="21"/>
          <w:szCs w:val="21"/>
        </w:rPr>
        <w:t xml:space="preserve"> de instalación o mantenimiento correctivo o mantenimiento preventivo o ampliación o actividades de construcción de equipos eléctricos y/o electromecánicos y/o de control asociadas a la infraestructura de transporte en vías que lo requieran.</w:t>
      </w:r>
    </w:p>
    <w:p w14:paraId="5FC61D9F" w14:textId="77777777" w:rsidR="00863F85" w:rsidRPr="002816CF" w:rsidRDefault="00863F85" w:rsidP="00863F85">
      <w:pPr>
        <w:autoSpaceDE w:val="0"/>
        <w:autoSpaceDN w:val="0"/>
        <w:adjustRightInd w:val="0"/>
        <w:spacing w:after="0" w:line="240" w:lineRule="auto"/>
        <w:ind w:left="709" w:right="709"/>
        <w:jc w:val="both"/>
        <w:rPr>
          <w:rFonts w:ascii="Verdana" w:hAnsi="Verdana" w:cs="Calibri"/>
          <w:sz w:val="21"/>
          <w:szCs w:val="21"/>
        </w:rPr>
      </w:pPr>
    </w:p>
    <w:p w14:paraId="71554BA7" w14:textId="04A8EE2E" w:rsidR="00117C12" w:rsidRPr="002816CF" w:rsidRDefault="00117C12" w:rsidP="00863F85">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1.</w:t>
      </w:r>
      <w:proofErr w:type="gramStart"/>
      <w:r w:rsidRPr="002816CF">
        <w:rPr>
          <w:rFonts w:ascii="Verdana" w:hAnsi="Verdana" w:cs="Calibri"/>
          <w:sz w:val="21"/>
          <w:szCs w:val="21"/>
        </w:rPr>
        <w:t>9.Proyectos</w:t>
      </w:r>
      <w:proofErr w:type="gramEnd"/>
      <w:r w:rsidRPr="002816CF">
        <w:rPr>
          <w:rFonts w:ascii="Verdana" w:hAnsi="Verdana" w:cs="Calibri"/>
          <w:sz w:val="21"/>
          <w:szCs w:val="21"/>
        </w:rPr>
        <w:t xml:space="preserve"> de instalación o mantenimiento correctivo o mantenimiento preventivo o ampliación de infraestructura eléctrica asociada a la infraestructura de transporte en vías primarias o secundarias.</w:t>
      </w:r>
    </w:p>
    <w:p w14:paraId="1EC62713" w14:textId="77777777" w:rsidR="00863F85" w:rsidRPr="002816CF" w:rsidRDefault="00863F85" w:rsidP="00863F85">
      <w:pPr>
        <w:autoSpaceDE w:val="0"/>
        <w:autoSpaceDN w:val="0"/>
        <w:adjustRightInd w:val="0"/>
        <w:spacing w:after="0" w:line="240" w:lineRule="auto"/>
        <w:ind w:left="709" w:right="709"/>
        <w:jc w:val="both"/>
        <w:rPr>
          <w:rFonts w:ascii="Verdana" w:hAnsi="Verdana" w:cs="Calibri"/>
          <w:sz w:val="21"/>
          <w:szCs w:val="21"/>
        </w:rPr>
      </w:pPr>
    </w:p>
    <w:p w14:paraId="704442B8" w14:textId="110C452A" w:rsidR="00117C12" w:rsidRPr="002816CF" w:rsidRDefault="00117C12" w:rsidP="00863F85">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 xml:space="preserve">2.6 Proyectos de instalación o mantenimiento correctivo o mantenimiento </w:t>
      </w:r>
      <w:proofErr w:type="gramStart"/>
      <w:r w:rsidRPr="002816CF">
        <w:rPr>
          <w:rFonts w:ascii="Verdana" w:hAnsi="Verdana" w:cs="Calibri"/>
          <w:sz w:val="21"/>
          <w:szCs w:val="21"/>
        </w:rPr>
        <w:t>preventivo  o</w:t>
      </w:r>
      <w:proofErr w:type="gramEnd"/>
      <w:r w:rsidRPr="002816CF">
        <w:rPr>
          <w:rFonts w:ascii="Verdana" w:hAnsi="Verdana" w:cs="Calibri"/>
          <w:sz w:val="21"/>
          <w:szCs w:val="21"/>
        </w:rPr>
        <w:t xml:space="preserve">  </w:t>
      </w:r>
      <w:proofErr w:type="gramStart"/>
      <w:r w:rsidRPr="002816CF">
        <w:rPr>
          <w:rFonts w:ascii="Verdana" w:hAnsi="Verdana" w:cs="Calibri"/>
          <w:sz w:val="21"/>
          <w:szCs w:val="21"/>
        </w:rPr>
        <w:t>ampliación  de</w:t>
      </w:r>
      <w:proofErr w:type="gramEnd"/>
      <w:r w:rsidRPr="002816CF">
        <w:rPr>
          <w:rFonts w:ascii="Verdana" w:hAnsi="Verdana" w:cs="Calibri"/>
          <w:sz w:val="21"/>
          <w:szCs w:val="21"/>
        </w:rPr>
        <w:t xml:space="preserve"> infraestructura eléctrica asociada a la infraestructura de transporte en vías primarias o secundarias.</w:t>
      </w:r>
    </w:p>
    <w:p w14:paraId="15249211" w14:textId="77777777" w:rsidR="00863F85" w:rsidRPr="002816CF" w:rsidRDefault="00863F85" w:rsidP="00863F85">
      <w:pPr>
        <w:autoSpaceDE w:val="0"/>
        <w:autoSpaceDN w:val="0"/>
        <w:adjustRightInd w:val="0"/>
        <w:spacing w:after="0" w:line="240" w:lineRule="auto"/>
        <w:ind w:left="709" w:right="709"/>
        <w:jc w:val="both"/>
        <w:rPr>
          <w:rFonts w:ascii="Verdana" w:hAnsi="Verdana" w:cs="Calibri"/>
          <w:sz w:val="21"/>
          <w:szCs w:val="21"/>
        </w:rPr>
      </w:pPr>
    </w:p>
    <w:p w14:paraId="05C09332" w14:textId="7CB70AC1" w:rsidR="00117C12" w:rsidRPr="002816CF" w:rsidRDefault="00117C12" w:rsidP="00863F85">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 xml:space="preserve">6.26 Proyectos de instalación u </w:t>
      </w:r>
      <w:proofErr w:type="gramStart"/>
      <w:r w:rsidRPr="002816CF">
        <w:rPr>
          <w:rFonts w:ascii="Verdana" w:hAnsi="Verdana" w:cs="Calibri"/>
          <w:sz w:val="21"/>
          <w:szCs w:val="21"/>
        </w:rPr>
        <w:t>operación  o</w:t>
      </w:r>
      <w:proofErr w:type="gramEnd"/>
      <w:r w:rsidRPr="002816CF">
        <w:rPr>
          <w:rFonts w:ascii="Verdana" w:hAnsi="Verdana" w:cs="Calibri"/>
          <w:sz w:val="21"/>
          <w:szCs w:val="21"/>
        </w:rPr>
        <w:t xml:space="preserve"> mantenimiento correctivo o mantenimiento </w:t>
      </w:r>
      <w:proofErr w:type="gramStart"/>
      <w:r w:rsidRPr="002816CF">
        <w:rPr>
          <w:rFonts w:ascii="Verdana" w:hAnsi="Verdana" w:cs="Calibri"/>
          <w:sz w:val="21"/>
          <w:szCs w:val="21"/>
        </w:rPr>
        <w:t>preventivo  o</w:t>
      </w:r>
      <w:proofErr w:type="gramEnd"/>
      <w:r w:rsidRPr="002816CF">
        <w:rPr>
          <w:rFonts w:ascii="Verdana" w:hAnsi="Verdana" w:cs="Calibri"/>
          <w:sz w:val="21"/>
          <w:szCs w:val="21"/>
        </w:rPr>
        <w:t xml:space="preserve">  </w:t>
      </w:r>
      <w:proofErr w:type="gramStart"/>
      <w:r w:rsidRPr="002816CF">
        <w:rPr>
          <w:rFonts w:ascii="Verdana" w:hAnsi="Verdana" w:cs="Calibri"/>
          <w:sz w:val="21"/>
          <w:szCs w:val="21"/>
        </w:rPr>
        <w:t>ampliación  de</w:t>
      </w:r>
      <w:proofErr w:type="gramEnd"/>
      <w:r w:rsidRPr="002816CF">
        <w:rPr>
          <w:rFonts w:ascii="Verdana" w:hAnsi="Verdana" w:cs="Calibri"/>
          <w:sz w:val="21"/>
          <w:szCs w:val="21"/>
        </w:rPr>
        <w:t xml:space="preserve"> equipos eléctricos y </w:t>
      </w:r>
      <w:proofErr w:type="gramStart"/>
      <w:r w:rsidRPr="002816CF">
        <w:rPr>
          <w:rFonts w:ascii="Verdana" w:hAnsi="Verdana" w:cs="Calibri"/>
          <w:sz w:val="21"/>
          <w:szCs w:val="21"/>
        </w:rPr>
        <w:t>electromecánicos  de</w:t>
      </w:r>
      <w:proofErr w:type="gramEnd"/>
      <w:r w:rsidRPr="002816CF">
        <w:rPr>
          <w:rFonts w:ascii="Verdana" w:hAnsi="Verdana" w:cs="Calibri"/>
          <w:sz w:val="21"/>
          <w:szCs w:val="21"/>
        </w:rPr>
        <w:t xml:space="preserve"> control asociadas a la infraestructura de transporte en vías que lo requieran.</w:t>
      </w:r>
    </w:p>
    <w:p w14:paraId="56C09612" w14:textId="77777777" w:rsidR="00863F85" w:rsidRPr="002816CF" w:rsidRDefault="00863F85" w:rsidP="00863F85">
      <w:pPr>
        <w:autoSpaceDE w:val="0"/>
        <w:autoSpaceDN w:val="0"/>
        <w:adjustRightInd w:val="0"/>
        <w:spacing w:after="0" w:line="240" w:lineRule="auto"/>
        <w:ind w:left="709" w:right="709"/>
        <w:jc w:val="both"/>
        <w:rPr>
          <w:rFonts w:ascii="Verdana" w:hAnsi="Verdana" w:cs="Calibri"/>
          <w:sz w:val="21"/>
          <w:szCs w:val="21"/>
        </w:rPr>
      </w:pPr>
    </w:p>
    <w:p w14:paraId="47DB8C80" w14:textId="061F6111" w:rsidR="00117C12" w:rsidRPr="002816CF" w:rsidRDefault="00117C12" w:rsidP="00863F85">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lastRenderedPageBreak/>
        <w:t xml:space="preserve">6.26 proyectos de instalación u </w:t>
      </w:r>
      <w:proofErr w:type="gramStart"/>
      <w:r w:rsidRPr="002816CF">
        <w:rPr>
          <w:rFonts w:ascii="Verdana" w:hAnsi="Verdana" w:cs="Calibri"/>
          <w:sz w:val="21"/>
          <w:szCs w:val="21"/>
        </w:rPr>
        <w:t>operación  o</w:t>
      </w:r>
      <w:proofErr w:type="gramEnd"/>
      <w:r w:rsidRPr="002816CF">
        <w:rPr>
          <w:rFonts w:ascii="Verdana" w:hAnsi="Verdana" w:cs="Calibri"/>
          <w:sz w:val="21"/>
          <w:szCs w:val="21"/>
        </w:rPr>
        <w:t xml:space="preserve"> mantenimiento correctivo o mantenimiento </w:t>
      </w:r>
      <w:proofErr w:type="gramStart"/>
      <w:r w:rsidRPr="002816CF">
        <w:rPr>
          <w:rFonts w:ascii="Verdana" w:hAnsi="Verdana" w:cs="Calibri"/>
          <w:sz w:val="21"/>
          <w:szCs w:val="21"/>
        </w:rPr>
        <w:t>preventivo  o</w:t>
      </w:r>
      <w:proofErr w:type="gramEnd"/>
      <w:r w:rsidRPr="002816CF">
        <w:rPr>
          <w:rFonts w:ascii="Verdana" w:hAnsi="Verdana" w:cs="Calibri"/>
          <w:sz w:val="21"/>
          <w:szCs w:val="21"/>
        </w:rPr>
        <w:t xml:space="preserve">  </w:t>
      </w:r>
      <w:proofErr w:type="gramStart"/>
      <w:r w:rsidRPr="002816CF">
        <w:rPr>
          <w:rFonts w:ascii="Verdana" w:hAnsi="Verdana" w:cs="Calibri"/>
          <w:sz w:val="21"/>
          <w:szCs w:val="21"/>
        </w:rPr>
        <w:t>ampliación  de</w:t>
      </w:r>
      <w:proofErr w:type="gramEnd"/>
      <w:r w:rsidRPr="002816CF">
        <w:rPr>
          <w:rFonts w:ascii="Verdana" w:hAnsi="Verdana" w:cs="Calibri"/>
          <w:sz w:val="21"/>
          <w:szCs w:val="21"/>
        </w:rPr>
        <w:t xml:space="preserve"> equipos eléctricos y </w:t>
      </w:r>
      <w:proofErr w:type="gramStart"/>
      <w:r w:rsidRPr="002816CF">
        <w:rPr>
          <w:rFonts w:ascii="Verdana" w:hAnsi="Verdana" w:cs="Calibri"/>
          <w:sz w:val="21"/>
          <w:szCs w:val="21"/>
        </w:rPr>
        <w:t>electromecánicos  de</w:t>
      </w:r>
      <w:proofErr w:type="gramEnd"/>
      <w:r w:rsidRPr="002816CF">
        <w:rPr>
          <w:rFonts w:ascii="Verdana" w:hAnsi="Verdana" w:cs="Calibri"/>
          <w:sz w:val="21"/>
          <w:szCs w:val="21"/>
        </w:rPr>
        <w:t xml:space="preserve"> control asociadas a la infraestructura de transporte en vías que lo requieran.</w:t>
      </w:r>
    </w:p>
    <w:p w14:paraId="09613A54" w14:textId="77777777" w:rsidR="00863F85" w:rsidRPr="002816CF" w:rsidRDefault="00863F85" w:rsidP="00863F85">
      <w:pPr>
        <w:autoSpaceDE w:val="0"/>
        <w:autoSpaceDN w:val="0"/>
        <w:adjustRightInd w:val="0"/>
        <w:spacing w:after="0" w:line="240" w:lineRule="auto"/>
        <w:ind w:left="709" w:right="709"/>
        <w:jc w:val="both"/>
        <w:rPr>
          <w:rFonts w:ascii="Verdana" w:hAnsi="Verdana" w:cs="Calibri"/>
          <w:sz w:val="21"/>
          <w:szCs w:val="21"/>
        </w:rPr>
      </w:pPr>
    </w:p>
    <w:p w14:paraId="4CA9F233" w14:textId="77777777" w:rsidR="00117C12" w:rsidRPr="002816CF" w:rsidRDefault="00117C12" w:rsidP="00863F85">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8.11. Construcción y/o expansión y/o mantenimiento y/o mejoramiento y/o optimización y/o adecuación de alumbrado público y redes eléctricas de media tensión para proyectos aeroportuarios o aeródromos</w:t>
      </w:r>
    </w:p>
    <w:p w14:paraId="2EBD775A" w14:textId="77777777" w:rsidR="00117C12" w:rsidRPr="009E08BE" w:rsidRDefault="00117C12" w:rsidP="00863F85">
      <w:pPr>
        <w:autoSpaceDE w:val="0"/>
        <w:autoSpaceDN w:val="0"/>
        <w:adjustRightInd w:val="0"/>
        <w:spacing w:line="240" w:lineRule="auto"/>
        <w:ind w:leftChars="322" w:left="849" w:right="709" w:hanging="141"/>
        <w:jc w:val="both"/>
        <w:rPr>
          <w:rFonts w:ascii="Verdana" w:hAnsi="Verdana" w:cs="Calibri"/>
        </w:rPr>
      </w:pPr>
    </w:p>
    <w:p w14:paraId="39BD9ED0" w14:textId="083D3F50" w:rsidR="00117C12" w:rsidRPr="009E08BE" w:rsidRDefault="00117C12" w:rsidP="009E08BE">
      <w:pPr>
        <w:autoSpaceDE w:val="0"/>
        <w:autoSpaceDN w:val="0"/>
        <w:adjustRightInd w:val="0"/>
        <w:ind w:firstLine="709"/>
        <w:jc w:val="both"/>
        <w:rPr>
          <w:rFonts w:ascii="Verdana" w:hAnsi="Verdana" w:cs="Calibri"/>
        </w:rPr>
      </w:pPr>
      <w:r w:rsidRPr="009E08BE">
        <w:rPr>
          <w:rFonts w:ascii="Verdana" w:hAnsi="Verdana" w:cs="Calibri"/>
        </w:rPr>
        <w:t>En todo caso, la aplicabilidad de alguna de las actividades antes señaladas dependerá del alcance concreto del objeto contractual, de la naturaleza de las obras a ejecutar y de la correspondiente estructuración del proceso de contratación. Por consiguiente, aunque no existe actualmente un documento tipo expedido en el que de manera expresa se incluyan redes de baja tensión, sí es posible que, en función de sus componentes técnicos, algunos de estos proyectos puedan encontrarse enmarcados en las actividades previamente señaladas de la Matriz 1 – Experiencia del sector Infraestructura de Transporte.</w:t>
      </w:r>
    </w:p>
    <w:p w14:paraId="3A825DFD" w14:textId="77777777" w:rsidR="00117C12" w:rsidRPr="009E08BE" w:rsidRDefault="00117C12" w:rsidP="009E08BE">
      <w:pPr>
        <w:autoSpaceDE w:val="0"/>
        <w:autoSpaceDN w:val="0"/>
        <w:adjustRightInd w:val="0"/>
        <w:ind w:firstLine="709"/>
        <w:jc w:val="both"/>
        <w:rPr>
          <w:rFonts w:ascii="Verdana" w:hAnsi="Verdana" w:cs="Calibri"/>
        </w:rPr>
      </w:pPr>
      <w:r w:rsidRPr="009E08BE">
        <w:rPr>
          <w:rFonts w:ascii="Verdana" w:hAnsi="Verdana" w:cs="Calibri"/>
        </w:rPr>
        <w:t xml:space="preserve">En este contexto, conviene mencionar que este tipo de </w:t>
      </w:r>
      <w:proofErr w:type="gramStart"/>
      <w:r w:rsidRPr="009E08BE">
        <w:rPr>
          <w:rFonts w:ascii="Verdana" w:hAnsi="Verdana" w:cs="Calibri"/>
        </w:rPr>
        <w:t>redes  de</w:t>
      </w:r>
      <w:proofErr w:type="gramEnd"/>
      <w:r w:rsidRPr="009E08BE">
        <w:rPr>
          <w:rFonts w:ascii="Verdana" w:hAnsi="Verdana" w:cs="Calibri"/>
        </w:rPr>
        <w:t xml:space="preserve"> baja tensión, hacen referencia al tramo final del sistema eléctrico y se utilizan para suministrar energía directamente a los usuarios finales, y conforme a las definiciones contenidas en el Reglamento Técnico de Instalaciones Eléctricas (RETIE), el título 9 clasifica dichos niveles de las redes en:</w:t>
      </w:r>
    </w:p>
    <w:p w14:paraId="365C973D" w14:textId="77777777" w:rsidR="00117C12" w:rsidRPr="002816CF" w:rsidRDefault="00117C12" w:rsidP="00516C6D">
      <w:pPr>
        <w:autoSpaceDE w:val="0"/>
        <w:autoSpaceDN w:val="0"/>
        <w:adjustRightInd w:val="0"/>
        <w:spacing w:after="0" w:line="240" w:lineRule="auto"/>
        <w:ind w:left="709" w:right="709"/>
        <w:jc w:val="both"/>
        <w:rPr>
          <w:rFonts w:ascii="Verdana" w:hAnsi="Verdana" w:cs="Calibri"/>
          <w:sz w:val="21"/>
          <w:szCs w:val="21"/>
        </w:rPr>
      </w:pPr>
    </w:p>
    <w:p w14:paraId="1922E152" w14:textId="77777777" w:rsidR="00117C12" w:rsidRPr="002816CF" w:rsidRDefault="00117C12" w:rsidP="00516C6D">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Extra alta tensión – EAT: Corresponde a tensiones superiores a 230 kV. Tensión normalizada 345 kV y 500 kV.</w:t>
      </w:r>
    </w:p>
    <w:p w14:paraId="00EBA2B2" w14:textId="77777777" w:rsidR="00516C6D" w:rsidRPr="002816CF" w:rsidRDefault="00516C6D" w:rsidP="00516C6D">
      <w:pPr>
        <w:autoSpaceDE w:val="0"/>
        <w:autoSpaceDN w:val="0"/>
        <w:adjustRightInd w:val="0"/>
        <w:spacing w:after="0" w:line="240" w:lineRule="auto"/>
        <w:ind w:left="709" w:right="709"/>
        <w:jc w:val="both"/>
        <w:rPr>
          <w:rFonts w:ascii="Verdana" w:hAnsi="Verdana" w:cs="Calibri"/>
          <w:sz w:val="21"/>
          <w:szCs w:val="21"/>
        </w:rPr>
      </w:pPr>
    </w:p>
    <w:p w14:paraId="6A2AB850" w14:textId="77777777" w:rsidR="00117C12" w:rsidRPr="002816CF" w:rsidRDefault="00117C12" w:rsidP="00516C6D">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Alta tensión – AT: Tensiones mayores o iguales a 57,5 kV y menores o iguales a 230 kV. Tensiones normalizadas o nominales de 66 kV, 110 kV, 115 kV, 220 kV y 230 kV.</w:t>
      </w:r>
    </w:p>
    <w:p w14:paraId="5DD7AD47" w14:textId="77777777" w:rsidR="00516C6D" w:rsidRPr="002816CF" w:rsidRDefault="00516C6D" w:rsidP="00516C6D">
      <w:pPr>
        <w:autoSpaceDE w:val="0"/>
        <w:autoSpaceDN w:val="0"/>
        <w:adjustRightInd w:val="0"/>
        <w:spacing w:after="0" w:line="240" w:lineRule="auto"/>
        <w:ind w:left="709" w:right="709"/>
        <w:jc w:val="both"/>
        <w:rPr>
          <w:rFonts w:ascii="Verdana" w:hAnsi="Verdana" w:cs="Calibri"/>
          <w:sz w:val="21"/>
          <w:szCs w:val="21"/>
        </w:rPr>
      </w:pPr>
    </w:p>
    <w:p w14:paraId="03EDD7BE" w14:textId="77777777" w:rsidR="00117C12" w:rsidRPr="002816CF" w:rsidRDefault="00117C12" w:rsidP="00516C6D">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Media tensión – MT: Los de tensión nominal superior a 1.000 V e inferior a 57,5 kV. Tensiones normalizadas o nominales de 11,4 kV, 13,2 kV, 34,5 kV, 44 kV.</w:t>
      </w:r>
    </w:p>
    <w:p w14:paraId="6B90536B" w14:textId="77777777" w:rsidR="00516C6D" w:rsidRPr="002816CF" w:rsidRDefault="00516C6D" w:rsidP="00516C6D">
      <w:pPr>
        <w:autoSpaceDE w:val="0"/>
        <w:autoSpaceDN w:val="0"/>
        <w:adjustRightInd w:val="0"/>
        <w:spacing w:after="0" w:line="240" w:lineRule="auto"/>
        <w:ind w:left="709" w:right="709"/>
        <w:jc w:val="both"/>
        <w:rPr>
          <w:rFonts w:ascii="Verdana" w:hAnsi="Verdana" w:cs="Calibri"/>
          <w:sz w:val="21"/>
          <w:szCs w:val="21"/>
        </w:rPr>
      </w:pPr>
    </w:p>
    <w:p w14:paraId="567A3F1B" w14:textId="77777777" w:rsidR="00117C12" w:rsidRDefault="00117C12" w:rsidP="00516C6D">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 xml:space="preserve">Baja tensión – BT: Los de tensión nominal menor o igual a 1.000 V y mayores o iguales de 25 V </w:t>
      </w:r>
      <w:proofErr w:type="spellStart"/>
      <w:r w:rsidRPr="002816CF">
        <w:rPr>
          <w:rFonts w:ascii="Verdana" w:hAnsi="Verdana" w:cs="Calibri"/>
          <w:sz w:val="21"/>
          <w:szCs w:val="21"/>
        </w:rPr>
        <w:t>c.a.</w:t>
      </w:r>
      <w:proofErr w:type="spellEnd"/>
      <w:r w:rsidRPr="002816CF">
        <w:rPr>
          <w:rFonts w:ascii="Verdana" w:hAnsi="Verdana" w:cs="Calibri"/>
          <w:sz w:val="21"/>
          <w:szCs w:val="21"/>
        </w:rPr>
        <w:t xml:space="preserve"> o 60 V c.c.</w:t>
      </w:r>
    </w:p>
    <w:p w14:paraId="771FB268" w14:textId="77777777" w:rsidR="002816CF" w:rsidRPr="002816CF" w:rsidRDefault="002816CF" w:rsidP="00516C6D">
      <w:pPr>
        <w:autoSpaceDE w:val="0"/>
        <w:autoSpaceDN w:val="0"/>
        <w:adjustRightInd w:val="0"/>
        <w:spacing w:after="0" w:line="240" w:lineRule="auto"/>
        <w:ind w:left="709" w:right="709"/>
        <w:jc w:val="both"/>
        <w:rPr>
          <w:rFonts w:ascii="Verdana" w:hAnsi="Verdana" w:cs="Calibri"/>
          <w:sz w:val="21"/>
          <w:szCs w:val="21"/>
        </w:rPr>
      </w:pPr>
    </w:p>
    <w:p w14:paraId="2AD3D9A8" w14:textId="77777777" w:rsidR="00117C12" w:rsidRPr="002816CF" w:rsidRDefault="00117C12" w:rsidP="00516C6D">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lastRenderedPageBreak/>
        <w:t>Muy Baja tensión – MBT: Las tensiones inferiores a 25 V en corriente alterna y menores a 50 V en corriente continua. Conforme a la norma IEC 61140 de 2016</w:t>
      </w:r>
    </w:p>
    <w:p w14:paraId="0B898A65" w14:textId="77777777" w:rsidR="00117C12" w:rsidRPr="002816CF" w:rsidRDefault="00117C12" w:rsidP="00516C6D">
      <w:pPr>
        <w:autoSpaceDE w:val="0"/>
        <w:autoSpaceDN w:val="0"/>
        <w:adjustRightInd w:val="0"/>
        <w:spacing w:after="0" w:line="240" w:lineRule="auto"/>
        <w:ind w:left="709" w:right="709"/>
        <w:jc w:val="both"/>
        <w:rPr>
          <w:rFonts w:ascii="Verdana" w:hAnsi="Verdana" w:cs="Calibri"/>
          <w:sz w:val="21"/>
          <w:szCs w:val="21"/>
        </w:rPr>
      </w:pPr>
    </w:p>
    <w:p w14:paraId="2554E0FC" w14:textId="12AE71FB" w:rsidR="00117C12" w:rsidRPr="00516C6D" w:rsidRDefault="00117C12" w:rsidP="00516C6D">
      <w:pPr>
        <w:autoSpaceDE w:val="0"/>
        <w:autoSpaceDN w:val="0"/>
        <w:adjustRightInd w:val="0"/>
        <w:ind w:firstLine="709"/>
        <w:jc w:val="both"/>
        <w:rPr>
          <w:rFonts w:ascii="Verdana" w:hAnsi="Verdana" w:cs="Calibri"/>
        </w:rPr>
      </w:pPr>
      <w:r w:rsidRPr="00516C6D">
        <w:rPr>
          <w:rFonts w:ascii="Verdana" w:hAnsi="Verdana" w:cs="Calibri"/>
        </w:rPr>
        <w:t>En armonía con lo anterior, debe indicarse que el literal A del numeral 3.5.2, Características de los contratos presentados para acreditar la experiencia exigida, del documento base de los documentos tipo de licitación de obra pública de infraestructura de transporte – versión 4, establece una serie de reglas para la combinación de experiencia, las cuales deben ser observadas por las entidades estatales y por los particulares cuando se requiera combinar diferentes actividades de una misma matriz de experiencia o de matrices distintas. En tal sentido, la entidad evaluará si puede solicitar experiencia para alguna de las actividades previamente citadas bajo los parámetros de “combinación de experiencia”.</w:t>
      </w:r>
    </w:p>
    <w:p w14:paraId="172CE385" w14:textId="5301BD57" w:rsidR="00117C12" w:rsidRPr="00516C6D" w:rsidRDefault="00117C12" w:rsidP="00516C6D">
      <w:pPr>
        <w:autoSpaceDE w:val="0"/>
        <w:autoSpaceDN w:val="0"/>
        <w:adjustRightInd w:val="0"/>
        <w:ind w:firstLine="709"/>
        <w:jc w:val="both"/>
        <w:rPr>
          <w:rFonts w:ascii="Verdana" w:hAnsi="Verdana" w:cs="Calibri"/>
        </w:rPr>
      </w:pPr>
      <w:r w:rsidRPr="00516C6D">
        <w:rPr>
          <w:rFonts w:ascii="Verdana" w:hAnsi="Verdana" w:cs="Calibri"/>
        </w:rPr>
        <w:t>De esta manera, los documentos tipo regulan de forma detallada y suficiente las reglas para la combinación de diferentes actividades a contratar, ya sea dentro de una misma matriz de experiencia o entre matrices de experiencia de distintos documentos tipo adoptados por la Agencia.</w:t>
      </w:r>
    </w:p>
    <w:p w14:paraId="049DC8EF" w14:textId="5B8ED840" w:rsidR="00117C12" w:rsidRPr="00516C6D" w:rsidRDefault="00117C12" w:rsidP="00516C6D">
      <w:pPr>
        <w:autoSpaceDE w:val="0"/>
        <w:autoSpaceDN w:val="0"/>
        <w:adjustRightInd w:val="0"/>
        <w:ind w:firstLine="709"/>
        <w:jc w:val="both"/>
        <w:rPr>
          <w:rFonts w:ascii="Verdana" w:hAnsi="Verdana" w:cs="Calibri"/>
        </w:rPr>
      </w:pPr>
      <w:r w:rsidRPr="00516C6D">
        <w:rPr>
          <w:rFonts w:ascii="Verdana" w:hAnsi="Verdana" w:cs="Calibri"/>
        </w:rPr>
        <w:t xml:space="preserve">Conforme a esta regla de combinación de experiencia, la entidad estatal deberá identificar y definir la actividad principal o de mayor relevancia, así como la actividad secundaria o accesoria, de acuerdo con las características del proyecto particular. Para estos efectos, la entidad determinará la actividad principal entre las actividades definidas en la matriz del proyecto respectivo y podrá establecer hasta dos actividades secundarias cuando: i) en un mismo proyecto se incluyan otras actividades definidas en la Matriz 1 – Experiencia de estos documentos tipo, o </w:t>
      </w:r>
      <w:proofErr w:type="spellStart"/>
      <w:r w:rsidRPr="00516C6D">
        <w:rPr>
          <w:rFonts w:ascii="Verdana" w:hAnsi="Verdana" w:cs="Calibri"/>
        </w:rPr>
        <w:t>ii</w:t>
      </w:r>
      <w:proofErr w:type="spellEnd"/>
      <w:r w:rsidRPr="00516C6D">
        <w:rPr>
          <w:rFonts w:ascii="Verdana" w:hAnsi="Verdana" w:cs="Calibri"/>
        </w:rPr>
        <w:t>) en un proceso de contratación resulten aplicables matrices de experiencia de otros documentos tipo y la entidad considere conveniente incluir dicha experiencia.</w:t>
      </w:r>
    </w:p>
    <w:p w14:paraId="040E1552" w14:textId="4E0B292F" w:rsidR="00117C12" w:rsidRPr="00516C6D" w:rsidRDefault="00117C12" w:rsidP="00516C6D">
      <w:pPr>
        <w:autoSpaceDE w:val="0"/>
        <w:autoSpaceDN w:val="0"/>
        <w:adjustRightInd w:val="0"/>
        <w:ind w:firstLine="709"/>
        <w:jc w:val="both"/>
        <w:rPr>
          <w:rFonts w:ascii="Verdana" w:hAnsi="Verdana" w:cs="Calibri"/>
        </w:rPr>
      </w:pPr>
      <w:r w:rsidRPr="00516C6D">
        <w:rPr>
          <w:rFonts w:ascii="Verdana" w:hAnsi="Verdana" w:cs="Calibri"/>
        </w:rPr>
        <w:t xml:space="preserve">Una vez definidas la actividad principal y las actividades secundarias, la entidad estatal deberá determinar los requisitos de experiencia exigibles de acuerdo con la matriz aplicable, de alguna de las siguientes formas: i) sin solicitar experiencia para la actividad secundaria y exigiéndola únicamente para la principal, siempre que esta corresponda a una actividad definida en la Matriz 1 – Experiencia de los documentos tipo de licitación de obra pública de infraestructura de transporte; o </w:t>
      </w:r>
      <w:proofErr w:type="spellStart"/>
      <w:r w:rsidRPr="00516C6D">
        <w:rPr>
          <w:rFonts w:ascii="Verdana" w:hAnsi="Verdana" w:cs="Calibri"/>
        </w:rPr>
        <w:t>ii</w:t>
      </w:r>
      <w:proofErr w:type="spellEnd"/>
      <w:r w:rsidRPr="00516C6D">
        <w:rPr>
          <w:rFonts w:ascii="Verdana" w:hAnsi="Verdana" w:cs="Calibri"/>
        </w:rPr>
        <w:t xml:space="preserve">) solicitando experiencia general y específica para la actividad principal, y requiriendo la experiencia general o específica correspondiente a la respectiva matriz para las actividades secundarias, salvo </w:t>
      </w:r>
      <w:r w:rsidRPr="00516C6D">
        <w:rPr>
          <w:rFonts w:ascii="Verdana" w:hAnsi="Verdana" w:cs="Calibri"/>
        </w:rPr>
        <w:lastRenderedPageBreak/>
        <w:t>que la matriz aplicable no contemple experiencia específica para determinada actividad secundaria, caso en el cual podrá solicitarse experiencia general.</w:t>
      </w:r>
    </w:p>
    <w:p w14:paraId="6898E4C0" w14:textId="1852E1FE" w:rsidR="00117C12" w:rsidRPr="00516C6D" w:rsidRDefault="00117C12" w:rsidP="00516C6D">
      <w:pPr>
        <w:autoSpaceDE w:val="0"/>
        <w:autoSpaceDN w:val="0"/>
        <w:adjustRightInd w:val="0"/>
        <w:ind w:firstLine="709"/>
        <w:jc w:val="both"/>
        <w:rPr>
          <w:rFonts w:ascii="Verdana" w:hAnsi="Verdana" w:cs="Calibri"/>
        </w:rPr>
      </w:pPr>
      <w:r w:rsidRPr="00516C6D">
        <w:rPr>
          <w:rFonts w:ascii="Verdana" w:hAnsi="Verdana" w:cs="Calibri"/>
        </w:rPr>
        <w:t>La experiencia exigible para las actividades principal y secundaria debe definirse en función de los rangos de cuantía aplicables al respectivo proceso de contratación. En todo caso, la entidad contratante no podrá incluir más de dos combinaciones de experiencia adicionales a la prevista para la actividad principal.</w:t>
      </w:r>
    </w:p>
    <w:p w14:paraId="48DE389B" w14:textId="5FA8D1CD" w:rsidR="00117C12" w:rsidRPr="00516C6D" w:rsidRDefault="00117C12" w:rsidP="00516C6D">
      <w:pPr>
        <w:autoSpaceDE w:val="0"/>
        <w:autoSpaceDN w:val="0"/>
        <w:adjustRightInd w:val="0"/>
        <w:ind w:firstLine="709"/>
        <w:jc w:val="both"/>
        <w:rPr>
          <w:rFonts w:ascii="Verdana" w:hAnsi="Verdana" w:cs="Calibri"/>
        </w:rPr>
      </w:pPr>
      <w:r w:rsidRPr="00516C6D">
        <w:rPr>
          <w:rFonts w:ascii="Verdana" w:hAnsi="Verdana" w:cs="Calibri"/>
        </w:rPr>
        <w:t>Si en la actividad secundaria se solicita la experiencia específica, y ésta contempla más de un requisito 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p>
    <w:p w14:paraId="102E6E8C" w14:textId="4AD8C96A" w:rsidR="00117C12" w:rsidRPr="003C7B8A" w:rsidRDefault="00516C6D" w:rsidP="00117C12">
      <w:pPr>
        <w:autoSpaceDE w:val="0"/>
        <w:autoSpaceDN w:val="0"/>
        <w:adjustRightInd w:val="0"/>
        <w:jc w:val="both"/>
        <w:rPr>
          <w:rFonts w:ascii="Verdana" w:hAnsi="Verdana" w:cs="Calibri"/>
        </w:rPr>
      </w:pPr>
      <w:r w:rsidRPr="003C7B8A">
        <w:rPr>
          <w:rFonts w:ascii="Verdana" w:hAnsi="Verdana" w:cs="Calibri"/>
        </w:rPr>
        <w:t xml:space="preserve">III). </w:t>
      </w:r>
      <w:r w:rsidR="00117C12" w:rsidRPr="003C7B8A">
        <w:rPr>
          <w:rFonts w:ascii="Verdana" w:hAnsi="Verdana" w:cs="Calibri"/>
        </w:rPr>
        <w:t>Ahora bien, con respecto a la aplicabilidad de los documentos tipo para “</w:t>
      </w:r>
      <w:r w:rsidR="00117C12" w:rsidRPr="003C7B8A">
        <w:rPr>
          <w:rFonts w:ascii="Verdana" w:hAnsi="Verdana" w:cs="Calibri"/>
          <w:i/>
          <w:iCs/>
        </w:rPr>
        <w:t>un proceso de selección cuyo objeto integral comprenda los estudios, diseño y construcción de iluminación pública exterior en redes de baja tensión, considerando que los rubros de la Matriz 1 – Experiencia se limitan taxativamente a redes de Media Tensión”</w:t>
      </w:r>
      <w:r w:rsidR="00117C12" w:rsidRPr="003C7B8A">
        <w:rPr>
          <w:rFonts w:ascii="Verdana" w:hAnsi="Verdana" w:cs="Calibri"/>
        </w:rPr>
        <w:t>, en concordancia con las razones anteriormente expuestas, hay que señalar que la Matriz 1 - Experiencia "Documentos tipo de consultoría de estudios de ingeniería de infraestructura de transporte" V2, incluye las siguientes actividades sobre las cuales eventualmente podría recaer el objeto contractual mencionado, relacionado con las actividades de Estudios y diseños:</w:t>
      </w:r>
    </w:p>
    <w:p w14:paraId="6053BB56" w14:textId="77777777" w:rsidR="00117C12" w:rsidRPr="003C7B8A" w:rsidRDefault="00117C12" w:rsidP="003C7B8A">
      <w:pPr>
        <w:autoSpaceDE w:val="0"/>
        <w:autoSpaceDN w:val="0"/>
        <w:adjustRightInd w:val="0"/>
        <w:spacing w:after="0" w:line="240" w:lineRule="auto"/>
        <w:ind w:left="709" w:right="709"/>
        <w:jc w:val="both"/>
        <w:rPr>
          <w:rFonts w:ascii="Verdana" w:hAnsi="Verdana" w:cs="Calibri"/>
        </w:rPr>
      </w:pPr>
    </w:p>
    <w:p w14:paraId="0746C137" w14:textId="77777777" w:rsidR="00117C12" w:rsidRPr="000B48AA" w:rsidRDefault="00117C12" w:rsidP="003C7B8A">
      <w:pPr>
        <w:autoSpaceDE w:val="0"/>
        <w:autoSpaceDN w:val="0"/>
        <w:adjustRightInd w:val="0"/>
        <w:spacing w:after="0" w:line="240" w:lineRule="auto"/>
        <w:ind w:left="709" w:right="709"/>
        <w:jc w:val="both"/>
        <w:rPr>
          <w:rFonts w:ascii="Verdana" w:hAnsi="Verdana" w:cs="Calibri"/>
          <w:sz w:val="21"/>
          <w:szCs w:val="21"/>
        </w:rPr>
      </w:pPr>
      <w:r w:rsidRPr="000B48AA">
        <w:rPr>
          <w:rFonts w:ascii="Verdana" w:hAnsi="Verdana" w:cs="Calibri"/>
          <w:sz w:val="21"/>
          <w:szCs w:val="21"/>
        </w:rPr>
        <w:t xml:space="preserve">1.11. Consultoría a proyectos de instalación o mantenimiento correctivo o mantenimiento </w:t>
      </w:r>
      <w:proofErr w:type="gramStart"/>
      <w:r w:rsidRPr="000B48AA">
        <w:rPr>
          <w:rFonts w:ascii="Verdana" w:hAnsi="Verdana" w:cs="Calibri"/>
          <w:sz w:val="21"/>
          <w:szCs w:val="21"/>
        </w:rPr>
        <w:t>preventivo  o</w:t>
      </w:r>
      <w:proofErr w:type="gramEnd"/>
      <w:r w:rsidRPr="000B48AA">
        <w:rPr>
          <w:rFonts w:ascii="Verdana" w:hAnsi="Verdana" w:cs="Calibri"/>
          <w:sz w:val="21"/>
          <w:szCs w:val="21"/>
        </w:rPr>
        <w:t xml:space="preserve">  ampliación o actividades de construcción de equipos eléctricos y/o electromecánicos y/o de control asociadas a la infraestructura de transporte en vías que lo requieran. </w:t>
      </w:r>
    </w:p>
    <w:p w14:paraId="726D87B7" w14:textId="77777777" w:rsidR="003C7B8A" w:rsidRPr="000B48AA" w:rsidRDefault="003C7B8A" w:rsidP="003C7B8A">
      <w:pPr>
        <w:autoSpaceDE w:val="0"/>
        <w:autoSpaceDN w:val="0"/>
        <w:adjustRightInd w:val="0"/>
        <w:spacing w:after="0" w:line="240" w:lineRule="auto"/>
        <w:ind w:left="709" w:right="709"/>
        <w:jc w:val="both"/>
        <w:rPr>
          <w:rFonts w:ascii="Verdana" w:hAnsi="Verdana" w:cs="Calibri"/>
          <w:sz w:val="21"/>
          <w:szCs w:val="21"/>
        </w:rPr>
      </w:pPr>
    </w:p>
    <w:p w14:paraId="406F0ED5" w14:textId="77777777" w:rsidR="00117C12" w:rsidRPr="000B48AA" w:rsidRDefault="00117C12" w:rsidP="003C7B8A">
      <w:pPr>
        <w:autoSpaceDE w:val="0"/>
        <w:autoSpaceDN w:val="0"/>
        <w:adjustRightInd w:val="0"/>
        <w:spacing w:after="0" w:line="240" w:lineRule="auto"/>
        <w:ind w:left="709" w:right="709"/>
        <w:jc w:val="both"/>
        <w:rPr>
          <w:rFonts w:ascii="Verdana" w:hAnsi="Verdana" w:cs="Calibri"/>
          <w:sz w:val="21"/>
          <w:szCs w:val="21"/>
        </w:rPr>
      </w:pPr>
      <w:r w:rsidRPr="000B48AA">
        <w:rPr>
          <w:rFonts w:ascii="Verdana" w:hAnsi="Verdana" w:cs="Calibri"/>
          <w:sz w:val="21"/>
          <w:szCs w:val="21"/>
        </w:rPr>
        <w:t xml:space="preserve">1.12. Consultoría a proyectos de instalación o mantenimiento correctivo o mantenimiento </w:t>
      </w:r>
      <w:proofErr w:type="gramStart"/>
      <w:r w:rsidRPr="000B48AA">
        <w:rPr>
          <w:rFonts w:ascii="Verdana" w:hAnsi="Verdana" w:cs="Calibri"/>
          <w:sz w:val="21"/>
          <w:szCs w:val="21"/>
        </w:rPr>
        <w:t>preventivo  o</w:t>
      </w:r>
      <w:proofErr w:type="gramEnd"/>
      <w:r w:rsidRPr="000B48AA">
        <w:rPr>
          <w:rFonts w:ascii="Verdana" w:hAnsi="Verdana" w:cs="Calibri"/>
          <w:sz w:val="21"/>
          <w:szCs w:val="21"/>
        </w:rPr>
        <w:t xml:space="preserve">  </w:t>
      </w:r>
      <w:proofErr w:type="gramStart"/>
      <w:r w:rsidRPr="000B48AA">
        <w:rPr>
          <w:rFonts w:ascii="Verdana" w:hAnsi="Verdana" w:cs="Calibri"/>
          <w:sz w:val="21"/>
          <w:szCs w:val="21"/>
        </w:rPr>
        <w:t>ampliación  de</w:t>
      </w:r>
      <w:proofErr w:type="gramEnd"/>
      <w:r w:rsidRPr="000B48AA">
        <w:rPr>
          <w:rFonts w:ascii="Verdana" w:hAnsi="Verdana" w:cs="Calibri"/>
          <w:sz w:val="21"/>
          <w:szCs w:val="21"/>
        </w:rPr>
        <w:t xml:space="preserve"> infraestructura eléctrica asociada a la infraestructura de transporte en vías primarias o secundarias.</w:t>
      </w:r>
    </w:p>
    <w:p w14:paraId="7F98CF87" w14:textId="77777777" w:rsidR="00117C12" w:rsidRPr="000B48AA" w:rsidRDefault="00117C12" w:rsidP="003C7B8A">
      <w:pPr>
        <w:autoSpaceDE w:val="0"/>
        <w:autoSpaceDN w:val="0"/>
        <w:adjustRightInd w:val="0"/>
        <w:spacing w:after="0" w:line="240" w:lineRule="auto"/>
        <w:ind w:left="709" w:right="709"/>
        <w:jc w:val="both"/>
        <w:rPr>
          <w:rFonts w:ascii="Verdana" w:hAnsi="Verdana" w:cs="Calibri"/>
          <w:sz w:val="21"/>
          <w:szCs w:val="21"/>
        </w:rPr>
      </w:pPr>
      <w:r w:rsidRPr="000B48AA">
        <w:rPr>
          <w:rFonts w:ascii="Verdana" w:hAnsi="Verdana" w:cs="Calibri"/>
          <w:sz w:val="21"/>
          <w:szCs w:val="21"/>
        </w:rPr>
        <w:t xml:space="preserve">1.15 proyectos de consultoría para estudios y diseños electrónicos o </w:t>
      </w:r>
      <w:proofErr w:type="gramStart"/>
      <w:r w:rsidRPr="000B48AA">
        <w:rPr>
          <w:rFonts w:ascii="Verdana" w:hAnsi="Verdana" w:cs="Calibri"/>
          <w:sz w:val="21"/>
          <w:szCs w:val="21"/>
        </w:rPr>
        <w:t>electromecánicos  o</w:t>
      </w:r>
      <w:proofErr w:type="gramEnd"/>
      <w:r w:rsidRPr="000B48AA">
        <w:rPr>
          <w:rFonts w:ascii="Verdana" w:hAnsi="Verdana" w:cs="Calibri"/>
          <w:sz w:val="21"/>
          <w:szCs w:val="21"/>
        </w:rPr>
        <w:t xml:space="preserve"> de seguridad vial para proyectos asociados a la infraestructura de transporte.</w:t>
      </w:r>
    </w:p>
    <w:p w14:paraId="627D74E0" w14:textId="77777777" w:rsidR="003C7B8A" w:rsidRPr="000B48AA" w:rsidRDefault="003C7B8A" w:rsidP="003C7B8A">
      <w:pPr>
        <w:autoSpaceDE w:val="0"/>
        <w:autoSpaceDN w:val="0"/>
        <w:adjustRightInd w:val="0"/>
        <w:spacing w:after="0" w:line="240" w:lineRule="auto"/>
        <w:ind w:left="709" w:right="709"/>
        <w:jc w:val="both"/>
        <w:rPr>
          <w:rFonts w:ascii="Verdana" w:hAnsi="Verdana" w:cs="Calibri"/>
          <w:sz w:val="21"/>
          <w:szCs w:val="21"/>
        </w:rPr>
      </w:pPr>
    </w:p>
    <w:p w14:paraId="245E5931" w14:textId="77777777" w:rsidR="00117C12" w:rsidRPr="000B48AA" w:rsidRDefault="00117C12" w:rsidP="003C7B8A">
      <w:pPr>
        <w:autoSpaceDE w:val="0"/>
        <w:autoSpaceDN w:val="0"/>
        <w:adjustRightInd w:val="0"/>
        <w:spacing w:after="0" w:line="240" w:lineRule="auto"/>
        <w:ind w:left="709" w:right="709"/>
        <w:jc w:val="both"/>
        <w:rPr>
          <w:rFonts w:ascii="Verdana" w:hAnsi="Verdana" w:cs="Calibri"/>
          <w:sz w:val="21"/>
          <w:szCs w:val="21"/>
        </w:rPr>
      </w:pPr>
      <w:r w:rsidRPr="000B48AA">
        <w:rPr>
          <w:rFonts w:ascii="Verdana" w:hAnsi="Verdana" w:cs="Calibri"/>
          <w:sz w:val="21"/>
          <w:szCs w:val="21"/>
        </w:rPr>
        <w:lastRenderedPageBreak/>
        <w:t xml:space="preserve">2.10 Consultoría a proyectos de instalación o mantenimiento correctivo o mantenimiento </w:t>
      </w:r>
      <w:proofErr w:type="gramStart"/>
      <w:r w:rsidRPr="000B48AA">
        <w:rPr>
          <w:rFonts w:ascii="Verdana" w:hAnsi="Verdana" w:cs="Calibri"/>
          <w:sz w:val="21"/>
          <w:szCs w:val="21"/>
        </w:rPr>
        <w:t>preventivo  o</w:t>
      </w:r>
      <w:proofErr w:type="gramEnd"/>
      <w:r w:rsidRPr="000B48AA">
        <w:rPr>
          <w:rFonts w:ascii="Verdana" w:hAnsi="Verdana" w:cs="Calibri"/>
          <w:sz w:val="21"/>
          <w:szCs w:val="21"/>
        </w:rPr>
        <w:t xml:space="preserve">  </w:t>
      </w:r>
      <w:proofErr w:type="gramStart"/>
      <w:r w:rsidRPr="000B48AA">
        <w:rPr>
          <w:rFonts w:ascii="Verdana" w:hAnsi="Verdana" w:cs="Calibri"/>
          <w:sz w:val="21"/>
          <w:szCs w:val="21"/>
        </w:rPr>
        <w:t>ampliación  de</w:t>
      </w:r>
      <w:proofErr w:type="gramEnd"/>
      <w:r w:rsidRPr="000B48AA">
        <w:rPr>
          <w:rFonts w:ascii="Verdana" w:hAnsi="Verdana" w:cs="Calibri"/>
          <w:sz w:val="21"/>
          <w:szCs w:val="21"/>
        </w:rPr>
        <w:t xml:space="preserve"> infraestructura eléctrica asociada a la infraestructura de transporte en vías primarias o secundarias.</w:t>
      </w:r>
    </w:p>
    <w:p w14:paraId="62D1CAC8" w14:textId="77777777" w:rsidR="003C7B8A" w:rsidRPr="000B48AA" w:rsidRDefault="003C7B8A" w:rsidP="003C7B8A">
      <w:pPr>
        <w:autoSpaceDE w:val="0"/>
        <w:autoSpaceDN w:val="0"/>
        <w:adjustRightInd w:val="0"/>
        <w:spacing w:after="0" w:line="240" w:lineRule="auto"/>
        <w:ind w:left="709" w:right="709"/>
        <w:jc w:val="both"/>
        <w:rPr>
          <w:rFonts w:ascii="Verdana" w:hAnsi="Verdana" w:cs="Calibri"/>
          <w:sz w:val="21"/>
          <w:szCs w:val="21"/>
        </w:rPr>
      </w:pPr>
    </w:p>
    <w:p w14:paraId="52907CE6" w14:textId="77777777" w:rsidR="00117C12" w:rsidRPr="000B48AA" w:rsidRDefault="00117C12" w:rsidP="003C7B8A">
      <w:pPr>
        <w:autoSpaceDE w:val="0"/>
        <w:autoSpaceDN w:val="0"/>
        <w:adjustRightInd w:val="0"/>
        <w:spacing w:after="0" w:line="240" w:lineRule="auto"/>
        <w:ind w:left="709" w:right="709"/>
        <w:jc w:val="both"/>
        <w:rPr>
          <w:rFonts w:ascii="Verdana" w:hAnsi="Verdana" w:cs="Calibri"/>
          <w:sz w:val="21"/>
          <w:szCs w:val="21"/>
        </w:rPr>
      </w:pPr>
      <w:r w:rsidRPr="000B48AA">
        <w:rPr>
          <w:rFonts w:ascii="Verdana" w:hAnsi="Verdana" w:cs="Calibri"/>
          <w:sz w:val="21"/>
          <w:szCs w:val="21"/>
        </w:rPr>
        <w:t xml:space="preserve">2.13 proyectos de consultoría para estudios y diseños electrónicos o </w:t>
      </w:r>
      <w:proofErr w:type="gramStart"/>
      <w:r w:rsidRPr="000B48AA">
        <w:rPr>
          <w:rFonts w:ascii="Verdana" w:hAnsi="Verdana" w:cs="Calibri"/>
          <w:sz w:val="21"/>
          <w:szCs w:val="21"/>
        </w:rPr>
        <w:t>electromecánicos  o</w:t>
      </w:r>
      <w:proofErr w:type="gramEnd"/>
      <w:r w:rsidRPr="000B48AA">
        <w:rPr>
          <w:rFonts w:ascii="Verdana" w:hAnsi="Verdana" w:cs="Calibri"/>
          <w:sz w:val="21"/>
          <w:szCs w:val="21"/>
        </w:rPr>
        <w:t xml:space="preserve"> de seguridad vial para proyectos asociados a la infraestructura de transporte.</w:t>
      </w:r>
    </w:p>
    <w:p w14:paraId="070C6E47" w14:textId="77777777" w:rsidR="003C7B8A" w:rsidRPr="000B48AA" w:rsidRDefault="003C7B8A" w:rsidP="003C7B8A">
      <w:pPr>
        <w:autoSpaceDE w:val="0"/>
        <w:autoSpaceDN w:val="0"/>
        <w:adjustRightInd w:val="0"/>
        <w:spacing w:after="0" w:line="240" w:lineRule="auto"/>
        <w:ind w:left="709" w:right="709"/>
        <w:jc w:val="both"/>
        <w:rPr>
          <w:rFonts w:ascii="Verdana" w:hAnsi="Verdana" w:cs="Calibri"/>
          <w:sz w:val="21"/>
          <w:szCs w:val="21"/>
        </w:rPr>
      </w:pPr>
    </w:p>
    <w:p w14:paraId="0C146411" w14:textId="77777777" w:rsidR="00117C12" w:rsidRPr="000B48AA" w:rsidRDefault="00117C12" w:rsidP="003C7B8A">
      <w:pPr>
        <w:autoSpaceDE w:val="0"/>
        <w:autoSpaceDN w:val="0"/>
        <w:adjustRightInd w:val="0"/>
        <w:spacing w:after="0" w:line="240" w:lineRule="auto"/>
        <w:ind w:left="709" w:right="709"/>
        <w:jc w:val="both"/>
        <w:rPr>
          <w:rFonts w:ascii="Verdana" w:hAnsi="Verdana" w:cs="Calibri"/>
          <w:sz w:val="21"/>
          <w:szCs w:val="21"/>
        </w:rPr>
      </w:pPr>
      <w:r w:rsidRPr="000B48AA">
        <w:rPr>
          <w:rFonts w:ascii="Verdana" w:hAnsi="Verdana" w:cs="Calibri"/>
          <w:sz w:val="21"/>
          <w:szCs w:val="21"/>
        </w:rPr>
        <w:t xml:space="preserve">6.33 Consultoría a proyectos de instalación u </w:t>
      </w:r>
      <w:proofErr w:type="gramStart"/>
      <w:r w:rsidRPr="000B48AA">
        <w:rPr>
          <w:rFonts w:ascii="Verdana" w:hAnsi="Verdana" w:cs="Calibri"/>
          <w:sz w:val="21"/>
          <w:szCs w:val="21"/>
        </w:rPr>
        <w:t>operación  o</w:t>
      </w:r>
      <w:proofErr w:type="gramEnd"/>
      <w:r w:rsidRPr="000B48AA">
        <w:rPr>
          <w:rFonts w:ascii="Verdana" w:hAnsi="Verdana" w:cs="Calibri"/>
          <w:sz w:val="21"/>
          <w:szCs w:val="21"/>
        </w:rPr>
        <w:t xml:space="preserve"> mantenimiento correctivo o mantenimiento </w:t>
      </w:r>
      <w:proofErr w:type="gramStart"/>
      <w:r w:rsidRPr="000B48AA">
        <w:rPr>
          <w:rFonts w:ascii="Verdana" w:hAnsi="Verdana" w:cs="Calibri"/>
          <w:sz w:val="21"/>
          <w:szCs w:val="21"/>
        </w:rPr>
        <w:t>preventivo  o</w:t>
      </w:r>
      <w:proofErr w:type="gramEnd"/>
      <w:r w:rsidRPr="000B48AA">
        <w:rPr>
          <w:rFonts w:ascii="Verdana" w:hAnsi="Verdana" w:cs="Calibri"/>
          <w:sz w:val="21"/>
          <w:szCs w:val="21"/>
        </w:rPr>
        <w:t xml:space="preserve">  </w:t>
      </w:r>
      <w:proofErr w:type="gramStart"/>
      <w:r w:rsidRPr="000B48AA">
        <w:rPr>
          <w:rFonts w:ascii="Verdana" w:hAnsi="Verdana" w:cs="Calibri"/>
          <w:sz w:val="21"/>
          <w:szCs w:val="21"/>
        </w:rPr>
        <w:t>ampliación  de</w:t>
      </w:r>
      <w:proofErr w:type="gramEnd"/>
      <w:r w:rsidRPr="000B48AA">
        <w:rPr>
          <w:rFonts w:ascii="Verdana" w:hAnsi="Verdana" w:cs="Calibri"/>
          <w:sz w:val="21"/>
          <w:szCs w:val="21"/>
        </w:rPr>
        <w:t xml:space="preserve"> equipos eléctricos y </w:t>
      </w:r>
      <w:proofErr w:type="gramStart"/>
      <w:r w:rsidRPr="000B48AA">
        <w:rPr>
          <w:rFonts w:ascii="Verdana" w:hAnsi="Verdana" w:cs="Calibri"/>
          <w:sz w:val="21"/>
          <w:szCs w:val="21"/>
        </w:rPr>
        <w:t>electromecánicos  de</w:t>
      </w:r>
      <w:proofErr w:type="gramEnd"/>
      <w:r w:rsidRPr="000B48AA">
        <w:rPr>
          <w:rFonts w:ascii="Verdana" w:hAnsi="Verdana" w:cs="Calibri"/>
          <w:sz w:val="21"/>
          <w:szCs w:val="21"/>
        </w:rPr>
        <w:t xml:space="preserve"> control asociadas a la infraestructura de transporte en vías que lo requieran.</w:t>
      </w:r>
    </w:p>
    <w:p w14:paraId="2FF5D2F1" w14:textId="77777777" w:rsidR="003C7B8A" w:rsidRPr="000B48AA" w:rsidRDefault="003C7B8A" w:rsidP="003C7B8A">
      <w:pPr>
        <w:autoSpaceDE w:val="0"/>
        <w:autoSpaceDN w:val="0"/>
        <w:adjustRightInd w:val="0"/>
        <w:spacing w:after="0" w:line="240" w:lineRule="auto"/>
        <w:ind w:left="709" w:right="709"/>
        <w:jc w:val="both"/>
        <w:rPr>
          <w:rFonts w:ascii="Verdana" w:hAnsi="Verdana" w:cs="Calibri"/>
          <w:sz w:val="21"/>
          <w:szCs w:val="21"/>
        </w:rPr>
      </w:pPr>
    </w:p>
    <w:p w14:paraId="054F91DB" w14:textId="77777777" w:rsidR="00117C12" w:rsidRPr="000B48AA" w:rsidRDefault="00117C12" w:rsidP="003C7B8A">
      <w:pPr>
        <w:autoSpaceDE w:val="0"/>
        <w:autoSpaceDN w:val="0"/>
        <w:adjustRightInd w:val="0"/>
        <w:spacing w:after="0" w:line="240" w:lineRule="auto"/>
        <w:ind w:left="709" w:right="709"/>
        <w:jc w:val="both"/>
        <w:rPr>
          <w:rFonts w:ascii="Verdana" w:hAnsi="Verdana" w:cs="Calibri"/>
          <w:sz w:val="21"/>
          <w:szCs w:val="21"/>
        </w:rPr>
      </w:pPr>
      <w:r w:rsidRPr="000B48AA">
        <w:rPr>
          <w:rFonts w:ascii="Verdana" w:hAnsi="Verdana" w:cs="Calibri"/>
          <w:sz w:val="21"/>
          <w:szCs w:val="21"/>
        </w:rPr>
        <w:t>8.13. Proyectos de consultoría para construcción y/o expansión y/o mantenimiento y/o mejoramiento y/o optimización y/o adecuación de alumbrado público y redes eléctricas de media tensión para proyectos aeroportuarios o aeródromos.</w:t>
      </w:r>
    </w:p>
    <w:p w14:paraId="589B4271" w14:textId="77777777" w:rsidR="00117C12" w:rsidRPr="003C7B8A" w:rsidRDefault="00117C12" w:rsidP="00117C12">
      <w:pPr>
        <w:autoSpaceDE w:val="0"/>
        <w:autoSpaceDN w:val="0"/>
        <w:adjustRightInd w:val="0"/>
        <w:jc w:val="both"/>
        <w:rPr>
          <w:rFonts w:ascii="Verdana" w:hAnsi="Verdana" w:cs="Calibri"/>
        </w:rPr>
      </w:pPr>
    </w:p>
    <w:p w14:paraId="539310FF" w14:textId="1EAF836F" w:rsidR="00117C12" w:rsidRPr="000B48AA" w:rsidRDefault="00117C12" w:rsidP="00117C12">
      <w:pPr>
        <w:autoSpaceDE w:val="0"/>
        <w:autoSpaceDN w:val="0"/>
        <w:adjustRightInd w:val="0"/>
        <w:jc w:val="both"/>
        <w:rPr>
          <w:rFonts w:ascii="Verdana" w:hAnsi="Verdana" w:cs="Calibri"/>
        </w:rPr>
      </w:pPr>
      <w:r w:rsidRPr="003C7B8A">
        <w:rPr>
          <w:rFonts w:ascii="Verdana" w:hAnsi="Verdana" w:cs="Calibri"/>
        </w:rPr>
        <w:t>En adición a lo anterior, es necesario considerar que, conforme a las definiciones contenidas en el Reglamento Técnico de Instalaciones Eléctricas (RETIE), las instalaciones eléctricas corresponden a la “</w:t>
      </w:r>
      <w:r w:rsidRPr="003C7B8A">
        <w:rPr>
          <w:rFonts w:ascii="Verdana" w:hAnsi="Verdana" w:cs="Calibri"/>
          <w:i/>
          <w:iCs/>
        </w:rPr>
        <w:t>instalación o montaje de equipos eléctricos que se emplea para la generación, transmisión, conversión, distribución y/o uso final de la energía eléctrica</w:t>
      </w:r>
      <w:r w:rsidRPr="003C7B8A">
        <w:rPr>
          <w:rFonts w:ascii="Verdana" w:hAnsi="Verdana" w:cs="Calibri"/>
        </w:rPr>
        <w:t>”. A su vez, el artículo 2.2.3.1.2 del Decreto 1073 de 2015 define el sistema de alumbrado público como:</w:t>
      </w:r>
    </w:p>
    <w:p w14:paraId="316204DB" w14:textId="03F00755" w:rsidR="00117C12" w:rsidRPr="002816CF" w:rsidRDefault="00117C12" w:rsidP="000B48AA">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“Sistema de Alumbrado Público. Comprende el conjunto de luminarias, redes eléctricas, transformadores y postes de uso exclusivo, los desarrollos tecnológicos asociados al servicio de alumbrado público, y en general todos los equipos necesarios para la prestación del servicio de alumbrado público que no forman parte del sistema de distribución de energía eléctrica. “</w:t>
      </w:r>
    </w:p>
    <w:p w14:paraId="4244C4F3" w14:textId="77777777" w:rsidR="000B48AA" w:rsidRPr="000B48AA" w:rsidRDefault="000B48AA" w:rsidP="000B48AA">
      <w:pPr>
        <w:autoSpaceDE w:val="0"/>
        <w:autoSpaceDN w:val="0"/>
        <w:adjustRightInd w:val="0"/>
        <w:spacing w:after="0" w:line="240" w:lineRule="auto"/>
        <w:ind w:left="709" w:right="709"/>
        <w:jc w:val="both"/>
        <w:rPr>
          <w:rFonts w:ascii="Verdana" w:hAnsi="Verdana" w:cs="Calibri"/>
        </w:rPr>
      </w:pPr>
    </w:p>
    <w:p w14:paraId="610F9CF3" w14:textId="13105AD1" w:rsidR="00117C12" w:rsidRDefault="00117C12" w:rsidP="002816CF">
      <w:pPr>
        <w:autoSpaceDE w:val="0"/>
        <w:autoSpaceDN w:val="0"/>
        <w:adjustRightInd w:val="0"/>
        <w:spacing w:after="0" w:line="240" w:lineRule="auto"/>
        <w:ind w:right="49" w:firstLine="708"/>
        <w:jc w:val="both"/>
        <w:rPr>
          <w:rFonts w:ascii="Verdana" w:hAnsi="Verdana" w:cs="Calibri"/>
        </w:rPr>
      </w:pPr>
      <w:r w:rsidRPr="000B48AA">
        <w:rPr>
          <w:rFonts w:ascii="Verdana" w:hAnsi="Verdana" w:cs="Calibri"/>
        </w:rPr>
        <w:t>En igual sentido, el Decreto 1073 de 2015, define el Servicio de Alumbrado público como:</w:t>
      </w:r>
    </w:p>
    <w:p w14:paraId="6FB49012" w14:textId="77777777" w:rsidR="002816CF" w:rsidRPr="000B48AA" w:rsidRDefault="002816CF" w:rsidP="000B48AA">
      <w:pPr>
        <w:autoSpaceDE w:val="0"/>
        <w:autoSpaceDN w:val="0"/>
        <w:adjustRightInd w:val="0"/>
        <w:spacing w:after="0" w:line="240" w:lineRule="auto"/>
        <w:ind w:right="709" w:firstLine="708"/>
        <w:jc w:val="both"/>
        <w:rPr>
          <w:rFonts w:ascii="Verdana" w:hAnsi="Verdana" w:cs="Calibri"/>
        </w:rPr>
      </w:pPr>
    </w:p>
    <w:p w14:paraId="2F04FD4E" w14:textId="77777777" w:rsidR="00117C12" w:rsidRPr="002816CF" w:rsidRDefault="00117C12" w:rsidP="000B48AA">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“Servicio público no domiciliario de iluminación, inherente al servicio de energía eléctrica, que se presta con el fin de dar visibilidad al espacio público, bienes de uso público y demás espacios de libre circulación, con tránsito vehicular o peatonal, dentro del perímetro urbano y rural de un municipio o distrito, para el normal desarrollo de las actividades.</w:t>
      </w:r>
    </w:p>
    <w:p w14:paraId="6D7669CE" w14:textId="77777777" w:rsidR="00117C12" w:rsidRPr="002816CF" w:rsidRDefault="00117C12" w:rsidP="000B48AA">
      <w:pPr>
        <w:autoSpaceDE w:val="0"/>
        <w:autoSpaceDN w:val="0"/>
        <w:adjustRightInd w:val="0"/>
        <w:spacing w:after="0" w:line="240" w:lineRule="auto"/>
        <w:ind w:left="709" w:right="709"/>
        <w:jc w:val="both"/>
        <w:rPr>
          <w:rFonts w:ascii="Verdana" w:hAnsi="Verdana" w:cs="Calibri"/>
          <w:sz w:val="21"/>
          <w:szCs w:val="21"/>
        </w:rPr>
      </w:pPr>
    </w:p>
    <w:p w14:paraId="72C6072F" w14:textId="77777777" w:rsidR="00117C12" w:rsidRPr="002816CF" w:rsidRDefault="00117C12" w:rsidP="000B48AA">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 xml:space="preserve"> El servicio de alumbrado público comprende las actividades de suministro de energía eléctrica al sistema de alumbrado público, la administración, operación, mantenimiento, modernización, reposición y expansión de dicho sistema, el desarrollo tecnológico asociado a él, y la interventoría en los casos que aplique.</w:t>
      </w:r>
    </w:p>
    <w:p w14:paraId="320E7FF3" w14:textId="77777777" w:rsidR="00117C12" w:rsidRPr="002816CF" w:rsidRDefault="00117C12" w:rsidP="000B48AA">
      <w:pPr>
        <w:autoSpaceDE w:val="0"/>
        <w:autoSpaceDN w:val="0"/>
        <w:adjustRightInd w:val="0"/>
        <w:spacing w:after="0" w:line="240" w:lineRule="auto"/>
        <w:ind w:left="709" w:right="709"/>
        <w:jc w:val="both"/>
        <w:rPr>
          <w:rFonts w:ascii="Verdana" w:hAnsi="Verdana" w:cs="Calibri"/>
          <w:sz w:val="21"/>
          <w:szCs w:val="21"/>
        </w:rPr>
      </w:pPr>
    </w:p>
    <w:p w14:paraId="714F5A13" w14:textId="77777777" w:rsidR="00117C12" w:rsidRPr="002816CF" w:rsidRDefault="00117C12" w:rsidP="000B48AA">
      <w:pPr>
        <w:autoSpaceDE w:val="0"/>
        <w:autoSpaceDN w:val="0"/>
        <w:adjustRightInd w:val="0"/>
        <w:spacing w:after="0" w:line="240" w:lineRule="auto"/>
        <w:ind w:left="709" w:right="709"/>
        <w:jc w:val="both"/>
        <w:rPr>
          <w:rFonts w:ascii="Verdana" w:hAnsi="Verdana" w:cs="Calibri"/>
          <w:sz w:val="21"/>
          <w:szCs w:val="21"/>
        </w:rPr>
      </w:pPr>
      <w:proofErr w:type="gramStart"/>
      <w:r w:rsidRPr="002816CF">
        <w:rPr>
          <w:rFonts w:ascii="Verdana" w:hAnsi="Verdana" w:cs="Calibri"/>
          <w:sz w:val="21"/>
          <w:szCs w:val="21"/>
        </w:rPr>
        <w:t>PARÁGRAFO .</w:t>
      </w:r>
      <w:proofErr w:type="gramEnd"/>
      <w:r w:rsidRPr="002816CF">
        <w:rPr>
          <w:rFonts w:ascii="Verdana" w:hAnsi="Verdana" w:cs="Calibri"/>
          <w:sz w:val="21"/>
          <w:szCs w:val="21"/>
        </w:rPr>
        <w:t xml:space="preserve"> No se considera servicio de alumbrado público la semaforización, los relojes digitales y la iluminación de las zonas comunes en las unidades inmobiliarias cerradas o en los edificios o conjuntos de uso residencial, comercial, industrial o mixto, sometidos al régimen de propiedad horizontal, la cual estará a cargo de la copropiedad.</w:t>
      </w:r>
    </w:p>
    <w:p w14:paraId="0C3F9214" w14:textId="77777777" w:rsidR="00117C12" w:rsidRPr="002816CF" w:rsidRDefault="00117C12" w:rsidP="000B48AA">
      <w:pPr>
        <w:autoSpaceDE w:val="0"/>
        <w:autoSpaceDN w:val="0"/>
        <w:adjustRightInd w:val="0"/>
        <w:spacing w:after="0" w:line="240" w:lineRule="auto"/>
        <w:ind w:left="709" w:right="709"/>
        <w:jc w:val="both"/>
        <w:rPr>
          <w:rFonts w:ascii="Verdana" w:hAnsi="Verdana" w:cs="Calibri"/>
          <w:sz w:val="21"/>
          <w:szCs w:val="21"/>
        </w:rPr>
      </w:pPr>
    </w:p>
    <w:p w14:paraId="7DD3B073" w14:textId="77777777" w:rsidR="00117C12" w:rsidRPr="002816CF" w:rsidRDefault="00117C12" w:rsidP="000B48AA">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Se excluyen del servicio de alumbrado público la iluminación de carreteras que no se encuentren a cargo del municipio o distrito, con excepción de aquellos municipios y distritos que presten el servicio de alumbrado público en corredores viales nacionales o departamentales que se encuentren dentro su perímetro urbano y rural, para garantizar la seguridad y mejorar el nivel de servicio a la población en el uso de la infraestructura de transporte, previa autorización de la entidad titular del respectivo corredor vial, acorde a lo dispuesto por el artículo 68 de la Ley 1682 de 2013.</w:t>
      </w:r>
    </w:p>
    <w:p w14:paraId="3D252BE8" w14:textId="77777777" w:rsidR="00117C12" w:rsidRPr="002816CF" w:rsidRDefault="00117C12" w:rsidP="000B48AA">
      <w:pPr>
        <w:autoSpaceDE w:val="0"/>
        <w:autoSpaceDN w:val="0"/>
        <w:adjustRightInd w:val="0"/>
        <w:spacing w:after="0" w:line="240" w:lineRule="auto"/>
        <w:ind w:left="709" w:right="709"/>
        <w:jc w:val="both"/>
        <w:rPr>
          <w:rFonts w:ascii="Verdana" w:hAnsi="Verdana" w:cs="Calibri"/>
          <w:sz w:val="21"/>
          <w:szCs w:val="21"/>
        </w:rPr>
      </w:pPr>
    </w:p>
    <w:p w14:paraId="56122DFC" w14:textId="77777777" w:rsidR="00117C12" w:rsidRPr="002816CF" w:rsidRDefault="00117C12" w:rsidP="000B48AA">
      <w:pPr>
        <w:autoSpaceDE w:val="0"/>
        <w:autoSpaceDN w:val="0"/>
        <w:adjustRightInd w:val="0"/>
        <w:spacing w:after="0" w:line="240" w:lineRule="auto"/>
        <w:ind w:left="709" w:right="709"/>
        <w:jc w:val="both"/>
        <w:rPr>
          <w:rFonts w:ascii="Verdana" w:hAnsi="Verdana" w:cs="Calibri"/>
          <w:sz w:val="21"/>
          <w:szCs w:val="21"/>
        </w:rPr>
      </w:pPr>
      <w:r w:rsidRPr="002816CF">
        <w:rPr>
          <w:rFonts w:ascii="Verdana" w:hAnsi="Verdana" w:cs="Calibri"/>
          <w:sz w:val="21"/>
          <w:szCs w:val="21"/>
        </w:rPr>
        <w:t>Tampoco se considera servicio de alumbrado público la iluminación ornamental y navideña en los espacios públicos, pese a que las Entidades Territoriales en virtud de su autonomía, podrán complementar la destinación del impuesto a dichas actividades, de conformidad con el parágrafo del artículo 350 de la Ley 1819 de 2016.”</w:t>
      </w:r>
    </w:p>
    <w:p w14:paraId="127AFA0F" w14:textId="77777777" w:rsidR="00117C12" w:rsidRDefault="00117C12" w:rsidP="00117C12">
      <w:pPr>
        <w:autoSpaceDE w:val="0"/>
        <w:autoSpaceDN w:val="0"/>
        <w:adjustRightInd w:val="0"/>
        <w:jc w:val="both"/>
        <w:rPr>
          <w:rFonts w:ascii="Calibri" w:hAnsi="Calibri" w:cs="Calibri"/>
        </w:rPr>
      </w:pPr>
    </w:p>
    <w:p w14:paraId="12D7DF4E" w14:textId="77777777" w:rsidR="00117C12" w:rsidRPr="002816CF" w:rsidRDefault="00117C12" w:rsidP="002816CF">
      <w:pPr>
        <w:autoSpaceDE w:val="0"/>
        <w:autoSpaceDN w:val="0"/>
        <w:adjustRightInd w:val="0"/>
        <w:ind w:firstLine="709"/>
        <w:jc w:val="both"/>
        <w:rPr>
          <w:rFonts w:ascii="Verdana" w:hAnsi="Verdana" w:cs="Calibri"/>
        </w:rPr>
      </w:pPr>
      <w:r w:rsidRPr="002816CF">
        <w:rPr>
          <w:rFonts w:ascii="Verdana" w:hAnsi="Verdana" w:cs="Calibri"/>
        </w:rPr>
        <w:t xml:space="preserve">En conclusión, de acuerdo con la regla prevista en el numeral i) del numeral 3.5.2, Características de los contratos presentados para acreditar la experiencia exigida, contenida en el documento tipo de licitación de obra pública de infraestructura de transporte – versión 4, es posible realizar la combinación de experiencia, bien sea dentro de la misma matriz del sector o con una matriz de experiencia de otro sector adoptada por la Agencia Nacional de Contratación Pública – Colombia Compra Eficiente. Para ello, la entidad deberá determinar cuál será la actividad principal y cuáles serán la(s) actividad(es) secundaria(s), y dar estricto cumplimiento a las condiciones previstas en el numeral citado. En tal sentido, por ejemplo, podría a través de estas reglas determinar cómo actividad principal la actividad relacionada con la construcción de la </w:t>
      </w:r>
      <w:r w:rsidRPr="002816CF">
        <w:rPr>
          <w:rFonts w:ascii="Verdana" w:hAnsi="Verdana" w:cs="Calibri"/>
        </w:rPr>
        <w:lastRenderedPageBreak/>
        <w:t>infraestructura y como actividad secundaria la relacionada con los estudios y diseños.</w:t>
      </w:r>
    </w:p>
    <w:p w14:paraId="3D01B06E" w14:textId="3FEADEDC" w:rsidR="00BA0F84" w:rsidRPr="00BA0F84" w:rsidRDefault="002816CF" w:rsidP="00BA0F84">
      <w:pPr>
        <w:jc w:val="both"/>
        <w:rPr>
          <w:rFonts w:ascii="Verdana" w:hAnsi="Verdana" w:cs="Calibri"/>
          <w:lang w:val="es-ES"/>
        </w:rPr>
      </w:pPr>
      <w:r w:rsidRPr="00BA0F84">
        <w:rPr>
          <w:rFonts w:ascii="Verdana" w:hAnsi="Verdana" w:cs="Calibri"/>
        </w:rPr>
        <w:t xml:space="preserve">IV). </w:t>
      </w:r>
      <w:r w:rsidR="00BA0F84" w:rsidRPr="00BA0F84">
        <w:rPr>
          <w:rFonts w:ascii="Verdana" w:hAnsi="Verdana" w:cs="Calibri"/>
          <w:lang w:val="es-ES"/>
        </w:rPr>
        <w:t>Finalmente, frente a la posibilidad de considerar los Documentos Tipo como una herramienta de carácter facultativo u orientador, empleada como guía de buenas prácticas cuando el objeto contractual no se encuentra expresamente contemplado en las categorías técnicas previstas, es necesario reiterar que corresponde a la entidad estatal, en ejercicio de su autonomía de planeación y con fundamento en las consideraciones técnicas y jurídicas aplicables, determinar si las actividades a contratar pueden o no encajar dentro del objeto regulado por dichos documentos. En consecuencia, la inaplicación de los Documentos Tipo, por sí sola, no constituye automáticamente un incumplimiento normativo de la Ley 2022 de 2020, especialmente cuando no exista una correspondencia técnica clara entre el objeto contractual y las categorías previstas en la regulación aplicable.</w:t>
      </w:r>
    </w:p>
    <w:p w14:paraId="44B3B95F" w14:textId="4E4240E3" w:rsidR="00117C12" w:rsidRPr="0042334B" w:rsidRDefault="00117C12" w:rsidP="0042334B">
      <w:pPr>
        <w:ind w:firstLine="709"/>
        <w:jc w:val="both"/>
        <w:rPr>
          <w:rFonts w:ascii="Verdana" w:hAnsi="Verdana" w:cs="Calibri"/>
        </w:rPr>
      </w:pPr>
      <w:r w:rsidRPr="0042334B">
        <w:rPr>
          <w:rFonts w:ascii="Verdana" w:hAnsi="Verdana" w:cs="Calibri"/>
        </w:rPr>
        <w:t xml:space="preserve">Asimismo, conviene tener en cuenta una regla adicional prevista en el literal H del numeral 3.5.2. del documento base. Esta disposición permite solicitar experiencia respecto de actividades que no estén contenidas en las matrices de los Documentos Tipo expedidos por la Agencia, cuando se trate de </w:t>
      </w:r>
      <w:r w:rsidRPr="0042334B">
        <w:rPr>
          <w:rFonts w:ascii="Verdana" w:hAnsi="Verdana" w:cs="Calibri"/>
          <w:i/>
          <w:iCs/>
        </w:rPr>
        <w:t>“bienes, obras o servicios adicionales a la infraestructura de transporte”</w:t>
      </w:r>
      <w:r w:rsidRPr="0042334B">
        <w:rPr>
          <w:rFonts w:ascii="Verdana" w:hAnsi="Verdana" w:cs="Calibri"/>
        </w:rPr>
        <w:t xml:space="preserve">. </w:t>
      </w:r>
    </w:p>
    <w:p w14:paraId="23171427" w14:textId="1BEEC8ED" w:rsidR="00117C12" w:rsidRPr="0042334B" w:rsidRDefault="00117C12" w:rsidP="0042334B">
      <w:pPr>
        <w:autoSpaceDE w:val="0"/>
        <w:autoSpaceDN w:val="0"/>
        <w:adjustRightInd w:val="0"/>
        <w:ind w:firstLine="709"/>
        <w:jc w:val="both"/>
        <w:rPr>
          <w:rFonts w:ascii="Verdana" w:hAnsi="Verdana" w:cs="Calibri"/>
        </w:rPr>
      </w:pPr>
      <w:r w:rsidRPr="0042334B">
        <w:rPr>
          <w:rFonts w:ascii="Verdana" w:hAnsi="Verdana" w:cs="Calibri"/>
        </w:rPr>
        <w:t>Cuando la entidad requiere bienes y servicios que no se encuentran incluidos como obra de infraestructura de transporte en la “Matriz 1 – Experiencia” y considera necesario exigir experiencia adicional, se debe aplicar el artículo 4 de la Resolución No. 465 del 10 de septiembre de 2024. Esta norma dispone los eventos en los que el objeto contractual incluye bienes o servicios adicionales a la obra pública de infraestructura de transporte. En este caso, la entidad puede incluir experiencia adicional para evaluar la idoneidad respecto de los bienes o servicios ajenos a la obra pública de infraestructura de transporte.</w:t>
      </w:r>
    </w:p>
    <w:p w14:paraId="34A31BE6" w14:textId="6438A079" w:rsidR="00117C12" w:rsidRPr="0042334B" w:rsidRDefault="00117C12" w:rsidP="0042334B">
      <w:pPr>
        <w:autoSpaceDE w:val="0"/>
        <w:autoSpaceDN w:val="0"/>
        <w:adjustRightInd w:val="0"/>
        <w:ind w:firstLine="709"/>
        <w:jc w:val="both"/>
        <w:rPr>
          <w:rFonts w:ascii="Verdana" w:hAnsi="Verdana" w:cs="Calibri"/>
        </w:rPr>
      </w:pPr>
      <w:r w:rsidRPr="0042334B">
        <w:rPr>
          <w:rFonts w:ascii="Verdana" w:hAnsi="Verdana" w:cs="Calibri"/>
        </w:rPr>
        <w:t xml:space="preserve">Para ello, se deben seguir los siguientes parámetros: i) demostrar en los estudios previos que ha verificado las condiciones de mercado para la contratación de las obras, bienes o servicios adicionales al componente de obra pública, de tal forma que la experiencia adicional que se exija para tales bienes o servicios procure la pluralidad de oferentes y no limite la concurrencia al proceso de contratación, </w:t>
      </w:r>
      <w:proofErr w:type="spellStart"/>
      <w:r w:rsidRPr="0042334B">
        <w:rPr>
          <w:rFonts w:ascii="Verdana" w:hAnsi="Verdana" w:cs="Calibri"/>
        </w:rPr>
        <w:t>ii</w:t>
      </w:r>
      <w:proofErr w:type="spellEnd"/>
      <w:r w:rsidRPr="0042334B">
        <w:rPr>
          <w:rFonts w:ascii="Verdana" w:hAnsi="Verdana" w:cs="Calibri"/>
        </w:rPr>
        <w:t xml:space="preserve">) conservar los requisitos exigidos en los documentos tipo, </w:t>
      </w:r>
      <w:proofErr w:type="spellStart"/>
      <w:r w:rsidRPr="0042334B">
        <w:rPr>
          <w:rFonts w:ascii="Verdana" w:hAnsi="Verdana" w:cs="Calibri"/>
        </w:rPr>
        <w:t>iii</w:t>
      </w:r>
      <w:proofErr w:type="spellEnd"/>
      <w:r w:rsidRPr="0042334B">
        <w:rPr>
          <w:rFonts w:ascii="Verdana" w:hAnsi="Verdana" w:cs="Calibri"/>
        </w:rPr>
        <w:t xml:space="preserve">) abstenerse de pedir experiencia exclusiva con entidades estatales, experiencia previa en un territorio específico, limitada en el tiempo o que incluya volúmenes o cantidades de obra específica, </w:t>
      </w:r>
      <w:proofErr w:type="spellStart"/>
      <w:r w:rsidRPr="0042334B">
        <w:rPr>
          <w:rFonts w:ascii="Verdana" w:hAnsi="Verdana" w:cs="Calibri"/>
        </w:rPr>
        <w:t>iv</w:t>
      </w:r>
      <w:proofErr w:type="spellEnd"/>
      <w:r w:rsidRPr="0042334B">
        <w:rPr>
          <w:rFonts w:ascii="Verdana" w:hAnsi="Verdana" w:cs="Calibri"/>
        </w:rPr>
        <w:t xml:space="preserve">) clasificar la experiencia requerida </w:t>
      </w:r>
      <w:r w:rsidRPr="0042334B">
        <w:rPr>
          <w:rFonts w:ascii="Verdana" w:hAnsi="Verdana" w:cs="Calibri"/>
        </w:rPr>
        <w:lastRenderedPageBreak/>
        <w:t>solo hasta el tercer nivel del clasificador de bienes y servicios e incluir exclusivamente los códigos que estén relacionados directamente con el objeto a contratar.</w:t>
      </w:r>
    </w:p>
    <w:p w14:paraId="63C7C614" w14:textId="108009AD" w:rsidR="00117C12" w:rsidRPr="0042334B" w:rsidRDefault="00117C12" w:rsidP="0042334B">
      <w:pPr>
        <w:autoSpaceDE w:val="0"/>
        <w:autoSpaceDN w:val="0"/>
        <w:adjustRightInd w:val="0"/>
        <w:ind w:firstLine="709"/>
        <w:jc w:val="both"/>
        <w:rPr>
          <w:rFonts w:ascii="Verdana" w:hAnsi="Verdana" w:cs="Calibri"/>
        </w:rPr>
      </w:pPr>
      <w:r w:rsidRPr="0042334B">
        <w:rPr>
          <w:rFonts w:ascii="Verdana" w:hAnsi="Verdana" w:cs="Calibri"/>
        </w:rPr>
        <w:t>Debe indicarse que, de acuerdo con el parágrafo 2 de la Resolución 465 de 2024, se entiende por "obras, bienes o servicios adicionales" aquellas actividades que no están incluidas en la matriz de experiencia de los documentos tipo de infraestructura de transporte aplicable, pero que están relacionadas con el contrato a ejecutar. Por ejemplo, en caso de que el proyecto de obra pública a ejecutar esté relacionado con infraestructura de transporte, pero, además, con proyectos de agua potable y saneamiento básico o con proyectos de infraestructura social, el servicio adicional serán las actividades de obra pública en infraestructura de agua potable y saneamiento básico o las a</w:t>
      </w:r>
      <w:r w:rsidR="0042334B" w:rsidRPr="0042334B">
        <w:rPr>
          <w:rFonts w:ascii="Verdana" w:hAnsi="Verdana" w:cs="Calibri"/>
        </w:rPr>
        <w:t>c</w:t>
      </w:r>
      <w:r w:rsidRPr="0042334B">
        <w:rPr>
          <w:rFonts w:ascii="Verdana" w:hAnsi="Verdana" w:cs="Calibri"/>
        </w:rPr>
        <w:t>tividades de obra pública de infraestructura social.</w:t>
      </w:r>
    </w:p>
    <w:p w14:paraId="5D21B9AA" w14:textId="09782746" w:rsidR="00117C12" w:rsidRPr="0042334B" w:rsidRDefault="00117C12" w:rsidP="0042334B">
      <w:pPr>
        <w:autoSpaceDE w:val="0"/>
        <w:autoSpaceDN w:val="0"/>
        <w:adjustRightInd w:val="0"/>
        <w:ind w:firstLine="709"/>
        <w:jc w:val="both"/>
        <w:rPr>
          <w:rFonts w:ascii="Verdana" w:hAnsi="Verdana" w:cs="Calibri"/>
        </w:rPr>
      </w:pPr>
      <w:r w:rsidRPr="0042334B">
        <w:rPr>
          <w:rFonts w:ascii="Verdana" w:hAnsi="Verdana" w:cs="Calibri"/>
        </w:rPr>
        <w:t>Adicionalmente, debe tenerse presente la regla de la inalterabilidad de los Documentos Tipo, que se fundamenta en los artículos 2 y 3 de la Resolución No. 465 del 10 de septiembre de 2024, que disponen que las entidades contratantes no podrán incluir o modificar dentro de los documentos del proceso las condiciones habilitantes, los factores técnicos y económicos de escogencia y los sistemas de ponderación señalados en los documentos tipo.</w:t>
      </w:r>
    </w:p>
    <w:p w14:paraId="71DC8C7E" w14:textId="77777777" w:rsidR="00117C12" w:rsidRPr="0042334B" w:rsidRDefault="00117C12" w:rsidP="0042334B">
      <w:pPr>
        <w:ind w:firstLine="709"/>
        <w:jc w:val="both"/>
        <w:rPr>
          <w:rFonts w:ascii="Verdana" w:hAnsi="Verdana"/>
        </w:rPr>
      </w:pPr>
      <w:r w:rsidRPr="0042334B">
        <w:rPr>
          <w:rFonts w:ascii="Verdana" w:hAnsi="Verdana" w:cs="Calibri"/>
        </w:rPr>
        <w:t>En conclusión, la entidad podría evaluar la conveniencia de estructurar el proceso de selección con base en las alternativas previamente expuestas. En particular, para un objeto que comprenda estudios, diseño y construcción, podrá analizar la aplicación de las reglas de combinación de experiencia, así como la posibilidad de exigir experiencia adicional respecto de bienes, obras o servicios adicionales a la infraestructura de transporte, en los términos previstos en los documentos tipo.</w:t>
      </w:r>
    </w:p>
    <w:p w14:paraId="3BE0C4D6" w14:textId="016B109C" w:rsidR="006128C9" w:rsidRPr="00023E31" w:rsidRDefault="006128C9" w:rsidP="0042334B">
      <w:pPr>
        <w:jc w:val="both"/>
        <w:rPr>
          <w:rFonts w:ascii="Verdana" w:hAnsi="Verdana" w:cstheme="minorHAnsi"/>
          <w:color w:val="9999FF"/>
        </w:rPr>
      </w:pPr>
    </w:p>
    <w:p w14:paraId="30EC2E3D" w14:textId="77777777" w:rsidR="00F91C09" w:rsidRPr="004D7523" w:rsidRDefault="00F91C09" w:rsidP="00F91C09">
      <w:pPr>
        <w:numPr>
          <w:ilvl w:val="0"/>
          <w:numId w:val="18"/>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D7523">
        <w:rPr>
          <w:rFonts w:ascii="Verdana" w:eastAsia="Century Gothic" w:hAnsi="Verdana" w:cs="Century Gothic"/>
          <w:b/>
          <w:bCs/>
          <w:lang w:val="es-ES_tradnl"/>
        </w:rPr>
        <w:t>Referencias normativas, jurisprudenciales y otras fuentes:</w:t>
      </w:r>
    </w:p>
    <w:p w14:paraId="6FB69952" w14:textId="77777777" w:rsidR="00F91C09" w:rsidRPr="004D7523" w:rsidRDefault="00F91C09" w:rsidP="00F91C09">
      <w:pPr>
        <w:tabs>
          <w:tab w:val="left" w:pos="970"/>
        </w:tabs>
        <w:spacing w:after="0" w:line="276" w:lineRule="auto"/>
        <w:ind w:left="-15840"/>
        <w:jc w:val="both"/>
        <w:rPr>
          <w:rFonts w:ascii="Verdana" w:eastAsia="Calibri" w:hAnsi="Verdana" w:cs="Arial"/>
          <w:b/>
          <w:bCs/>
        </w:rPr>
      </w:pPr>
      <w:r w:rsidRPr="004D7523">
        <w:rPr>
          <w:rFonts w:ascii="Verdana" w:eastAsia="Calibri" w:hAnsi="Verdana" w:cs="Arial"/>
          <w:b/>
          <w:bCs/>
        </w:rPr>
        <w:t>4. Referencias normativas, jurisprudenciales y otras fuentes:</w:t>
      </w:r>
      <w:r w:rsidRPr="004D7523">
        <w:rPr>
          <w:rFonts w:ascii="Verdana" w:eastAsia="Calibri" w:hAnsi="Verdana" w:cs="Arial"/>
          <w:b/>
          <w:bCs/>
        </w:rPr>
        <w:tab/>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91C09" w:rsidRPr="00D56B2A" w14:paraId="03AC78C9" w14:textId="77777777" w:rsidTr="00A76661">
        <w:trPr>
          <w:trHeight w:val="242"/>
        </w:trPr>
        <w:tc>
          <w:tcPr>
            <w:tcW w:w="8647" w:type="dxa"/>
            <w:tcBorders>
              <w:top w:val="dotted" w:sz="4" w:space="0" w:color="auto"/>
              <w:left w:val="dotted" w:sz="4" w:space="0" w:color="auto"/>
              <w:bottom w:val="dotted" w:sz="4" w:space="0" w:color="auto"/>
              <w:right w:val="dotted" w:sz="4" w:space="0" w:color="auto"/>
            </w:tcBorders>
          </w:tcPr>
          <w:p w14:paraId="4B24E3B6" w14:textId="77777777" w:rsidR="00F91C09" w:rsidRPr="00D56B2A" w:rsidRDefault="00F91C09" w:rsidP="00A76661">
            <w:pPr>
              <w:widowControl w:val="0"/>
              <w:autoSpaceDE w:val="0"/>
              <w:autoSpaceDN w:val="0"/>
              <w:snapToGrid w:val="0"/>
              <w:spacing w:after="120" w:line="276" w:lineRule="auto"/>
              <w:ind w:left="714"/>
              <w:jc w:val="both"/>
              <w:rPr>
                <w:rFonts w:ascii="Verdana" w:eastAsia="Calibri" w:hAnsi="Verdana" w:cs="Arial"/>
                <w:color w:val="3399FF"/>
                <w:lang w:val="es-ES_tradnl"/>
              </w:rPr>
            </w:pPr>
          </w:p>
          <w:p w14:paraId="61409FCC" w14:textId="77777777" w:rsidR="00F91C09" w:rsidRPr="00DA2A79" w:rsidRDefault="00F91C09" w:rsidP="00A76661">
            <w:pPr>
              <w:widowControl w:val="0"/>
              <w:numPr>
                <w:ilvl w:val="0"/>
                <w:numId w:val="17"/>
              </w:numPr>
              <w:autoSpaceDE w:val="0"/>
              <w:autoSpaceDN w:val="0"/>
              <w:spacing w:after="160" w:line="276" w:lineRule="auto"/>
              <w:ind w:left="714" w:hanging="357"/>
              <w:jc w:val="both"/>
              <w:rPr>
                <w:rFonts w:ascii="Verdana" w:eastAsia="Calibri" w:hAnsi="Verdana" w:cs="Arial"/>
                <w:lang w:val="es-ES_tradnl" w:eastAsia="es-MX"/>
              </w:rPr>
            </w:pPr>
            <w:r w:rsidRPr="00DA2A79">
              <w:rPr>
                <w:rFonts w:ascii="Verdana" w:eastAsia="Calibri" w:hAnsi="Verdana" w:cs="Arial"/>
                <w:lang w:val="es-ES_tradnl" w:eastAsia="es-MX"/>
              </w:rPr>
              <w:t xml:space="preserve">Ley 2022 de 2020, artículo 1. </w:t>
            </w:r>
          </w:p>
          <w:p w14:paraId="073F376B" w14:textId="77777777" w:rsidR="00F91C09" w:rsidRDefault="00F91C09" w:rsidP="00A76661">
            <w:pPr>
              <w:widowControl w:val="0"/>
              <w:numPr>
                <w:ilvl w:val="0"/>
                <w:numId w:val="17"/>
              </w:numPr>
              <w:autoSpaceDE w:val="0"/>
              <w:autoSpaceDN w:val="0"/>
              <w:spacing w:after="160" w:line="276" w:lineRule="auto"/>
              <w:jc w:val="both"/>
              <w:rPr>
                <w:rFonts w:ascii="Verdana" w:eastAsia="Calibri" w:hAnsi="Verdana" w:cs="Arial"/>
                <w:lang w:eastAsia="es-MX"/>
              </w:rPr>
            </w:pPr>
            <w:r w:rsidRPr="00DA2A79">
              <w:rPr>
                <w:rFonts w:ascii="Verdana" w:eastAsia="Calibri" w:hAnsi="Verdana" w:cs="Arial"/>
                <w:lang w:eastAsia="es-MX"/>
              </w:rPr>
              <w:t>Ley 1150 de 2007, artículo 2.</w:t>
            </w:r>
          </w:p>
          <w:p w14:paraId="3B53777E" w14:textId="0C1BF245" w:rsidR="0042334B" w:rsidRPr="00DA2A79" w:rsidRDefault="0042334B" w:rsidP="00A76661">
            <w:pPr>
              <w:widowControl w:val="0"/>
              <w:numPr>
                <w:ilvl w:val="0"/>
                <w:numId w:val="17"/>
              </w:numPr>
              <w:autoSpaceDE w:val="0"/>
              <w:autoSpaceDN w:val="0"/>
              <w:spacing w:after="160" w:line="276" w:lineRule="auto"/>
              <w:jc w:val="both"/>
              <w:rPr>
                <w:rFonts w:ascii="Verdana" w:eastAsia="Calibri" w:hAnsi="Verdana" w:cs="Arial"/>
                <w:lang w:eastAsia="es-MX"/>
              </w:rPr>
            </w:pPr>
            <w:r w:rsidRPr="003C7B8A">
              <w:rPr>
                <w:rFonts w:ascii="Verdana" w:hAnsi="Verdana" w:cs="Calibri"/>
              </w:rPr>
              <w:t>Decreto 1073 de 2015</w:t>
            </w:r>
          </w:p>
          <w:p w14:paraId="1F3DC356" w14:textId="77777777" w:rsidR="00F91C09" w:rsidRPr="00D56B2A" w:rsidRDefault="00F91C09" w:rsidP="00A76661">
            <w:pPr>
              <w:widowControl w:val="0"/>
              <w:numPr>
                <w:ilvl w:val="0"/>
                <w:numId w:val="17"/>
              </w:numPr>
              <w:autoSpaceDE w:val="0"/>
              <w:autoSpaceDN w:val="0"/>
              <w:spacing w:after="120" w:line="276" w:lineRule="auto"/>
              <w:jc w:val="both"/>
              <w:rPr>
                <w:rFonts w:ascii="Verdana" w:hAnsi="Verdana" w:cs="Arial"/>
                <w:color w:val="3399FF"/>
              </w:rPr>
            </w:pPr>
            <w:r w:rsidRPr="00DA2A79">
              <w:rPr>
                <w:rFonts w:ascii="Verdana" w:eastAsia="Calibri" w:hAnsi="Verdana" w:cs="Arial"/>
                <w:lang w:val="es-ES_tradnl" w:eastAsia="es-MX"/>
              </w:rPr>
              <w:lastRenderedPageBreak/>
              <w:t xml:space="preserve">Documentos Tipo. Disponibles en: </w:t>
            </w:r>
            <w:hyperlink r:id="rId13" w:history="1">
              <w:r w:rsidRPr="00DA2A79">
                <w:rPr>
                  <w:rFonts w:ascii="Verdana" w:eastAsia="Calibri" w:hAnsi="Verdana" w:cs="Arial"/>
                  <w:color w:val="0000FF"/>
                  <w:u w:val="single"/>
                  <w:lang w:val="es-ES_tradnl" w:eastAsia="es-MX"/>
                </w:rPr>
                <w:t>https://www.colombiacompra.gov.co/documentos-tipo/documentos-tipo</w:t>
              </w:r>
            </w:hyperlink>
            <w:r w:rsidRPr="00DA2A79">
              <w:rPr>
                <w:rFonts w:ascii="Verdana" w:eastAsia="Calibri" w:hAnsi="Verdana" w:cs="Arial"/>
                <w:lang w:val="es-ES_tradnl" w:eastAsia="es-MX"/>
              </w:rPr>
              <w:t>.</w:t>
            </w:r>
          </w:p>
          <w:p w14:paraId="620F6542" w14:textId="3B122F32" w:rsidR="00F91C09" w:rsidRPr="00D56B2A" w:rsidRDefault="00F61D98" w:rsidP="0042334B">
            <w:pPr>
              <w:widowControl w:val="0"/>
              <w:numPr>
                <w:ilvl w:val="0"/>
                <w:numId w:val="17"/>
              </w:numPr>
              <w:autoSpaceDE w:val="0"/>
              <w:autoSpaceDN w:val="0"/>
              <w:spacing w:after="120" w:line="276" w:lineRule="auto"/>
              <w:jc w:val="both"/>
              <w:rPr>
                <w:rFonts w:ascii="Verdana" w:hAnsi="Verdana" w:cs="Arial"/>
                <w:color w:val="3399FF"/>
              </w:rPr>
            </w:pPr>
            <w:r w:rsidRPr="009E08BE">
              <w:rPr>
                <w:rFonts w:ascii="Verdana" w:hAnsi="Verdana" w:cs="Calibri"/>
              </w:rPr>
              <w:t>Reglamento Técnico de Instalaciones Eléctricas (RETIE)</w:t>
            </w:r>
          </w:p>
        </w:tc>
      </w:tr>
    </w:tbl>
    <w:p w14:paraId="0AA26867" w14:textId="77777777" w:rsidR="00F91C09" w:rsidRPr="00155CC1" w:rsidRDefault="00F91C09" w:rsidP="00F91C09">
      <w:pPr>
        <w:tabs>
          <w:tab w:val="left" w:pos="142"/>
          <w:tab w:val="left" w:pos="284"/>
        </w:tabs>
        <w:spacing w:after="0" w:line="276" w:lineRule="auto"/>
        <w:jc w:val="both"/>
        <w:rPr>
          <w:rFonts w:ascii="Verdana" w:eastAsia="Calibri" w:hAnsi="Verdana" w:cs="Arial"/>
          <w:color w:val="6699FF"/>
        </w:rPr>
      </w:pPr>
    </w:p>
    <w:p w14:paraId="138BDF6F" w14:textId="77777777" w:rsidR="00F91C09" w:rsidRPr="0026211F" w:rsidRDefault="00F91C09" w:rsidP="00F91C09">
      <w:pPr>
        <w:tabs>
          <w:tab w:val="left" w:pos="142"/>
          <w:tab w:val="left" w:pos="284"/>
        </w:tabs>
        <w:spacing w:after="0" w:line="276" w:lineRule="auto"/>
        <w:jc w:val="both"/>
        <w:rPr>
          <w:rFonts w:ascii="Verdana" w:eastAsia="Century Gothic" w:hAnsi="Verdana" w:cs="Century Gothic"/>
          <w:b/>
          <w:bCs/>
          <w:lang w:val="es-ES"/>
        </w:rPr>
      </w:pPr>
      <w:r w:rsidRPr="0026211F">
        <w:rPr>
          <w:rFonts w:ascii="Verdana" w:eastAsia="Calibri" w:hAnsi="Verdana" w:cs="Arial"/>
          <w:b/>
          <w:bCs/>
        </w:rPr>
        <w:t>5</w:t>
      </w:r>
      <w:r w:rsidRPr="0026211F">
        <w:rPr>
          <w:rFonts w:ascii="Verdana" w:eastAsia="Calibri" w:hAnsi="Verdana" w:cs="Arial"/>
        </w:rPr>
        <w:t>.</w:t>
      </w:r>
      <w:r w:rsidRPr="0026211F">
        <w:rPr>
          <w:rFonts w:ascii="Verdana" w:eastAsia="Century Gothic" w:hAnsi="Verdana" w:cs="Century Gothic"/>
          <w:b/>
          <w:bCs/>
          <w:lang w:val="es-ES"/>
        </w:rPr>
        <w:t>Doctrina de la Agencia Nacional de Contratación Pública:</w:t>
      </w:r>
    </w:p>
    <w:p w14:paraId="780758A6" w14:textId="77777777" w:rsidR="00F91C09" w:rsidRPr="00F61D98" w:rsidRDefault="00F91C09" w:rsidP="00F91C09">
      <w:pPr>
        <w:widowControl w:val="0"/>
        <w:autoSpaceDE w:val="0"/>
        <w:autoSpaceDN w:val="0"/>
        <w:spacing w:after="0" w:line="276" w:lineRule="auto"/>
        <w:jc w:val="both"/>
        <w:rPr>
          <w:rFonts w:ascii="Verdana" w:eastAsia="Calibri" w:hAnsi="Verdana" w:cs="Arial"/>
          <w:color w:val="FF0000"/>
          <w:lang w:eastAsia="es-MX"/>
        </w:rPr>
      </w:pPr>
    </w:p>
    <w:p w14:paraId="6CAF9159" w14:textId="713819BE" w:rsidR="00010ADA" w:rsidRPr="00265468" w:rsidRDefault="00010ADA" w:rsidP="00010ADA">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265468">
        <w:rPr>
          <w:rFonts w:ascii="Verdana" w:eastAsia="Calibri" w:hAnsi="Verdana" w:cs="Arial"/>
          <w:kern w:val="2"/>
          <w:shd w:val="clear" w:color="auto" w:fill="FFFFFF"/>
          <w:lang w:val="es-ES_tradnl"/>
          <w14:ligatures w14:val="standardContextual"/>
        </w:rPr>
        <w:t>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C-1025 del 4 de septiembre de 2025, C-1610 del 4 de diciembre de 2025, C-204 del 19 de marzo de 2026,</w:t>
      </w:r>
      <w:r w:rsidR="00D3203E">
        <w:rPr>
          <w:rFonts w:ascii="Verdana" w:eastAsia="Calibri" w:hAnsi="Verdana" w:cs="Arial"/>
          <w:kern w:val="2"/>
          <w:shd w:val="clear" w:color="auto" w:fill="FFFFFF"/>
          <w:lang w:val="es-ES_tradnl"/>
          <w14:ligatures w14:val="standardContextual"/>
        </w:rPr>
        <w:t xml:space="preserve"> C-620 del 5 de junio de 2026,</w:t>
      </w:r>
      <w:r w:rsidRPr="00265468">
        <w:rPr>
          <w:rFonts w:ascii="Verdana" w:eastAsia="Calibri" w:hAnsi="Verdana" w:cs="Arial"/>
          <w:kern w:val="2"/>
          <w:shd w:val="clear" w:color="auto" w:fill="FFFFFF"/>
          <w:lang w:val="es-ES_tradnl"/>
          <w14:ligatures w14:val="standardContextual"/>
        </w:rPr>
        <w:t xml:space="preserve"> entre otros.</w:t>
      </w:r>
    </w:p>
    <w:p w14:paraId="658ECB0C" w14:textId="77777777" w:rsidR="00F91C09" w:rsidRPr="00010ADA" w:rsidRDefault="00F91C09" w:rsidP="00F91C09">
      <w:pPr>
        <w:spacing w:after="0" w:line="276" w:lineRule="auto"/>
        <w:jc w:val="both"/>
        <w:rPr>
          <w:rFonts w:ascii="Verdana" w:eastAsia="Calibri" w:hAnsi="Verdana" w:cs="Arial"/>
          <w:lang w:val="es-ES_tradnl"/>
        </w:rPr>
      </w:pPr>
    </w:p>
    <w:p w14:paraId="32107F33" w14:textId="77777777" w:rsidR="00F91C09" w:rsidRPr="003C2A6A" w:rsidRDefault="00F91C09" w:rsidP="00F91C09">
      <w:pPr>
        <w:spacing w:after="0" w:line="276" w:lineRule="auto"/>
        <w:jc w:val="both"/>
        <w:rPr>
          <w:rFonts w:ascii="Verdana" w:eastAsia="Calibri" w:hAnsi="Verdana" w:cs="Arial"/>
        </w:rPr>
      </w:pPr>
      <w:r w:rsidRPr="00240C45">
        <w:rPr>
          <w:rFonts w:ascii="Verdana" w:eastAsia="Calibri" w:hAnsi="Verdana" w:cs="Arial"/>
        </w:rPr>
        <w:t xml:space="preserve">Estos y otros conceptos se encuentran disponibles para consulta en el Sistema de relatoría de la Agencia, al cual se puede acceder a través del siguiente enlace: </w:t>
      </w:r>
      <w:hyperlink r:id="rId14" w:history="1">
        <w:r w:rsidRPr="00DE636B">
          <w:rPr>
            <w:rStyle w:val="Hipervnculo"/>
            <w:rFonts w:ascii="Verdana" w:eastAsia="Calibri" w:hAnsi="Verdana" w:cs="Arial"/>
          </w:rPr>
          <w:t>https://relatoria.colombiacompra.gov.co/busqueda/conceptos</w:t>
        </w:r>
      </w:hyperlink>
      <w:r w:rsidRPr="00240C45">
        <w:rPr>
          <w:rFonts w:ascii="Verdana" w:eastAsia="Calibri" w:hAnsi="Verdana" w:cs="Arial"/>
        </w:rPr>
        <w:t>.</w:t>
      </w:r>
    </w:p>
    <w:p w14:paraId="3DEC9A53" w14:textId="77777777" w:rsidR="00F91C09" w:rsidRPr="00EF54B1" w:rsidRDefault="00F91C09" w:rsidP="00F91C09">
      <w:pPr>
        <w:spacing w:after="0" w:line="240" w:lineRule="auto"/>
        <w:jc w:val="both"/>
        <w:rPr>
          <w:rFonts w:ascii="Verdana" w:eastAsia="Calibri" w:hAnsi="Verdana" w:cs="Arial"/>
          <w:color w:val="000000" w:themeColor="text1"/>
          <w:shd w:val="clear" w:color="auto" w:fill="FFFFFF"/>
        </w:rPr>
      </w:pPr>
    </w:p>
    <w:p w14:paraId="38E930FA" w14:textId="77777777" w:rsidR="00F91C09" w:rsidRDefault="00F91C09" w:rsidP="00F91C09">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r w:rsidRPr="00EF54B1">
        <w:rPr>
          <w:rFonts w:ascii="Verdana" w:eastAsia="Calibri" w:hAnsi="Verdana" w:cs="Arial"/>
          <w:color w:val="000000" w:themeColor="text1"/>
          <w:kern w:val="2"/>
          <w:shd w:val="clear" w:color="auto" w:fill="FFFFFF"/>
          <w:lang w:val="es-ES_tradnl"/>
          <w14:ligatures w14:val="standardContextual"/>
        </w:rPr>
        <w:t>La</w:t>
      </w:r>
      <w:r w:rsidRPr="00EF54B1">
        <w:rPr>
          <w:rFonts w:ascii="Verdana" w:eastAsia="Calibri" w:hAnsi="Verdana" w:cs="Arial"/>
          <w:b/>
          <w:bCs/>
          <w:color w:val="000000" w:themeColor="text1"/>
          <w:kern w:val="2"/>
          <w:shd w:val="clear" w:color="auto" w:fill="FFFFFF"/>
          <w:lang w:val="es-ES_tradnl"/>
          <w14:ligatures w14:val="standardContextual"/>
        </w:rPr>
        <w:t xml:space="preserve"> Agencia Nacional de Contratación Pública - Colombia Compra Eficiente</w:t>
      </w:r>
      <w:r w:rsidRPr="00EF54B1">
        <w:rPr>
          <w:rFonts w:ascii="Verdana" w:eastAsia="Calibri" w:hAnsi="Verdana" w:cs="Arial"/>
          <w:color w:val="000000" w:themeColor="text1"/>
          <w:kern w:val="2"/>
          <w:shd w:val="clear" w:color="auto" w:fill="FFFFFF"/>
          <w:lang w:val="es-ES_tradnl"/>
          <w14:ligatures w14:val="standardContextual"/>
        </w:rPr>
        <w:t> recomienda a todas las entidades públicas, independientemente de su naturaleza, que gestionan recursos públicos, la aplicación de los </w:t>
      </w:r>
      <w:r w:rsidRPr="00EF54B1">
        <w:rPr>
          <w:rFonts w:ascii="Verdana" w:eastAsia="Calibri" w:hAnsi="Verdana" w:cs="Arial"/>
          <w:b/>
          <w:bCs/>
          <w:color w:val="000000" w:themeColor="text1"/>
          <w:kern w:val="2"/>
          <w:shd w:val="clear" w:color="auto" w:fill="FFFFFF"/>
          <w:lang w:val="es-ES_tradnl"/>
          <w14:ligatures w14:val="standardContextual"/>
        </w:rPr>
        <w:t xml:space="preserve">Documentos </w:t>
      </w:r>
      <w:r w:rsidRPr="00EF54B1">
        <w:rPr>
          <w:rFonts w:ascii="Verdana" w:eastAsia="Calibri" w:hAnsi="Verdana" w:cs="Arial"/>
          <w:b/>
          <w:bCs/>
          <w:color w:val="000000" w:themeColor="text1"/>
          <w:kern w:val="2"/>
          <w:shd w:val="clear" w:color="auto" w:fill="FFFFFF"/>
          <w:lang w:val="es-ES_tradnl"/>
          <w14:ligatures w14:val="standardContextual"/>
        </w:rPr>
        <w:lastRenderedPageBreak/>
        <w:t>Tipo</w:t>
      </w:r>
      <w:r w:rsidRPr="00EF54B1">
        <w:rPr>
          <w:rFonts w:ascii="Verdana" w:eastAsia="Calibri" w:hAnsi="Verdana" w:cs="Arial"/>
          <w:color w:val="000000" w:themeColor="text1"/>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F54B1">
        <w:rPr>
          <w:rFonts w:ascii="Verdana" w:eastAsia="Calibri" w:hAnsi="Verdana" w:cs="Arial"/>
          <w:b/>
          <w:bCs/>
          <w:color w:val="000000" w:themeColor="text1"/>
          <w:kern w:val="2"/>
          <w:shd w:val="clear" w:color="auto" w:fill="FFFFFF"/>
          <w:lang w:val="es-ES_tradnl"/>
          <w14:ligatures w14:val="standardContextual"/>
        </w:rPr>
        <w:t>transparencia</w:t>
      </w:r>
      <w:r w:rsidRPr="00EF54B1">
        <w:rPr>
          <w:rFonts w:ascii="Verdana" w:eastAsia="Calibri" w:hAnsi="Verdana" w:cs="Arial"/>
          <w:color w:val="000000" w:themeColor="text1"/>
          <w:kern w:val="2"/>
          <w:shd w:val="clear" w:color="auto" w:fill="FFFFFF"/>
          <w:lang w:val="es-ES_tradnl"/>
          <w14:ligatures w14:val="standardContextual"/>
        </w:rPr>
        <w:t> y promover un proceso de </w:t>
      </w:r>
      <w:r w:rsidRPr="00EF54B1">
        <w:rPr>
          <w:rFonts w:ascii="Verdana" w:eastAsia="Calibri" w:hAnsi="Verdana" w:cs="Arial"/>
          <w:b/>
          <w:bCs/>
          <w:color w:val="000000" w:themeColor="text1"/>
          <w:kern w:val="2"/>
          <w:shd w:val="clear" w:color="auto" w:fill="FFFFFF"/>
          <w:lang w:val="es-ES_tradnl"/>
          <w14:ligatures w14:val="standardContextual"/>
        </w:rPr>
        <w:t>selección objetiva</w:t>
      </w:r>
      <w:r w:rsidRPr="00EF54B1">
        <w:rPr>
          <w:rFonts w:ascii="Verdana" w:eastAsia="Calibri" w:hAnsi="Verdana" w:cs="Arial"/>
          <w:color w:val="000000" w:themeColor="text1"/>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505E9791" w14:textId="77777777" w:rsidR="00B774CC" w:rsidRDefault="00B774CC" w:rsidP="00F91C09">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11983844" w14:textId="77777777" w:rsidR="00B774CC" w:rsidRPr="00B774CC" w:rsidRDefault="00B774CC" w:rsidP="00B774CC">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La sostenibilidad no es una opción, es una obligación. Por ello, la Agencia Nacional de Contratación Pública –Colombia Compra Eficiente– te invita a realizar el </w:t>
      </w:r>
      <w:r w:rsidRPr="00B774CC">
        <w:rPr>
          <w:rFonts w:ascii="Verdana" w:eastAsia="Calibri" w:hAnsi="Verdana" w:cs="Arial"/>
          <w:b/>
          <w:bCs/>
          <w:color w:val="000000" w:themeColor="text1"/>
          <w:kern w:val="2"/>
          <w:shd w:val="clear" w:color="auto" w:fill="FFFFFF"/>
          <w14:ligatures w14:val="standardContextual"/>
        </w:rPr>
        <w:t>Curso de Contratación Pública Sostenible y Socialmente Responsable</w:t>
      </w:r>
      <w:r w:rsidRPr="00B774CC">
        <w:rPr>
          <w:rFonts w:ascii="Verdana" w:eastAsia="Calibri" w:hAnsi="Verdana" w:cs="Arial"/>
          <w:color w:val="000000" w:themeColor="text1"/>
          <w:kern w:val="2"/>
          <w:shd w:val="clear" w:color="auto" w:fill="FFFFFF"/>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 </w:t>
      </w:r>
      <w:r w:rsidRPr="00B774CC">
        <w:rPr>
          <w:rFonts w:ascii="Verdana" w:eastAsia="Calibri" w:hAnsi="Verdana" w:cs="Arial"/>
          <w:color w:val="000000" w:themeColor="text1"/>
          <w:kern w:val="2"/>
          <w:shd w:val="clear" w:color="auto" w:fill="FFFFFF"/>
          <w14:ligatures w14:val="standardContextual"/>
        </w:rPr>
        <w:br/>
      </w:r>
      <w:hyperlink r:id="rId15" w:tgtFrame="_blank" w:history="1">
        <w:r w:rsidRPr="00B774CC">
          <w:rPr>
            <w:rStyle w:val="Hipervnculo"/>
            <w:rFonts w:ascii="Verdana" w:eastAsia="Calibri" w:hAnsi="Verdana" w:cs="Arial"/>
            <w:kern w:val="2"/>
            <w:shd w:val="clear" w:color="auto" w:fill="FFFFFF"/>
            <w14:ligatures w14:val="standardContextual"/>
          </w:rPr>
          <w:t>https://formacionvirtual.colombiacompra.gov.co/mod/page/view.php?id=3718</w:t>
        </w:r>
      </w:hyperlink>
      <w:r w:rsidRPr="00B774CC">
        <w:rPr>
          <w:rFonts w:ascii="Verdana" w:eastAsia="Calibri" w:hAnsi="Verdana" w:cs="Arial"/>
          <w:color w:val="000000" w:themeColor="text1"/>
          <w:kern w:val="2"/>
          <w:shd w:val="clear" w:color="auto" w:fill="FFFFFF"/>
          <w14:ligatures w14:val="standardContextual"/>
        </w:rPr>
        <w:t> </w:t>
      </w:r>
    </w:p>
    <w:p w14:paraId="17B34985" w14:textId="77777777" w:rsidR="00B774CC" w:rsidRPr="00B774CC" w:rsidRDefault="00B774CC" w:rsidP="00B774CC">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 </w:t>
      </w:r>
    </w:p>
    <w:p w14:paraId="54182B5D" w14:textId="77777777" w:rsidR="00B774CC" w:rsidRPr="00B774CC" w:rsidRDefault="00B774CC" w:rsidP="00B774CC">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De otro lado, te contamos que esta Agencia ha da un paso decisivo en la estandarización y modernización del </w:t>
      </w:r>
      <w:r w:rsidRPr="00B774CC">
        <w:rPr>
          <w:rFonts w:ascii="Verdana" w:eastAsia="Calibri" w:hAnsi="Verdana" w:cs="Arial"/>
          <w:b/>
          <w:bCs/>
          <w:color w:val="000000" w:themeColor="text1"/>
          <w:kern w:val="2"/>
          <w:shd w:val="clear" w:color="auto" w:fill="FFFFFF"/>
          <w14:ligatures w14:val="standardContextual"/>
        </w:rPr>
        <w:t>sector  social</w:t>
      </w:r>
      <w:r w:rsidRPr="00B774CC">
        <w:rPr>
          <w:rFonts w:ascii="Verdana" w:eastAsia="Calibri" w:hAnsi="Verdana" w:cs="Arial"/>
          <w:color w:val="000000" w:themeColor="text1"/>
          <w:kern w:val="2"/>
          <w:shd w:val="clear" w:color="auto" w:fill="FFFFFF"/>
          <w14:ligatures w14:val="standardContextual"/>
        </w:rPr>
        <w:t> con la expedición de las </w:t>
      </w:r>
      <w:r w:rsidRPr="00B774CC">
        <w:rPr>
          <w:rFonts w:ascii="Verdana" w:eastAsia="Calibri" w:hAnsi="Verdana" w:cs="Arial"/>
          <w:b/>
          <w:bCs/>
          <w:color w:val="000000" w:themeColor="text1"/>
          <w:kern w:val="2"/>
          <w:shd w:val="clear" w:color="auto" w:fill="FFFFFF"/>
          <w14:ligatures w14:val="standardContextual"/>
        </w:rPr>
        <w:t>Resoluciones 539, 540, 541, 952 y 953 de 2025</w:t>
      </w:r>
      <w:r w:rsidRPr="00B774CC">
        <w:rPr>
          <w:rFonts w:ascii="Verdana" w:eastAsia="Calibri" w:hAnsi="Verdana" w:cs="Arial"/>
          <w:color w:val="000000" w:themeColor="text1"/>
          <w:kern w:val="2"/>
          <w:shd w:val="clear" w:color="auto" w:fill="FFFFFF"/>
          <w14:ligatures w14:val="standardContextual"/>
        </w:rPr>
        <w:t>, </w:t>
      </w:r>
      <w:r w:rsidRPr="00B774CC">
        <w:rPr>
          <w:rFonts w:ascii="Verdana" w:eastAsia="Calibri" w:hAnsi="Verdana" w:cs="Arial"/>
          <w:b/>
          <w:bCs/>
          <w:color w:val="000000" w:themeColor="text1"/>
          <w:kern w:val="2"/>
          <w:shd w:val="clear" w:color="auto" w:fill="FFFFFF"/>
          <w14:ligatures w14:val="standardContextual"/>
        </w:rPr>
        <w:t>mediante las cuales adoptó Documentos Tipo</w:t>
      </w:r>
      <w:r w:rsidRPr="00B774CC">
        <w:rPr>
          <w:rFonts w:ascii="Verdana" w:eastAsia="Calibri" w:hAnsi="Verdana" w:cs="Arial"/>
          <w:color w:val="000000" w:themeColor="text1"/>
          <w:kern w:val="2"/>
          <w:shd w:val="clear" w:color="auto" w:fill="FFFFFF"/>
          <w14:ligatures w14:val="standardContextual"/>
        </w:rPr>
        <w:t> para las modalidades de selección de</w:t>
      </w:r>
      <w:r w:rsidRPr="00B774CC">
        <w:rPr>
          <w:rFonts w:ascii="Verdana" w:eastAsia="Calibri" w:hAnsi="Verdana" w:cs="Arial"/>
          <w:b/>
          <w:bCs/>
          <w:color w:val="000000" w:themeColor="text1"/>
          <w:kern w:val="2"/>
          <w:shd w:val="clear" w:color="auto" w:fill="FFFFFF"/>
          <w14:ligatures w14:val="standardContextual"/>
        </w:rPr>
        <w:t> licitación pública (versión 2), selección abreviada de menor cuantía, mínima cuantía, consultoría e interventoría</w:t>
      </w:r>
      <w:r w:rsidRPr="00B774CC">
        <w:rPr>
          <w:rFonts w:ascii="Verdana" w:eastAsia="Calibri" w:hAnsi="Verdana" w:cs="Arial"/>
          <w:color w:val="000000" w:themeColor="text1"/>
          <w:kern w:val="2"/>
          <w:shd w:val="clear" w:color="auto" w:fill="FFFFFF"/>
          <w14:ligatures w14:val="standardContextual"/>
        </w:rPr>
        <w:t>, promoviendo procesos más transparentes, eficientes  competitivos y sostenibles en sectores estratégicos como educación, salud, cultura, recreación, deporte, institucional y vivienda. Consulta y descarga los documentos aquí: </w:t>
      </w:r>
      <w:hyperlink r:id="rId16" w:tgtFrame="_blank" w:history="1">
        <w:r w:rsidRPr="00B774CC">
          <w:rPr>
            <w:rStyle w:val="Hipervnculo"/>
            <w:rFonts w:ascii="Verdana" w:eastAsia="Calibri" w:hAnsi="Verdana" w:cs="Arial"/>
            <w:kern w:val="2"/>
            <w:shd w:val="clear" w:color="auto" w:fill="FFFFFF"/>
            <w14:ligatures w14:val="standardContextual"/>
          </w:rPr>
          <w:t>https://www.colombiacompra.gov.co/normativa-y-relatoria/documentos-tipo</w:t>
        </w:r>
      </w:hyperlink>
      <w:r w:rsidRPr="00B774CC">
        <w:rPr>
          <w:rFonts w:ascii="Verdana" w:eastAsia="Calibri" w:hAnsi="Verdana" w:cs="Arial"/>
          <w:color w:val="000000" w:themeColor="text1"/>
          <w:kern w:val="2"/>
          <w:shd w:val="clear" w:color="auto" w:fill="FFFFFF"/>
          <w14:ligatures w14:val="standardContextual"/>
        </w:rPr>
        <w:t> </w:t>
      </w:r>
    </w:p>
    <w:p w14:paraId="3E446388" w14:textId="77777777" w:rsidR="00B774CC" w:rsidRPr="00B774CC" w:rsidRDefault="00B774CC" w:rsidP="00B774CC">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 </w:t>
      </w:r>
    </w:p>
    <w:p w14:paraId="60AB1C97" w14:textId="77777777" w:rsidR="00B774CC" w:rsidRPr="00B774CC" w:rsidRDefault="00B774CC" w:rsidP="00B774CC">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Si quieres conocer más sobre la aplicación de Documentos Tipo puedes consultar la última versión de la </w:t>
      </w:r>
      <w:r w:rsidRPr="00B774CC">
        <w:rPr>
          <w:rFonts w:ascii="Verdana" w:eastAsia="Calibri" w:hAnsi="Verdana" w:cs="Arial"/>
          <w:b/>
          <w:bCs/>
          <w:color w:val="000000" w:themeColor="text1"/>
          <w:kern w:val="2"/>
          <w:shd w:val="clear" w:color="auto" w:fill="FFFFFF"/>
          <w14:ligatures w14:val="standardContextual"/>
        </w:rPr>
        <w:t>Guía para la comprensión e implementación de los Documentos Tipo de obra pública de infraestructura de transporte</w:t>
      </w:r>
      <w:r w:rsidRPr="00B774CC">
        <w:rPr>
          <w:rFonts w:ascii="Verdana" w:eastAsia="Calibri" w:hAnsi="Verdana" w:cs="Arial"/>
          <w:color w:val="000000" w:themeColor="text1"/>
          <w:kern w:val="2"/>
          <w:shd w:val="clear" w:color="auto" w:fill="FFFFFF"/>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w:t>
      </w:r>
      <w:r w:rsidRPr="00B774CC">
        <w:rPr>
          <w:rFonts w:ascii="Verdana" w:eastAsia="Calibri" w:hAnsi="Verdana" w:cs="Arial"/>
          <w:color w:val="000000" w:themeColor="text1"/>
          <w:kern w:val="2"/>
          <w:shd w:val="clear" w:color="auto" w:fill="FFFFFF"/>
          <w14:ligatures w14:val="standardContextual"/>
        </w:rPr>
        <w:lastRenderedPageBreak/>
        <w:t>documentos tipo: Consulta la guía aquí: </w:t>
      </w:r>
      <w:r w:rsidRPr="00B774CC">
        <w:rPr>
          <w:rFonts w:ascii="Verdana" w:eastAsia="Calibri" w:hAnsi="Verdana" w:cs="Arial"/>
          <w:color w:val="000000" w:themeColor="text1"/>
          <w:kern w:val="2"/>
          <w:shd w:val="clear" w:color="auto" w:fill="FFFFFF"/>
          <w14:ligatures w14:val="standardContextual"/>
        </w:rPr>
        <w:br/>
      </w:r>
      <w:hyperlink r:id="rId17" w:tgtFrame="_blank" w:history="1">
        <w:r w:rsidRPr="00B774CC">
          <w:rPr>
            <w:rStyle w:val="Hipervnculo"/>
            <w:rFonts w:ascii="Verdana" w:eastAsia="Calibri" w:hAnsi="Verdana" w:cs="Arial"/>
            <w:kern w:val="2"/>
            <w:shd w:val="clear" w:color="auto" w:fill="FFFFFF"/>
            <w14:ligatures w14:val="standardContextual"/>
          </w:rPr>
          <w:t>https://www.colombiacompra.gov.co/archivos/manual/guia-para-la-comprension-e-implementacion-de-los-documentos-tipo-de-obra-publica-de-infraestructura-de-transporte-bajo-las-diferentes-modalidades-de-contratacion-vigentes</w:t>
        </w:r>
      </w:hyperlink>
      <w:r w:rsidRPr="00B774CC">
        <w:rPr>
          <w:rFonts w:ascii="Verdana" w:eastAsia="Calibri" w:hAnsi="Verdana" w:cs="Arial"/>
          <w:color w:val="000000" w:themeColor="text1"/>
          <w:kern w:val="2"/>
          <w:shd w:val="clear" w:color="auto" w:fill="FFFFFF"/>
          <w14:ligatures w14:val="standardContextual"/>
        </w:rPr>
        <w:t> </w:t>
      </w:r>
    </w:p>
    <w:p w14:paraId="6508C3F4" w14:textId="77777777" w:rsidR="00F91C09" w:rsidRPr="00EF54B1" w:rsidRDefault="00F91C09" w:rsidP="00F91C09">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1C525F61" w14:textId="77777777" w:rsidR="00F91C09" w:rsidRPr="009552C8" w:rsidRDefault="00F91C09" w:rsidP="00F91C09">
      <w:pPr>
        <w:spacing w:after="0" w:line="240" w:lineRule="auto"/>
        <w:jc w:val="both"/>
        <w:rPr>
          <w:rFonts w:ascii="Verdana" w:eastAsia="Calibri" w:hAnsi="Verdana" w:cs="Times New Roman"/>
          <w:kern w:val="2"/>
          <w14:ligatures w14:val="standardContextual"/>
        </w:rPr>
      </w:pPr>
      <w:r w:rsidRPr="009552C8">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1F21C9C2" w14:textId="77777777" w:rsidR="00F91C09" w:rsidRPr="009552C8" w:rsidRDefault="00F91C09" w:rsidP="00F91C09">
      <w:pPr>
        <w:spacing w:after="0" w:line="240" w:lineRule="auto"/>
        <w:jc w:val="both"/>
        <w:rPr>
          <w:rFonts w:ascii="Verdana" w:eastAsia="Aptos" w:hAnsi="Verdana" w:cs="Times New Roman"/>
          <w:kern w:val="2"/>
          <w14:ligatures w14:val="standardContextual"/>
        </w:rPr>
      </w:pPr>
    </w:p>
    <w:p w14:paraId="6E45CFD2" w14:textId="77777777" w:rsidR="00F91C09" w:rsidRPr="009552C8" w:rsidRDefault="00F91C09" w:rsidP="00F91C09">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Twitter: </w:t>
      </w:r>
      <w:r w:rsidRPr="007603CE">
        <w:rPr>
          <w:rFonts w:ascii="Verdana" w:eastAsia="Calibri" w:hAnsi="Verdana" w:cs="Times New Roman"/>
          <w:color w:val="0000FF"/>
          <w:kern w:val="2"/>
          <w:u w:val="single"/>
          <w14:ligatures w14:val="standardContextual"/>
        </w:rPr>
        <w:t>@colombiacompra</w:t>
      </w:r>
      <w:r w:rsidRPr="007603CE">
        <w:rPr>
          <w:rFonts w:ascii="Verdana" w:eastAsia="Calibri" w:hAnsi="Verdana" w:cs="Times New Roman"/>
          <w:color w:val="0000FF"/>
          <w:kern w:val="2"/>
          <w14:ligatures w14:val="standardContextual"/>
        </w:rPr>
        <w:t xml:space="preserve"> </w:t>
      </w:r>
    </w:p>
    <w:p w14:paraId="07429BE9" w14:textId="77777777" w:rsidR="00F91C09" w:rsidRPr="009552C8" w:rsidRDefault="00F91C09" w:rsidP="00F91C09">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Facebook: </w:t>
      </w:r>
      <w:r w:rsidRPr="007603CE">
        <w:rPr>
          <w:rFonts w:ascii="Verdana" w:eastAsia="Calibri" w:hAnsi="Verdana" w:cs="Times New Roman"/>
          <w:color w:val="0000FF"/>
          <w:kern w:val="2"/>
          <w:u w:val="single"/>
          <w14:ligatures w14:val="standardContextual"/>
        </w:rPr>
        <w:t>ColombiaCompraEficiente</w:t>
      </w:r>
    </w:p>
    <w:p w14:paraId="2163ED6C" w14:textId="77777777" w:rsidR="00F91C09" w:rsidRPr="009552C8" w:rsidRDefault="00F91C09" w:rsidP="00F91C09">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LinkedIn: </w:t>
      </w:r>
      <w:r w:rsidRPr="007603CE">
        <w:rPr>
          <w:rFonts w:ascii="Verdana" w:eastAsia="Calibri" w:hAnsi="Verdana" w:cs="Times New Roman"/>
          <w:color w:val="0000FF"/>
          <w:kern w:val="2"/>
          <w:u w:val="single"/>
          <w14:ligatures w14:val="standardContextual"/>
        </w:rPr>
        <w:t>Agencia Nacional de Contratación Pública - Colombia Compra Eficiente</w:t>
      </w:r>
      <w:r w:rsidRPr="007603CE">
        <w:rPr>
          <w:rFonts w:ascii="Verdana" w:eastAsia="Calibri" w:hAnsi="Verdana" w:cs="Times New Roman"/>
          <w:color w:val="0000FF"/>
          <w:kern w:val="2"/>
          <w14:ligatures w14:val="standardContextual"/>
        </w:rPr>
        <w:t xml:space="preserve"> </w:t>
      </w:r>
      <w:r w:rsidRPr="009552C8">
        <w:rPr>
          <w:rFonts w:ascii="Verdana" w:eastAsia="Aptos" w:hAnsi="Verdana" w:cs="Times New Roman"/>
          <w:kern w:val="2"/>
          <w14:ligatures w14:val="standardContextual"/>
        </w:rPr>
        <w:t xml:space="preserve">Instagram: </w:t>
      </w:r>
      <w:r w:rsidRPr="007603CE">
        <w:rPr>
          <w:rFonts w:ascii="Verdana" w:eastAsia="Calibri" w:hAnsi="Verdana" w:cs="Times New Roman"/>
          <w:color w:val="0000FF"/>
          <w:kern w:val="2"/>
          <w:u w:val="single"/>
          <w14:ligatures w14:val="standardContextual"/>
        </w:rPr>
        <w:t>@colombiacompraeficiente_cce</w:t>
      </w:r>
    </w:p>
    <w:p w14:paraId="11980F6B" w14:textId="77777777" w:rsidR="00F91C09" w:rsidRPr="005D21BF" w:rsidRDefault="00F91C09" w:rsidP="00F91C09">
      <w:pPr>
        <w:widowControl w:val="0"/>
        <w:autoSpaceDE w:val="0"/>
        <w:autoSpaceDN w:val="0"/>
        <w:spacing w:after="0" w:line="276" w:lineRule="auto"/>
        <w:jc w:val="both"/>
        <w:rPr>
          <w:rFonts w:ascii="Verdana" w:eastAsia="Calibri" w:hAnsi="Verdana" w:cs="Arial"/>
          <w:color w:val="000000" w:themeColor="text1"/>
          <w:kern w:val="2"/>
          <w14:ligatures w14:val="standardContextual"/>
        </w:rPr>
      </w:pPr>
    </w:p>
    <w:p w14:paraId="119444C8" w14:textId="77777777" w:rsidR="00F91C09" w:rsidRDefault="00F91C09" w:rsidP="00F91C09">
      <w:pPr>
        <w:widowControl w:val="0"/>
        <w:autoSpaceDE w:val="0"/>
        <w:autoSpaceDN w:val="0"/>
        <w:spacing w:after="0" w:line="276" w:lineRule="auto"/>
        <w:jc w:val="both"/>
        <w:rPr>
          <w:rFonts w:ascii="Verdana" w:eastAsia="Calibri" w:hAnsi="Verdana" w:cs="Arial"/>
          <w:color w:val="000000" w:themeColor="text1"/>
          <w:kern w:val="2"/>
          <w:lang w:val="es-ES_tradnl"/>
          <w14:ligatures w14:val="standardContextual"/>
        </w:rPr>
      </w:pPr>
      <w:r w:rsidRPr="00EF54B1">
        <w:rPr>
          <w:rFonts w:ascii="Verdana" w:eastAsia="Calibri" w:hAnsi="Verdana" w:cs="Arial"/>
          <w:color w:val="000000" w:themeColor="text1"/>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01F5605" w14:textId="77777777" w:rsidR="00F91C09" w:rsidRPr="00EF54B1" w:rsidRDefault="00F91C09" w:rsidP="00F91C09">
      <w:pPr>
        <w:widowControl w:val="0"/>
        <w:autoSpaceDE w:val="0"/>
        <w:autoSpaceDN w:val="0"/>
        <w:spacing w:after="0" w:line="276" w:lineRule="auto"/>
        <w:jc w:val="both"/>
        <w:rPr>
          <w:rFonts w:ascii="Verdana" w:eastAsia="Calibri" w:hAnsi="Verdana" w:cs="Arial"/>
          <w:color w:val="000000" w:themeColor="text1"/>
        </w:rPr>
      </w:pPr>
    </w:p>
    <w:p w14:paraId="4D33BB7B" w14:textId="77777777" w:rsidR="00F91C09" w:rsidRPr="00EF54B1" w:rsidRDefault="00F91C09" w:rsidP="00F91C09">
      <w:pPr>
        <w:spacing w:after="0" w:line="240" w:lineRule="auto"/>
        <w:rPr>
          <w:rFonts w:ascii="Verdana" w:eastAsia="Calibri" w:hAnsi="Verdana" w:cs="Arial"/>
          <w:color w:val="000000" w:themeColor="text1"/>
          <w:lang w:eastAsia="es-CO"/>
        </w:rPr>
      </w:pPr>
      <w:r w:rsidRPr="00EF54B1">
        <w:rPr>
          <w:rFonts w:ascii="Verdana" w:eastAsia="Times New Roman" w:hAnsi="Verdana" w:cs="Arial"/>
          <w:color w:val="000000" w:themeColor="text1"/>
          <w:lang w:eastAsia="es-CO"/>
        </w:rPr>
        <w:t>Atentamente,</w:t>
      </w:r>
      <w:r w:rsidRPr="00EF54B1">
        <w:rPr>
          <w:rFonts w:ascii="Verdana" w:eastAsia="Calibri" w:hAnsi="Verdana" w:cs="Arial"/>
          <w:color w:val="000000" w:themeColor="text1"/>
          <w:lang w:eastAsia="es-CO"/>
        </w:rPr>
        <w:t xml:space="preserve"> </w:t>
      </w:r>
    </w:p>
    <w:p w14:paraId="54AC4A55" w14:textId="77777777" w:rsidR="00F91C09" w:rsidRDefault="00F91C09" w:rsidP="00F91C09">
      <w:pPr>
        <w:tabs>
          <w:tab w:val="left" w:pos="1320"/>
        </w:tabs>
        <w:rPr>
          <w:noProof/>
        </w:rPr>
      </w:pPr>
    </w:p>
    <w:p w14:paraId="0D6B7C86" w14:textId="77777777" w:rsidR="003E4E2D" w:rsidRDefault="003E4E2D" w:rsidP="00F91C09">
      <w:pPr>
        <w:tabs>
          <w:tab w:val="left" w:pos="1320"/>
        </w:tabs>
        <w:jc w:val="center"/>
        <w:rPr>
          <w:noProof/>
        </w:rPr>
      </w:pPr>
    </w:p>
    <w:p w14:paraId="70AC6F46" w14:textId="6F94D2CE" w:rsidR="00F91C09" w:rsidRDefault="00F91C09" w:rsidP="00F91C09">
      <w:pPr>
        <w:tabs>
          <w:tab w:val="left" w:pos="1320"/>
        </w:tabs>
        <w:jc w:val="center"/>
        <w:rPr>
          <w:noProof/>
        </w:rPr>
      </w:pPr>
    </w:p>
    <w:p w14:paraId="23353640" w14:textId="77777777" w:rsidR="003E4E2D" w:rsidRDefault="003E4E2D" w:rsidP="00F91C09">
      <w:pPr>
        <w:tabs>
          <w:tab w:val="left" w:pos="1320"/>
        </w:tabs>
        <w:jc w:val="center"/>
        <w:rPr>
          <w:noProof/>
        </w:rPr>
      </w:pPr>
    </w:p>
    <w:p w14:paraId="2235CCD0" w14:textId="77777777" w:rsidR="00F91C09" w:rsidRDefault="00F91C09" w:rsidP="00F91C09">
      <w:pPr>
        <w:tabs>
          <w:tab w:val="left" w:pos="1320"/>
        </w:tabs>
        <w:rPr>
          <w:rFonts w:ascii="Verdana" w:eastAsia="Verdana" w:hAnsi="Verdana" w:cs="Verdana"/>
          <w:noProof/>
          <w:color w:val="000000" w:themeColor="text1"/>
        </w:rPr>
      </w:pPr>
    </w:p>
    <w:tbl>
      <w:tblPr>
        <w:tblStyle w:val="Tablaconcuadrcula"/>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85"/>
        <w:gridCol w:w="5925"/>
      </w:tblGrid>
      <w:tr w:rsidR="00F91C09" w14:paraId="339FC044" w14:textId="77777777" w:rsidTr="00A76661">
        <w:trPr>
          <w:trHeight w:val="315"/>
        </w:trPr>
        <w:tc>
          <w:tcPr>
            <w:tcW w:w="1185" w:type="dxa"/>
            <w:tcBorders>
              <w:top w:val="nil"/>
              <w:left w:val="nil"/>
              <w:bottom w:val="nil"/>
              <w:right w:val="nil"/>
            </w:tcBorders>
            <w:tcMar>
              <w:left w:w="105" w:type="dxa"/>
              <w:right w:w="105" w:type="dxa"/>
            </w:tcMar>
            <w:vAlign w:val="center"/>
          </w:tcPr>
          <w:p w14:paraId="04FF0F1F" w14:textId="16665FFE" w:rsidR="00F91C09" w:rsidRDefault="00F91C09" w:rsidP="00A76661">
            <w:pPr>
              <w:rPr>
                <w:rFonts w:ascii="Verdana" w:eastAsia="Verdana" w:hAnsi="Verdana" w:cs="Verdana"/>
                <w:sz w:val="16"/>
                <w:szCs w:val="16"/>
              </w:rPr>
            </w:pPr>
            <w:r w:rsidRPr="3F869DD7">
              <w:rPr>
                <w:rFonts w:ascii="Verdana" w:eastAsia="Verdana" w:hAnsi="Verdana" w:cs="Verdana"/>
                <w:sz w:val="16"/>
                <w:szCs w:val="16"/>
              </w:rPr>
              <w:t>Elabor</w:t>
            </w:r>
            <w:r w:rsidR="005143C9">
              <w:rPr>
                <w:rFonts w:ascii="Verdana" w:eastAsia="Verdana" w:hAnsi="Verdana" w:cs="Verdana"/>
                <w:sz w:val="16"/>
                <w:szCs w:val="16"/>
              </w:rPr>
              <w:t>ó</w:t>
            </w:r>
            <w:r w:rsidRPr="3F869DD7">
              <w:rPr>
                <w:rFonts w:ascii="Verdana" w:eastAsia="Verdana" w:hAnsi="Verdana" w:cs="Verdana"/>
                <w:sz w:val="16"/>
                <w:szCs w:val="16"/>
              </w:rPr>
              <w:t>:</w:t>
            </w:r>
          </w:p>
        </w:tc>
        <w:tc>
          <w:tcPr>
            <w:tcW w:w="5925" w:type="dxa"/>
            <w:tcBorders>
              <w:top w:val="nil"/>
              <w:left w:val="nil"/>
              <w:bottom w:val="dotted" w:sz="4" w:space="0" w:color="7F7F7F" w:themeColor="text1" w:themeTint="80"/>
              <w:right w:val="nil"/>
            </w:tcBorders>
            <w:tcMar>
              <w:left w:w="105" w:type="dxa"/>
              <w:right w:w="105" w:type="dxa"/>
            </w:tcMar>
            <w:vAlign w:val="center"/>
          </w:tcPr>
          <w:p w14:paraId="47F3DDA5" w14:textId="77777777" w:rsidR="00F91C09" w:rsidRDefault="00F91C09" w:rsidP="00A76661">
            <w:pPr>
              <w:rPr>
                <w:rFonts w:ascii="Verdana" w:eastAsia="Times New Roman" w:hAnsi="Verdana" w:cs="Segoe UI"/>
                <w:color w:val="000000" w:themeColor="text1"/>
                <w:sz w:val="16"/>
                <w:szCs w:val="16"/>
                <w:lang w:eastAsia="es-ES"/>
              </w:rPr>
            </w:pPr>
            <w:r w:rsidRPr="3F869DD7">
              <w:rPr>
                <w:rFonts w:ascii="Verdana" w:eastAsia="Arial" w:hAnsi="Verdana" w:cs="Arial"/>
                <w:color w:val="000000" w:themeColor="text1"/>
                <w:sz w:val="16"/>
                <w:szCs w:val="16"/>
                <w:lang w:val="es-ES"/>
              </w:rPr>
              <w:t>Denis Andrea Cárdenas Hernández</w:t>
            </w:r>
          </w:p>
          <w:p w14:paraId="7B752857" w14:textId="77777777" w:rsidR="00F91C09" w:rsidRDefault="00F91C09" w:rsidP="00A76661">
            <w:pPr>
              <w:rPr>
                <w:rFonts w:ascii="Verdana" w:eastAsia="Arial" w:hAnsi="Verdana" w:cs="Arial"/>
                <w:color w:val="000000" w:themeColor="text1"/>
                <w:sz w:val="16"/>
                <w:szCs w:val="16"/>
                <w:lang w:val="es-ES"/>
              </w:rPr>
            </w:pPr>
            <w:r w:rsidRPr="3F869DD7">
              <w:rPr>
                <w:rFonts w:ascii="Verdana" w:eastAsia="Arial" w:hAnsi="Verdana" w:cs="Arial"/>
                <w:color w:val="000000" w:themeColor="text1"/>
                <w:sz w:val="16"/>
                <w:szCs w:val="16"/>
                <w:lang w:val="es-ES"/>
              </w:rPr>
              <w:t>Analista T2-01 de la Subdirección de Gestión Contractual</w:t>
            </w:r>
          </w:p>
          <w:p w14:paraId="58999D6C" w14:textId="77777777" w:rsidR="005143C9" w:rsidRPr="00265468" w:rsidRDefault="005143C9" w:rsidP="005143C9">
            <w:pPr>
              <w:rPr>
                <w:rFonts w:ascii="Verdana" w:eastAsia="Arial" w:hAnsi="Verdana" w:cs="Arial"/>
                <w:sz w:val="16"/>
                <w:szCs w:val="16"/>
                <w:lang w:val="es-ES"/>
              </w:rPr>
            </w:pPr>
            <w:r w:rsidRPr="00265468">
              <w:rPr>
                <w:rFonts w:ascii="Verdana" w:eastAsia="Arial" w:hAnsi="Verdana" w:cs="Arial"/>
                <w:sz w:val="16"/>
                <w:szCs w:val="16"/>
                <w:lang w:val="es-ES"/>
              </w:rPr>
              <w:t xml:space="preserve">Lida Milena </w:t>
            </w:r>
            <w:proofErr w:type="spellStart"/>
            <w:r w:rsidRPr="00265468">
              <w:rPr>
                <w:rFonts w:ascii="Verdana" w:eastAsia="Arial" w:hAnsi="Verdana" w:cs="Arial"/>
                <w:sz w:val="16"/>
                <w:szCs w:val="16"/>
                <w:lang w:val="es-ES"/>
              </w:rPr>
              <w:t>Guanumen</w:t>
            </w:r>
            <w:proofErr w:type="spellEnd"/>
            <w:r w:rsidRPr="00265468">
              <w:rPr>
                <w:rFonts w:ascii="Verdana" w:eastAsia="Arial" w:hAnsi="Verdana" w:cs="Arial"/>
                <w:sz w:val="16"/>
                <w:szCs w:val="16"/>
                <w:lang w:val="es-ES"/>
              </w:rPr>
              <w:t xml:space="preserve"> Pacheco</w:t>
            </w:r>
          </w:p>
          <w:p w14:paraId="1221BEC1" w14:textId="18390FD4" w:rsidR="005143C9" w:rsidRDefault="005143C9" w:rsidP="005143C9">
            <w:pPr>
              <w:rPr>
                <w:rFonts w:ascii="Verdana" w:eastAsia="Arial" w:hAnsi="Verdana" w:cs="Arial"/>
                <w:color w:val="000000" w:themeColor="text1"/>
                <w:sz w:val="16"/>
                <w:szCs w:val="16"/>
                <w:lang w:val="es-ES"/>
              </w:rPr>
            </w:pPr>
            <w:r w:rsidRPr="00265468">
              <w:rPr>
                <w:rFonts w:ascii="Verdana" w:eastAsia="Arial" w:hAnsi="Verdana" w:cs="Arial"/>
                <w:sz w:val="16"/>
                <w:szCs w:val="16"/>
                <w:lang w:val="es-ES_tradnl"/>
              </w:rPr>
              <w:t>Contratista de la Subdirección de Gestión Contractual</w:t>
            </w:r>
          </w:p>
        </w:tc>
      </w:tr>
      <w:tr w:rsidR="00F91C09" w14:paraId="5F55BF56" w14:textId="77777777" w:rsidTr="00A76661">
        <w:trPr>
          <w:trHeight w:val="315"/>
        </w:trPr>
        <w:tc>
          <w:tcPr>
            <w:tcW w:w="1185" w:type="dxa"/>
            <w:tcBorders>
              <w:top w:val="nil"/>
              <w:left w:val="nil"/>
              <w:bottom w:val="nil"/>
              <w:right w:val="nil"/>
            </w:tcBorders>
            <w:tcMar>
              <w:left w:w="105" w:type="dxa"/>
              <w:right w:w="105" w:type="dxa"/>
            </w:tcMar>
            <w:vAlign w:val="center"/>
          </w:tcPr>
          <w:p w14:paraId="129FB57E" w14:textId="77777777" w:rsidR="00F91C09" w:rsidRDefault="00F91C09" w:rsidP="00A76661">
            <w:pPr>
              <w:rPr>
                <w:rFonts w:ascii="Verdana" w:eastAsia="Verdana" w:hAnsi="Verdana" w:cs="Verdana"/>
                <w:sz w:val="16"/>
                <w:szCs w:val="16"/>
              </w:rPr>
            </w:pPr>
            <w:r w:rsidRPr="3F869DD7">
              <w:rPr>
                <w:rFonts w:ascii="Verdana" w:eastAsia="Verdana" w:hAnsi="Verdana" w:cs="Verdana"/>
                <w:sz w:val="16"/>
                <w:szCs w:val="16"/>
              </w:rPr>
              <w:t>Revisó: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14024C83" w14:textId="77777777" w:rsidR="00F91C09" w:rsidRDefault="00F91C09" w:rsidP="00A76661">
            <w:pPr>
              <w:rPr>
                <w:rFonts w:ascii="Verdana" w:eastAsia="Verdana" w:hAnsi="Verdana" w:cs="Verdana"/>
                <w:sz w:val="16"/>
                <w:szCs w:val="16"/>
              </w:rPr>
            </w:pPr>
            <w:r w:rsidRPr="3F869DD7">
              <w:rPr>
                <w:rFonts w:ascii="Verdana" w:eastAsia="Verdana" w:hAnsi="Verdana" w:cs="Verdana"/>
                <w:sz w:val="16"/>
                <w:szCs w:val="16"/>
              </w:rPr>
              <w:t xml:space="preserve">Juan David Cárdenas Cabeza </w:t>
            </w:r>
          </w:p>
          <w:p w14:paraId="373DF7BC" w14:textId="77777777" w:rsidR="00F91C09" w:rsidRDefault="00F91C09" w:rsidP="00A76661">
            <w:pPr>
              <w:rPr>
                <w:rFonts w:ascii="Verdana" w:eastAsia="Verdana" w:hAnsi="Verdana" w:cs="Verdana"/>
                <w:sz w:val="16"/>
                <w:szCs w:val="16"/>
              </w:rPr>
            </w:pPr>
            <w:r w:rsidRPr="3F869DD7">
              <w:rPr>
                <w:rFonts w:ascii="Verdana" w:eastAsia="Verdana" w:hAnsi="Verdana" w:cs="Verdana"/>
                <w:sz w:val="16"/>
                <w:szCs w:val="16"/>
              </w:rPr>
              <w:t>Contratista de la Subdirección de Gestión Contractual</w:t>
            </w:r>
          </w:p>
        </w:tc>
      </w:tr>
      <w:tr w:rsidR="00F91C09" w14:paraId="54DAC05C" w14:textId="77777777" w:rsidTr="00A76661">
        <w:trPr>
          <w:trHeight w:val="300"/>
        </w:trPr>
        <w:tc>
          <w:tcPr>
            <w:tcW w:w="1185" w:type="dxa"/>
            <w:tcBorders>
              <w:top w:val="nil"/>
              <w:left w:val="nil"/>
              <w:bottom w:val="nil"/>
              <w:right w:val="nil"/>
            </w:tcBorders>
            <w:tcMar>
              <w:left w:w="105" w:type="dxa"/>
              <w:right w:w="105" w:type="dxa"/>
            </w:tcMar>
            <w:vAlign w:val="center"/>
          </w:tcPr>
          <w:p w14:paraId="779A307D" w14:textId="77777777" w:rsidR="00F91C09" w:rsidRDefault="00F91C09" w:rsidP="00A76661">
            <w:pPr>
              <w:rPr>
                <w:rFonts w:ascii="Verdana" w:eastAsia="Verdana" w:hAnsi="Verdana" w:cs="Verdana"/>
                <w:sz w:val="16"/>
                <w:szCs w:val="16"/>
              </w:rPr>
            </w:pPr>
            <w:r w:rsidRPr="3F869DD7">
              <w:rPr>
                <w:rFonts w:ascii="Verdana" w:eastAsia="Verdana" w:hAnsi="Verdana" w:cs="Verdana"/>
                <w:sz w:val="16"/>
                <w:szCs w:val="16"/>
              </w:rPr>
              <w:t>Aprobó: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71431AFA" w14:textId="77777777" w:rsidR="00F91C09" w:rsidRDefault="00F91C09" w:rsidP="00A76661">
            <w:pPr>
              <w:rPr>
                <w:rFonts w:ascii="Verdana" w:eastAsia="Verdana" w:hAnsi="Verdana" w:cs="Verdana"/>
                <w:sz w:val="16"/>
                <w:szCs w:val="16"/>
              </w:rPr>
            </w:pPr>
            <w:r w:rsidRPr="3F869DD7">
              <w:rPr>
                <w:rFonts w:ascii="Verdana" w:eastAsia="Verdana" w:hAnsi="Verdana" w:cs="Verdana"/>
                <w:sz w:val="16"/>
                <w:szCs w:val="16"/>
              </w:rPr>
              <w:t>Carolina Quintero Gacharná</w:t>
            </w:r>
          </w:p>
          <w:p w14:paraId="366ED47E" w14:textId="77777777" w:rsidR="00F91C09" w:rsidRDefault="00F91C09" w:rsidP="00A76661">
            <w:pPr>
              <w:rPr>
                <w:rFonts w:ascii="Verdana" w:eastAsia="Verdana" w:hAnsi="Verdana" w:cs="Verdana"/>
                <w:sz w:val="16"/>
                <w:szCs w:val="16"/>
              </w:rPr>
            </w:pPr>
            <w:r w:rsidRPr="3F869DD7">
              <w:rPr>
                <w:rFonts w:ascii="Verdana" w:eastAsia="Verdana" w:hAnsi="Verdana" w:cs="Verdana"/>
                <w:sz w:val="16"/>
                <w:szCs w:val="16"/>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3252445D"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5DF0FF7B" w14:textId="3BF1D3B9" w:rsidR="545B112A" w:rsidRDefault="545B112A"/>
    <w:p w14:paraId="26A0CB84" w14:textId="77777777" w:rsidR="002E2BF8" w:rsidRPr="00E02524" w:rsidRDefault="002E2BF8" w:rsidP="30821638">
      <w:pPr>
        <w:spacing w:after="0"/>
        <w:jc w:val="both"/>
        <w:rPr>
          <w:rFonts w:ascii="Verdana" w:eastAsia="Verdana" w:hAnsi="Verdana" w:cs="Verdana"/>
          <w:lang w:val="es-ES"/>
        </w:rPr>
      </w:pPr>
    </w:p>
    <w:p w14:paraId="493E8921" w14:textId="77777777" w:rsidR="002E2BF8" w:rsidRPr="00E02524" w:rsidRDefault="002E2BF8" w:rsidP="30821638">
      <w:pPr>
        <w:spacing w:after="0"/>
        <w:jc w:val="both"/>
        <w:rPr>
          <w:rFonts w:ascii="Verdana" w:eastAsia="Verdana" w:hAnsi="Verdana" w:cs="Verdana"/>
          <w:lang w:val="es-ES"/>
        </w:rPr>
      </w:pPr>
    </w:p>
    <w:bookmarkEnd w:id="0"/>
    <w:p w14:paraId="0F293BF4" w14:textId="4D5BC3D1" w:rsidR="00127233" w:rsidRPr="0015699B" w:rsidRDefault="00127233" w:rsidP="00F91C09">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5786B" w14:textId="77777777" w:rsidR="006B0AF4" w:rsidRDefault="006B0AF4" w:rsidP="004A1847">
      <w:pPr>
        <w:spacing w:after="0" w:line="240" w:lineRule="auto"/>
      </w:pPr>
      <w:r>
        <w:separator/>
      </w:r>
    </w:p>
  </w:endnote>
  <w:endnote w:type="continuationSeparator" w:id="0">
    <w:p w14:paraId="3B9C520D" w14:textId="77777777" w:rsidR="006B0AF4" w:rsidRDefault="006B0AF4" w:rsidP="004A1847">
      <w:pPr>
        <w:spacing w:after="0" w:line="240" w:lineRule="auto"/>
      </w:pPr>
      <w:r>
        <w:continuationSeparator/>
      </w:r>
    </w:p>
  </w:endnote>
  <w:endnote w:type="continuationNotice" w:id="1">
    <w:p w14:paraId="0447D88D" w14:textId="77777777" w:rsidR="006B0AF4" w:rsidRDefault="006B0A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539C78" w14:textId="77777777" w:rsidR="006B0AF4" w:rsidRDefault="006B0AF4" w:rsidP="004A1847">
      <w:pPr>
        <w:spacing w:after="0" w:line="240" w:lineRule="auto"/>
      </w:pPr>
      <w:r>
        <w:separator/>
      </w:r>
    </w:p>
  </w:footnote>
  <w:footnote w:type="continuationSeparator" w:id="0">
    <w:p w14:paraId="37AC31E7" w14:textId="77777777" w:rsidR="006B0AF4" w:rsidRDefault="006B0AF4" w:rsidP="004A1847">
      <w:pPr>
        <w:spacing w:after="0" w:line="240" w:lineRule="auto"/>
      </w:pPr>
      <w:r>
        <w:continuationSeparator/>
      </w:r>
    </w:p>
  </w:footnote>
  <w:footnote w:type="continuationNotice" w:id="1">
    <w:p w14:paraId="6AF34959" w14:textId="77777777" w:rsidR="006B0AF4" w:rsidRDefault="006B0AF4">
      <w:pPr>
        <w:spacing w:after="0" w:line="240" w:lineRule="auto"/>
      </w:pPr>
    </w:p>
  </w:footnote>
  <w:footnote w:id="2">
    <w:p w14:paraId="4BA189AB" w14:textId="77777777" w:rsidR="001073CC" w:rsidRPr="003E0AB6" w:rsidRDefault="001073CC" w:rsidP="001073CC">
      <w:pPr>
        <w:pStyle w:val="Textonotapie"/>
        <w:ind w:firstLine="709"/>
        <w:jc w:val="both"/>
        <w:rPr>
          <w:rFonts w:ascii="Verdana" w:hAnsi="Verdana"/>
          <w:sz w:val="18"/>
          <w:szCs w:val="18"/>
        </w:rPr>
      </w:pPr>
      <w:r w:rsidRPr="003E0AB6">
        <w:rPr>
          <w:rStyle w:val="Refdenotaalpie"/>
          <w:rFonts w:ascii="Verdana" w:hAnsi="Verdana"/>
          <w:sz w:val="18"/>
          <w:szCs w:val="18"/>
        </w:rPr>
        <w:footnoteRef/>
      </w:r>
      <w:r w:rsidRPr="003E0AB6">
        <w:rPr>
          <w:rFonts w:ascii="Verdana" w:hAnsi="Verdana"/>
          <w:sz w:val="18"/>
          <w:szCs w:val="18"/>
        </w:rPr>
        <w:t xml:space="preserve"> Estos Documentos Tipo pueden ser consultados en la página web de Colombia Compra Eficiente, a través del siguiente enlace: </w:t>
      </w:r>
      <w:hyperlink r:id="rId1" w:history="1">
        <w:r w:rsidRPr="003E0AB6">
          <w:rPr>
            <w:rStyle w:val="Hipervnculo"/>
            <w:rFonts w:ascii="Verdana" w:hAnsi="Verdana"/>
            <w:sz w:val="18"/>
            <w:szCs w:val="18"/>
          </w:rPr>
          <w:t>https://www.colombiacompra.gov.co/documentos-tipo/documentos-tipo</w:t>
        </w:r>
      </w:hyperlink>
      <w:r>
        <w:t>.</w:t>
      </w:r>
      <w:r w:rsidRPr="003E0AB6">
        <w:rPr>
          <w:rFonts w:ascii="Verdana" w:hAnsi="Verdana"/>
          <w:sz w:val="18"/>
          <w:szCs w:val="18"/>
        </w:rPr>
        <w:t xml:space="preserve"> </w:t>
      </w:r>
      <w:r>
        <w:rPr>
          <w:rFonts w:ascii="Verdana" w:hAnsi="Verdana"/>
          <w:sz w:val="18"/>
          <w:szCs w:val="18"/>
        </w:rPr>
        <w:t xml:space="preserve">Allí podría consultar los pliegos tipo adoptados para cada sector y modalidad de selección, así como las resoluciones mediante las cuales se adoptan y/o se modifican estos documentos.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pt;height:11.3pt" o:bullet="t">
        <v:imagedata r:id="rId1" o:title="mso1B13"/>
      </v:shape>
    </w:pict>
  </w:numPicBullet>
  <w:abstractNum w:abstractNumId="0" w15:restartNumberingAfterBreak="0">
    <w:nsid w:val="01C06310"/>
    <w:multiLevelType w:val="multilevel"/>
    <w:tmpl w:val="9B2EAF2E"/>
    <w:lvl w:ilvl="0">
      <w:start w:val="1"/>
      <w:numFmt w:val="decimal"/>
      <w:lvlText w:val="%1."/>
      <w:lvlJc w:val="left"/>
      <w:pPr>
        <w:ind w:left="360" w:hanging="360"/>
      </w:pPr>
      <w:rPr>
        <w:b/>
        <w:color w:val="auto"/>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3ED7D30"/>
    <w:multiLevelType w:val="hybridMultilevel"/>
    <w:tmpl w:val="FE5E0B14"/>
    <w:lvl w:ilvl="0" w:tplc="D234D54E">
      <w:start w:val="9"/>
      <w:numFmt w:val="bullet"/>
      <w:lvlText w:val="•"/>
      <w:lvlJc w:val="left"/>
      <w:pPr>
        <w:ind w:left="1400" w:hanging="700"/>
      </w:pPr>
      <w:rPr>
        <w:rFonts w:ascii="Calibri" w:eastAsia="Times New Roman" w:hAnsi="Calibri" w:cs="Calibri" w:hint="default"/>
      </w:rPr>
    </w:lvl>
    <w:lvl w:ilvl="1" w:tplc="080A0003" w:tentative="1">
      <w:start w:val="1"/>
      <w:numFmt w:val="bullet"/>
      <w:lvlText w:val="o"/>
      <w:lvlJc w:val="left"/>
      <w:pPr>
        <w:ind w:left="1780" w:hanging="360"/>
      </w:pPr>
      <w:rPr>
        <w:rFonts w:ascii="Courier New" w:hAnsi="Courier New" w:cs="Courier New" w:hint="default"/>
      </w:rPr>
    </w:lvl>
    <w:lvl w:ilvl="2" w:tplc="080A0005" w:tentative="1">
      <w:start w:val="1"/>
      <w:numFmt w:val="bullet"/>
      <w:lvlText w:val=""/>
      <w:lvlJc w:val="left"/>
      <w:pPr>
        <w:ind w:left="2500" w:hanging="360"/>
      </w:pPr>
      <w:rPr>
        <w:rFonts w:ascii="Wingdings" w:hAnsi="Wingdings" w:hint="default"/>
      </w:rPr>
    </w:lvl>
    <w:lvl w:ilvl="3" w:tplc="080A0001" w:tentative="1">
      <w:start w:val="1"/>
      <w:numFmt w:val="bullet"/>
      <w:lvlText w:val=""/>
      <w:lvlJc w:val="left"/>
      <w:pPr>
        <w:ind w:left="3220" w:hanging="360"/>
      </w:pPr>
      <w:rPr>
        <w:rFonts w:ascii="Symbol" w:hAnsi="Symbol" w:hint="default"/>
      </w:rPr>
    </w:lvl>
    <w:lvl w:ilvl="4" w:tplc="080A0003" w:tentative="1">
      <w:start w:val="1"/>
      <w:numFmt w:val="bullet"/>
      <w:lvlText w:val="o"/>
      <w:lvlJc w:val="left"/>
      <w:pPr>
        <w:ind w:left="3940" w:hanging="360"/>
      </w:pPr>
      <w:rPr>
        <w:rFonts w:ascii="Courier New" w:hAnsi="Courier New" w:cs="Courier New" w:hint="default"/>
      </w:rPr>
    </w:lvl>
    <w:lvl w:ilvl="5" w:tplc="080A0005" w:tentative="1">
      <w:start w:val="1"/>
      <w:numFmt w:val="bullet"/>
      <w:lvlText w:val=""/>
      <w:lvlJc w:val="left"/>
      <w:pPr>
        <w:ind w:left="4660" w:hanging="360"/>
      </w:pPr>
      <w:rPr>
        <w:rFonts w:ascii="Wingdings" w:hAnsi="Wingdings" w:hint="default"/>
      </w:rPr>
    </w:lvl>
    <w:lvl w:ilvl="6" w:tplc="080A0001" w:tentative="1">
      <w:start w:val="1"/>
      <w:numFmt w:val="bullet"/>
      <w:lvlText w:val=""/>
      <w:lvlJc w:val="left"/>
      <w:pPr>
        <w:ind w:left="5380" w:hanging="360"/>
      </w:pPr>
      <w:rPr>
        <w:rFonts w:ascii="Symbol" w:hAnsi="Symbol" w:hint="default"/>
      </w:rPr>
    </w:lvl>
    <w:lvl w:ilvl="7" w:tplc="080A0003" w:tentative="1">
      <w:start w:val="1"/>
      <w:numFmt w:val="bullet"/>
      <w:lvlText w:val="o"/>
      <w:lvlJc w:val="left"/>
      <w:pPr>
        <w:ind w:left="6100" w:hanging="360"/>
      </w:pPr>
      <w:rPr>
        <w:rFonts w:ascii="Courier New" w:hAnsi="Courier New" w:cs="Courier New" w:hint="default"/>
      </w:rPr>
    </w:lvl>
    <w:lvl w:ilvl="8" w:tplc="080A0005" w:tentative="1">
      <w:start w:val="1"/>
      <w:numFmt w:val="bullet"/>
      <w:lvlText w:val=""/>
      <w:lvlJc w:val="left"/>
      <w:pPr>
        <w:ind w:left="68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9438D7"/>
    <w:multiLevelType w:val="hybridMultilevel"/>
    <w:tmpl w:val="82C65AF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59E1EA1"/>
    <w:multiLevelType w:val="hybridMultilevel"/>
    <w:tmpl w:val="DB282CA2"/>
    <w:lvl w:ilvl="0" w:tplc="9406381C">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9C4684"/>
    <w:multiLevelType w:val="hybridMultilevel"/>
    <w:tmpl w:val="F502D3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9D726F5"/>
    <w:multiLevelType w:val="hybridMultilevel"/>
    <w:tmpl w:val="EE8E77B4"/>
    <w:lvl w:ilvl="0" w:tplc="C1D210D2">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4" w15:restartNumberingAfterBreak="0">
    <w:nsid w:val="3AD5452C"/>
    <w:multiLevelType w:val="hybridMultilevel"/>
    <w:tmpl w:val="08EA66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98F4FF6"/>
    <w:multiLevelType w:val="hybridMultilevel"/>
    <w:tmpl w:val="C3D2DF0A"/>
    <w:lvl w:ilvl="0" w:tplc="D234D54E">
      <w:start w:val="9"/>
      <w:numFmt w:val="bullet"/>
      <w:lvlText w:val="•"/>
      <w:lvlJc w:val="left"/>
      <w:pPr>
        <w:ind w:left="1060" w:hanging="70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9"/>
  </w:num>
  <w:num w:numId="7" w16cid:durableId="1946422806">
    <w:abstractNumId w:val="7"/>
  </w:num>
  <w:num w:numId="8" w16cid:durableId="152644682">
    <w:abstractNumId w:val="18"/>
  </w:num>
  <w:num w:numId="9" w16cid:durableId="1317221377">
    <w:abstractNumId w:val="10"/>
  </w:num>
  <w:num w:numId="10" w16cid:durableId="1471245386">
    <w:abstractNumId w:val="17"/>
  </w:num>
  <w:num w:numId="11" w16cid:durableId="289172385">
    <w:abstractNumId w:val="11"/>
  </w:num>
  <w:num w:numId="12" w16cid:durableId="1470781324">
    <w:abstractNumId w:val="1"/>
  </w:num>
  <w:num w:numId="13" w16cid:durableId="1512908409">
    <w:abstractNumId w:val="4"/>
  </w:num>
  <w:num w:numId="14" w16cid:durableId="895897244">
    <w:abstractNumId w:val="20"/>
  </w:num>
  <w:num w:numId="15" w16cid:durableId="390349800">
    <w:abstractNumId w:val="15"/>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13"/>
  </w:num>
  <w:num w:numId="18" w16cid:durableId="341274352">
    <w:abstractNumId w:val="0"/>
  </w:num>
  <w:num w:numId="19" w16cid:durableId="1484784106">
    <w:abstractNumId w:val="14"/>
  </w:num>
  <w:num w:numId="20" w16cid:durableId="113713859">
    <w:abstractNumId w:val="6"/>
  </w:num>
  <w:num w:numId="21" w16cid:durableId="2063676176">
    <w:abstractNumId w:val="12"/>
  </w:num>
  <w:num w:numId="22" w16cid:durableId="1133594557">
    <w:abstractNumId w:val="16"/>
  </w:num>
  <w:num w:numId="23" w16cid:durableId="1356343683">
    <w:abstractNumId w:val="9"/>
  </w:num>
  <w:num w:numId="24" w16cid:durableId="17898603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B4B"/>
    <w:rsid w:val="00010ADA"/>
    <w:rsid w:val="00016F78"/>
    <w:rsid w:val="00023E31"/>
    <w:rsid w:val="00026748"/>
    <w:rsid w:val="00031182"/>
    <w:rsid w:val="00046945"/>
    <w:rsid w:val="000572F6"/>
    <w:rsid w:val="00061B2A"/>
    <w:rsid w:val="000678B7"/>
    <w:rsid w:val="00080F45"/>
    <w:rsid w:val="00082362"/>
    <w:rsid w:val="000846F7"/>
    <w:rsid w:val="00086EDA"/>
    <w:rsid w:val="000A066C"/>
    <w:rsid w:val="000A0FAB"/>
    <w:rsid w:val="000A31EF"/>
    <w:rsid w:val="000A5854"/>
    <w:rsid w:val="000A683E"/>
    <w:rsid w:val="000B19B9"/>
    <w:rsid w:val="000B48AA"/>
    <w:rsid w:val="000C108B"/>
    <w:rsid w:val="000D0334"/>
    <w:rsid w:val="000D5DA7"/>
    <w:rsid w:val="000F6486"/>
    <w:rsid w:val="0010023F"/>
    <w:rsid w:val="001030CD"/>
    <w:rsid w:val="001073CC"/>
    <w:rsid w:val="00116940"/>
    <w:rsid w:val="00117C12"/>
    <w:rsid w:val="00125105"/>
    <w:rsid w:val="00127233"/>
    <w:rsid w:val="001369BD"/>
    <w:rsid w:val="00145A70"/>
    <w:rsid w:val="00154437"/>
    <w:rsid w:val="0015699B"/>
    <w:rsid w:val="001572FA"/>
    <w:rsid w:val="00166DBD"/>
    <w:rsid w:val="00170E63"/>
    <w:rsid w:val="00176E40"/>
    <w:rsid w:val="001821A5"/>
    <w:rsid w:val="001A33BF"/>
    <w:rsid w:val="001B7CEE"/>
    <w:rsid w:val="001C4FB5"/>
    <w:rsid w:val="001D33B7"/>
    <w:rsid w:val="001E4177"/>
    <w:rsid w:val="001E6619"/>
    <w:rsid w:val="001F0B24"/>
    <w:rsid w:val="001F7DC6"/>
    <w:rsid w:val="00201617"/>
    <w:rsid w:val="00212E14"/>
    <w:rsid w:val="00220946"/>
    <w:rsid w:val="0022400B"/>
    <w:rsid w:val="002249AB"/>
    <w:rsid w:val="002421BB"/>
    <w:rsid w:val="00247F0C"/>
    <w:rsid w:val="00251AF9"/>
    <w:rsid w:val="00254E8C"/>
    <w:rsid w:val="0025796E"/>
    <w:rsid w:val="00262929"/>
    <w:rsid w:val="002707A2"/>
    <w:rsid w:val="002762A9"/>
    <w:rsid w:val="002816CF"/>
    <w:rsid w:val="002951A0"/>
    <w:rsid w:val="002962BC"/>
    <w:rsid w:val="002A093D"/>
    <w:rsid w:val="002A0DD0"/>
    <w:rsid w:val="002A49AC"/>
    <w:rsid w:val="002A64FD"/>
    <w:rsid w:val="002B24C3"/>
    <w:rsid w:val="002C7A84"/>
    <w:rsid w:val="002E0551"/>
    <w:rsid w:val="002E2BF8"/>
    <w:rsid w:val="002E4FD9"/>
    <w:rsid w:val="002F29EF"/>
    <w:rsid w:val="0030657A"/>
    <w:rsid w:val="00322A85"/>
    <w:rsid w:val="00324168"/>
    <w:rsid w:val="00326990"/>
    <w:rsid w:val="00330834"/>
    <w:rsid w:val="0034131F"/>
    <w:rsid w:val="003448F4"/>
    <w:rsid w:val="00355B3A"/>
    <w:rsid w:val="003746D6"/>
    <w:rsid w:val="00374F5E"/>
    <w:rsid w:val="00377E3E"/>
    <w:rsid w:val="00384DC8"/>
    <w:rsid w:val="003A5DBE"/>
    <w:rsid w:val="003A779E"/>
    <w:rsid w:val="003B77F6"/>
    <w:rsid w:val="003C7B8A"/>
    <w:rsid w:val="003D0F4D"/>
    <w:rsid w:val="003D22DE"/>
    <w:rsid w:val="003D5B0D"/>
    <w:rsid w:val="003E0499"/>
    <w:rsid w:val="003E2171"/>
    <w:rsid w:val="003E4E2D"/>
    <w:rsid w:val="003E4F80"/>
    <w:rsid w:val="003E5004"/>
    <w:rsid w:val="003E6439"/>
    <w:rsid w:val="003F3941"/>
    <w:rsid w:val="003F45C6"/>
    <w:rsid w:val="00400F0B"/>
    <w:rsid w:val="00401260"/>
    <w:rsid w:val="00406575"/>
    <w:rsid w:val="00410DA0"/>
    <w:rsid w:val="00414C74"/>
    <w:rsid w:val="004207F1"/>
    <w:rsid w:val="0042334B"/>
    <w:rsid w:val="0042408F"/>
    <w:rsid w:val="0042722E"/>
    <w:rsid w:val="0044528D"/>
    <w:rsid w:val="0045036A"/>
    <w:rsid w:val="004566F4"/>
    <w:rsid w:val="00466E39"/>
    <w:rsid w:val="00472913"/>
    <w:rsid w:val="00480AF5"/>
    <w:rsid w:val="004839A4"/>
    <w:rsid w:val="00496F35"/>
    <w:rsid w:val="004A1847"/>
    <w:rsid w:val="004A305D"/>
    <w:rsid w:val="004D1267"/>
    <w:rsid w:val="004E012D"/>
    <w:rsid w:val="004E1B8A"/>
    <w:rsid w:val="004F21C4"/>
    <w:rsid w:val="004F685F"/>
    <w:rsid w:val="00504F2B"/>
    <w:rsid w:val="005055D3"/>
    <w:rsid w:val="005058F2"/>
    <w:rsid w:val="005143C9"/>
    <w:rsid w:val="00516C6D"/>
    <w:rsid w:val="005171A4"/>
    <w:rsid w:val="005212C8"/>
    <w:rsid w:val="00555D59"/>
    <w:rsid w:val="005566E8"/>
    <w:rsid w:val="00565018"/>
    <w:rsid w:val="00574867"/>
    <w:rsid w:val="00574C4B"/>
    <w:rsid w:val="00591460"/>
    <w:rsid w:val="005A65E0"/>
    <w:rsid w:val="005B1686"/>
    <w:rsid w:val="005B1AD5"/>
    <w:rsid w:val="005C3777"/>
    <w:rsid w:val="005C5CDC"/>
    <w:rsid w:val="005D476C"/>
    <w:rsid w:val="005E4D7E"/>
    <w:rsid w:val="005F35B6"/>
    <w:rsid w:val="006128C9"/>
    <w:rsid w:val="0061618E"/>
    <w:rsid w:val="006200BF"/>
    <w:rsid w:val="006219F8"/>
    <w:rsid w:val="006302F7"/>
    <w:rsid w:val="00631355"/>
    <w:rsid w:val="00632F4A"/>
    <w:rsid w:val="00640D8C"/>
    <w:rsid w:val="00646B9F"/>
    <w:rsid w:val="00650BC1"/>
    <w:rsid w:val="00665D70"/>
    <w:rsid w:val="00667126"/>
    <w:rsid w:val="006851F9"/>
    <w:rsid w:val="006900D9"/>
    <w:rsid w:val="00690C0C"/>
    <w:rsid w:val="0069332B"/>
    <w:rsid w:val="006B0AF4"/>
    <w:rsid w:val="006B53E5"/>
    <w:rsid w:val="006B64FD"/>
    <w:rsid w:val="006D6DBA"/>
    <w:rsid w:val="006F0C5F"/>
    <w:rsid w:val="00701617"/>
    <w:rsid w:val="00703D63"/>
    <w:rsid w:val="00706C16"/>
    <w:rsid w:val="00733659"/>
    <w:rsid w:val="007340C3"/>
    <w:rsid w:val="00741039"/>
    <w:rsid w:val="00750095"/>
    <w:rsid w:val="0075235A"/>
    <w:rsid w:val="00756841"/>
    <w:rsid w:val="007649AB"/>
    <w:rsid w:val="00764E4F"/>
    <w:rsid w:val="00765BC5"/>
    <w:rsid w:val="00770023"/>
    <w:rsid w:val="00771D0C"/>
    <w:rsid w:val="007833AC"/>
    <w:rsid w:val="00790EF0"/>
    <w:rsid w:val="007B268C"/>
    <w:rsid w:val="007B7171"/>
    <w:rsid w:val="007C0C0F"/>
    <w:rsid w:val="007C3DC2"/>
    <w:rsid w:val="007E2F82"/>
    <w:rsid w:val="007E5497"/>
    <w:rsid w:val="007F3DA4"/>
    <w:rsid w:val="00806F5F"/>
    <w:rsid w:val="00810A55"/>
    <w:rsid w:val="00815808"/>
    <w:rsid w:val="00816DEA"/>
    <w:rsid w:val="00820278"/>
    <w:rsid w:val="008258C9"/>
    <w:rsid w:val="00844AE9"/>
    <w:rsid w:val="00863F85"/>
    <w:rsid w:val="00867F95"/>
    <w:rsid w:val="00872AF7"/>
    <w:rsid w:val="0087307B"/>
    <w:rsid w:val="00874E26"/>
    <w:rsid w:val="0087657D"/>
    <w:rsid w:val="008807E8"/>
    <w:rsid w:val="00883308"/>
    <w:rsid w:val="008843B6"/>
    <w:rsid w:val="00887EC2"/>
    <w:rsid w:val="00891928"/>
    <w:rsid w:val="00896CEE"/>
    <w:rsid w:val="008A1067"/>
    <w:rsid w:val="008A446D"/>
    <w:rsid w:val="008A676A"/>
    <w:rsid w:val="008A7E07"/>
    <w:rsid w:val="008B25F1"/>
    <w:rsid w:val="008C6F86"/>
    <w:rsid w:val="008D180B"/>
    <w:rsid w:val="008D2356"/>
    <w:rsid w:val="008D503C"/>
    <w:rsid w:val="008D608B"/>
    <w:rsid w:val="008E2A40"/>
    <w:rsid w:val="008E772F"/>
    <w:rsid w:val="008F0EA7"/>
    <w:rsid w:val="00905078"/>
    <w:rsid w:val="009076BF"/>
    <w:rsid w:val="00923EEF"/>
    <w:rsid w:val="009417A9"/>
    <w:rsid w:val="009419F9"/>
    <w:rsid w:val="009440EA"/>
    <w:rsid w:val="0094436E"/>
    <w:rsid w:val="00946B9D"/>
    <w:rsid w:val="0095685E"/>
    <w:rsid w:val="00961B09"/>
    <w:rsid w:val="00965334"/>
    <w:rsid w:val="00965B31"/>
    <w:rsid w:val="0097093E"/>
    <w:rsid w:val="00981DE9"/>
    <w:rsid w:val="00991055"/>
    <w:rsid w:val="00997268"/>
    <w:rsid w:val="009A0DFA"/>
    <w:rsid w:val="009A1C6F"/>
    <w:rsid w:val="009A7380"/>
    <w:rsid w:val="009B2D26"/>
    <w:rsid w:val="009B7205"/>
    <w:rsid w:val="009C71FA"/>
    <w:rsid w:val="009C72E7"/>
    <w:rsid w:val="009C7F7E"/>
    <w:rsid w:val="009D2299"/>
    <w:rsid w:val="009D2B7B"/>
    <w:rsid w:val="009D3058"/>
    <w:rsid w:val="009D5105"/>
    <w:rsid w:val="009E08BE"/>
    <w:rsid w:val="009E31C5"/>
    <w:rsid w:val="009E59F2"/>
    <w:rsid w:val="009F3A13"/>
    <w:rsid w:val="00A11AA2"/>
    <w:rsid w:val="00A122D3"/>
    <w:rsid w:val="00A14468"/>
    <w:rsid w:val="00A17F13"/>
    <w:rsid w:val="00A20739"/>
    <w:rsid w:val="00A23AF9"/>
    <w:rsid w:val="00A33C78"/>
    <w:rsid w:val="00A3450E"/>
    <w:rsid w:val="00A34B9E"/>
    <w:rsid w:val="00A647D3"/>
    <w:rsid w:val="00A710CE"/>
    <w:rsid w:val="00A74170"/>
    <w:rsid w:val="00A76661"/>
    <w:rsid w:val="00A83B8B"/>
    <w:rsid w:val="00A9092C"/>
    <w:rsid w:val="00AB0ADB"/>
    <w:rsid w:val="00AB496C"/>
    <w:rsid w:val="00AB5C52"/>
    <w:rsid w:val="00AD04E1"/>
    <w:rsid w:val="00AE3631"/>
    <w:rsid w:val="00AE5229"/>
    <w:rsid w:val="00AE5237"/>
    <w:rsid w:val="00AF40CA"/>
    <w:rsid w:val="00B00C0E"/>
    <w:rsid w:val="00B00E6B"/>
    <w:rsid w:val="00B00F41"/>
    <w:rsid w:val="00B01B1A"/>
    <w:rsid w:val="00B0381D"/>
    <w:rsid w:val="00B04BFC"/>
    <w:rsid w:val="00B06825"/>
    <w:rsid w:val="00B31F0C"/>
    <w:rsid w:val="00B341C9"/>
    <w:rsid w:val="00B443B9"/>
    <w:rsid w:val="00B44A47"/>
    <w:rsid w:val="00B5307E"/>
    <w:rsid w:val="00B55898"/>
    <w:rsid w:val="00B72CD3"/>
    <w:rsid w:val="00B72FFF"/>
    <w:rsid w:val="00B74045"/>
    <w:rsid w:val="00B774CC"/>
    <w:rsid w:val="00B817EA"/>
    <w:rsid w:val="00B923C3"/>
    <w:rsid w:val="00BA0F84"/>
    <w:rsid w:val="00BA7750"/>
    <w:rsid w:val="00BC3D36"/>
    <w:rsid w:val="00BD54A6"/>
    <w:rsid w:val="00BD7F72"/>
    <w:rsid w:val="00BE67C0"/>
    <w:rsid w:val="00BF7425"/>
    <w:rsid w:val="00C0067F"/>
    <w:rsid w:val="00C01468"/>
    <w:rsid w:val="00C02E0A"/>
    <w:rsid w:val="00C03414"/>
    <w:rsid w:val="00C04FB3"/>
    <w:rsid w:val="00C11D8B"/>
    <w:rsid w:val="00C15139"/>
    <w:rsid w:val="00C15B51"/>
    <w:rsid w:val="00C23729"/>
    <w:rsid w:val="00C27561"/>
    <w:rsid w:val="00C330EB"/>
    <w:rsid w:val="00C50D69"/>
    <w:rsid w:val="00C5365C"/>
    <w:rsid w:val="00C570EC"/>
    <w:rsid w:val="00C754BE"/>
    <w:rsid w:val="00C76B1C"/>
    <w:rsid w:val="00C82A7A"/>
    <w:rsid w:val="00C925AC"/>
    <w:rsid w:val="00C97F0F"/>
    <w:rsid w:val="00CA7A36"/>
    <w:rsid w:val="00CB241F"/>
    <w:rsid w:val="00CB6357"/>
    <w:rsid w:val="00CC019E"/>
    <w:rsid w:val="00CC1B26"/>
    <w:rsid w:val="00CD2195"/>
    <w:rsid w:val="00CE643A"/>
    <w:rsid w:val="00D0258F"/>
    <w:rsid w:val="00D10BDD"/>
    <w:rsid w:val="00D146B6"/>
    <w:rsid w:val="00D157E8"/>
    <w:rsid w:val="00D20E75"/>
    <w:rsid w:val="00D3203E"/>
    <w:rsid w:val="00D361FD"/>
    <w:rsid w:val="00D4098B"/>
    <w:rsid w:val="00D423A2"/>
    <w:rsid w:val="00D43218"/>
    <w:rsid w:val="00D44E26"/>
    <w:rsid w:val="00D520D8"/>
    <w:rsid w:val="00D63AC2"/>
    <w:rsid w:val="00D65199"/>
    <w:rsid w:val="00D70E10"/>
    <w:rsid w:val="00D7383B"/>
    <w:rsid w:val="00D753D8"/>
    <w:rsid w:val="00D7788A"/>
    <w:rsid w:val="00D92755"/>
    <w:rsid w:val="00DA231B"/>
    <w:rsid w:val="00DA444C"/>
    <w:rsid w:val="00DC213B"/>
    <w:rsid w:val="00DC39FC"/>
    <w:rsid w:val="00DD0480"/>
    <w:rsid w:val="00DF5254"/>
    <w:rsid w:val="00E006EE"/>
    <w:rsid w:val="00E02524"/>
    <w:rsid w:val="00E10AD7"/>
    <w:rsid w:val="00E16408"/>
    <w:rsid w:val="00E17A6F"/>
    <w:rsid w:val="00E20894"/>
    <w:rsid w:val="00E245AB"/>
    <w:rsid w:val="00E2764C"/>
    <w:rsid w:val="00E27F2E"/>
    <w:rsid w:val="00E37D90"/>
    <w:rsid w:val="00E50AFE"/>
    <w:rsid w:val="00E627AB"/>
    <w:rsid w:val="00E71583"/>
    <w:rsid w:val="00E75C92"/>
    <w:rsid w:val="00E771DC"/>
    <w:rsid w:val="00E8772A"/>
    <w:rsid w:val="00E90F6B"/>
    <w:rsid w:val="00E9191A"/>
    <w:rsid w:val="00E92C27"/>
    <w:rsid w:val="00E95931"/>
    <w:rsid w:val="00EA0E3D"/>
    <w:rsid w:val="00EC12DF"/>
    <w:rsid w:val="00EC2FE9"/>
    <w:rsid w:val="00EC38A7"/>
    <w:rsid w:val="00EE1AA8"/>
    <w:rsid w:val="00F01276"/>
    <w:rsid w:val="00F01E99"/>
    <w:rsid w:val="00F23CDD"/>
    <w:rsid w:val="00F23FEA"/>
    <w:rsid w:val="00F25805"/>
    <w:rsid w:val="00F25BAC"/>
    <w:rsid w:val="00F31EDC"/>
    <w:rsid w:val="00F42F3C"/>
    <w:rsid w:val="00F436C5"/>
    <w:rsid w:val="00F462B3"/>
    <w:rsid w:val="00F4756B"/>
    <w:rsid w:val="00F55B0F"/>
    <w:rsid w:val="00F5664F"/>
    <w:rsid w:val="00F61D98"/>
    <w:rsid w:val="00F666C4"/>
    <w:rsid w:val="00F76AFC"/>
    <w:rsid w:val="00F7766A"/>
    <w:rsid w:val="00F8669F"/>
    <w:rsid w:val="00F91C09"/>
    <w:rsid w:val="00F97AB6"/>
    <w:rsid w:val="00FA47C0"/>
    <w:rsid w:val="00FB2D2C"/>
    <w:rsid w:val="00FB5DD1"/>
    <w:rsid w:val="00FC2B5D"/>
    <w:rsid w:val="00FC7A8C"/>
    <w:rsid w:val="00FF1449"/>
    <w:rsid w:val="00FF1C7F"/>
    <w:rsid w:val="00FF7963"/>
    <w:rsid w:val="00FF7FB7"/>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46DF1759"/>
    <w:rsid w:val="545B112A"/>
    <w:rsid w:val="573F5239"/>
    <w:rsid w:val="5BEB1497"/>
    <w:rsid w:val="69614A15"/>
    <w:rsid w:val="6B96A9DE"/>
    <w:rsid w:val="74BA017B"/>
    <w:rsid w:val="75F735C4"/>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AFD3982-35FB-4B24-9F65-DB7019600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4CC"/>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F91C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F91C0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qFormat/>
    <w:locked/>
    <w:rsid w:val="00F91C09"/>
    <w:rPr>
      <w:rFonts w:ascii="Geomanist Light" w:hAnsi="Geomanist Light"/>
      <w:lang w:val="es-ES"/>
    </w:rPr>
  </w:style>
  <w:style w:type="table" w:styleId="Tablaconcuadrcula1clara">
    <w:name w:val="Grid Table 1 Light"/>
    <w:basedOn w:val="Tablanormal"/>
    <w:uiPriority w:val="46"/>
    <w:rsid w:val="00981D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003991">
      <w:bodyDiv w:val="1"/>
      <w:marLeft w:val="0"/>
      <w:marRight w:val="0"/>
      <w:marTop w:val="0"/>
      <w:marBottom w:val="0"/>
      <w:divBdr>
        <w:top w:val="none" w:sz="0" w:space="0" w:color="auto"/>
        <w:left w:val="none" w:sz="0" w:space="0" w:color="auto"/>
        <w:bottom w:val="none" w:sz="0" w:space="0" w:color="auto"/>
        <w:right w:val="none" w:sz="0" w:space="0" w:color="auto"/>
      </w:divBdr>
    </w:div>
    <w:div w:id="59251099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0728098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65463591">
      <w:bodyDiv w:val="1"/>
      <w:marLeft w:val="0"/>
      <w:marRight w:val="0"/>
      <w:marTop w:val="0"/>
      <w:marBottom w:val="0"/>
      <w:divBdr>
        <w:top w:val="none" w:sz="0" w:space="0" w:color="auto"/>
        <w:left w:val="none" w:sz="0" w:space="0" w:color="auto"/>
        <w:bottom w:val="none" w:sz="0" w:space="0" w:color="auto"/>
        <w:right w:val="none" w:sz="0" w:space="0" w:color="auto"/>
      </w:divBdr>
    </w:div>
    <w:div w:id="2035229157">
      <w:bodyDiv w:val="1"/>
      <w:marLeft w:val="0"/>
      <w:marRight w:val="0"/>
      <w:marTop w:val="0"/>
      <w:marBottom w:val="0"/>
      <w:divBdr>
        <w:top w:val="none" w:sz="0" w:space="0" w:color="auto"/>
        <w:left w:val="none" w:sz="0" w:space="0" w:color="auto"/>
        <w:bottom w:val="none" w:sz="0" w:space="0" w:color="auto"/>
        <w:right w:val="none" w:sz="0" w:space="0" w:color="auto"/>
      </w:divBdr>
    </w:div>
    <w:div w:id="2035769754">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documentos-tipo/documentos-tip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sindybolano611@g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39B35C0-8829-4193-AEF1-2D2BD01091AE}">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4ABF1145-1ACD-48AD-996B-1378C199272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21</Pages>
  <Words>6694</Words>
  <Characters>36819</Characters>
  <Application>Microsoft Office Word</Application>
  <DocSecurity>0</DocSecurity>
  <Lines>306</Lines>
  <Paragraphs>86</Paragraphs>
  <ScaleCrop>false</ScaleCrop>
  <Company/>
  <LinksUpToDate>false</LinksUpToDate>
  <CharactersWithSpaces>43427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7</cp:revision>
  <cp:lastPrinted>2023-01-10T21:18:00Z</cp:lastPrinted>
  <dcterms:created xsi:type="dcterms:W3CDTF">2026-06-17T19:52:00Z</dcterms:created>
  <dcterms:modified xsi:type="dcterms:W3CDTF">2026-06-17T19:59:00Z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