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98B4D" w14:textId="77777777" w:rsidR="0074093E" w:rsidRPr="003D156F" w:rsidRDefault="0074093E" w:rsidP="0074093E">
      <w:pPr>
        <w:spacing w:after="0" w:line="240" w:lineRule="auto"/>
        <w:rPr>
          <w:rFonts w:ascii="Verdana" w:hAnsi="Verdana" w:cs="Arial"/>
          <w:b/>
          <w:bCs/>
          <w:lang w:eastAsia="es-ES"/>
        </w:rPr>
      </w:pPr>
      <w:r w:rsidRPr="003D156F">
        <w:rPr>
          <w:rFonts w:ascii="Verdana" w:hAnsi="Verdana" w:cs="Arial"/>
          <w:b/>
          <w:bCs/>
          <w:lang w:eastAsia="es-ES"/>
        </w:rPr>
        <w:t>PLIEGO DE CONDICIONES – Modificaciones – Adendas</w:t>
      </w:r>
    </w:p>
    <w:p w14:paraId="4191DA1F" w14:textId="77777777" w:rsidR="0074093E" w:rsidRPr="003D156F" w:rsidRDefault="0074093E" w:rsidP="0074093E">
      <w:pPr>
        <w:spacing w:after="0" w:line="240" w:lineRule="auto"/>
        <w:rPr>
          <w:rFonts w:ascii="Verdana" w:hAnsi="Verdana"/>
          <w:b/>
          <w:sz w:val="20"/>
        </w:rPr>
      </w:pPr>
    </w:p>
    <w:p w14:paraId="1369A63D" w14:textId="77777777" w:rsidR="0074093E" w:rsidRDefault="0074093E" w:rsidP="0074093E">
      <w:pPr>
        <w:spacing w:after="0" w:line="240" w:lineRule="auto"/>
        <w:jc w:val="both"/>
        <w:rPr>
          <w:rFonts w:ascii="Verdana" w:eastAsia="Calibri" w:hAnsi="Verdana" w:cs="Arial"/>
          <w:color w:val="000000"/>
          <w:sz w:val="20"/>
          <w:lang w:val="es-ES" w:eastAsia="es-ES_tradnl"/>
        </w:rPr>
      </w:pPr>
      <w:r w:rsidRPr="003D156F">
        <w:rPr>
          <w:rFonts w:ascii="Verdana" w:eastAsia="Calibri" w:hAnsi="Verdana" w:cs="Arial"/>
          <w:color w:val="000000"/>
          <w:sz w:val="20"/>
          <w:lang w:val="es-ES" w:eastAsia="es-ES_tradnl" w:bidi="es-ES"/>
        </w:rPr>
        <w:t>Sin perjuicio de lo anterior,</w:t>
      </w:r>
      <w:r w:rsidRPr="003D156F">
        <w:rPr>
          <w:rFonts w:ascii="Verdana" w:eastAsia="Calibri" w:hAnsi="Verdana" w:cs="Arial"/>
          <w:color w:val="000000"/>
          <w:sz w:val="20"/>
          <w:lang w:val="es-ES" w:eastAsia="es-ES_tradnl"/>
        </w:rPr>
        <w:t xml:space="preserve"> puede ocurrir que surja la necesidad de efectuar correcciones, aclaraciones o modificaciones a los pliegos de condiciones, bien sea porque las mismas tienen origen en necesidades identificadas por la entidad contratante o como consecuencia de observaciones realizadas por los interesados en el procedimiento de selección. De esta manera, pese a la planeación previa y el cumplimiento de las disposiciones normativas aplicables, es posible que sea necesario modificar el pliego de condiciones.</w:t>
      </w:r>
    </w:p>
    <w:p w14:paraId="571B36DE" w14:textId="77777777" w:rsidR="0074093E" w:rsidRPr="003D156F" w:rsidRDefault="0074093E" w:rsidP="0074093E">
      <w:pPr>
        <w:spacing w:after="0" w:line="240" w:lineRule="auto"/>
        <w:jc w:val="both"/>
        <w:rPr>
          <w:rFonts w:ascii="Verdana" w:eastAsia="Calibri" w:hAnsi="Verdana" w:cs="Arial"/>
          <w:color w:val="000000"/>
          <w:sz w:val="20"/>
          <w:lang w:val="es-ES" w:eastAsia="es-ES_tradnl"/>
        </w:rPr>
      </w:pPr>
    </w:p>
    <w:p w14:paraId="4A14D224" w14:textId="77777777" w:rsidR="0074093E" w:rsidRPr="003D156F" w:rsidRDefault="0074093E" w:rsidP="0074093E">
      <w:pPr>
        <w:spacing w:after="0" w:line="240" w:lineRule="auto"/>
        <w:jc w:val="both"/>
        <w:rPr>
          <w:rFonts w:ascii="Verdana" w:eastAsia="Calibri" w:hAnsi="Verdana" w:cs="Arial"/>
          <w:i/>
          <w:color w:val="000000"/>
          <w:sz w:val="20"/>
          <w:lang w:val="es-ES" w:eastAsia="es-ES_tradnl"/>
        </w:rPr>
      </w:pPr>
      <w:r w:rsidRPr="003D156F">
        <w:rPr>
          <w:rFonts w:ascii="Verdana" w:eastAsia="Calibri" w:hAnsi="Verdana" w:cs="Arial"/>
          <w:color w:val="000000"/>
          <w:sz w:val="20"/>
          <w:lang w:val="es-ES" w:eastAsia="es-ES_tradnl"/>
        </w:rPr>
        <w:t xml:space="preserve">Así, 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 modificación que se realiza mediante </w:t>
      </w:r>
      <w:r w:rsidRPr="003D156F">
        <w:rPr>
          <w:rFonts w:ascii="Verdana" w:eastAsia="Calibri" w:hAnsi="Verdana" w:cs="Arial"/>
          <w:i/>
          <w:iCs/>
          <w:color w:val="000000"/>
          <w:sz w:val="20"/>
          <w:lang w:val="es-ES" w:eastAsia="es-ES_tradnl"/>
        </w:rPr>
        <w:t>adendas</w:t>
      </w:r>
      <w:r w:rsidRPr="003D156F">
        <w:rPr>
          <w:rFonts w:ascii="Verdana" w:eastAsia="Calibri" w:hAnsi="Verdana" w:cs="Arial"/>
          <w:i/>
          <w:color w:val="000000"/>
          <w:sz w:val="20"/>
          <w:lang w:val="es-ES" w:eastAsia="es-ES_tradnl"/>
        </w:rPr>
        <w:t xml:space="preserve">. </w:t>
      </w:r>
    </w:p>
    <w:p w14:paraId="1BCE93B6" w14:textId="77777777" w:rsidR="0074093E" w:rsidRPr="003D156F" w:rsidRDefault="0074093E" w:rsidP="0074093E">
      <w:pPr>
        <w:spacing w:after="0" w:line="240" w:lineRule="auto"/>
        <w:rPr>
          <w:rFonts w:ascii="Verdana" w:hAnsi="Verdana"/>
          <w:b/>
          <w:lang w:val="es-ES"/>
        </w:rPr>
      </w:pPr>
    </w:p>
    <w:p w14:paraId="5F055E6B" w14:textId="77777777" w:rsidR="0074093E" w:rsidRPr="003D156F" w:rsidRDefault="0074093E" w:rsidP="0074093E">
      <w:pPr>
        <w:spacing w:after="0" w:line="240" w:lineRule="auto"/>
        <w:rPr>
          <w:rFonts w:ascii="Verdana" w:hAnsi="Verdana" w:cs="Arial"/>
          <w:b/>
          <w:bCs/>
          <w:lang w:eastAsia="es-ES"/>
        </w:rPr>
      </w:pPr>
      <w:r w:rsidRPr="003D156F">
        <w:rPr>
          <w:rFonts w:ascii="Verdana" w:hAnsi="Verdana" w:cs="Arial"/>
          <w:b/>
          <w:bCs/>
          <w:lang w:eastAsia="es-ES"/>
        </w:rPr>
        <w:t>EXPEDICIÓN DE ADENDAS – Límite temporal</w:t>
      </w:r>
    </w:p>
    <w:p w14:paraId="6C041CA4" w14:textId="77777777" w:rsidR="0074093E" w:rsidRPr="00A96C54" w:rsidRDefault="0074093E" w:rsidP="0074093E">
      <w:pPr>
        <w:spacing w:after="0" w:line="240" w:lineRule="auto"/>
        <w:rPr>
          <w:rFonts w:ascii="Verdana" w:hAnsi="Verdana" w:cs="Arial"/>
          <w:b/>
          <w:bCs/>
          <w:sz w:val="20"/>
          <w:szCs w:val="20"/>
          <w:lang w:eastAsia="es-ES"/>
        </w:rPr>
      </w:pPr>
    </w:p>
    <w:p w14:paraId="74CB9D63" w14:textId="77777777" w:rsidR="0074093E" w:rsidRPr="00A96C54" w:rsidRDefault="0074093E" w:rsidP="0074093E">
      <w:pPr>
        <w:spacing w:after="0" w:line="240" w:lineRule="auto"/>
        <w:jc w:val="both"/>
        <w:rPr>
          <w:rFonts w:ascii="Verdana" w:eastAsia="Arial" w:hAnsi="Verdana" w:cs="Arial"/>
          <w:sz w:val="20"/>
          <w:szCs w:val="20"/>
          <w:lang w:eastAsia="es-ES" w:bidi="es-ES"/>
        </w:rPr>
      </w:pPr>
      <w:r w:rsidRPr="00A96C54">
        <w:rPr>
          <w:rFonts w:ascii="Verdana" w:eastAsia="Calibri" w:hAnsi="Verdana" w:cs="Arial"/>
          <w:sz w:val="20"/>
          <w:szCs w:val="20"/>
        </w:rPr>
        <w:t xml:space="preserve">La interpretación de esta norma supone diferenciar entre dos (2) tipos de ajustes que pueden generar la expedición de adendas: i) los referidos a las condiciones técnicas, jurídicas y económicas del pliego definitivo y, en general, a cualquier contenido distinto del cronograma del procedimiento de selección y </w:t>
      </w:r>
      <w:proofErr w:type="spellStart"/>
      <w:r w:rsidRPr="00A96C54">
        <w:rPr>
          <w:rFonts w:ascii="Verdana" w:eastAsia="Calibri" w:hAnsi="Verdana" w:cs="Arial"/>
          <w:sz w:val="20"/>
          <w:szCs w:val="20"/>
        </w:rPr>
        <w:t>ii</w:t>
      </w:r>
      <w:proofErr w:type="spellEnd"/>
      <w:r w:rsidRPr="00A96C54">
        <w:rPr>
          <w:rFonts w:ascii="Verdana" w:eastAsia="Calibri" w:hAnsi="Verdana" w:cs="Arial"/>
          <w:sz w:val="20"/>
          <w:szCs w:val="20"/>
        </w:rPr>
        <w:t xml:space="preserve">) los del cronograma. 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Pr="00A96C54">
        <w:rPr>
          <w:rFonts w:ascii="Verdana" w:eastAsia="Calibri" w:hAnsi="Verdana" w:cs="Arial"/>
          <w:sz w:val="20"/>
          <w:szCs w:val="20"/>
          <w:lang w:val="es-ES"/>
        </w:rPr>
        <w:t xml:space="preserve">2.2.1.1.2.2.1. </w:t>
      </w:r>
      <w:r w:rsidRPr="00A96C54">
        <w:rPr>
          <w:rFonts w:ascii="Verdana" w:eastAsia="Arial" w:hAnsi="Verdana" w:cs="Arial"/>
          <w:sz w:val="20"/>
          <w:szCs w:val="20"/>
          <w:lang w:val="es-ES" w:eastAsia="es-ES" w:bidi="es-ES"/>
        </w:rPr>
        <w:t>del D</w:t>
      </w:r>
      <w:proofErr w:type="spellStart"/>
      <w:r w:rsidRPr="00A96C54">
        <w:rPr>
          <w:rFonts w:ascii="Verdana" w:eastAsia="Arial" w:hAnsi="Verdana" w:cs="Arial"/>
          <w:sz w:val="20"/>
          <w:szCs w:val="20"/>
          <w:lang w:eastAsia="es-ES" w:bidi="es-ES"/>
        </w:rPr>
        <w:t>ecreto</w:t>
      </w:r>
      <w:proofErr w:type="spellEnd"/>
      <w:r w:rsidRPr="00A96C54">
        <w:rPr>
          <w:rFonts w:ascii="Verdana" w:eastAsia="Arial" w:hAnsi="Verdana" w:cs="Arial"/>
          <w:sz w:val="20"/>
          <w:szCs w:val="20"/>
          <w:lang w:eastAsia="es-ES" w:bidi="es-ES"/>
        </w:rPr>
        <w:t xml:space="preserve"> 1082 de 2015. De este modo</w:t>
      </w:r>
      <w:r w:rsidRPr="00A96C54">
        <w:rPr>
          <w:rFonts w:ascii="Verdana" w:eastAsia="Calibri" w:hAnsi="Verdana" w:cs="Arial"/>
          <w:sz w:val="20"/>
          <w:szCs w:val="20"/>
          <w:lang w:eastAsia="es-CO"/>
        </w:rPr>
        <w:t xml:space="preserve">, tanto para la licitación pública, como para los demás procedimientos de selección de contratistas, las normas legales y reglamentarias prevén la posibilidad de modificar los pliegos de condiciones mediante </w:t>
      </w:r>
      <w:r w:rsidRPr="00A96C54">
        <w:rPr>
          <w:rFonts w:ascii="Verdana" w:eastAsia="Calibri" w:hAnsi="Verdana" w:cs="Arial"/>
          <w:i/>
          <w:iCs/>
          <w:sz w:val="20"/>
          <w:szCs w:val="20"/>
          <w:lang w:eastAsia="es-CO"/>
        </w:rPr>
        <w:t>adendas</w:t>
      </w:r>
      <w:r w:rsidRPr="00A96C54">
        <w:rPr>
          <w:rFonts w:ascii="Verdana" w:eastAsia="Calibri" w:hAnsi="Verdana" w:cs="Arial"/>
          <w:sz w:val="20"/>
          <w:szCs w:val="20"/>
          <w:lang w:eastAsia="es-CO"/>
        </w:rPr>
        <w:t xml:space="preserve">. </w:t>
      </w:r>
    </w:p>
    <w:p w14:paraId="4261C8B0" w14:textId="77777777" w:rsidR="0074093E" w:rsidRPr="003D156F" w:rsidRDefault="0074093E" w:rsidP="0074093E">
      <w:pPr>
        <w:spacing w:after="0" w:line="240" w:lineRule="auto"/>
        <w:rPr>
          <w:rFonts w:ascii="Verdana" w:hAnsi="Verdana" w:cs="Arial"/>
          <w:b/>
          <w:bCs/>
          <w:lang w:eastAsia="es-ES"/>
        </w:rPr>
      </w:pPr>
    </w:p>
    <w:p w14:paraId="3C5CED2B" w14:textId="77777777" w:rsidR="0074093E" w:rsidRPr="003D156F" w:rsidRDefault="0074093E" w:rsidP="0074093E">
      <w:pPr>
        <w:spacing w:after="0" w:line="240" w:lineRule="auto"/>
        <w:rPr>
          <w:rFonts w:ascii="Verdana" w:hAnsi="Verdana" w:cs="Arial"/>
          <w:b/>
          <w:bCs/>
          <w:lang w:eastAsia="es-ES"/>
        </w:rPr>
      </w:pPr>
      <w:r w:rsidRPr="003D156F">
        <w:rPr>
          <w:rFonts w:ascii="Verdana" w:hAnsi="Verdana" w:cs="Arial"/>
          <w:b/>
          <w:bCs/>
          <w:lang w:eastAsia="es-ES"/>
        </w:rPr>
        <w:t>EXPEDICIÓN DE ADENDAS – Límite material</w:t>
      </w:r>
    </w:p>
    <w:p w14:paraId="54034D4E" w14:textId="77777777" w:rsidR="0074093E" w:rsidRDefault="0074093E" w:rsidP="0074093E">
      <w:pPr>
        <w:spacing w:after="0" w:line="240" w:lineRule="auto"/>
        <w:rPr>
          <w:rFonts w:ascii="Verdana" w:hAnsi="Verdana" w:cs="Arial"/>
          <w:bCs/>
          <w:lang w:eastAsia="es-ES"/>
        </w:rPr>
      </w:pPr>
    </w:p>
    <w:p w14:paraId="1DB99C81" w14:textId="77777777" w:rsidR="0074093E" w:rsidRPr="001A52E3" w:rsidRDefault="0074093E" w:rsidP="0074093E">
      <w:pPr>
        <w:widowControl w:val="0"/>
        <w:autoSpaceDE w:val="0"/>
        <w:autoSpaceDN w:val="0"/>
        <w:spacing w:after="0" w:line="240" w:lineRule="auto"/>
        <w:ind w:right="102"/>
        <w:jc w:val="both"/>
        <w:rPr>
          <w:rFonts w:ascii="Verdana" w:eastAsia="Arial" w:hAnsi="Verdana" w:cs="Arial"/>
          <w:sz w:val="20"/>
          <w:lang w:eastAsia="es-ES" w:bidi="es-ES"/>
        </w:rPr>
      </w:pPr>
      <w:r w:rsidRPr="001A52E3">
        <w:rPr>
          <w:rFonts w:ascii="Verdana" w:eastAsia="Calibri" w:hAnsi="Verdana" w:cs="Arial"/>
          <w:sz w:val="20"/>
          <w:lang w:eastAsia="es-CO"/>
        </w:rPr>
        <w:t xml:space="preserve">Sin perjuicio de esto, es preciso advertir que, las adendas solo pueden modificar aspectos de los pliegos que no sean sustanciales, lo que significa que pueden cambiar asuntos como el cronograma del proceso, o pueden abrir la posibilidad de que un material no previsto inicialmente sea utilizado en la elaboración de lo que la entidad requiere. En ese sentido, debe tenerse en cuenta que mediante adendas que </w:t>
      </w:r>
      <w:r w:rsidRPr="001A52E3">
        <w:rPr>
          <w:rFonts w:ascii="Verdana" w:eastAsia="Calibri" w:hAnsi="Verdana" w:cs="Arial"/>
          <w:bCs/>
          <w:sz w:val="20"/>
          <w:lang w:eastAsia="es-CO"/>
        </w:rPr>
        <w:t>no se pueden cambiar asuntos sustanciales como son el objeto del contrato, el mecanismo de selección y el presupuesto.</w:t>
      </w:r>
      <w:r w:rsidRPr="001A52E3">
        <w:rPr>
          <w:rFonts w:ascii="Verdana" w:eastAsia="Calibri" w:hAnsi="Verdana" w:cs="Arial"/>
          <w:sz w:val="20"/>
          <w:lang w:eastAsia="es-CO"/>
        </w:rPr>
        <w:t xml:space="preserve"> Adicionalmente, las adendas además deben cumplir todos los requisitos de publicidad del pliego de condiciones, ya que, para garantizar seguridad jurídica en el marco del proceso, las reglas no pueden variar a espaldas de </w:t>
      </w:r>
      <w:r w:rsidRPr="001A52E3">
        <w:rPr>
          <w:rFonts w:ascii="Verdana" w:eastAsia="Calibri" w:hAnsi="Verdana" w:cs="Arial"/>
          <w:sz w:val="20"/>
          <w:lang w:eastAsia="es-CO"/>
        </w:rPr>
        <w:lastRenderedPageBreak/>
        <w:t xml:space="preserve">los eventuales interesados. </w:t>
      </w:r>
    </w:p>
    <w:p w14:paraId="74B5BB4E" w14:textId="77777777" w:rsidR="0074093E" w:rsidRDefault="0074093E" w:rsidP="0074093E">
      <w:pPr>
        <w:widowControl w:val="0"/>
        <w:autoSpaceDE w:val="0"/>
        <w:autoSpaceDN w:val="0"/>
        <w:spacing w:after="0" w:line="240" w:lineRule="auto"/>
        <w:ind w:right="102"/>
        <w:jc w:val="both"/>
        <w:rPr>
          <w:rFonts w:ascii="Verdana" w:eastAsia="Arial" w:hAnsi="Verdana" w:cs="Arial"/>
          <w:sz w:val="20"/>
          <w:lang w:eastAsia="es-ES" w:bidi="es-ES"/>
        </w:rPr>
      </w:pPr>
    </w:p>
    <w:p w14:paraId="7ADF933F" w14:textId="77777777" w:rsidR="0074093E" w:rsidRPr="001A52E3" w:rsidRDefault="0074093E" w:rsidP="0074093E">
      <w:pPr>
        <w:widowControl w:val="0"/>
        <w:autoSpaceDE w:val="0"/>
        <w:autoSpaceDN w:val="0"/>
        <w:spacing w:after="0" w:line="240" w:lineRule="auto"/>
        <w:ind w:right="102"/>
        <w:jc w:val="both"/>
        <w:rPr>
          <w:rFonts w:ascii="Verdana" w:eastAsia="Arial" w:hAnsi="Verdana" w:cs="Arial"/>
          <w:sz w:val="20"/>
          <w:lang w:eastAsia="es-ES" w:bidi="es-ES"/>
        </w:rPr>
      </w:pPr>
      <w:r w:rsidRPr="001A52E3">
        <w:rPr>
          <w:rFonts w:ascii="Verdana" w:eastAsia="Arial" w:hAnsi="Verdana" w:cs="Arial"/>
          <w:sz w:val="20"/>
          <w:lang w:eastAsia="es-ES" w:bidi="es-ES"/>
        </w:rPr>
        <w:t xml:space="preserve">Sobre el asunto, el Consejo de Estado ha señalado que con </w:t>
      </w:r>
      <w:r w:rsidRPr="001A52E3">
        <w:rPr>
          <w:rFonts w:ascii="Verdana" w:eastAsia="Calibri" w:hAnsi="Verdana" w:cs="Arial"/>
          <w:sz w:val="20"/>
          <w:lang w:eastAsia="es-CO"/>
        </w:rPr>
        <w:t>la finalidad de expedir reglas claras y precisas, la entidad con posterioridad a la publicación del proyecto de pliegos o el pliego de condiciones definitivo, puede realizar modificaciones y aclaraciones que no afecten la esencia o sustancia del proceso de selección, siempre en pro de garantizar el correcto desarrollo del proceso de selección, y en consonancia de los principios de la función administrativa y los contenidos en la Ley 80 de 1993.</w:t>
      </w:r>
    </w:p>
    <w:p w14:paraId="318D64D7" w14:textId="77777777" w:rsidR="002C6D5B" w:rsidRDefault="002C6D5B" w:rsidP="002C6D5B">
      <w:pPr>
        <w:spacing w:after="0" w:line="240" w:lineRule="auto"/>
        <w:jc w:val="both"/>
        <w:rPr>
          <w:rFonts w:ascii="Verdana" w:hAnsi="Verdana"/>
        </w:rPr>
      </w:pPr>
    </w:p>
    <w:p w14:paraId="7362F2B2" w14:textId="77777777" w:rsidR="0074093E" w:rsidRDefault="0074093E" w:rsidP="002C6D5B">
      <w:pPr>
        <w:spacing w:after="0" w:line="240" w:lineRule="auto"/>
        <w:jc w:val="both"/>
        <w:rPr>
          <w:rFonts w:ascii="Verdana" w:hAnsi="Verdana"/>
        </w:rPr>
      </w:pPr>
    </w:p>
    <w:p w14:paraId="0DBEE851" w14:textId="77777777" w:rsidR="0074093E" w:rsidRDefault="0074093E" w:rsidP="002C6D5B">
      <w:pPr>
        <w:spacing w:after="0" w:line="240" w:lineRule="auto"/>
        <w:jc w:val="both"/>
        <w:rPr>
          <w:rFonts w:ascii="Verdana" w:hAnsi="Verdana"/>
        </w:rPr>
      </w:pPr>
    </w:p>
    <w:p w14:paraId="757EC899" w14:textId="77777777" w:rsidR="0074093E" w:rsidRDefault="0074093E" w:rsidP="002C6D5B">
      <w:pPr>
        <w:spacing w:after="0" w:line="240" w:lineRule="auto"/>
        <w:jc w:val="both"/>
        <w:rPr>
          <w:rFonts w:ascii="Verdana" w:hAnsi="Verdana"/>
        </w:rPr>
      </w:pPr>
    </w:p>
    <w:p w14:paraId="5D572040" w14:textId="77777777" w:rsidR="0074093E" w:rsidRDefault="0074093E" w:rsidP="002C6D5B">
      <w:pPr>
        <w:spacing w:after="0" w:line="240" w:lineRule="auto"/>
        <w:jc w:val="both"/>
        <w:rPr>
          <w:rFonts w:ascii="Verdana" w:hAnsi="Verdana"/>
        </w:rPr>
      </w:pPr>
    </w:p>
    <w:p w14:paraId="442D83B5" w14:textId="77777777" w:rsidR="0074093E" w:rsidRDefault="0074093E" w:rsidP="002C6D5B">
      <w:pPr>
        <w:spacing w:after="0" w:line="240" w:lineRule="auto"/>
        <w:jc w:val="both"/>
        <w:rPr>
          <w:rFonts w:ascii="Verdana" w:hAnsi="Verdana"/>
        </w:rPr>
      </w:pPr>
    </w:p>
    <w:p w14:paraId="45A4ADCE" w14:textId="77777777" w:rsidR="0074093E" w:rsidRDefault="0074093E" w:rsidP="002C6D5B">
      <w:pPr>
        <w:spacing w:after="0" w:line="240" w:lineRule="auto"/>
        <w:jc w:val="both"/>
        <w:rPr>
          <w:rFonts w:ascii="Verdana" w:hAnsi="Verdana"/>
        </w:rPr>
      </w:pPr>
    </w:p>
    <w:p w14:paraId="4CC4E6DD" w14:textId="77777777" w:rsidR="0074093E" w:rsidRDefault="0074093E" w:rsidP="002C6D5B">
      <w:pPr>
        <w:spacing w:after="0" w:line="240" w:lineRule="auto"/>
        <w:jc w:val="both"/>
        <w:rPr>
          <w:rFonts w:ascii="Verdana" w:hAnsi="Verdana"/>
        </w:rPr>
      </w:pPr>
    </w:p>
    <w:p w14:paraId="0CAD8348" w14:textId="77777777" w:rsidR="0074093E" w:rsidRDefault="0074093E" w:rsidP="002C6D5B">
      <w:pPr>
        <w:spacing w:after="0" w:line="240" w:lineRule="auto"/>
        <w:jc w:val="both"/>
        <w:rPr>
          <w:rFonts w:ascii="Verdana" w:hAnsi="Verdana"/>
        </w:rPr>
      </w:pPr>
    </w:p>
    <w:p w14:paraId="3C1146CC" w14:textId="77777777" w:rsidR="0074093E" w:rsidRDefault="0074093E" w:rsidP="002C6D5B">
      <w:pPr>
        <w:spacing w:after="0" w:line="240" w:lineRule="auto"/>
        <w:jc w:val="both"/>
        <w:rPr>
          <w:rFonts w:ascii="Verdana" w:hAnsi="Verdana"/>
        </w:rPr>
      </w:pPr>
    </w:p>
    <w:p w14:paraId="0FC69493" w14:textId="77777777" w:rsidR="0074093E" w:rsidRDefault="0074093E" w:rsidP="002C6D5B">
      <w:pPr>
        <w:spacing w:after="0" w:line="240" w:lineRule="auto"/>
        <w:jc w:val="both"/>
        <w:rPr>
          <w:rFonts w:ascii="Verdana" w:hAnsi="Verdana"/>
        </w:rPr>
      </w:pPr>
    </w:p>
    <w:p w14:paraId="08964F6A" w14:textId="77777777" w:rsidR="0074093E" w:rsidRDefault="0074093E" w:rsidP="002C6D5B">
      <w:pPr>
        <w:spacing w:after="0" w:line="240" w:lineRule="auto"/>
        <w:jc w:val="both"/>
        <w:rPr>
          <w:rFonts w:ascii="Verdana" w:hAnsi="Verdana"/>
        </w:rPr>
      </w:pPr>
    </w:p>
    <w:p w14:paraId="59F87DFE" w14:textId="77777777" w:rsidR="0074093E" w:rsidRDefault="0074093E" w:rsidP="002C6D5B">
      <w:pPr>
        <w:spacing w:after="0" w:line="240" w:lineRule="auto"/>
        <w:jc w:val="both"/>
        <w:rPr>
          <w:rFonts w:ascii="Verdana" w:hAnsi="Verdana"/>
        </w:rPr>
      </w:pPr>
    </w:p>
    <w:p w14:paraId="6A52A74E" w14:textId="77777777" w:rsidR="0074093E" w:rsidRDefault="0074093E" w:rsidP="002C6D5B">
      <w:pPr>
        <w:spacing w:after="0" w:line="240" w:lineRule="auto"/>
        <w:jc w:val="both"/>
        <w:rPr>
          <w:rFonts w:ascii="Verdana" w:hAnsi="Verdana"/>
        </w:rPr>
      </w:pPr>
    </w:p>
    <w:p w14:paraId="31B804DD" w14:textId="77777777" w:rsidR="0074093E" w:rsidRDefault="0074093E" w:rsidP="002C6D5B">
      <w:pPr>
        <w:spacing w:after="0" w:line="240" w:lineRule="auto"/>
        <w:jc w:val="both"/>
        <w:rPr>
          <w:rFonts w:ascii="Verdana" w:hAnsi="Verdana"/>
        </w:rPr>
      </w:pPr>
    </w:p>
    <w:p w14:paraId="2D62E08A" w14:textId="77777777" w:rsidR="0074093E" w:rsidRDefault="0074093E" w:rsidP="002C6D5B">
      <w:pPr>
        <w:spacing w:after="0" w:line="240" w:lineRule="auto"/>
        <w:jc w:val="both"/>
        <w:rPr>
          <w:rFonts w:ascii="Verdana" w:hAnsi="Verdana"/>
        </w:rPr>
      </w:pPr>
    </w:p>
    <w:p w14:paraId="32778C9D" w14:textId="77777777" w:rsidR="0074093E" w:rsidRDefault="0074093E" w:rsidP="002C6D5B">
      <w:pPr>
        <w:spacing w:after="0" w:line="240" w:lineRule="auto"/>
        <w:jc w:val="both"/>
        <w:rPr>
          <w:rFonts w:ascii="Verdana" w:hAnsi="Verdana"/>
        </w:rPr>
      </w:pPr>
    </w:p>
    <w:p w14:paraId="31548C47" w14:textId="77777777" w:rsidR="0074093E" w:rsidRDefault="0074093E" w:rsidP="002C6D5B">
      <w:pPr>
        <w:spacing w:after="0" w:line="240" w:lineRule="auto"/>
        <w:jc w:val="both"/>
        <w:rPr>
          <w:rFonts w:ascii="Verdana" w:hAnsi="Verdana"/>
        </w:rPr>
      </w:pPr>
    </w:p>
    <w:p w14:paraId="05C09E27" w14:textId="77777777" w:rsidR="0074093E" w:rsidRDefault="0074093E" w:rsidP="002C6D5B">
      <w:pPr>
        <w:spacing w:after="0" w:line="240" w:lineRule="auto"/>
        <w:jc w:val="both"/>
        <w:rPr>
          <w:rFonts w:ascii="Verdana" w:hAnsi="Verdana"/>
        </w:rPr>
      </w:pPr>
    </w:p>
    <w:p w14:paraId="4E93BF86" w14:textId="77777777" w:rsidR="0074093E" w:rsidRDefault="0074093E" w:rsidP="002C6D5B">
      <w:pPr>
        <w:spacing w:after="0" w:line="240" w:lineRule="auto"/>
        <w:jc w:val="both"/>
        <w:rPr>
          <w:rFonts w:ascii="Verdana" w:hAnsi="Verdana"/>
        </w:rPr>
      </w:pPr>
    </w:p>
    <w:p w14:paraId="2149A329" w14:textId="77777777" w:rsidR="0074093E" w:rsidRDefault="0074093E" w:rsidP="002C6D5B">
      <w:pPr>
        <w:spacing w:after="0" w:line="240" w:lineRule="auto"/>
        <w:jc w:val="both"/>
        <w:rPr>
          <w:rFonts w:ascii="Verdana" w:hAnsi="Verdana"/>
        </w:rPr>
      </w:pPr>
    </w:p>
    <w:p w14:paraId="5EE88A9B" w14:textId="77777777" w:rsidR="0074093E" w:rsidRDefault="0074093E" w:rsidP="002C6D5B">
      <w:pPr>
        <w:spacing w:after="0" w:line="240" w:lineRule="auto"/>
        <w:jc w:val="both"/>
        <w:rPr>
          <w:rFonts w:ascii="Verdana" w:hAnsi="Verdana"/>
        </w:rPr>
      </w:pPr>
    </w:p>
    <w:p w14:paraId="7E61F605" w14:textId="77777777" w:rsidR="0074093E" w:rsidRDefault="0074093E" w:rsidP="002C6D5B">
      <w:pPr>
        <w:spacing w:after="0" w:line="240" w:lineRule="auto"/>
        <w:jc w:val="both"/>
        <w:rPr>
          <w:rFonts w:ascii="Verdana" w:hAnsi="Verdana"/>
        </w:rPr>
      </w:pPr>
    </w:p>
    <w:p w14:paraId="10793E8D" w14:textId="77777777" w:rsidR="0074093E" w:rsidRDefault="0074093E" w:rsidP="002C6D5B">
      <w:pPr>
        <w:spacing w:after="0" w:line="240" w:lineRule="auto"/>
        <w:jc w:val="both"/>
        <w:rPr>
          <w:rFonts w:ascii="Verdana" w:hAnsi="Verdana"/>
        </w:rPr>
      </w:pPr>
    </w:p>
    <w:p w14:paraId="2FB638A4" w14:textId="77777777" w:rsidR="0074093E" w:rsidRDefault="0074093E" w:rsidP="002C6D5B">
      <w:pPr>
        <w:spacing w:after="0" w:line="240" w:lineRule="auto"/>
        <w:jc w:val="both"/>
        <w:rPr>
          <w:rFonts w:ascii="Verdana" w:hAnsi="Verdana"/>
        </w:rPr>
      </w:pPr>
    </w:p>
    <w:p w14:paraId="4900260E" w14:textId="77777777" w:rsidR="0074093E" w:rsidRDefault="0074093E" w:rsidP="002C6D5B">
      <w:pPr>
        <w:spacing w:after="0" w:line="240" w:lineRule="auto"/>
        <w:jc w:val="both"/>
        <w:rPr>
          <w:rFonts w:ascii="Verdana" w:hAnsi="Verdana"/>
        </w:rPr>
      </w:pPr>
    </w:p>
    <w:p w14:paraId="6EC754FE" w14:textId="77777777" w:rsidR="0074093E" w:rsidRDefault="0074093E" w:rsidP="002C6D5B">
      <w:pPr>
        <w:spacing w:after="0" w:line="240" w:lineRule="auto"/>
        <w:jc w:val="both"/>
        <w:rPr>
          <w:rFonts w:ascii="Verdana" w:hAnsi="Verdana"/>
        </w:rPr>
      </w:pPr>
    </w:p>
    <w:p w14:paraId="5CCB0985" w14:textId="77777777" w:rsidR="0074093E" w:rsidRDefault="0074093E" w:rsidP="002C6D5B">
      <w:pPr>
        <w:spacing w:after="0" w:line="240" w:lineRule="auto"/>
        <w:jc w:val="both"/>
        <w:rPr>
          <w:rFonts w:ascii="Verdana" w:hAnsi="Verdana"/>
        </w:rPr>
      </w:pPr>
    </w:p>
    <w:p w14:paraId="4D41779D" w14:textId="77777777" w:rsidR="0074093E" w:rsidRDefault="0074093E" w:rsidP="002C6D5B">
      <w:pPr>
        <w:spacing w:after="0" w:line="240" w:lineRule="auto"/>
        <w:jc w:val="both"/>
        <w:rPr>
          <w:rFonts w:ascii="Verdana" w:hAnsi="Verdana"/>
        </w:rPr>
      </w:pPr>
    </w:p>
    <w:p w14:paraId="261A18B3" w14:textId="77777777" w:rsidR="0074093E" w:rsidRDefault="0074093E" w:rsidP="002C6D5B">
      <w:pPr>
        <w:spacing w:after="0" w:line="240" w:lineRule="auto"/>
        <w:jc w:val="both"/>
        <w:rPr>
          <w:rFonts w:ascii="Verdana" w:hAnsi="Verdana"/>
        </w:rPr>
      </w:pPr>
    </w:p>
    <w:p w14:paraId="71F2AEB7" w14:textId="77777777" w:rsidR="0074093E" w:rsidRDefault="0074093E" w:rsidP="002C6D5B">
      <w:pPr>
        <w:spacing w:after="0" w:line="240" w:lineRule="auto"/>
        <w:jc w:val="both"/>
        <w:rPr>
          <w:rFonts w:ascii="Verdana" w:hAnsi="Verdana"/>
        </w:rPr>
      </w:pPr>
    </w:p>
    <w:p w14:paraId="6ACDFD1D" w14:textId="77777777" w:rsidR="0074093E" w:rsidRDefault="0074093E" w:rsidP="002C6D5B">
      <w:pPr>
        <w:spacing w:after="0" w:line="240" w:lineRule="auto"/>
        <w:jc w:val="both"/>
        <w:rPr>
          <w:rFonts w:ascii="Verdana" w:hAnsi="Verdana"/>
        </w:rPr>
      </w:pPr>
    </w:p>
    <w:p w14:paraId="35ABE5C0" w14:textId="77777777" w:rsidR="0074093E" w:rsidRDefault="0074093E" w:rsidP="002C6D5B">
      <w:pPr>
        <w:spacing w:after="0" w:line="240" w:lineRule="auto"/>
        <w:jc w:val="both"/>
        <w:rPr>
          <w:rFonts w:ascii="Verdana" w:hAnsi="Verdana"/>
        </w:rPr>
      </w:pPr>
    </w:p>
    <w:p w14:paraId="04096BE1" w14:textId="77777777" w:rsidR="00160C47" w:rsidRDefault="00160C47" w:rsidP="002C6D5B">
      <w:pPr>
        <w:spacing w:after="0" w:line="240" w:lineRule="auto"/>
        <w:jc w:val="both"/>
        <w:rPr>
          <w:rFonts w:ascii="Verdana" w:hAnsi="Verdana"/>
        </w:rPr>
      </w:pPr>
    </w:p>
    <w:p w14:paraId="18624F05" w14:textId="53D7B29C" w:rsidR="002C6D5B" w:rsidRPr="008E4F36" w:rsidRDefault="00FB06C2" w:rsidP="002C6D5B">
      <w:pPr>
        <w:spacing w:after="0" w:line="240" w:lineRule="auto"/>
        <w:jc w:val="both"/>
        <w:rPr>
          <w:rFonts w:ascii="Verdana" w:hAnsi="Verdana"/>
        </w:rPr>
      </w:pPr>
      <w:r w:rsidRPr="00FB06C2">
        <w:rPr>
          <w:rFonts w:ascii="Verdana" w:hAnsi="Verdana"/>
        </w:rPr>
        <w:lastRenderedPageBreak/>
        <w:t xml:space="preserve">Bogotá D.C., 01 </w:t>
      </w:r>
      <w:r w:rsidR="00100985" w:rsidRPr="00FB06C2">
        <w:rPr>
          <w:rFonts w:ascii="Verdana" w:hAnsi="Verdana"/>
        </w:rPr>
        <w:t>junio</w:t>
      </w:r>
      <w:r w:rsidRPr="00FB06C2">
        <w:rPr>
          <w:rFonts w:ascii="Verdana" w:hAnsi="Verdana"/>
        </w:rPr>
        <w:t xml:space="preserve"> 2026  </w:t>
      </w:r>
    </w:p>
    <w:p w14:paraId="0E7E2E2A" w14:textId="77777777" w:rsidR="002C6D5B" w:rsidRPr="008E4F36" w:rsidRDefault="002C6D5B" w:rsidP="002C6D5B">
      <w:pPr>
        <w:spacing w:after="0" w:line="240" w:lineRule="auto"/>
        <w:jc w:val="both"/>
        <w:rPr>
          <w:rFonts w:ascii="Verdana" w:eastAsia="Calibri" w:hAnsi="Verdana" w:cs="Arial"/>
          <w:lang w:eastAsia="es-ES"/>
        </w:rPr>
      </w:pPr>
      <w:bookmarkStart w:id="0" w:name="_Hlk197462763"/>
      <w:bookmarkStart w:id="1" w:name="_Hlk197529996"/>
    </w:p>
    <w:p w14:paraId="19BDAF57" w14:textId="7DB303E5" w:rsidR="002C6D5B" w:rsidRDefault="00F62D83" w:rsidP="002C6D5B">
      <w:pPr>
        <w:spacing w:after="0" w:line="240" w:lineRule="auto"/>
        <w:jc w:val="both"/>
        <w:rPr>
          <w:rFonts w:ascii="Verdana" w:eastAsia="Calibri" w:hAnsi="Verdana" w:cs="Arial"/>
          <w:lang w:eastAsia="es-ES"/>
        </w:rPr>
      </w:pPr>
      <w:r w:rsidRPr="00F62D83">
        <w:rPr>
          <w:rFonts w:ascii="Verdana" w:eastAsia="Calibri" w:hAnsi="Verdana" w:cs="Arial"/>
          <w:lang w:eastAsia="es-ES"/>
        </w:rPr>
        <w:drawing>
          <wp:anchor distT="0" distB="0" distL="114300" distR="114300" simplePos="0" relativeHeight="251660288" behindDoc="1" locked="0" layoutInCell="1" allowOverlap="1" wp14:anchorId="2ACB68BF" wp14:editId="7F4AE2C0">
            <wp:simplePos x="0" y="0"/>
            <wp:positionH relativeFrom="column">
              <wp:posOffset>3307178</wp:posOffset>
            </wp:positionH>
            <wp:positionV relativeFrom="paragraph">
              <wp:posOffset>67163</wp:posOffset>
            </wp:positionV>
            <wp:extent cx="2495550" cy="695325"/>
            <wp:effectExtent l="0" t="0" r="0" b="9525"/>
            <wp:wrapTight wrapText="bothSides">
              <wp:wrapPolygon edited="0">
                <wp:start x="0" y="0"/>
                <wp:lineTo x="0" y="21304"/>
                <wp:lineTo x="21435" y="21304"/>
                <wp:lineTo x="21435" y="0"/>
                <wp:lineTo x="0" y="0"/>
              </wp:wrapPolygon>
            </wp:wrapTight>
            <wp:docPr id="1617479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47981" name=""/>
                    <pic:cNvPicPr/>
                  </pic:nvPicPr>
                  <pic:blipFill>
                    <a:blip r:embed="rId7">
                      <a:extLst>
                        <a:ext uri="{28A0092B-C50C-407E-A947-70E740481C1C}">
                          <a14:useLocalDpi xmlns:a14="http://schemas.microsoft.com/office/drawing/2010/main" val="0"/>
                        </a:ext>
                      </a:extLst>
                    </a:blip>
                    <a:stretch>
                      <a:fillRect/>
                    </a:stretch>
                  </pic:blipFill>
                  <pic:spPr>
                    <a:xfrm>
                      <a:off x="0" y="0"/>
                      <a:ext cx="2495550" cy="695325"/>
                    </a:xfrm>
                    <a:prstGeom prst="rect">
                      <a:avLst/>
                    </a:prstGeom>
                  </pic:spPr>
                </pic:pic>
              </a:graphicData>
            </a:graphic>
          </wp:anchor>
        </w:drawing>
      </w:r>
    </w:p>
    <w:p w14:paraId="1CFC6B48" w14:textId="4CFC14B3" w:rsidR="002C6D5B" w:rsidRDefault="002C6D5B" w:rsidP="002C6D5B">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r>
        <w:rPr>
          <w:rFonts w:ascii="Verdana" w:eastAsia="Calibri" w:hAnsi="Verdana" w:cs="Arial"/>
          <w:lang w:eastAsia="es-ES"/>
        </w:rPr>
        <w:t>a</w:t>
      </w:r>
    </w:p>
    <w:p w14:paraId="6A08637B" w14:textId="764B7A79" w:rsidR="002C6D5B" w:rsidRPr="00941A3D" w:rsidRDefault="002C235E" w:rsidP="00C60853">
      <w:pPr>
        <w:spacing w:after="0" w:line="240" w:lineRule="auto"/>
        <w:jc w:val="both"/>
        <w:rPr>
          <w:rFonts w:ascii="Verdana" w:eastAsia="Calibri" w:hAnsi="Verdana" w:cs="Arial"/>
          <w:b/>
          <w:lang w:eastAsia="es-ES_tradnl"/>
        </w:rPr>
      </w:pPr>
      <w:r w:rsidRPr="00941A3D">
        <w:rPr>
          <w:rFonts w:ascii="Verdana" w:eastAsia="Calibri" w:hAnsi="Verdana" w:cs="Arial"/>
          <w:b/>
          <w:lang w:eastAsia="es-ES_tradnl"/>
        </w:rPr>
        <w:t>César Mauricio Martínez Delgado</w:t>
      </w:r>
    </w:p>
    <w:p w14:paraId="315F01B3" w14:textId="62C48F8D" w:rsidR="002C235E" w:rsidRPr="00941A3D" w:rsidRDefault="002C235E" w:rsidP="00C60853">
      <w:pPr>
        <w:spacing w:after="0" w:line="240" w:lineRule="auto"/>
        <w:jc w:val="both"/>
        <w:rPr>
          <w:rFonts w:ascii="Verdana" w:eastAsia="Calibri" w:hAnsi="Verdana" w:cs="Arial"/>
          <w:bCs/>
          <w:color w:val="000099"/>
          <w:lang w:eastAsia="es-ES_tradnl"/>
        </w:rPr>
      </w:pPr>
      <w:hyperlink r:id="rId8" w:history="1">
        <w:r w:rsidRPr="00941A3D">
          <w:rPr>
            <w:rStyle w:val="Hipervnculo"/>
            <w:rFonts w:ascii="Verdana" w:eastAsia="Calibri" w:hAnsi="Verdana" w:cs="Arial"/>
            <w:bCs/>
            <w:color w:val="000099"/>
            <w:lang w:eastAsia="es-ES_tradnl"/>
          </w:rPr>
          <w:t>cemamade@gmail.com</w:t>
        </w:r>
      </w:hyperlink>
    </w:p>
    <w:p w14:paraId="7C5D751F" w14:textId="6DE8636D" w:rsidR="002C235E" w:rsidRDefault="00941A3D" w:rsidP="00C60853">
      <w:pPr>
        <w:spacing w:after="0" w:line="240" w:lineRule="auto"/>
        <w:jc w:val="both"/>
        <w:rPr>
          <w:rFonts w:ascii="Verdana" w:eastAsia="Calibri" w:hAnsi="Verdana" w:cs="Arial"/>
          <w:bCs/>
          <w:lang w:eastAsia="es-ES_tradnl"/>
        </w:rPr>
      </w:pPr>
      <w:r>
        <w:rPr>
          <w:rFonts w:ascii="Verdana" w:eastAsia="Calibri" w:hAnsi="Verdana" w:cs="Arial"/>
          <w:bCs/>
          <w:lang w:eastAsia="es-ES_tradnl"/>
        </w:rPr>
        <w:t>Ciudad</w:t>
      </w:r>
    </w:p>
    <w:p w14:paraId="6AA797D0" w14:textId="77777777" w:rsidR="00C60853" w:rsidRPr="004E1BE4" w:rsidRDefault="00C60853" w:rsidP="00C60853">
      <w:pPr>
        <w:spacing w:after="0" w:line="240" w:lineRule="auto"/>
        <w:jc w:val="both"/>
        <w:rPr>
          <w:rFonts w:ascii="Verdana" w:eastAsia="Calibri" w:hAnsi="Verdana" w:cs="Arial"/>
          <w:bCs/>
          <w:lang w:eastAsia="es-ES_tradnl"/>
        </w:rPr>
      </w:pPr>
    </w:p>
    <w:p w14:paraId="5EDD625D" w14:textId="77777777" w:rsidR="002C6D5B" w:rsidRPr="005B4C57" w:rsidRDefault="002C6D5B" w:rsidP="002C6D5B">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C6D5B" w:rsidRPr="002842E0" w14:paraId="6571077E" w14:textId="77777777" w:rsidTr="00CB420C">
        <w:trPr>
          <w:trHeight w:val="162"/>
        </w:trPr>
        <w:tc>
          <w:tcPr>
            <w:tcW w:w="3119" w:type="dxa"/>
          </w:tcPr>
          <w:p w14:paraId="6E136D36" w14:textId="77777777" w:rsidR="002C6D5B" w:rsidRPr="005B4C57" w:rsidRDefault="002C6D5B" w:rsidP="00CB420C">
            <w:pPr>
              <w:jc w:val="both"/>
              <w:rPr>
                <w:rFonts w:ascii="Verdana" w:eastAsia="Calibri" w:hAnsi="Verdana" w:cs="Arial"/>
                <w:b/>
                <w:bCs/>
                <w:color w:val="7030A0"/>
                <w:lang w:val="it-CH" w:eastAsia="es-ES_tradnl"/>
              </w:rPr>
            </w:pPr>
          </w:p>
        </w:tc>
        <w:tc>
          <w:tcPr>
            <w:tcW w:w="5670" w:type="dxa"/>
          </w:tcPr>
          <w:p w14:paraId="7A51B23D" w14:textId="6C1A140F" w:rsidR="002C6D5B" w:rsidRPr="00801462" w:rsidRDefault="002C6D5B" w:rsidP="00CB420C">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759 de 2026</w:t>
            </w:r>
          </w:p>
          <w:p w14:paraId="2B2FD7A8" w14:textId="77777777" w:rsidR="002C6D5B" w:rsidRPr="00801462" w:rsidRDefault="002C6D5B" w:rsidP="00CB420C">
            <w:pPr>
              <w:jc w:val="both"/>
              <w:rPr>
                <w:rFonts w:ascii="Verdana" w:eastAsia="Calibri" w:hAnsi="Verdana" w:cs="Arial"/>
                <w:b/>
                <w:bCs/>
                <w:color w:val="7030A0"/>
                <w:lang w:eastAsia="es-ES"/>
              </w:rPr>
            </w:pPr>
          </w:p>
        </w:tc>
      </w:tr>
      <w:tr w:rsidR="0094283C" w:rsidRPr="002842E0" w14:paraId="09B7D596" w14:textId="77777777" w:rsidTr="00CB420C">
        <w:trPr>
          <w:trHeight w:val="884"/>
        </w:trPr>
        <w:tc>
          <w:tcPr>
            <w:tcW w:w="3119" w:type="dxa"/>
          </w:tcPr>
          <w:p w14:paraId="3C396735" w14:textId="77777777" w:rsidR="0094283C" w:rsidRPr="00801462" w:rsidRDefault="0094283C" w:rsidP="0094283C">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01392E74" w14:textId="0171D4B8" w:rsidR="0094283C" w:rsidRPr="0094283C" w:rsidRDefault="0094283C" w:rsidP="0094283C">
            <w:pPr>
              <w:jc w:val="both"/>
              <w:rPr>
                <w:rFonts w:ascii="Verdana" w:hAnsi="Verdana" w:cs="Arial"/>
                <w:bCs/>
                <w:lang w:eastAsia="es-ES"/>
              </w:rPr>
            </w:pPr>
            <w:r w:rsidRPr="00A277EA">
              <w:rPr>
                <w:rFonts w:ascii="Verdana" w:hAnsi="Verdana" w:cs="Arial"/>
                <w:bCs/>
                <w:lang w:eastAsia="es-ES"/>
              </w:rPr>
              <w:t>PLIEGO DE CONDICIONES – Modificaciones – Adendas / EXPEDICIÓN DE ADENDAS – Límite temporal / EXPEDICIÓN DE ADENDAS – Límite material</w:t>
            </w:r>
          </w:p>
        </w:tc>
      </w:tr>
      <w:tr w:rsidR="0094283C" w:rsidRPr="002842E0" w14:paraId="11708CD8" w14:textId="77777777" w:rsidTr="00CB420C">
        <w:tc>
          <w:tcPr>
            <w:tcW w:w="3119" w:type="dxa"/>
          </w:tcPr>
          <w:p w14:paraId="6C898CDE" w14:textId="77777777" w:rsidR="0094283C" w:rsidRPr="00801462" w:rsidRDefault="0094283C" w:rsidP="0094283C">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73EE20E3" w14:textId="020AB484" w:rsidR="0094283C" w:rsidRPr="002C6D5B" w:rsidRDefault="0094283C" w:rsidP="0094283C">
            <w:pPr>
              <w:jc w:val="both"/>
              <w:rPr>
                <w:rFonts w:ascii="Verdana" w:eastAsia="Calibri" w:hAnsi="Verdana" w:cs="Arial"/>
                <w:lang w:eastAsia="es-ES_tradnl"/>
              </w:rPr>
            </w:pPr>
            <w:r w:rsidRPr="002C6D5B">
              <w:rPr>
                <w:rFonts w:ascii="Verdana" w:eastAsia="Calibri" w:hAnsi="Verdana" w:cs="Arial"/>
                <w:lang w:eastAsia="es-ES_tradnl"/>
              </w:rPr>
              <w:t xml:space="preserve">Respuesta a consulta con radicado </w:t>
            </w:r>
            <w:r w:rsidRPr="002C6D5B">
              <w:rPr>
                <w:rFonts w:ascii="Verdana" w:hAnsi="Verdana"/>
                <w:color w:val="000000" w:themeColor="text1"/>
              </w:rPr>
              <w:t>1_2026_05_06_006135</w:t>
            </w:r>
            <w:r w:rsidRPr="002C6D5B">
              <w:rPr>
                <w:rFonts w:ascii="Verdana" w:eastAsia="Calibri" w:hAnsi="Verdana" w:cs="Arial"/>
                <w:color w:val="000000" w:themeColor="text1"/>
                <w:lang w:eastAsia="es-ES_tradnl"/>
              </w:rPr>
              <w:t xml:space="preserve"> </w:t>
            </w:r>
          </w:p>
        </w:tc>
      </w:tr>
    </w:tbl>
    <w:p w14:paraId="25D7EEFF" w14:textId="77777777" w:rsidR="002C6D5B" w:rsidRDefault="002C6D5B" w:rsidP="002C6D5B">
      <w:pPr>
        <w:spacing w:after="0" w:line="276" w:lineRule="auto"/>
        <w:jc w:val="both"/>
        <w:rPr>
          <w:rFonts w:ascii="Verdana" w:eastAsia="Calibri" w:hAnsi="Verdana" w:cs="Arial"/>
          <w:lang w:eastAsia="es-ES_tradnl"/>
        </w:rPr>
      </w:pPr>
    </w:p>
    <w:p w14:paraId="67F86CC6" w14:textId="77777777" w:rsidR="002C6D5B" w:rsidRPr="008E4F36" w:rsidRDefault="002C6D5B" w:rsidP="002C6D5B">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a</w:t>
      </w:r>
      <w:r w:rsidRPr="00083AB6">
        <w:rPr>
          <w:rFonts w:ascii="Verdana" w:eastAsia="Calibri" w:hAnsi="Verdana" w:cs="Arial"/>
          <w:lang w:eastAsia="es-ES"/>
        </w:rPr>
        <w:t xml:space="preserve"> señor</w:t>
      </w:r>
      <w:r>
        <w:rPr>
          <w:rFonts w:ascii="Verdana" w:eastAsia="Calibri" w:hAnsi="Verdana" w:cs="Arial"/>
          <w:lang w:eastAsia="es-ES"/>
        </w:rPr>
        <w:t xml:space="preserve">a </w:t>
      </w:r>
      <w:r w:rsidRPr="00094FD0">
        <w:rPr>
          <w:rFonts w:ascii="Verdana" w:eastAsia="Calibri" w:hAnsi="Verdana" w:cs="Arial"/>
          <w:bCs/>
          <w:lang w:eastAsia="es-ES_tradnl"/>
        </w:rPr>
        <w:t>Gutiérrez</w:t>
      </w:r>
      <w:r w:rsidRPr="00083AB6">
        <w:rPr>
          <w:rFonts w:ascii="Verdana" w:eastAsia="Calibri" w:hAnsi="Verdana" w:cs="Arial"/>
          <w:lang w:eastAsia="es-ES"/>
        </w:rPr>
        <w:t>:</w:t>
      </w:r>
      <w:r w:rsidRPr="008E4F36">
        <w:rPr>
          <w:rFonts w:ascii="Verdana" w:eastAsia="Calibri" w:hAnsi="Verdana" w:cs="Arial"/>
          <w:lang w:eastAsia="es-ES"/>
        </w:rPr>
        <w:t xml:space="preserve"> </w:t>
      </w:r>
    </w:p>
    <w:p w14:paraId="4071D45A" w14:textId="77777777" w:rsidR="002C6D5B" w:rsidRDefault="002C6D5B" w:rsidP="002C6D5B">
      <w:pPr>
        <w:tabs>
          <w:tab w:val="left" w:pos="3768"/>
        </w:tabs>
        <w:spacing w:after="0" w:line="240" w:lineRule="auto"/>
        <w:jc w:val="both"/>
        <w:rPr>
          <w:rFonts w:ascii="Verdana" w:eastAsia="Calibri" w:hAnsi="Verdana" w:cs="Arial"/>
          <w:lang w:eastAsia="es-ES"/>
        </w:rPr>
      </w:pPr>
    </w:p>
    <w:p w14:paraId="69EC542A" w14:textId="10511F4A" w:rsidR="002C6D5B" w:rsidRPr="008E4F36" w:rsidRDefault="002C6D5B" w:rsidP="002C6D5B">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sidR="00C60853">
        <w:rPr>
          <w:rFonts w:ascii="Verdana" w:eastAsia="Calibri" w:hAnsi="Verdana" w:cs="Arial"/>
          <w:lang w:eastAsia="es-ES"/>
        </w:rPr>
        <w:t>0</w:t>
      </w:r>
      <w:r w:rsidR="00296381">
        <w:rPr>
          <w:rFonts w:ascii="Verdana" w:eastAsia="Calibri" w:hAnsi="Verdana" w:cs="Arial"/>
          <w:lang w:eastAsia="es-ES"/>
        </w:rPr>
        <w:t xml:space="preserve">6 </w:t>
      </w:r>
      <w:r w:rsidRPr="00AF6D58">
        <w:rPr>
          <w:rFonts w:ascii="Verdana" w:eastAsia="Calibri" w:hAnsi="Verdana" w:cs="Arial"/>
          <w:lang w:eastAsia="es-ES"/>
        </w:rPr>
        <w:t xml:space="preserve">de </w:t>
      </w:r>
      <w:r w:rsidR="00C60853">
        <w:rPr>
          <w:rFonts w:ascii="Verdana" w:eastAsia="Calibri" w:hAnsi="Verdana" w:cs="Arial"/>
          <w:lang w:eastAsia="es-ES"/>
        </w:rPr>
        <w:t>mayo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2A65B670" w14:textId="77777777" w:rsidR="002C6D5B" w:rsidRPr="008C54F3" w:rsidRDefault="002C6D5B" w:rsidP="002C6D5B">
      <w:pPr>
        <w:spacing w:line="240" w:lineRule="auto"/>
        <w:ind w:left="709" w:right="709"/>
        <w:jc w:val="both"/>
        <w:rPr>
          <w:rFonts w:ascii="Verdana" w:eastAsia="Calibri" w:hAnsi="Verdana" w:cs="Arial"/>
          <w:color w:val="000000" w:themeColor="text1"/>
          <w:sz w:val="20"/>
          <w:szCs w:val="20"/>
        </w:rPr>
      </w:pPr>
    </w:p>
    <w:p w14:paraId="7228F160" w14:textId="2D300011" w:rsidR="002C6D5B" w:rsidRPr="00453E03" w:rsidRDefault="002C6D5B" w:rsidP="004834AD">
      <w:pPr>
        <w:spacing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004834AD" w:rsidRPr="004834AD">
        <w:rPr>
          <w:rFonts w:ascii="Verdana" w:eastAsia="Calibri" w:hAnsi="Verdana" w:cs="Arial"/>
          <w:i/>
          <w:iCs/>
          <w:color w:val="000000" w:themeColor="text1"/>
          <w:sz w:val="20"/>
          <w:szCs w:val="20"/>
        </w:rPr>
        <w:t xml:space="preserve">¿Puedo modificar el presupuesto de un proceso de selección (mínima cuantía, selección abreviada, licitación pública) mediante adenda, aun cuando no cambie la modalidad de </w:t>
      </w:r>
      <w:proofErr w:type="gramStart"/>
      <w:r w:rsidR="004834AD" w:rsidRPr="004834AD">
        <w:rPr>
          <w:rFonts w:ascii="Verdana" w:eastAsia="Calibri" w:hAnsi="Verdana" w:cs="Arial"/>
          <w:i/>
          <w:iCs/>
          <w:color w:val="000000" w:themeColor="text1"/>
          <w:sz w:val="20"/>
          <w:szCs w:val="20"/>
        </w:rPr>
        <w:t>selección?</w:t>
      </w:r>
      <w:r w:rsidR="004834AD">
        <w:rPr>
          <w:rFonts w:ascii="Verdana" w:eastAsia="Calibri" w:hAnsi="Verdana" w:cs="Arial"/>
          <w:i/>
          <w:iCs/>
          <w:color w:val="000000" w:themeColor="text1"/>
          <w:sz w:val="20"/>
          <w:szCs w:val="20"/>
        </w:rPr>
        <w:t>.</w:t>
      </w:r>
      <w:proofErr w:type="gramEnd"/>
      <w:r w:rsidR="004834AD">
        <w:rPr>
          <w:rFonts w:ascii="Verdana" w:eastAsia="Calibri" w:hAnsi="Verdana" w:cs="Arial"/>
          <w:i/>
          <w:iCs/>
          <w:color w:val="000000" w:themeColor="text1"/>
          <w:sz w:val="20"/>
          <w:szCs w:val="20"/>
        </w:rPr>
        <w:t>”</w:t>
      </w:r>
    </w:p>
    <w:p w14:paraId="27C0ECDB" w14:textId="77777777" w:rsidR="002C6D5B" w:rsidRDefault="002C6D5B" w:rsidP="002C6D5B">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8E4F36">
        <w:rPr>
          <w:rFonts w:ascii="Verdana" w:eastAsia="Calibri" w:hAnsi="Verdana" w:cs="Arial"/>
          <w:color w:val="000000"/>
          <w:lang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p>
    <w:p w14:paraId="2F4B6680" w14:textId="77777777" w:rsidR="002C6D5B" w:rsidRPr="00054383" w:rsidRDefault="002C6D5B" w:rsidP="002C6D5B">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7AA80746" w14:textId="77777777" w:rsidR="002C6D5B" w:rsidRPr="008E4F36" w:rsidRDefault="002C6D5B" w:rsidP="002C6D5B">
      <w:pPr>
        <w:spacing w:after="0"/>
        <w:ind w:firstLine="709"/>
        <w:jc w:val="both"/>
        <w:rPr>
          <w:rFonts w:ascii="Verdana" w:eastAsia="Calibri" w:hAnsi="Verdana" w:cs="Arial"/>
          <w:color w:val="000000"/>
          <w:lang w:eastAsia="es-ES"/>
        </w:rPr>
      </w:pPr>
    </w:p>
    <w:p w14:paraId="1B2C1346" w14:textId="77777777" w:rsidR="002C6D5B" w:rsidRDefault="002C6D5B" w:rsidP="002C6D5B">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04EC2E3D" w14:textId="77777777" w:rsidR="002C6D5B" w:rsidRDefault="002C6D5B" w:rsidP="002C6D5B">
      <w:pPr>
        <w:spacing w:after="0" w:line="276" w:lineRule="auto"/>
        <w:jc w:val="both"/>
        <w:rPr>
          <w:rFonts w:ascii="Verdana" w:eastAsia="Calibri" w:hAnsi="Verdana" w:cs="Arial"/>
          <w:color w:val="000000"/>
          <w:highlight w:val="yellow"/>
          <w:lang w:eastAsia="es-ES"/>
        </w:rPr>
      </w:pPr>
    </w:p>
    <w:p w14:paraId="73B68A69" w14:textId="35A8A42C" w:rsidR="002C6D5B" w:rsidRPr="005A3B40" w:rsidRDefault="002C6D5B" w:rsidP="002C6D5B">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000024DB">
        <w:rPr>
          <w:rFonts w:ascii="Verdana" w:eastAsia="Calibri" w:hAnsi="Verdana" w:cs="Arial"/>
          <w:color w:val="000000"/>
          <w:lang w:eastAsia="es-ES"/>
        </w:rPr>
        <w:t>i)</w:t>
      </w:r>
      <w:r w:rsidR="000024DB" w:rsidRPr="000024DB">
        <w:rPr>
          <w:rFonts w:ascii="Times New Roman" w:eastAsia="Times New Roman" w:hAnsi="Times New Roman" w:cs="Times New Roman"/>
          <w:sz w:val="24"/>
          <w:szCs w:val="24"/>
          <w:lang w:eastAsia="es-CO"/>
        </w:rPr>
        <w:t xml:space="preserve"> </w:t>
      </w:r>
      <w:r w:rsidR="000024DB" w:rsidRPr="000024DB">
        <w:rPr>
          <w:rFonts w:ascii="Verdana" w:eastAsia="Calibri" w:hAnsi="Verdana" w:cs="Arial"/>
          <w:color w:val="000000"/>
          <w:lang w:eastAsia="es-ES"/>
        </w:rPr>
        <w:t>¿Es procedente modificar mediante adenda el presupuesto oficial de un proceso de selección sin alterar la modalidad de contratación inicialmente definida?</w:t>
      </w:r>
    </w:p>
    <w:p w14:paraId="3CE8DD73" w14:textId="77777777" w:rsidR="002C6D5B" w:rsidRPr="00BF422F" w:rsidRDefault="002C6D5B" w:rsidP="002C6D5B">
      <w:pPr>
        <w:spacing w:after="0" w:line="276" w:lineRule="auto"/>
        <w:jc w:val="both"/>
        <w:rPr>
          <w:rFonts w:ascii="Verdana" w:eastAsia="Calibri" w:hAnsi="Verdana" w:cs="Times New Roman"/>
          <w:i/>
          <w:iCs/>
          <w:lang w:val="es-ES"/>
        </w:rPr>
      </w:pPr>
    </w:p>
    <w:p w14:paraId="4C844FA1" w14:textId="77777777" w:rsidR="002C6D5B" w:rsidRPr="008E4F36" w:rsidRDefault="002C6D5B" w:rsidP="002C6D5B">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0AEFBEF0" w14:textId="77777777" w:rsidR="002C6D5B" w:rsidRPr="008E4F36" w:rsidRDefault="002C6D5B" w:rsidP="002C6D5B">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C6D5B" w:rsidRPr="008E4F36" w14:paraId="1F8EDDE5" w14:textId="77777777" w:rsidTr="00CB420C">
        <w:tc>
          <w:tcPr>
            <w:tcW w:w="8828" w:type="dxa"/>
          </w:tcPr>
          <w:p w14:paraId="58D360FA" w14:textId="77777777" w:rsidR="00B026DF" w:rsidRPr="00B026DF" w:rsidRDefault="00B026DF" w:rsidP="00B026DF">
            <w:pPr>
              <w:spacing w:after="120" w:line="276" w:lineRule="auto"/>
              <w:jc w:val="both"/>
              <w:rPr>
                <w:rFonts w:ascii="Verdana" w:hAnsi="Verdana" w:cs="Arial"/>
                <w:color w:val="000000" w:themeColor="text1"/>
              </w:rPr>
            </w:pPr>
            <w:r w:rsidRPr="00B026DF">
              <w:rPr>
                <w:rFonts w:ascii="Verdana" w:hAnsi="Verdana" w:cs="Arial"/>
                <w:color w:val="000000" w:themeColor="text1"/>
              </w:rPr>
              <w:t>De conformidad con el artículo 2.2.1.1.2.2.1 del Decreto 1082 de 2015, las entidades estatales pueden modificar los pliegos de condiciones mediante adendas expedidas antes del vencimiento del plazo para presentar ofertas. En consecuencia, las condiciones económicas del proceso, incluido el presupuesto oficial, pueden ser objeto de ajuste antes del cierre del procedimiento, siempre que se respeten los términos de publicación previstos en la norma: tres (3) días hábiles antes del cierre en licitación pública y un (1) día hábil antes en las demás modalidades de selección.</w:t>
            </w:r>
          </w:p>
          <w:p w14:paraId="403C2C47" w14:textId="77777777" w:rsidR="00B026DF" w:rsidRPr="00B026DF" w:rsidRDefault="00B026DF" w:rsidP="00B026DF">
            <w:pPr>
              <w:spacing w:after="120" w:line="276" w:lineRule="auto"/>
              <w:ind w:firstLine="709"/>
              <w:jc w:val="both"/>
              <w:rPr>
                <w:rFonts w:ascii="Verdana" w:hAnsi="Verdana" w:cs="Arial"/>
                <w:color w:val="000000" w:themeColor="text1"/>
              </w:rPr>
            </w:pPr>
            <w:r w:rsidRPr="00B026DF">
              <w:rPr>
                <w:rFonts w:ascii="Verdana" w:hAnsi="Verdana" w:cs="Arial"/>
                <w:color w:val="000000" w:themeColor="text1"/>
              </w:rPr>
              <w:t>No obstante, la modificación del presupuesto oficial debe analizarse de manera restrictiva, en tanto el presupuesto constituye uno de los elementos estructurales del proceso de contratación y guarda relación directa con los principios de transparencia, planeación, selección objetiva e igualdad entre oferentes. Por ello, la variación presupuestal únicamente resulta admisible cuando responde a una justificación objetiva, razonable y debidamente soportada en los estudios previos o en circunstancias advertidas durante el desarrollo del proceso.</w:t>
            </w:r>
          </w:p>
          <w:p w14:paraId="5F7B6CAB" w14:textId="77777777" w:rsidR="00B026DF" w:rsidRPr="00B026DF" w:rsidRDefault="00B026DF" w:rsidP="00B026DF">
            <w:pPr>
              <w:spacing w:after="120" w:line="276" w:lineRule="auto"/>
              <w:ind w:firstLine="709"/>
              <w:jc w:val="both"/>
              <w:rPr>
                <w:rFonts w:ascii="Verdana" w:hAnsi="Verdana" w:cs="Arial"/>
                <w:color w:val="000000" w:themeColor="text1"/>
              </w:rPr>
            </w:pPr>
            <w:r w:rsidRPr="00B026DF">
              <w:rPr>
                <w:rFonts w:ascii="Verdana" w:hAnsi="Verdana" w:cs="Arial"/>
                <w:color w:val="000000" w:themeColor="text1"/>
              </w:rPr>
              <w:lastRenderedPageBreak/>
              <w:t>En este sentido, la modificación del presupuesto mediante adenda no puede comportar una alteración sustancial del proceso de selección ni utilizarse para modificar indirectamente la modalidad de contratación aplicable. Así, no sería procedente una modificación presupuestal que implique superar los límites cuantitativos que sirvieron de fundamento para determinar la modalidad de selección inicialmente escogida, pues ello afectaría las reglas de participación y podría vulnerar los principios de transparencia y selección objetiva.</w:t>
            </w:r>
          </w:p>
          <w:p w14:paraId="1D04C3E6" w14:textId="77777777" w:rsidR="00B026DF" w:rsidRPr="00B026DF" w:rsidRDefault="00B026DF" w:rsidP="00B026DF">
            <w:pPr>
              <w:spacing w:after="120" w:line="276" w:lineRule="auto"/>
              <w:ind w:firstLine="709"/>
              <w:jc w:val="both"/>
              <w:rPr>
                <w:rFonts w:ascii="Verdana" w:hAnsi="Verdana" w:cs="Arial"/>
                <w:color w:val="000000" w:themeColor="text1"/>
              </w:rPr>
            </w:pPr>
            <w:r w:rsidRPr="00B026DF">
              <w:rPr>
                <w:rFonts w:ascii="Verdana" w:hAnsi="Verdana" w:cs="Arial"/>
                <w:color w:val="000000" w:themeColor="text1"/>
              </w:rPr>
              <w:t>De igual forma, la modificación del presupuesto debe respetar las garantías de publicidad y conocimiento oportuno por parte de los interesados, razón por la cual la adenda correspondiente debe publicarse en el SECOP dentro de los términos legales y en horarios hábiles, permitiendo a los oferentes ajustar adecuadamente sus propuestas.</w:t>
            </w:r>
          </w:p>
          <w:p w14:paraId="2A7CC2CC" w14:textId="59CB591E" w:rsidR="002C6D5B" w:rsidRPr="00B70775" w:rsidRDefault="00B026DF" w:rsidP="00B026DF">
            <w:pPr>
              <w:spacing w:after="120" w:line="276" w:lineRule="auto"/>
              <w:ind w:firstLine="709"/>
              <w:jc w:val="both"/>
              <w:rPr>
                <w:rFonts w:ascii="Verdana" w:hAnsi="Verdana" w:cs="Arial"/>
                <w:color w:val="000000" w:themeColor="text1"/>
              </w:rPr>
            </w:pPr>
            <w:r w:rsidRPr="00B026DF">
              <w:rPr>
                <w:rFonts w:ascii="Verdana" w:hAnsi="Verdana" w:cs="Arial"/>
                <w:color w:val="000000" w:themeColor="text1"/>
              </w:rPr>
              <w:t xml:space="preserve">En consecuencia, la procedencia de modificar el presupuesto oficial mediante adenda depende de que: i) la modificación se efectúe antes del vencimiento del plazo para presentar ofertas; </w:t>
            </w:r>
            <w:proofErr w:type="spellStart"/>
            <w:r w:rsidRPr="00B026DF">
              <w:rPr>
                <w:rFonts w:ascii="Verdana" w:hAnsi="Verdana" w:cs="Arial"/>
                <w:color w:val="000000" w:themeColor="text1"/>
              </w:rPr>
              <w:t>ii</w:t>
            </w:r>
            <w:proofErr w:type="spellEnd"/>
            <w:r w:rsidRPr="00B026DF">
              <w:rPr>
                <w:rFonts w:ascii="Verdana" w:hAnsi="Verdana" w:cs="Arial"/>
                <w:color w:val="000000" w:themeColor="text1"/>
              </w:rPr>
              <w:t xml:space="preserve">) se respeten los límites temporales de publicación previstos en la ley y el reglamento; </w:t>
            </w:r>
            <w:proofErr w:type="spellStart"/>
            <w:r w:rsidRPr="00B026DF">
              <w:rPr>
                <w:rFonts w:ascii="Verdana" w:hAnsi="Verdana" w:cs="Arial"/>
                <w:color w:val="000000" w:themeColor="text1"/>
              </w:rPr>
              <w:t>iii</w:t>
            </w:r>
            <w:proofErr w:type="spellEnd"/>
            <w:r w:rsidRPr="00B026DF">
              <w:rPr>
                <w:rFonts w:ascii="Verdana" w:hAnsi="Verdana" w:cs="Arial"/>
                <w:color w:val="000000" w:themeColor="text1"/>
              </w:rPr>
              <w:t xml:space="preserve">) exista motivación y soporte técnico suficiente; y </w:t>
            </w:r>
            <w:proofErr w:type="spellStart"/>
            <w:r w:rsidRPr="00B026DF">
              <w:rPr>
                <w:rFonts w:ascii="Verdana" w:hAnsi="Verdana" w:cs="Arial"/>
                <w:color w:val="000000" w:themeColor="text1"/>
              </w:rPr>
              <w:t>iv</w:t>
            </w:r>
            <w:proofErr w:type="spellEnd"/>
            <w:r w:rsidRPr="00B026DF">
              <w:rPr>
                <w:rFonts w:ascii="Verdana" w:hAnsi="Verdana" w:cs="Arial"/>
                <w:color w:val="000000" w:themeColor="text1"/>
              </w:rPr>
              <w:t>) la modificación no altere la modalidad de selección ni afecte sustancialmente las condiciones de participación, la transparencia del proceso o la igualdad entre oferentes.</w:t>
            </w:r>
          </w:p>
          <w:p w14:paraId="0F49DC23" w14:textId="77777777" w:rsidR="002C6D5B" w:rsidRPr="00B70775" w:rsidRDefault="002C6D5B" w:rsidP="00CB420C">
            <w:pPr>
              <w:tabs>
                <w:tab w:val="left" w:pos="426"/>
              </w:tabs>
              <w:spacing w:before="120" w:line="276" w:lineRule="auto"/>
              <w:ind w:firstLine="709"/>
              <w:jc w:val="both"/>
              <w:rPr>
                <w:rFonts w:ascii="Verdana" w:hAnsi="Verdana" w:cs="Arial"/>
                <w:color w:val="000000" w:themeColor="text1"/>
              </w:rPr>
            </w:pPr>
          </w:p>
        </w:tc>
      </w:tr>
    </w:tbl>
    <w:p w14:paraId="46E34FFD" w14:textId="77777777" w:rsidR="002C6D5B" w:rsidRDefault="002C6D5B" w:rsidP="002C6D5B">
      <w:pPr>
        <w:tabs>
          <w:tab w:val="left" w:pos="142"/>
          <w:tab w:val="left" w:pos="284"/>
        </w:tabs>
        <w:spacing w:after="0" w:line="276" w:lineRule="auto"/>
        <w:jc w:val="both"/>
        <w:rPr>
          <w:rFonts w:ascii="Verdana" w:eastAsia="Century Gothic" w:hAnsi="Verdana" w:cs="Century Gothic"/>
          <w:b/>
          <w:bCs/>
        </w:rPr>
      </w:pPr>
    </w:p>
    <w:p w14:paraId="198086C9" w14:textId="77777777" w:rsidR="002C6D5B" w:rsidRPr="008E4F36" w:rsidRDefault="002C6D5B" w:rsidP="002C6D5B">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72BF99BE" w14:textId="77777777" w:rsidR="002C6D5B" w:rsidRDefault="002C6D5B" w:rsidP="002C6D5B">
      <w:pPr>
        <w:pStyle w:val="Prrafodelista"/>
        <w:tabs>
          <w:tab w:val="left" w:pos="142"/>
          <w:tab w:val="left" w:pos="284"/>
        </w:tabs>
        <w:spacing w:after="0" w:line="276" w:lineRule="auto"/>
        <w:ind w:left="0"/>
        <w:contextualSpacing w:val="0"/>
        <w:jc w:val="both"/>
        <w:rPr>
          <w:rFonts w:ascii="Verdana" w:eastAsia="Calibri" w:hAnsi="Verdana" w:cs="Arial"/>
        </w:rPr>
      </w:pPr>
    </w:p>
    <w:p w14:paraId="3B7A0E3A" w14:textId="77777777" w:rsidR="002C6D5B" w:rsidRDefault="002C6D5B" w:rsidP="002C6D5B">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6853B20E" w14:textId="77777777" w:rsidR="004C72F9" w:rsidRDefault="004C72F9" w:rsidP="004C72F9">
      <w:pPr>
        <w:spacing w:after="120" w:line="276" w:lineRule="auto"/>
        <w:jc w:val="both"/>
        <w:rPr>
          <w:rFonts w:ascii="Verdana" w:eastAsia="Calibri" w:hAnsi="Verdana" w:cs="Arial"/>
          <w:color w:val="000000"/>
          <w:shd w:val="clear" w:color="auto" w:fill="FFFFFF"/>
          <w:lang w:val="es-ES"/>
        </w:rPr>
      </w:pPr>
      <w:bookmarkStart w:id="4" w:name="_Hlk204856061"/>
      <w:bookmarkStart w:id="5" w:name="_Hlk78820161"/>
      <w:bookmarkStart w:id="6" w:name="_Hlk204854194"/>
    </w:p>
    <w:p w14:paraId="29314A65" w14:textId="7D52B0C0" w:rsidR="004C72F9" w:rsidRPr="00A277EA" w:rsidRDefault="004C72F9" w:rsidP="004C72F9">
      <w:pPr>
        <w:spacing w:after="120" w:line="276" w:lineRule="auto"/>
        <w:jc w:val="both"/>
        <w:rPr>
          <w:rFonts w:ascii="Verdana" w:eastAsia="Calibri" w:hAnsi="Verdana" w:cs="Arial"/>
          <w:lang w:val="es-ES"/>
        </w:rPr>
      </w:pPr>
      <w:r w:rsidRPr="00A277EA">
        <w:rPr>
          <w:rFonts w:ascii="Verdana" w:eastAsia="Calibri" w:hAnsi="Verdana" w:cs="Arial"/>
          <w:color w:val="000000"/>
          <w:lang w:val="es-ES" w:eastAsia="es-ES_tradnl"/>
        </w:rPr>
        <w:t>El pliego de condiciones es la hoja de ruta o plan</w:t>
      </w:r>
      <w:r w:rsidRPr="00A277EA">
        <w:rPr>
          <w:rFonts w:ascii="Verdana" w:eastAsia="Calibri" w:hAnsi="Verdana" w:cs="Arial"/>
          <w:color w:val="000000"/>
          <w:vertAlign w:val="superscript"/>
          <w:lang w:val="es-ES" w:eastAsia="es-ES_tradnl"/>
        </w:rPr>
        <w:footnoteReference w:id="1"/>
      </w:r>
      <w:r w:rsidRPr="00A277EA">
        <w:rPr>
          <w:rFonts w:ascii="Verdana" w:eastAsia="Calibri" w:hAnsi="Verdana" w:cs="Arial"/>
          <w:color w:val="000000"/>
          <w:lang w:val="es-ES" w:eastAsia="es-ES_tradnl"/>
        </w:rPr>
        <w:t xml:space="preserve">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w:t>
      </w:r>
      <w:r w:rsidRPr="00A277EA">
        <w:rPr>
          <w:rFonts w:ascii="Verdana" w:eastAsia="Calibri" w:hAnsi="Verdana" w:cs="Arial"/>
          <w:color w:val="000000"/>
          <w:lang w:val="es-ES" w:eastAsia="es-ES_tradnl"/>
        </w:rPr>
        <w:lastRenderedPageBreak/>
        <w:t>mismo”</w:t>
      </w:r>
      <w:r w:rsidRPr="00A277EA">
        <w:rPr>
          <w:rFonts w:ascii="Verdana" w:eastAsia="Calibri" w:hAnsi="Verdana" w:cs="Arial"/>
          <w:color w:val="000000"/>
          <w:vertAlign w:val="superscript"/>
          <w:lang w:val="es-ES" w:eastAsia="es-ES_tradnl"/>
        </w:rPr>
        <w:footnoteReference w:id="2"/>
      </w:r>
      <w:r w:rsidRPr="00A277EA">
        <w:rPr>
          <w:rFonts w:ascii="Verdana" w:eastAsia="Calibri" w:hAnsi="Verdana" w:cs="Arial"/>
          <w:color w:val="000000"/>
          <w:lang w:val="es-ES" w:eastAsia="es-ES_tradnl"/>
        </w:rPr>
        <w:t>.</w:t>
      </w:r>
      <w:r w:rsidRPr="00A277EA">
        <w:rPr>
          <w:rFonts w:ascii="Verdana" w:eastAsia="Calibri" w:hAnsi="Verdana" w:cs="Arial"/>
          <w:color w:val="000000"/>
          <w:lang w:val="es-ES_tradnl" w:eastAsia="es-ES_tradnl"/>
        </w:rPr>
        <w:t xml:space="preserve"> En este sentido, en el marco de su discrecionalidad, cada entidad debe establecer la forma cómo se estructura el pliego de condiciones, el cual está condicionado a la proporcionalidad de las decisiones que toma en aras de garantizar la pluralidad de oferentes y la selección objetiva</w:t>
      </w:r>
      <w:r w:rsidRPr="00A277EA">
        <w:rPr>
          <w:rFonts w:ascii="Verdana" w:eastAsia="Calibri" w:hAnsi="Verdana" w:cs="Arial"/>
          <w:color w:val="000000"/>
          <w:lang w:eastAsia="es-ES_tradnl"/>
        </w:rPr>
        <w:t>.</w:t>
      </w:r>
    </w:p>
    <w:p w14:paraId="62FFD9E2" w14:textId="77777777" w:rsidR="004C72F9" w:rsidRPr="00A277EA" w:rsidRDefault="004C72F9" w:rsidP="004C72F9">
      <w:pPr>
        <w:spacing w:after="0" w:line="276" w:lineRule="auto"/>
        <w:ind w:firstLine="708"/>
        <w:jc w:val="both"/>
        <w:rPr>
          <w:rFonts w:ascii="Verdana" w:eastAsia="Calibri" w:hAnsi="Verdana" w:cs="Arial"/>
          <w:color w:val="000000"/>
          <w:lang w:val="es-ES" w:eastAsia="es-ES_tradnl"/>
        </w:rPr>
      </w:pPr>
      <w:r w:rsidRPr="00A277EA">
        <w:rPr>
          <w:rFonts w:ascii="Verdana" w:eastAsia="Calibri" w:hAnsi="Verdana" w:cs="Arial"/>
          <w:color w:val="000000"/>
          <w:lang w:val="es-ES" w:eastAsia="es-ES_tradnl"/>
        </w:rPr>
        <w:t xml:space="preserve">De este modo, el pliego de condiciones es un instrumento en el cual se materializa el principio de transparencia, pues en ese documento se fijan las reglas de escogencia del contratista del Estado, para la selección objetiva de la mejor oferta, la adjudicación y la posterior celebración y ejecución del contrato, lo cual lo convierte en una reglamentación de todo el </w:t>
      </w:r>
      <w:proofErr w:type="spellStart"/>
      <w:r w:rsidRPr="00A277EA">
        <w:rPr>
          <w:rFonts w:ascii="Verdana" w:eastAsia="Calibri" w:hAnsi="Verdana" w:cs="Arial"/>
          <w:i/>
          <w:iCs/>
          <w:color w:val="000000"/>
          <w:lang w:val="es-ES" w:eastAsia="es-ES_tradnl"/>
        </w:rPr>
        <w:t>iter</w:t>
      </w:r>
      <w:proofErr w:type="spellEnd"/>
      <w:r w:rsidRPr="00A277EA">
        <w:rPr>
          <w:rFonts w:ascii="Verdana" w:eastAsia="Calibri" w:hAnsi="Verdana" w:cs="Arial"/>
          <w:color w:val="000000"/>
          <w:lang w:val="es-ES" w:eastAsia="es-ES_tradnl"/>
        </w:rPr>
        <w:t xml:space="preserve"> contractual. Su contenido</w:t>
      </w:r>
      <w:r w:rsidRPr="00A277EA">
        <w:rPr>
          <w:rFonts w:ascii="Verdana" w:eastAsia="Calibri" w:hAnsi="Verdana" w:cs="Arial"/>
          <w:color w:val="000000"/>
          <w:vertAlign w:val="superscript"/>
          <w:lang w:val="es-ES" w:eastAsia="es-ES_tradnl"/>
        </w:rPr>
        <w:footnoteReference w:id="3"/>
      </w:r>
      <w:r w:rsidRPr="00A277EA">
        <w:rPr>
          <w:rFonts w:ascii="Verdana" w:eastAsia="Calibri" w:hAnsi="Verdana" w:cs="Arial"/>
          <w:color w:val="000000"/>
          <w:lang w:val="es-ES" w:eastAsia="es-ES_tradnl"/>
        </w:rPr>
        <w:t xml:space="preserve"> está previsto en el numeral 5 del artículo 24 de la Ley 80 de 1993, que establece algunas directrices que deben tenerse en cuenta en su elaboración:</w:t>
      </w:r>
    </w:p>
    <w:p w14:paraId="0C56A11A" w14:textId="77777777" w:rsidR="004C72F9" w:rsidRPr="00A277EA" w:rsidRDefault="004C72F9" w:rsidP="004C72F9">
      <w:pPr>
        <w:spacing w:after="0" w:line="276" w:lineRule="auto"/>
        <w:jc w:val="both"/>
        <w:rPr>
          <w:rFonts w:ascii="Verdana" w:eastAsia="Calibri" w:hAnsi="Verdana" w:cs="Arial"/>
          <w:color w:val="000000"/>
          <w:lang w:val="es-ES" w:eastAsia="es-ES_tradnl"/>
        </w:rPr>
      </w:pPr>
    </w:p>
    <w:p w14:paraId="726F086E" w14:textId="77777777" w:rsidR="004C72F9" w:rsidRPr="00A277EA" w:rsidRDefault="004C72F9" w:rsidP="004C72F9">
      <w:pPr>
        <w:spacing w:after="0" w:line="276" w:lineRule="auto"/>
        <w:ind w:left="709" w:right="709"/>
        <w:jc w:val="both"/>
        <w:rPr>
          <w:rFonts w:ascii="Verdana" w:eastAsia="Calibri" w:hAnsi="Verdana" w:cs="Arial"/>
          <w:color w:val="000000"/>
          <w:sz w:val="20"/>
          <w:szCs w:val="20"/>
          <w:lang w:val="es-ES" w:eastAsia="es-ES_tradnl"/>
        </w:rPr>
      </w:pPr>
      <w:r w:rsidRPr="00A277EA">
        <w:rPr>
          <w:rFonts w:ascii="Verdana" w:eastAsia="Calibri" w:hAnsi="Verdana" w:cs="Arial"/>
          <w:color w:val="000000"/>
          <w:sz w:val="20"/>
          <w:szCs w:val="20"/>
          <w:lang w:val="es-ES" w:eastAsia="es-ES_tradnl"/>
        </w:rPr>
        <w:t>“[…] 5o. En los pliegos de condiciones:</w:t>
      </w:r>
    </w:p>
    <w:p w14:paraId="28A367B0" w14:textId="77777777" w:rsidR="004C72F9" w:rsidRPr="00A277EA" w:rsidRDefault="004C72F9" w:rsidP="004C72F9">
      <w:pPr>
        <w:spacing w:after="0" w:line="276" w:lineRule="auto"/>
        <w:ind w:left="709" w:right="709"/>
        <w:jc w:val="both"/>
        <w:rPr>
          <w:rFonts w:ascii="Verdana" w:eastAsia="Calibri" w:hAnsi="Verdana" w:cs="Arial"/>
          <w:color w:val="000000"/>
          <w:sz w:val="20"/>
          <w:szCs w:val="20"/>
          <w:lang w:val="es-ES" w:eastAsia="es-ES_tradnl"/>
        </w:rPr>
      </w:pPr>
    </w:p>
    <w:p w14:paraId="1FCD8B01" w14:textId="77777777" w:rsidR="004C72F9" w:rsidRPr="00A277EA" w:rsidRDefault="004C72F9" w:rsidP="004C72F9">
      <w:pPr>
        <w:numPr>
          <w:ilvl w:val="2"/>
          <w:numId w:val="4"/>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Se indicarán los requisitos objetivos necesarios para participar en el correspondiente proceso de selección.</w:t>
      </w:r>
    </w:p>
    <w:p w14:paraId="2B5A6474" w14:textId="77777777" w:rsidR="004C72F9" w:rsidRPr="00A277EA" w:rsidRDefault="004C72F9" w:rsidP="004C72F9">
      <w:pPr>
        <w:numPr>
          <w:ilvl w:val="2"/>
          <w:numId w:val="4"/>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Se definirán reglas objetivas, justas, claras y completas que permitan la confección de ofrecimientos de la misma índole, aseguren una escogencia objetiva y eviten las declaratorias de desierta de la licitación.</w:t>
      </w:r>
    </w:p>
    <w:p w14:paraId="45CC8DBB" w14:textId="77777777" w:rsidR="004C72F9" w:rsidRPr="00A277EA" w:rsidRDefault="004C72F9" w:rsidP="004C72F9">
      <w:pPr>
        <w:numPr>
          <w:ilvl w:val="2"/>
          <w:numId w:val="4"/>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Se definirán con precisión las condiciones de costo y calidad de los bienes, obras o servicios necesarios para la ejecución del objeto del contrato.</w:t>
      </w:r>
    </w:p>
    <w:p w14:paraId="536625BC" w14:textId="77777777" w:rsidR="004C72F9" w:rsidRPr="00A277EA" w:rsidRDefault="004C72F9" w:rsidP="004C72F9">
      <w:pPr>
        <w:numPr>
          <w:ilvl w:val="2"/>
          <w:numId w:val="4"/>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No se incluirán condiciones y exigencias de imposible cumplimiento, ni exenciones de la responsabilidad derivada de los datos, informes y documentos que se suministren.</w:t>
      </w:r>
    </w:p>
    <w:p w14:paraId="10C27F3B" w14:textId="77777777" w:rsidR="004C72F9" w:rsidRPr="00A277EA" w:rsidRDefault="004C72F9" w:rsidP="004C72F9">
      <w:pPr>
        <w:numPr>
          <w:ilvl w:val="2"/>
          <w:numId w:val="4"/>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Se definirán reglas que no induzcan a error a los proponentes y contratistas y que impidan la Formulación de ofrecimientos de extensión ilimitada o que dependan de la voluntad exclusiva de la entidad.</w:t>
      </w:r>
    </w:p>
    <w:p w14:paraId="1097BD6C" w14:textId="77777777" w:rsidR="004C72F9" w:rsidRPr="00A277EA" w:rsidRDefault="004C72F9" w:rsidP="004C72F9">
      <w:pPr>
        <w:numPr>
          <w:ilvl w:val="2"/>
          <w:numId w:val="4"/>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Se definirá el plazo para la liquidación del contrato, cuando a ello hubiere lugar, teniendo en cuenta su objeto, naturaleza y cuantía.</w:t>
      </w:r>
    </w:p>
    <w:p w14:paraId="284A9A8C" w14:textId="77777777" w:rsidR="004C72F9" w:rsidRPr="00A277EA" w:rsidRDefault="004C72F9" w:rsidP="004C72F9">
      <w:pPr>
        <w:numPr>
          <w:ilvl w:val="2"/>
          <w:numId w:val="4"/>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 xml:space="preserve">Serán ineficaces de pleno derecho las estipulaciones de los pliegos y de los contratos que contravengan lo dispuesto en este numeral, o </w:t>
      </w:r>
      <w:r w:rsidRPr="00A277EA">
        <w:rPr>
          <w:rFonts w:ascii="Verdana" w:eastAsia="Calibri" w:hAnsi="Verdana" w:cs="Arial"/>
          <w:color w:val="000000"/>
          <w:sz w:val="20"/>
          <w:szCs w:val="20"/>
          <w:lang w:val="es-MX" w:eastAsia="es-ES_tradnl"/>
        </w:rPr>
        <w:lastRenderedPageBreak/>
        <w:t>dispongan renuncias a reclamaciones por la ocurrencia de los hechos aquí enunciados”.</w:t>
      </w:r>
    </w:p>
    <w:p w14:paraId="5117BD2F" w14:textId="77777777" w:rsidR="004C72F9" w:rsidRPr="00A277EA" w:rsidRDefault="004C72F9" w:rsidP="004C72F9">
      <w:pPr>
        <w:spacing w:after="0" w:line="276" w:lineRule="auto"/>
        <w:ind w:firstLine="709"/>
        <w:jc w:val="both"/>
        <w:rPr>
          <w:rFonts w:ascii="Verdana" w:eastAsia="Calibri" w:hAnsi="Verdana" w:cs="Arial"/>
          <w:color w:val="000000"/>
          <w:lang w:val="es-MX" w:eastAsia="es-ES_tradnl"/>
        </w:rPr>
      </w:pPr>
    </w:p>
    <w:p w14:paraId="16C18320" w14:textId="77777777" w:rsidR="004C72F9" w:rsidRPr="00A277EA" w:rsidRDefault="004C72F9" w:rsidP="004C72F9">
      <w:pPr>
        <w:spacing w:after="120" w:line="276" w:lineRule="auto"/>
        <w:ind w:firstLine="708"/>
        <w:jc w:val="both"/>
        <w:rPr>
          <w:rFonts w:ascii="Verdana" w:eastAsia="Calibri" w:hAnsi="Verdana" w:cs="Arial"/>
          <w:color w:val="000000"/>
          <w:lang w:val="es-ES" w:eastAsia="es-ES_tradnl"/>
        </w:rPr>
      </w:pPr>
      <w:r w:rsidRPr="00A277EA">
        <w:rPr>
          <w:rFonts w:ascii="Verdana" w:eastAsia="Calibri" w:hAnsi="Verdana" w:cs="Arial"/>
          <w:color w:val="000000"/>
          <w:lang w:val="es-ES" w:eastAsia="es-ES_tradnl"/>
        </w:rPr>
        <w:t xml:space="preserve">De conformidad con lo anterior, resulta claro que las entidades estatales, en virtud de la autonomía de la voluntad y de la amplia discrecionalidad que se les reconoce, tienen la facultad de configurar las reglas y exigencias de los pliegos de condiciones de manera libre, dentro de los parámetros y límites </w:t>
      </w:r>
      <w:r w:rsidRPr="00A277EA">
        <w:rPr>
          <w:rFonts w:ascii="Verdana" w:eastAsia="Calibri" w:hAnsi="Verdana" w:cs="Arial"/>
          <w:color w:val="000000"/>
          <w:lang w:val="es-ES" w:eastAsia="es-ES_tradnl" w:bidi="es-ES"/>
        </w:rPr>
        <w:t>establecidos por el ordenamiento jurídico</w:t>
      </w:r>
      <w:r w:rsidRPr="00A277EA">
        <w:rPr>
          <w:rFonts w:ascii="Verdana" w:eastAsia="Calibri" w:hAnsi="Verdana" w:cs="Arial"/>
          <w:color w:val="000000"/>
          <w:vertAlign w:val="superscript"/>
          <w:lang w:val="es-ES" w:eastAsia="es-ES_tradnl" w:bidi="es-ES"/>
        </w:rPr>
        <w:footnoteReference w:id="4"/>
      </w:r>
      <w:r w:rsidRPr="00A277EA">
        <w:rPr>
          <w:rFonts w:ascii="Verdana" w:eastAsia="Calibri" w:hAnsi="Verdana" w:cs="Arial"/>
          <w:color w:val="000000"/>
          <w:lang w:val="es-ES" w:eastAsia="es-ES_tradnl"/>
        </w:rPr>
        <w:t>, con fundamento en los estudios realizados en la fase de planeación</w:t>
      </w:r>
      <w:r w:rsidRPr="00A277EA">
        <w:rPr>
          <w:rFonts w:ascii="Verdana" w:eastAsia="Calibri" w:hAnsi="Verdana" w:cs="Arial"/>
          <w:color w:val="000000"/>
          <w:vertAlign w:val="superscript"/>
          <w:lang w:val="es-ES" w:eastAsia="es-ES_tradnl"/>
        </w:rPr>
        <w:footnoteReference w:id="5"/>
      </w:r>
      <w:r w:rsidRPr="00A277EA">
        <w:rPr>
          <w:rFonts w:ascii="Verdana" w:eastAsia="Calibri" w:hAnsi="Verdana" w:cs="Arial"/>
          <w:color w:val="000000"/>
          <w:lang w:val="es-ES" w:eastAsia="es-ES_tradnl"/>
        </w:rPr>
        <w:t>. Además, tienen la carga de elaborarlos de manera idónea, objetiva, clara, precisa y completa, tal como se deduce de la disposición citada.</w:t>
      </w:r>
    </w:p>
    <w:p w14:paraId="18D02E4E" w14:textId="77777777" w:rsidR="004C72F9" w:rsidRPr="00A277EA" w:rsidRDefault="004C72F9" w:rsidP="004C72F9">
      <w:pPr>
        <w:spacing w:after="120" w:line="276" w:lineRule="auto"/>
        <w:ind w:firstLine="708"/>
        <w:jc w:val="both"/>
        <w:rPr>
          <w:rFonts w:ascii="Verdana" w:eastAsia="Calibri" w:hAnsi="Verdana" w:cs="Arial"/>
          <w:color w:val="000000"/>
          <w:lang w:val="es-ES" w:eastAsia="es-ES_tradnl"/>
        </w:rPr>
      </w:pPr>
      <w:r w:rsidRPr="00A277EA">
        <w:rPr>
          <w:rFonts w:ascii="Verdana" w:eastAsia="Calibri" w:hAnsi="Verdana" w:cs="Arial"/>
          <w:color w:val="000000"/>
          <w:lang w:val="es-ES" w:eastAsia="es-ES_tradnl" w:bidi="es-ES"/>
        </w:rPr>
        <w:t>Sin perjuicio de lo anterior,</w:t>
      </w:r>
      <w:r w:rsidRPr="00A277EA">
        <w:rPr>
          <w:rFonts w:ascii="Verdana" w:eastAsia="Calibri" w:hAnsi="Verdana" w:cs="Arial"/>
          <w:color w:val="000000"/>
          <w:lang w:val="es-ES" w:eastAsia="es-ES_tradnl"/>
        </w:rPr>
        <w:t xml:space="preserve"> puede ocurrir que surja la necesidad de efectuar correcciones, aclaraciones o modificaciones a los pliegos de condiciones, bien sea porque las mismas tienen origen en necesidades identificadas por la entidad contratante o como consecuencia de observaciones realizadas por los interesados en el procedimiento de selección. De esta manera, pese a la planeación previa y el cumplimiento de las disposiciones normativas aplicables, es posible que sea necesario modificar el pliego de condiciones.</w:t>
      </w:r>
    </w:p>
    <w:p w14:paraId="058D2B59" w14:textId="77777777" w:rsidR="004C72F9" w:rsidRPr="00A277EA" w:rsidRDefault="004C72F9" w:rsidP="004C72F9">
      <w:pPr>
        <w:spacing w:after="120" w:line="276" w:lineRule="auto"/>
        <w:ind w:firstLine="708"/>
        <w:jc w:val="both"/>
        <w:rPr>
          <w:rFonts w:ascii="Verdana" w:eastAsia="Calibri" w:hAnsi="Verdana" w:cs="Arial"/>
          <w:i/>
          <w:color w:val="000000"/>
          <w:lang w:val="es-ES" w:eastAsia="es-ES_tradnl"/>
        </w:rPr>
      </w:pPr>
      <w:r w:rsidRPr="00A277EA">
        <w:rPr>
          <w:rFonts w:ascii="Verdana" w:eastAsia="Calibri" w:hAnsi="Verdana" w:cs="Arial"/>
          <w:color w:val="000000"/>
          <w:lang w:val="es-ES" w:eastAsia="es-ES_tradnl"/>
        </w:rPr>
        <w:t xml:space="preserve">Así, 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 modificación que se realiza mediante </w:t>
      </w:r>
      <w:r w:rsidRPr="00A277EA">
        <w:rPr>
          <w:rFonts w:ascii="Verdana" w:eastAsia="Calibri" w:hAnsi="Verdana" w:cs="Arial"/>
          <w:i/>
          <w:iCs/>
          <w:color w:val="000000"/>
          <w:lang w:val="es-ES" w:eastAsia="es-ES_tradnl"/>
        </w:rPr>
        <w:t>adendas</w:t>
      </w:r>
      <w:r w:rsidRPr="00A277EA">
        <w:rPr>
          <w:rFonts w:ascii="Verdana" w:eastAsia="Calibri" w:hAnsi="Verdana" w:cs="Arial"/>
          <w:i/>
          <w:color w:val="000000"/>
          <w:lang w:val="es-ES" w:eastAsia="es-ES_tradnl"/>
        </w:rPr>
        <w:t xml:space="preserve">. </w:t>
      </w:r>
    </w:p>
    <w:p w14:paraId="13C4B3FA" w14:textId="77777777" w:rsidR="004C72F9" w:rsidRPr="00A277EA" w:rsidRDefault="004C72F9" w:rsidP="004C72F9">
      <w:pPr>
        <w:spacing w:after="120" w:line="276" w:lineRule="auto"/>
        <w:ind w:firstLine="709"/>
        <w:jc w:val="both"/>
        <w:rPr>
          <w:rFonts w:ascii="Verdana" w:eastAsia="Calibri" w:hAnsi="Verdana" w:cs="Arial"/>
          <w:color w:val="000000"/>
          <w:lang w:val="es-ES" w:eastAsia="es-ES_tradnl"/>
        </w:rPr>
      </w:pPr>
      <w:r w:rsidRPr="00A277EA">
        <w:rPr>
          <w:rFonts w:ascii="Verdana" w:eastAsia="Calibri" w:hAnsi="Verdana" w:cs="Arial"/>
          <w:iCs/>
          <w:color w:val="000000"/>
          <w:lang w:val="es-ES" w:eastAsia="es-ES_tradnl"/>
        </w:rPr>
        <w:t>C</w:t>
      </w:r>
      <w:r w:rsidRPr="00A277EA">
        <w:rPr>
          <w:rFonts w:ascii="Verdana" w:eastAsia="Calibri" w:hAnsi="Verdana" w:cs="Arial"/>
          <w:color w:val="000000"/>
          <w:lang w:val="es-ES" w:eastAsia="es-ES_tradnl"/>
        </w:rPr>
        <w:t xml:space="preserve">omo lo ha reconocido la jurisprudencia del Consejo de Estado, dichas modificaciones pueden realizarse por medio de cualquier otro documento que contenga la manifestación de voluntad de la entidad de aclarar, añadir, adicionar, reemplazar o cambiar un aspecto o condición incluida en los documentos del procedimiento de contratación, con independencia de que dicho </w:t>
      </w:r>
      <w:r w:rsidRPr="00A277EA">
        <w:rPr>
          <w:rFonts w:ascii="Verdana" w:eastAsia="Calibri" w:hAnsi="Verdana" w:cs="Arial"/>
          <w:color w:val="000000"/>
          <w:lang w:val="es-ES" w:eastAsia="es-ES_tradnl"/>
        </w:rPr>
        <w:lastRenderedPageBreak/>
        <w:t xml:space="preserve">documento sea titulado o rotulado como </w:t>
      </w:r>
      <w:r w:rsidRPr="00A277EA">
        <w:rPr>
          <w:rFonts w:ascii="Verdana" w:eastAsia="Calibri" w:hAnsi="Verdana" w:cs="Arial"/>
          <w:i/>
          <w:iCs/>
          <w:color w:val="000000"/>
          <w:lang w:val="es-ES" w:eastAsia="es-ES_tradnl"/>
        </w:rPr>
        <w:t>adenda</w:t>
      </w:r>
      <w:r w:rsidRPr="00A277EA">
        <w:rPr>
          <w:rFonts w:ascii="Verdana" w:eastAsia="Calibri" w:hAnsi="Verdana" w:cs="Arial"/>
          <w:color w:val="000000"/>
          <w:lang w:val="es-ES" w:eastAsia="es-ES_tradnl"/>
        </w:rPr>
        <w:t xml:space="preserve">, </w:t>
      </w:r>
      <w:r w:rsidRPr="00A277EA">
        <w:rPr>
          <w:rFonts w:ascii="Verdana" w:eastAsia="Calibri" w:hAnsi="Verdana" w:cs="Arial"/>
          <w:color w:val="000000"/>
          <w:lang w:val="es-ES" w:eastAsia="es-ES_tradnl" w:bidi="es-ES"/>
        </w:rPr>
        <w:t>siempre que mediante dicho documento se modifiquen los pliegos de condiciones</w:t>
      </w:r>
      <w:r w:rsidRPr="00A277EA">
        <w:rPr>
          <w:rFonts w:ascii="Verdana" w:eastAsia="Calibri" w:hAnsi="Verdana" w:cs="Arial"/>
          <w:color w:val="000000"/>
          <w:vertAlign w:val="superscript"/>
          <w:lang w:val="es-ES" w:eastAsia="es-ES_tradnl"/>
        </w:rPr>
        <w:footnoteReference w:id="6"/>
      </w:r>
      <w:r w:rsidRPr="00A277EA">
        <w:rPr>
          <w:rFonts w:ascii="Verdana" w:eastAsia="Calibri" w:hAnsi="Verdana" w:cs="Arial"/>
          <w:color w:val="000000"/>
          <w:lang w:val="es-ES" w:eastAsia="es-ES_tradnl"/>
        </w:rPr>
        <w:t>.</w:t>
      </w:r>
      <w:r w:rsidRPr="00A277EA">
        <w:rPr>
          <w:rFonts w:ascii="Verdana" w:eastAsia="Arial" w:hAnsi="Verdana" w:cs="Arial"/>
          <w:lang w:eastAsia="es-ES" w:bidi="es-ES"/>
        </w:rPr>
        <w:t xml:space="preserve"> </w:t>
      </w:r>
    </w:p>
    <w:p w14:paraId="7C392B99" w14:textId="77777777" w:rsidR="004C72F9" w:rsidRPr="00A277EA" w:rsidRDefault="004C72F9" w:rsidP="004C72F9">
      <w:pPr>
        <w:widowControl w:val="0"/>
        <w:autoSpaceDE w:val="0"/>
        <w:autoSpaceDN w:val="0"/>
        <w:spacing w:before="1" w:after="0" w:line="276" w:lineRule="auto"/>
        <w:ind w:right="108" w:firstLine="709"/>
        <w:jc w:val="both"/>
        <w:rPr>
          <w:rFonts w:ascii="Verdana" w:eastAsia="Arial" w:hAnsi="Verdana" w:cs="Arial"/>
          <w:lang w:val="es-ES" w:eastAsia="es-ES" w:bidi="es-ES"/>
        </w:rPr>
      </w:pPr>
      <w:r w:rsidRPr="00A277EA">
        <w:rPr>
          <w:rFonts w:ascii="Verdana" w:eastAsia="Arial" w:hAnsi="Verdana" w:cs="Arial"/>
          <w:lang w:val="es-ES" w:eastAsia="es-ES" w:bidi="es-ES"/>
        </w:rPr>
        <w:t>De acuerdo con lo anterior, en relación con las adendas resulta necesario acudir al artículo 30, numeral 5, de la Ley 80 de 1993 –modificado por el artículo 89 de la Ley 1474 de 2011–, que dispone:</w:t>
      </w:r>
    </w:p>
    <w:p w14:paraId="384A8C1C" w14:textId="77777777" w:rsidR="004C72F9" w:rsidRPr="00A277EA" w:rsidRDefault="004C72F9" w:rsidP="004C72F9">
      <w:pPr>
        <w:widowControl w:val="0"/>
        <w:autoSpaceDE w:val="0"/>
        <w:autoSpaceDN w:val="0"/>
        <w:spacing w:before="1" w:after="0" w:line="276" w:lineRule="auto"/>
        <w:ind w:right="107" w:firstLine="709"/>
        <w:jc w:val="both"/>
        <w:rPr>
          <w:rFonts w:ascii="Verdana" w:eastAsia="Arial" w:hAnsi="Verdana" w:cs="Arial"/>
          <w:lang w:val="es-ES" w:eastAsia="es-ES" w:bidi="es-ES"/>
        </w:rPr>
      </w:pPr>
    </w:p>
    <w:p w14:paraId="1EEDEE02" w14:textId="77777777" w:rsidR="004C72F9" w:rsidRPr="00A277EA" w:rsidRDefault="004C72F9" w:rsidP="004C72F9">
      <w:pPr>
        <w:widowControl w:val="0"/>
        <w:autoSpaceDE w:val="0"/>
        <w:autoSpaceDN w:val="0"/>
        <w:spacing w:before="1" w:after="240" w:line="240" w:lineRule="auto"/>
        <w:ind w:left="708" w:right="644"/>
        <w:jc w:val="both"/>
        <w:rPr>
          <w:rFonts w:ascii="Verdana" w:eastAsia="Arial" w:hAnsi="Verdana" w:cs="Arial"/>
          <w:sz w:val="20"/>
          <w:szCs w:val="20"/>
          <w:lang w:val="es-ES" w:eastAsia="es-ES" w:bidi="es-ES"/>
        </w:rPr>
      </w:pPr>
      <w:r w:rsidRPr="00A277EA">
        <w:rPr>
          <w:rFonts w:ascii="Verdana" w:eastAsia="Arial" w:hAnsi="Verdana" w:cs="Arial"/>
          <w:sz w:val="20"/>
          <w:szCs w:val="20"/>
          <w:lang w:val="es-ES" w:eastAsia="es-ES" w:bidi="es-ES"/>
        </w:rPr>
        <w:t>El plazo de la licitación entendido como el término que debe transcurrir entre la fecha a partir de la cual se pueden presentar propuestas y la de su cierre, se señalará en los pliegos de condiciones de acuerdo con la naturaleza, objeto y cuantía del contrato.</w:t>
      </w:r>
    </w:p>
    <w:p w14:paraId="28D0826B" w14:textId="77777777" w:rsidR="004C72F9" w:rsidRPr="00A277EA" w:rsidRDefault="004C72F9" w:rsidP="004C72F9">
      <w:pPr>
        <w:widowControl w:val="0"/>
        <w:autoSpaceDE w:val="0"/>
        <w:autoSpaceDN w:val="0"/>
        <w:spacing w:after="0" w:line="240" w:lineRule="auto"/>
        <w:ind w:left="709" w:right="646"/>
        <w:jc w:val="both"/>
        <w:rPr>
          <w:rFonts w:ascii="Verdana" w:eastAsia="Arial" w:hAnsi="Verdana" w:cs="Arial"/>
          <w:sz w:val="20"/>
          <w:szCs w:val="20"/>
          <w:lang w:val="es-ES" w:eastAsia="es-ES" w:bidi="es-ES"/>
        </w:rPr>
      </w:pPr>
      <w:r w:rsidRPr="00A277EA">
        <w:rPr>
          <w:rFonts w:ascii="Verdana" w:eastAsia="Arial" w:hAnsi="Verdana" w:cs="Arial"/>
          <w:sz w:val="20"/>
          <w:szCs w:val="20"/>
          <w:lang w:val="es-ES" w:eastAsia="es-ES" w:bidi="es-ES"/>
        </w:rPr>
        <w:t xml:space="preserve">Cuando lo estime conveniente la entidad interesada, de oficio o a solicitud de un número plural de posibles oferentes, dicho plazo se podrá prorrogar antes de su vencimiento, por un término no superior a la mitad del </w:t>
      </w:r>
      <w:r w:rsidRPr="00A277EA">
        <w:rPr>
          <w:rFonts w:ascii="Verdana" w:eastAsia="Arial" w:hAnsi="Verdana" w:cs="Arial"/>
          <w:sz w:val="20"/>
          <w:szCs w:val="20"/>
          <w:lang w:val="es-ES" w:eastAsia="es-ES" w:bidi="es-ES"/>
        </w:rPr>
        <w:lastRenderedPageBreak/>
        <w:t xml:space="preserve">inicialmente fijado. En todo caso no podrán expedirse adendas dentro de los tres (3) días anteriores en que se tiene previsto el cierre del proceso de selección, ni siquiera para extender el término </w:t>
      </w:r>
      <w:proofErr w:type="gramStart"/>
      <w:r w:rsidRPr="00A277EA">
        <w:rPr>
          <w:rFonts w:ascii="Verdana" w:eastAsia="Arial" w:hAnsi="Verdana" w:cs="Arial"/>
          <w:sz w:val="20"/>
          <w:szCs w:val="20"/>
          <w:lang w:val="es-ES" w:eastAsia="es-ES" w:bidi="es-ES"/>
        </w:rPr>
        <w:t>del mismo</w:t>
      </w:r>
      <w:proofErr w:type="gramEnd"/>
      <w:r w:rsidRPr="00A277EA">
        <w:rPr>
          <w:rFonts w:ascii="Verdana" w:eastAsia="Arial" w:hAnsi="Verdana" w:cs="Arial"/>
          <w:sz w:val="20"/>
          <w:szCs w:val="20"/>
          <w:lang w:val="es-ES" w:eastAsia="es-ES" w:bidi="es-ES"/>
        </w:rPr>
        <w:t>. La publicación de estas adendas sólo se podrá realizar en días hábiles y horarios laborales.</w:t>
      </w:r>
    </w:p>
    <w:p w14:paraId="6228057B" w14:textId="77777777" w:rsidR="004C72F9" w:rsidRPr="00A277EA" w:rsidRDefault="004C72F9" w:rsidP="004C72F9">
      <w:pPr>
        <w:widowControl w:val="0"/>
        <w:autoSpaceDE w:val="0"/>
        <w:autoSpaceDN w:val="0"/>
        <w:spacing w:after="0" w:line="276" w:lineRule="auto"/>
        <w:ind w:right="102" w:firstLine="709"/>
        <w:jc w:val="both"/>
        <w:rPr>
          <w:rFonts w:ascii="Verdana" w:eastAsia="Arial" w:hAnsi="Verdana" w:cs="Arial"/>
          <w:lang w:val="es-ES" w:eastAsia="es-ES" w:bidi="es-ES"/>
        </w:rPr>
      </w:pPr>
    </w:p>
    <w:p w14:paraId="34672BE2" w14:textId="77777777" w:rsidR="004C72F9" w:rsidRPr="00A277EA" w:rsidRDefault="004C72F9" w:rsidP="004C72F9">
      <w:pPr>
        <w:widowControl w:val="0"/>
        <w:autoSpaceDE w:val="0"/>
        <w:autoSpaceDN w:val="0"/>
        <w:spacing w:after="0" w:line="276" w:lineRule="auto"/>
        <w:ind w:firstLine="709"/>
        <w:jc w:val="both"/>
        <w:rPr>
          <w:rFonts w:ascii="Verdana" w:eastAsia="Arial" w:hAnsi="Verdana" w:cs="Arial"/>
          <w:lang w:val="es-ES" w:eastAsia="es-ES" w:bidi="es-ES"/>
        </w:rPr>
      </w:pPr>
      <w:r w:rsidRPr="00A277EA">
        <w:rPr>
          <w:rFonts w:ascii="Verdana" w:eastAsia="Arial" w:hAnsi="Verdana" w:cs="Arial"/>
          <w:lang w:val="es-ES" w:eastAsia="es-ES" w:bidi="es-ES"/>
        </w:rPr>
        <w:t>En armonía con la disposición anterior, el artículo 2.2.1.1.2.2.1. del Decreto 1082 de 2015, establece:</w:t>
      </w:r>
    </w:p>
    <w:p w14:paraId="750B3BAA" w14:textId="77777777" w:rsidR="004C72F9" w:rsidRPr="00A277EA" w:rsidRDefault="004C72F9" w:rsidP="004C72F9">
      <w:pPr>
        <w:spacing w:after="0" w:line="240" w:lineRule="auto"/>
        <w:jc w:val="both"/>
        <w:textAlignment w:val="baseline"/>
        <w:rPr>
          <w:rFonts w:ascii="Verdana" w:eastAsia="Calibri" w:hAnsi="Verdana" w:cs="Segoe UI"/>
          <w:sz w:val="18"/>
          <w:szCs w:val="18"/>
          <w:lang w:val="es-ES" w:eastAsia="es-CO"/>
        </w:rPr>
      </w:pPr>
      <w:r w:rsidRPr="00A277EA">
        <w:rPr>
          <w:rFonts w:ascii="Verdana" w:eastAsia="Calibri" w:hAnsi="Verdana" w:cs="Arial"/>
          <w:sz w:val="20"/>
          <w:szCs w:val="20"/>
          <w:lang w:val="es-ES" w:eastAsia="es-CO"/>
        </w:rPr>
        <w:t> </w:t>
      </w:r>
    </w:p>
    <w:p w14:paraId="4AFCDC4C" w14:textId="77777777" w:rsidR="004C72F9" w:rsidRPr="00A277EA" w:rsidRDefault="004C72F9" w:rsidP="004C72F9">
      <w:pPr>
        <w:spacing w:after="0" w:line="240" w:lineRule="auto"/>
        <w:ind w:left="709" w:right="709"/>
        <w:jc w:val="both"/>
        <w:textAlignment w:val="baseline"/>
        <w:rPr>
          <w:rFonts w:ascii="Verdana" w:eastAsia="Calibri" w:hAnsi="Verdana" w:cs="Arial"/>
          <w:sz w:val="20"/>
          <w:szCs w:val="20"/>
          <w:lang w:val="es-ES"/>
        </w:rPr>
      </w:pPr>
      <w:r w:rsidRPr="00A277EA">
        <w:rPr>
          <w:rFonts w:ascii="Verdana" w:eastAsia="Calibri" w:hAnsi="Verdana" w:cs="Arial"/>
          <w:sz w:val="20"/>
          <w:szCs w:val="20"/>
          <w:lang w:val="es-ES"/>
        </w:rPr>
        <w:t>Artículo 2.2.1.1.2.2.1. Modificación de los pliegos de condiciones. La Entidad Estatal puede modificar los pliegos de condiciones a través de Adendas expedidas antes del vencimiento del plazo para presentar ofertas. </w:t>
      </w:r>
    </w:p>
    <w:p w14:paraId="619C2D0B" w14:textId="77777777" w:rsidR="004C72F9" w:rsidRPr="00A277EA" w:rsidRDefault="004C72F9" w:rsidP="004C72F9">
      <w:pPr>
        <w:spacing w:after="0" w:line="240" w:lineRule="auto"/>
        <w:ind w:left="709" w:right="709"/>
        <w:jc w:val="both"/>
        <w:textAlignment w:val="baseline"/>
        <w:rPr>
          <w:rFonts w:ascii="Verdana" w:eastAsia="Calibri" w:hAnsi="Verdana" w:cs="Arial"/>
          <w:sz w:val="20"/>
          <w:szCs w:val="20"/>
          <w:lang w:val="es-ES"/>
        </w:rPr>
      </w:pPr>
      <w:r w:rsidRPr="00A277EA">
        <w:rPr>
          <w:rFonts w:ascii="Verdana" w:eastAsia="Calibri" w:hAnsi="Verdana" w:cs="Arial"/>
          <w:sz w:val="20"/>
          <w:szCs w:val="20"/>
          <w:lang w:val="es-ES"/>
        </w:rPr>
        <w:t> </w:t>
      </w:r>
    </w:p>
    <w:p w14:paraId="3F78EC3E" w14:textId="77777777" w:rsidR="004C72F9" w:rsidRPr="00A277EA" w:rsidRDefault="004C72F9" w:rsidP="004C72F9">
      <w:pPr>
        <w:spacing w:after="0" w:line="240" w:lineRule="auto"/>
        <w:ind w:left="709" w:right="709"/>
        <w:jc w:val="both"/>
        <w:textAlignment w:val="baseline"/>
        <w:rPr>
          <w:rFonts w:ascii="Verdana" w:eastAsia="Calibri" w:hAnsi="Verdana" w:cs="Arial"/>
          <w:sz w:val="20"/>
          <w:szCs w:val="20"/>
          <w:lang w:val="es-ES"/>
        </w:rPr>
      </w:pPr>
      <w:r w:rsidRPr="00A277EA">
        <w:rPr>
          <w:rFonts w:ascii="Verdana" w:eastAsia="Calibri" w:hAnsi="Verdana" w:cs="Arial"/>
          <w:sz w:val="20"/>
          <w:szCs w:val="20"/>
          <w:lang w:val="es-ES"/>
        </w:rPr>
        <w:t>La Entidad Estatal puede expedir Adendas para modificar el Cronograma una vez vencido el término para la presentación de las ofertas y antes de la adjudicación del contrato. </w:t>
      </w:r>
    </w:p>
    <w:p w14:paraId="1D0BD9EC" w14:textId="77777777" w:rsidR="004C72F9" w:rsidRPr="00A277EA" w:rsidRDefault="004C72F9" w:rsidP="004C72F9">
      <w:pPr>
        <w:spacing w:after="0" w:line="240" w:lineRule="auto"/>
        <w:ind w:right="709"/>
        <w:jc w:val="both"/>
        <w:textAlignment w:val="baseline"/>
        <w:rPr>
          <w:rFonts w:ascii="Verdana" w:eastAsia="Calibri" w:hAnsi="Verdana" w:cs="Arial"/>
          <w:sz w:val="20"/>
          <w:szCs w:val="20"/>
          <w:lang w:val="es-ES"/>
        </w:rPr>
      </w:pPr>
    </w:p>
    <w:p w14:paraId="6AB3EC94" w14:textId="77777777" w:rsidR="004C72F9" w:rsidRPr="00A277EA" w:rsidRDefault="004C72F9" w:rsidP="004C72F9">
      <w:pPr>
        <w:spacing w:after="0" w:line="240" w:lineRule="auto"/>
        <w:ind w:left="709" w:right="709"/>
        <w:jc w:val="both"/>
        <w:textAlignment w:val="baseline"/>
        <w:rPr>
          <w:rFonts w:ascii="Verdana" w:eastAsia="Calibri" w:hAnsi="Verdana" w:cs="Arial"/>
          <w:sz w:val="20"/>
          <w:szCs w:val="20"/>
          <w:lang w:val="es-ES"/>
        </w:rPr>
      </w:pPr>
      <w:r w:rsidRPr="00A277EA">
        <w:rPr>
          <w:rFonts w:ascii="Verdana" w:eastAsia="Calibri" w:hAnsi="Verdana" w:cs="Arial"/>
          <w:i/>
          <w:iCs/>
          <w:sz w:val="20"/>
          <w:szCs w:val="20"/>
          <w:lang w:val="es-ES"/>
        </w:rPr>
        <w:t>La Entidad Estatal debe publicar las Adendas en los días hábiles, entre las 7:00 a. m. y las 7:00 p. m., a más tardar el día hábil anterior al vencimiento del plazo para presentar ofertas a la hora fijada para tal presentación, salvo en la licitación pública pues de conformidad con la ley la publicación debe hacerse con tres (3) días de anticipación</w:t>
      </w:r>
      <w:r w:rsidRPr="00A277EA">
        <w:rPr>
          <w:rFonts w:ascii="Verdana" w:eastAsia="Calibri" w:hAnsi="Verdana" w:cs="Arial"/>
          <w:sz w:val="20"/>
          <w:szCs w:val="20"/>
          <w:lang w:val="es-ES"/>
        </w:rPr>
        <w:t xml:space="preserve"> (Cursiva fuera del original).</w:t>
      </w:r>
    </w:p>
    <w:p w14:paraId="1387CC4D" w14:textId="77777777" w:rsidR="004C72F9" w:rsidRPr="00A277EA" w:rsidRDefault="004C72F9" w:rsidP="004C72F9">
      <w:pPr>
        <w:spacing w:after="0" w:line="240" w:lineRule="auto"/>
        <w:jc w:val="both"/>
        <w:textAlignment w:val="baseline"/>
        <w:rPr>
          <w:rFonts w:ascii="Verdana" w:eastAsia="Calibri" w:hAnsi="Verdana" w:cs="Arial"/>
          <w:lang w:val="es-ES"/>
        </w:rPr>
      </w:pPr>
      <w:r w:rsidRPr="00A277EA">
        <w:rPr>
          <w:rFonts w:ascii="Verdana" w:eastAsia="Calibri" w:hAnsi="Verdana" w:cs="Times New Roman"/>
          <w:lang w:val="es-ES"/>
        </w:rPr>
        <w:t> </w:t>
      </w:r>
    </w:p>
    <w:p w14:paraId="5BB553FA" w14:textId="77777777" w:rsidR="004C72F9" w:rsidRPr="00A277EA" w:rsidRDefault="004C72F9" w:rsidP="004C72F9">
      <w:pPr>
        <w:spacing w:after="120" w:line="276" w:lineRule="auto"/>
        <w:ind w:firstLine="708"/>
        <w:jc w:val="both"/>
        <w:rPr>
          <w:rFonts w:ascii="Verdana" w:eastAsia="Arial" w:hAnsi="Verdana" w:cs="Arial"/>
          <w:lang w:eastAsia="es-ES" w:bidi="es-ES"/>
        </w:rPr>
      </w:pPr>
      <w:r w:rsidRPr="00A277EA">
        <w:rPr>
          <w:rFonts w:ascii="Verdana" w:eastAsia="Calibri" w:hAnsi="Verdana" w:cs="Arial"/>
        </w:rPr>
        <w:t xml:space="preserve">La interpretación de esta norma supone diferenciar entre dos (2) tipos de ajustes que pueden generar la expedición de </w:t>
      </w:r>
      <w:bookmarkStart w:id="7" w:name="_Hlk113271930"/>
      <w:r w:rsidRPr="00A277EA">
        <w:rPr>
          <w:rFonts w:ascii="Verdana" w:eastAsia="Calibri" w:hAnsi="Verdana" w:cs="Arial"/>
        </w:rPr>
        <w:t>adendas: i) los referidos a las condiciones técnicas, jurídicas y económicas del pliego definitivo</w:t>
      </w:r>
      <w:bookmarkEnd w:id="7"/>
      <w:r w:rsidRPr="00A277EA">
        <w:rPr>
          <w:rFonts w:ascii="Verdana" w:eastAsia="Calibri" w:hAnsi="Verdana" w:cs="Arial"/>
        </w:rPr>
        <w:t xml:space="preserve"> y, en general, a cualquier contenido distinto del cronograma del procedimiento de selección y </w:t>
      </w:r>
      <w:proofErr w:type="spellStart"/>
      <w:r w:rsidRPr="00A277EA">
        <w:rPr>
          <w:rFonts w:ascii="Verdana" w:eastAsia="Calibri" w:hAnsi="Verdana" w:cs="Arial"/>
        </w:rPr>
        <w:t>ii</w:t>
      </w:r>
      <w:proofErr w:type="spellEnd"/>
      <w:r w:rsidRPr="00A277EA">
        <w:rPr>
          <w:rFonts w:ascii="Verdana" w:eastAsia="Calibri" w:hAnsi="Verdana" w:cs="Arial"/>
        </w:rPr>
        <w:t>) los del cronograma. 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w:t>
      </w:r>
      <w:r w:rsidRPr="00A277EA">
        <w:rPr>
          <w:rFonts w:ascii="Verdana" w:eastAsia="Calibri" w:hAnsi="Verdana" w:cs="Arial"/>
          <w:vertAlign w:val="superscript"/>
        </w:rPr>
        <w:footnoteReference w:id="7"/>
      </w:r>
      <w:r w:rsidRPr="00A277EA">
        <w:rPr>
          <w:rFonts w:ascii="Verdana" w:eastAsia="Calibri" w:hAnsi="Verdana" w:cs="Arial"/>
        </w:rPr>
        <w:t xml:space="preserve">. Por tanto, aunque las condiciones técnicas, jurídicas y económicas no son modificables después de la presentación de las propuestas, nada obsta para que, vencido el plazo para su presentación, se amplíen o </w:t>
      </w:r>
      <w:r w:rsidRPr="00A277EA">
        <w:rPr>
          <w:rFonts w:ascii="Verdana" w:eastAsia="Calibri" w:hAnsi="Verdana" w:cs="Arial"/>
        </w:rPr>
        <w:lastRenderedPageBreak/>
        <w:t xml:space="preserve">modifiquen los plazos de las siguientes etapas, de acuerdo con segundo inciso del artículo </w:t>
      </w:r>
      <w:r w:rsidRPr="00A277EA">
        <w:rPr>
          <w:rFonts w:ascii="Verdana" w:eastAsia="Calibri" w:hAnsi="Verdana" w:cs="Arial"/>
          <w:lang w:val="es-ES"/>
        </w:rPr>
        <w:t xml:space="preserve">2.2.1.1.2.2.1. </w:t>
      </w:r>
      <w:r w:rsidRPr="00A277EA">
        <w:rPr>
          <w:rFonts w:ascii="Verdana" w:eastAsia="Arial" w:hAnsi="Verdana" w:cs="Arial"/>
          <w:lang w:val="es-ES" w:eastAsia="es-ES" w:bidi="es-ES"/>
        </w:rPr>
        <w:t>del D</w:t>
      </w:r>
      <w:proofErr w:type="spellStart"/>
      <w:r w:rsidRPr="00A277EA">
        <w:rPr>
          <w:rFonts w:ascii="Verdana" w:eastAsia="Arial" w:hAnsi="Verdana" w:cs="Arial"/>
          <w:lang w:eastAsia="es-ES" w:bidi="es-ES"/>
        </w:rPr>
        <w:t>ecreto</w:t>
      </w:r>
      <w:proofErr w:type="spellEnd"/>
      <w:r w:rsidRPr="00A277EA">
        <w:rPr>
          <w:rFonts w:ascii="Verdana" w:eastAsia="Arial" w:hAnsi="Verdana" w:cs="Arial"/>
          <w:lang w:eastAsia="es-ES" w:bidi="es-ES"/>
        </w:rPr>
        <w:t xml:space="preserve"> 1082 de 2015. De este modo</w:t>
      </w:r>
      <w:r w:rsidRPr="00A277EA">
        <w:rPr>
          <w:rFonts w:ascii="Verdana" w:eastAsia="Calibri" w:hAnsi="Verdana" w:cs="Arial"/>
          <w:lang w:eastAsia="es-CO"/>
        </w:rPr>
        <w:t xml:space="preserve">, tanto para la licitación pública, como para los demás procedimientos de selección de contratistas, las normas legales y reglamentarias prevén la posibilidad de modificar los pliegos de condiciones mediante </w:t>
      </w:r>
      <w:r w:rsidRPr="00A277EA">
        <w:rPr>
          <w:rFonts w:ascii="Verdana" w:eastAsia="Calibri" w:hAnsi="Verdana" w:cs="Arial"/>
          <w:i/>
          <w:iCs/>
          <w:lang w:eastAsia="es-CO"/>
        </w:rPr>
        <w:t>adendas</w:t>
      </w:r>
      <w:r w:rsidRPr="00A277EA">
        <w:rPr>
          <w:rFonts w:ascii="Verdana" w:eastAsia="Calibri" w:hAnsi="Verdana" w:cs="Arial"/>
          <w:lang w:eastAsia="es-CO"/>
        </w:rPr>
        <w:t xml:space="preserve">. </w:t>
      </w:r>
      <w:bookmarkStart w:id="8" w:name="_Hlk113273292"/>
    </w:p>
    <w:p w14:paraId="56638BE4" w14:textId="77777777" w:rsidR="004C72F9" w:rsidRPr="004B284F" w:rsidRDefault="004C72F9" w:rsidP="004C72F9">
      <w:pPr>
        <w:widowControl w:val="0"/>
        <w:autoSpaceDE w:val="0"/>
        <w:autoSpaceDN w:val="0"/>
        <w:spacing w:after="120" w:line="276" w:lineRule="auto"/>
        <w:ind w:right="103" w:firstLine="708"/>
        <w:jc w:val="both"/>
        <w:rPr>
          <w:rFonts w:ascii="Verdana" w:eastAsia="Arial" w:hAnsi="Verdana" w:cs="Arial"/>
          <w:lang w:eastAsia="es-ES" w:bidi="es-ES"/>
        </w:rPr>
      </w:pPr>
      <w:r w:rsidRPr="00A277EA">
        <w:rPr>
          <w:rFonts w:ascii="Verdana" w:eastAsia="Calibri" w:hAnsi="Verdana" w:cs="Arial"/>
          <w:lang w:eastAsia="es-CO"/>
        </w:rPr>
        <w:t xml:space="preserve">Las normas prevén pues, dos límites temporales para la publicación de las adendas: i) tres (3) días hábiles antes del vencimiento del plazo para presentar ofertas para la licitación pública y </w:t>
      </w:r>
      <w:proofErr w:type="spellStart"/>
      <w:r w:rsidRPr="00A277EA">
        <w:rPr>
          <w:rFonts w:ascii="Verdana" w:eastAsia="Calibri" w:hAnsi="Verdana" w:cs="Arial"/>
          <w:lang w:eastAsia="es-CO"/>
        </w:rPr>
        <w:t>ii</w:t>
      </w:r>
      <w:proofErr w:type="spellEnd"/>
      <w:r w:rsidRPr="00A277EA">
        <w:rPr>
          <w:rFonts w:ascii="Verdana" w:eastAsia="Calibri" w:hAnsi="Verdana" w:cs="Arial"/>
          <w:lang w:eastAsia="es-CO"/>
        </w:rPr>
        <w:t xml:space="preserve">) un día hábil antes del vencimiento del plazo para presentar ofertas para las demás modalidades de selección. </w:t>
      </w:r>
      <w:bookmarkEnd w:id="8"/>
      <w:r w:rsidRPr="00A277EA">
        <w:rPr>
          <w:rFonts w:ascii="Verdana" w:eastAsia="Calibri" w:hAnsi="Verdana" w:cs="Arial"/>
          <w:lang w:eastAsia="es-CO"/>
        </w:rPr>
        <w:t xml:space="preserve">Por tanto, para los procesos que se adelantan mediante la modalidad de concurso de méritos </w:t>
      </w:r>
      <w:r w:rsidRPr="00A277EA">
        <w:rPr>
          <w:rFonts w:ascii="Verdana" w:eastAsia="Calibri" w:hAnsi="Verdana" w:cs="Arial"/>
          <w:lang w:val="es-MX" w:eastAsia="es-CO"/>
        </w:rPr>
        <w:t xml:space="preserve">la entidad estatal debe respetar el término del artículo 2.2.1.1.2.2.1 y, por ende, solo puede expedir y publicar adendas que modifiquen </w:t>
      </w:r>
      <w:r w:rsidRPr="00A277EA">
        <w:rPr>
          <w:rFonts w:ascii="Verdana" w:eastAsia="Calibri" w:hAnsi="Verdana" w:cs="Arial"/>
        </w:rPr>
        <w:t>condiciones técnicas, jurídicas y económicas del pliego definitivo</w:t>
      </w:r>
      <w:r w:rsidRPr="00A277EA">
        <w:rPr>
          <w:rFonts w:ascii="Verdana" w:eastAsia="Calibri" w:hAnsi="Verdana" w:cs="Arial"/>
          <w:lang w:val="es-MX" w:eastAsia="es-CO"/>
        </w:rPr>
        <w:t xml:space="preserve"> a más tardar el día hábil anterior, hasta </w:t>
      </w:r>
      <w:r w:rsidRPr="00A277EA">
        <w:rPr>
          <w:rFonts w:ascii="Verdana" w:eastAsia="Calibri" w:hAnsi="Verdana" w:cs="Arial"/>
          <w:lang w:eastAsia="es-CO"/>
        </w:rPr>
        <w:t xml:space="preserve">la hora fijada para la presentación de las ofertas del día hábil siguiente –esto es, del cierre del proceso–. Además de lo anterior, de acuerdo con dicha disposición las adendas deben publicarse en días hábiles, entre las 7:00 am y las 7:00 pm. </w:t>
      </w:r>
    </w:p>
    <w:p w14:paraId="43FA7D26" w14:textId="77777777" w:rsidR="004C72F9" w:rsidRPr="00A277EA" w:rsidRDefault="004C72F9" w:rsidP="004C72F9">
      <w:pPr>
        <w:widowControl w:val="0"/>
        <w:autoSpaceDE w:val="0"/>
        <w:autoSpaceDN w:val="0"/>
        <w:spacing w:after="120" w:line="276" w:lineRule="auto"/>
        <w:ind w:right="103" w:firstLine="708"/>
        <w:jc w:val="both"/>
        <w:rPr>
          <w:rFonts w:ascii="Verdana" w:eastAsia="Arial" w:hAnsi="Verdana" w:cs="Arial"/>
          <w:lang w:eastAsia="es-ES" w:bidi="es-ES"/>
        </w:rPr>
      </w:pPr>
      <w:r w:rsidRPr="00A277EA">
        <w:rPr>
          <w:rFonts w:ascii="Verdana" w:eastAsia="Calibri" w:hAnsi="Verdana" w:cs="Arial"/>
          <w:bCs/>
        </w:rPr>
        <w:t xml:space="preserve">De acuerdo con lo expuesto, el pliego de condiciones es el núcleo esencial del proceso de contratación, sin embargo, los limites materiales a su modificación no se encuentran expresamente establecidos en la ley. No obstante, lo cierto es que, </w:t>
      </w:r>
      <w:r w:rsidRPr="00A277EA">
        <w:rPr>
          <w:rFonts w:ascii="Verdana" w:eastAsia="Calibri" w:hAnsi="Verdana" w:cs="Arial"/>
          <w:lang w:eastAsia="es-CO"/>
        </w:rPr>
        <w:t>el pliego de condiciones, en principio, tiene una vocación de ser un documento definitivo, en la medida en que su contenido proporciona seguridad jurídica a los agentes intervinientes en el proceso de selección. Sin embargo, al ser el documento que desarrolla las condiciones de participación y el contenido del contrato a suscribir puede suscitar dudas o presentar imprecisiones, por lo cual éstos pueden modificarse más adelante en el curso del proceso mediante adendas.</w:t>
      </w:r>
    </w:p>
    <w:p w14:paraId="7B9FF40A" w14:textId="77777777" w:rsidR="004C72F9" w:rsidRPr="00A277EA" w:rsidRDefault="004C72F9" w:rsidP="004C72F9">
      <w:pPr>
        <w:widowControl w:val="0"/>
        <w:autoSpaceDE w:val="0"/>
        <w:autoSpaceDN w:val="0"/>
        <w:spacing w:after="120" w:line="276" w:lineRule="auto"/>
        <w:ind w:right="103" w:firstLine="708"/>
        <w:jc w:val="both"/>
        <w:rPr>
          <w:rFonts w:ascii="Verdana" w:eastAsia="Arial" w:hAnsi="Verdana" w:cs="Arial"/>
          <w:lang w:eastAsia="es-ES" w:bidi="es-ES"/>
        </w:rPr>
      </w:pPr>
      <w:r w:rsidRPr="00A277EA">
        <w:rPr>
          <w:rFonts w:ascii="Verdana" w:eastAsia="Calibri" w:hAnsi="Verdana" w:cs="Arial"/>
          <w:lang w:eastAsia="es-CO"/>
        </w:rPr>
        <w:t xml:space="preserve">Sin perjuicio de esto, es preciso advertir que, las adendas solo pueden modificar aspectos de los pliegos que no sean sustanciales, lo que significa que pueden cambiar asuntos como el cronograma del proceso, o pueden abrir la posibilidad de que un material no previsto inicialmente sea utilizado en la elaboración de lo que la entidad requiere. En ese sentido, debe tenerse en cuenta que mediante adendas que </w:t>
      </w:r>
      <w:r w:rsidRPr="00A277EA">
        <w:rPr>
          <w:rFonts w:ascii="Verdana" w:eastAsia="Calibri" w:hAnsi="Verdana" w:cs="Arial"/>
          <w:bCs/>
          <w:lang w:eastAsia="es-CO"/>
        </w:rPr>
        <w:t>no se pueden cambiar asuntos sustanciales como son el objeto del contrato, el mecanismo de selección y el presupuesto.</w:t>
      </w:r>
      <w:r w:rsidRPr="00A277EA">
        <w:rPr>
          <w:rFonts w:ascii="Verdana" w:eastAsia="Calibri" w:hAnsi="Verdana" w:cs="Arial"/>
          <w:lang w:eastAsia="es-CO"/>
        </w:rPr>
        <w:t xml:space="preserve"> </w:t>
      </w:r>
      <w:r w:rsidRPr="00A277EA">
        <w:rPr>
          <w:rFonts w:ascii="Verdana" w:eastAsia="Calibri" w:hAnsi="Verdana" w:cs="Arial"/>
          <w:lang w:eastAsia="es-CO"/>
        </w:rPr>
        <w:lastRenderedPageBreak/>
        <w:t xml:space="preserve">Adicionalmente, las adendas además deben cumplir todos los requisitos de publicidad del pliego de condiciones, ya que, para garantizar seguridad jurídica en el marco del proceso, las reglas no pueden variar a espaldas de los eventuales interesados. </w:t>
      </w:r>
    </w:p>
    <w:p w14:paraId="426230A6" w14:textId="77777777" w:rsidR="004C72F9" w:rsidRPr="00A277EA" w:rsidRDefault="004C72F9" w:rsidP="004C72F9">
      <w:pPr>
        <w:widowControl w:val="0"/>
        <w:autoSpaceDE w:val="0"/>
        <w:autoSpaceDN w:val="0"/>
        <w:spacing w:after="120" w:line="276" w:lineRule="auto"/>
        <w:ind w:right="103" w:firstLine="708"/>
        <w:jc w:val="both"/>
        <w:rPr>
          <w:rFonts w:ascii="Verdana" w:eastAsia="Arial" w:hAnsi="Verdana" w:cs="Arial"/>
          <w:lang w:eastAsia="es-ES" w:bidi="es-ES"/>
        </w:rPr>
      </w:pPr>
      <w:r w:rsidRPr="00A277EA">
        <w:rPr>
          <w:rFonts w:ascii="Verdana" w:eastAsia="Arial" w:hAnsi="Verdana" w:cs="Arial"/>
          <w:lang w:eastAsia="es-ES" w:bidi="es-ES"/>
        </w:rPr>
        <w:t xml:space="preserve">Sobre el asunto, el Consejo de Estado ha señalado que con </w:t>
      </w:r>
      <w:r w:rsidRPr="00A277EA">
        <w:rPr>
          <w:rFonts w:ascii="Verdana" w:eastAsia="Calibri" w:hAnsi="Verdana" w:cs="Arial"/>
          <w:lang w:eastAsia="es-CO"/>
        </w:rPr>
        <w:t>la finalidad de expedir reglas claras y precisas, la entidad con posterioridad a la publicación del proyecto de pliegos o el pliego de condiciones definitivo, puede realizar modificaciones y aclaraciones que no afecten la esencia o sustancia del proceso de selección, siempre en pro de garantizar el correcto desarrollo del proceso de selección, y en consonancia de los principios de la función administrativa y los contenidos en la Ley 80 de 1993. Lo anterior además por cuanto, permitir la modificación del pliego de condiciones por fuera de los límites temporales y materiales anteriormente descritos, abriría la puerta a la modificación incesante de los pliegos y con ello a la falta de claridad sobre la comprensión de las reglas del proceso, lo cual podría dar pie a la generación de yerros, que deban ser interpretados en contra la entidad, dada las reglas interpretativas que rigen los contratos</w:t>
      </w:r>
      <w:r w:rsidRPr="00A277EA">
        <w:rPr>
          <w:rFonts w:ascii="Verdana" w:eastAsia="Calibri" w:hAnsi="Verdana" w:cs="Arial"/>
          <w:vertAlign w:val="superscript"/>
          <w:lang w:eastAsia="es-CO"/>
        </w:rPr>
        <w:footnoteReference w:id="8"/>
      </w:r>
      <w:r w:rsidRPr="00A277EA">
        <w:rPr>
          <w:rFonts w:ascii="Verdana" w:eastAsia="Calibri" w:hAnsi="Verdana" w:cs="Arial"/>
          <w:lang w:eastAsia="es-CO"/>
        </w:rPr>
        <w:t>.</w:t>
      </w:r>
    </w:p>
    <w:p w14:paraId="4BF12473" w14:textId="77777777" w:rsidR="004C72F9" w:rsidRPr="00A277EA" w:rsidRDefault="004C72F9" w:rsidP="004C72F9">
      <w:pPr>
        <w:widowControl w:val="0"/>
        <w:autoSpaceDE w:val="0"/>
        <w:autoSpaceDN w:val="0"/>
        <w:spacing w:after="120" w:line="276" w:lineRule="auto"/>
        <w:ind w:right="103" w:firstLine="708"/>
        <w:jc w:val="both"/>
        <w:rPr>
          <w:rFonts w:ascii="Verdana" w:hAnsi="Verdana" w:cs="Arial"/>
          <w:color w:val="000000" w:themeColor="text1"/>
        </w:rPr>
      </w:pPr>
      <w:r w:rsidRPr="00A277EA">
        <w:rPr>
          <w:rFonts w:ascii="Verdana" w:hAnsi="Verdana" w:cs="Arial"/>
          <w:bCs/>
          <w:color w:val="000000" w:themeColor="text1"/>
          <w:lang w:eastAsia="es-MX"/>
        </w:rPr>
        <w:t>Finalmente</w:t>
      </w:r>
      <w:r w:rsidRPr="00A277EA">
        <w:rPr>
          <w:rFonts w:ascii="Verdana" w:hAnsi="Verdana" w:cs="Arial"/>
          <w:color w:val="000000" w:themeColor="text1"/>
        </w:rPr>
        <w:t>, si bien no es posible la utilización de adendas que permitan la modificación de ciertos aspectos dentro del proceso de selección, cuando se ha superado el término previsto en la legislación, esto no es impedimento, para que en el evento de presentarse circunstancias que no modifican sustancialmente las características del proceso, se pueda acudir a la figura del saneamiento o en su defecto, cuando se trate de un asunto netamente formal o de digitación, expedir el respectivo acto administrativo de corrección, dada la naturaleza del pliego de condiciones.</w:t>
      </w:r>
    </w:p>
    <w:p w14:paraId="7D1028F0" w14:textId="77777777" w:rsidR="004C72F9" w:rsidRPr="00A277EA" w:rsidRDefault="004C72F9" w:rsidP="004C72F9">
      <w:pPr>
        <w:spacing w:line="276" w:lineRule="auto"/>
        <w:ind w:firstLine="709"/>
        <w:jc w:val="both"/>
        <w:rPr>
          <w:rFonts w:ascii="Verdana" w:hAnsi="Verdana" w:cs="Arial"/>
          <w:color w:val="000000" w:themeColor="text1"/>
        </w:rPr>
      </w:pPr>
      <w:r w:rsidRPr="00A277EA">
        <w:rPr>
          <w:rFonts w:ascii="Verdana" w:hAnsi="Verdana" w:cs="Arial"/>
          <w:color w:val="000000" w:themeColor="text1"/>
        </w:rPr>
        <w:t xml:space="preserve">Al margen de la explicación precedente debe advertirse que el análisis requerido para calificar conductas con presunta incidencia disciplinaria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del expediente disciplinario que motivan la consulta. Por lo anterior, previo concepto de sus asesores, la </w:t>
      </w:r>
      <w:r w:rsidRPr="00A277EA">
        <w:rPr>
          <w:rFonts w:ascii="Verdana" w:hAnsi="Verdana" w:cs="Arial"/>
          <w:color w:val="000000" w:themeColor="text1"/>
        </w:rPr>
        <w:lastRenderedPageBreak/>
        <w:t>solución de situaciones particulares corresponde a los interesados adoptar la decisión correspondiente y, en caso de conflicto, a las autoridades judiciales.</w:t>
      </w:r>
    </w:p>
    <w:p w14:paraId="64736A48" w14:textId="7B26C2C4" w:rsidR="002C6D5B" w:rsidRPr="004C72F9" w:rsidRDefault="004C72F9" w:rsidP="004C72F9">
      <w:pPr>
        <w:spacing w:after="0" w:line="276" w:lineRule="auto"/>
        <w:ind w:firstLine="708"/>
        <w:jc w:val="both"/>
        <w:rPr>
          <w:rFonts w:ascii="Verdana" w:eastAsia="Calibri" w:hAnsi="Verdana" w:cs="Arial"/>
          <w:lang w:val="es-ES" w:eastAsia="es-ES"/>
        </w:rPr>
      </w:pPr>
      <w:r w:rsidRPr="00A277EA">
        <w:rPr>
          <w:rFonts w:ascii="Verdana" w:hAnsi="Verdana" w:cs="Arial"/>
          <w:color w:val="000000" w:themeColor="text1"/>
        </w:rPr>
        <w:t xml:space="preserve">Dentro de este marco, el órgano disciplinario definirá en cada caso concreto lo relacionado con la tipicidad de las conductas investigadas en </w:t>
      </w:r>
      <w:r w:rsidRPr="00A277EA">
        <w:rPr>
          <w:rFonts w:ascii="Verdana" w:eastAsia="Calibri" w:hAnsi="Verdana" w:cs="Arial"/>
          <w:lang w:val="es-ES" w:eastAsia="es-ES"/>
        </w:rPr>
        <w:t xml:space="preserve">el proceso No. 001-DIGSA-2025. </w:t>
      </w:r>
      <w:r w:rsidRPr="00A277EA">
        <w:rPr>
          <w:rFonts w:ascii="Verdana" w:hAnsi="Verdana" w:cs="Arial"/>
          <w:color w:val="000000" w:themeColor="text1"/>
        </w:rPr>
        <w:t>Dado que sólo tiene a cargo la interpretación abstracta de las normas del sistema de compras y contratación pública,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p>
    <w:p w14:paraId="3AC13CA0" w14:textId="77777777" w:rsidR="002C6D5B" w:rsidRPr="00C54887" w:rsidRDefault="002C6D5B" w:rsidP="002C6D5B">
      <w:pPr>
        <w:widowControl w:val="0"/>
        <w:autoSpaceDE w:val="0"/>
        <w:autoSpaceDN w:val="0"/>
        <w:spacing w:after="0" w:line="276" w:lineRule="auto"/>
        <w:ind w:firstLine="708"/>
        <w:jc w:val="both"/>
        <w:rPr>
          <w:rFonts w:ascii="Verdana" w:hAnsi="Verdana" w:cs="Arial"/>
          <w:lang w:eastAsia="es-ES"/>
        </w:rPr>
      </w:pPr>
    </w:p>
    <w:bookmarkEnd w:id="4"/>
    <w:bookmarkEnd w:id="5"/>
    <w:p w14:paraId="223F9241" w14:textId="77777777" w:rsidR="002C6D5B" w:rsidRPr="001F283D" w:rsidRDefault="002C6D5B" w:rsidP="002C6D5B">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7BDA9011" w14:textId="77777777" w:rsidR="002C6D5B" w:rsidRPr="00593A5F" w:rsidRDefault="002C6D5B" w:rsidP="002C6D5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C6D5B" w:rsidRPr="002407CE" w14:paraId="476BFE78" w14:textId="77777777" w:rsidTr="00CB420C">
        <w:trPr>
          <w:trHeight w:val="870"/>
          <w:jc w:val="center"/>
        </w:trPr>
        <w:tc>
          <w:tcPr>
            <w:tcW w:w="8647" w:type="dxa"/>
          </w:tcPr>
          <w:p w14:paraId="0213396B" w14:textId="77777777" w:rsidR="00813A47" w:rsidRPr="00813A47" w:rsidRDefault="00813A47" w:rsidP="00813A47">
            <w:pPr>
              <w:widowControl w:val="0"/>
              <w:numPr>
                <w:ilvl w:val="0"/>
                <w:numId w:val="2"/>
              </w:numPr>
              <w:autoSpaceDE w:val="0"/>
              <w:autoSpaceDN w:val="0"/>
              <w:spacing w:after="160" w:line="276" w:lineRule="auto"/>
              <w:contextualSpacing/>
              <w:jc w:val="both"/>
              <w:rPr>
                <w:rFonts w:ascii="Verdana" w:hAnsi="Verdana" w:cs="Arial"/>
                <w:lang w:val="es-MX"/>
              </w:rPr>
            </w:pPr>
            <w:r w:rsidRPr="00813A47">
              <w:rPr>
                <w:rFonts w:ascii="Verdana" w:eastAsia="Calibri" w:hAnsi="Verdana" w:cs="Arial"/>
                <w:color w:val="000000" w:themeColor="text1"/>
              </w:rPr>
              <w:t xml:space="preserve">Decreto 1082 de 2015: artículo 2.2.1.1.2.2.1 </w:t>
            </w:r>
          </w:p>
          <w:p w14:paraId="368E7685" w14:textId="77777777" w:rsidR="00813A47" w:rsidRPr="00813A47" w:rsidRDefault="00813A47" w:rsidP="00813A47">
            <w:pPr>
              <w:widowControl w:val="0"/>
              <w:numPr>
                <w:ilvl w:val="0"/>
                <w:numId w:val="2"/>
              </w:numPr>
              <w:autoSpaceDE w:val="0"/>
              <w:autoSpaceDN w:val="0"/>
              <w:spacing w:after="160" w:line="276" w:lineRule="auto"/>
              <w:contextualSpacing/>
              <w:jc w:val="both"/>
              <w:rPr>
                <w:rFonts w:ascii="Verdana" w:hAnsi="Verdana" w:cs="Arial"/>
                <w:lang w:val="es-MX"/>
              </w:rPr>
            </w:pPr>
            <w:r w:rsidRPr="00813A47">
              <w:rPr>
                <w:rFonts w:ascii="Verdana" w:hAnsi="Verdana" w:cs="Arial"/>
                <w:lang w:val="es-MX"/>
              </w:rPr>
              <w:t xml:space="preserve">Ley 80 de 1993: artículos 24 y 30, numeral 5. </w:t>
            </w:r>
          </w:p>
          <w:p w14:paraId="12658C16" w14:textId="77777777" w:rsidR="00813A47" w:rsidRPr="00813A47" w:rsidRDefault="00813A47" w:rsidP="00813A47">
            <w:pPr>
              <w:widowControl w:val="0"/>
              <w:numPr>
                <w:ilvl w:val="0"/>
                <w:numId w:val="2"/>
              </w:numPr>
              <w:autoSpaceDE w:val="0"/>
              <w:autoSpaceDN w:val="0"/>
              <w:spacing w:after="160" w:line="276" w:lineRule="auto"/>
              <w:jc w:val="both"/>
              <w:rPr>
                <w:rFonts w:ascii="Verdana" w:hAnsi="Verdana" w:cs="Arial"/>
              </w:rPr>
            </w:pPr>
            <w:r w:rsidRPr="00813A47">
              <w:rPr>
                <w:rFonts w:ascii="Verdana" w:hAnsi="Verdana" w:cs="Arial"/>
              </w:rPr>
              <w:t xml:space="preserve">Consejo De Estado. Sección Tercera. Sentencia de 20 de febrero de 2014. </w:t>
            </w:r>
            <w:proofErr w:type="spellStart"/>
            <w:r w:rsidRPr="00813A47">
              <w:rPr>
                <w:rFonts w:ascii="Verdana" w:hAnsi="Verdana" w:cs="Arial"/>
              </w:rPr>
              <w:t>Exp</w:t>
            </w:r>
            <w:proofErr w:type="spellEnd"/>
            <w:r w:rsidRPr="00813A47">
              <w:rPr>
                <w:rFonts w:ascii="Verdana" w:hAnsi="Verdana" w:cs="Arial"/>
              </w:rPr>
              <w:t xml:space="preserve">. 28.342. M.P Stella Conto Diaz Del Castillo. </w:t>
            </w:r>
          </w:p>
          <w:p w14:paraId="5CBBE236" w14:textId="77777777" w:rsidR="00813A47" w:rsidRPr="00813A47" w:rsidRDefault="00813A47" w:rsidP="00813A47">
            <w:pPr>
              <w:widowControl w:val="0"/>
              <w:numPr>
                <w:ilvl w:val="0"/>
                <w:numId w:val="2"/>
              </w:numPr>
              <w:autoSpaceDE w:val="0"/>
              <w:autoSpaceDN w:val="0"/>
              <w:spacing w:after="160" w:line="276" w:lineRule="auto"/>
              <w:jc w:val="both"/>
              <w:rPr>
                <w:rFonts w:ascii="Verdana" w:hAnsi="Verdana" w:cs="Arial"/>
              </w:rPr>
            </w:pPr>
            <w:r w:rsidRPr="00813A47">
              <w:rPr>
                <w:rFonts w:ascii="Verdana" w:hAnsi="Verdana" w:cs="Arial"/>
              </w:rPr>
              <w:t xml:space="preserve">Consejo De Estado. Sección Tercera. Subsección A. Sentencia del 16 de septiembre de 2013. </w:t>
            </w:r>
            <w:proofErr w:type="spellStart"/>
            <w:r w:rsidRPr="00813A47">
              <w:rPr>
                <w:rFonts w:ascii="Verdana" w:hAnsi="Verdana" w:cs="Arial"/>
              </w:rPr>
              <w:t>Exp</w:t>
            </w:r>
            <w:proofErr w:type="spellEnd"/>
            <w:r w:rsidRPr="00813A47">
              <w:rPr>
                <w:rFonts w:ascii="Verdana" w:hAnsi="Verdana" w:cs="Arial"/>
              </w:rPr>
              <w:t>. 30.571. C.P. Mauricio Fajardo Gómez.</w:t>
            </w:r>
          </w:p>
          <w:p w14:paraId="0AD5CED2" w14:textId="2EE210A1" w:rsidR="002C6D5B" w:rsidRPr="00A57FA0" w:rsidRDefault="00813A47" w:rsidP="00813A47">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813A47">
              <w:rPr>
                <w:rFonts w:ascii="Verdana" w:hAnsi="Verdana" w:cs="Arial"/>
                <w:sz w:val="22"/>
                <w:szCs w:val="22"/>
              </w:rPr>
              <w:t xml:space="preserve">Consejo De Estado. Sección Tercera. Sentencia de 30 de noviembre de 2006. </w:t>
            </w:r>
            <w:proofErr w:type="spellStart"/>
            <w:r w:rsidRPr="00813A47">
              <w:rPr>
                <w:rFonts w:ascii="Verdana" w:hAnsi="Verdana" w:cs="Arial"/>
                <w:sz w:val="22"/>
                <w:szCs w:val="22"/>
              </w:rPr>
              <w:t>Exp</w:t>
            </w:r>
            <w:proofErr w:type="spellEnd"/>
            <w:r w:rsidRPr="00813A47">
              <w:rPr>
                <w:rFonts w:ascii="Verdana" w:hAnsi="Verdana" w:cs="Arial"/>
                <w:sz w:val="22"/>
                <w:szCs w:val="22"/>
              </w:rPr>
              <w:t>. 18.059. M.P. Alier Hernández Enríquez.</w:t>
            </w:r>
          </w:p>
        </w:tc>
      </w:tr>
    </w:tbl>
    <w:p w14:paraId="150E1391" w14:textId="77777777" w:rsidR="002C6D5B" w:rsidRPr="00277E26" w:rsidRDefault="002C6D5B" w:rsidP="002C6D5B">
      <w:pPr>
        <w:widowControl w:val="0"/>
        <w:autoSpaceDE w:val="0"/>
        <w:autoSpaceDN w:val="0"/>
        <w:spacing w:after="0" w:line="276" w:lineRule="auto"/>
        <w:jc w:val="both"/>
        <w:rPr>
          <w:rFonts w:ascii="Verdana" w:hAnsi="Verdana" w:cs="Arial"/>
        </w:rPr>
      </w:pPr>
    </w:p>
    <w:p w14:paraId="58117093" w14:textId="77777777" w:rsidR="002C6D5B" w:rsidRPr="001F283D" w:rsidRDefault="002C6D5B" w:rsidP="002C6D5B">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30189B82" w14:textId="77777777" w:rsidR="002C6D5B" w:rsidRDefault="002C6D5B" w:rsidP="002C6D5B">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75545504" w14:textId="77777777" w:rsidR="00632D3F" w:rsidRPr="00A277EA" w:rsidRDefault="00632D3F" w:rsidP="00632D3F">
      <w:pPr>
        <w:widowControl w:val="0"/>
        <w:autoSpaceDE w:val="0"/>
        <w:autoSpaceDN w:val="0"/>
        <w:spacing w:after="0" w:line="276" w:lineRule="auto"/>
        <w:jc w:val="both"/>
        <w:rPr>
          <w:rFonts w:ascii="Verdana" w:hAnsi="Verdana" w:cs="Arial"/>
          <w:shd w:val="clear" w:color="auto" w:fill="FFFFFF"/>
          <w:lang w:val="es-ES"/>
        </w:rPr>
      </w:pPr>
      <w:r w:rsidRPr="00A277EA">
        <w:rPr>
          <w:rFonts w:ascii="Verdana" w:hAnsi="Verdana" w:cs="Arial"/>
          <w:shd w:val="clear" w:color="auto" w:fill="FFFFFF"/>
          <w:lang w:val="es-ES"/>
        </w:rPr>
        <w:t xml:space="preserve">Sobre la facultad que tienen las entidades estatales para modificar los pliegos de condiciones o documentos equivalentes se pronunció esta Subdirección en los conceptos con radicado No. 2201913000006236 de 26 de agosto de 2019, C–465 del 27 de julio de 2020, C–500 del 3 de agosto de 2020, C–557 del 21 de agosto de 2020, C-674 del 18 de noviembre de 2020, C-419 del 12 de agosto de 2021, C-744 del 4 de febrero de 2022, C-647 del 5 de octubre de 2022, C-788 de 2022, C-888 del 21 de diciembre de 2022, C-393 del 9 de septiembre de </w:t>
      </w:r>
      <w:r w:rsidRPr="00A277EA">
        <w:rPr>
          <w:rFonts w:ascii="Verdana" w:hAnsi="Verdana" w:cs="Arial"/>
          <w:shd w:val="clear" w:color="auto" w:fill="FFFFFF"/>
          <w:lang w:val="es-ES"/>
        </w:rPr>
        <w:lastRenderedPageBreak/>
        <w:t>2024. C-782 del 18 de noviembre de 2025 y C-607 del 26 de junio de 2025, entre otros. Es</w:t>
      </w:r>
      <w:r w:rsidRPr="00A277EA">
        <w:rPr>
          <w:rFonts w:ascii="Verdana" w:hAnsi="Verdana"/>
        </w:rPr>
        <w:t>tos y otros conceptos se encuentran disponibles para consulta en el Sistema de relatoría de la Agencia, al cual se puede acceder a través del siguiente enlace:</w:t>
      </w:r>
      <w:r w:rsidRPr="00A277EA">
        <w:rPr>
          <w:rFonts w:ascii="Verdana" w:hAnsi="Verdana" w:cs="Arial"/>
          <w:shd w:val="clear" w:color="auto" w:fill="FFFFFF"/>
          <w:lang w:val="es-ES"/>
        </w:rPr>
        <w:t xml:space="preserve"> </w:t>
      </w:r>
      <w:hyperlink r:id="rId9" w:history="1">
        <w:r w:rsidRPr="00A277EA">
          <w:rPr>
            <w:rFonts w:ascii="Verdana" w:hAnsi="Verdana" w:cs="Arial"/>
            <w:color w:val="467886" w:themeColor="hyperlink"/>
            <w:u w:val="single"/>
            <w:shd w:val="clear" w:color="auto" w:fill="FFFFFF"/>
            <w:lang w:val="es-ES"/>
          </w:rPr>
          <w:t>https://relatoria.colombiacompra.gov.co/busqueda/conceptos</w:t>
        </w:r>
      </w:hyperlink>
      <w:r w:rsidRPr="00A277EA">
        <w:rPr>
          <w:rFonts w:ascii="Verdana" w:hAnsi="Verdana" w:cs="Arial"/>
          <w:shd w:val="clear" w:color="auto" w:fill="FFFFFF"/>
          <w:lang w:val="es-ES"/>
        </w:rPr>
        <w:t>.</w:t>
      </w:r>
      <w:r w:rsidRPr="00A277EA">
        <w:rPr>
          <w:rFonts w:ascii="Verdana" w:hAnsi="Verdana" w:cs="Arial"/>
          <w:color w:val="FF0000"/>
          <w:shd w:val="clear" w:color="auto" w:fill="FFFFFF"/>
          <w:lang w:val="es-ES"/>
        </w:rPr>
        <w:t xml:space="preserve"> </w:t>
      </w:r>
    </w:p>
    <w:p w14:paraId="534A0793" w14:textId="77777777" w:rsidR="002C6D5B" w:rsidRPr="00900D7D" w:rsidRDefault="002C6D5B" w:rsidP="002C6D5B">
      <w:pPr>
        <w:widowControl w:val="0"/>
        <w:autoSpaceDE w:val="0"/>
        <w:autoSpaceDN w:val="0"/>
        <w:spacing w:after="120" w:line="276" w:lineRule="auto"/>
        <w:jc w:val="both"/>
        <w:rPr>
          <w:rFonts w:ascii="Verdana" w:eastAsia="Calibri" w:hAnsi="Verdana" w:cs="Arial"/>
          <w:color w:val="000000" w:themeColor="text1"/>
          <w:lang w:eastAsia="es-ES_tradnl"/>
        </w:rPr>
      </w:pPr>
    </w:p>
    <w:p w14:paraId="5A116D97" w14:textId="77777777" w:rsidR="002C6D5B" w:rsidRPr="00237766" w:rsidRDefault="002C6D5B" w:rsidP="002C6D5B">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9A615DD" w14:textId="77777777" w:rsidR="002C6D5B" w:rsidRPr="008E4F36" w:rsidRDefault="002C6D5B" w:rsidP="002C6D5B">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23A1C196" w14:textId="77777777" w:rsidR="002C6D5B" w:rsidRPr="008E4F36" w:rsidRDefault="002C6D5B" w:rsidP="002C6D5B">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0F8C6C77" w14:textId="77777777" w:rsidR="002C6D5B" w:rsidRPr="008E4F36" w:rsidRDefault="002C6D5B" w:rsidP="002C6D5B">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1929C3F6" w14:textId="77777777" w:rsidR="002C6D5B" w:rsidRPr="008E4F36" w:rsidRDefault="002C6D5B" w:rsidP="002C6D5B">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0" w:history="1">
        <w:r w:rsidRPr="008E4F36">
          <w:rPr>
            <w:rStyle w:val="Hipervnculo"/>
            <w:rFonts w:ascii="Verdana" w:hAnsi="Verdana"/>
          </w:rPr>
          <w:t>www.colombiacompra.gov.co</w:t>
        </w:r>
      </w:hyperlink>
    </w:p>
    <w:p w14:paraId="724F66B7" w14:textId="77777777" w:rsidR="002C6D5B" w:rsidRPr="008E4F36" w:rsidRDefault="002C6D5B" w:rsidP="002C6D5B">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6B247D14" w14:textId="77777777" w:rsidR="002C6D5B" w:rsidRPr="008E4F36" w:rsidRDefault="002C6D5B" w:rsidP="002C6D5B">
      <w:pPr>
        <w:spacing w:after="0" w:line="276" w:lineRule="auto"/>
        <w:jc w:val="both"/>
        <w:rPr>
          <w:rFonts w:ascii="Verdana" w:hAnsi="Verdana"/>
        </w:rPr>
      </w:pPr>
    </w:p>
    <w:p w14:paraId="71DF592E" w14:textId="77777777" w:rsidR="002C6D5B" w:rsidRPr="008E4F36" w:rsidRDefault="002C6D5B" w:rsidP="002C6D5B">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206D2FBA" w14:textId="77777777" w:rsidR="002C6D5B" w:rsidRPr="008E4F36" w:rsidRDefault="002C6D5B" w:rsidP="002C6D5B">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17CCA958" w14:textId="77777777" w:rsidR="002C6D5B" w:rsidRPr="008E4F36" w:rsidRDefault="002C6D5B" w:rsidP="002C6D5B">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21896658" w14:textId="77777777" w:rsidR="002C6D5B" w:rsidRDefault="002C6D5B" w:rsidP="002C6D5B">
      <w:pPr>
        <w:spacing w:before="120" w:after="0" w:line="276" w:lineRule="auto"/>
        <w:jc w:val="both"/>
        <w:rPr>
          <w:rFonts w:ascii="Verdana" w:hAnsi="Verdana"/>
        </w:rPr>
      </w:pPr>
    </w:p>
    <w:p w14:paraId="2F27FB7C" w14:textId="77777777" w:rsidR="002C6D5B" w:rsidRPr="00FB6C33" w:rsidRDefault="002C6D5B" w:rsidP="002C6D5B">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BE7A2C2" w14:textId="77777777" w:rsidR="002C6D5B" w:rsidRPr="008E4F36" w:rsidRDefault="002C6D5B" w:rsidP="002C6D5B">
      <w:pPr>
        <w:spacing w:after="0" w:line="276" w:lineRule="auto"/>
        <w:jc w:val="both"/>
        <w:rPr>
          <w:rFonts w:ascii="Verdana" w:eastAsia="Calibri" w:hAnsi="Verdana" w:cs="Times New Roman"/>
        </w:rPr>
      </w:pPr>
    </w:p>
    <w:p w14:paraId="097DFE00" w14:textId="5A2413AE" w:rsidR="002C6D5B" w:rsidRDefault="002C6D5B" w:rsidP="00100985">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47727930" w14:textId="5CC8B8DF" w:rsidR="002C6D5B" w:rsidRPr="00100985" w:rsidRDefault="00100985" w:rsidP="00100985">
      <w:pPr>
        <w:spacing w:after="0" w:line="256" w:lineRule="auto"/>
        <w:jc w:val="center"/>
        <w:rPr>
          <w:noProof/>
        </w:rPr>
      </w:pPr>
      <w:r w:rsidRPr="002C3AD6">
        <w:rPr>
          <w:rFonts w:ascii="Century Gothic" w:hAnsi="Century Gothic"/>
          <w:noProof/>
        </w:rPr>
        <w:lastRenderedPageBreak/>
        <w:drawing>
          <wp:inline distT="0" distB="0" distL="0" distR="0" wp14:anchorId="77D27572" wp14:editId="5FF082F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1"/>
                    <a:stretch>
                      <a:fillRect/>
                    </a:stretch>
                  </pic:blipFill>
                  <pic:spPr>
                    <a:xfrm>
                      <a:off x="0" y="0"/>
                      <a:ext cx="3772426" cy="1400370"/>
                    </a:xfrm>
                    <a:prstGeom prst="rect">
                      <a:avLst/>
                    </a:prstGeom>
                  </pic:spPr>
                </pic:pic>
              </a:graphicData>
            </a:graphic>
          </wp:inline>
        </w:drawing>
      </w:r>
      <w:bookmarkEnd w:id="0"/>
      <w:bookmarkEnd w:id="1"/>
    </w:p>
    <w:p w14:paraId="0D9FFF61" w14:textId="77777777" w:rsidR="002C6D5B" w:rsidRDefault="002C6D5B" w:rsidP="002C6D5B">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C6D5B" w:rsidRPr="002423D6" w14:paraId="24E7013D" w14:textId="77777777" w:rsidTr="00CB420C">
        <w:trPr>
          <w:trHeight w:val="315"/>
        </w:trPr>
        <w:tc>
          <w:tcPr>
            <w:tcW w:w="893" w:type="dxa"/>
            <w:vAlign w:val="center"/>
            <w:hideMark/>
          </w:tcPr>
          <w:p w14:paraId="4E14F704" w14:textId="77777777" w:rsidR="002C6D5B" w:rsidRPr="002423D6" w:rsidRDefault="002C6D5B" w:rsidP="00CB420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55538EF" w14:textId="73DC74AD" w:rsidR="002C6D5B" w:rsidRPr="002423D6" w:rsidRDefault="002C6D5B" w:rsidP="00CB420C">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dreina Cerpa Muñoz</w:t>
            </w:r>
          </w:p>
          <w:p w14:paraId="0175F28F" w14:textId="77777777" w:rsidR="002C6D5B" w:rsidRPr="002423D6" w:rsidRDefault="002C6D5B" w:rsidP="00CB420C">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2C6D5B" w:rsidRPr="002423D6" w14:paraId="2C7501A8" w14:textId="77777777" w:rsidTr="00CB420C">
        <w:trPr>
          <w:trHeight w:val="330"/>
        </w:trPr>
        <w:tc>
          <w:tcPr>
            <w:tcW w:w="893" w:type="dxa"/>
            <w:vAlign w:val="center"/>
            <w:hideMark/>
          </w:tcPr>
          <w:p w14:paraId="4D2737DC" w14:textId="77777777" w:rsidR="002C6D5B" w:rsidRPr="002423D6" w:rsidRDefault="002C6D5B" w:rsidP="00CB420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496C8D3" w14:textId="7479C30F" w:rsidR="002C6D5B" w:rsidRPr="00A11861" w:rsidRDefault="00A11861" w:rsidP="00A11861">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Juan David Cardenas Cabeza</w:t>
            </w:r>
          </w:p>
          <w:p w14:paraId="57A33D56" w14:textId="77777777" w:rsidR="002C6D5B" w:rsidRPr="002423D6" w:rsidRDefault="002C6D5B" w:rsidP="00CB420C">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2C6D5B" w:rsidRPr="002423D6" w14:paraId="40AC30A2" w14:textId="77777777" w:rsidTr="00CB420C">
        <w:trPr>
          <w:trHeight w:val="300"/>
        </w:trPr>
        <w:tc>
          <w:tcPr>
            <w:tcW w:w="893" w:type="dxa"/>
            <w:vAlign w:val="center"/>
          </w:tcPr>
          <w:p w14:paraId="1FCD55B6" w14:textId="77777777" w:rsidR="002C6D5B" w:rsidRPr="002423D6" w:rsidRDefault="002C6D5B" w:rsidP="00CB420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35DEC21" w14:textId="77777777" w:rsidR="002C6D5B" w:rsidRPr="002423D6" w:rsidRDefault="002C6D5B" w:rsidP="00CB420C">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65386CA0" w14:textId="77777777" w:rsidR="002C6D5B" w:rsidRPr="002423D6" w:rsidRDefault="002C6D5B" w:rsidP="00CB420C">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28D29005" w14:textId="77777777" w:rsidR="002C6D5B" w:rsidRDefault="002C6D5B" w:rsidP="002C6D5B"/>
    <w:p w14:paraId="30EBC923" w14:textId="77777777" w:rsidR="002C6D5B" w:rsidRPr="00823C60" w:rsidRDefault="002C6D5B" w:rsidP="002C6D5B"/>
    <w:p w14:paraId="60901BD4" w14:textId="77777777" w:rsidR="002C6D5B" w:rsidRDefault="002C6D5B" w:rsidP="002C6D5B"/>
    <w:p w14:paraId="1388853C" w14:textId="77777777" w:rsidR="002C6D5B" w:rsidRDefault="002C6D5B" w:rsidP="002C6D5B"/>
    <w:p w14:paraId="776C13E1" w14:textId="77777777" w:rsidR="002C6D5B" w:rsidRDefault="002C6D5B" w:rsidP="002C6D5B"/>
    <w:p w14:paraId="08438AB7" w14:textId="77777777" w:rsidR="002C6D5B" w:rsidRDefault="002C6D5B" w:rsidP="002C6D5B"/>
    <w:p w14:paraId="222D3838" w14:textId="77777777" w:rsidR="002C6D5B" w:rsidRPr="00C84654" w:rsidRDefault="002C6D5B" w:rsidP="002C6D5B">
      <w:pPr>
        <w:rPr>
          <w:b/>
          <w:bCs/>
        </w:rPr>
      </w:pPr>
    </w:p>
    <w:p w14:paraId="3BD2767D" w14:textId="77777777" w:rsidR="002C6D5B" w:rsidRDefault="002C6D5B" w:rsidP="002C6D5B"/>
    <w:p w14:paraId="14187174" w14:textId="77777777" w:rsidR="002C6D5B" w:rsidRDefault="002C6D5B" w:rsidP="002C6D5B"/>
    <w:p w14:paraId="08C53308" w14:textId="77777777" w:rsidR="002C6D5B" w:rsidRDefault="002C6D5B" w:rsidP="002C6D5B"/>
    <w:p w14:paraId="2AF925D2" w14:textId="77777777" w:rsidR="00162016" w:rsidRDefault="00162016"/>
    <w:sectPr w:rsidR="00162016" w:rsidSect="002C6D5B">
      <w:headerReference w:type="default" r:id="rId12"/>
      <w:footerReference w:type="default" r:id="rId1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FEDB6" w14:textId="77777777" w:rsidR="003E2334" w:rsidRDefault="003E2334">
      <w:pPr>
        <w:spacing w:after="0" w:line="240" w:lineRule="auto"/>
      </w:pPr>
      <w:r>
        <w:separator/>
      </w:r>
    </w:p>
  </w:endnote>
  <w:endnote w:type="continuationSeparator" w:id="0">
    <w:p w14:paraId="16A217A0" w14:textId="77777777" w:rsidR="003E2334" w:rsidRDefault="003E23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A73C1" w14:textId="77777777" w:rsidR="002C6D5B" w:rsidRDefault="002C6D5B">
    <w:pPr>
      <w:spacing w:after="0"/>
      <w:rPr>
        <w:rFonts w:ascii="Verdana" w:hAnsi="Verdana"/>
        <w:b/>
        <w:bCs/>
        <w:sz w:val="20"/>
        <w:szCs w:val="20"/>
      </w:rPr>
    </w:pPr>
  </w:p>
  <w:p w14:paraId="0C57761A" w14:textId="77777777" w:rsidR="002C6D5B" w:rsidRPr="00174B77" w:rsidRDefault="002C6D5B">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125A85C3" w14:textId="77777777" w:rsidR="002C6D5B" w:rsidRDefault="002C6D5B">
    <w:pPr>
      <w:spacing w:after="0"/>
      <w:jc w:val="both"/>
      <w:rPr>
        <w:rFonts w:ascii="Verdana" w:hAnsi="Verdana"/>
        <w:sz w:val="18"/>
        <w:szCs w:val="18"/>
      </w:rPr>
    </w:pPr>
    <w:r w:rsidRPr="00E41027">
      <w:rPr>
        <w:rFonts w:ascii="Verdana" w:hAnsi="Verdana"/>
        <w:sz w:val="18"/>
        <w:szCs w:val="18"/>
      </w:rPr>
      <w:t>Dirección: Carrera 7 # 26 – 20 - Bogotá, Colombia</w:t>
    </w:r>
  </w:p>
  <w:p w14:paraId="35CA33CD" w14:textId="77777777" w:rsidR="002C6D5B" w:rsidRPr="00E41027" w:rsidRDefault="002C6D5B">
    <w:pPr>
      <w:spacing w:after="0"/>
      <w:jc w:val="both"/>
      <w:rPr>
        <w:rFonts w:ascii="Verdana" w:hAnsi="Verdana"/>
        <w:sz w:val="18"/>
        <w:szCs w:val="18"/>
      </w:rPr>
    </w:pPr>
    <w:r w:rsidRPr="00E41027">
      <w:rPr>
        <w:rFonts w:ascii="Verdana" w:hAnsi="Verdana"/>
        <w:sz w:val="18"/>
        <w:szCs w:val="18"/>
      </w:rPr>
      <w:t>Mesa de servicio: (+57) 601 7456788</w:t>
    </w:r>
  </w:p>
  <w:p w14:paraId="29320E86" w14:textId="77777777" w:rsidR="002C6D5B" w:rsidRDefault="002C6D5B">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0063F65D" w14:textId="77777777" w:rsidR="002C6D5B" w:rsidRPr="007D04B2" w:rsidRDefault="002C6D5B">
    <w:pPr>
      <w:pStyle w:val="Piedepgina"/>
    </w:pPr>
  </w:p>
  <w:p w14:paraId="15EEEC6F" w14:textId="77777777" w:rsidR="002C6D5B" w:rsidRPr="000849D5" w:rsidRDefault="002C6D5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FFC0D" w14:textId="77777777" w:rsidR="003E2334" w:rsidRDefault="003E2334">
      <w:pPr>
        <w:spacing w:after="0" w:line="240" w:lineRule="auto"/>
      </w:pPr>
      <w:r>
        <w:separator/>
      </w:r>
    </w:p>
  </w:footnote>
  <w:footnote w:type="continuationSeparator" w:id="0">
    <w:p w14:paraId="29916211" w14:textId="77777777" w:rsidR="003E2334" w:rsidRDefault="003E2334">
      <w:pPr>
        <w:spacing w:after="0" w:line="240" w:lineRule="auto"/>
      </w:pPr>
      <w:r>
        <w:continuationSeparator/>
      </w:r>
    </w:p>
  </w:footnote>
  <w:footnote w:id="1">
    <w:p w14:paraId="38A726FD" w14:textId="77777777" w:rsidR="004C72F9" w:rsidRPr="001A52E3" w:rsidRDefault="004C72F9" w:rsidP="004C72F9">
      <w:pPr>
        <w:pStyle w:val="Textonotapie"/>
        <w:ind w:firstLine="708"/>
        <w:jc w:val="both"/>
        <w:rPr>
          <w:rFonts w:ascii="Verdana" w:hAnsi="Verdana" w:cs="Arial"/>
          <w:sz w:val="15"/>
          <w:szCs w:val="15"/>
        </w:rPr>
      </w:pPr>
      <w:r w:rsidRPr="001A52E3">
        <w:rPr>
          <w:rStyle w:val="Refdenotaalpie"/>
          <w:rFonts w:ascii="Verdana" w:hAnsi="Verdana" w:cs="Arial"/>
          <w:sz w:val="16"/>
          <w:szCs w:val="16"/>
        </w:rPr>
        <w:footnoteRef/>
      </w:r>
      <w:r w:rsidRPr="001A52E3">
        <w:rPr>
          <w:rFonts w:ascii="Verdana" w:hAnsi="Verdana" w:cs="Arial"/>
          <w:sz w:val="16"/>
          <w:szCs w:val="16"/>
        </w:rPr>
        <w:t xml:space="preserve"> </w:t>
      </w:r>
      <w:r w:rsidRPr="001A52E3">
        <w:rPr>
          <w:rFonts w:ascii="Verdana" w:hAnsi="Verdana" w:cs="Arial"/>
          <w:sz w:val="15"/>
          <w:szCs w:val="15"/>
        </w:rPr>
        <w:t>OSPINA MENA, Jesús Marino. Régimen de la Contratación Estatal. Un salto a la contratación líquida. Bogotá: Ed. 1ª. Diké, 2020. p. 383.</w:t>
      </w:r>
    </w:p>
  </w:footnote>
  <w:footnote w:id="2">
    <w:p w14:paraId="7F8F89CE" w14:textId="77777777" w:rsidR="004C72F9" w:rsidRPr="001A52E3" w:rsidRDefault="004C72F9" w:rsidP="004C72F9">
      <w:pPr>
        <w:pStyle w:val="Textonotapie"/>
        <w:ind w:firstLine="708"/>
        <w:jc w:val="both"/>
        <w:rPr>
          <w:rFonts w:ascii="Verdana" w:hAnsi="Verdana" w:cs="Arial"/>
          <w:sz w:val="15"/>
          <w:szCs w:val="15"/>
        </w:rPr>
      </w:pPr>
      <w:r w:rsidRPr="001A52E3">
        <w:rPr>
          <w:rStyle w:val="Refdenotaalpie"/>
          <w:rFonts w:ascii="Verdana" w:hAnsi="Verdana" w:cs="Arial"/>
          <w:sz w:val="15"/>
          <w:szCs w:val="15"/>
        </w:rPr>
        <w:footnoteRef/>
      </w:r>
      <w:r w:rsidRPr="001A52E3">
        <w:rPr>
          <w:rFonts w:ascii="Verdana" w:hAnsi="Verdana" w:cs="Arial"/>
          <w:sz w:val="15"/>
          <w:szCs w:val="15"/>
        </w:rPr>
        <w:t xml:space="preserve"> CONSEJO DE ESTADO. Sección Tercera. Sentencia de 30 de noviembre de 2006. </w:t>
      </w:r>
      <w:proofErr w:type="spellStart"/>
      <w:r w:rsidRPr="001A52E3">
        <w:rPr>
          <w:rFonts w:ascii="Verdana" w:hAnsi="Verdana" w:cs="Arial"/>
          <w:sz w:val="15"/>
          <w:szCs w:val="15"/>
        </w:rPr>
        <w:t>Exp</w:t>
      </w:r>
      <w:proofErr w:type="spellEnd"/>
      <w:r w:rsidRPr="001A52E3">
        <w:rPr>
          <w:rFonts w:ascii="Verdana" w:hAnsi="Verdana" w:cs="Arial"/>
          <w:sz w:val="15"/>
          <w:szCs w:val="15"/>
        </w:rPr>
        <w:t>. 18.059. M.P. Alier Hernández Enríquez.</w:t>
      </w:r>
    </w:p>
  </w:footnote>
  <w:footnote w:id="3">
    <w:p w14:paraId="40A69221" w14:textId="77777777" w:rsidR="004C72F9" w:rsidRPr="001A52E3" w:rsidRDefault="004C72F9" w:rsidP="004C72F9">
      <w:pPr>
        <w:pStyle w:val="Textonotapie"/>
        <w:ind w:firstLine="708"/>
        <w:jc w:val="both"/>
        <w:rPr>
          <w:rFonts w:ascii="Verdana" w:hAnsi="Verdana" w:cs="Arial"/>
          <w:sz w:val="15"/>
          <w:szCs w:val="15"/>
        </w:rPr>
      </w:pPr>
      <w:r w:rsidRPr="001A52E3">
        <w:rPr>
          <w:rStyle w:val="Refdenotaalpie"/>
          <w:rFonts w:ascii="Verdana" w:hAnsi="Verdana" w:cs="Arial"/>
          <w:sz w:val="15"/>
          <w:szCs w:val="15"/>
        </w:rPr>
        <w:footnoteRef/>
      </w:r>
      <w:r w:rsidRPr="001A52E3">
        <w:rPr>
          <w:rFonts w:ascii="Verdana" w:hAnsi="Verdana" w:cs="Arial"/>
          <w:sz w:val="15"/>
          <w:szCs w:val="15"/>
        </w:rPr>
        <w:t xml:space="preserve"> Sin perjuicio de los dispuesto en el artículo 2.2.1.1.2.1.3. del Decreto 1082 de 2015 sobre el contenido del pliego de condiciones, donde se desarrolla de forma más exhaustiva cada uno de sus componentes mínimos.</w:t>
      </w:r>
    </w:p>
    <w:p w14:paraId="5140E436" w14:textId="77777777" w:rsidR="004C72F9" w:rsidRPr="001A52E3" w:rsidRDefault="004C72F9" w:rsidP="004C72F9">
      <w:pPr>
        <w:pStyle w:val="Textonotapie"/>
        <w:ind w:firstLine="708"/>
        <w:jc w:val="both"/>
        <w:rPr>
          <w:rFonts w:ascii="Verdana" w:hAnsi="Verdana" w:cs="Arial"/>
          <w:sz w:val="15"/>
          <w:szCs w:val="15"/>
        </w:rPr>
      </w:pPr>
    </w:p>
  </w:footnote>
  <w:footnote w:id="4">
    <w:p w14:paraId="417FDEDB" w14:textId="77777777" w:rsidR="004C72F9" w:rsidRPr="001A52E3" w:rsidRDefault="004C72F9" w:rsidP="004C72F9">
      <w:pPr>
        <w:pStyle w:val="Textonotapie"/>
        <w:ind w:firstLine="708"/>
        <w:jc w:val="both"/>
        <w:rPr>
          <w:rFonts w:ascii="Verdana" w:hAnsi="Verdana" w:cs="Arial"/>
          <w:color w:val="000000" w:themeColor="text1"/>
          <w:sz w:val="15"/>
          <w:szCs w:val="15"/>
        </w:rPr>
      </w:pPr>
      <w:r w:rsidRPr="001A52E3">
        <w:rPr>
          <w:rStyle w:val="Refdenotaalpie"/>
          <w:rFonts w:ascii="Verdana" w:hAnsi="Verdana" w:cs="Arial"/>
          <w:color w:val="000000" w:themeColor="text1"/>
          <w:sz w:val="15"/>
          <w:szCs w:val="15"/>
        </w:rPr>
        <w:footnoteRef/>
      </w:r>
      <w:r w:rsidRPr="001A52E3">
        <w:rPr>
          <w:rFonts w:ascii="Verdana" w:hAnsi="Verdana" w:cs="Arial"/>
          <w:color w:val="000000" w:themeColor="text1"/>
          <w:sz w:val="15"/>
          <w:szCs w:val="15"/>
        </w:rPr>
        <w:t xml:space="preserve"> Lo anterior, sin perjuicio de los casos en que resulten aplicables los documentos tipo –o pliegos tipo– de que trata el parágrafo 7 del artículo 2 de la Ley 1150 de 2007, modificado por el artículo 1 de la Ley 2022 de 2020.</w:t>
      </w:r>
    </w:p>
  </w:footnote>
  <w:footnote w:id="5">
    <w:p w14:paraId="61955F55" w14:textId="77777777" w:rsidR="004C72F9" w:rsidRPr="001A52E3" w:rsidRDefault="004C72F9" w:rsidP="004C72F9">
      <w:pPr>
        <w:pStyle w:val="Textonotapie"/>
        <w:ind w:firstLine="708"/>
        <w:jc w:val="both"/>
        <w:rPr>
          <w:rFonts w:ascii="Verdana" w:hAnsi="Verdana" w:cs="Arial"/>
          <w:sz w:val="15"/>
          <w:szCs w:val="15"/>
        </w:rPr>
      </w:pPr>
      <w:r w:rsidRPr="001A52E3">
        <w:rPr>
          <w:rStyle w:val="Refdenotaalpie"/>
          <w:rFonts w:ascii="Verdana" w:hAnsi="Verdana" w:cs="Arial"/>
          <w:sz w:val="15"/>
          <w:szCs w:val="15"/>
        </w:rPr>
        <w:footnoteRef/>
      </w:r>
      <w:r w:rsidRPr="001A52E3">
        <w:rPr>
          <w:rFonts w:ascii="Verdana" w:hAnsi="Verdana" w:cs="Arial"/>
          <w:sz w:val="15"/>
          <w:szCs w:val="15"/>
        </w:rPr>
        <w:t xml:space="preserve"> Sin perjuicio de lo que ocurre en los procedimientos de selección regidos por los documentos tipo, donde se reduce, en buena medida, dicha discrecionalidad.</w:t>
      </w:r>
    </w:p>
  </w:footnote>
  <w:footnote w:id="6">
    <w:p w14:paraId="3A772FAC" w14:textId="77777777" w:rsidR="004C72F9" w:rsidRPr="001A52E3" w:rsidRDefault="004C72F9" w:rsidP="004C72F9">
      <w:pPr>
        <w:spacing w:after="0" w:line="240" w:lineRule="auto"/>
        <w:ind w:firstLine="720"/>
        <w:jc w:val="both"/>
        <w:rPr>
          <w:rFonts w:ascii="Verdana" w:hAnsi="Verdana" w:cs="Arial"/>
          <w:sz w:val="15"/>
          <w:szCs w:val="15"/>
        </w:rPr>
      </w:pPr>
      <w:r w:rsidRPr="001A52E3">
        <w:rPr>
          <w:rStyle w:val="Refdenotaalpie"/>
          <w:rFonts w:ascii="Verdana" w:hAnsi="Verdana" w:cs="Arial"/>
          <w:sz w:val="15"/>
          <w:szCs w:val="15"/>
        </w:rPr>
        <w:footnoteRef/>
      </w:r>
      <w:r w:rsidRPr="001A52E3">
        <w:rPr>
          <w:rFonts w:ascii="Verdana" w:hAnsi="Verdana" w:cs="Arial"/>
          <w:sz w:val="15"/>
          <w:szCs w:val="15"/>
        </w:rPr>
        <w:t xml:space="preserve"> CONSEJO DE ESTADO. Sección Tercera. Subsección A. Sentencia del 16 de septiembre de 2013. </w:t>
      </w:r>
      <w:proofErr w:type="spellStart"/>
      <w:r w:rsidRPr="001A52E3">
        <w:rPr>
          <w:rFonts w:ascii="Verdana" w:hAnsi="Verdana" w:cs="Arial"/>
          <w:sz w:val="15"/>
          <w:szCs w:val="15"/>
        </w:rPr>
        <w:t>Exp</w:t>
      </w:r>
      <w:proofErr w:type="spellEnd"/>
      <w:r w:rsidRPr="001A52E3">
        <w:rPr>
          <w:rFonts w:ascii="Verdana" w:hAnsi="Verdana" w:cs="Arial"/>
          <w:sz w:val="15"/>
          <w:szCs w:val="15"/>
        </w:rPr>
        <w:t>. 30.571. C.P. Mauricio Fajardo Gómez. En dicha providencia el Consejo de Estado se pronunció sobre la fuerza vinculante de las respuestas a las observaciones presentadas por los interesados, expresando lo siguiente:</w:t>
      </w:r>
    </w:p>
    <w:p w14:paraId="096CB3A0" w14:textId="77777777" w:rsidR="004C72F9" w:rsidRPr="001A52E3" w:rsidRDefault="004C72F9" w:rsidP="004C72F9">
      <w:pPr>
        <w:widowControl w:val="0"/>
        <w:autoSpaceDE w:val="0"/>
        <w:autoSpaceDN w:val="0"/>
        <w:spacing w:after="0" w:line="240" w:lineRule="auto"/>
        <w:ind w:firstLine="708"/>
        <w:jc w:val="both"/>
        <w:rPr>
          <w:rFonts w:ascii="Verdana" w:eastAsia="Arial" w:hAnsi="Verdana" w:cs="Arial"/>
          <w:sz w:val="15"/>
          <w:szCs w:val="15"/>
          <w:lang w:val="es-ES"/>
        </w:rPr>
      </w:pPr>
      <w:r w:rsidRPr="001A52E3">
        <w:rPr>
          <w:rFonts w:ascii="Verdana" w:eastAsia="Arial" w:hAnsi="Verdana" w:cs="Arial"/>
          <w:sz w:val="15"/>
          <w:szCs w:val="15"/>
        </w:rPr>
        <w:t>“</w:t>
      </w:r>
      <w:r w:rsidRPr="001A52E3">
        <w:rPr>
          <w:rFonts w:ascii="Verdana" w:eastAsia="Arial" w:hAnsi="Verdana" w:cs="Arial"/>
          <w:sz w:val="15"/>
          <w:szCs w:val="15"/>
          <w:lang w:val="es-ES"/>
        </w:rPr>
        <w:t xml:space="preserve">5.2. </w:t>
      </w:r>
      <w:r w:rsidRPr="001A52E3">
        <w:rPr>
          <w:rFonts w:ascii="Verdana" w:eastAsia="Arial" w:hAnsi="Verdana" w:cs="Arial"/>
          <w:sz w:val="15"/>
          <w:szCs w:val="15"/>
          <w:u w:val="single"/>
          <w:lang w:val="es-ES"/>
        </w:rPr>
        <w:t>De la fuerza vinculante de las respuestas a las solicitudes de aclaraciones en relación con los términos de referencia</w:t>
      </w:r>
      <w:r w:rsidRPr="001A52E3">
        <w:rPr>
          <w:rFonts w:ascii="Verdana" w:eastAsia="Arial" w:hAnsi="Verdana" w:cs="Arial"/>
          <w:sz w:val="15"/>
          <w:szCs w:val="15"/>
          <w:lang w:val="es-ES"/>
        </w:rPr>
        <w:t>.</w:t>
      </w:r>
    </w:p>
    <w:p w14:paraId="2A33C84F" w14:textId="77777777" w:rsidR="004C72F9" w:rsidRPr="001A52E3" w:rsidRDefault="004C72F9" w:rsidP="004C72F9">
      <w:pPr>
        <w:widowControl w:val="0"/>
        <w:autoSpaceDE w:val="0"/>
        <w:autoSpaceDN w:val="0"/>
        <w:spacing w:after="0" w:line="240" w:lineRule="auto"/>
        <w:ind w:firstLine="708"/>
        <w:jc w:val="both"/>
        <w:rPr>
          <w:rFonts w:ascii="Verdana" w:eastAsia="Arial" w:hAnsi="Verdana" w:cs="Arial"/>
          <w:sz w:val="15"/>
          <w:szCs w:val="15"/>
          <w:lang w:val="es-ES"/>
        </w:rPr>
      </w:pPr>
      <w:r w:rsidRPr="001A52E3">
        <w:rPr>
          <w:rFonts w:ascii="Verdana" w:eastAsia="Arial" w:hAnsi="Verdana" w:cs="Arial"/>
          <w:sz w:val="15"/>
          <w:szCs w:val="15"/>
          <w:lang w:val="es-ES"/>
        </w:rPr>
        <w:t xml:space="preserve">Ahora bien, cuando la Administración no cumple a cabalidad las cargas de claridad y precisión que deben informar la elaboración de los pliegos de condiciones o los términos de referencia, al punto que una vez publicados susciten entre los respectivos interesados en participar en el procedimiento de selección, dudas o inquietudes fundadas y reiterativas respecto de determinados ítems o elementos integrantes del mismo, la Administración está en la obligación de absolverlas con absoluta nitidez, del tal modo que zanje cualquier dualidad interpretativa que frente al mismo hubiere lugar. En tal virtud ante cualquier respuesta a una inquietud surgida del pliego de condiciones o términos de referencia que le confiera un significado definitivo y trascendente que antes de resolver el interrogante y de cara a su imprecisión no tenía, a juicio de la Sala, la Administración no puede quedar relevada de su estricta observancia pretextando que la susodicha aclaración no tiene fuerza vinculante por no estar contenida en un </w:t>
      </w:r>
      <w:proofErr w:type="spellStart"/>
      <w:r w:rsidRPr="001A52E3">
        <w:rPr>
          <w:rFonts w:ascii="Verdana" w:eastAsia="Arial" w:hAnsi="Verdana" w:cs="Arial"/>
          <w:sz w:val="15"/>
          <w:szCs w:val="15"/>
          <w:lang w:val="es-ES"/>
        </w:rPr>
        <w:t>adendo</w:t>
      </w:r>
      <w:proofErr w:type="spellEnd"/>
      <w:r w:rsidRPr="001A52E3">
        <w:rPr>
          <w:rFonts w:ascii="Verdana" w:eastAsia="Arial" w:hAnsi="Verdana" w:cs="Arial"/>
          <w:sz w:val="15"/>
          <w:szCs w:val="15"/>
          <w:lang w:val="es-ES"/>
        </w:rPr>
        <w:t xml:space="preserve">. </w:t>
      </w:r>
    </w:p>
    <w:p w14:paraId="1F98479B" w14:textId="77777777" w:rsidR="004C72F9" w:rsidRPr="001A52E3" w:rsidRDefault="004C72F9" w:rsidP="004C72F9">
      <w:pPr>
        <w:widowControl w:val="0"/>
        <w:autoSpaceDE w:val="0"/>
        <w:autoSpaceDN w:val="0"/>
        <w:spacing w:after="0" w:line="240" w:lineRule="auto"/>
        <w:ind w:firstLine="708"/>
        <w:jc w:val="both"/>
        <w:rPr>
          <w:rFonts w:ascii="Verdana" w:eastAsia="Arial" w:hAnsi="Verdana" w:cs="Arial"/>
          <w:sz w:val="15"/>
          <w:szCs w:val="15"/>
          <w:lang w:val="es-ES"/>
        </w:rPr>
      </w:pPr>
      <w:r w:rsidRPr="001A52E3">
        <w:rPr>
          <w:rFonts w:ascii="Verdana" w:eastAsia="Arial" w:hAnsi="Verdana" w:cs="Arial"/>
          <w:sz w:val="15"/>
          <w:szCs w:val="15"/>
          <w:lang w:val="es-ES"/>
        </w:rPr>
        <w:t xml:space="preserve">A propósito de la formalidad del </w:t>
      </w:r>
      <w:proofErr w:type="spellStart"/>
      <w:r w:rsidRPr="001A52E3">
        <w:rPr>
          <w:rFonts w:ascii="Verdana" w:eastAsia="Arial" w:hAnsi="Verdana" w:cs="Arial"/>
          <w:sz w:val="15"/>
          <w:szCs w:val="15"/>
          <w:lang w:val="es-ES"/>
        </w:rPr>
        <w:t>adendo</w:t>
      </w:r>
      <w:proofErr w:type="spellEnd"/>
      <w:r w:rsidRPr="001A52E3">
        <w:rPr>
          <w:rFonts w:ascii="Verdana" w:eastAsia="Arial" w:hAnsi="Verdana" w:cs="Arial"/>
          <w:sz w:val="15"/>
          <w:szCs w:val="15"/>
          <w:lang w:val="es-ES"/>
        </w:rPr>
        <w:t xml:space="preserve"> a la que alude la parte demandada apelante, sea esta la oportunidad para precisar </w:t>
      </w:r>
      <w:proofErr w:type="gramStart"/>
      <w:r w:rsidRPr="001A52E3">
        <w:rPr>
          <w:rFonts w:ascii="Verdana" w:eastAsia="Arial" w:hAnsi="Verdana" w:cs="Arial"/>
          <w:sz w:val="15"/>
          <w:szCs w:val="15"/>
          <w:lang w:val="es-ES"/>
        </w:rPr>
        <w:t>que</w:t>
      </w:r>
      <w:proofErr w:type="gramEnd"/>
      <w:r w:rsidRPr="001A52E3">
        <w:rPr>
          <w:rFonts w:ascii="Verdana" w:eastAsia="Arial" w:hAnsi="Verdana" w:cs="Arial"/>
          <w:sz w:val="15"/>
          <w:szCs w:val="15"/>
          <w:lang w:val="es-ES"/>
        </w:rPr>
        <w:t xml:space="preserve"> si bien normativamente se ha establecido que cualquier modificación al pliego de condiciones o términos de referencia está llamada a implementarse a través de </w:t>
      </w:r>
      <w:proofErr w:type="spellStart"/>
      <w:proofErr w:type="gramStart"/>
      <w:r w:rsidRPr="001A52E3">
        <w:rPr>
          <w:rFonts w:ascii="Verdana" w:eastAsia="Arial" w:hAnsi="Verdana" w:cs="Arial"/>
          <w:sz w:val="15"/>
          <w:szCs w:val="15"/>
          <w:lang w:val="es-ES"/>
        </w:rPr>
        <w:t>adendos</w:t>
      </w:r>
      <w:proofErr w:type="spellEnd"/>
      <w:r w:rsidRPr="001A52E3">
        <w:rPr>
          <w:rFonts w:ascii="Verdana" w:eastAsia="Arial" w:hAnsi="Verdana" w:cs="Arial"/>
          <w:sz w:val="15"/>
          <w:szCs w:val="15"/>
          <w:lang w:val="es-ES"/>
        </w:rPr>
        <w:t xml:space="preserve"> ,</w:t>
      </w:r>
      <w:proofErr w:type="gramEnd"/>
      <w:r w:rsidRPr="001A52E3">
        <w:rPr>
          <w:rFonts w:ascii="Verdana" w:eastAsia="Arial" w:hAnsi="Verdana" w:cs="Arial"/>
          <w:sz w:val="15"/>
          <w:szCs w:val="15"/>
          <w:lang w:val="es-ES"/>
        </w:rPr>
        <w:t xml:space="preserve"> lo cierto es que la norma no estableció algún tipo de exigencia formal para su expedición.</w:t>
      </w:r>
    </w:p>
    <w:p w14:paraId="2FFFD509" w14:textId="77777777" w:rsidR="004C72F9" w:rsidRPr="001A52E3" w:rsidRDefault="004C72F9" w:rsidP="004C72F9">
      <w:pPr>
        <w:widowControl w:val="0"/>
        <w:autoSpaceDE w:val="0"/>
        <w:autoSpaceDN w:val="0"/>
        <w:spacing w:after="0" w:line="240" w:lineRule="auto"/>
        <w:ind w:firstLine="708"/>
        <w:jc w:val="both"/>
        <w:rPr>
          <w:rFonts w:ascii="Verdana" w:eastAsia="Arial" w:hAnsi="Verdana" w:cs="Arial"/>
          <w:sz w:val="15"/>
          <w:szCs w:val="15"/>
          <w:lang w:val="es-ES"/>
        </w:rPr>
      </w:pPr>
      <w:r w:rsidRPr="001A52E3">
        <w:rPr>
          <w:rFonts w:ascii="Verdana" w:eastAsia="Arial" w:hAnsi="Verdana" w:cs="Arial"/>
          <w:sz w:val="15"/>
          <w:szCs w:val="15"/>
          <w:lang w:val="es-ES"/>
        </w:rPr>
        <w:t xml:space="preserve">Una vez consultado el significado literal de la palabra </w:t>
      </w:r>
      <w:proofErr w:type="spellStart"/>
      <w:r w:rsidRPr="001A52E3">
        <w:rPr>
          <w:rFonts w:ascii="Verdana" w:eastAsia="Arial" w:hAnsi="Verdana" w:cs="Arial"/>
          <w:sz w:val="15"/>
          <w:szCs w:val="15"/>
          <w:lang w:val="es-ES"/>
        </w:rPr>
        <w:t>adendo</w:t>
      </w:r>
      <w:proofErr w:type="spellEnd"/>
      <w:r w:rsidRPr="001A52E3">
        <w:rPr>
          <w:rFonts w:ascii="Verdana" w:eastAsia="Arial" w:hAnsi="Verdana" w:cs="Arial"/>
          <w:sz w:val="15"/>
          <w:szCs w:val="15"/>
          <w:lang w:val="es-ES"/>
        </w:rPr>
        <w:t xml:space="preserve"> se encuentra que corresponde a un “Conjunto de textos que se añaden a una obra escrita ya terminada o a una de sus partes para completarla y actualizarla.”  De ahí que constituirá un </w:t>
      </w:r>
      <w:proofErr w:type="spellStart"/>
      <w:r w:rsidRPr="001A52E3">
        <w:rPr>
          <w:rFonts w:ascii="Verdana" w:eastAsia="Arial" w:hAnsi="Verdana" w:cs="Arial"/>
          <w:sz w:val="15"/>
          <w:szCs w:val="15"/>
          <w:lang w:val="es-ES"/>
        </w:rPr>
        <w:t>adendo</w:t>
      </w:r>
      <w:proofErr w:type="spellEnd"/>
      <w:r w:rsidRPr="001A52E3">
        <w:rPr>
          <w:rFonts w:ascii="Verdana" w:eastAsia="Arial" w:hAnsi="Verdana" w:cs="Arial"/>
          <w:sz w:val="15"/>
          <w:szCs w:val="15"/>
          <w:lang w:val="es-ES"/>
        </w:rPr>
        <w:t>, todo lo que adicione, agregue o complete el texto inicial, es decir que contenga una previsión que el documento original no tenía.</w:t>
      </w:r>
    </w:p>
    <w:p w14:paraId="049C77F1" w14:textId="77777777" w:rsidR="004C72F9" w:rsidRPr="001A52E3" w:rsidRDefault="004C72F9" w:rsidP="004C72F9">
      <w:pPr>
        <w:widowControl w:val="0"/>
        <w:autoSpaceDE w:val="0"/>
        <w:autoSpaceDN w:val="0"/>
        <w:spacing w:after="0" w:line="240" w:lineRule="auto"/>
        <w:ind w:firstLine="708"/>
        <w:jc w:val="both"/>
        <w:rPr>
          <w:rFonts w:ascii="Verdana" w:eastAsia="Arial" w:hAnsi="Verdana" w:cs="Arial"/>
          <w:sz w:val="15"/>
          <w:szCs w:val="15"/>
          <w:lang w:val="es-ES"/>
        </w:rPr>
      </w:pPr>
      <w:r w:rsidRPr="001A52E3">
        <w:rPr>
          <w:rFonts w:ascii="Verdana" w:eastAsia="Arial" w:hAnsi="Verdana" w:cs="Arial"/>
          <w:sz w:val="15"/>
          <w:szCs w:val="15"/>
          <w:lang w:val="es-ES"/>
        </w:rPr>
        <w:t>Siguiendo el lineamiento expuesto, en criterio de la Sala, independientemente de que el contenido de la modificación se encuentre comprendido en un documento que no tenga el rótulo de “</w:t>
      </w:r>
      <w:proofErr w:type="spellStart"/>
      <w:r w:rsidRPr="001A52E3">
        <w:rPr>
          <w:rFonts w:ascii="Verdana" w:eastAsia="Arial" w:hAnsi="Verdana" w:cs="Arial"/>
          <w:sz w:val="15"/>
          <w:szCs w:val="15"/>
          <w:lang w:val="es-ES"/>
        </w:rPr>
        <w:t>adendo</w:t>
      </w:r>
      <w:proofErr w:type="spellEnd"/>
      <w:r w:rsidRPr="001A52E3">
        <w:rPr>
          <w:rFonts w:ascii="Verdana" w:eastAsia="Arial" w:hAnsi="Verdana" w:cs="Arial"/>
          <w:sz w:val="15"/>
          <w:szCs w:val="15"/>
          <w:lang w:val="es-ES"/>
        </w:rPr>
        <w:t>”,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 oferentes.</w:t>
      </w:r>
    </w:p>
    <w:p w14:paraId="01B1F879" w14:textId="77777777" w:rsidR="004C72F9" w:rsidRPr="001A52E3" w:rsidRDefault="004C72F9" w:rsidP="004C72F9">
      <w:pPr>
        <w:spacing w:after="0" w:line="240" w:lineRule="auto"/>
        <w:ind w:firstLine="720"/>
        <w:jc w:val="both"/>
        <w:rPr>
          <w:rFonts w:ascii="Verdana" w:hAnsi="Verdana" w:cs="Arial"/>
          <w:sz w:val="15"/>
          <w:szCs w:val="15"/>
        </w:rPr>
      </w:pPr>
      <w:r w:rsidRPr="001A52E3">
        <w:rPr>
          <w:rFonts w:ascii="Verdana" w:eastAsia="Arial" w:hAnsi="Verdana" w:cs="Arial"/>
          <w:sz w:val="15"/>
          <w:szCs w:val="15"/>
          <w:lang w:val="es-ES"/>
        </w:rPr>
        <w:t xml:space="preserve">En ese orden de ideas, sea que se llame </w:t>
      </w:r>
      <w:proofErr w:type="spellStart"/>
      <w:r w:rsidRPr="001A52E3">
        <w:rPr>
          <w:rFonts w:ascii="Verdana" w:eastAsia="Arial" w:hAnsi="Verdana" w:cs="Arial"/>
          <w:sz w:val="15"/>
          <w:szCs w:val="15"/>
          <w:lang w:val="es-ES"/>
        </w:rPr>
        <w:t>adendo</w:t>
      </w:r>
      <w:proofErr w:type="spellEnd"/>
      <w:r w:rsidRPr="001A52E3">
        <w:rPr>
          <w:rFonts w:ascii="Verdana" w:eastAsia="Arial" w:hAnsi="Verdana" w:cs="Arial"/>
          <w:sz w:val="15"/>
          <w:szCs w:val="15"/>
          <w:lang w:val="es-ES"/>
        </w:rPr>
        <w:t>,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 condiciones”.</w:t>
      </w:r>
    </w:p>
  </w:footnote>
  <w:footnote w:id="7">
    <w:p w14:paraId="2395FBF9" w14:textId="77777777" w:rsidR="004C72F9" w:rsidRPr="00FC5E0C" w:rsidRDefault="004C72F9" w:rsidP="004C72F9">
      <w:pPr>
        <w:pStyle w:val="Textonotapie"/>
        <w:ind w:firstLine="708"/>
        <w:jc w:val="both"/>
        <w:rPr>
          <w:rFonts w:ascii="Arial" w:hAnsi="Arial" w:cs="Arial"/>
          <w:color w:val="000000"/>
          <w:sz w:val="14"/>
          <w:szCs w:val="14"/>
          <w:lang w:val="es-ES"/>
        </w:rPr>
      </w:pPr>
      <w:r w:rsidRPr="00FC5E0C">
        <w:rPr>
          <w:rStyle w:val="Refdenotaalpie"/>
          <w:rFonts w:ascii="Verdana" w:hAnsi="Verdana" w:cs="Arial"/>
          <w:color w:val="000000"/>
          <w:sz w:val="14"/>
          <w:szCs w:val="14"/>
        </w:rPr>
        <w:footnoteRef/>
      </w:r>
      <w:r w:rsidRPr="00FC5E0C">
        <w:rPr>
          <w:rFonts w:ascii="Verdana" w:hAnsi="Verdana" w:cs="Arial"/>
          <w:color w:val="000000"/>
          <w:sz w:val="14"/>
          <w:szCs w:val="14"/>
        </w:rPr>
        <w:t xml:space="preserve"> Al respecto, la doctrina explica que: “Las adendas deben hacerse sobre las modificaciones que sean necesarias para eliminar las dudas que se encuentren en el pliego de condiciones, o para corregir o adicionar condiciones necesarias para hacer la selección objetiva, o para aclarar, modificar o adicionar aspectos técnicos del objeto. Nunca pueden utilizarse con fines diversos pues la desviación de poder en ellas, además de generar la nulidad del acto, pueden afectar la validez de todo el procedimiento de selección. Dichas adendas no pueden utilizarse para afectar el principio de igualdad de los proponentes, favoreciendo la posición de cualquiera de ellos” (Cfr. PALACIO HINCAPÉ, Juan Ángel. La contratación de las entidades estatales. Séptima Edición. Medellín: Librería Jurídica Sánchez, 2014. p. 266).  </w:t>
      </w:r>
    </w:p>
  </w:footnote>
  <w:footnote w:id="8">
    <w:p w14:paraId="4BF033E9" w14:textId="77777777" w:rsidR="004C72F9" w:rsidRPr="00FC5E0C" w:rsidRDefault="004C72F9" w:rsidP="004C72F9">
      <w:pPr>
        <w:pStyle w:val="Textonotapie"/>
        <w:ind w:firstLine="709"/>
        <w:rPr>
          <w:rFonts w:ascii="Verdana" w:hAnsi="Verdana"/>
          <w:sz w:val="14"/>
          <w:szCs w:val="14"/>
          <w:lang w:val="es-CO"/>
        </w:rPr>
      </w:pPr>
      <w:r w:rsidRPr="00FC5E0C">
        <w:rPr>
          <w:rStyle w:val="Refdenotaalpie"/>
          <w:rFonts w:ascii="Verdana" w:hAnsi="Verdana"/>
          <w:sz w:val="14"/>
          <w:szCs w:val="14"/>
        </w:rPr>
        <w:footnoteRef/>
      </w:r>
      <w:r w:rsidRPr="00FC5E0C">
        <w:rPr>
          <w:rFonts w:ascii="Verdana" w:hAnsi="Verdana"/>
          <w:sz w:val="14"/>
          <w:szCs w:val="14"/>
        </w:rPr>
        <w:t xml:space="preserve"> CONSEJO DE ESTADO. Sección Tercera. Sentencia de 20 de febrero de 2014. </w:t>
      </w:r>
      <w:proofErr w:type="spellStart"/>
      <w:r w:rsidRPr="00FC5E0C">
        <w:rPr>
          <w:rFonts w:ascii="Verdana" w:hAnsi="Verdana"/>
          <w:sz w:val="14"/>
          <w:szCs w:val="14"/>
        </w:rPr>
        <w:t>Exp</w:t>
      </w:r>
      <w:proofErr w:type="spellEnd"/>
      <w:r w:rsidRPr="00FC5E0C">
        <w:rPr>
          <w:rFonts w:ascii="Verdana" w:hAnsi="Verdana"/>
          <w:sz w:val="14"/>
          <w:szCs w:val="14"/>
        </w:rPr>
        <w:t>. 28.342. M.P Stella Conto Diaz Del Castillo.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4F517" w14:textId="77777777" w:rsidR="002C6D5B" w:rsidRDefault="002C6D5B">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E259DC4" wp14:editId="44223E4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0BCB822" wp14:editId="12F0D7F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88B6181" w14:textId="77777777" w:rsidR="002C6D5B" w:rsidRDefault="002C6D5B">
    <w:pPr>
      <w:pStyle w:val="Encabezado"/>
    </w:pPr>
  </w:p>
  <w:p w14:paraId="56285CCA" w14:textId="77777777" w:rsidR="002C6D5B" w:rsidRDefault="002C6D5B">
    <w:pPr>
      <w:pStyle w:val="Encabezado"/>
    </w:pPr>
  </w:p>
  <w:p w14:paraId="657CA3CC" w14:textId="77777777" w:rsidR="002C6D5B" w:rsidRPr="00515FB5" w:rsidRDefault="002C6D5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3"/>
  </w:num>
  <w:num w:numId="4" w16cid:durableId="21136703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D5B"/>
    <w:rsid w:val="000024DB"/>
    <w:rsid w:val="00100985"/>
    <w:rsid w:val="00160C47"/>
    <w:rsid w:val="00162016"/>
    <w:rsid w:val="00190B81"/>
    <w:rsid w:val="00296381"/>
    <w:rsid w:val="002C235E"/>
    <w:rsid w:val="002C6D5B"/>
    <w:rsid w:val="003E2334"/>
    <w:rsid w:val="004834AD"/>
    <w:rsid w:val="004C72F9"/>
    <w:rsid w:val="00604D38"/>
    <w:rsid w:val="00632D3F"/>
    <w:rsid w:val="0074093E"/>
    <w:rsid w:val="00813A47"/>
    <w:rsid w:val="008E2D05"/>
    <w:rsid w:val="00941A3D"/>
    <w:rsid w:val="0094283C"/>
    <w:rsid w:val="00A11861"/>
    <w:rsid w:val="00B026DF"/>
    <w:rsid w:val="00BA5B27"/>
    <w:rsid w:val="00C60853"/>
    <w:rsid w:val="00CC7E75"/>
    <w:rsid w:val="00D00DFD"/>
    <w:rsid w:val="00F62D83"/>
    <w:rsid w:val="00FB06C2"/>
    <w:rsid w:val="00FC5E0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60FA8"/>
  <w15:chartTrackingRefBased/>
  <w15:docId w15:val="{28B7555F-2800-4A52-8207-4B84A0BBE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D5B"/>
    <w:rPr>
      <w:kern w:val="0"/>
      <w14:ligatures w14:val="none"/>
    </w:rPr>
  </w:style>
  <w:style w:type="paragraph" w:styleId="Ttulo1">
    <w:name w:val="heading 1"/>
    <w:basedOn w:val="Normal"/>
    <w:next w:val="Normal"/>
    <w:link w:val="Ttulo1Car"/>
    <w:uiPriority w:val="9"/>
    <w:qFormat/>
    <w:rsid w:val="002C6D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C6D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C6D5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C6D5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C6D5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C6D5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C6D5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C6D5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C6D5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C6D5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C6D5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C6D5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C6D5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C6D5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C6D5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C6D5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C6D5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C6D5B"/>
    <w:rPr>
      <w:rFonts w:eastAsiaTheme="majorEastAsia" w:cstheme="majorBidi"/>
      <w:color w:val="272727" w:themeColor="text1" w:themeTint="D8"/>
    </w:rPr>
  </w:style>
  <w:style w:type="paragraph" w:styleId="Ttulo">
    <w:name w:val="Title"/>
    <w:basedOn w:val="Normal"/>
    <w:next w:val="Normal"/>
    <w:link w:val="TtuloCar"/>
    <w:uiPriority w:val="10"/>
    <w:qFormat/>
    <w:rsid w:val="002C6D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C6D5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C6D5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C6D5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C6D5B"/>
    <w:pPr>
      <w:spacing w:before="160"/>
      <w:jc w:val="center"/>
    </w:pPr>
    <w:rPr>
      <w:i/>
      <w:iCs/>
      <w:color w:val="404040" w:themeColor="text1" w:themeTint="BF"/>
    </w:rPr>
  </w:style>
  <w:style w:type="character" w:customStyle="1" w:styleId="CitaCar">
    <w:name w:val="Cita Car"/>
    <w:basedOn w:val="Fuentedeprrafopredeter"/>
    <w:link w:val="Cita"/>
    <w:uiPriority w:val="29"/>
    <w:rsid w:val="002C6D5B"/>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2C6D5B"/>
    <w:pPr>
      <w:ind w:left="720"/>
      <w:contextualSpacing/>
    </w:pPr>
  </w:style>
  <w:style w:type="character" w:styleId="nfasisintenso">
    <w:name w:val="Intense Emphasis"/>
    <w:basedOn w:val="Fuentedeprrafopredeter"/>
    <w:uiPriority w:val="21"/>
    <w:qFormat/>
    <w:rsid w:val="002C6D5B"/>
    <w:rPr>
      <w:i/>
      <w:iCs/>
      <w:color w:val="0F4761" w:themeColor="accent1" w:themeShade="BF"/>
    </w:rPr>
  </w:style>
  <w:style w:type="paragraph" w:styleId="Citadestacada">
    <w:name w:val="Intense Quote"/>
    <w:basedOn w:val="Normal"/>
    <w:next w:val="Normal"/>
    <w:link w:val="CitadestacadaCar"/>
    <w:uiPriority w:val="30"/>
    <w:qFormat/>
    <w:rsid w:val="002C6D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C6D5B"/>
    <w:rPr>
      <w:i/>
      <w:iCs/>
      <w:color w:val="0F4761" w:themeColor="accent1" w:themeShade="BF"/>
    </w:rPr>
  </w:style>
  <w:style w:type="character" w:styleId="Referenciaintensa">
    <w:name w:val="Intense Reference"/>
    <w:basedOn w:val="Fuentedeprrafopredeter"/>
    <w:uiPriority w:val="32"/>
    <w:qFormat/>
    <w:rsid w:val="002C6D5B"/>
    <w:rPr>
      <w:b/>
      <w:bCs/>
      <w:smallCaps/>
      <w:color w:val="0F4761" w:themeColor="accent1" w:themeShade="BF"/>
      <w:spacing w:val="5"/>
    </w:rPr>
  </w:style>
  <w:style w:type="paragraph" w:styleId="Encabezado">
    <w:name w:val="header"/>
    <w:basedOn w:val="Normal"/>
    <w:link w:val="EncabezadoCar"/>
    <w:uiPriority w:val="99"/>
    <w:unhideWhenUsed/>
    <w:rsid w:val="002C6D5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C6D5B"/>
    <w:rPr>
      <w:kern w:val="0"/>
      <w14:ligatures w14:val="none"/>
    </w:rPr>
  </w:style>
  <w:style w:type="paragraph" w:styleId="Piedepgina">
    <w:name w:val="footer"/>
    <w:basedOn w:val="Normal"/>
    <w:link w:val="PiedepginaCar"/>
    <w:uiPriority w:val="99"/>
    <w:unhideWhenUsed/>
    <w:rsid w:val="002C6D5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D5B"/>
    <w:rPr>
      <w:kern w:val="0"/>
      <w14:ligatures w14:val="none"/>
    </w:rPr>
  </w:style>
  <w:style w:type="table" w:styleId="Tablaconcuadrcula">
    <w:name w:val="Table Grid"/>
    <w:basedOn w:val="Tablanormal"/>
    <w:uiPriority w:val="39"/>
    <w:qFormat/>
    <w:rsid w:val="002C6D5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C6D5B"/>
    <w:rPr>
      <w:color w:val="467886" w:themeColor="hyperlink"/>
      <w:u w:val="single"/>
    </w:rPr>
  </w:style>
  <w:style w:type="character" w:customStyle="1" w:styleId="normaltextrun">
    <w:name w:val="normaltextrun"/>
    <w:basedOn w:val="Fuentedeprrafopredeter"/>
    <w:rsid w:val="002C6D5B"/>
  </w:style>
  <w:style w:type="character" w:customStyle="1" w:styleId="eop">
    <w:name w:val="eop"/>
    <w:basedOn w:val="Fuentedeprrafopredeter"/>
    <w:rsid w:val="002C6D5B"/>
  </w:style>
  <w:style w:type="paragraph" w:customStyle="1" w:styleId="paragraph">
    <w:name w:val="paragraph"/>
    <w:basedOn w:val="Normal"/>
    <w:rsid w:val="002C6D5B"/>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C6D5B"/>
  </w:style>
  <w:style w:type="paragraph" w:styleId="NormalWeb">
    <w:name w:val="Normal (Web)"/>
    <w:basedOn w:val="Normal"/>
    <w:link w:val="NormalWebCar"/>
    <w:uiPriority w:val="99"/>
    <w:unhideWhenUsed/>
    <w:rsid w:val="002C6D5B"/>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2C6D5B"/>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2C235E"/>
    <w:rPr>
      <w:color w:val="605E5C"/>
      <w:shd w:val="clear" w:color="auto" w:fill="E1DFDD"/>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C72F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C72F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C72F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C72F9"/>
    <w:rPr>
      <w:vertAlign w:val="superscript"/>
    </w:rPr>
  </w:style>
  <w:style w:type="paragraph" w:customStyle="1" w:styleId="Appelnotedebasde">
    <w:name w:val="Appel note de bas de..."/>
    <w:basedOn w:val="Normal"/>
    <w:link w:val="Refdenotaalpie"/>
    <w:uiPriority w:val="99"/>
    <w:rsid w:val="004C72F9"/>
    <w:pPr>
      <w:spacing w:line="240" w:lineRule="exact"/>
    </w:pPr>
    <w:rPr>
      <w:kern w:val="2"/>
      <w:vertAlign w:val="superscript"/>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mamade@gmail.com"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EB81AD8-83AF-4B21-B586-BA84A9D81BCC}"/>
</file>

<file path=customXml/itemProps2.xml><?xml version="1.0" encoding="utf-8"?>
<ds:datastoreItem xmlns:ds="http://schemas.openxmlformats.org/officeDocument/2006/customXml" ds:itemID="{C4ECC6E7-3911-4B1C-81EE-42953727CB23}"/>
</file>

<file path=customXml/itemProps3.xml><?xml version="1.0" encoding="utf-8"?>
<ds:datastoreItem xmlns:ds="http://schemas.openxmlformats.org/officeDocument/2006/customXml" ds:itemID="{3A5879FA-BFD5-42ED-8E95-E7A67BFE0D7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58</TotalTime>
  <Pages>14</Pages>
  <Words>3793</Words>
  <Characters>20863</Characters>
  <Application>Microsoft Office Word</Application>
  <DocSecurity>0</DocSecurity>
  <Lines>173</Lines>
  <Paragraphs>49</Paragraphs>
  <ScaleCrop>false</ScaleCrop>
  <Company/>
  <LinksUpToDate>false</LinksUpToDate>
  <CharactersWithSpaces>24607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20</cp:revision>
  <dcterms:created xsi:type="dcterms:W3CDTF">2026-05-20T20:30:00Z</dcterms:created>
  <dcterms:modified xsi:type="dcterms:W3CDTF">2026-06-02T13:38:00Z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