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04D55" w14:textId="396A15EB" w:rsidR="00C70D2C" w:rsidRDefault="00C70D2C" w:rsidP="00C70D2C">
      <w:pPr>
        <w:spacing w:after="0" w:line="240" w:lineRule="auto"/>
        <w:jc w:val="both"/>
        <w:rPr>
          <w:rFonts w:ascii="Verdana" w:eastAsia="Calibri" w:hAnsi="Verdana" w:cs="Arial"/>
          <w:b/>
        </w:rPr>
      </w:pPr>
      <w:bookmarkStart w:id="0" w:name="_Hlk143780582"/>
      <w:r w:rsidRPr="00C70D2C">
        <w:rPr>
          <w:rFonts w:ascii="Verdana" w:eastAsia="Calibri" w:hAnsi="Verdana" w:cs="Arial"/>
          <w:b/>
        </w:rPr>
        <w:t>AGENCIA NACIONAL DE CONTRATACIÓN PÚBLICA – Conceptos – Alcance – Competencia Consultiva</w:t>
      </w:r>
    </w:p>
    <w:p w14:paraId="2C16933C" w14:textId="77777777" w:rsidR="00C70D2C" w:rsidRDefault="00C70D2C" w:rsidP="00C70D2C">
      <w:pPr>
        <w:spacing w:after="0" w:line="240" w:lineRule="auto"/>
        <w:jc w:val="both"/>
        <w:rPr>
          <w:rFonts w:ascii="Verdana" w:eastAsia="Calibri" w:hAnsi="Verdana" w:cs="Arial"/>
          <w:b/>
        </w:rPr>
      </w:pPr>
    </w:p>
    <w:p w14:paraId="403B608C" w14:textId="77777777" w:rsidR="009B0EC7" w:rsidRDefault="00C70D2C" w:rsidP="00C70D2C">
      <w:pPr>
        <w:spacing w:after="0" w:line="240" w:lineRule="auto"/>
        <w:jc w:val="both"/>
        <w:rPr>
          <w:rFonts w:ascii="Verdana" w:eastAsiaTheme="minorEastAsia" w:hAnsi="Verdana" w:cs="Arial"/>
          <w:sz w:val="20"/>
          <w:szCs w:val="20"/>
          <w:lang w:eastAsia="es-CO"/>
        </w:rPr>
      </w:pPr>
      <w:r w:rsidRPr="00C70D2C">
        <w:rPr>
          <w:rFonts w:ascii="Verdana" w:eastAsiaTheme="minorEastAsia" w:hAnsi="Verdana" w:cs="Arial"/>
          <w:sz w:val="20"/>
          <w:szCs w:val="20"/>
          <w:lang w:eastAsia="es-CO"/>
        </w:rPr>
        <w:t xml:space="preserve">[…] </w:t>
      </w:r>
      <w:r w:rsidRPr="00C70D2C">
        <w:rPr>
          <w:rFonts w:ascii="Verdana" w:eastAsiaTheme="minorEastAsia" w:hAnsi="Verdana" w:cs="Arial"/>
          <w:sz w:val="20"/>
          <w:szCs w:val="20"/>
          <w:lang w:eastAsia="es-CO"/>
        </w:rPr>
        <w:t>el legislador extraordinario facultó a la Agencia para “Absolver consultas sobre la aplicación de normas de carácter general” y “difundir las normas, reglas, procedimientos, medios tecnológicos y mejores prácticas para las compras y la contratación pública”, de conformidad con el numeral 5 y 10 del artículo 3 del Decreto Ley 4170 de</w:t>
      </w:r>
      <w:r w:rsidRPr="00C70D2C">
        <w:rPr>
          <w:rFonts w:ascii="Verdana" w:eastAsiaTheme="minorEastAsia" w:hAnsi="Verdana" w:cs="Arial"/>
          <w:spacing w:val="1"/>
          <w:sz w:val="20"/>
          <w:szCs w:val="20"/>
          <w:lang w:eastAsia="es-CO"/>
        </w:rPr>
        <w:t xml:space="preserve"> </w:t>
      </w:r>
      <w:r w:rsidRPr="00C70D2C">
        <w:rPr>
          <w:rFonts w:ascii="Verdana" w:eastAsiaTheme="minorEastAsia" w:hAnsi="Verdana" w:cs="Arial"/>
          <w:sz w:val="20"/>
          <w:szCs w:val="20"/>
          <w:lang w:eastAsia="es-CO"/>
        </w:rPr>
        <w:t xml:space="preserve">2011. </w:t>
      </w:r>
      <w:r w:rsidRPr="00C70D2C">
        <w:rPr>
          <w:rFonts w:ascii="Verdana" w:eastAsia="Calibri" w:hAnsi="Verdana" w:cs="Arial"/>
          <w:sz w:val="20"/>
          <w:szCs w:val="20"/>
          <w:lang w:val="es-ES" w:eastAsia="es-CO"/>
        </w:rPr>
        <w:t xml:space="preserve">Así las cosas, </w:t>
      </w:r>
      <w:r w:rsidRPr="00C70D2C">
        <w:rPr>
          <w:rFonts w:ascii="Verdana" w:eastAsiaTheme="minorEastAsia" w:hAnsi="Verdana" w:cs="Arial"/>
          <w:sz w:val="20"/>
          <w:szCs w:val="20"/>
          <w:lang w:eastAsia="es-CO"/>
        </w:rPr>
        <w:t xml:space="preserve">de acuerdo con lo establecido en los artículos 3.5 y 11.8 </w:t>
      </w:r>
      <w:r w:rsidRPr="00C70D2C">
        <w:rPr>
          <w:rFonts w:ascii="Verdana" w:eastAsiaTheme="minorEastAsia" w:hAnsi="Verdana" w:cs="Arial"/>
          <w:i/>
          <w:iCs/>
          <w:sz w:val="20"/>
          <w:szCs w:val="20"/>
          <w:lang w:eastAsia="es-CO"/>
        </w:rPr>
        <w:t>ibidem</w:t>
      </w:r>
      <w:r w:rsidRPr="00C70D2C">
        <w:rPr>
          <w:rFonts w:ascii="Verdana" w:eastAsiaTheme="minorEastAsia" w:hAnsi="Verdana" w:cs="Arial"/>
          <w:sz w:val="20"/>
          <w:szCs w:val="20"/>
          <w:lang w:eastAsia="es-CO"/>
        </w:rPr>
        <w:t>, la Agencia Nacional de Contratación Pública – Colombia Compra Eficiente</w:t>
      </w:r>
      <w:r w:rsidRPr="00C70D2C">
        <w:rPr>
          <w:rFonts w:ascii="Verdana" w:eastAsiaTheme="minorEastAsia" w:hAnsi="Verdana" w:cs="Arial"/>
          <w:sz w:val="20"/>
          <w:szCs w:val="20"/>
          <w:lang w:val="es-ES" w:eastAsia="es-CO"/>
        </w:rPr>
        <w:t xml:space="preserve"> </w:t>
      </w:r>
      <w:r w:rsidRPr="00C70D2C">
        <w:rPr>
          <w:rFonts w:ascii="Verdana" w:eastAsiaTheme="minorEastAsia" w:hAnsi="Verdana" w:cs="Arial"/>
          <w:sz w:val="20"/>
          <w:szCs w:val="20"/>
          <w:lang w:eastAsia="es-CO"/>
        </w:rPr>
        <w:t>resuelve</w:t>
      </w:r>
      <w:r w:rsidRPr="00C70D2C">
        <w:rPr>
          <w:rFonts w:ascii="Verdana" w:eastAsiaTheme="minorEastAsia" w:hAnsi="Verdana" w:cs="Arial"/>
          <w:spacing w:val="-16"/>
          <w:sz w:val="20"/>
          <w:szCs w:val="20"/>
          <w:lang w:eastAsia="es-CO"/>
        </w:rPr>
        <w:t xml:space="preserve"> </w:t>
      </w:r>
      <w:r w:rsidRPr="00C70D2C">
        <w:rPr>
          <w:rFonts w:ascii="Verdana" w:eastAsiaTheme="minorEastAsia" w:hAnsi="Verdana" w:cs="Arial"/>
          <w:sz w:val="20"/>
          <w:szCs w:val="20"/>
          <w:lang w:eastAsia="es-CO"/>
        </w:rPr>
        <w:t>las</w:t>
      </w:r>
      <w:r w:rsidRPr="00C70D2C">
        <w:rPr>
          <w:rFonts w:ascii="Verdana" w:eastAsiaTheme="minorEastAsia" w:hAnsi="Verdana" w:cs="Arial"/>
          <w:spacing w:val="-15"/>
          <w:sz w:val="20"/>
          <w:szCs w:val="20"/>
          <w:lang w:eastAsia="es-CO"/>
        </w:rPr>
        <w:t xml:space="preserve"> </w:t>
      </w:r>
      <w:r w:rsidRPr="00C70D2C">
        <w:rPr>
          <w:rFonts w:ascii="Verdana" w:eastAsiaTheme="minorEastAsia" w:hAnsi="Verdana" w:cs="Arial"/>
          <w:sz w:val="20"/>
          <w:szCs w:val="20"/>
          <w:lang w:eastAsia="es-CO"/>
        </w:rPr>
        <w:t>consultas</w:t>
      </w:r>
      <w:r w:rsidRPr="00C70D2C">
        <w:rPr>
          <w:rFonts w:ascii="Verdana" w:eastAsiaTheme="minorEastAsia" w:hAnsi="Verdana" w:cs="Arial"/>
          <w:spacing w:val="-15"/>
          <w:sz w:val="20"/>
          <w:szCs w:val="20"/>
          <w:lang w:eastAsia="es-CO"/>
        </w:rPr>
        <w:t xml:space="preserve"> </w:t>
      </w:r>
      <w:r w:rsidRPr="00C70D2C">
        <w:rPr>
          <w:rFonts w:ascii="Verdana" w:eastAsiaTheme="minorEastAsia" w:hAnsi="Verdana" w:cs="Arial"/>
          <w:sz w:val="20"/>
          <w:szCs w:val="20"/>
          <w:lang w:eastAsia="es-CO"/>
        </w:rPr>
        <w:t>sobre</w:t>
      </w:r>
      <w:r w:rsidRPr="00C70D2C">
        <w:rPr>
          <w:rFonts w:ascii="Verdana" w:eastAsiaTheme="minorEastAsia" w:hAnsi="Verdana" w:cs="Arial"/>
          <w:spacing w:val="-15"/>
          <w:sz w:val="20"/>
          <w:szCs w:val="20"/>
          <w:lang w:eastAsia="es-CO"/>
        </w:rPr>
        <w:t xml:space="preserve"> </w:t>
      </w:r>
      <w:r w:rsidRPr="00C70D2C">
        <w:rPr>
          <w:rFonts w:ascii="Verdana" w:eastAsiaTheme="minorEastAsia" w:hAnsi="Verdana" w:cs="Arial"/>
          <w:sz w:val="20"/>
          <w:szCs w:val="20"/>
          <w:lang w:eastAsia="es-CO"/>
        </w:rPr>
        <w:t>los</w:t>
      </w:r>
      <w:r w:rsidRPr="00C70D2C">
        <w:rPr>
          <w:rFonts w:ascii="Verdana" w:eastAsiaTheme="minorEastAsia" w:hAnsi="Verdana" w:cs="Arial"/>
          <w:spacing w:val="-15"/>
          <w:sz w:val="20"/>
          <w:szCs w:val="20"/>
          <w:lang w:eastAsia="es-CO"/>
        </w:rPr>
        <w:t xml:space="preserve"> </w:t>
      </w:r>
      <w:r w:rsidRPr="00C70D2C">
        <w:rPr>
          <w:rFonts w:ascii="Verdana" w:eastAsiaTheme="minorEastAsia" w:hAnsi="Verdana" w:cs="Arial"/>
          <w:sz w:val="20"/>
          <w:szCs w:val="20"/>
          <w:lang w:eastAsia="es-CO"/>
        </w:rPr>
        <w:t>asuntos</w:t>
      </w:r>
      <w:r w:rsidRPr="00C70D2C">
        <w:rPr>
          <w:rFonts w:ascii="Verdana" w:eastAsiaTheme="minorEastAsia" w:hAnsi="Verdana" w:cs="Arial"/>
          <w:spacing w:val="-15"/>
          <w:sz w:val="20"/>
          <w:szCs w:val="20"/>
          <w:lang w:eastAsia="es-CO"/>
        </w:rPr>
        <w:t xml:space="preserve"> </w:t>
      </w:r>
      <w:r w:rsidRPr="00C70D2C">
        <w:rPr>
          <w:rFonts w:ascii="Verdana" w:eastAsiaTheme="minorEastAsia" w:hAnsi="Verdana" w:cs="Arial"/>
          <w:sz w:val="20"/>
          <w:szCs w:val="20"/>
          <w:lang w:eastAsia="es-CO"/>
        </w:rPr>
        <w:t>de</w:t>
      </w:r>
      <w:r w:rsidRPr="00C70D2C">
        <w:rPr>
          <w:rFonts w:ascii="Verdana" w:eastAsiaTheme="minorEastAsia" w:hAnsi="Verdana" w:cs="Arial"/>
          <w:spacing w:val="-15"/>
          <w:sz w:val="20"/>
          <w:szCs w:val="20"/>
          <w:lang w:eastAsia="es-CO"/>
        </w:rPr>
        <w:t xml:space="preserve"> </w:t>
      </w:r>
      <w:r w:rsidRPr="00C70D2C">
        <w:rPr>
          <w:rFonts w:ascii="Verdana" w:eastAsiaTheme="minorEastAsia" w:hAnsi="Verdana" w:cs="Arial"/>
          <w:sz w:val="20"/>
          <w:szCs w:val="20"/>
          <w:lang w:eastAsia="es-CO"/>
        </w:rPr>
        <w:t>su</w:t>
      </w:r>
      <w:r w:rsidRPr="00C70D2C">
        <w:rPr>
          <w:rFonts w:ascii="Verdana" w:eastAsiaTheme="minorEastAsia" w:hAnsi="Verdana" w:cs="Arial"/>
          <w:spacing w:val="-15"/>
          <w:sz w:val="20"/>
          <w:szCs w:val="20"/>
          <w:lang w:eastAsia="es-CO"/>
        </w:rPr>
        <w:t xml:space="preserve"> </w:t>
      </w:r>
      <w:r w:rsidRPr="00C70D2C">
        <w:rPr>
          <w:rFonts w:ascii="Verdana" w:eastAsiaTheme="minorEastAsia" w:hAnsi="Verdana" w:cs="Arial"/>
          <w:sz w:val="20"/>
          <w:szCs w:val="20"/>
          <w:lang w:eastAsia="es-CO"/>
        </w:rPr>
        <w:t>competencia,</w:t>
      </w:r>
      <w:r w:rsidRPr="00C70D2C">
        <w:rPr>
          <w:rFonts w:ascii="Verdana" w:eastAsiaTheme="minorEastAsia" w:hAnsi="Verdana" w:cs="Arial"/>
          <w:spacing w:val="-59"/>
          <w:sz w:val="20"/>
          <w:szCs w:val="20"/>
          <w:lang w:eastAsia="es-CO"/>
        </w:rPr>
        <w:t xml:space="preserve"> </w:t>
      </w:r>
      <w:r w:rsidRPr="00C70D2C">
        <w:rPr>
          <w:rFonts w:ascii="Verdana" w:eastAsiaTheme="minorEastAsia" w:hAnsi="Verdana" w:cs="Arial"/>
          <w:sz w:val="20"/>
          <w:szCs w:val="20"/>
          <w:lang w:eastAsia="es-CO"/>
        </w:rPr>
        <w:t>esto es, sobre las temáticas de la contratación estatal y compras públicas relacionadas en los</w:t>
      </w:r>
      <w:r w:rsidRPr="00C70D2C">
        <w:rPr>
          <w:rFonts w:ascii="Verdana" w:eastAsiaTheme="minorEastAsia" w:hAnsi="Verdana" w:cs="Arial"/>
          <w:spacing w:val="1"/>
          <w:sz w:val="20"/>
          <w:szCs w:val="20"/>
          <w:lang w:eastAsia="es-CO"/>
        </w:rPr>
        <w:t xml:space="preserve"> </w:t>
      </w:r>
      <w:r w:rsidRPr="00C70D2C">
        <w:rPr>
          <w:rFonts w:ascii="Verdana" w:eastAsiaTheme="minorEastAsia" w:hAnsi="Verdana" w:cs="Arial"/>
          <w:sz w:val="20"/>
          <w:szCs w:val="20"/>
          <w:lang w:eastAsia="es-CO"/>
        </w:rPr>
        <w:t>artículos citados</w:t>
      </w:r>
      <w:r w:rsidR="009B0EC7">
        <w:rPr>
          <w:rFonts w:ascii="Verdana" w:eastAsiaTheme="minorEastAsia" w:hAnsi="Verdana" w:cs="Arial"/>
          <w:sz w:val="20"/>
          <w:szCs w:val="20"/>
          <w:lang w:eastAsia="es-CO"/>
        </w:rPr>
        <w:t>.</w:t>
      </w:r>
    </w:p>
    <w:p w14:paraId="5D3D6D2B" w14:textId="77777777" w:rsidR="009B0EC7" w:rsidRDefault="009B0EC7" w:rsidP="00C70D2C">
      <w:pPr>
        <w:spacing w:after="0" w:line="240" w:lineRule="auto"/>
        <w:jc w:val="both"/>
        <w:rPr>
          <w:rFonts w:ascii="Verdana" w:eastAsiaTheme="minorEastAsia" w:hAnsi="Verdana" w:cs="Arial"/>
          <w:sz w:val="20"/>
          <w:szCs w:val="20"/>
          <w:lang w:eastAsia="es-CO"/>
        </w:rPr>
      </w:pPr>
    </w:p>
    <w:p w14:paraId="2A6E8A67" w14:textId="40F39F92" w:rsidR="009B0EC7" w:rsidRPr="009B0EC7" w:rsidRDefault="009B0EC7" w:rsidP="00C70D2C">
      <w:pPr>
        <w:spacing w:after="0" w:line="240" w:lineRule="auto"/>
        <w:jc w:val="both"/>
        <w:rPr>
          <w:rFonts w:ascii="Verdana" w:eastAsiaTheme="minorEastAsia" w:hAnsi="Verdana" w:cs="Arial"/>
          <w:bCs/>
          <w:sz w:val="20"/>
          <w:szCs w:val="20"/>
          <w:lang w:eastAsia="es-CO"/>
        </w:rPr>
      </w:pPr>
      <w:r w:rsidRPr="009B0EC7">
        <w:rPr>
          <w:rFonts w:ascii="Verdana" w:eastAsia="Calibri" w:hAnsi="Verdana" w:cs="Arial"/>
          <w:bCs/>
          <w:sz w:val="20"/>
          <w:szCs w:val="20"/>
        </w:rPr>
        <w:t>En ese sentido, resolver consultas sobre casos particulares desborda las atribuciones asignadas por el legislador, que no concibió a Colombia Compra Eficiente como una autoridad para solucionar problemas jurídicos particulares, especialmente, cuando el conocimiento de estos últimos corresponde resolverlos a los partícipes del sistema de compra pública y, eventualmente, a las autoridades judiciales y a los organismos de control.</w:t>
      </w:r>
    </w:p>
    <w:p w14:paraId="1FB19BC8" w14:textId="77777777" w:rsidR="009B0EC7" w:rsidRDefault="009B0EC7" w:rsidP="00C70D2C">
      <w:pPr>
        <w:spacing w:after="0"/>
        <w:jc w:val="both"/>
        <w:rPr>
          <w:rFonts w:ascii="Verdana" w:eastAsia="Calibri" w:hAnsi="Verdana" w:cs="Arial"/>
          <w:b/>
          <w:sz w:val="20"/>
          <w:szCs w:val="20"/>
        </w:rPr>
      </w:pPr>
    </w:p>
    <w:p w14:paraId="2413F978" w14:textId="319441EB" w:rsidR="00C70D2C" w:rsidRDefault="00C70D2C" w:rsidP="009B0EC7">
      <w:pPr>
        <w:spacing w:after="0" w:line="240" w:lineRule="auto"/>
        <w:jc w:val="both"/>
        <w:rPr>
          <w:rFonts w:ascii="Verdana" w:eastAsia="Calibri" w:hAnsi="Verdana" w:cs="Arial"/>
          <w:b/>
        </w:rPr>
      </w:pPr>
      <w:r w:rsidRPr="00C70D2C">
        <w:rPr>
          <w:rFonts w:ascii="Verdana" w:eastAsia="Calibri" w:hAnsi="Verdana" w:cs="Arial"/>
          <w:b/>
        </w:rPr>
        <w:t xml:space="preserve">CONCEPTOS DE LA AGENCIA NACIONAL DE CONTRATACIÓN PÚBLICA - Obligatoriedad – Vinculatoriedad </w:t>
      </w:r>
    </w:p>
    <w:p w14:paraId="7694722B" w14:textId="77777777" w:rsidR="009B0EC7" w:rsidRDefault="009B0EC7" w:rsidP="00557E1E">
      <w:pPr>
        <w:spacing w:after="0" w:line="240" w:lineRule="auto"/>
        <w:jc w:val="both"/>
        <w:rPr>
          <w:rFonts w:ascii="Verdana" w:eastAsia="Calibri" w:hAnsi="Verdana" w:cs="Arial"/>
          <w:b/>
        </w:rPr>
      </w:pPr>
    </w:p>
    <w:p w14:paraId="7E119CCC" w14:textId="77777777" w:rsidR="009B0EC7" w:rsidRDefault="009B0EC7" w:rsidP="009B0EC7">
      <w:pPr>
        <w:spacing w:after="0" w:line="240" w:lineRule="auto"/>
        <w:jc w:val="both"/>
        <w:rPr>
          <w:rFonts w:ascii="Verdana" w:eastAsiaTheme="minorEastAsia" w:hAnsi="Verdana" w:cs="Arial"/>
          <w:sz w:val="20"/>
          <w:szCs w:val="20"/>
          <w:lang w:eastAsia="es-CO"/>
        </w:rPr>
      </w:pPr>
      <w:r w:rsidRPr="009B0EC7">
        <w:rPr>
          <w:rFonts w:ascii="Verdana" w:eastAsiaTheme="minorEastAsia" w:hAnsi="Verdana" w:cs="Arial"/>
          <w:sz w:val="20"/>
          <w:szCs w:val="20"/>
          <w:lang w:eastAsia="es-CO"/>
        </w:rPr>
        <w:t>Por</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tanto,</w:t>
      </w:r>
      <w:r w:rsidRPr="009B0EC7">
        <w:rPr>
          <w:rFonts w:ascii="Verdana" w:eastAsiaTheme="minorEastAsia" w:hAnsi="Verdana" w:cs="Arial"/>
          <w:spacing w:val="-8"/>
          <w:sz w:val="20"/>
          <w:szCs w:val="20"/>
          <w:lang w:eastAsia="es-CO"/>
        </w:rPr>
        <w:t xml:space="preserve"> </w:t>
      </w:r>
      <w:r w:rsidRPr="009B0EC7">
        <w:rPr>
          <w:rFonts w:ascii="Verdana" w:eastAsiaTheme="minorEastAsia" w:hAnsi="Verdana" w:cs="Arial"/>
          <w:sz w:val="20"/>
          <w:szCs w:val="20"/>
          <w:lang w:eastAsia="es-CO"/>
        </w:rPr>
        <w:t>la</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competencia</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esta</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Agencia</w:t>
      </w:r>
      <w:r w:rsidRPr="009B0EC7">
        <w:rPr>
          <w:rFonts w:ascii="Verdana" w:eastAsiaTheme="minorEastAsia" w:hAnsi="Verdana" w:cs="Arial"/>
          <w:spacing w:val="-8"/>
          <w:sz w:val="20"/>
          <w:szCs w:val="20"/>
          <w:lang w:eastAsia="es-CO"/>
        </w:rPr>
        <w:t xml:space="preserve"> </w:t>
      </w:r>
      <w:r w:rsidRPr="009B0EC7">
        <w:rPr>
          <w:rFonts w:ascii="Verdana" w:eastAsiaTheme="minorEastAsia" w:hAnsi="Verdana" w:cs="Arial"/>
          <w:sz w:val="20"/>
          <w:szCs w:val="20"/>
          <w:lang w:eastAsia="es-CO"/>
        </w:rPr>
        <w:t>se</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fija</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con</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límites</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claros,</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con</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el</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objeto</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evitar</w:t>
      </w:r>
      <w:r w:rsidRPr="009B0EC7">
        <w:rPr>
          <w:rFonts w:ascii="Verdana" w:eastAsiaTheme="minorEastAsia" w:hAnsi="Verdana" w:cs="Arial"/>
          <w:spacing w:val="-58"/>
          <w:sz w:val="20"/>
          <w:szCs w:val="20"/>
          <w:lang w:eastAsia="es-CO"/>
        </w:rPr>
        <w:t xml:space="preserve"> </w:t>
      </w:r>
      <w:r w:rsidRPr="009B0EC7">
        <w:rPr>
          <w:rFonts w:ascii="Verdana" w:eastAsiaTheme="minorEastAsia" w:hAnsi="Verdana" w:cs="Arial"/>
          <w:sz w:val="20"/>
          <w:szCs w:val="20"/>
          <w:lang w:eastAsia="es-CO"/>
        </w:rPr>
        <w:t>que actúe como una instancia de validación de las actuaciones de las entidades sujetas a la Ley 80</w:t>
      </w:r>
      <w:r w:rsidRPr="009B0EC7">
        <w:rPr>
          <w:rFonts w:ascii="Verdana" w:eastAsiaTheme="minorEastAsia" w:hAnsi="Verdana" w:cs="Arial"/>
          <w:spacing w:val="-7"/>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1993</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o</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los</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demás</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participantes</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la</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contratación</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pública.</w:t>
      </w:r>
      <w:r w:rsidRPr="009B0EC7">
        <w:rPr>
          <w:rFonts w:ascii="Verdana" w:eastAsiaTheme="minorEastAsia" w:hAnsi="Verdana" w:cs="Arial"/>
          <w:spacing w:val="-7"/>
          <w:sz w:val="20"/>
          <w:szCs w:val="20"/>
          <w:lang w:eastAsia="es-CO"/>
        </w:rPr>
        <w:t xml:space="preserve"> </w:t>
      </w:r>
      <w:r w:rsidRPr="009B0EC7">
        <w:rPr>
          <w:rFonts w:ascii="Verdana" w:eastAsiaTheme="minorEastAsia" w:hAnsi="Verdana" w:cs="Arial"/>
          <w:sz w:val="20"/>
          <w:szCs w:val="20"/>
          <w:lang w:eastAsia="es-CO"/>
        </w:rPr>
        <w:t>Lo</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anterior,</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en</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la</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medida</w:t>
      </w:r>
      <w:r w:rsidRPr="009B0EC7">
        <w:rPr>
          <w:rFonts w:ascii="Verdana" w:eastAsiaTheme="minorEastAsia" w:hAnsi="Verdana" w:cs="Arial"/>
          <w:spacing w:val="-6"/>
          <w:sz w:val="20"/>
          <w:szCs w:val="20"/>
          <w:lang w:eastAsia="es-CO"/>
        </w:rPr>
        <w:t xml:space="preserve"> </w:t>
      </w:r>
      <w:r w:rsidRPr="009B0EC7">
        <w:rPr>
          <w:rFonts w:ascii="Verdana" w:eastAsiaTheme="minorEastAsia" w:hAnsi="Verdana" w:cs="Arial"/>
          <w:sz w:val="20"/>
          <w:szCs w:val="20"/>
          <w:lang w:eastAsia="es-CO"/>
        </w:rPr>
        <w:t>en</w:t>
      </w:r>
      <w:r w:rsidRPr="009B0EC7">
        <w:rPr>
          <w:rFonts w:ascii="Verdana" w:eastAsiaTheme="minorEastAsia" w:hAnsi="Verdana" w:cs="Arial"/>
          <w:spacing w:val="-59"/>
          <w:sz w:val="20"/>
          <w:szCs w:val="20"/>
          <w:lang w:eastAsia="es-CO"/>
        </w:rPr>
        <w:t xml:space="preserve"> </w:t>
      </w:r>
      <w:r>
        <w:rPr>
          <w:rFonts w:ascii="Verdana" w:eastAsiaTheme="minorEastAsia" w:hAnsi="Verdana" w:cs="Arial"/>
          <w:spacing w:val="-59"/>
          <w:sz w:val="20"/>
          <w:szCs w:val="20"/>
          <w:lang w:eastAsia="es-CO"/>
        </w:rPr>
        <w:t>que</w:t>
      </w:r>
      <w:r w:rsidRPr="009B0EC7">
        <w:rPr>
          <w:rFonts w:ascii="Verdana" w:eastAsiaTheme="minorEastAsia" w:hAnsi="Verdana" w:cs="Arial"/>
          <w:sz w:val="20"/>
          <w:szCs w:val="20"/>
          <w:lang w:eastAsia="es-CO"/>
        </w:rPr>
        <w:t>,</w:t>
      </w:r>
      <w:r w:rsidRPr="009B0EC7">
        <w:rPr>
          <w:rFonts w:ascii="Verdana" w:eastAsiaTheme="minorEastAsia" w:hAnsi="Verdana" w:cs="Arial"/>
          <w:spacing w:val="30"/>
          <w:sz w:val="20"/>
          <w:szCs w:val="20"/>
          <w:lang w:eastAsia="es-CO"/>
        </w:rPr>
        <w:t xml:space="preserve"> </w:t>
      </w:r>
      <w:r w:rsidRPr="009B0EC7">
        <w:rPr>
          <w:rFonts w:ascii="Verdana" w:eastAsiaTheme="minorEastAsia" w:hAnsi="Verdana" w:cs="Arial"/>
          <w:sz w:val="20"/>
          <w:szCs w:val="20"/>
          <w:lang w:eastAsia="es-CO"/>
        </w:rPr>
        <w:t>para</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resolver</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una</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consulta</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carácter</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particular,</w:t>
      </w:r>
      <w:r w:rsidRPr="009B0EC7">
        <w:rPr>
          <w:rFonts w:ascii="Verdana" w:eastAsiaTheme="minorEastAsia" w:hAnsi="Verdana" w:cs="Arial"/>
          <w:spacing w:val="32"/>
          <w:sz w:val="20"/>
          <w:szCs w:val="20"/>
          <w:lang w:eastAsia="es-CO"/>
        </w:rPr>
        <w:t xml:space="preserve"> </w:t>
      </w:r>
      <w:r w:rsidRPr="009B0EC7">
        <w:rPr>
          <w:rFonts w:ascii="Verdana" w:eastAsiaTheme="minorEastAsia" w:hAnsi="Verdana" w:cs="Arial"/>
          <w:sz w:val="20"/>
          <w:szCs w:val="20"/>
          <w:lang w:eastAsia="es-CO"/>
        </w:rPr>
        <w:t>además</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conocer</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un</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sinnúmero</w:t>
      </w:r>
      <w:r w:rsidRPr="009B0EC7">
        <w:rPr>
          <w:rFonts w:ascii="Verdana" w:eastAsiaTheme="minorEastAsia" w:hAnsi="Verdana" w:cs="Arial"/>
          <w:spacing w:val="31"/>
          <w:sz w:val="20"/>
          <w:szCs w:val="20"/>
          <w:lang w:eastAsia="es-CO"/>
        </w:rPr>
        <w:t xml:space="preserve"> </w:t>
      </w:r>
      <w:r w:rsidRPr="009B0EC7">
        <w:rPr>
          <w:rFonts w:ascii="Verdana" w:eastAsiaTheme="minorEastAsia" w:hAnsi="Verdana" w:cs="Arial"/>
          <w:sz w:val="20"/>
          <w:szCs w:val="20"/>
          <w:lang w:eastAsia="es-CO"/>
        </w:rPr>
        <w:t>de detalles de la actuación administrativa, es necesario acceder al expediente y a los documentos</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del procedimiento contractual donde surge la inquietud. Por esta razón, al no ser un órgano</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judicial, ni una entidad de vigilancia, inspección o control en materia contractual, la Agencia carece de la</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facultad</w:t>
      </w:r>
      <w:r w:rsidRPr="009B0EC7">
        <w:rPr>
          <w:rFonts w:ascii="Verdana" w:eastAsiaTheme="minorEastAsia" w:hAnsi="Verdana" w:cs="Arial"/>
          <w:spacing w:val="-2"/>
          <w:sz w:val="20"/>
          <w:szCs w:val="20"/>
          <w:lang w:eastAsia="es-CO"/>
        </w:rPr>
        <w:t xml:space="preserve"> </w:t>
      </w:r>
      <w:r w:rsidRPr="009B0EC7">
        <w:rPr>
          <w:rFonts w:ascii="Verdana" w:eastAsiaTheme="minorEastAsia" w:hAnsi="Verdana" w:cs="Arial"/>
          <w:sz w:val="20"/>
          <w:szCs w:val="20"/>
          <w:lang w:eastAsia="es-CO"/>
        </w:rPr>
        <w:t>para</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desempeñar</w:t>
      </w:r>
      <w:r w:rsidRPr="009B0EC7">
        <w:rPr>
          <w:rFonts w:ascii="Verdana" w:eastAsiaTheme="minorEastAsia" w:hAnsi="Verdana" w:cs="Arial"/>
          <w:spacing w:val="-2"/>
          <w:sz w:val="20"/>
          <w:szCs w:val="20"/>
          <w:lang w:eastAsia="es-CO"/>
        </w:rPr>
        <w:t xml:space="preserve"> </w:t>
      </w:r>
      <w:r w:rsidRPr="009B0EC7">
        <w:rPr>
          <w:rFonts w:ascii="Verdana" w:eastAsiaTheme="minorEastAsia" w:hAnsi="Verdana" w:cs="Arial"/>
          <w:sz w:val="20"/>
          <w:szCs w:val="20"/>
          <w:lang w:eastAsia="es-CO"/>
        </w:rPr>
        <w:t>estas</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funciones.</w:t>
      </w:r>
    </w:p>
    <w:p w14:paraId="4E7C18B5" w14:textId="77777777" w:rsidR="009B0EC7" w:rsidRDefault="009B0EC7" w:rsidP="009B0EC7">
      <w:pPr>
        <w:spacing w:after="0" w:line="240" w:lineRule="auto"/>
        <w:jc w:val="both"/>
        <w:rPr>
          <w:rFonts w:ascii="Verdana" w:eastAsiaTheme="minorEastAsia" w:hAnsi="Verdana" w:cs="Arial"/>
          <w:sz w:val="20"/>
          <w:szCs w:val="20"/>
          <w:lang w:eastAsia="es-CO"/>
        </w:rPr>
      </w:pPr>
    </w:p>
    <w:p w14:paraId="5031F534" w14:textId="77777777" w:rsidR="009B0EC7" w:rsidRPr="009B0EC7" w:rsidRDefault="009B0EC7" w:rsidP="009B0EC7">
      <w:pPr>
        <w:spacing w:after="0" w:line="240" w:lineRule="auto"/>
        <w:jc w:val="both"/>
        <w:rPr>
          <w:rFonts w:ascii="Verdana" w:eastAsiaTheme="minorEastAsia" w:hAnsi="Verdana" w:cs="Arial"/>
          <w:sz w:val="20"/>
          <w:szCs w:val="20"/>
          <w:lang w:eastAsia="es-CO"/>
        </w:rPr>
      </w:pPr>
      <w:r w:rsidRPr="009B0EC7">
        <w:rPr>
          <w:rFonts w:ascii="Verdana" w:eastAsiaTheme="minorEastAsia" w:hAnsi="Verdana" w:cs="Arial"/>
          <w:sz w:val="20"/>
          <w:szCs w:val="20"/>
          <w:lang w:eastAsia="es-CO"/>
        </w:rPr>
        <w:t>Ahora bien, debe señalarse que, el alcance de la competencia consultiva encuentra su fundamento normativo en el</w:t>
      </w:r>
      <w:r w:rsidRPr="009B0EC7">
        <w:rPr>
          <w:rFonts w:ascii="Verdana" w:eastAsiaTheme="minorEastAsia" w:hAnsi="Verdana" w:cs="Arial"/>
          <w:spacing w:val="-59"/>
          <w:sz w:val="20"/>
          <w:szCs w:val="20"/>
          <w:lang w:eastAsia="es-CO"/>
        </w:rPr>
        <w:t xml:space="preserve"> </w:t>
      </w:r>
      <w:r w:rsidRPr="009B0EC7">
        <w:rPr>
          <w:rFonts w:ascii="Verdana" w:eastAsiaTheme="minorEastAsia" w:hAnsi="Verdana" w:cs="Arial"/>
          <w:spacing w:val="-1"/>
          <w:sz w:val="20"/>
          <w:szCs w:val="20"/>
          <w:lang w:eastAsia="es-CO"/>
        </w:rPr>
        <w:t>artículo</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28</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de</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la</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Ley</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1437</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de</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2011,</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sustituido</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por</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el</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artículo</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pacing w:val="-1"/>
          <w:sz w:val="20"/>
          <w:szCs w:val="20"/>
          <w:lang w:eastAsia="es-CO"/>
        </w:rPr>
        <w:t>1</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z w:val="20"/>
          <w:szCs w:val="20"/>
          <w:lang w:eastAsia="es-CO"/>
        </w:rPr>
        <w:t>la</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z w:val="20"/>
          <w:szCs w:val="20"/>
          <w:lang w:eastAsia="es-CO"/>
        </w:rPr>
        <w:t>Ley</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z w:val="20"/>
          <w:szCs w:val="20"/>
          <w:lang w:eastAsia="es-CO"/>
        </w:rPr>
        <w:t>1755</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z w:val="20"/>
          <w:szCs w:val="20"/>
          <w:lang w:eastAsia="es-CO"/>
        </w:rPr>
        <w:t>2015,</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z w:val="20"/>
          <w:szCs w:val="20"/>
          <w:lang w:eastAsia="es-CO"/>
        </w:rPr>
        <w:t>que</w:t>
      </w:r>
      <w:r w:rsidRPr="009B0EC7">
        <w:rPr>
          <w:rFonts w:ascii="Verdana" w:eastAsiaTheme="minorEastAsia" w:hAnsi="Verdana" w:cs="Arial"/>
          <w:spacing w:val="-15"/>
          <w:sz w:val="20"/>
          <w:szCs w:val="20"/>
          <w:lang w:eastAsia="es-CO"/>
        </w:rPr>
        <w:t xml:space="preserve"> </w:t>
      </w:r>
      <w:r w:rsidRPr="009B0EC7">
        <w:rPr>
          <w:rFonts w:ascii="Verdana" w:eastAsiaTheme="minorEastAsia" w:hAnsi="Verdana" w:cs="Arial"/>
          <w:sz w:val="20"/>
          <w:szCs w:val="20"/>
          <w:lang w:eastAsia="es-CO"/>
        </w:rPr>
        <w:t>dispone</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lo</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 xml:space="preserve">siguiente: </w:t>
      </w:r>
      <w:r w:rsidRPr="009B0EC7">
        <w:rPr>
          <w:rFonts w:ascii="Verdana" w:eastAsia="Times New Roman" w:hAnsi="Verdana" w:cs="Arial"/>
          <w:sz w:val="20"/>
          <w:szCs w:val="20"/>
        </w:rPr>
        <w:t>“Artículo</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28.</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Alcance</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de</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los</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conceptos.</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Salvo</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disposición</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legal</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en</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contrario,</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los</w:t>
      </w:r>
      <w:r w:rsidRPr="009B0EC7">
        <w:rPr>
          <w:rFonts w:ascii="Verdana" w:eastAsia="Times New Roman" w:hAnsi="Verdana" w:cs="Arial"/>
          <w:spacing w:val="-56"/>
          <w:sz w:val="20"/>
          <w:szCs w:val="20"/>
        </w:rPr>
        <w:t xml:space="preserve"> </w:t>
      </w:r>
      <w:r w:rsidRPr="009B0EC7">
        <w:rPr>
          <w:rFonts w:ascii="Verdana" w:eastAsia="Times New Roman" w:hAnsi="Verdana" w:cs="Arial"/>
          <w:sz w:val="20"/>
          <w:szCs w:val="20"/>
        </w:rPr>
        <w:t>conceptos emitidos por las autoridades como respuestas a peticiones realizadas en</w:t>
      </w:r>
      <w:r w:rsidRPr="009B0EC7">
        <w:rPr>
          <w:rFonts w:ascii="Verdana" w:eastAsia="Times New Roman" w:hAnsi="Verdana" w:cs="Arial"/>
          <w:spacing w:val="1"/>
          <w:sz w:val="20"/>
          <w:szCs w:val="20"/>
        </w:rPr>
        <w:t xml:space="preserve"> </w:t>
      </w:r>
      <w:r w:rsidRPr="009B0EC7">
        <w:rPr>
          <w:rFonts w:ascii="Verdana" w:eastAsia="Times New Roman" w:hAnsi="Verdana" w:cs="Arial"/>
          <w:sz w:val="20"/>
          <w:szCs w:val="20"/>
        </w:rPr>
        <w:t xml:space="preserve">ejercicio del derecho a formular consultas </w:t>
      </w:r>
      <w:r w:rsidRPr="009B0EC7">
        <w:rPr>
          <w:rFonts w:ascii="Verdana" w:eastAsia="Times New Roman" w:hAnsi="Verdana" w:cs="Arial"/>
          <w:i/>
          <w:sz w:val="20"/>
          <w:szCs w:val="20"/>
        </w:rPr>
        <w:t>no serán de obligatorio cumplimiento o</w:t>
      </w:r>
      <w:r w:rsidRPr="009B0EC7">
        <w:rPr>
          <w:rFonts w:ascii="Verdana" w:eastAsia="Times New Roman" w:hAnsi="Verdana" w:cs="Arial"/>
          <w:i/>
          <w:spacing w:val="1"/>
          <w:sz w:val="20"/>
          <w:szCs w:val="20"/>
        </w:rPr>
        <w:t xml:space="preserve"> </w:t>
      </w:r>
      <w:r w:rsidRPr="009B0EC7">
        <w:rPr>
          <w:rFonts w:ascii="Verdana" w:eastAsia="Times New Roman" w:hAnsi="Verdana" w:cs="Arial"/>
          <w:i/>
          <w:sz w:val="20"/>
          <w:szCs w:val="20"/>
        </w:rPr>
        <w:t>ejecución</w:t>
      </w:r>
      <w:r w:rsidRPr="009B0EC7">
        <w:rPr>
          <w:rFonts w:ascii="Verdana" w:eastAsia="Times New Roman" w:hAnsi="Verdana" w:cs="Arial"/>
          <w:sz w:val="20"/>
          <w:szCs w:val="20"/>
        </w:rPr>
        <w:t>”. [Énfasis fuera del texto original]</w:t>
      </w:r>
    </w:p>
    <w:p w14:paraId="2773B917" w14:textId="77777777" w:rsidR="009B0EC7" w:rsidRPr="009B0EC7" w:rsidRDefault="009B0EC7" w:rsidP="009B0EC7">
      <w:pPr>
        <w:spacing w:after="0" w:line="240" w:lineRule="auto"/>
        <w:jc w:val="both"/>
        <w:rPr>
          <w:rFonts w:ascii="Verdana" w:eastAsiaTheme="minorEastAsia" w:hAnsi="Verdana" w:cs="Arial"/>
          <w:sz w:val="20"/>
          <w:szCs w:val="20"/>
          <w:lang w:eastAsia="es-CO"/>
        </w:rPr>
      </w:pPr>
    </w:p>
    <w:p w14:paraId="1345674B" w14:textId="77777777" w:rsidR="009B0EC7" w:rsidRDefault="009B0EC7" w:rsidP="009B0EC7">
      <w:pPr>
        <w:spacing w:after="0" w:line="240" w:lineRule="auto"/>
        <w:jc w:val="both"/>
        <w:rPr>
          <w:rFonts w:ascii="Verdana" w:eastAsiaTheme="minorEastAsia" w:hAnsi="Verdana" w:cs="Arial"/>
          <w:sz w:val="20"/>
          <w:szCs w:val="20"/>
          <w:lang w:eastAsia="es-CO"/>
        </w:rPr>
      </w:pPr>
      <w:r w:rsidRPr="009B0EC7">
        <w:rPr>
          <w:rFonts w:ascii="Verdana" w:eastAsiaTheme="minorEastAsia" w:hAnsi="Verdana" w:cs="Arial"/>
          <w:sz w:val="20"/>
          <w:szCs w:val="20"/>
          <w:lang w:eastAsia="es-CO"/>
        </w:rPr>
        <w:t>La</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norma</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citada</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prescribe</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que</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los</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conceptos</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emitidos</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por</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las</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autoridades,</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como</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respuestas a peticiones realizadas en ejercicio del derecho a formular consultas, no son de</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obligatorio cumplimiento o de imperativa ejecución, es decir, no tienen efectos vinculantes. En</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particular, es preciso advertir que los conceptos emitidos por esta Entidad contienen la posición hermenéutica de la</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 xml:space="preserve">Subdirección de Gestión Contractual </w:t>
      </w:r>
      <w:r w:rsidRPr="009B0EC7">
        <w:rPr>
          <w:rFonts w:ascii="Verdana" w:eastAsiaTheme="minorEastAsia" w:hAnsi="Verdana" w:cs="Arial"/>
          <w:sz w:val="20"/>
          <w:szCs w:val="20"/>
          <w:lang w:eastAsia="es-CO"/>
        </w:rPr>
        <w:lastRenderedPageBreak/>
        <w:t>en relación con determinado aspecto del ordenamiento</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jurídico. Esta competencia de interpretación de normas generales, por definición, no puede</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extenderse</w:t>
      </w:r>
      <w:r w:rsidRPr="009B0EC7">
        <w:rPr>
          <w:rFonts w:ascii="Verdana" w:eastAsiaTheme="minorEastAsia" w:hAnsi="Verdana" w:cs="Arial"/>
          <w:spacing w:val="-3"/>
          <w:sz w:val="20"/>
          <w:szCs w:val="20"/>
          <w:lang w:eastAsia="es-CO"/>
        </w:rPr>
        <w:t xml:space="preserve"> </w:t>
      </w:r>
      <w:r w:rsidRPr="009B0EC7">
        <w:rPr>
          <w:rFonts w:ascii="Verdana" w:eastAsiaTheme="minorEastAsia" w:hAnsi="Verdana" w:cs="Arial"/>
          <w:sz w:val="20"/>
          <w:szCs w:val="20"/>
          <w:lang w:eastAsia="es-CO"/>
        </w:rPr>
        <w:t>a</w:t>
      </w:r>
      <w:r w:rsidRPr="009B0EC7">
        <w:rPr>
          <w:rFonts w:ascii="Verdana" w:eastAsiaTheme="minorEastAsia" w:hAnsi="Verdana" w:cs="Arial"/>
          <w:spacing w:val="-3"/>
          <w:sz w:val="20"/>
          <w:szCs w:val="20"/>
          <w:lang w:eastAsia="es-CO"/>
        </w:rPr>
        <w:t xml:space="preserve"> </w:t>
      </w:r>
      <w:r w:rsidRPr="009B0EC7">
        <w:rPr>
          <w:rFonts w:ascii="Verdana" w:eastAsiaTheme="minorEastAsia" w:hAnsi="Verdana" w:cs="Arial"/>
          <w:sz w:val="20"/>
          <w:szCs w:val="20"/>
          <w:lang w:eastAsia="es-CO"/>
        </w:rPr>
        <w:t>la</w:t>
      </w:r>
      <w:r w:rsidRPr="009B0EC7">
        <w:rPr>
          <w:rFonts w:ascii="Verdana" w:eastAsiaTheme="minorEastAsia" w:hAnsi="Verdana" w:cs="Arial"/>
          <w:spacing w:val="-2"/>
          <w:sz w:val="20"/>
          <w:szCs w:val="20"/>
          <w:lang w:eastAsia="es-CO"/>
        </w:rPr>
        <w:t xml:space="preserve"> </w:t>
      </w:r>
      <w:r w:rsidRPr="009B0EC7">
        <w:rPr>
          <w:rFonts w:ascii="Verdana" w:eastAsiaTheme="minorEastAsia" w:hAnsi="Verdana" w:cs="Arial"/>
          <w:sz w:val="20"/>
          <w:szCs w:val="20"/>
          <w:lang w:eastAsia="es-CO"/>
        </w:rPr>
        <w:t>resolución</w:t>
      </w:r>
      <w:r w:rsidRPr="009B0EC7">
        <w:rPr>
          <w:rFonts w:ascii="Verdana" w:eastAsiaTheme="minorEastAsia" w:hAnsi="Verdana" w:cs="Arial"/>
          <w:spacing w:val="-3"/>
          <w:sz w:val="20"/>
          <w:szCs w:val="20"/>
          <w:lang w:eastAsia="es-CO"/>
        </w:rPr>
        <w:t xml:space="preserve"> </w:t>
      </w:r>
      <w:r w:rsidRPr="009B0EC7">
        <w:rPr>
          <w:rFonts w:ascii="Verdana" w:eastAsiaTheme="minorEastAsia" w:hAnsi="Verdana" w:cs="Arial"/>
          <w:sz w:val="20"/>
          <w:szCs w:val="20"/>
          <w:lang w:eastAsia="es-CO"/>
        </w:rPr>
        <w:t>de</w:t>
      </w:r>
      <w:r w:rsidRPr="009B0EC7">
        <w:rPr>
          <w:rFonts w:ascii="Verdana" w:eastAsiaTheme="minorEastAsia" w:hAnsi="Verdana" w:cs="Arial"/>
          <w:spacing w:val="-2"/>
          <w:sz w:val="20"/>
          <w:szCs w:val="20"/>
          <w:lang w:eastAsia="es-CO"/>
        </w:rPr>
        <w:t xml:space="preserve"> </w:t>
      </w:r>
      <w:r w:rsidRPr="009B0EC7">
        <w:rPr>
          <w:rFonts w:ascii="Verdana" w:eastAsiaTheme="minorEastAsia" w:hAnsi="Verdana" w:cs="Arial"/>
          <w:sz w:val="20"/>
          <w:szCs w:val="20"/>
          <w:lang w:eastAsia="es-CO"/>
        </w:rPr>
        <w:t>controversias,</w:t>
      </w:r>
      <w:r w:rsidRPr="009B0EC7">
        <w:rPr>
          <w:rFonts w:ascii="Verdana" w:eastAsiaTheme="minorEastAsia" w:hAnsi="Verdana" w:cs="Arial"/>
          <w:spacing w:val="-3"/>
          <w:sz w:val="20"/>
          <w:szCs w:val="20"/>
          <w:lang w:eastAsia="es-CO"/>
        </w:rPr>
        <w:t xml:space="preserve"> </w:t>
      </w:r>
      <w:r w:rsidRPr="009B0EC7">
        <w:rPr>
          <w:rFonts w:ascii="Verdana" w:eastAsiaTheme="minorEastAsia" w:hAnsi="Verdana" w:cs="Arial"/>
          <w:sz w:val="20"/>
          <w:szCs w:val="20"/>
          <w:lang w:eastAsia="es-CO"/>
        </w:rPr>
        <w:t>ni</w:t>
      </w:r>
      <w:r w:rsidRPr="009B0EC7">
        <w:rPr>
          <w:rFonts w:ascii="Verdana" w:eastAsiaTheme="minorEastAsia" w:hAnsi="Verdana" w:cs="Arial"/>
          <w:spacing w:val="-3"/>
          <w:sz w:val="20"/>
          <w:szCs w:val="20"/>
          <w:lang w:eastAsia="es-CO"/>
        </w:rPr>
        <w:t xml:space="preserve"> </w:t>
      </w:r>
      <w:r w:rsidRPr="009B0EC7">
        <w:rPr>
          <w:rFonts w:ascii="Verdana" w:eastAsiaTheme="minorEastAsia" w:hAnsi="Verdana" w:cs="Arial"/>
          <w:sz w:val="20"/>
          <w:szCs w:val="20"/>
          <w:lang w:eastAsia="es-CO"/>
        </w:rPr>
        <w:t>a</w:t>
      </w:r>
      <w:r w:rsidRPr="009B0EC7">
        <w:rPr>
          <w:rFonts w:ascii="Verdana" w:eastAsiaTheme="minorEastAsia" w:hAnsi="Verdana" w:cs="Arial"/>
          <w:spacing w:val="-2"/>
          <w:sz w:val="20"/>
          <w:szCs w:val="20"/>
          <w:lang w:eastAsia="es-CO"/>
        </w:rPr>
        <w:t xml:space="preserve"> </w:t>
      </w:r>
      <w:r w:rsidRPr="009B0EC7">
        <w:rPr>
          <w:rFonts w:ascii="Verdana" w:eastAsiaTheme="minorEastAsia" w:hAnsi="Verdana" w:cs="Arial"/>
          <w:sz w:val="20"/>
          <w:szCs w:val="20"/>
          <w:lang w:eastAsia="es-CO"/>
        </w:rPr>
        <w:t>brindar</w:t>
      </w:r>
      <w:r w:rsidRPr="009B0EC7">
        <w:rPr>
          <w:rFonts w:ascii="Verdana" w:eastAsiaTheme="minorEastAsia" w:hAnsi="Verdana" w:cs="Arial"/>
          <w:spacing w:val="-3"/>
          <w:sz w:val="20"/>
          <w:szCs w:val="20"/>
          <w:lang w:eastAsia="es-CO"/>
        </w:rPr>
        <w:t xml:space="preserve"> </w:t>
      </w:r>
      <w:r w:rsidRPr="009B0EC7">
        <w:rPr>
          <w:rFonts w:ascii="Verdana" w:eastAsiaTheme="minorEastAsia" w:hAnsi="Verdana" w:cs="Arial"/>
          <w:sz w:val="20"/>
          <w:szCs w:val="20"/>
          <w:lang w:eastAsia="es-CO"/>
        </w:rPr>
        <w:t>asesorías</w:t>
      </w:r>
      <w:r w:rsidRPr="009B0EC7">
        <w:rPr>
          <w:rFonts w:ascii="Verdana" w:eastAsiaTheme="minorEastAsia" w:hAnsi="Verdana" w:cs="Arial"/>
          <w:spacing w:val="-2"/>
          <w:sz w:val="20"/>
          <w:szCs w:val="20"/>
          <w:lang w:eastAsia="es-CO"/>
        </w:rPr>
        <w:t xml:space="preserve"> </w:t>
      </w:r>
      <w:r w:rsidRPr="009B0EC7">
        <w:rPr>
          <w:rFonts w:ascii="Verdana" w:eastAsiaTheme="minorEastAsia" w:hAnsi="Verdana" w:cs="Arial"/>
          <w:sz w:val="20"/>
          <w:szCs w:val="20"/>
          <w:lang w:eastAsia="es-CO"/>
        </w:rPr>
        <w:t>sobre</w:t>
      </w:r>
      <w:r w:rsidRPr="009B0EC7">
        <w:rPr>
          <w:rFonts w:ascii="Verdana" w:eastAsiaTheme="minorEastAsia" w:hAnsi="Verdana" w:cs="Arial"/>
          <w:spacing w:val="-3"/>
          <w:sz w:val="20"/>
          <w:szCs w:val="20"/>
          <w:lang w:eastAsia="es-CO"/>
        </w:rPr>
        <w:t xml:space="preserve"> </w:t>
      </w:r>
      <w:r w:rsidRPr="009B0EC7">
        <w:rPr>
          <w:rFonts w:ascii="Verdana" w:eastAsiaTheme="minorEastAsia" w:hAnsi="Verdana" w:cs="Arial"/>
          <w:sz w:val="20"/>
          <w:szCs w:val="20"/>
          <w:lang w:eastAsia="es-CO"/>
        </w:rPr>
        <w:t>casos</w:t>
      </w:r>
      <w:r w:rsidRPr="009B0EC7">
        <w:rPr>
          <w:rFonts w:ascii="Verdana" w:eastAsiaTheme="minorEastAsia" w:hAnsi="Verdana" w:cs="Arial"/>
          <w:spacing w:val="-2"/>
          <w:sz w:val="20"/>
          <w:szCs w:val="20"/>
          <w:lang w:eastAsia="es-CO"/>
        </w:rPr>
        <w:t xml:space="preserve"> </w:t>
      </w:r>
      <w:r w:rsidRPr="009B0EC7">
        <w:rPr>
          <w:rFonts w:ascii="Verdana" w:eastAsiaTheme="minorEastAsia" w:hAnsi="Verdana" w:cs="Arial"/>
          <w:sz w:val="20"/>
          <w:szCs w:val="20"/>
          <w:lang w:eastAsia="es-CO"/>
        </w:rPr>
        <w:t>puntuales.</w:t>
      </w:r>
    </w:p>
    <w:p w14:paraId="39F203A3" w14:textId="77777777" w:rsidR="009B0EC7" w:rsidRDefault="009B0EC7" w:rsidP="009B0EC7">
      <w:pPr>
        <w:spacing w:after="0" w:line="240" w:lineRule="auto"/>
        <w:jc w:val="both"/>
        <w:rPr>
          <w:rFonts w:ascii="Verdana" w:eastAsiaTheme="minorEastAsia" w:hAnsi="Verdana" w:cs="Arial"/>
          <w:sz w:val="20"/>
          <w:szCs w:val="20"/>
          <w:lang w:eastAsia="es-CO"/>
        </w:rPr>
      </w:pPr>
    </w:p>
    <w:p w14:paraId="09F9371D" w14:textId="6898689B" w:rsidR="009B0EC7" w:rsidRPr="009B0EC7" w:rsidRDefault="009B0EC7" w:rsidP="009B0EC7">
      <w:pPr>
        <w:spacing w:after="0" w:line="240" w:lineRule="auto"/>
        <w:jc w:val="both"/>
        <w:rPr>
          <w:rFonts w:ascii="Verdana" w:eastAsiaTheme="minorEastAsia" w:hAnsi="Verdana" w:cs="Arial"/>
          <w:sz w:val="20"/>
          <w:szCs w:val="20"/>
          <w:lang w:eastAsia="es-CO"/>
        </w:rPr>
      </w:pPr>
      <w:r w:rsidRPr="009B0EC7">
        <w:rPr>
          <w:rFonts w:ascii="Verdana" w:eastAsiaTheme="minorEastAsia" w:hAnsi="Verdana" w:cs="Arial"/>
          <w:sz w:val="20"/>
          <w:szCs w:val="20"/>
          <w:lang w:eastAsia="es-CO"/>
        </w:rPr>
        <w:t>En otras palabras, los conceptos de esta Agencia tienen como objeto la interpretación de</w:t>
      </w:r>
      <w:r w:rsidRPr="009B0EC7">
        <w:rPr>
          <w:rFonts w:ascii="Verdana" w:eastAsiaTheme="minorEastAsia" w:hAnsi="Verdana" w:cs="Arial"/>
          <w:spacing w:val="-59"/>
          <w:sz w:val="20"/>
          <w:szCs w:val="20"/>
          <w:lang w:eastAsia="es-CO"/>
        </w:rPr>
        <w:t xml:space="preserve"> </w:t>
      </w:r>
      <w:r w:rsidRPr="009B0EC7">
        <w:rPr>
          <w:rFonts w:ascii="Verdana" w:eastAsiaTheme="minorEastAsia" w:hAnsi="Verdana" w:cs="Arial"/>
          <w:sz w:val="20"/>
          <w:szCs w:val="20"/>
          <w:lang w:eastAsia="es-CO"/>
        </w:rPr>
        <w:t>normas de carácter general, esto es, del ordenamiento jurídico en abstracto, no la resolución de controversias o la asesoría para casos concretos; además, no son vinculantes o de obligatorio</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cumplimiento</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para</w:t>
      </w:r>
      <w:r w:rsidRPr="009B0EC7">
        <w:rPr>
          <w:rFonts w:ascii="Verdana" w:eastAsiaTheme="minorEastAsia" w:hAnsi="Verdana" w:cs="Arial"/>
          <w:spacing w:val="-8"/>
          <w:sz w:val="20"/>
          <w:szCs w:val="20"/>
          <w:lang w:eastAsia="es-CO"/>
        </w:rPr>
        <w:t xml:space="preserve"> </w:t>
      </w:r>
      <w:r w:rsidRPr="009B0EC7">
        <w:rPr>
          <w:rFonts w:ascii="Verdana" w:eastAsiaTheme="minorEastAsia" w:hAnsi="Verdana" w:cs="Arial"/>
          <w:sz w:val="20"/>
          <w:szCs w:val="20"/>
          <w:lang w:eastAsia="es-CO"/>
        </w:rPr>
        <w:t>el</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destinatario,</w:t>
      </w:r>
      <w:r w:rsidRPr="009B0EC7">
        <w:rPr>
          <w:rFonts w:ascii="Verdana" w:eastAsiaTheme="minorEastAsia" w:hAnsi="Verdana" w:cs="Arial"/>
          <w:spacing w:val="-8"/>
          <w:sz w:val="20"/>
          <w:szCs w:val="20"/>
          <w:lang w:eastAsia="es-CO"/>
        </w:rPr>
        <w:t xml:space="preserve"> </w:t>
      </w:r>
      <w:r w:rsidRPr="009B0EC7">
        <w:rPr>
          <w:rFonts w:ascii="Verdana" w:eastAsiaTheme="minorEastAsia" w:hAnsi="Verdana" w:cs="Arial"/>
          <w:sz w:val="20"/>
          <w:szCs w:val="20"/>
          <w:lang w:eastAsia="es-CO"/>
        </w:rPr>
        <w:t>sino</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que</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expresan</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la</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posición</w:t>
      </w:r>
      <w:r w:rsidRPr="009B0EC7">
        <w:rPr>
          <w:rFonts w:ascii="Verdana" w:eastAsiaTheme="minorEastAsia" w:hAnsi="Verdana" w:cs="Arial"/>
          <w:spacing w:val="-9"/>
          <w:sz w:val="20"/>
          <w:szCs w:val="20"/>
          <w:lang w:eastAsia="es-CO"/>
        </w:rPr>
        <w:t xml:space="preserve"> </w:t>
      </w:r>
      <w:r w:rsidRPr="009B0EC7">
        <w:rPr>
          <w:rFonts w:ascii="Verdana" w:eastAsiaTheme="minorEastAsia" w:hAnsi="Verdana" w:cs="Arial"/>
          <w:sz w:val="20"/>
          <w:szCs w:val="20"/>
          <w:lang w:eastAsia="es-CO"/>
        </w:rPr>
        <w:t>interpretativa</w:t>
      </w:r>
      <w:r w:rsidRPr="009B0EC7">
        <w:rPr>
          <w:rFonts w:ascii="Verdana" w:eastAsiaTheme="minorEastAsia" w:hAnsi="Verdana" w:cs="Arial"/>
          <w:spacing w:val="-8"/>
          <w:sz w:val="20"/>
          <w:szCs w:val="20"/>
          <w:lang w:eastAsia="es-CO"/>
        </w:rPr>
        <w:t xml:space="preserve"> </w:t>
      </w:r>
      <w:r w:rsidRPr="009B0EC7">
        <w:rPr>
          <w:rFonts w:ascii="Verdana" w:eastAsiaTheme="minorEastAsia" w:hAnsi="Verdana" w:cs="Arial"/>
          <w:sz w:val="20"/>
          <w:szCs w:val="20"/>
          <w:lang w:eastAsia="es-CO"/>
        </w:rPr>
        <w:t>del</w:t>
      </w:r>
      <w:r w:rsidRPr="009B0EC7">
        <w:rPr>
          <w:rFonts w:ascii="Verdana" w:eastAsiaTheme="minorEastAsia" w:hAnsi="Verdana" w:cs="Arial"/>
          <w:spacing w:val="-10"/>
          <w:sz w:val="20"/>
          <w:szCs w:val="20"/>
          <w:lang w:eastAsia="es-CO"/>
        </w:rPr>
        <w:t xml:space="preserve"> </w:t>
      </w:r>
      <w:r w:rsidRPr="009B0EC7">
        <w:rPr>
          <w:rFonts w:ascii="Verdana" w:eastAsiaTheme="minorEastAsia" w:hAnsi="Verdana" w:cs="Arial"/>
          <w:sz w:val="20"/>
          <w:szCs w:val="20"/>
          <w:lang w:eastAsia="es-CO"/>
        </w:rPr>
        <w:t>organismo</w:t>
      </w:r>
      <w:r w:rsidRPr="009B0EC7">
        <w:rPr>
          <w:rFonts w:ascii="Verdana" w:eastAsiaTheme="minorEastAsia" w:hAnsi="Verdana" w:cs="Arial"/>
          <w:spacing w:val="-8"/>
          <w:sz w:val="20"/>
          <w:szCs w:val="20"/>
          <w:lang w:eastAsia="es-CO"/>
        </w:rPr>
        <w:t xml:space="preserve"> </w:t>
      </w:r>
      <w:r w:rsidRPr="009B0EC7">
        <w:rPr>
          <w:rFonts w:ascii="Verdana" w:eastAsiaTheme="minorEastAsia" w:hAnsi="Verdana" w:cs="Arial"/>
          <w:sz w:val="20"/>
          <w:szCs w:val="20"/>
          <w:lang w:eastAsia="es-CO"/>
        </w:rPr>
        <w:t>que</w:t>
      </w:r>
      <w:r w:rsidRPr="009B0EC7">
        <w:rPr>
          <w:rFonts w:ascii="Verdana" w:eastAsiaTheme="minorEastAsia" w:hAnsi="Verdana" w:cs="Arial"/>
          <w:spacing w:val="-59"/>
          <w:sz w:val="20"/>
          <w:szCs w:val="20"/>
          <w:lang w:eastAsia="es-CO"/>
        </w:rPr>
        <w:t xml:space="preserve"> </w:t>
      </w:r>
      <w:r w:rsidRPr="009B0EC7">
        <w:rPr>
          <w:rFonts w:ascii="Verdana" w:eastAsiaTheme="minorEastAsia" w:hAnsi="Verdana" w:cs="Arial"/>
          <w:sz w:val="20"/>
          <w:szCs w:val="20"/>
          <w:lang w:eastAsia="es-CO"/>
        </w:rPr>
        <w:t>elabora</w:t>
      </w:r>
      <w:r w:rsidRPr="009B0EC7">
        <w:rPr>
          <w:rFonts w:ascii="Verdana" w:eastAsiaTheme="minorEastAsia" w:hAnsi="Verdana" w:cs="Arial"/>
          <w:spacing w:val="-2"/>
          <w:sz w:val="20"/>
          <w:szCs w:val="20"/>
          <w:lang w:eastAsia="es-CO"/>
        </w:rPr>
        <w:t xml:space="preserve"> </w:t>
      </w:r>
      <w:r w:rsidRPr="009B0EC7">
        <w:rPr>
          <w:rFonts w:ascii="Verdana" w:eastAsiaTheme="minorEastAsia" w:hAnsi="Verdana" w:cs="Arial"/>
          <w:sz w:val="20"/>
          <w:szCs w:val="20"/>
          <w:lang w:eastAsia="es-CO"/>
        </w:rPr>
        <w:t>el</w:t>
      </w:r>
      <w:r w:rsidRPr="009B0EC7">
        <w:rPr>
          <w:rFonts w:ascii="Verdana" w:eastAsiaTheme="minorEastAsia" w:hAnsi="Verdana" w:cs="Arial"/>
          <w:spacing w:val="-1"/>
          <w:sz w:val="20"/>
          <w:szCs w:val="20"/>
          <w:lang w:eastAsia="es-CO"/>
        </w:rPr>
        <w:t xml:space="preserve"> </w:t>
      </w:r>
      <w:r w:rsidRPr="009B0EC7">
        <w:rPr>
          <w:rFonts w:ascii="Verdana" w:eastAsiaTheme="minorEastAsia" w:hAnsi="Verdana" w:cs="Arial"/>
          <w:sz w:val="20"/>
          <w:szCs w:val="20"/>
          <w:lang w:eastAsia="es-CO"/>
        </w:rPr>
        <w:t>concepto.</w:t>
      </w:r>
    </w:p>
    <w:p w14:paraId="08C1B2E9" w14:textId="77777777" w:rsidR="009B0EC7" w:rsidRPr="009B0EC7" w:rsidRDefault="009B0EC7" w:rsidP="009B0EC7">
      <w:pPr>
        <w:spacing w:after="0" w:line="240" w:lineRule="auto"/>
        <w:jc w:val="both"/>
        <w:rPr>
          <w:rFonts w:ascii="Verdana" w:eastAsiaTheme="minorEastAsia" w:hAnsi="Verdana" w:cs="Arial"/>
          <w:sz w:val="20"/>
          <w:szCs w:val="20"/>
          <w:lang w:eastAsia="es-CO"/>
        </w:rPr>
      </w:pPr>
    </w:p>
    <w:p w14:paraId="126FB1B3" w14:textId="77777777" w:rsidR="00C70D2C" w:rsidRDefault="00C70D2C" w:rsidP="00C70D2C">
      <w:pPr>
        <w:spacing w:after="0"/>
        <w:jc w:val="both"/>
        <w:rPr>
          <w:rFonts w:ascii="Verdana" w:eastAsia="Calibri" w:hAnsi="Verdana" w:cs="Arial"/>
          <w:b/>
          <w:lang w:val="es-ES" w:eastAsia="es-ES"/>
        </w:rPr>
      </w:pPr>
      <w:r w:rsidRPr="00C70D2C">
        <w:rPr>
          <w:rFonts w:ascii="Verdana" w:eastAsia="Calibri" w:hAnsi="Verdana" w:cs="Arial"/>
          <w:b/>
          <w:lang w:val="es-ES" w:eastAsia="es-ES"/>
        </w:rPr>
        <w:t xml:space="preserve">URGENCIA MANIFIESTA – Definición – Causal – Contratación directa </w:t>
      </w:r>
    </w:p>
    <w:p w14:paraId="6DB48BB7" w14:textId="77777777" w:rsidR="009B0EC7" w:rsidRDefault="009B0EC7" w:rsidP="00557E1E">
      <w:pPr>
        <w:spacing w:after="0" w:line="240" w:lineRule="auto"/>
        <w:jc w:val="both"/>
        <w:rPr>
          <w:rFonts w:ascii="Verdana" w:eastAsia="Calibri" w:hAnsi="Verdana" w:cs="Arial"/>
          <w:b/>
          <w:lang w:val="es-ES" w:eastAsia="es-ES"/>
        </w:rPr>
      </w:pPr>
    </w:p>
    <w:p w14:paraId="78DD2250" w14:textId="77777777" w:rsidR="00E65B3A" w:rsidRPr="00E65B3A" w:rsidRDefault="00E65B3A" w:rsidP="00E65B3A">
      <w:pPr>
        <w:spacing w:after="0" w:line="240" w:lineRule="auto"/>
        <w:jc w:val="both"/>
        <w:rPr>
          <w:rFonts w:ascii="Verdana" w:eastAsia="Calibri" w:hAnsi="Verdana" w:cs="Arial"/>
          <w:sz w:val="20"/>
          <w:szCs w:val="20"/>
          <w:lang w:val="es-ES_tradnl"/>
        </w:rPr>
      </w:pPr>
      <w:r w:rsidRPr="00E65B3A">
        <w:rPr>
          <w:rFonts w:ascii="Verdana" w:eastAsia="Calibri" w:hAnsi="Verdana" w:cs="Arial"/>
          <w:sz w:val="20"/>
          <w:szCs w:val="20"/>
          <w:lang w:val="es-ES_tradnl"/>
        </w:rPr>
        <w:t>Si bien la licitación pública es la modalidad de selección que constituye la regla general para las entidades regidas por el Estatuto General de Contratación de la Administración Pública, el artículo 2.4 de la Ley 1150 de 2007 consagra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w:t>
      </w:r>
    </w:p>
    <w:p w14:paraId="7ECE7D5D" w14:textId="77777777" w:rsidR="00E65B3A" w:rsidRDefault="00E65B3A" w:rsidP="00E65B3A">
      <w:pPr>
        <w:spacing w:after="0" w:line="240" w:lineRule="auto"/>
        <w:jc w:val="both"/>
        <w:rPr>
          <w:rFonts w:ascii="Verdana" w:eastAsia="Calibri" w:hAnsi="Verdana" w:cs="Arial"/>
          <w:sz w:val="20"/>
          <w:szCs w:val="20"/>
          <w:lang w:val="es-ES_tradnl"/>
        </w:rPr>
      </w:pPr>
    </w:p>
    <w:p w14:paraId="7CDB210A" w14:textId="0BE58290" w:rsidR="009B0EC7" w:rsidRDefault="00E65B3A" w:rsidP="00E65B3A">
      <w:pPr>
        <w:spacing w:after="0" w:line="240" w:lineRule="auto"/>
        <w:jc w:val="both"/>
        <w:rPr>
          <w:rFonts w:ascii="Verdana" w:eastAsia="Calibri" w:hAnsi="Verdana" w:cs="Arial"/>
          <w:sz w:val="20"/>
          <w:szCs w:val="20"/>
          <w:lang w:val="es-ES_tradnl"/>
        </w:rPr>
      </w:pPr>
      <w:r w:rsidRPr="00E65B3A">
        <w:rPr>
          <w:rFonts w:ascii="Verdana" w:eastAsia="Calibri" w:hAnsi="Verdana" w:cs="Arial"/>
          <w:sz w:val="20"/>
          <w:szCs w:val="20"/>
          <w:lang w:val="es-ES_tradnl"/>
        </w:rPr>
        <w:t>Esta causal debe leerse en concordancia con los artículos 42 de la Ley 80 de 1993, que define el concepto y establece el procedimiento para su declaratoria, así como para la celebración de los contratos que se derivan de aquella.</w:t>
      </w:r>
    </w:p>
    <w:p w14:paraId="641A6E63" w14:textId="77777777" w:rsidR="00557E1E" w:rsidRDefault="00557E1E" w:rsidP="00E65B3A">
      <w:pPr>
        <w:spacing w:after="0" w:line="240" w:lineRule="auto"/>
        <w:jc w:val="both"/>
        <w:rPr>
          <w:rFonts w:ascii="Verdana" w:eastAsia="Calibri" w:hAnsi="Verdana" w:cs="Arial"/>
          <w:sz w:val="20"/>
          <w:szCs w:val="20"/>
          <w:lang w:val="es-ES_tradnl"/>
        </w:rPr>
      </w:pPr>
    </w:p>
    <w:p w14:paraId="410A8067" w14:textId="13754BB5" w:rsidR="00557E1E" w:rsidRPr="00557E1E" w:rsidRDefault="00557E1E" w:rsidP="00E65B3A">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_tradnl"/>
        </w:rPr>
        <w:t xml:space="preserve">[…] </w:t>
      </w:r>
      <w:r w:rsidRPr="00557E1E">
        <w:rPr>
          <w:rFonts w:ascii="Verdana" w:eastAsia="Calibri" w:hAnsi="Verdana" w:cs="Arial"/>
          <w:sz w:val="20"/>
          <w:szCs w:val="20"/>
          <w:lang w:val="es-ES_tradnl"/>
        </w:rPr>
        <w:t>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w:t>
      </w:r>
    </w:p>
    <w:p w14:paraId="0C41FFF9" w14:textId="77777777" w:rsidR="00557E1E" w:rsidRDefault="00557E1E" w:rsidP="00E65B3A">
      <w:pPr>
        <w:spacing w:after="0" w:line="240" w:lineRule="auto"/>
        <w:jc w:val="both"/>
        <w:rPr>
          <w:rFonts w:ascii="Verdana" w:eastAsia="Calibri" w:hAnsi="Verdana" w:cs="Arial"/>
          <w:sz w:val="20"/>
          <w:szCs w:val="20"/>
          <w:lang w:val="es-ES_tradnl"/>
        </w:rPr>
      </w:pPr>
    </w:p>
    <w:p w14:paraId="56C6BA1D" w14:textId="7AC3191A" w:rsidR="00557E1E" w:rsidRDefault="00557E1E" w:rsidP="00E65B3A">
      <w:pPr>
        <w:spacing w:after="0" w:line="240" w:lineRule="auto"/>
        <w:jc w:val="both"/>
        <w:rPr>
          <w:rFonts w:ascii="Verdana" w:eastAsia="Calibri" w:hAnsi="Verdana" w:cs="Arial"/>
          <w:sz w:val="20"/>
          <w:szCs w:val="20"/>
          <w:lang w:val="es-ES_tradnl"/>
        </w:rPr>
      </w:pPr>
      <w:r>
        <w:rPr>
          <w:rFonts w:ascii="Verdana" w:eastAsia="Calibri" w:hAnsi="Verdana" w:cs="Arial"/>
          <w:sz w:val="20"/>
          <w:szCs w:val="20"/>
          <w:lang w:val="es-ES_tradnl"/>
        </w:rPr>
        <w:t xml:space="preserve">[…] </w:t>
      </w:r>
      <w:r w:rsidRPr="00557E1E">
        <w:rPr>
          <w:rFonts w:ascii="Verdana" w:eastAsia="Calibri" w:hAnsi="Verdana" w:cs="Arial"/>
          <w:sz w:val="20"/>
          <w:szCs w:val="20"/>
          <w:lang w:val="es-ES_tradnl"/>
        </w:rPr>
        <w:t xml:space="preserve">En esta medida, el precitado artículo 42 del Estatuto General de Contratación contempla cuatro (4) circunstancias o hechos que configuran la urgencia manifiesta, si así lo declara la entidad: i) cuando la continuidad del servicio exige el suministro de bienes, o la prestación de servicios, o la ejecución de obras en el inmediato futuro; </w:t>
      </w:r>
      <w:proofErr w:type="spellStart"/>
      <w:r w:rsidRPr="00557E1E">
        <w:rPr>
          <w:rFonts w:ascii="Verdana" w:eastAsia="Calibri" w:hAnsi="Verdana" w:cs="Arial"/>
          <w:sz w:val="20"/>
          <w:szCs w:val="20"/>
          <w:lang w:val="es-ES_tradnl"/>
        </w:rPr>
        <w:t>ii</w:t>
      </w:r>
      <w:proofErr w:type="spellEnd"/>
      <w:r w:rsidRPr="00557E1E">
        <w:rPr>
          <w:rFonts w:ascii="Verdana" w:eastAsia="Calibri" w:hAnsi="Verdana" w:cs="Arial"/>
          <w:sz w:val="20"/>
          <w:szCs w:val="20"/>
          <w:lang w:val="es-ES_tradnl"/>
        </w:rPr>
        <w:t xml:space="preserve">) cuando se presenten situaciones relacionadas con los estados de excepción; </w:t>
      </w:r>
      <w:proofErr w:type="spellStart"/>
      <w:r w:rsidRPr="00557E1E">
        <w:rPr>
          <w:rFonts w:ascii="Verdana" w:eastAsia="Calibri" w:hAnsi="Verdana" w:cs="Arial"/>
          <w:sz w:val="20"/>
          <w:szCs w:val="20"/>
          <w:lang w:val="es-ES_tradnl"/>
        </w:rPr>
        <w:t>iii</w:t>
      </w:r>
      <w:proofErr w:type="spellEnd"/>
      <w:r w:rsidRPr="00557E1E">
        <w:rPr>
          <w:rFonts w:ascii="Verdana" w:eastAsia="Calibri" w:hAnsi="Verdana" w:cs="Arial"/>
          <w:sz w:val="20"/>
          <w:szCs w:val="20"/>
          <w:lang w:val="es-ES_tradnl"/>
        </w:rPr>
        <w:t xml:space="preserve">) cuando se trate de conjurar situaciones excepcionales relacionadas con hechos de calamidad o constitutivos de fuerza mayor o desastre que demanden actuaciones inmediatas; y </w:t>
      </w:r>
      <w:proofErr w:type="spellStart"/>
      <w:r w:rsidRPr="00557E1E">
        <w:rPr>
          <w:rFonts w:ascii="Verdana" w:eastAsia="Calibri" w:hAnsi="Verdana" w:cs="Arial"/>
          <w:sz w:val="20"/>
          <w:szCs w:val="20"/>
          <w:lang w:val="es-ES_tradnl"/>
        </w:rPr>
        <w:t>iv</w:t>
      </w:r>
      <w:proofErr w:type="spellEnd"/>
      <w:r w:rsidRPr="00557E1E">
        <w:rPr>
          <w:rFonts w:ascii="Verdana" w:eastAsia="Calibri" w:hAnsi="Verdana" w:cs="Arial"/>
          <w:sz w:val="20"/>
          <w:szCs w:val="20"/>
          <w:lang w:val="es-ES_tradnl"/>
        </w:rPr>
        <w:t>) en general, cuando se trate de situaciones similares que imposibiliten acudir a los procedimientos de selección o concurso públicos.</w:t>
      </w:r>
    </w:p>
    <w:p w14:paraId="0118E510" w14:textId="77777777" w:rsidR="00557E1E" w:rsidRPr="00E65B3A" w:rsidRDefault="00557E1E" w:rsidP="00E65B3A">
      <w:pPr>
        <w:spacing w:after="0" w:line="240" w:lineRule="auto"/>
        <w:jc w:val="both"/>
        <w:rPr>
          <w:rFonts w:ascii="Verdana" w:eastAsia="Calibri" w:hAnsi="Verdana" w:cs="Arial"/>
          <w:b/>
          <w:sz w:val="20"/>
          <w:szCs w:val="20"/>
          <w:lang w:val="es-ES" w:eastAsia="es-ES"/>
        </w:rPr>
      </w:pPr>
    </w:p>
    <w:p w14:paraId="52590176" w14:textId="77777777" w:rsidR="00C70D2C" w:rsidRDefault="00C70D2C" w:rsidP="00C70D2C">
      <w:pPr>
        <w:spacing w:after="0"/>
        <w:jc w:val="both"/>
        <w:rPr>
          <w:rFonts w:ascii="Verdana" w:eastAsia="Calibri" w:hAnsi="Verdana" w:cs="Arial"/>
          <w:b/>
          <w:lang w:val="es-ES" w:eastAsia="es-ES"/>
        </w:rPr>
      </w:pPr>
      <w:r w:rsidRPr="00C70D2C">
        <w:rPr>
          <w:rFonts w:ascii="Verdana" w:eastAsia="Calibri" w:hAnsi="Verdana" w:cs="Arial"/>
          <w:b/>
          <w:lang w:val="es-ES" w:eastAsia="es-ES"/>
        </w:rPr>
        <w:t xml:space="preserve">CALAMIDAD PÚBLICA Y DESASTRE – Declaración previa </w:t>
      </w:r>
    </w:p>
    <w:p w14:paraId="5552C575" w14:textId="77777777" w:rsidR="00D8648E" w:rsidRDefault="00D8648E" w:rsidP="00C70D2C">
      <w:pPr>
        <w:spacing w:after="0"/>
        <w:jc w:val="both"/>
        <w:rPr>
          <w:rFonts w:ascii="Verdana" w:eastAsia="Calibri" w:hAnsi="Verdana" w:cs="Arial"/>
          <w:b/>
          <w:lang w:val="es-ES" w:eastAsia="es-ES"/>
        </w:rPr>
      </w:pPr>
    </w:p>
    <w:p w14:paraId="7FC7A5AE" w14:textId="5AC5E05D" w:rsidR="00D8648E" w:rsidRDefault="00D8648E" w:rsidP="00D8648E">
      <w:pPr>
        <w:spacing w:after="0" w:line="240" w:lineRule="auto"/>
        <w:jc w:val="both"/>
        <w:rPr>
          <w:rFonts w:ascii="Verdana" w:eastAsia="Calibri" w:hAnsi="Verdana" w:cs="Arial"/>
          <w:sz w:val="20"/>
          <w:szCs w:val="20"/>
          <w:lang w:val="es-ES_tradnl"/>
        </w:rPr>
      </w:pPr>
      <w:r>
        <w:rPr>
          <w:rFonts w:ascii="Verdana" w:eastAsia="Calibri" w:hAnsi="Verdana" w:cs="Arial"/>
          <w:sz w:val="20"/>
          <w:szCs w:val="20"/>
          <w:lang w:val="es-ES_tradnl"/>
        </w:rPr>
        <w:t xml:space="preserve">[…] </w:t>
      </w:r>
      <w:r w:rsidRPr="00D8648E">
        <w:rPr>
          <w:rFonts w:ascii="Verdana" w:eastAsia="Calibri" w:hAnsi="Verdana" w:cs="Arial"/>
          <w:sz w:val="20"/>
          <w:szCs w:val="20"/>
          <w:lang w:val="es-ES_tradnl"/>
        </w:rPr>
        <w:t xml:space="preserve">La </w:t>
      </w:r>
      <w:r w:rsidRPr="00D8648E">
        <w:rPr>
          <w:rFonts w:ascii="Verdana" w:eastAsia="Calibri" w:hAnsi="Verdana" w:cs="Arial"/>
          <w:i/>
          <w:iCs/>
          <w:sz w:val="20"/>
          <w:szCs w:val="20"/>
          <w:lang w:val="es-ES_tradnl"/>
        </w:rPr>
        <w:t>tercera circunstancia</w:t>
      </w:r>
      <w:r w:rsidRPr="00D8648E">
        <w:rPr>
          <w:rFonts w:ascii="Verdana" w:eastAsia="Calibri" w:hAnsi="Verdana" w:cs="Arial"/>
          <w:sz w:val="20"/>
          <w:szCs w:val="20"/>
          <w:lang w:val="es-ES_tradnl"/>
        </w:rPr>
        <w:t xml:space="preserve"> surge de la necesidad de conjurar situaciones excepcionales relacionadas con </w:t>
      </w:r>
      <w:r w:rsidRPr="00D8648E">
        <w:rPr>
          <w:rFonts w:ascii="Verdana" w:eastAsia="Calibri" w:hAnsi="Verdana" w:cs="Arial"/>
          <w:i/>
          <w:iCs/>
          <w:sz w:val="20"/>
          <w:szCs w:val="20"/>
          <w:lang w:val="es-ES_tradnl"/>
        </w:rPr>
        <w:t>hechos de calamidad o constitutivos de fuerza mayor o desastre</w:t>
      </w:r>
      <w:r w:rsidRPr="00D8648E">
        <w:rPr>
          <w:rFonts w:ascii="Verdana" w:eastAsia="Calibri" w:hAnsi="Verdana" w:cs="Arial"/>
          <w:sz w:val="20"/>
          <w:szCs w:val="20"/>
          <w:lang w:val="es-ES_tradnl"/>
        </w:rPr>
        <w:t xml:space="preserve"> que demanden actuaciones inmediatas, causa que –conforme se analiza en el siguiente acápite– exige tener en cuenta lo previsto en la Ley 1523 de 2012. Lo anterior sin perjuicio de que, conforme a la cuarta circunstancia, surjan situaciones similares que imposibiliten acudir a los procedimientos de selección o concurso públicos. </w:t>
      </w:r>
    </w:p>
    <w:p w14:paraId="69FCAA96" w14:textId="77777777" w:rsidR="00D8648E" w:rsidRDefault="00D8648E" w:rsidP="00D8648E">
      <w:pPr>
        <w:spacing w:after="0" w:line="240" w:lineRule="auto"/>
        <w:jc w:val="both"/>
        <w:rPr>
          <w:rFonts w:ascii="Verdana" w:eastAsia="Calibri" w:hAnsi="Verdana" w:cs="Arial"/>
          <w:sz w:val="20"/>
          <w:szCs w:val="20"/>
          <w:lang w:val="es-ES_tradnl"/>
        </w:rPr>
      </w:pPr>
    </w:p>
    <w:p w14:paraId="5118D533" w14:textId="478737E7" w:rsidR="00D8648E" w:rsidRPr="00D8648E" w:rsidRDefault="00D8648E" w:rsidP="00D8648E">
      <w:pPr>
        <w:spacing w:after="0" w:line="240" w:lineRule="auto"/>
        <w:jc w:val="both"/>
        <w:rPr>
          <w:rFonts w:ascii="Verdana" w:eastAsia="Calibri" w:hAnsi="Verdana" w:cs="Arial"/>
          <w:sz w:val="20"/>
          <w:szCs w:val="20"/>
          <w:lang w:val="es-ES_tradnl"/>
        </w:rPr>
      </w:pPr>
      <w:r>
        <w:rPr>
          <w:rFonts w:ascii="Verdana" w:eastAsia="Calibri" w:hAnsi="Verdana" w:cs="Arial"/>
          <w:sz w:val="20"/>
          <w:szCs w:val="20"/>
          <w:lang w:val="es-ES_tradnl"/>
        </w:rPr>
        <w:t xml:space="preserve">[…] </w:t>
      </w:r>
      <w:r w:rsidRPr="00D8648E">
        <w:rPr>
          <w:rFonts w:ascii="Verdana" w:eastAsia="Calibri" w:hAnsi="Verdana" w:cs="Arial"/>
          <w:sz w:val="20"/>
          <w:szCs w:val="20"/>
          <w:lang w:val="es-ES_tradnl"/>
        </w:rPr>
        <w:t>cuando se configure alguna de las cuatro (4) situaciones, el artículo 42 de la Ley 80 de 1993 exige declarar formalmente la urgencia 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ibidem. Adicionalmente, no es necesario realizar estudios previos, como lo dispone el artículo 2.2.1.2.1.4.2 del Decreto 1082 de 2015: “Si la causal de contratación directa es la urgencia manifiesta, el acto administrativo que la declare hará las veces del acto administrativo de justificación, y en este caso la Entidad Estatal no está obligada a elaborar estudios y documentos previos”.</w:t>
      </w:r>
    </w:p>
    <w:p w14:paraId="0E67AE43" w14:textId="77777777" w:rsidR="00D8648E" w:rsidRDefault="00D8648E" w:rsidP="00C70D2C">
      <w:pPr>
        <w:spacing w:after="0"/>
        <w:jc w:val="both"/>
        <w:rPr>
          <w:rFonts w:ascii="Verdana" w:eastAsia="Calibri" w:hAnsi="Verdana" w:cs="Arial"/>
          <w:b/>
          <w:lang w:val="es-ES_tradnl" w:eastAsia="es-ES"/>
        </w:rPr>
      </w:pPr>
    </w:p>
    <w:p w14:paraId="5C708D7E" w14:textId="77777777" w:rsidR="00D8648E" w:rsidRDefault="00D8648E" w:rsidP="00D8648E">
      <w:pPr>
        <w:spacing w:after="0" w:line="240" w:lineRule="auto"/>
        <w:jc w:val="both"/>
        <w:rPr>
          <w:rFonts w:ascii="Verdana" w:eastAsia="Calibri" w:hAnsi="Verdana" w:cs="Arial"/>
          <w:bCs/>
          <w:sz w:val="20"/>
          <w:szCs w:val="20"/>
          <w:lang w:val="es-ES_tradnl"/>
        </w:rPr>
      </w:pPr>
      <w:r w:rsidRPr="00D8648E">
        <w:rPr>
          <w:rFonts w:ascii="Verdana" w:eastAsia="Calibri" w:hAnsi="Verdana" w:cs="Arial"/>
          <w:bCs/>
          <w:sz w:val="20"/>
          <w:szCs w:val="20"/>
          <w:lang w:val="es-ES_tradnl" w:eastAsia="es-ES"/>
        </w:rPr>
        <w:t xml:space="preserve">[…] </w:t>
      </w:r>
      <w:r w:rsidRPr="00D8648E">
        <w:rPr>
          <w:rFonts w:ascii="Verdana" w:eastAsia="Calibri" w:hAnsi="Verdana" w:cs="Arial"/>
          <w:bCs/>
          <w:sz w:val="20"/>
          <w:szCs w:val="20"/>
          <w:lang w:val="es-ES_tradnl"/>
        </w:rPr>
        <w:t xml:space="preserve">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0A80613D" w14:textId="77777777" w:rsidR="00D8648E" w:rsidRDefault="00D8648E" w:rsidP="00D8648E">
      <w:pPr>
        <w:spacing w:after="0" w:line="240" w:lineRule="auto"/>
        <w:jc w:val="both"/>
        <w:rPr>
          <w:rFonts w:ascii="Verdana" w:eastAsia="Calibri" w:hAnsi="Verdana" w:cs="Arial"/>
          <w:bCs/>
          <w:sz w:val="20"/>
          <w:szCs w:val="20"/>
          <w:lang w:val="es-ES_tradnl"/>
        </w:rPr>
      </w:pPr>
    </w:p>
    <w:p w14:paraId="27BB9BE0" w14:textId="64F0F1FD" w:rsidR="00D8648E" w:rsidRPr="00D8648E" w:rsidRDefault="00D8648E" w:rsidP="00D8648E">
      <w:pPr>
        <w:spacing w:after="0" w:line="240" w:lineRule="auto"/>
        <w:jc w:val="both"/>
        <w:rPr>
          <w:rFonts w:ascii="Verdana" w:eastAsia="Calibri" w:hAnsi="Verdana" w:cs="Arial"/>
          <w:bCs/>
          <w:sz w:val="20"/>
          <w:szCs w:val="20"/>
          <w:lang w:val="es-ES_tradnl"/>
        </w:rPr>
      </w:pPr>
      <w:r w:rsidRPr="00D8648E">
        <w:rPr>
          <w:rFonts w:ascii="Verdana" w:eastAsia="Calibri" w:hAnsi="Verdana" w:cs="Arial"/>
          <w:sz w:val="20"/>
          <w:szCs w:val="20"/>
          <w:lang w:val="es-ES"/>
        </w:rPr>
        <w:t xml:space="preserve">Lo anterior significa que para contratar 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00D8648E">
        <w:rPr>
          <w:rFonts w:ascii="Verdana" w:eastAsia="Calibri" w:hAnsi="Verdana" w:cs="Arial"/>
          <w:sz w:val="20"/>
          <w:szCs w:val="20"/>
          <w:lang w:val="es-ES"/>
        </w:rPr>
        <w:t>ii</w:t>
      </w:r>
      <w:proofErr w:type="spellEnd"/>
      <w:r w:rsidRPr="00D8648E">
        <w:rPr>
          <w:rFonts w:ascii="Verdana" w:eastAsia="Calibri" w:hAnsi="Verdana" w:cs="Arial"/>
          <w:sz w:val="20"/>
          <w:szCs w:val="20"/>
          <w:lang w:val="es-ES"/>
        </w:rPr>
        <w:t>) el segundo, la declaración propiamente dicha de “urgencia manifiesta” de que trata el artículo 42 del Estatuto General de Contratación, amparado o fundamentado en la declaración previa del desastre o calamidad.</w:t>
      </w:r>
    </w:p>
    <w:p w14:paraId="17A81F0B" w14:textId="77777777" w:rsidR="00D8648E" w:rsidRPr="00D8648E" w:rsidRDefault="00D8648E" w:rsidP="00D8648E">
      <w:pPr>
        <w:spacing w:after="0" w:line="240" w:lineRule="auto"/>
        <w:jc w:val="both"/>
        <w:rPr>
          <w:rFonts w:ascii="Verdana" w:eastAsia="Calibri" w:hAnsi="Verdana" w:cs="Arial"/>
          <w:b/>
          <w:lang w:val="es-ES" w:eastAsia="es-ES"/>
        </w:rPr>
      </w:pPr>
    </w:p>
    <w:p w14:paraId="1CB84215" w14:textId="3B99F2F8" w:rsidR="00C70D2C" w:rsidRPr="00C70D2C" w:rsidRDefault="00C70D2C" w:rsidP="009B0EC7">
      <w:pPr>
        <w:spacing w:after="0" w:line="240" w:lineRule="auto"/>
        <w:jc w:val="both"/>
        <w:rPr>
          <w:rFonts w:ascii="Verdana" w:eastAsia="Verdana" w:hAnsi="Verdana" w:cs="Verdana"/>
          <w:b/>
        </w:rPr>
      </w:pPr>
      <w:r w:rsidRPr="00C70D2C">
        <w:rPr>
          <w:rFonts w:ascii="Verdana" w:eastAsia="Calibri" w:hAnsi="Verdana" w:cs="Arial"/>
          <w:b/>
          <w:lang w:val="es-ES" w:eastAsia="es-ES"/>
        </w:rPr>
        <w:t>URGENCIA MANIFIESTA – Plan anual de adquisiciones – Banco de proyectos – Actualización – Supuestos</w:t>
      </w:r>
    </w:p>
    <w:p w14:paraId="58D9F509" w14:textId="77777777" w:rsidR="00C70D2C" w:rsidRDefault="00C70D2C" w:rsidP="00BF124D">
      <w:pPr>
        <w:spacing w:after="0"/>
        <w:rPr>
          <w:rFonts w:ascii="Verdana" w:eastAsia="Verdana" w:hAnsi="Verdana" w:cs="Verdana"/>
        </w:rPr>
      </w:pPr>
    </w:p>
    <w:p w14:paraId="4A20CD3F" w14:textId="78722022" w:rsidR="00D8648E" w:rsidRDefault="00D8648E" w:rsidP="00D8648E">
      <w:pPr>
        <w:spacing w:after="0" w:line="240" w:lineRule="auto"/>
        <w:jc w:val="both"/>
        <w:rPr>
          <w:rFonts w:ascii="Verdana" w:eastAsia="Calibri" w:hAnsi="Verdana" w:cs="Arial"/>
          <w:sz w:val="20"/>
          <w:szCs w:val="20"/>
          <w:lang w:val="es-ES_tradnl"/>
        </w:rPr>
      </w:pPr>
      <w:r w:rsidRPr="00D8648E">
        <w:rPr>
          <w:rFonts w:ascii="Verdana" w:eastAsia="Calibri" w:hAnsi="Verdana" w:cs="Arial"/>
          <w:sz w:val="20"/>
          <w:szCs w:val="20"/>
          <w:lang w:val="es-ES"/>
        </w:rPr>
        <w:t xml:space="preserve">Respecto de la contratación derivada de urgencia manifiesta, es importante tomar en cuenta que la entidad adopta medidas inmediatas para conjurar la crisis, lo que limita la oportunidad para actualizar el banco de proyectos o las necesidades de obras, bienes y servicios en el plan anual de adquisiciones. El principio de eficacia obliga a las autoridades a tomar decisiones para la atención de los administrados durante la urgencia en una manera en que se garantice el goce efectivo de sus derechos y el buen funcionamiento de la administración pública. Estas circunstancias excepcionales tornan complejo actualizar de forma constante y permanente el banco de proyectos como el plan anual de adquisiciones. Ello es así, entre otras razones, por la imprevisibilidad que caracteriza las circunstancias que motivan la declaratoria de urgencia manifiesta. Por ello, mal podría interpretarse que en casos de grave urgencia se puede prescindir de la forma escrita del contrato estatal, pero no de la actualización del banco de proyectos y del plan anual. </w:t>
      </w:r>
    </w:p>
    <w:p w14:paraId="1FEA21A6" w14:textId="77777777" w:rsidR="00D8648E" w:rsidRDefault="00D8648E" w:rsidP="00D8648E">
      <w:pPr>
        <w:spacing w:after="0" w:line="240" w:lineRule="auto"/>
        <w:jc w:val="both"/>
        <w:rPr>
          <w:rFonts w:ascii="Verdana" w:eastAsia="Calibri" w:hAnsi="Verdana" w:cs="Arial"/>
          <w:sz w:val="20"/>
          <w:szCs w:val="20"/>
          <w:lang w:val="es-ES_tradnl"/>
        </w:rPr>
      </w:pPr>
    </w:p>
    <w:p w14:paraId="38CCD772" w14:textId="77777777" w:rsidR="00D8648E" w:rsidRDefault="00D8648E" w:rsidP="00D8648E">
      <w:pPr>
        <w:spacing w:after="0" w:line="240" w:lineRule="auto"/>
        <w:jc w:val="both"/>
        <w:rPr>
          <w:rFonts w:ascii="Verdana" w:eastAsia="Calibri" w:hAnsi="Verdana" w:cs="Arial"/>
          <w:sz w:val="20"/>
          <w:szCs w:val="20"/>
          <w:lang w:val="es-ES_tradnl"/>
        </w:rPr>
      </w:pPr>
      <w:r w:rsidRPr="00D8648E">
        <w:rPr>
          <w:rFonts w:ascii="Verdana" w:eastAsia="Calibri" w:hAnsi="Verdana" w:cs="Arial"/>
          <w:sz w:val="20"/>
          <w:szCs w:val="20"/>
          <w:lang w:val="es-ES"/>
        </w:rPr>
        <w:t xml:space="preserve">Dicho ello, es preciso advertir que, si las circunstancias que motivaron la declaratoria de urgencia manifiesta se prolongan, aumenta la posibilidad de prever las necesidades de contratación para atender y manejar la crisis. Con ello, será posible actualizar el banco de proyectos y el plan anual de adquisiciones. En otras palabras, existe una relación entre la duración de los hechos que motivaron la declaratoria de urgencia manifiesta y la previsibilidad de las necesidades en la medida en que la prolongación en el tiempo de las circunstancias puede conllevar una mayor previsibilidad de los contratos a celebrar y con ello mayores posibilidades de actualizarlos. </w:t>
      </w:r>
    </w:p>
    <w:p w14:paraId="1FB5F72E" w14:textId="77777777" w:rsidR="00D8648E" w:rsidRDefault="00D8648E" w:rsidP="00D8648E">
      <w:pPr>
        <w:spacing w:after="0" w:line="240" w:lineRule="auto"/>
        <w:jc w:val="both"/>
        <w:rPr>
          <w:rFonts w:ascii="Verdana" w:eastAsia="Calibri" w:hAnsi="Verdana" w:cs="Arial"/>
          <w:sz w:val="20"/>
          <w:szCs w:val="20"/>
          <w:lang w:val="es-ES_tradnl"/>
        </w:rPr>
      </w:pPr>
    </w:p>
    <w:p w14:paraId="7F1855A5" w14:textId="77777777" w:rsidR="00D8648E" w:rsidRDefault="00D8648E" w:rsidP="00D8648E">
      <w:pPr>
        <w:spacing w:after="0" w:line="240" w:lineRule="auto"/>
        <w:jc w:val="both"/>
        <w:rPr>
          <w:rFonts w:ascii="Verdana" w:eastAsia="Calibri" w:hAnsi="Verdana" w:cs="Arial"/>
          <w:sz w:val="20"/>
          <w:szCs w:val="20"/>
          <w:lang w:val="es-ES_tradnl"/>
        </w:rPr>
      </w:pPr>
      <w:r w:rsidRPr="00D8648E">
        <w:rPr>
          <w:rFonts w:ascii="Verdana" w:eastAsia="Calibri" w:hAnsi="Verdana" w:cs="Arial"/>
          <w:sz w:val="20"/>
          <w:szCs w:val="20"/>
          <w:lang w:val="es-ES"/>
        </w:rPr>
        <w:t>En la medida en que la previsión de las nuevas contrataciones y la disponibilidad de tiempo de los funcionarios lo permita, es recomendable que la autoridad actualice tanto el banco como el plan anual para incluir los bienes, obras y servicios nuevos. La decisión de actualizarlos o no corresponde exclusivamente a la autoridad, y debe tomarse habida consideración de las circunstancias del caso concreto y la necesidad de garantizar la concreción de los principios de la función administrativa.</w:t>
      </w:r>
    </w:p>
    <w:p w14:paraId="3D4FEB6A" w14:textId="77777777" w:rsidR="00D8648E" w:rsidRDefault="00D8648E" w:rsidP="00D8648E">
      <w:pPr>
        <w:spacing w:after="0" w:line="240" w:lineRule="auto"/>
        <w:jc w:val="both"/>
        <w:rPr>
          <w:rFonts w:ascii="Verdana" w:eastAsia="Calibri" w:hAnsi="Verdana" w:cs="Arial"/>
          <w:sz w:val="20"/>
          <w:szCs w:val="20"/>
          <w:lang w:val="es-ES_tradnl"/>
        </w:rPr>
      </w:pPr>
    </w:p>
    <w:p w14:paraId="402A3752" w14:textId="77777777" w:rsidR="00D8648E" w:rsidRDefault="00D8648E" w:rsidP="00D8648E">
      <w:pPr>
        <w:spacing w:after="0" w:line="240" w:lineRule="auto"/>
        <w:jc w:val="both"/>
        <w:rPr>
          <w:rFonts w:ascii="Verdana" w:eastAsia="Calibri" w:hAnsi="Verdana" w:cs="Arial"/>
          <w:sz w:val="20"/>
          <w:szCs w:val="20"/>
          <w:lang w:val="es-ES_tradnl"/>
        </w:rPr>
      </w:pPr>
      <w:r w:rsidRPr="00D8648E">
        <w:rPr>
          <w:rFonts w:ascii="Verdana" w:eastAsia="Calibri" w:hAnsi="Verdana" w:cs="Arial"/>
          <w:sz w:val="20"/>
          <w:szCs w:val="20"/>
          <w:lang w:val="es-ES"/>
        </w:rPr>
        <w:t>Por tanto, existen supuestos en el marco de una declaratoria de urgencia manifiesta en los que es imposible actualizar el banco de proyectos o el plan anual de adquisiciones con los proyectos y contratos derivados de la contingencia, tal es el caso cuando es imposible su previsión, y la necesidad de la obra, bien o servicio requiere una actuación inmediata por parte de la Administración pública. En los demás casos, es decir, siempre que durante la extensión de los efectos de la declaratoria de la urgencia las entidades prevean necesidades que, aunque necesarias para atender la crisis, no requieren la celebración inmediata de los contratos, se deberá actualizar el banco de proyectos y plan anual de adquisiciones, y es recomendable que lo hagan en la mayor medida de lo posible para garantizar la eficiencia de los principios de la función administrativa. En cada caso, la entidad pública ponderará cuidadosamente la necesidad, habida cuenta de que sus acciones u omisiones se sujetan a la revisión posterior de los órganos de control.</w:t>
      </w:r>
    </w:p>
    <w:p w14:paraId="451602B1" w14:textId="77777777" w:rsidR="00D8648E" w:rsidRDefault="00D8648E" w:rsidP="00D8648E">
      <w:pPr>
        <w:spacing w:after="0" w:line="240" w:lineRule="auto"/>
        <w:jc w:val="both"/>
        <w:rPr>
          <w:rFonts w:ascii="Verdana" w:eastAsia="Calibri" w:hAnsi="Verdana" w:cs="Arial"/>
          <w:sz w:val="20"/>
          <w:szCs w:val="20"/>
          <w:lang w:val="es-ES_tradnl"/>
        </w:rPr>
      </w:pPr>
    </w:p>
    <w:p w14:paraId="19BECBD4" w14:textId="2E992B11" w:rsidR="00D8648E" w:rsidRPr="00D8648E" w:rsidRDefault="00D8648E" w:rsidP="00D8648E">
      <w:pPr>
        <w:spacing w:after="0" w:line="240" w:lineRule="auto"/>
        <w:jc w:val="both"/>
        <w:rPr>
          <w:rFonts w:ascii="Verdana" w:eastAsia="Calibri" w:hAnsi="Verdana" w:cs="Arial"/>
          <w:sz w:val="20"/>
          <w:szCs w:val="20"/>
          <w:lang w:val="es-ES_tradnl"/>
        </w:rPr>
      </w:pPr>
      <w:r w:rsidRPr="00D8648E">
        <w:rPr>
          <w:rFonts w:ascii="Verdana" w:eastAsia="Calibri" w:hAnsi="Verdana" w:cs="Arial"/>
          <w:sz w:val="20"/>
          <w:szCs w:val="20"/>
          <w:lang w:val="es-ES"/>
        </w:rPr>
        <w:t>En conclusión, en el marco de una declaratoria de urgencia manifiesta, la inclusión de la información referida estará sujeta al ámbito temporal de la estructuración de la causal de urgencia, pues en ocasiones deberán adoptarse actuaciones inmediatas para conjurar la crisis y en este orden, se limita la oportunidad de la Administración de registrar proyectos o adquisiciones de los bienes y servicios que deban suministrarse para garantizar la efectividad de los principios, deberes y derechos consagrados en la Constitución y la ley.</w:t>
      </w:r>
    </w:p>
    <w:p w14:paraId="479E4C52" w14:textId="77777777" w:rsidR="00D8648E" w:rsidRDefault="00D8648E" w:rsidP="00D8648E">
      <w:pPr>
        <w:spacing w:after="0" w:line="276" w:lineRule="auto"/>
        <w:jc w:val="both"/>
        <w:rPr>
          <w:rFonts w:ascii="Verdana" w:hAnsi="Verdana"/>
          <w:color w:val="000000" w:themeColor="text1"/>
          <w:lang w:val="es-ES_tradnl"/>
        </w:rPr>
      </w:pPr>
    </w:p>
    <w:p w14:paraId="6372B62C" w14:textId="77777777" w:rsidR="00D8648E" w:rsidRPr="00D8648E" w:rsidRDefault="00D8648E" w:rsidP="00BF124D">
      <w:pPr>
        <w:spacing w:after="0"/>
        <w:rPr>
          <w:rFonts w:ascii="Verdana" w:eastAsia="Verdana" w:hAnsi="Verdana" w:cs="Verdana"/>
          <w:lang w:val="es-ES_tradnl"/>
        </w:rPr>
      </w:pPr>
    </w:p>
    <w:p w14:paraId="3BA2F508" w14:textId="52707EBC" w:rsidR="00C70D2C" w:rsidRDefault="00BF124D" w:rsidP="00BF124D">
      <w:pPr>
        <w:spacing w:after="0"/>
        <w:rPr>
          <w:rFonts w:ascii="Verdana" w:eastAsia="Verdana" w:hAnsi="Verdana" w:cs="Verdana"/>
        </w:rPr>
      </w:pPr>
      <w:r w:rsidRPr="30821638">
        <w:rPr>
          <w:rFonts w:ascii="Verdana" w:eastAsia="Verdana" w:hAnsi="Verdana" w:cs="Verdana"/>
        </w:rPr>
        <w:t>Bogotá D.C.,</w:t>
      </w:r>
      <w:r w:rsidR="00C70D2C">
        <w:rPr>
          <w:rFonts w:ascii="Verdana" w:eastAsia="Verdana" w:hAnsi="Verdana" w:cs="Verdana"/>
        </w:rPr>
        <w:t xml:space="preserve"> 18 </w:t>
      </w:r>
      <w:proofErr w:type="gramStart"/>
      <w:r w:rsidR="00C70D2C">
        <w:rPr>
          <w:rFonts w:ascii="Verdana" w:eastAsia="Verdana" w:hAnsi="Verdana" w:cs="Verdana"/>
        </w:rPr>
        <w:t>Junio</w:t>
      </w:r>
      <w:proofErr w:type="gramEnd"/>
      <w:r w:rsidR="00C70D2C">
        <w:rPr>
          <w:rFonts w:ascii="Verdana" w:eastAsia="Verdana" w:hAnsi="Verdana" w:cs="Verdana"/>
        </w:rPr>
        <w:t xml:space="preserve"> 2026</w:t>
      </w:r>
    </w:p>
    <w:p w14:paraId="6E475371" w14:textId="77777777" w:rsidR="00C70D2C" w:rsidRDefault="00C70D2C" w:rsidP="00BF124D">
      <w:pPr>
        <w:spacing w:after="0"/>
        <w:rPr>
          <w:rFonts w:ascii="Verdana" w:eastAsia="Verdana" w:hAnsi="Verdana" w:cs="Verdana"/>
        </w:rPr>
      </w:pPr>
    </w:p>
    <w:p w14:paraId="4F862991" w14:textId="77777777" w:rsidR="00C70D2C" w:rsidRDefault="00BF124D" w:rsidP="00C70D2C">
      <w:pPr>
        <w:spacing w:after="0"/>
        <w:jc w:val="right"/>
      </w:pPr>
      <w:r>
        <w:tab/>
      </w:r>
      <w:r w:rsidR="00C70D2C" w:rsidRPr="00C70D2C">
        <w:drawing>
          <wp:inline distT="0" distB="0" distL="0" distR="0" wp14:anchorId="3134DB9F" wp14:editId="507FC346">
            <wp:extent cx="2068226" cy="500380"/>
            <wp:effectExtent l="0" t="0" r="8255" b="0"/>
            <wp:docPr id="2846529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652915" name=""/>
                    <pic:cNvPicPr/>
                  </pic:nvPicPr>
                  <pic:blipFill>
                    <a:blip r:embed="rId10"/>
                    <a:stretch>
                      <a:fillRect/>
                    </a:stretch>
                  </pic:blipFill>
                  <pic:spPr>
                    <a:xfrm>
                      <a:off x="0" y="0"/>
                      <a:ext cx="2119959" cy="512896"/>
                    </a:xfrm>
                    <a:prstGeom prst="rect">
                      <a:avLst/>
                    </a:prstGeom>
                  </pic:spPr>
                </pic:pic>
              </a:graphicData>
            </a:graphic>
          </wp:inline>
        </w:drawing>
      </w:r>
      <w:bookmarkStart w:id="1" w:name="_Hlk214366482"/>
      <w:bookmarkEnd w:id="0"/>
    </w:p>
    <w:p w14:paraId="629D3A68" w14:textId="67194558" w:rsidR="00BF124D" w:rsidRPr="00C70D2C" w:rsidRDefault="00BF124D" w:rsidP="00C70D2C">
      <w:pPr>
        <w:spacing w:after="0"/>
      </w:pPr>
      <w:r>
        <w:rPr>
          <w:rFonts w:ascii="Verdana" w:eastAsia="Calibri" w:hAnsi="Verdana" w:cs="Arial"/>
          <w:b/>
          <w:bCs/>
          <w:lang w:eastAsia="es-ES"/>
        </w:rPr>
        <w:t>Señor</w:t>
      </w:r>
    </w:p>
    <w:p w14:paraId="44D69F97" w14:textId="77777777" w:rsidR="00BF124D" w:rsidRDefault="00BF124D" w:rsidP="00BF124D">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Guillermo Ardila </w:t>
      </w:r>
    </w:p>
    <w:p w14:paraId="78B54EB3" w14:textId="434AFE58" w:rsidR="00BF124D" w:rsidRDefault="00D871A3" w:rsidP="00BF124D">
      <w:pPr>
        <w:spacing w:after="0" w:line="240" w:lineRule="auto"/>
        <w:jc w:val="both"/>
        <w:rPr>
          <w:rFonts w:ascii="Verdana" w:hAnsi="Verdana"/>
          <w:b/>
          <w:bCs/>
        </w:rPr>
      </w:pPr>
      <w:hyperlink r:id="rId11" w:history="1">
        <w:r w:rsidRPr="00C87D7C">
          <w:rPr>
            <w:rStyle w:val="Hipervnculo"/>
            <w:rFonts w:ascii="Verdana" w:hAnsi="Verdana"/>
            <w:b/>
            <w:bCs/>
          </w:rPr>
          <w:t>limineoriente@gmail.com</w:t>
        </w:r>
      </w:hyperlink>
    </w:p>
    <w:p w14:paraId="5E9929FA" w14:textId="77777777" w:rsidR="00BF124D" w:rsidRPr="007F2AEC" w:rsidRDefault="00BF124D" w:rsidP="00BF124D">
      <w:pPr>
        <w:spacing w:after="0" w:line="240" w:lineRule="auto"/>
        <w:jc w:val="both"/>
        <w:rPr>
          <w:rFonts w:ascii="Verdana" w:hAnsi="Verdana"/>
        </w:rPr>
      </w:pPr>
      <w:r>
        <w:rPr>
          <w:rFonts w:ascii="Verdana" w:hAnsi="Verdana"/>
        </w:rPr>
        <w:t xml:space="preserve">Ciudad </w:t>
      </w:r>
    </w:p>
    <w:p w14:paraId="34EC4CE3" w14:textId="77777777" w:rsidR="00BF124D" w:rsidRPr="007F2AEC" w:rsidRDefault="00BF124D" w:rsidP="00BF124D">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F124D" w:rsidRPr="005644FE" w14:paraId="4727E90F" w14:textId="77777777" w:rsidTr="005C1255">
        <w:trPr>
          <w:trHeight w:val="162"/>
        </w:trPr>
        <w:tc>
          <w:tcPr>
            <w:tcW w:w="3119" w:type="dxa"/>
          </w:tcPr>
          <w:p w14:paraId="684E7DF9" w14:textId="77777777" w:rsidR="00BF124D" w:rsidRPr="007F2AEC" w:rsidRDefault="00BF124D" w:rsidP="005C1255">
            <w:pPr>
              <w:jc w:val="both"/>
              <w:rPr>
                <w:rFonts w:ascii="Verdana" w:eastAsia="Calibri" w:hAnsi="Verdana" w:cs="Arial"/>
                <w:b/>
                <w:bCs/>
                <w:color w:val="7030A0"/>
                <w:lang w:eastAsia="es-ES_tradnl"/>
              </w:rPr>
            </w:pPr>
          </w:p>
        </w:tc>
        <w:tc>
          <w:tcPr>
            <w:tcW w:w="5670" w:type="dxa"/>
          </w:tcPr>
          <w:p w14:paraId="2643ADAC" w14:textId="77777777" w:rsidR="00BF124D" w:rsidRPr="005644FE" w:rsidRDefault="00BF124D" w:rsidP="005C1255">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761 de 2026</w:t>
            </w:r>
          </w:p>
          <w:p w14:paraId="0D6A6EC3" w14:textId="77777777" w:rsidR="00BF124D" w:rsidRPr="005644FE" w:rsidRDefault="00BF124D" w:rsidP="005C1255">
            <w:pPr>
              <w:jc w:val="both"/>
              <w:rPr>
                <w:rFonts w:ascii="Verdana" w:eastAsia="Calibri" w:hAnsi="Verdana" w:cs="Arial"/>
                <w:b/>
                <w:bCs/>
                <w:color w:val="7030A0"/>
                <w:lang w:eastAsia="es-ES"/>
              </w:rPr>
            </w:pPr>
          </w:p>
        </w:tc>
      </w:tr>
      <w:tr w:rsidR="00BF124D" w:rsidRPr="005644FE" w14:paraId="231E610A" w14:textId="77777777" w:rsidTr="005C1255">
        <w:trPr>
          <w:trHeight w:val="884"/>
        </w:trPr>
        <w:tc>
          <w:tcPr>
            <w:tcW w:w="3119" w:type="dxa"/>
          </w:tcPr>
          <w:p w14:paraId="6124C375" w14:textId="77777777" w:rsidR="00BF124D" w:rsidRPr="005644FE" w:rsidRDefault="00BF124D" w:rsidP="005C1255">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5A6B45A1" w14:textId="77777777" w:rsidR="00BF124D" w:rsidRDefault="00BF124D" w:rsidP="005C1255">
            <w:pPr>
              <w:spacing w:line="276" w:lineRule="auto"/>
              <w:jc w:val="both"/>
              <w:rPr>
                <w:rFonts w:ascii="Verdana" w:eastAsia="Calibri" w:hAnsi="Verdana" w:cs="Arial"/>
                <w:lang w:val="es-ES" w:eastAsia="es-ES"/>
              </w:rPr>
            </w:pPr>
            <w:r w:rsidRPr="0023577C">
              <w:rPr>
                <w:rFonts w:ascii="Verdana" w:eastAsia="Calibri" w:hAnsi="Verdana" w:cs="Arial"/>
                <w:bCs/>
              </w:rPr>
              <w:t xml:space="preserve">AGENCIA NACIONAL DE CONTRATACIÓN PÚBLICA – Conceptos – Alcance – Competencia Consultiva </w:t>
            </w:r>
            <w:r>
              <w:rPr>
                <w:rFonts w:ascii="Verdana" w:eastAsia="Calibri" w:hAnsi="Verdana" w:cs="Arial"/>
                <w:bCs/>
              </w:rPr>
              <w:t>/</w:t>
            </w:r>
            <w:r w:rsidRPr="0023577C">
              <w:rPr>
                <w:rFonts w:ascii="Verdana" w:eastAsia="Calibri" w:hAnsi="Verdana" w:cs="Arial"/>
                <w:bCs/>
              </w:rPr>
              <w:t xml:space="preserve"> </w:t>
            </w:r>
            <w:r>
              <w:rPr>
                <w:rFonts w:ascii="Verdana" w:eastAsia="Calibri" w:hAnsi="Verdana" w:cs="Arial"/>
                <w:bCs/>
              </w:rPr>
              <w:t xml:space="preserve">CONCEPTOS DE LA AGENCIA NACIONAL DE CONTRATACIÓN PÚBLICA - </w:t>
            </w:r>
            <w:r w:rsidRPr="0023577C">
              <w:rPr>
                <w:rFonts w:ascii="Verdana" w:eastAsia="Calibri" w:hAnsi="Verdana" w:cs="Arial"/>
                <w:bCs/>
              </w:rPr>
              <w:t>Obligatoriedad – Vinculatoriedad</w:t>
            </w:r>
            <w:r>
              <w:rPr>
                <w:rFonts w:ascii="Verdana" w:eastAsia="Calibri" w:hAnsi="Verdana" w:cs="Arial"/>
                <w:bCs/>
              </w:rPr>
              <w:t xml:space="preserve"> / </w:t>
            </w:r>
            <w:r w:rsidRPr="000307C2">
              <w:rPr>
                <w:rFonts w:ascii="Verdana" w:eastAsia="Calibri" w:hAnsi="Verdana" w:cs="Arial"/>
                <w:lang w:val="es-ES" w:eastAsia="es-ES"/>
              </w:rPr>
              <w:t>URGENCIA MANIFIESTA – Definición – Causal – Contratación directa</w:t>
            </w:r>
            <w:r>
              <w:rPr>
                <w:rFonts w:ascii="Verdana" w:eastAsia="Calibri" w:hAnsi="Verdana" w:cs="Arial"/>
                <w:lang w:val="es-ES" w:eastAsia="es-ES"/>
              </w:rPr>
              <w:t xml:space="preserve"> / </w:t>
            </w:r>
            <w:r w:rsidRPr="000307C2">
              <w:rPr>
                <w:rFonts w:ascii="Verdana" w:eastAsia="Calibri" w:hAnsi="Verdana" w:cs="Arial"/>
                <w:lang w:val="es-ES" w:eastAsia="es-ES"/>
              </w:rPr>
              <w:t>CALAMIDAD PÚBLICA Y DESASTRE – Declaración previa</w:t>
            </w:r>
            <w:r>
              <w:rPr>
                <w:rFonts w:ascii="Verdana" w:eastAsia="Calibri" w:hAnsi="Verdana" w:cs="Arial"/>
                <w:lang w:val="es-ES" w:eastAsia="es-ES"/>
              </w:rPr>
              <w:t xml:space="preserve"> / </w:t>
            </w:r>
            <w:r w:rsidRPr="008A6428">
              <w:rPr>
                <w:rFonts w:ascii="Verdana" w:eastAsia="Calibri" w:hAnsi="Verdana" w:cs="Arial"/>
                <w:lang w:val="es-ES" w:eastAsia="es-ES"/>
              </w:rPr>
              <w:t xml:space="preserve">URGENCIA MANIFIESTA – Plan anual de adquisiciones – Banco de proyectos – Actualización – Supuestos </w:t>
            </w:r>
            <w:r w:rsidRPr="00EF19E6">
              <w:rPr>
                <w:rFonts w:ascii="Verdana" w:eastAsia="Calibri" w:hAnsi="Verdana" w:cs="Arial"/>
                <w:lang w:val="es-ES" w:eastAsia="es-ES"/>
              </w:rPr>
              <w:t xml:space="preserve">  </w:t>
            </w:r>
            <w:r w:rsidRPr="00EA1BFE">
              <w:rPr>
                <w:rFonts w:ascii="Verdana" w:eastAsia="Calibri" w:hAnsi="Verdana" w:cs="Arial"/>
                <w:lang w:val="es-ES" w:eastAsia="es-ES"/>
              </w:rPr>
              <w:t xml:space="preserve"> </w:t>
            </w:r>
            <w:r w:rsidRPr="00C75A78">
              <w:rPr>
                <w:rFonts w:ascii="Verdana" w:eastAsia="Calibri" w:hAnsi="Verdana" w:cs="Arial"/>
                <w:lang w:val="es-ES" w:eastAsia="es-ES"/>
              </w:rPr>
              <w:t xml:space="preserve"> </w:t>
            </w:r>
            <w:r w:rsidRPr="006424A3">
              <w:rPr>
                <w:rFonts w:ascii="Verdana" w:eastAsia="Calibri" w:hAnsi="Verdana" w:cs="Arial"/>
                <w:lang w:val="es-ES" w:eastAsia="es-ES"/>
              </w:rPr>
              <w:t xml:space="preserve">   </w:t>
            </w:r>
            <w:r w:rsidRPr="00003886">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05B216E" w14:textId="77777777" w:rsidR="00BF124D" w:rsidRPr="008C6F6F" w:rsidRDefault="00BF124D" w:rsidP="005C1255">
            <w:pPr>
              <w:spacing w:line="276" w:lineRule="auto"/>
              <w:jc w:val="both"/>
              <w:rPr>
                <w:rFonts w:ascii="Verdana" w:eastAsia="Calibri" w:hAnsi="Verdana" w:cs="Arial"/>
                <w:lang w:val="es-ES" w:eastAsia="es-ES"/>
              </w:rPr>
            </w:pPr>
          </w:p>
        </w:tc>
      </w:tr>
      <w:tr w:rsidR="00BF124D" w:rsidRPr="005644FE" w14:paraId="040F8822" w14:textId="77777777" w:rsidTr="005C1255">
        <w:tc>
          <w:tcPr>
            <w:tcW w:w="3119" w:type="dxa"/>
          </w:tcPr>
          <w:p w14:paraId="5F7D7B92" w14:textId="77777777" w:rsidR="00BF124D" w:rsidRPr="005644FE" w:rsidRDefault="00BF124D" w:rsidP="005C1255">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BFA800E" w14:textId="77777777" w:rsidR="00BF124D" w:rsidRPr="00F04657" w:rsidRDefault="00BF124D" w:rsidP="005C1255">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EE1935">
              <w:rPr>
                <w:rFonts w:ascii="Verdana" w:eastAsia="Calibri" w:hAnsi="Verdana" w:cs="Arial"/>
                <w:lang w:eastAsia="es-ES"/>
              </w:rPr>
              <w:t>1_2026_05_06_006181</w:t>
            </w:r>
            <w:r>
              <w:rPr>
                <w:rFonts w:ascii="Verdana" w:eastAsia="Calibri" w:hAnsi="Verdana" w:cs="Arial"/>
                <w:lang w:eastAsia="es-ES"/>
              </w:rPr>
              <w:t xml:space="preserve"> y </w:t>
            </w:r>
            <w:r w:rsidRPr="00EE1935">
              <w:rPr>
                <w:rFonts w:ascii="Verdana" w:eastAsia="Calibri" w:hAnsi="Verdana" w:cs="Arial"/>
                <w:lang w:eastAsia="es-ES"/>
              </w:rPr>
              <w:t>1_2026_05_06_006190</w:t>
            </w:r>
            <w:r>
              <w:rPr>
                <w:rFonts w:ascii="Verdana" w:eastAsia="Calibri" w:hAnsi="Verdana" w:cs="Arial"/>
                <w:lang w:eastAsia="es-ES"/>
              </w:rPr>
              <w:t xml:space="preserve"> (acumulados) </w:t>
            </w:r>
          </w:p>
        </w:tc>
      </w:tr>
    </w:tbl>
    <w:p w14:paraId="62E63B51" w14:textId="77777777" w:rsidR="00BF124D" w:rsidRPr="005644FE" w:rsidRDefault="00BF124D" w:rsidP="00BF124D">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357E90C1" w14:textId="77777777" w:rsidR="00BF124D" w:rsidRPr="005644FE" w:rsidRDefault="00BF124D" w:rsidP="00BF124D">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Ardila: </w:t>
      </w:r>
    </w:p>
    <w:p w14:paraId="53841F64" w14:textId="77777777" w:rsidR="00BF124D" w:rsidRPr="00E02524" w:rsidRDefault="00BF124D" w:rsidP="00BF124D">
      <w:pPr>
        <w:spacing w:after="0" w:line="240" w:lineRule="auto"/>
        <w:jc w:val="both"/>
        <w:rPr>
          <w:rFonts w:ascii="Verdana" w:hAnsi="Verdana"/>
          <w:lang w:val="es-MX"/>
        </w:rPr>
      </w:pPr>
    </w:p>
    <w:p w14:paraId="0EB53305" w14:textId="77777777" w:rsidR="00BF124D" w:rsidRPr="0084712D" w:rsidRDefault="00BF124D" w:rsidP="00BF124D">
      <w:pPr>
        <w:spacing w:after="12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w:t>
      </w:r>
      <w:proofErr w:type="spellStart"/>
      <w:r w:rsidRPr="0084712D">
        <w:rPr>
          <w:rFonts w:ascii="Verdana" w:hAnsi="Verdana"/>
        </w:rPr>
        <w:t>N°</w:t>
      </w:r>
      <w:proofErr w:type="spellEnd"/>
      <w:r w:rsidRPr="0084712D">
        <w:rPr>
          <w:rFonts w:ascii="Verdana" w:hAnsi="Verdana"/>
        </w:rPr>
        <w:t xml:space="preserve"> 469 del 2025 expedida por esta Agencia, responde </w:t>
      </w:r>
      <w:r>
        <w:rPr>
          <w:rFonts w:ascii="Verdana" w:hAnsi="Verdana"/>
        </w:rPr>
        <w:t>sus</w:t>
      </w:r>
      <w:r w:rsidRPr="0084712D">
        <w:rPr>
          <w:rFonts w:ascii="Verdana" w:hAnsi="Verdana"/>
        </w:rPr>
        <w:t xml:space="preserve"> solicitud</w:t>
      </w:r>
      <w:r>
        <w:rPr>
          <w:rFonts w:ascii="Verdana" w:hAnsi="Verdana"/>
        </w:rPr>
        <w:t>es</w:t>
      </w:r>
      <w:r w:rsidRPr="0084712D">
        <w:rPr>
          <w:rFonts w:ascii="Verdana" w:hAnsi="Verdana"/>
        </w:rPr>
        <w:t xml:space="preserve"> de consulta</w:t>
      </w:r>
      <w:r>
        <w:rPr>
          <w:rFonts w:ascii="Verdana" w:hAnsi="Verdana"/>
        </w:rPr>
        <w:t xml:space="preserve"> previamente remitidas por parte de la Procuraduría General de la Nación mediante radicado S-2026-02310 del 5 de mayo de 2026 y allegadas a esta Agencia el 6 de mayo de 2026</w:t>
      </w:r>
      <w:r w:rsidRPr="0084712D">
        <w:rPr>
          <w:rFonts w:ascii="Verdana" w:hAnsi="Verdana"/>
        </w:rPr>
        <w:t>, en la</w:t>
      </w:r>
      <w:r>
        <w:rPr>
          <w:rFonts w:ascii="Verdana" w:hAnsi="Verdana"/>
        </w:rPr>
        <w:t>s</w:t>
      </w:r>
      <w:r w:rsidRPr="0084712D">
        <w:rPr>
          <w:rFonts w:ascii="Verdana" w:hAnsi="Verdana"/>
        </w:rPr>
        <w:t xml:space="preserve"> cual</w:t>
      </w:r>
      <w:r>
        <w:rPr>
          <w:rFonts w:ascii="Verdana" w:hAnsi="Verdana"/>
        </w:rPr>
        <w:t>es</w:t>
      </w:r>
      <w:r w:rsidRPr="0084712D">
        <w:rPr>
          <w:rFonts w:ascii="Verdana" w:hAnsi="Verdana"/>
        </w:rPr>
        <w:t xml:space="preserve"> manifiesta</w:t>
      </w:r>
      <w:r>
        <w:rPr>
          <w:rFonts w:ascii="Verdana" w:hAnsi="Verdana"/>
        </w:rPr>
        <w:t>n</w:t>
      </w:r>
      <w:r w:rsidRPr="0084712D">
        <w:rPr>
          <w:rFonts w:ascii="Verdana" w:hAnsi="Verdana"/>
        </w:rPr>
        <w:t xml:space="preserve"> lo siguiente:</w:t>
      </w:r>
    </w:p>
    <w:p w14:paraId="58730BAD" w14:textId="77777777" w:rsidR="00BF124D" w:rsidRDefault="00BF124D" w:rsidP="00BF124D">
      <w:pPr>
        <w:spacing w:after="120" w:line="276" w:lineRule="auto"/>
        <w:jc w:val="both"/>
        <w:rPr>
          <w:rFonts w:ascii="Verdana" w:hAnsi="Verdana"/>
        </w:rPr>
      </w:pPr>
      <w:r w:rsidRPr="00E02524">
        <w:rPr>
          <w:rFonts w:ascii="Verdana" w:hAnsi="Verdana"/>
        </w:rPr>
        <w:t xml:space="preserve">PETICIÓN REALIZADA </w:t>
      </w:r>
    </w:p>
    <w:p w14:paraId="5093C2EA" w14:textId="77777777" w:rsidR="00BF124D" w:rsidRDefault="00BF124D" w:rsidP="00BF124D">
      <w:pPr>
        <w:spacing w:after="0" w:line="240" w:lineRule="auto"/>
        <w:ind w:left="851" w:right="760"/>
        <w:jc w:val="both"/>
        <w:rPr>
          <w:rFonts w:ascii="Verdana" w:eastAsia="Calibri" w:hAnsi="Verdana" w:cs="Arial"/>
          <w:sz w:val="20"/>
          <w:szCs w:val="20"/>
          <w:lang w:eastAsia="es-ES"/>
        </w:rPr>
      </w:pPr>
      <w:r w:rsidRPr="003271AF">
        <w:rPr>
          <w:rFonts w:ascii="Verdana" w:eastAsia="Calibri" w:hAnsi="Verdana" w:cs="Arial"/>
          <w:b/>
          <w:bCs/>
          <w:sz w:val="20"/>
          <w:szCs w:val="20"/>
          <w:lang w:eastAsia="es-ES"/>
        </w:rPr>
        <w:t>Asunto:</w:t>
      </w:r>
      <w:r w:rsidRPr="003271AF">
        <w:rPr>
          <w:rFonts w:ascii="Verdana" w:eastAsia="Calibri" w:hAnsi="Verdana" w:cs="Arial"/>
          <w:sz w:val="20"/>
          <w:szCs w:val="20"/>
          <w:lang w:eastAsia="es-ES"/>
        </w:rPr>
        <w:t xml:space="preserve"> Solicitud de concepto jurídico disciplinario sobre la indebida aplicación del régimen excepcional de contratación de la Ley 1523 de 2012 por falsa motivación, desviación de poder y deficiencias en planeación</w:t>
      </w:r>
      <w:r>
        <w:rPr>
          <w:rFonts w:ascii="Verdana" w:eastAsia="Calibri" w:hAnsi="Verdana" w:cs="Arial"/>
          <w:sz w:val="20"/>
          <w:szCs w:val="20"/>
          <w:lang w:eastAsia="es-ES"/>
        </w:rPr>
        <w:t>.</w:t>
      </w:r>
    </w:p>
    <w:p w14:paraId="4FA96765" w14:textId="77777777" w:rsidR="00BF124D" w:rsidRPr="003271AF" w:rsidRDefault="00BF124D" w:rsidP="00BF124D">
      <w:pPr>
        <w:spacing w:after="0" w:line="240" w:lineRule="auto"/>
        <w:ind w:left="851" w:right="760"/>
        <w:jc w:val="both"/>
        <w:rPr>
          <w:rFonts w:ascii="Verdana" w:eastAsia="Calibri" w:hAnsi="Verdana" w:cs="Arial"/>
          <w:sz w:val="20"/>
          <w:szCs w:val="20"/>
          <w:lang w:eastAsia="es-ES"/>
        </w:rPr>
      </w:pPr>
    </w:p>
    <w:p w14:paraId="30F0661C" w14:textId="77777777" w:rsidR="00BF124D" w:rsidRDefault="00BF124D" w:rsidP="00BF124D">
      <w:pPr>
        <w:spacing w:after="0" w:line="240" w:lineRule="auto"/>
        <w:ind w:left="851" w:right="760"/>
        <w:jc w:val="both"/>
        <w:rPr>
          <w:rFonts w:ascii="Verdana" w:hAnsi="Verdana"/>
          <w:sz w:val="20"/>
          <w:szCs w:val="20"/>
        </w:rPr>
      </w:pPr>
      <w:r w:rsidRPr="00F1064C">
        <w:rPr>
          <w:rFonts w:ascii="Verdana" w:hAnsi="Verdana"/>
          <w:sz w:val="20"/>
          <w:szCs w:val="20"/>
        </w:rPr>
        <w:t xml:space="preserve">“(…) </w:t>
      </w:r>
      <w:r w:rsidRPr="000960F7">
        <w:rPr>
          <w:rFonts w:ascii="Verdana" w:hAnsi="Verdana"/>
          <w:b/>
          <w:bCs/>
          <w:sz w:val="20"/>
          <w:szCs w:val="20"/>
        </w:rPr>
        <w:t>Supuestos habilitantes, conexidad y juicio de validez</w:t>
      </w:r>
    </w:p>
    <w:p w14:paraId="118A008A" w14:textId="77777777" w:rsidR="00BF124D" w:rsidRDefault="00BF124D" w:rsidP="00BF124D">
      <w:pPr>
        <w:spacing w:after="0" w:line="240" w:lineRule="auto"/>
        <w:ind w:left="851" w:right="760"/>
        <w:jc w:val="both"/>
        <w:rPr>
          <w:rFonts w:ascii="Verdana" w:hAnsi="Verdana"/>
          <w:sz w:val="20"/>
          <w:szCs w:val="20"/>
        </w:rPr>
      </w:pPr>
    </w:p>
    <w:p w14:paraId="764362BB"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sz w:val="20"/>
          <w:szCs w:val="20"/>
        </w:rPr>
        <w:t xml:space="preserve">En relación con los supuestos habilitantes, se solicita se informe cuáles son los criterios utilizados por esa entidad para verificar la existencia real y material de la urgencia que habilita la contratación excepcional, así como los parámetros empleados para determinar la conexidad material, funcional y temporal entre el objeto contractual y la situación de calamidad pública o desastre. En este mismo sentido, se solicita precisar en qué supuestos la ausencia de dicha conexidad ha sido considerada como uso indebido del régimen excepcional, desde una perspectiva disciplinaria. </w:t>
      </w:r>
    </w:p>
    <w:p w14:paraId="122F8D68" w14:textId="77777777" w:rsidR="00BF124D" w:rsidRDefault="00BF124D" w:rsidP="00BF124D">
      <w:pPr>
        <w:spacing w:after="0" w:line="240" w:lineRule="auto"/>
        <w:ind w:left="851" w:right="760"/>
        <w:jc w:val="both"/>
        <w:rPr>
          <w:rFonts w:ascii="Verdana" w:hAnsi="Verdana"/>
          <w:sz w:val="20"/>
          <w:szCs w:val="20"/>
        </w:rPr>
      </w:pPr>
    </w:p>
    <w:p w14:paraId="455090CB"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b/>
          <w:bCs/>
          <w:sz w:val="20"/>
          <w:szCs w:val="20"/>
        </w:rPr>
        <w:t xml:space="preserve">Desviación de poder y falsa motivación </w:t>
      </w:r>
    </w:p>
    <w:p w14:paraId="3ECF968F" w14:textId="77777777" w:rsidR="00BF124D" w:rsidRDefault="00BF124D" w:rsidP="00BF124D">
      <w:pPr>
        <w:spacing w:after="0" w:line="240" w:lineRule="auto"/>
        <w:ind w:left="851" w:right="760"/>
        <w:jc w:val="both"/>
        <w:rPr>
          <w:rFonts w:ascii="Verdana" w:hAnsi="Verdana"/>
          <w:sz w:val="20"/>
          <w:szCs w:val="20"/>
        </w:rPr>
      </w:pPr>
    </w:p>
    <w:p w14:paraId="3CCFCB7C"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sz w:val="20"/>
          <w:szCs w:val="20"/>
        </w:rPr>
        <w:t>Se solicita informar los criterios aplicados por esa entidad para identificar desviación de poder y falsa motivación en el uso del régimen excepcional de contratación. Particularmente, se requiere precisar si se han considerado como supuestos de irregularidad disciplinaria la contratación de actividades ordinarias bajo el amparo de la urgencia, la ejecución de proyectos previamente programados en instrumentos de planeación y la simulación o sobredimensionamiento de la situación de urgencia.</w:t>
      </w:r>
    </w:p>
    <w:p w14:paraId="0ABE1E3B" w14:textId="77777777" w:rsidR="00BF124D" w:rsidRDefault="00BF124D" w:rsidP="00BF124D">
      <w:pPr>
        <w:spacing w:after="0" w:line="240" w:lineRule="auto"/>
        <w:ind w:left="851" w:right="760"/>
        <w:jc w:val="both"/>
        <w:rPr>
          <w:rFonts w:ascii="Verdana" w:hAnsi="Verdana"/>
          <w:sz w:val="20"/>
          <w:szCs w:val="20"/>
        </w:rPr>
      </w:pPr>
    </w:p>
    <w:p w14:paraId="3A9A6A2B"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b/>
          <w:bCs/>
          <w:sz w:val="20"/>
          <w:szCs w:val="20"/>
        </w:rPr>
        <w:t>Planeación y soportes técnicos</w:t>
      </w:r>
      <w:r w:rsidRPr="000960F7">
        <w:rPr>
          <w:rFonts w:ascii="Verdana" w:hAnsi="Verdana"/>
          <w:sz w:val="20"/>
          <w:szCs w:val="20"/>
        </w:rPr>
        <w:t xml:space="preserve"> </w:t>
      </w:r>
    </w:p>
    <w:p w14:paraId="50E7B7F4" w14:textId="77777777" w:rsidR="00BF124D" w:rsidRDefault="00BF124D" w:rsidP="00BF124D">
      <w:pPr>
        <w:spacing w:after="0" w:line="240" w:lineRule="auto"/>
        <w:ind w:left="851" w:right="760"/>
        <w:jc w:val="both"/>
        <w:rPr>
          <w:rFonts w:ascii="Verdana" w:hAnsi="Verdana"/>
          <w:sz w:val="20"/>
          <w:szCs w:val="20"/>
        </w:rPr>
      </w:pPr>
    </w:p>
    <w:p w14:paraId="6488FEA7"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sz w:val="20"/>
          <w:szCs w:val="20"/>
        </w:rPr>
        <w:t xml:space="preserve">Respecto del principio de planeación, se solicita indicar cuál es el estándar disciplinario exigible en la contratación bajo el régimen excepcional de la Ley 1523 de 2012, precisando si la ausencia o debilidad de soportes técnicos como EDAN, Planes de Acción Específicos (PAE), conceptos técnicos, análisis de necesidad o justificación de la contratación ha sido considerada como falta disciplinaria o indicio relevante de irregularidad en la gestión contractual. </w:t>
      </w:r>
    </w:p>
    <w:p w14:paraId="769E45E6" w14:textId="77777777" w:rsidR="00BF124D" w:rsidRDefault="00BF124D" w:rsidP="00BF124D">
      <w:pPr>
        <w:spacing w:after="0" w:line="240" w:lineRule="auto"/>
        <w:ind w:left="851" w:right="760"/>
        <w:jc w:val="both"/>
        <w:rPr>
          <w:rFonts w:ascii="Verdana" w:hAnsi="Verdana"/>
          <w:sz w:val="20"/>
          <w:szCs w:val="20"/>
        </w:rPr>
      </w:pPr>
    </w:p>
    <w:p w14:paraId="30EC84B6"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b/>
          <w:bCs/>
          <w:sz w:val="20"/>
          <w:szCs w:val="20"/>
        </w:rPr>
        <w:t>Proyectos estructurales y planificación ordinaria</w:t>
      </w:r>
      <w:r w:rsidRPr="000960F7">
        <w:rPr>
          <w:rFonts w:ascii="Verdana" w:hAnsi="Verdana"/>
          <w:sz w:val="20"/>
          <w:szCs w:val="20"/>
        </w:rPr>
        <w:t xml:space="preserve"> </w:t>
      </w:r>
    </w:p>
    <w:p w14:paraId="7CAC1334" w14:textId="77777777" w:rsidR="00BF124D" w:rsidRDefault="00BF124D" w:rsidP="00BF124D">
      <w:pPr>
        <w:spacing w:after="0" w:line="240" w:lineRule="auto"/>
        <w:ind w:left="851" w:right="760"/>
        <w:jc w:val="both"/>
        <w:rPr>
          <w:rFonts w:ascii="Verdana" w:hAnsi="Verdana"/>
          <w:sz w:val="20"/>
          <w:szCs w:val="20"/>
        </w:rPr>
      </w:pPr>
    </w:p>
    <w:p w14:paraId="21B6F655" w14:textId="4F94BE8B" w:rsidR="00BF124D" w:rsidRDefault="00BF124D" w:rsidP="00D8648E">
      <w:pPr>
        <w:spacing w:after="0" w:line="240" w:lineRule="auto"/>
        <w:ind w:left="851" w:right="760"/>
        <w:jc w:val="both"/>
        <w:rPr>
          <w:rFonts w:ascii="Verdana" w:hAnsi="Verdana"/>
          <w:sz w:val="20"/>
          <w:szCs w:val="20"/>
        </w:rPr>
      </w:pPr>
      <w:r w:rsidRPr="000960F7">
        <w:rPr>
          <w:rFonts w:ascii="Verdana" w:hAnsi="Verdana"/>
          <w:sz w:val="20"/>
          <w:szCs w:val="20"/>
        </w:rPr>
        <w:t>Se solicita precisar si, desde la perspectiva disciplinaria, es jurídicamente admisible ejecutar bajo este régimen contratos relacionados con obras de infraestructura permanente, proyectos estructurales, indicando los criterios utilizados para diferenciar entre actuaciones propias de la atención urgente de la emergencia y aquellas que corresponden a procesos de planificación ordinaria.</w:t>
      </w:r>
    </w:p>
    <w:p w14:paraId="39362141" w14:textId="77777777" w:rsidR="00D8648E" w:rsidRDefault="00BF124D" w:rsidP="00D8648E">
      <w:pPr>
        <w:spacing w:after="0" w:line="240" w:lineRule="auto"/>
        <w:ind w:left="851" w:right="760"/>
        <w:jc w:val="both"/>
        <w:rPr>
          <w:rFonts w:ascii="Verdana" w:hAnsi="Verdana"/>
          <w:sz w:val="20"/>
          <w:szCs w:val="20"/>
        </w:rPr>
      </w:pPr>
      <w:r w:rsidRPr="000960F7">
        <w:rPr>
          <w:rFonts w:ascii="Verdana" w:hAnsi="Verdana"/>
          <w:b/>
          <w:bCs/>
          <w:sz w:val="20"/>
          <w:szCs w:val="20"/>
        </w:rPr>
        <w:t xml:space="preserve">Temporalidad del régimen excepcional </w:t>
      </w:r>
    </w:p>
    <w:p w14:paraId="4D101506" w14:textId="77777777" w:rsidR="00D8648E" w:rsidRDefault="00D8648E" w:rsidP="00D8648E">
      <w:pPr>
        <w:spacing w:after="0" w:line="240" w:lineRule="auto"/>
        <w:ind w:left="851" w:right="760"/>
        <w:jc w:val="both"/>
        <w:rPr>
          <w:rFonts w:ascii="Verdana" w:hAnsi="Verdana"/>
          <w:sz w:val="20"/>
          <w:szCs w:val="20"/>
        </w:rPr>
      </w:pPr>
    </w:p>
    <w:p w14:paraId="53B2A2E6" w14:textId="6CA690DB" w:rsidR="00BF124D" w:rsidRDefault="00BF124D" w:rsidP="00D8648E">
      <w:pPr>
        <w:spacing w:after="0" w:line="240" w:lineRule="auto"/>
        <w:ind w:left="851" w:right="760"/>
        <w:jc w:val="both"/>
        <w:rPr>
          <w:rFonts w:ascii="Verdana" w:hAnsi="Verdana"/>
          <w:sz w:val="20"/>
          <w:szCs w:val="20"/>
        </w:rPr>
      </w:pPr>
      <w:r w:rsidRPr="000960F7">
        <w:rPr>
          <w:rFonts w:ascii="Verdana" w:hAnsi="Verdana"/>
          <w:sz w:val="20"/>
          <w:szCs w:val="20"/>
        </w:rPr>
        <w:t xml:space="preserve">En cuanto a la temporalidad, se solicita indicar cuáles son los criterios utilizados por esa entidad para determinar la duración razonable del régimen excepcional de contratación, así como las consecuencias disciplinarias derivadas de su extensión indebida o prolongación injustificada en el tiempo. </w:t>
      </w:r>
    </w:p>
    <w:p w14:paraId="072027A7" w14:textId="77777777" w:rsidR="00BF124D" w:rsidRDefault="00BF124D" w:rsidP="00BF124D">
      <w:pPr>
        <w:spacing w:after="0" w:line="240" w:lineRule="auto"/>
        <w:ind w:left="851" w:right="760"/>
        <w:jc w:val="both"/>
        <w:rPr>
          <w:rFonts w:ascii="Verdana" w:hAnsi="Verdana"/>
          <w:sz w:val="20"/>
          <w:szCs w:val="20"/>
        </w:rPr>
      </w:pPr>
    </w:p>
    <w:p w14:paraId="779DF0D4"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sz w:val="20"/>
          <w:szCs w:val="20"/>
        </w:rPr>
        <w:t xml:space="preserve">Cómo debe analizarse, desde la perspectiva disciplinaria, la incorporación en el Plan de Acción Específico para la recuperación temprana de proyectos de infraestructura cuya necesidad deriva de hechos ocurridos con anterioridad significativa (meses o años), y bajo qué criterios puede establecerse que la declaratoria de inminencia en el acto administrativo de calamidad pública no corresponde a una condición fáctica real sino a una construcción formal orientada a habilitar la aplicación del régimen excepcional de contratación. </w:t>
      </w:r>
    </w:p>
    <w:p w14:paraId="012CF9F1" w14:textId="77777777" w:rsidR="00BF124D" w:rsidRDefault="00BF124D" w:rsidP="00BF124D">
      <w:pPr>
        <w:spacing w:after="0" w:line="240" w:lineRule="auto"/>
        <w:ind w:left="851" w:right="760"/>
        <w:jc w:val="both"/>
        <w:rPr>
          <w:rFonts w:ascii="Verdana" w:hAnsi="Verdana"/>
          <w:sz w:val="20"/>
          <w:szCs w:val="20"/>
        </w:rPr>
      </w:pPr>
    </w:p>
    <w:p w14:paraId="357D4F05"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b/>
          <w:bCs/>
          <w:sz w:val="20"/>
          <w:szCs w:val="20"/>
        </w:rPr>
        <w:t>Uso del régimen excepcional para evitar selección objetiva</w:t>
      </w:r>
      <w:r w:rsidRPr="000960F7">
        <w:rPr>
          <w:rFonts w:ascii="Verdana" w:hAnsi="Verdana"/>
          <w:sz w:val="20"/>
          <w:szCs w:val="20"/>
        </w:rPr>
        <w:t xml:space="preserve"> </w:t>
      </w:r>
    </w:p>
    <w:p w14:paraId="234D3CB3" w14:textId="77777777" w:rsidR="00BF124D" w:rsidRDefault="00BF124D" w:rsidP="00BF124D">
      <w:pPr>
        <w:spacing w:after="0" w:line="240" w:lineRule="auto"/>
        <w:ind w:left="851" w:right="760"/>
        <w:jc w:val="both"/>
        <w:rPr>
          <w:rFonts w:ascii="Verdana" w:hAnsi="Verdana"/>
          <w:sz w:val="20"/>
          <w:szCs w:val="20"/>
        </w:rPr>
      </w:pPr>
    </w:p>
    <w:p w14:paraId="651E61B6"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sz w:val="20"/>
          <w:szCs w:val="20"/>
        </w:rPr>
        <w:t xml:space="preserve">Se solicita precisar si la Procuraduría ha identificado como conducta disciplinaria el uso de la declaratoria de calamidad pública o del régimen excepcional de contratación como mecanismo para evitar la aplicación de procedimientos ordinarios de selección objetiva, tales como la licitación pública, así como los criterios empleados para calificar dicha conducta. </w:t>
      </w:r>
    </w:p>
    <w:p w14:paraId="59977648" w14:textId="77777777" w:rsidR="00BF124D" w:rsidRDefault="00BF124D" w:rsidP="00BF124D">
      <w:pPr>
        <w:spacing w:after="0" w:line="240" w:lineRule="auto"/>
        <w:ind w:left="851" w:right="760"/>
        <w:jc w:val="both"/>
        <w:rPr>
          <w:rFonts w:ascii="Verdana" w:hAnsi="Verdana"/>
          <w:sz w:val="20"/>
          <w:szCs w:val="20"/>
        </w:rPr>
      </w:pPr>
    </w:p>
    <w:p w14:paraId="22A188F7"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b/>
          <w:bCs/>
          <w:sz w:val="20"/>
          <w:szCs w:val="20"/>
        </w:rPr>
        <w:t>Relación entre urgencia manifiesta y régimen de la Ley 1523 de 2012</w:t>
      </w:r>
      <w:r w:rsidRPr="000960F7">
        <w:rPr>
          <w:rFonts w:ascii="Verdana" w:hAnsi="Verdana"/>
          <w:sz w:val="20"/>
          <w:szCs w:val="20"/>
        </w:rPr>
        <w:t xml:space="preserve"> </w:t>
      </w:r>
    </w:p>
    <w:p w14:paraId="2A103948" w14:textId="77777777" w:rsidR="00BF124D" w:rsidRDefault="00BF124D" w:rsidP="00BF124D">
      <w:pPr>
        <w:spacing w:after="0" w:line="240" w:lineRule="auto"/>
        <w:ind w:left="851" w:right="760"/>
        <w:jc w:val="both"/>
        <w:rPr>
          <w:rFonts w:ascii="Verdana" w:hAnsi="Verdana"/>
          <w:sz w:val="20"/>
          <w:szCs w:val="20"/>
        </w:rPr>
      </w:pPr>
    </w:p>
    <w:p w14:paraId="4B7258EC"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sz w:val="20"/>
          <w:szCs w:val="20"/>
        </w:rPr>
        <w:t xml:space="preserve">Se solicita indicar los criterios jurídicos y disciplinarios adoptados por esa entidad para diferenciar y delimitar el uso de la figura de urgencia manifiesta prevista en la Ley 80 de 1993 frente al régimen excepcional de contratación de la Ley 1523 de 2012. En particular, se requiere precisar si dichas figuras son excluyentes, concurrentes o complementarias, cuáles son los criterios para determinar el régimen aplicable en escenarios de emergencia, si su uso indistinto puede configurar falta disciplinaria y si la elección del régimen debe estar soportada en una motivación reforzada. De igual forma, se solicita informar si existen antecedentes o criterios institucionales en los cuales se haya identificado el uso indebido de estas figuras para eludir procedimientos ordinarios de contratación. </w:t>
      </w:r>
    </w:p>
    <w:p w14:paraId="7CCA206F" w14:textId="77777777" w:rsidR="00BF124D" w:rsidRDefault="00BF124D" w:rsidP="00BF124D">
      <w:pPr>
        <w:spacing w:after="0" w:line="240" w:lineRule="auto"/>
        <w:ind w:left="851" w:right="760"/>
        <w:jc w:val="both"/>
        <w:rPr>
          <w:rFonts w:ascii="Verdana" w:hAnsi="Verdana"/>
          <w:sz w:val="20"/>
          <w:szCs w:val="20"/>
        </w:rPr>
      </w:pPr>
    </w:p>
    <w:p w14:paraId="714B4632" w14:textId="77777777" w:rsidR="00BF124D" w:rsidRDefault="00BF124D" w:rsidP="00BF124D">
      <w:pPr>
        <w:spacing w:after="0" w:line="240" w:lineRule="auto"/>
        <w:ind w:left="851" w:right="760"/>
        <w:jc w:val="both"/>
        <w:rPr>
          <w:rFonts w:ascii="Verdana" w:hAnsi="Verdana"/>
          <w:sz w:val="20"/>
          <w:szCs w:val="20"/>
        </w:rPr>
      </w:pPr>
      <w:r w:rsidRPr="000960F7">
        <w:rPr>
          <w:rFonts w:ascii="Verdana" w:hAnsi="Verdana"/>
          <w:b/>
          <w:bCs/>
          <w:sz w:val="20"/>
          <w:szCs w:val="20"/>
        </w:rPr>
        <w:t>Responsabilidad disciplinaria y riesgos asociados</w:t>
      </w:r>
      <w:r w:rsidRPr="000960F7">
        <w:rPr>
          <w:rFonts w:ascii="Verdana" w:hAnsi="Verdana"/>
          <w:sz w:val="20"/>
          <w:szCs w:val="20"/>
        </w:rPr>
        <w:t xml:space="preserve"> </w:t>
      </w:r>
    </w:p>
    <w:p w14:paraId="6FD0E060" w14:textId="77777777" w:rsidR="00BF124D" w:rsidRDefault="00BF124D" w:rsidP="00BF124D">
      <w:pPr>
        <w:spacing w:after="0" w:line="240" w:lineRule="auto"/>
        <w:ind w:left="851" w:right="760"/>
        <w:jc w:val="both"/>
        <w:rPr>
          <w:rFonts w:ascii="Verdana" w:hAnsi="Verdana"/>
          <w:sz w:val="20"/>
          <w:szCs w:val="20"/>
        </w:rPr>
      </w:pPr>
    </w:p>
    <w:p w14:paraId="3B3CB897" w14:textId="77777777" w:rsidR="00BF124D" w:rsidRPr="000960F7" w:rsidRDefault="00BF124D" w:rsidP="00BF124D">
      <w:pPr>
        <w:spacing w:after="0" w:line="240" w:lineRule="auto"/>
        <w:ind w:left="851" w:right="760"/>
        <w:jc w:val="both"/>
        <w:rPr>
          <w:rFonts w:ascii="Verdana" w:hAnsi="Verdana"/>
          <w:sz w:val="20"/>
          <w:szCs w:val="20"/>
        </w:rPr>
      </w:pPr>
      <w:r w:rsidRPr="000960F7">
        <w:rPr>
          <w:rFonts w:ascii="Verdana" w:hAnsi="Verdana"/>
          <w:sz w:val="20"/>
          <w:szCs w:val="20"/>
        </w:rPr>
        <w:t>Se solicita indicar qué conductas podrían configurar faltas disciplinarias en el marco del uso indebido del régimen excepcional de contratación, especialmente aquellas relacionadas con desviación de poder, vulneración del principio de planeación, indebida motivación, falta de transparencia o uso inadecuado de los mecanismos excepcionales previstos en la ley</w:t>
      </w:r>
      <w:r>
        <w:rPr>
          <w:rFonts w:ascii="Verdana" w:hAnsi="Verdana"/>
          <w:sz w:val="20"/>
          <w:szCs w:val="20"/>
        </w:rPr>
        <w:t xml:space="preserve"> (…)”.</w:t>
      </w:r>
    </w:p>
    <w:p w14:paraId="23823A1F" w14:textId="77777777" w:rsidR="00BF124D" w:rsidRPr="00647D77" w:rsidRDefault="00BF124D" w:rsidP="00BF124D">
      <w:pPr>
        <w:spacing w:after="0" w:line="240" w:lineRule="auto"/>
        <w:ind w:right="709"/>
        <w:jc w:val="both"/>
        <w:rPr>
          <w:rFonts w:ascii="Verdana" w:hAnsi="Verdana"/>
        </w:rPr>
      </w:pPr>
    </w:p>
    <w:p w14:paraId="55FC72C1" w14:textId="77777777" w:rsidR="00BF124D" w:rsidRPr="00F64722" w:rsidRDefault="00BF124D" w:rsidP="00BF124D">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0CB387E" w14:textId="77777777" w:rsidR="00BF124D" w:rsidRPr="00A954E9" w:rsidRDefault="00BF124D" w:rsidP="00BF124D">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w:t>
      </w:r>
      <w:r w:rsidRPr="00A954E9">
        <w:rPr>
          <w:rFonts w:ascii="Verdana" w:eastAsia="Calibri" w:hAnsi="Verdana" w:cs="Arial"/>
          <w:color w:val="000000"/>
          <w:lang w:eastAsia="es-ES"/>
        </w:rPr>
        <w:t>pero señalando algunas consideraciones sobre las normas generales relacionadas a los problemas jurídicos de su consulta.</w:t>
      </w:r>
      <w:r w:rsidRPr="00A954E9">
        <w:rPr>
          <w:rFonts w:ascii="Verdana" w:eastAsia="Calibri" w:hAnsi="Verdana" w:cs="Arial"/>
          <w:lang w:eastAsia="es-ES"/>
        </w:rPr>
        <w:t xml:space="preserve"> </w:t>
      </w:r>
    </w:p>
    <w:p w14:paraId="1F432692" w14:textId="77777777" w:rsidR="00BF124D" w:rsidRPr="00A954E9" w:rsidRDefault="00BF124D" w:rsidP="00BF124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954E9">
        <w:rPr>
          <w:rFonts w:ascii="Verdana" w:eastAsia="Century Gothic" w:hAnsi="Verdana" w:cs="Century Gothic"/>
          <w:b/>
          <w:bCs/>
        </w:rPr>
        <w:t>Problema planteado:</w:t>
      </w:r>
    </w:p>
    <w:p w14:paraId="6E2B7EFC" w14:textId="77777777" w:rsidR="00BF124D" w:rsidRPr="00A954E9" w:rsidRDefault="00BF124D" w:rsidP="00BF124D">
      <w:pPr>
        <w:spacing w:after="0" w:line="240" w:lineRule="auto"/>
        <w:jc w:val="both"/>
        <w:rPr>
          <w:rFonts w:ascii="Verdana" w:eastAsia="Calibri" w:hAnsi="Verdana" w:cs="Arial"/>
          <w:color w:val="000000"/>
          <w:lang w:eastAsia="es-ES"/>
        </w:rPr>
      </w:pPr>
    </w:p>
    <w:p w14:paraId="15B3827C" w14:textId="77777777" w:rsidR="00BF124D" w:rsidRPr="00815135" w:rsidRDefault="00BF124D" w:rsidP="00BF124D">
      <w:pPr>
        <w:spacing w:after="120" w:line="276" w:lineRule="auto"/>
        <w:jc w:val="both"/>
        <w:rPr>
          <w:rFonts w:ascii="Verdana" w:hAnsi="Verdana" w:cs="Arial"/>
          <w:lang w:val="es-ES_tradnl"/>
        </w:rPr>
      </w:pPr>
      <w:r w:rsidRPr="00A954E9">
        <w:rPr>
          <w:rFonts w:ascii="Verdana" w:eastAsia="Calibri" w:hAnsi="Verdana" w:cs="Arial"/>
          <w:color w:val="000000"/>
          <w:lang w:eastAsia="es-ES"/>
        </w:rPr>
        <w:t>De acuerdo con el contenido de su solicitud, esta Agencia resolverá</w:t>
      </w:r>
      <w:r w:rsidRPr="00C14A07">
        <w:rPr>
          <w:rFonts w:ascii="Verdana" w:eastAsia="Calibri" w:hAnsi="Verdana" w:cs="Arial"/>
          <w:color w:val="000000"/>
          <w:lang w:eastAsia="es-ES"/>
        </w:rPr>
        <w:t xml:space="preserve"> los siguientes problemas jurídicos: </w:t>
      </w:r>
      <w:r w:rsidRPr="00126A1C">
        <w:rPr>
          <w:rFonts w:ascii="Verdana" w:eastAsia="Century Gothic" w:hAnsi="Verdana" w:cs="Century Gothic"/>
        </w:rPr>
        <w:t>i) ¿</w:t>
      </w:r>
      <w:r>
        <w:rPr>
          <w:rFonts w:ascii="Verdana" w:eastAsia="Century Gothic" w:hAnsi="Verdana" w:cs="Century Gothic"/>
        </w:rPr>
        <w:t>C</w:t>
      </w:r>
      <w:r w:rsidRPr="00126A1C">
        <w:rPr>
          <w:rFonts w:ascii="Verdana" w:eastAsia="Century Gothic" w:hAnsi="Verdana" w:cs="Century Gothic"/>
        </w:rPr>
        <w:t>uál es el alcance de los conceptos emitidos por la Agencia Nacional de Contratación Pública Colombia Compra Eficiente?</w:t>
      </w:r>
      <w:r>
        <w:rPr>
          <w:rFonts w:ascii="Verdana" w:eastAsia="Century Gothic" w:hAnsi="Verdana" w:cs="Century Gothic"/>
        </w:rPr>
        <w:t xml:space="preserve"> </w:t>
      </w:r>
      <w:proofErr w:type="spellStart"/>
      <w:r>
        <w:rPr>
          <w:rFonts w:ascii="Verdana" w:eastAsia="Century Gothic" w:hAnsi="Verdana" w:cs="Century Gothic"/>
        </w:rPr>
        <w:t>ii</w:t>
      </w:r>
      <w:proofErr w:type="spellEnd"/>
      <w:r>
        <w:rPr>
          <w:rFonts w:ascii="Verdana" w:eastAsia="Century Gothic" w:hAnsi="Verdana" w:cs="Century Gothic"/>
        </w:rPr>
        <w:t>) ¿Cuál es el</w:t>
      </w:r>
      <w:r w:rsidRPr="00815135">
        <w:rPr>
          <w:rFonts w:ascii="Verdana" w:eastAsia="Century Gothic" w:hAnsi="Verdana" w:cs="Century Gothic"/>
        </w:rPr>
        <w:t xml:space="preserve"> alcance de la urgencia manifiesta en los contratos </w:t>
      </w:r>
      <w:r>
        <w:rPr>
          <w:rFonts w:ascii="Verdana" w:eastAsia="Century Gothic" w:hAnsi="Verdana" w:cs="Century Gothic"/>
        </w:rPr>
        <w:t xml:space="preserve">celebrados por </w:t>
      </w:r>
      <w:r w:rsidRPr="00815135">
        <w:rPr>
          <w:rFonts w:ascii="Verdana" w:eastAsia="Century Gothic" w:hAnsi="Verdana" w:cs="Century Gothic"/>
        </w:rPr>
        <w:t>las entidades sometidas al Estatuto General de Contratación</w:t>
      </w:r>
      <w:r>
        <w:rPr>
          <w:rFonts w:ascii="Verdana" w:eastAsia="Century Gothic" w:hAnsi="Verdana" w:cs="Century Gothic"/>
        </w:rPr>
        <w:t xml:space="preserve"> de la Administración Pública</w:t>
      </w:r>
      <w:r w:rsidRPr="00815135">
        <w:rPr>
          <w:rFonts w:ascii="Verdana" w:eastAsia="Century Gothic" w:hAnsi="Verdana" w:cs="Century Gothic"/>
        </w:rPr>
        <w:t>,</w:t>
      </w:r>
      <w:r>
        <w:rPr>
          <w:rFonts w:ascii="Verdana" w:eastAsia="Century Gothic" w:hAnsi="Verdana" w:cs="Century Gothic"/>
        </w:rPr>
        <w:t xml:space="preserve"> así como </w:t>
      </w:r>
      <w:r w:rsidRPr="00815135">
        <w:rPr>
          <w:rFonts w:ascii="Verdana" w:eastAsia="Century Gothic" w:hAnsi="Verdana" w:cs="Century Gothic"/>
        </w:rPr>
        <w:t xml:space="preserve">los conceptos de desastre y calamidad pública </w:t>
      </w:r>
      <w:r>
        <w:rPr>
          <w:rFonts w:ascii="Verdana" w:eastAsia="Century Gothic" w:hAnsi="Verdana" w:cs="Century Gothic"/>
        </w:rPr>
        <w:t xml:space="preserve">determinados </w:t>
      </w:r>
      <w:r w:rsidRPr="00815135">
        <w:rPr>
          <w:rFonts w:ascii="Verdana" w:eastAsia="Century Gothic" w:hAnsi="Verdana" w:cs="Century Gothic"/>
        </w:rPr>
        <w:t>en la Ley 1523 de 2012</w:t>
      </w:r>
      <w:r>
        <w:rPr>
          <w:rFonts w:ascii="Verdana" w:eastAsia="Century Gothic" w:hAnsi="Verdana" w:cs="Century Gothic"/>
        </w:rPr>
        <w:t>?</w:t>
      </w:r>
      <w:r w:rsidRPr="00815135">
        <w:rPr>
          <w:rFonts w:ascii="Verdana" w:eastAsia="Century Gothic" w:hAnsi="Verdana" w:cs="Century Gothic"/>
        </w:rPr>
        <w:t xml:space="preserve">      </w:t>
      </w:r>
    </w:p>
    <w:p w14:paraId="22A1891E" w14:textId="77777777" w:rsidR="00BF124D" w:rsidRPr="00C97CA6" w:rsidRDefault="00BF124D" w:rsidP="00BF124D">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2A1614F9" w14:textId="77777777" w:rsidR="00BF124D" w:rsidRPr="005644FE" w:rsidRDefault="00BF124D" w:rsidP="00BF124D">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BF124D" w:rsidRPr="005644FE" w14:paraId="3DB9C054" w14:textId="77777777" w:rsidTr="005C1255">
        <w:tc>
          <w:tcPr>
            <w:tcW w:w="8828" w:type="dxa"/>
          </w:tcPr>
          <w:p w14:paraId="2C2F5C77" w14:textId="77777777" w:rsidR="00BF124D" w:rsidRDefault="00BF124D" w:rsidP="005C1255">
            <w:pPr>
              <w:spacing w:after="120" w:line="276" w:lineRule="auto"/>
              <w:jc w:val="both"/>
              <w:rPr>
                <w:rFonts w:ascii="Verdana" w:eastAsiaTheme="minorEastAsia" w:hAnsi="Verdana" w:cs="Arial"/>
                <w:lang w:eastAsia="es-CO"/>
              </w:rPr>
            </w:pPr>
            <w:r>
              <w:rPr>
                <w:rFonts w:ascii="Verdana" w:hAnsi="Verdana" w:cs="Arial"/>
                <w:lang w:val="es-ES_tradnl"/>
              </w:rPr>
              <w:t xml:space="preserve">i) </w:t>
            </w:r>
            <w:r>
              <w:rPr>
                <w:rFonts w:ascii="Verdana" w:eastAsia="Calibri" w:hAnsi="Verdana" w:cs="Arial"/>
                <w:lang w:eastAsia="es-ES"/>
              </w:rPr>
              <w:t>D</w:t>
            </w:r>
            <w:r w:rsidRPr="00CF54DC">
              <w:rPr>
                <w:rFonts w:ascii="Verdana" w:eastAsiaTheme="minorEastAsia" w:hAnsi="Verdana" w:cs="Arial"/>
                <w:lang w:eastAsia="es-CO"/>
              </w:rPr>
              <w:t xml:space="preserve">e acuerdo con lo establecido en los artículos 3.5 y 11.8 </w:t>
            </w:r>
            <w:r>
              <w:rPr>
                <w:rFonts w:ascii="Verdana" w:eastAsiaTheme="minorEastAsia" w:hAnsi="Verdana" w:cs="Arial"/>
                <w:lang w:eastAsia="es-CO"/>
              </w:rPr>
              <w:t xml:space="preserve">del Decreto 4170 de 2011, </w:t>
            </w:r>
            <w:r w:rsidRPr="00CF54DC">
              <w:rPr>
                <w:rFonts w:ascii="Verdana" w:eastAsiaTheme="minorEastAsia" w:hAnsi="Verdana" w:cs="Arial"/>
                <w:lang w:eastAsia="es-CO"/>
              </w:rPr>
              <w:t>la Agencia Nacional de Contratación Pública – Colombia Compra Eficiente</w:t>
            </w:r>
            <w:r w:rsidRPr="00CF54DC">
              <w:rPr>
                <w:rFonts w:ascii="Verdana" w:eastAsiaTheme="minorEastAsia" w:hAnsi="Verdana" w:cs="Arial"/>
                <w:lang w:val="es-ES" w:eastAsia="es-CO"/>
              </w:rPr>
              <w:t xml:space="preserve"> </w:t>
            </w:r>
            <w:r w:rsidRPr="00CF54DC">
              <w:rPr>
                <w:rFonts w:ascii="Verdana" w:eastAsiaTheme="minorEastAsia" w:hAnsi="Verdana" w:cs="Arial"/>
                <w:lang w:eastAsia="es-CO"/>
              </w:rPr>
              <w:t>resuelve</w:t>
            </w:r>
            <w:r w:rsidRPr="00CF54DC">
              <w:rPr>
                <w:rFonts w:ascii="Verdana" w:eastAsiaTheme="minorEastAsia" w:hAnsi="Verdana" w:cs="Arial"/>
                <w:spacing w:val="-16"/>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consultas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sobre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asuntos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su</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competenci</w:t>
            </w:r>
            <w:r>
              <w:rPr>
                <w:rFonts w:ascii="Verdana" w:eastAsiaTheme="minorEastAsia" w:hAnsi="Verdana" w:cs="Arial"/>
                <w:lang w:eastAsia="es-CO"/>
              </w:rPr>
              <w:t xml:space="preserve">a, </w:t>
            </w:r>
            <w:r w:rsidRPr="00CF54DC">
              <w:rPr>
                <w:rFonts w:ascii="Verdana" w:eastAsiaTheme="minorEastAsia" w:hAnsi="Verdana" w:cs="Arial"/>
                <w:lang w:eastAsia="es-CO"/>
              </w:rPr>
              <w:t>esto es, sobre las temáticas de la contratación estatal y compras públicas relacionadas en los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 xml:space="preserve">artículos citados. </w:t>
            </w:r>
          </w:p>
          <w:p w14:paraId="2FFB0A10" w14:textId="77777777" w:rsidR="00BF124D" w:rsidRDefault="00BF124D" w:rsidP="005C1255">
            <w:pPr>
              <w:spacing w:after="120" w:line="276" w:lineRule="auto"/>
              <w:ind w:firstLine="709"/>
              <w:jc w:val="both"/>
              <w:rPr>
                <w:rFonts w:ascii="Verdana" w:eastAsiaTheme="minorEastAsia" w:hAnsi="Verdana" w:cs="Arial"/>
                <w:lang w:eastAsia="es-CO"/>
              </w:rPr>
            </w:pPr>
            <w:r w:rsidRPr="00CF54DC">
              <w:rPr>
                <w:rFonts w:ascii="Verdana" w:eastAsiaTheme="minorEastAsia" w:hAnsi="Verdana" w:cs="Arial"/>
                <w:lang w:eastAsia="es-CO"/>
              </w:rPr>
              <w:t>En ese sentido, resolver consultas sobre casos particulares desborda las</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atribuciones</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asignadas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legislador,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no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concibió</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Colombia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Compra</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Eficiente</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como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una autoridad 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solucionar</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problemas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jurídicos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particulares,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especialmente,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cuando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conocimiento de estos últimos corresponde resolverlos a los partícipes del sistema de compra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eventualmente,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autoridades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judiciales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organismos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control.</w:t>
            </w:r>
            <w:r>
              <w:rPr>
                <w:rFonts w:ascii="Verdana" w:eastAsiaTheme="minorEastAsia" w:hAnsi="Verdana" w:cs="Arial"/>
                <w:lang w:eastAsia="es-CO"/>
              </w:rPr>
              <w:t xml:space="preserve"> </w:t>
            </w:r>
          </w:p>
          <w:p w14:paraId="4CBDD091" w14:textId="77777777" w:rsidR="00BF124D" w:rsidRPr="00473408" w:rsidRDefault="00BF124D" w:rsidP="005C1255">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En otras palabras, los conceptos de esta Agencia tienen como objeto la interpretación de</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normas de carácter general, esto es, del ordenamiento jurídico en abstracto, no la resolución de controversias o la asesoría para casos concretos; además, no son vinculantes o de obligatorio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cumplimiento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para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destinatario,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sino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expresan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posición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interpretativa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organismo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elabora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w:t>
            </w:r>
          </w:p>
          <w:p w14:paraId="28F732D4" w14:textId="77777777" w:rsidR="00BF124D" w:rsidRPr="008A6428" w:rsidRDefault="00BF124D" w:rsidP="005C1255">
            <w:pPr>
              <w:spacing w:after="120" w:line="276" w:lineRule="auto"/>
              <w:jc w:val="both"/>
              <w:rPr>
                <w:rFonts w:ascii="Verdana" w:eastAsia="Calibri" w:hAnsi="Verdana" w:cs="Arial"/>
                <w:lang w:val="es-ES"/>
              </w:rPr>
            </w:pPr>
            <w:proofErr w:type="spellStart"/>
            <w:r>
              <w:rPr>
                <w:rFonts w:ascii="Verdana" w:eastAsiaTheme="minorEastAsia" w:hAnsi="Verdana" w:cs="Arial"/>
                <w:lang w:eastAsia="es-CO"/>
              </w:rPr>
              <w:t>ii</w:t>
            </w:r>
            <w:proofErr w:type="spellEnd"/>
            <w:r>
              <w:rPr>
                <w:rFonts w:ascii="Verdana" w:eastAsiaTheme="minorEastAsia" w:hAnsi="Verdana" w:cs="Arial"/>
                <w:lang w:eastAsia="es-CO"/>
              </w:rPr>
              <w:t xml:space="preserve">) </w:t>
            </w:r>
            <w:r>
              <w:rPr>
                <w:rFonts w:ascii="Verdana" w:eastAsia="Calibri" w:hAnsi="Verdana" w:cs="Arial"/>
                <w:bCs/>
                <w:color w:val="000000" w:themeColor="text1"/>
              </w:rPr>
              <w:t xml:space="preserve">Conforme a la interpretación general de las normas del sistema de compras públicas, de acuerdo con los artículos 56 y 57 de la Ley 1523 de 2012, </w:t>
            </w:r>
            <w:r w:rsidRPr="00392AFA">
              <w:rPr>
                <w:rFonts w:ascii="Verdana" w:eastAsia="Calibri" w:hAnsi="Verdana" w:cs="Arial"/>
                <w:bCs/>
                <w:color w:val="000000" w:themeColor="text1"/>
              </w:rPr>
              <w:t xml:space="preserve">al </w:t>
            </w:r>
            <w:proofErr w:type="gramStart"/>
            <w:r w:rsidRPr="00392AFA">
              <w:rPr>
                <w:rFonts w:ascii="Verdana" w:eastAsia="Calibri" w:hAnsi="Verdana" w:cs="Arial"/>
                <w:bCs/>
                <w:color w:val="000000" w:themeColor="text1"/>
              </w:rPr>
              <w:t>Presidente</w:t>
            </w:r>
            <w:proofErr w:type="gramEnd"/>
            <w:r w:rsidRPr="00392AFA">
              <w:rPr>
                <w:rFonts w:ascii="Verdana" w:eastAsia="Calibri" w:hAnsi="Verdana" w:cs="Arial"/>
                <w:bCs/>
                <w:color w:val="000000" w:themeColor="text1"/>
              </w:rPr>
              <w:t xml:space="preserve"> de la República le corresponde declarar la situación de </w:t>
            </w:r>
            <w:r w:rsidRPr="00392AFA">
              <w:rPr>
                <w:rFonts w:ascii="Verdana" w:eastAsia="Calibri" w:hAnsi="Verdana" w:cs="Arial"/>
                <w:bCs/>
                <w:i/>
                <w:iCs/>
                <w:color w:val="000000" w:themeColor="text1"/>
              </w:rPr>
              <w:t>desastre</w:t>
            </w:r>
            <w:r w:rsidRPr="00392AFA">
              <w:rPr>
                <w:rFonts w:ascii="Verdana" w:eastAsia="Calibri" w:hAnsi="Verdana" w:cs="Arial"/>
                <w:bCs/>
                <w:color w:val="000000" w:themeColor="text1"/>
              </w:rPr>
              <w:t xml:space="preserve">, tanto en el orden nacional, departamental, como en el municipal y distrital, facultad que no pueden ejercer los gobernadores y alcaldes, porque la norma no les asignó esta competencia. No obstante, a los gobernadores y alcaldes sí les corresponde declarar la situación de </w:t>
            </w:r>
            <w:r w:rsidRPr="00392AFA">
              <w:rPr>
                <w:rFonts w:ascii="Verdana" w:eastAsia="Calibri" w:hAnsi="Verdana" w:cs="Arial"/>
                <w:bCs/>
                <w:i/>
                <w:iCs/>
                <w:color w:val="000000" w:themeColor="text1"/>
              </w:rPr>
              <w:t>calamidad pública</w:t>
            </w:r>
            <w:r w:rsidRPr="00392AFA">
              <w:rPr>
                <w:rFonts w:ascii="Verdana" w:eastAsia="Calibri" w:hAnsi="Verdana" w:cs="Arial"/>
                <w:bCs/>
                <w:color w:val="000000" w:themeColor="text1"/>
              </w:rPr>
              <w:t xml:space="preserve">, en los respectivos ámbitos, facultad que, en cambio, no puede ejercer el </w:t>
            </w:r>
            <w:proofErr w:type="gramStart"/>
            <w:r>
              <w:rPr>
                <w:rFonts w:ascii="Verdana" w:eastAsia="Calibri" w:hAnsi="Verdana" w:cs="Arial"/>
                <w:bCs/>
                <w:color w:val="000000" w:themeColor="text1"/>
              </w:rPr>
              <w:t>Presidente</w:t>
            </w:r>
            <w:proofErr w:type="gramEnd"/>
            <w:r>
              <w:rPr>
                <w:rFonts w:ascii="Verdana" w:eastAsia="Calibri" w:hAnsi="Verdana" w:cs="Arial"/>
                <w:bCs/>
                <w:color w:val="000000" w:themeColor="text1"/>
              </w:rPr>
              <w:t xml:space="preserve"> de la República. </w:t>
            </w:r>
          </w:p>
          <w:p w14:paraId="2E65B4ED" w14:textId="77777777" w:rsidR="00BF124D" w:rsidRDefault="00BF124D" w:rsidP="005C1255">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t>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w:t>
            </w:r>
            <w:r>
              <w:rPr>
                <w:rFonts w:ascii="Verdana" w:eastAsia="Calibri" w:hAnsi="Verdana" w:cs="Arial"/>
                <w:lang w:val="es-ES_tradnl"/>
              </w:rPr>
              <w:t xml:space="preserve"> </w:t>
            </w:r>
          </w:p>
          <w:p w14:paraId="0EDAADA2" w14:textId="77777777" w:rsidR="00BF124D" w:rsidRPr="00D93A6C" w:rsidRDefault="00BF124D" w:rsidP="005C1255">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Lo anterior significa que para contratar 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3683B926">
              <w:rPr>
                <w:rFonts w:ascii="Verdana" w:eastAsia="Calibri" w:hAnsi="Verdana" w:cs="Arial"/>
                <w:lang w:val="es-ES"/>
              </w:rPr>
              <w:t>ii</w:t>
            </w:r>
            <w:proofErr w:type="spellEnd"/>
            <w:r w:rsidRPr="3683B926">
              <w:rPr>
                <w:rFonts w:ascii="Verdana" w:eastAsia="Calibri" w:hAnsi="Verdana" w:cs="Arial"/>
                <w:lang w:val="es-ES"/>
              </w:rPr>
              <w:t>) el segundo, la declaración propiamente dicha de “urgencia manifiesta” de que trata el artículo 42 del Estatuto General de Contratación, amparado o fundamentado en la declaración previa del desastre o calamidad.</w:t>
            </w:r>
            <w:r>
              <w:rPr>
                <w:rFonts w:ascii="Verdana" w:eastAsia="Calibri" w:hAnsi="Verdana" w:cs="Arial"/>
                <w:lang w:val="es-ES"/>
              </w:rPr>
              <w:t xml:space="preserve"> </w:t>
            </w:r>
          </w:p>
          <w:p w14:paraId="7643E8E7" w14:textId="77777777" w:rsidR="00BF124D" w:rsidRPr="00D93A6C" w:rsidRDefault="00BF124D" w:rsidP="005C1255">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 </w:t>
            </w:r>
            <w:r>
              <w:rPr>
                <w:rFonts w:ascii="Verdana" w:eastAsia="Calibri" w:hAnsi="Verdana" w:cs="Arial"/>
                <w:lang w:val="es-ES"/>
              </w:rPr>
              <w:t>P</w:t>
            </w:r>
            <w:r w:rsidRPr="3683B926">
              <w:rPr>
                <w:rFonts w:ascii="Verdana" w:eastAsia="Calibri" w:hAnsi="Verdana" w:cs="Arial"/>
                <w:lang w:val="es-ES"/>
              </w:rPr>
              <w:t>ara declarar la urgencia manifiesta es imprescindible que el presidente de la república o el gobernador o el alcalde, según el caso, hayan declarado la situación de desastre o la declaración de calamidad.</w:t>
            </w:r>
            <w:r>
              <w:rPr>
                <w:rFonts w:ascii="Verdana" w:eastAsia="Calibri" w:hAnsi="Verdana" w:cs="Arial"/>
                <w:lang w:val="es-ES"/>
              </w:rPr>
              <w:t xml:space="preserve"> Tratándose de los funcionarios mencionados, ambas declaraciones pueden realizarse en un mismo acto administrativo, es decir, el presidente, el gobernador o el alcalde declara el desastre o la calamidad y, como consecuencia, decreta la urgencia manifiesta.</w:t>
            </w:r>
            <w:r w:rsidRPr="3683B926">
              <w:rPr>
                <w:rFonts w:ascii="Verdana" w:eastAsia="Calibri" w:hAnsi="Verdana" w:cs="Arial"/>
                <w:lang w:val="es-ES"/>
              </w:rPr>
              <w:t xml:space="preserve">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264AE9F2" w14:textId="77777777" w:rsidR="00BF124D" w:rsidRDefault="00BF124D" w:rsidP="005C1255">
            <w:pPr>
              <w:spacing w:after="120" w:line="276" w:lineRule="auto"/>
              <w:ind w:firstLine="709"/>
              <w:jc w:val="both"/>
              <w:rPr>
                <w:rFonts w:ascii="Verdana" w:eastAsia="Calibri" w:hAnsi="Verdana" w:cs="Arial"/>
                <w:lang w:val="es-ES_tradnl"/>
              </w:rPr>
            </w:pPr>
            <w:r>
              <w:rPr>
                <w:rFonts w:ascii="Verdana" w:eastAsia="Calibri" w:hAnsi="Verdana" w:cs="Arial"/>
                <w:lang w:val="es-ES_tradnl"/>
              </w:rPr>
              <w:t>C</w:t>
            </w:r>
            <w:r w:rsidRPr="00D93A6C">
              <w:rPr>
                <w:rFonts w:ascii="Verdana" w:eastAsia="Calibri" w:hAnsi="Verdana" w:cs="Arial"/>
                <w:lang w:val="es-ES_tradnl"/>
              </w:rPr>
              <w:t xml:space="preserve">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w:t>
            </w:r>
            <w:r>
              <w:rPr>
                <w:rFonts w:ascii="Verdana" w:eastAsia="Calibri" w:hAnsi="Verdana" w:cs="Arial"/>
                <w:lang w:val="es-ES_tradnl"/>
              </w:rPr>
              <w:t xml:space="preserve">(2) </w:t>
            </w:r>
            <w:r w:rsidRPr="00D93A6C">
              <w:rPr>
                <w:rFonts w:ascii="Verdana" w:eastAsia="Calibri" w:hAnsi="Verdana" w:cs="Arial"/>
                <w:lang w:val="es-ES_tradnl"/>
              </w:rPr>
              <w:t xml:space="preserve">situaciones, deben esperar a que se dicten los actos respectivos para fundamentar la declaración de urgencia manifiesta en la situación de desastre o en la situación de calamidad. </w:t>
            </w:r>
            <w:r>
              <w:rPr>
                <w:rFonts w:ascii="Verdana" w:eastAsia="Calibri" w:hAnsi="Verdana" w:cs="Arial"/>
                <w:lang w:val="es-ES_tradnl"/>
              </w:rPr>
              <w:t xml:space="preserve">En esta segunda hipótesis, se expiden dos (2) actos administrativos separados: el presidente, gobernador o alcalde declara el desastre o la calamidad, por un lado, y </w:t>
            </w:r>
            <w:r w:rsidRPr="00D93A6C">
              <w:rPr>
                <w:rFonts w:ascii="Verdana" w:eastAsia="Calibri" w:hAnsi="Verdana" w:cs="Arial"/>
                <w:lang w:val="es-ES_tradnl"/>
              </w:rPr>
              <w:t>los ministros, directores o presidentes de agencias, directores de establecimientos públicos, de sociedades de economía mixta, etc.</w:t>
            </w:r>
            <w:r>
              <w:rPr>
                <w:rFonts w:ascii="Verdana" w:eastAsia="Calibri" w:hAnsi="Verdana" w:cs="Arial"/>
                <w:lang w:val="es-ES_tradnl"/>
              </w:rPr>
              <w:t xml:space="preserve"> decretan la urgencia manifiesta, por otro. </w:t>
            </w:r>
            <w:r w:rsidRPr="00D93A6C">
              <w:rPr>
                <w:rFonts w:ascii="Verdana" w:eastAsia="Calibri" w:hAnsi="Verdana" w:cs="Arial"/>
                <w:lang w:val="es-ES_tradnl"/>
              </w:rPr>
              <w:t>Por lo anterior, cuando el artículo 42 de la Ley 80 de 1993 dispone que la urgencia manifiesta se declara –entre otras tres (3) causales– para “[…] conjurar situaciones excepcionales relacionadas con hechos de calamidad o constitutivos de fuerza mayor o desastre que demanden actuaciones inmediatas […]”, las circunstancias de calamidad y desastre deben entenderse en los términos de la Ley 1523 de 2012, en la medida que forman una unidad jurídica completa.</w:t>
            </w:r>
          </w:p>
          <w:p w14:paraId="22FD9E7D" w14:textId="77777777" w:rsidR="00BF124D" w:rsidRPr="0043651D" w:rsidRDefault="00BF124D" w:rsidP="005C1255">
            <w:pPr>
              <w:spacing w:after="120" w:line="276" w:lineRule="auto"/>
              <w:jc w:val="both"/>
              <w:rPr>
                <w:rFonts w:ascii="Verdana" w:eastAsia="Calibri" w:hAnsi="Verdana" w:cs="Arial"/>
                <w:lang w:val="es-ES"/>
              </w:rPr>
            </w:pPr>
            <w:r>
              <w:rPr>
                <w:rFonts w:ascii="Verdana" w:eastAsia="Calibri" w:hAnsi="Verdana" w:cs="Arial"/>
                <w:lang w:val="es-ES_tradnl"/>
              </w:rPr>
              <w:t xml:space="preserve">Por último, </w:t>
            </w:r>
            <w:r w:rsidRPr="0043651D">
              <w:rPr>
                <w:rFonts w:ascii="Verdana" w:eastAsia="Calibri" w:hAnsi="Verdana" w:cs="Arial"/>
                <w:lang w:val="es-ES"/>
              </w:rPr>
              <w:t xml:space="preserve">existen supuestos en el marco de una declaratoria de urgencia manifiesta en los que es imposible actualizar </w:t>
            </w:r>
            <w:r>
              <w:rPr>
                <w:rFonts w:ascii="Verdana" w:eastAsia="Calibri" w:hAnsi="Verdana" w:cs="Arial"/>
                <w:lang w:val="es-ES"/>
              </w:rPr>
              <w:t>el banco de proyectos o el plan anual de adquisiciones</w:t>
            </w:r>
            <w:r w:rsidRPr="0043651D">
              <w:rPr>
                <w:rFonts w:ascii="Verdana" w:eastAsia="Calibri" w:hAnsi="Verdana" w:cs="Arial"/>
                <w:lang w:val="es-ES"/>
              </w:rPr>
              <w:t xml:space="preserve"> con l</w:t>
            </w:r>
            <w:r>
              <w:rPr>
                <w:rFonts w:ascii="Verdana" w:eastAsia="Calibri" w:hAnsi="Verdana" w:cs="Arial"/>
                <w:lang w:val="es-ES"/>
              </w:rPr>
              <w:t>os proyectos y contratos</w:t>
            </w:r>
            <w:r w:rsidRPr="0043651D">
              <w:rPr>
                <w:rFonts w:ascii="Verdana" w:eastAsia="Calibri" w:hAnsi="Verdana" w:cs="Arial"/>
                <w:lang w:val="es-ES"/>
              </w:rPr>
              <w:t xml:space="preserve"> derivad</w:t>
            </w:r>
            <w:r>
              <w:rPr>
                <w:rFonts w:ascii="Verdana" w:eastAsia="Calibri" w:hAnsi="Verdana" w:cs="Arial"/>
                <w:lang w:val="es-ES"/>
              </w:rPr>
              <w:t>o</w:t>
            </w:r>
            <w:r w:rsidRPr="0043651D">
              <w:rPr>
                <w:rFonts w:ascii="Verdana" w:eastAsia="Calibri" w:hAnsi="Verdana" w:cs="Arial"/>
                <w:lang w:val="es-ES"/>
              </w:rPr>
              <w:t>s de la contingencia, tal es el caso cuando es imposible su previsión, y la necesidad de la obra, bien o servicio requiere una actuación inmediata por parte de la Administración pública. En los demás casos, es decir, siempre que durante la extensión de los efectos de la declaratoria de la urgencia las entidades prevean necesidades que, aunque necesarias para atender la crisis, no requieren la celebración inmediata de los contratos, se deberá actualizar el</w:t>
            </w:r>
            <w:r>
              <w:rPr>
                <w:rFonts w:ascii="Verdana" w:eastAsia="Calibri" w:hAnsi="Verdana" w:cs="Arial"/>
                <w:lang w:val="es-ES"/>
              </w:rPr>
              <w:t xml:space="preserve"> banco de proyectos y</w:t>
            </w:r>
            <w:r w:rsidRPr="0043651D">
              <w:rPr>
                <w:rFonts w:ascii="Verdana" w:eastAsia="Calibri" w:hAnsi="Verdana" w:cs="Arial"/>
                <w:lang w:val="es-ES"/>
              </w:rPr>
              <w:t xml:space="preserve"> plan anual de adquisiciones, y es recomendable que lo hagan en la mayor medida de lo posible para garantizar la eficiencia de los principios de la función administrativa. En cada caso, la entidad pública ponderará cuidadosamente la necesidad, habida cuenta de que </w:t>
            </w:r>
            <w:r>
              <w:rPr>
                <w:rFonts w:ascii="Verdana" w:eastAsia="Calibri" w:hAnsi="Verdana" w:cs="Arial"/>
                <w:lang w:val="es-ES"/>
              </w:rPr>
              <w:t>sus acciones u omisiones</w:t>
            </w:r>
            <w:r w:rsidRPr="0043651D">
              <w:rPr>
                <w:rFonts w:ascii="Verdana" w:eastAsia="Calibri" w:hAnsi="Verdana" w:cs="Arial"/>
                <w:lang w:val="es-ES"/>
              </w:rPr>
              <w:t xml:space="preserve"> se sujeta</w:t>
            </w:r>
            <w:r>
              <w:rPr>
                <w:rFonts w:ascii="Verdana" w:eastAsia="Calibri" w:hAnsi="Verdana" w:cs="Arial"/>
                <w:lang w:val="es-ES"/>
              </w:rPr>
              <w:t>n</w:t>
            </w:r>
            <w:r w:rsidRPr="0043651D">
              <w:rPr>
                <w:rFonts w:ascii="Verdana" w:eastAsia="Calibri" w:hAnsi="Verdana" w:cs="Arial"/>
                <w:lang w:val="es-ES"/>
              </w:rPr>
              <w:t xml:space="preserve"> a la revisión posterior de los órganos de control.</w:t>
            </w:r>
          </w:p>
          <w:p w14:paraId="76B5F660" w14:textId="77777777" w:rsidR="00BF124D" w:rsidRPr="00473408" w:rsidRDefault="00BF124D" w:rsidP="005C1255">
            <w:pPr>
              <w:spacing w:after="120" w:line="276" w:lineRule="auto"/>
              <w:ind w:firstLine="709"/>
              <w:jc w:val="both"/>
              <w:rPr>
                <w:rFonts w:ascii="Verdana" w:eastAsia="Calibri" w:hAnsi="Verdana" w:cs="Arial"/>
                <w:lang w:val="es-ES"/>
              </w:rPr>
            </w:pPr>
            <w:r w:rsidRPr="0043651D">
              <w:rPr>
                <w:rFonts w:ascii="Verdana" w:eastAsia="Calibri" w:hAnsi="Verdana" w:cs="Arial"/>
                <w:lang w:val="es-ES"/>
              </w:rPr>
              <w:t>En conclusión, en el marco de una declaratoria de urgencia manifiesta, la inclusión de la información referida estará sujeta al ámbito temporal de la estructuración de la causal de urgencia, pues en ocasiones deberán adoptarse actuaciones inmediatas para conjurar la crisis y en este orden, se limita la oportunidad de la Administración de registrar</w:t>
            </w:r>
            <w:r>
              <w:rPr>
                <w:rFonts w:ascii="Verdana" w:eastAsia="Calibri" w:hAnsi="Verdana" w:cs="Arial"/>
                <w:lang w:val="es-ES"/>
              </w:rPr>
              <w:t xml:space="preserve"> proyectos o adquisiciones de</w:t>
            </w:r>
            <w:r w:rsidRPr="0043651D">
              <w:rPr>
                <w:rFonts w:ascii="Verdana" w:eastAsia="Calibri" w:hAnsi="Verdana" w:cs="Arial"/>
                <w:lang w:val="es-ES"/>
              </w:rPr>
              <w:t xml:space="preserve"> los bienes y servicios que deb</w:t>
            </w:r>
            <w:r>
              <w:rPr>
                <w:rFonts w:ascii="Verdana" w:eastAsia="Calibri" w:hAnsi="Verdana" w:cs="Arial"/>
                <w:lang w:val="es-ES"/>
              </w:rPr>
              <w:t>an suministrarse</w:t>
            </w:r>
            <w:r w:rsidRPr="0043651D">
              <w:rPr>
                <w:rFonts w:ascii="Verdana" w:eastAsia="Calibri" w:hAnsi="Verdana" w:cs="Arial"/>
                <w:lang w:val="es-ES"/>
              </w:rPr>
              <w:t xml:space="preserve"> para garantizar la efectividad de los principios, deberes y derechos consagrados en la Constitución</w:t>
            </w:r>
            <w:r>
              <w:rPr>
                <w:rFonts w:ascii="Verdana" w:eastAsia="Calibri" w:hAnsi="Verdana" w:cs="Arial"/>
                <w:lang w:val="es-ES"/>
              </w:rPr>
              <w:t xml:space="preserve"> y la ley</w:t>
            </w:r>
            <w:r w:rsidRPr="0043651D">
              <w:rPr>
                <w:rFonts w:ascii="Verdana" w:eastAsia="Calibri" w:hAnsi="Verdana" w:cs="Arial"/>
                <w:lang w:val="es-ES"/>
              </w:rPr>
              <w:t>.</w:t>
            </w:r>
          </w:p>
        </w:tc>
      </w:tr>
    </w:tbl>
    <w:p w14:paraId="1A142F4F" w14:textId="77777777" w:rsidR="00BF124D" w:rsidRDefault="00BF124D" w:rsidP="00BF124D">
      <w:pPr>
        <w:tabs>
          <w:tab w:val="left" w:pos="142"/>
          <w:tab w:val="left" w:pos="284"/>
        </w:tabs>
        <w:spacing w:after="0" w:line="276" w:lineRule="auto"/>
        <w:jc w:val="both"/>
        <w:rPr>
          <w:rFonts w:ascii="Verdana" w:eastAsia="Century Gothic" w:hAnsi="Verdana" w:cs="Century Gothic"/>
          <w:b/>
          <w:bCs/>
        </w:rPr>
      </w:pPr>
    </w:p>
    <w:p w14:paraId="1367A68B" w14:textId="77777777" w:rsidR="00BF124D" w:rsidRDefault="00BF124D" w:rsidP="00BF124D">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0A6CE8DB" w14:textId="77777777" w:rsidR="00BF124D" w:rsidRPr="005644FE" w:rsidRDefault="00BF124D" w:rsidP="00BF124D">
      <w:pPr>
        <w:tabs>
          <w:tab w:val="left" w:pos="142"/>
          <w:tab w:val="left" w:pos="284"/>
        </w:tabs>
        <w:spacing w:after="0" w:line="276" w:lineRule="auto"/>
        <w:jc w:val="both"/>
        <w:rPr>
          <w:rFonts w:ascii="Verdana" w:eastAsia="Century Gothic" w:hAnsi="Verdana" w:cs="Century Gothic"/>
          <w:b/>
          <w:bCs/>
        </w:rPr>
      </w:pPr>
    </w:p>
    <w:p w14:paraId="0F2DE28B" w14:textId="77777777" w:rsidR="00BF124D" w:rsidRDefault="00BF124D" w:rsidP="00BF124D">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6E589ED3" w14:textId="77777777" w:rsidR="00BF124D" w:rsidRDefault="00BF124D" w:rsidP="00BF124D">
      <w:pPr>
        <w:tabs>
          <w:tab w:val="left" w:pos="142"/>
          <w:tab w:val="left" w:pos="284"/>
          <w:tab w:val="left" w:pos="6975"/>
        </w:tabs>
        <w:spacing w:after="0" w:line="276" w:lineRule="auto"/>
        <w:jc w:val="both"/>
        <w:rPr>
          <w:rFonts w:ascii="Verdana" w:eastAsia="Calibri" w:hAnsi="Verdana" w:cs="Arial"/>
        </w:rPr>
      </w:pPr>
    </w:p>
    <w:p w14:paraId="58D1E48F" w14:textId="77777777" w:rsidR="00BF124D" w:rsidRDefault="00BF124D" w:rsidP="00BF124D">
      <w:pPr>
        <w:spacing w:after="120" w:line="276" w:lineRule="auto"/>
        <w:jc w:val="both"/>
        <w:rPr>
          <w:rFonts w:ascii="Verdana" w:eastAsiaTheme="minorEastAsia" w:hAnsi="Verdana" w:cs="Arial"/>
          <w:lang w:eastAsia="es-CO"/>
        </w:rPr>
      </w:pPr>
      <w:r>
        <w:rPr>
          <w:rFonts w:ascii="Verdana" w:eastAsiaTheme="minorEastAsia" w:hAnsi="Verdana" w:cs="Arial"/>
          <w:lang w:eastAsia="es-CO"/>
        </w:rPr>
        <w:t>i) L</w:t>
      </w:r>
      <w:r w:rsidRPr="00CF54DC">
        <w:rPr>
          <w:rFonts w:ascii="Verdana" w:eastAsiaTheme="minorEastAsia" w:hAnsi="Verdana" w:cs="Arial"/>
          <w:lang w:eastAsia="es-CO"/>
        </w:rPr>
        <w:t>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w:t>
      </w:r>
      <w:r>
        <w:rPr>
          <w:rFonts w:ascii="Verdana" w:eastAsiaTheme="minorEastAsia" w:hAnsi="Verdana" w:cs="Arial"/>
          <w:lang w:eastAsia="es-CO"/>
        </w:rPr>
        <w:t xml:space="preserve">. </w:t>
      </w:r>
    </w:p>
    <w:p w14:paraId="073A2EF9" w14:textId="77777777" w:rsidR="00BF124D" w:rsidRDefault="00BF124D" w:rsidP="00BF124D">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 xml:space="preserve">En ese contexto, el legislador extraordinario </w:t>
      </w:r>
      <w:r w:rsidRPr="00CF54DC">
        <w:rPr>
          <w:rFonts w:ascii="Verdana" w:eastAsiaTheme="minorEastAsia" w:hAnsi="Verdana" w:cs="Arial"/>
          <w:lang w:eastAsia="es-CO"/>
        </w:rPr>
        <w:t>facult</w:t>
      </w:r>
      <w:r>
        <w:rPr>
          <w:rFonts w:ascii="Verdana" w:eastAsiaTheme="minorEastAsia" w:hAnsi="Verdana" w:cs="Arial"/>
          <w:lang w:eastAsia="es-CO"/>
        </w:rPr>
        <w:t>ó</w:t>
      </w:r>
      <w:r w:rsidRPr="00CF54DC">
        <w:rPr>
          <w:rFonts w:ascii="Verdana" w:eastAsiaTheme="minorEastAsia" w:hAnsi="Verdana" w:cs="Arial"/>
          <w:lang w:eastAsia="es-CO"/>
        </w:rPr>
        <w:t xml:space="preserve"> a la Agencia para “Absolver consultas sobre la aplicación de normas de carácter general” y “difundir las normas, reglas, procedimientos, medios tecnológicos y mejores prácticas para las compras y la contratación pública”, de conformidad con el numeral 5 y 10 del artículo 3 del Decreto </w:t>
      </w:r>
      <w:r>
        <w:rPr>
          <w:rFonts w:ascii="Verdana" w:eastAsiaTheme="minorEastAsia" w:hAnsi="Verdana" w:cs="Arial"/>
          <w:lang w:eastAsia="es-CO"/>
        </w:rPr>
        <w:t xml:space="preserve">Ley </w:t>
      </w:r>
      <w:r w:rsidRPr="00CF54DC">
        <w:rPr>
          <w:rFonts w:ascii="Verdana" w:eastAsiaTheme="minorEastAsia" w:hAnsi="Verdana" w:cs="Arial"/>
          <w:lang w:eastAsia="es-CO"/>
        </w:rPr>
        <w:t>4170 de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 xml:space="preserve">2011. </w:t>
      </w:r>
      <w:r w:rsidRPr="0063536A">
        <w:rPr>
          <w:rFonts w:ascii="Verdana" w:eastAsia="Calibri" w:hAnsi="Verdana" w:cs="Arial"/>
          <w:lang w:val="es-ES" w:eastAsia="es-CO"/>
        </w:rPr>
        <w:t>Así las cosas</w:t>
      </w:r>
      <w:r w:rsidRPr="00CF54DC">
        <w:rPr>
          <w:rFonts w:ascii="Verdana" w:eastAsia="Calibri" w:hAnsi="Verdana" w:cs="Arial"/>
          <w:lang w:val="es-ES" w:eastAsia="es-CO"/>
        </w:rPr>
        <w:t xml:space="preserve">, </w:t>
      </w:r>
      <w:r w:rsidRPr="00CF54DC">
        <w:rPr>
          <w:rFonts w:ascii="Verdana" w:eastAsiaTheme="minorEastAsia" w:hAnsi="Verdana" w:cs="Arial"/>
          <w:lang w:eastAsia="es-CO"/>
        </w:rPr>
        <w:t xml:space="preserve">de acuerdo con lo establecido en los artículos 3.5 y 11.8 </w:t>
      </w:r>
      <w:r w:rsidRPr="00CF54DC">
        <w:rPr>
          <w:rFonts w:ascii="Verdana" w:eastAsiaTheme="minorEastAsia" w:hAnsi="Verdana" w:cs="Arial"/>
          <w:i/>
          <w:iCs/>
          <w:lang w:eastAsia="es-CO"/>
        </w:rPr>
        <w:t>ibidem</w:t>
      </w:r>
      <w:r w:rsidRPr="00CF54DC">
        <w:rPr>
          <w:rFonts w:ascii="Verdana" w:eastAsiaTheme="minorEastAsia" w:hAnsi="Verdana" w:cs="Arial"/>
          <w:lang w:eastAsia="es-CO"/>
        </w:rPr>
        <w:t>, la Agencia Nacional de Contratación Pública – Colombia Compra Eficiente</w:t>
      </w:r>
      <w:r w:rsidRPr="00CF54DC">
        <w:rPr>
          <w:rFonts w:ascii="Verdana" w:eastAsiaTheme="minorEastAsia" w:hAnsi="Verdana" w:cs="Arial"/>
          <w:lang w:val="es-ES" w:eastAsia="es-CO"/>
        </w:rPr>
        <w:t xml:space="preserve"> </w:t>
      </w:r>
      <w:r w:rsidRPr="00CF54DC">
        <w:rPr>
          <w:rFonts w:ascii="Verdana" w:eastAsiaTheme="minorEastAsia" w:hAnsi="Verdana" w:cs="Arial"/>
          <w:lang w:eastAsia="es-CO"/>
        </w:rPr>
        <w:t>resuelve</w:t>
      </w:r>
      <w:r w:rsidRPr="00CF54DC">
        <w:rPr>
          <w:rFonts w:ascii="Verdana" w:eastAsiaTheme="minorEastAsia" w:hAnsi="Verdana" w:cs="Arial"/>
          <w:spacing w:val="-16"/>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consultas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sobre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asuntos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su</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competencia,</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esto es, sobre las temáticas de la contratación estatal y compras públicas relacionadas en los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artículos citados</w:t>
      </w:r>
      <w:r w:rsidRPr="00CF54DC">
        <w:rPr>
          <w:rFonts w:ascii="Verdana" w:eastAsiaTheme="minorEastAsia" w:hAnsi="Verdana" w:cs="Arial"/>
          <w:vertAlign w:val="superscript"/>
          <w:lang w:eastAsia="es-CO"/>
        </w:rPr>
        <w:footnoteReference w:id="1"/>
      </w:r>
      <w:r w:rsidRPr="00CF54DC">
        <w:rPr>
          <w:rFonts w:ascii="Verdana" w:eastAsiaTheme="minorEastAsia" w:hAnsi="Verdana" w:cs="Arial"/>
          <w:lang w:eastAsia="es-CO"/>
        </w:rPr>
        <w:t xml:space="preserve">. </w:t>
      </w:r>
    </w:p>
    <w:p w14:paraId="5E28C4F2" w14:textId="77777777" w:rsidR="00BF124D" w:rsidRPr="00CF54DC" w:rsidRDefault="00BF124D" w:rsidP="00BF124D">
      <w:pPr>
        <w:spacing w:after="120" w:line="276" w:lineRule="auto"/>
        <w:ind w:firstLine="708"/>
        <w:jc w:val="both"/>
        <w:rPr>
          <w:rFonts w:ascii="Verdana" w:eastAsiaTheme="minorEastAsia" w:hAnsi="Verdana" w:cs="Arial"/>
          <w:lang w:eastAsia="es-CO"/>
        </w:rPr>
      </w:pPr>
      <w:r w:rsidRPr="00CF54DC">
        <w:rPr>
          <w:rFonts w:ascii="Verdana" w:eastAsiaTheme="minorEastAsia" w:hAnsi="Verdana" w:cs="Arial"/>
          <w:lang w:eastAsia="es-CO"/>
        </w:rPr>
        <w:t>En ese sentido, resolver consultas sobre casos particulares desborda las</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atribuciones</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asignadas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legislador,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no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concibió</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Colombia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Compra</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Eficiente</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como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una autoridad 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solucionar</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problemas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jurídicos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particulares,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especialmente,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cuando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conocimiento de estos últimos corresponde resolverlos a los partícipes del sistema de compra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eventualmente,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autoridades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judiciales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organismos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control.</w:t>
      </w:r>
    </w:p>
    <w:p w14:paraId="5D18647C" w14:textId="77777777" w:rsidR="00BF124D" w:rsidRPr="00CF54DC" w:rsidRDefault="00BF124D" w:rsidP="00BF124D">
      <w:pPr>
        <w:spacing w:after="120" w:line="276" w:lineRule="auto"/>
        <w:ind w:firstLine="590"/>
        <w:jc w:val="both"/>
        <w:rPr>
          <w:rFonts w:ascii="Verdana" w:eastAsiaTheme="minorEastAsia" w:hAnsi="Verdana" w:cs="Arial"/>
          <w:lang w:eastAsia="es-CO"/>
        </w:rPr>
      </w:pP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tanto,</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competencia</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esta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Agencia</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se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fija</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con</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límites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claros,</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con</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objeto</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evitar</w:t>
      </w:r>
      <w:r w:rsidRPr="00CF54DC">
        <w:rPr>
          <w:rFonts w:ascii="Verdana" w:eastAsiaTheme="minorEastAsia" w:hAnsi="Verdana" w:cs="Arial"/>
          <w:spacing w:val="-58"/>
          <w:lang w:eastAsia="es-CO"/>
        </w:rPr>
        <w:t xml:space="preserve"> </w:t>
      </w:r>
      <w:r w:rsidRPr="00CF54DC">
        <w:rPr>
          <w:rFonts w:ascii="Verdana" w:eastAsiaTheme="minorEastAsia" w:hAnsi="Verdana" w:cs="Arial"/>
          <w:lang w:eastAsia="es-CO"/>
        </w:rPr>
        <w:t>que actúe como una instancia de validación de las actuaciones de las entidades sujetas a la Ley 80</w:t>
      </w:r>
      <w:r w:rsidRPr="00CF54DC">
        <w:rPr>
          <w:rFonts w:ascii="Verdana" w:eastAsiaTheme="minorEastAsia" w:hAnsi="Verdana" w:cs="Arial"/>
          <w:spacing w:val="-7"/>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1993</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o</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demás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participantes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contratación</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7"/>
          <w:lang w:eastAsia="es-CO"/>
        </w:rPr>
        <w:t xml:space="preserve"> </w:t>
      </w:r>
      <w:r w:rsidRPr="00CF54DC">
        <w:rPr>
          <w:rFonts w:ascii="Verdana" w:eastAsiaTheme="minorEastAsia" w:hAnsi="Verdana" w:cs="Arial"/>
          <w:lang w:eastAsia="es-CO"/>
        </w:rPr>
        <w:t>Lo</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anterior,</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en</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medida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en</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30"/>
          <w:lang w:eastAsia="es-CO"/>
        </w:rPr>
        <w:t xml:space="preserve"> </w:t>
      </w:r>
      <w:r w:rsidRPr="00CF54DC">
        <w:rPr>
          <w:rFonts w:ascii="Verdana" w:eastAsiaTheme="minorEastAsia" w:hAnsi="Verdana" w:cs="Arial"/>
          <w:lang w:eastAsia="es-CO"/>
        </w:rPr>
        <w:t>para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resolver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una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consulta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carácter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particular,</w:t>
      </w:r>
      <w:r w:rsidRPr="00CF54DC">
        <w:rPr>
          <w:rFonts w:ascii="Verdana" w:eastAsiaTheme="minorEastAsia" w:hAnsi="Verdana" w:cs="Arial"/>
          <w:spacing w:val="32"/>
          <w:lang w:eastAsia="es-CO"/>
        </w:rPr>
        <w:t xml:space="preserve"> </w:t>
      </w:r>
      <w:r w:rsidRPr="00CF54DC">
        <w:rPr>
          <w:rFonts w:ascii="Verdana" w:eastAsiaTheme="minorEastAsia" w:hAnsi="Verdana" w:cs="Arial"/>
          <w:lang w:eastAsia="es-CO"/>
        </w:rPr>
        <w:t>además</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conocer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un</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sinnúmero</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 detalles de la actuación administrativa, es necesario acceder al expediente y a los documentos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del procedimiento contractual donde surge la inquietud</w:t>
      </w:r>
      <w:r>
        <w:rPr>
          <w:rFonts w:ascii="Verdana" w:eastAsiaTheme="minorEastAsia" w:hAnsi="Verdana" w:cs="Arial"/>
          <w:lang w:eastAsia="es-CO"/>
        </w:rPr>
        <w:t xml:space="preserve">. Por esta </w:t>
      </w:r>
      <w:r w:rsidRPr="00CF54DC">
        <w:rPr>
          <w:rFonts w:ascii="Verdana" w:eastAsiaTheme="minorEastAsia" w:hAnsi="Verdana" w:cs="Arial"/>
          <w:lang w:eastAsia="es-CO"/>
        </w:rPr>
        <w:t>razón, al no ser un órgano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 xml:space="preserve">judicial, ni una entidad de vigilancia, inspección o control en materia contractual, </w:t>
      </w:r>
      <w:r>
        <w:rPr>
          <w:rFonts w:ascii="Verdana" w:eastAsiaTheme="minorEastAsia" w:hAnsi="Verdana" w:cs="Arial"/>
          <w:lang w:eastAsia="es-CO"/>
        </w:rPr>
        <w:t xml:space="preserve">la Agencia </w:t>
      </w:r>
      <w:r w:rsidRPr="00CF54DC">
        <w:rPr>
          <w:rFonts w:ascii="Verdana" w:eastAsiaTheme="minorEastAsia" w:hAnsi="Verdana" w:cs="Arial"/>
          <w:lang w:eastAsia="es-CO"/>
        </w:rPr>
        <w:t>carece de la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facultad</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desempeñar</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estas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funciones.</w:t>
      </w:r>
    </w:p>
    <w:p w14:paraId="0BD3CA75" w14:textId="77777777" w:rsidR="00BF124D" w:rsidRPr="004B79A3" w:rsidRDefault="00BF124D" w:rsidP="00BF124D">
      <w:pPr>
        <w:spacing w:after="120" w:line="276" w:lineRule="auto"/>
        <w:ind w:firstLine="709"/>
        <w:jc w:val="both"/>
        <w:rPr>
          <w:rFonts w:ascii="Verdana" w:eastAsiaTheme="minorEastAsia" w:hAnsi="Verdana" w:cs="Arial"/>
          <w:lang w:eastAsia="es-CO"/>
        </w:rPr>
      </w:pPr>
      <w:r w:rsidRPr="00D472CA">
        <w:rPr>
          <w:rFonts w:ascii="Verdana" w:eastAsiaTheme="minorEastAsia" w:hAnsi="Verdana" w:cs="Arial"/>
          <w:lang w:eastAsia="es-CO"/>
        </w:rPr>
        <w:t xml:space="preserve">Ahora bien, </w:t>
      </w:r>
      <w:r>
        <w:rPr>
          <w:rFonts w:ascii="Verdana" w:eastAsiaTheme="minorEastAsia" w:hAnsi="Verdana" w:cs="Arial"/>
          <w:lang w:eastAsia="es-CO"/>
        </w:rPr>
        <w:t>debe señalarse que</w:t>
      </w:r>
      <w:r w:rsidRPr="00CF54DC">
        <w:rPr>
          <w:rFonts w:ascii="Verdana" w:eastAsiaTheme="minorEastAsia" w:hAnsi="Verdana" w:cs="Arial"/>
          <w:lang w:eastAsia="es-CO"/>
        </w:rPr>
        <w:t>, el alcance de la competencia consultiva encuentra su fundamento normativo en el</w:t>
      </w:r>
      <w:r w:rsidRPr="00CF54DC">
        <w:rPr>
          <w:rFonts w:ascii="Verdana" w:eastAsiaTheme="minorEastAsia" w:hAnsi="Verdana" w:cs="Arial"/>
          <w:spacing w:val="-59"/>
          <w:lang w:eastAsia="es-CO"/>
        </w:rPr>
        <w:t xml:space="preserve">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28</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1437</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2011,</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sustituido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por</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el</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1755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2015,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dispone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lo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siguiente:</w:t>
      </w:r>
      <w:r>
        <w:rPr>
          <w:rFonts w:ascii="Verdana" w:eastAsiaTheme="minorEastAsia" w:hAnsi="Verdana" w:cs="Arial"/>
          <w:lang w:eastAsia="es-CO"/>
        </w:rPr>
        <w:t xml:space="preserve"> </w:t>
      </w:r>
      <w:r w:rsidRPr="0063536A">
        <w:rPr>
          <w:rFonts w:ascii="Verdana" w:eastAsia="Times New Roman" w:hAnsi="Verdana" w:cs="Arial"/>
        </w:rPr>
        <w:t>“Artículo</w:t>
      </w:r>
      <w:r w:rsidRPr="0063536A">
        <w:rPr>
          <w:rFonts w:ascii="Verdana" w:eastAsia="Times New Roman" w:hAnsi="Verdana" w:cs="Arial"/>
          <w:spacing w:val="1"/>
        </w:rPr>
        <w:t xml:space="preserve"> </w:t>
      </w:r>
      <w:r w:rsidRPr="0063536A">
        <w:rPr>
          <w:rFonts w:ascii="Verdana" w:eastAsia="Times New Roman" w:hAnsi="Verdana" w:cs="Arial"/>
        </w:rPr>
        <w:t>28.</w:t>
      </w:r>
      <w:r w:rsidRPr="0063536A">
        <w:rPr>
          <w:rFonts w:ascii="Verdana" w:eastAsia="Times New Roman" w:hAnsi="Verdana" w:cs="Arial"/>
          <w:spacing w:val="1"/>
        </w:rPr>
        <w:t xml:space="preserve"> </w:t>
      </w:r>
      <w:r w:rsidRPr="0063536A">
        <w:rPr>
          <w:rFonts w:ascii="Verdana" w:eastAsia="Times New Roman" w:hAnsi="Verdana" w:cs="Arial"/>
        </w:rPr>
        <w:t>Alcance</w:t>
      </w:r>
      <w:r w:rsidRPr="0063536A">
        <w:rPr>
          <w:rFonts w:ascii="Verdana" w:eastAsia="Times New Roman" w:hAnsi="Verdana" w:cs="Arial"/>
          <w:spacing w:val="1"/>
        </w:rPr>
        <w:t xml:space="preserve"> </w:t>
      </w:r>
      <w:r w:rsidRPr="0063536A">
        <w:rPr>
          <w:rFonts w:ascii="Verdana" w:eastAsia="Times New Roman" w:hAnsi="Verdana" w:cs="Arial"/>
        </w:rPr>
        <w:t>de</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1"/>
        </w:rPr>
        <w:t xml:space="preserve"> </w:t>
      </w:r>
      <w:r w:rsidRPr="0063536A">
        <w:rPr>
          <w:rFonts w:ascii="Verdana" w:eastAsia="Times New Roman" w:hAnsi="Verdana" w:cs="Arial"/>
        </w:rPr>
        <w:t>conceptos.</w:t>
      </w:r>
      <w:r w:rsidRPr="0063536A">
        <w:rPr>
          <w:rFonts w:ascii="Verdana" w:eastAsia="Times New Roman" w:hAnsi="Verdana" w:cs="Arial"/>
          <w:spacing w:val="1"/>
        </w:rPr>
        <w:t xml:space="preserve"> </w:t>
      </w:r>
      <w:r w:rsidRPr="0063536A">
        <w:rPr>
          <w:rFonts w:ascii="Verdana" w:eastAsia="Times New Roman" w:hAnsi="Verdana" w:cs="Arial"/>
        </w:rPr>
        <w:t>Salvo</w:t>
      </w:r>
      <w:r w:rsidRPr="0063536A">
        <w:rPr>
          <w:rFonts w:ascii="Verdana" w:eastAsia="Times New Roman" w:hAnsi="Verdana" w:cs="Arial"/>
          <w:spacing w:val="1"/>
        </w:rPr>
        <w:t xml:space="preserve"> </w:t>
      </w:r>
      <w:r w:rsidRPr="0063536A">
        <w:rPr>
          <w:rFonts w:ascii="Verdana" w:eastAsia="Times New Roman" w:hAnsi="Verdana" w:cs="Arial"/>
        </w:rPr>
        <w:t>disposición</w:t>
      </w:r>
      <w:r w:rsidRPr="0063536A">
        <w:rPr>
          <w:rFonts w:ascii="Verdana" w:eastAsia="Times New Roman" w:hAnsi="Verdana" w:cs="Arial"/>
          <w:spacing w:val="1"/>
        </w:rPr>
        <w:t xml:space="preserve"> </w:t>
      </w:r>
      <w:r w:rsidRPr="0063536A">
        <w:rPr>
          <w:rFonts w:ascii="Verdana" w:eastAsia="Times New Roman" w:hAnsi="Verdana" w:cs="Arial"/>
        </w:rPr>
        <w:t>legal</w:t>
      </w:r>
      <w:r w:rsidRPr="0063536A">
        <w:rPr>
          <w:rFonts w:ascii="Verdana" w:eastAsia="Times New Roman" w:hAnsi="Verdana" w:cs="Arial"/>
          <w:spacing w:val="1"/>
        </w:rPr>
        <w:t xml:space="preserve"> </w:t>
      </w:r>
      <w:r w:rsidRPr="0063536A">
        <w:rPr>
          <w:rFonts w:ascii="Verdana" w:eastAsia="Times New Roman" w:hAnsi="Verdana" w:cs="Arial"/>
        </w:rPr>
        <w:t>en</w:t>
      </w:r>
      <w:r w:rsidRPr="0063536A">
        <w:rPr>
          <w:rFonts w:ascii="Verdana" w:eastAsia="Times New Roman" w:hAnsi="Verdana" w:cs="Arial"/>
          <w:spacing w:val="1"/>
        </w:rPr>
        <w:t xml:space="preserve"> </w:t>
      </w:r>
      <w:r w:rsidRPr="0063536A">
        <w:rPr>
          <w:rFonts w:ascii="Verdana" w:eastAsia="Times New Roman" w:hAnsi="Verdana" w:cs="Arial"/>
        </w:rPr>
        <w:t>contrario,</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56"/>
        </w:rPr>
        <w:t xml:space="preserve"> </w:t>
      </w:r>
      <w:r w:rsidRPr="0063536A">
        <w:rPr>
          <w:rFonts w:ascii="Verdana" w:eastAsia="Times New Roman" w:hAnsi="Verdana" w:cs="Arial"/>
        </w:rPr>
        <w:t>conceptos emitidos por las autoridades como respuestas a peticiones realizadas en</w:t>
      </w:r>
      <w:r w:rsidRPr="0063536A">
        <w:rPr>
          <w:rFonts w:ascii="Verdana" w:eastAsia="Times New Roman" w:hAnsi="Verdana" w:cs="Arial"/>
          <w:spacing w:val="1"/>
        </w:rPr>
        <w:t xml:space="preserve"> </w:t>
      </w:r>
      <w:r w:rsidRPr="0063536A">
        <w:rPr>
          <w:rFonts w:ascii="Verdana" w:eastAsia="Times New Roman" w:hAnsi="Verdana" w:cs="Arial"/>
        </w:rPr>
        <w:t xml:space="preserve">ejercicio del derecho a formular consultas </w:t>
      </w:r>
      <w:r w:rsidRPr="0063536A">
        <w:rPr>
          <w:rFonts w:ascii="Verdana" w:eastAsia="Times New Roman" w:hAnsi="Verdana" w:cs="Arial"/>
          <w:i/>
        </w:rPr>
        <w:t>no serán de obligatorio cumplimiento o</w:t>
      </w:r>
      <w:r w:rsidRPr="0063536A">
        <w:rPr>
          <w:rFonts w:ascii="Verdana" w:eastAsia="Times New Roman" w:hAnsi="Verdana" w:cs="Arial"/>
          <w:i/>
          <w:spacing w:val="1"/>
        </w:rPr>
        <w:t xml:space="preserve"> </w:t>
      </w:r>
      <w:r w:rsidRPr="0063536A">
        <w:rPr>
          <w:rFonts w:ascii="Verdana" w:eastAsia="Times New Roman" w:hAnsi="Verdana" w:cs="Arial"/>
          <w:i/>
        </w:rPr>
        <w:t>ejecución</w:t>
      </w:r>
      <w:r w:rsidRPr="0063536A">
        <w:rPr>
          <w:rFonts w:ascii="Verdana" w:eastAsia="Times New Roman" w:hAnsi="Verdana" w:cs="Arial"/>
        </w:rPr>
        <w:t>”. [Énfasis fuera del texto original]</w:t>
      </w:r>
    </w:p>
    <w:p w14:paraId="570AA313" w14:textId="77777777" w:rsidR="00BF124D" w:rsidRPr="00CF54DC" w:rsidRDefault="00BF124D" w:rsidP="00BF124D">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norma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citada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prescribe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emitidos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las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autoridades,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como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respuestas a peticiones realizadas en ejercicio del derecho a formular consultas, no son 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obligatorio cumplimiento o de imperativa ejecución, es decir, no tienen efectos vinculantes. En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 xml:space="preserve">particular, es preciso advertir que los conceptos </w:t>
      </w:r>
      <w:r>
        <w:rPr>
          <w:rFonts w:ascii="Verdana" w:eastAsiaTheme="minorEastAsia" w:hAnsi="Verdana" w:cs="Arial"/>
          <w:szCs w:val="24"/>
          <w:lang w:eastAsia="es-CO"/>
        </w:rPr>
        <w:t>emitidos por esta Entidad</w:t>
      </w:r>
      <w:r w:rsidRPr="00CF54DC">
        <w:rPr>
          <w:rFonts w:ascii="Verdana" w:eastAsiaTheme="minorEastAsia" w:hAnsi="Verdana" w:cs="Arial"/>
          <w:szCs w:val="24"/>
          <w:lang w:eastAsia="es-CO"/>
        </w:rPr>
        <w:t xml:space="preserve"> contienen la posición hermenéutica de 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Subdirección de Gestión Contractual 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 Esta competencia de interpretación de normas generales, por definición, no puede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extenderse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resolución</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controversias,</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ni</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brindar</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asesorías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sobre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casos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puntuales.</w:t>
      </w:r>
    </w:p>
    <w:p w14:paraId="4E1EEF10" w14:textId="77777777" w:rsidR="00BF124D" w:rsidRPr="00CF54DC" w:rsidRDefault="00BF124D" w:rsidP="00BF124D">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En otras palabras, los conceptos de esta Agencia tienen como objeto la interpretación de</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normas de carácter general, esto es, del ordenamiento jurídico en abstracto, no la resolución de controversias o la asesoría para casos concretos; además, no son vinculantes o de obligatorio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cumplimiento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para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destinatario,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sino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expresan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posición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interpretativa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organismo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elabora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w:t>
      </w:r>
    </w:p>
    <w:p w14:paraId="13C60684" w14:textId="77777777" w:rsidR="00BF124D" w:rsidRPr="00CF54DC" w:rsidRDefault="00BF124D" w:rsidP="00BF124D">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En concordancia con ello, es importante resaltar que esta posición es compartida por</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varias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entidades</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públicas</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ejercen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similar</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función.</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ejemplo,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Procuraduría</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 xml:space="preserve">la </w:t>
      </w:r>
      <w:r w:rsidRPr="00CF54DC">
        <w:rPr>
          <w:rFonts w:ascii="Verdana" w:eastAsiaTheme="minorEastAsia" w:hAnsi="Verdana" w:cs="Arial"/>
          <w:spacing w:val="-1"/>
          <w:szCs w:val="24"/>
          <w:lang w:eastAsia="es-CO"/>
        </w:rPr>
        <w:t>Nación</w:t>
      </w:r>
      <w:r w:rsidRPr="00CF54DC">
        <w:rPr>
          <w:rFonts w:ascii="Verdana" w:eastAsiaTheme="minorEastAsia" w:hAnsi="Verdana" w:cs="Arial"/>
          <w:spacing w:val="-1"/>
          <w:szCs w:val="24"/>
          <w:vertAlign w:val="superscript"/>
          <w:lang w:eastAsia="es-CO"/>
        </w:rPr>
        <w:footnoteReference w:id="2"/>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aclaró</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que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el</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concepto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sólo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constituye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un</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criterio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auxiliar</w:t>
      </w:r>
      <w:r w:rsidRPr="00CF54DC">
        <w:rPr>
          <w:rFonts w:ascii="Verdana" w:eastAsiaTheme="minorEastAsia" w:hAnsi="Verdana" w:cs="Arial"/>
          <w:spacing w:val="-13"/>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interpretación</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y</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no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tiene</w:t>
      </w:r>
      <w:r>
        <w:rPr>
          <w:rFonts w:ascii="Verdana" w:eastAsiaTheme="minorEastAsia" w:hAnsi="Verdana" w:cs="Arial"/>
          <w:szCs w:val="24"/>
          <w:lang w:eastAsia="es-CO"/>
        </w:rPr>
        <w:t xml:space="preserve"> carácter </w:t>
      </w:r>
      <w:r w:rsidRPr="00CF54DC">
        <w:rPr>
          <w:rFonts w:ascii="Verdana" w:eastAsiaTheme="minorEastAsia" w:hAnsi="Verdana" w:cs="Arial"/>
          <w:szCs w:val="24"/>
          <w:lang w:eastAsia="es-CO"/>
        </w:rPr>
        <w:t>vinculante de acuerdo con lo dispuesto en los artículos 230 de la Constitución Política,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5°</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153</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1887</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28</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1437</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2011”.</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Igualmente,</w:t>
      </w:r>
      <w:r w:rsidRPr="00CF54DC">
        <w:rPr>
          <w:rFonts w:ascii="Verdana" w:eastAsiaTheme="minorEastAsia" w:hAnsi="Verdana" w:cs="Arial"/>
          <w:spacing w:val="-5"/>
          <w:szCs w:val="24"/>
          <w:lang w:eastAsia="es-CO"/>
        </w:rPr>
        <w:t xml:space="preserve"> </w:t>
      </w:r>
      <w:r w:rsidRPr="00CF54DC">
        <w:rPr>
          <w:rFonts w:ascii="Verdana" w:eastAsiaTheme="minorEastAsia" w:hAnsi="Verdana" w:cs="Arial"/>
          <w:szCs w:val="24"/>
          <w:lang w:eastAsia="es-CO"/>
        </w:rPr>
        <w:t>en</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concepto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año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2017,</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 Contraloría General</w:t>
      </w:r>
      <w:r w:rsidRPr="00CF54DC">
        <w:rPr>
          <w:rFonts w:ascii="Verdana" w:eastAsiaTheme="minorEastAsia" w:hAnsi="Verdana" w:cs="Arial"/>
          <w:szCs w:val="24"/>
          <w:vertAlign w:val="superscript"/>
          <w:lang w:eastAsia="es-CO"/>
        </w:rPr>
        <w:t xml:space="preserve"> </w:t>
      </w:r>
      <w:r w:rsidRPr="00CF54DC">
        <w:rPr>
          <w:rFonts w:ascii="Verdana" w:eastAsiaTheme="minorEastAsia" w:hAnsi="Verdana" w:cs="Arial"/>
          <w:szCs w:val="24"/>
          <w:lang w:eastAsia="es-CO"/>
        </w:rPr>
        <w:t>de la República</w:t>
      </w:r>
      <w:r w:rsidRPr="00CF54DC">
        <w:rPr>
          <w:rFonts w:ascii="Verdana" w:eastAsiaTheme="minorEastAsia" w:hAnsi="Verdana" w:cs="Arial"/>
          <w:szCs w:val="24"/>
          <w:vertAlign w:val="superscript"/>
          <w:lang w:eastAsia="es-CO"/>
        </w:rPr>
        <w:footnoteReference w:id="3"/>
      </w:r>
      <w:r w:rsidRPr="00CF54DC">
        <w:rPr>
          <w:rFonts w:ascii="Verdana" w:eastAsiaTheme="minorEastAsia" w:hAnsi="Verdana" w:cs="Arial"/>
          <w:szCs w:val="24"/>
          <w:lang w:eastAsia="es-CO"/>
        </w:rPr>
        <w:t xml:space="preserve"> precisó que “</w:t>
      </w:r>
      <w:r>
        <w:rPr>
          <w:rFonts w:ascii="Verdana" w:eastAsiaTheme="minorEastAsia" w:hAnsi="Verdana" w:cs="Arial"/>
          <w:szCs w:val="24"/>
          <w:lang w:eastAsia="es-CO"/>
        </w:rPr>
        <w:t xml:space="preserve">(…) </w:t>
      </w:r>
      <w:r w:rsidRPr="00CF54DC">
        <w:rPr>
          <w:rFonts w:ascii="Verdana" w:eastAsiaTheme="minorEastAsia" w:hAnsi="Verdana" w:cs="Arial"/>
          <w:szCs w:val="24"/>
          <w:lang w:eastAsia="es-CO"/>
        </w:rPr>
        <w:t>los conceptos emitidos por la Oficina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Jurídica</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Contraloría</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1"/>
          <w:szCs w:val="24"/>
          <w:lang w:eastAsia="es-CO"/>
        </w:rPr>
        <w:t xml:space="preserve"> </w:t>
      </w:r>
      <w:proofErr w:type="gramStart"/>
      <w:r w:rsidRPr="00CF54DC">
        <w:rPr>
          <w:rFonts w:ascii="Verdana" w:eastAsiaTheme="minorEastAsia" w:hAnsi="Verdana" w:cs="Arial"/>
          <w:szCs w:val="24"/>
          <w:lang w:eastAsia="es-CO"/>
        </w:rPr>
        <w:t>República,</w:t>
      </w:r>
      <w:proofErr w:type="gramEnd"/>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son</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orientaciones</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carácter</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1"/>
          <w:szCs w:val="24"/>
          <w:lang w:eastAsia="es-CO"/>
        </w:rPr>
        <w:t xml:space="preserve"> </w:t>
      </w:r>
      <w:r>
        <w:rPr>
          <w:rFonts w:ascii="Verdana" w:eastAsiaTheme="minorEastAsia" w:hAnsi="Verdana" w:cs="Arial"/>
          <w:szCs w:val="24"/>
          <w:lang w:eastAsia="es-CO"/>
        </w:rPr>
        <w:t xml:space="preserve">(…) </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no son de obligatorio cumplimiento o ejecución, ni tienen el carácter de fuente normativa y sólo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pueden ser utilizados para facilitar la interpretación y aplicación de las normas jurídicas vigent</w:t>
      </w:r>
      <w:r>
        <w:rPr>
          <w:rFonts w:ascii="Verdana" w:eastAsiaTheme="minorEastAsia" w:hAnsi="Verdana" w:cs="Arial"/>
          <w:szCs w:val="24"/>
          <w:lang w:eastAsia="es-CO"/>
        </w:rPr>
        <w:t>es (…)”.</w:t>
      </w:r>
    </w:p>
    <w:p w14:paraId="2EF4B74B" w14:textId="77777777" w:rsidR="00BF124D" w:rsidRPr="00CF54DC" w:rsidRDefault="00BF124D" w:rsidP="00BF124D">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En términos generales, lo que se busca con el ejercicio de la función consultiva es que la opinión jurídica de esta Agencia sea un criterio de orientación para los operadores jurídicos, sin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que ello suponga resolver un problema entre partes o asumir la única posible interpretación 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una disposición normativa. Esto no descarta que, en la práctica, al emitirse la opinión sobre 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interpretación</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ordenamiento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jurídico,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exista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coincidencia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con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criterio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expone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alguna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 xml:space="preserve">de </w:t>
      </w:r>
      <w:r>
        <w:rPr>
          <w:rFonts w:ascii="Verdana" w:eastAsiaTheme="minorEastAsia" w:hAnsi="Verdana" w:cs="Arial"/>
          <w:szCs w:val="24"/>
          <w:lang w:eastAsia="es-CO"/>
        </w:rPr>
        <w:t>las</w:t>
      </w:r>
      <w:r w:rsidRPr="00CF54DC">
        <w:rPr>
          <w:rFonts w:ascii="Verdana" w:eastAsiaTheme="minorEastAsia" w:hAnsi="Verdana" w:cs="Arial"/>
          <w:szCs w:val="24"/>
          <w:lang w:eastAsia="es-CO"/>
        </w:rPr>
        <w:t xml:space="preserve"> partes o la persona que solicita la consulta, circunstancia que no descarta interpretaciones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diferentes</w:t>
      </w:r>
      <w:r w:rsidRPr="00CF54DC">
        <w:rPr>
          <w:rFonts w:ascii="Verdana" w:eastAsiaTheme="minorEastAsia" w:hAnsi="Verdana" w:cs="Arial"/>
          <w:szCs w:val="24"/>
          <w:vertAlign w:val="superscript"/>
          <w:lang w:eastAsia="es-CO"/>
        </w:rPr>
        <w:footnoteReference w:id="4"/>
      </w:r>
      <w:r w:rsidRPr="00CF54DC">
        <w:rPr>
          <w:rFonts w:ascii="Verdana" w:eastAsiaTheme="minorEastAsia" w:hAnsi="Verdana" w:cs="Arial"/>
          <w:szCs w:val="24"/>
          <w:lang w:eastAsia="es-CO"/>
        </w:rPr>
        <w:t>.</w:t>
      </w:r>
    </w:p>
    <w:p w14:paraId="7D287AB4" w14:textId="77777777" w:rsidR="00BF124D" w:rsidRPr="00CF54DC" w:rsidRDefault="00BF124D" w:rsidP="00BF124D">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De este modo, las autoridades que ejercen funciones consultivas pueden expresar su</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virtud</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utilización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jurídicos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indeterminados.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Así,</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puede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pasar,</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ejemplo,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que un ministerio considere que una norma debe entenderse en un sentido, pero que otra entidad,</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vinculada o adscrita a ese ministerio, entienda que la misma norma debe interpretarse de otra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manera. Eso hace parte de la lógica deliberativa y dialéctica del funcionamiento del Estado y</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refleja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principio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democrático.</w:t>
      </w:r>
    </w:p>
    <w:p w14:paraId="14F85004" w14:textId="77777777" w:rsidR="00BF124D" w:rsidRDefault="00BF124D" w:rsidP="00BF124D">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De todos modos, esto no significa, necesariamente, que el criterio de una u otra tenga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prevalencia sobre la otra, ya que se trata de opiniones emitidas a título de concepto, pese a que entre las entidades exista jerarquía, o de la naturaleza y competencias que se prediquen de una y otra. Incluso, aun cuando los jueces interpreten con autoridad el sentido de la disposición normativa, el concepto emitido por la entidad no deja de ser un concepto y no adquiere efectos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vinculantes, así coincida con el de la autoridad judicial, pues, en esa hipótesis, lo que vincula es</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decisión</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juez,</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no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concepto</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entidad</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ejerció</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función</w:t>
      </w:r>
      <w:r w:rsidRPr="00CF54DC">
        <w:rPr>
          <w:rFonts w:ascii="Verdana" w:eastAsiaTheme="minorEastAsia" w:hAnsi="Verdana" w:cs="Arial"/>
          <w:spacing w:val="-5"/>
          <w:szCs w:val="24"/>
          <w:lang w:eastAsia="es-CO"/>
        </w:rPr>
        <w:t xml:space="preserve"> </w:t>
      </w:r>
      <w:r w:rsidRPr="00CF54DC">
        <w:rPr>
          <w:rFonts w:ascii="Verdana" w:eastAsiaTheme="minorEastAsia" w:hAnsi="Verdana" w:cs="Arial"/>
          <w:szCs w:val="24"/>
          <w:lang w:eastAsia="es-CO"/>
        </w:rPr>
        <w:t>consultiva</w:t>
      </w:r>
      <w:r>
        <w:rPr>
          <w:rFonts w:ascii="Verdana" w:eastAsiaTheme="minorEastAsia" w:hAnsi="Verdana" w:cs="Arial"/>
          <w:szCs w:val="24"/>
          <w:lang w:eastAsia="es-CO"/>
        </w:rPr>
        <w:t xml:space="preserve">. </w:t>
      </w:r>
    </w:p>
    <w:p w14:paraId="1522706A" w14:textId="77777777" w:rsidR="00BF124D" w:rsidRDefault="00BF124D" w:rsidP="00BF124D">
      <w:pPr>
        <w:spacing w:after="120" w:line="276" w:lineRule="auto"/>
        <w:ind w:firstLine="709"/>
        <w:jc w:val="both"/>
        <w:rPr>
          <w:rFonts w:ascii="Verdana" w:eastAsiaTheme="minorEastAsia" w:hAnsi="Verdana" w:cs="Arial"/>
          <w:szCs w:val="24"/>
          <w:lang w:eastAsia="es-CO"/>
        </w:rPr>
      </w:pPr>
      <w:r>
        <w:rPr>
          <w:rFonts w:ascii="Verdana" w:eastAsiaTheme="minorEastAsia" w:hAnsi="Verdana" w:cs="Arial"/>
          <w:szCs w:val="24"/>
          <w:lang w:eastAsia="es-CO"/>
        </w:rPr>
        <w:t xml:space="preserve">De lo expuesto se concluye que, la competencia consultiva de esta Agencia </w:t>
      </w:r>
      <w:r w:rsidRPr="00CF54DC">
        <w:rPr>
          <w:rFonts w:ascii="Verdana" w:eastAsiaTheme="minorEastAsia" w:hAnsi="Verdana" w:cs="Arial"/>
          <w:szCs w:val="24"/>
          <w:lang w:eastAsia="es-CO"/>
        </w:rPr>
        <w:t>se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enmarca</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en</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artículo</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28</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1437</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2011</w:t>
      </w:r>
      <w:r>
        <w:rPr>
          <w:rFonts w:ascii="Verdana" w:eastAsiaTheme="minorEastAsia" w:hAnsi="Verdana" w:cs="Arial"/>
          <w:szCs w:val="24"/>
          <w:lang w:eastAsia="es-CO"/>
        </w:rPr>
        <w:t xml:space="preserve">, en la cual señala que </w:t>
      </w:r>
      <w:r w:rsidRPr="00CF54DC">
        <w:rPr>
          <w:rFonts w:ascii="Verdana" w:eastAsiaTheme="minorEastAsia" w:hAnsi="Verdana" w:cs="Arial"/>
          <w:szCs w:val="24"/>
          <w:lang w:eastAsia="es-CO"/>
        </w:rPr>
        <w:t>los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9"/>
          <w:szCs w:val="24"/>
          <w:lang w:eastAsia="es-CO"/>
        </w:rPr>
        <w:t xml:space="preserve"> </w:t>
      </w:r>
      <w:r>
        <w:rPr>
          <w:rFonts w:ascii="Verdana" w:eastAsiaTheme="minorEastAsia" w:hAnsi="Verdana" w:cs="Arial"/>
          <w:spacing w:val="-9"/>
          <w:szCs w:val="24"/>
          <w:lang w:eastAsia="es-CO"/>
        </w:rPr>
        <w:t xml:space="preserve">emitidos en virtud del derecho a formular consultas </w:t>
      </w:r>
      <w:r w:rsidRPr="00CF54DC">
        <w:rPr>
          <w:rFonts w:ascii="Verdana" w:eastAsiaTheme="minorEastAsia" w:hAnsi="Verdana" w:cs="Arial"/>
          <w:szCs w:val="24"/>
          <w:lang w:eastAsia="es-CO"/>
        </w:rPr>
        <w:t>no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serán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obligatorio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cumplimiento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o</w:t>
      </w:r>
      <w:r w:rsidRPr="00CF54DC">
        <w:rPr>
          <w:rFonts w:ascii="Verdana" w:eastAsiaTheme="minorEastAsia" w:hAnsi="Verdana" w:cs="Arial"/>
          <w:spacing w:val="-9"/>
          <w:szCs w:val="24"/>
          <w:lang w:eastAsia="es-CO"/>
        </w:rPr>
        <w:t xml:space="preserve"> </w:t>
      </w:r>
      <w:r>
        <w:rPr>
          <w:rFonts w:ascii="Verdana" w:eastAsiaTheme="minorEastAsia" w:hAnsi="Verdana" w:cs="Arial"/>
          <w:spacing w:val="-9"/>
          <w:szCs w:val="24"/>
          <w:lang w:eastAsia="es-CO"/>
        </w:rPr>
        <w:t xml:space="preserve">imperativa </w:t>
      </w:r>
      <w:r w:rsidRPr="00CF54DC">
        <w:rPr>
          <w:rFonts w:ascii="Verdana" w:eastAsiaTheme="minorEastAsia" w:hAnsi="Verdana" w:cs="Arial"/>
          <w:szCs w:val="24"/>
          <w:lang w:eastAsia="es-CO"/>
        </w:rPr>
        <w:t>ejecución</w:t>
      </w:r>
      <w:r>
        <w:rPr>
          <w:rFonts w:ascii="Verdana" w:eastAsiaTheme="minorEastAsia" w:hAnsi="Verdana" w:cs="Arial"/>
          <w:szCs w:val="24"/>
          <w:lang w:eastAsia="es-CO"/>
        </w:rPr>
        <w:t xml:space="preserve">. Estos conceptos </w:t>
      </w:r>
      <w:r w:rsidRPr="00CF54DC">
        <w:rPr>
          <w:rFonts w:ascii="Verdana" w:eastAsiaTheme="minorEastAsia" w:hAnsi="Verdana" w:cs="Arial"/>
          <w:szCs w:val="24"/>
          <w:lang w:eastAsia="es-CO"/>
        </w:rPr>
        <w:t>contienen la posición hermenéutica</w:t>
      </w:r>
      <w:r>
        <w:rPr>
          <w:rFonts w:ascii="Verdana" w:eastAsiaTheme="minorEastAsia" w:hAnsi="Verdana" w:cs="Arial"/>
          <w:szCs w:val="24"/>
          <w:lang w:eastAsia="es-CO"/>
        </w:rPr>
        <w:t xml:space="preserve"> de la Agencia,</w:t>
      </w:r>
      <w:r w:rsidRPr="00CF54DC">
        <w:rPr>
          <w:rFonts w:ascii="Verdana" w:eastAsiaTheme="minorEastAsia" w:hAnsi="Verdana" w:cs="Arial"/>
          <w:szCs w:val="24"/>
          <w:lang w:eastAsia="es-CO"/>
        </w:rPr>
        <w:t xml:space="preserve"> </w:t>
      </w:r>
      <w:r>
        <w:rPr>
          <w:rFonts w:ascii="Verdana" w:eastAsiaTheme="minorEastAsia" w:hAnsi="Verdana" w:cs="Arial"/>
          <w:szCs w:val="24"/>
          <w:lang w:eastAsia="es-CO"/>
        </w:rPr>
        <w:t xml:space="preserve">como ente rector de la contratación estatal, </w:t>
      </w:r>
      <w:r w:rsidRPr="00CF54DC">
        <w:rPr>
          <w:rFonts w:ascii="Verdana" w:eastAsiaTheme="minorEastAsia" w:hAnsi="Verdana" w:cs="Arial"/>
          <w:szCs w:val="24"/>
          <w:lang w:eastAsia="es-CO"/>
        </w:rPr>
        <w:t>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w:t>
      </w:r>
      <w:r>
        <w:rPr>
          <w:rFonts w:ascii="Verdana" w:eastAsiaTheme="minorEastAsia" w:hAnsi="Verdana" w:cs="Arial"/>
          <w:szCs w:val="24"/>
          <w:lang w:eastAsia="es-CO"/>
        </w:rPr>
        <w:t xml:space="preserve">, posición que puede servir como orientación o buenas prácticas para los partícipes del sistema de compras públicas en su gestión contractual. </w:t>
      </w:r>
    </w:p>
    <w:p w14:paraId="653F4682" w14:textId="77777777" w:rsidR="00BF124D" w:rsidRDefault="00BF124D" w:rsidP="00BF124D">
      <w:pPr>
        <w:spacing w:after="120" w:line="276" w:lineRule="auto"/>
        <w:jc w:val="both"/>
        <w:rPr>
          <w:rFonts w:ascii="Verdana" w:eastAsia="Calibri" w:hAnsi="Verdana" w:cs="Arial"/>
          <w:lang w:val="es-ES_tradnl"/>
        </w:rPr>
      </w:pPr>
      <w:proofErr w:type="spellStart"/>
      <w:r>
        <w:rPr>
          <w:rFonts w:ascii="Verdana" w:eastAsiaTheme="minorEastAsia" w:hAnsi="Verdana" w:cs="Arial"/>
          <w:szCs w:val="24"/>
          <w:lang w:eastAsia="es-CO"/>
        </w:rPr>
        <w:t>ii</w:t>
      </w:r>
      <w:proofErr w:type="spellEnd"/>
      <w:r>
        <w:rPr>
          <w:rFonts w:ascii="Verdana" w:eastAsiaTheme="minorEastAsia" w:hAnsi="Verdana" w:cs="Arial"/>
          <w:szCs w:val="24"/>
          <w:lang w:eastAsia="es-CO"/>
        </w:rPr>
        <w:t xml:space="preserve">) </w:t>
      </w:r>
      <w:bookmarkStart w:id="2" w:name="_Hlk35882939"/>
      <w:r w:rsidRPr="00BE5FE3">
        <w:rPr>
          <w:rFonts w:ascii="Verdana" w:eastAsia="Calibri" w:hAnsi="Verdana" w:cs="Arial"/>
          <w:lang w:val="es-ES_tradnl"/>
        </w:rPr>
        <w:t>Si bien la licitación pública es la modalidad de selección que constituye la regla general para las entidades regidas por el Estatuto General de Contratación de la Administración Pública, el artículo 2.4 de la Ley 1150 de 2007 consagra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w:t>
      </w:r>
      <w:bookmarkEnd w:id="2"/>
      <w:r w:rsidRPr="00BE5FE3">
        <w:rPr>
          <w:rFonts w:ascii="Verdana" w:eastAsia="Calibri" w:hAnsi="Verdana" w:cs="Arial"/>
          <w:lang w:val="es-ES_tradnl"/>
        </w:rPr>
        <w:t>”.</w:t>
      </w:r>
    </w:p>
    <w:p w14:paraId="4780C550" w14:textId="77777777" w:rsidR="00BF124D" w:rsidRPr="00BE5FE3" w:rsidRDefault="00BF124D" w:rsidP="00BF124D">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Esta causal debe leerse en concordancia con los artículos 42 de la Ley 80 de 1993, que define el concepto y establece el procedimiento para su declaratoria, así como para la celebración de los contratos que se derivan de aquella. Esta norma dispone lo siguiente:</w:t>
      </w:r>
    </w:p>
    <w:p w14:paraId="321E70F8" w14:textId="77777777" w:rsidR="00BF124D" w:rsidRPr="00BE5FE3" w:rsidRDefault="00BF124D" w:rsidP="00BF124D">
      <w:pPr>
        <w:spacing w:after="120" w:line="240" w:lineRule="auto"/>
        <w:ind w:left="709" w:right="709"/>
        <w:jc w:val="both"/>
        <w:rPr>
          <w:rFonts w:ascii="Verdana" w:eastAsia="Calibri" w:hAnsi="Verdana" w:cs="Arial"/>
          <w:sz w:val="21"/>
          <w:szCs w:val="21"/>
          <w:lang w:val="es-ES_tradnl"/>
        </w:rPr>
      </w:pPr>
      <w:r w:rsidRPr="00BE5FE3">
        <w:rPr>
          <w:rFonts w:ascii="Verdana" w:eastAsia="Calibri" w:hAnsi="Verdana" w:cs="Arial"/>
          <w:sz w:val="21"/>
          <w:szCs w:val="21"/>
          <w:lang w:val="es-ES_tradnl"/>
        </w:rPr>
        <w:t xml:space="preserve">“Artículo 42. De la urgencia manifiesta. Existe urgencia manifiesta </w:t>
      </w:r>
      <w:bookmarkStart w:id="3" w:name="_Hlk35851184"/>
      <w:r w:rsidRPr="00BE5FE3">
        <w:rPr>
          <w:rFonts w:ascii="Verdana" w:eastAsia="Calibri" w:hAnsi="Verdana" w:cs="Arial"/>
          <w:sz w:val="21"/>
          <w:szCs w:val="21"/>
          <w:lang w:val="es-ES_tradnl"/>
        </w:rPr>
        <w:t>cuando la continuidad del servicio exige el suministro de bienes, o la prestación de servicios, o la ejecución de obras en el inmediato futuro</w:t>
      </w:r>
      <w:bookmarkEnd w:id="3"/>
      <w:r w:rsidRPr="00BE5FE3">
        <w:rPr>
          <w:rFonts w:ascii="Verdana" w:eastAsia="Calibri" w:hAnsi="Verdana" w:cs="Arial"/>
          <w:sz w:val="21"/>
          <w:szCs w:val="21"/>
          <w:lang w:val="es-ES_tradnl"/>
        </w:rPr>
        <w:t xml:space="preserve">; </w:t>
      </w:r>
      <w:bookmarkStart w:id="4" w:name="_Hlk35857288"/>
      <w:r w:rsidRPr="00BE5FE3">
        <w:rPr>
          <w:rFonts w:ascii="Verdana" w:eastAsia="Calibri" w:hAnsi="Verdana" w:cs="Arial"/>
          <w:sz w:val="21"/>
          <w:szCs w:val="21"/>
          <w:lang w:val="es-ES_tradnl"/>
        </w:rPr>
        <w:t xml:space="preserve">cuando se presenten </w:t>
      </w:r>
      <w:bookmarkStart w:id="5" w:name="_Hlk35857424"/>
      <w:r w:rsidRPr="00BE5FE3">
        <w:rPr>
          <w:rFonts w:ascii="Verdana" w:eastAsia="Calibri" w:hAnsi="Verdana" w:cs="Arial"/>
          <w:sz w:val="21"/>
          <w:szCs w:val="21"/>
          <w:lang w:val="es-ES_tradnl"/>
        </w:rPr>
        <w:t>situaciones relacionadas con los estados de excepción</w:t>
      </w:r>
      <w:bookmarkEnd w:id="4"/>
      <w:bookmarkEnd w:id="5"/>
      <w:r w:rsidRPr="00BE5FE3">
        <w:rPr>
          <w:rFonts w:ascii="Verdana" w:eastAsia="Calibri" w:hAnsi="Verdana" w:cs="Arial"/>
          <w:sz w:val="21"/>
          <w:szCs w:val="21"/>
          <w:lang w:val="es-ES_tradnl"/>
        </w:rPr>
        <w:t xml:space="preserve">; </w:t>
      </w:r>
      <w:bookmarkStart w:id="6" w:name="_Hlk35865550"/>
      <w:r w:rsidRPr="00BE5FE3">
        <w:rPr>
          <w:rFonts w:ascii="Verdana" w:eastAsia="Calibri" w:hAnsi="Verdana" w:cs="Arial"/>
          <w:sz w:val="21"/>
          <w:szCs w:val="21"/>
          <w:lang w:val="es-ES_tradnl"/>
        </w:rPr>
        <w:t xml:space="preserve">cuando se trate de conjurar situaciones excepcionales relacionadas con hechos de calamidad o constitutivos de fuerza mayor o desastre que demanden actuaciones inmediatas </w:t>
      </w:r>
      <w:bookmarkEnd w:id="6"/>
      <w:r w:rsidRPr="00BE5FE3">
        <w:rPr>
          <w:rFonts w:ascii="Verdana" w:eastAsia="Calibri" w:hAnsi="Verdana" w:cs="Arial"/>
          <w:sz w:val="21"/>
          <w:szCs w:val="21"/>
          <w:lang w:val="es-ES_tradnl"/>
        </w:rPr>
        <w:t>y, en general, cuando se trate de situaciones similares que imposibiliten acudir a los procedimientos de selección o concurso públicos.</w:t>
      </w:r>
    </w:p>
    <w:p w14:paraId="54E0AAF1" w14:textId="77777777" w:rsidR="00BF124D" w:rsidRPr="00BE5FE3" w:rsidRDefault="00BF124D" w:rsidP="00BF124D">
      <w:pPr>
        <w:spacing w:after="120" w:line="240" w:lineRule="auto"/>
        <w:ind w:left="709" w:right="709"/>
        <w:jc w:val="both"/>
        <w:rPr>
          <w:rFonts w:ascii="Verdana" w:eastAsia="Calibri" w:hAnsi="Verdana" w:cs="Arial"/>
          <w:sz w:val="21"/>
          <w:szCs w:val="21"/>
          <w:lang w:val="es-ES_tradnl"/>
        </w:rPr>
      </w:pPr>
      <w:r w:rsidRPr="00BE5FE3">
        <w:rPr>
          <w:rFonts w:ascii="Verdana" w:eastAsia="Calibri" w:hAnsi="Verdana" w:cs="Arial"/>
          <w:sz w:val="21"/>
          <w:szCs w:val="21"/>
          <w:lang w:val="es-ES_tradnl"/>
        </w:rPr>
        <w:t>La urgencia manifiesta se declarará mediante acto administrativo motivado.</w:t>
      </w:r>
    </w:p>
    <w:p w14:paraId="4A0AB904" w14:textId="77777777" w:rsidR="00BF124D" w:rsidRPr="00BE5FE3" w:rsidRDefault="00BF124D" w:rsidP="00BF124D">
      <w:pPr>
        <w:spacing w:before="120" w:after="0" w:line="240" w:lineRule="auto"/>
        <w:ind w:left="709" w:right="709"/>
        <w:jc w:val="both"/>
        <w:rPr>
          <w:rFonts w:ascii="Verdana" w:eastAsia="Calibri" w:hAnsi="Verdana" w:cs="Arial"/>
          <w:sz w:val="21"/>
          <w:szCs w:val="21"/>
          <w:lang w:val="es-ES"/>
        </w:rPr>
      </w:pPr>
      <w:r w:rsidRPr="736CB040">
        <w:rPr>
          <w:rFonts w:ascii="Verdana" w:eastAsia="Calibri" w:hAnsi="Verdana" w:cs="Arial"/>
          <w:sz w:val="21"/>
          <w:szCs w:val="21"/>
          <w:lang w:val="es-ES"/>
        </w:rPr>
        <w:t>Parágrafo. Con el fin de atender las necesidades y los gastos propios de la urgencia manifiesta, se podrán hacer los traslados presupuestales internos que se requieran dentro del presupuesto del organismo o entidad estatal correspondiente”.</w:t>
      </w:r>
    </w:p>
    <w:p w14:paraId="1868A3A6" w14:textId="77777777" w:rsidR="00BF124D" w:rsidRPr="00BE5FE3" w:rsidRDefault="00BF124D" w:rsidP="00BF124D">
      <w:pPr>
        <w:spacing w:after="0" w:line="276" w:lineRule="auto"/>
        <w:ind w:left="709" w:right="709"/>
        <w:jc w:val="both"/>
        <w:rPr>
          <w:rFonts w:ascii="Verdana" w:eastAsia="Calibri" w:hAnsi="Verdana" w:cs="Arial"/>
          <w:lang w:val="es-ES_tradnl"/>
        </w:rPr>
      </w:pPr>
    </w:p>
    <w:p w14:paraId="015ADEF1" w14:textId="77777777" w:rsidR="00BF124D" w:rsidRPr="00BE5FE3" w:rsidRDefault="00BF124D" w:rsidP="00BF124D">
      <w:pPr>
        <w:spacing w:after="120" w:line="276" w:lineRule="auto"/>
        <w:ind w:firstLine="708"/>
        <w:jc w:val="both"/>
        <w:rPr>
          <w:rFonts w:ascii="Verdana" w:eastAsia="Calibri" w:hAnsi="Verdana" w:cs="Arial"/>
          <w:sz w:val="21"/>
          <w:szCs w:val="21"/>
          <w:lang w:val="es-ES_tradnl"/>
        </w:rPr>
      </w:pPr>
      <w:r w:rsidRPr="00BE5FE3">
        <w:rPr>
          <w:rFonts w:ascii="Verdana" w:eastAsia="Calibri" w:hAnsi="Verdana" w:cs="Arial"/>
          <w:lang w:val="es-ES_tradnl"/>
        </w:rPr>
        <w:t>Esta causal tiene como antecedente el derogado artículo 43.16 del Decreto-Ley 222 de 1983, que autorizaba la contratación directa “Cuando hubiere urgencia evidente calificada por el Consejo de Ministros, que no permita el tiempo necesario para la licitación o concurso”, entendiendo por tal “[…]</w:t>
      </w:r>
      <w:r w:rsidRPr="00BE5FE3">
        <w:rPr>
          <w:rFonts w:ascii="Verdana" w:hAnsi="Verdana"/>
        </w:rPr>
        <w:t xml:space="preserve"> </w:t>
      </w:r>
      <w:r w:rsidRPr="00BE5FE3">
        <w:rPr>
          <w:rFonts w:ascii="Verdana" w:eastAsia="Calibri" w:hAnsi="Verdana" w:cs="Arial"/>
          <w:lang w:val="es-ES_tradnl"/>
        </w:rPr>
        <w:t>necesidades actuales o previsibles de orden público, seguridad nacional o calamidad pública”; razón por la cual, los controles para su utilización eran tan evidentes que al declarase por un órgano distinto, el juez debía declarar la nulidad absoluta del contrato, por la falta de competencia</w:t>
      </w:r>
      <w:r w:rsidRPr="00BE5FE3">
        <w:rPr>
          <w:rStyle w:val="Refdenotaalpie"/>
          <w:rFonts w:ascii="Verdana" w:eastAsia="Calibri" w:hAnsi="Verdana" w:cs="Arial"/>
          <w:lang w:val="es-ES_tradnl"/>
        </w:rPr>
        <w:footnoteReference w:id="5"/>
      </w:r>
      <w:r w:rsidRPr="00BE5FE3">
        <w:rPr>
          <w:rFonts w:ascii="Verdana" w:eastAsia="Calibri" w:hAnsi="Verdana" w:cs="Arial"/>
          <w:lang w:val="es-ES_tradnl"/>
        </w:rPr>
        <w:t xml:space="preserve">. En contraste, el </w:t>
      </w:r>
      <w:r w:rsidRPr="00BE5FE3">
        <w:rPr>
          <w:rFonts w:ascii="Verdana" w:eastAsia="Calibri" w:hAnsi="Verdana" w:cs="Arial"/>
        </w:rPr>
        <w:t>Estatuto General de Contratación de la Administración Pública</w:t>
      </w:r>
      <w:r w:rsidRPr="00BE5FE3">
        <w:rPr>
          <w:rFonts w:ascii="Verdana" w:eastAsia="Calibri" w:hAnsi="Verdana" w:cs="Arial"/>
          <w:lang w:val="es-ES_tradnl"/>
        </w:rPr>
        <w:t xml:space="preserve">, interpretando de manera más realista las necesidades de la Administración, autoriza al jefe o representante legal de la entidad estatal para declarar la urgencia, siempre que tenga el carácter de </w:t>
      </w:r>
      <w:r w:rsidRPr="00BE5FE3">
        <w:rPr>
          <w:rFonts w:ascii="Verdana" w:eastAsia="Calibri" w:hAnsi="Verdana" w:cs="Arial"/>
          <w:i/>
          <w:iCs/>
          <w:lang w:val="es-ES_tradnl"/>
        </w:rPr>
        <w:t>manifiesta</w:t>
      </w:r>
      <w:r w:rsidRPr="00BE5FE3">
        <w:rPr>
          <w:rStyle w:val="Refdenotaalpie"/>
          <w:rFonts w:ascii="Verdana" w:eastAsia="Calibri" w:hAnsi="Verdana" w:cs="Arial"/>
          <w:sz w:val="21"/>
          <w:szCs w:val="21"/>
          <w:lang w:val="es-ES_tradnl"/>
        </w:rPr>
        <w:footnoteReference w:id="6"/>
      </w:r>
      <w:r w:rsidRPr="00BE5FE3">
        <w:rPr>
          <w:rFonts w:ascii="Verdana" w:eastAsia="Calibri" w:hAnsi="Verdana" w:cs="Arial"/>
          <w:sz w:val="21"/>
          <w:szCs w:val="21"/>
          <w:lang w:val="es-ES_tradnl"/>
        </w:rPr>
        <w:t>.</w:t>
      </w:r>
    </w:p>
    <w:p w14:paraId="1627698B" w14:textId="77777777" w:rsidR="00BF124D" w:rsidRPr="00BE5FE3" w:rsidRDefault="00BF124D" w:rsidP="00BF124D">
      <w:pPr>
        <w:spacing w:after="120" w:line="276" w:lineRule="auto"/>
        <w:ind w:firstLine="708"/>
        <w:jc w:val="both"/>
        <w:rPr>
          <w:rFonts w:ascii="Verdana" w:eastAsia="Calibri" w:hAnsi="Verdana" w:cs="Arial"/>
          <w:lang w:val="es-ES"/>
        </w:rPr>
      </w:pPr>
      <w:bookmarkStart w:id="7" w:name="_Hlk35959309"/>
      <w:r w:rsidRPr="736CB040">
        <w:rPr>
          <w:rFonts w:ascii="Verdana" w:eastAsia="Calibri" w:hAnsi="Verdana" w:cs="Arial"/>
          <w:lang w:val="es-ES"/>
        </w:rPr>
        <w:t>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w:t>
      </w:r>
      <w:r w:rsidRPr="736CB040">
        <w:rPr>
          <w:rStyle w:val="Refdenotaalpie"/>
          <w:rFonts w:ascii="Verdana" w:eastAsia="Calibri" w:hAnsi="Verdana" w:cs="Arial"/>
          <w:lang w:val="es-ES"/>
        </w:rPr>
        <w:footnoteReference w:id="7"/>
      </w:r>
      <w:r w:rsidRPr="736CB040">
        <w:rPr>
          <w:rFonts w:ascii="Verdana" w:eastAsia="Calibri" w:hAnsi="Verdana" w:cs="Arial"/>
          <w:lang w:val="es-ES"/>
        </w:rPr>
        <w:t xml:space="preserve">. </w:t>
      </w:r>
    </w:p>
    <w:p w14:paraId="0108B080" w14:textId="77777777" w:rsidR="00BF124D" w:rsidRPr="00BE5FE3" w:rsidRDefault="00BF124D" w:rsidP="00BF124D">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w:t>
      </w:r>
      <w:r w:rsidRPr="00BE5FE3">
        <w:rPr>
          <w:rStyle w:val="Refdenotaalpie"/>
          <w:rFonts w:ascii="Verdana" w:eastAsia="Calibri" w:hAnsi="Verdana" w:cs="Arial"/>
          <w:lang w:val="es-ES_tradnl"/>
        </w:rPr>
        <w:footnoteReference w:id="8"/>
      </w:r>
      <w:r w:rsidRPr="00BE5FE3">
        <w:rPr>
          <w:rFonts w:ascii="Verdana" w:eastAsia="Calibri" w:hAnsi="Verdana" w:cs="Arial"/>
          <w:lang w:val="es-ES_tradnl"/>
        </w:rPr>
        <w:t xml:space="preserve">. </w:t>
      </w:r>
    </w:p>
    <w:bookmarkEnd w:id="7"/>
    <w:p w14:paraId="4567C38D" w14:textId="77777777" w:rsidR="00BF124D" w:rsidRPr="00BE5FE3" w:rsidRDefault="00BF124D" w:rsidP="00BF124D">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 xml:space="preserve">En esta medida, el precitado artículo 42 del </w:t>
      </w:r>
      <w:r w:rsidRPr="00BE5FE3">
        <w:rPr>
          <w:rFonts w:ascii="Verdana" w:eastAsia="Calibri" w:hAnsi="Verdana" w:cs="Arial"/>
        </w:rPr>
        <w:t>Estatuto General de Contratación</w:t>
      </w:r>
      <w:r w:rsidRPr="00BE5FE3">
        <w:rPr>
          <w:rFonts w:ascii="Verdana" w:eastAsia="Calibri" w:hAnsi="Verdana" w:cs="Arial"/>
          <w:lang w:val="es-ES_tradnl"/>
        </w:rPr>
        <w:t xml:space="preserve"> contempla cuatro (4) circunstancias o hechos que configuran la urgencia manifiesta, si así lo declara la entidad: i) cuando la continuidad del servicio exige el suministro de bienes, o la prestación de servicios, o la ejecución de obras en el inmediato futuro; </w:t>
      </w:r>
      <w:proofErr w:type="spellStart"/>
      <w:r w:rsidRPr="00BE5FE3">
        <w:rPr>
          <w:rFonts w:ascii="Verdana" w:eastAsia="Calibri" w:hAnsi="Verdana" w:cs="Arial"/>
          <w:lang w:val="es-ES_tradnl"/>
        </w:rPr>
        <w:t>ii</w:t>
      </w:r>
      <w:proofErr w:type="spellEnd"/>
      <w:r w:rsidRPr="00BE5FE3">
        <w:rPr>
          <w:rFonts w:ascii="Verdana" w:eastAsia="Calibri" w:hAnsi="Verdana" w:cs="Arial"/>
          <w:lang w:val="es-ES_tradnl"/>
        </w:rPr>
        <w:t xml:space="preserve">) cuando se presenten situaciones relacionadas con los estados de excepción; </w:t>
      </w:r>
      <w:proofErr w:type="spellStart"/>
      <w:r w:rsidRPr="00BE5FE3">
        <w:rPr>
          <w:rFonts w:ascii="Verdana" w:eastAsia="Calibri" w:hAnsi="Verdana" w:cs="Arial"/>
          <w:lang w:val="es-ES_tradnl"/>
        </w:rPr>
        <w:t>iii</w:t>
      </w:r>
      <w:proofErr w:type="spellEnd"/>
      <w:r w:rsidRPr="00BE5FE3">
        <w:rPr>
          <w:rFonts w:ascii="Verdana" w:eastAsia="Calibri" w:hAnsi="Verdana" w:cs="Arial"/>
          <w:lang w:val="es-ES_tradnl"/>
        </w:rPr>
        <w:t xml:space="preserve">) cuando se trate de conjurar situaciones excepcionales relacionadas con hechos de calamidad o constitutivos de fuerza mayor o desastre que demanden actuaciones inmediatas; y </w:t>
      </w:r>
      <w:proofErr w:type="spellStart"/>
      <w:r w:rsidRPr="00BE5FE3">
        <w:rPr>
          <w:rFonts w:ascii="Verdana" w:eastAsia="Calibri" w:hAnsi="Verdana" w:cs="Arial"/>
          <w:lang w:val="es-ES_tradnl"/>
        </w:rPr>
        <w:t>iv</w:t>
      </w:r>
      <w:proofErr w:type="spellEnd"/>
      <w:r w:rsidRPr="00BE5FE3">
        <w:rPr>
          <w:rFonts w:ascii="Verdana" w:eastAsia="Calibri" w:hAnsi="Verdana" w:cs="Arial"/>
          <w:lang w:val="es-ES_tradnl"/>
        </w:rPr>
        <w:t>) en general, cuando se trate de situaciones similares que imposibiliten acudir a los procedimientos de selección o concurso públicos.</w:t>
      </w:r>
    </w:p>
    <w:p w14:paraId="38C5DE64" w14:textId="77777777" w:rsidR="00BF124D" w:rsidRPr="00BE5FE3" w:rsidRDefault="00BF124D" w:rsidP="00BF124D">
      <w:pPr>
        <w:spacing w:after="120" w:line="276" w:lineRule="auto"/>
        <w:ind w:firstLine="708"/>
        <w:jc w:val="both"/>
        <w:rPr>
          <w:rFonts w:ascii="Verdana" w:eastAsia="Calibri" w:hAnsi="Verdana" w:cs="Arial"/>
          <w:lang w:val="es-ES"/>
        </w:rPr>
      </w:pPr>
      <w:r w:rsidRPr="736CB040">
        <w:rPr>
          <w:rFonts w:ascii="Verdana" w:eastAsia="Calibri" w:hAnsi="Verdana" w:cs="Arial"/>
          <w:lang w:val="es-ES"/>
        </w:rPr>
        <w:t xml:space="preserve">La </w:t>
      </w:r>
      <w:r w:rsidRPr="736CB040">
        <w:rPr>
          <w:rFonts w:ascii="Verdana" w:eastAsia="Calibri" w:hAnsi="Verdana" w:cs="Arial"/>
          <w:i/>
          <w:iCs/>
          <w:lang w:val="es-ES"/>
        </w:rPr>
        <w:t>primera circunstancia</w:t>
      </w:r>
      <w:r w:rsidRPr="736CB040">
        <w:rPr>
          <w:rFonts w:ascii="Verdana" w:eastAsia="Calibri" w:hAnsi="Verdana" w:cs="Arial"/>
          <w:lang w:val="es-ES"/>
        </w:rPr>
        <w:t xml:space="preserve"> se configura cuando la continuidad del servicio exige el suministro de bienes, la prestación de servicios, o la ejecución de obras en el inmediato futuro. En este caso, se busca evitar la paralización de un servicio, pues están destinados a satisfacer necesidades colectivas en forma general, permanente y continua. En este contexto, no puede olvidarse que el servicio público responde, por definición, a una necesidad de interés general, razón por la cual no podría ser discontinuo, pues la interrupción ocasiona problemas graves para la vida colectiva. </w:t>
      </w:r>
    </w:p>
    <w:p w14:paraId="19F167B7" w14:textId="77777777" w:rsidR="00BF124D" w:rsidRPr="00BE5FE3" w:rsidRDefault="00BF124D" w:rsidP="00BF124D">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En esta causal es secundaria la previsibilidad de la situación, porque –si así fuera– se llegaría al absurdo de permitir que efectivamente se paralizara el servicio, sacrificando el interés general por causa de la inactividad de los servidores</w:t>
      </w:r>
      <w:r w:rsidRPr="00BE5FE3">
        <w:rPr>
          <w:rStyle w:val="Refdenotaalpie"/>
          <w:rFonts w:ascii="Verdana" w:eastAsia="Calibri" w:hAnsi="Verdana" w:cs="Arial"/>
          <w:lang w:val="es-ES_tradnl"/>
        </w:rPr>
        <w:footnoteReference w:id="9"/>
      </w:r>
      <w:r w:rsidRPr="00BE5FE3">
        <w:rPr>
          <w:rFonts w:ascii="Verdana" w:eastAsia="Calibri" w:hAnsi="Verdana" w:cs="Arial"/>
          <w:lang w:val="es-ES_tradnl"/>
        </w:rPr>
        <w:t>. En consecuencia, “[…] uno de los elementos esenciales de la urgencia manifiesta lo constituye la obligación de verificar que el objeto del contrato necesita su permanencia, es decir, que se requiere garantizar por parte de la Administración la continuidad de un servicio que exige suministro de bienes, ejecución de obras o la propia prestación de servicios”</w:t>
      </w:r>
      <w:r w:rsidRPr="00BE5FE3">
        <w:rPr>
          <w:rStyle w:val="Refdenotaalpie"/>
          <w:rFonts w:ascii="Verdana" w:eastAsia="Calibri" w:hAnsi="Verdana" w:cs="Arial"/>
          <w:lang w:val="es-ES_tradnl"/>
        </w:rPr>
        <w:footnoteReference w:id="10"/>
      </w:r>
      <w:r w:rsidRPr="00BE5FE3">
        <w:rPr>
          <w:rFonts w:ascii="Verdana" w:eastAsia="Calibri" w:hAnsi="Verdana" w:cs="Arial"/>
          <w:lang w:val="es-ES_tradnl"/>
        </w:rPr>
        <w:t xml:space="preserve">. </w:t>
      </w:r>
    </w:p>
    <w:p w14:paraId="5D249299" w14:textId="77777777" w:rsidR="00BF124D" w:rsidRPr="00BE5FE3" w:rsidRDefault="00BF124D" w:rsidP="00BF124D">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 xml:space="preserve">La </w:t>
      </w:r>
      <w:r w:rsidRPr="00BE5FE3">
        <w:rPr>
          <w:rFonts w:ascii="Verdana" w:eastAsia="Calibri" w:hAnsi="Verdana" w:cs="Arial"/>
          <w:i/>
          <w:iCs/>
          <w:lang w:val="es-ES_tradnl"/>
        </w:rPr>
        <w:t>segunda circunstancia</w:t>
      </w:r>
      <w:r w:rsidRPr="00BE5FE3">
        <w:rPr>
          <w:rFonts w:ascii="Verdana" w:eastAsia="Calibri" w:hAnsi="Verdana" w:cs="Arial"/>
          <w:lang w:val="es-ES_tradnl"/>
        </w:rPr>
        <w:t xml:space="preserve"> se presenta en las situaciones relacionadas con los estados de excepción, siendo necesaria la remisión a los artículos 212, 213 y 215 superiores. Estas normas se refieren a la declaración de los estados de guerra exterior, conmoción interior y emergencia económica, social y ecológica. De hecho, el uso indiscriminado, excesivo e incontrolado del estado de sitio, durante la vigencia de la Constitución Nacional de 1886, llevó a que los supuestos fácticos, las facultades y los controles adscritos a cada uno de ellos fueran específicamente regulados tanto en la Constitución Política como en la Ley Estatutaria 137 de 1994</w:t>
      </w:r>
      <w:r w:rsidRPr="00BE5FE3">
        <w:rPr>
          <w:rStyle w:val="Refdenotaalpie"/>
          <w:rFonts w:ascii="Verdana" w:eastAsia="Calibri" w:hAnsi="Verdana" w:cs="Arial"/>
          <w:lang w:val="es-ES_tradnl"/>
        </w:rPr>
        <w:footnoteReference w:id="11"/>
      </w:r>
      <w:r w:rsidRPr="00BE5FE3">
        <w:rPr>
          <w:rFonts w:ascii="Verdana" w:eastAsia="Calibri" w:hAnsi="Verdana" w:cs="Arial"/>
          <w:lang w:val="es-ES_tradnl"/>
        </w:rPr>
        <w:t xml:space="preserve">. </w:t>
      </w:r>
    </w:p>
    <w:p w14:paraId="5F18DD7C" w14:textId="77777777" w:rsidR="00BF124D" w:rsidRPr="00BE5FE3" w:rsidRDefault="00BF124D" w:rsidP="00BF124D">
      <w:pPr>
        <w:spacing w:after="120" w:line="276" w:lineRule="auto"/>
        <w:ind w:firstLine="708"/>
        <w:jc w:val="both"/>
        <w:rPr>
          <w:rFonts w:ascii="Verdana" w:eastAsia="Calibri" w:hAnsi="Verdana" w:cs="Arial"/>
          <w:lang w:val="es-ES"/>
        </w:rPr>
      </w:pPr>
      <w:r w:rsidRPr="736CB040">
        <w:rPr>
          <w:rFonts w:ascii="Verdana" w:eastAsia="Calibri" w:hAnsi="Verdana" w:cs="Arial"/>
          <w:lang w:val="es-ES"/>
        </w:rPr>
        <w:t xml:space="preserve">De conformidad con las normas citadas, los estados de excepción se declaran en caso de situación de anormalidad, y están acompañados de facultades y limitaciones que permiten el retorno a la regularidad. Por eso, mientras subsista la situación que la origina, y sólo en lo relacionado con la declaración previa del presidente de la república, con la firma de todos los ministros, las entidades pueden contratar directamente, por urgencia manifiesta, como medida </w:t>
      </w:r>
      <w:r w:rsidRPr="736CB040">
        <w:rPr>
          <w:rFonts w:ascii="Verdana" w:eastAsia="Calibri" w:hAnsi="Verdana" w:cs="Arial"/>
          <w:i/>
          <w:iCs/>
          <w:lang w:val="es-ES"/>
        </w:rPr>
        <w:t>pro tempore</w:t>
      </w:r>
      <w:r w:rsidRPr="736CB040">
        <w:rPr>
          <w:rFonts w:ascii="Verdana" w:eastAsia="Calibri" w:hAnsi="Verdana" w:cs="Arial"/>
          <w:lang w:val="es-ES"/>
        </w:rPr>
        <w:t xml:space="preserve"> para adquirir bienes y servicios que permitan superar la crisis. En contraste, cuando cesen las causas, las entidades deben contratar de conformidad con las reglas generales del Estatuto de Contratación.</w:t>
      </w:r>
    </w:p>
    <w:p w14:paraId="57F5B915" w14:textId="77777777" w:rsidR="00BF124D" w:rsidRPr="00BE5FE3" w:rsidRDefault="00BF124D" w:rsidP="00BF124D">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En este supuesto, cuando se declara un estado de excepción, se configura el supuesto para declarar a continuación la “urgencia manifiesta”, por parte de cualquier entidad estatal regida por la Ley 80 de 1993, por configurarse uno de los cuatro (4) supuestos del art. 42 de la Ley 80 de 1993. En este evento no es suficiente la declaración del estado de excepción, por parte del presidente y sus ministros, sino que es necesario expedir, luego, el acto que declare la urgencia manifiesta, con fundamento en la declaración previa de alguno de los tres estados de excepción.</w:t>
      </w:r>
    </w:p>
    <w:p w14:paraId="08CA4F12" w14:textId="77777777" w:rsidR="00BF124D" w:rsidRPr="00BE5FE3" w:rsidRDefault="00BF124D" w:rsidP="00BF124D">
      <w:pPr>
        <w:spacing w:after="120" w:line="276" w:lineRule="auto"/>
        <w:ind w:firstLine="708"/>
        <w:jc w:val="both"/>
        <w:rPr>
          <w:rFonts w:ascii="Verdana" w:eastAsia="Calibri" w:hAnsi="Verdana" w:cs="Arial"/>
          <w:sz w:val="21"/>
          <w:szCs w:val="21"/>
          <w:lang w:val="es-ES_tradnl"/>
        </w:rPr>
      </w:pPr>
      <w:r w:rsidRPr="00BE5FE3">
        <w:rPr>
          <w:rFonts w:ascii="Verdana" w:eastAsia="Calibri" w:hAnsi="Verdana" w:cs="Arial"/>
          <w:lang w:val="es-ES_tradnl"/>
        </w:rPr>
        <w:t xml:space="preserve">La </w:t>
      </w:r>
      <w:r w:rsidRPr="00BE5FE3">
        <w:rPr>
          <w:rFonts w:ascii="Verdana" w:eastAsia="Calibri" w:hAnsi="Verdana" w:cs="Arial"/>
          <w:i/>
          <w:iCs/>
          <w:lang w:val="es-ES_tradnl"/>
        </w:rPr>
        <w:t>tercera circunstancia</w:t>
      </w:r>
      <w:r w:rsidRPr="00BE5FE3">
        <w:rPr>
          <w:rFonts w:ascii="Verdana" w:eastAsia="Calibri" w:hAnsi="Verdana" w:cs="Arial"/>
          <w:lang w:val="es-ES_tradnl"/>
        </w:rPr>
        <w:t xml:space="preserve"> surge de la necesidad de conjurar situaciones excepcionales relacionadas con </w:t>
      </w:r>
      <w:r w:rsidRPr="00BE5FE3">
        <w:rPr>
          <w:rFonts w:ascii="Verdana" w:eastAsia="Calibri" w:hAnsi="Verdana" w:cs="Arial"/>
          <w:i/>
          <w:iCs/>
          <w:lang w:val="es-ES_tradnl"/>
        </w:rPr>
        <w:t>hechos de calamidad o constitutivos de fuerza mayor o desastre</w:t>
      </w:r>
      <w:r w:rsidRPr="00BE5FE3">
        <w:rPr>
          <w:rFonts w:ascii="Verdana" w:eastAsia="Calibri" w:hAnsi="Verdana" w:cs="Arial"/>
          <w:lang w:val="es-ES_tradnl"/>
        </w:rPr>
        <w:t xml:space="preserve"> que demanden actuaciones inmediatas, causa que –conforme se analiza en el siguiente acápite– exige tener en cuenta lo previsto en la Ley 1523 de 2012. Lo anterior sin perjuicio de que, conforme a la cuarta circunstancia, surjan situaciones similares que imposibiliten acudir a los procedimientos de selección o concurso públicos. </w:t>
      </w:r>
    </w:p>
    <w:p w14:paraId="5448235B" w14:textId="77777777" w:rsidR="00BF124D" w:rsidRPr="00BE5FE3" w:rsidRDefault="00BF124D" w:rsidP="00BF124D">
      <w:pPr>
        <w:spacing w:after="120" w:line="276" w:lineRule="auto"/>
        <w:ind w:firstLine="708"/>
        <w:jc w:val="both"/>
        <w:rPr>
          <w:rFonts w:ascii="Verdana" w:eastAsia="Calibri" w:hAnsi="Verdana" w:cs="Arial"/>
          <w:lang w:val="es-ES_tradnl"/>
        </w:rPr>
      </w:pPr>
      <w:bookmarkStart w:id="8" w:name="_Hlk132729706"/>
      <w:r w:rsidRPr="00BE5FE3">
        <w:rPr>
          <w:rFonts w:ascii="Verdana" w:eastAsia="Calibri" w:hAnsi="Verdana" w:cs="Arial"/>
          <w:lang w:val="es-ES_tradnl"/>
        </w:rPr>
        <w:t>El elemento común en los cuatro (4) eventos es que exigen atender la contingencia de manera pronta, mediante la ejecución de obras, la prestación de servicios o el suministro de bienes. Por tanto, lo que permite catalogar un supuesto fáctico como urgente, en forma manifiesta, es que demanda actuaciones del Estado que no dan espera para mantener la regularidad del servicio, e impiden acudir a los procedimientos de selección ordinarios, es decir, a la licitación pública, la selección abreviada, el concurso de méritos y la contratación de mínima cuantía</w:t>
      </w:r>
      <w:r w:rsidRPr="00BE5FE3">
        <w:rPr>
          <w:rStyle w:val="Refdenotaalpie"/>
          <w:rFonts w:ascii="Verdana" w:eastAsia="Calibri" w:hAnsi="Verdana" w:cs="Arial"/>
          <w:sz w:val="21"/>
          <w:szCs w:val="21"/>
          <w:lang w:val="es-ES_tradnl"/>
        </w:rPr>
        <w:footnoteReference w:id="12"/>
      </w:r>
      <w:r w:rsidRPr="00BE5FE3">
        <w:rPr>
          <w:rFonts w:ascii="Verdana" w:eastAsia="Calibri" w:hAnsi="Verdana" w:cs="Arial"/>
          <w:sz w:val="21"/>
          <w:szCs w:val="21"/>
          <w:lang w:val="es-ES_tradnl"/>
        </w:rPr>
        <w:t>.</w:t>
      </w:r>
    </w:p>
    <w:bookmarkEnd w:id="8"/>
    <w:p w14:paraId="6E812E47" w14:textId="77777777" w:rsidR="00BF124D" w:rsidRPr="00BE5FE3" w:rsidRDefault="00BF124D" w:rsidP="00BF124D">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 xml:space="preserve">Se insiste en que cuando se configure alguna de las cuatro (4) situaciones, el artículo 42 de la Ley 80 de 1993 exige declarar formalmente la urgencia 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w:t>
      </w:r>
      <w:r w:rsidRPr="00BE5FE3">
        <w:rPr>
          <w:rFonts w:ascii="Verdana" w:eastAsia="Calibri" w:hAnsi="Verdana" w:cs="Arial"/>
          <w:i/>
          <w:iCs/>
          <w:lang w:val="es-ES_tradnl"/>
        </w:rPr>
        <w:t>ibidem</w:t>
      </w:r>
      <w:r w:rsidRPr="00BE5FE3">
        <w:rPr>
          <w:rFonts w:ascii="Verdana" w:eastAsia="Calibri" w:hAnsi="Verdana" w:cs="Arial"/>
          <w:lang w:val="es-ES_tradnl"/>
        </w:rPr>
        <w:t>. Adicionalmente, no es necesario realizar estudios previos, como lo dispone el artículo 2.2.1.2.1.4.2 del Decreto 1082 de 2015: “Si la causal de contratación directa es la urgencia manifiesta, el acto administrativo que la declare hará las veces del acto administrativo de justificación, y en este caso la Entidad Estatal no está obligada a elaborar estudios y documentos previos”.</w:t>
      </w:r>
    </w:p>
    <w:p w14:paraId="6CD939EC" w14:textId="77777777" w:rsidR="00BF124D" w:rsidRDefault="00BF124D" w:rsidP="00BF124D">
      <w:pPr>
        <w:spacing w:after="120" w:line="276" w:lineRule="auto"/>
        <w:ind w:firstLine="709"/>
        <w:jc w:val="both"/>
        <w:rPr>
          <w:rFonts w:ascii="Verdana" w:eastAsia="Calibri" w:hAnsi="Verdana" w:cs="Arial"/>
          <w:lang w:val="es-ES"/>
        </w:rPr>
      </w:pPr>
      <w:r w:rsidRPr="736CB040">
        <w:rPr>
          <w:rFonts w:ascii="Verdana" w:eastAsia="Calibri" w:hAnsi="Verdana" w:cs="Arial"/>
          <w:lang w:val="es-ES"/>
        </w:rPr>
        <w:t>Expedido el acto administrativo, la entidad estatal debe realizar todos los trámites internos necesarios para contratar, entre ellos la disposición de los recursos. En tal sentido, el parágrafo del artículo 42 de la Ley 80 señala que “Con el fin de atender las necesidades y los gastos propios de la urgencia manifiesta, se podrán hacer los traslados presupuestales internos que se requieran dentro del presupuesto del organismo o entidad estatal correspondiente”. Este apartado fue declarado condicionalmente exequible por la Corte Constitucional en la Sentencia C-772 de 1998, “[…] bajo el entendimiento de que los traslados presupuestales internos a que se refiere dicha norma se efectúen afectando exclusivamente el anexo del decreto de liquidación del Presupuesto”</w:t>
      </w:r>
      <w:r w:rsidRPr="736CB040">
        <w:rPr>
          <w:rFonts w:ascii="Verdana" w:eastAsia="Calibri" w:hAnsi="Verdana" w:cs="Arial"/>
          <w:vertAlign w:val="superscript"/>
          <w:lang w:val="es-ES"/>
        </w:rPr>
        <w:footnoteReference w:id="13"/>
      </w:r>
      <w:r w:rsidRPr="736CB040">
        <w:rPr>
          <w:rFonts w:ascii="Verdana" w:eastAsia="Calibri" w:hAnsi="Verdana" w:cs="Arial"/>
          <w:lang w:val="es-ES"/>
        </w:rPr>
        <w:t xml:space="preserve">. </w:t>
      </w:r>
    </w:p>
    <w:p w14:paraId="649014BC" w14:textId="77777777" w:rsidR="00BF124D" w:rsidRDefault="00BF124D" w:rsidP="00BF124D">
      <w:pPr>
        <w:spacing w:after="120" w:line="276" w:lineRule="auto"/>
        <w:ind w:firstLine="709"/>
        <w:jc w:val="both"/>
        <w:rPr>
          <w:rFonts w:ascii="Verdana" w:eastAsia="Calibri" w:hAnsi="Verdana" w:cs="Arial"/>
          <w:lang w:val="es-ES"/>
        </w:rPr>
      </w:pPr>
      <w:r w:rsidRPr="736CB040">
        <w:rPr>
          <w:rFonts w:ascii="Verdana" w:eastAsia="Calibri" w:hAnsi="Verdana" w:cs="Arial"/>
          <w:lang w:val="es-ES"/>
        </w:rPr>
        <w:t xml:space="preserve">El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 Para delimitar estas expresiones, el </w:t>
      </w:r>
      <w:bookmarkStart w:id="9" w:name="_Hlk35880053"/>
      <w:r w:rsidRPr="736CB040">
        <w:rPr>
          <w:rFonts w:ascii="Verdana" w:eastAsia="Calibri" w:hAnsi="Verdana" w:cs="Arial"/>
          <w:lang w:val="es-ES"/>
        </w:rPr>
        <w:t xml:space="preserve">artículo 28 del Código Civil </w:t>
      </w:r>
      <w:bookmarkEnd w:id="9"/>
      <w:r w:rsidRPr="736CB040">
        <w:rPr>
          <w:rFonts w:ascii="Verdana" w:eastAsia="Calibri" w:hAnsi="Verdana" w:cs="Arial"/>
          <w:lang w:val="es-ES"/>
        </w:rPr>
        <w:t xml:space="preserve">dispone que “Las palabras de la ley se entenderán en su sentido natural y obvio, según el uso general de las mismas palabras; pero cuando el legislador las haya definido expresamente para ciertas materias, se les dará en éstas su significado legal”. Y resulta que en la medida en que la norma utiliza la conjunción “o”, en principio asimilaría la </w:t>
      </w:r>
      <w:r w:rsidRPr="736CB040">
        <w:rPr>
          <w:rFonts w:ascii="Verdana" w:eastAsia="Calibri" w:hAnsi="Verdana" w:cs="Arial"/>
          <w:i/>
          <w:iCs/>
          <w:lang w:val="es-ES"/>
        </w:rPr>
        <w:t>calamidad</w:t>
      </w:r>
      <w:r w:rsidRPr="736CB040">
        <w:rPr>
          <w:rFonts w:ascii="Verdana" w:eastAsia="Calibri" w:hAnsi="Verdana" w:cs="Arial"/>
          <w:lang w:val="es-ES"/>
        </w:rPr>
        <w:t xml:space="preserve"> y el </w:t>
      </w:r>
      <w:r w:rsidRPr="736CB040">
        <w:rPr>
          <w:rFonts w:ascii="Verdana" w:eastAsia="Calibri" w:hAnsi="Verdana" w:cs="Arial"/>
          <w:i/>
          <w:iCs/>
          <w:lang w:val="es-ES"/>
        </w:rPr>
        <w:t xml:space="preserve">desastre </w:t>
      </w:r>
      <w:r w:rsidRPr="736CB040">
        <w:rPr>
          <w:rFonts w:ascii="Verdana" w:eastAsia="Calibri" w:hAnsi="Verdana" w:cs="Arial"/>
          <w:lang w:val="es-ES"/>
        </w:rPr>
        <w:t xml:space="preserve">con la </w:t>
      </w:r>
      <w:r w:rsidRPr="736CB040">
        <w:rPr>
          <w:rFonts w:ascii="Verdana" w:eastAsia="Calibri" w:hAnsi="Verdana" w:cs="Arial"/>
          <w:i/>
          <w:iCs/>
          <w:lang w:val="es-ES"/>
        </w:rPr>
        <w:t>fuerza mayor</w:t>
      </w:r>
      <w:r w:rsidRPr="736CB040">
        <w:rPr>
          <w:rFonts w:ascii="Verdana" w:eastAsia="Calibri" w:hAnsi="Verdana" w:cs="Arial"/>
          <w:lang w:val="es-ES"/>
        </w:rPr>
        <w:t xml:space="preserve"> o el </w:t>
      </w:r>
      <w:r w:rsidRPr="736CB040">
        <w:rPr>
          <w:rFonts w:ascii="Verdana" w:eastAsia="Calibri" w:hAnsi="Verdana" w:cs="Arial"/>
          <w:i/>
          <w:iCs/>
          <w:lang w:val="es-ES"/>
        </w:rPr>
        <w:t>caso fortuito</w:t>
      </w:r>
      <w:r w:rsidRPr="736CB040">
        <w:rPr>
          <w:rFonts w:ascii="Verdana" w:eastAsia="Calibri" w:hAnsi="Verdana" w:cs="Arial"/>
          <w:lang w:val="es-ES"/>
        </w:rPr>
        <w:t xml:space="preserve">. </w:t>
      </w:r>
    </w:p>
    <w:p w14:paraId="06784FD6" w14:textId="77777777" w:rsidR="00BF124D" w:rsidRPr="00FE3038" w:rsidRDefault="00BF124D" w:rsidP="00BF124D">
      <w:pPr>
        <w:spacing w:after="120" w:line="276" w:lineRule="auto"/>
        <w:ind w:firstLine="709"/>
        <w:jc w:val="both"/>
        <w:rPr>
          <w:rFonts w:ascii="Verdana" w:eastAsia="Calibri" w:hAnsi="Verdana" w:cs="Arial"/>
          <w:lang w:val="es-ES"/>
        </w:rPr>
      </w:pPr>
      <w:r w:rsidRPr="008636EE">
        <w:rPr>
          <w:rFonts w:ascii="Verdana" w:eastAsia="Calibri" w:hAnsi="Verdana" w:cs="Arial"/>
          <w:lang w:val="es-ES_tradnl"/>
        </w:rPr>
        <w:t xml:space="preserve">Al respecto, el artículo 64 del Código Civil define como tal “[…] el imprevisto o que no es posible resistir, como un naufragio, un terremoto, </w:t>
      </w:r>
      <w:bookmarkStart w:id="10" w:name="_Hlk35871146"/>
      <w:r w:rsidRPr="008636EE">
        <w:rPr>
          <w:rFonts w:ascii="Verdana" w:eastAsia="Calibri" w:hAnsi="Verdana" w:cs="Arial"/>
          <w:lang w:val="es-ES_tradnl"/>
        </w:rPr>
        <w:t>el apresamiento de enemigos, los actos de autoridad ejercidos por un funcionario público</w:t>
      </w:r>
      <w:bookmarkEnd w:id="10"/>
      <w:r w:rsidRPr="008636EE">
        <w:rPr>
          <w:rFonts w:ascii="Verdana" w:eastAsia="Calibri" w:hAnsi="Verdana" w:cs="Arial"/>
          <w:lang w:val="es-ES_tradnl"/>
        </w:rPr>
        <w:t>, etc.”</w:t>
      </w:r>
      <w:r w:rsidRPr="008636EE">
        <w:rPr>
          <w:rFonts w:ascii="Verdana" w:eastAsia="Calibri" w:hAnsi="Verdana" w:cs="Arial"/>
          <w:sz w:val="21"/>
          <w:szCs w:val="21"/>
          <w:vertAlign w:val="superscript"/>
          <w:lang w:val="es-ES_tradnl"/>
        </w:rPr>
        <w:footnoteReference w:id="14"/>
      </w:r>
      <w:r w:rsidRPr="008636EE">
        <w:rPr>
          <w:rFonts w:ascii="Verdana" w:eastAsia="Calibri" w:hAnsi="Verdana" w:cs="Arial"/>
          <w:sz w:val="21"/>
          <w:szCs w:val="21"/>
          <w:lang w:val="es-ES_tradnl"/>
        </w:rPr>
        <w:t>.</w:t>
      </w:r>
      <w:r w:rsidRPr="008636EE">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11" w:name="_Hlk35879271"/>
      <w:r w:rsidRPr="008636EE">
        <w:rPr>
          <w:rFonts w:ascii="Verdana" w:eastAsia="Calibri" w:hAnsi="Verdana" w:cs="Arial"/>
          <w:lang w:val="es-ES_tradnl"/>
        </w:rPr>
        <w:t>el artículo 4, numerales 5 y 8, de la Ley 1523 de 2012</w:t>
      </w:r>
      <w:bookmarkEnd w:id="11"/>
      <w:r w:rsidRPr="008636EE">
        <w:rPr>
          <w:rFonts w:ascii="Verdana" w:eastAsia="Calibri" w:hAnsi="Verdana" w:cs="Arial"/>
          <w:lang w:val="es-ES_tradnl"/>
        </w:rPr>
        <w:t>:</w:t>
      </w:r>
    </w:p>
    <w:p w14:paraId="509B688F" w14:textId="77777777" w:rsidR="00BF124D" w:rsidRPr="008636EE" w:rsidRDefault="00BF124D" w:rsidP="00BF124D">
      <w:pPr>
        <w:spacing w:after="0" w:line="240" w:lineRule="auto"/>
        <w:ind w:left="709" w:right="709"/>
        <w:jc w:val="both"/>
        <w:rPr>
          <w:rFonts w:ascii="Verdana" w:eastAsia="Calibri" w:hAnsi="Verdana" w:cs="Arial"/>
          <w:sz w:val="21"/>
          <w:szCs w:val="21"/>
          <w:lang w:val="es-ES_tradnl"/>
        </w:rPr>
      </w:pPr>
      <w:r w:rsidRPr="008636EE">
        <w:rPr>
          <w:rFonts w:ascii="Verdana" w:eastAsia="Calibri" w:hAnsi="Verdana" w:cs="Arial"/>
          <w:sz w:val="21"/>
          <w:szCs w:val="21"/>
          <w:lang w:val="es-ES_tradnl"/>
        </w:rPr>
        <w:t>“Art. 4. Para efectos de la presente ley se entenderá por:</w:t>
      </w:r>
    </w:p>
    <w:p w14:paraId="7507090B" w14:textId="77777777" w:rsidR="00BF124D" w:rsidRPr="008636EE" w:rsidRDefault="00BF124D" w:rsidP="00BF124D">
      <w:pPr>
        <w:spacing w:after="120" w:line="240" w:lineRule="auto"/>
        <w:ind w:left="709" w:right="709"/>
        <w:jc w:val="both"/>
        <w:rPr>
          <w:rFonts w:ascii="Verdana" w:eastAsia="Calibri" w:hAnsi="Verdana" w:cs="Arial"/>
          <w:sz w:val="21"/>
          <w:szCs w:val="21"/>
          <w:lang w:val="es-ES_tradnl"/>
        </w:rPr>
      </w:pPr>
      <w:r w:rsidRPr="008636EE">
        <w:rPr>
          <w:rFonts w:ascii="Verdana" w:eastAsia="Calibri" w:hAnsi="Verdana" w:cs="Arial"/>
          <w:sz w:val="21"/>
          <w:szCs w:val="21"/>
          <w:lang w:val="es-ES_tradnl"/>
        </w:rPr>
        <w:t>[…]</w:t>
      </w:r>
    </w:p>
    <w:p w14:paraId="29F2D5B2" w14:textId="77777777" w:rsidR="00BF124D" w:rsidRPr="008636EE" w:rsidRDefault="00BF124D" w:rsidP="00BF124D">
      <w:pPr>
        <w:spacing w:after="0" w:line="240" w:lineRule="auto"/>
        <w:ind w:left="709" w:right="709"/>
        <w:jc w:val="both"/>
        <w:rPr>
          <w:rFonts w:ascii="Verdana" w:eastAsia="Calibri" w:hAnsi="Verdana" w:cs="Arial"/>
          <w:sz w:val="21"/>
          <w:szCs w:val="21"/>
          <w:lang w:val="es-ES_tradnl"/>
        </w:rPr>
      </w:pPr>
      <w:r w:rsidRPr="008636EE">
        <w:rPr>
          <w:rFonts w:ascii="Verdana" w:eastAsia="Calibri" w:hAnsi="Verdana" w:cs="Arial"/>
          <w:sz w:val="21"/>
          <w:szCs w:val="21"/>
          <w:lang w:val="es-ES_tradnl"/>
        </w:rPr>
        <w:t xml:space="preserve">5. Calamidad pública: Es </w:t>
      </w:r>
      <w:bookmarkStart w:id="12" w:name="_Hlk35879333"/>
      <w:r w:rsidRPr="008636EE">
        <w:rPr>
          <w:rFonts w:ascii="Verdana" w:eastAsia="Calibri" w:hAnsi="Verdana" w:cs="Arial"/>
          <w:sz w:val="21"/>
          <w:szCs w:val="21"/>
          <w:lang w:val="es-ES_tradnl"/>
        </w:rPr>
        <w:t xml:space="preserve">el resultado que se desencadena de la manifestación de uno o varios eventos naturales </w:t>
      </w:r>
      <w:bookmarkStart w:id="13" w:name="_Hlk35870820"/>
      <w:r w:rsidRPr="008636EE">
        <w:rPr>
          <w:rFonts w:ascii="Verdana" w:eastAsia="Calibri" w:hAnsi="Verdana" w:cs="Arial"/>
          <w:sz w:val="21"/>
          <w:szCs w:val="21"/>
          <w:lang w:val="es-ES_tradnl"/>
        </w:rPr>
        <w:t xml:space="preserve">o antropogénicos no intencionales </w:t>
      </w:r>
      <w:bookmarkEnd w:id="13"/>
      <w:r w:rsidRPr="008636EE">
        <w:rPr>
          <w:rFonts w:ascii="Verdana" w:eastAsia="Calibri" w:hAnsi="Verdana" w:cs="Arial"/>
          <w:sz w:val="21"/>
          <w:szCs w:val="21"/>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12"/>
      <w:r w:rsidRPr="008636EE">
        <w:rPr>
          <w:rFonts w:ascii="Verdana" w:eastAsia="Calibri" w:hAnsi="Verdana" w:cs="Arial"/>
          <w:sz w:val="21"/>
          <w:szCs w:val="21"/>
          <w:lang w:val="es-ES_tradnl"/>
        </w:rPr>
        <w:t>de la población, en el respectivo territorio, que exige al municipio, distrito o departamento ejecutar acciones de respuesta a la emergencia, rehabilitación y reconstrucción.</w:t>
      </w:r>
    </w:p>
    <w:p w14:paraId="63FCDA50" w14:textId="77777777" w:rsidR="00BF124D" w:rsidRPr="008636EE" w:rsidRDefault="00BF124D" w:rsidP="00BF124D">
      <w:pPr>
        <w:spacing w:after="120" w:line="240" w:lineRule="auto"/>
        <w:ind w:left="709" w:right="709"/>
        <w:jc w:val="both"/>
        <w:rPr>
          <w:rFonts w:ascii="Verdana" w:eastAsia="Calibri" w:hAnsi="Verdana" w:cs="Arial"/>
          <w:sz w:val="21"/>
          <w:szCs w:val="21"/>
          <w:lang w:val="es-ES_tradnl"/>
        </w:rPr>
      </w:pPr>
      <w:r w:rsidRPr="008636EE">
        <w:rPr>
          <w:rFonts w:ascii="Verdana" w:eastAsia="Calibri" w:hAnsi="Verdana" w:cs="Arial"/>
          <w:sz w:val="21"/>
          <w:szCs w:val="21"/>
          <w:lang w:val="es-ES_tradnl"/>
        </w:rPr>
        <w:t xml:space="preserve">[…] </w:t>
      </w:r>
    </w:p>
    <w:p w14:paraId="7650284B" w14:textId="77777777" w:rsidR="00BF124D" w:rsidRDefault="00BF124D" w:rsidP="00BF124D">
      <w:pPr>
        <w:spacing w:after="0" w:line="240" w:lineRule="auto"/>
        <w:ind w:left="709" w:right="709"/>
        <w:jc w:val="both"/>
        <w:rPr>
          <w:rFonts w:ascii="Verdana" w:eastAsia="Calibri" w:hAnsi="Verdana" w:cs="Arial"/>
          <w:sz w:val="21"/>
          <w:szCs w:val="21"/>
          <w:lang w:val="es-ES_tradnl"/>
        </w:rPr>
      </w:pPr>
      <w:r w:rsidRPr="008636EE">
        <w:rPr>
          <w:rFonts w:ascii="Verdana" w:eastAsia="Calibri" w:hAnsi="Verdana" w:cs="Arial"/>
          <w:sz w:val="21"/>
          <w:szCs w:val="21"/>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7C26C166" w14:textId="77777777" w:rsidR="00BF124D" w:rsidRPr="008636EE" w:rsidRDefault="00BF124D" w:rsidP="00BF124D">
      <w:pPr>
        <w:spacing w:after="0" w:line="240" w:lineRule="auto"/>
        <w:ind w:left="709" w:right="709"/>
        <w:jc w:val="both"/>
        <w:rPr>
          <w:rFonts w:ascii="Verdana" w:eastAsia="Calibri" w:hAnsi="Verdana" w:cs="Arial"/>
          <w:lang w:val="es-ES_tradnl"/>
        </w:rPr>
      </w:pPr>
    </w:p>
    <w:p w14:paraId="75D66581" w14:textId="77777777" w:rsidR="00BF124D" w:rsidRPr="008636EE" w:rsidRDefault="00BF124D" w:rsidP="00BF124D">
      <w:pPr>
        <w:spacing w:after="120" w:line="276" w:lineRule="auto"/>
        <w:ind w:firstLine="709"/>
        <w:jc w:val="both"/>
        <w:rPr>
          <w:rFonts w:ascii="Verdana" w:eastAsia="Calibri" w:hAnsi="Verdana" w:cs="Arial"/>
          <w:lang w:val="es-ES"/>
        </w:rPr>
      </w:pPr>
      <w:r w:rsidRPr="736CB040">
        <w:rPr>
          <w:rFonts w:ascii="Verdana" w:eastAsia="Calibri" w:hAnsi="Verdana" w:cs="Arial"/>
          <w:lang w:val="es-ES"/>
        </w:rPr>
        <w:t xml:space="preserve">Esta norma debe armonizarse con los artículos 56 y 57 </w:t>
      </w:r>
      <w:r w:rsidRPr="736CB040">
        <w:rPr>
          <w:rFonts w:ascii="Verdana" w:eastAsia="Calibri" w:hAnsi="Verdana" w:cs="Arial"/>
          <w:i/>
          <w:iCs/>
          <w:lang w:val="es-ES"/>
        </w:rPr>
        <w:t>ibidem</w:t>
      </w:r>
      <w:r w:rsidRPr="736CB040">
        <w:rPr>
          <w:rFonts w:ascii="Verdana" w:eastAsia="Calibri" w:hAnsi="Verdana" w:cs="Arial"/>
          <w:lang w:val="es-ES"/>
        </w:rPr>
        <w:t xml:space="preserve">, que asignan la competencia para declarar la ocurrencia de una situación de </w:t>
      </w:r>
      <w:r w:rsidRPr="736CB040">
        <w:rPr>
          <w:rFonts w:ascii="Verdana" w:eastAsia="Calibri" w:hAnsi="Verdana" w:cs="Arial"/>
          <w:i/>
          <w:iCs/>
          <w:lang w:val="es-ES"/>
        </w:rPr>
        <w:t>desastre</w:t>
      </w:r>
      <w:r w:rsidRPr="736CB040">
        <w:rPr>
          <w:rFonts w:ascii="Verdana" w:eastAsia="Calibri" w:hAnsi="Verdana" w:cs="Arial"/>
          <w:lang w:val="es-ES"/>
        </w:rPr>
        <w:t xml:space="preserve"> o una situación de </w:t>
      </w:r>
      <w:r w:rsidRPr="736CB040">
        <w:rPr>
          <w:rFonts w:ascii="Verdana" w:eastAsia="Calibri" w:hAnsi="Verdana" w:cs="Arial"/>
          <w:i/>
          <w:iCs/>
          <w:lang w:val="es-ES"/>
        </w:rPr>
        <w:t>calamidad pública</w:t>
      </w:r>
      <w:r w:rsidRPr="736CB040">
        <w:rPr>
          <w:rFonts w:ascii="Verdana" w:eastAsia="Calibri" w:hAnsi="Verdana" w:cs="Arial"/>
          <w:lang w:val="es-ES"/>
        </w:rPr>
        <w:t xml:space="preserve">. Particularmente, disponen que al </w:t>
      </w:r>
      <w:proofErr w:type="gramStart"/>
      <w:r w:rsidRPr="736CB040">
        <w:rPr>
          <w:rFonts w:ascii="Verdana" w:eastAsia="Calibri" w:hAnsi="Verdana" w:cs="Arial"/>
          <w:lang w:val="es-ES"/>
        </w:rPr>
        <w:t>Presidente</w:t>
      </w:r>
      <w:proofErr w:type="gramEnd"/>
      <w:r w:rsidRPr="736CB040">
        <w:rPr>
          <w:rFonts w:ascii="Verdana" w:eastAsia="Calibri" w:hAnsi="Verdana" w:cs="Arial"/>
          <w:lang w:val="es-ES"/>
        </w:rPr>
        <w:t xml:space="preserve"> de la República le corresponde declarar la situación de </w:t>
      </w:r>
      <w:r w:rsidRPr="736CB040">
        <w:rPr>
          <w:rFonts w:ascii="Verdana" w:eastAsia="Calibri" w:hAnsi="Verdana" w:cs="Arial"/>
          <w:i/>
          <w:iCs/>
          <w:lang w:val="es-ES"/>
        </w:rPr>
        <w:t>desastre</w:t>
      </w:r>
      <w:r w:rsidRPr="736CB040">
        <w:rPr>
          <w:rFonts w:ascii="Verdana" w:eastAsia="Calibri" w:hAnsi="Verdana" w:cs="Arial"/>
          <w:lang w:val="es-ES"/>
        </w:rPr>
        <w:t>, tanto en el orden nacional, departamental, como en el municipal y distrital</w:t>
      </w:r>
      <w:r w:rsidRPr="736CB040">
        <w:rPr>
          <w:rStyle w:val="Refdenotaalpie"/>
          <w:rFonts w:ascii="Verdana" w:eastAsia="Calibri" w:hAnsi="Verdana" w:cs="Arial"/>
          <w:lang w:val="es-ES"/>
        </w:rPr>
        <w:footnoteReference w:id="15"/>
      </w:r>
      <w:r w:rsidRPr="736CB040">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736CB040">
        <w:rPr>
          <w:rFonts w:ascii="Verdana" w:eastAsia="Calibri" w:hAnsi="Verdana" w:cs="Arial"/>
          <w:i/>
          <w:iCs/>
          <w:lang w:val="es-ES"/>
        </w:rPr>
        <w:t>situación de calamidad pública</w:t>
      </w:r>
      <w:r w:rsidRPr="736CB040">
        <w:rPr>
          <w:rFonts w:ascii="Verdana" w:eastAsia="Calibri" w:hAnsi="Verdana" w:cs="Arial"/>
          <w:lang w:val="es-ES"/>
        </w:rPr>
        <w:t>, en los respectivos ámbitos, facultad que, en cambio, no puede ejercer el presidente de la república</w:t>
      </w:r>
      <w:r w:rsidRPr="736CB040">
        <w:rPr>
          <w:rStyle w:val="Refdenotaalpie"/>
          <w:rFonts w:ascii="Verdana" w:eastAsia="Calibri" w:hAnsi="Verdana" w:cs="Arial"/>
          <w:lang w:val="es-ES"/>
        </w:rPr>
        <w:footnoteReference w:id="16"/>
      </w:r>
      <w:r w:rsidRPr="736CB040">
        <w:rPr>
          <w:rFonts w:ascii="Verdana" w:eastAsia="Calibri" w:hAnsi="Verdana" w:cs="Arial"/>
          <w:lang w:val="es-ES"/>
        </w:rPr>
        <w:t xml:space="preserve">. </w:t>
      </w:r>
    </w:p>
    <w:p w14:paraId="3D010504" w14:textId="77777777" w:rsidR="00BF124D" w:rsidRPr="008636EE" w:rsidRDefault="00BF124D" w:rsidP="00BF124D">
      <w:pPr>
        <w:spacing w:after="120" w:line="276" w:lineRule="auto"/>
        <w:ind w:firstLine="709"/>
        <w:jc w:val="both"/>
        <w:rPr>
          <w:rFonts w:ascii="Verdana" w:eastAsia="Calibri" w:hAnsi="Verdana" w:cs="Arial"/>
          <w:lang w:val="es-ES_tradnl"/>
        </w:rPr>
      </w:pPr>
      <w:r w:rsidRPr="008636EE">
        <w:rPr>
          <w:rFonts w:ascii="Verdana" w:eastAsia="Calibri" w:hAnsi="Verdana" w:cs="Arial"/>
          <w:lang w:val="es-ES_tradnl"/>
        </w:rPr>
        <w:t xml:space="preserve">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6B2A4DBB" w14:textId="77777777" w:rsidR="00BF124D" w:rsidRPr="008636EE" w:rsidRDefault="00BF124D" w:rsidP="00BF124D">
      <w:pPr>
        <w:spacing w:after="120" w:line="276" w:lineRule="auto"/>
        <w:ind w:firstLine="709"/>
        <w:jc w:val="both"/>
        <w:rPr>
          <w:rFonts w:ascii="Verdana" w:eastAsia="Calibri" w:hAnsi="Verdana" w:cs="Arial"/>
          <w:lang w:val="es-ES"/>
        </w:rPr>
      </w:pPr>
      <w:bookmarkStart w:id="15" w:name="_Hlk35959844"/>
      <w:r w:rsidRPr="736CB040">
        <w:rPr>
          <w:rFonts w:ascii="Verdana" w:eastAsia="Calibri" w:hAnsi="Verdana" w:cs="Arial"/>
          <w:lang w:val="es-ES"/>
        </w:rPr>
        <w:t xml:space="preserve">Lo anterior significa que </w:t>
      </w:r>
      <w:bookmarkStart w:id="16" w:name="_Hlk35959859"/>
      <w:bookmarkStart w:id="17" w:name="_Hlk132731875"/>
      <w:r w:rsidRPr="736CB040">
        <w:rPr>
          <w:rFonts w:ascii="Verdana" w:eastAsia="Calibri" w:hAnsi="Verdana" w:cs="Arial"/>
          <w:lang w:val="es-ES"/>
        </w:rPr>
        <w:t xml:space="preserve">para contratar </w:t>
      </w:r>
      <w:bookmarkEnd w:id="15"/>
      <w:r w:rsidRPr="736CB040">
        <w:rPr>
          <w:rFonts w:ascii="Verdana" w:eastAsia="Calibri" w:hAnsi="Verdana" w:cs="Arial"/>
          <w:lang w:val="es-ES"/>
        </w:rPr>
        <w:t xml:space="preserve">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736CB040">
        <w:rPr>
          <w:rFonts w:ascii="Verdana" w:eastAsia="Calibri" w:hAnsi="Verdana" w:cs="Arial"/>
          <w:lang w:val="es-ES"/>
        </w:rPr>
        <w:t>ii</w:t>
      </w:r>
      <w:proofErr w:type="spellEnd"/>
      <w:r w:rsidRPr="736CB040">
        <w:rPr>
          <w:rFonts w:ascii="Verdana" w:eastAsia="Calibri" w:hAnsi="Verdana" w:cs="Arial"/>
          <w:lang w:val="es-ES"/>
        </w:rPr>
        <w:t>) el segundo, la declaración propiamente dicha de “urgencia manifiesta” de que trata el artículo 42 del Estatuto General de Contratación, amparado o fundamentado en la declaración previa del desastre o calamidad.</w:t>
      </w:r>
    </w:p>
    <w:p w14:paraId="50F4F29F" w14:textId="77777777" w:rsidR="00BF124D" w:rsidRPr="008636EE" w:rsidRDefault="00BF124D" w:rsidP="00BF124D">
      <w:pPr>
        <w:spacing w:after="120" w:line="276" w:lineRule="auto"/>
        <w:ind w:firstLine="709"/>
        <w:jc w:val="both"/>
        <w:rPr>
          <w:rFonts w:ascii="Verdana" w:eastAsia="Calibri" w:hAnsi="Verdana" w:cs="Arial"/>
          <w:lang w:val="es-ES"/>
        </w:rPr>
      </w:pPr>
      <w:r w:rsidRPr="736CB040">
        <w:rPr>
          <w:rFonts w:ascii="Verdana" w:eastAsia="Calibri" w:hAnsi="Verdana" w:cs="Arial"/>
          <w:lang w:val="es-ES"/>
        </w:rPr>
        <w:t xml:space="preserve"> Sin el primer acto administrativo no es posible expedir el segundo, es decir, para declarar la urgencia manifiesta es imprescindible que el presidente de la república o el gobernador o el alcalde, según el caso, hayan declarado la situación de desastre o la declaración de calamidad.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600CA8FC" w14:textId="77777777" w:rsidR="00BF124D" w:rsidRDefault="00BF124D" w:rsidP="00BF124D">
      <w:pPr>
        <w:spacing w:after="120" w:line="276" w:lineRule="auto"/>
        <w:ind w:firstLine="709"/>
        <w:jc w:val="both"/>
        <w:rPr>
          <w:rFonts w:ascii="Verdana" w:eastAsia="Calibri" w:hAnsi="Verdana" w:cs="Arial"/>
          <w:lang w:val="es-ES_tradnl"/>
        </w:rPr>
      </w:pPr>
      <w:r w:rsidRPr="008636EE">
        <w:rPr>
          <w:rFonts w:ascii="Verdana" w:eastAsia="Calibri" w:hAnsi="Verdana" w:cs="Arial"/>
          <w:lang w:val="es-ES_tradnl"/>
        </w:rPr>
        <w:t>Por lo tanto, como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situaciones, deben esperar a que se dicten los actos respectivos para fundamentar la declaración de urgencia manifiesta en la situación de desastre o en la situación de calamidad</w:t>
      </w:r>
      <w:bookmarkEnd w:id="16"/>
      <w:r w:rsidRPr="008636EE">
        <w:rPr>
          <w:rFonts w:ascii="Verdana" w:eastAsia="Calibri" w:hAnsi="Verdana" w:cs="Arial"/>
          <w:lang w:val="es-ES_tradnl"/>
        </w:rPr>
        <w:t xml:space="preserve">. Por lo anterior, cuando el artículo 42 de la Ley 80 de 1993 dispone que la urgencia manifiesta se declara –entre otras tres (3) causales– para “[…] </w:t>
      </w:r>
      <w:bookmarkStart w:id="18" w:name="_Hlk35879915"/>
      <w:r w:rsidRPr="008636EE">
        <w:rPr>
          <w:rFonts w:ascii="Verdana" w:eastAsia="Calibri" w:hAnsi="Verdana" w:cs="Arial"/>
          <w:lang w:val="es-ES_tradnl"/>
        </w:rPr>
        <w:t>conjurar situaciones excepcionales relacionadas con hechos de calamidad o constitutivos de fuerza mayor o desastre que demanden actuaciones inmediatas</w:t>
      </w:r>
      <w:bookmarkEnd w:id="18"/>
      <w:r w:rsidRPr="008636EE">
        <w:rPr>
          <w:rFonts w:ascii="Verdana" w:eastAsia="Calibri" w:hAnsi="Verdana" w:cs="Arial"/>
          <w:lang w:val="es-ES_tradnl"/>
        </w:rPr>
        <w:t xml:space="preserve"> […]”, las circunstancias de calamidad y desastre deben entenderse en los términos de la Ley 1523 de 2012, en la medida que forman una unidad jurídica completa. </w:t>
      </w:r>
    </w:p>
    <w:p w14:paraId="60BBA29D" w14:textId="77777777" w:rsidR="00BF124D" w:rsidRDefault="00BF124D" w:rsidP="00BF124D">
      <w:pPr>
        <w:spacing w:after="120" w:line="276" w:lineRule="auto"/>
        <w:ind w:firstLine="709"/>
        <w:jc w:val="both"/>
        <w:rPr>
          <w:rFonts w:ascii="Verdana" w:eastAsia="Calibri" w:hAnsi="Verdana" w:cs="Arial"/>
          <w:lang w:val="es-ES_tradnl"/>
        </w:rPr>
      </w:pPr>
      <w:r>
        <w:rPr>
          <w:rFonts w:ascii="Verdana" w:eastAsia="Calibri" w:hAnsi="Verdana" w:cs="Arial"/>
          <w:lang w:val="es-ES"/>
        </w:rPr>
        <w:t xml:space="preserve">Respecto </w:t>
      </w:r>
      <w:r w:rsidRPr="0043651D">
        <w:rPr>
          <w:rFonts w:ascii="Verdana" w:eastAsia="Calibri" w:hAnsi="Verdana" w:cs="Arial"/>
          <w:lang w:val="es-ES"/>
        </w:rPr>
        <w:t>de la contratación derivada de urgencia manifiesta, es importante tomar en cuenta que la entidad adopta medidas inmediatas para conjurar la crisis, lo que limita la oportunidad para actualizar</w:t>
      </w:r>
      <w:r>
        <w:rPr>
          <w:rFonts w:ascii="Verdana" w:eastAsia="Calibri" w:hAnsi="Verdana" w:cs="Arial"/>
          <w:lang w:val="es-ES"/>
        </w:rPr>
        <w:t xml:space="preserve"> el banco de proyectos o</w:t>
      </w:r>
      <w:r w:rsidRPr="0043651D">
        <w:rPr>
          <w:rFonts w:ascii="Verdana" w:eastAsia="Calibri" w:hAnsi="Verdana" w:cs="Arial"/>
          <w:lang w:val="es-ES"/>
        </w:rPr>
        <w:t xml:space="preserve"> las necesidades de obras, bienes y servicios</w:t>
      </w:r>
      <w:r>
        <w:rPr>
          <w:rFonts w:ascii="Verdana" w:eastAsia="Calibri" w:hAnsi="Verdana" w:cs="Arial"/>
          <w:lang w:val="es-ES"/>
        </w:rPr>
        <w:t xml:space="preserve"> en el plan anual de adquisiciones</w:t>
      </w:r>
      <w:r w:rsidRPr="0043651D">
        <w:rPr>
          <w:rFonts w:ascii="Verdana" w:eastAsia="Calibri" w:hAnsi="Verdana" w:cs="Arial"/>
          <w:lang w:val="es-ES"/>
        </w:rPr>
        <w:t>. El principio de eficacia obliga a las autoridades a tomar decisiones para la atención de los administrados durante la urgencia en una manera en que se garantice el goce efectivo de sus derechos y el buen funcionamiento de la administración pública</w:t>
      </w:r>
      <w:r w:rsidRPr="0043651D">
        <w:rPr>
          <w:rStyle w:val="Refdenotaalpie"/>
          <w:rFonts w:ascii="Verdana" w:eastAsia="Calibri" w:hAnsi="Verdana" w:cs="Arial"/>
        </w:rPr>
        <w:footnoteReference w:id="17"/>
      </w:r>
      <w:r w:rsidRPr="0043651D">
        <w:rPr>
          <w:rFonts w:ascii="Verdana" w:eastAsia="Calibri" w:hAnsi="Verdana" w:cs="Arial"/>
          <w:lang w:val="es-ES"/>
        </w:rPr>
        <w:t xml:space="preserve">. Estas circunstancias excepcionales tornan complejo actualizar de forma constante y permanente el </w:t>
      </w:r>
      <w:r>
        <w:rPr>
          <w:rFonts w:ascii="Verdana" w:eastAsia="Calibri" w:hAnsi="Verdana" w:cs="Arial"/>
          <w:lang w:val="es-ES"/>
        </w:rPr>
        <w:t>banco de proyectos como el plan anual de adquisiciones</w:t>
      </w:r>
      <w:r w:rsidRPr="0043651D">
        <w:rPr>
          <w:rFonts w:ascii="Verdana" w:eastAsia="Calibri" w:hAnsi="Verdana" w:cs="Arial"/>
          <w:lang w:val="es-ES"/>
        </w:rPr>
        <w:t xml:space="preserve">. Ello es así, entre otras razones, por la imprevisibilidad que caracteriza las circunstancias que motivan la declaratoria de urgencia manifiesta. Por ello, mal podría interpretarse que en casos de grave urgencia se puede prescindir de la forma escrita del contrato estatal, pero no de la actualización </w:t>
      </w:r>
      <w:r>
        <w:rPr>
          <w:rFonts w:ascii="Verdana" w:eastAsia="Calibri" w:hAnsi="Verdana" w:cs="Arial"/>
          <w:lang w:val="es-ES"/>
        </w:rPr>
        <w:t>del banco de proyectos y del plan anual</w:t>
      </w:r>
      <w:r w:rsidRPr="0043651D">
        <w:rPr>
          <w:rFonts w:ascii="Verdana" w:eastAsia="Calibri" w:hAnsi="Verdana" w:cs="Arial"/>
          <w:lang w:val="es-ES"/>
        </w:rPr>
        <w:t xml:space="preserve">. </w:t>
      </w:r>
    </w:p>
    <w:p w14:paraId="195A3D6D" w14:textId="77777777" w:rsidR="00BF124D" w:rsidRPr="00F56899" w:rsidRDefault="00BF124D" w:rsidP="00BF124D">
      <w:pPr>
        <w:spacing w:after="120" w:line="276" w:lineRule="auto"/>
        <w:ind w:firstLine="709"/>
        <w:jc w:val="both"/>
        <w:rPr>
          <w:rFonts w:ascii="Verdana" w:eastAsia="Calibri" w:hAnsi="Verdana" w:cs="Arial"/>
          <w:lang w:val="es-ES_tradnl"/>
        </w:rPr>
      </w:pPr>
      <w:r w:rsidRPr="0043651D">
        <w:rPr>
          <w:rFonts w:ascii="Verdana" w:eastAsia="Calibri" w:hAnsi="Verdana" w:cs="Arial"/>
          <w:lang w:val="es-ES"/>
        </w:rPr>
        <w:t xml:space="preserve">Dicho ello, es preciso advertir que, si las circunstancias que motivaron la declaratoria de urgencia manifiesta se prolongan, aumenta la posibilidad de prever las necesidades de contratación para atender y manejar la crisis. Con ello, será posible actualizar el </w:t>
      </w:r>
      <w:r>
        <w:rPr>
          <w:rFonts w:ascii="Verdana" w:eastAsia="Calibri" w:hAnsi="Verdana" w:cs="Arial"/>
          <w:lang w:val="es-ES"/>
        </w:rPr>
        <w:t>banco de proyectos y el plan anual de adquisiciones</w:t>
      </w:r>
      <w:r w:rsidRPr="0043651D">
        <w:rPr>
          <w:rFonts w:ascii="Verdana" w:eastAsia="Calibri" w:hAnsi="Verdana" w:cs="Arial"/>
          <w:lang w:val="es-ES"/>
        </w:rPr>
        <w:t>. En otras palabras, existe una relación entre la duración de los hechos que motivaron la declaratoria de urgencia manifiesta y la previsibilidad de las necesidades en la medida en que la prolongación en el tiempo de las circunstancias puede conllevar una mayor previsibilidad de los contratos a celebrar y con ello mayores posibilidades de actualizar</w:t>
      </w:r>
      <w:r>
        <w:rPr>
          <w:rFonts w:ascii="Verdana" w:eastAsia="Calibri" w:hAnsi="Verdana" w:cs="Arial"/>
          <w:lang w:val="es-ES"/>
        </w:rPr>
        <w:t>los</w:t>
      </w:r>
      <w:r w:rsidRPr="0043651D">
        <w:rPr>
          <w:rFonts w:ascii="Verdana" w:eastAsia="Calibri" w:hAnsi="Verdana" w:cs="Arial"/>
          <w:lang w:val="es-ES"/>
        </w:rPr>
        <w:t xml:space="preserve">. </w:t>
      </w:r>
    </w:p>
    <w:p w14:paraId="35F330A7" w14:textId="77777777" w:rsidR="00BF124D" w:rsidRPr="0043651D" w:rsidRDefault="00BF124D" w:rsidP="00BF124D">
      <w:pPr>
        <w:spacing w:after="120" w:line="276" w:lineRule="auto"/>
        <w:ind w:firstLine="708"/>
        <w:jc w:val="both"/>
        <w:rPr>
          <w:rFonts w:ascii="Verdana" w:eastAsia="Calibri" w:hAnsi="Verdana" w:cs="Arial"/>
          <w:lang w:val="es-ES"/>
        </w:rPr>
      </w:pPr>
      <w:r w:rsidRPr="00C82D30">
        <w:rPr>
          <w:rFonts w:ascii="Verdana" w:eastAsia="Calibri" w:hAnsi="Verdana" w:cs="Arial"/>
          <w:lang w:val="es-ES"/>
        </w:rPr>
        <w:t>En la medida en que la previsión de las nuevas contrataciones y la disponibilidad de tiempo de los funcionarios lo permita, es recomendable que la autoridad actualice tanto el banco como el plan anual para incluir los bienes, obras y servicios nuevos.</w:t>
      </w:r>
      <w:r>
        <w:rPr>
          <w:rFonts w:ascii="Verdana" w:eastAsia="Calibri" w:hAnsi="Verdana" w:cs="Arial"/>
          <w:lang w:val="es-ES"/>
        </w:rPr>
        <w:t xml:space="preserve"> </w:t>
      </w:r>
      <w:r w:rsidRPr="0043651D">
        <w:rPr>
          <w:rFonts w:ascii="Verdana" w:eastAsia="Calibri" w:hAnsi="Verdana" w:cs="Arial"/>
          <w:lang w:val="es-ES"/>
        </w:rPr>
        <w:t xml:space="preserve">La decisión </w:t>
      </w:r>
      <w:r>
        <w:rPr>
          <w:rFonts w:ascii="Verdana" w:eastAsia="Calibri" w:hAnsi="Verdana" w:cs="Arial"/>
          <w:lang w:val="es-ES"/>
        </w:rPr>
        <w:t>de actualizarlos o no</w:t>
      </w:r>
      <w:r w:rsidRPr="0043651D">
        <w:rPr>
          <w:rFonts w:ascii="Verdana" w:eastAsia="Calibri" w:hAnsi="Verdana" w:cs="Arial"/>
          <w:lang w:val="es-ES"/>
        </w:rPr>
        <w:t xml:space="preserve"> corresponde exclusivamente a la autoridad</w:t>
      </w:r>
      <w:r>
        <w:rPr>
          <w:rFonts w:ascii="Verdana" w:eastAsia="Calibri" w:hAnsi="Verdana" w:cs="Arial"/>
          <w:lang w:val="es-ES"/>
        </w:rPr>
        <w:t>,</w:t>
      </w:r>
      <w:r w:rsidRPr="0043651D">
        <w:rPr>
          <w:rFonts w:ascii="Verdana" w:eastAsia="Calibri" w:hAnsi="Verdana" w:cs="Arial"/>
          <w:lang w:val="es-ES"/>
        </w:rPr>
        <w:t xml:space="preserve"> y debe toma</w:t>
      </w:r>
      <w:r>
        <w:rPr>
          <w:rFonts w:ascii="Verdana" w:eastAsia="Calibri" w:hAnsi="Verdana" w:cs="Arial"/>
          <w:lang w:val="es-ES"/>
        </w:rPr>
        <w:t>rse</w:t>
      </w:r>
      <w:r w:rsidRPr="0043651D">
        <w:rPr>
          <w:rFonts w:ascii="Verdana" w:eastAsia="Calibri" w:hAnsi="Verdana" w:cs="Arial"/>
          <w:lang w:val="es-ES"/>
        </w:rPr>
        <w:t xml:space="preserve"> habida consideración de las circunstancias del caso concreto y la necesidad de garantizar la concreción de los principios de la función administrativa.</w:t>
      </w:r>
    </w:p>
    <w:p w14:paraId="4D9E3708" w14:textId="77777777" w:rsidR="00BF124D" w:rsidRPr="0043651D" w:rsidRDefault="00BF124D" w:rsidP="00BF124D">
      <w:pPr>
        <w:spacing w:after="120" w:line="276" w:lineRule="auto"/>
        <w:ind w:firstLine="708"/>
        <w:jc w:val="both"/>
        <w:rPr>
          <w:rFonts w:ascii="Verdana" w:eastAsia="Calibri" w:hAnsi="Verdana" w:cs="Arial"/>
          <w:lang w:val="es-ES"/>
        </w:rPr>
      </w:pPr>
      <w:r>
        <w:rPr>
          <w:rFonts w:ascii="Verdana" w:eastAsia="Calibri" w:hAnsi="Verdana" w:cs="Arial"/>
          <w:lang w:val="es-ES"/>
        </w:rPr>
        <w:t>Por tanto</w:t>
      </w:r>
      <w:r w:rsidRPr="0043651D">
        <w:rPr>
          <w:rFonts w:ascii="Verdana" w:eastAsia="Calibri" w:hAnsi="Verdana" w:cs="Arial"/>
          <w:lang w:val="es-ES"/>
        </w:rPr>
        <w:t xml:space="preserve">, existen supuestos en el marco de una declaratoria de urgencia manifiesta en los que es imposible actualizar </w:t>
      </w:r>
      <w:r>
        <w:rPr>
          <w:rFonts w:ascii="Verdana" w:eastAsia="Calibri" w:hAnsi="Verdana" w:cs="Arial"/>
          <w:lang w:val="es-ES"/>
        </w:rPr>
        <w:t>el banco de proyectos o el plan anual de adquisiciones</w:t>
      </w:r>
      <w:r w:rsidRPr="0043651D">
        <w:rPr>
          <w:rFonts w:ascii="Verdana" w:eastAsia="Calibri" w:hAnsi="Verdana" w:cs="Arial"/>
          <w:lang w:val="es-ES"/>
        </w:rPr>
        <w:t xml:space="preserve"> con l</w:t>
      </w:r>
      <w:r>
        <w:rPr>
          <w:rFonts w:ascii="Verdana" w:eastAsia="Calibri" w:hAnsi="Verdana" w:cs="Arial"/>
          <w:lang w:val="es-ES"/>
        </w:rPr>
        <w:t>os proyectos y contratos</w:t>
      </w:r>
      <w:r w:rsidRPr="0043651D">
        <w:rPr>
          <w:rFonts w:ascii="Verdana" w:eastAsia="Calibri" w:hAnsi="Verdana" w:cs="Arial"/>
          <w:lang w:val="es-ES"/>
        </w:rPr>
        <w:t xml:space="preserve"> derivad</w:t>
      </w:r>
      <w:r>
        <w:rPr>
          <w:rFonts w:ascii="Verdana" w:eastAsia="Calibri" w:hAnsi="Verdana" w:cs="Arial"/>
          <w:lang w:val="es-ES"/>
        </w:rPr>
        <w:t>o</w:t>
      </w:r>
      <w:r w:rsidRPr="0043651D">
        <w:rPr>
          <w:rFonts w:ascii="Verdana" w:eastAsia="Calibri" w:hAnsi="Verdana" w:cs="Arial"/>
          <w:lang w:val="es-ES"/>
        </w:rPr>
        <w:t>s de la contingencia, tal es el caso cuando es imposible su previsión, y la necesidad de la obra, bien o servicio requiere una actuación inmediata por parte de la Administración pública. En los demás casos, es decir, siempre que durante la extensión de los efectos de la declaratoria de la urgencia las entidades prevean necesidades que, aunque necesarias para atender la crisis, no requieren la celebración inmediata de los contratos, se deberá actualizar el</w:t>
      </w:r>
      <w:r>
        <w:rPr>
          <w:rFonts w:ascii="Verdana" w:eastAsia="Calibri" w:hAnsi="Verdana" w:cs="Arial"/>
          <w:lang w:val="es-ES"/>
        </w:rPr>
        <w:t xml:space="preserve"> banco de proyectos y</w:t>
      </w:r>
      <w:r w:rsidRPr="0043651D">
        <w:rPr>
          <w:rFonts w:ascii="Verdana" w:eastAsia="Calibri" w:hAnsi="Verdana" w:cs="Arial"/>
          <w:lang w:val="es-ES"/>
        </w:rPr>
        <w:t xml:space="preserve"> plan anual de adquisiciones, y es recomendable que lo hagan en la mayor medida de lo posible para garantizar la eficiencia de los principios de la función administrativa. En cada caso, la entidad pública ponderará cuidadosamente la necesidad, habida cuenta de que </w:t>
      </w:r>
      <w:r>
        <w:rPr>
          <w:rFonts w:ascii="Verdana" w:eastAsia="Calibri" w:hAnsi="Verdana" w:cs="Arial"/>
          <w:lang w:val="es-ES"/>
        </w:rPr>
        <w:t>sus acciones u omisiones</w:t>
      </w:r>
      <w:r w:rsidRPr="0043651D">
        <w:rPr>
          <w:rFonts w:ascii="Verdana" w:eastAsia="Calibri" w:hAnsi="Verdana" w:cs="Arial"/>
          <w:lang w:val="es-ES"/>
        </w:rPr>
        <w:t xml:space="preserve"> se sujeta</w:t>
      </w:r>
      <w:r>
        <w:rPr>
          <w:rFonts w:ascii="Verdana" w:eastAsia="Calibri" w:hAnsi="Verdana" w:cs="Arial"/>
          <w:lang w:val="es-ES"/>
        </w:rPr>
        <w:t>n</w:t>
      </w:r>
      <w:r w:rsidRPr="0043651D">
        <w:rPr>
          <w:rFonts w:ascii="Verdana" w:eastAsia="Calibri" w:hAnsi="Verdana" w:cs="Arial"/>
          <w:lang w:val="es-ES"/>
        </w:rPr>
        <w:t xml:space="preserve"> a la revisión posterior de los órganos de control.</w:t>
      </w:r>
    </w:p>
    <w:p w14:paraId="49B208DE" w14:textId="77777777" w:rsidR="00BF124D" w:rsidRPr="0043651D" w:rsidRDefault="00BF124D" w:rsidP="00BF124D">
      <w:pPr>
        <w:spacing w:after="0" w:line="276" w:lineRule="auto"/>
        <w:ind w:firstLine="708"/>
        <w:jc w:val="both"/>
        <w:rPr>
          <w:rFonts w:ascii="Verdana" w:eastAsia="Calibri" w:hAnsi="Verdana" w:cs="Arial"/>
          <w:lang w:val="es-ES"/>
        </w:rPr>
      </w:pPr>
      <w:r w:rsidRPr="0043651D">
        <w:rPr>
          <w:rFonts w:ascii="Verdana" w:eastAsia="Calibri" w:hAnsi="Verdana" w:cs="Arial"/>
          <w:lang w:val="es-ES"/>
        </w:rPr>
        <w:t>En conclusión, en el marco de una declaratoria de urgencia manifiesta, la inclusión de la información referida estará sujeta al ámbito temporal de la estructuración de la causal de urgencia, pues en ocasiones deberán adoptarse actuaciones inmediatas para conjurar la crisis y en este orden, se limita la oportunidad de la Administración de registrar</w:t>
      </w:r>
      <w:r>
        <w:rPr>
          <w:rFonts w:ascii="Verdana" w:eastAsia="Calibri" w:hAnsi="Verdana" w:cs="Arial"/>
          <w:lang w:val="es-ES"/>
        </w:rPr>
        <w:t xml:space="preserve"> proyectos o adquisiciones de</w:t>
      </w:r>
      <w:r w:rsidRPr="0043651D">
        <w:rPr>
          <w:rFonts w:ascii="Verdana" w:eastAsia="Calibri" w:hAnsi="Verdana" w:cs="Arial"/>
          <w:lang w:val="es-ES"/>
        </w:rPr>
        <w:t xml:space="preserve"> los bienes y servicios que deb</w:t>
      </w:r>
      <w:r>
        <w:rPr>
          <w:rFonts w:ascii="Verdana" w:eastAsia="Calibri" w:hAnsi="Verdana" w:cs="Arial"/>
          <w:lang w:val="es-ES"/>
        </w:rPr>
        <w:t>an suministrarse</w:t>
      </w:r>
      <w:r w:rsidRPr="0043651D">
        <w:rPr>
          <w:rFonts w:ascii="Verdana" w:eastAsia="Calibri" w:hAnsi="Verdana" w:cs="Arial"/>
          <w:lang w:val="es-ES"/>
        </w:rPr>
        <w:t xml:space="preserve"> para garantizar la efectividad de los principios, deberes y derechos consagrados en la Constitución</w:t>
      </w:r>
      <w:r>
        <w:rPr>
          <w:rFonts w:ascii="Verdana" w:eastAsia="Calibri" w:hAnsi="Verdana" w:cs="Arial"/>
          <w:lang w:val="es-ES"/>
        </w:rPr>
        <w:t xml:space="preserve"> y la ley</w:t>
      </w:r>
      <w:r w:rsidRPr="0043651D">
        <w:rPr>
          <w:rFonts w:ascii="Verdana" w:eastAsia="Calibri" w:hAnsi="Verdana" w:cs="Arial"/>
          <w:lang w:val="es-ES"/>
        </w:rPr>
        <w:t>.</w:t>
      </w:r>
    </w:p>
    <w:bookmarkEnd w:id="17"/>
    <w:p w14:paraId="4E0B1A1E" w14:textId="77777777" w:rsidR="00BF124D" w:rsidRDefault="00BF124D" w:rsidP="00BF124D">
      <w:pPr>
        <w:spacing w:after="0" w:line="276" w:lineRule="auto"/>
        <w:jc w:val="both"/>
        <w:rPr>
          <w:rFonts w:ascii="Verdana" w:hAnsi="Verdana"/>
          <w:color w:val="000000" w:themeColor="text1"/>
          <w:lang w:val="es-ES_tradnl"/>
        </w:rPr>
      </w:pPr>
    </w:p>
    <w:p w14:paraId="1AF5D934" w14:textId="77777777" w:rsidR="00BF124D" w:rsidRPr="00F56899" w:rsidRDefault="00BF124D" w:rsidP="00BF124D">
      <w:pPr>
        <w:spacing w:after="120" w:line="276" w:lineRule="auto"/>
        <w:ind w:firstLine="709"/>
        <w:jc w:val="both"/>
        <w:rPr>
          <w:rFonts w:ascii="Verdana" w:hAnsi="Verdana"/>
          <w:color w:val="000000" w:themeColor="text1"/>
          <w:lang w:val="es-ES_tradnl"/>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por urgencia manifiesta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649A4D5F" w14:textId="77777777" w:rsidR="00BF124D" w:rsidRDefault="00BF124D" w:rsidP="00BF124D">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0E97192B" w14:textId="77777777" w:rsidR="00BF124D" w:rsidRPr="001D396E" w:rsidRDefault="00BF124D" w:rsidP="00BF124D">
      <w:pPr>
        <w:spacing w:after="0" w:line="240" w:lineRule="auto"/>
        <w:ind w:firstLine="709"/>
        <w:jc w:val="both"/>
        <w:rPr>
          <w:rFonts w:ascii="Verdana" w:hAnsi="Verdana" w:cs="Arial"/>
          <w:lang w:eastAsia="es-ES"/>
        </w:rPr>
      </w:pPr>
    </w:p>
    <w:p w14:paraId="55AD506D" w14:textId="77777777" w:rsidR="00BF124D" w:rsidRDefault="00BF124D" w:rsidP="00BF124D">
      <w:pPr>
        <w:spacing w:after="0" w:line="276" w:lineRule="auto"/>
        <w:jc w:val="both"/>
        <w:rPr>
          <w:rFonts w:ascii="Verdana" w:eastAsia="Century Gothic" w:hAnsi="Verdana" w:cs="Century Gothic"/>
          <w:b/>
          <w:bCs/>
        </w:rPr>
      </w:pPr>
      <w:bookmarkStart w:id="19"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9"/>
    </w:p>
    <w:p w14:paraId="74F33C36" w14:textId="77777777" w:rsidR="00BF124D" w:rsidRPr="00E5656D" w:rsidRDefault="00BF124D" w:rsidP="00BF124D">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F124D" w:rsidRPr="002D2C18" w14:paraId="2ED5F06C" w14:textId="77777777" w:rsidTr="005C1255">
        <w:trPr>
          <w:trHeight w:val="56"/>
          <w:jc w:val="center"/>
        </w:trPr>
        <w:tc>
          <w:tcPr>
            <w:tcW w:w="8647" w:type="dxa"/>
          </w:tcPr>
          <w:p w14:paraId="3259E2EC"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Constitución Política. Artículos 212, 213 y 215.</w:t>
            </w:r>
          </w:p>
          <w:p w14:paraId="3D634297"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Código Civil. Artículo 64. </w:t>
            </w:r>
          </w:p>
          <w:p w14:paraId="23FE5FF1"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Ley 80 de 1993. Artículo 42</w:t>
            </w:r>
          </w:p>
          <w:p w14:paraId="70B36628"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Ley 1150 de 2007. Artículo 2 numeral 4. </w:t>
            </w:r>
          </w:p>
          <w:p w14:paraId="2D6302EB"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Ley 1437 de 2011.- Artículo 28. </w:t>
            </w:r>
          </w:p>
          <w:p w14:paraId="4A73CAE9" w14:textId="77777777" w:rsidR="00BF124D" w:rsidRPr="001D396E"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CF54DC">
              <w:rPr>
                <w:rFonts w:ascii="Verdana" w:eastAsiaTheme="minorEastAsia" w:hAnsi="Verdana" w:cs="Arial"/>
                <w:lang w:eastAsia="es-CO"/>
              </w:rPr>
              <w:t>Decreto Ley 4170 de 2011</w:t>
            </w:r>
            <w:r>
              <w:rPr>
                <w:rFonts w:ascii="Verdana" w:eastAsiaTheme="minorEastAsia" w:hAnsi="Verdana" w:cs="Arial"/>
                <w:lang w:eastAsia="es-CO"/>
              </w:rPr>
              <w:t>. Artículos 3 numerales 5 y 10, 11 numeral 8.</w:t>
            </w:r>
          </w:p>
          <w:p w14:paraId="573C28CE" w14:textId="77777777" w:rsidR="00BF124D" w:rsidRPr="001D396E"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eastAsiaTheme="minorEastAsia" w:hAnsi="Verdana" w:cs="Arial"/>
                <w:lang w:eastAsia="es-CO"/>
              </w:rPr>
              <w:t xml:space="preserve">Ley 1523 de 2012. Artículos 4 numeral 5 y 8, 56, 57, 59.  </w:t>
            </w:r>
          </w:p>
          <w:p w14:paraId="39F650B6" w14:textId="77777777" w:rsidR="00BF124D" w:rsidRPr="001D396E"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CF54DC">
              <w:rPr>
                <w:rFonts w:ascii="Verdana" w:eastAsiaTheme="minorEastAsia" w:hAnsi="Verdana" w:cs="Arial"/>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1755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2015</w:t>
            </w:r>
            <w:r>
              <w:rPr>
                <w:rFonts w:ascii="Verdana" w:eastAsiaTheme="minorEastAsia" w:hAnsi="Verdana" w:cs="Arial"/>
                <w:lang w:eastAsia="es-CO"/>
              </w:rPr>
              <w:t xml:space="preserve">. Artículo 1. </w:t>
            </w:r>
          </w:p>
          <w:p w14:paraId="398322D8" w14:textId="77777777" w:rsidR="00BF124D" w:rsidRPr="00473408"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BE5FE3">
              <w:rPr>
                <w:rFonts w:ascii="Verdana" w:eastAsia="Calibri" w:hAnsi="Verdana" w:cs="Arial"/>
                <w:lang w:val="es-ES_tradnl"/>
              </w:rPr>
              <w:t>Decreto 1082 de 2015</w:t>
            </w:r>
            <w:r>
              <w:rPr>
                <w:rFonts w:ascii="Verdana" w:eastAsia="Calibri" w:hAnsi="Verdana" w:cs="Arial"/>
                <w:lang w:val="es-ES_tradnl"/>
              </w:rPr>
              <w:t xml:space="preserve">. Artículo </w:t>
            </w:r>
            <w:r w:rsidRPr="00BE5FE3">
              <w:rPr>
                <w:rFonts w:ascii="Verdana" w:eastAsia="Calibri" w:hAnsi="Verdana" w:cs="Arial"/>
                <w:lang w:val="es-ES_tradnl"/>
              </w:rPr>
              <w:t>2.2.1.2.1.4.2</w:t>
            </w:r>
            <w:r>
              <w:rPr>
                <w:rFonts w:ascii="Verdana" w:eastAsia="Calibri" w:hAnsi="Verdana" w:cs="Arial"/>
                <w:lang w:val="es-ES_tradnl"/>
              </w:rPr>
              <w:t>.</w:t>
            </w:r>
          </w:p>
          <w:p w14:paraId="76DC924E"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473408">
              <w:rPr>
                <w:rFonts w:ascii="Verdana" w:hAnsi="Verdana" w:cs="Arial"/>
                <w:lang w:eastAsia="es-ES"/>
              </w:rPr>
              <w:t>Consejo de Estado. Sala de Consulta y de Servicio Civil. Concepto del 28 de enero de 1998. Rad. 1.073. C.P. Javier Henao Hidrón.</w:t>
            </w:r>
          </w:p>
          <w:p w14:paraId="06E5B260"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473408">
              <w:rPr>
                <w:rFonts w:ascii="Verdana" w:hAnsi="Verdana" w:cs="Arial"/>
                <w:lang w:eastAsia="es-ES"/>
              </w:rPr>
              <w:t>Consejo de Estado. Sala de lo Contencioso Administrativo. Sección Tercera. Subsección C. Sentencia del 7 de febrero de 2011. Rad. 34.425. C.P. Jaime Orlando Santofimio Gamboa.</w:t>
            </w:r>
          </w:p>
          <w:p w14:paraId="34F8C00D"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1D396E">
              <w:rPr>
                <w:rFonts w:ascii="Verdana" w:hAnsi="Verdana" w:cs="Arial"/>
                <w:lang w:eastAsia="es-ES"/>
              </w:rPr>
              <w:t>Corte Constitucional. Sentencia C-772 de 1998. M.P. Fabio Morón Díaz.</w:t>
            </w:r>
          </w:p>
          <w:p w14:paraId="45EC8EE2" w14:textId="77777777" w:rsidR="00BF124D" w:rsidRPr="001D396E"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1D396E">
              <w:rPr>
                <w:rFonts w:ascii="Verdana" w:hAnsi="Verdana" w:cs="Arial"/>
                <w:lang w:eastAsia="es-ES"/>
              </w:rPr>
              <w:t>Corte Constitucional. Sentencia C- 826 del 13 de noviembre de 2013. M.P. Luis Ernesto Vargas Silva.</w:t>
            </w:r>
          </w:p>
          <w:p w14:paraId="1F325DFA" w14:textId="77777777" w:rsidR="00BF124D" w:rsidRPr="00473408"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473408">
              <w:rPr>
                <w:rFonts w:ascii="Verdana" w:eastAsiaTheme="minorEastAsia" w:hAnsi="Verdana" w:cs="Arial"/>
                <w:lang w:eastAsia="es-CO"/>
              </w:rPr>
              <w:t>ARBOLEDA PERDOMO, Enrique José. Comentarios al Nuevo Código de Procedimiento Administrativo y de lo Contencioso Administrativo (2ª ed.). Editorial Legis. Bogotá. 2012</w:t>
            </w:r>
            <w:r>
              <w:rPr>
                <w:rFonts w:ascii="Verdana" w:eastAsiaTheme="minorEastAsia" w:hAnsi="Verdana" w:cs="Arial"/>
                <w:lang w:eastAsia="es-CO"/>
              </w:rPr>
              <w:t>.</w:t>
            </w:r>
          </w:p>
          <w:p w14:paraId="6A4C0C8B"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473408">
              <w:rPr>
                <w:rFonts w:ascii="Verdana" w:hAnsi="Verdana" w:cs="Arial"/>
                <w:lang w:eastAsia="es-ES"/>
              </w:rPr>
              <w:t>MATALLANA CAMACHO, Ernesto. Manual de contratación de la administración pública. Segunda Edición. Bogotá: Universidad Externado de Colombia, 2009</w:t>
            </w:r>
            <w:r>
              <w:rPr>
                <w:rFonts w:ascii="Verdana" w:hAnsi="Verdana" w:cs="Arial"/>
                <w:lang w:eastAsia="es-ES"/>
              </w:rPr>
              <w:t>.</w:t>
            </w:r>
          </w:p>
          <w:p w14:paraId="028A30B4" w14:textId="77777777" w:rsidR="00BF124D"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473408">
              <w:rPr>
                <w:rFonts w:ascii="Verdana" w:hAnsi="Verdana" w:cs="Arial"/>
                <w:lang w:eastAsia="es-ES"/>
              </w:rPr>
              <w:t>DROMI, José Roberto. La licitación pública. Buenos Aires: Ciudad Argentina, 1980.</w:t>
            </w:r>
          </w:p>
          <w:p w14:paraId="0A7B14B4" w14:textId="77777777" w:rsidR="00BF124D" w:rsidRPr="00D312B5" w:rsidRDefault="00BF124D" w:rsidP="005C1255">
            <w:pPr>
              <w:pStyle w:val="Prrafodelista"/>
              <w:widowControl w:val="0"/>
              <w:numPr>
                <w:ilvl w:val="0"/>
                <w:numId w:val="17"/>
              </w:numPr>
              <w:autoSpaceDE w:val="0"/>
              <w:autoSpaceDN w:val="0"/>
              <w:spacing w:line="276" w:lineRule="auto"/>
              <w:jc w:val="both"/>
              <w:rPr>
                <w:rFonts w:ascii="Verdana" w:hAnsi="Verdana" w:cs="Arial"/>
                <w:lang w:eastAsia="es-ES"/>
              </w:rPr>
            </w:pPr>
            <w:r w:rsidRPr="00473408">
              <w:rPr>
                <w:rFonts w:ascii="Verdana" w:hAnsi="Verdana" w:cs="Arial"/>
                <w:lang w:eastAsia="es-ES"/>
              </w:rPr>
              <w:t>GORDILLO, Agustín. Tratado de derecho administrativo y obras selectas. Tomo IX. Buenos Aires: FDA, 2014</w:t>
            </w:r>
            <w:r>
              <w:rPr>
                <w:rFonts w:ascii="Verdana" w:hAnsi="Verdana" w:cs="Arial"/>
                <w:lang w:eastAsia="es-ES"/>
              </w:rPr>
              <w:t>.</w:t>
            </w:r>
          </w:p>
        </w:tc>
      </w:tr>
    </w:tbl>
    <w:p w14:paraId="60751E17" w14:textId="77777777" w:rsidR="00BF124D" w:rsidRDefault="00BF124D" w:rsidP="00BF124D">
      <w:pPr>
        <w:tabs>
          <w:tab w:val="left" w:pos="142"/>
          <w:tab w:val="left" w:pos="284"/>
          <w:tab w:val="left" w:pos="3828"/>
        </w:tabs>
        <w:spacing w:after="0" w:line="276" w:lineRule="auto"/>
        <w:jc w:val="both"/>
        <w:rPr>
          <w:rFonts w:ascii="Verdana" w:eastAsia="Century Gothic" w:hAnsi="Verdana" w:cs="Century Gothic"/>
          <w:b/>
          <w:bCs/>
        </w:rPr>
      </w:pPr>
    </w:p>
    <w:p w14:paraId="08103229" w14:textId="77777777" w:rsidR="00BF124D" w:rsidRPr="0091091D" w:rsidRDefault="00BF124D" w:rsidP="00BF124D">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706109EF" w14:textId="77777777" w:rsidR="00BF124D" w:rsidRPr="007A3DD4" w:rsidRDefault="00BF124D" w:rsidP="00BF124D">
      <w:pPr>
        <w:widowControl w:val="0"/>
        <w:autoSpaceDE w:val="0"/>
        <w:autoSpaceDN w:val="0"/>
        <w:spacing w:after="0" w:line="240" w:lineRule="auto"/>
        <w:jc w:val="both"/>
        <w:rPr>
          <w:rStyle w:val="normaltextrun"/>
          <w:rFonts w:ascii="Verdana" w:hAnsi="Verdana" w:cs="Arial"/>
          <w:shd w:val="clear" w:color="auto" w:fill="FFFFFF"/>
        </w:rPr>
      </w:pPr>
    </w:p>
    <w:p w14:paraId="55C71B1F" w14:textId="77777777" w:rsidR="00BF124D" w:rsidRPr="008C6F6F" w:rsidRDefault="00BF124D" w:rsidP="00BF124D">
      <w:pPr>
        <w:widowControl w:val="0"/>
        <w:autoSpaceDE w:val="0"/>
        <w:autoSpaceDN w:val="0"/>
        <w:spacing w:after="0" w:line="276" w:lineRule="auto"/>
        <w:jc w:val="both"/>
        <w:rPr>
          <w:rFonts w:ascii="Verdana" w:hAnsi="Verdana" w:cs="Arial"/>
          <w:shd w:val="clear" w:color="auto" w:fill="FFFFFF"/>
        </w:rPr>
      </w:pPr>
      <w:r w:rsidRPr="00B64A74">
        <w:rPr>
          <w:rFonts w:ascii="Verdana" w:eastAsia="Calibri" w:hAnsi="Verdana" w:cs="Arial"/>
        </w:rPr>
        <w:t xml:space="preserve">La Agencia Nacional de Contratación Pública – Colombia Compra Eficiente se ha referido </w:t>
      </w:r>
      <w:r w:rsidRPr="00B64A74">
        <w:rPr>
          <w:rFonts w:ascii="Verdana" w:hAnsi="Verdana" w:cs="Arial"/>
          <w:shd w:val="clear" w:color="auto" w:fill="FFFFFF"/>
        </w:rPr>
        <w:t>sobre</w:t>
      </w:r>
      <w:r w:rsidRPr="00F03292">
        <w:rPr>
          <w:rFonts w:ascii="Verdana" w:eastAsia="Times New Roman" w:hAnsi="Verdana" w:cs="Arial"/>
        </w:rPr>
        <w:t xml:space="preserve"> </w:t>
      </w:r>
      <w:r w:rsidRPr="0023577C">
        <w:rPr>
          <w:rFonts w:ascii="Verdana" w:eastAsia="Times New Roman" w:hAnsi="Verdana" w:cs="Arial"/>
        </w:rPr>
        <w:t>la competencia consultiva de la Agencia en el concepto C-863 del 15 de noviembre de 202</w:t>
      </w:r>
      <w:r>
        <w:rPr>
          <w:rFonts w:ascii="Verdana" w:eastAsia="Times New Roman" w:hAnsi="Verdana" w:cs="Arial"/>
        </w:rPr>
        <w:t>2, C-152 del 17 de marzo de 2025</w:t>
      </w:r>
      <w:r w:rsidRPr="00B64A74">
        <w:rPr>
          <w:rFonts w:ascii="Verdana" w:eastAsia="Calibri" w:hAnsi="Verdana" w:cs="Arial"/>
          <w:lang w:eastAsia="es-ES"/>
        </w:rPr>
        <w:t xml:space="preserve">, </w:t>
      </w:r>
      <w:r>
        <w:rPr>
          <w:rFonts w:ascii="Verdana" w:eastAsia="Calibri" w:hAnsi="Verdana" w:cs="Arial"/>
          <w:lang w:eastAsia="es-ES"/>
        </w:rPr>
        <w:t xml:space="preserve">C-221 del 26 de marzo de 2026, </w:t>
      </w:r>
      <w:r w:rsidRPr="00B64A74">
        <w:rPr>
          <w:rStyle w:val="normaltextrun"/>
          <w:rFonts w:ascii="Verdana" w:hAnsi="Verdana" w:cs="Arial"/>
          <w:shd w:val="clear" w:color="auto" w:fill="FFFFFF"/>
        </w:rPr>
        <w:t>entre otros.</w:t>
      </w:r>
      <w:r>
        <w:rPr>
          <w:rStyle w:val="normaltextrun"/>
          <w:rFonts w:ascii="Verdana" w:hAnsi="Verdana" w:cs="Arial"/>
          <w:shd w:val="clear" w:color="auto" w:fill="FFFFFF"/>
        </w:rPr>
        <w:t xml:space="preserve"> Así mismo, esta Subdirección </w:t>
      </w:r>
      <w:r w:rsidRPr="00B06D52">
        <w:rPr>
          <w:rFonts w:ascii="Verdana" w:hAnsi="Verdana" w:cs="Arial"/>
          <w:shd w:val="clear" w:color="auto" w:fill="FFFFFF"/>
        </w:rPr>
        <w:t>se ha pronunciado sobre la contratación por urgencia manifiesta en los Conceptos C-003 del 23 de abril de 2020, C-004 25 de abril de 2020, C-135 del 10 de abril de 2020, C-241 del 10 de abril de 2020, C-257 del 10 de abril de 2020, C-266 del 21 de mayo de 2020, C-269 del 10 de abril de 2020, C-275 del del 10 de abril de 2020, C-284 del 27 de mayo de 2020, C-300 del 25 de abril de 2020, C-301 del 25 de abril de 2020, C-333 del 19 de mayo de 2020, C-357 del 7 de julio de 2020, C-390 del 23 de junio de 2020, C-403 del 24 de junio de 2020, C-887 del 22 de diciembre de 2022</w:t>
      </w:r>
      <w:r>
        <w:rPr>
          <w:rFonts w:ascii="Verdana" w:hAnsi="Verdana" w:cs="Arial"/>
          <w:shd w:val="clear" w:color="auto" w:fill="FFFFFF"/>
        </w:rPr>
        <w:t xml:space="preserve">, </w:t>
      </w:r>
      <w:r w:rsidRPr="00B06D52">
        <w:rPr>
          <w:rFonts w:ascii="Verdana" w:hAnsi="Verdana" w:cs="Arial"/>
          <w:shd w:val="clear" w:color="auto" w:fill="FFFFFF"/>
        </w:rPr>
        <w:t>C-131 del 25 de mayo de 2023</w:t>
      </w:r>
      <w:r>
        <w:rPr>
          <w:rFonts w:ascii="Verdana" w:hAnsi="Verdana" w:cs="Arial"/>
          <w:shd w:val="clear" w:color="auto" w:fill="FFFFFF"/>
        </w:rPr>
        <w:t>, C-1189 del 25 de septiembre de 2025</w:t>
      </w:r>
      <w:r>
        <w:rPr>
          <w:rFonts w:ascii="Verdana" w:eastAsia="Calibri" w:hAnsi="Verdana" w:cs="Arial"/>
          <w:lang w:val="es-ES" w:eastAsia="es-ES"/>
        </w:rPr>
        <w:t>, entre</w:t>
      </w:r>
      <w:r w:rsidRPr="00D532CA">
        <w:rPr>
          <w:rFonts w:ascii="Verdana" w:eastAsia="Calibri" w:hAnsi="Verdana" w:cs="Arial"/>
          <w:lang w:val="es-ES" w:eastAsia="es-ES"/>
        </w:rPr>
        <w:t xml:space="preserve"> otros</w:t>
      </w:r>
      <w:r w:rsidRPr="00D532CA">
        <w:rPr>
          <w:rFonts w:ascii="Verdana" w:eastAsia="Calibri" w:hAnsi="Verdana" w:cs="Arial"/>
          <w:lang w:eastAsia="es-ES"/>
        </w:rPr>
        <w:t xml:space="preserve">. </w:t>
      </w:r>
      <w:r w:rsidRPr="00D532CA">
        <w:rPr>
          <w:rFonts w:ascii="Verdana" w:hAnsi="Verdana" w:cs="Arial"/>
        </w:rPr>
        <w:t xml:space="preserve">Estos y otros </w:t>
      </w:r>
      <w:r w:rsidRPr="00D532CA">
        <w:rPr>
          <w:rFonts w:ascii="Verdana" w:hAnsi="Verdana"/>
        </w:rPr>
        <w:t>conceptos se encuentran disponibles para consulta en el Sistema de relatoría de la Agencia, al cual se puede acceder a través del siguiente enlace:</w:t>
      </w:r>
      <w:r w:rsidRPr="00D532CA">
        <w:rPr>
          <w:rFonts w:ascii="Verdana" w:hAnsi="Verdana" w:cs="Arial"/>
          <w:shd w:val="clear" w:color="auto" w:fill="FFFFFF"/>
        </w:rPr>
        <w:t xml:space="preserve"> </w:t>
      </w:r>
      <w:hyperlink r:id="rId12" w:history="1">
        <w:r w:rsidRPr="00D532CA">
          <w:rPr>
            <w:rFonts w:ascii="Verdana" w:hAnsi="Verdana" w:cs="Arial"/>
            <w:color w:val="0563C1" w:themeColor="hyperlink"/>
            <w:u w:val="single"/>
            <w:shd w:val="clear" w:color="auto" w:fill="FFFFFF"/>
          </w:rPr>
          <w:t>https://relatoria.colombiacompra.gov.co/busqueda/conceptos</w:t>
        </w:r>
      </w:hyperlink>
      <w:r w:rsidRPr="00D532CA">
        <w:rPr>
          <w:rFonts w:ascii="Verdana" w:hAnsi="Verdana" w:cs="Arial"/>
          <w:shd w:val="clear" w:color="auto" w:fill="FFFFFF"/>
        </w:rPr>
        <w:t>.</w:t>
      </w:r>
      <w:r w:rsidRPr="00D532CA">
        <w:rPr>
          <w:rFonts w:ascii="Verdana" w:hAnsi="Verdana" w:cs="Arial"/>
          <w:color w:val="FF0000"/>
          <w:shd w:val="clear" w:color="auto" w:fill="FFFFFF"/>
        </w:rPr>
        <w:t xml:space="preserve"> </w:t>
      </w:r>
    </w:p>
    <w:p w14:paraId="5268537F" w14:textId="77777777" w:rsidR="00BF124D" w:rsidRDefault="00BF124D" w:rsidP="00BF124D">
      <w:pPr>
        <w:widowControl w:val="0"/>
        <w:autoSpaceDE w:val="0"/>
        <w:autoSpaceDN w:val="0"/>
        <w:spacing w:after="0" w:line="240" w:lineRule="auto"/>
        <w:jc w:val="both"/>
        <w:rPr>
          <w:rFonts w:ascii="Verdana" w:hAnsi="Verdana"/>
        </w:rPr>
      </w:pPr>
    </w:p>
    <w:p w14:paraId="075803CF" w14:textId="77777777" w:rsidR="00BF124D" w:rsidRPr="00AB4B99" w:rsidRDefault="00BF124D" w:rsidP="00BF124D">
      <w:pPr>
        <w:widowControl w:val="0"/>
        <w:autoSpaceDE w:val="0"/>
        <w:autoSpaceDN w:val="0"/>
        <w:spacing w:after="120" w:line="276" w:lineRule="auto"/>
        <w:jc w:val="both"/>
        <w:rPr>
          <w:rFonts w:ascii="Verdana" w:hAnsi="Verdana" w:cs="Arial"/>
          <w:shd w:val="clear" w:color="auto" w:fill="FFFFFF"/>
        </w:rPr>
      </w:pPr>
      <w:r w:rsidRPr="00D532CA">
        <w:rPr>
          <w:rFonts w:ascii="Verdana" w:hAnsi="Verdana"/>
        </w:rPr>
        <w:t>La sostenibilidad no es una opción, es una obligación. Por ello, la Agencia Nacional</w:t>
      </w:r>
      <w:r w:rsidRPr="009A385A">
        <w:rPr>
          <w:rFonts w:ascii="Verdana" w:hAnsi="Verdana"/>
        </w:rPr>
        <w:t xml:space="preserve">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8746BD">
          <w:rPr>
            <w:rStyle w:val="Hipervnculo"/>
            <w:rFonts w:ascii="Verdana" w:hAnsi="Verdana"/>
          </w:rPr>
          <w:t>https://formacionvirtual.colombiacompra.gov.co/mod/page/view.php?id=3718</w:t>
        </w:r>
      </w:hyperlink>
    </w:p>
    <w:p w14:paraId="5696D96A" w14:textId="77777777" w:rsidR="00BF124D" w:rsidRDefault="00BF124D" w:rsidP="00BF124D">
      <w:pPr>
        <w:widowControl w:val="0"/>
        <w:autoSpaceDE w:val="0"/>
        <w:autoSpaceDN w:val="0"/>
        <w:spacing w:after="0" w:line="240" w:lineRule="auto"/>
        <w:jc w:val="both"/>
        <w:rPr>
          <w:rFonts w:ascii="Verdana" w:hAnsi="Verdana"/>
        </w:rPr>
      </w:pPr>
    </w:p>
    <w:p w14:paraId="741FA0B4" w14:textId="77777777" w:rsidR="00BF124D" w:rsidRPr="000E1EA7" w:rsidRDefault="00BF124D" w:rsidP="00BF124D">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E1EA7">
          <w:rPr>
            <w:rStyle w:val="Hipervnculo"/>
            <w:rFonts w:ascii="Verdana" w:hAnsi="Verdana"/>
          </w:rPr>
          <w:t>https://www.colombiacompra.gov.co/normativa-y-relatoria/documentos-tipo</w:t>
        </w:r>
      </w:hyperlink>
    </w:p>
    <w:p w14:paraId="7C651A7D" w14:textId="77777777" w:rsidR="00BF124D" w:rsidRDefault="00BF124D" w:rsidP="00BF124D">
      <w:pPr>
        <w:widowControl w:val="0"/>
        <w:autoSpaceDE w:val="0"/>
        <w:autoSpaceDN w:val="0"/>
        <w:spacing w:after="0" w:line="240" w:lineRule="auto"/>
        <w:jc w:val="both"/>
        <w:rPr>
          <w:rFonts w:ascii="Verdana" w:hAnsi="Verdana"/>
        </w:rPr>
      </w:pPr>
    </w:p>
    <w:p w14:paraId="4DB62C6A" w14:textId="77777777" w:rsidR="00BF124D" w:rsidRDefault="00BF124D" w:rsidP="00BF124D">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5"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0D2B3D9" w14:textId="77777777" w:rsidR="00BF124D" w:rsidRPr="007A3DD4" w:rsidRDefault="00BF124D" w:rsidP="00BF124D">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0E4A87C4" w14:textId="77777777" w:rsidR="00BF124D" w:rsidRPr="00116940" w:rsidRDefault="00BF124D" w:rsidP="00BF124D">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C472E50" w14:textId="77777777" w:rsidR="00BF124D" w:rsidRPr="00116940" w:rsidRDefault="00BF124D" w:rsidP="00BF124D">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1C8912C" w14:textId="77777777" w:rsidR="00BF124D" w:rsidRPr="00116940" w:rsidRDefault="00BF124D" w:rsidP="00BF124D">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76762437" w14:textId="77777777" w:rsidR="00BF124D" w:rsidRPr="00116940" w:rsidRDefault="00BF124D" w:rsidP="00BF124D">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2D584D04" w14:textId="77777777" w:rsidR="00BF124D" w:rsidRDefault="00BF124D" w:rsidP="00BF124D">
      <w:pPr>
        <w:spacing w:after="0" w:line="240" w:lineRule="auto"/>
        <w:jc w:val="both"/>
        <w:rPr>
          <w:rFonts w:ascii="Verdana" w:hAnsi="Verdana"/>
        </w:rPr>
      </w:pPr>
    </w:p>
    <w:p w14:paraId="2F8F4FD2" w14:textId="77777777" w:rsidR="00BF124D" w:rsidRDefault="00BF124D" w:rsidP="00BF124D">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27F5FC10" w14:textId="77777777" w:rsidR="00BF124D" w:rsidRDefault="00BF124D" w:rsidP="00BF124D">
      <w:pPr>
        <w:spacing w:after="0" w:line="240" w:lineRule="auto"/>
        <w:jc w:val="both"/>
        <w:rPr>
          <w:rFonts w:ascii="Verdana" w:hAnsi="Verdana"/>
        </w:rPr>
      </w:pPr>
    </w:p>
    <w:p w14:paraId="22D3C450" w14:textId="77777777" w:rsidR="00BF124D" w:rsidRPr="00116940" w:rsidRDefault="00BF124D" w:rsidP="00BF124D">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11EE404" w14:textId="77777777" w:rsidR="00BF124D" w:rsidRPr="008746BD" w:rsidRDefault="00BF124D" w:rsidP="00BF124D">
      <w:pPr>
        <w:spacing w:after="0" w:line="240" w:lineRule="auto"/>
        <w:jc w:val="both"/>
        <w:rPr>
          <w:rFonts w:ascii="Verdana" w:hAnsi="Verdana"/>
        </w:rPr>
      </w:pPr>
    </w:p>
    <w:p w14:paraId="091E34B7" w14:textId="77777777" w:rsidR="00BF124D" w:rsidRPr="00116940" w:rsidRDefault="00BF124D" w:rsidP="00BF124D">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6D8F9FD" w14:textId="77777777" w:rsidR="00BF124D" w:rsidRPr="00116940" w:rsidRDefault="00BF124D" w:rsidP="00BF124D">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CFB50E1" w14:textId="77777777" w:rsidR="00BF124D" w:rsidRPr="00116940" w:rsidRDefault="00BF124D" w:rsidP="00BF124D">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05A85C7" w14:textId="77777777" w:rsidR="00BF124D" w:rsidRDefault="00BF124D" w:rsidP="00BF124D">
      <w:pPr>
        <w:spacing w:after="0" w:line="276" w:lineRule="auto"/>
        <w:jc w:val="both"/>
        <w:rPr>
          <w:rFonts w:ascii="Century Gothic" w:eastAsia="Century Gothic" w:hAnsi="Century Gothic" w:cs="Century Gothic"/>
          <w:lang w:val="es-ES" w:eastAsia="es-ES_tradnl"/>
        </w:rPr>
      </w:pPr>
    </w:p>
    <w:p w14:paraId="6BCB0C6A" w14:textId="77777777" w:rsidR="00BF124D" w:rsidRPr="00842775" w:rsidRDefault="00BF124D" w:rsidP="00BF124D">
      <w:pPr>
        <w:spacing w:after="12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67A838A4" w14:textId="77777777" w:rsidR="00BF124D" w:rsidRDefault="00BF124D" w:rsidP="00BF124D">
      <w:pPr>
        <w:spacing w:after="0" w:line="276" w:lineRule="auto"/>
        <w:jc w:val="both"/>
        <w:rPr>
          <w:rFonts w:ascii="Verdana" w:hAnsi="Verdana"/>
          <w:lang w:val="es-MX"/>
        </w:rPr>
      </w:pPr>
    </w:p>
    <w:p w14:paraId="3B91C86A" w14:textId="77777777" w:rsidR="00BF124D" w:rsidRPr="00330029" w:rsidRDefault="00BF124D" w:rsidP="00BF124D">
      <w:pPr>
        <w:spacing w:after="0" w:line="276" w:lineRule="auto"/>
        <w:jc w:val="both"/>
        <w:rPr>
          <w:rFonts w:ascii="Verdana" w:hAnsi="Verdana"/>
          <w:lang w:val="es-MX"/>
        </w:rPr>
      </w:pPr>
      <w:r w:rsidRPr="00E02524">
        <w:rPr>
          <w:rFonts w:ascii="Verdana" w:hAnsi="Verdana"/>
          <w:lang w:val="es-MX"/>
        </w:rPr>
        <w:t>Cordialmente,</w:t>
      </w:r>
    </w:p>
    <w:p w14:paraId="62C2665E" w14:textId="68F58F64" w:rsidR="00BF124D" w:rsidRDefault="00BF124D" w:rsidP="00BF124D">
      <w:pPr>
        <w:spacing w:after="0" w:line="256" w:lineRule="auto"/>
        <w:jc w:val="center"/>
        <w:rPr>
          <w:rFonts w:ascii="Verdana" w:eastAsia="Calibri" w:hAnsi="Verdana" w:cs="Times New Roman"/>
        </w:rPr>
      </w:pPr>
    </w:p>
    <w:p w14:paraId="56DE1883" w14:textId="15044125" w:rsidR="00BF124D" w:rsidRDefault="00C70D2C" w:rsidP="00BF124D">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5F43E236" wp14:editId="29C07FC4">
            <wp:extent cx="3219843" cy="1517042"/>
            <wp:effectExtent l="0" t="0" r="0" b="698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234796" cy="1524087"/>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BF124D" w:rsidRPr="005644FE" w14:paraId="7D4B45DF" w14:textId="77777777" w:rsidTr="005C1255">
        <w:trPr>
          <w:trHeight w:val="288"/>
        </w:trPr>
        <w:tc>
          <w:tcPr>
            <w:tcW w:w="893" w:type="dxa"/>
            <w:vAlign w:val="center"/>
            <w:hideMark/>
          </w:tcPr>
          <w:p w14:paraId="215F36CE" w14:textId="77777777" w:rsidR="00BF124D" w:rsidRPr="00FF63C3" w:rsidRDefault="00BF124D" w:rsidP="005C1255">
            <w:pPr>
              <w:contextualSpacing/>
              <w:rPr>
                <w:rFonts w:ascii="Verdana" w:hAnsi="Verdana" w:cs="Arial"/>
                <w:sz w:val="14"/>
                <w:szCs w:val="14"/>
                <w:lang w:eastAsia="es-ES"/>
              </w:rPr>
            </w:pPr>
            <w:r w:rsidRPr="00FF63C3">
              <w:rPr>
                <w:rFonts w:ascii="Verdana" w:hAnsi="Verdana" w:cs="Arial"/>
                <w:sz w:val="14"/>
                <w:szCs w:val="14"/>
                <w:lang w:eastAsia="es-ES"/>
              </w:rPr>
              <w:t>Elaboró:</w:t>
            </w:r>
          </w:p>
        </w:tc>
        <w:tc>
          <w:tcPr>
            <w:tcW w:w="5061" w:type="dxa"/>
            <w:tcBorders>
              <w:top w:val="nil"/>
              <w:left w:val="nil"/>
              <w:bottom w:val="dotted" w:sz="4" w:space="0" w:color="7F7F7F" w:themeColor="text1" w:themeTint="80"/>
              <w:right w:val="nil"/>
            </w:tcBorders>
            <w:vAlign w:val="center"/>
            <w:hideMark/>
          </w:tcPr>
          <w:p w14:paraId="5CC62ED0" w14:textId="77777777" w:rsidR="00BF124D" w:rsidRPr="00FF63C3" w:rsidRDefault="00BF124D" w:rsidP="005C1255">
            <w:pPr>
              <w:contextualSpacing/>
              <w:rPr>
                <w:rStyle w:val="normaltextrun"/>
                <w:rFonts w:ascii="Verdana" w:hAnsi="Verdana"/>
                <w:sz w:val="14"/>
                <w:szCs w:val="14"/>
              </w:rPr>
            </w:pPr>
            <w:r w:rsidRPr="00FF63C3">
              <w:rPr>
                <w:rStyle w:val="normaltextrun"/>
                <w:rFonts w:ascii="Verdana" w:hAnsi="Verdana"/>
                <w:sz w:val="14"/>
                <w:szCs w:val="14"/>
              </w:rPr>
              <w:t xml:space="preserve">Esperanza Contreras P </w:t>
            </w:r>
          </w:p>
          <w:p w14:paraId="39FEC152" w14:textId="77777777" w:rsidR="00BF124D" w:rsidRPr="00FF63C3" w:rsidRDefault="00BF124D" w:rsidP="005C1255">
            <w:pPr>
              <w:contextualSpacing/>
              <w:rPr>
                <w:rFonts w:ascii="Verdana" w:eastAsia="Arial" w:hAnsi="Verdana" w:cs="Arial"/>
                <w:sz w:val="14"/>
                <w:szCs w:val="14"/>
              </w:rPr>
            </w:pPr>
            <w:r w:rsidRPr="00FF63C3">
              <w:rPr>
                <w:rStyle w:val="normaltextrun"/>
                <w:rFonts w:ascii="Verdana" w:hAnsi="Verdana" w:cs="Arial"/>
                <w:sz w:val="14"/>
                <w:szCs w:val="14"/>
              </w:rPr>
              <w:t>Contratista de la Subdirección de Gestión Contractual</w:t>
            </w:r>
            <w:r w:rsidRPr="00FF63C3">
              <w:rPr>
                <w:rStyle w:val="eop"/>
                <w:rFonts w:ascii="Verdana" w:hAnsi="Verdana" w:cs="Arial"/>
                <w:sz w:val="14"/>
                <w:szCs w:val="14"/>
              </w:rPr>
              <w:t> </w:t>
            </w:r>
          </w:p>
        </w:tc>
      </w:tr>
      <w:tr w:rsidR="00BF124D" w:rsidRPr="005644FE" w14:paraId="7E5FBCF7" w14:textId="77777777" w:rsidTr="005C1255">
        <w:trPr>
          <w:trHeight w:val="330"/>
        </w:trPr>
        <w:tc>
          <w:tcPr>
            <w:tcW w:w="893" w:type="dxa"/>
            <w:vAlign w:val="center"/>
            <w:hideMark/>
          </w:tcPr>
          <w:p w14:paraId="4BC4691B" w14:textId="77777777" w:rsidR="00BF124D" w:rsidRPr="00FF63C3" w:rsidRDefault="00BF124D" w:rsidP="005C1255">
            <w:pPr>
              <w:contextualSpacing/>
              <w:rPr>
                <w:rFonts w:ascii="Verdana" w:hAnsi="Verdana" w:cs="Arial"/>
                <w:sz w:val="14"/>
                <w:szCs w:val="14"/>
                <w:lang w:eastAsia="es-ES"/>
              </w:rPr>
            </w:pPr>
            <w:r w:rsidRPr="00FF63C3">
              <w:rPr>
                <w:rFonts w:ascii="Verdana" w:hAnsi="Verdana" w:cs="Arial"/>
                <w:sz w:val="14"/>
                <w:szCs w:val="14"/>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9011CA1" w14:textId="77777777" w:rsidR="00BF124D" w:rsidRPr="00FF63C3" w:rsidRDefault="00BF124D" w:rsidP="005C1255">
            <w:pPr>
              <w:pStyle w:val="paragraph"/>
              <w:spacing w:before="0" w:beforeAutospacing="0" w:after="0" w:afterAutospacing="0"/>
              <w:contextualSpacing/>
              <w:textAlignment w:val="baseline"/>
              <w:rPr>
                <w:rStyle w:val="normaltextrun"/>
                <w:rFonts w:ascii="Verdana" w:hAnsi="Verdana"/>
                <w:sz w:val="14"/>
                <w:szCs w:val="14"/>
              </w:rPr>
            </w:pPr>
            <w:r w:rsidRPr="00FF63C3">
              <w:rPr>
                <w:rStyle w:val="normaltextrun"/>
                <w:rFonts w:ascii="Verdana" w:hAnsi="Verdana"/>
                <w:sz w:val="14"/>
                <w:szCs w:val="14"/>
              </w:rPr>
              <w:t xml:space="preserve">Diana Lucía Saavedra Castañeda. </w:t>
            </w:r>
          </w:p>
          <w:p w14:paraId="4AB434F0" w14:textId="77777777" w:rsidR="00BF124D" w:rsidRPr="00FF63C3" w:rsidRDefault="00BF124D" w:rsidP="005C1255">
            <w:pPr>
              <w:pStyle w:val="paragraph"/>
              <w:spacing w:before="0" w:beforeAutospacing="0" w:after="0" w:afterAutospacing="0"/>
              <w:contextualSpacing/>
              <w:textAlignment w:val="baseline"/>
              <w:rPr>
                <w:rFonts w:ascii="Verdana" w:hAnsi="Verdana" w:cs="Segoe UI"/>
                <w:sz w:val="14"/>
                <w:szCs w:val="14"/>
              </w:rPr>
            </w:pPr>
            <w:r w:rsidRPr="00FF63C3">
              <w:rPr>
                <w:rStyle w:val="normaltextrun"/>
                <w:rFonts w:ascii="Verdana" w:hAnsi="Verdana"/>
                <w:sz w:val="14"/>
                <w:szCs w:val="14"/>
              </w:rPr>
              <w:t xml:space="preserve">Contratista Subdirección Gestión Contractual  </w:t>
            </w:r>
          </w:p>
        </w:tc>
      </w:tr>
      <w:tr w:rsidR="00BF124D" w:rsidRPr="005644FE" w14:paraId="59461786" w14:textId="77777777" w:rsidTr="005C1255">
        <w:trPr>
          <w:trHeight w:val="300"/>
        </w:trPr>
        <w:tc>
          <w:tcPr>
            <w:tcW w:w="893" w:type="dxa"/>
            <w:vAlign w:val="center"/>
          </w:tcPr>
          <w:p w14:paraId="39E15182" w14:textId="77777777" w:rsidR="00BF124D" w:rsidRPr="00FF63C3" w:rsidRDefault="00BF124D" w:rsidP="005C1255">
            <w:pPr>
              <w:contextualSpacing/>
              <w:rPr>
                <w:rFonts w:ascii="Verdana" w:hAnsi="Verdana" w:cs="Arial"/>
                <w:sz w:val="14"/>
                <w:szCs w:val="14"/>
                <w:lang w:eastAsia="es-ES"/>
              </w:rPr>
            </w:pPr>
            <w:r w:rsidRPr="00FF63C3">
              <w:rPr>
                <w:rFonts w:ascii="Verdana" w:hAnsi="Verdana" w:cs="Arial"/>
                <w:sz w:val="14"/>
                <w:szCs w:val="14"/>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400B2C9" w14:textId="77777777" w:rsidR="00BF124D" w:rsidRPr="00FF63C3" w:rsidRDefault="00BF124D" w:rsidP="005C1255">
            <w:pPr>
              <w:contextualSpacing/>
              <w:rPr>
                <w:rFonts w:ascii="Verdana" w:eastAsia="Calibri" w:hAnsi="Verdana" w:cs="Arial"/>
                <w:sz w:val="14"/>
                <w:szCs w:val="14"/>
                <w:lang w:eastAsia="es-ES"/>
              </w:rPr>
            </w:pPr>
            <w:r w:rsidRPr="00FF63C3">
              <w:rPr>
                <w:rFonts w:ascii="Verdana" w:eastAsia="Calibri" w:hAnsi="Verdana" w:cs="Arial"/>
                <w:sz w:val="14"/>
                <w:szCs w:val="14"/>
                <w:lang w:eastAsia="es-ES"/>
              </w:rPr>
              <w:t>Carolina Quintero Gacharná</w:t>
            </w:r>
          </w:p>
          <w:p w14:paraId="79D7723A" w14:textId="77777777" w:rsidR="00BF124D" w:rsidRPr="00FF63C3" w:rsidRDefault="00BF124D" w:rsidP="005C1255">
            <w:pPr>
              <w:contextualSpacing/>
              <w:rPr>
                <w:rFonts w:ascii="Verdana" w:eastAsia="Calibri" w:hAnsi="Verdana" w:cs="Arial"/>
                <w:sz w:val="14"/>
                <w:szCs w:val="14"/>
                <w:lang w:eastAsia="es-ES"/>
              </w:rPr>
            </w:pPr>
            <w:r w:rsidRPr="00FF63C3">
              <w:rPr>
                <w:rFonts w:ascii="Verdana" w:eastAsia="Calibri" w:hAnsi="Verdana" w:cs="Arial"/>
                <w:sz w:val="14"/>
                <w:szCs w:val="14"/>
                <w:lang w:eastAsia="es-ES"/>
              </w:rPr>
              <w:t>Subdirectora de Gestión Contractual ANCP – CCE</w:t>
            </w:r>
          </w:p>
        </w:tc>
      </w:tr>
      <w:bookmarkEnd w:id="1"/>
    </w:tbl>
    <w:p w14:paraId="710164A4" w14:textId="77777777" w:rsidR="00BF124D" w:rsidRPr="0024624F" w:rsidRDefault="00BF124D" w:rsidP="00BF124D">
      <w:pPr>
        <w:spacing w:after="0"/>
        <w:rPr>
          <w:rFonts w:ascii="Verdana" w:eastAsia="Verdana" w:hAnsi="Verdana" w:cs="Verdana"/>
        </w:rPr>
      </w:pPr>
    </w:p>
    <w:p w14:paraId="5D7ED62C" w14:textId="77777777" w:rsidR="00BF124D" w:rsidRPr="0015699B" w:rsidRDefault="00BF124D" w:rsidP="00BF124D">
      <w:pPr>
        <w:spacing w:after="0"/>
        <w:rPr>
          <w:rFonts w:ascii="Verdana" w:eastAsia="Verdana" w:hAnsi="Verdana" w:cs="Verdana"/>
        </w:rPr>
      </w:pPr>
    </w:p>
    <w:p w14:paraId="65EB33B8" w14:textId="77777777" w:rsidR="00BF124D" w:rsidRPr="0015699B" w:rsidRDefault="00BF124D" w:rsidP="00BF124D">
      <w:pPr>
        <w:spacing w:after="0"/>
        <w:rPr>
          <w:rFonts w:ascii="Verdana" w:eastAsia="Verdana" w:hAnsi="Verdana" w:cs="Verdana"/>
        </w:rPr>
      </w:pPr>
    </w:p>
    <w:p w14:paraId="0F293BF4" w14:textId="7CCD1B1E" w:rsidR="00127233" w:rsidRPr="0015699B" w:rsidRDefault="00127233" w:rsidP="00640136">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7D914" w14:textId="77777777" w:rsidR="00777F60" w:rsidRDefault="00777F60" w:rsidP="004A1847">
      <w:pPr>
        <w:spacing w:after="0" w:line="240" w:lineRule="auto"/>
      </w:pPr>
      <w:r>
        <w:separator/>
      </w:r>
    </w:p>
  </w:endnote>
  <w:endnote w:type="continuationSeparator" w:id="0">
    <w:p w14:paraId="435DD04E" w14:textId="77777777" w:rsidR="00777F60" w:rsidRDefault="00777F6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E3EDC" w14:textId="77777777" w:rsidR="00777F60" w:rsidRDefault="00777F60" w:rsidP="004A1847">
      <w:pPr>
        <w:spacing w:after="0" w:line="240" w:lineRule="auto"/>
      </w:pPr>
      <w:r>
        <w:separator/>
      </w:r>
    </w:p>
  </w:footnote>
  <w:footnote w:type="continuationSeparator" w:id="0">
    <w:p w14:paraId="2564F356" w14:textId="77777777" w:rsidR="00777F60" w:rsidRDefault="00777F60" w:rsidP="004A1847">
      <w:pPr>
        <w:spacing w:after="0" w:line="240" w:lineRule="auto"/>
      </w:pPr>
      <w:r>
        <w:continuationSeparator/>
      </w:r>
    </w:p>
  </w:footnote>
  <w:footnote w:id="1">
    <w:p w14:paraId="3865C67B" w14:textId="77777777" w:rsidR="00BF124D" w:rsidRPr="00222365" w:rsidRDefault="00BF124D" w:rsidP="00BF124D">
      <w:pPr>
        <w:spacing w:after="0" w:line="240" w:lineRule="auto"/>
        <w:ind w:firstLine="709"/>
        <w:contextualSpacing/>
        <w:jc w:val="both"/>
        <w:rPr>
          <w:rFonts w:ascii="Verdana" w:hAnsi="Verdana" w:cs="Arial"/>
          <w:sz w:val="16"/>
          <w:szCs w:val="16"/>
        </w:rPr>
      </w:pPr>
      <w:r w:rsidRPr="00222365">
        <w:rPr>
          <w:rStyle w:val="Refdenotaalpie"/>
          <w:rFonts w:ascii="Verdana" w:hAnsi="Verdana" w:cs="Arial"/>
          <w:sz w:val="16"/>
          <w:szCs w:val="16"/>
        </w:rPr>
        <w:footnoteRef/>
      </w:r>
      <w:r w:rsidRPr="00222365">
        <w:rPr>
          <w:rFonts w:ascii="Verdana" w:hAnsi="Verdana" w:cs="Arial"/>
          <w:sz w:val="16"/>
          <w:szCs w:val="16"/>
        </w:rPr>
        <w:t xml:space="preserve"> La Agencia Nacional de Contratación Pública </w:t>
      </w:r>
      <w:r w:rsidRPr="00222365">
        <w:rPr>
          <w:rFonts w:ascii="Verdana" w:hAnsi="Verdana" w:cs="Arial"/>
          <w:w w:val="95"/>
          <w:sz w:val="16"/>
          <w:szCs w:val="16"/>
        </w:rPr>
        <w:t xml:space="preserve">‒ </w:t>
      </w:r>
      <w:r w:rsidRPr="00222365">
        <w:rPr>
          <w:rFonts w:ascii="Verdana" w:hAnsi="Verdana" w:cs="Arial"/>
          <w:sz w:val="16"/>
          <w:szCs w:val="16"/>
        </w:rPr>
        <w:t>Colombia Compra Eficiente fue creada por el Decreto Ley</w:t>
      </w:r>
      <w:r w:rsidRPr="00222365">
        <w:rPr>
          <w:rFonts w:ascii="Verdana" w:hAnsi="Verdana" w:cs="Arial"/>
          <w:spacing w:val="1"/>
          <w:sz w:val="16"/>
          <w:szCs w:val="16"/>
        </w:rPr>
        <w:t xml:space="preserve"> </w:t>
      </w:r>
      <w:r w:rsidRPr="00222365">
        <w:rPr>
          <w:rFonts w:ascii="Verdana" w:hAnsi="Verdana" w:cs="Arial"/>
          <w:sz w:val="16"/>
          <w:szCs w:val="16"/>
        </w:rPr>
        <w:t>4170 de 2011. Su objetivo es servir como ente rector de la política de compras y contratación del Estado. Para tales</w:t>
      </w:r>
      <w:r w:rsidRPr="00222365">
        <w:rPr>
          <w:rFonts w:ascii="Verdana" w:hAnsi="Verdana" w:cs="Arial"/>
          <w:spacing w:val="1"/>
          <w:sz w:val="16"/>
          <w:szCs w:val="16"/>
        </w:rPr>
        <w:t xml:space="preserve"> </w:t>
      </w:r>
      <w:r w:rsidRPr="00222365">
        <w:rPr>
          <w:rFonts w:ascii="Verdana" w:hAnsi="Verdana" w:cs="Arial"/>
          <w:sz w:val="16"/>
          <w:szCs w:val="16"/>
        </w:rPr>
        <w:t>fines, como órgano técnico especializado, le corresponde formular políticas públicas y normas y unificar los procesos</w:t>
      </w:r>
      <w:r w:rsidRPr="00222365">
        <w:rPr>
          <w:rFonts w:ascii="Verdana" w:hAnsi="Verdana" w:cs="Arial"/>
          <w:spacing w:val="1"/>
          <w:sz w:val="16"/>
          <w:szCs w:val="16"/>
        </w:rPr>
        <w:t xml:space="preserve"> </w:t>
      </w:r>
      <w:r w:rsidRPr="00222365">
        <w:rPr>
          <w:rFonts w:ascii="Verdana" w:hAnsi="Verdana" w:cs="Arial"/>
          <w:sz w:val="16"/>
          <w:szCs w:val="16"/>
        </w:rPr>
        <w:t>de contratación estatal, con el fin de lograr una mayor eficiencia, transparencia y optimización de los recursos del</w:t>
      </w:r>
      <w:r w:rsidRPr="00222365">
        <w:rPr>
          <w:rFonts w:ascii="Verdana" w:hAnsi="Verdana" w:cs="Arial"/>
          <w:spacing w:val="1"/>
          <w:sz w:val="16"/>
          <w:szCs w:val="16"/>
        </w:rPr>
        <w:t xml:space="preserve"> </w:t>
      </w:r>
      <w:r w:rsidRPr="00222365">
        <w:rPr>
          <w:rFonts w:ascii="Verdana" w:hAnsi="Verdana" w:cs="Arial"/>
          <w:sz w:val="16"/>
          <w:szCs w:val="16"/>
        </w:rPr>
        <w:t>Estado. El artículo 3 ibidem señala, de manera precisa, las funciones de Colombia Compra Eficiente. Concretamente,</w:t>
      </w:r>
      <w:r w:rsidRPr="00222365">
        <w:rPr>
          <w:rFonts w:ascii="Verdana" w:hAnsi="Verdana" w:cs="Arial"/>
          <w:spacing w:val="1"/>
          <w:sz w:val="16"/>
          <w:szCs w:val="16"/>
        </w:rPr>
        <w:t xml:space="preserve"> </w:t>
      </w:r>
      <w:r w:rsidRPr="00222365">
        <w:rPr>
          <w:rFonts w:ascii="Verdana" w:hAnsi="Verdana" w:cs="Arial"/>
          <w:sz w:val="16"/>
          <w:szCs w:val="16"/>
        </w:rPr>
        <w:t>el</w:t>
      </w:r>
      <w:r w:rsidRPr="00222365">
        <w:rPr>
          <w:rFonts w:ascii="Verdana" w:hAnsi="Verdana" w:cs="Arial"/>
          <w:spacing w:val="-10"/>
          <w:sz w:val="16"/>
          <w:szCs w:val="16"/>
        </w:rPr>
        <w:t xml:space="preserve"> </w:t>
      </w:r>
      <w:r w:rsidRPr="00222365">
        <w:rPr>
          <w:rFonts w:ascii="Verdana" w:hAnsi="Verdana" w:cs="Arial"/>
          <w:sz w:val="16"/>
          <w:szCs w:val="16"/>
        </w:rPr>
        <w:t>numeral</w:t>
      </w:r>
      <w:r w:rsidRPr="00222365">
        <w:rPr>
          <w:rFonts w:ascii="Verdana" w:hAnsi="Verdana" w:cs="Arial"/>
          <w:spacing w:val="-9"/>
          <w:sz w:val="16"/>
          <w:szCs w:val="16"/>
        </w:rPr>
        <w:t xml:space="preserve"> </w:t>
      </w:r>
      <w:r w:rsidRPr="00222365">
        <w:rPr>
          <w:rFonts w:ascii="Verdana" w:hAnsi="Verdana" w:cs="Arial"/>
          <w:sz w:val="16"/>
          <w:szCs w:val="16"/>
        </w:rPr>
        <w:t>5º</w:t>
      </w:r>
      <w:r w:rsidRPr="00222365">
        <w:rPr>
          <w:rFonts w:ascii="Verdana" w:hAnsi="Verdana" w:cs="Arial"/>
          <w:spacing w:val="-9"/>
          <w:sz w:val="16"/>
          <w:szCs w:val="16"/>
        </w:rPr>
        <w:t xml:space="preserve"> </w:t>
      </w:r>
      <w:r w:rsidRPr="00222365">
        <w:rPr>
          <w:rFonts w:ascii="Verdana" w:hAnsi="Verdana" w:cs="Arial"/>
          <w:sz w:val="16"/>
          <w:szCs w:val="16"/>
        </w:rPr>
        <w:t>de</w:t>
      </w:r>
      <w:r w:rsidRPr="00222365">
        <w:rPr>
          <w:rFonts w:ascii="Verdana" w:hAnsi="Verdana" w:cs="Arial"/>
          <w:spacing w:val="-9"/>
          <w:sz w:val="16"/>
          <w:szCs w:val="16"/>
        </w:rPr>
        <w:t xml:space="preserve"> </w:t>
      </w:r>
      <w:r w:rsidRPr="00222365">
        <w:rPr>
          <w:rFonts w:ascii="Verdana" w:hAnsi="Verdana" w:cs="Arial"/>
          <w:sz w:val="16"/>
          <w:szCs w:val="16"/>
        </w:rPr>
        <w:t>este</w:t>
      </w:r>
      <w:r w:rsidRPr="00222365">
        <w:rPr>
          <w:rFonts w:ascii="Verdana" w:hAnsi="Verdana" w:cs="Arial"/>
          <w:spacing w:val="-9"/>
          <w:sz w:val="16"/>
          <w:szCs w:val="16"/>
        </w:rPr>
        <w:t xml:space="preserve"> </w:t>
      </w:r>
      <w:r w:rsidRPr="00222365">
        <w:rPr>
          <w:rFonts w:ascii="Verdana" w:hAnsi="Verdana" w:cs="Arial"/>
          <w:sz w:val="16"/>
          <w:szCs w:val="16"/>
        </w:rPr>
        <w:t>artículo</w:t>
      </w:r>
      <w:r w:rsidRPr="00222365">
        <w:rPr>
          <w:rFonts w:ascii="Verdana" w:hAnsi="Verdana" w:cs="Arial"/>
          <w:spacing w:val="-9"/>
          <w:sz w:val="16"/>
          <w:szCs w:val="16"/>
        </w:rPr>
        <w:t xml:space="preserve"> </w:t>
      </w:r>
      <w:r w:rsidRPr="00222365">
        <w:rPr>
          <w:rFonts w:ascii="Verdana" w:hAnsi="Verdana" w:cs="Arial"/>
          <w:sz w:val="16"/>
          <w:szCs w:val="16"/>
        </w:rPr>
        <w:t>establece</w:t>
      </w:r>
      <w:r w:rsidRPr="00222365">
        <w:rPr>
          <w:rFonts w:ascii="Verdana" w:hAnsi="Verdana" w:cs="Arial"/>
          <w:spacing w:val="-9"/>
          <w:sz w:val="16"/>
          <w:szCs w:val="16"/>
        </w:rPr>
        <w:t xml:space="preserve"> </w:t>
      </w:r>
      <w:r w:rsidRPr="00222365">
        <w:rPr>
          <w:rFonts w:ascii="Verdana" w:hAnsi="Verdana" w:cs="Arial"/>
          <w:sz w:val="16"/>
          <w:szCs w:val="16"/>
        </w:rPr>
        <w:t>que</w:t>
      </w:r>
      <w:r w:rsidRPr="00222365">
        <w:rPr>
          <w:rFonts w:ascii="Verdana" w:hAnsi="Verdana" w:cs="Arial"/>
          <w:spacing w:val="-9"/>
          <w:sz w:val="16"/>
          <w:szCs w:val="16"/>
        </w:rPr>
        <w:t xml:space="preserve"> </w:t>
      </w:r>
      <w:r w:rsidRPr="00222365">
        <w:rPr>
          <w:rFonts w:ascii="Verdana" w:hAnsi="Verdana" w:cs="Arial"/>
          <w:sz w:val="16"/>
          <w:szCs w:val="16"/>
        </w:rPr>
        <w:t>le</w:t>
      </w:r>
      <w:r w:rsidRPr="00222365">
        <w:rPr>
          <w:rFonts w:ascii="Verdana" w:hAnsi="Verdana" w:cs="Arial"/>
          <w:spacing w:val="-9"/>
          <w:sz w:val="16"/>
          <w:szCs w:val="16"/>
        </w:rPr>
        <w:t xml:space="preserve"> </w:t>
      </w:r>
      <w:r w:rsidRPr="00222365">
        <w:rPr>
          <w:rFonts w:ascii="Verdana" w:hAnsi="Verdana" w:cs="Arial"/>
          <w:sz w:val="16"/>
          <w:szCs w:val="16"/>
        </w:rPr>
        <w:t>corresponde</w:t>
      </w:r>
      <w:r w:rsidRPr="00222365">
        <w:rPr>
          <w:rFonts w:ascii="Verdana" w:hAnsi="Verdana" w:cs="Arial"/>
          <w:spacing w:val="-9"/>
          <w:sz w:val="16"/>
          <w:szCs w:val="16"/>
        </w:rPr>
        <w:t xml:space="preserve"> </w:t>
      </w:r>
      <w:r w:rsidRPr="00222365">
        <w:rPr>
          <w:rFonts w:ascii="Verdana" w:hAnsi="Verdana" w:cs="Arial"/>
          <w:sz w:val="16"/>
          <w:szCs w:val="16"/>
        </w:rPr>
        <w:t>a</w:t>
      </w:r>
      <w:r w:rsidRPr="00222365">
        <w:rPr>
          <w:rFonts w:ascii="Verdana" w:hAnsi="Verdana" w:cs="Arial"/>
          <w:spacing w:val="-9"/>
          <w:sz w:val="16"/>
          <w:szCs w:val="16"/>
        </w:rPr>
        <w:t xml:space="preserve"> </w:t>
      </w:r>
      <w:r w:rsidRPr="00222365">
        <w:rPr>
          <w:rFonts w:ascii="Verdana" w:hAnsi="Verdana" w:cs="Arial"/>
          <w:sz w:val="16"/>
          <w:szCs w:val="16"/>
        </w:rPr>
        <w:t>esta</w:t>
      </w:r>
      <w:r w:rsidRPr="00222365">
        <w:rPr>
          <w:rFonts w:ascii="Verdana" w:hAnsi="Verdana" w:cs="Arial"/>
          <w:spacing w:val="-9"/>
          <w:sz w:val="16"/>
          <w:szCs w:val="16"/>
        </w:rPr>
        <w:t xml:space="preserve"> </w:t>
      </w:r>
      <w:r w:rsidRPr="00222365">
        <w:rPr>
          <w:rFonts w:ascii="Verdana" w:hAnsi="Verdana" w:cs="Arial"/>
          <w:sz w:val="16"/>
          <w:szCs w:val="16"/>
        </w:rPr>
        <w:t>entidad:</w:t>
      </w:r>
      <w:r w:rsidRPr="00222365">
        <w:rPr>
          <w:rFonts w:ascii="Verdana" w:hAnsi="Verdana" w:cs="Arial"/>
          <w:spacing w:val="-9"/>
          <w:sz w:val="16"/>
          <w:szCs w:val="16"/>
        </w:rPr>
        <w:t xml:space="preserve"> “</w:t>
      </w:r>
      <w:r w:rsidRPr="00222365">
        <w:rPr>
          <w:rFonts w:ascii="Verdana" w:hAnsi="Verdana" w:cs="Arial"/>
          <w:sz w:val="16"/>
          <w:szCs w:val="16"/>
        </w:rPr>
        <w:t>[a]bsolver</w:t>
      </w:r>
      <w:r w:rsidRPr="00222365">
        <w:rPr>
          <w:rFonts w:ascii="Verdana" w:hAnsi="Verdana" w:cs="Arial"/>
          <w:spacing w:val="-9"/>
          <w:sz w:val="16"/>
          <w:szCs w:val="16"/>
        </w:rPr>
        <w:t xml:space="preserve"> </w:t>
      </w:r>
      <w:r w:rsidRPr="00222365">
        <w:rPr>
          <w:rFonts w:ascii="Verdana" w:hAnsi="Verdana" w:cs="Arial"/>
          <w:sz w:val="16"/>
          <w:szCs w:val="16"/>
        </w:rPr>
        <w:t>consultas</w:t>
      </w:r>
      <w:r w:rsidRPr="00222365">
        <w:rPr>
          <w:rFonts w:ascii="Verdana" w:hAnsi="Verdana" w:cs="Arial"/>
          <w:spacing w:val="-9"/>
          <w:sz w:val="16"/>
          <w:szCs w:val="16"/>
        </w:rPr>
        <w:t xml:space="preserve"> </w:t>
      </w:r>
      <w:r w:rsidRPr="00222365">
        <w:rPr>
          <w:rFonts w:ascii="Verdana" w:hAnsi="Verdana" w:cs="Arial"/>
          <w:sz w:val="16"/>
          <w:szCs w:val="16"/>
        </w:rPr>
        <w:t>sobre</w:t>
      </w:r>
      <w:r w:rsidRPr="00222365">
        <w:rPr>
          <w:rFonts w:ascii="Verdana" w:hAnsi="Verdana" w:cs="Arial"/>
          <w:spacing w:val="-9"/>
          <w:sz w:val="16"/>
          <w:szCs w:val="16"/>
        </w:rPr>
        <w:t xml:space="preserve"> </w:t>
      </w:r>
      <w:r w:rsidRPr="00222365">
        <w:rPr>
          <w:rFonts w:ascii="Verdana" w:hAnsi="Verdana" w:cs="Arial"/>
          <w:sz w:val="16"/>
          <w:szCs w:val="16"/>
        </w:rPr>
        <w:t>la</w:t>
      </w:r>
      <w:r w:rsidRPr="00222365">
        <w:rPr>
          <w:rFonts w:ascii="Verdana" w:hAnsi="Verdana" w:cs="Arial"/>
          <w:spacing w:val="-9"/>
          <w:sz w:val="16"/>
          <w:szCs w:val="16"/>
        </w:rPr>
        <w:t xml:space="preserve"> </w:t>
      </w:r>
      <w:r w:rsidRPr="00222365">
        <w:rPr>
          <w:rFonts w:ascii="Verdana" w:hAnsi="Verdana" w:cs="Arial"/>
          <w:sz w:val="16"/>
          <w:szCs w:val="16"/>
        </w:rPr>
        <w:t>aplicación</w:t>
      </w:r>
      <w:r w:rsidRPr="00222365">
        <w:rPr>
          <w:rFonts w:ascii="Verdana" w:hAnsi="Verdana" w:cs="Arial"/>
          <w:spacing w:val="-9"/>
          <w:sz w:val="16"/>
          <w:szCs w:val="16"/>
        </w:rPr>
        <w:t xml:space="preserve"> </w:t>
      </w:r>
      <w:r w:rsidRPr="00222365">
        <w:rPr>
          <w:rFonts w:ascii="Verdana" w:hAnsi="Verdana" w:cs="Arial"/>
          <w:sz w:val="16"/>
          <w:szCs w:val="16"/>
        </w:rPr>
        <w:t>de</w:t>
      </w:r>
      <w:r w:rsidRPr="00222365">
        <w:rPr>
          <w:rFonts w:ascii="Verdana" w:hAnsi="Verdana" w:cs="Arial"/>
          <w:spacing w:val="1"/>
          <w:sz w:val="16"/>
          <w:szCs w:val="16"/>
        </w:rPr>
        <w:t xml:space="preserve"> </w:t>
      </w:r>
      <w:r w:rsidRPr="00222365">
        <w:rPr>
          <w:rFonts w:ascii="Verdana" w:hAnsi="Verdana" w:cs="Arial"/>
          <w:spacing w:val="-1"/>
          <w:sz w:val="16"/>
          <w:szCs w:val="16"/>
        </w:rPr>
        <w:t>normas</w:t>
      </w:r>
      <w:r w:rsidRPr="00222365">
        <w:rPr>
          <w:rFonts w:ascii="Verdana" w:hAnsi="Verdana" w:cs="Arial"/>
          <w:spacing w:val="-12"/>
          <w:sz w:val="16"/>
          <w:szCs w:val="16"/>
        </w:rPr>
        <w:t xml:space="preserve"> </w:t>
      </w:r>
      <w:r w:rsidRPr="00222365">
        <w:rPr>
          <w:rFonts w:ascii="Verdana" w:hAnsi="Verdana" w:cs="Arial"/>
          <w:spacing w:val="-1"/>
          <w:sz w:val="16"/>
          <w:szCs w:val="16"/>
        </w:rPr>
        <w:t>de</w:t>
      </w:r>
      <w:r w:rsidRPr="00222365">
        <w:rPr>
          <w:rFonts w:ascii="Verdana" w:hAnsi="Verdana" w:cs="Arial"/>
          <w:spacing w:val="-13"/>
          <w:sz w:val="16"/>
          <w:szCs w:val="16"/>
        </w:rPr>
        <w:t xml:space="preserve"> </w:t>
      </w:r>
      <w:r w:rsidRPr="00222365">
        <w:rPr>
          <w:rFonts w:ascii="Verdana" w:hAnsi="Verdana" w:cs="Arial"/>
          <w:spacing w:val="-1"/>
          <w:sz w:val="16"/>
          <w:szCs w:val="16"/>
        </w:rPr>
        <w:t>carácter</w:t>
      </w:r>
      <w:r w:rsidRPr="00222365">
        <w:rPr>
          <w:rFonts w:ascii="Verdana" w:hAnsi="Verdana" w:cs="Arial"/>
          <w:spacing w:val="-13"/>
          <w:sz w:val="16"/>
          <w:szCs w:val="16"/>
        </w:rPr>
        <w:t xml:space="preserve"> </w:t>
      </w:r>
      <w:r w:rsidRPr="00222365">
        <w:rPr>
          <w:rFonts w:ascii="Verdana" w:hAnsi="Verdana" w:cs="Arial"/>
          <w:spacing w:val="-1"/>
          <w:sz w:val="16"/>
          <w:szCs w:val="16"/>
        </w:rPr>
        <w:t>general</w:t>
      </w:r>
      <w:r w:rsidRPr="00222365">
        <w:rPr>
          <w:rFonts w:ascii="Verdana" w:hAnsi="Verdana" w:cs="Arial"/>
          <w:spacing w:val="-12"/>
          <w:sz w:val="16"/>
          <w:szCs w:val="16"/>
        </w:rPr>
        <w:t xml:space="preserve"> </w:t>
      </w:r>
      <w:r w:rsidRPr="00222365">
        <w:rPr>
          <w:rFonts w:ascii="Verdana" w:hAnsi="Verdana" w:cs="Arial"/>
          <w:spacing w:val="-1"/>
          <w:sz w:val="16"/>
          <w:szCs w:val="16"/>
        </w:rPr>
        <w:t>y</w:t>
      </w:r>
      <w:r w:rsidRPr="00222365">
        <w:rPr>
          <w:rFonts w:ascii="Verdana" w:hAnsi="Verdana" w:cs="Arial"/>
          <w:spacing w:val="-13"/>
          <w:sz w:val="16"/>
          <w:szCs w:val="16"/>
        </w:rPr>
        <w:t xml:space="preserve"> </w:t>
      </w:r>
      <w:r w:rsidRPr="00222365">
        <w:rPr>
          <w:rFonts w:ascii="Verdana" w:hAnsi="Verdana" w:cs="Arial"/>
          <w:spacing w:val="-1"/>
          <w:sz w:val="16"/>
          <w:szCs w:val="16"/>
        </w:rPr>
        <w:t>expedir</w:t>
      </w:r>
      <w:r w:rsidRPr="00222365">
        <w:rPr>
          <w:rFonts w:ascii="Verdana" w:hAnsi="Verdana" w:cs="Arial"/>
          <w:spacing w:val="-12"/>
          <w:sz w:val="16"/>
          <w:szCs w:val="16"/>
        </w:rPr>
        <w:t xml:space="preserve"> </w:t>
      </w:r>
      <w:r w:rsidRPr="00222365">
        <w:rPr>
          <w:rFonts w:ascii="Verdana" w:hAnsi="Verdana" w:cs="Arial"/>
          <w:spacing w:val="-1"/>
          <w:sz w:val="16"/>
          <w:szCs w:val="16"/>
        </w:rPr>
        <w:t>circulares</w:t>
      </w:r>
      <w:r w:rsidRPr="00222365">
        <w:rPr>
          <w:rFonts w:ascii="Verdana" w:hAnsi="Verdana" w:cs="Arial"/>
          <w:spacing w:val="-13"/>
          <w:sz w:val="16"/>
          <w:szCs w:val="16"/>
        </w:rPr>
        <w:t xml:space="preserve"> </w:t>
      </w:r>
      <w:r w:rsidRPr="00222365">
        <w:rPr>
          <w:rFonts w:ascii="Verdana" w:hAnsi="Verdana" w:cs="Arial"/>
          <w:spacing w:val="-1"/>
          <w:sz w:val="16"/>
          <w:szCs w:val="16"/>
        </w:rPr>
        <w:t>externas</w:t>
      </w:r>
      <w:r w:rsidRPr="00222365">
        <w:rPr>
          <w:rFonts w:ascii="Verdana" w:hAnsi="Verdana" w:cs="Arial"/>
          <w:spacing w:val="-12"/>
          <w:sz w:val="16"/>
          <w:szCs w:val="16"/>
        </w:rPr>
        <w:t xml:space="preserve"> </w:t>
      </w:r>
      <w:r w:rsidRPr="00222365">
        <w:rPr>
          <w:rFonts w:ascii="Verdana" w:hAnsi="Verdana" w:cs="Arial"/>
          <w:sz w:val="16"/>
          <w:szCs w:val="16"/>
        </w:rPr>
        <w:t>en</w:t>
      </w:r>
      <w:r w:rsidRPr="00222365">
        <w:rPr>
          <w:rFonts w:ascii="Verdana" w:hAnsi="Verdana" w:cs="Arial"/>
          <w:spacing w:val="-13"/>
          <w:sz w:val="16"/>
          <w:szCs w:val="16"/>
        </w:rPr>
        <w:t xml:space="preserve"> </w:t>
      </w:r>
      <w:r w:rsidRPr="00222365">
        <w:rPr>
          <w:rFonts w:ascii="Verdana" w:hAnsi="Verdana" w:cs="Arial"/>
          <w:sz w:val="16"/>
          <w:szCs w:val="16"/>
        </w:rPr>
        <w:t>materia</w:t>
      </w:r>
      <w:r w:rsidRPr="00222365">
        <w:rPr>
          <w:rFonts w:ascii="Verdana" w:hAnsi="Verdana" w:cs="Arial"/>
          <w:spacing w:val="-13"/>
          <w:sz w:val="16"/>
          <w:szCs w:val="16"/>
        </w:rPr>
        <w:t xml:space="preserve"> </w:t>
      </w:r>
      <w:r w:rsidRPr="00222365">
        <w:rPr>
          <w:rFonts w:ascii="Verdana" w:hAnsi="Verdana" w:cs="Arial"/>
          <w:sz w:val="16"/>
          <w:szCs w:val="16"/>
        </w:rPr>
        <w:t>de</w:t>
      </w:r>
      <w:r w:rsidRPr="00222365">
        <w:rPr>
          <w:rFonts w:ascii="Verdana" w:hAnsi="Verdana" w:cs="Arial"/>
          <w:spacing w:val="-13"/>
          <w:sz w:val="16"/>
          <w:szCs w:val="16"/>
        </w:rPr>
        <w:t xml:space="preserve"> </w:t>
      </w:r>
      <w:r w:rsidRPr="00222365">
        <w:rPr>
          <w:rFonts w:ascii="Verdana" w:hAnsi="Verdana" w:cs="Arial"/>
          <w:sz w:val="16"/>
          <w:szCs w:val="16"/>
        </w:rPr>
        <w:t>compras</w:t>
      </w:r>
      <w:r w:rsidRPr="00222365">
        <w:rPr>
          <w:rFonts w:ascii="Verdana" w:hAnsi="Verdana" w:cs="Arial"/>
          <w:spacing w:val="-13"/>
          <w:sz w:val="16"/>
          <w:szCs w:val="16"/>
        </w:rPr>
        <w:t xml:space="preserve"> </w:t>
      </w:r>
      <w:r w:rsidRPr="00222365">
        <w:rPr>
          <w:rFonts w:ascii="Verdana" w:hAnsi="Verdana" w:cs="Arial"/>
          <w:sz w:val="16"/>
          <w:szCs w:val="16"/>
        </w:rPr>
        <w:t>y</w:t>
      </w:r>
      <w:r w:rsidRPr="00222365">
        <w:rPr>
          <w:rFonts w:ascii="Verdana" w:hAnsi="Verdana" w:cs="Arial"/>
          <w:spacing w:val="-13"/>
          <w:sz w:val="16"/>
          <w:szCs w:val="16"/>
        </w:rPr>
        <w:t xml:space="preserve"> </w:t>
      </w:r>
      <w:r w:rsidRPr="00222365">
        <w:rPr>
          <w:rFonts w:ascii="Verdana" w:hAnsi="Verdana" w:cs="Arial"/>
          <w:sz w:val="16"/>
          <w:szCs w:val="16"/>
        </w:rPr>
        <w:t>contratación</w:t>
      </w:r>
      <w:r w:rsidRPr="00222365">
        <w:rPr>
          <w:rFonts w:ascii="Verdana" w:hAnsi="Verdana" w:cs="Arial"/>
          <w:spacing w:val="-13"/>
          <w:sz w:val="16"/>
          <w:szCs w:val="16"/>
        </w:rPr>
        <w:t xml:space="preserve"> </w:t>
      </w:r>
      <w:r w:rsidRPr="00222365">
        <w:rPr>
          <w:rFonts w:ascii="Verdana" w:hAnsi="Verdana" w:cs="Arial"/>
          <w:sz w:val="16"/>
          <w:szCs w:val="16"/>
        </w:rPr>
        <w:t>pública».</w:t>
      </w:r>
      <w:r w:rsidRPr="00222365">
        <w:rPr>
          <w:rFonts w:ascii="Verdana" w:hAnsi="Verdana" w:cs="Arial"/>
          <w:spacing w:val="-12"/>
          <w:sz w:val="16"/>
          <w:szCs w:val="16"/>
        </w:rPr>
        <w:t xml:space="preserve"> </w:t>
      </w:r>
      <w:r w:rsidRPr="00222365">
        <w:rPr>
          <w:rFonts w:ascii="Verdana" w:hAnsi="Verdana" w:cs="Arial"/>
          <w:sz w:val="16"/>
          <w:szCs w:val="16"/>
        </w:rPr>
        <w:t>Seguidamente,</w:t>
      </w:r>
      <w:r w:rsidRPr="00222365">
        <w:rPr>
          <w:rFonts w:ascii="Verdana" w:hAnsi="Verdana" w:cs="Arial"/>
          <w:spacing w:val="1"/>
          <w:sz w:val="16"/>
          <w:szCs w:val="16"/>
        </w:rPr>
        <w:t xml:space="preserve"> </w:t>
      </w:r>
      <w:r w:rsidRPr="00222365">
        <w:rPr>
          <w:rFonts w:ascii="Verdana" w:hAnsi="Verdana" w:cs="Arial"/>
          <w:sz w:val="16"/>
          <w:szCs w:val="16"/>
        </w:rPr>
        <w:t>el numeral 8º del artículo 11 ibidem señala que es función de la Subdirección de Gestión Contractual: “[a]bsolver</w:t>
      </w:r>
      <w:r w:rsidRPr="00222365">
        <w:rPr>
          <w:rFonts w:ascii="Verdana" w:hAnsi="Verdana" w:cs="Arial"/>
          <w:spacing w:val="1"/>
          <w:sz w:val="16"/>
          <w:szCs w:val="16"/>
        </w:rPr>
        <w:t xml:space="preserve"> </w:t>
      </w:r>
      <w:r w:rsidRPr="00222365">
        <w:rPr>
          <w:rFonts w:ascii="Verdana" w:hAnsi="Verdana" w:cs="Arial"/>
          <w:sz w:val="16"/>
          <w:szCs w:val="16"/>
        </w:rPr>
        <w:t>consultas</w:t>
      </w:r>
      <w:r w:rsidRPr="00222365">
        <w:rPr>
          <w:rFonts w:ascii="Verdana" w:hAnsi="Verdana" w:cs="Arial"/>
          <w:spacing w:val="-2"/>
          <w:sz w:val="16"/>
          <w:szCs w:val="16"/>
        </w:rPr>
        <w:t xml:space="preserve"> </w:t>
      </w:r>
      <w:r w:rsidRPr="00222365">
        <w:rPr>
          <w:rFonts w:ascii="Verdana" w:hAnsi="Verdana" w:cs="Arial"/>
          <w:sz w:val="16"/>
          <w:szCs w:val="16"/>
        </w:rPr>
        <w:t>sobre</w:t>
      </w:r>
      <w:r w:rsidRPr="00222365">
        <w:rPr>
          <w:rFonts w:ascii="Verdana" w:hAnsi="Verdana" w:cs="Arial"/>
          <w:spacing w:val="-1"/>
          <w:sz w:val="16"/>
          <w:szCs w:val="16"/>
        </w:rPr>
        <w:t xml:space="preserve"> </w:t>
      </w:r>
      <w:r w:rsidRPr="00222365">
        <w:rPr>
          <w:rFonts w:ascii="Verdana" w:hAnsi="Verdana" w:cs="Arial"/>
          <w:sz w:val="16"/>
          <w:szCs w:val="16"/>
        </w:rPr>
        <w:t>la</w:t>
      </w:r>
      <w:r w:rsidRPr="00222365">
        <w:rPr>
          <w:rFonts w:ascii="Verdana" w:hAnsi="Verdana" w:cs="Arial"/>
          <w:spacing w:val="-1"/>
          <w:sz w:val="16"/>
          <w:szCs w:val="16"/>
        </w:rPr>
        <w:t xml:space="preserve"> </w:t>
      </w:r>
      <w:r w:rsidRPr="00222365">
        <w:rPr>
          <w:rFonts w:ascii="Verdana" w:hAnsi="Verdana" w:cs="Arial"/>
          <w:sz w:val="16"/>
          <w:szCs w:val="16"/>
        </w:rPr>
        <w:t>aplicación</w:t>
      </w:r>
      <w:r w:rsidRPr="00222365">
        <w:rPr>
          <w:rFonts w:ascii="Verdana" w:hAnsi="Verdana" w:cs="Arial"/>
          <w:spacing w:val="-2"/>
          <w:sz w:val="16"/>
          <w:szCs w:val="16"/>
        </w:rPr>
        <w:t xml:space="preserve"> </w:t>
      </w:r>
      <w:r w:rsidRPr="00222365">
        <w:rPr>
          <w:rFonts w:ascii="Verdana" w:hAnsi="Verdana" w:cs="Arial"/>
          <w:sz w:val="16"/>
          <w:szCs w:val="16"/>
        </w:rPr>
        <w:t>de</w:t>
      </w:r>
      <w:r w:rsidRPr="00222365">
        <w:rPr>
          <w:rFonts w:ascii="Verdana" w:hAnsi="Verdana" w:cs="Arial"/>
          <w:spacing w:val="-1"/>
          <w:sz w:val="16"/>
          <w:szCs w:val="16"/>
        </w:rPr>
        <w:t xml:space="preserve"> </w:t>
      </w:r>
      <w:r w:rsidRPr="00222365">
        <w:rPr>
          <w:rFonts w:ascii="Verdana" w:hAnsi="Verdana" w:cs="Arial"/>
          <w:sz w:val="16"/>
          <w:szCs w:val="16"/>
        </w:rPr>
        <w:t>normas</w:t>
      </w:r>
      <w:r w:rsidRPr="00222365">
        <w:rPr>
          <w:rFonts w:ascii="Verdana" w:hAnsi="Verdana" w:cs="Arial"/>
          <w:spacing w:val="-1"/>
          <w:sz w:val="16"/>
          <w:szCs w:val="16"/>
        </w:rPr>
        <w:t xml:space="preserve"> </w:t>
      </w:r>
      <w:r w:rsidRPr="00222365">
        <w:rPr>
          <w:rFonts w:ascii="Verdana" w:hAnsi="Verdana" w:cs="Arial"/>
          <w:sz w:val="16"/>
          <w:szCs w:val="16"/>
        </w:rPr>
        <w:t>de</w:t>
      </w:r>
      <w:r w:rsidRPr="00222365">
        <w:rPr>
          <w:rFonts w:ascii="Verdana" w:hAnsi="Verdana" w:cs="Arial"/>
          <w:spacing w:val="-1"/>
          <w:sz w:val="16"/>
          <w:szCs w:val="16"/>
        </w:rPr>
        <w:t xml:space="preserve"> </w:t>
      </w:r>
      <w:r w:rsidRPr="00222365">
        <w:rPr>
          <w:rFonts w:ascii="Verdana" w:hAnsi="Verdana" w:cs="Arial"/>
          <w:sz w:val="16"/>
          <w:szCs w:val="16"/>
        </w:rPr>
        <w:t>carácter</w:t>
      </w:r>
      <w:r w:rsidRPr="00222365">
        <w:rPr>
          <w:rFonts w:ascii="Verdana" w:hAnsi="Verdana" w:cs="Arial"/>
          <w:spacing w:val="-2"/>
          <w:sz w:val="16"/>
          <w:szCs w:val="16"/>
        </w:rPr>
        <w:t xml:space="preserve"> </w:t>
      </w:r>
      <w:r w:rsidRPr="00222365">
        <w:rPr>
          <w:rFonts w:ascii="Verdana" w:hAnsi="Verdana" w:cs="Arial"/>
          <w:sz w:val="16"/>
          <w:szCs w:val="16"/>
        </w:rPr>
        <w:t>general”.</w:t>
      </w:r>
    </w:p>
    <w:p w14:paraId="337C2C09" w14:textId="77777777" w:rsidR="00BF124D" w:rsidRPr="00222365" w:rsidRDefault="00BF124D" w:rsidP="00BF124D">
      <w:pPr>
        <w:pStyle w:val="Textonotapie"/>
        <w:contextualSpacing/>
        <w:jc w:val="both"/>
        <w:rPr>
          <w:rFonts w:ascii="Verdana" w:hAnsi="Verdana" w:cs="Arial"/>
          <w:sz w:val="16"/>
          <w:szCs w:val="16"/>
        </w:rPr>
      </w:pPr>
    </w:p>
  </w:footnote>
  <w:footnote w:id="2">
    <w:p w14:paraId="3DB21675" w14:textId="77777777" w:rsidR="00BF124D" w:rsidRPr="00222365" w:rsidRDefault="00BF124D" w:rsidP="00BF124D">
      <w:pPr>
        <w:pStyle w:val="Textonotapie"/>
        <w:ind w:firstLine="708"/>
        <w:contextualSpacing/>
        <w:jc w:val="both"/>
        <w:rPr>
          <w:rFonts w:ascii="Verdana" w:hAnsi="Verdana" w:cs="Arial"/>
          <w:sz w:val="16"/>
          <w:szCs w:val="16"/>
        </w:rPr>
      </w:pPr>
      <w:r w:rsidRPr="00222365">
        <w:rPr>
          <w:rStyle w:val="Refdenotaalpie"/>
          <w:rFonts w:ascii="Verdana" w:hAnsi="Verdana" w:cs="Arial"/>
          <w:sz w:val="16"/>
          <w:szCs w:val="16"/>
        </w:rPr>
        <w:footnoteRef/>
      </w:r>
      <w:r w:rsidRPr="00222365">
        <w:rPr>
          <w:rFonts w:ascii="Verdana" w:hAnsi="Verdana" w:cs="Arial"/>
          <w:sz w:val="16"/>
          <w:szCs w:val="16"/>
        </w:rPr>
        <w:t xml:space="preserve"> Procuraduría</w:t>
      </w:r>
      <w:r w:rsidRPr="00222365">
        <w:rPr>
          <w:rFonts w:ascii="Verdana" w:hAnsi="Verdana" w:cs="Arial"/>
          <w:spacing w:val="25"/>
          <w:sz w:val="16"/>
          <w:szCs w:val="16"/>
        </w:rPr>
        <w:t xml:space="preserve"> </w:t>
      </w:r>
      <w:r w:rsidRPr="00222365">
        <w:rPr>
          <w:rFonts w:ascii="Verdana" w:hAnsi="Verdana" w:cs="Arial"/>
          <w:sz w:val="16"/>
          <w:szCs w:val="16"/>
        </w:rPr>
        <w:t>General</w:t>
      </w:r>
      <w:r w:rsidRPr="00222365">
        <w:rPr>
          <w:rFonts w:ascii="Verdana" w:hAnsi="Verdana" w:cs="Arial"/>
          <w:spacing w:val="23"/>
          <w:sz w:val="16"/>
          <w:szCs w:val="16"/>
        </w:rPr>
        <w:t xml:space="preserve"> </w:t>
      </w:r>
      <w:r w:rsidRPr="00222365">
        <w:rPr>
          <w:rFonts w:ascii="Verdana" w:hAnsi="Verdana" w:cs="Arial"/>
          <w:sz w:val="16"/>
          <w:szCs w:val="16"/>
        </w:rPr>
        <w:t>de</w:t>
      </w:r>
      <w:r w:rsidRPr="00222365">
        <w:rPr>
          <w:rFonts w:ascii="Verdana" w:hAnsi="Verdana" w:cs="Arial"/>
          <w:spacing w:val="23"/>
          <w:sz w:val="16"/>
          <w:szCs w:val="16"/>
        </w:rPr>
        <w:t xml:space="preserve"> </w:t>
      </w:r>
      <w:r w:rsidRPr="00222365">
        <w:rPr>
          <w:rFonts w:ascii="Verdana" w:hAnsi="Verdana" w:cs="Arial"/>
          <w:sz w:val="16"/>
          <w:szCs w:val="16"/>
        </w:rPr>
        <w:t>la</w:t>
      </w:r>
      <w:r w:rsidRPr="00222365">
        <w:rPr>
          <w:rFonts w:ascii="Verdana" w:hAnsi="Verdana" w:cs="Arial"/>
          <w:spacing w:val="23"/>
          <w:sz w:val="16"/>
          <w:szCs w:val="16"/>
        </w:rPr>
        <w:t xml:space="preserve"> </w:t>
      </w:r>
      <w:r w:rsidRPr="00222365">
        <w:rPr>
          <w:rFonts w:ascii="Verdana" w:hAnsi="Verdana" w:cs="Arial"/>
          <w:sz w:val="16"/>
          <w:szCs w:val="16"/>
        </w:rPr>
        <w:t>Nación.</w:t>
      </w:r>
      <w:r w:rsidRPr="00222365">
        <w:rPr>
          <w:rFonts w:ascii="Verdana" w:hAnsi="Verdana" w:cs="Arial"/>
          <w:spacing w:val="23"/>
          <w:sz w:val="16"/>
          <w:szCs w:val="16"/>
        </w:rPr>
        <w:t xml:space="preserve"> </w:t>
      </w:r>
      <w:r w:rsidRPr="00222365">
        <w:rPr>
          <w:rFonts w:ascii="Verdana" w:hAnsi="Verdana" w:cs="Arial"/>
          <w:sz w:val="16"/>
          <w:szCs w:val="16"/>
        </w:rPr>
        <w:t>Concepto</w:t>
      </w:r>
      <w:r w:rsidRPr="00222365">
        <w:rPr>
          <w:rFonts w:ascii="Verdana" w:hAnsi="Verdana" w:cs="Arial"/>
          <w:spacing w:val="22"/>
          <w:sz w:val="16"/>
          <w:szCs w:val="16"/>
        </w:rPr>
        <w:t xml:space="preserve"> </w:t>
      </w:r>
      <w:r w:rsidRPr="00222365">
        <w:rPr>
          <w:rFonts w:ascii="Verdana" w:hAnsi="Verdana" w:cs="Arial"/>
          <w:sz w:val="16"/>
          <w:szCs w:val="16"/>
        </w:rPr>
        <w:t>del</w:t>
      </w:r>
      <w:r w:rsidRPr="00222365">
        <w:rPr>
          <w:rFonts w:ascii="Verdana" w:hAnsi="Verdana" w:cs="Arial"/>
          <w:spacing w:val="23"/>
          <w:sz w:val="16"/>
          <w:szCs w:val="16"/>
        </w:rPr>
        <w:t xml:space="preserve"> </w:t>
      </w:r>
      <w:r w:rsidRPr="00222365">
        <w:rPr>
          <w:rFonts w:ascii="Verdana" w:hAnsi="Verdana" w:cs="Arial"/>
          <w:sz w:val="16"/>
          <w:szCs w:val="16"/>
        </w:rPr>
        <w:t>15</w:t>
      </w:r>
      <w:r w:rsidRPr="00222365">
        <w:rPr>
          <w:rFonts w:ascii="Verdana" w:hAnsi="Verdana" w:cs="Arial"/>
          <w:spacing w:val="23"/>
          <w:sz w:val="16"/>
          <w:szCs w:val="16"/>
        </w:rPr>
        <w:t xml:space="preserve"> </w:t>
      </w:r>
      <w:r w:rsidRPr="00222365">
        <w:rPr>
          <w:rFonts w:ascii="Verdana" w:hAnsi="Verdana" w:cs="Arial"/>
          <w:sz w:val="16"/>
          <w:szCs w:val="16"/>
        </w:rPr>
        <w:t>de</w:t>
      </w:r>
      <w:r w:rsidRPr="00222365">
        <w:rPr>
          <w:rFonts w:ascii="Verdana" w:hAnsi="Verdana" w:cs="Arial"/>
          <w:spacing w:val="22"/>
          <w:sz w:val="16"/>
          <w:szCs w:val="16"/>
        </w:rPr>
        <w:t xml:space="preserve"> </w:t>
      </w:r>
      <w:r w:rsidRPr="00222365">
        <w:rPr>
          <w:rFonts w:ascii="Verdana" w:hAnsi="Verdana" w:cs="Arial"/>
          <w:sz w:val="16"/>
          <w:szCs w:val="16"/>
        </w:rPr>
        <w:t>octubre</w:t>
      </w:r>
      <w:r w:rsidRPr="00222365">
        <w:rPr>
          <w:rFonts w:ascii="Verdana" w:hAnsi="Verdana" w:cs="Arial"/>
          <w:spacing w:val="23"/>
          <w:sz w:val="16"/>
          <w:szCs w:val="16"/>
        </w:rPr>
        <w:t xml:space="preserve"> </w:t>
      </w:r>
      <w:r w:rsidRPr="00222365">
        <w:rPr>
          <w:rFonts w:ascii="Verdana" w:hAnsi="Verdana" w:cs="Arial"/>
          <w:sz w:val="16"/>
          <w:szCs w:val="16"/>
        </w:rPr>
        <w:t>de</w:t>
      </w:r>
      <w:r w:rsidRPr="00222365">
        <w:rPr>
          <w:rFonts w:ascii="Verdana" w:hAnsi="Verdana" w:cs="Arial"/>
          <w:spacing w:val="23"/>
          <w:sz w:val="16"/>
          <w:szCs w:val="16"/>
        </w:rPr>
        <w:t xml:space="preserve"> </w:t>
      </w:r>
      <w:r w:rsidRPr="00222365">
        <w:rPr>
          <w:rFonts w:ascii="Verdana" w:hAnsi="Verdana" w:cs="Arial"/>
          <w:sz w:val="16"/>
          <w:szCs w:val="16"/>
        </w:rPr>
        <w:t>2014.</w:t>
      </w:r>
      <w:r w:rsidRPr="00222365">
        <w:rPr>
          <w:rFonts w:ascii="Verdana" w:hAnsi="Verdana" w:cs="Arial"/>
          <w:spacing w:val="22"/>
          <w:sz w:val="16"/>
          <w:szCs w:val="16"/>
        </w:rPr>
        <w:t xml:space="preserve"> </w:t>
      </w:r>
      <w:r w:rsidRPr="00222365">
        <w:rPr>
          <w:rFonts w:ascii="Verdana" w:hAnsi="Verdana" w:cs="Arial"/>
          <w:sz w:val="16"/>
          <w:szCs w:val="16"/>
        </w:rPr>
        <w:t>Procuraduría</w:t>
      </w:r>
      <w:r w:rsidRPr="00222365">
        <w:rPr>
          <w:rFonts w:ascii="Verdana" w:hAnsi="Verdana" w:cs="Arial"/>
          <w:spacing w:val="25"/>
          <w:sz w:val="16"/>
          <w:szCs w:val="16"/>
        </w:rPr>
        <w:t xml:space="preserve"> </w:t>
      </w:r>
      <w:r w:rsidRPr="00222365">
        <w:rPr>
          <w:rFonts w:ascii="Verdana" w:hAnsi="Verdana" w:cs="Arial"/>
          <w:sz w:val="16"/>
          <w:szCs w:val="16"/>
        </w:rPr>
        <w:t>Delegada</w:t>
      </w:r>
      <w:r w:rsidRPr="00222365">
        <w:rPr>
          <w:rFonts w:ascii="Verdana" w:hAnsi="Verdana" w:cs="Arial"/>
          <w:spacing w:val="23"/>
          <w:sz w:val="16"/>
          <w:szCs w:val="16"/>
        </w:rPr>
        <w:t xml:space="preserve"> </w:t>
      </w:r>
      <w:r w:rsidRPr="00222365">
        <w:rPr>
          <w:rFonts w:ascii="Verdana" w:hAnsi="Verdana" w:cs="Arial"/>
          <w:sz w:val="16"/>
          <w:szCs w:val="16"/>
        </w:rPr>
        <w:t>para</w:t>
      </w:r>
      <w:r w:rsidRPr="00222365">
        <w:rPr>
          <w:rFonts w:ascii="Verdana" w:hAnsi="Verdana" w:cs="Arial"/>
          <w:spacing w:val="1"/>
          <w:sz w:val="16"/>
          <w:szCs w:val="16"/>
        </w:rPr>
        <w:t xml:space="preserve"> </w:t>
      </w:r>
      <w:r w:rsidRPr="00222365">
        <w:rPr>
          <w:rFonts w:ascii="Verdana" w:hAnsi="Verdana" w:cs="Arial"/>
          <w:sz w:val="16"/>
          <w:szCs w:val="16"/>
        </w:rPr>
        <w:t>Asuntos</w:t>
      </w:r>
      <w:r w:rsidRPr="00222365">
        <w:rPr>
          <w:rFonts w:ascii="Verdana" w:hAnsi="Verdana" w:cs="Arial"/>
          <w:spacing w:val="-2"/>
          <w:sz w:val="16"/>
          <w:szCs w:val="16"/>
        </w:rPr>
        <w:t xml:space="preserve"> </w:t>
      </w:r>
      <w:r w:rsidRPr="00222365">
        <w:rPr>
          <w:rFonts w:ascii="Verdana" w:hAnsi="Verdana" w:cs="Arial"/>
          <w:sz w:val="16"/>
          <w:szCs w:val="16"/>
        </w:rPr>
        <w:t>Disciplinarios.</w:t>
      </w:r>
      <w:r w:rsidRPr="00222365">
        <w:rPr>
          <w:rFonts w:ascii="Verdana" w:hAnsi="Verdana" w:cs="Arial"/>
          <w:spacing w:val="-1"/>
          <w:sz w:val="16"/>
          <w:szCs w:val="16"/>
        </w:rPr>
        <w:t xml:space="preserve"> </w:t>
      </w:r>
      <w:r w:rsidRPr="00222365">
        <w:rPr>
          <w:rFonts w:ascii="Verdana" w:hAnsi="Verdana" w:cs="Arial"/>
          <w:sz w:val="16"/>
          <w:szCs w:val="16"/>
        </w:rPr>
        <w:t>Radicado</w:t>
      </w:r>
      <w:r w:rsidRPr="00222365">
        <w:rPr>
          <w:rFonts w:ascii="Verdana" w:hAnsi="Verdana" w:cs="Arial"/>
          <w:spacing w:val="-2"/>
          <w:sz w:val="16"/>
          <w:szCs w:val="16"/>
        </w:rPr>
        <w:t xml:space="preserve"> </w:t>
      </w:r>
      <w:r w:rsidRPr="00222365">
        <w:rPr>
          <w:rFonts w:ascii="Verdana" w:hAnsi="Verdana" w:cs="Arial"/>
          <w:sz w:val="16"/>
          <w:szCs w:val="16"/>
        </w:rPr>
        <w:t>PAD</w:t>
      </w:r>
      <w:r w:rsidRPr="00222365">
        <w:rPr>
          <w:rFonts w:ascii="Verdana" w:hAnsi="Verdana" w:cs="Arial"/>
          <w:spacing w:val="-1"/>
          <w:sz w:val="16"/>
          <w:szCs w:val="16"/>
        </w:rPr>
        <w:t xml:space="preserve"> </w:t>
      </w:r>
      <w:r w:rsidRPr="00222365">
        <w:rPr>
          <w:rFonts w:ascii="Verdana" w:hAnsi="Verdana" w:cs="Arial"/>
          <w:sz w:val="16"/>
          <w:szCs w:val="16"/>
        </w:rPr>
        <w:t>C-114-2014.</w:t>
      </w:r>
    </w:p>
    <w:p w14:paraId="74146164" w14:textId="77777777" w:rsidR="00BF124D" w:rsidRPr="00222365" w:rsidRDefault="00BF124D" w:rsidP="00BF124D">
      <w:pPr>
        <w:pStyle w:val="Textonotapie"/>
        <w:ind w:firstLine="708"/>
        <w:contextualSpacing/>
        <w:jc w:val="both"/>
        <w:rPr>
          <w:rFonts w:ascii="Verdana" w:hAnsi="Verdana" w:cs="Arial"/>
          <w:sz w:val="16"/>
          <w:szCs w:val="16"/>
        </w:rPr>
      </w:pPr>
    </w:p>
  </w:footnote>
  <w:footnote w:id="3">
    <w:p w14:paraId="4CE91FD4" w14:textId="77777777" w:rsidR="00BF124D" w:rsidRPr="00222365" w:rsidRDefault="00BF124D" w:rsidP="00BF124D">
      <w:pPr>
        <w:pStyle w:val="Textonotapie"/>
        <w:ind w:firstLine="708"/>
        <w:contextualSpacing/>
        <w:jc w:val="both"/>
        <w:rPr>
          <w:rFonts w:ascii="Verdana" w:hAnsi="Verdana" w:cs="Arial"/>
          <w:sz w:val="16"/>
          <w:szCs w:val="16"/>
        </w:rPr>
      </w:pPr>
      <w:r w:rsidRPr="00222365">
        <w:rPr>
          <w:rStyle w:val="Refdenotaalpie"/>
          <w:rFonts w:ascii="Verdana" w:hAnsi="Verdana" w:cs="Arial"/>
          <w:sz w:val="16"/>
          <w:szCs w:val="16"/>
        </w:rPr>
        <w:footnoteRef/>
      </w:r>
      <w:r w:rsidRPr="00222365">
        <w:rPr>
          <w:rFonts w:ascii="Verdana" w:hAnsi="Verdana" w:cs="Arial"/>
          <w:sz w:val="16"/>
          <w:szCs w:val="16"/>
        </w:rPr>
        <w:t xml:space="preserve"> Contraloría</w:t>
      </w:r>
      <w:r w:rsidRPr="00222365">
        <w:rPr>
          <w:rFonts w:ascii="Verdana" w:hAnsi="Verdana" w:cs="Arial"/>
          <w:spacing w:val="-6"/>
          <w:sz w:val="16"/>
          <w:szCs w:val="16"/>
        </w:rPr>
        <w:t xml:space="preserve"> </w:t>
      </w:r>
      <w:r w:rsidRPr="00222365">
        <w:rPr>
          <w:rFonts w:ascii="Verdana" w:hAnsi="Verdana" w:cs="Arial"/>
          <w:sz w:val="16"/>
          <w:szCs w:val="16"/>
        </w:rPr>
        <w:t>General</w:t>
      </w:r>
      <w:r w:rsidRPr="00222365">
        <w:rPr>
          <w:rFonts w:ascii="Verdana" w:hAnsi="Verdana" w:cs="Arial"/>
          <w:spacing w:val="-6"/>
          <w:sz w:val="16"/>
          <w:szCs w:val="16"/>
        </w:rPr>
        <w:t xml:space="preserve"> </w:t>
      </w:r>
      <w:r w:rsidRPr="00222365">
        <w:rPr>
          <w:rFonts w:ascii="Verdana" w:hAnsi="Verdana" w:cs="Arial"/>
          <w:sz w:val="16"/>
          <w:szCs w:val="16"/>
        </w:rPr>
        <w:t>de</w:t>
      </w:r>
      <w:r w:rsidRPr="00222365">
        <w:rPr>
          <w:rFonts w:ascii="Verdana" w:hAnsi="Verdana" w:cs="Arial"/>
          <w:spacing w:val="-6"/>
          <w:sz w:val="16"/>
          <w:szCs w:val="16"/>
        </w:rPr>
        <w:t xml:space="preserve"> </w:t>
      </w:r>
      <w:r w:rsidRPr="00222365">
        <w:rPr>
          <w:rFonts w:ascii="Verdana" w:hAnsi="Verdana" w:cs="Arial"/>
          <w:sz w:val="16"/>
          <w:szCs w:val="16"/>
        </w:rPr>
        <w:t>la</w:t>
      </w:r>
      <w:r w:rsidRPr="00222365">
        <w:rPr>
          <w:rFonts w:ascii="Verdana" w:hAnsi="Verdana" w:cs="Arial"/>
          <w:spacing w:val="-5"/>
          <w:sz w:val="16"/>
          <w:szCs w:val="16"/>
        </w:rPr>
        <w:t xml:space="preserve"> </w:t>
      </w:r>
      <w:r w:rsidRPr="00222365">
        <w:rPr>
          <w:rFonts w:ascii="Verdana" w:hAnsi="Verdana" w:cs="Arial"/>
          <w:sz w:val="16"/>
          <w:szCs w:val="16"/>
        </w:rPr>
        <w:t>República.</w:t>
      </w:r>
      <w:r w:rsidRPr="00222365">
        <w:rPr>
          <w:rFonts w:ascii="Verdana" w:hAnsi="Verdana" w:cs="Arial"/>
          <w:spacing w:val="-6"/>
          <w:sz w:val="16"/>
          <w:szCs w:val="16"/>
        </w:rPr>
        <w:t xml:space="preserve"> </w:t>
      </w:r>
      <w:r w:rsidRPr="00222365">
        <w:rPr>
          <w:rFonts w:ascii="Verdana" w:hAnsi="Verdana" w:cs="Arial"/>
          <w:sz w:val="16"/>
          <w:szCs w:val="16"/>
        </w:rPr>
        <w:t>Oficina</w:t>
      </w:r>
      <w:r w:rsidRPr="00222365">
        <w:rPr>
          <w:rFonts w:ascii="Verdana" w:hAnsi="Verdana" w:cs="Arial"/>
          <w:spacing w:val="-6"/>
          <w:sz w:val="16"/>
          <w:szCs w:val="16"/>
        </w:rPr>
        <w:t xml:space="preserve"> </w:t>
      </w:r>
      <w:r w:rsidRPr="00222365">
        <w:rPr>
          <w:rFonts w:ascii="Verdana" w:hAnsi="Verdana" w:cs="Arial"/>
          <w:sz w:val="16"/>
          <w:szCs w:val="16"/>
        </w:rPr>
        <w:t>Jurídica.</w:t>
      </w:r>
      <w:r w:rsidRPr="00222365">
        <w:rPr>
          <w:rFonts w:ascii="Verdana" w:hAnsi="Verdana" w:cs="Arial"/>
          <w:spacing w:val="-6"/>
          <w:sz w:val="16"/>
          <w:szCs w:val="16"/>
        </w:rPr>
        <w:t xml:space="preserve"> </w:t>
      </w:r>
      <w:r w:rsidRPr="00222365">
        <w:rPr>
          <w:rFonts w:ascii="Verdana" w:hAnsi="Verdana" w:cs="Arial"/>
          <w:sz w:val="16"/>
          <w:szCs w:val="16"/>
        </w:rPr>
        <w:t>Concepto</w:t>
      </w:r>
      <w:r w:rsidRPr="00222365">
        <w:rPr>
          <w:rFonts w:ascii="Verdana" w:hAnsi="Verdana" w:cs="Arial"/>
          <w:spacing w:val="-6"/>
          <w:sz w:val="16"/>
          <w:szCs w:val="16"/>
        </w:rPr>
        <w:t xml:space="preserve"> </w:t>
      </w:r>
      <w:r w:rsidRPr="00222365">
        <w:rPr>
          <w:rFonts w:ascii="Verdana" w:hAnsi="Verdana" w:cs="Arial"/>
          <w:sz w:val="16"/>
          <w:szCs w:val="16"/>
        </w:rPr>
        <w:t>80112-OJ-008</w:t>
      </w:r>
      <w:r w:rsidRPr="00222365">
        <w:rPr>
          <w:rFonts w:ascii="Verdana" w:hAnsi="Verdana" w:cs="Arial"/>
          <w:spacing w:val="-6"/>
          <w:sz w:val="16"/>
          <w:szCs w:val="16"/>
        </w:rPr>
        <w:t xml:space="preserve"> </w:t>
      </w:r>
      <w:r w:rsidRPr="00222365">
        <w:rPr>
          <w:rFonts w:ascii="Verdana" w:hAnsi="Verdana" w:cs="Arial"/>
          <w:sz w:val="16"/>
          <w:szCs w:val="16"/>
        </w:rPr>
        <w:t>2017.</w:t>
      </w:r>
    </w:p>
    <w:p w14:paraId="2676F470" w14:textId="77777777" w:rsidR="00BF124D" w:rsidRPr="00222365" w:rsidRDefault="00BF124D" w:rsidP="00BF124D">
      <w:pPr>
        <w:pStyle w:val="Textonotapie"/>
        <w:ind w:firstLine="708"/>
        <w:contextualSpacing/>
        <w:jc w:val="both"/>
        <w:rPr>
          <w:rFonts w:ascii="Verdana" w:hAnsi="Verdana" w:cs="Arial"/>
          <w:sz w:val="16"/>
          <w:szCs w:val="16"/>
        </w:rPr>
      </w:pPr>
    </w:p>
  </w:footnote>
  <w:footnote w:id="4">
    <w:p w14:paraId="3C8C4028" w14:textId="77777777" w:rsidR="00BF124D" w:rsidRPr="00222365" w:rsidRDefault="00BF124D" w:rsidP="00BF124D">
      <w:pPr>
        <w:pStyle w:val="Textonotapie"/>
        <w:ind w:firstLine="708"/>
        <w:contextualSpacing/>
        <w:jc w:val="both"/>
        <w:rPr>
          <w:rFonts w:ascii="Verdana" w:hAnsi="Verdana" w:cs="Arial"/>
          <w:sz w:val="16"/>
          <w:szCs w:val="16"/>
        </w:rPr>
      </w:pPr>
      <w:r w:rsidRPr="00222365">
        <w:rPr>
          <w:rStyle w:val="Refdenotaalpie"/>
          <w:rFonts w:ascii="Verdana" w:hAnsi="Verdana" w:cs="Arial"/>
          <w:sz w:val="16"/>
          <w:szCs w:val="16"/>
        </w:rPr>
        <w:footnoteRef/>
      </w:r>
      <w:r w:rsidRPr="00222365">
        <w:rPr>
          <w:rFonts w:ascii="Verdana" w:hAnsi="Verdana" w:cs="Arial"/>
          <w:sz w:val="16"/>
          <w:szCs w:val="16"/>
        </w:rPr>
        <w:t xml:space="preserve"> ARBOLEDA</w:t>
      </w:r>
      <w:r w:rsidRPr="00222365">
        <w:rPr>
          <w:rFonts w:ascii="Verdana" w:hAnsi="Verdana" w:cs="Arial"/>
          <w:spacing w:val="-9"/>
          <w:sz w:val="16"/>
          <w:szCs w:val="16"/>
        </w:rPr>
        <w:t xml:space="preserve"> </w:t>
      </w:r>
      <w:r w:rsidRPr="00222365">
        <w:rPr>
          <w:rFonts w:ascii="Verdana" w:hAnsi="Verdana" w:cs="Arial"/>
          <w:sz w:val="16"/>
          <w:szCs w:val="16"/>
        </w:rPr>
        <w:t>PERDOMO,</w:t>
      </w:r>
      <w:r w:rsidRPr="00222365">
        <w:rPr>
          <w:rFonts w:ascii="Verdana" w:hAnsi="Verdana" w:cs="Arial"/>
          <w:spacing w:val="-9"/>
          <w:sz w:val="16"/>
          <w:szCs w:val="16"/>
        </w:rPr>
        <w:t xml:space="preserve"> </w:t>
      </w:r>
      <w:r w:rsidRPr="00222365">
        <w:rPr>
          <w:rFonts w:ascii="Verdana" w:hAnsi="Verdana" w:cs="Arial"/>
          <w:sz w:val="16"/>
          <w:szCs w:val="16"/>
        </w:rPr>
        <w:t>Enrique</w:t>
      </w:r>
      <w:r w:rsidRPr="00222365">
        <w:rPr>
          <w:rFonts w:ascii="Verdana" w:hAnsi="Verdana" w:cs="Arial"/>
          <w:spacing w:val="-8"/>
          <w:sz w:val="16"/>
          <w:szCs w:val="16"/>
        </w:rPr>
        <w:t xml:space="preserve"> </w:t>
      </w:r>
      <w:r w:rsidRPr="00222365">
        <w:rPr>
          <w:rFonts w:ascii="Verdana" w:hAnsi="Verdana" w:cs="Arial"/>
          <w:sz w:val="16"/>
          <w:szCs w:val="16"/>
        </w:rPr>
        <w:t>José.</w:t>
      </w:r>
      <w:r w:rsidRPr="00222365">
        <w:rPr>
          <w:rFonts w:ascii="Verdana" w:hAnsi="Verdana" w:cs="Arial"/>
          <w:spacing w:val="-10"/>
          <w:sz w:val="16"/>
          <w:szCs w:val="16"/>
        </w:rPr>
        <w:t xml:space="preserve"> </w:t>
      </w:r>
      <w:r w:rsidRPr="00222365">
        <w:rPr>
          <w:rFonts w:ascii="Verdana" w:hAnsi="Verdana" w:cs="Arial"/>
          <w:sz w:val="16"/>
          <w:szCs w:val="16"/>
        </w:rPr>
        <w:t>Comentarios</w:t>
      </w:r>
      <w:r w:rsidRPr="00222365">
        <w:rPr>
          <w:rFonts w:ascii="Verdana" w:hAnsi="Verdana" w:cs="Arial"/>
          <w:spacing w:val="-9"/>
          <w:sz w:val="16"/>
          <w:szCs w:val="16"/>
        </w:rPr>
        <w:t xml:space="preserve"> </w:t>
      </w:r>
      <w:r w:rsidRPr="00222365">
        <w:rPr>
          <w:rFonts w:ascii="Verdana" w:hAnsi="Verdana" w:cs="Arial"/>
          <w:sz w:val="16"/>
          <w:szCs w:val="16"/>
        </w:rPr>
        <w:t>al</w:t>
      </w:r>
      <w:r w:rsidRPr="00222365">
        <w:rPr>
          <w:rFonts w:ascii="Verdana" w:hAnsi="Verdana" w:cs="Arial"/>
          <w:spacing w:val="-9"/>
          <w:sz w:val="16"/>
          <w:szCs w:val="16"/>
        </w:rPr>
        <w:t xml:space="preserve"> </w:t>
      </w:r>
      <w:r w:rsidRPr="00222365">
        <w:rPr>
          <w:rFonts w:ascii="Verdana" w:hAnsi="Verdana" w:cs="Arial"/>
          <w:sz w:val="16"/>
          <w:szCs w:val="16"/>
        </w:rPr>
        <w:t>Nuevo</w:t>
      </w:r>
      <w:r w:rsidRPr="00222365">
        <w:rPr>
          <w:rFonts w:ascii="Verdana" w:hAnsi="Verdana" w:cs="Arial"/>
          <w:spacing w:val="-10"/>
          <w:sz w:val="16"/>
          <w:szCs w:val="16"/>
        </w:rPr>
        <w:t xml:space="preserve"> </w:t>
      </w:r>
      <w:r w:rsidRPr="00222365">
        <w:rPr>
          <w:rFonts w:ascii="Verdana" w:hAnsi="Verdana" w:cs="Arial"/>
          <w:sz w:val="16"/>
          <w:szCs w:val="16"/>
        </w:rPr>
        <w:t>Código</w:t>
      </w:r>
      <w:r w:rsidRPr="00222365">
        <w:rPr>
          <w:rFonts w:ascii="Verdana" w:hAnsi="Verdana" w:cs="Arial"/>
          <w:spacing w:val="-9"/>
          <w:sz w:val="16"/>
          <w:szCs w:val="16"/>
        </w:rPr>
        <w:t xml:space="preserve"> </w:t>
      </w:r>
      <w:r w:rsidRPr="00222365">
        <w:rPr>
          <w:rFonts w:ascii="Verdana" w:hAnsi="Verdana" w:cs="Arial"/>
          <w:sz w:val="16"/>
          <w:szCs w:val="16"/>
        </w:rPr>
        <w:t>de</w:t>
      </w:r>
      <w:r w:rsidRPr="00222365">
        <w:rPr>
          <w:rFonts w:ascii="Verdana" w:hAnsi="Verdana" w:cs="Arial"/>
          <w:spacing w:val="-10"/>
          <w:sz w:val="16"/>
          <w:szCs w:val="16"/>
        </w:rPr>
        <w:t xml:space="preserve"> </w:t>
      </w:r>
      <w:r w:rsidRPr="00222365">
        <w:rPr>
          <w:rFonts w:ascii="Verdana" w:hAnsi="Verdana" w:cs="Arial"/>
          <w:sz w:val="16"/>
          <w:szCs w:val="16"/>
        </w:rPr>
        <w:t>Procedimiento</w:t>
      </w:r>
      <w:r w:rsidRPr="00222365">
        <w:rPr>
          <w:rFonts w:ascii="Verdana" w:hAnsi="Verdana" w:cs="Arial"/>
          <w:spacing w:val="-8"/>
          <w:sz w:val="16"/>
          <w:szCs w:val="16"/>
        </w:rPr>
        <w:t xml:space="preserve"> </w:t>
      </w:r>
      <w:r w:rsidRPr="00222365">
        <w:rPr>
          <w:rFonts w:ascii="Verdana" w:hAnsi="Verdana" w:cs="Arial"/>
          <w:sz w:val="16"/>
          <w:szCs w:val="16"/>
        </w:rPr>
        <w:t>Administrativo</w:t>
      </w:r>
      <w:r w:rsidRPr="00222365">
        <w:rPr>
          <w:rFonts w:ascii="Verdana" w:hAnsi="Verdana" w:cs="Arial"/>
          <w:spacing w:val="-7"/>
          <w:sz w:val="16"/>
          <w:szCs w:val="16"/>
        </w:rPr>
        <w:t xml:space="preserve"> </w:t>
      </w:r>
      <w:r w:rsidRPr="00222365">
        <w:rPr>
          <w:rFonts w:ascii="Verdana" w:hAnsi="Verdana" w:cs="Arial"/>
          <w:sz w:val="16"/>
          <w:szCs w:val="16"/>
        </w:rPr>
        <w:t>y</w:t>
      </w:r>
      <w:r w:rsidRPr="00222365">
        <w:rPr>
          <w:rFonts w:ascii="Verdana" w:hAnsi="Verdana" w:cs="Arial"/>
          <w:spacing w:val="-9"/>
          <w:sz w:val="16"/>
          <w:szCs w:val="16"/>
        </w:rPr>
        <w:t xml:space="preserve"> </w:t>
      </w:r>
      <w:r w:rsidRPr="00222365">
        <w:rPr>
          <w:rFonts w:ascii="Verdana" w:hAnsi="Verdana" w:cs="Arial"/>
          <w:sz w:val="16"/>
          <w:szCs w:val="16"/>
        </w:rPr>
        <w:t>de</w:t>
      </w:r>
      <w:r w:rsidRPr="00222365">
        <w:rPr>
          <w:rFonts w:ascii="Verdana" w:hAnsi="Verdana" w:cs="Arial"/>
          <w:spacing w:val="1"/>
          <w:sz w:val="16"/>
          <w:szCs w:val="16"/>
        </w:rPr>
        <w:t xml:space="preserve"> </w:t>
      </w:r>
      <w:r w:rsidRPr="00222365">
        <w:rPr>
          <w:rFonts w:ascii="Verdana" w:hAnsi="Verdana" w:cs="Arial"/>
          <w:sz w:val="16"/>
          <w:szCs w:val="16"/>
        </w:rPr>
        <w:t>lo</w:t>
      </w:r>
      <w:r w:rsidRPr="00222365">
        <w:rPr>
          <w:rFonts w:ascii="Verdana" w:hAnsi="Verdana" w:cs="Arial"/>
          <w:spacing w:val="-2"/>
          <w:sz w:val="16"/>
          <w:szCs w:val="16"/>
        </w:rPr>
        <w:t xml:space="preserve"> </w:t>
      </w:r>
      <w:r w:rsidRPr="00222365">
        <w:rPr>
          <w:rFonts w:ascii="Verdana" w:hAnsi="Verdana" w:cs="Arial"/>
          <w:sz w:val="16"/>
          <w:szCs w:val="16"/>
        </w:rPr>
        <w:t>Contencioso</w:t>
      </w:r>
      <w:r w:rsidRPr="00222365">
        <w:rPr>
          <w:rFonts w:ascii="Verdana" w:hAnsi="Verdana" w:cs="Arial"/>
          <w:spacing w:val="-2"/>
          <w:sz w:val="16"/>
          <w:szCs w:val="16"/>
        </w:rPr>
        <w:t xml:space="preserve"> </w:t>
      </w:r>
      <w:r w:rsidRPr="00222365">
        <w:rPr>
          <w:rFonts w:ascii="Verdana" w:hAnsi="Verdana" w:cs="Arial"/>
          <w:sz w:val="16"/>
          <w:szCs w:val="16"/>
        </w:rPr>
        <w:t>Administrativo</w:t>
      </w:r>
      <w:r w:rsidRPr="00222365">
        <w:rPr>
          <w:rFonts w:ascii="Verdana" w:hAnsi="Verdana" w:cs="Arial"/>
          <w:spacing w:val="-1"/>
          <w:sz w:val="16"/>
          <w:szCs w:val="16"/>
        </w:rPr>
        <w:t xml:space="preserve"> </w:t>
      </w:r>
      <w:r w:rsidRPr="00222365">
        <w:rPr>
          <w:rFonts w:ascii="Verdana" w:hAnsi="Verdana" w:cs="Arial"/>
          <w:sz w:val="16"/>
          <w:szCs w:val="16"/>
        </w:rPr>
        <w:t>(2ª</w:t>
      </w:r>
      <w:r w:rsidRPr="00222365">
        <w:rPr>
          <w:rFonts w:ascii="Verdana" w:hAnsi="Verdana" w:cs="Arial"/>
          <w:spacing w:val="-2"/>
          <w:sz w:val="16"/>
          <w:szCs w:val="16"/>
        </w:rPr>
        <w:t xml:space="preserve"> </w:t>
      </w:r>
      <w:r w:rsidRPr="00222365">
        <w:rPr>
          <w:rFonts w:ascii="Verdana" w:hAnsi="Verdana" w:cs="Arial"/>
          <w:sz w:val="16"/>
          <w:szCs w:val="16"/>
        </w:rPr>
        <w:t>ed.).</w:t>
      </w:r>
      <w:r w:rsidRPr="00222365">
        <w:rPr>
          <w:rFonts w:ascii="Verdana" w:hAnsi="Verdana" w:cs="Arial"/>
          <w:spacing w:val="-2"/>
          <w:sz w:val="16"/>
          <w:szCs w:val="16"/>
        </w:rPr>
        <w:t xml:space="preserve"> </w:t>
      </w:r>
      <w:r w:rsidRPr="00222365">
        <w:rPr>
          <w:rFonts w:ascii="Verdana" w:hAnsi="Verdana" w:cs="Arial"/>
          <w:sz w:val="16"/>
          <w:szCs w:val="16"/>
        </w:rPr>
        <w:t>Editorial</w:t>
      </w:r>
      <w:r w:rsidRPr="00222365">
        <w:rPr>
          <w:rFonts w:ascii="Verdana" w:hAnsi="Verdana" w:cs="Arial"/>
          <w:spacing w:val="-1"/>
          <w:sz w:val="16"/>
          <w:szCs w:val="16"/>
        </w:rPr>
        <w:t xml:space="preserve"> </w:t>
      </w:r>
      <w:r w:rsidRPr="00222365">
        <w:rPr>
          <w:rFonts w:ascii="Verdana" w:hAnsi="Verdana" w:cs="Arial"/>
          <w:sz w:val="16"/>
          <w:szCs w:val="16"/>
        </w:rPr>
        <w:t>Legis.</w:t>
      </w:r>
      <w:r w:rsidRPr="00222365">
        <w:rPr>
          <w:rFonts w:ascii="Verdana" w:hAnsi="Verdana" w:cs="Arial"/>
          <w:spacing w:val="-2"/>
          <w:sz w:val="16"/>
          <w:szCs w:val="16"/>
        </w:rPr>
        <w:t xml:space="preserve"> </w:t>
      </w:r>
      <w:r w:rsidRPr="00222365">
        <w:rPr>
          <w:rFonts w:ascii="Verdana" w:hAnsi="Verdana" w:cs="Arial"/>
          <w:sz w:val="16"/>
          <w:szCs w:val="16"/>
        </w:rPr>
        <w:t>Bogotá.</w:t>
      </w:r>
      <w:r w:rsidRPr="00222365">
        <w:rPr>
          <w:rFonts w:ascii="Verdana" w:hAnsi="Verdana" w:cs="Arial"/>
          <w:spacing w:val="-2"/>
          <w:sz w:val="16"/>
          <w:szCs w:val="16"/>
        </w:rPr>
        <w:t xml:space="preserve"> </w:t>
      </w:r>
      <w:r w:rsidRPr="00222365">
        <w:rPr>
          <w:rFonts w:ascii="Verdana" w:hAnsi="Verdana" w:cs="Arial"/>
          <w:sz w:val="16"/>
          <w:szCs w:val="16"/>
        </w:rPr>
        <w:t>2012.</w:t>
      </w:r>
      <w:r w:rsidRPr="00222365">
        <w:rPr>
          <w:rFonts w:ascii="Verdana" w:hAnsi="Verdana" w:cs="Arial"/>
          <w:spacing w:val="-1"/>
          <w:sz w:val="16"/>
          <w:szCs w:val="16"/>
        </w:rPr>
        <w:t xml:space="preserve"> </w:t>
      </w:r>
      <w:r w:rsidRPr="00222365">
        <w:rPr>
          <w:rFonts w:ascii="Verdana" w:hAnsi="Verdana" w:cs="Arial"/>
          <w:sz w:val="16"/>
          <w:szCs w:val="16"/>
        </w:rPr>
        <w:t>p.</w:t>
      </w:r>
      <w:r w:rsidRPr="00222365">
        <w:rPr>
          <w:rFonts w:ascii="Verdana" w:hAnsi="Verdana" w:cs="Arial"/>
          <w:spacing w:val="-2"/>
          <w:sz w:val="16"/>
          <w:szCs w:val="16"/>
        </w:rPr>
        <w:t xml:space="preserve"> </w:t>
      </w:r>
      <w:r w:rsidRPr="00222365">
        <w:rPr>
          <w:rFonts w:ascii="Verdana" w:hAnsi="Verdana" w:cs="Arial"/>
          <w:sz w:val="16"/>
          <w:szCs w:val="16"/>
        </w:rPr>
        <w:t>59.</w:t>
      </w:r>
    </w:p>
    <w:p w14:paraId="6B8625B5" w14:textId="77777777" w:rsidR="00BF124D" w:rsidRPr="00222365" w:rsidRDefault="00BF124D" w:rsidP="00BF124D">
      <w:pPr>
        <w:pStyle w:val="Textonotapie"/>
        <w:ind w:firstLine="708"/>
        <w:contextualSpacing/>
        <w:jc w:val="both"/>
        <w:rPr>
          <w:rFonts w:ascii="Verdana" w:hAnsi="Verdana" w:cs="Arial"/>
          <w:sz w:val="16"/>
          <w:szCs w:val="16"/>
        </w:rPr>
      </w:pPr>
    </w:p>
  </w:footnote>
  <w:footnote w:id="5">
    <w:p w14:paraId="14616F2B" w14:textId="77777777" w:rsidR="00BF124D" w:rsidRDefault="00BF124D" w:rsidP="00BF124D">
      <w:pPr>
        <w:pStyle w:val="Textonotapie"/>
        <w:ind w:firstLine="709"/>
        <w:jc w:val="both"/>
        <w:rPr>
          <w:rFonts w:ascii="Verdana" w:hAnsi="Verdana" w:cs="Arial"/>
          <w:sz w:val="16"/>
          <w:szCs w:val="16"/>
        </w:rPr>
      </w:pPr>
      <w:r w:rsidRPr="0003586C">
        <w:rPr>
          <w:rStyle w:val="Refdenotaalpie"/>
          <w:rFonts w:ascii="Verdana" w:hAnsi="Verdana" w:cs="Arial"/>
          <w:sz w:val="16"/>
          <w:szCs w:val="16"/>
        </w:rPr>
        <w:footnoteRef/>
      </w:r>
      <w:r w:rsidRPr="0003586C">
        <w:rPr>
          <w:rFonts w:ascii="Verdana" w:hAnsi="Verdana" w:cs="Arial"/>
          <w:sz w:val="16"/>
          <w:szCs w:val="16"/>
        </w:rPr>
        <w:t xml:space="preserve"> MATALLANA CAMACHO, Ernesto. Manual de contratación de la administración pública. Segunda Edición. Bogotá: Universidad Externado de Colombia, 2009. p. 705.</w:t>
      </w:r>
    </w:p>
    <w:p w14:paraId="78F27300" w14:textId="77777777" w:rsidR="00BF124D" w:rsidRPr="0003586C" w:rsidRDefault="00BF124D" w:rsidP="00BF124D">
      <w:pPr>
        <w:pStyle w:val="Textonotapie"/>
        <w:ind w:firstLine="709"/>
        <w:jc w:val="both"/>
        <w:rPr>
          <w:rFonts w:ascii="Verdana" w:hAnsi="Verdana" w:cs="Arial"/>
          <w:sz w:val="16"/>
          <w:szCs w:val="16"/>
        </w:rPr>
      </w:pPr>
    </w:p>
  </w:footnote>
  <w:footnote w:id="6">
    <w:p w14:paraId="0832B18D" w14:textId="77777777" w:rsidR="00BF124D" w:rsidRDefault="00BF124D" w:rsidP="00BF124D">
      <w:pPr>
        <w:spacing w:after="0" w:line="240" w:lineRule="auto"/>
        <w:ind w:firstLine="709"/>
        <w:jc w:val="both"/>
        <w:rPr>
          <w:rFonts w:ascii="Verdana" w:hAnsi="Verdana" w:cs="Arial"/>
          <w:sz w:val="16"/>
          <w:szCs w:val="16"/>
        </w:rPr>
      </w:pPr>
      <w:r w:rsidRPr="0003586C">
        <w:rPr>
          <w:rStyle w:val="Refdenotaalpie"/>
          <w:rFonts w:ascii="Verdana" w:hAnsi="Verdana" w:cs="Arial"/>
          <w:sz w:val="16"/>
          <w:szCs w:val="16"/>
        </w:rPr>
        <w:footnoteRef/>
      </w:r>
      <w:r w:rsidRPr="0003586C">
        <w:rPr>
          <w:rFonts w:ascii="Verdana" w:hAnsi="Verdana" w:cs="Arial"/>
          <w:sz w:val="16"/>
          <w:szCs w:val="16"/>
        </w:rPr>
        <w:t xml:space="preserve"> </w:t>
      </w:r>
      <w:r w:rsidRPr="0003586C">
        <w:rPr>
          <w:rFonts w:ascii="Verdana" w:eastAsia="Calibri" w:hAnsi="Verdana" w:cs="Arial"/>
          <w:sz w:val="16"/>
          <w:szCs w:val="16"/>
          <w:lang w:val="es-ES_tradnl"/>
        </w:rPr>
        <w:t>De conformidad con la exposición de motivos: “Si bien […] la utilización de procedimientos reglados de selección objetiva se constituye en la regla general, entre los casos de excepción se destaca el relativo a la urgencia manifiesta que el artículo 36 regula de una manera más precisa en orden a facilitar su legítima utilización. Con tal fin se elimina el requisito de la calificación del Consejo de Ministros y se incluye un detalle enunciativo de los posibles factores configurativos de dicha situación de excepción, los cuales se vinculan esencialmente con situaciones evidentes de calamidad pública o que afecten de manera inminente la prestación del servicio, circunstancias que, por su propia naturaleza, determinan la imposibilidad de acudir a procedimientos de escogencia reglada. Se pretende de esa forma, facilitar al máximo la actuación de la administración frente a eventos excepcionales que reclaman su pronta intervención” (</w:t>
      </w:r>
      <w:r w:rsidRPr="0003586C">
        <w:rPr>
          <w:rFonts w:ascii="Verdana" w:hAnsi="Verdana" w:cs="Arial"/>
          <w:sz w:val="16"/>
          <w:szCs w:val="16"/>
        </w:rPr>
        <w:t>CONGRESO DE LA REPÚBLICA. Exposición de motivos de la Ley 80 de 1993. Gaceta del Congreso No. 75 del 23 de septiembre de 1992).</w:t>
      </w:r>
    </w:p>
    <w:p w14:paraId="1BD22D17" w14:textId="77777777" w:rsidR="00BF124D" w:rsidRPr="0003586C" w:rsidRDefault="00BF124D" w:rsidP="00BF124D">
      <w:pPr>
        <w:spacing w:after="0" w:line="240" w:lineRule="auto"/>
        <w:ind w:firstLine="709"/>
        <w:jc w:val="both"/>
        <w:rPr>
          <w:rFonts w:ascii="Verdana" w:hAnsi="Verdana" w:cs="Arial"/>
          <w:sz w:val="16"/>
          <w:szCs w:val="16"/>
        </w:rPr>
      </w:pPr>
    </w:p>
  </w:footnote>
  <w:footnote w:id="7">
    <w:p w14:paraId="69188E0A" w14:textId="77777777" w:rsidR="00BF124D" w:rsidRDefault="00BF124D" w:rsidP="00BF124D">
      <w:pPr>
        <w:pStyle w:val="Textonotapie"/>
        <w:ind w:firstLine="708"/>
        <w:jc w:val="both"/>
        <w:rPr>
          <w:rFonts w:ascii="Verdana" w:hAnsi="Verdana" w:cs="Arial"/>
          <w:sz w:val="16"/>
          <w:szCs w:val="16"/>
        </w:rPr>
      </w:pPr>
      <w:r w:rsidRPr="0003586C">
        <w:rPr>
          <w:rStyle w:val="Refdenotaalpie"/>
          <w:rFonts w:ascii="Verdana" w:hAnsi="Verdana" w:cs="Arial"/>
          <w:sz w:val="16"/>
          <w:szCs w:val="16"/>
        </w:rPr>
        <w:footnoteRef/>
      </w:r>
      <w:r w:rsidRPr="0003586C">
        <w:rPr>
          <w:rFonts w:ascii="Verdana" w:hAnsi="Verdana" w:cs="Arial"/>
          <w:sz w:val="16"/>
          <w:szCs w:val="16"/>
        </w:rPr>
        <w:t xml:space="preserve"> DROMI, José Roberto. La licitación pública. Buenos Aires: Ciudad Argentina, 1980. p. 166-168.</w:t>
      </w:r>
    </w:p>
    <w:p w14:paraId="6E0E08CC" w14:textId="77777777" w:rsidR="00BF124D" w:rsidRPr="0003586C" w:rsidRDefault="00BF124D" w:rsidP="00BF124D">
      <w:pPr>
        <w:pStyle w:val="Textonotapie"/>
        <w:ind w:firstLine="708"/>
        <w:jc w:val="both"/>
        <w:rPr>
          <w:rFonts w:ascii="Verdana" w:hAnsi="Verdana" w:cs="Arial"/>
          <w:sz w:val="16"/>
          <w:szCs w:val="16"/>
        </w:rPr>
      </w:pPr>
    </w:p>
  </w:footnote>
  <w:footnote w:id="8">
    <w:p w14:paraId="2B745AEB" w14:textId="77777777" w:rsidR="00BF124D" w:rsidRPr="0003586C" w:rsidRDefault="00BF124D" w:rsidP="00BF124D">
      <w:pPr>
        <w:pStyle w:val="Textonotapie"/>
        <w:ind w:firstLine="708"/>
        <w:jc w:val="both"/>
        <w:rPr>
          <w:rFonts w:ascii="Verdana" w:hAnsi="Verdana" w:cs="Arial"/>
          <w:sz w:val="16"/>
          <w:szCs w:val="16"/>
        </w:rPr>
      </w:pPr>
      <w:r w:rsidRPr="0003586C">
        <w:rPr>
          <w:rStyle w:val="Refdenotaalpie"/>
          <w:rFonts w:ascii="Verdana" w:hAnsi="Verdana" w:cs="Arial"/>
          <w:sz w:val="16"/>
          <w:szCs w:val="16"/>
        </w:rPr>
        <w:footnoteRef/>
      </w:r>
      <w:r w:rsidRPr="0003586C">
        <w:rPr>
          <w:rFonts w:ascii="Verdana" w:hAnsi="Verdana" w:cs="Arial"/>
          <w:sz w:val="16"/>
          <w:szCs w:val="16"/>
        </w:rPr>
        <w:t xml:space="preserve"> </w:t>
      </w:r>
      <w:r>
        <w:rPr>
          <w:rFonts w:ascii="Verdana" w:hAnsi="Verdana" w:cs="Arial"/>
          <w:sz w:val="16"/>
          <w:szCs w:val="16"/>
        </w:rPr>
        <w:t>Consejo de Estado</w:t>
      </w:r>
      <w:r w:rsidRPr="0003586C">
        <w:rPr>
          <w:rFonts w:ascii="Verdana" w:hAnsi="Verdana" w:cs="Arial"/>
          <w:sz w:val="16"/>
          <w:szCs w:val="16"/>
        </w:rPr>
        <w:t>. Sala de Consulta y de Servicio Civil. Concepto del 28 de enero de 1998. Rad. 1.073. C.P. Javier Henao Hidrón.</w:t>
      </w:r>
    </w:p>
  </w:footnote>
  <w:footnote w:id="9">
    <w:p w14:paraId="29D0B6EC" w14:textId="77777777" w:rsidR="00BF124D" w:rsidRDefault="00BF124D" w:rsidP="00BF124D">
      <w:pPr>
        <w:pStyle w:val="Textonotapie"/>
        <w:ind w:firstLine="708"/>
        <w:jc w:val="both"/>
        <w:rPr>
          <w:rFonts w:ascii="Verdana" w:hAnsi="Verdana" w:cs="Arial"/>
          <w:sz w:val="16"/>
          <w:szCs w:val="16"/>
        </w:rPr>
      </w:pPr>
      <w:r w:rsidRPr="0003586C">
        <w:rPr>
          <w:rStyle w:val="Refdenotaalpie"/>
          <w:rFonts w:ascii="Verdana" w:hAnsi="Verdana" w:cs="Arial"/>
          <w:sz w:val="16"/>
          <w:szCs w:val="16"/>
        </w:rPr>
        <w:footnoteRef/>
      </w:r>
      <w:r w:rsidRPr="0003586C">
        <w:rPr>
          <w:rFonts w:ascii="Verdana" w:hAnsi="Verdana" w:cs="Arial"/>
          <w:sz w:val="16"/>
          <w:szCs w:val="16"/>
        </w:rPr>
        <w:t xml:space="preserve"> Al respecto, “[…] si los funcionarios han sido negligentes en la realización de determinadas obras, y éstas se tornan gravemente imperiosas por el transcurso del tiempo, no podrá por tal causa la Administración la posibilidad de satisfacer la necesidad pública con la verdadera urgencia que la misma requiere. Lo que corresponde es hacer responsables, administrativa y civilmente, a los funcionarios en cuestión, sin perjuicio de solucionar el problema de la urgencia que el mismo objetivamente requiera” (GORDILLO, Agustín. Tratado de derecho administrativo y obras selectas. Tomo IX. Buenos Aires: FDA, 2014. p. XVI-16).</w:t>
      </w:r>
    </w:p>
    <w:p w14:paraId="47065580" w14:textId="77777777" w:rsidR="00BF124D" w:rsidRPr="0003586C" w:rsidRDefault="00BF124D" w:rsidP="00BF124D">
      <w:pPr>
        <w:pStyle w:val="Textonotapie"/>
        <w:ind w:firstLine="708"/>
        <w:jc w:val="both"/>
        <w:rPr>
          <w:rFonts w:ascii="Verdana" w:hAnsi="Verdana" w:cs="Arial"/>
          <w:sz w:val="16"/>
          <w:szCs w:val="16"/>
        </w:rPr>
      </w:pPr>
    </w:p>
  </w:footnote>
  <w:footnote w:id="10">
    <w:p w14:paraId="590ADA34" w14:textId="77777777" w:rsidR="00BF124D" w:rsidRDefault="00BF124D" w:rsidP="00BF124D">
      <w:pPr>
        <w:spacing w:after="0" w:line="240" w:lineRule="auto"/>
        <w:ind w:firstLine="708"/>
        <w:jc w:val="both"/>
        <w:rPr>
          <w:rFonts w:ascii="Verdana" w:hAnsi="Verdana" w:cs="Arial"/>
          <w:sz w:val="16"/>
          <w:szCs w:val="16"/>
        </w:rPr>
      </w:pPr>
      <w:r w:rsidRPr="0003586C">
        <w:rPr>
          <w:rStyle w:val="Refdenotaalpie"/>
          <w:rFonts w:ascii="Verdana" w:hAnsi="Verdana" w:cs="Arial"/>
          <w:sz w:val="16"/>
          <w:szCs w:val="16"/>
        </w:rPr>
        <w:footnoteRef/>
      </w:r>
      <w:r w:rsidRPr="0003586C">
        <w:rPr>
          <w:rStyle w:val="Refdenotaalpie"/>
          <w:rFonts w:ascii="Verdana" w:hAnsi="Verdana" w:cs="Arial"/>
          <w:sz w:val="16"/>
          <w:szCs w:val="16"/>
        </w:rPr>
        <w:t xml:space="preserve">  </w:t>
      </w:r>
      <w:r w:rsidRPr="0003586C">
        <w:rPr>
          <w:rFonts w:ascii="Verdana" w:hAnsi="Verdana" w:cs="Arial"/>
          <w:sz w:val="16"/>
          <w:szCs w:val="16"/>
        </w:rPr>
        <w:t>C</w:t>
      </w:r>
      <w:r>
        <w:rPr>
          <w:rFonts w:ascii="Verdana" w:hAnsi="Verdana" w:cs="Arial"/>
          <w:sz w:val="16"/>
          <w:szCs w:val="16"/>
        </w:rPr>
        <w:t>onsejo de Estado</w:t>
      </w:r>
      <w:r w:rsidRPr="0003586C">
        <w:rPr>
          <w:rFonts w:ascii="Verdana" w:hAnsi="Verdana" w:cs="Arial"/>
          <w:sz w:val="16"/>
          <w:szCs w:val="16"/>
        </w:rPr>
        <w:t>.</w:t>
      </w:r>
      <w:r>
        <w:rPr>
          <w:rFonts w:ascii="Verdana" w:hAnsi="Verdana" w:cs="Arial"/>
          <w:sz w:val="16"/>
          <w:szCs w:val="16"/>
        </w:rPr>
        <w:t xml:space="preserve"> Sala de lo Contencioso Administrativo.</w:t>
      </w:r>
      <w:r w:rsidRPr="0003586C">
        <w:rPr>
          <w:rFonts w:ascii="Verdana" w:hAnsi="Verdana" w:cs="Arial"/>
          <w:sz w:val="16"/>
          <w:szCs w:val="16"/>
        </w:rPr>
        <w:t xml:space="preserve"> Sección Tercera. Subsección C. Sentencia del 7 de febrero de 2011. Rad. 34.425. C.P. Jaime Orlando Santofimio Gamboa.</w:t>
      </w:r>
    </w:p>
    <w:p w14:paraId="1061DA68" w14:textId="77777777" w:rsidR="00BF124D" w:rsidRPr="0003586C" w:rsidRDefault="00BF124D" w:rsidP="00BF124D">
      <w:pPr>
        <w:spacing w:after="0" w:line="240" w:lineRule="auto"/>
        <w:ind w:firstLine="708"/>
        <w:jc w:val="both"/>
        <w:rPr>
          <w:rFonts w:ascii="Verdana" w:hAnsi="Verdana" w:cs="Arial"/>
          <w:sz w:val="16"/>
          <w:szCs w:val="16"/>
        </w:rPr>
      </w:pPr>
    </w:p>
  </w:footnote>
  <w:footnote w:id="11">
    <w:p w14:paraId="15046F45" w14:textId="77777777" w:rsidR="00BF124D" w:rsidRPr="0003586C" w:rsidRDefault="00BF124D" w:rsidP="00BF124D">
      <w:pPr>
        <w:pStyle w:val="Textonotapie"/>
        <w:ind w:firstLine="708"/>
        <w:jc w:val="both"/>
        <w:rPr>
          <w:rFonts w:ascii="Verdana" w:hAnsi="Verdana" w:cs="Arial"/>
          <w:sz w:val="16"/>
          <w:szCs w:val="16"/>
        </w:rPr>
      </w:pPr>
      <w:r w:rsidRPr="0003586C">
        <w:rPr>
          <w:rStyle w:val="Refdenotaalpie"/>
          <w:rFonts w:ascii="Verdana" w:hAnsi="Verdana" w:cs="Arial"/>
          <w:sz w:val="16"/>
          <w:szCs w:val="16"/>
        </w:rPr>
        <w:footnoteRef/>
      </w:r>
      <w:r w:rsidRPr="0003586C">
        <w:rPr>
          <w:rFonts w:ascii="Verdana" w:hAnsi="Verdana" w:cs="Arial"/>
          <w:sz w:val="16"/>
          <w:szCs w:val="16"/>
        </w:rPr>
        <w:t xml:space="preserve"> Cfr. ASAMBLEA NACIONAL CONSTITUYENTE. Gaceta Constitucional Nº 76 de mayo 18 de 1991. pp. 12-13.</w:t>
      </w:r>
    </w:p>
  </w:footnote>
  <w:footnote w:id="12">
    <w:p w14:paraId="662D7957" w14:textId="77777777" w:rsidR="00BF124D" w:rsidRPr="0003586C" w:rsidRDefault="00BF124D" w:rsidP="00BF124D">
      <w:pPr>
        <w:spacing w:after="0" w:line="240" w:lineRule="auto"/>
        <w:ind w:firstLine="708"/>
        <w:jc w:val="both"/>
        <w:rPr>
          <w:rFonts w:ascii="Verdana" w:eastAsia="Calibri" w:hAnsi="Verdana" w:cs="Arial"/>
          <w:sz w:val="16"/>
          <w:szCs w:val="16"/>
          <w:lang w:val="es-ES_tradnl"/>
        </w:rPr>
      </w:pPr>
      <w:r w:rsidRPr="0003586C">
        <w:rPr>
          <w:rStyle w:val="Refdenotaalpie"/>
          <w:rFonts w:ascii="Verdana" w:hAnsi="Verdana" w:cs="Arial"/>
          <w:sz w:val="16"/>
          <w:szCs w:val="16"/>
        </w:rPr>
        <w:footnoteRef/>
      </w:r>
      <w:r w:rsidRPr="0003586C">
        <w:rPr>
          <w:rFonts w:ascii="Verdana" w:hAnsi="Verdana" w:cs="Arial"/>
          <w:sz w:val="16"/>
          <w:szCs w:val="16"/>
        </w:rPr>
        <w:t xml:space="preserve"> </w:t>
      </w:r>
      <w:r w:rsidRPr="0003586C">
        <w:rPr>
          <w:rFonts w:ascii="Verdana" w:eastAsia="Calibri" w:hAnsi="Verdana" w:cs="Arial"/>
          <w:sz w:val="16"/>
          <w:szCs w:val="16"/>
          <w:lang w:val="es-ES_tradnl"/>
        </w:rPr>
        <w:t>En resumen, la jurisprudencia explica que la urgencia manifiesta procede: “[...] en aquellos eventos en los cuales puede suscitarse la necesidad de remediar o evitar males presentes o futuros pero inminentes, provocados bien sea en virtud de los estados de excepción, o por la paralización de los servicios públicos, o provenientes de situaciones de calamidad o hechos constitutivos de fuerza mayor o desastres, o cualquier otra circunstancia similar que tampoco dé espera en su solución, de tal manera que resulte inconveniente el trámite del proceso licitatorio de selección de contratistas reglado en el estatuto contractual, por cuanto implica el agotamiento de una serie de etapas que se toman su tiempo y hacen más o menos largo el lapso para adjudicar el respectivo contrato, circunstancia que, frente a una situación de urgencia obviamente resulta entorpecedora, porque la solución en estas condiciones, puede llegar tardíamente, cuando ya se haya producido o agravado el daño” (</w:t>
      </w:r>
      <w:r w:rsidRPr="0003586C">
        <w:rPr>
          <w:rFonts w:ascii="Verdana" w:hAnsi="Verdana" w:cs="Arial"/>
          <w:sz w:val="16"/>
          <w:szCs w:val="16"/>
        </w:rPr>
        <w:t xml:space="preserve">CONSEJO DE ESTADO. Sección Tercera. Sentencia del 27 de abril de 2006. Rad. 5.229. C.P. Ramiro Saavedra Becerra). </w:t>
      </w:r>
    </w:p>
  </w:footnote>
  <w:footnote w:id="13">
    <w:p w14:paraId="7994DF2F" w14:textId="77777777" w:rsidR="00BF124D" w:rsidRDefault="00BF124D" w:rsidP="00BF124D">
      <w:pPr>
        <w:pStyle w:val="Textonotapie"/>
        <w:ind w:firstLine="709"/>
        <w:jc w:val="both"/>
        <w:rPr>
          <w:rFonts w:ascii="Verdana" w:hAnsi="Verdana" w:cs="Arial"/>
          <w:sz w:val="16"/>
          <w:szCs w:val="16"/>
          <w:lang w:val="es-ES"/>
        </w:rPr>
      </w:pPr>
      <w:r w:rsidRPr="0003586C">
        <w:rPr>
          <w:rStyle w:val="Refdenotaalpie"/>
          <w:rFonts w:ascii="Verdana" w:hAnsi="Verdana" w:cs="Arial"/>
          <w:sz w:val="16"/>
          <w:szCs w:val="16"/>
        </w:rPr>
        <w:footnoteRef/>
      </w:r>
      <w:r w:rsidRPr="0003586C">
        <w:rPr>
          <w:rFonts w:ascii="Verdana" w:hAnsi="Verdana" w:cs="Arial"/>
          <w:sz w:val="16"/>
          <w:szCs w:val="16"/>
        </w:rPr>
        <w:t xml:space="preserve"> </w:t>
      </w:r>
      <w:r w:rsidRPr="0003586C">
        <w:rPr>
          <w:rFonts w:ascii="Verdana" w:hAnsi="Verdana" w:cs="Arial"/>
          <w:sz w:val="16"/>
          <w:szCs w:val="16"/>
          <w:lang w:val="es-ES"/>
        </w:rPr>
        <w:t>C</w:t>
      </w:r>
      <w:r>
        <w:rPr>
          <w:rFonts w:ascii="Verdana" w:hAnsi="Verdana" w:cs="Arial"/>
          <w:sz w:val="16"/>
          <w:szCs w:val="16"/>
          <w:lang w:val="es-ES"/>
        </w:rPr>
        <w:t>orte Constitucional</w:t>
      </w:r>
      <w:r w:rsidRPr="0003586C">
        <w:rPr>
          <w:rFonts w:ascii="Verdana" w:hAnsi="Verdana" w:cs="Arial"/>
          <w:sz w:val="16"/>
          <w:szCs w:val="16"/>
          <w:lang w:val="es-ES"/>
        </w:rPr>
        <w:t>. Sentencia C-772 de 1998. M.P. Fabio Morón Díaz.</w:t>
      </w:r>
    </w:p>
    <w:p w14:paraId="5F431372" w14:textId="77777777" w:rsidR="00BF124D" w:rsidRPr="0003586C" w:rsidRDefault="00BF124D" w:rsidP="00BF124D">
      <w:pPr>
        <w:pStyle w:val="Textonotapie"/>
        <w:ind w:firstLine="709"/>
        <w:jc w:val="both"/>
        <w:rPr>
          <w:rFonts w:ascii="Verdana" w:hAnsi="Verdana" w:cs="Arial"/>
          <w:sz w:val="16"/>
          <w:szCs w:val="16"/>
          <w:lang w:val="es-ES"/>
        </w:rPr>
      </w:pPr>
    </w:p>
  </w:footnote>
  <w:footnote w:id="14">
    <w:p w14:paraId="2B4DE28B" w14:textId="77777777" w:rsidR="00BF124D" w:rsidRPr="0003586C" w:rsidRDefault="00BF124D" w:rsidP="00BF124D">
      <w:pPr>
        <w:spacing w:after="0" w:line="240" w:lineRule="auto"/>
        <w:ind w:firstLine="708"/>
        <w:jc w:val="both"/>
        <w:rPr>
          <w:rFonts w:ascii="Verdana" w:eastAsia="Calibri" w:hAnsi="Verdana" w:cs="Arial"/>
          <w:sz w:val="16"/>
          <w:szCs w:val="16"/>
          <w:lang w:val="es-ES_tradnl"/>
        </w:rPr>
      </w:pPr>
      <w:r w:rsidRPr="0003586C">
        <w:rPr>
          <w:rStyle w:val="Refdenotaalpie"/>
          <w:rFonts w:ascii="Verdana" w:hAnsi="Verdana" w:cs="Arial"/>
          <w:sz w:val="16"/>
          <w:szCs w:val="16"/>
        </w:rPr>
        <w:footnoteRef/>
      </w:r>
      <w:r w:rsidRPr="0003586C">
        <w:rPr>
          <w:rFonts w:ascii="Verdana" w:hAnsi="Verdana" w:cs="Arial"/>
          <w:sz w:val="16"/>
          <w:szCs w:val="16"/>
        </w:rPr>
        <w:t xml:space="preserve"> </w:t>
      </w:r>
      <w:r w:rsidRPr="0003586C">
        <w:rPr>
          <w:rFonts w:ascii="Verdana" w:hAnsi="Verdana" w:cs="Arial"/>
          <w:sz w:val="16"/>
          <w:szCs w:val="16"/>
          <w:lang w:val="es-ES_tradnl"/>
        </w:rPr>
        <w:t>La jurisprudencia delimita su sentido y alcance de la siguiente manera:</w:t>
      </w:r>
    </w:p>
    <w:p w14:paraId="65F8B813" w14:textId="77777777" w:rsidR="00BF124D" w:rsidRPr="0003586C" w:rsidRDefault="00BF124D" w:rsidP="00BF124D">
      <w:pPr>
        <w:spacing w:after="0" w:line="240" w:lineRule="auto"/>
        <w:ind w:right="49" w:firstLine="708"/>
        <w:jc w:val="both"/>
        <w:rPr>
          <w:rFonts w:ascii="Verdana" w:eastAsia="Calibri" w:hAnsi="Verdana" w:cs="Arial"/>
          <w:sz w:val="16"/>
          <w:szCs w:val="16"/>
          <w:lang w:val="es-ES_tradnl"/>
        </w:rPr>
      </w:pPr>
      <w:r w:rsidRPr="0003586C">
        <w:rPr>
          <w:rFonts w:ascii="Verdana" w:eastAsia="Calibri" w:hAnsi="Verdana" w:cs="Arial"/>
          <w:sz w:val="16"/>
          <w:szCs w:val="16"/>
          <w:lang w:val="es-ES_tradnl"/>
        </w:rPr>
        <w:t>“6. […] la fuerza mayor o caso fortuito se configura por la concurrencia de dos factores:</w:t>
      </w:r>
    </w:p>
    <w:p w14:paraId="11BA98FB" w14:textId="77777777" w:rsidR="00BF124D" w:rsidRPr="0003586C" w:rsidRDefault="00BF124D" w:rsidP="00BF124D">
      <w:pPr>
        <w:spacing w:after="0" w:line="240" w:lineRule="auto"/>
        <w:ind w:right="49" w:firstLine="708"/>
        <w:jc w:val="both"/>
        <w:rPr>
          <w:rFonts w:ascii="Verdana" w:eastAsia="Calibri" w:hAnsi="Verdana" w:cs="Arial"/>
          <w:sz w:val="16"/>
          <w:szCs w:val="16"/>
          <w:lang w:val="es-ES_tradnl"/>
        </w:rPr>
      </w:pPr>
      <w:r w:rsidRPr="0003586C">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3E8B9420" w14:textId="77777777" w:rsidR="00BF124D" w:rsidRPr="0003586C" w:rsidRDefault="00BF124D" w:rsidP="00BF124D">
      <w:pPr>
        <w:spacing w:after="0" w:line="240" w:lineRule="auto"/>
        <w:ind w:right="49" w:firstLine="708"/>
        <w:jc w:val="both"/>
        <w:rPr>
          <w:rFonts w:ascii="Verdana" w:eastAsia="Calibri" w:hAnsi="Verdana" w:cs="Arial"/>
          <w:sz w:val="16"/>
          <w:szCs w:val="16"/>
          <w:lang w:val="es-ES_tradnl"/>
        </w:rPr>
      </w:pPr>
      <w:r w:rsidRPr="0003586C">
        <w:rPr>
          <w:rFonts w:ascii="Verdana" w:eastAsia="Calibri" w:hAnsi="Verdana" w:cs="Arial"/>
          <w:sz w:val="16"/>
          <w:szCs w:val="16"/>
          <w:lang w:val="es-ES_tradnl"/>
        </w:rPr>
        <w:t>b) Que el hecho sea irresistible, o sea, que el agente no pueda evitar su acaecimiento ni superar sus consecuencias.</w:t>
      </w:r>
    </w:p>
    <w:p w14:paraId="0BBE5948" w14:textId="77777777" w:rsidR="00BF124D" w:rsidRPr="0003586C" w:rsidRDefault="00BF124D" w:rsidP="00BF124D">
      <w:pPr>
        <w:spacing w:after="0" w:line="240" w:lineRule="auto"/>
        <w:ind w:right="49" w:firstLine="708"/>
        <w:jc w:val="both"/>
        <w:rPr>
          <w:rFonts w:ascii="Verdana" w:eastAsia="Calibri" w:hAnsi="Verdana" w:cs="Arial"/>
          <w:sz w:val="16"/>
          <w:szCs w:val="16"/>
          <w:lang w:val="es-ES_tradnl"/>
        </w:rPr>
      </w:pPr>
      <w:r w:rsidRPr="0003586C">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2073E7D7" w14:textId="77777777" w:rsidR="00BF124D" w:rsidRPr="0003586C" w:rsidRDefault="00BF124D" w:rsidP="00BF124D">
      <w:pPr>
        <w:spacing w:after="0" w:line="240" w:lineRule="auto"/>
        <w:ind w:right="49" w:firstLine="708"/>
        <w:jc w:val="both"/>
        <w:rPr>
          <w:rFonts w:ascii="Verdana" w:eastAsia="Calibri" w:hAnsi="Verdana" w:cs="Arial"/>
          <w:sz w:val="16"/>
          <w:szCs w:val="16"/>
          <w:lang w:val="es-ES_tradnl"/>
        </w:rPr>
      </w:pPr>
      <w:r w:rsidRPr="0003586C">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1991DDED" w14:textId="77777777" w:rsidR="00BF124D" w:rsidRPr="0003586C" w:rsidRDefault="00BF124D" w:rsidP="00BF124D">
      <w:pPr>
        <w:spacing w:after="0" w:line="240" w:lineRule="auto"/>
        <w:ind w:right="49"/>
        <w:jc w:val="both"/>
        <w:rPr>
          <w:rFonts w:ascii="Verdana" w:eastAsia="Calibri" w:hAnsi="Verdana" w:cs="Arial"/>
          <w:sz w:val="16"/>
          <w:szCs w:val="16"/>
          <w:lang w:val="es-ES_tradnl"/>
        </w:rPr>
      </w:pPr>
      <w:r w:rsidRPr="0003586C">
        <w:rPr>
          <w:rFonts w:ascii="Verdana" w:eastAsia="Calibri" w:hAnsi="Verdana" w:cs="Arial"/>
          <w:sz w:val="16"/>
          <w:szCs w:val="16"/>
          <w:lang w:val="es-ES_tradnl"/>
        </w:rPr>
        <w:t>[…]</w:t>
      </w:r>
    </w:p>
    <w:p w14:paraId="0BFB9721" w14:textId="77777777" w:rsidR="00BF124D" w:rsidRPr="0003586C" w:rsidRDefault="00BF124D" w:rsidP="00BF124D">
      <w:pPr>
        <w:pStyle w:val="Textonotapie"/>
        <w:ind w:right="49" w:firstLine="708"/>
        <w:jc w:val="both"/>
        <w:rPr>
          <w:rFonts w:ascii="Verdana" w:hAnsi="Verdana" w:cs="Arial"/>
          <w:sz w:val="16"/>
          <w:szCs w:val="16"/>
          <w:lang w:val="es-CO"/>
        </w:rPr>
      </w:pPr>
      <w:r w:rsidRPr="0003586C">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 (</w:t>
      </w:r>
      <w:r w:rsidRPr="0003586C">
        <w:rPr>
          <w:rFonts w:ascii="Verdana" w:hAnsi="Verdana" w:cs="Arial"/>
          <w:sz w:val="16"/>
          <w:szCs w:val="16"/>
          <w:lang w:val="es-ES"/>
        </w:rPr>
        <w:t>CORTE SUPREMA DE JUSTICIA. Sala de Casación Civil. Sentencia 20 de noviembre de 1989. MP. Alberto Ospina Botero. Publicada en la Gaceta Judicial. Tomo CXCVI. N° 2435. p. 93)</w:t>
      </w:r>
      <w:r w:rsidRPr="0003586C">
        <w:rPr>
          <w:rFonts w:ascii="Verdana" w:eastAsia="Calibri" w:hAnsi="Verdana" w:cs="Arial"/>
          <w:sz w:val="16"/>
          <w:szCs w:val="16"/>
          <w:lang w:val="es-ES_tradnl"/>
        </w:rPr>
        <w:t>.</w:t>
      </w:r>
    </w:p>
  </w:footnote>
  <w:footnote w:id="15">
    <w:p w14:paraId="4DE19226" w14:textId="77777777" w:rsidR="00BF124D" w:rsidRPr="0003586C" w:rsidRDefault="00BF124D" w:rsidP="00BF124D">
      <w:pPr>
        <w:pStyle w:val="Textonotapie"/>
        <w:ind w:firstLine="708"/>
        <w:jc w:val="both"/>
        <w:rPr>
          <w:rFonts w:ascii="Verdana" w:hAnsi="Verdana" w:cs="Arial"/>
          <w:sz w:val="16"/>
          <w:szCs w:val="16"/>
          <w:lang w:val="es-ES"/>
        </w:rPr>
      </w:pPr>
      <w:r w:rsidRPr="0003586C">
        <w:rPr>
          <w:rStyle w:val="Refdenotaalpie"/>
          <w:rFonts w:ascii="Verdana" w:hAnsi="Verdana" w:cs="Arial"/>
          <w:sz w:val="16"/>
          <w:szCs w:val="16"/>
        </w:rPr>
        <w:footnoteRef/>
      </w:r>
      <w:r w:rsidRPr="0003586C">
        <w:rPr>
          <w:rFonts w:ascii="Verdana" w:hAnsi="Verdana" w:cs="Arial"/>
          <w:sz w:val="16"/>
          <w:szCs w:val="16"/>
        </w:rPr>
        <w:t xml:space="preserve"> “</w:t>
      </w:r>
      <w:r w:rsidRPr="0003586C">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61B08861" w14:textId="77777777" w:rsidR="00BF124D" w:rsidRPr="0003586C" w:rsidRDefault="00BF124D" w:rsidP="00BF124D">
      <w:pPr>
        <w:pStyle w:val="Textonotapie"/>
        <w:ind w:firstLine="708"/>
        <w:jc w:val="both"/>
        <w:rPr>
          <w:rFonts w:ascii="Verdana" w:hAnsi="Verdana" w:cs="Arial"/>
          <w:sz w:val="16"/>
          <w:szCs w:val="16"/>
          <w:lang w:val="es-ES"/>
        </w:rPr>
      </w:pPr>
      <w:r w:rsidRPr="0003586C">
        <w:rPr>
          <w:rFonts w:ascii="Verdana" w:hAnsi="Verdana" w:cs="Arial"/>
          <w:sz w:val="16"/>
          <w:szCs w:val="16"/>
          <w:lang w:val="es-ES"/>
        </w:rPr>
        <w:t>1. Nacional. Existirá una situación de desastre nacional:</w:t>
      </w:r>
    </w:p>
    <w:p w14:paraId="4C6CE381" w14:textId="77777777" w:rsidR="00BF124D" w:rsidRPr="0003586C" w:rsidRDefault="00BF124D" w:rsidP="00BF124D">
      <w:pPr>
        <w:pStyle w:val="Textonotapie"/>
        <w:ind w:firstLine="708"/>
        <w:jc w:val="both"/>
        <w:rPr>
          <w:rFonts w:ascii="Verdana" w:hAnsi="Verdana" w:cs="Arial"/>
          <w:sz w:val="16"/>
          <w:szCs w:val="16"/>
          <w:lang w:val="es-ES"/>
        </w:rPr>
      </w:pPr>
      <w:r w:rsidRPr="0003586C">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0860A5C8" w14:textId="77777777" w:rsidR="00BF124D" w:rsidRPr="0003586C" w:rsidRDefault="00BF124D" w:rsidP="00BF124D">
      <w:pPr>
        <w:pStyle w:val="Textonotapie"/>
        <w:ind w:firstLine="708"/>
        <w:jc w:val="both"/>
        <w:rPr>
          <w:rFonts w:ascii="Verdana" w:hAnsi="Verdana" w:cs="Arial"/>
          <w:sz w:val="16"/>
          <w:szCs w:val="16"/>
          <w:lang w:val="es-ES"/>
        </w:rPr>
      </w:pPr>
      <w:r w:rsidRPr="0003586C">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7EC49BEE" w14:textId="77777777" w:rsidR="00BF124D" w:rsidRPr="0003586C" w:rsidRDefault="00BF124D" w:rsidP="00BF124D">
      <w:pPr>
        <w:pStyle w:val="Textonotapie"/>
        <w:ind w:firstLine="708"/>
        <w:jc w:val="both"/>
        <w:rPr>
          <w:rFonts w:ascii="Verdana" w:hAnsi="Verdana" w:cs="Arial"/>
          <w:sz w:val="16"/>
          <w:szCs w:val="16"/>
          <w:lang w:val="es-ES"/>
        </w:rPr>
      </w:pPr>
      <w:r w:rsidRPr="0003586C">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579EF517" w14:textId="77777777" w:rsidR="00BF124D" w:rsidRPr="0003586C" w:rsidRDefault="00BF124D" w:rsidP="00BF124D">
      <w:pPr>
        <w:pStyle w:val="Textonotapie"/>
        <w:ind w:firstLine="708"/>
        <w:jc w:val="both"/>
        <w:rPr>
          <w:rFonts w:ascii="Verdana" w:hAnsi="Verdana" w:cs="Arial"/>
          <w:sz w:val="16"/>
          <w:szCs w:val="16"/>
          <w:lang w:val="es-ES"/>
        </w:rPr>
      </w:pPr>
      <w:r w:rsidRPr="0003586C">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082D6879" w14:textId="77777777" w:rsidR="00BF124D" w:rsidRDefault="00BF124D" w:rsidP="00BF124D">
      <w:pPr>
        <w:pStyle w:val="Textonotapie"/>
        <w:ind w:firstLine="708"/>
        <w:jc w:val="both"/>
        <w:rPr>
          <w:rFonts w:ascii="Verdana" w:hAnsi="Verdana" w:cs="Arial"/>
          <w:sz w:val="16"/>
          <w:szCs w:val="16"/>
          <w:lang w:val="es-ES"/>
        </w:rPr>
      </w:pPr>
      <w:r w:rsidRPr="0003586C">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p w14:paraId="510D99C3" w14:textId="77777777" w:rsidR="00BF124D" w:rsidRPr="0003586C" w:rsidRDefault="00BF124D" w:rsidP="00BF124D">
      <w:pPr>
        <w:pStyle w:val="Textonotapie"/>
        <w:ind w:firstLine="708"/>
        <w:jc w:val="both"/>
        <w:rPr>
          <w:rFonts w:ascii="Verdana" w:hAnsi="Verdana" w:cs="Arial"/>
          <w:sz w:val="16"/>
          <w:szCs w:val="16"/>
          <w:lang w:val="es-ES"/>
        </w:rPr>
      </w:pPr>
    </w:p>
  </w:footnote>
  <w:footnote w:id="16">
    <w:p w14:paraId="11D0A356" w14:textId="77777777" w:rsidR="00BF124D" w:rsidRPr="0003586C" w:rsidRDefault="00BF124D" w:rsidP="00BF124D">
      <w:pPr>
        <w:pStyle w:val="Textonotapie"/>
        <w:ind w:firstLine="708"/>
        <w:jc w:val="both"/>
        <w:rPr>
          <w:rFonts w:ascii="Verdana" w:hAnsi="Verdana" w:cs="Arial"/>
          <w:sz w:val="16"/>
          <w:szCs w:val="16"/>
          <w:lang w:val="es-CO"/>
        </w:rPr>
      </w:pPr>
      <w:r w:rsidRPr="0003586C">
        <w:rPr>
          <w:rStyle w:val="Refdenotaalpie"/>
          <w:rFonts w:ascii="Verdana" w:hAnsi="Verdana" w:cs="Arial"/>
          <w:sz w:val="16"/>
          <w:szCs w:val="16"/>
        </w:rPr>
        <w:footnoteRef/>
      </w:r>
      <w:r w:rsidRPr="0003586C">
        <w:rPr>
          <w:rFonts w:ascii="Verdana" w:hAnsi="Verdana" w:cs="Arial"/>
          <w:sz w:val="16"/>
          <w:szCs w:val="16"/>
        </w:rPr>
        <w:t xml:space="preserve"> “</w:t>
      </w:r>
      <w:r w:rsidRPr="0003586C">
        <w:rPr>
          <w:rFonts w:ascii="Verdana" w:hAnsi="Verdana" w:cs="Arial"/>
          <w:sz w:val="16"/>
          <w:szCs w:val="16"/>
          <w:lang w:val="es-ES"/>
        </w:rPr>
        <w:t xml:space="preserve">Artículo 57. Declaratoria de situación de calamidad pública. </w:t>
      </w:r>
      <w:bookmarkStart w:id="14" w:name="_Hlk132729568"/>
      <w:r w:rsidRPr="0003586C">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14"/>
      <w:r w:rsidRPr="0003586C">
        <w:rPr>
          <w:rFonts w:ascii="Verdana" w:hAnsi="Verdana" w:cs="Arial"/>
          <w:sz w:val="16"/>
          <w:szCs w:val="16"/>
          <w:lang w:val="es-ES"/>
        </w:rPr>
        <w:t>”.</w:t>
      </w:r>
    </w:p>
  </w:footnote>
  <w:footnote w:id="17">
    <w:p w14:paraId="0C16D763" w14:textId="77777777" w:rsidR="00BF124D" w:rsidRPr="00817BE8" w:rsidRDefault="00BF124D" w:rsidP="00BF124D">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Corte Constitucional. Sentencia C- 826 del 13 de noviembre de 2013. M</w:t>
      </w:r>
      <w:r>
        <w:rPr>
          <w:rFonts w:ascii="Verdana" w:hAnsi="Verdana" w:cs="Arial"/>
          <w:sz w:val="16"/>
          <w:szCs w:val="16"/>
        </w:rPr>
        <w:t>.</w:t>
      </w:r>
      <w:r w:rsidRPr="00817BE8">
        <w:rPr>
          <w:rFonts w:ascii="Verdana" w:hAnsi="Verdana" w:cs="Arial"/>
          <w:sz w:val="16"/>
          <w:szCs w:val="16"/>
        </w:rPr>
        <w:t>P</w:t>
      </w:r>
      <w:r>
        <w:rPr>
          <w:rFonts w:ascii="Verdana" w:hAnsi="Verdana" w:cs="Arial"/>
          <w:sz w:val="16"/>
          <w:szCs w:val="16"/>
        </w:rPr>
        <w:t>.</w:t>
      </w:r>
      <w:r w:rsidRPr="00817BE8">
        <w:rPr>
          <w:rFonts w:ascii="Verdana" w:hAnsi="Verdana" w:cs="Arial"/>
          <w:sz w:val="16"/>
          <w:szCs w:val="16"/>
        </w:rPr>
        <w:t xml:space="preserve"> Luis Ernesto Vargas Silva.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FBC25EC"/>
    <w:multiLevelType w:val="hybridMultilevel"/>
    <w:tmpl w:val="AD122E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779781">
    <w:abstractNumId w:val="9"/>
  </w:num>
  <w:num w:numId="2" w16cid:durableId="19822139">
    <w:abstractNumId w:val="3"/>
  </w:num>
  <w:num w:numId="3" w16cid:durableId="876742304">
    <w:abstractNumId w:val="6"/>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8"/>
  </w:num>
  <w:num w:numId="8" w16cid:durableId="152644682">
    <w:abstractNumId w:val="14"/>
  </w:num>
  <w:num w:numId="9" w16cid:durableId="1317221377">
    <w:abstractNumId w:val="10"/>
  </w:num>
  <w:num w:numId="10" w16cid:durableId="1471245386">
    <w:abstractNumId w:val="13"/>
  </w:num>
  <w:num w:numId="11" w16cid:durableId="289172385">
    <w:abstractNumId w:val="11"/>
  </w:num>
  <w:num w:numId="12" w16cid:durableId="1470781324">
    <w:abstractNumId w:val="1"/>
  </w:num>
  <w:num w:numId="13" w16cid:durableId="1512908409">
    <w:abstractNumId w:val="5"/>
  </w:num>
  <w:num w:numId="14" w16cid:durableId="895897244">
    <w:abstractNumId w:val="16"/>
  </w:num>
  <w:num w:numId="15" w16cid:durableId="390349800">
    <w:abstractNumId w:val="12"/>
  </w:num>
  <w:num w:numId="16" w16cid:durableId="341274352">
    <w:abstractNumId w:val="0"/>
  </w:num>
  <w:num w:numId="17" w16cid:durableId="1358431546">
    <w:abstractNumId w:val="4"/>
  </w:num>
  <w:num w:numId="18" w16cid:durableId="1144352127">
    <w:abstractNumId w:val="17"/>
  </w:num>
  <w:num w:numId="19" w16cid:durableId="1492209491">
    <w:abstractNumId w:val="7"/>
  </w:num>
  <w:num w:numId="20" w16cid:durableId="7956865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47E"/>
    <w:rsid w:val="00046945"/>
    <w:rsid w:val="00061B2A"/>
    <w:rsid w:val="00082362"/>
    <w:rsid w:val="000A683E"/>
    <w:rsid w:val="000B19B9"/>
    <w:rsid w:val="000D0334"/>
    <w:rsid w:val="000D0FC3"/>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22363"/>
    <w:rsid w:val="005566E8"/>
    <w:rsid w:val="00557E1E"/>
    <w:rsid w:val="00574867"/>
    <w:rsid w:val="00591460"/>
    <w:rsid w:val="005A65E0"/>
    <w:rsid w:val="005C3777"/>
    <w:rsid w:val="005C5CDC"/>
    <w:rsid w:val="005D476C"/>
    <w:rsid w:val="006200BF"/>
    <w:rsid w:val="006219F8"/>
    <w:rsid w:val="006302F7"/>
    <w:rsid w:val="00640136"/>
    <w:rsid w:val="00646B9F"/>
    <w:rsid w:val="00665D70"/>
    <w:rsid w:val="006900D9"/>
    <w:rsid w:val="006B6580"/>
    <w:rsid w:val="00706C16"/>
    <w:rsid w:val="007340C3"/>
    <w:rsid w:val="0075235A"/>
    <w:rsid w:val="00756841"/>
    <w:rsid w:val="00762904"/>
    <w:rsid w:val="007649AB"/>
    <w:rsid w:val="00771D0C"/>
    <w:rsid w:val="00777F60"/>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07A7B"/>
    <w:rsid w:val="00923EEF"/>
    <w:rsid w:val="009419F9"/>
    <w:rsid w:val="0095685E"/>
    <w:rsid w:val="00961B09"/>
    <w:rsid w:val="00965334"/>
    <w:rsid w:val="0097093E"/>
    <w:rsid w:val="009A0DFA"/>
    <w:rsid w:val="009A1C6F"/>
    <w:rsid w:val="009B0EC7"/>
    <w:rsid w:val="009B2D26"/>
    <w:rsid w:val="009C71FA"/>
    <w:rsid w:val="009C72E7"/>
    <w:rsid w:val="009C7F7E"/>
    <w:rsid w:val="009D3058"/>
    <w:rsid w:val="009E48B2"/>
    <w:rsid w:val="009F3A13"/>
    <w:rsid w:val="00A122D3"/>
    <w:rsid w:val="00A14468"/>
    <w:rsid w:val="00A17F13"/>
    <w:rsid w:val="00A20739"/>
    <w:rsid w:val="00A23AF9"/>
    <w:rsid w:val="00A33C78"/>
    <w:rsid w:val="00A64012"/>
    <w:rsid w:val="00AB0ADB"/>
    <w:rsid w:val="00B00C0E"/>
    <w:rsid w:val="00B01B1A"/>
    <w:rsid w:val="00B0381D"/>
    <w:rsid w:val="00B23D8A"/>
    <w:rsid w:val="00B44A47"/>
    <w:rsid w:val="00B72CD3"/>
    <w:rsid w:val="00B72FFF"/>
    <w:rsid w:val="00B86F2E"/>
    <w:rsid w:val="00B87CAD"/>
    <w:rsid w:val="00BC3D36"/>
    <w:rsid w:val="00BD54A6"/>
    <w:rsid w:val="00BD7F72"/>
    <w:rsid w:val="00BF124D"/>
    <w:rsid w:val="00BF7425"/>
    <w:rsid w:val="00C04FB3"/>
    <w:rsid w:val="00C11D8B"/>
    <w:rsid w:val="00C15139"/>
    <w:rsid w:val="00C330EB"/>
    <w:rsid w:val="00C366B0"/>
    <w:rsid w:val="00C50D69"/>
    <w:rsid w:val="00C5365C"/>
    <w:rsid w:val="00C70D2C"/>
    <w:rsid w:val="00C754BE"/>
    <w:rsid w:val="00C76B1C"/>
    <w:rsid w:val="00C925AC"/>
    <w:rsid w:val="00CB6357"/>
    <w:rsid w:val="00CC1B26"/>
    <w:rsid w:val="00D361FD"/>
    <w:rsid w:val="00D423A2"/>
    <w:rsid w:val="00D44E26"/>
    <w:rsid w:val="00D520D8"/>
    <w:rsid w:val="00D63AC2"/>
    <w:rsid w:val="00D7383B"/>
    <w:rsid w:val="00D7788A"/>
    <w:rsid w:val="00D8648E"/>
    <w:rsid w:val="00D871A3"/>
    <w:rsid w:val="00DA231B"/>
    <w:rsid w:val="00DC39FC"/>
    <w:rsid w:val="00DF5254"/>
    <w:rsid w:val="00E02524"/>
    <w:rsid w:val="00E16408"/>
    <w:rsid w:val="00E20894"/>
    <w:rsid w:val="00E245AB"/>
    <w:rsid w:val="00E2764C"/>
    <w:rsid w:val="00E27F2E"/>
    <w:rsid w:val="00E50AFE"/>
    <w:rsid w:val="00E65B3A"/>
    <w:rsid w:val="00E75C92"/>
    <w:rsid w:val="00E771DC"/>
    <w:rsid w:val="00E8772A"/>
    <w:rsid w:val="00E90F6B"/>
    <w:rsid w:val="00E92C27"/>
    <w:rsid w:val="00EA0E3D"/>
    <w:rsid w:val="00EC38A7"/>
    <w:rsid w:val="00EE1AA8"/>
    <w:rsid w:val="00F0183A"/>
    <w:rsid w:val="00F23FEA"/>
    <w:rsid w:val="00F31EDC"/>
    <w:rsid w:val="00F462B3"/>
    <w:rsid w:val="00F5664F"/>
    <w:rsid w:val="00F666C4"/>
    <w:rsid w:val="00F76AFC"/>
    <w:rsid w:val="00F83E8A"/>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AAC47C7"/>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F124D"/>
    <w:rPr>
      <w:rFonts w:ascii="Geomanist Light" w:hAnsi="Geomanist Light"/>
      <w:lang w:val="es-ES"/>
    </w:rPr>
  </w:style>
  <w:style w:type="paragraph" w:customStyle="1" w:styleId="Appelnotedebasde">
    <w:name w:val="Appel note de bas de..."/>
    <w:basedOn w:val="Normal"/>
    <w:link w:val="Refdenotaalpie"/>
    <w:uiPriority w:val="99"/>
    <w:rsid w:val="00BF124D"/>
    <w:pPr>
      <w:spacing w:line="240" w:lineRule="exact"/>
    </w:pPr>
    <w:rPr>
      <w:vertAlign w:val="superscript"/>
    </w:rPr>
  </w:style>
  <w:style w:type="character" w:styleId="nfasis">
    <w:name w:val="Emphasis"/>
    <w:basedOn w:val="Fuentedeprrafopredeter"/>
    <w:uiPriority w:val="20"/>
    <w:qFormat/>
    <w:rsid w:val="00BF124D"/>
    <w:rPr>
      <w:i/>
      <w:iCs/>
    </w:rPr>
  </w:style>
  <w:style w:type="paragraph" w:styleId="Textoindependiente">
    <w:name w:val="Body Text"/>
    <w:basedOn w:val="Normal"/>
    <w:link w:val="TextoindependienteCar"/>
    <w:uiPriority w:val="99"/>
    <w:unhideWhenUsed/>
    <w:rsid w:val="00BF124D"/>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BF124D"/>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mineoriente@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A6CAF20-BB50-4FB8-A79B-3F682598069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34</TotalTime>
  <Pages>29</Pages>
  <Words>9823</Words>
  <Characters>54029</Characters>
  <Application>Microsoft Office Word</Application>
  <DocSecurity>0</DocSecurity>
  <Lines>450</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2023-01-10T21:18:00Z</cp:lastPrinted>
  <dcterms:created xsi:type="dcterms:W3CDTF">2026-06-18T21:19:00Z</dcterms:created>
  <dcterms:modified xsi:type="dcterms:W3CDTF">2026-06-19T15:46:00Z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