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16D63" w14:textId="77777777" w:rsidR="002D4FBC" w:rsidRPr="00ED14D5" w:rsidRDefault="002D4FBC" w:rsidP="002D4FBC">
      <w:pPr>
        <w:spacing w:after="0" w:line="240" w:lineRule="auto"/>
        <w:rPr>
          <w:rFonts w:ascii="Verdana" w:eastAsia="Calibri" w:hAnsi="Verdana" w:cs="Arial"/>
          <w:b/>
          <w:bCs/>
          <w:lang w:val="es-ES" w:eastAsia="es-ES"/>
        </w:rPr>
      </w:pPr>
      <w:bookmarkStart w:id="0" w:name="_Hlk186494164"/>
      <w:bookmarkStart w:id="1" w:name="_Hlk143780582"/>
      <w:r w:rsidRPr="00ED14D5">
        <w:rPr>
          <w:rFonts w:ascii="Verdana" w:eastAsia="Calibri" w:hAnsi="Verdana" w:cs="Arial"/>
          <w:b/>
          <w:bCs/>
          <w:lang w:val="es-ES" w:eastAsia="es-ES"/>
        </w:rPr>
        <w:t xml:space="preserve">SISTEMA GENERAL DE REGALÍAS – Ley 2056 de 2020 – artículo 37 </w:t>
      </w:r>
    </w:p>
    <w:p w14:paraId="186E3434" w14:textId="77777777" w:rsidR="002D4FBC" w:rsidRPr="002D4FBC" w:rsidRDefault="002D4FBC" w:rsidP="002D4FBC">
      <w:pPr>
        <w:spacing w:after="0" w:line="240" w:lineRule="auto"/>
        <w:jc w:val="both"/>
        <w:rPr>
          <w:rFonts w:ascii="Verdana" w:hAnsi="Verdana" w:cs="Arial"/>
          <w:noProof/>
          <w:sz w:val="20"/>
          <w:szCs w:val="20"/>
          <w:lang w:val="es-ES_tradnl"/>
        </w:rPr>
      </w:pPr>
    </w:p>
    <w:p w14:paraId="56D55C12" w14:textId="77777777" w:rsidR="002D4FBC" w:rsidRPr="002D4FBC" w:rsidRDefault="002D4FBC" w:rsidP="002D4FBC">
      <w:pPr>
        <w:spacing w:after="0" w:line="240" w:lineRule="auto"/>
        <w:jc w:val="both"/>
        <w:rPr>
          <w:rFonts w:ascii="Verdana" w:hAnsi="Verdana" w:cs="Arial"/>
          <w:noProof/>
          <w:sz w:val="20"/>
          <w:szCs w:val="20"/>
          <w:lang w:val="es-ES_tradnl"/>
        </w:rPr>
      </w:pPr>
      <w:r w:rsidRPr="002D4FBC">
        <w:rPr>
          <w:rFonts w:ascii="Verdana" w:hAnsi="Verdana" w:cs="Arial"/>
          <w:noProof/>
          <w:sz w:val="20"/>
          <w:szCs w:val="20"/>
          <w:lang w:val="es-ES_tradnl"/>
        </w:rPr>
        <w:t xml:space="preserve">En </w:t>
      </w:r>
      <w:r w:rsidRPr="002D4FBC">
        <w:rPr>
          <w:rFonts w:ascii="Verdana" w:hAnsi="Verdana" w:cs="Arial"/>
          <w:noProof/>
          <w:sz w:val="20"/>
          <w:szCs w:val="20"/>
        </w:rPr>
        <w:t>el Título IV, Capítulo I, la Ley 2056 de 2020 establece las reglas generales para los proyectos de inversión en el Sistema General de Regalías. En esta línea, regula la destinación de los proyectos del Sistema General de Regalías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w:t>
      </w:r>
    </w:p>
    <w:p w14:paraId="523A0CAF" w14:textId="77777777" w:rsidR="002D4FBC" w:rsidRPr="002D4FBC" w:rsidRDefault="002D4FBC" w:rsidP="002D4FBC">
      <w:pPr>
        <w:spacing w:after="0" w:line="240" w:lineRule="auto"/>
        <w:jc w:val="both"/>
        <w:rPr>
          <w:rFonts w:ascii="Verdana" w:hAnsi="Verdana" w:cs="Arial"/>
          <w:noProof/>
          <w:sz w:val="20"/>
          <w:szCs w:val="20"/>
        </w:rPr>
      </w:pPr>
    </w:p>
    <w:p w14:paraId="18056FDE" w14:textId="77777777" w:rsidR="002D4FBC" w:rsidRPr="002D4FBC" w:rsidRDefault="002D4FBC" w:rsidP="002D4FBC">
      <w:pPr>
        <w:spacing w:after="0" w:line="240" w:lineRule="auto"/>
        <w:jc w:val="both"/>
        <w:rPr>
          <w:rFonts w:ascii="Verdana" w:hAnsi="Verdana" w:cs="Arial"/>
          <w:noProof/>
          <w:sz w:val="20"/>
          <w:szCs w:val="20"/>
        </w:rPr>
      </w:pPr>
      <w:r w:rsidRPr="002D4FBC">
        <w:rPr>
          <w:rFonts w:ascii="Verdana" w:hAnsi="Verdana" w:cs="Arial"/>
          <w:noProof/>
          <w:sz w:val="20"/>
          <w:szCs w:val="20"/>
        </w:rPr>
        <w:t xml:space="preserve">Los parágrafos del señalado artículo 37 disponen reglas importantes frente a la designación de los ejecutores de los proyectos y el régimen de contratación que deberá regir su actuación. El parágrafo primero del artículo 37 ibidem dispone que “La ejecución de proyectos de que trata este artículo, se adelantará, con estricta sujeción al régimen presupuestal definido en esta ley, al de contratación pública y las demás normas legales vigentes” . Lo anterior implica que el ejecutor de los proyectos de inversión del SGR deberá someterse a las reglas de contratación pública, es decir, a lo establecido en el Estatuto General de Contratación Pública, así como las normas que lo modifiquen, sustituyan o reglamenten, cuando desarrolle proyectos en el marco de éste sistema. En efecto, el ejecutor debe someterse a las reglas generales de la contratación pública cuando desarrolle proyectos en el marco del Sistema General de Regalías. </w:t>
      </w:r>
    </w:p>
    <w:p w14:paraId="23A14668" w14:textId="77777777" w:rsidR="002D4FBC" w:rsidRPr="002D4FBC" w:rsidRDefault="002D4FBC" w:rsidP="002D4FBC">
      <w:pPr>
        <w:spacing w:after="0" w:line="240" w:lineRule="auto"/>
        <w:jc w:val="both"/>
        <w:rPr>
          <w:rFonts w:ascii="Verdana" w:hAnsi="Verdana" w:cs="Arial"/>
          <w:noProof/>
          <w:sz w:val="20"/>
          <w:szCs w:val="20"/>
        </w:rPr>
      </w:pPr>
    </w:p>
    <w:p w14:paraId="7D16C471" w14:textId="77777777" w:rsidR="002D4FBC" w:rsidRPr="002D4FBC" w:rsidRDefault="002D4FBC" w:rsidP="002D4FBC">
      <w:pPr>
        <w:spacing w:after="0" w:line="240" w:lineRule="auto"/>
        <w:jc w:val="both"/>
        <w:rPr>
          <w:rFonts w:ascii="Verdana" w:hAnsi="Verdana" w:cs="Arial"/>
          <w:noProof/>
          <w:sz w:val="20"/>
          <w:szCs w:val="20"/>
        </w:rPr>
      </w:pPr>
      <w:r w:rsidRPr="002D4FBC">
        <w:rPr>
          <w:rFonts w:ascii="Verdana" w:hAnsi="Verdana" w:cs="Arial"/>
          <w:noProof/>
          <w:sz w:val="20"/>
          <w:szCs w:val="20"/>
        </w:rPr>
        <w:t>Por tanto, conforme a esta previsión normativa en caso de que se realicen proyectos de inversión en el marco del Sistema General de Regalías los ejecutores designados para desarrollarlos deben sujetarse al Estatuto General de Contratación de la Administración Pública. En el evento en que determinados asuntos estén sometidos por norma especial al Estatuto General de Contratación Pública, la ejecución de los contratos deberá realizarse conforme a este régimen</w:t>
      </w:r>
    </w:p>
    <w:p w14:paraId="6D7B19E2" w14:textId="77777777" w:rsidR="002D4FBC" w:rsidRPr="002D4FBC" w:rsidRDefault="002D4FBC" w:rsidP="002D4FBC">
      <w:pPr>
        <w:spacing w:after="0" w:line="240" w:lineRule="auto"/>
        <w:jc w:val="both"/>
        <w:rPr>
          <w:rFonts w:ascii="Verdana" w:hAnsi="Verdana" w:cs="Arial"/>
          <w:noProof/>
          <w:sz w:val="20"/>
          <w:szCs w:val="20"/>
        </w:rPr>
      </w:pPr>
    </w:p>
    <w:p w14:paraId="269CF69A" w14:textId="77777777" w:rsidR="002D4FBC" w:rsidRPr="002D4FBC" w:rsidRDefault="002D4FBC" w:rsidP="002D4FBC">
      <w:pPr>
        <w:jc w:val="both"/>
        <w:rPr>
          <w:rFonts w:ascii="Verdana" w:eastAsia="Calibri" w:hAnsi="Verdana" w:cs="Arial"/>
          <w:b/>
          <w:bCs/>
          <w:lang w:val="es-ES" w:eastAsia="es-ES"/>
        </w:rPr>
      </w:pPr>
      <w:r w:rsidRPr="002D4FBC">
        <w:rPr>
          <w:rFonts w:ascii="Verdana" w:eastAsia="Calibri" w:hAnsi="Verdana" w:cs="Arial"/>
          <w:b/>
          <w:bCs/>
          <w:lang w:val="es-ES" w:eastAsia="es-ES"/>
        </w:rPr>
        <w:t xml:space="preserve">RÉGIMEN CONTRACTUAL – Entidades ejecutoras – Régimen especial – Aplicación del Estatuto General de Contratación de la Administración Pública         </w:t>
      </w:r>
    </w:p>
    <w:p w14:paraId="6EAD4364" w14:textId="77777777" w:rsidR="002D4FBC" w:rsidRPr="002D4FBC" w:rsidRDefault="002D4FBC" w:rsidP="002D4FBC">
      <w:pPr>
        <w:spacing w:after="0" w:line="240" w:lineRule="auto"/>
        <w:jc w:val="both"/>
        <w:rPr>
          <w:rFonts w:ascii="Verdana" w:eastAsia="Calibri" w:hAnsi="Verdana" w:cs="Arial"/>
          <w:color w:val="000000"/>
          <w:sz w:val="20"/>
          <w:szCs w:val="20"/>
          <w:lang w:val="es-ES" w:eastAsia="es-ES"/>
        </w:rPr>
      </w:pPr>
    </w:p>
    <w:p w14:paraId="07FF3E2E" w14:textId="77777777" w:rsidR="002D4FBC" w:rsidRPr="002D4FBC" w:rsidRDefault="002D4FBC" w:rsidP="002D4FBC">
      <w:pPr>
        <w:spacing w:after="0" w:line="240" w:lineRule="auto"/>
        <w:jc w:val="both"/>
        <w:rPr>
          <w:rFonts w:ascii="Verdana" w:eastAsia="Calibri" w:hAnsi="Verdana" w:cs="Arial"/>
          <w:color w:val="000000"/>
          <w:sz w:val="20"/>
          <w:szCs w:val="20"/>
          <w:lang w:val="es-ES" w:eastAsia="es-ES"/>
        </w:rPr>
      </w:pPr>
      <w:r w:rsidRPr="002D4FBC">
        <w:rPr>
          <w:rFonts w:ascii="Verdana" w:eastAsia="Calibri" w:hAnsi="Verdana" w:cs="Arial"/>
          <w:color w:val="000000"/>
          <w:sz w:val="20"/>
          <w:szCs w:val="20"/>
          <w:lang w:val="es-ES" w:eastAsia="es-ES"/>
        </w:rPr>
        <w:t>Así las cosas, se ha sostenido que si la entidad ejecutora es de régimen especial, no podrá apoyarse en las excepciones a la aplicación de la Ley 80 de 1993 para la ejecución de los proyectos. De esta manera, el artículo 37 citado excluye la posibilidad de que los recursos se ejecuten con prevalencia del derecho privado, pues quienes tengan la calidad de entidades ejecutoras para efectos del SGR deben sujetarse a las normas donde prevalece el derecho público, esto es, al EGCAP, sin perjuicio de que en sus demás actividades apliquen el régimen especial que les corresponda.</w:t>
      </w:r>
    </w:p>
    <w:p w14:paraId="66011F15" w14:textId="1D646435" w:rsidR="002D4FBC" w:rsidRPr="002D4FBC" w:rsidRDefault="002D4FBC" w:rsidP="002D4FBC">
      <w:pPr>
        <w:spacing w:after="0" w:line="240" w:lineRule="auto"/>
        <w:jc w:val="both"/>
        <w:rPr>
          <w:rFonts w:ascii="Verdana" w:eastAsia="Calibri" w:hAnsi="Verdana" w:cs="Arial"/>
          <w:color w:val="000000"/>
          <w:sz w:val="20"/>
          <w:szCs w:val="20"/>
          <w:lang w:val="es-ES" w:eastAsia="es-ES"/>
        </w:rPr>
      </w:pPr>
      <w:r w:rsidRPr="002D4FBC">
        <w:rPr>
          <w:rFonts w:ascii="Verdana" w:eastAsia="Geomanist Light" w:hAnsi="Verdana" w:cs="Arial"/>
          <w:color w:val="000000" w:themeColor="text1"/>
        </w:rPr>
        <w:lastRenderedPageBreak/>
        <w:t>Bogotá D.C., </w:t>
      </w:r>
      <w:r w:rsidR="00F47B99">
        <w:rPr>
          <w:rFonts w:ascii="Verdana" w:eastAsia="Geomanist Light" w:hAnsi="Verdana" w:cs="Arial"/>
          <w:color w:val="201F1E"/>
        </w:rPr>
        <w:t>29 de mayo de 2026</w:t>
      </w:r>
    </w:p>
    <w:p w14:paraId="5412678E" w14:textId="760D53E3" w:rsidR="002D4FBC" w:rsidRPr="002D4FBC" w:rsidRDefault="00292432" w:rsidP="002D4FBC">
      <w:pPr>
        <w:spacing w:after="0" w:line="240" w:lineRule="auto"/>
        <w:jc w:val="both"/>
        <w:rPr>
          <w:rFonts w:ascii="Verdana" w:eastAsia="Calibri" w:hAnsi="Verdana" w:cs="Arial"/>
          <w:color w:val="000000"/>
        </w:rPr>
      </w:pPr>
      <w:r w:rsidRPr="009742DA">
        <w:rPr>
          <w:rFonts w:ascii="Verdana" w:eastAsia="Calibri" w:hAnsi="Verdana" w:cs="Arial"/>
          <w:noProof/>
          <w:color w:val="000000"/>
        </w:rPr>
        <w:drawing>
          <wp:anchor distT="0" distB="0" distL="114300" distR="114300" simplePos="0" relativeHeight="251658240" behindDoc="0" locked="0" layoutInCell="1" allowOverlap="1" wp14:anchorId="5A6117DF" wp14:editId="3052A7E9">
            <wp:simplePos x="0" y="0"/>
            <wp:positionH relativeFrom="margin">
              <wp:align>right</wp:align>
            </wp:positionH>
            <wp:positionV relativeFrom="paragraph">
              <wp:posOffset>172720</wp:posOffset>
            </wp:positionV>
            <wp:extent cx="2567940" cy="929640"/>
            <wp:effectExtent l="0" t="0" r="3810" b="3810"/>
            <wp:wrapSquare wrapText="bothSides"/>
            <wp:docPr id="4665243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67940" cy="9296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1BA73F" w14:textId="09E6CB2E" w:rsidR="002D4FBC" w:rsidRPr="002D4FBC" w:rsidRDefault="002D4FBC" w:rsidP="009742DA">
      <w:pPr>
        <w:spacing w:after="0" w:line="240" w:lineRule="auto"/>
        <w:jc w:val="right"/>
        <w:rPr>
          <w:rFonts w:ascii="Verdana" w:eastAsia="Calibri" w:hAnsi="Verdana" w:cs="Arial"/>
          <w:color w:val="000000"/>
        </w:rPr>
      </w:pPr>
    </w:p>
    <w:p w14:paraId="7CEC14F8" w14:textId="77777777" w:rsidR="002D4FBC" w:rsidRPr="002D4FBC" w:rsidRDefault="002D4FBC" w:rsidP="002D4FBC">
      <w:pPr>
        <w:spacing w:after="0" w:line="240" w:lineRule="auto"/>
        <w:jc w:val="both"/>
        <w:rPr>
          <w:rFonts w:ascii="Verdana" w:eastAsia="Calibri" w:hAnsi="Verdana" w:cs="Arial"/>
          <w:lang w:eastAsia="es-ES"/>
        </w:rPr>
      </w:pPr>
      <w:r w:rsidRPr="002D4FBC">
        <w:rPr>
          <w:rFonts w:ascii="Verdana" w:eastAsia="Calibri" w:hAnsi="Verdana" w:cs="Arial"/>
          <w:lang w:eastAsia="es-ES"/>
        </w:rPr>
        <w:t>Señor</w:t>
      </w:r>
    </w:p>
    <w:p w14:paraId="07ED5C51" w14:textId="77777777" w:rsidR="002D4FBC" w:rsidRPr="002D4FBC" w:rsidRDefault="002D4FBC" w:rsidP="002D4FBC">
      <w:pPr>
        <w:spacing w:after="0" w:line="240" w:lineRule="auto"/>
        <w:jc w:val="both"/>
        <w:rPr>
          <w:rFonts w:ascii="Verdana" w:hAnsi="Verdana"/>
          <w:b/>
          <w:bCs/>
        </w:rPr>
      </w:pPr>
      <w:r w:rsidRPr="002D4FBC">
        <w:rPr>
          <w:rFonts w:ascii="Verdana" w:hAnsi="Verdana"/>
          <w:b/>
          <w:bCs/>
        </w:rPr>
        <w:t xml:space="preserve">Fernando Quimbaya García </w:t>
      </w:r>
    </w:p>
    <w:p w14:paraId="37FB4A65" w14:textId="77777777" w:rsidR="002D4FBC" w:rsidRPr="002D4FBC" w:rsidRDefault="002D4FBC" w:rsidP="002D4FBC">
      <w:pPr>
        <w:spacing w:after="0" w:line="240" w:lineRule="auto"/>
        <w:jc w:val="both"/>
        <w:rPr>
          <w:rFonts w:ascii="Verdana" w:hAnsi="Verdana"/>
        </w:rPr>
      </w:pPr>
      <w:r w:rsidRPr="002D4FBC">
        <w:rPr>
          <w:rFonts w:ascii="Verdana" w:hAnsi="Verdana"/>
        </w:rPr>
        <w:t xml:space="preserve">Alcaldía Municipal de Tena </w:t>
      </w:r>
    </w:p>
    <w:p w14:paraId="3E61DCA8" w14:textId="77777777" w:rsidR="002D4FBC" w:rsidRPr="002D4FBC" w:rsidRDefault="002D4FBC" w:rsidP="002D4FBC">
      <w:pPr>
        <w:spacing w:after="0" w:line="240" w:lineRule="auto"/>
        <w:rPr>
          <w:rFonts w:ascii="Verdana" w:eastAsia="Calibri" w:hAnsi="Verdana" w:cs="Arial"/>
          <w:color w:val="000000" w:themeColor="text1"/>
          <w:lang w:eastAsia="es-ES"/>
        </w:rPr>
      </w:pPr>
      <w:hyperlink r:id="rId12" w:history="1">
        <w:r w:rsidRPr="002D4FBC">
          <w:rPr>
            <w:rFonts w:ascii="Verdana" w:eastAsia="Calibri" w:hAnsi="Verdana" w:cs="Arial"/>
            <w:color w:val="0563C1" w:themeColor="hyperlink"/>
            <w:u w:val="single"/>
            <w:lang w:eastAsia="es-ES"/>
          </w:rPr>
          <w:t>asesorcontrataciontena@gmail.com</w:t>
        </w:r>
      </w:hyperlink>
      <w:r w:rsidRPr="002D4FBC">
        <w:rPr>
          <w:rFonts w:ascii="Verdana" w:eastAsia="Calibri" w:hAnsi="Verdana" w:cs="Arial"/>
          <w:color w:val="000000" w:themeColor="text1"/>
          <w:lang w:eastAsia="es-ES"/>
        </w:rPr>
        <w:t xml:space="preserve"> </w:t>
      </w:r>
    </w:p>
    <w:p w14:paraId="4B5AFC50" w14:textId="77777777" w:rsidR="002D4FBC" w:rsidRPr="002D4FBC" w:rsidRDefault="002D4FBC" w:rsidP="002D4FBC">
      <w:pPr>
        <w:spacing w:after="0" w:line="240" w:lineRule="auto"/>
        <w:rPr>
          <w:rFonts w:ascii="Verdana" w:eastAsia="Calibri" w:hAnsi="Verdana" w:cs="Arial"/>
          <w:b/>
          <w:bCs/>
          <w:color w:val="000000" w:themeColor="text1"/>
          <w:lang w:val="es-ES_tradnl" w:eastAsia="es-ES"/>
        </w:rPr>
      </w:pPr>
      <w:r w:rsidRPr="002D4FBC">
        <w:rPr>
          <w:rFonts w:ascii="Verdana" w:eastAsia="Calibri" w:hAnsi="Verdana" w:cs="Arial"/>
          <w:color w:val="000000" w:themeColor="text1"/>
          <w:lang w:val="es-ES_tradnl" w:eastAsia="es-ES"/>
        </w:rPr>
        <w:t xml:space="preserve">Tena, Cundinamarca </w:t>
      </w:r>
    </w:p>
    <w:p w14:paraId="7C8E5663" w14:textId="77777777" w:rsidR="002D4FBC" w:rsidRPr="002D4FBC" w:rsidRDefault="002D4FBC" w:rsidP="002D4FBC">
      <w:pPr>
        <w:spacing w:after="0" w:line="240" w:lineRule="auto"/>
        <w:rPr>
          <w:rFonts w:ascii="Verdana" w:eastAsia="Calibri" w:hAnsi="Verdana" w:cs="Arial"/>
          <w:lang w:val="pt-BR" w:eastAsia="es-ES"/>
        </w:rPr>
      </w:pPr>
    </w:p>
    <w:p w14:paraId="7B94FF2F" w14:textId="77777777" w:rsidR="002D4FBC" w:rsidRPr="002D4FBC" w:rsidRDefault="002D4FBC" w:rsidP="002D4FBC">
      <w:pPr>
        <w:spacing w:after="0" w:line="240" w:lineRule="auto"/>
        <w:rPr>
          <w:rFonts w:ascii="Verdana" w:eastAsia="Calibri" w:hAnsi="Verdana" w:cs="Arial"/>
          <w:b/>
          <w:color w:val="000000"/>
          <w:lang w:val="pt-BR" w:eastAsia="es-ES_tradnl"/>
        </w:rPr>
      </w:pPr>
    </w:p>
    <w:p w14:paraId="1E0EAB95" w14:textId="77777777" w:rsidR="002D4FBC" w:rsidRPr="002D4FBC" w:rsidRDefault="002D4FBC" w:rsidP="002D4FBC">
      <w:pPr>
        <w:tabs>
          <w:tab w:val="left" w:pos="2694"/>
        </w:tabs>
        <w:spacing w:after="0" w:line="240" w:lineRule="auto"/>
        <w:jc w:val="center"/>
        <w:rPr>
          <w:rFonts w:ascii="Verdana" w:eastAsia="Calibri" w:hAnsi="Verdana" w:cs="Arial"/>
          <w:b/>
          <w:lang w:val="pt-BR" w:eastAsia="es-ES"/>
        </w:rPr>
      </w:pPr>
      <w:r w:rsidRPr="002D4FBC">
        <w:rPr>
          <w:rFonts w:ascii="Verdana" w:eastAsia="Calibri" w:hAnsi="Verdana" w:cs="Arial"/>
          <w:b/>
          <w:lang w:val="pt-BR" w:eastAsia="es-ES"/>
        </w:rPr>
        <w:t>Concepto C –764 de 2026</w:t>
      </w:r>
    </w:p>
    <w:p w14:paraId="33D93032" w14:textId="77777777" w:rsidR="002D4FBC" w:rsidRPr="002D4FBC" w:rsidRDefault="002D4FBC" w:rsidP="002D4FBC">
      <w:pPr>
        <w:spacing w:after="0" w:line="240" w:lineRule="auto"/>
        <w:rPr>
          <w:rFonts w:ascii="Verdana" w:eastAsia="Calibri" w:hAnsi="Verdana" w:cs="Arial"/>
          <w:b/>
          <w:color w:val="000000"/>
          <w:lang w:val="pt-BR"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D4FBC" w:rsidRPr="002D4FBC" w14:paraId="4C70DF79" w14:textId="77777777" w:rsidTr="00873641">
        <w:trPr>
          <w:trHeight w:val="884"/>
        </w:trPr>
        <w:tc>
          <w:tcPr>
            <w:tcW w:w="2689" w:type="dxa"/>
          </w:tcPr>
          <w:p w14:paraId="2E1AC96E" w14:textId="77777777" w:rsidR="002D4FBC" w:rsidRPr="002D4FBC" w:rsidRDefault="002D4FBC" w:rsidP="002D4FBC">
            <w:pPr>
              <w:jc w:val="both"/>
              <w:rPr>
                <w:rFonts w:ascii="Verdana" w:eastAsia="Calibri" w:hAnsi="Verdana" w:cs="Arial"/>
                <w:color w:val="000000"/>
                <w:lang w:eastAsia="es-ES_tradnl"/>
              </w:rPr>
            </w:pPr>
            <w:r w:rsidRPr="002D4FBC">
              <w:rPr>
                <w:rFonts w:ascii="Verdana" w:eastAsia="Calibri" w:hAnsi="Verdana" w:cs="Arial"/>
                <w:b/>
                <w:color w:val="000000"/>
                <w:lang w:eastAsia="es-ES_tradnl"/>
              </w:rPr>
              <w:t>Temas:</w:t>
            </w:r>
            <w:r w:rsidRPr="002D4FBC">
              <w:rPr>
                <w:rFonts w:ascii="Verdana" w:eastAsia="Calibri" w:hAnsi="Verdana" w:cs="Arial"/>
                <w:color w:val="000000"/>
                <w:lang w:eastAsia="es-ES_tradnl"/>
              </w:rPr>
              <w:t xml:space="preserve">                   </w:t>
            </w:r>
          </w:p>
        </w:tc>
        <w:tc>
          <w:tcPr>
            <w:tcW w:w="6100" w:type="dxa"/>
          </w:tcPr>
          <w:p w14:paraId="54AE3D94" w14:textId="77777777" w:rsidR="002D4FBC" w:rsidRPr="002D4FBC" w:rsidRDefault="002D4FBC" w:rsidP="002D4FBC">
            <w:pPr>
              <w:spacing w:line="276" w:lineRule="auto"/>
              <w:jc w:val="both"/>
              <w:rPr>
                <w:rFonts w:ascii="Verdana" w:eastAsia="Calibri" w:hAnsi="Verdana" w:cs="Arial"/>
                <w:lang w:val="es-ES" w:eastAsia="es-ES"/>
              </w:rPr>
            </w:pPr>
            <w:r w:rsidRPr="002D4FBC">
              <w:rPr>
                <w:rFonts w:ascii="Verdana" w:eastAsia="Calibri" w:hAnsi="Verdana" w:cs="Arial"/>
                <w:lang w:val="es-ES" w:eastAsia="es-ES"/>
              </w:rPr>
              <w:t xml:space="preserve">SISTEMA GENERAL DE REGALÍAS – Ley 2056 de 2020 – artículo 37 / RÉGIMEN CONTRACTUAL – Entidades ejecutoras – Régimen especial – Aplicación del Estatuto General de Contratación de la Administración Pública </w:t>
            </w:r>
          </w:p>
          <w:p w14:paraId="3B7D2E95" w14:textId="77777777" w:rsidR="002D4FBC" w:rsidRPr="002D4FBC" w:rsidRDefault="002D4FBC" w:rsidP="002D4FBC">
            <w:pPr>
              <w:spacing w:line="276" w:lineRule="auto"/>
              <w:jc w:val="both"/>
              <w:rPr>
                <w:rFonts w:ascii="Verdana" w:eastAsia="Calibri" w:hAnsi="Verdana" w:cs="Arial"/>
                <w:lang w:eastAsia="es-ES"/>
              </w:rPr>
            </w:pPr>
          </w:p>
        </w:tc>
      </w:tr>
      <w:tr w:rsidR="002D4FBC" w:rsidRPr="002D4FBC" w14:paraId="4600A347" w14:textId="77777777" w:rsidTr="00873641">
        <w:tc>
          <w:tcPr>
            <w:tcW w:w="2689" w:type="dxa"/>
          </w:tcPr>
          <w:p w14:paraId="2139FA87" w14:textId="77777777" w:rsidR="002D4FBC" w:rsidRPr="002D4FBC" w:rsidRDefault="002D4FBC" w:rsidP="002D4FBC">
            <w:pPr>
              <w:jc w:val="both"/>
              <w:rPr>
                <w:rFonts w:ascii="Verdana" w:eastAsia="Calibri" w:hAnsi="Verdana" w:cs="Arial"/>
                <w:b/>
                <w:lang w:eastAsia="es-ES_tradnl"/>
              </w:rPr>
            </w:pPr>
            <w:r w:rsidRPr="002D4FBC">
              <w:rPr>
                <w:rFonts w:ascii="Verdana" w:eastAsia="Calibri" w:hAnsi="Verdana" w:cs="Arial"/>
                <w:b/>
                <w:lang w:eastAsia="es-ES_tradnl"/>
              </w:rPr>
              <w:t>Radicación:</w:t>
            </w:r>
            <w:r w:rsidRPr="002D4FBC">
              <w:rPr>
                <w:rFonts w:ascii="Verdana" w:eastAsia="Calibri" w:hAnsi="Verdana" w:cs="Arial"/>
                <w:lang w:eastAsia="es-ES_tradnl"/>
              </w:rPr>
              <w:t xml:space="preserve">               </w:t>
            </w:r>
          </w:p>
        </w:tc>
        <w:tc>
          <w:tcPr>
            <w:tcW w:w="6100" w:type="dxa"/>
          </w:tcPr>
          <w:p w14:paraId="484CD127" w14:textId="77777777" w:rsidR="002D4FBC" w:rsidRPr="002D4FBC" w:rsidRDefault="002D4FBC" w:rsidP="002D4FBC">
            <w:pPr>
              <w:jc w:val="both"/>
              <w:rPr>
                <w:rFonts w:ascii="Verdana" w:eastAsia="Calibri" w:hAnsi="Verdana" w:cs="Arial"/>
                <w:lang w:eastAsia="es-ES_tradnl"/>
              </w:rPr>
            </w:pPr>
            <w:r w:rsidRPr="002D4FBC">
              <w:rPr>
                <w:rFonts w:ascii="Verdana" w:eastAsia="Calibri" w:hAnsi="Verdana" w:cs="Arial"/>
                <w:lang w:eastAsia="es-ES_tradnl"/>
              </w:rPr>
              <w:t>Respuesta a la consulta con radicado No.</w:t>
            </w:r>
            <w:r w:rsidRPr="002D4FBC">
              <w:rPr>
                <w:rFonts w:ascii="Verdana" w:hAnsi="Verdana"/>
              </w:rPr>
              <w:t xml:space="preserve"> 1_2026_05_06_006200</w:t>
            </w:r>
          </w:p>
        </w:tc>
      </w:tr>
    </w:tbl>
    <w:p w14:paraId="2184BA07" w14:textId="77777777" w:rsidR="002D4FBC" w:rsidRPr="002D4FBC" w:rsidRDefault="002D4FBC" w:rsidP="002D4FBC">
      <w:pPr>
        <w:spacing w:after="0" w:line="240" w:lineRule="auto"/>
        <w:jc w:val="both"/>
        <w:rPr>
          <w:rFonts w:ascii="Verdana" w:eastAsia="Calibri" w:hAnsi="Verdana" w:cs="Arial"/>
          <w:color w:val="000000"/>
          <w:lang w:eastAsia="es-ES_tradnl"/>
        </w:rPr>
      </w:pPr>
    </w:p>
    <w:p w14:paraId="7BE17335" w14:textId="77777777" w:rsidR="002D4FBC" w:rsidRPr="002D4FBC" w:rsidRDefault="002D4FBC" w:rsidP="002D4FBC">
      <w:pPr>
        <w:spacing w:after="0" w:line="240" w:lineRule="auto"/>
        <w:jc w:val="both"/>
        <w:rPr>
          <w:rFonts w:ascii="Verdana" w:eastAsia="Calibri" w:hAnsi="Verdana" w:cs="Arial"/>
          <w:color w:val="000000"/>
          <w:lang w:eastAsia="es-ES_tradnl"/>
        </w:rPr>
      </w:pPr>
    </w:p>
    <w:p w14:paraId="130DC233" w14:textId="77777777" w:rsidR="002D4FBC" w:rsidRPr="002D4FBC" w:rsidRDefault="002D4FBC" w:rsidP="002D4FBC">
      <w:pPr>
        <w:spacing w:after="0" w:line="276" w:lineRule="auto"/>
        <w:jc w:val="both"/>
        <w:rPr>
          <w:rFonts w:ascii="Verdana" w:eastAsia="Calibri" w:hAnsi="Verdana" w:cs="Arial"/>
          <w:lang w:eastAsia="es-ES"/>
        </w:rPr>
      </w:pPr>
      <w:r w:rsidRPr="002D4FBC">
        <w:rPr>
          <w:rFonts w:ascii="Verdana" w:eastAsia="Calibri" w:hAnsi="Verdana" w:cs="Arial"/>
          <w:lang w:eastAsia="es-ES"/>
        </w:rPr>
        <w:t xml:space="preserve">Estimado señor Quimbaya: </w:t>
      </w:r>
    </w:p>
    <w:p w14:paraId="11DFE171" w14:textId="77777777" w:rsidR="002D4FBC" w:rsidRPr="002D4FBC" w:rsidRDefault="002D4FBC" w:rsidP="002D4FBC">
      <w:pPr>
        <w:tabs>
          <w:tab w:val="left" w:pos="3768"/>
        </w:tabs>
        <w:spacing w:after="0" w:line="276" w:lineRule="auto"/>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ab/>
      </w:r>
    </w:p>
    <w:p w14:paraId="54D86765" w14:textId="77777777" w:rsidR="002D4FBC" w:rsidRPr="002D4FBC" w:rsidRDefault="002D4FBC" w:rsidP="002D4FBC">
      <w:pPr>
        <w:spacing w:after="120" w:line="276" w:lineRule="auto"/>
        <w:jc w:val="both"/>
        <w:rPr>
          <w:rFonts w:ascii="Verdana" w:eastAsia="Calibri" w:hAnsi="Verdana" w:cs="Arial"/>
          <w:i/>
          <w:iCs/>
          <w:lang w:eastAsia="es-ES"/>
        </w:rPr>
      </w:pPr>
      <w:r w:rsidRPr="002D4FBC">
        <w:rPr>
          <w:rFonts w:ascii="Verdana" w:eastAsia="Calibri" w:hAnsi="Verdana" w:cs="Arial"/>
          <w:color w:val="000000" w:themeColor="text1"/>
          <w:lang w:eastAsia="es-ES"/>
        </w:rPr>
        <w:t>En ejercicio de la competencia otorgada por los artículos 3, numeral 5º, y 11, numeral 8º, del Decreto Ley 4170 de 2011,</w:t>
      </w:r>
      <w:r w:rsidRPr="002D4FBC">
        <w:rPr>
          <w:rFonts w:ascii="Verdana" w:eastAsia="Arial MT" w:hAnsi="Verdana" w:cs="Arial MT"/>
          <w:lang w:eastAsia="es-ES"/>
        </w:rPr>
        <w:t xml:space="preserve"> </w:t>
      </w:r>
      <w:r w:rsidRPr="002D4FBC">
        <w:rPr>
          <w:rFonts w:ascii="Verdana" w:hAnsi="Verdana" w:cs="Arial"/>
        </w:rPr>
        <w:t xml:space="preserve">así como lo establecido en la Resolución 469 de 2025 expedida por esta Entidad, </w:t>
      </w:r>
      <w:r w:rsidRPr="002D4FBC">
        <w:rPr>
          <w:rFonts w:ascii="Verdana" w:eastAsia="Calibri" w:hAnsi="Verdana" w:cs="Arial"/>
          <w:color w:val="000000" w:themeColor="text1"/>
          <w:lang w:eastAsia="es-ES"/>
        </w:rPr>
        <w:t xml:space="preserve">la Agencia Nacional de Contratación Pública – Colombia Compra Eficiente responde su solicitud del 6 de mayo de 2026 </w:t>
      </w:r>
      <w:r w:rsidRPr="002D4FBC">
        <w:rPr>
          <w:rFonts w:ascii="Verdana" w:eastAsia="Calibri" w:hAnsi="Verdana" w:cs="Arial"/>
          <w:lang w:eastAsia="es-ES"/>
        </w:rPr>
        <w:t>en la cual consulta sobre lo siguiente:</w:t>
      </w:r>
      <w:r w:rsidRPr="002D4FBC">
        <w:rPr>
          <w:rFonts w:ascii="Verdana" w:eastAsia="Calibri" w:hAnsi="Verdana" w:cs="Arial"/>
          <w:i/>
          <w:iCs/>
          <w:lang w:eastAsia="es-ES"/>
        </w:rPr>
        <w:t xml:space="preserve"> </w:t>
      </w:r>
      <w:bookmarkStart w:id="2" w:name="_Hlk95313578"/>
    </w:p>
    <w:p w14:paraId="0D036224" w14:textId="77777777" w:rsidR="002D4FBC" w:rsidRPr="002D4FBC" w:rsidRDefault="002D4FBC" w:rsidP="002D4FBC">
      <w:pPr>
        <w:spacing w:after="0" w:line="276" w:lineRule="auto"/>
        <w:jc w:val="both"/>
        <w:rPr>
          <w:rFonts w:ascii="Verdana" w:eastAsia="Calibri" w:hAnsi="Verdana" w:cs="Arial"/>
          <w:i/>
          <w:iCs/>
          <w:lang w:eastAsia="es-ES"/>
        </w:rPr>
      </w:pPr>
    </w:p>
    <w:p w14:paraId="55D8A763" w14:textId="77777777" w:rsidR="002D4FBC" w:rsidRPr="002D4FBC" w:rsidRDefault="002D4FBC" w:rsidP="002D4FBC">
      <w:pPr>
        <w:spacing w:after="0" w:line="240" w:lineRule="auto"/>
        <w:ind w:left="709" w:right="618"/>
        <w:jc w:val="both"/>
        <w:rPr>
          <w:rFonts w:ascii="Verdana" w:hAnsi="Verdana"/>
          <w:sz w:val="20"/>
          <w:szCs w:val="20"/>
        </w:rPr>
      </w:pPr>
      <w:r w:rsidRPr="002D4FBC">
        <w:rPr>
          <w:rFonts w:ascii="Verdana" w:eastAsia="Arial" w:hAnsi="Verdana" w:cs="Arial"/>
          <w:iCs/>
          <w:color w:val="000000"/>
          <w:sz w:val="20"/>
          <w:szCs w:val="20"/>
        </w:rPr>
        <w:t>“</w:t>
      </w:r>
      <w:bookmarkEnd w:id="2"/>
      <w:r w:rsidRPr="002D4FBC">
        <w:rPr>
          <w:rFonts w:ascii="Verdana" w:hAnsi="Verdana"/>
          <w:sz w:val="20"/>
          <w:szCs w:val="20"/>
        </w:rPr>
        <w:t xml:space="preserve">En atención a lo previsto en el artículo 1.2.1.2.29 del Decreto 625 de 2022, se precisa que la entidad que presenta el proyecto asume la responsabilidad de garantizar el cumplimiento de los criterios establecidos, asegurando el adecuado desempeño en su ejecución. En concordancia, la norma señala que, en aquellos casos en los que la entidad propuesta para la ejecución no haya sido objeto de medición de desempeño durante los dos (2) años inmediatamente anteriores, no será exigible la acreditación de dicho desempeño. De igual manera, conforme al Decreto 1821 de 2020, el cual remite al régimen legal propio de la entidad ejecutora, el artículo 1.2.1.2.22 establece que esta deberá cumplir con los requisitos legales aplicables para la ejecución de proyectos de inversión, según la normativa vigente. </w:t>
      </w:r>
    </w:p>
    <w:p w14:paraId="739A7686" w14:textId="77777777" w:rsidR="002D4FBC" w:rsidRPr="002D4FBC" w:rsidRDefault="002D4FBC" w:rsidP="002D4FBC">
      <w:pPr>
        <w:spacing w:after="0" w:line="240" w:lineRule="auto"/>
        <w:ind w:left="709" w:right="618"/>
        <w:jc w:val="both"/>
        <w:rPr>
          <w:rFonts w:ascii="Verdana" w:hAnsi="Verdana"/>
          <w:sz w:val="20"/>
          <w:szCs w:val="20"/>
        </w:rPr>
      </w:pPr>
    </w:p>
    <w:p w14:paraId="07C1F2A9" w14:textId="77777777" w:rsidR="002D4FBC" w:rsidRPr="002D4FBC" w:rsidRDefault="002D4FBC" w:rsidP="002D4FBC">
      <w:pPr>
        <w:spacing w:after="0" w:line="240" w:lineRule="auto"/>
        <w:ind w:left="709" w:right="618"/>
        <w:jc w:val="both"/>
        <w:rPr>
          <w:rFonts w:ascii="Verdana" w:hAnsi="Verdana"/>
          <w:sz w:val="20"/>
          <w:szCs w:val="20"/>
        </w:rPr>
      </w:pPr>
      <w:r w:rsidRPr="002D4FBC">
        <w:rPr>
          <w:rFonts w:ascii="Verdana" w:hAnsi="Verdana"/>
          <w:sz w:val="20"/>
          <w:szCs w:val="20"/>
        </w:rPr>
        <w:t xml:space="preserve">En concordancia con lo anterior, la Ley 2056 de 2020 no fija un régimen contractual único para todas las entidades ejecutoras de proyectos del SGR, sino que realiza una remisión dinámica al régimen jurídico propio de la entidad designada como ejecutora, lo que implica que el régimen contractual aplicable varía de acuerdo con su naturaleza jurídica. </w:t>
      </w:r>
    </w:p>
    <w:p w14:paraId="3686FA2A" w14:textId="77777777" w:rsidR="002D4FBC" w:rsidRPr="002D4FBC" w:rsidRDefault="002D4FBC" w:rsidP="002D4FBC">
      <w:pPr>
        <w:spacing w:after="0" w:line="240" w:lineRule="auto"/>
        <w:ind w:left="709" w:right="618"/>
        <w:jc w:val="both"/>
        <w:rPr>
          <w:rFonts w:ascii="Verdana" w:hAnsi="Verdana"/>
          <w:sz w:val="20"/>
          <w:szCs w:val="20"/>
        </w:rPr>
      </w:pPr>
    </w:p>
    <w:p w14:paraId="7337DCA5" w14:textId="77777777" w:rsidR="002D4FBC" w:rsidRPr="002D4FBC" w:rsidRDefault="002D4FBC" w:rsidP="002D4FBC">
      <w:pPr>
        <w:spacing w:after="0" w:line="240" w:lineRule="auto"/>
        <w:ind w:left="709" w:right="618"/>
        <w:jc w:val="both"/>
        <w:rPr>
          <w:rFonts w:ascii="Verdana" w:hAnsi="Verdana"/>
          <w:sz w:val="20"/>
          <w:szCs w:val="20"/>
        </w:rPr>
      </w:pPr>
      <w:r w:rsidRPr="002D4FBC">
        <w:rPr>
          <w:rFonts w:ascii="Verdana" w:hAnsi="Verdana"/>
          <w:sz w:val="20"/>
          <w:szCs w:val="20"/>
        </w:rPr>
        <w:t>Por tal motivo solicito muy respetuosamente a la Dirección General del Departamento Nacional de Planeación emitir concepto jurídico, que aclare el régimen contractual, régimen especial o estatuto general de contratación aplicable cuando las entidades territoriales designan como ejecutoras de proyectos del Sistema General de Regalías a asociaciones de municipios o empresas de economía mixta, con el fin de garantizar la correcta estructuración y ejecución del proyecto que sean aprobados con cargo a los recursos asignados al municipio de Tena – Cundinamarca”.</w:t>
      </w:r>
    </w:p>
    <w:p w14:paraId="41189968" w14:textId="77777777" w:rsidR="002D4FBC" w:rsidRPr="002D4FBC" w:rsidRDefault="002D4FBC" w:rsidP="002D4FBC">
      <w:pPr>
        <w:spacing w:after="0" w:line="276" w:lineRule="auto"/>
        <w:ind w:right="618"/>
        <w:jc w:val="both"/>
        <w:rPr>
          <w:rFonts w:ascii="Verdana" w:eastAsia="Calibri" w:hAnsi="Verdana" w:cs="Arial"/>
          <w:i/>
          <w:iCs/>
          <w:lang w:eastAsia="es-ES"/>
        </w:rPr>
      </w:pPr>
    </w:p>
    <w:p w14:paraId="67C2012C" w14:textId="77777777" w:rsidR="002D4FBC" w:rsidRPr="002D4FBC" w:rsidRDefault="002D4FBC" w:rsidP="002D4FBC">
      <w:pPr>
        <w:spacing w:after="120" w:line="276" w:lineRule="auto"/>
        <w:ind w:firstLine="709"/>
        <w:jc w:val="both"/>
        <w:rPr>
          <w:rFonts w:ascii="Verdana" w:eastAsia="Calibri" w:hAnsi="Verdana" w:cs="Arial"/>
          <w:color w:val="000000"/>
          <w:lang w:eastAsia="es-ES"/>
        </w:rPr>
      </w:pPr>
      <w:r w:rsidRPr="002D4FBC">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D4FBC">
        <w:rPr>
          <w:rFonts w:ascii="Verdana" w:eastAsia="Calibri" w:hAnsi="Verdana" w:cs="Arial"/>
          <w:color w:val="000000"/>
          <w:szCs w:val="24"/>
          <w:lang w:eastAsia="es-ES_tradnl"/>
        </w:rPr>
        <w:tab/>
      </w:r>
    </w:p>
    <w:p w14:paraId="18B3DF63" w14:textId="77777777" w:rsidR="002D4FBC" w:rsidRPr="002D4FBC" w:rsidRDefault="002D4FBC" w:rsidP="002D4FBC">
      <w:pPr>
        <w:spacing w:after="0" w:line="276" w:lineRule="auto"/>
        <w:ind w:firstLine="709"/>
        <w:jc w:val="both"/>
        <w:rPr>
          <w:rFonts w:ascii="Verdana" w:eastAsia="Calibri" w:hAnsi="Verdana" w:cs="Arial"/>
          <w:color w:val="000000"/>
          <w:lang w:eastAsia="es-ES"/>
        </w:rPr>
      </w:pPr>
      <w:r w:rsidRPr="002D4FBC">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señalando algunas consideraciones sobre las normas generales relacionadas con el</w:t>
      </w:r>
      <w:r w:rsidRPr="002D4FBC">
        <w:rPr>
          <w:rFonts w:ascii="Verdana" w:eastAsia="Calibri" w:hAnsi="Verdana" w:cs="Arial"/>
          <w:color w:val="7030A0"/>
          <w:lang w:eastAsia="es-ES"/>
        </w:rPr>
        <w:t xml:space="preserve"> </w:t>
      </w:r>
      <w:r w:rsidRPr="002D4FBC">
        <w:rPr>
          <w:rFonts w:ascii="Verdana" w:eastAsia="Calibri" w:hAnsi="Verdana" w:cs="Arial"/>
          <w:color w:val="000000"/>
          <w:lang w:eastAsia="es-ES"/>
        </w:rPr>
        <w:t>problema</w:t>
      </w:r>
      <w:r w:rsidRPr="002D4FBC">
        <w:rPr>
          <w:rFonts w:ascii="Verdana" w:eastAsia="Calibri" w:hAnsi="Verdana" w:cs="Arial"/>
          <w:color w:val="7030A0"/>
          <w:lang w:eastAsia="es-ES"/>
        </w:rPr>
        <w:t xml:space="preserve"> </w:t>
      </w:r>
      <w:r w:rsidRPr="002D4FBC">
        <w:rPr>
          <w:rFonts w:ascii="Verdana" w:eastAsia="Calibri" w:hAnsi="Verdana" w:cs="Arial"/>
          <w:color w:val="000000"/>
          <w:lang w:eastAsia="es-ES"/>
        </w:rPr>
        <w:t>jurídico</w:t>
      </w:r>
      <w:r w:rsidRPr="002D4FBC">
        <w:rPr>
          <w:rFonts w:ascii="Verdana" w:eastAsia="Calibri" w:hAnsi="Verdana" w:cs="Arial"/>
          <w:color w:val="7030A0"/>
          <w:lang w:eastAsia="es-ES"/>
        </w:rPr>
        <w:t xml:space="preserve"> </w:t>
      </w:r>
      <w:r w:rsidRPr="002D4FBC">
        <w:rPr>
          <w:rFonts w:ascii="Verdana" w:eastAsia="Calibri" w:hAnsi="Verdana" w:cs="Arial"/>
          <w:color w:val="000000"/>
          <w:lang w:eastAsia="es-ES"/>
        </w:rPr>
        <w:t xml:space="preserve">de su consulta. </w:t>
      </w:r>
    </w:p>
    <w:p w14:paraId="478D89BE" w14:textId="77777777" w:rsidR="002D4FBC" w:rsidRPr="002D4FBC" w:rsidRDefault="002D4FBC" w:rsidP="002D4FBC">
      <w:pPr>
        <w:spacing w:after="0" w:line="276" w:lineRule="auto"/>
        <w:ind w:firstLine="709"/>
        <w:jc w:val="both"/>
        <w:rPr>
          <w:rFonts w:ascii="Verdana" w:eastAsia="Calibri" w:hAnsi="Verdana" w:cs="Arial"/>
          <w:color w:val="000000"/>
          <w:lang w:eastAsia="es-ES"/>
        </w:rPr>
      </w:pPr>
    </w:p>
    <w:p w14:paraId="1BEA2162" w14:textId="77777777" w:rsidR="002D4FBC" w:rsidRPr="002D4FBC" w:rsidRDefault="002D4FBC" w:rsidP="002D4FBC">
      <w:pPr>
        <w:numPr>
          <w:ilvl w:val="0"/>
          <w:numId w:val="1"/>
        </w:numPr>
        <w:tabs>
          <w:tab w:val="left" w:pos="142"/>
          <w:tab w:val="left" w:pos="284"/>
        </w:tabs>
        <w:spacing w:after="0" w:line="276" w:lineRule="auto"/>
        <w:jc w:val="both"/>
        <w:rPr>
          <w:rFonts w:ascii="Verdana" w:eastAsia="Century Gothic" w:hAnsi="Verdana" w:cs="Century Gothic"/>
          <w:b/>
          <w:bCs/>
        </w:rPr>
      </w:pPr>
      <w:r w:rsidRPr="002D4FBC">
        <w:rPr>
          <w:rFonts w:ascii="Verdana" w:eastAsia="Century Gothic" w:hAnsi="Verdana" w:cs="Century Gothic"/>
          <w:b/>
          <w:bCs/>
        </w:rPr>
        <w:t>Problemas planteados:</w:t>
      </w:r>
    </w:p>
    <w:p w14:paraId="000F5A89" w14:textId="77777777" w:rsidR="002D4FBC" w:rsidRPr="002D4FBC" w:rsidRDefault="002D4FBC" w:rsidP="002D4FBC">
      <w:pPr>
        <w:tabs>
          <w:tab w:val="left" w:pos="426"/>
        </w:tabs>
        <w:spacing w:after="0" w:line="276" w:lineRule="auto"/>
        <w:jc w:val="both"/>
        <w:rPr>
          <w:rFonts w:ascii="Verdana" w:eastAsia="Century Gothic" w:hAnsi="Verdana" w:cs="Century Gothic"/>
        </w:rPr>
      </w:pPr>
    </w:p>
    <w:p w14:paraId="6810FA81" w14:textId="77777777" w:rsidR="002D4FBC" w:rsidRPr="002D4FBC" w:rsidRDefault="002D4FBC" w:rsidP="002D4FBC">
      <w:pPr>
        <w:spacing w:after="0" w:line="276" w:lineRule="auto"/>
        <w:jc w:val="both"/>
        <w:rPr>
          <w:rFonts w:ascii="Verdana" w:eastAsia="Century Gothic" w:hAnsi="Verdana" w:cs="Century Gothic"/>
        </w:rPr>
      </w:pPr>
      <w:r w:rsidRPr="002D4FBC">
        <w:rPr>
          <w:rFonts w:ascii="Verdana" w:eastAsia="Century Gothic" w:hAnsi="Verdana" w:cs="Century Gothic"/>
        </w:rPr>
        <w:lastRenderedPageBreak/>
        <w:t xml:space="preserve">De acuerdo con el contenido de su solicitud, esta Agencia resolverá el siguiente problema jurídico: ¿de conformidad con el parágrafo del artículo 37 de la Ley 2056 de 2020, </w:t>
      </w:r>
      <w:r w:rsidRPr="002D4FBC">
        <w:rPr>
          <w:rFonts w:ascii="Verdana" w:eastAsia="Calibri" w:hAnsi="Verdana" w:cs="Times New Roman"/>
        </w:rPr>
        <w:t>cuál es el régimen contractual aplicable en la ejecución de proyectos cuya fuente de financiación es el Sistema General de Regalías cuando la entidad ejecutora se rige por el derecho privado</w:t>
      </w:r>
      <w:r w:rsidRPr="002D4FBC">
        <w:rPr>
          <w:rFonts w:ascii="Verdana" w:eastAsia="Century Gothic" w:hAnsi="Verdana" w:cs="Century Gothic"/>
        </w:rPr>
        <w:t>?</w:t>
      </w:r>
    </w:p>
    <w:p w14:paraId="6E6724AB" w14:textId="77777777" w:rsidR="002D4FBC" w:rsidRPr="002D4FBC" w:rsidRDefault="002D4FBC" w:rsidP="002D4FBC">
      <w:pPr>
        <w:spacing w:after="0" w:line="276" w:lineRule="auto"/>
        <w:jc w:val="both"/>
        <w:rPr>
          <w:rFonts w:ascii="Verdana" w:eastAsia="Century Gothic" w:hAnsi="Verdana" w:cs="Century Gothic"/>
        </w:rPr>
      </w:pPr>
    </w:p>
    <w:p w14:paraId="05F69AA0" w14:textId="77777777" w:rsidR="002D4FBC" w:rsidRPr="002D4FBC" w:rsidRDefault="002D4FBC" w:rsidP="002D4FBC">
      <w:pPr>
        <w:numPr>
          <w:ilvl w:val="0"/>
          <w:numId w:val="1"/>
        </w:numPr>
        <w:tabs>
          <w:tab w:val="left" w:pos="142"/>
          <w:tab w:val="left" w:pos="284"/>
        </w:tabs>
        <w:spacing w:after="0" w:line="276" w:lineRule="auto"/>
        <w:jc w:val="both"/>
        <w:rPr>
          <w:rFonts w:ascii="Verdana" w:eastAsia="Century Gothic" w:hAnsi="Verdana" w:cs="Century Gothic"/>
          <w:b/>
          <w:bCs/>
        </w:rPr>
      </w:pPr>
      <w:r w:rsidRPr="002D4FBC">
        <w:rPr>
          <w:rFonts w:ascii="Verdana" w:eastAsia="Century Gothic" w:hAnsi="Verdana" w:cs="Century Gothic"/>
          <w:b/>
          <w:bCs/>
        </w:rPr>
        <w:t>Respuestas:</w:t>
      </w:r>
    </w:p>
    <w:p w14:paraId="6096B22E" w14:textId="77777777" w:rsidR="002D4FBC" w:rsidRPr="002D4FBC" w:rsidRDefault="002D4FBC" w:rsidP="002D4FBC">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D4FBC" w:rsidRPr="002D4FBC" w14:paraId="5B51E497" w14:textId="77777777" w:rsidTr="00873641">
        <w:trPr>
          <w:trHeight w:val="58"/>
          <w:jc w:val="center"/>
        </w:trPr>
        <w:tc>
          <w:tcPr>
            <w:tcW w:w="8828" w:type="dxa"/>
          </w:tcPr>
          <w:p w14:paraId="103E888C" w14:textId="77777777" w:rsidR="002D4FBC" w:rsidRPr="002D4FBC" w:rsidRDefault="002D4FBC" w:rsidP="002D4FBC">
            <w:pPr>
              <w:spacing w:after="120" w:line="276" w:lineRule="auto"/>
              <w:jc w:val="both"/>
              <w:rPr>
                <w:rFonts w:ascii="Verdana" w:eastAsia="Calibri" w:hAnsi="Verdana" w:cs="Arial"/>
                <w:color w:val="000000"/>
                <w:lang w:val="es-ES" w:eastAsia="es-ES"/>
              </w:rPr>
            </w:pPr>
            <w:bookmarkStart w:id="3" w:name="_Hlk171694685"/>
            <w:r w:rsidRPr="002D4FBC">
              <w:rPr>
                <w:rFonts w:ascii="Verdana" w:eastAsia="Calibri" w:hAnsi="Verdana" w:cs="Arial"/>
                <w:color w:val="000000"/>
                <w:lang w:val="es-ES" w:eastAsia="es-ES"/>
              </w:rPr>
              <w:t xml:space="preserve">Conforme a la interpretación general de las normas del sistema de compras públicas, esta Subdirección en </w:t>
            </w:r>
            <w:r w:rsidRPr="002D4FBC">
              <w:rPr>
                <w:rFonts w:ascii="Verdana" w:hAnsi="Verdana" w:cs="Arial"/>
              </w:rPr>
              <w:t xml:space="preserve">los conceptos </w:t>
            </w:r>
            <w:r w:rsidRPr="002D4FBC">
              <w:rPr>
                <w:rFonts w:ascii="Verdana" w:hAnsi="Verdana"/>
              </w:rPr>
              <w:t>C-370 del 2021,</w:t>
            </w:r>
            <w:r w:rsidRPr="002D4FBC">
              <w:rPr>
                <w:rFonts w:ascii="Verdana" w:hAnsi="Verdana"/>
                <w:shd w:val="clear" w:color="auto" w:fill="FFFFFF"/>
              </w:rPr>
              <w:t xml:space="preserve"> C-353 del 2 de junio de 2022, C-918 del 9 de diciembre de 2024, C-504 del 1 de octubre 2024, C-951 del 16 de diciembre de 2024, C-285 del 14 de abril de 2025, C-348 del 25 de abril de 2025, C-370 del 2 de mayo de 2025, C-680 del 8 de julio de 2025, C-914 del 15 de agosto de 2025, C-1065 del 8 de septiembre de 2025, C-225 del 27 de febrero de 2026 y C-417 del 2026, </w:t>
            </w:r>
            <w:r w:rsidRPr="002D4FBC">
              <w:rPr>
                <w:rFonts w:ascii="Verdana" w:hAnsi="Verdana" w:cs="Arial"/>
                <w:shd w:val="clear" w:color="auto" w:fill="FFFFFF"/>
              </w:rPr>
              <w:t xml:space="preserve">ha mantenido la postura en virtud de la cual </w:t>
            </w:r>
            <w:r w:rsidRPr="002D4FBC">
              <w:rPr>
                <w:rFonts w:ascii="Verdana" w:eastAsia="Calibri" w:hAnsi="Verdana" w:cs="Arial"/>
                <w:color w:val="000000"/>
                <w:lang w:val="es-ES" w:eastAsia="es-ES"/>
              </w:rPr>
              <w:t>de acuerdo con el parágrafo primero del artículo 37 de la Ley 2056 de 2020, el ejecutor de los proyectos de inversión del Sistema General de Regalías, independiente del régimen contractual al cuál se encuentre sujeto de manera general, deberá aplicar las reglas de contratación pública, es decir, las prescripciones establecidas en el Estatuto General de Contratación de la Administración Pública-EGCAP, así como las normas que lo modifiquen, sustituyan o reglamenten.</w:t>
            </w:r>
          </w:p>
          <w:p w14:paraId="4A0923AC" w14:textId="77777777" w:rsidR="002D4FBC" w:rsidRPr="002D4FBC" w:rsidRDefault="002D4FBC" w:rsidP="002D4FBC">
            <w:pPr>
              <w:spacing w:after="120" w:line="276" w:lineRule="auto"/>
              <w:ind w:firstLine="709"/>
              <w:jc w:val="both"/>
              <w:rPr>
                <w:rFonts w:ascii="Verdana" w:eastAsia="Calibri" w:hAnsi="Verdana" w:cs="Arial"/>
                <w:iCs/>
                <w:color w:val="000000"/>
                <w:lang w:eastAsia="es-ES"/>
              </w:rPr>
            </w:pPr>
            <w:r w:rsidRPr="002D4FBC">
              <w:rPr>
                <w:rFonts w:ascii="Verdana" w:eastAsia="Calibri" w:hAnsi="Verdana" w:cs="Arial"/>
                <w:color w:val="000000"/>
                <w:lang w:val="es-ES" w:eastAsia="es-ES"/>
              </w:rPr>
              <w:t>En este contexto, se ha sostenido que si la entidad ejecutora es de régimen especial, no podrá apoyarse en las excepciones a la aplicación de la Ley 80 de 1993 para la ejecución de los proyectos. De esta manera, el artículo 37 citado excluye la posibilidad de que los recursos se ejecuten con prevalencia del derecho privado, pues quienes tengan la calidad de entidades ejecutoras para efectos del SGR deben sujetarse a las normas donde prevalece el derecho público, esto es, al EGCAP, sin perjuicio de que en sus demás actividades apliquen el régimen especial que les corresponda</w:t>
            </w:r>
            <w:r w:rsidRPr="002D4FBC">
              <w:rPr>
                <w:rFonts w:ascii="Verdana" w:eastAsia="Calibri" w:hAnsi="Verdana" w:cs="Arial"/>
                <w:iCs/>
                <w:color w:val="000000"/>
                <w:lang w:eastAsia="es-ES"/>
              </w:rPr>
              <w:t>.</w:t>
            </w:r>
          </w:p>
          <w:p w14:paraId="5BAA5BE5" w14:textId="77777777" w:rsidR="002D4FBC" w:rsidRPr="002D4FBC" w:rsidRDefault="002D4FBC" w:rsidP="002D4FBC">
            <w:pPr>
              <w:spacing w:before="120" w:line="276" w:lineRule="auto"/>
              <w:ind w:firstLine="709"/>
              <w:jc w:val="both"/>
              <w:textAlignment w:val="baseline"/>
              <w:rPr>
                <w:rFonts w:ascii="Verdana" w:hAnsi="Verdana" w:cs="Arial"/>
                <w:lang w:val="es-ES_tradnl" w:eastAsia="es-MX"/>
              </w:rPr>
            </w:pPr>
            <w:r w:rsidRPr="002D4FBC">
              <w:rPr>
                <w:rFonts w:ascii="Verdana" w:hAnsi="Verdana" w:cs="Arial"/>
                <w:bdr w:val="none" w:sz="0" w:space="0" w:color="auto" w:frame="1"/>
              </w:rPr>
              <w:t xml:space="preserve">La anterior conclusión resulta de especial importancia para efectos de la consulta planteada, puesto que </w:t>
            </w:r>
            <w:r w:rsidRPr="002D4FBC">
              <w:rPr>
                <w:rFonts w:ascii="Verdana" w:hAnsi="Verdana" w:cs="Arial"/>
                <w:bdr w:val="none" w:sz="0" w:space="0" w:color="auto" w:frame="1"/>
                <w:lang w:val="es-ES_tradnl"/>
              </w:rPr>
              <w:t xml:space="preserve">las sociedades de economía mixta en ciertos eventos cuentan con un régimen de contratación particular. </w:t>
            </w:r>
            <w:r w:rsidRPr="002D4FBC">
              <w:rPr>
                <w:rFonts w:ascii="Verdana" w:hAnsi="Verdana" w:cs="Arial"/>
                <w:lang w:val="es-ES_tradnl" w:eastAsia="es-MX"/>
              </w:rPr>
              <w:t xml:space="preserve">En este contexto y de acuerdo con la explicación precedente del Sistema General de Regalías, cuando las sociedades de economía mixta cuenten con un régimen de </w:t>
            </w:r>
            <w:r w:rsidRPr="002D4FBC">
              <w:rPr>
                <w:rFonts w:ascii="Verdana" w:hAnsi="Verdana" w:cs="Arial"/>
                <w:lang w:val="es-ES_tradnl" w:eastAsia="es-MX"/>
              </w:rPr>
              <w:lastRenderedPageBreak/>
              <w:t xml:space="preserve">contratación especial sometido al derecho privado y sean entidades ejecutoras de recursos de regalías, a juicio de esta Agencia se aplica de manera preferente lo dispuesto en </w:t>
            </w:r>
            <w:r w:rsidRPr="002D4FBC">
              <w:rPr>
                <w:rFonts w:ascii="Verdana" w:hAnsi="Verdana" w:cs="Arial"/>
                <w:lang w:eastAsia="es-MX"/>
              </w:rPr>
              <w:t xml:space="preserve">el parágrafo primero del artículo 37 de la Ley 2056 de 2020, que establece el deber de sujeción a las normas del EGCAP para tales efectos. </w:t>
            </w:r>
          </w:p>
          <w:p w14:paraId="319434F0" w14:textId="77777777" w:rsidR="002D4FBC" w:rsidRPr="002D4FBC" w:rsidRDefault="002D4FBC" w:rsidP="002D4FBC">
            <w:pPr>
              <w:spacing w:after="120" w:line="276" w:lineRule="auto"/>
              <w:ind w:firstLine="709"/>
              <w:jc w:val="both"/>
              <w:rPr>
                <w:rFonts w:ascii="Verdana" w:eastAsia="Calibri" w:hAnsi="Verdana" w:cs="Segoe UI"/>
                <w:sz w:val="18"/>
                <w:szCs w:val="18"/>
              </w:rPr>
            </w:pPr>
            <w:r w:rsidRPr="002D4FBC">
              <w:rPr>
                <w:rFonts w:ascii="Verdana" w:hAnsi="Verdana" w:cs="Arial"/>
                <w:lang w:eastAsia="es-MX"/>
              </w:rPr>
              <w:t xml:space="preserve">Respecto a la asociación de municipios, es pertinente aclarar que </w:t>
            </w:r>
            <w:r w:rsidRPr="002D4FBC">
              <w:rPr>
                <w:rFonts w:ascii="Verdana" w:eastAsia="Calibri" w:hAnsi="Verdana" w:cs="Arial"/>
                <w:color w:val="000000"/>
              </w:rPr>
              <w:t xml:space="preserve">su régimen de contratación es el general. Lo anterior se desprende de lo previsto en el numeral 1 del artículo 2 de la Ley 80 de 1993, que define como entidades estatales, sujetas a dicho estatuto a: “La Nación, las regiones, los departamentos, las provincias, el distrito capital y los distritos especiales, las áreas metropolitanas, </w:t>
            </w:r>
            <w:r w:rsidRPr="002D4FBC">
              <w:rPr>
                <w:rFonts w:ascii="Verdana" w:eastAsia="Calibri" w:hAnsi="Verdana" w:cs="Arial"/>
                <w:i/>
                <w:iCs/>
                <w:color w:val="000000"/>
              </w:rPr>
              <w:t>las asociaciones de municipios</w:t>
            </w:r>
            <w:r w:rsidRPr="002D4FBC">
              <w:rPr>
                <w:rFonts w:ascii="Verdana" w:eastAsia="Calibri" w:hAnsi="Verdana" w:cs="Arial"/>
                <w:color w:val="000000"/>
              </w:rPr>
              <w:t xml:space="preserve">, los territorios indígenas y los municipios (…)” (Énfasis fuera de texto). Así las cosas, el Estatuto General de Contratación de la Administración Pública establece que las asociaciones de municipios son entidades estatales para efectos contractuales, razón por la cual se someten a dicho estatuto.  De forma más precisa, el artículo 10 de la Ley 1150 de 2007 establece que “Las cooperativas, las asociaciones conformadas por entidades territoriales y en general los entes solidarios de carácter público estarán sometidos a las disposiciones del Estatuto General de Contratación de la Administración Pública […]”. Dicho lo anterior, resulta claro que el régimen contractual de las asociaciones de municipios no es especial, puesto que por mandato legal se someten al EGCAP. Por tanto, si estas entidades son ejecutoras de recursos de regalías de cualquier manera estarán sometidas al EGCAP. </w:t>
            </w:r>
          </w:p>
          <w:p w14:paraId="1DBF9F60" w14:textId="77777777" w:rsidR="002D4FBC" w:rsidRPr="002D4FBC" w:rsidRDefault="002D4FBC" w:rsidP="002D4FBC">
            <w:pPr>
              <w:spacing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 xml:space="preserve">Así las cosas, con base en la lectura literal y sistemática de las disposiciones contenidas en la Ley 2056 de 2020, así como la aplicación de principios generales del derecho, se colige que la remisión al EGCAP que se consagra en el artículo 37 de la Ley 2056 de 2020 debe entenderse como una disposición con efectos jurídicos y no meramente referencial, lo que significa que somete a todas las entidades ejecutoras, sin distinción de su naturaleza jurídica o régimen de contratación, a la aplicación del EGCAP para la contratación con recursos con cargo al SGR. </w:t>
            </w:r>
          </w:p>
        </w:tc>
      </w:tr>
    </w:tbl>
    <w:p w14:paraId="6FBB4FF7" w14:textId="77777777" w:rsidR="002D4FBC" w:rsidRPr="002D4FBC" w:rsidRDefault="002D4FBC" w:rsidP="002D4FBC">
      <w:pPr>
        <w:tabs>
          <w:tab w:val="left" w:pos="142"/>
          <w:tab w:val="left" w:pos="284"/>
        </w:tabs>
        <w:spacing w:after="0" w:line="276" w:lineRule="auto"/>
        <w:jc w:val="both"/>
        <w:rPr>
          <w:rFonts w:ascii="Verdana" w:eastAsia="Century Gothic" w:hAnsi="Verdana" w:cs="Century Gothic"/>
          <w:b/>
          <w:bCs/>
        </w:rPr>
      </w:pPr>
    </w:p>
    <w:bookmarkEnd w:id="3"/>
    <w:p w14:paraId="7FF7B222" w14:textId="77777777" w:rsidR="002D4FBC" w:rsidRPr="002D4FBC" w:rsidRDefault="002D4FBC" w:rsidP="002D4FBC">
      <w:pPr>
        <w:numPr>
          <w:ilvl w:val="0"/>
          <w:numId w:val="1"/>
        </w:numPr>
        <w:tabs>
          <w:tab w:val="left" w:pos="142"/>
          <w:tab w:val="left" w:pos="284"/>
        </w:tabs>
        <w:spacing w:after="0" w:line="276" w:lineRule="auto"/>
        <w:jc w:val="both"/>
        <w:rPr>
          <w:rFonts w:ascii="Verdana" w:eastAsia="Century Gothic" w:hAnsi="Verdana" w:cs="Century Gothic"/>
          <w:b/>
          <w:bCs/>
        </w:rPr>
      </w:pPr>
      <w:r w:rsidRPr="002D4FBC">
        <w:rPr>
          <w:rFonts w:ascii="Verdana" w:eastAsia="Century Gothic" w:hAnsi="Verdana" w:cs="Century Gothic"/>
          <w:b/>
          <w:bCs/>
        </w:rPr>
        <w:t>Razones de las respuestas:</w:t>
      </w:r>
    </w:p>
    <w:p w14:paraId="5C79C8D9" w14:textId="77777777" w:rsidR="002D4FBC" w:rsidRPr="002D4FBC" w:rsidRDefault="002D4FBC" w:rsidP="002D4FBC">
      <w:pPr>
        <w:spacing w:after="0" w:line="276" w:lineRule="auto"/>
        <w:jc w:val="both"/>
        <w:rPr>
          <w:rFonts w:ascii="Verdana" w:eastAsia="Calibri" w:hAnsi="Verdana" w:cs="Arial"/>
          <w:color w:val="7030A0"/>
        </w:rPr>
      </w:pPr>
    </w:p>
    <w:p w14:paraId="471B0878" w14:textId="77777777" w:rsidR="002D4FBC" w:rsidRPr="002D4FBC" w:rsidRDefault="002D4FBC" w:rsidP="002D4FBC">
      <w:pPr>
        <w:spacing w:after="0" w:line="276" w:lineRule="auto"/>
        <w:jc w:val="both"/>
        <w:rPr>
          <w:rFonts w:ascii="Verdana" w:eastAsia="Calibri" w:hAnsi="Verdana" w:cs="Arial"/>
        </w:rPr>
      </w:pPr>
      <w:r w:rsidRPr="002D4FBC">
        <w:rPr>
          <w:rFonts w:ascii="Verdana" w:eastAsia="Calibri" w:hAnsi="Verdana" w:cs="Arial"/>
        </w:rPr>
        <w:t>Lo anterior se sustenta en las siguientes consideraciones:</w:t>
      </w:r>
    </w:p>
    <w:p w14:paraId="7320C30D" w14:textId="77777777" w:rsidR="002D4FBC" w:rsidRPr="002D4FBC" w:rsidRDefault="002D4FBC" w:rsidP="002D4FBC">
      <w:pPr>
        <w:spacing w:after="0" w:line="276" w:lineRule="auto"/>
        <w:jc w:val="both"/>
        <w:rPr>
          <w:rFonts w:ascii="Verdana" w:eastAsia="Calibri" w:hAnsi="Verdana" w:cs="Arial"/>
        </w:rPr>
      </w:pPr>
    </w:p>
    <w:p w14:paraId="4AE7B34C" w14:textId="77777777" w:rsidR="002D4FBC" w:rsidRPr="002D4FBC" w:rsidRDefault="002D4FBC" w:rsidP="002D4FBC">
      <w:pPr>
        <w:widowControl w:val="0"/>
        <w:autoSpaceDE w:val="0"/>
        <w:autoSpaceDN w:val="0"/>
        <w:spacing w:after="120" w:line="276" w:lineRule="auto"/>
        <w:jc w:val="both"/>
        <w:rPr>
          <w:rFonts w:ascii="Verdana" w:hAnsi="Verdana" w:cs="Arial"/>
          <w:lang w:val="es-ES"/>
        </w:rPr>
      </w:pPr>
      <w:r w:rsidRPr="002D4FBC">
        <w:rPr>
          <w:rFonts w:ascii="Verdana" w:hAnsi="Verdana" w:cs="Arial"/>
          <w:lang w:val="es-ES"/>
        </w:rPr>
        <w:lastRenderedPageBreak/>
        <w:t>La Ley 2056 de 2020 determina la distribución, objetivos, fines, administración, ejecución, control del uso eficiente y la destinación de los ingresos que se encuadren dentro del concepto de regalías, precisando las condiciones para la participación de los beneficiarios o destinatarios de los mismos</w:t>
      </w:r>
      <w:r w:rsidRPr="002D4FBC">
        <w:rPr>
          <w:rFonts w:ascii="Verdana" w:hAnsi="Verdana" w:cs="Arial"/>
          <w:vertAlign w:val="superscript"/>
          <w:lang w:val="es-ES"/>
        </w:rPr>
        <w:footnoteReference w:id="2"/>
      </w:r>
      <w:r w:rsidRPr="002D4FBC">
        <w:rPr>
          <w:rFonts w:ascii="Verdana" w:hAnsi="Verdana" w:cs="Arial"/>
          <w:lang w:val="es-ES"/>
        </w:rPr>
        <w:t>. Para esto, el artículo tercero establece los órganos del Estado que hacen parte del SGR, como son la Comisión Rectora, el Departamento Nacional de Planeación, el Ministerio de Minas y Energía, así como sus entidades adscritas y vinculadas que cumplan funciones en el ciclo de las regalías, el Ministerio de Hacienda y Crédito Público, el Ministerio de Ciencia, Tecnología e Innovación, el Ministerio de Ambiente y Desarrollo Sostenible y los Órganos Colegiados de Administración y Decisión Paz, de Inversión Regional y de Ciencia, Tecnología e Innovación, incluyendo dentro de los mismos al Ministerio de Ciencia, Tecnología e Innovación</w:t>
      </w:r>
      <w:r w:rsidRPr="002D4FBC">
        <w:rPr>
          <w:rFonts w:ascii="Verdana" w:hAnsi="Verdana" w:cs="Arial"/>
          <w:vertAlign w:val="superscript"/>
          <w:lang w:val="es-ES"/>
        </w:rPr>
        <w:footnoteReference w:id="3"/>
      </w:r>
      <w:r w:rsidRPr="002D4FBC">
        <w:rPr>
          <w:rFonts w:ascii="Verdana" w:hAnsi="Verdana" w:cs="Arial"/>
          <w:lang w:val="es-ES"/>
        </w:rPr>
        <w:t>. Estas entidades deben ejercer sus competencias, de acuerdo a lo prescrito en dicha ley y los lineamientos que expida la Comisión Rectora. En el marco de la Ley 2056 de 2020, también se expidió el Decreto 1821 de 2020, “</w:t>
      </w:r>
      <w:r w:rsidRPr="002D4FBC">
        <w:rPr>
          <w:rFonts w:ascii="Verdana" w:hAnsi="Verdana"/>
          <w:lang w:val="es-ES"/>
        </w:rPr>
        <w:t>Por el cual se expide el Decreto Único Reglamentario del Sistema General de Regalías</w:t>
      </w:r>
      <w:r w:rsidRPr="002D4FBC">
        <w:rPr>
          <w:rFonts w:ascii="Verdana" w:hAnsi="Verdana" w:cs="Arial"/>
          <w:lang w:val="es-ES"/>
        </w:rPr>
        <w:t xml:space="preserve">”, reglamento que regula la ejecución de los proyectos. </w:t>
      </w:r>
    </w:p>
    <w:p w14:paraId="35D641E7" w14:textId="77777777" w:rsidR="002D4FBC" w:rsidRPr="002D4FBC" w:rsidRDefault="002D4FBC" w:rsidP="002D4FBC">
      <w:pPr>
        <w:widowControl w:val="0"/>
        <w:autoSpaceDE w:val="0"/>
        <w:autoSpaceDN w:val="0"/>
        <w:spacing w:after="120" w:line="276" w:lineRule="auto"/>
        <w:ind w:firstLine="709"/>
        <w:jc w:val="both"/>
        <w:rPr>
          <w:rFonts w:ascii="Verdana" w:hAnsi="Verdana" w:cs="Arial"/>
          <w:lang w:val="es-ES"/>
        </w:rPr>
      </w:pPr>
      <w:r w:rsidRPr="002D4FBC">
        <w:rPr>
          <w:rFonts w:ascii="Verdana" w:hAnsi="Verdana" w:cs="Arial"/>
          <w:lang w:val="es-ES"/>
        </w:rPr>
        <w:t xml:space="preserve">En el Título IV, Capítulo I, la Ley 2056 de 2020 establece las reglas generales para los proyectos de inversión financiados con recursos del SGR. En esta línea, regula la destinación de los proyectos del Sistema –artículo 28–, las características de los proyectos de inversión –artículo 29–, los ejercicios de planeación –artículo 30–, el ciclo de los proyectos de inversión –artículo 31–, el registro de proyectos –artículo 32–, formulación y presentación de los proyectos –artículo 33–, viabilidad de los proyectos –artículo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w:t>
      </w:r>
      <w:r w:rsidRPr="002D4FBC">
        <w:rPr>
          <w:rFonts w:ascii="Verdana" w:hAnsi="Verdana" w:cs="Arial"/>
          <w:lang w:val="es-ES"/>
        </w:rPr>
        <w:lastRenderedPageBreak/>
        <w:t xml:space="preserve">de proyectos de inversión –artículo 37–. </w:t>
      </w:r>
    </w:p>
    <w:p w14:paraId="77AB05D8" w14:textId="77777777" w:rsidR="002D4FBC" w:rsidRPr="002D4FBC" w:rsidRDefault="002D4FBC" w:rsidP="002D4FBC">
      <w:pPr>
        <w:spacing w:before="120" w:after="0" w:line="276" w:lineRule="auto"/>
        <w:ind w:firstLine="709"/>
        <w:jc w:val="both"/>
        <w:rPr>
          <w:rFonts w:ascii="Verdana" w:hAnsi="Verdana" w:cs="Arial"/>
          <w:lang w:val="es-ES"/>
        </w:rPr>
      </w:pPr>
      <w:r w:rsidRPr="002D4FBC">
        <w:rPr>
          <w:rFonts w:ascii="Verdana" w:hAnsi="Verdana" w:cs="Arial"/>
          <w:lang w:val="es-ES"/>
        </w:rPr>
        <w:t>Sobre el tipo de asignaciones, es importante resaltar que los proyectos de inversión pueden financiarse con cargo a Asignaciones Directas, a la Asignación para la Inversión Local o la Asignación para la Inversión Regional,</w:t>
      </w:r>
      <w:r w:rsidRPr="002D4FBC">
        <w:rPr>
          <w:rFonts w:ascii="Verdana" w:eastAsia="Times New Roman" w:hAnsi="Verdana" w:cs="Arial"/>
          <w:color w:val="0D0D0D"/>
          <w:position w:val="3"/>
          <w:sz w:val="28"/>
          <w:szCs w:val="28"/>
          <w:lang w:val="es-MX" w:eastAsia="es-CO"/>
        </w:rPr>
        <w:t xml:space="preserve"> </w:t>
      </w:r>
      <w:r w:rsidRPr="002D4FBC">
        <w:rPr>
          <w:rFonts w:ascii="Verdana" w:hAnsi="Verdana" w:cs="Arial"/>
          <w:lang w:val="es-ES"/>
        </w:rPr>
        <w:t xml:space="preserve">a la </w:t>
      </w:r>
      <w:r w:rsidRPr="002D4FBC">
        <w:rPr>
          <w:rFonts w:ascii="Verdana" w:hAnsi="Verdana" w:cs="Arial"/>
          <w:lang w:val="es-MX"/>
        </w:rPr>
        <w:t>Asignación para la inversión en ciencia, tecnología e innovación, entre otros</w:t>
      </w:r>
      <w:r w:rsidRPr="002D4FBC">
        <w:rPr>
          <w:rFonts w:ascii="Verdana" w:hAnsi="Verdana" w:cs="Arial"/>
          <w:lang w:val="es-ES"/>
        </w:rPr>
        <w:t>. Atendiendo al tipo de asignación, la Ley 2056 de 2020 establece un procedimiento distinto para la aprobación de los proyectos, así como para la designación del ejecutor.</w:t>
      </w:r>
    </w:p>
    <w:p w14:paraId="770C21E2" w14:textId="77777777" w:rsidR="002D4FBC" w:rsidRPr="002D4FBC" w:rsidRDefault="002D4FBC" w:rsidP="002D4FBC">
      <w:pPr>
        <w:spacing w:before="120" w:after="120" w:line="276" w:lineRule="auto"/>
        <w:ind w:firstLine="709"/>
        <w:jc w:val="both"/>
        <w:rPr>
          <w:rFonts w:ascii="Verdana" w:hAnsi="Verdana" w:cs="Arial"/>
          <w:lang w:val="es-ES"/>
        </w:rPr>
      </w:pPr>
      <w:r w:rsidRPr="002D4FBC">
        <w:rPr>
          <w:rFonts w:ascii="Verdana" w:hAnsi="Verdana" w:cs="Arial"/>
          <w:lang w:val="es-ES"/>
        </w:rPr>
        <w:t>En el caso de las Asignaciones Directas y la Asignación para la Inversión Local, la viabilidad estará a cargo de las entidades territoriales beneficiarias. Además, el artículo 36 de la Ley 2056 de 2020 señala que las entidades territoriales, como receptoras de estos recursos, serán las encargadas de priorizar y aprobar los proyectos de inversión que financien con cargo a las referidas asignaciones.</w:t>
      </w:r>
    </w:p>
    <w:p w14:paraId="277CC307" w14:textId="77777777" w:rsidR="002D4FBC" w:rsidRPr="002D4FBC" w:rsidRDefault="002D4FBC" w:rsidP="002D4FBC">
      <w:pPr>
        <w:spacing w:after="120" w:line="276" w:lineRule="auto"/>
        <w:ind w:firstLine="708"/>
        <w:jc w:val="both"/>
        <w:rPr>
          <w:rFonts w:ascii="Verdana" w:hAnsi="Verdana" w:cs="Arial"/>
        </w:rPr>
      </w:pPr>
      <w:r w:rsidRPr="002D4FBC">
        <w:rPr>
          <w:rFonts w:ascii="Verdana" w:hAnsi="Verdana" w:cs="Arial"/>
          <w:lang w:val="es-ES"/>
        </w:rPr>
        <w:t xml:space="preserve">Con respecto a la ejecución de los proyectos de inversión que se realicen con cargo a los recursos del SGR, el artículo 37 de la Ley 2056 de 2020 dispone que serán ejecutados por quien designen las entidades u órganos de que tratan los artículos 35 y 36. Es decir que, en el caso de los proyectos de inversión de la Asignación para la Inversión Regional – art. 35-, corresponde a los </w:t>
      </w:r>
      <w:r w:rsidRPr="002D4FBC">
        <w:rPr>
          <w:rFonts w:ascii="Verdana" w:hAnsi="Verdana" w:cs="Arial"/>
          <w:i/>
          <w:iCs/>
          <w:lang w:val="es-ES"/>
        </w:rPr>
        <w:t>departamentos</w:t>
      </w:r>
      <w:r w:rsidRPr="002D4FBC">
        <w:rPr>
          <w:rFonts w:ascii="Verdana" w:hAnsi="Verdana" w:cs="Arial"/>
          <w:lang w:val="es-ES"/>
        </w:rPr>
        <w:t xml:space="preserve"> designar el ejecutor de los proyectos de inversión que correspondan al sesenta por ciento (60%) de esta asignación y que se encuentran a cargo de dichos departamentos, mientras que corresponderá a los OCAD designar el ejecutor de los proyectos de inversión que correspondan al cuarenta por ciento (40%) de esta asignación y que se encuentran a cargo de las </w:t>
      </w:r>
      <w:r w:rsidRPr="002D4FBC">
        <w:rPr>
          <w:rFonts w:ascii="Verdana" w:hAnsi="Verdana" w:cs="Arial"/>
          <w:i/>
          <w:iCs/>
          <w:lang w:val="es-ES"/>
        </w:rPr>
        <w:t>regiones</w:t>
      </w:r>
      <w:r w:rsidRPr="002D4FBC">
        <w:rPr>
          <w:rFonts w:ascii="Verdana" w:hAnsi="Verdana" w:cs="Arial"/>
          <w:lang w:val="es-ES"/>
        </w:rPr>
        <w:t>. Así mismo, según el artículo 36, corresponderá a las entidades territoriales receptoras de las Asignaciones Directas y la Asignación para la Inversión Local la designación de los ejecutores de estos recursos.</w:t>
      </w:r>
    </w:p>
    <w:p w14:paraId="7852BAFB" w14:textId="77777777" w:rsidR="002D4FBC" w:rsidRPr="002D4FBC" w:rsidRDefault="002D4FBC" w:rsidP="002D4FBC">
      <w:pPr>
        <w:spacing w:after="120" w:line="276" w:lineRule="auto"/>
        <w:ind w:firstLine="708"/>
        <w:jc w:val="both"/>
        <w:rPr>
          <w:rFonts w:ascii="Verdana" w:hAnsi="Verdana" w:cs="Arial"/>
        </w:rPr>
      </w:pPr>
      <w:r w:rsidRPr="002D4FBC">
        <w:rPr>
          <w:rFonts w:ascii="Verdana" w:hAnsi="Verdana" w:cs="Arial"/>
        </w:rPr>
        <w:t xml:space="preserve">El artículo 37 de la </w:t>
      </w:r>
      <w:r w:rsidRPr="002D4FBC">
        <w:rPr>
          <w:rFonts w:ascii="Verdana" w:hAnsi="Verdana" w:cs="Arial"/>
          <w:lang w:val="es-ES"/>
        </w:rPr>
        <w:t xml:space="preserve">Ley 2056 de 2020 </w:t>
      </w:r>
      <w:r w:rsidRPr="002D4FBC">
        <w:rPr>
          <w:rFonts w:ascii="Verdana" w:hAnsi="Verdana" w:cs="Arial"/>
        </w:rPr>
        <w:t xml:space="preserve">también agrega que la entidad pública ejecutora que designen las entidades y órganos referidos tienen el deber de adelantar la contratación de la interventoría, de conformidad con lo previsto en dicha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los mismos, sin perjuicio de las acciones de control a las que haya lugar. </w:t>
      </w:r>
    </w:p>
    <w:p w14:paraId="18DC2E6A" w14:textId="77777777" w:rsidR="002D4FBC" w:rsidRPr="002D4FBC" w:rsidRDefault="002D4FBC" w:rsidP="002D4FBC">
      <w:pPr>
        <w:spacing w:after="120" w:line="276" w:lineRule="auto"/>
        <w:ind w:firstLine="709"/>
        <w:jc w:val="both"/>
        <w:rPr>
          <w:rFonts w:ascii="Verdana" w:hAnsi="Verdana" w:cs="Arial"/>
        </w:rPr>
      </w:pPr>
      <w:r w:rsidRPr="002D4FBC">
        <w:rPr>
          <w:rFonts w:ascii="Verdana" w:hAnsi="Verdana" w:cs="Arial"/>
        </w:rPr>
        <w:lastRenderedPageBreak/>
        <w:t xml:space="preserve">Por su parte, los parágrafos del señalado artículo 37 disponen reglas importantes frente a la designación de los ejecutores de los proyectos y el régimen de contratación que deberá regir su actuación. El parágrafo primero del artículo 37 </w:t>
      </w:r>
      <w:r w:rsidRPr="002D4FBC">
        <w:rPr>
          <w:rFonts w:ascii="Verdana" w:hAnsi="Verdana" w:cs="Arial"/>
          <w:i/>
          <w:iCs/>
        </w:rPr>
        <w:t>ibidem</w:t>
      </w:r>
      <w:r w:rsidRPr="002D4FBC">
        <w:rPr>
          <w:rFonts w:ascii="Verdana" w:hAnsi="Verdana" w:cs="Arial"/>
        </w:rPr>
        <w:t xml:space="preserve"> dispone que “La ejecución de proyectos de que trata este artículo, se adelantará, con estricta sujeción al régimen presupuestal definido en esta ley, </w:t>
      </w:r>
      <w:r w:rsidRPr="002D4FBC">
        <w:rPr>
          <w:rFonts w:ascii="Verdana" w:hAnsi="Verdana" w:cs="Arial"/>
          <w:i/>
          <w:iCs/>
          <w:u w:val="single"/>
        </w:rPr>
        <w:t>al de contratación pública</w:t>
      </w:r>
      <w:r w:rsidRPr="002D4FBC">
        <w:rPr>
          <w:rFonts w:ascii="Verdana" w:hAnsi="Verdana" w:cs="Arial"/>
        </w:rPr>
        <w:t xml:space="preserve"> y las demás normas legales vigentes”</w:t>
      </w:r>
      <w:r w:rsidRPr="002D4FBC">
        <w:rPr>
          <w:rFonts w:ascii="Verdana" w:hAnsi="Verdana" w:cs="Arial"/>
          <w:vertAlign w:val="superscript"/>
        </w:rPr>
        <w:footnoteReference w:id="4"/>
      </w:r>
      <w:r w:rsidRPr="002D4FBC">
        <w:rPr>
          <w:rFonts w:ascii="Verdana" w:hAnsi="Verdana" w:cs="Arial"/>
        </w:rPr>
        <w:t>.</w:t>
      </w:r>
      <w:r w:rsidRPr="002D4FBC">
        <w:rPr>
          <w:rFonts w:ascii="Verdana" w:hAnsi="Verdana" w:cs="Arial"/>
          <w:noProof/>
        </w:rPr>
        <w:t xml:space="preserve"> Lo anterior implica que el ejecutor de los proyectos de inversión del SGR deberá someterse a las reglas de contratación pública, es decir, a lo establecido en el Estatuto General de Contratación Pública, así como las normas que lo modifiquen, sustituyan o reglamenten, cuando desarrolle proyectos en el marco de éste sistema. En efecto, el ejecutor debe someterse a las reglas generales de la contratación pública cuando desarrolle proyectos en el marco del Sistema General de Regalías. </w:t>
      </w:r>
    </w:p>
    <w:p w14:paraId="51ED5C78" w14:textId="77777777" w:rsidR="002D4FBC" w:rsidRPr="002D4FBC" w:rsidRDefault="002D4FBC" w:rsidP="002D4FBC">
      <w:pPr>
        <w:spacing w:after="120" w:line="276" w:lineRule="auto"/>
        <w:ind w:firstLine="709"/>
        <w:jc w:val="both"/>
        <w:rPr>
          <w:rFonts w:ascii="Verdana" w:hAnsi="Verdana" w:cs="Arial"/>
          <w:bdr w:val="none" w:sz="0" w:space="0" w:color="auto" w:frame="1"/>
        </w:rPr>
      </w:pPr>
      <w:r w:rsidRPr="002D4FBC">
        <w:rPr>
          <w:rFonts w:ascii="Verdana" w:hAnsi="Verdana" w:cs="Arial"/>
        </w:rPr>
        <w:lastRenderedPageBreak/>
        <w:t>Por tanto, conforme a esta previsión normativa en caso de que se realicen proyectos de inversión en el marco del Sistema General de Regalías los ejecutores designados para desarrollarlos deben sujetarse al Estatuto General de Contratación de la Administración Pública</w:t>
      </w:r>
      <w:r w:rsidRPr="002D4FBC">
        <w:rPr>
          <w:rFonts w:ascii="Verdana" w:eastAsia="Calibri" w:hAnsi="Verdana" w:cs="Arial"/>
        </w:rPr>
        <w:t>.</w:t>
      </w:r>
      <w:r w:rsidRPr="002D4FBC">
        <w:rPr>
          <w:rFonts w:ascii="Verdana" w:hAnsi="Verdana" w:cs="Arial"/>
        </w:rPr>
        <w:t xml:space="preserve"> </w:t>
      </w:r>
      <w:r w:rsidRPr="002D4FBC">
        <w:rPr>
          <w:rFonts w:ascii="Verdana" w:hAnsi="Verdana" w:cs="Arial"/>
          <w:bdr w:val="none" w:sz="0" w:space="0" w:color="auto" w:frame="1"/>
        </w:rPr>
        <w:t xml:space="preserve">En el evento en que determinados asuntos estén sometidos por norma especial al Estatuto General de Contratación Pública, la ejecución de los contratos deberá realizarse conforme a este régimen. </w:t>
      </w:r>
    </w:p>
    <w:p w14:paraId="1A0137C5" w14:textId="77777777" w:rsidR="002D4FBC" w:rsidRPr="002D4FBC" w:rsidRDefault="002D4FBC" w:rsidP="002D4FBC">
      <w:pPr>
        <w:spacing w:after="120" w:line="276" w:lineRule="auto"/>
        <w:ind w:firstLine="709"/>
        <w:jc w:val="both"/>
        <w:rPr>
          <w:rFonts w:ascii="Verdana" w:eastAsia="Calibri" w:hAnsi="Verdana" w:cs="Arial"/>
          <w:color w:val="000000"/>
          <w:lang w:val="es-ES" w:eastAsia="es-ES"/>
        </w:rPr>
      </w:pPr>
      <w:r w:rsidRPr="002D4FBC">
        <w:rPr>
          <w:rFonts w:ascii="Verdana" w:eastAsia="Calibri" w:hAnsi="Verdana" w:cs="Arial"/>
          <w:color w:val="000000"/>
          <w:lang w:val="es-ES" w:eastAsia="es-ES"/>
        </w:rPr>
        <w:t xml:space="preserve">Así las cosas, conforme a la interpretación general de las normas del sistema de compras públicas, esta Subdirección en </w:t>
      </w:r>
      <w:r w:rsidRPr="002D4FBC">
        <w:rPr>
          <w:rFonts w:ascii="Verdana" w:hAnsi="Verdana" w:cs="Arial"/>
        </w:rPr>
        <w:t xml:space="preserve">los conceptos </w:t>
      </w:r>
      <w:r w:rsidRPr="002D4FBC">
        <w:rPr>
          <w:rFonts w:ascii="Verdana" w:hAnsi="Verdana"/>
        </w:rPr>
        <w:t>C-370 del 2021,</w:t>
      </w:r>
      <w:r w:rsidRPr="002D4FBC">
        <w:rPr>
          <w:rFonts w:ascii="Verdana" w:hAnsi="Verdana"/>
          <w:shd w:val="clear" w:color="auto" w:fill="FFFFFF"/>
        </w:rPr>
        <w:t xml:space="preserve"> C-353 del 2 de junio de 2022, C-918 del 9 de diciembre de 2024, C-504 del 1 de octubre 2024, C-951 del 16 de diciembre de 2024, C-285 del 14 de abril de 2025, C-348 del 25 de abril de 2025, C-370 del 2 de mayo de 2025, C-680 del 8 de julio de 2025, C-914 del 15 de agosto de 2025, C-1065 del 8 de septiembre de 2025, C-225 del 27 de febrero de 2026 y C-417 del 2026, </w:t>
      </w:r>
      <w:r w:rsidRPr="002D4FBC">
        <w:rPr>
          <w:rFonts w:ascii="Verdana" w:hAnsi="Verdana" w:cs="Arial"/>
          <w:shd w:val="clear" w:color="auto" w:fill="FFFFFF"/>
        </w:rPr>
        <w:t xml:space="preserve">ha mantenido la postura en virtud de la cual </w:t>
      </w:r>
      <w:r w:rsidRPr="002D4FBC">
        <w:rPr>
          <w:rFonts w:ascii="Verdana" w:eastAsia="Calibri" w:hAnsi="Verdana" w:cs="Arial"/>
          <w:color w:val="000000"/>
          <w:lang w:val="es-ES" w:eastAsia="es-ES"/>
        </w:rPr>
        <w:t>de acuerdo con el parágrafo primero del artículo 37 de la Ley 2056 de 2020, el ejecutor de los proyectos de inversión del Sistema General de Regalías, independiente del régimen contractual al cuál se encuentre sujeto de manera general, deberá aplicar las reglas de contratación pública, es decir, las prescripciones establecidas en el Estatuto General de Contratación de la Administración Pública-EGCAP, así como las normas que lo modifiquen, sustituyan o reglamenten.</w:t>
      </w:r>
    </w:p>
    <w:p w14:paraId="3BC541AE" w14:textId="77777777" w:rsidR="002D4FBC" w:rsidRPr="002D4FBC" w:rsidRDefault="002D4FBC" w:rsidP="002D4FBC">
      <w:pPr>
        <w:spacing w:after="120" w:line="276" w:lineRule="auto"/>
        <w:ind w:firstLine="709"/>
        <w:jc w:val="both"/>
        <w:rPr>
          <w:rFonts w:ascii="Verdana" w:eastAsia="Calibri" w:hAnsi="Verdana" w:cs="Arial"/>
          <w:iCs/>
          <w:color w:val="000000"/>
          <w:lang w:eastAsia="es-ES"/>
        </w:rPr>
      </w:pPr>
      <w:r w:rsidRPr="002D4FBC">
        <w:rPr>
          <w:rFonts w:ascii="Verdana" w:eastAsia="Calibri" w:hAnsi="Verdana" w:cs="Arial"/>
          <w:color w:val="000000"/>
          <w:lang w:val="es-ES" w:eastAsia="es-ES"/>
        </w:rPr>
        <w:t>En este contexto, se ha sostenido que si la entidad ejecutora es de régimen especial, no podrá apoyarse en las excepciones a la aplicación de la Ley 80 de 1993 para la ejecución de los proyectos. De esta manera, el artículo 37 citado excluye la posibilidad de que los recursos se ejecuten con prevalencia del derecho privado, pues quienes tengan la calidad de entidades ejecutoras para efectos del SGR deben sujetarse a las normas donde prevalece el derecho público, esto es, al EGCAP, sin perjuicio de que en sus demás actividades apliquen el régimen especial que les corresponda</w:t>
      </w:r>
      <w:r w:rsidRPr="002D4FBC">
        <w:rPr>
          <w:rFonts w:ascii="Verdana" w:eastAsia="Calibri" w:hAnsi="Verdana" w:cs="Arial"/>
          <w:iCs/>
          <w:color w:val="000000"/>
          <w:lang w:eastAsia="es-ES"/>
        </w:rPr>
        <w:t>.</w:t>
      </w:r>
    </w:p>
    <w:p w14:paraId="19758422" w14:textId="77777777" w:rsidR="002D4FBC" w:rsidRPr="002D4FBC" w:rsidRDefault="002D4FBC" w:rsidP="002D4FBC">
      <w:pPr>
        <w:spacing w:before="120" w:after="0" w:line="276" w:lineRule="auto"/>
        <w:ind w:firstLine="709"/>
        <w:jc w:val="both"/>
        <w:textAlignment w:val="baseline"/>
        <w:rPr>
          <w:rFonts w:ascii="Verdana" w:eastAsia="Times New Roman" w:hAnsi="Verdana" w:cs="Arial"/>
          <w:lang w:val="es-ES" w:eastAsia="es-MX"/>
        </w:rPr>
      </w:pPr>
      <w:r w:rsidRPr="002D4FBC">
        <w:rPr>
          <w:rFonts w:ascii="Verdana" w:hAnsi="Verdana" w:cs="Arial"/>
          <w:bdr w:val="none" w:sz="0" w:space="0" w:color="auto" w:frame="1"/>
        </w:rPr>
        <w:t xml:space="preserve">La anterior conclusión resulta de especial importancia para efectos de la consulta planteada, puesto que </w:t>
      </w:r>
      <w:r w:rsidRPr="002D4FBC">
        <w:rPr>
          <w:rFonts w:ascii="Verdana" w:hAnsi="Verdana" w:cs="Arial"/>
          <w:bdr w:val="none" w:sz="0" w:space="0" w:color="auto" w:frame="1"/>
          <w:lang w:val="es-ES_tradnl"/>
        </w:rPr>
        <w:t xml:space="preserve">las sociedades de economía mixta en ciertos eventos cuentan con un régimen de contratación particular. En efecto, </w:t>
      </w:r>
      <w:r w:rsidRPr="002D4FBC">
        <w:rPr>
          <w:rFonts w:ascii="Verdana" w:hAnsi="Verdana" w:cs="Arial"/>
          <w:lang w:val="es-ES" w:eastAsia="es-MX"/>
        </w:rPr>
        <w:t xml:space="preserve">el artículo 14 de la Ley 1150 de 2007 – </w:t>
      </w:r>
      <w:r w:rsidRPr="002D4FBC">
        <w:rPr>
          <w:rFonts w:ascii="Verdana" w:eastAsia="Times New Roman" w:hAnsi="Verdana" w:cs="Arial"/>
          <w:lang w:val="es-ES" w:eastAsia="es-MX"/>
        </w:rPr>
        <w:t xml:space="preserve">modificado por el artículo 93 de la Ley 1474 de 2011 – establece el régimen contractual de las sociedades de economía mixta, en las que el Estado tenga participación superior al cincuenta por ciento (50%), señalando que: </w:t>
      </w:r>
    </w:p>
    <w:p w14:paraId="4C5AD09C" w14:textId="77777777" w:rsidR="002D4FBC" w:rsidRPr="002D4FBC" w:rsidRDefault="002D4FBC" w:rsidP="002D4FBC">
      <w:pPr>
        <w:spacing w:after="0" w:line="276" w:lineRule="auto"/>
        <w:ind w:firstLine="709"/>
        <w:jc w:val="both"/>
        <w:textAlignment w:val="baseline"/>
        <w:rPr>
          <w:rFonts w:ascii="Verdana" w:eastAsia="Times New Roman" w:hAnsi="Verdana" w:cs="Arial"/>
          <w:lang w:val="es-ES_tradnl" w:eastAsia="es-MX"/>
        </w:rPr>
      </w:pPr>
    </w:p>
    <w:p w14:paraId="5301DCB8" w14:textId="77777777" w:rsidR="002D4FBC" w:rsidRPr="002D4FBC" w:rsidRDefault="002D4FBC" w:rsidP="002D4FBC">
      <w:pPr>
        <w:spacing w:after="0" w:line="240" w:lineRule="auto"/>
        <w:ind w:left="709" w:right="709"/>
        <w:jc w:val="both"/>
        <w:textAlignment w:val="baseline"/>
        <w:rPr>
          <w:rFonts w:ascii="Verdana" w:eastAsia="Times New Roman" w:hAnsi="Verdana" w:cs="Arial"/>
          <w:sz w:val="20"/>
          <w:szCs w:val="20"/>
          <w:lang w:val="es-ES_tradnl" w:eastAsia="es-MX"/>
        </w:rPr>
      </w:pPr>
      <w:r w:rsidRPr="002D4FBC">
        <w:rPr>
          <w:rFonts w:ascii="Verdana" w:eastAsia="Times New Roman" w:hAnsi="Verdana" w:cs="Arial"/>
          <w:sz w:val="20"/>
          <w:szCs w:val="20"/>
          <w:lang w:val="es-ES_tradnl" w:eastAsia="es-MX"/>
        </w:rPr>
        <w:t>“Artículo 14. Del régimen contractual de las empresas industriales y comerciales del estado, las sociedades de economía mixta, sus filiales y empresas con participación mayoritaria del estado.</w:t>
      </w:r>
      <w:r w:rsidRPr="002D4FBC">
        <w:rPr>
          <w:rFonts w:ascii="Verdana" w:eastAsia="Times New Roman" w:hAnsi="Verdana" w:cs="Arial"/>
          <w:b/>
          <w:bCs/>
          <w:sz w:val="20"/>
          <w:szCs w:val="20"/>
          <w:lang w:val="es-ES_tradnl" w:eastAsia="es-MX"/>
        </w:rPr>
        <w:t xml:space="preserve"> </w:t>
      </w:r>
      <w:r w:rsidRPr="002D4FBC">
        <w:rPr>
          <w:rFonts w:ascii="Verdana" w:eastAsia="Times New Roman" w:hAnsi="Verdana" w:cs="Arial"/>
          <w:sz w:val="20"/>
          <w:szCs w:val="20"/>
          <w:lang w:val="es-ES_tradnl" w:eastAsia="es-MX"/>
        </w:rPr>
        <w:t>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097D55D7" w14:textId="77777777" w:rsidR="002D4FBC" w:rsidRPr="002D4FBC" w:rsidRDefault="002D4FBC" w:rsidP="002D4FBC">
      <w:pPr>
        <w:spacing w:after="0" w:line="276" w:lineRule="auto"/>
        <w:ind w:firstLine="709"/>
        <w:jc w:val="both"/>
        <w:textAlignment w:val="baseline"/>
        <w:rPr>
          <w:rFonts w:ascii="Verdana" w:hAnsi="Verdana" w:cs="Arial"/>
          <w:lang w:val="es-ES_tradnl" w:eastAsia="es-MX"/>
        </w:rPr>
      </w:pPr>
    </w:p>
    <w:p w14:paraId="2852C82A" w14:textId="77777777" w:rsidR="002D4FBC" w:rsidRPr="002D4FBC" w:rsidRDefault="002D4FBC" w:rsidP="002D4FBC">
      <w:pPr>
        <w:spacing w:after="120" w:line="276" w:lineRule="auto"/>
        <w:ind w:firstLine="709"/>
        <w:jc w:val="both"/>
        <w:textAlignment w:val="baseline"/>
        <w:rPr>
          <w:rFonts w:ascii="Verdana" w:hAnsi="Verdana" w:cs="Arial"/>
          <w:lang w:val="es-ES_tradnl" w:eastAsia="es-MX"/>
        </w:rPr>
      </w:pPr>
      <w:r w:rsidRPr="002D4FBC">
        <w:rPr>
          <w:rFonts w:ascii="Verdana" w:hAnsi="Verdana" w:cs="Arial"/>
          <w:lang w:val="es-ES_tradnl" w:eastAsia="es-MX"/>
        </w:rPr>
        <w:t>El citado artículo, previó que las sociedades de economía mixta en las que el Estado tenga participación superior al cincuenta por ciento (50%) y sus filiales que cuenten con participación mayoritaria del Estado superior al cincuenta por ciento (50%) estarán sometidas al EGCAP,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w:t>
      </w:r>
      <w:r w:rsidRPr="002D4FBC">
        <w:rPr>
          <w:rFonts w:ascii="Verdana" w:hAnsi="Verdana" w:cs="Arial"/>
          <w:vertAlign w:val="superscript"/>
          <w:lang w:val="es-ES_tradnl" w:eastAsia="es-MX"/>
        </w:rPr>
        <w:footnoteReference w:id="5"/>
      </w:r>
      <w:r w:rsidRPr="002D4FBC">
        <w:rPr>
          <w:rFonts w:ascii="Verdana" w:hAnsi="Verdana" w:cs="Arial"/>
          <w:lang w:val="es-ES_tradnl" w:eastAsia="es-MX"/>
        </w:rPr>
        <w:t>. En otras palabras, el legislador estableció que las sociedades de economía mixta en las que el Estado tenga participación superior al cincuenta por ciento (50%), cuando se encuentran en competencia con el sector privado o público, nacional o internacional o desarrollan su actividad en mercados regulados, estarán sometidos al derecho privado.</w:t>
      </w:r>
    </w:p>
    <w:p w14:paraId="0AD5A96F" w14:textId="77777777" w:rsidR="002D4FBC" w:rsidRPr="002D4FBC" w:rsidRDefault="002D4FBC" w:rsidP="002D4FBC">
      <w:pPr>
        <w:spacing w:after="120" w:line="276" w:lineRule="auto"/>
        <w:ind w:firstLine="709"/>
        <w:jc w:val="both"/>
        <w:textAlignment w:val="baseline"/>
        <w:rPr>
          <w:rFonts w:ascii="Verdana" w:hAnsi="Verdana" w:cs="Arial"/>
          <w:lang w:eastAsia="es-MX"/>
        </w:rPr>
      </w:pPr>
      <w:r w:rsidRPr="002D4FBC">
        <w:rPr>
          <w:rFonts w:ascii="Verdana" w:hAnsi="Verdana" w:cs="Arial"/>
          <w:lang w:val="es-ES_tradnl" w:eastAsia="es-MX"/>
        </w:rPr>
        <w:lastRenderedPageBreak/>
        <w:t xml:space="preserve">En este contexto y de acuerdo con la explicación precedente del Sistema General de Regalías, cuando las sociedades de economía mixta cuenten con un régimen de contratación especial sometido al derecho privado y sean entidades ejecutoras de recursos de regalías, a juicio de esta Agencia se aplica de manera preferente lo dispuesto en </w:t>
      </w:r>
      <w:r w:rsidRPr="002D4FBC">
        <w:rPr>
          <w:rFonts w:ascii="Verdana" w:hAnsi="Verdana" w:cs="Arial"/>
          <w:lang w:eastAsia="es-MX"/>
        </w:rPr>
        <w:t xml:space="preserve">el parágrafo primero del artículo 37 de la Ley 2056 de 2020, que establece el deber de sujeción a las normas del EGCAP para tales efectos. </w:t>
      </w:r>
    </w:p>
    <w:p w14:paraId="41D1C750" w14:textId="77777777" w:rsidR="002D4FBC" w:rsidRPr="002D4FBC" w:rsidRDefault="002D4FBC" w:rsidP="002D4FBC">
      <w:pPr>
        <w:spacing w:after="120" w:line="276" w:lineRule="auto"/>
        <w:ind w:firstLine="708"/>
        <w:jc w:val="both"/>
        <w:rPr>
          <w:rFonts w:ascii="Verdana" w:eastAsia="Calibri" w:hAnsi="Verdana" w:cs="Segoe UI"/>
          <w:sz w:val="18"/>
          <w:szCs w:val="18"/>
        </w:rPr>
      </w:pPr>
      <w:r w:rsidRPr="002D4FBC">
        <w:rPr>
          <w:rFonts w:ascii="Verdana" w:hAnsi="Verdana" w:cs="Arial"/>
          <w:lang w:eastAsia="es-MX"/>
        </w:rPr>
        <w:t xml:space="preserve">Respecto a la asociación de municipios, es pertinente aclarar que </w:t>
      </w:r>
      <w:r w:rsidRPr="002D4FBC">
        <w:rPr>
          <w:rFonts w:ascii="Verdana" w:eastAsia="Calibri" w:hAnsi="Verdana" w:cs="Arial"/>
          <w:color w:val="000000"/>
        </w:rPr>
        <w:t xml:space="preserve">su régimen de contratación es el general. Lo anterior se desprende de lo previsto en </w:t>
      </w:r>
      <w:bookmarkStart w:id="5" w:name="_Hlk190464686"/>
      <w:r w:rsidRPr="002D4FBC">
        <w:rPr>
          <w:rFonts w:ascii="Verdana" w:eastAsia="Calibri" w:hAnsi="Verdana" w:cs="Arial"/>
          <w:color w:val="000000"/>
        </w:rPr>
        <w:t xml:space="preserve">el numeral 1 del artículo 2 de la Ley 80 de 1993, que define como entidades estatales, sujetas a dicho estatuto a: “La Nación, las regiones, los departamentos, las provincias, el distrito capital y los distritos especiales, las áreas metropolitanas, </w:t>
      </w:r>
      <w:r w:rsidRPr="002D4FBC">
        <w:rPr>
          <w:rFonts w:ascii="Verdana" w:eastAsia="Calibri" w:hAnsi="Verdana" w:cs="Arial"/>
          <w:i/>
          <w:iCs/>
          <w:color w:val="000000"/>
        </w:rPr>
        <w:t>las asociaciones de municipios</w:t>
      </w:r>
      <w:r w:rsidRPr="002D4FBC">
        <w:rPr>
          <w:rFonts w:ascii="Verdana" w:eastAsia="Calibri" w:hAnsi="Verdana" w:cs="Arial"/>
          <w:color w:val="000000"/>
        </w:rPr>
        <w:t>, los territorios indígenas y los municipios (…)” (Énfasis fuera de texto). Así las cosas, el Estatuto General de Contratación de la Administración Pública establece que las asociaciones de municipios son entidades estatales para efectos contractuales, razón por la cual se someten a dicho estatuto</w:t>
      </w:r>
      <w:bookmarkEnd w:id="5"/>
      <w:r w:rsidRPr="002D4FBC">
        <w:rPr>
          <w:rFonts w:ascii="Verdana" w:eastAsia="Calibri" w:hAnsi="Verdana" w:cs="Arial"/>
          <w:color w:val="000000"/>
        </w:rPr>
        <w:t xml:space="preserve">.  De forma más precisa, el artículo 10 de la Ley 1150 de 2007 establece que “Las cooperativas, las asociaciones conformadas por entidades territoriales y en general los entes solidarios de carácter público estarán sometidos a las disposiciones del Estatuto General de Contratación de la Administración Pública […]”. Dicho lo anterior, resulta claro que el régimen contractual de las asociaciones de municipios no es especial, puesto que por mandato legal se someten al EGCAP. Por tanto, si estas entidades son ejecutoras de recursos de regalías de cualquier manera estarán sometidas al EGCAP. </w:t>
      </w:r>
    </w:p>
    <w:p w14:paraId="27D8268D"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rPr>
        <w:t xml:space="preserve">De acuerdo con esta interpretación, esta Subdirección considera que el </w:t>
      </w:r>
      <w:r w:rsidRPr="002D4FBC">
        <w:rPr>
          <w:rFonts w:ascii="Verdana" w:eastAsia="Calibri" w:hAnsi="Verdana" w:cs="Arial"/>
          <w:color w:val="000000" w:themeColor="text1"/>
          <w:lang w:eastAsia="es-ES"/>
        </w:rPr>
        <w:t>parágrafo primero del artículo 37 de la Ley 2056 de 2020 incorpora una remisión normativa expresa y categórica al régimen de contratación pública, es decir, a las reglas contenidas principalmente en la Ley 80 de 1993 y sus normas complementarias - Ley 1150 de 2007, Decreto 1082 de 2015, entre otras-. Además, el uso de la expresión “estricta sujeción” refuerza la intención del legislador de conferir un carácter obligatorio a dicha remisión.</w:t>
      </w:r>
    </w:p>
    <w:p w14:paraId="2A4BA493"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 xml:space="preserve">El alcance de esta remisión normativa implica que, para efectos de la ejecución de proyectos financiados con recursos del Sistema General de Regalías, las entidades ejecutoras deben sujetarse a las reglas y principios establecidos en el Estatuto General de Contratación de la Administración Pública </w:t>
      </w:r>
      <w:r w:rsidRPr="002D4FBC">
        <w:rPr>
          <w:rFonts w:ascii="Verdana" w:eastAsia="Calibri" w:hAnsi="Verdana" w:cs="Arial"/>
          <w:color w:val="000000" w:themeColor="text1"/>
          <w:lang w:eastAsia="es-ES"/>
        </w:rPr>
        <w:lastRenderedPageBreak/>
        <w:t xml:space="preserve">y sus disposiciones reglamentarias. En tal sentido, esta remisión impone la aplicación del régimen general de contratación pública como garantía de transparencia y eficiencia configurando un marco jurídico específico que se activa por el uso de los recursos de regalías, lo que excluye la aplicación de regímenes especiales. </w:t>
      </w:r>
    </w:p>
    <w:p w14:paraId="32F55B78"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Así pues, se parte de una lectura literal del texto normativo, en la que la remisión al EGCAP refleja de manera directa la voluntad del legislador de someter tales asuntos a la ley 80 de 1993 y normas reglamentarias vigentes. De igual forma, esta remisión expresa al EGCAP establecida en el parágrafo 1 del artículo 37 se contempla en diferentes disposiciones de la Ley 2056 de 2020, como son los artículos 84</w:t>
      </w:r>
      <w:r w:rsidRPr="002D4FBC">
        <w:rPr>
          <w:rFonts w:ascii="Verdana" w:eastAsia="Calibri" w:hAnsi="Verdana" w:cs="Arial"/>
          <w:color w:val="000000" w:themeColor="text1"/>
          <w:vertAlign w:val="superscript"/>
          <w:lang w:eastAsia="es-ES"/>
        </w:rPr>
        <w:footnoteReference w:id="6"/>
      </w:r>
      <w:r w:rsidRPr="002D4FBC">
        <w:rPr>
          <w:rFonts w:ascii="Verdana" w:eastAsia="Calibri" w:hAnsi="Verdana" w:cs="Arial"/>
          <w:color w:val="000000" w:themeColor="text1"/>
          <w:lang w:eastAsia="es-ES"/>
        </w:rPr>
        <w:t>, 85</w:t>
      </w:r>
      <w:r w:rsidRPr="002D4FBC">
        <w:rPr>
          <w:rFonts w:ascii="Verdana" w:eastAsia="Calibri" w:hAnsi="Verdana" w:cs="Arial"/>
          <w:color w:val="000000" w:themeColor="text1"/>
          <w:vertAlign w:val="superscript"/>
          <w:lang w:eastAsia="es-ES"/>
        </w:rPr>
        <w:footnoteReference w:id="7"/>
      </w:r>
      <w:r w:rsidRPr="002D4FBC">
        <w:rPr>
          <w:rFonts w:ascii="Verdana" w:eastAsia="Calibri" w:hAnsi="Verdana" w:cs="Arial"/>
          <w:color w:val="000000" w:themeColor="text1"/>
          <w:lang w:eastAsia="es-ES"/>
        </w:rPr>
        <w:t>, 98</w:t>
      </w:r>
      <w:r w:rsidRPr="002D4FBC">
        <w:rPr>
          <w:rFonts w:ascii="Verdana" w:eastAsia="Calibri" w:hAnsi="Verdana" w:cs="Arial"/>
          <w:color w:val="000000" w:themeColor="text1"/>
          <w:vertAlign w:val="superscript"/>
          <w:lang w:eastAsia="es-ES"/>
        </w:rPr>
        <w:footnoteReference w:id="8"/>
      </w:r>
      <w:r w:rsidRPr="002D4FBC">
        <w:rPr>
          <w:rFonts w:ascii="Verdana" w:eastAsia="Calibri" w:hAnsi="Verdana" w:cs="Arial"/>
          <w:color w:val="000000" w:themeColor="text1"/>
          <w:lang w:eastAsia="es-ES"/>
        </w:rPr>
        <w:t>, 99</w:t>
      </w:r>
      <w:r w:rsidRPr="002D4FBC">
        <w:rPr>
          <w:rFonts w:ascii="Verdana" w:eastAsia="Calibri" w:hAnsi="Verdana" w:cs="Arial"/>
          <w:color w:val="000000" w:themeColor="text1"/>
          <w:vertAlign w:val="superscript"/>
          <w:lang w:eastAsia="es-ES"/>
        </w:rPr>
        <w:footnoteReference w:id="9"/>
      </w:r>
      <w:r w:rsidRPr="002D4FBC">
        <w:rPr>
          <w:rFonts w:ascii="Verdana" w:eastAsia="Calibri" w:hAnsi="Verdana" w:cs="Arial"/>
          <w:color w:val="000000" w:themeColor="text1"/>
          <w:lang w:eastAsia="es-ES"/>
        </w:rPr>
        <w:t>, 108</w:t>
      </w:r>
      <w:r w:rsidRPr="002D4FBC">
        <w:rPr>
          <w:rFonts w:ascii="Verdana" w:eastAsia="Calibri" w:hAnsi="Verdana" w:cs="Arial"/>
          <w:color w:val="000000" w:themeColor="text1"/>
          <w:vertAlign w:val="superscript"/>
          <w:lang w:eastAsia="es-ES"/>
        </w:rPr>
        <w:footnoteReference w:id="10"/>
      </w:r>
      <w:r w:rsidRPr="002D4FBC">
        <w:rPr>
          <w:rFonts w:ascii="Verdana" w:eastAsia="Calibri" w:hAnsi="Verdana" w:cs="Arial"/>
          <w:color w:val="000000" w:themeColor="text1"/>
          <w:lang w:eastAsia="es-ES"/>
        </w:rPr>
        <w:t xml:space="preserve"> y 109</w:t>
      </w:r>
      <w:r w:rsidRPr="002D4FBC">
        <w:rPr>
          <w:rFonts w:ascii="Verdana" w:eastAsia="Calibri" w:hAnsi="Verdana" w:cs="Arial"/>
          <w:color w:val="000000" w:themeColor="text1"/>
          <w:vertAlign w:val="superscript"/>
          <w:lang w:eastAsia="es-ES"/>
        </w:rPr>
        <w:footnoteReference w:id="11"/>
      </w:r>
      <w:r w:rsidRPr="002D4FBC">
        <w:rPr>
          <w:rFonts w:ascii="Verdana" w:eastAsia="Calibri" w:hAnsi="Verdana" w:cs="Arial"/>
          <w:color w:val="000000" w:themeColor="text1"/>
          <w:lang w:eastAsia="es-ES"/>
        </w:rPr>
        <w:t>, lo que evidencia una voluntad legislativa clara y reiterada de aplicar el EGCAP, sin distinción o salvedades sobre el régimen de contratación de las entidades ejecutoras.</w:t>
      </w:r>
    </w:p>
    <w:p w14:paraId="09C2C9B0"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 xml:space="preserve">Desde una lectura sistemática de la Ley 2056 de 2020, estas múltiples remisiones a las normas del régimen general de contratación pública no deben considerarse como simples alusiones formales sin efectos jurídicos. Por el contrario, configuran un mandato normativo concreto que impone la aplicación </w:t>
      </w:r>
      <w:r w:rsidRPr="002D4FBC">
        <w:rPr>
          <w:rFonts w:ascii="Verdana" w:eastAsia="Calibri" w:hAnsi="Verdana" w:cs="Arial"/>
          <w:color w:val="000000" w:themeColor="text1"/>
          <w:lang w:eastAsia="es-ES"/>
        </w:rPr>
        <w:lastRenderedPageBreak/>
        <w:t>del EGCAP en la contratación de proyectos financiados con recursos de regalías. De esta manera, una lectura sistemática de todas las normas señaladas conlleva a interpretar la ley en su conjunto, atendiendo no solo a su tenor literal, sino a su estructura interna, lo que permite identificar una intención legislativa de sujetar la ejecución de los recursos del SGR al EGCAP, sin excepciones.</w:t>
      </w:r>
    </w:p>
    <w:p w14:paraId="10C0162B"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 xml:space="preserve">Aunado a lo anterior, se precisa que el parágrafo 1 del artículo 37 de la Ley 2056 de 2020 no distingue sobre el tipo de régimen de contratación aplicable a las entidades ejecutoras de los recursos del SGR, sin embargo, si realiza la remisión expresa al EGCAP. Por tanto, en desarrollo del principio general de interpretación jurídica según el cual </w:t>
      </w:r>
      <w:r w:rsidRPr="002D4FBC">
        <w:rPr>
          <w:rFonts w:ascii="Verdana" w:eastAsia="Calibri" w:hAnsi="Verdana" w:cs="Arial"/>
          <w:i/>
          <w:iCs/>
          <w:color w:val="000000" w:themeColor="text1"/>
          <w:lang w:eastAsia="es-ES"/>
        </w:rPr>
        <w:t>donde la norma no distingue, no le corresponde distinguir al intérprete,</w:t>
      </w:r>
      <w:r w:rsidRPr="002D4FBC">
        <w:rPr>
          <w:rFonts w:ascii="Verdana" w:eastAsia="Calibri" w:hAnsi="Verdana" w:cs="Arial"/>
          <w:color w:val="000000" w:themeColor="text1"/>
          <w:lang w:eastAsia="es-ES"/>
        </w:rPr>
        <w:t xml:space="preserve"> no resulta viable concluir que es posible la aplicación de un régimen distinto al del EGCAP. Esta regla cobra particular relevancia por el carácter público de los recursos, en los que se impone garantizar</w:t>
      </w:r>
      <w:r w:rsidRPr="002D4FBC">
        <w:t xml:space="preserve"> </w:t>
      </w:r>
      <w:r w:rsidRPr="002D4FBC">
        <w:rPr>
          <w:rFonts w:ascii="Verdana" w:eastAsia="Calibri" w:hAnsi="Verdana" w:cs="Arial"/>
          <w:color w:val="000000" w:themeColor="text1"/>
          <w:lang w:eastAsia="es-ES"/>
        </w:rPr>
        <w:t xml:space="preserve">la eficiencia, transparencia y responsabilidad en la gestión del gasto público.  </w:t>
      </w:r>
    </w:p>
    <w:p w14:paraId="341F300F"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 xml:space="preserve">En este sentido, con base en la lectura literal y sistemática de las disposiciones contenidas en la Ley 2056 de 2020, así como la aplicación de principios generales del derecho, se colige que la remisión al EGCAP que se consagra en el artículo 37 de la Ley 2056 de 2020 debe entenderse como una disposición con efectos jurídicos y no meramente referencial, lo que significa que somete a todas las entidades ejecutoras, sin distinción de su naturaleza jurídica o régimen de contratación, a la aplicación del EGCAP para la contratación con recursos con cargo al SGR. </w:t>
      </w:r>
    </w:p>
    <w:p w14:paraId="2B839162"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Adicionalmente, resulta pertinente indicar que el hecho de que el parágrafo primero del artículo 37 de la Ley 2056 de 2020 haga referencia a “las demás normas legales aplicables” no puede interpretarse como una exclusión de la remisión expresa que realiza al EGCAP. En otras palabras, dicha inclusión no niega que hay una remisión expresa y prevalente al EGCAP. Por el contrario, debe entenderse como una manifestación clara de la voluntad del legislador de establecer un marco normativo específico para la ejecución de los recursos del SGR, sin que ello implique desconocer o derogar de manera general los regímenes de contratación propios de las entidades que tienen regímenes especiales.</w:t>
      </w:r>
    </w:p>
    <w:p w14:paraId="716D1F96"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 xml:space="preserve">Por lo tanto, lejos de generar una contradicción normativa, la remisión al EGCAP debe entenderse como una disposición especial y prevalente frente a la </w:t>
      </w:r>
      <w:r w:rsidRPr="002D4FBC">
        <w:rPr>
          <w:rFonts w:ascii="Verdana" w:eastAsia="Calibri" w:hAnsi="Verdana" w:cs="Arial"/>
          <w:color w:val="000000" w:themeColor="text1"/>
          <w:lang w:eastAsia="es-ES"/>
        </w:rPr>
        <w:lastRenderedPageBreak/>
        <w:t>aplicación de otras normas contractuales, y como un instrumento para garantizar la unidad, el control y la eficiencia en el manejo de los recursos del Sistema General de Regalías.</w:t>
      </w:r>
    </w:p>
    <w:p w14:paraId="0261A62C"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A lo anterior debe agregarse que en este marco también cobra relevancia el principio de hermenéutica jurídica del efecto útil de las normas, conforme al cual “debe preferir la interpretación que permita dotarlas de sentido y eficacia, frente a otra u otras que lo impidan”</w:t>
      </w:r>
      <w:r w:rsidRPr="002D4FBC">
        <w:rPr>
          <w:rFonts w:ascii="Verdana" w:eastAsia="Calibri" w:hAnsi="Verdana" w:cs="Arial"/>
          <w:color w:val="000000" w:themeColor="text1"/>
          <w:vertAlign w:val="superscript"/>
          <w:lang w:eastAsia="es-ES"/>
        </w:rPr>
        <w:footnoteReference w:id="12"/>
      </w:r>
      <w:r w:rsidRPr="002D4FBC">
        <w:rPr>
          <w:rFonts w:ascii="Verdana" w:eastAsia="Calibri" w:hAnsi="Verdana" w:cs="Arial"/>
          <w:color w:val="000000" w:themeColor="text1"/>
          <w:lang w:eastAsia="es-ES"/>
        </w:rPr>
        <w:t>, es decir, que su aplicación y efectividad debe estar ligada al propósito para el cual fueron promulgadas. En este sentido, desconocer la aplicación del EGCAP en el marco de la Ley 2056 de 2020 implicaría privar de eficacia la remisión expresa que esta ley establece en materia de contratación pública, contrariando tanto su tenor literal como su finalidad normativa. En este caso, la voluntad del legislador ha sido la de establecer mecanismos que garanticen la transparencia, eficiencia y control en la ejecución de los recursos del SGR mediante la aplicación del EGCAP, lo cual se refleja no solo en la redacción del articulado, sino también en los antecedentes legislativos que dieron lugar a su expedición</w:t>
      </w:r>
      <w:r w:rsidRPr="002D4FBC">
        <w:rPr>
          <w:rFonts w:ascii="Verdana" w:eastAsia="Calibri" w:hAnsi="Verdana" w:cs="Arial"/>
          <w:color w:val="000000" w:themeColor="text1"/>
          <w:vertAlign w:val="superscript"/>
          <w:lang w:eastAsia="es-ES"/>
        </w:rPr>
        <w:footnoteReference w:id="13"/>
      </w:r>
      <w:r w:rsidRPr="002D4FBC">
        <w:rPr>
          <w:rFonts w:ascii="Verdana" w:eastAsia="Calibri" w:hAnsi="Verdana" w:cs="Arial"/>
          <w:color w:val="000000" w:themeColor="text1"/>
          <w:lang w:eastAsia="es-ES"/>
        </w:rPr>
        <w:t>.</w:t>
      </w:r>
    </w:p>
    <w:p w14:paraId="77309004"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 xml:space="preserve">De acuerdo con lo señalado, el legislador optó claramente por un criterio funcional o finalista, según el cual el régimen de contratación aplicable se determina por el origen de los recursos públicos y no por la naturaleza orgánica de la entidad ejecutora. Este enfoque parte de la premisa de que los recursos públicos de regalías deben estar sometidos a un marco normativo concreto. De esta forma, el legislador privilegia la naturaleza pública de recursos de regalías como criterio rector, por encima de cualquier particularidad orgánica o régimen especial que pudiera ostentar la entidad ejecutora. Esto se refuerza con el hecho de que la norma no hace ninguna distinción respecto de la ejecución de recurso por parte las entidades con régimen especial. </w:t>
      </w:r>
    </w:p>
    <w:p w14:paraId="1D11E5D7"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 xml:space="preserve">Finalmente, resulta indispensable precisar que la remisión al EGCAP de la ejecución de los proyectos financiados con recursos de regalías no implica una </w:t>
      </w:r>
      <w:r w:rsidRPr="002D4FBC">
        <w:rPr>
          <w:rFonts w:ascii="Verdana" w:eastAsia="Calibri" w:hAnsi="Verdana" w:cs="Arial"/>
          <w:color w:val="000000" w:themeColor="text1"/>
          <w:lang w:eastAsia="es-ES"/>
        </w:rPr>
        <w:lastRenderedPageBreak/>
        <w:t xml:space="preserve">alteración estructural del régimen especial de las entidades ejecutoras ni desconoce las normas que lo regulan. Tal y como se ha expuesto, la interpretación literal, sistemática y teleológica de la norma, armonizada con el principio general del </w:t>
      </w:r>
      <w:r w:rsidRPr="002D4FBC">
        <w:rPr>
          <w:rFonts w:ascii="Verdana" w:eastAsia="Calibri" w:hAnsi="Verdana" w:cs="Arial"/>
          <w:i/>
          <w:iCs/>
          <w:color w:val="000000" w:themeColor="text1"/>
          <w:lang w:eastAsia="es-ES"/>
        </w:rPr>
        <w:t>efecto útil</w:t>
      </w:r>
      <w:r w:rsidRPr="002D4FBC">
        <w:rPr>
          <w:rFonts w:ascii="Verdana" w:eastAsia="Calibri" w:hAnsi="Verdana" w:cs="Arial"/>
          <w:color w:val="000000" w:themeColor="text1"/>
          <w:lang w:eastAsia="es-ES"/>
        </w:rPr>
        <w:t xml:space="preserve">, conduce a concluir que cuando estas entidades actúan en calidad de ejecutoras en el marco de la Ley 2056 de 2020, deben sujetarse al EGCAP. </w:t>
      </w:r>
    </w:p>
    <w:p w14:paraId="52AB2160"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Este régimen particular no sustituye ni deroga el régimen especial de contratación al que está sujeta la entidad ejecutora, pero sí superpone válidamente un conjunto de reglas especiales aplicables de manera preferente respecto de los contratos financiados con recursos de regalías, porque la Ley 2056 de 2020 contiene disposiciones específicas que regulan un aspecto puntual. En ese contexto, la remisión al régimen de contratación pública contenida en el artículo 37, y reiterada en otras disposiciones de la ley, despliega un efecto de aplicación preferente, no solo por su especialidad temática, sino también por su carácter imperativo y por estar dirigida a una función específica que es la ejecución de proyectos con recursos de regalías.</w:t>
      </w:r>
    </w:p>
    <w:p w14:paraId="0A2C4987"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eastAsia="Calibri" w:hAnsi="Verdana" w:cs="Arial"/>
          <w:color w:val="000000" w:themeColor="text1"/>
          <w:lang w:eastAsia="es-ES"/>
        </w:rPr>
        <w:t>Debido a que esta remisión normativa no es una mera referencia indicativa sino que tiene pleno efectos jurídicos, impone la aplicación de régimen de contratación específico en virtud del principio de especialidad y de legalidad. Es decir, mientras actúan como ejecutoras del SGR, dichas entidades deben sujetarse al régimen previsto en la Ley 2056 de 2020, incluyendo su remisión expresa al EGCAP, sin que ello implique una derogatoria general de su régimen contractual ordinario.</w:t>
      </w:r>
    </w:p>
    <w:p w14:paraId="600D77DD" w14:textId="77777777" w:rsidR="002D4FBC" w:rsidRPr="002D4FBC" w:rsidRDefault="002D4FBC" w:rsidP="002D4FBC">
      <w:pPr>
        <w:spacing w:after="120" w:line="276" w:lineRule="auto"/>
        <w:ind w:firstLine="709"/>
        <w:jc w:val="both"/>
        <w:rPr>
          <w:rFonts w:ascii="Verdana" w:eastAsia="Calibri" w:hAnsi="Verdana" w:cs="Arial"/>
          <w:color w:val="000000" w:themeColor="text1"/>
          <w:lang w:eastAsia="es-ES"/>
        </w:rPr>
      </w:pPr>
      <w:r w:rsidRPr="002D4FBC">
        <w:rPr>
          <w:rFonts w:ascii="Verdana" w:hAnsi="Verdana" w:cs="Arial"/>
          <w:lang w:eastAsia="es-ES"/>
        </w:rPr>
        <w:t>Al margen de la postura de la ANCP – CCE en torno a</w:t>
      </w:r>
      <w:r w:rsidRPr="002D4FBC">
        <w:rPr>
          <w:rFonts w:ascii="Verdana" w:eastAsia="Calibri" w:hAnsi="Verdana" w:cs="Arial"/>
          <w:color w:val="000000"/>
          <w:lang w:val="es-ES" w:eastAsia="es-ES"/>
        </w:rPr>
        <w:t xml:space="preserve">l régimen de contratación aplicable a la ejecución de proyectos financiados con recursos del Sistema General de Regalías -SGR, se reitera que los conceptos emitidos por esta Subdirección en el marco de la función consultiva </w:t>
      </w:r>
      <w:bookmarkStart w:id="9" w:name="_Hlk200718672"/>
      <w:r w:rsidRPr="002D4FBC">
        <w:rPr>
          <w:rFonts w:ascii="Verdana" w:eastAsia="Calibri" w:hAnsi="Verdana" w:cs="Arial"/>
          <w:color w:val="000000"/>
          <w:lang w:val="es-ES" w:eastAsia="es-ES"/>
        </w:rPr>
        <w:t>representan</w:t>
      </w:r>
      <w:r w:rsidRPr="002D4FBC">
        <w:rPr>
          <w:rFonts w:ascii="Verdana" w:hAnsi="Verdana" w:cs="Arial"/>
          <w:lang w:eastAsia="es-ES"/>
        </w:rPr>
        <w:t xml:space="preserve"> una </w:t>
      </w:r>
      <w:r w:rsidRPr="002D4FBC">
        <w:rPr>
          <w:rFonts w:ascii="Verdana" w:eastAsia="Calibri" w:hAnsi="Verdana" w:cs="Arial"/>
          <w:bCs/>
          <w:lang w:val="es-ES_tradnl"/>
        </w:rPr>
        <w:t>posición hermenéutica respecto a las disposiciones normativas del Sistema de Compras Públicas,</w:t>
      </w:r>
      <w:r w:rsidRPr="002D4FBC">
        <w:rPr>
          <w:rFonts w:ascii="Verdana" w:hAnsi="Verdana" w:cs="Arial"/>
          <w:lang w:eastAsia="es-ES"/>
        </w:rPr>
        <w:t xml:space="preserve"> </w:t>
      </w:r>
      <w:bookmarkStart w:id="10" w:name="_Hlk42100007"/>
      <w:r w:rsidRPr="002D4FBC">
        <w:rPr>
          <w:rFonts w:ascii="Verdana" w:hAnsi="Verdana" w:cs="Arial"/>
          <w:lang w:eastAsia="es-ES"/>
        </w:rPr>
        <w:t xml:space="preserve">que </w:t>
      </w:r>
      <w:r w:rsidRPr="002D4FBC">
        <w:rPr>
          <w:rFonts w:ascii="Verdana" w:eastAsia="Calibri" w:hAnsi="Verdana" w:cs="Arial"/>
          <w:bCs/>
          <w:lang w:val="es-ES_tradnl"/>
        </w:rPr>
        <w:t xml:space="preserve">no tienen efectos vinculantes </w:t>
      </w:r>
      <w:bookmarkEnd w:id="9"/>
      <w:r w:rsidRPr="002D4FBC">
        <w:rPr>
          <w:rFonts w:ascii="Verdana" w:eastAsia="Calibri" w:hAnsi="Verdana" w:cs="Arial"/>
          <w:bCs/>
          <w:lang w:val="es-ES_tradnl"/>
        </w:rPr>
        <w:t>en relación con una situación jurídica particular y concreta, y exponen un criterio que, aunque jurídicamente fundamentado, no representan la única interpretación válida del ordenamiento jurídico.</w:t>
      </w:r>
      <w:bookmarkEnd w:id="10"/>
      <w:r w:rsidRPr="002D4FBC">
        <w:rPr>
          <w:rFonts w:ascii="Verdana" w:eastAsiaTheme="minorEastAsia" w:hAnsi="Verdana" w:cs="Arial"/>
          <w:szCs w:val="24"/>
          <w:lang w:eastAsia="es-CO"/>
        </w:rPr>
        <w:t xml:space="preserve"> De este modo, las autoridades que ejercen funciones consultivas pueden expresar su</w:t>
      </w:r>
      <w:r w:rsidRPr="002D4FBC">
        <w:rPr>
          <w:rFonts w:ascii="Verdana" w:eastAsiaTheme="minorEastAsia" w:hAnsi="Verdana" w:cs="Arial"/>
          <w:spacing w:val="1"/>
          <w:szCs w:val="24"/>
          <w:lang w:eastAsia="es-CO"/>
        </w:rPr>
        <w:t xml:space="preserve"> </w:t>
      </w:r>
      <w:r w:rsidRPr="002D4FBC">
        <w:rPr>
          <w:rFonts w:ascii="Verdana" w:eastAsiaTheme="minorEastAsia" w:hAnsi="Verdana" w:cs="Arial"/>
          <w:szCs w:val="24"/>
          <w:lang w:eastAsia="es-CO"/>
        </w:rPr>
        <w:t xml:space="preserve">interpretación de un precepto normativo, que no excluye otras interpretaciones posibles, pues el derecho, como sistema normativo, es un </w:t>
      </w:r>
      <w:r w:rsidRPr="002D4FBC">
        <w:rPr>
          <w:rFonts w:ascii="Verdana" w:eastAsiaTheme="minorEastAsia" w:hAnsi="Verdana" w:cs="Arial"/>
          <w:szCs w:val="24"/>
          <w:lang w:eastAsia="es-CO"/>
        </w:rPr>
        <w:lastRenderedPageBreak/>
        <w:t>lenguaje que, en ocasiones, se tiñe de vaguedad, en</w:t>
      </w:r>
      <w:r w:rsidRPr="002D4FBC">
        <w:rPr>
          <w:rFonts w:ascii="Verdana" w:eastAsiaTheme="minorEastAsia" w:hAnsi="Verdana" w:cs="Arial"/>
          <w:spacing w:val="1"/>
          <w:szCs w:val="24"/>
          <w:lang w:eastAsia="es-CO"/>
        </w:rPr>
        <w:t xml:space="preserve"> </w:t>
      </w:r>
      <w:r w:rsidRPr="002D4FBC">
        <w:rPr>
          <w:rFonts w:ascii="Verdana" w:eastAsiaTheme="minorEastAsia" w:hAnsi="Verdana" w:cs="Arial"/>
          <w:szCs w:val="24"/>
          <w:lang w:eastAsia="es-CO"/>
        </w:rPr>
        <w:t>virtud</w:t>
      </w:r>
      <w:r w:rsidRPr="002D4FBC">
        <w:rPr>
          <w:rFonts w:ascii="Verdana" w:eastAsiaTheme="minorEastAsia" w:hAnsi="Verdana" w:cs="Arial"/>
          <w:spacing w:val="-10"/>
          <w:szCs w:val="24"/>
          <w:lang w:eastAsia="es-CO"/>
        </w:rPr>
        <w:t xml:space="preserve"> </w:t>
      </w:r>
      <w:r w:rsidRPr="002D4FBC">
        <w:rPr>
          <w:rFonts w:ascii="Verdana" w:eastAsiaTheme="minorEastAsia" w:hAnsi="Verdana" w:cs="Arial"/>
          <w:szCs w:val="24"/>
          <w:lang w:eastAsia="es-CO"/>
        </w:rPr>
        <w:t>de</w:t>
      </w:r>
      <w:r w:rsidRPr="002D4FBC">
        <w:rPr>
          <w:rFonts w:ascii="Verdana" w:eastAsiaTheme="minorEastAsia" w:hAnsi="Verdana" w:cs="Arial"/>
          <w:spacing w:val="-9"/>
          <w:szCs w:val="24"/>
          <w:lang w:eastAsia="es-CO"/>
        </w:rPr>
        <w:t xml:space="preserve"> </w:t>
      </w:r>
      <w:r w:rsidRPr="002D4FBC">
        <w:rPr>
          <w:rFonts w:ascii="Verdana" w:eastAsiaTheme="minorEastAsia" w:hAnsi="Verdana" w:cs="Arial"/>
          <w:szCs w:val="24"/>
          <w:lang w:eastAsia="es-CO"/>
        </w:rPr>
        <w:t>la</w:t>
      </w:r>
      <w:r w:rsidRPr="002D4FBC">
        <w:rPr>
          <w:rFonts w:ascii="Verdana" w:eastAsiaTheme="minorEastAsia" w:hAnsi="Verdana" w:cs="Arial"/>
          <w:spacing w:val="-9"/>
          <w:szCs w:val="24"/>
          <w:lang w:eastAsia="es-CO"/>
        </w:rPr>
        <w:t xml:space="preserve"> </w:t>
      </w:r>
      <w:r w:rsidRPr="002D4FBC">
        <w:rPr>
          <w:rFonts w:ascii="Verdana" w:eastAsiaTheme="minorEastAsia" w:hAnsi="Verdana" w:cs="Arial"/>
          <w:szCs w:val="24"/>
          <w:lang w:eastAsia="es-CO"/>
        </w:rPr>
        <w:t>utilización</w:t>
      </w:r>
      <w:r w:rsidRPr="002D4FBC">
        <w:rPr>
          <w:rFonts w:ascii="Verdana" w:eastAsiaTheme="minorEastAsia" w:hAnsi="Verdana" w:cs="Arial"/>
          <w:spacing w:val="-9"/>
          <w:szCs w:val="24"/>
          <w:lang w:eastAsia="es-CO"/>
        </w:rPr>
        <w:t xml:space="preserve"> </w:t>
      </w:r>
      <w:r w:rsidRPr="002D4FBC">
        <w:rPr>
          <w:rFonts w:ascii="Verdana" w:eastAsiaTheme="minorEastAsia" w:hAnsi="Verdana" w:cs="Arial"/>
          <w:szCs w:val="24"/>
          <w:lang w:eastAsia="es-CO"/>
        </w:rPr>
        <w:t>de</w:t>
      </w:r>
      <w:r w:rsidRPr="002D4FBC">
        <w:rPr>
          <w:rFonts w:ascii="Verdana" w:eastAsiaTheme="minorEastAsia" w:hAnsi="Verdana" w:cs="Arial"/>
          <w:spacing w:val="-9"/>
          <w:szCs w:val="24"/>
          <w:lang w:eastAsia="es-CO"/>
        </w:rPr>
        <w:t xml:space="preserve"> </w:t>
      </w:r>
      <w:r w:rsidRPr="002D4FBC">
        <w:rPr>
          <w:rFonts w:ascii="Verdana" w:eastAsiaTheme="minorEastAsia" w:hAnsi="Verdana" w:cs="Arial"/>
          <w:szCs w:val="24"/>
          <w:lang w:eastAsia="es-CO"/>
        </w:rPr>
        <w:t>conceptos</w:t>
      </w:r>
      <w:r w:rsidRPr="002D4FBC">
        <w:rPr>
          <w:rFonts w:ascii="Verdana" w:eastAsiaTheme="minorEastAsia" w:hAnsi="Verdana" w:cs="Arial"/>
          <w:spacing w:val="-10"/>
          <w:szCs w:val="24"/>
          <w:lang w:eastAsia="es-CO"/>
        </w:rPr>
        <w:t xml:space="preserve"> </w:t>
      </w:r>
      <w:r w:rsidRPr="002D4FBC">
        <w:rPr>
          <w:rFonts w:ascii="Verdana" w:eastAsiaTheme="minorEastAsia" w:hAnsi="Verdana" w:cs="Arial"/>
          <w:szCs w:val="24"/>
          <w:lang w:eastAsia="es-CO"/>
        </w:rPr>
        <w:t>jurídicos</w:t>
      </w:r>
      <w:r w:rsidRPr="002D4FBC">
        <w:rPr>
          <w:rFonts w:ascii="Verdana" w:eastAsiaTheme="minorEastAsia" w:hAnsi="Verdana" w:cs="Arial"/>
          <w:spacing w:val="-9"/>
          <w:szCs w:val="24"/>
          <w:lang w:eastAsia="es-CO"/>
        </w:rPr>
        <w:t xml:space="preserve"> </w:t>
      </w:r>
      <w:r w:rsidRPr="002D4FBC">
        <w:rPr>
          <w:rFonts w:ascii="Verdana" w:eastAsiaTheme="minorEastAsia" w:hAnsi="Verdana" w:cs="Arial"/>
          <w:szCs w:val="24"/>
          <w:lang w:eastAsia="es-CO"/>
        </w:rPr>
        <w:t>indeterminados.</w:t>
      </w:r>
      <w:r w:rsidRPr="002D4FBC">
        <w:rPr>
          <w:rFonts w:ascii="Verdana" w:eastAsiaTheme="minorEastAsia" w:hAnsi="Verdana" w:cs="Arial"/>
          <w:spacing w:val="-9"/>
          <w:szCs w:val="24"/>
          <w:lang w:eastAsia="es-CO"/>
        </w:rPr>
        <w:t xml:space="preserve"> </w:t>
      </w:r>
    </w:p>
    <w:p w14:paraId="7FBC3F7C" w14:textId="77777777" w:rsidR="002D4FBC" w:rsidRPr="002D4FBC" w:rsidRDefault="002D4FBC" w:rsidP="002D4FBC">
      <w:pPr>
        <w:spacing w:after="120" w:line="276" w:lineRule="auto"/>
        <w:ind w:firstLine="709"/>
        <w:jc w:val="both"/>
        <w:rPr>
          <w:rFonts w:ascii="Verdana" w:eastAsia="Calibri" w:hAnsi="Verdana" w:cs="Arial"/>
          <w:color w:val="000000"/>
          <w:lang w:val="es-ES" w:eastAsia="es-ES"/>
        </w:rPr>
      </w:pPr>
      <w:r w:rsidRPr="002D4FBC">
        <w:rPr>
          <w:rFonts w:ascii="Verdana" w:hAnsi="Verdana" w:cs="Arial"/>
          <w:lang w:eastAsia="es-ES"/>
        </w:rPr>
        <w:t xml:space="preserve">Por consiguiente, debe advertirse que el llamado a emitir lineamientos respecto a </w:t>
      </w:r>
      <w:r w:rsidRPr="002D4FBC">
        <w:rPr>
          <w:rFonts w:ascii="Verdana" w:eastAsia="Calibri" w:hAnsi="Verdana" w:cs="Arial"/>
          <w:bCs/>
          <w:color w:val="000000" w:themeColor="text1"/>
        </w:rPr>
        <w:t>los proyectos adelantados con cargo al Sistema General de Regalías</w:t>
      </w:r>
      <w:r w:rsidRPr="002D4FBC">
        <w:rPr>
          <w:rFonts w:ascii="Verdana" w:hAnsi="Verdana" w:cs="Arial"/>
          <w:lang w:eastAsia="es-ES"/>
        </w:rPr>
        <w:t xml:space="preserve"> debe ser realizado por el Departamento Nacional de Planeación</w:t>
      </w:r>
      <w:r w:rsidRPr="002D4FBC">
        <w:rPr>
          <w:rFonts w:ascii="Verdana" w:eastAsia="Calibri" w:hAnsi="Verdana" w:cs="Arial"/>
          <w:color w:val="000000"/>
          <w:lang w:val="es-ES" w:eastAsia="es-ES"/>
        </w:rPr>
        <w:t xml:space="preserve">, el cual tiene a su cargo el deber de </w:t>
      </w:r>
      <w:r w:rsidRPr="002D4FBC">
        <w:rPr>
          <w:rFonts w:ascii="Verdana" w:eastAsia="Calibri" w:hAnsi="Verdana" w:cs="Arial"/>
          <w:color w:val="000000"/>
          <w:lang w:eastAsia="es-ES"/>
        </w:rPr>
        <w:t xml:space="preserve">impartir las directrices jurídicas y adoptar los instrumentos para la interpretación y aplicación de las normas por parte de las dependencias y demás organismos y entidades del Estado y de establecer criterios de interpretación legal de última instancia, así como fijar la posición jurídica institucional del Departamento Nacional de Planeación y de las normas legales relacionadas con el Sistema General de Regalías, de </w:t>
      </w:r>
      <w:r w:rsidRPr="002D4FBC">
        <w:rPr>
          <w:rFonts w:ascii="Verdana" w:eastAsia="Calibri" w:hAnsi="Verdana" w:cs="Arial"/>
          <w:color w:val="000000"/>
          <w:lang w:val="es-ES" w:eastAsia="es-ES"/>
        </w:rPr>
        <w:t xml:space="preserve">conformidad con lo señalado en los numeral 2 y 3 del artículo 8 del Decreto 1893 de 2021. </w:t>
      </w:r>
    </w:p>
    <w:p w14:paraId="73DC6EF5" w14:textId="77777777" w:rsidR="002D4FBC" w:rsidRPr="002D4FBC" w:rsidRDefault="002D4FBC" w:rsidP="002D4FBC">
      <w:pPr>
        <w:spacing w:after="120" w:line="276" w:lineRule="auto"/>
        <w:ind w:firstLine="709"/>
        <w:jc w:val="both"/>
        <w:rPr>
          <w:rFonts w:ascii="Verdana" w:eastAsia="Calibri" w:hAnsi="Verdana" w:cs="Arial"/>
          <w:color w:val="000000"/>
          <w:lang w:val="es-ES" w:eastAsia="es-ES"/>
        </w:rPr>
      </w:pPr>
      <w:r w:rsidRPr="002D4FBC">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ni determinar las irregularidades de un proceso de contratación.</w:t>
      </w:r>
    </w:p>
    <w:p w14:paraId="6A999108" w14:textId="77777777" w:rsidR="002D4FBC" w:rsidRPr="002D4FBC" w:rsidRDefault="002D4FBC" w:rsidP="002D4FBC">
      <w:pPr>
        <w:spacing w:after="0" w:line="276" w:lineRule="auto"/>
        <w:jc w:val="both"/>
        <w:rPr>
          <w:rFonts w:ascii="Verdana" w:eastAsia="Calibri" w:hAnsi="Verdana" w:cs="Arial"/>
          <w:color w:val="000000"/>
          <w:lang w:val="es-ES" w:eastAsia="es-ES"/>
        </w:rPr>
      </w:pPr>
    </w:p>
    <w:p w14:paraId="205DCCA1" w14:textId="77777777" w:rsidR="002D4FBC" w:rsidRPr="002D4FBC" w:rsidRDefault="002D4FBC" w:rsidP="002D4FBC">
      <w:pPr>
        <w:numPr>
          <w:ilvl w:val="0"/>
          <w:numId w:val="1"/>
        </w:numPr>
        <w:tabs>
          <w:tab w:val="left" w:pos="142"/>
          <w:tab w:val="left" w:pos="284"/>
        </w:tabs>
        <w:spacing w:after="0" w:line="276" w:lineRule="auto"/>
        <w:jc w:val="both"/>
        <w:rPr>
          <w:rFonts w:ascii="Verdana" w:eastAsia="Century Gothic" w:hAnsi="Verdana" w:cs="Century Gothic"/>
          <w:b/>
          <w:bCs/>
        </w:rPr>
      </w:pPr>
      <w:r w:rsidRPr="002D4FBC">
        <w:rPr>
          <w:rFonts w:ascii="Verdana" w:eastAsia="Century Gothic" w:hAnsi="Verdana" w:cs="Century Gothic"/>
          <w:b/>
          <w:bCs/>
        </w:rPr>
        <w:t>Referencias normativas y jurisprudenciales:</w:t>
      </w:r>
    </w:p>
    <w:p w14:paraId="49800578" w14:textId="77777777" w:rsidR="002D4FBC" w:rsidRPr="002D4FBC" w:rsidRDefault="002D4FBC" w:rsidP="002D4FB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D4FBC" w:rsidRPr="002D4FBC" w14:paraId="10DB42CE" w14:textId="77777777" w:rsidTr="00873641">
        <w:trPr>
          <w:trHeight w:val="410"/>
          <w:jc w:val="center"/>
        </w:trPr>
        <w:tc>
          <w:tcPr>
            <w:tcW w:w="8647" w:type="dxa"/>
          </w:tcPr>
          <w:p w14:paraId="4F5EA349" w14:textId="77777777" w:rsidR="002D4FBC" w:rsidRPr="002D4FBC" w:rsidRDefault="002D4FBC" w:rsidP="002D4FBC">
            <w:pPr>
              <w:widowControl w:val="0"/>
              <w:numPr>
                <w:ilvl w:val="0"/>
                <w:numId w:val="3"/>
              </w:numPr>
              <w:autoSpaceDE w:val="0"/>
              <w:autoSpaceDN w:val="0"/>
              <w:spacing w:after="120" w:line="276" w:lineRule="auto"/>
              <w:ind w:left="317" w:hanging="357"/>
              <w:contextualSpacing/>
              <w:jc w:val="both"/>
              <w:rPr>
                <w:rFonts w:ascii="Verdana" w:hAnsi="Verdana" w:cs="Arial"/>
                <w:lang w:val="es-ES"/>
              </w:rPr>
            </w:pPr>
            <w:r w:rsidRPr="002D4FBC">
              <w:rPr>
                <w:rFonts w:ascii="Verdana" w:hAnsi="Verdana" w:cs="Arial"/>
                <w:lang w:val="es-ES"/>
              </w:rPr>
              <w:t xml:space="preserve">Constitución Política de 1991, artículos 360 y 361. </w:t>
            </w:r>
          </w:p>
          <w:p w14:paraId="7CAB076D" w14:textId="77777777" w:rsidR="002D4FBC" w:rsidRPr="002D4FBC" w:rsidRDefault="002D4FBC" w:rsidP="002D4FBC">
            <w:pPr>
              <w:widowControl w:val="0"/>
              <w:numPr>
                <w:ilvl w:val="0"/>
                <w:numId w:val="3"/>
              </w:numPr>
              <w:autoSpaceDE w:val="0"/>
              <w:autoSpaceDN w:val="0"/>
              <w:spacing w:after="120" w:line="276" w:lineRule="auto"/>
              <w:ind w:left="317" w:hanging="357"/>
              <w:contextualSpacing/>
              <w:jc w:val="both"/>
              <w:rPr>
                <w:rFonts w:ascii="Verdana" w:hAnsi="Verdana" w:cs="Arial"/>
                <w:lang w:val="es-ES"/>
              </w:rPr>
            </w:pPr>
            <w:r w:rsidRPr="002D4FBC">
              <w:rPr>
                <w:rFonts w:ascii="Verdana" w:hAnsi="Verdana" w:cs="Arial"/>
                <w:lang w:val="es-ES"/>
              </w:rPr>
              <w:t>Ley 80 de 1993, artículos 40 y 41</w:t>
            </w:r>
          </w:p>
          <w:p w14:paraId="4848CD9E" w14:textId="77777777" w:rsidR="002D4FBC" w:rsidRPr="002D4FBC" w:rsidRDefault="002D4FBC" w:rsidP="002D4FBC">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2D4FBC">
              <w:rPr>
                <w:rFonts w:ascii="Verdana" w:hAnsi="Verdana" w:cs="Arial"/>
              </w:rPr>
              <w:t>Ley 2056 de 2020, artículos 28 a 37, y 52 a 56</w:t>
            </w:r>
          </w:p>
          <w:p w14:paraId="2C050B54" w14:textId="77777777" w:rsidR="002D4FBC" w:rsidRPr="002D4FBC" w:rsidRDefault="002D4FBC" w:rsidP="002D4FBC">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2D4FBC">
              <w:rPr>
                <w:rFonts w:ascii="Verdana" w:eastAsia="Aptos" w:hAnsi="Verdana" w:cs="Arial"/>
              </w:rPr>
              <w:t>Consejo De Estado. Sección tercera. Sentencia del 7 de marzo de 2025. Radicación No.69.941. C.P: José Roberto Sáchica.</w:t>
            </w:r>
          </w:p>
          <w:p w14:paraId="589062B1" w14:textId="77777777" w:rsidR="002D4FBC" w:rsidRPr="002D4FBC" w:rsidRDefault="002D4FBC" w:rsidP="002D4FBC">
            <w:pPr>
              <w:numPr>
                <w:ilvl w:val="0"/>
                <w:numId w:val="42"/>
              </w:numPr>
              <w:spacing w:line="276" w:lineRule="auto"/>
              <w:ind w:left="360"/>
              <w:contextualSpacing/>
              <w:jc w:val="both"/>
              <w:rPr>
                <w:rFonts w:ascii="Verdana" w:eastAsia="Calibri" w:hAnsi="Verdana" w:cs="Arial"/>
                <w:color w:val="000000" w:themeColor="text1"/>
                <w:lang w:val="es-ES_tradnl"/>
              </w:rPr>
            </w:pPr>
            <w:r w:rsidRPr="002D4FBC">
              <w:rPr>
                <w:rFonts w:ascii="Verdana" w:eastAsia="Calibri" w:hAnsi="Verdana" w:cs="Arial"/>
                <w:color w:val="000000" w:themeColor="text1"/>
                <w:lang w:val="es-ES_tradnl"/>
              </w:rPr>
              <w:t>Ley 489 de 1998: Artículo 97</w:t>
            </w:r>
          </w:p>
          <w:p w14:paraId="3626FD96" w14:textId="77777777" w:rsidR="002D4FBC" w:rsidRPr="002D4FBC" w:rsidRDefault="002D4FBC" w:rsidP="002D4FBC">
            <w:pPr>
              <w:numPr>
                <w:ilvl w:val="0"/>
                <w:numId w:val="42"/>
              </w:numPr>
              <w:spacing w:line="276" w:lineRule="auto"/>
              <w:ind w:left="360"/>
              <w:contextualSpacing/>
              <w:jc w:val="both"/>
              <w:rPr>
                <w:rFonts w:ascii="Verdana" w:hAnsi="Verdana" w:cs="Arial"/>
                <w:lang w:val="es-ES"/>
              </w:rPr>
            </w:pPr>
            <w:r w:rsidRPr="002D4FBC">
              <w:rPr>
                <w:rFonts w:ascii="Verdana" w:hAnsi="Verdana" w:cs="Arial"/>
                <w:lang w:val="es-ES"/>
              </w:rPr>
              <w:t xml:space="preserve">Ley 1150 de 2007: Artículos 10 y 14 </w:t>
            </w:r>
          </w:p>
        </w:tc>
      </w:tr>
    </w:tbl>
    <w:p w14:paraId="469E8E1C" w14:textId="77777777" w:rsidR="002D4FBC" w:rsidRPr="002D4FBC" w:rsidRDefault="002D4FBC" w:rsidP="002D4FBC">
      <w:pPr>
        <w:widowControl w:val="0"/>
        <w:autoSpaceDE w:val="0"/>
        <w:autoSpaceDN w:val="0"/>
        <w:spacing w:after="0" w:line="276" w:lineRule="auto"/>
        <w:jc w:val="both"/>
        <w:rPr>
          <w:rFonts w:ascii="Verdana" w:hAnsi="Verdana" w:cs="Arial"/>
        </w:rPr>
      </w:pPr>
    </w:p>
    <w:p w14:paraId="4BBEA7A1" w14:textId="77777777" w:rsidR="002D4FBC" w:rsidRPr="002D4FBC" w:rsidRDefault="002D4FBC" w:rsidP="002D4FBC">
      <w:pPr>
        <w:numPr>
          <w:ilvl w:val="0"/>
          <w:numId w:val="1"/>
        </w:numPr>
        <w:tabs>
          <w:tab w:val="left" w:pos="142"/>
          <w:tab w:val="left" w:pos="284"/>
        </w:tabs>
        <w:spacing w:after="0" w:line="276" w:lineRule="auto"/>
        <w:jc w:val="both"/>
        <w:rPr>
          <w:rFonts w:ascii="Verdana" w:eastAsia="Century Gothic" w:hAnsi="Verdana" w:cs="Century Gothic"/>
          <w:b/>
          <w:bCs/>
        </w:rPr>
      </w:pPr>
      <w:r w:rsidRPr="002D4FBC">
        <w:rPr>
          <w:rFonts w:ascii="Verdana" w:eastAsia="Century Gothic" w:hAnsi="Verdana" w:cs="Century Gothic"/>
          <w:b/>
          <w:bCs/>
        </w:rPr>
        <w:t>Doctrina de la Agencia Nacional de Contratación Pública:</w:t>
      </w:r>
    </w:p>
    <w:p w14:paraId="6C31B50F" w14:textId="77777777" w:rsidR="002D4FBC" w:rsidRPr="002D4FBC" w:rsidRDefault="002D4FBC" w:rsidP="002D4FBC">
      <w:pPr>
        <w:widowControl w:val="0"/>
        <w:autoSpaceDE w:val="0"/>
        <w:autoSpaceDN w:val="0"/>
        <w:spacing w:after="0" w:line="276" w:lineRule="auto"/>
        <w:jc w:val="both"/>
        <w:rPr>
          <w:rFonts w:ascii="Verdana" w:hAnsi="Verdana" w:cs="Arial"/>
        </w:rPr>
      </w:pPr>
    </w:p>
    <w:p w14:paraId="49FBFE07" w14:textId="77777777" w:rsidR="002D4FBC" w:rsidRPr="002D4FBC" w:rsidRDefault="002D4FBC" w:rsidP="002D4FBC">
      <w:pPr>
        <w:widowControl w:val="0"/>
        <w:autoSpaceDE w:val="0"/>
        <w:autoSpaceDN w:val="0"/>
        <w:spacing w:after="120" w:line="276" w:lineRule="auto"/>
        <w:jc w:val="both"/>
        <w:rPr>
          <w:rFonts w:ascii="Verdana" w:hAnsi="Verdana" w:cs="Arial"/>
          <w:color w:val="000000" w:themeColor="text1"/>
          <w:shd w:val="clear" w:color="auto" w:fill="FFFFFF"/>
        </w:rPr>
      </w:pPr>
      <w:r w:rsidRPr="002D4FBC">
        <w:rPr>
          <w:rFonts w:ascii="Verdana" w:hAnsi="Verdana" w:cs="Arial"/>
          <w:shd w:val="clear" w:color="auto" w:fill="FFFFFF"/>
        </w:rPr>
        <w:t xml:space="preserve">Esta Subdirección se ha pronunciado sobre el régimen de contratación de las entidades ejecutoras cuando ejecutan recursos del SGR en los conceptos </w:t>
      </w:r>
      <w:r w:rsidRPr="002D4FBC">
        <w:rPr>
          <w:rFonts w:ascii="Verdana" w:hAnsi="Verdana"/>
        </w:rPr>
        <w:t>C-370 del 2021,</w:t>
      </w:r>
      <w:r w:rsidRPr="002D4FBC">
        <w:rPr>
          <w:rFonts w:ascii="Verdana" w:hAnsi="Verdana"/>
          <w:shd w:val="clear" w:color="auto" w:fill="FFFFFF"/>
        </w:rPr>
        <w:t xml:space="preserve"> C-353 del 2 de junio de 2022, C-918 del 9 de diciembre de 2024, C-504 del 1 de octubre 2024, C-951 del 16 de diciembre de 2024, C-285 del 14 de abril de 2025, C-348 del 25 de abril de 2025, C-370 del 2 de mayo de 2025, C-680 del 8 de julio de 2025, C-914 del 15 de agosto de 2025, C-1065 del 8 de septiembre de 2025, C-225 del 27 de febrero de 2026 y C-417 de 2026. </w:t>
      </w:r>
      <w:r w:rsidRPr="002D4FBC">
        <w:rPr>
          <w:rFonts w:ascii="Verdana" w:hAnsi="Verdana" w:cs="Arial"/>
          <w:shd w:val="clear" w:color="auto" w:fill="FFFFFF"/>
        </w:rPr>
        <w:t>Es</w:t>
      </w:r>
      <w:r w:rsidRPr="002D4FBC">
        <w:rPr>
          <w:rFonts w:ascii="Verdana" w:hAnsi="Verdana"/>
        </w:rPr>
        <w:t>tos conceptos se encuentran disponibles para consulta en el Sistema de relatoría de la Agencia, al cual se puede acceder a través del siguiente enlace:</w:t>
      </w:r>
      <w:r w:rsidRPr="002D4FBC">
        <w:rPr>
          <w:rFonts w:ascii="Verdana" w:hAnsi="Verdana" w:cs="Arial"/>
          <w:shd w:val="clear" w:color="auto" w:fill="FFFFFF"/>
        </w:rPr>
        <w:t xml:space="preserve"> </w:t>
      </w:r>
      <w:hyperlink r:id="rId13" w:history="1">
        <w:r w:rsidRPr="002D4FBC">
          <w:rPr>
            <w:rFonts w:ascii="Verdana" w:hAnsi="Verdana" w:cs="Arial"/>
            <w:color w:val="0563C1" w:themeColor="hyperlink"/>
            <w:u w:val="single"/>
            <w:shd w:val="clear" w:color="auto" w:fill="FFFFFF"/>
          </w:rPr>
          <w:t>https://relatoria.colombiacompra.gov.co/busqueda/conceptos</w:t>
        </w:r>
      </w:hyperlink>
      <w:r w:rsidRPr="002D4FBC">
        <w:rPr>
          <w:rFonts w:ascii="Verdana" w:hAnsi="Verdana" w:cs="Arial"/>
          <w:shd w:val="clear" w:color="auto" w:fill="FFFFFF"/>
        </w:rPr>
        <w:t>.</w:t>
      </w:r>
      <w:r w:rsidRPr="002D4FBC">
        <w:rPr>
          <w:rFonts w:ascii="Verdana" w:hAnsi="Verdana" w:cs="Arial"/>
          <w:color w:val="FF0000"/>
          <w:shd w:val="clear" w:color="auto" w:fill="FFFFFF"/>
        </w:rPr>
        <w:t xml:space="preserve"> </w:t>
      </w:r>
      <w:r w:rsidRPr="002D4FBC">
        <w:rPr>
          <w:rFonts w:ascii="Verdana" w:hAnsi="Verdana" w:cs="Arial"/>
          <w:color w:val="000000" w:themeColor="text1"/>
          <w:shd w:val="clear" w:color="auto" w:fill="FFFFFF"/>
        </w:rPr>
        <w:t> </w:t>
      </w:r>
    </w:p>
    <w:p w14:paraId="634D3CDD" w14:textId="77777777" w:rsidR="002D4FBC" w:rsidRPr="002D4FBC" w:rsidRDefault="002D4FBC" w:rsidP="002D4FBC">
      <w:pPr>
        <w:jc w:val="both"/>
        <w:rPr>
          <w:rFonts w:ascii="Verdana" w:hAnsi="Verdana"/>
        </w:rPr>
      </w:pPr>
      <w:r w:rsidRPr="002D4FBC">
        <w:rPr>
          <w:rFonts w:ascii="Verdana" w:hAnsi="Verdana"/>
        </w:rPr>
        <w:t xml:space="preserve">La sostenibilidad no es una opción, es una obligación. Por ello, la Agencia Nacional de Contratación Pública –Colombia Compra Eficiente– te invita a realizar el </w:t>
      </w:r>
      <w:r w:rsidRPr="002D4FBC">
        <w:rPr>
          <w:rFonts w:ascii="Verdana" w:hAnsi="Verdana"/>
          <w:b/>
          <w:bCs/>
        </w:rPr>
        <w:t>Curso de Contratación Pública Sostenible y Socialmente Responsable</w:t>
      </w:r>
      <w:r w:rsidRPr="002D4FBC">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D4FBC">
        <w:rPr>
          <w:rFonts w:ascii="Verdana" w:hAnsi="Verdana"/>
        </w:rPr>
        <w:br/>
      </w:r>
      <w:hyperlink r:id="rId14" w:tgtFrame="_new" w:history="1">
        <w:r w:rsidRPr="002D4FBC">
          <w:rPr>
            <w:rFonts w:ascii="Verdana" w:hAnsi="Verdana"/>
            <w:color w:val="0000FF"/>
            <w:u w:val="single"/>
          </w:rPr>
          <w:t>https://formacionvirtual.colombiacompra.gov.co/mod/page/view.php?id=3718</w:t>
        </w:r>
      </w:hyperlink>
    </w:p>
    <w:p w14:paraId="2524E0D3" w14:textId="77777777" w:rsidR="002D4FBC" w:rsidRPr="002D4FBC" w:rsidRDefault="002D4FBC" w:rsidP="002D4FBC">
      <w:pPr>
        <w:jc w:val="both"/>
        <w:rPr>
          <w:rFonts w:ascii="Verdana" w:hAnsi="Verdana"/>
        </w:rPr>
      </w:pPr>
      <w:r w:rsidRPr="002D4FBC">
        <w:rPr>
          <w:rFonts w:ascii="Verdana" w:hAnsi="Verdana"/>
        </w:rPr>
        <w:t xml:space="preserve">De otro lado, te contamos que esta Agencia ha da un paso decisivo en la estandarización y modernización del </w:t>
      </w:r>
      <w:r w:rsidRPr="002D4FBC">
        <w:rPr>
          <w:rFonts w:ascii="Verdana" w:hAnsi="Verdana"/>
          <w:b/>
          <w:bCs/>
        </w:rPr>
        <w:t>sector  social</w:t>
      </w:r>
      <w:r w:rsidRPr="002D4FBC">
        <w:rPr>
          <w:rFonts w:ascii="Verdana" w:hAnsi="Verdana"/>
        </w:rPr>
        <w:t xml:space="preserve"> con la expedición de las </w:t>
      </w:r>
      <w:r w:rsidRPr="002D4FBC">
        <w:rPr>
          <w:rFonts w:ascii="Verdana" w:hAnsi="Verdana"/>
          <w:b/>
          <w:bCs/>
        </w:rPr>
        <w:t>Resoluciones 539, 540, 541, 952 y 953 de 2025</w:t>
      </w:r>
      <w:r w:rsidRPr="002D4FBC">
        <w:rPr>
          <w:rFonts w:ascii="Verdana" w:hAnsi="Verdana"/>
        </w:rPr>
        <w:t xml:space="preserve">, </w:t>
      </w:r>
      <w:r w:rsidRPr="002D4FBC">
        <w:rPr>
          <w:rFonts w:ascii="Verdana" w:hAnsi="Verdana"/>
          <w:b/>
          <w:bCs/>
        </w:rPr>
        <w:t>mediante las cuales adoptó Documentos Tipo</w:t>
      </w:r>
      <w:r w:rsidRPr="002D4FBC">
        <w:rPr>
          <w:rFonts w:ascii="Verdana" w:hAnsi="Verdana"/>
        </w:rPr>
        <w:t xml:space="preserve"> para las modalidades de selección de</w:t>
      </w:r>
      <w:r w:rsidRPr="002D4FBC">
        <w:rPr>
          <w:rFonts w:ascii="Verdana" w:hAnsi="Verdana"/>
          <w:b/>
          <w:bCs/>
        </w:rPr>
        <w:t xml:space="preserve"> licitación pública (versión 2), selección abreviada de menor cuantía, mínima cuantía, consultoría e interventoría</w:t>
      </w:r>
      <w:r w:rsidRPr="002D4FBC">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2D4FBC">
          <w:rPr>
            <w:rFonts w:ascii="Verdana" w:hAnsi="Verdana"/>
            <w:color w:val="0000FF"/>
            <w:u w:val="single"/>
          </w:rPr>
          <w:t>https://www.colombiacompra.gov.co/normativa-y-relatoria/documentos-tipo</w:t>
        </w:r>
      </w:hyperlink>
    </w:p>
    <w:p w14:paraId="12D1BFC5" w14:textId="77777777" w:rsidR="002D4FBC" w:rsidRPr="002D4FBC" w:rsidRDefault="002D4FBC" w:rsidP="002D4FBC">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2D4FBC">
        <w:rPr>
          <w:rFonts w:ascii="Verdana" w:hAnsi="Verdana"/>
        </w:rPr>
        <w:t xml:space="preserve">Si quieres conocer más sobre la aplicación de Documentos Tipo puedes consultar la última versión de la </w:t>
      </w:r>
      <w:r w:rsidRPr="002D4FBC">
        <w:rPr>
          <w:rFonts w:ascii="Verdana" w:hAnsi="Verdana"/>
          <w:b/>
          <w:bCs/>
        </w:rPr>
        <w:t>Guía para la comprensión e implementación de los Documentos Tipo de obra pública de infraestructura de transporte</w:t>
      </w:r>
      <w:r w:rsidRPr="002D4FBC">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w:t>
      </w:r>
      <w:r w:rsidRPr="002D4FBC">
        <w:rPr>
          <w:rFonts w:ascii="Verdana" w:hAnsi="Verdana"/>
        </w:rPr>
        <w:lastRenderedPageBreak/>
        <w:t>implementación de los criterios ambientales y sociales incluidos en los documentos tipo: Consulta la guía aquí:</w:t>
      </w:r>
      <w:r w:rsidRPr="002D4FBC">
        <w:rPr>
          <w:rFonts w:ascii="Verdana" w:hAnsi="Verdana"/>
        </w:rPr>
        <w:br/>
      </w:r>
      <w:hyperlink r:id="rId16" w:tgtFrame="_new" w:history="1">
        <w:r w:rsidRPr="002D4FBC">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13B69620" w14:textId="77777777" w:rsidR="002D4FBC" w:rsidRPr="002D4FBC" w:rsidRDefault="002D4FBC" w:rsidP="002D4FBC">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5EAA0DE2" w14:textId="77777777" w:rsidR="002D4FBC" w:rsidRPr="002D4FBC" w:rsidRDefault="002D4FBC" w:rsidP="002D4FBC">
      <w:pPr>
        <w:widowControl w:val="0"/>
        <w:autoSpaceDE w:val="0"/>
        <w:autoSpaceDN w:val="0"/>
        <w:spacing w:after="0" w:line="276" w:lineRule="auto"/>
        <w:jc w:val="both"/>
        <w:rPr>
          <w:rFonts w:ascii="Verdana" w:hAnsi="Verdana" w:cs="Arial"/>
        </w:rPr>
      </w:pPr>
      <w:r w:rsidRPr="002D4FBC">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CE38326" w14:textId="77777777" w:rsidR="002D4FBC" w:rsidRPr="002D4FBC" w:rsidRDefault="002D4FBC" w:rsidP="002D4FBC">
      <w:pPr>
        <w:widowControl w:val="0"/>
        <w:autoSpaceDE w:val="0"/>
        <w:autoSpaceDN w:val="0"/>
        <w:spacing w:after="0" w:line="276" w:lineRule="auto"/>
        <w:jc w:val="both"/>
        <w:rPr>
          <w:rFonts w:ascii="Verdana" w:hAnsi="Verdana" w:cs="Arial"/>
        </w:rPr>
      </w:pPr>
    </w:p>
    <w:p w14:paraId="7F2B1FCB" w14:textId="77777777" w:rsidR="002D4FBC" w:rsidRPr="002D4FBC" w:rsidRDefault="002D4FBC" w:rsidP="002D4FBC">
      <w:pPr>
        <w:spacing w:after="0" w:line="276" w:lineRule="auto"/>
        <w:rPr>
          <w:rFonts w:ascii="Verdana" w:hAnsi="Verdana" w:cs="Arial"/>
          <w:lang w:eastAsia="es-CO"/>
        </w:rPr>
      </w:pPr>
      <w:r w:rsidRPr="002D4FBC">
        <w:rPr>
          <w:rFonts w:ascii="Verdana" w:eastAsia="Times New Roman" w:hAnsi="Verdana" w:cs="Arial"/>
          <w:lang w:eastAsia="es-CO"/>
        </w:rPr>
        <w:t>Atentamente,</w:t>
      </w:r>
      <w:r w:rsidRPr="002D4FBC">
        <w:rPr>
          <w:rFonts w:ascii="Verdana" w:hAnsi="Verdana" w:cs="Arial"/>
          <w:lang w:eastAsia="es-CO"/>
        </w:rPr>
        <w:t xml:space="preserve"> </w:t>
      </w:r>
    </w:p>
    <w:p w14:paraId="346FAA87" w14:textId="3EE214BE" w:rsidR="002D4FBC" w:rsidRPr="002D4FBC" w:rsidRDefault="00192025" w:rsidP="002D4FBC">
      <w:pPr>
        <w:spacing w:line="276" w:lineRule="auto"/>
        <w:jc w:val="center"/>
        <w:rPr>
          <w:rFonts w:ascii="Verdana" w:hAnsi="Verdana" w:cs="Arial"/>
          <w:color w:val="000000"/>
          <w:lang w:eastAsia="es-CO"/>
        </w:rPr>
      </w:pPr>
      <w:r>
        <w:rPr>
          <w:noProof/>
        </w:rPr>
        <w:drawing>
          <wp:inline distT="0" distB="0" distL="0" distR="0" wp14:anchorId="02429C69" wp14:editId="50772463">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D4FBC" w:rsidRPr="002D4FBC" w14:paraId="77B44550" w14:textId="77777777" w:rsidTr="00873641">
        <w:trPr>
          <w:trHeight w:val="315"/>
        </w:trPr>
        <w:tc>
          <w:tcPr>
            <w:tcW w:w="893" w:type="dxa"/>
            <w:vAlign w:val="center"/>
            <w:hideMark/>
          </w:tcPr>
          <w:bookmarkEnd w:id="0"/>
          <w:p w14:paraId="3AEDD994" w14:textId="77777777" w:rsidR="002D4FBC" w:rsidRPr="002D4FBC" w:rsidRDefault="002D4FBC" w:rsidP="002D4FBC">
            <w:pPr>
              <w:contextualSpacing/>
              <w:rPr>
                <w:rFonts w:ascii="Verdana" w:hAnsi="Verdana" w:cs="Arial"/>
                <w:sz w:val="16"/>
                <w:szCs w:val="16"/>
                <w:lang w:val="es-ES" w:eastAsia="es-ES"/>
              </w:rPr>
            </w:pPr>
            <w:r w:rsidRPr="002D4FB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1C0E91E" w14:textId="77777777" w:rsidR="002D4FBC" w:rsidRPr="002D4FBC" w:rsidRDefault="002D4FBC" w:rsidP="002D4FBC">
            <w:pPr>
              <w:contextualSpacing/>
              <w:rPr>
                <w:rFonts w:ascii="Verdana" w:hAnsi="Verdana"/>
                <w:sz w:val="16"/>
                <w:szCs w:val="16"/>
              </w:rPr>
            </w:pPr>
            <w:r w:rsidRPr="002D4FBC">
              <w:rPr>
                <w:rFonts w:ascii="Verdana" w:hAnsi="Verdana"/>
                <w:sz w:val="16"/>
                <w:szCs w:val="16"/>
              </w:rPr>
              <w:t>Tatiana Baquero Iguarán</w:t>
            </w:r>
          </w:p>
          <w:p w14:paraId="70BC0261" w14:textId="77777777" w:rsidR="002D4FBC" w:rsidRPr="002D4FBC" w:rsidRDefault="002D4FBC" w:rsidP="002D4FBC">
            <w:pPr>
              <w:contextualSpacing/>
              <w:rPr>
                <w:rFonts w:ascii="Verdana" w:eastAsia="Arial" w:hAnsi="Verdana" w:cs="Arial"/>
                <w:sz w:val="16"/>
                <w:szCs w:val="16"/>
              </w:rPr>
            </w:pPr>
            <w:r w:rsidRPr="002D4FBC">
              <w:rPr>
                <w:rFonts w:ascii="Verdana" w:hAnsi="Verdana"/>
                <w:sz w:val="16"/>
                <w:szCs w:val="16"/>
              </w:rPr>
              <w:t>Contratista de la Subdirección de Gestión Contractual</w:t>
            </w:r>
          </w:p>
        </w:tc>
      </w:tr>
      <w:tr w:rsidR="002D4FBC" w:rsidRPr="002D4FBC" w14:paraId="343D4711" w14:textId="77777777" w:rsidTr="00873641">
        <w:trPr>
          <w:trHeight w:val="330"/>
        </w:trPr>
        <w:tc>
          <w:tcPr>
            <w:tcW w:w="893" w:type="dxa"/>
            <w:vAlign w:val="center"/>
            <w:hideMark/>
          </w:tcPr>
          <w:p w14:paraId="59D3F47D" w14:textId="77777777" w:rsidR="002D4FBC" w:rsidRPr="002D4FBC" w:rsidRDefault="002D4FBC" w:rsidP="002D4FBC">
            <w:pPr>
              <w:contextualSpacing/>
              <w:rPr>
                <w:rFonts w:ascii="Verdana" w:hAnsi="Verdana" w:cs="Arial"/>
                <w:sz w:val="16"/>
                <w:szCs w:val="16"/>
                <w:lang w:val="es-ES" w:eastAsia="es-ES"/>
              </w:rPr>
            </w:pPr>
            <w:r w:rsidRPr="002D4FB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35744F0" w14:textId="77777777" w:rsidR="002D4FBC" w:rsidRPr="002D4FBC" w:rsidRDefault="002D4FBC" w:rsidP="002D4FBC">
            <w:pPr>
              <w:spacing w:before="100" w:beforeAutospacing="1" w:afterAutospacing="1"/>
              <w:contextualSpacing/>
              <w:textAlignment w:val="baseline"/>
              <w:rPr>
                <w:rFonts w:ascii="Verdana" w:eastAsia="Times New Roman" w:hAnsi="Verdana" w:cs="Arial"/>
                <w:sz w:val="16"/>
                <w:szCs w:val="16"/>
                <w:lang w:val="es-ES" w:eastAsia="es-ES_tradnl"/>
              </w:rPr>
            </w:pPr>
            <w:r w:rsidRPr="002D4FBC">
              <w:rPr>
                <w:rFonts w:ascii="Verdana" w:eastAsia="Times New Roman" w:hAnsi="Verdana" w:cs="Arial"/>
                <w:sz w:val="16"/>
                <w:szCs w:val="16"/>
                <w:lang w:val="es-ES" w:eastAsia="es-ES_tradnl"/>
              </w:rPr>
              <w:t>Alejandro Sarmiento Cantillo</w:t>
            </w:r>
          </w:p>
          <w:p w14:paraId="35FC89BF" w14:textId="77777777" w:rsidR="002D4FBC" w:rsidRPr="002D4FBC" w:rsidRDefault="002D4FBC" w:rsidP="002D4FBC">
            <w:pPr>
              <w:contextualSpacing/>
              <w:textAlignment w:val="baseline"/>
              <w:rPr>
                <w:rFonts w:ascii="Verdana" w:eastAsia="Times New Roman" w:hAnsi="Verdana" w:cs="Segoe UI"/>
                <w:sz w:val="16"/>
                <w:szCs w:val="16"/>
                <w:lang w:eastAsia="es-ES_tradnl"/>
              </w:rPr>
            </w:pPr>
            <w:r w:rsidRPr="002D4FBC">
              <w:rPr>
                <w:rFonts w:ascii="Verdana" w:eastAsia="Times New Roman" w:hAnsi="Verdana" w:cs="Arial"/>
                <w:sz w:val="16"/>
                <w:szCs w:val="16"/>
                <w:lang w:val="es-ES" w:eastAsia="es-ES_tradnl"/>
              </w:rPr>
              <w:t>Gestor T1 ‒ 15 de la Subdirección de Gestión Contractual</w:t>
            </w:r>
            <w:r w:rsidRPr="002D4FBC">
              <w:rPr>
                <w:rFonts w:ascii="Verdana" w:eastAsia="Times New Roman" w:hAnsi="Verdana" w:cs="Arial"/>
                <w:sz w:val="16"/>
                <w:szCs w:val="16"/>
                <w:lang w:eastAsia="es-ES_tradnl"/>
              </w:rPr>
              <w:t> </w:t>
            </w:r>
          </w:p>
        </w:tc>
      </w:tr>
      <w:tr w:rsidR="002D4FBC" w:rsidRPr="002D4FBC" w14:paraId="4CC0B7BE" w14:textId="77777777" w:rsidTr="00873641">
        <w:trPr>
          <w:trHeight w:val="300"/>
        </w:trPr>
        <w:tc>
          <w:tcPr>
            <w:tcW w:w="893" w:type="dxa"/>
            <w:vAlign w:val="center"/>
          </w:tcPr>
          <w:p w14:paraId="2DDC397C" w14:textId="77777777" w:rsidR="002D4FBC" w:rsidRPr="002D4FBC" w:rsidRDefault="002D4FBC" w:rsidP="002D4FBC">
            <w:pPr>
              <w:contextualSpacing/>
              <w:rPr>
                <w:rFonts w:ascii="Verdana" w:hAnsi="Verdana" w:cs="Arial"/>
                <w:sz w:val="16"/>
                <w:szCs w:val="16"/>
                <w:lang w:val="es-ES" w:eastAsia="es-ES"/>
              </w:rPr>
            </w:pPr>
            <w:r w:rsidRPr="002D4FB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4960982" w14:textId="77777777" w:rsidR="002D4FBC" w:rsidRPr="002D4FBC" w:rsidRDefault="002D4FBC" w:rsidP="002D4FBC">
            <w:pPr>
              <w:contextualSpacing/>
              <w:rPr>
                <w:rFonts w:ascii="Verdana" w:eastAsia="Calibri" w:hAnsi="Verdana" w:cs="Arial"/>
                <w:sz w:val="16"/>
                <w:szCs w:val="16"/>
                <w:lang w:val="pt-BR" w:eastAsia="es-ES"/>
              </w:rPr>
            </w:pPr>
            <w:r w:rsidRPr="002D4FBC">
              <w:rPr>
                <w:rFonts w:ascii="Verdana" w:eastAsia="Calibri" w:hAnsi="Verdana" w:cs="Arial"/>
                <w:sz w:val="16"/>
                <w:szCs w:val="16"/>
                <w:lang w:val="pt-BR" w:eastAsia="es-ES"/>
              </w:rPr>
              <w:t xml:space="preserve">Carolina Quintero </w:t>
            </w:r>
            <w:proofErr w:type="spellStart"/>
            <w:r w:rsidRPr="002D4FBC">
              <w:rPr>
                <w:rFonts w:ascii="Verdana" w:eastAsia="Calibri" w:hAnsi="Verdana" w:cs="Arial"/>
                <w:sz w:val="16"/>
                <w:szCs w:val="16"/>
                <w:lang w:val="pt-BR" w:eastAsia="es-ES"/>
              </w:rPr>
              <w:t>Gacharná</w:t>
            </w:r>
            <w:proofErr w:type="spellEnd"/>
          </w:p>
          <w:p w14:paraId="3AF7BAA9" w14:textId="77777777" w:rsidR="002D4FBC" w:rsidRPr="002D4FBC" w:rsidRDefault="002D4FBC" w:rsidP="002D4FBC">
            <w:pPr>
              <w:contextualSpacing/>
              <w:rPr>
                <w:rFonts w:ascii="Verdana" w:eastAsia="Calibri" w:hAnsi="Verdana" w:cs="Arial"/>
                <w:sz w:val="16"/>
                <w:szCs w:val="16"/>
                <w:lang w:val="pt-BR" w:eastAsia="es-ES"/>
              </w:rPr>
            </w:pPr>
            <w:r w:rsidRPr="002D4FBC">
              <w:rPr>
                <w:rFonts w:ascii="Verdana" w:eastAsia="Calibri" w:hAnsi="Verdana" w:cs="Arial"/>
                <w:sz w:val="16"/>
                <w:szCs w:val="16"/>
                <w:lang w:eastAsia="es-ES"/>
              </w:rPr>
              <w:t>Subdirectora</w:t>
            </w:r>
            <w:r w:rsidRPr="002D4FBC">
              <w:rPr>
                <w:rFonts w:ascii="Verdana" w:eastAsia="Calibri" w:hAnsi="Verdana" w:cs="Arial"/>
                <w:sz w:val="16"/>
                <w:szCs w:val="16"/>
                <w:lang w:val="pt-BR" w:eastAsia="es-ES"/>
              </w:rPr>
              <w:t xml:space="preserve"> de Gestión </w:t>
            </w:r>
            <w:proofErr w:type="spellStart"/>
            <w:r w:rsidRPr="002D4FBC">
              <w:rPr>
                <w:rFonts w:ascii="Verdana" w:eastAsia="Calibri" w:hAnsi="Verdana" w:cs="Arial"/>
                <w:sz w:val="16"/>
                <w:szCs w:val="16"/>
                <w:lang w:val="pt-BR" w:eastAsia="es-ES"/>
              </w:rPr>
              <w:t>Contractual</w:t>
            </w:r>
            <w:proofErr w:type="spellEnd"/>
            <w:r w:rsidRPr="002D4FBC">
              <w:rPr>
                <w:rFonts w:ascii="Verdana" w:eastAsia="Calibri" w:hAnsi="Verdana" w:cs="Arial"/>
                <w:sz w:val="16"/>
                <w:szCs w:val="16"/>
                <w:lang w:val="pt-BR" w:eastAsia="es-ES"/>
              </w:rPr>
              <w:t xml:space="preserve"> ANCP – CCE</w:t>
            </w:r>
          </w:p>
        </w:tc>
      </w:tr>
    </w:tbl>
    <w:p w14:paraId="1855BF67" w14:textId="77777777" w:rsidR="002D4FBC" w:rsidRPr="002D4FBC" w:rsidRDefault="002D4FBC" w:rsidP="002D4FBC">
      <w:pPr>
        <w:spacing w:after="0" w:line="240" w:lineRule="auto"/>
        <w:rPr>
          <w:rFonts w:ascii="Verdana" w:eastAsia="Times New Roman" w:hAnsi="Verdana" w:cs="Arial"/>
          <w:sz w:val="24"/>
          <w:szCs w:val="24"/>
          <w:lang w:eastAsia="es-ES"/>
        </w:rPr>
      </w:pPr>
    </w:p>
    <w:p w14:paraId="2C9CA1EB" w14:textId="6DD9D4E0" w:rsidR="002D4FBC" w:rsidRPr="002D4FBC" w:rsidRDefault="002D4FBC" w:rsidP="002D4FBC">
      <w:pPr>
        <w:spacing w:after="0" w:line="240" w:lineRule="auto"/>
        <w:textAlignment w:val="baseline"/>
        <w:rPr>
          <w:rFonts w:ascii="Verdana" w:eastAsia="Verdana" w:hAnsi="Verdana" w:cs="Verdana"/>
          <w:lang w:eastAsia="es-CO"/>
        </w:rPr>
      </w:pPr>
      <w:r w:rsidRPr="002D4FBC">
        <w:rPr>
          <w:rFonts w:ascii="Verdana" w:eastAsia="Verdana" w:hAnsi="Verdana" w:cs="Verdana"/>
          <w:lang w:eastAsia="es-CO"/>
        </w:rPr>
        <w:t> </w:t>
      </w:r>
      <w:bookmarkEnd w:id="1"/>
    </w:p>
    <w:p w14:paraId="0FFC8380" w14:textId="77777777" w:rsidR="002D4FBC" w:rsidRPr="002D4FBC" w:rsidRDefault="002D4FBC" w:rsidP="002D4FBC"/>
    <w:p w14:paraId="654D71C8" w14:textId="77777777" w:rsidR="002D4FBC" w:rsidRPr="002D4FBC" w:rsidRDefault="002D4FBC" w:rsidP="002D4FBC"/>
    <w:p w14:paraId="2E980930" w14:textId="77777777" w:rsidR="001F2DB5" w:rsidRPr="002D4FBC" w:rsidRDefault="001F2DB5" w:rsidP="002D4FBC"/>
    <w:sectPr w:rsidR="001F2DB5" w:rsidRPr="002D4FBC" w:rsidSect="00C44B4C">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B49A7" w14:textId="77777777" w:rsidR="008D23A4" w:rsidRPr="009B7987" w:rsidRDefault="008D23A4" w:rsidP="00B30448">
      <w:pPr>
        <w:spacing w:after="0" w:line="240" w:lineRule="auto"/>
      </w:pPr>
      <w:r w:rsidRPr="009B7987">
        <w:separator/>
      </w:r>
    </w:p>
  </w:endnote>
  <w:endnote w:type="continuationSeparator" w:id="0">
    <w:p w14:paraId="4A366164" w14:textId="77777777" w:rsidR="008D23A4" w:rsidRPr="009B7987" w:rsidRDefault="008D23A4" w:rsidP="00B30448">
      <w:pPr>
        <w:spacing w:after="0" w:line="240" w:lineRule="auto"/>
      </w:pPr>
      <w:r w:rsidRPr="009B7987">
        <w:continuationSeparator/>
      </w:r>
    </w:p>
  </w:endnote>
  <w:endnote w:type="continuationNotice" w:id="1">
    <w:p w14:paraId="5EA23189" w14:textId="77777777" w:rsidR="008D23A4" w:rsidRPr="009B7987" w:rsidRDefault="008D23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09DA10" w14:textId="77777777" w:rsidR="008D23A4" w:rsidRPr="009B7987" w:rsidRDefault="008D23A4" w:rsidP="00B30448">
      <w:pPr>
        <w:spacing w:after="0" w:line="240" w:lineRule="auto"/>
      </w:pPr>
      <w:r w:rsidRPr="009B7987">
        <w:separator/>
      </w:r>
    </w:p>
  </w:footnote>
  <w:footnote w:type="continuationSeparator" w:id="0">
    <w:p w14:paraId="74E560E3" w14:textId="77777777" w:rsidR="008D23A4" w:rsidRPr="009B7987" w:rsidRDefault="008D23A4" w:rsidP="00B30448">
      <w:pPr>
        <w:spacing w:after="0" w:line="240" w:lineRule="auto"/>
      </w:pPr>
      <w:r w:rsidRPr="009B7987">
        <w:continuationSeparator/>
      </w:r>
    </w:p>
  </w:footnote>
  <w:footnote w:type="continuationNotice" w:id="1">
    <w:p w14:paraId="3583692D" w14:textId="77777777" w:rsidR="008D23A4" w:rsidRPr="009B7987" w:rsidRDefault="008D23A4">
      <w:pPr>
        <w:spacing w:after="0" w:line="240" w:lineRule="auto"/>
      </w:pPr>
    </w:p>
  </w:footnote>
  <w:footnote w:id="2">
    <w:p w14:paraId="187F756F" w14:textId="77777777" w:rsidR="002D4FBC" w:rsidRDefault="002D4FBC" w:rsidP="002D4FBC">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“Artículo 1°. Objeto. Conforme con lo dispuesto por el artículo 360 y 361 de la Constitución Política, la presente ley tiene por objeto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  </w:t>
      </w:r>
    </w:p>
  </w:footnote>
  <w:footnote w:id="3">
    <w:p w14:paraId="6CC8E9D4" w14:textId="77777777" w:rsidR="002D4FBC" w:rsidRDefault="002D4FBC" w:rsidP="002D4FBC">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“Artículo 3. Órganos. Son órganos del Sistema General de Regalías, la Comisión Rectora, el Departamento Nacional de Planeación, el Ministerio de Minas y Energía, así como sus entidades adscritas y vinculadas que cumplan funciones en el ciclo de las regalías, el Ministerio de Hacienda y Crédito Público, el Ministerio de Ciencia, Tecnología e Innovación, el Ministerio de Ambiente y Desarrollo Sostenible y los Órganos Colegiados de Administración y Decisión Paz, de Inversión Regional y de Ciencia, Tecnología e Innovación, los cuales ejercerán sus atribuciones y competencias conforme con lo dispuesto por la presente Ley y demás lineamientos que expida la Comisión Rectora para el funcionamiento del Sistema General de Regalías”. </w:t>
      </w:r>
    </w:p>
  </w:footnote>
  <w:footnote w:id="4">
    <w:p w14:paraId="72BF674B" w14:textId="77777777" w:rsidR="002D4FBC" w:rsidRDefault="002D4FBC" w:rsidP="002D4FBC">
      <w:pPr>
        <w:spacing w:after="0"/>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bookmarkStart w:id="4" w:name="37"/>
      <w:r>
        <w:rPr>
          <w:rFonts w:ascii="Verdana" w:hAnsi="Verdana" w:cs="Arial"/>
          <w:sz w:val="16"/>
          <w:szCs w:val="16"/>
        </w:rPr>
        <w:t>“</w:t>
      </w:r>
      <w:r>
        <w:rPr>
          <w:rFonts w:ascii="Verdana" w:hAnsi="Verdana" w:cs="Arial"/>
          <w:bCs/>
          <w:sz w:val="16"/>
          <w:szCs w:val="16"/>
        </w:rPr>
        <w:t>Artículo 37. ejecución de proyectos de inversión.</w:t>
      </w:r>
      <w:bookmarkEnd w:id="4"/>
      <w:r>
        <w:rPr>
          <w:rFonts w:ascii="Verdana" w:hAnsi="Verdana" w:cs="Arial"/>
          <w:sz w:val="16"/>
          <w:szCs w:val="16"/>
        </w:rPr>
        <w:t> los proyectos de inversión que se financien con cargo al sistema general de regalías serán ejecutados por quien designe las entidades u órganos de que tratan los artículos </w:t>
      </w:r>
      <w:hyperlink r:id="rId1" w:anchor="35" w:history="1">
        <w:r>
          <w:rPr>
            <w:rStyle w:val="Hipervnculo"/>
            <w:rFonts w:ascii="Verdana" w:hAnsi="Verdana" w:cs="Arial"/>
            <w:sz w:val="16"/>
            <w:szCs w:val="16"/>
          </w:rPr>
          <w:t>35</w:t>
        </w:r>
      </w:hyperlink>
      <w:r>
        <w:rPr>
          <w:rFonts w:ascii="Verdana" w:hAnsi="Verdana" w:cs="Arial"/>
          <w:sz w:val="16"/>
          <w:szCs w:val="16"/>
        </w:rPr>
        <w:t> y </w:t>
      </w:r>
      <w:hyperlink r:id="rId2" w:anchor="36" w:history="1">
        <w:r>
          <w:rPr>
            <w:rStyle w:val="Hipervnculo"/>
            <w:rFonts w:ascii="Verdana" w:hAnsi="Verdana" w:cs="Arial"/>
            <w:sz w:val="16"/>
            <w:szCs w:val="16"/>
          </w:rPr>
          <w:t>36</w:t>
        </w:r>
      </w:hyperlink>
      <w:r>
        <w:rPr>
          <w:rFonts w:ascii="Verdana" w:hAnsi="Verdana" w:cs="Arial"/>
          <w:sz w:val="16"/>
          <w:szCs w:val="16"/>
        </w:rPr>
        <w:t> de la presente ley. así mismo, la entidad ejecutora estará a cargo de la contratación de la interventoría, de conformidad con lo previsto en la presente ley.</w:t>
      </w:r>
    </w:p>
    <w:p w14:paraId="33EA9D0F" w14:textId="77777777" w:rsidR="002D4FBC" w:rsidRDefault="002D4FBC" w:rsidP="002D4FBC">
      <w:pPr>
        <w:spacing w:after="0"/>
        <w:ind w:firstLine="708"/>
        <w:jc w:val="both"/>
        <w:rPr>
          <w:rFonts w:ascii="Verdana" w:hAnsi="Verdana" w:cs="Arial"/>
          <w:sz w:val="16"/>
          <w:szCs w:val="16"/>
        </w:rPr>
      </w:pPr>
      <w:r>
        <w:rPr>
          <w:rFonts w:ascii="Verdana" w:hAnsi="Verdana" w:cs="Arial"/>
          <w:sz w:val="16"/>
          <w:szCs w:val="16"/>
        </w:rPr>
        <w:t>Las entidades ejecutoras de recursos del sistema son responsables de suministrar de forma veraz, oportuna e idónea, la información de la gestión de los proyectos que se requiera e implementar las acciones que sean pertinentes para encauzar el desempeño de los proyectos de inversión y decidir, de manera motivada, sobre la continuidad de los mismos, sin perjuicio de las acciones de control a las que haya lugar.</w:t>
      </w:r>
    </w:p>
    <w:p w14:paraId="4A98292E" w14:textId="77777777" w:rsidR="002D4FBC" w:rsidRDefault="002D4FBC" w:rsidP="002D4FBC">
      <w:pPr>
        <w:spacing w:after="0"/>
        <w:ind w:firstLine="708"/>
        <w:jc w:val="both"/>
        <w:rPr>
          <w:rFonts w:ascii="Verdana" w:hAnsi="Verdana" w:cs="Arial"/>
          <w:sz w:val="16"/>
          <w:szCs w:val="16"/>
        </w:rPr>
      </w:pPr>
      <w:r>
        <w:rPr>
          <w:rFonts w:ascii="Verdana" w:hAnsi="Verdana" w:cs="Arial"/>
          <w:bCs/>
          <w:sz w:val="16"/>
          <w:szCs w:val="16"/>
        </w:rPr>
        <w:t>Parágrafo 1o.</w:t>
      </w:r>
      <w:r>
        <w:rPr>
          <w:rFonts w:ascii="Verdana" w:hAnsi="Verdana" w:cs="Arial"/>
          <w:sz w:val="16"/>
          <w:szCs w:val="16"/>
        </w:rPr>
        <w:t xml:space="preserv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p>
    <w:p w14:paraId="4A70B6A8" w14:textId="77777777" w:rsidR="002D4FBC" w:rsidRDefault="002D4FBC" w:rsidP="002D4FBC">
      <w:pPr>
        <w:spacing w:after="0"/>
        <w:ind w:firstLine="708"/>
        <w:jc w:val="both"/>
        <w:rPr>
          <w:rFonts w:ascii="Verdana" w:hAnsi="Verdana" w:cs="Arial"/>
          <w:sz w:val="16"/>
          <w:szCs w:val="16"/>
        </w:rPr>
      </w:pPr>
      <w:r>
        <w:rPr>
          <w:rFonts w:ascii="Verdana" w:hAnsi="Verdana" w:cs="Arial"/>
          <w:bCs/>
          <w:sz w:val="16"/>
          <w:szCs w:val="16"/>
        </w:rPr>
        <w:t>Parágrafo 2o.</w:t>
      </w:r>
      <w:r>
        <w:rPr>
          <w:rFonts w:ascii="Verdana" w:hAnsi="Verdana" w:cs="Arial"/>
          <w:sz w:val="16"/>
          <w:szCs w:val="16"/>
        </w:rPr>
        <w:t xml:space="preserve"> Las entidades territoriales beneficiarias de asignaciones directas, la asignación para la inversión local y del 60% de la asignación para la inversión regional en cabeza de los departamentos podrán ejecutar directamente estos recursos o la entidad ejecutora que designe.</w:t>
      </w:r>
    </w:p>
    <w:p w14:paraId="611C28EA" w14:textId="77777777" w:rsidR="002D4FBC" w:rsidRDefault="002D4FBC" w:rsidP="002D4FBC">
      <w:pPr>
        <w:spacing w:after="0"/>
        <w:ind w:firstLine="708"/>
        <w:jc w:val="both"/>
        <w:rPr>
          <w:rFonts w:ascii="Verdana" w:hAnsi="Verdana" w:cs="Arial"/>
          <w:sz w:val="16"/>
          <w:szCs w:val="16"/>
        </w:rPr>
      </w:pPr>
      <w:r>
        <w:rPr>
          <w:rFonts w:ascii="Verdana" w:hAnsi="Verdana" w:cs="Arial"/>
          <w:bCs/>
          <w:sz w:val="16"/>
          <w:szCs w:val="16"/>
        </w:rPr>
        <w:t>Parágrafo 3o.</w:t>
      </w:r>
      <w:r>
        <w:rPr>
          <w:rFonts w:ascii="Verdana" w:hAnsi="Verdana" w:cs="Arial"/>
          <w:sz w:val="16"/>
          <w:szCs w:val="16"/>
        </w:rPr>
        <w:t xml:space="preserve"> La entidad designada ejecutora por las entidades u órganos de que tratan los artículos </w:t>
      </w:r>
      <w:hyperlink r:id="rId3" w:anchor="35" w:history="1">
        <w:r>
          <w:rPr>
            <w:rStyle w:val="Hipervnculo"/>
            <w:rFonts w:ascii="Verdana" w:hAnsi="Verdana" w:cs="Arial"/>
            <w:sz w:val="16"/>
            <w:szCs w:val="16"/>
          </w:rPr>
          <w:t>35</w:t>
        </w:r>
      </w:hyperlink>
      <w:r>
        <w:rPr>
          <w:rFonts w:ascii="Verdana" w:hAnsi="Verdana" w:cs="Arial"/>
          <w:sz w:val="16"/>
          <w:szCs w:val="16"/>
        </w:rPr>
        <w:t xml:space="preserve"> y </w:t>
      </w:r>
      <w:hyperlink r:id="rId4" w:anchor="36" w:history="1">
        <w:r>
          <w:rPr>
            <w:rStyle w:val="Hipervnculo"/>
            <w:rFonts w:ascii="Verdana" w:hAnsi="Verdana" w:cs="Arial"/>
            <w:sz w:val="16"/>
            <w:szCs w:val="16"/>
          </w:rPr>
          <w:t>36</w:t>
        </w:r>
      </w:hyperlink>
      <w:r>
        <w:rPr>
          <w:rFonts w:ascii="Verdana" w:hAnsi="Verdana" w:cs="Arial"/>
          <w:sz w:val="16"/>
          <w:szCs w:val="16"/>
        </w:rPr>
        <w:t>, deberá expedir el acto administrativo que ordena la apertura del proceso de selección o acto administrativo unilateral que decreta el gasto con cargo a los recursos asignados, a más tardar dentro de los seis (6) meses contados a partir de la publicación del acuerdo de aprobación del proyecto de inversión que emita la entidad o instancia, según corresponda, y será la responsable de verificar el cumplimiento de los requisitos legales para el inicio de la ejecución del proyecto de inversión.</w:t>
      </w:r>
    </w:p>
    <w:p w14:paraId="105A89B4" w14:textId="77777777" w:rsidR="002D4FBC" w:rsidRDefault="002D4FBC" w:rsidP="002D4FBC">
      <w:pPr>
        <w:spacing w:after="0"/>
        <w:ind w:firstLine="708"/>
        <w:jc w:val="both"/>
        <w:rPr>
          <w:rFonts w:ascii="Verdana" w:hAnsi="Verdana" w:cs="Arial"/>
          <w:sz w:val="16"/>
          <w:szCs w:val="16"/>
        </w:rPr>
      </w:pPr>
      <w:r>
        <w:rPr>
          <w:rFonts w:ascii="Verdana" w:hAnsi="Verdana" w:cs="Arial"/>
          <w:sz w:val="16"/>
          <w:szCs w:val="16"/>
        </w:rPr>
        <w:t>En caso de no cumplirse lo anterior, las entidades u órganos liberarán automáticamente los recursos para la aprobación de nuevos proyectos de inversión y reportarán estos casos al sistema de seguimiento, evaluación y control para que se tengan en cuenta en la medición del desempeño en la gestión de los recursos del sistema general de regalías y a los órganos de control.</w:t>
      </w:r>
    </w:p>
    <w:p w14:paraId="7C61790E" w14:textId="77777777" w:rsidR="002D4FBC" w:rsidRDefault="002D4FBC" w:rsidP="002D4FBC">
      <w:pPr>
        <w:spacing w:after="0"/>
        <w:ind w:firstLine="708"/>
        <w:jc w:val="both"/>
        <w:rPr>
          <w:rFonts w:ascii="Verdana" w:hAnsi="Verdana"/>
          <w:sz w:val="16"/>
          <w:szCs w:val="16"/>
        </w:rPr>
      </w:pPr>
      <w:r>
        <w:rPr>
          <w:rFonts w:ascii="Verdana" w:hAnsi="Verdana" w:cs="Arial"/>
          <w:sz w:val="16"/>
          <w:szCs w:val="16"/>
        </w:rPr>
        <w:t>Se exceptúan los casos en los que por causas no atribuibles a la entidad designada como ejecutora no se logre expedir el acto administrativo que ordena la apertura del proceso de selección o acto administrativo unilateral que decreta el gasto con cargo a los recursos asignados en los seis (6) meses, caso en el cual las entidades u órganos podrán prorrogar hasta por doce (12) meses más lo estipulado en este parágrafo. la comisión rectora del sistema general de regalías reglamentará estos casos</w:t>
      </w:r>
      <w:r>
        <w:rPr>
          <w:rFonts w:ascii="Verdana" w:hAnsi="Verdana" w:cs="Arial"/>
          <w:sz w:val="16"/>
          <w:szCs w:val="16"/>
          <w:lang w:val="es-ES"/>
        </w:rPr>
        <w:t>”</w:t>
      </w:r>
      <w:r>
        <w:rPr>
          <w:rFonts w:ascii="Verdana" w:hAnsi="Verdana" w:cs="Arial"/>
          <w:sz w:val="16"/>
          <w:szCs w:val="16"/>
        </w:rPr>
        <w:t>.</w:t>
      </w:r>
    </w:p>
  </w:footnote>
  <w:footnote w:id="5">
    <w:p w14:paraId="426E16E8" w14:textId="77777777" w:rsidR="002D4FBC" w:rsidRDefault="002D4FBC" w:rsidP="002D4FBC">
      <w:pPr>
        <w:pStyle w:val="Textonotapie"/>
        <w:ind w:firstLine="708"/>
        <w:contextualSpacing/>
        <w:jc w:val="both"/>
        <w:rPr>
          <w:rFonts w:ascii="Verdana" w:hAnsi="Verdana" w:cs="Arial"/>
          <w:sz w:val="16"/>
          <w:szCs w:val="16"/>
        </w:rPr>
      </w:pPr>
      <w:r w:rsidRPr="009F301B">
        <w:rPr>
          <w:rStyle w:val="Refdenotaalpie"/>
          <w:rFonts w:ascii="Verdana" w:hAnsi="Verdana" w:cs="Arial"/>
          <w:sz w:val="16"/>
          <w:szCs w:val="16"/>
        </w:rPr>
        <w:footnoteRef/>
      </w:r>
      <w:r w:rsidRPr="009F301B">
        <w:rPr>
          <w:rFonts w:ascii="Verdana" w:hAnsi="Verdana" w:cs="Arial"/>
          <w:sz w:val="16"/>
          <w:szCs w:val="16"/>
        </w:rPr>
        <w:t xml:space="preserve"> Ley 1150 de 2007, artículo 14: </w:t>
      </w:r>
      <w:r>
        <w:rPr>
          <w:rFonts w:ascii="Verdana" w:hAnsi="Verdana" w:cs="Arial"/>
          <w:sz w:val="16"/>
          <w:szCs w:val="16"/>
        </w:rPr>
        <w:t>“</w:t>
      </w:r>
      <w:r w:rsidRPr="009F301B">
        <w:rPr>
          <w:rFonts w:ascii="Verdana" w:hAnsi="Verdana" w:cs="Arial"/>
          <w:sz w:val="16"/>
          <w:szCs w:val="16"/>
        </w:rPr>
        <w:t>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Pr>
          <w:rFonts w:ascii="Verdana" w:hAnsi="Verdana" w:cs="Arial"/>
          <w:sz w:val="16"/>
          <w:szCs w:val="16"/>
        </w:rPr>
        <w:t>”</w:t>
      </w:r>
      <w:r w:rsidRPr="009F301B">
        <w:rPr>
          <w:rFonts w:ascii="Verdana" w:hAnsi="Verdana" w:cs="Arial"/>
          <w:sz w:val="16"/>
          <w:szCs w:val="16"/>
        </w:rPr>
        <w:t>.</w:t>
      </w:r>
    </w:p>
    <w:p w14:paraId="14718FD6" w14:textId="77777777" w:rsidR="002D4FBC" w:rsidRPr="009F301B" w:rsidRDefault="002D4FBC" w:rsidP="002D4FBC">
      <w:pPr>
        <w:pStyle w:val="Textonotapie"/>
        <w:ind w:firstLine="708"/>
        <w:contextualSpacing/>
        <w:jc w:val="both"/>
        <w:rPr>
          <w:rFonts w:ascii="Verdana" w:hAnsi="Verdana" w:cs="Arial"/>
          <w:sz w:val="16"/>
          <w:szCs w:val="16"/>
        </w:rPr>
      </w:pPr>
    </w:p>
  </w:footnote>
  <w:footnote w:id="6">
    <w:p w14:paraId="63A7B824" w14:textId="77777777" w:rsidR="002D4FBC" w:rsidRPr="00591347" w:rsidRDefault="002D4FBC" w:rsidP="002D4FBC">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color w:val="000000" w:themeColor="text1"/>
          <w:sz w:val="16"/>
          <w:szCs w:val="16"/>
        </w:rPr>
        <w:t>Artículo 84.</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color w:val="000000" w:themeColor="text1"/>
          <w:sz w:val="16"/>
          <w:szCs w:val="16"/>
        </w:rPr>
        <w:t xml:space="preserve"> </w:t>
      </w:r>
      <w:r w:rsidRPr="00591347">
        <w:rPr>
          <w:rStyle w:val="baj"/>
          <w:rFonts w:ascii="Verdana" w:hAnsi="Verdana" w:cs="Arial"/>
          <w:color w:val="000000" w:themeColor="text1"/>
          <w:sz w:val="16"/>
          <w:szCs w:val="16"/>
        </w:rPr>
        <w:t>PARÁGRAFO 2o.</w:t>
      </w:r>
      <w:r w:rsidRPr="00591347">
        <w:rPr>
          <w:rFonts w:ascii="Verdana" w:hAnsi="Verdana" w:cs="Arial"/>
          <w:color w:val="000000" w:themeColor="text1"/>
          <w:sz w:val="16"/>
          <w:szCs w:val="16"/>
        </w:rPr>
        <w:t xml:space="preserve"> La ejecución de los proyectos de inversión financiados con recursos del Sistema General de Regalías se adelantará con estricta sujeción al régimen presupuestal definido en esta ley </w:t>
      </w:r>
      <w:r w:rsidRPr="00591347">
        <w:rPr>
          <w:rFonts w:ascii="Verdana" w:hAnsi="Verdana" w:cs="Arial"/>
          <w:i/>
          <w:iCs/>
          <w:color w:val="000000" w:themeColor="text1"/>
          <w:sz w:val="16"/>
          <w:szCs w:val="16"/>
        </w:rPr>
        <w:t>y al de contratación pública</w:t>
      </w:r>
      <w:r w:rsidRPr="00591347">
        <w:rPr>
          <w:rFonts w:ascii="Verdana" w:hAnsi="Verdana" w:cs="Arial"/>
          <w:color w:val="000000" w:themeColor="text1"/>
          <w:sz w:val="16"/>
          <w:szCs w:val="16"/>
        </w:rPr>
        <w:t xml:space="preserve"> y a las normas legales vigentes. El ejecutor será el ordenador del gasto y garantizará la correcta ejecución de los recursos asignados al proyecto de inversión, así como el suministro y registro de la información requerida por el Sistema de Seguimiento, Evaluación y Control.</w:t>
      </w:r>
    </w:p>
  </w:footnote>
  <w:footnote w:id="7">
    <w:p w14:paraId="34502E25" w14:textId="77777777" w:rsidR="002D4FBC" w:rsidRPr="00591347" w:rsidRDefault="002D4FBC" w:rsidP="002D4FBC">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bookmarkStart w:id="6" w:name="85"/>
      <w:r w:rsidRPr="00591347">
        <w:rPr>
          <w:rFonts w:ascii="Verdana" w:hAnsi="Verdana"/>
          <w:b/>
          <w:bCs/>
          <w:sz w:val="16"/>
          <w:szCs w:val="16"/>
          <w:lang w:val="es-CO"/>
        </w:rPr>
        <w:t xml:space="preserve"> </w:t>
      </w:r>
      <w:r w:rsidRPr="00591347">
        <w:rPr>
          <w:rFonts w:ascii="Verdana" w:hAnsi="Verdana"/>
          <w:sz w:val="16"/>
          <w:szCs w:val="16"/>
          <w:lang w:val="es-CO"/>
        </w:rPr>
        <w:t xml:space="preserve">Artículo 85.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Ejecución De Recursos.</w:t>
      </w:r>
      <w:bookmarkEnd w:id="6"/>
      <w:r w:rsidRPr="00591347">
        <w:rPr>
          <w:rFonts w:ascii="Verdana" w:hAnsi="Verdana"/>
          <w:sz w:val="16"/>
          <w:szCs w:val="16"/>
          <w:lang w:val="es-CO"/>
        </w:rPr>
        <w:t> Los actos o contratos que expidan o celebren los ejecutores se regirán po</w:t>
      </w:r>
      <w:r w:rsidRPr="00591347">
        <w:rPr>
          <w:rFonts w:ascii="Verdana" w:hAnsi="Verdana"/>
          <w:color w:val="000000" w:themeColor="text1"/>
          <w:sz w:val="16"/>
          <w:szCs w:val="16"/>
          <w:lang w:val="es-CO"/>
        </w:rPr>
        <w:t xml:space="preserve">r las normas presupuestales contenidas en la presente ley, </w:t>
      </w:r>
      <w:r w:rsidRPr="00591347">
        <w:rPr>
          <w:rFonts w:ascii="Verdana" w:hAnsi="Verdana"/>
          <w:i/>
          <w:iCs/>
          <w:color w:val="000000" w:themeColor="text1"/>
          <w:sz w:val="16"/>
          <w:szCs w:val="16"/>
          <w:lang w:val="es-CO"/>
        </w:rPr>
        <w:t>el Estatuto de Contratación Estatal</w:t>
      </w:r>
      <w:r w:rsidRPr="00591347">
        <w:rPr>
          <w:rFonts w:ascii="Verdana" w:hAnsi="Verdana"/>
          <w:color w:val="000000" w:themeColor="text1"/>
          <w:sz w:val="16"/>
          <w:szCs w:val="16"/>
          <w:lang w:val="es-CO"/>
        </w:rPr>
        <w:t>, los Decretos </w:t>
      </w:r>
      <w:hyperlink r:id="rId5" w:anchor="INICIO" w:history="1">
        <w:r w:rsidRPr="00591347">
          <w:rPr>
            <w:rStyle w:val="Hipervnculo"/>
            <w:rFonts w:ascii="Verdana" w:hAnsi="Verdana"/>
            <w:color w:val="000000" w:themeColor="text1"/>
            <w:sz w:val="16"/>
            <w:szCs w:val="16"/>
            <w:lang w:val="es-CO"/>
          </w:rPr>
          <w:t>1088</w:t>
        </w:r>
      </w:hyperlink>
      <w:r w:rsidRPr="00591347">
        <w:rPr>
          <w:rFonts w:ascii="Verdana" w:hAnsi="Verdana"/>
          <w:color w:val="000000" w:themeColor="text1"/>
          <w:sz w:val="16"/>
          <w:szCs w:val="16"/>
          <w:lang w:val="es-CO"/>
        </w:rPr>
        <w:t> de 1993 y </w:t>
      </w:r>
      <w:hyperlink r:id="rId6" w:anchor="INICIO" w:history="1">
        <w:r w:rsidRPr="00591347">
          <w:rPr>
            <w:rStyle w:val="Hipervnculo"/>
            <w:rFonts w:ascii="Verdana" w:hAnsi="Verdana"/>
            <w:color w:val="000000" w:themeColor="text1"/>
            <w:sz w:val="16"/>
            <w:szCs w:val="16"/>
            <w:lang w:val="es-CO"/>
          </w:rPr>
          <w:t>252</w:t>
        </w:r>
      </w:hyperlink>
      <w:r w:rsidRPr="00591347">
        <w:rPr>
          <w:rFonts w:ascii="Verdana" w:hAnsi="Verdana"/>
          <w:color w:val="000000" w:themeColor="text1"/>
          <w:sz w:val="16"/>
          <w:szCs w:val="16"/>
          <w:lang w:val="es-CO"/>
        </w:rPr>
        <w:t> de 2020, las normas contables que para este efecto defina la Contaduría General de la Nación y las demás disposiciones complementarias</w:t>
      </w:r>
      <w:r w:rsidRPr="00591347">
        <w:rPr>
          <w:rFonts w:ascii="Verdana" w:hAnsi="Verdana"/>
          <w:sz w:val="16"/>
          <w:szCs w:val="16"/>
          <w:lang w:val="es-CO"/>
        </w:rPr>
        <w:t>.</w:t>
      </w:r>
    </w:p>
  </w:footnote>
  <w:footnote w:id="8">
    <w:p w14:paraId="03071EF5" w14:textId="77777777" w:rsidR="002D4FBC" w:rsidRPr="00591347" w:rsidRDefault="002D4FBC" w:rsidP="002D4FBC">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color w:val="000000" w:themeColor="text1"/>
          <w:sz w:val="16"/>
          <w:szCs w:val="16"/>
        </w:rPr>
        <w:t xml:space="preserve">Artículo 98.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 xml:space="preserve">PARÁGRAFO 2o. La ejecución de proyectos de inversión de que trata este artículo, se adelantará, con estricta sujeción al régimen presupuestal definido en esta ley y </w:t>
      </w:r>
      <w:r w:rsidRPr="00591347">
        <w:rPr>
          <w:rFonts w:ascii="Verdana" w:hAnsi="Verdana"/>
          <w:i/>
          <w:iCs/>
          <w:sz w:val="16"/>
          <w:szCs w:val="16"/>
          <w:lang w:val="es-CO"/>
        </w:rPr>
        <w:t>al de contratación pública</w:t>
      </w:r>
      <w:r w:rsidRPr="00591347">
        <w:rPr>
          <w:rFonts w:ascii="Verdana" w:hAnsi="Verdana"/>
          <w:sz w:val="16"/>
          <w:szCs w:val="16"/>
          <w:lang w:val="es-CO"/>
        </w:rPr>
        <w:t xml:space="preserve"> o a las normas legales vigentes. El ejecutor será el ordenador del gasto y garantizará la correcta ejecución de los recursos asignados al proyecto de inversión, así como el suministro y registro de la información requerida por el Sistema de Seguimiento, Evaluación y Control.</w:t>
      </w:r>
    </w:p>
  </w:footnote>
  <w:footnote w:id="9">
    <w:p w14:paraId="433B447E" w14:textId="77777777" w:rsidR="002D4FBC" w:rsidRPr="00591347" w:rsidRDefault="002D4FBC" w:rsidP="002D4FBC">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bookmarkStart w:id="7" w:name="99"/>
      <w:r w:rsidRPr="00591347">
        <w:rPr>
          <w:rFonts w:ascii="Verdana" w:hAnsi="Verdana"/>
          <w:sz w:val="16"/>
          <w:szCs w:val="16"/>
          <w:lang w:val="es-CO"/>
        </w:rPr>
        <w:t xml:space="preserve">Artículo 99.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Ejecución De Recursos.</w:t>
      </w:r>
      <w:bookmarkEnd w:id="7"/>
      <w:r w:rsidRPr="00591347">
        <w:rPr>
          <w:rFonts w:ascii="Verdana" w:hAnsi="Verdana"/>
          <w:sz w:val="16"/>
          <w:szCs w:val="16"/>
          <w:lang w:val="es-CO"/>
        </w:rPr>
        <w:t xml:space="preserve"> Los actos o contratos que expidan o celebren los ejecutores se regirán por las normas presupuestales contenidas en la presente ley, </w:t>
      </w:r>
      <w:r w:rsidRPr="00591347">
        <w:rPr>
          <w:rFonts w:ascii="Verdana" w:hAnsi="Verdana"/>
          <w:i/>
          <w:iCs/>
          <w:sz w:val="16"/>
          <w:szCs w:val="16"/>
          <w:lang w:val="es-CO"/>
        </w:rPr>
        <w:t>el Estatuto de Contratación Estatal</w:t>
      </w:r>
      <w:r w:rsidRPr="00591347">
        <w:rPr>
          <w:rFonts w:ascii="Verdana" w:hAnsi="Verdana"/>
          <w:sz w:val="16"/>
          <w:szCs w:val="16"/>
          <w:lang w:val="es-CO"/>
        </w:rPr>
        <w:t>, las normas contables que para este efecto defina la Contaduría General de la Nación y las demás disposiciones complementarias.</w:t>
      </w:r>
    </w:p>
  </w:footnote>
  <w:footnote w:id="10">
    <w:p w14:paraId="53BF650D" w14:textId="77777777" w:rsidR="002D4FBC" w:rsidRPr="00591347" w:rsidRDefault="002D4FBC" w:rsidP="002D4FBC">
      <w:pPr>
        <w:pStyle w:val="Textonotapie"/>
        <w:ind w:firstLine="709"/>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color w:val="000000" w:themeColor="text1"/>
          <w:sz w:val="16"/>
          <w:szCs w:val="16"/>
        </w:rPr>
        <w:t xml:space="preserve">Artículo 108.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PARÁGRAFO 2o. La ejecución de proyectos de inversión de que trata este artículo, se adelantará, con estricta sujeción al régimen presupuestal definido en esta ley y al de contratación pública o a las normas legales vigentes. El ejecutor será el ordenador del gasto y garantizará la correcta ejecución de los recursos asignados al proyecto de inversión, así como el suministro y registro de la información requerida por el Sistema de Seguimiento, Evaluación y Control.</w:t>
      </w:r>
    </w:p>
  </w:footnote>
  <w:footnote w:id="11">
    <w:p w14:paraId="709474F1" w14:textId="77777777" w:rsidR="002D4FBC" w:rsidRPr="00591347" w:rsidRDefault="002D4FBC" w:rsidP="002D4FBC">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bookmarkStart w:id="8" w:name="109"/>
      <w:r w:rsidRPr="00591347">
        <w:rPr>
          <w:rFonts w:ascii="Verdana" w:hAnsi="Verdana" w:cs="Arial"/>
          <w:color w:val="000000" w:themeColor="text1"/>
          <w:sz w:val="16"/>
          <w:szCs w:val="16"/>
        </w:rPr>
        <w:t xml:space="preserve">Artículo 109.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cs="Arial"/>
          <w:color w:val="000000" w:themeColor="text1"/>
          <w:sz w:val="16"/>
          <w:szCs w:val="16"/>
        </w:rPr>
        <w:t>Ejecución De Recursos.</w:t>
      </w:r>
      <w:bookmarkEnd w:id="8"/>
      <w:r w:rsidRPr="00591347">
        <w:rPr>
          <w:rFonts w:ascii="Verdana" w:hAnsi="Verdana" w:cs="Arial"/>
          <w:color w:val="000000" w:themeColor="text1"/>
          <w:sz w:val="16"/>
          <w:szCs w:val="16"/>
        </w:rPr>
        <w:t xml:space="preserve"> Los actos o contratos que expidan o celebren los ejecutores se regirán por las normas presupuestales contenidas en la presente ley, </w:t>
      </w:r>
      <w:r w:rsidRPr="00591347">
        <w:rPr>
          <w:rFonts w:ascii="Verdana" w:hAnsi="Verdana" w:cs="Arial"/>
          <w:i/>
          <w:iCs/>
          <w:color w:val="000000" w:themeColor="text1"/>
          <w:sz w:val="16"/>
          <w:szCs w:val="16"/>
        </w:rPr>
        <w:t>el Estatuto de Contratación Estatal,</w:t>
      </w:r>
      <w:r w:rsidRPr="00591347">
        <w:rPr>
          <w:rFonts w:ascii="Verdana" w:hAnsi="Verdana" w:cs="Arial"/>
          <w:color w:val="000000" w:themeColor="text1"/>
          <w:sz w:val="16"/>
          <w:szCs w:val="16"/>
        </w:rPr>
        <w:t xml:space="preserve"> las normas contables que para este efecto defina la Contaduría General de la Nación y las demás disposiciones complementarias.</w:t>
      </w:r>
    </w:p>
  </w:footnote>
  <w:footnote w:id="12">
    <w:p w14:paraId="0A573DDC" w14:textId="77777777" w:rsidR="002D4FBC" w:rsidRPr="00591347" w:rsidRDefault="002D4FBC" w:rsidP="002D4FBC">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Consejo De Estado. Sección tercera. Sentencia del 7 de marzo de 2025. Radicación No.69.941. C.P: José Roberto Sáchica. </w:t>
      </w:r>
    </w:p>
  </w:footnote>
  <w:footnote w:id="13">
    <w:p w14:paraId="4FECE196" w14:textId="77777777" w:rsidR="002D4FBC" w:rsidRPr="00591347" w:rsidRDefault="002D4FBC" w:rsidP="002D4FBC">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La exposición de motivos de la Ley 2056 de 2020 explica que “el proyecto de ley prevé que los proyectos de inversión que se financien con cargo al SGR serán ejecutados por quien designe la entidad u órgano que apruebe y priorice el respetivo proyecto, y que la entidad ejecutora estará a cargo de la contratación de la interventoría, la cual se regirá por los establecido en el Estatuto General de Contratación de la Administración Pública vigente</w:t>
      </w:r>
      <w:r w:rsidRPr="00591347">
        <w:rPr>
          <w:rFonts w:ascii="Verdana" w:hAnsi="Verdana" w:cs="Arial"/>
          <w:sz w:val="16"/>
          <w:szCs w:val="16"/>
          <w:lang w:val="es-ES"/>
        </w:rPr>
        <w:t xml:space="preserve">. Gaceta 638 del 2020 Disponible en: </w:t>
      </w:r>
      <w:hyperlink r:id="rId7" w:history="1">
        <w:r w:rsidRPr="00591347">
          <w:rPr>
            <w:rStyle w:val="Hipervnculo"/>
            <w:rFonts w:ascii="Verdana" w:hAnsi="Verdana" w:cs="Arial"/>
            <w:sz w:val="16"/>
            <w:szCs w:val="16"/>
            <w:lang w:val="es-ES"/>
          </w:rPr>
          <w:t>https://leyes.senado.gov.co/proyectos/index.php/proyectos-ley/cuatrenio-2018-2022/2020-2021/article/200-por-el-cual-se-regula-la-organizacion-y-el-funcionamiento-del-sistema-general-de-regalias-mensaje-de-urgencia</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3B5D22"/>
    <w:multiLevelType w:val="hybridMultilevel"/>
    <w:tmpl w:val="440039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0769791B"/>
    <w:multiLevelType w:val="hybridMultilevel"/>
    <w:tmpl w:val="6BF6515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5"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8"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0"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1" w15:restartNumberingAfterBreak="0">
    <w:nsid w:val="251123D3"/>
    <w:multiLevelType w:val="hybridMultilevel"/>
    <w:tmpl w:val="6B7E2E24"/>
    <w:lvl w:ilvl="0" w:tplc="A3687E8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3"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7"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15:restartNumberingAfterBreak="0">
    <w:nsid w:val="41546F3E"/>
    <w:multiLevelType w:val="hybridMultilevel"/>
    <w:tmpl w:val="249CDDD8"/>
    <w:lvl w:ilvl="0" w:tplc="23FE460A">
      <w:start w:val="1"/>
      <w:numFmt w:val="lowerRoman"/>
      <w:lvlText w:val="(%1)"/>
      <w:lvlJc w:val="left"/>
      <w:pPr>
        <w:ind w:left="1070" w:hanging="360"/>
      </w:pPr>
      <w:rPr>
        <w:rFonts w:ascii="Verdana" w:eastAsia="Times New Roman" w:hAnsi="Verdana" w:cs="Arial"/>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2"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D2E11D7"/>
    <w:multiLevelType w:val="multilevel"/>
    <w:tmpl w:val="28FCC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7"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31"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6EC84743"/>
    <w:multiLevelType w:val="hybridMultilevel"/>
    <w:tmpl w:val="9790F6FE"/>
    <w:lvl w:ilvl="0" w:tplc="6D1C2B0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78226FF1"/>
    <w:multiLevelType w:val="hybridMultilevel"/>
    <w:tmpl w:val="18F0F084"/>
    <w:lvl w:ilvl="0" w:tplc="6A3AC74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40"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5"/>
  </w:num>
  <w:num w:numId="3" w16cid:durableId="679089576">
    <w:abstractNumId w:val="19"/>
  </w:num>
  <w:num w:numId="4" w16cid:durableId="893472101">
    <w:abstractNumId w:val="10"/>
  </w:num>
  <w:num w:numId="5" w16cid:durableId="1982299905">
    <w:abstractNumId w:val="40"/>
  </w:num>
  <w:num w:numId="6" w16cid:durableId="130758360">
    <w:abstractNumId w:val="23"/>
  </w:num>
  <w:num w:numId="7" w16cid:durableId="262541512">
    <w:abstractNumId w:val="36"/>
  </w:num>
  <w:num w:numId="8" w16cid:durableId="1947226218">
    <w:abstractNumId w:val="18"/>
  </w:num>
  <w:num w:numId="9" w16cid:durableId="1180706126">
    <w:abstractNumId w:val="22"/>
  </w:num>
  <w:num w:numId="10" w16cid:durableId="2097506960">
    <w:abstractNumId w:val="29"/>
  </w:num>
  <w:num w:numId="11" w16cid:durableId="1977490869">
    <w:abstractNumId w:val="27"/>
  </w:num>
  <w:num w:numId="12" w16cid:durableId="158663248">
    <w:abstractNumId w:val="26"/>
  </w:num>
  <w:num w:numId="13" w16cid:durableId="2024085788">
    <w:abstractNumId w:val="3"/>
  </w:num>
  <w:num w:numId="14" w16cid:durableId="1885099950">
    <w:abstractNumId w:val="17"/>
  </w:num>
  <w:num w:numId="15" w16cid:durableId="32047459">
    <w:abstractNumId w:val="12"/>
  </w:num>
  <w:num w:numId="16" w16cid:durableId="1192261824">
    <w:abstractNumId w:val="13"/>
  </w:num>
  <w:num w:numId="17" w16cid:durableId="375933272">
    <w:abstractNumId w:val="20"/>
  </w:num>
  <w:num w:numId="18" w16cid:durableId="610939998">
    <w:abstractNumId w:val="30"/>
  </w:num>
  <w:num w:numId="19" w16cid:durableId="1910656144">
    <w:abstractNumId w:val="5"/>
  </w:num>
  <w:num w:numId="20" w16cid:durableId="947545103">
    <w:abstractNumId w:val="16"/>
  </w:num>
  <w:num w:numId="21" w16cid:durableId="1851335222">
    <w:abstractNumId w:val="39"/>
  </w:num>
  <w:num w:numId="22" w16cid:durableId="578707994">
    <w:abstractNumId w:val="7"/>
  </w:num>
  <w:num w:numId="23" w16cid:durableId="876742304">
    <w:abstractNumId w:val="14"/>
  </w:num>
  <w:num w:numId="24" w16cid:durableId="1994095851">
    <w:abstractNumId w:val="8"/>
  </w:num>
  <w:num w:numId="25" w16cid:durableId="1567109325">
    <w:abstractNumId w:val="31"/>
  </w:num>
  <w:num w:numId="26" w16cid:durableId="1116487847">
    <w:abstractNumId w:val="24"/>
  </w:num>
  <w:num w:numId="27" w16cid:durableId="611326471">
    <w:abstractNumId w:val="34"/>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8"/>
  </w:num>
  <w:num w:numId="30" w16cid:durableId="363991975">
    <w:abstractNumId w:val="35"/>
  </w:num>
  <w:num w:numId="31" w16cid:durableId="1509440290">
    <w:abstractNumId w:val="28"/>
  </w:num>
  <w:num w:numId="32" w16cid:durableId="1601723362">
    <w:abstractNumId w:val="9"/>
  </w:num>
  <w:num w:numId="33" w16cid:durableId="1484539021">
    <w:abstractNumId w:val="6"/>
  </w:num>
  <w:num w:numId="34" w16cid:durableId="1387339555">
    <w:abstractNumId w:val="4"/>
  </w:num>
  <w:num w:numId="35" w16cid:durableId="591087840">
    <w:abstractNumId w:val="32"/>
  </w:num>
  <w:num w:numId="36" w16cid:durableId="1632059173">
    <w:abstractNumId w:val="37"/>
  </w:num>
  <w:num w:numId="37" w16cid:durableId="742992957">
    <w:abstractNumId w:val="19"/>
  </w:num>
  <w:num w:numId="38" w16cid:durableId="1317681908">
    <w:abstractNumId w:val="11"/>
  </w:num>
  <w:num w:numId="39" w16cid:durableId="720791760">
    <w:abstractNumId w:val="33"/>
  </w:num>
  <w:num w:numId="40" w16cid:durableId="1801609052">
    <w:abstractNumId w:val="25"/>
  </w:num>
  <w:num w:numId="41" w16cid:durableId="1323969573">
    <w:abstractNumId w:val="21"/>
  </w:num>
  <w:num w:numId="42" w16cid:durableId="12466946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08"/>
    <w:rsid w:val="00001E39"/>
    <w:rsid w:val="00002920"/>
    <w:rsid w:val="00002D55"/>
    <w:rsid w:val="000032FD"/>
    <w:rsid w:val="0000399A"/>
    <w:rsid w:val="00005225"/>
    <w:rsid w:val="000054DB"/>
    <w:rsid w:val="0000587D"/>
    <w:rsid w:val="000059AE"/>
    <w:rsid w:val="00005BB0"/>
    <w:rsid w:val="00006F59"/>
    <w:rsid w:val="00007086"/>
    <w:rsid w:val="00007382"/>
    <w:rsid w:val="000073C5"/>
    <w:rsid w:val="00007576"/>
    <w:rsid w:val="0001025F"/>
    <w:rsid w:val="0001155E"/>
    <w:rsid w:val="00011613"/>
    <w:rsid w:val="00011D3C"/>
    <w:rsid w:val="0001222D"/>
    <w:rsid w:val="00012550"/>
    <w:rsid w:val="00012679"/>
    <w:rsid w:val="00012C27"/>
    <w:rsid w:val="00012EDA"/>
    <w:rsid w:val="00013B3F"/>
    <w:rsid w:val="00014981"/>
    <w:rsid w:val="00014B0D"/>
    <w:rsid w:val="00014E7B"/>
    <w:rsid w:val="00016280"/>
    <w:rsid w:val="0001672C"/>
    <w:rsid w:val="00016F04"/>
    <w:rsid w:val="00017870"/>
    <w:rsid w:val="00021068"/>
    <w:rsid w:val="00021595"/>
    <w:rsid w:val="000219D1"/>
    <w:rsid w:val="00021C3A"/>
    <w:rsid w:val="0002202D"/>
    <w:rsid w:val="00022C23"/>
    <w:rsid w:val="00023DF7"/>
    <w:rsid w:val="00024F51"/>
    <w:rsid w:val="000267DD"/>
    <w:rsid w:val="000273EA"/>
    <w:rsid w:val="00027B63"/>
    <w:rsid w:val="00027CA9"/>
    <w:rsid w:val="00030B3D"/>
    <w:rsid w:val="00030BC5"/>
    <w:rsid w:val="00030BFB"/>
    <w:rsid w:val="00031DA1"/>
    <w:rsid w:val="00031EAF"/>
    <w:rsid w:val="0003287A"/>
    <w:rsid w:val="00033390"/>
    <w:rsid w:val="000361D4"/>
    <w:rsid w:val="000361EA"/>
    <w:rsid w:val="0003699E"/>
    <w:rsid w:val="000369C0"/>
    <w:rsid w:val="0003731A"/>
    <w:rsid w:val="00037A8B"/>
    <w:rsid w:val="000400C6"/>
    <w:rsid w:val="00040372"/>
    <w:rsid w:val="000408AD"/>
    <w:rsid w:val="00041469"/>
    <w:rsid w:val="0004180C"/>
    <w:rsid w:val="000419D7"/>
    <w:rsid w:val="00042DD7"/>
    <w:rsid w:val="000438BA"/>
    <w:rsid w:val="00043EE5"/>
    <w:rsid w:val="000442CC"/>
    <w:rsid w:val="000442DE"/>
    <w:rsid w:val="0004491F"/>
    <w:rsid w:val="00044B24"/>
    <w:rsid w:val="0004508D"/>
    <w:rsid w:val="0004526E"/>
    <w:rsid w:val="00045B37"/>
    <w:rsid w:val="0004709D"/>
    <w:rsid w:val="000504AA"/>
    <w:rsid w:val="0005086B"/>
    <w:rsid w:val="0005098A"/>
    <w:rsid w:val="00050C95"/>
    <w:rsid w:val="00050CAD"/>
    <w:rsid w:val="0005142D"/>
    <w:rsid w:val="00051A3C"/>
    <w:rsid w:val="00051BE4"/>
    <w:rsid w:val="00051E96"/>
    <w:rsid w:val="000526A8"/>
    <w:rsid w:val="00052EF1"/>
    <w:rsid w:val="0005420B"/>
    <w:rsid w:val="00054DFE"/>
    <w:rsid w:val="00054F10"/>
    <w:rsid w:val="000551CB"/>
    <w:rsid w:val="00055ED8"/>
    <w:rsid w:val="0005620B"/>
    <w:rsid w:val="00057392"/>
    <w:rsid w:val="00057740"/>
    <w:rsid w:val="000577A2"/>
    <w:rsid w:val="000577D3"/>
    <w:rsid w:val="00057963"/>
    <w:rsid w:val="000579AB"/>
    <w:rsid w:val="00060AE4"/>
    <w:rsid w:val="000618E5"/>
    <w:rsid w:val="000622B9"/>
    <w:rsid w:val="000631E9"/>
    <w:rsid w:val="00063B4B"/>
    <w:rsid w:val="00064431"/>
    <w:rsid w:val="00064721"/>
    <w:rsid w:val="00064D60"/>
    <w:rsid w:val="0006565C"/>
    <w:rsid w:val="00065973"/>
    <w:rsid w:val="00065C6D"/>
    <w:rsid w:val="000665D3"/>
    <w:rsid w:val="00066646"/>
    <w:rsid w:val="00066C7A"/>
    <w:rsid w:val="00066CF1"/>
    <w:rsid w:val="000678BB"/>
    <w:rsid w:val="000709EF"/>
    <w:rsid w:val="00070D9B"/>
    <w:rsid w:val="0007144A"/>
    <w:rsid w:val="000716AB"/>
    <w:rsid w:val="00071AB8"/>
    <w:rsid w:val="0007243A"/>
    <w:rsid w:val="00072AF5"/>
    <w:rsid w:val="000734CB"/>
    <w:rsid w:val="00074660"/>
    <w:rsid w:val="000752FA"/>
    <w:rsid w:val="0007560A"/>
    <w:rsid w:val="00075781"/>
    <w:rsid w:val="00075BDC"/>
    <w:rsid w:val="00076211"/>
    <w:rsid w:val="000762C0"/>
    <w:rsid w:val="0007655A"/>
    <w:rsid w:val="00076737"/>
    <w:rsid w:val="00076C2B"/>
    <w:rsid w:val="00076C73"/>
    <w:rsid w:val="00076F81"/>
    <w:rsid w:val="000772B1"/>
    <w:rsid w:val="000779DE"/>
    <w:rsid w:val="000800B6"/>
    <w:rsid w:val="0008086F"/>
    <w:rsid w:val="00080D15"/>
    <w:rsid w:val="00081B03"/>
    <w:rsid w:val="00081BAA"/>
    <w:rsid w:val="000847A0"/>
    <w:rsid w:val="00084BFD"/>
    <w:rsid w:val="00085BD2"/>
    <w:rsid w:val="0008651B"/>
    <w:rsid w:val="00087073"/>
    <w:rsid w:val="0008734C"/>
    <w:rsid w:val="0008739A"/>
    <w:rsid w:val="000875BD"/>
    <w:rsid w:val="000878E7"/>
    <w:rsid w:val="00087A3B"/>
    <w:rsid w:val="00087C01"/>
    <w:rsid w:val="000903E4"/>
    <w:rsid w:val="000906E3"/>
    <w:rsid w:val="00091D73"/>
    <w:rsid w:val="0009252F"/>
    <w:rsid w:val="000933B5"/>
    <w:rsid w:val="000933BC"/>
    <w:rsid w:val="00093544"/>
    <w:rsid w:val="00093D95"/>
    <w:rsid w:val="00093F87"/>
    <w:rsid w:val="00094663"/>
    <w:rsid w:val="00095410"/>
    <w:rsid w:val="00095CF4"/>
    <w:rsid w:val="00095E48"/>
    <w:rsid w:val="00096637"/>
    <w:rsid w:val="0009726B"/>
    <w:rsid w:val="00097285"/>
    <w:rsid w:val="0009740F"/>
    <w:rsid w:val="000975EA"/>
    <w:rsid w:val="000A021A"/>
    <w:rsid w:val="000A1828"/>
    <w:rsid w:val="000A1C31"/>
    <w:rsid w:val="000A1D06"/>
    <w:rsid w:val="000A1F38"/>
    <w:rsid w:val="000A2030"/>
    <w:rsid w:val="000A37F5"/>
    <w:rsid w:val="000A413A"/>
    <w:rsid w:val="000A4F1E"/>
    <w:rsid w:val="000A5881"/>
    <w:rsid w:val="000A66A1"/>
    <w:rsid w:val="000A69FB"/>
    <w:rsid w:val="000A776F"/>
    <w:rsid w:val="000A77D4"/>
    <w:rsid w:val="000B0B16"/>
    <w:rsid w:val="000B1087"/>
    <w:rsid w:val="000B146F"/>
    <w:rsid w:val="000B1936"/>
    <w:rsid w:val="000B199A"/>
    <w:rsid w:val="000B1FF7"/>
    <w:rsid w:val="000B2529"/>
    <w:rsid w:val="000B2685"/>
    <w:rsid w:val="000B2B7C"/>
    <w:rsid w:val="000B3027"/>
    <w:rsid w:val="000B377E"/>
    <w:rsid w:val="000B381D"/>
    <w:rsid w:val="000B3DD4"/>
    <w:rsid w:val="000B4024"/>
    <w:rsid w:val="000B44BA"/>
    <w:rsid w:val="000B4C9C"/>
    <w:rsid w:val="000B5311"/>
    <w:rsid w:val="000B5313"/>
    <w:rsid w:val="000B5C05"/>
    <w:rsid w:val="000B5C65"/>
    <w:rsid w:val="000B5F1D"/>
    <w:rsid w:val="000B5FB9"/>
    <w:rsid w:val="000B69C5"/>
    <w:rsid w:val="000B6BE9"/>
    <w:rsid w:val="000C02AD"/>
    <w:rsid w:val="000C060A"/>
    <w:rsid w:val="000C07B0"/>
    <w:rsid w:val="000C09DF"/>
    <w:rsid w:val="000C0AA8"/>
    <w:rsid w:val="000C18BD"/>
    <w:rsid w:val="000C1FC8"/>
    <w:rsid w:val="000C36E1"/>
    <w:rsid w:val="000C42A9"/>
    <w:rsid w:val="000C42C6"/>
    <w:rsid w:val="000C50D6"/>
    <w:rsid w:val="000C51E1"/>
    <w:rsid w:val="000C557B"/>
    <w:rsid w:val="000C5A85"/>
    <w:rsid w:val="000C5F29"/>
    <w:rsid w:val="000C5F48"/>
    <w:rsid w:val="000C66BF"/>
    <w:rsid w:val="000C6BA6"/>
    <w:rsid w:val="000C6FC1"/>
    <w:rsid w:val="000C7FF8"/>
    <w:rsid w:val="000D0372"/>
    <w:rsid w:val="000D0ADE"/>
    <w:rsid w:val="000D19D6"/>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161A"/>
    <w:rsid w:val="000E1D6F"/>
    <w:rsid w:val="000E2D0D"/>
    <w:rsid w:val="000E3381"/>
    <w:rsid w:val="000E3744"/>
    <w:rsid w:val="000E3CD9"/>
    <w:rsid w:val="000E481D"/>
    <w:rsid w:val="000E496B"/>
    <w:rsid w:val="000E4DBF"/>
    <w:rsid w:val="000E4DF2"/>
    <w:rsid w:val="000E5844"/>
    <w:rsid w:val="000E634B"/>
    <w:rsid w:val="000E7349"/>
    <w:rsid w:val="000E762D"/>
    <w:rsid w:val="000E77CC"/>
    <w:rsid w:val="000F0144"/>
    <w:rsid w:val="000F0783"/>
    <w:rsid w:val="000F0807"/>
    <w:rsid w:val="000F080D"/>
    <w:rsid w:val="000F0B3C"/>
    <w:rsid w:val="000F13D5"/>
    <w:rsid w:val="000F175F"/>
    <w:rsid w:val="000F1AD8"/>
    <w:rsid w:val="000F2F4C"/>
    <w:rsid w:val="000F306E"/>
    <w:rsid w:val="000F38D9"/>
    <w:rsid w:val="000F3CED"/>
    <w:rsid w:val="000F414C"/>
    <w:rsid w:val="000F4ABE"/>
    <w:rsid w:val="000F6320"/>
    <w:rsid w:val="000F64FC"/>
    <w:rsid w:val="000F696E"/>
    <w:rsid w:val="000F6C10"/>
    <w:rsid w:val="000F718E"/>
    <w:rsid w:val="001001F2"/>
    <w:rsid w:val="00100207"/>
    <w:rsid w:val="001003C6"/>
    <w:rsid w:val="00100682"/>
    <w:rsid w:val="00100F25"/>
    <w:rsid w:val="001010D3"/>
    <w:rsid w:val="0010144A"/>
    <w:rsid w:val="00101C11"/>
    <w:rsid w:val="00102F4F"/>
    <w:rsid w:val="001034DD"/>
    <w:rsid w:val="00104425"/>
    <w:rsid w:val="00104B4C"/>
    <w:rsid w:val="00104B57"/>
    <w:rsid w:val="00105135"/>
    <w:rsid w:val="001055A2"/>
    <w:rsid w:val="00105DC2"/>
    <w:rsid w:val="0010682A"/>
    <w:rsid w:val="00106C4C"/>
    <w:rsid w:val="001079AE"/>
    <w:rsid w:val="00107DEF"/>
    <w:rsid w:val="00110145"/>
    <w:rsid w:val="0011031D"/>
    <w:rsid w:val="0011037E"/>
    <w:rsid w:val="00110404"/>
    <w:rsid w:val="001109E8"/>
    <w:rsid w:val="00110F73"/>
    <w:rsid w:val="00111E35"/>
    <w:rsid w:val="001128B4"/>
    <w:rsid w:val="00112EBD"/>
    <w:rsid w:val="001132C2"/>
    <w:rsid w:val="00113335"/>
    <w:rsid w:val="0011382D"/>
    <w:rsid w:val="00113AF2"/>
    <w:rsid w:val="00113C17"/>
    <w:rsid w:val="00113FDD"/>
    <w:rsid w:val="00114051"/>
    <w:rsid w:val="00114973"/>
    <w:rsid w:val="00114CFB"/>
    <w:rsid w:val="00114CFF"/>
    <w:rsid w:val="00114FDF"/>
    <w:rsid w:val="0011650B"/>
    <w:rsid w:val="00116616"/>
    <w:rsid w:val="00116FC5"/>
    <w:rsid w:val="00117163"/>
    <w:rsid w:val="00117BBD"/>
    <w:rsid w:val="00117E26"/>
    <w:rsid w:val="001202DF"/>
    <w:rsid w:val="00120F1B"/>
    <w:rsid w:val="001213E7"/>
    <w:rsid w:val="00122208"/>
    <w:rsid w:val="001224BA"/>
    <w:rsid w:val="001238BC"/>
    <w:rsid w:val="00124518"/>
    <w:rsid w:val="001248AB"/>
    <w:rsid w:val="00124981"/>
    <w:rsid w:val="00124B10"/>
    <w:rsid w:val="00124B2E"/>
    <w:rsid w:val="001256A1"/>
    <w:rsid w:val="00125D81"/>
    <w:rsid w:val="00126301"/>
    <w:rsid w:val="0012661F"/>
    <w:rsid w:val="00126966"/>
    <w:rsid w:val="001269B0"/>
    <w:rsid w:val="00126B24"/>
    <w:rsid w:val="00127234"/>
    <w:rsid w:val="001276C4"/>
    <w:rsid w:val="00127C68"/>
    <w:rsid w:val="00127D5B"/>
    <w:rsid w:val="001300B0"/>
    <w:rsid w:val="00131373"/>
    <w:rsid w:val="001314A0"/>
    <w:rsid w:val="00131A1F"/>
    <w:rsid w:val="00131A66"/>
    <w:rsid w:val="00131F9C"/>
    <w:rsid w:val="00132336"/>
    <w:rsid w:val="00132425"/>
    <w:rsid w:val="0013280A"/>
    <w:rsid w:val="00132875"/>
    <w:rsid w:val="0013315A"/>
    <w:rsid w:val="001332B3"/>
    <w:rsid w:val="0013343F"/>
    <w:rsid w:val="001344F9"/>
    <w:rsid w:val="00134F37"/>
    <w:rsid w:val="0013570B"/>
    <w:rsid w:val="00135F76"/>
    <w:rsid w:val="001360E9"/>
    <w:rsid w:val="001360F4"/>
    <w:rsid w:val="001363C7"/>
    <w:rsid w:val="00136E87"/>
    <w:rsid w:val="00140793"/>
    <w:rsid w:val="0014203B"/>
    <w:rsid w:val="001422BD"/>
    <w:rsid w:val="0014286D"/>
    <w:rsid w:val="00143B8E"/>
    <w:rsid w:val="00143F21"/>
    <w:rsid w:val="0014420C"/>
    <w:rsid w:val="001446C3"/>
    <w:rsid w:val="00145EA8"/>
    <w:rsid w:val="001461A7"/>
    <w:rsid w:val="00146946"/>
    <w:rsid w:val="00146E7C"/>
    <w:rsid w:val="00147F8C"/>
    <w:rsid w:val="00150235"/>
    <w:rsid w:val="00150347"/>
    <w:rsid w:val="00150492"/>
    <w:rsid w:val="00151200"/>
    <w:rsid w:val="001513CE"/>
    <w:rsid w:val="00151465"/>
    <w:rsid w:val="00151AD8"/>
    <w:rsid w:val="00151E77"/>
    <w:rsid w:val="00153287"/>
    <w:rsid w:val="001533E6"/>
    <w:rsid w:val="001538BE"/>
    <w:rsid w:val="00153BA7"/>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3EB1"/>
    <w:rsid w:val="00164803"/>
    <w:rsid w:val="00164AE0"/>
    <w:rsid w:val="001656F6"/>
    <w:rsid w:val="00165BF5"/>
    <w:rsid w:val="00165F2E"/>
    <w:rsid w:val="0016646A"/>
    <w:rsid w:val="00166FA6"/>
    <w:rsid w:val="001673EE"/>
    <w:rsid w:val="0016793B"/>
    <w:rsid w:val="00167C43"/>
    <w:rsid w:val="001706C9"/>
    <w:rsid w:val="0017120C"/>
    <w:rsid w:val="0017150D"/>
    <w:rsid w:val="001719EC"/>
    <w:rsid w:val="00171D3A"/>
    <w:rsid w:val="001727D7"/>
    <w:rsid w:val="00172C96"/>
    <w:rsid w:val="00172DDC"/>
    <w:rsid w:val="00172F3A"/>
    <w:rsid w:val="0017303B"/>
    <w:rsid w:val="00173477"/>
    <w:rsid w:val="0017414F"/>
    <w:rsid w:val="0017432C"/>
    <w:rsid w:val="00174636"/>
    <w:rsid w:val="00174735"/>
    <w:rsid w:val="0017481D"/>
    <w:rsid w:val="001748C8"/>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2EB8"/>
    <w:rsid w:val="001831FE"/>
    <w:rsid w:val="00183F50"/>
    <w:rsid w:val="0018481E"/>
    <w:rsid w:val="001848FF"/>
    <w:rsid w:val="00184BB2"/>
    <w:rsid w:val="00184BD9"/>
    <w:rsid w:val="00184ED6"/>
    <w:rsid w:val="00184F13"/>
    <w:rsid w:val="00184FD9"/>
    <w:rsid w:val="00185361"/>
    <w:rsid w:val="00186037"/>
    <w:rsid w:val="00186AE4"/>
    <w:rsid w:val="00186D14"/>
    <w:rsid w:val="001876D8"/>
    <w:rsid w:val="00187F6A"/>
    <w:rsid w:val="00190325"/>
    <w:rsid w:val="00190391"/>
    <w:rsid w:val="0019151E"/>
    <w:rsid w:val="00191593"/>
    <w:rsid w:val="001918F1"/>
    <w:rsid w:val="0019196E"/>
    <w:rsid w:val="00191FF5"/>
    <w:rsid w:val="00192025"/>
    <w:rsid w:val="001926D7"/>
    <w:rsid w:val="00192CCE"/>
    <w:rsid w:val="0019385B"/>
    <w:rsid w:val="00193BD9"/>
    <w:rsid w:val="00193F1C"/>
    <w:rsid w:val="00194428"/>
    <w:rsid w:val="001947C0"/>
    <w:rsid w:val="001948F5"/>
    <w:rsid w:val="00194958"/>
    <w:rsid w:val="0019566E"/>
    <w:rsid w:val="00196359"/>
    <w:rsid w:val="0019710C"/>
    <w:rsid w:val="00197205"/>
    <w:rsid w:val="00197632"/>
    <w:rsid w:val="0019793F"/>
    <w:rsid w:val="00197A9D"/>
    <w:rsid w:val="001A08E7"/>
    <w:rsid w:val="001A17D7"/>
    <w:rsid w:val="001A1A67"/>
    <w:rsid w:val="001A1FDD"/>
    <w:rsid w:val="001A2D8F"/>
    <w:rsid w:val="001A2DDB"/>
    <w:rsid w:val="001A3D89"/>
    <w:rsid w:val="001A3E0A"/>
    <w:rsid w:val="001A46DA"/>
    <w:rsid w:val="001A5458"/>
    <w:rsid w:val="001A545B"/>
    <w:rsid w:val="001A54DA"/>
    <w:rsid w:val="001A5E69"/>
    <w:rsid w:val="001A6861"/>
    <w:rsid w:val="001A6FEC"/>
    <w:rsid w:val="001A78AA"/>
    <w:rsid w:val="001B0845"/>
    <w:rsid w:val="001B08B5"/>
    <w:rsid w:val="001B143B"/>
    <w:rsid w:val="001B1532"/>
    <w:rsid w:val="001B1777"/>
    <w:rsid w:val="001B19C5"/>
    <w:rsid w:val="001B1B6D"/>
    <w:rsid w:val="001B1C93"/>
    <w:rsid w:val="001B21CA"/>
    <w:rsid w:val="001B28D5"/>
    <w:rsid w:val="001B28E4"/>
    <w:rsid w:val="001B3175"/>
    <w:rsid w:val="001B35D4"/>
    <w:rsid w:val="001B4446"/>
    <w:rsid w:val="001B52D3"/>
    <w:rsid w:val="001B53DD"/>
    <w:rsid w:val="001B5565"/>
    <w:rsid w:val="001B5A00"/>
    <w:rsid w:val="001B5F59"/>
    <w:rsid w:val="001B63A7"/>
    <w:rsid w:val="001B6810"/>
    <w:rsid w:val="001B6E89"/>
    <w:rsid w:val="001B7358"/>
    <w:rsid w:val="001B791C"/>
    <w:rsid w:val="001B7B9B"/>
    <w:rsid w:val="001B7D70"/>
    <w:rsid w:val="001C0125"/>
    <w:rsid w:val="001C1074"/>
    <w:rsid w:val="001C21C8"/>
    <w:rsid w:val="001C25F5"/>
    <w:rsid w:val="001C265A"/>
    <w:rsid w:val="001C2DFD"/>
    <w:rsid w:val="001C34D0"/>
    <w:rsid w:val="001C4249"/>
    <w:rsid w:val="001C46E3"/>
    <w:rsid w:val="001C496A"/>
    <w:rsid w:val="001C4AC1"/>
    <w:rsid w:val="001C4F27"/>
    <w:rsid w:val="001C51FE"/>
    <w:rsid w:val="001C582B"/>
    <w:rsid w:val="001C6573"/>
    <w:rsid w:val="001C7B08"/>
    <w:rsid w:val="001C7D03"/>
    <w:rsid w:val="001D00BE"/>
    <w:rsid w:val="001D079B"/>
    <w:rsid w:val="001D0D32"/>
    <w:rsid w:val="001D1363"/>
    <w:rsid w:val="001D17C9"/>
    <w:rsid w:val="001D1AB9"/>
    <w:rsid w:val="001D1EEB"/>
    <w:rsid w:val="001D1F20"/>
    <w:rsid w:val="001D22D5"/>
    <w:rsid w:val="001D2A41"/>
    <w:rsid w:val="001D3795"/>
    <w:rsid w:val="001D4006"/>
    <w:rsid w:val="001D54BD"/>
    <w:rsid w:val="001D5C72"/>
    <w:rsid w:val="001D5F69"/>
    <w:rsid w:val="001D616F"/>
    <w:rsid w:val="001D626E"/>
    <w:rsid w:val="001D733B"/>
    <w:rsid w:val="001D73CF"/>
    <w:rsid w:val="001D7536"/>
    <w:rsid w:val="001D7E8C"/>
    <w:rsid w:val="001E04CD"/>
    <w:rsid w:val="001E0902"/>
    <w:rsid w:val="001E1801"/>
    <w:rsid w:val="001E1C73"/>
    <w:rsid w:val="001E1E05"/>
    <w:rsid w:val="001E20B7"/>
    <w:rsid w:val="001E2254"/>
    <w:rsid w:val="001E22D2"/>
    <w:rsid w:val="001E22DE"/>
    <w:rsid w:val="001E2343"/>
    <w:rsid w:val="001E3A17"/>
    <w:rsid w:val="001E3FCB"/>
    <w:rsid w:val="001E52DF"/>
    <w:rsid w:val="001E5500"/>
    <w:rsid w:val="001E5578"/>
    <w:rsid w:val="001E5982"/>
    <w:rsid w:val="001E65BD"/>
    <w:rsid w:val="001E6BCB"/>
    <w:rsid w:val="001E761F"/>
    <w:rsid w:val="001E774A"/>
    <w:rsid w:val="001E783B"/>
    <w:rsid w:val="001E7FBC"/>
    <w:rsid w:val="001F0822"/>
    <w:rsid w:val="001F08CB"/>
    <w:rsid w:val="001F105B"/>
    <w:rsid w:val="001F15F6"/>
    <w:rsid w:val="001F179C"/>
    <w:rsid w:val="001F24B7"/>
    <w:rsid w:val="001F2649"/>
    <w:rsid w:val="001F2DB5"/>
    <w:rsid w:val="001F2DC7"/>
    <w:rsid w:val="001F3496"/>
    <w:rsid w:val="001F41CA"/>
    <w:rsid w:val="001F4355"/>
    <w:rsid w:val="001F478E"/>
    <w:rsid w:val="001F4819"/>
    <w:rsid w:val="001F485F"/>
    <w:rsid w:val="001F48BD"/>
    <w:rsid w:val="001F4FAB"/>
    <w:rsid w:val="001F5034"/>
    <w:rsid w:val="001F61DE"/>
    <w:rsid w:val="001F63AA"/>
    <w:rsid w:val="001F69C8"/>
    <w:rsid w:val="001F7054"/>
    <w:rsid w:val="001F77E5"/>
    <w:rsid w:val="001F7DB7"/>
    <w:rsid w:val="002000AA"/>
    <w:rsid w:val="00201502"/>
    <w:rsid w:val="0020302A"/>
    <w:rsid w:val="0020324C"/>
    <w:rsid w:val="002032A0"/>
    <w:rsid w:val="00203532"/>
    <w:rsid w:val="00203AE0"/>
    <w:rsid w:val="00204106"/>
    <w:rsid w:val="00204109"/>
    <w:rsid w:val="0020503A"/>
    <w:rsid w:val="00205041"/>
    <w:rsid w:val="0020524C"/>
    <w:rsid w:val="002059E3"/>
    <w:rsid w:val="00206258"/>
    <w:rsid w:val="00207438"/>
    <w:rsid w:val="002074E9"/>
    <w:rsid w:val="002100FF"/>
    <w:rsid w:val="00210543"/>
    <w:rsid w:val="00210B9B"/>
    <w:rsid w:val="0021102F"/>
    <w:rsid w:val="002118D1"/>
    <w:rsid w:val="00211DCE"/>
    <w:rsid w:val="0021229D"/>
    <w:rsid w:val="00212390"/>
    <w:rsid w:val="00212897"/>
    <w:rsid w:val="00212ACB"/>
    <w:rsid w:val="00213612"/>
    <w:rsid w:val="0021386A"/>
    <w:rsid w:val="00213C44"/>
    <w:rsid w:val="002147EE"/>
    <w:rsid w:val="00215516"/>
    <w:rsid w:val="002158DC"/>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935"/>
    <w:rsid w:val="00221C72"/>
    <w:rsid w:val="002223E1"/>
    <w:rsid w:val="002225AB"/>
    <w:rsid w:val="00222955"/>
    <w:rsid w:val="002231B0"/>
    <w:rsid w:val="002239B8"/>
    <w:rsid w:val="00224058"/>
    <w:rsid w:val="002250D1"/>
    <w:rsid w:val="00225AAD"/>
    <w:rsid w:val="00225D04"/>
    <w:rsid w:val="002267D2"/>
    <w:rsid w:val="00227AD7"/>
    <w:rsid w:val="00230839"/>
    <w:rsid w:val="00230EE8"/>
    <w:rsid w:val="00231ADB"/>
    <w:rsid w:val="00232178"/>
    <w:rsid w:val="00232248"/>
    <w:rsid w:val="00232D12"/>
    <w:rsid w:val="0023353F"/>
    <w:rsid w:val="00233616"/>
    <w:rsid w:val="00233975"/>
    <w:rsid w:val="00233B8C"/>
    <w:rsid w:val="002353E3"/>
    <w:rsid w:val="00235CC0"/>
    <w:rsid w:val="00235F30"/>
    <w:rsid w:val="00236287"/>
    <w:rsid w:val="002363FF"/>
    <w:rsid w:val="00236D10"/>
    <w:rsid w:val="0023777E"/>
    <w:rsid w:val="00240021"/>
    <w:rsid w:val="002407CE"/>
    <w:rsid w:val="002410D2"/>
    <w:rsid w:val="00241A6E"/>
    <w:rsid w:val="00242325"/>
    <w:rsid w:val="002430FE"/>
    <w:rsid w:val="00243A38"/>
    <w:rsid w:val="0024474F"/>
    <w:rsid w:val="00244761"/>
    <w:rsid w:val="002450F2"/>
    <w:rsid w:val="00245716"/>
    <w:rsid w:val="00245B7F"/>
    <w:rsid w:val="00246383"/>
    <w:rsid w:val="002469C2"/>
    <w:rsid w:val="00247BDE"/>
    <w:rsid w:val="00247DE2"/>
    <w:rsid w:val="00247F35"/>
    <w:rsid w:val="002505DE"/>
    <w:rsid w:val="002514FA"/>
    <w:rsid w:val="00251DAF"/>
    <w:rsid w:val="00252503"/>
    <w:rsid w:val="0025265C"/>
    <w:rsid w:val="00252ED7"/>
    <w:rsid w:val="0025393C"/>
    <w:rsid w:val="002549E7"/>
    <w:rsid w:val="00254A7A"/>
    <w:rsid w:val="00254EA4"/>
    <w:rsid w:val="0025509C"/>
    <w:rsid w:val="002552F8"/>
    <w:rsid w:val="0025575F"/>
    <w:rsid w:val="002560FB"/>
    <w:rsid w:val="002571E3"/>
    <w:rsid w:val="002573DA"/>
    <w:rsid w:val="00260496"/>
    <w:rsid w:val="00260542"/>
    <w:rsid w:val="00260BAD"/>
    <w:rsid w:val="002612EA"/>
    <w:rsid w:val="0026224C"/>
    <w:rsid w:val="00264022"/>
    <w:rsid w:val="00264C7C"/>
    <w:rsid w:val="0026650F"/>
    <w:rsid w:val="00266DC3"/>
    <w:rsid w:val="0027029D"/>
    <w:rsid w:val="00270443"/>
    <w:rsid w:val="00270EE2"/>
    <w:rsid w:val="0027138C"/>
    <w:rsid w:val="0027165A"/>
    <w:rsid w:val="00272787"/>
    <w:rsid w:val="00272826"/>
    <w:rsid w:val="00272A7B"/>
    <w:rsid w:val="00272C44"/>
    <w:rsid w:val="00272E8C"/>
    <w:rsid w:val="00272F05"/>
    <w:rsid w:val="00273527"/>
    <w:rsid w:val="00273F6B"/>
    <w:rsid w:val="002747EF"/>
    <w:rsid w:val="00274B06"/>
    <w:rsid w:val="002751D6"/>
    <w:rsid w:val="002754D3"/>
    <w:rsid w:val="00275D07"/>
    <w:rsid w:val="00276261"/>
    <w:rsid w:val="00276944"/>
    <w:rsid w:val="00276964"/>
    <w:rsid w:val="002769AE"/>
    <w:rsid w:val="00276CA7"/>
    <w:rsid w:val="0027737B"/>
    <w:rsid w:val="002816DD"/>
    <w:rsid w:val="002817A6"/>
    <w:rsid w:val="002821E8"/>
    <w:rsid w:val="00282B86"/>
    <w:rsid w:val="00282F1D"/>
    <w:rsid w:val="00283215"/>
    <w:rsid w:val="00283294"/>
    <w:rsid w:val="00283369"/>
    <w:rsid w:val="002833F3"/>
    <w:rsid w:val="00284203"/>
    <w:rsid w:val="0028512A"/>
    <w:rsid w:val="00285237"/>
    <w:rsid w:val="00285E3F"/>
    <w:rsid w:val="0028610D"/>
    <w:rsid w:val="002862CC"/>
    <w:rsid w:val="00286BFE"/>
    <w:rsid w:val="00286C81"/>
    <w:rsid w:val="0028703E"/>
    <w:rsid w:val="0028709F"/>
    <w:rsid w:val="0028717B"/>
    <w:rsid w:val="00287524"/>
    <w:rsid w:val="00287638"/>
    <w:rsid w:val="00290119"/>
    <w:rsid w:val="0029040D"/>
    <w:rsid w:val="002908F8"/>
    <w:rsid w:val="00290A53"/>
    <w:rsid w:val="00290B64"/>
    <w:rsid w:val="00291AF4"/>
    <w:rsid w:val="00291CB7"/>
    <w:rsid w:val="00292432"/>
    <w:rsid w:val="00292E91"/>
    <w:rsid w:val="002930AD"/>
    <w:rsid w:val="00293254"/>
    <w:rsid w:val="00295002"/>
    <w:rsid w:val="0029568E"/>
    <w:rsid w:val="00295E8C"/>
    <w:rsid w:val="002971C7"/>
    <w:rsid w:val="002971F2"/>
    <w:rsid w:val="00297785"/>
    <w:rsid w:val="00297E05"/>
    <w:rsid w:val="002A0444"/>
    <w:rsid w:val="002A0BEB"/>
    <w:rsid w:val="002A0F8D"/>
    <w:rsid w:val="002A1311"/>
    <w:rsid w:val="002A1377"/>
    <w:rsid w:val="002A1F89"/>
    <w:rsid w:val="002A211A"/>
    <w:rsid w:val="002A264B"/>
    <w:rsid w:val="002A4A82"/>
    <w:rsid w:val="002A4B33"/>
    <w:rsid w:val="002A4C00"/>
    <w:rsid w:val="002A5311"/>
    <w:rsid w:val="002A5863"/>
    <w:rsid w:val="002A6AA0"/>
    <w:rsid w:val="002A6C4F"/>
    <w:rsid w:val="002A6E9B"/>
    <w:rsid w:val="002A6FBB"/>
    <w:rsid w:val="002B05D1"/>
    <w:rsid w:val="002B09F5"/>
    <w:rsid w:val="002B0DE1"/>
    <w:rsid w:val="002B18C7"/>
    <w:rsid w:val="002B1933"/>
    <w:rsid w:val="002B20BD"/>
    <w:rsid w:val="002B22DB"/>
    <w:rsid w:val="002B2611"/>
    <w:rsid w:val="002B27D8"/>
    <w:rsid w:val="002B35B9"/>
    <w:rsid w:val="002B38D2"/>
    <w:rsid w:val="002B3A46"/>
    <w:rsid w:val="002B3F1C"/>
    <w:rsid w:val="002B3F60"/>
    <w:rsid w:val="002B401B"/>
    <w:rsid w:val="002B48C5"/>
    <w:rsid w:val="002B4ED9"/>
    <w:rsid w:val="002B4EF4"/>
    <w:rsid w:val="002B4F53"/>
    <w:rsid w:val="002B5007"/>
    <w:rsid w:val="002B51BB"/>
    <w:rsid w:val="002B58C5"/>
    <w:rsid w:val="002B654E"/>
    <w:rsid w:val="002B6C1F"/>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3799"/>
    <w:rsid w:val="002C401A"/>
    <w:rsid w:val="002C479B"/>
    <w:rsid w:val="002C4EC8"/>
    <w:rsid w:val="002C532B"/>
    <w:rsid w:val="002C6AF5"/>
    <w:rsid w:val="002C6D15"/>
    <w:rsid w:val="002C72F4"/>
    <w:rsid w:val="002C7E5B"/>
    <w:rsid w:val="002D0907"/>
    <w:rsid w:val="002D0E9E"/>
    <w:rsid w:val="002D1381"/>
    <w:rsid w:val="002D2195"/>
    <w:rsid w:val="002D2D68"/>
    <w:rsid w:val="002D2F69"/>
    <w:rsid w:val="002D3016"/>
    <w:rsid w:val="002D3067"/>
    <w:rsid w:val="002D3630"/>
    <w:rsid w:val="002D38D9"/>
    <w:rsid w:val="002D3CE3"/>
    <w:rsid w:val="002D3DBE"/>
    <w:rsid w:val="002D4298"/>
    <w:rsid w:val="002D47E8"/>
    <w:rsid w:val="002D4FBC"/>
    <w:rsid w:val="002D4FCC"/>
    <w:rsid w:val="002D5FD5"/>
    <w:rsid w:val="002D68F4"/>
    <w:rsid w:val="002D7125"/>
    <w:rsid w:val="002D7395"/>
    <w:rsid w:val="002D7417"/>
    <w:rsid w:val="002D782B"/>
    <w:rsid w:val="002E0D9C"/>
    <w:rsid w:val="002E1247"/>
    <w:rsid w:val="002E26E8"/>
    <w:rsid w:val="002E33A6"/>
    <w:rsid w:val="002E3DD8"/>
    <w:rsid w:val="002E3ED8"/>
    <w:rsid w:val="002E4D9D"/>
    <w:rsid w:val="002E556D"/>
    <w:rsid w:val="002E5A01"/>
    <w:rsid w:val="002E5AF4"/>
    <w:rsid w:val="002E5EA3"/>
    <w:rsid w:val="002E717C"/>
    <w:rsid w:val="002E7533"/>
    <w:rsid w:val="002E7A61"/>
    <w:rsid w:val="002F00B8"/>
    <w:rsid w:val="002F0106"/>
    <w:rsid w:val="002F02C2"/>
    <w:rsid w:val="002F03C8"/>
    <w:rsid w:val="002F188D"/>
    <w:rsid w:val="002F18A5"/>
    <w:rsid w:val="002F26F3"/>
    <w:rsid w:val="002F317F"/>
    <w:rsid w:val="002F3FE7"/>
    <w:rsid w:val="002F49F0"/>
    <w:rsid w:val="002F51A2"/>
    <w:rsid w:val="002F5BA8"/>
    <w:rsid w:val="002F5E95"/>
    <w:rsid w:val="002F5F68"/>
    <w:rsid w:val="002F61B6"/>
    <w:rsid w:val="002F6367"/>
    <w:rsid w:val="002F63CA"/>
    <w:rsid w:val="002F67B4"/>
    <w:rsid w:val="002F6F73"/>
    <w:rsid w:val="002F7AA9"/>
    <w:rsid w:val="00300414"/>
    <w:rsid w:val="003004E3"/>
    <w:rsid w:val="00300FF1"/>
    <w:rsid w:val="003010FF"/>
    <w:rsid w:val="00301C0D"/>
    <w:rsid w:val="00301D7B"/>
    <w:rsid w:val="00301E19"/>
    <w:rsid w:val="003023DE"/>
    <w:rsid w:val="00302998"/>
    <w:rsid w:val="00303DC4"/>
    <w:rsid w:val="00304676"/>
    <w:rsid w:val="00306BE7"/>
    <w:rsid w:val="00306D4A"/>
    <w:rsid w:val="00307F1A"/>
    <w:rsid w:val="00307F40"/>
    <w:rsid w:val="003110A2"/>
    <w:rsid w:val="00311655"/>
    <w:rsid w:val="00311B66"/>
    <w:rsid w:val="00311F29"/>
    <w:rsid w:val="00312178"/>
    <w:rsid w:val="003121E5"/>
    <w:rsid w:val="00312518"/>
    <w:rsid w:val="00313432"/>
    <w:rsid w:val="00314036"/>
    <w:rsid w:val="003142CC"/>
    <w:rsid w:val="00314347"/>
    <w:rsid w:val="00314C4F"/>
    <w:rsid w:val="00314FAF"/>
    <w:rsid w:val="003162A5"/>
    <w:rsid w:val="00316591"/>
    <w:rsid w:val="00317C91"/>
    <w:rsid w:val="00320553"/>
    <w:rsid w:val="00320C6D"/>
    <w:rsid w:val="003213A8"/>
    <w:rsid w:val="00321FA8"/>
    <w:rsid w:val="00321FE5"/>
    <w:rsid w:val="00321FFD"/>
    <w:rsid w:val="003225AD"/>
    <w:rsid w:val="00322E18"/>
    <w:rsid w:val="00323C3D"/>
    <w:rsid w:val="00323D1D"/>
    <w:rsid w:val="00323F8A"/>
    <w:rsid w:val="00324752"/>
    <w:rsid w:val="00324D73"/>
    <w:rsid w:val="00326011"/>
    <w:rsid w:val="0032643D"/>
    <w:rsid w:val="00326D02"/>
    <w:rsid w:val="00327069"/>
    <w:rsid w:val="00327812"/>
    <w:rsid w:val="00327AFB"/>
    <w:rsid w:val="00327BAF"/>
    <w:rsid w:val="00327D10"/>
    <w:rsid w:val="00331894"/>
    <w:rsid w:val="00331FA5"/>
    <w:rsid w:val="00332CB8"/>
    <w:rsid w:val="00333428"/>
    <w:rsid w:val="00334784"/>
    <w:rsid w:val="003350B6"/>
    <w:rsid w:val="0033595E"/>
    <w:rsid w:val="0033601B"/>
    <w:rsid w:val="003364B6"/>
    <w:rsid w:val="0033764C"/>
    <w:rsid w:val="00337DF3"/>
    <w:rsid w:val="00337F8E"/>
    <w:rsid w:val="00340039"/>
    <w:rsid w:val="003400D3"/>
    <w:rsid w:val="0034024F"/>
    <w:rsid w:val="00340A77"/>
    <w:rsid w:val="00340D39"/>
    <w:rsid w:val="00340DFB"/>
    <w:rsid w:val="00341061"/>
    <w:rsid w:val="00341787"/>
    <w:rsid w:val="00341941"/>
    <w:rsid w:val="0034207A"/>
    <w:rsid w:val="0034278F"/>
    <w:rsid w:val="0034281F"/>
    <w:rsid w:val="00343B47"/>
    <w:rsid w:val="00343F24"/>
    <w:rsid w:val="0034404F"/>
    <w:rsid w:val="00344ACC"/>
    <w:rsid w:val="00345F01"/>
    <w:rsid w:val="0034654F"/>
    <w:rsid w:val="00346762"/>
    <w:rsid w:val="00346B28"/>
    <w:rsid w:val="003475E1"/>
    <w:rsid w:val="00347685"/>
    <w:rsid w:val="003509A5"/>
    <w:rsid w:val="003515FD"/>
    <w:rsid w:val="003518A4"/>
    <w:rsid w:val="00351E21"/>
    <w:rsid w:val="00352327"/>
    <w:rsid w:val="003526A9"/>
    <w:rsid w:val="00354062"/>
    <w:rsid w:val="00354405"/>
    <w:rsid w:val="00354752"/>
    <w:rsid w:val="0035505D"/>
    <w:rsid w:val="00355779"/>
    <w:rsid w:val="00355A76"/>
    <w:rsid w:val="00355DEC"/>
    <w:rsid w:val="0035635F"/>
    <w:rsid w:val="003564B1"/>
    <w:rsid w:val="00356E0F"/>
    <w:rsid w:val="0035700C"/>
    <w:rsid w:val="003607C1"/>
    <w:rsid w:val="003607EE"/>
    <w:rsid w:val="00360BC8"/>
    <w:rsid w:val="00360E35"/>
    <w:rsid w:val="00361106"/>
    <w:rsid w:val="003617AE"/>
    <w:rsid w:val="00361F64"/>
    <w:rsid w:val="0036215C"/>
    <w:rsid w:val="00362CC7"/>
    <w:rsid w:val="003630F7"/>
    <w:rsid w:val="0036332B"/>
    <w:rsid w:val="00363589"/>
    <w:rsid w:val="00363636"/>
    <w:rsid w:val="0036498F"/>
    <w:rsid w:val="003651AC"/>
    <w:rsid w:val="003653AA"/>
    <w:rsid w:val="00366120"/>
    <w:rsid w:val="003661FF"/>
    <w:rsid w:val="003665A5"/>
    <w:rsid w:val="00366900"/>
    <w:rsid w:val="00366A0C"/>
    <w:rsid w:val="00367238"/>
    <w:rsid w:val="00367462"/>
    <w:rsid w:val="003677D5"/>
    <w:rsid w:val="0037034B"/>
    <w:rsid w:val="00370507"/>
    <w:rsid w:val="00370682"/>
    <w:rsid w:val="00370F0B"/>
    <w:rsid w:val="003718D8"/>
    <w:rsid w:val="00372A01"/>
    <w:rsid w:val="00372ADC"/>
    <w:rsid w:val="00372B87"/>
    <w:rsid w:val="00372C82"/>
    <w:rsid w:val="00372CFC"/>
    <w:rsid w:val="003733DF"/>
    <w:rsid w:val="00373865"/>
    <w:rsid w:val="003739DA"/>
    <w:rsid w:val="00373CE8"/>
    <w:rsid w:val="00374DB0"/>
    <w:rsid w:val="003751C7"/>
    <w:rsid w:val="00375C84"/>
    <w:rsid w:val="00376524"/>
    <w:rsid w:val="003769DE"/>
    <w:rsid w:val="00376E3B"/>
    <w:rsid w:val="003770C7"/>
    <w:rsid w:val="003776FE"/>
    <w:rsid w:val="00380424"/>
    <w:rsid w:val="00380868"/>
    <w:rsid w:val="00380B9B"/>
    <w:rsid w:val="003818B3"/>
    <w:rsid w:val="003819F5"/>
    <w:rsid w:val="00381A52"/>
    <w:rsid w:val="00381B57"/>
    <w:rsid w:val="00381D47"/>
    <w:rsid w:val="003821CC"/>
    <w:rsid w:val="003835F0"/>
    <w:rsid w:val="00384296"/>
    <w:rsid w:val="003853B1"/>
    <w:rsid w:val="003853ED"/>
    <w:rsid w:val="0038628F"/>
    <w:rsid w:val="00386421"/>
    <w:rsid w:val="0038704C"/>
    <w:rsid w:val="00387AA1"/>
    <w:rsid w:val="0039082A"/>
    <w:rsid w:val="0039101F"/>
    <w:rsid w:val="00391153"/>
    <w:rsid w:val="00392EDB"/>
    <w:rsid w:val="00392FAE"/>
    <w:rsid w:val="003931AA"/>
    <w:rsid w:val="00393EEE"/>
    <w:rsid w:val="003941C0"/>
    <w:rsid w:val="00394D45"/>
    <w:rsid w:val="00395132"/>
    <w:rsid w:val="00395D99"/>
    <w:rsid w:val="00396682"/>
    <w:rsid w:val="003968DF"/>
    <w:rsid w:val="003976C3"/>
    <w:rsid w:val="00397A03"/>
    <w:rsid w:val="00397A64"/>
    <w:rsid w:val="003A010B"/>
    <w:rsid w:val="003A099A"/>
    <w:rsid w:val="003A1372"/>
    <w:rsid w:val="003A14D0"/>
    <w:rsid w:val="003A15DE"/>
    <w:rsid w:val="003A1D46"/>
    <w:rsid w:val="003A2447"/>
    <w:rsid w:val="003A2B82"/>
    <w:rsid w:val="003A36D3"/>
    <w:rsid w:val="003A3927"/>
    <w:rsid w:val="003A3D2E"/>
    <w:rsid w:val="003A3F75"/>
    <w:rsid w:val="003A3FF7"/>
    <w:rsid w:val="003A43D1"/>
    <w:rsid w:val="003A692E"/>
    <w:rsid w:val="003A6A2B"/>
    <w:rsid w:val="003A6A51"/>
    <w:rsid w:val="003A6E29"/>
    <w:rsid w:val="003A7FEA"/>
    <w:rsid w:val="003B0464"/>
    <w:rsid w:val="003B0BDB"/>
    <w:rsid w:val="003B0E88"/>
    <w:rsid w:val="003B106E"/>
    <w:rsid w:val="003B153F"/>
    <w:rsid w:val="003B17B0"/>
    <w:rsid w:val="003B1844"/>
    <w:rsid w:val="003B1A5C"/>
    <w:rsid w:val="003B211E"/>
    <w:rsid w:val="003B24EA"/>
    <w:rsid w:val="003B2DA7"/>
    <w:rsid w:val="003B348A"/>
    <w:rsid w:val="003B3993"/>
    <w:rsid w:val="003B3AB7"/>
    <w:rsid w:val="003B3ABC"/>
    <w:rsid w:val="003B3CDD"/>
    <w:rsid w:val="003B3D8E"/>
    <w:rsid w:val="003B3FED"/>
    <w:rsid w:val="003B3FF1"/>
    <w:rsid w:val="003B4217"/>
    <w:rsid w:val="003B59A1"/>
    <w:rsid w:val="003B6D11"/>
    <w:rsid w:val="003B74F1"/>
    <w:rsid w:val="003B7541"/>
    <w:rsid w:val="003B783F"/>
    <w:rsid w:val="003B7966"/>
    <w:rsid w:val="003B7F07"/>
    <w:rsid w:val="003B7FCE"/>
    <w:rsid w:val="003C067C"/>
    <w:rsid w:val="003C0F87"/>
    <w:rsid w:val="003C1113"/>
    <w:rsid w:val="003C141E"/>
    <w:rsid w:val="003C1B83"/>
    <w:rsid w:val="003C210E"/>
    <w:rsid w:val="003C2186"/>
    <w:rsid w:val="003C21B3"/>
    <w:rsid w:val="003C30AD"/>
    <w:rsid w:val="003C3503"/>
    <w:rsid w:val="003C3A13"/>
    <w:rsid w:val="003C40DE"/>
    <w:rsid w:val="003C4851"/>
    <w:rsid w:val="003C4C96"/>
    <w:rsid w:val="003C55E0"/>
    <w:rsid w:val="003C5E39"/>
    <w:rsid w:val="003C683A"/>
    <w:rsid w:val="003D0079"/>
    <w:rsid w:val="003D017D"/>
    <w:rsid w:val="003D04D6"/>
    <w:rsid w:val="003D10EC"/>
    <w:rsid w:val="003D1901"/>
    <w:rsid w:val="003D28DE"/>
    <w:rsid w:val="003D29B9"/>
    <w:rsid w:val="003D3500"/>
    <w:rsid w:val="003D37B6"/>
    <w:rsid w:val="003D3C68"/>
    <w:rsid w:val="003D450D"/>
    <w:rsid w:val="003D4BA9"/>
    <w:rsid w:val="003D4F8F"/>
    <w:rsid w:val="003D503A"/>
    <w:rsid w:val="003D6505"/>
    <w:rsid w:val="003D71A6"/>
    <w:rsid w:val="003D7709"/>
    <w:rsid w:val="003E004C"/>
    <w:rsid w:val="003E0BAF"/>
    <w:rsid w:val="003E0E25"/>
    <w:rsid w:val="003E1409"/>
    <w:rsid w:val="003E14AC"/>
    <w:rsid w:val="003E16F2"/>
    <w:rsid w:val="003E2195"/>
    <w:rsid w:val="003E241A"/>
    <w:rsid w:val="003E36A5"/>
    <w:rsid w:val="003E42BC"/>
    <w:rsid w:val="003E4A52"/>
    <w:rsid w:val="003E4E54"/>
    <w:rsid w:val="003E5CBA"/>
    <w:rsid w:val="003E782F"/>
    <w:rsid w:val="003E78A9"/>
    <w:rsid w:val="003E7912"/>
    <w:rsid w:val="003F04A3"/>
    <w:rsid w:val="003F04E6"/>
    <w:rsid w:val="003F097C"/>
    <w:rsid w:val="003F163F"/>
    <w:rsid w:val="003F2164"/>
    <w:rsid w:val="003F229A"/>
    <w:rsid w:val="003F2CDD"/>
    <w:rsid w:val="003F2F3C"/>
    <w:rsid w:val="003F3FB3"/>
    <w:rsid w:val="003F45D7"/>
    <w:rsid w:val="003F4C1B"/>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3F02"/>
    <w:rsid w:val="004041BA"/>
    <w:rsid w:val="00404592"/>
    <w:rsid w:val="0040496E"/>
    <w:rsid w:val="00404B58"/>
    <w:rsid w:val="00404BD2"/>
    <w:rsid w:val="0040516A"/>
    <w:rsid w:val="0040544F"/>
    <w:rsid w:val="00405537"/>
    <w:rsid w:val="0040597C"/>
    <w:rsid w:val="0040625C"/>
    <w:rsid w:val="004069D2"/>
    <w:rsid w:val="004076FF"/>
    <w:rsid w:val="00411B17"/>
    <w:rsid w:val="00411B3A"/>
    <w:rsid w:val="00411FFF"/>
    <w:rsid w:val="0041222D"/>
    <w:rsid w:val="004124F2"/>
    <w:rsid w:val="00412C2A"/>
    <w:rsid w:val="00412E6F"/>
    <w:rsid w:val="00413C5C"/>
    <w:rsid w:val="00413DB2"/>
    <w:rsid w:val="0041413F"/>
    <w:rsid w:val="0041567A"/>
    <w:rsid w:val="00415BAB"/>
    <w:rsid w:val="00415BCF"/>
    <w:rsid w:val="00416297"/>
    <w:rsid w:val="00417083"/>
    <w:rsid w:val="0041736F"/>
    <w:rsid w:val="00417E36"/>
    <w:rsid w:val="0042057C"/>
    <w:rsid w:val="00420BDF"/>
    <w:rsid w:val="00421608"/>
    <w:rsid w:val="00421849"/>
    <w:rsid w:val="00421C23"/>
    <w:rsid w:val="0042261E"/>
    <w:rsid w:val="00422749"/>
    <w:rsid w:val="004228F2"/>
    <w:rsid w:val="00422FD1"/>
    <w:rsid w:val="004233DC"/>
    <w:rsid w:val="00424888"/>
    <w:rsid w:val="004255D9"/>
    <w:rsid w:val="00425763"/>
    <w:rsid w:val="00425C3C"/>
    <w:rsid w:val="00425F29"/>
    <w:rsid w:val="0042605B"/>
    <w:rsid w:val="004261FD"/>
    <w:rsid w:val="00426B69"/>
    <w:rsid w:val="00426C3A"/>
    <w:rsid w:val="00426F8D"/>
    <w:rsid w:val="00427D1B"/>
    <w:rsid w:val="00427E40"/>
    <w:rsid w:val="004306AB"/>
    <w:rsid w:val="00430812"/>
    <w:rsid w:val="0043159D"/>
    <w:rsid w:val="0043171D"/>
    <w:rsid w:val="0043263C"/>
    <w:rsid w:val="00432AC3"/>
    <w:rsid w:val="00432F78"/>
    <w:rsid w:val="004334A2"/>
    <w:rsid w:val="004335BC"/>
    <w:rsid w:val="00433972"/>
    <w:rsid w:val="004339E6"/>
    <w:rsid w:val="00433DA5"/>
    <w:rsid w:val="00434723"/>
    <w:rsid w:val="00434729"/>
    <w:rsid w:val="0043499E"/>
    <w:rsid w:val="00434FEA"/>
    <w:rsid w:val="0043617B"/>
    <w:rsid w:val="00437D17"/>
    <w:rsid w:val="00437D2F"/>
    <w:rsid w:val="0044046D"/>
    <w:rsid w:val="00440DEC"/>
    <w:rsid w:val="004410D3"/>
    <w:rsid w:val="004419D5"/>
    <w:rsid w:val="00441A5B"/>
    <w:rsid w:val="00441DAF"/>
    <w:rsid w:val="0044270D"/>
    <w:rsid w:val="00442E8C"/>
    <w:rsid w:val="0044312A"/>
    <w:rsid w:val="00443310"/>
    <w:rsid w:val="004435D5"/>
    <w:rsid w:val="00443A34"/>
    <w:rsid w:val="00443D38"/>
    <w:rsid w:val="00444140"/>
    <w:rsid w:val="00444BF5"/>
    <w:rsid w:val="00444F43"/>
    <w:rsid w:val="00447213"/>
    <w:rsid w:val="004475FD"/>
    <w:rsid w:val="0044765A"/>
    <w:rsid w:val="00447C23"/>
    <w:rsid w:val="00450744"/>
    <w:rsid w:val="00450BE7"/>
    <w:rsid w:val="00450FE8"/>
    <w:rsid w:val="004518D0"/>
    <w:rsid w:val="0045213A"/>
    <w:rsid w:val="0045227C"/>
    <w:rsid w:val="0045230E"/>
    <w:rsid w:val="00452553"/>
    <w:rsid w:val="004528FA"/>
    <w:rsid w:val="00452D67"/>
    <w:rsid w:val="00452E53"/>
    <w:rsid w:val="0045418C"/>
    <w:rsid w:val="004542C6"/>
    <w:rsid w:val="0045435F"/>
    <w:rsid w:val="00454EDC"/>
    <w:rsid w:val="00455B00"/>
    <w:rsid w:val="00455B97"/>
    <w:rsid w:val="00456635"/>
    <w:rsid w:val="00456BFD"/>
    <w:rsid w:val="004575D5"/>
    <w:rsid w:val="00457657"/>
    <w:rsid w:val="004600BF"/>
    <w:rsid w:val="004607D0"/>
    <w:rsid w:val="00460CE3"/>
    <w:rsid w:val="00460F25"/>
    <w:rsid w:val="0046116D"/>
    <w:rsid w:val="004612A4"/>
    <w:rsid w:val="0046153C"/>
    <w:rsid w:val="004624D2"/>
    <w:rsid w:val="004625C8"/>
    <w:rsid w:val="00462977"/>
    <w:rsid w:val="00462DCE"/>
    <w:rsid w:val="00463C4E"/>
    <w:rsid w:val="00464022"/>
    <w:rsid w:val="00464194"/>
    <w:rsid w:val="0046442A"/>
    <w:rsid w:val="00464BF1"/>
    <w:rsid w:val="00464CAF"/>
    <w:rsid w:val="00465D73"/>
    <w:rsid w:val="00466078"/>
    <w:rsid w:val="0046626B"/>
    <w:rsid w:val="00466967"/>
    <w:rsid w:val="004676E4"/>
    <w:rsid w:val="00467AFF"/>
    <w:rsid w:val="00470183"/>
    <w:rsid w:val="004708C9"/>
    <w:rsid w:val="00470C48"/>
    <w:rsid w:val="0047139F"/>
    <w:rsid w:val="00471429"/>
    <w:rsid w:val="0047153B"/>
    <w:rsid w:val="004722B1"/>
    <w:rsid w:val="00472312"/>
    <w:rsid w:val="00473A2B"/>
    <w:rsid w:val="00473A47"/>
    <w:rsid w:val="00473A4F"/>
    <w:rsid w:val="00473C0A"/>
    <w:rsid w:val="00473EEF"/>
    <w:rsid w:val="00474415"/>
    <w:rsid w:val="00474BC1"/>
    <w:rsid w:val="00475A46"/>
    <w:rsid w:val="00475F73"/>
    <w:rsid w:val="004763EC"/>
    <w:rsid w:val="0047722F"/>
    <w:rsid w:val="00477459"/>
    <w:rsid w:val="00477CC9"/>
    <w:rsid w:val="0048026E"/>
    <w:rsid w:val="00480303"/>
    <w:rsid w:val="004804C3"/>
    <w:rsid w:val="004807A9"/>
    <w:rsid w:val="00480A8A"/>
    <w:rsid w:val="00480F76"/>
    <w:rsid w:val="004810A5"/>
    <w:rsid w:val="004810E0"/>
    <w:rsid w:val="00481318"/>
    <w:rsid w:val="00481363"/>
    <w:rsid w:val="004813EE"/>
    <w:rsid w:val="00481835"/>
    <w:rsid w:val="0048237F"/>
    <w:rsid w:val="00482CDC"/>
    <w:rsid w:val="00482FB0"/>
    <w:rsid w:val="00483B03"/>
    <w:rsid w:val="0048444C"/>
    <w:rsid w:val="00485058"/>
    <w:rsid w:val="00485702"/>
    <w:rsid w:val="00485C2D"/>
    <w:rsid w:val="004860F7"/>
    <w:rsid w:val="00486177"/>
    <w:rsid w:val="004862C2"/>
    <w:rsid w:val="004867EC"/>
    <w:rsid w:val="00486A37"/>
    <w:rsid w:val="00486DA6"/>
    <w:rsid w:val="00487662"/>
    <w:rsid w:val="004876C6"/>
    <w:rsid w:val="00487D7B"/>
    <w:rsid w:val="00490F7A"/>
    <w:rsid w:val="00490FD5"/>
    <w:rsid w:val="00491241"/>
    <w:rsid w:val="00491813"/>
    <w:rsid w:val="00492A85"/>
    <w:rsid w:val="00492B82"/>
    <w:rsid w:val="00493278"/>
    <w:rsid w:val="00493855"/>
    <w:rsid w:val="004951D8"/>
    <w:rsid w:val="004952C1"/>
    <w:rsid w:val="00497575"/>
    <w:rsid w:val="004A078B"/>
    <w:rsid w:val="004A12C0"/>
    <w:rsid w:val="004A169A"/>
    <w:rsid w:val="004A18C9"/>
    <w:rsid w:val="004A191A"/>
    <w:rsid w:val="004A1A70"/>
    <w:rsid w:val="004A2D5A"/>
    <w:rsid w:val="004A2E84"/>
    <w:rsid w:val="004A3988"/>
    <w:rsid w:val="004A4027"/>
    <w:rsid w:val="004A419E"/>
    <w:rsid w:val="004A43F0"/>
    <w:rsid w:val="004A4688"/>
    <w:rsid w:val="004A4776"/>
    <w:rsid w:val="004A4F72"/>
    <w:rsid w:val="004A5741"/>
    <w:rsid w:val="004A6463"/>
    <w:rsid w:val="004A6B58"/>
    <w:rsid w:val="004A6BA2"/>
    <w:rsid w:val="004A7C39"/>
    <w:rsid w:val="004A7D74"/>
    <w:rsid w:val="004B0364"/>
    <w:rsid w:val="004B06C3"/>
    <w:rsid w:val="004B0917"/>
    <w:rsid w:val="004B0B09"/>
    <w:rsid w:val="004B140F"/>
    <w:rsid w:val="004B14EB"/>
    <w:rsid w:val="004B21CF"/>
    <w:rsid w:val="004B2DE3"/>
    <w:rsid w:val="004B34DF"/>
    <w:rsid w:val="004B3FEA"/>
    <w:rsid w:val="004B44A9"/>
    <w:rsid w:val="004B4E68"/>
    <w:rsid w:val="004B53F1"/>
    <w:rsid w:val="004B5D6E"/>
    <w:rsid w:val="004B60BA"/>
    <w:rsid w:val="004B6946"/>
    <w:rsid w:val="004B6D89"/>
    <w:rsid w:val="004B6E81"/>
    <w:rsid w:val="004B7DE4"/>
    <w:rsid w:val="004C0FFE"/>
    <w:rsid w:val="004C136D"/>
    <w:rsid w:val="004C1619"/>
    <w:rsid w:val="004C177F"/>
    <w:rsid w:val="004C19E4"/>
    <w:rsid w:val="004C1B59"/>
    <w:rsid w:val="004C3C25"/>
    <w:rsid w:val="004C3CFC"/>
    <w:rsid w:val="004C3EEA"/>
    <w:rsid w:val="004C4D02"/>
    <w:rsid w:val="004C4EA2"/>
    <w:rsid w:val="004C596B"/>
    <w:rsid w:val="004C5E41"/>
    <w:rsid w:val="004C60E7"/>
    <w:rsid w:val="004C664D"/>
    <w:rsid w:val="004C70C2"/>
    <w:rsid w:val="004C7BDE"/>
    <w:rsid w:val="004D0090"/>
    <w:rsid w:val="004D020F"/>
    <w:rsid w:val="004D03D1"/>
    <w:rsid w:val="004D10B0"/>
    <w:rsid w:val="004D11AF"/>
    <w:rsid w:val="004D2E58"/>
    <w:rsid w:val="004D37D9"/>
    <w:rsid w:val="004D41A2"/>
    <w:rsid w:val="004D47F2"/>
    <w:rsid w:val="004D502C"/>
    <w:rsid w:val="004D5CEE"/>
    <w:rsid w:val="004D5FB2"/>
    <w:rsid w:val="004D60A3"/>
    <w:rsid w:val="004D6383"/>
    <w:rsid w:val="004D6DC3"/>
    <w:rsid w:val="004D71CA"/>
    <w:rsid w:val="004D78B9"/>
    <w:rsid w:val="004E016A"/>
    <w:rsid w:val="004E0461"/>
    <w:rsid w:val="004E12E8"/>
    <w:rsid w:val="004E1CC8"/>
    <w:rsid w:val="004E2052"/>
    <w:rsid w:val="004E29B1"/>
    <w:rsid w:val="004E3F87"/>
    <w:rsid w:val="004E461B"/>
    <w:rsid w:val="004E477D"/>
    <w:rsid w:val="004E5890"/>
    <w:rsid w:val="004E79EF"/>
    <w:rsid w:val="004E7B33"/>
    <w:rsid w:val="004F0368"/>
    <w:rsid w:val="004F0D19"/>
    <w:rsid w:val="004F121B"/>
    <w:rsid w:val="004F140F"/>
    <w:rsid w:val="004F185F"/>
    <w:rsid w:val="004F2811"/>
    <w:rsid w:val="004F2F69"/>
    <w:rsid w:val="004F3326"/>
    <w:rsid w:val="004F4D22"/>
    <w:rsid w:val="004F590E"/>
    <w:rsid w:val="004F5966"/>
    <w:rsid w:val="004F6026"/>
    <w:rsid w:val="004F60F4"/>
    <w:rsid w:val="004F62E8"/>
    <w:rsid w:val="004F67C3"/>
    <w:rsid w:val="004F6C17"/>
    <w:rsid w:val="004F7390"/>
    <w:rsid w:val="004F78F8"/>
    <w:rsid w:val="005001A5"/>
    <w:rsid w:val="00500201"/>
    <w:rsid w:val="00500CCD"/>
    <w:rsid w:val="005019AA"/>
    <w:rsid w:val="00502008"/>
    <w:rsid w:val="00502075"/>
    <w:rsid w:val="005026B8"/>
    <w:rsid w:val="005028AF"/>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1747C"/>
    <w:rsid w:val="00517667"/>
    <w:rsid w:val="00520482"/>
    <w:rsid w:val="00520BBA"/>
    <w:rsid w:val="00522185"/>
    <w:rsid w:val="005225AC"/>
    <w:rsid w:val="005226FA"/>
    <w:rsid w:val="005233F3"/>
    <w:rsid w:val="0052365C"/>
    <w:rsid w:val="005245D2"/>
    <w:rsid w:val="00524806"/>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2B9F"/>
    <w:rsid w:val="0054352D"/>
    <w:rsid w:val="00543C9C"/>
    <w:rsid w:val="005442F1"/>
    <w:rsid w:val="00544A24"/>
    <w:rsid w:val="0054583C"/>
    <w:rsid w:val="00546227"/>
    <w:rsid w:val="005468E2"/>
    <w:rsid w:val="00546D83"/>
    <w:rsid w:val="00546FCC"/>
    <w:rsid w:val="00550113"/>
    <w:rsid w:val="0055019B"/>
    <w:rsid w:val="005504BE"/>
    <w:rsid w:val="0055082B"/>
    <w:rsid w:val="0055093A"/>
    <w:rsid w:val="00550F00"/>
    <w:rsid w:val="00551964"/>
    <w:rsid w:val="00551BDF"/>
    <w:rsid w:val="00551ED7"/>
    <w:rsid w:val="0055211C"/>
    <w:rsid w:val="0055263A"/>
    <w:rsid w:val="005526EE"/>
    <w:rsid w:val="00552B57"/>
    <w:rsid w:val="00552E53"/>
    <w:rsid w:val="00553E34"/>
    <w:rsid w:val="005547B7"/>
    <w:rsid w:val="00554D6D"/>
    <w:rsid w:val="005551E9"/>
    <w:rsid w:val="0055680D"/>
    <w:rsid w:val="00557670"/>
    <w:rsid w:val="00557C2D"/>
    <w:rsid w:val="00560094"/>
    <w:rsid w:val="0056054A"/>
    <w:rsid w:val="00560C62"/>
    <w:rsid w:val="00562A61"/>
    <w:rsid w:val="00562E78"/>
    <w:rsid w:val="005638A2"/>
    <w:rsid w:val="00563D60"/>
    <w:rsid w:val="00564E45"/>
    <w:rsid w:val="005652D5"/>
    <w:rsid w:val="005652FA"/>
    <w:rsid w:val="00565E52"/>
    <w:rsid w:val="00567227"/>
    <w:rsid w:val="00567CD0"/>
    <w:rsid w:val="00570C7B"/>
    <w:rsid w:val="00571C77"/>
    <w:rsid w:val="00572BCD"/>
    <w:rsid w:val="00572D5B"/>
    <w:rsid w:val="00573127"/>
    <w:rsid w:val="00574614"/>
    <w:rsid w:val="00574A70"/>
    <w:rsid w:val="00574D35"/>
    <w:rsid w:val="00575C75"/>
    <w:rsid w:val="00575CEA"/>
    <w:rsid w:val="005762CA"/>
    <w:rsid w:val="005770CF"/>
    <w:rsid w:val="00577904"/>
    <w:rsid w:val="00577922"/>
    <w:rsid w:val="00577AC3"/>
    <w:rsid w:val="00580577"/>
    <w:rsid w:val="00580E97"/>
    <w:rsid w:val="005815A8"/>
    <w:rsid w:val="00581915"/>
    <w:rsid w:val="0058284A"/>
    <w:rsid w:val="00583431"/>
    <w:rsid w:val="005835B0"/>
    <w:rsid w:val="005846C0"/>
    <w:rsid w:val="005846DE"/>
    <w:rsid w:val="00584D04"/>
    <w:rsid w:val="005853F5"/>
    <w:rsid w:val="0058567E"/>
    <w:rsid w:val="00585DE1"/>
    <w:rsid w:val="0058659E"/>
    <w:rsid w:val="005869EE"/>
    <w:rsid w:val="005872DD"/>
    <w:rsid w:val="00587CF2"/>
    <w:rsid w:val="00587D3A"/>
    <w:rsid w:val="00590197"/>
    <w:rsid w:val="00590346"/>
    <w:rsid w:val="0059093F"/>
    <w:rsid w:val="00590BA2"/>
    <w:rsid w:val="00590CA7"/>
    <w:rsid w:val="00590E93"/>
    <w:rsid w:val="005915E1"/>
    <w:rsid w:val="0059177A"/>
    <w:rsid w:val="00591C75"/>
    <w:rsid w:val="00592D10"/>
    <w:rsid w:val="0059388B"/>
    <w:rsid w:val="00593A5F"/>
    <w:rsid w:val="0059404E"/>
    <w:rsid w:val="00594269"/>
    <w:rsid w:val="005950C2"/>
    <w:rsid w:val="00595539"/>
    <w:rsid w:val="00597108"/>
    <w:rsid w:val="005976DB"/>
    <w:rsid w:val="005A1A84"/>
    <w:rsid w:val="005A3E82"/>
    <w:rsid w:val="005A4287"/>
    <w:rsid w:val="005A482E"/>
    <w:rsid w:val="005A4DB0"/>
    <w:rsid w:val="005A5095"/>
    <w:rsid w:val="005A5597"/>
    <w:rsid w:val="005A57BF"/>
    <w:rsid w:val="005A5C18"/>
    <w:rsid w:val="005A6AC2"/>
    <w:rsid w:val="005A7A65"/>
    <w:rsid w:val="005A7B26"/>
    <w:rsid w:val="005A7B8E"/>
    <w:rsid w:val="005A7C10"/>
    <w:rsid w:val="005B012B"/>
    <w:rsid w:val="005B0C87"/>
    <w:rsid w:val="005B0FE9"/>
    <w:rsid w:val="005B2195"/>
    <w:rsid w:val="005B26C7"/>
    <w:rsid w:val="005B2D1F"/>
    <w:rsid w:val="005B2D65"/>
    <w:rsid w:val="005B3877"/>
    <w:rsid w:val="005B3AC8"/>
    <w:rsid w:val="005B3CC1"/>
    <w:rsid w:val="005B4002"/>
    <w:rsid w:val="005B45AB"/>
    <w:rsid w:val="005B46DF"/>
    <w:rsid w:val="005B4D8F"/>
    <w:rsid w:val="005B526C"/>
    <w:rsid w:val="005B541E"/>
    <w:rsid w:val="005B6551"/>
    <w:rsid w:val="005B71A8"/>
    <w:rsid w:val="005B744B"/>
    <w:rsid w:val="005C0A6F"/>
    <w:rsid w:val="005C0FA7"/>
    <w:rsid w:val="005C155F"/>
    <w:rsid w:val="005C1C0E"/>
    <w:rsid w:val="005C1FF5"/>
    <w:rsid w:val="005C259E"/>
    <w:rsid w:val="005C36E2"/>
    <w:rsid w:val="005C3E9E"/>
    <w:rsid w:val="005C400C"/>
    <w:rsid w:val="005C410C"/>
    <w:rsid w:val="005C4BF1"/>
    <w:rsid w:val="005C4BF2"/>
    <w:rsid w:val="005C52D4"/>
    <w:rsid w:val="005C5624"/>
    <w:rsid w:val="005C5967"/>
    <w:rsid w:val="005C5BED"/>
    <w:rsid w:val="005C5D86"/>
    <w:rsid w:val="005C6167"/>
    <w:rsid w:val="005C6ADB"/>
    <w:rsid w:val="005C6EE2"/>
    <w:rsid w:val="005C74DC"/>
    <w:rsid w:val="005C7A07"/>
    <w:rsid w:val="005C7DDC"/>
    <w:rsid w:val="005C7F7C"/>
    <w:rsid w:val="005D0BAD"/>
    <w:rsid w:val="005D0C0A"/>
    <w:rsid w:val="005D107D"/>
    <w:rsid w:val="005D123A"/>
    <w:rsid w:val="005D2506"/>
    <w:rsid w:val="005D2BB5"/>
    <w:rsid w:val="005D3677"/>
    <w:rsid w:val="005D3A10"/>
    <w:rsid w:val="005D3BD0"/>
    <w:rsid w:val="005D42B7"/>
    <w:rsid w:val="005D4E4C"/>
    <w:rsid w:val="005D57A3"/>
    <w:rsid w:val="005D5B5E"/>
    <w:rsid w:val="005D5C85"/>
    <w:rsid w:val="005D5CA0"/>
    <w:rsid w:val="005D5F27"/>
    <w:rsid w:val="005D69AB"/>
    <w:rsid w:val="005D72FC"/>
    <w:rsid w:val="005D7DFC"/>
    <w:rsid w:val="005E035A"/>
    <w:rsid w:val="005E0464"/>
    <w:rsid w:val="005E0681"/>
    <w:rsid w:val="005E1143"/>
    <w:rsid w:val="005E1218"/>
    <w:rsid w:val="005E18EC"/>
    <w:rsid w:val="005E1A55"/>
    <w:rsid w:val="005E1B6B"/>
    <w:rsid w:val="005E1F61"/>
    <w:rsid w:val="005E2127"/>
    <w:rsid w:val="005E2281"/>
    <w:rsid w:val="005E236C"/>
    <w:rsid w:val="005E2FAE"/>
    <w:rsid w:val="005E32C9"/>
    <w:rsid w:val="005E351B"/>
    <w:rsid w:val="005E38A8"/>
    <w:rsid w:val="005E39F9"/>
    <w:rsid w:val="005E3D9B"/>
    <w:rsid w:val="005E44B6"/>
    <w:rsid w:val="005E4828"/>
    <w:rsid w:val="005E4887"/>
    <w:rsid w:val="005E5016"/>
    <w:rsid w:val="005E5231"/>
    <w:rsid w:val="005E55BB"/>
    <w:rsid w:val="005E5D11"/>
    <w:rsid w:val="005E667C"/>
    <w:rsid w:val="005E68BC"/>
    <w:rsid w:val="005E6A1D"/>
    <w:rsid w:val="005E6F12"/>
    <w:rsid w:val="005E733E"/>
    <w:rsid w:val="005E7428"/>
    <w:rsid w:val="005F0694"/>
    <w:rsid w:val="005F06E1"/>
    <w:rsid w:val="005F077C"/>
    <w:rsid w:val="005F0B88"/>
    <w:rsid w:val="005F1735"/>
    <w:rsid w:val="005F187E"/>
    <w:rsid w:val="005F252A"/>
    <w:rsid w:val="005F367B"/>
    <w:rsid w:val="005F3CC3"/>
    <w:rsid w:val="005F3CE8"/>
    <w:rsid w:val="005F4F41"/>
    <w:rsid w:val="005F4F70"/>
    <w:rsid w:val="005F566D"/>
    <w:rsid w:val="005F648F"/>
    <w:rsid w:val="005F68C3"/>
    <w:rsid w:val="005F7D87"/>
    <w:rsid w:val="00601794"/>
    <w:rsid w:val="00601E94"/>
    <w:rsid w:val="006021B1"/>
    <w:rsid w:val="006029A7"/>
    <w:rsid w:val="00602F40"/>
    <w:rsid w:val="006037C5"/>
    <w:rsid w:val="00603CC8"/>
    <w:rsid w:val="006040CE"/>
    <w:rsid w:val="0060467D"/>
    <w:rsid w:val="00604DF3"/>
    <w:rsid w:val="0060585E"/>
    <w:rsid w:val="00605B4D"/>
    <w:rsid w:val="00605B9D"/>
    <w:rsid w:val="00606213"/>
    <w:rsid w:val="00606B57"/>
    <w:rsid w:val="00606B85"/>
    <w:rsid w:val="00607390"/>
    <w:rsid w:val="006076D8"/>
    <w:rsid w:val="00607C43"/>
    <w:rsid w:val="00607E6D"/>
    <w:rsid w:val="00610490"/>
    <w:rsid w:val="0061061D"/>
    <w:rsid w:val="00610B97"/>
    <w:rsid w:val="00611708"/>
    <w:rsid w:val="00611816"/>
    <w:rsid w:val="00611A3B"/>
    <w:rsid w:val="006120CA"/>
    <w:rsid w:val="00612389"/>
    <w:rsid w:val="00612570"/>
    <w:rsid w:val="006127BD"/>
    <w:rsid w:val="00612871"/>
    <w:rsid w:val="00612929"/>
    <w:rsid w:val="006129DD"/>
    <w:rsid w:val="00612A44"/>
    <w:rsid w:val="00612A8E"/>
    <w:rsid w:val="00613098"/>
    <w:rsid w:val="0061348F"/>
    <w:rsid w:val="006134D9"/>
    <w:rsid w:val="006135DA"/>
    <w:rsid w:val="00613BDC"/>
    <w:rsid w:val="00613F64"/>
    <w:rsid w:val="00614921"/>
    <w:rsid w:val="00615564"/>
    <w:rsid w:val="006155E2"/>
    <w:rsid w:val="00615ECA"/>
    <w:rsid w:val="00615F26"/>
    <w:rsid w:val="00616974"/>
    <w:rsid w:val="00616CCC"/>
    <w:rsid w:val="00617A81"/>
    <w:rsid w:val="00617C11"/>
    <w:rsid w:val="00617DEC"/>
    <w:rsid w:val="00617EEC"/>
    <w:rsid w:val="00620542"/>
    <w:rsid w:val="00620573"/>
    <w:rsid w:val="00620579"/>
    <w:rsid w:val="006208AA"/>
    <w:rsid w:val="0062128D"/>
    <w:rsid w:val="00621C96"/>
    <w:rsid w:val="00622161"/>
    <w:rsid w:val="0062228D"/>
    <w:rsid w:val="006224D1"/>
    <w:rsid w:val="0062258F"/>
    <w:rsid w:val="00622732"/>
    <w:rsid w:val="00622E6D"/>
    <w:rsid w:val="00623BC7"/>
    <w:rsid w:val="00623E70"/>
    <w:rsid w:val="0062409E"/>
    <w:rsid w:val="006241D0"/>
    <w:rsid w:val="00624425"/>
    <w:rsid w:val="00624665"/>
    <w:rsid w:val="00624B06"/>
    <w:rsid w:val="00625434"/>
    <w:rsid w:val="0062576B"/>
    <w:rsid w:val="00625C5F"/>
    <w:rsid w:val="00625FF2"/>
    <w:rsid w:val="00626032"/>
    <w:rsid w:val="0062719D"/>
    <w:rsid w:val="00627643"/>
    <w:rsid w:val="00627788"/>
    <w:rsid w:val="006300CD"/>
    <w:rsid w:val="0063017E"/>
    <w:rsid w:val="00630723"/>
    <w:rsid w:val="0063081D"/>
    <w:rsid w:val="00630EAE"/>
    <w:rsid w:val="006312D0"/>
    <w:rsid w:val="00631866"/>
    <w:rsid w:val="006318A4"/>
    <w:rsid w:val="00631A11"/>
    <w:rsid w:val="00631D4F"/>
    <w:rsid w:val="006321B6"/>
    <w:rsid w:val="006327C6"/>
    <w:rsid w:val="00633496"/>
    <w:rsid w:val="006338D2"/>
    <w:rsid w:val="00633DF1"/>
    <w:rsid w:val="00633F92"/>
    <w:rsid w:val="0063435E"/>
    <w:rsid w:val="00634CB2"/>
    <w:rsid w:val="0063571A"/>
    <w:rsid w:val="006357E2"/>
    <w:rsid w:val="00635923"/>
    <w:rsid w:val="00635C02"/>
    <w:rsid w:val="00635FD8"/>
    <w:rsid w:val="00636651"/>
    <w:rsid w:val="006368E4"/>
    <w:rsid w:val="006369C3"/>
    <w:rsid w:val="00636A1C"/>
    <w:rsid w:val="00636F7B"/>
    <w:rsid w:val="00637784"/>
    <w:rsid w:val="006378AC"/>
    <w:rsid w:val="00640140"/>
    <w:rsid w:val="0064019C"/>
    <w:rsid w:val="00640288"/>
    <w:rsid w:val="006405AC"/>
    <w:rsid w:val="0064099D"/>
    <w:rsid w:val="00640E9A"/>
    <w:rsid w:val="00641254"/>
    <w:rsid w:val="006412CD"/>
    <w:rsid w:val="006413D8"/>
    <w:rsid w:val="00641420"/>
    <w:rsid w:val="00641610"/>
    <w:rsid w:val="00641B7B"/>
    <w:rsid w:val="00641C55"/>
    <w:rsid w:val="00642405"/>
    <w:rsid w:val="00642645"/>
    <w:rsid w:val="006437E8"/>
    <w:rsid w:val="006438E0"/>
    <w:rsid w:val="006443D6"/>
    <w:rsid w:val="00644BED"/>
    <w:rsid w:val="00644F27"/>
    <w:rsid w:val="006453C4"/>
    <w:rsid w:val="006455CB"/>
    <w:rsid w:val="00646FD5"/>
    <w:rsid w:val="00647112"/>
    <w:rsid w:val="006472F8"/>
    <w:rsid w:val="00647680"/>
    <w:rsid w:val="00647743"/>
    <w:rsid w:val="00647CE0"/>
    <w:rsid w:val="0065069B"/>
    <w:rsid w:val="006510C0"/>
    <w:rsid w:val="00651DC7"/>
    <w:rsid w:val="00652092"/>
    <w:rsid w:val="00652472"/>
    <w:rsid w:val="00652A5F"/>
    <w:rsid w:val="00652F31"/>
    <w:rsid w:val="006535E5"/>
    <w:rsid w:val="0065394E"/>
    <w:rsid w:val="00653B2B"/>
    <w:rsid w:val="00653B38"/>
    <w:rsid w:val="00654D37"/>
    <w:rsid w:val="00654F06"/>
    <w:rsid w:val="00656385"/>
    <w:rsid w:val="006567C0"/>
    <w:rsid w:val="00656F19"/>
    <w:rsid w:val="00657274"/>
    <w:rsid w:val="00657BB7"/>
    <w:rsid w:val="00660299"/>
    <w:rsid w:val="00660552"/>
    <w:rsid w:val="00660DBE"/>
    <w:rsid w:val="00661113"/>
    <w:rsid w:val="0066127D"/>
    <w:rsid w:val="00661AB0"/>
    <w:rsid w:val="006623A4"/>
    <w:rsid w:val="006627B5"/>
    <w:rsid w:val="0066351C"/>
    <w:rsid w:val="006635BF"/>
    <w:rsid w:val="00663CBA"/>
    <w:rsid w:val="00663DBD"/>
    <w:rsid w:val="00664498"/>
    <w:rsid w:val="00664693"/>
    <w:rsid w:val="00664C4B"/>
    <w:rsid w:val="00664DC0"/>
    <w:rsid w:val="00664F24"/>
    <w:rsid w:val="006651CC"/>
    <w:rsid w:val="0066582B"/>
    <w:rsid w:val="006658DA"/>
    <w:rsid w:val="00665B9B"/>
    <w:rsid w:val="00665CA1"/>
    <w:rsid w:val="00666676"/>
    <w:rsid w:val="006667CE"/>
    <w:rsid w:val="00666F2F"/>
    <w:rsid w:val="00667421"/>
    <w:rsid w:val="0066780E"/>
    <w:rsid w:val="00667A31"/>
    <w:rsid w:val="00667E6C"/>
    <w:rsid w:val="00670702"/>
    <w:rsid w:val="006708EB"/>
    <w:rsid w:val="0067147C"/>
    <w:rsid w:val="0067225F"/>
    <w:rsid w:val="00672895"/>
    <w:rsid w:val="00672A8A"/>
    <w:rsid w:val="00673524"/>
    <w:rsid w:val="00673D10"/>
    <w:rsid w:val="00673F50"/>
    <w:rsid w:val="00674EEA"/>
    <w:rsid w:val="0067549D"/>
    <w:rsid w:val="006759B0"/>
    <w:rsid w:val="0067636E"/>
    <w:rsid w:val="00677012"/>
    <w:rsid w:val="0067705C"/>
    <w:rsid w:val="006771EA"/>
    <w:rsid w:val="006772F9"/>
    <w:rsid w:val="00677C53"/>
    <w:rsid w:val="00680444"/>
    <w:rsid w:val="00680D0E"/>
    <w:rsid w:val="00680F00"/>
    <w:rsid w:val="006825A6"/>
    <w:rsid w:val="006825B4"/>
    <w:rsid w:val="006829BA"/>
    <w:rsid w:val="00682A77"/>
    <w:rsid w:val="00682AF2"/>
    <w:rsid w:val="00682C1D"/>
    <w:rsid w:val="00682E8A"/>
    <w:rsid w:val="00682FB7"/>
    <w:rsid w:val="006837DE"/>
    <w:rsid w:val="00683CE0"/>
    <w:rsid w:val="00684FA5"/>
    <w:rsid w:val="00685026"/>
    <w:rsid w:val="0068537F"/>
    <w:rsid w:val="00685E0D"/>
    <w:rsid w:val="00686104"/>
    <w:rsid w:val="00686334"/>
    <w:rsid w:val="00686C3A"/>
    <w:rsid w:val="00686EEB"/>
    <w:rsid w:val="00687628"/>
    <w:rsid w:val="00687CFE"/>
    <w:rsid w:val="0069035A"/>
    <w:rsid w:val="006906FD"/>
    <w:rsid w:val="00690EB8"/>
    <w:rsid w:val="0069109D"/>
    <w:rsid w:val="006915E5"/>
    <w:rsid w:val="00692401"/>
    <w:rsid w:val="00692AD4"/>
    <w:rsid w:val="006938A9"/>
    <w:rsid w:val="00693B7A"/>
    <w:rsid w:val="006940BE"/>
    <w:rsid w:val="006941CC"/>
    <w:rsid w:val="006942BA"/>
    <w:rsid w:val="006945D4"/>
    <w:rsid w:val="00694EC0"/>
    <w:rsid w:val="00695852"/>
    <w:rsid w:val="00695F56"/>
    <w:rsid w:val="0069690E"/>
    <w:rsid w:val="0069758B"/>
    <w:rsid w:val="00697F88"/>
    <w:rsid w:val="006A050B"/>
    <w:rsid w:val="006A07FF"/>
    <w:rsid w:val="006A0A70"/>
    <w:rsid w:val="006A0B6C"/>
    <w:rsid w:val="006A1692"/>
    <w:rsid w:val="006A16E1"/>
    <w:rsid w:val="006A179F"/>
    <w:rsid w:val="006A188D"/>
    <w:rsid w:val="006A3293"/>
    <w:rsid w:val="006A36DF"/>
    <w:rsid w:val="006A3C8A"/>
    <w:rsid w:val="006A3E61"/>
    <w:rsid w:val="006A5213"/>
    <w:rsid w:val="006A5571"/>
    <w:rsid w:val="006A6003"/>
    <w:rsid w:val="006A6636"/>
    <w:rsid w:val="006A6737"/>
    <w:rsid w:val="006B0AE6"/>
    <w:rsid w:val="006B1AF3"/>
    <w:rsid w:val="006B1E08"/>
    <w:rsid w:val="006B2099"/>
    <w:rsid w:val="006B26B1"/>
    <w:rsid w:val="006B2741"/>
    <w:rsid w:val="006B275D"/>
    <w:rsid w:val="006B2E45"/>
    <w:rsid w:val="006B341B"/>
    <w:rsid w:val="006B3875"/>
    <w:rsid w:val="006B3937"/>
    <w:rsid w:val="006B425B"/>
    <w:rsid w:val="006B4A56"/>
    <w:rsid w:val="006B545C"/>
    <w:rsid w:val="006B5AC8"/>
    <w:rsid w:val="006B5D32"/>
    <w:rsid w:val="006B6AC1"/>
    <w:rsid w:val="006B6EDF"/>
    <w:rsid w:val="006B758B"/>
    <w:rsid w:val="006B78A5"/>
    <w:rsid w:val="006B7BF8"/>
    <w:rsid w:val="006C00A0"/>
    <w:rsid w:val="006C0A9F"/>
    <w:rsid w:val="006C0E54"/>
    <w:rsid w:val="006C0F11"/>
    <w:rsid w:val="006C23E1"/>
    <w:rsid w:val="006C25D5"/>
    <w:rsid w:val="006C25F9"/>
    <w:rsid w:val="006C262B"/>
    <w:rsid w:val="006C27DC"/>
    <w:rsid w:val="006C2866"/>
    <w:rsid w:val="006C31C6"/>
    <w:rsid w:val="006C32BE"/>
    <w:rsid w:val="006C3A2D"/>
    <w:rsid w:val="006C4666"/>
    <w:rsid w:val="006C49BF"/>
    <w:rsid w:val="006C4BB3"/>
    <w:rsid w:val="006C519B"/>
    <w:rsid w:val="006C63D7"/>
    <w:rsid w:val="006C6894"/>
    <w:rsid w:val="006C69D9"/>
    <w:rsid w:val="006C6C2D"/>
    <w:rsid w:val="006C7535"/>
    <w:rsid w:val="006C76A6"/>
    <w:rsid w:val="006C796D"/>
    <w:rsid w:val="006D0525"/>
    <w:rsid w:val="006D08DC"/>
    <w:rsid w:val="006D09D1"/>
    <w:rsid w:val="006D10C4"/>
    <w:rsid w:val="006D23FF"/>
    <w:rsid w:val="006D2F09"/>
    <w:rsid w:val="006D2FD2"/>
    <w:rsid w:val="006D33E6"/>
    <w:rsid w:val="006D3783"/>
    <w:rsid w:val="006D3DC0"/>
    <w:rsid w:val="006D40C4"/>
    <w:rsid w:val="006D4162"/>
    <w:rsid w:val="006D44D2"/>
    <w:rsid w:val="006D453E"/>
    <w:rsid w:val="006D4F80"/>
    <w:rsid w:val="006D5303"/>
    <w:rsid w:val="006D5E84"/>
    <w:rsid w:val="006D7A4C"/>
    <w:rsid w:val="006D7C99"/>
    <w:rsid w:val="006E0369"/>
    <w:rsid w:val="006E0443"/>
    <w:rsid w:val="006E0C50"/>
    <w:rsid w:val="006E0DCF"/>
    <w:rsid w:val="006E14D6"/>
    <w:rsid w:val="006E1647"/>
    <w:rsid w:val="006E1AD9"/>
    <w:rsid w:val="006E1BA2"/>
    <w:rsid w:val="006E2298"/>
    <w:rsid w:val="006E2756"/>
    <w:rsid w:val="006E2C5A"/>
    <w:rsid w:val="006E2F3A"/>
    <w:rsid w:val="006E310A"/>
    <w:rsid w:val="006E3C3E"/>
    <w:rsid w:val="006E3FBD"/>
    <w:rsid w:val="006E40C7"/>
    <w:rsid w:val="006E429F"/>
    <w:rsid w:val="006E47E0"/>
    <w:rsid w:val="006E50E4"/>
    <w:rsid w:val="006E6F30"/>
    <w:rsid w:val="006E6FE9"/>
    <w:rsid w:val="006E7082"/>
    <w:rsid w:val="006E709F"/>
    <w:rsid w:val="006E7F73"/>
    <w:rsid w:val="006F030F"/>
    <w:rsid w:val="006F03AF"/>
    <w:rsid w:val="006F193C"/>
    <w:rsid w:val="006F1B58"/>
    <w:rsid w:val="006F27DC"/>
    <w:rsid w:val="006F2B89"/>
    <w:rsid w:val="006F36F1"/>
    <w:rsid w:val="006F3B81"/>
    <w:rsid w:val="006F4860"/>
    <w:rsid w:val="006F4D59"/>
    <w:rsid w:val="006F4F79"/>
    <w:rsid w:val="006F4F80"/>
    <w:rsid w:val="006F5532"/>
    <w:rsid w:val="006F5ADA"/>
    <w:rsid w:val="006F62CC"/>
    <w:rsid w:val="006F644B"/>
    <w:rsid w:val="006F66C1"/>
    <w:rsid w:val="006F681D"/>
    <w:rsid w:val="006F6FA1"/>
    <w:rsid w:val="006F731E"/>
    <w:rsid w:val="006F78E9"/>
    <w:rsid w:val="0070235F"/>
    <w:rsid w:val="00702BC3"/>
    <w:rsid w:val="00702FF3"/>
    <w:rsid w:val="007032AC"/>
    <w:rsid w:val="00703496"/>
    <w:rsid w:val="007036FE"/>
    <w:rsid w:val="00703AB1"/>
    <w:rsid w:val="0070445E"/>
    <w:rsid w:val="00704614"/>
    <w:rsid w:val="00704710"/>
    <w:rsid w:val="00704C5F"/>
    <w:rsid w:val="00704DEB"/>
    <w:rsid w:val="00705623"/>
    <w:rsid w:val="00705B37"/>
    <w:rsid w:val="0070658A"/>
    <w:rsid w:val="00706B65"/>
    <w:rsid w:val="007070DA"/>
    <w:rsid w:val="007071AF"/>
    <w:rsid w:val="00707C1A"/>
    <w:rsid w:val="00710023"/>
    <w:rsid w:val="00710207"/>
    <w:rsid w:val="0071023D"/>
    <w:rsid w:val="007103CD"/>
    <w:rsid w:val="007104CB"/>
    <w:rsid w:val="00710530"/>
    <w:rsid w:val="007107BD"/>
    <w:rsid w:val="00710A79"/>
    <w:rsid w:val="00711E77"/>
    <w:rsid w:val="00712912"/>
    <w:rsid w:val="00713AAC"/>
    <w:rsid w:val="00713C1D"/>
    <w:rsid w:val="007141DC"/>
    <w:rsid w:val="00714B04"/>
    <w:rsid w:val="00714F75"/>
    <w:rsid w:val="00715082"/>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3E16"/>
    <w:rsid w:val="00723FAF"/>
    <w:rsid w:val="0072442F"/>
    <w:rsid w:val="00725189"/>
    <w:rsid w:val="0072541E"/>
    <w:rsid w:val="00725735"/>
    <w:rsid w:val="00725BB8"/>
    <w:rsid w:val="007260A3"/>
    <w:rsid w:val="0072630D"/>
    <w:rsid w:val="00726A2A"/>
    <w:rsid w:val="007271E9"/>
    <w:rsid w:val="007273BC"/>
    <w:rsid w:val="007275FD"/>
    <w:rsid w:val="007276E5"/>
    <w:rsid w:val="00727F73"/>
    <w:rsid w:val="00730943"/>
    <w:rsid w:val="007310EF"/>
    <w:rsid w:val="00731D5E"/>
    <w:rsid w:val="00732492"/>
    <w:rsid w:val="0073318E"/>
    <w:rsid w:val="00733549"/>
    <w:rsid w:val="00733E5A"/>
    <w:rsid w:val="00733F25"/>
    <w:rsid w:val="007343E6"/>
    <w:rsid w:val="00736395"/>
    <w:rsid w:val="00736459"/>
    <w:rsid w:val="0073685F"/>
    <w:rsid w:val="00737821"/>
    <w:rsid w:val="0074058F"/>
    <w:rsid w:val="00740E86"/>
    <w:rsid w:val="00741175"/>
    <w:rsid w:val="007419FB"/>
    <w:rsid w:val="0074218C"/>
    <w:rsid w:val="00742606"/>
    <w:rsid w:val="007441FF"/>
    <w:rsid w:val="007448A7"/>
    <w:rsid w:val="00744EE8"/>
    <w:rsid w:val="00744F42"/>
    <w:rsid w:val="007459F5"/>
    <w:rsid w:val="00745D9E"/>
    <w:rsid w:val="007466DC"/>
    <w:rsid w:val="00746713"/>
    <w:rsid w:val="007467E4"/>
    <w:rsid w:val="00746B08"/>
    <w:rsid w:val="00747569"/>
    <w:rsid w:val="00750238"/>
    <w:rsid w:val="0075023C"/>
    <w:rsid w:val="00750D90"/>
    <w:rsid w:val="007518E3"/>
    <w:rsid w:val="007518E9"/>
    <w:rsid w:val="00752247"/>
    <w:rsid w:val="007523E7"/>
    <w:rsid w:val="007524C4"/>
    <w:rsid w:val="00752AE5"/>
    <w:rsid w:val="007531CA"/>
    <w:rsid w:val="00754252"/>
    <w:rsid w:val="00755894"/>
    <w:rsid w:val="007560D3"/>
    <w:rsid w:val="00756258"/>
    <w:rsid w:val="007569B0"/>
    <w:rsid w:val="007577B1"/>
    <w:rsid w:val="00757CB3"/>
    <w:rsid w:val="00757D87"/>
    <w:rsid w:val="00757DB4"/>
    <w:rsid w:val="00757E79"/>
    <w:rsid w:val="00760EED"/>
    <w:rsid w:val="0076109F"/>
    <w:rsid w:val="00761399"/>
    <w:rsid w:val="00761615"/>
    <w:rsid w:val="007616DA"/>
    <w:rsid w:val="007619CE"/>
    <w:rsid w:val="00761F4F"/>
    <w:rsid w:val="007620DC"/>
    <w:rsid w:val="00762102"/>
    <w:rsid w:val="0076255D"/>
    <w:rsid w:val="007625F6"/>
    <w:rsid w:val="00762B8B"/>
    <w:rsid w:val="0076325B"/>
    <w:rsid w:val="00763A04"/>
    <w:rsid w:val="00763AAB"/>
    <w:rsid w:val="00764AF9"/>
    <w:rsid w:val="007650AD"/>
    <w:rsid w:val="00765D18"/>
    <w:rsid w:val="0076640B"/>
    <w:rsid w:val="007673DE"/>
    <w:rsid w:val="00770C54"/>
    <w:rsid w:val="00771344"/>
    <w:rsid w:val="0077213A"/>
    <w:rsid w:val="00772613"/>
    <w:rsid w:val="00772B41"/>
    <w:rsid w:val="00772CED"/>
    <w:rsid w:val="00773EA1"/>
    <w:rsid w:val="00775215"/>
    <w:rsid w:val="00775748"/>
    <w:rsid w:val="00776ACC"/>
    <w:rsid w:val="00776AD5"/>
    <w:rsid w:val="00777AE2"/>
    <w:rsid w:val="00777C71"/>
    <w:rsid w:val="00777D6B"/>
    <w:rsid w:val="00777F20"/>
    <w:rsid w:val="0078080B"/>
    <w:rsid w:val="00781148"/>
    <w:rsid w:val="0078120F"/>
    <w:rsid w:val="00781F98"/>
    <w:rsid w:val="007820DF"/>
    <w:rsid w:val="0078265B"/>
    <w:rsid w:val="00782AFE"/>
    <w:rsid w:val="00782E10"/>
    <w:rsid w:val="00784926"/>
    <w:rsid w:val="00784DB8"/>
    <w:rsid w:val="00784FDD"/>
    <w:rsid w:val="0078508F"/>
    <w:rsid w:val="00785ADD"/>
    <w:rsid w:val="00786448"/>
    <w:rsid w:val="007875D7"/>
    <w:rsid w:val="007906B2"/>
    <w:rsid w:val="0079134E"/>
    <w:rsid w:val="007925F0"/>
    <w:rsid w:val="0079278E"/>
    <w:rsid w:val="00792DCA"/>
    <w:rsid w:val="00792E3C"/>
    <w:rsid w:val="00792FDF"/>
    <w:rsid w:val="00793040"/>
    <w:rsid w:val="007930C1"/>
    <w:rsid w:val="0079315D"/>
    <w:rsid w:val="00793B45"/>
    <w:rsid w:val="007946EE"/>
    <w:rsid w:val="0079477A"/>
    <w:rsid w:val="007956CD"/>
    <w:rsid w:val="00795706"/>
    <w:rsid w:val="007960E3"/>
    <w:rsid w:val="00796E34"/>
    <w:rsid w:val="00796F7C"/>
    <w:rsid w:val="00797131"/>
    <w:rsid w:val="00797254"/>
    <w:rsid w:val="00797430"/>
    <w:rsid w:val="00797AF4"/>
    <w:rsid w:val="007A0F8D"/>
    <w:rsid w:val="007A1078"/>
    <w:rsid w:val="007A180A"/>
    <w:rsid w:val="007A1A49"/>
    <w:rsid w:val="007A21E4"/>
    <w:rsid w:val="007A2304"/>
    <w:rsid w:val="007A257D"/>
    <w:rsid w:val="007A2CB0"/>
    <w:rsid w:val="007A343D"/>
    <w:rsid w:val="007A38CE"/>
    <w:rsid w:val="007A3F1C"/>
    <w:rsid w:val="007A457D"/>
    <w:rsid w:val="007A46E6"/>
    <w:rsid w:val="007A48D8"/>
    <w:rsid w:val="007A5ACE"/>
    <w:rsid w:val="007A5C5C"/>
    <w:rsid w:val="007A6528"/>
    <w:rsid w:val="007A6A64"/>
    <w:rsid w:val="007A7B48"/>
    <w:rsid w:val="007A7FD7"/>
    <w:rsid w:val="007B08FD"/>
    <w:rsid w:val="007B0A0A"/>
    <w:rsid w:val="007B18C6"/>
    <w:rsid w:val="007B20C2"/>
    <w:rsid w:val="007B25D5"/>
    <w:rsid w:val="007B27E4"/>
    <w:rsid w:val="007B2818"/>
    <w:rsid w:val="007B2910"/>
    <w:rsid w:val="007B301D"/>
    <w:rsid w:val="007B3264"/>
    <w:rsid w:val="007B35F6"/>
    <w:rsid w:val="007B3F87"/>
    <w:rsid w:val="007B404F"/>
    <w:rsid w:val="007B44A6"/>
    <w:rsid w:val="007B494E"/>
    <w:rsid w:val="007B4C5E"/>
    <w:rsid w:val="007B51F8"/>
    <w:rsid w:val="007B5924"/>
    <w:rsid w:val="007B7462"/>
    <w:rsid w:val="007B7B52"/>
    <w:rsid w:val="007B7EEE"/>
    <w:rsid w:val="007C02A3"/>
    <w:rsid w:val="007C0C55"/>
    <w:rsid w:val="007C1507"/>
    <w:rsid w:val="007C1857"/>
    <w:rsid w:val="007C1A6F"/>
    <w:rsid w:val="007C207E"/>
    <w:rsid w:val="007C290B"/>
    <w:rsid w:val="007C2F60"/>
    <w:rsid w:val="007C3639"/>
    <w:rsid w:val="007C3757"/>
    <w:rsid w:val="007C4D8D"/>
    <w:rsid w:val="007C5144"/>
    <w:rsid w:val="007C5613"/>
    <w:rsid w:val="007C6138"/>
    <w:rsid w:val="007C6153"/>
    <w:rsid w:val="007C6849"/>
    <w:rsid w:val="007C6BC6"/>
    <w:rsid w:val="007C6C12"/>
    <w:rsid w:val="007C73B2"/>
    <w:rsid w:val="007D0435"/>
    <w:rsid w:val="007D0D3E"/>
    <w:rsid w:val="007D116E"/>
    <w:rsid w:val="007D1772"/>
    <w:rsid w:val="007D1B24"/>
    <w:rsid w:val="007D267F"/>
    <w:rsid w:val="007D3341"/>
    <w:rsid w:val="007D399C"/>
    <w:rsid w:val="007D3A3E"/>
    <w:rsid w:val="007D400A"/>
    <w:rsid w:val="007D4365"/>
    <w:rsid w:val="007D44C1"/>
    <w:rsid w:val="007D4B0E"/>
    <w:rsid w:val="007D4DD2"/>
    <w:rsid w:val="007D558F"/>
    <w:rsid w:val="007D5D0F"/>
    <w:rsid w:val="007D6EA8"/>
    <w:rsid w:val="007D7B3C"/>
    <w:rsid w:val="007E010B"/>
    <w:rsid w:val="007E042B"/>
    <w:rsid w:val="007E05DB"/>
    <w:rsid w:val="007E0CC6"/>
    <w:rsid w:val="007E1247"/>
    <w:rsid w:val="007E1A44"/>
    <w:rsid w:val="007E1B09"/>
    <w:rsid w:val="007E229B"/>
    <w:rsid w:val="007E2419"/>
    <w:rsid w:val="007E2E7D"/>
    <w:rsid w:val="007E3FF5"/>
    <w:rsid w:val="007E4219"/>
    <w:rsid w:val="007E577E"/>
    <w:rsid w:val="007E635E"/>
    <w:rsid w:val="007E6A9C"/>
    <w:rsid w:val="007E6C0C"/>
    <w:rsid w:val="007E7300"/>
    <w:rsid w:val="007E767B"/>
    <w:rsid w:val="007E7B54"/>
    <w:rsid w:val="007F038C"/>
    <w:rsid w:val="007F0428"/>
    <w:rsid w:val="007F0C82"/>
    <w:rsid w:val="007F0F24"/>
    <w:rsid w:val="007F1199"/>
    <w:rsid w:val="007F1755"/>
    <w:rsid w:val="007F1C20"/>
    <w:rsid w:val="007F222B"/>
    <w:rsid w:val="007F2443"/>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6272"/>
    <w:rsid w:val="008064DD"/>
    <w:rsid w:val="0080662C"/>
    <w:rsid w:val="008070B2"/>
    <w:rsid w:val="00807815"/>
    <w:rsid w:val="00807D79"/>
    <w:rsid w:val="00810102"/>
    <w:rsid w:val="008102BC"/>
    <w:rsid w:val="008116F3"/>
    <w:rsid w:val="008117C4"/>
    <w:rsid w:val="0081222E"/>
    <w:rsid w:val="00812461"/>
    <w:rsid w:val="008127E0"/>
    <w:rsid w:val="00812810"/>
    <w:rsid w:val="0081398E"/>
    <w:rsid w:val="00813F02"/>
    <w:rsid w:val="008149D8"/>
    <w:rsid w:val="00815714"/>
    <w:rsid w:val="00815A2A"/>
    <w:rsid w:val="00816559"/>
    <w:rsid w:val="0081724D"/>
    <w:rsid w:val="0081788A"/>
    <w:rsid w:val="00817927"/>
    <w:rsid w:val="00817CFC"/>
    <w:rsid w:val="00817E82"/>
    <w:rsid w:val="00820A3F"/>
    <w:rsid w:val="00821D81"/>
    <w:rsid w:val="00822A52"/>
    <w:rsid w:val="00822F31"/>
    <w:rsid w:val="00823654"/>
    <w:rsid w:val="0082374A"/>
    <w:rsid w:val="008237F3"/>
    <w:rsid w:val="00823A90"/>
    <w:rsid w:val="00823D01"/>
    <w:rsid w:val="00825C68"/>
    <w:rsid w:val="00826883"/>
    <w:rsid w:val="0082757E"/>
    <w:rsid w:val="0082769C"/>
    <w:rsid w:val="008277D4"/>
    <w:rsid w:val="008279D2"/>
    <w:rsid w:val="00827B6C"/>
    <w:rsid w:val="00827D77"/>
    <w:rsid w:val="00830259"/>
    <w:rsid w:val="00830561"/>
    <w:rsid w:val="00831115"/>
    <w:rsid w:val="00832092"/>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8CA"/>
    <w:rsid w:val="008429CF"/>
    <w:rsid w:val="0084324C"/>
    <w:rsid w:val="00843910"/>
    <w:rsid w:val="00843B9B"/>
    <w:rsid w:val="0084432F"/>
    <w:rsid w:val="008451F8"/>
    <w:rsid w:val="008456C8"/>
    <w:rsid w:val="008457D2"/>
    <w:rsid w:val="00846212"/>
    <w:rsid w:val="008468E0"/>
    <w:rsid w:val="0084767E"/>
    <w:rsid w:val="0084790F"/>
    <w:rsid w:val="00847BE7"/>
    <w:rsid w:val="00847D8D"/>
    <w:rsid w:val="00850EAB"/>
    <w:rsid w:val="00851C80"/>
    <w:rsid w:val="00851D70"/>
    <w:rsid w:val="00852760"/>
    <w:rsid w:val="008529B3"/>
    <w:rsid w:val="008529BB"/>
    <w:rsid w:val="00852ADD"/>
    <w:rsid w:val="00853883"/>
    <w:rsid w:val="00853EB9"/>
    <w:rsid w:val="00854CF7"/>
    <w:rsid w:val="00854DA7"/>
    <w:rsid w:val="008557A0"/>
    <w:rsid w:val="00855FA6"/>
    <w:rsid w:val="00856258"/>
    <w:rsid w:val="00856607"/>
    <w:rsid w:val="00857AA1"/>
    <w:rsid w:val="008602F1"/>
    <w:rsid w:val="008604A8"/>
    <w:rsid w:val="00860ADD"/>
    <w:rsid w:val="00860CA2"/>
    <w:rsid w:val="008616A2"/>
    <w:rsid w:val="00861C6C"/>
    <w:rsid w:val="008636AC"/>
    <w:rsid w:val="00863862"/>
    <w:rsid w:val="00863AAD"/>
    <w:rsid w:val="00863AB5"/>
    <w:rsid w:val="00864644"/>
    <w:rsid w:val="00864F4D"/>
    <w:rsid w:val="008658DE"/>
    <w:rsid w:val="00865F5C"/>
    <w:rsid w:val="00866296"/>
    <w:rsid w:val="008665C7"/>
    <w:rsid w:val="00866DC1"/>
    <w:rsid w:val="00867BBF"/>
    <w:rsid w:val="008707A3"/>
    <w:rsid w:val="00870A36"/>
    <w:rsid w:val="008711AE"/>
    <w:rsid w:val="0087143E"/>
    <w:rsid w:val="00871A36"/>
    <w:rsid w:val="00871E70"/>
    <w:rsid w:val="00871E97"/>
    <w:rsid w:val="0087226F"/>
    <w:rsid w:val="00872F21"/>
    <w:rsid w:val="00873736"/>
    <w:rsid w:val="0087378E"/>
    <w:rsid w:val="008737DF"/>
    <w:rsid w:val="008755E7"/>
    <w:rsid w:val="00875A46"/>
    <w:rsid w:val="00875E16"/>
    <w:rsid w:val="00877D03"/>
    <w:rsid w:val="00877E96"/>
    <w:rsid w:val="0088023D"/>
    <w:rsid w:val="008803CE"/>
    <w:rsid w:val="00880D8F"/>
    <w:rsid w:val="00882077"/>
    <w:rsid w:val="008820D9"/>
    <w:rsid w:val="00882F34"/>
    <w:rsid w:val="00883613"/>
    <w:rsid w:val="0088557F"/>
    <w:rsid w:val="00886393"/>
    <w:rsid w:val="00886579"/>
    <w:rsid w:val="00886F19"/>
    <w:rsid w:val="00887090"/>
    <w:rsid w:val="00887865"/>
    <w:rsid w:val="00887B37"/>
    <w:rsid w:val="00890598"/>
    <w:rsid w:val="0089065A"/>
    <w:rsid w:val="00890DEB"/>
    <w:rsid w:val="0089177A"/>
    <w:rsid w:val="00891AA9"/>
    <w:rsid w:val="00891D7A"/>
    <w:rsid w:val="00891DFC"/>
    <w:rsid w:val="00892791"/>
    <w:rsid w:val="00892B98"/>
    <w:rsid w:val="008945D2"/>
    <w:rsid w:val="008949A3"/>
    <w:rsid w:val="00894CB5"/>
    <w:rsid w:val="008959FC"/>
    <w:rsid w:val="0089605E"/>
    <w:rsid w:val="00896668"/>
    <w:rsid w:val="00896E9A"/>
    <w:rsid w:val="00897619"/>
    <w:rsid w:val="008978D6"/>
    <w:rsid w:val="008A0CCC"/>
    <w:rsid w:val="008A1D0E"/>
    <w:rsid w:val="008A25EA"/>
    <w:rsid w:val="008A276E"/>
    <w:rsid w:val="008A31C7"/>
    <w:rsid w:val="008A3215"/>
    <w:rsid w:val="008A3630"/>
    <w:rsid w:val="008A3E8B"/>
    <w:rsid w:val="008A47BE"/>
    <w:rsid w:val="008A4AEC"/>
    <w:rsid w:val="008A5609"/>
    <w:rsid w:val="008A5697"/>
    <w:rsid w:val="008A5B35"/>
    <w:rsid w:val="008A6DD5"/>
    <w:rsid w:val="008A6DF0"/>
    <w:rsid w:val="008A6FA0"/>
    <w:rsid w:val="008B0385"/>
    <w:rsid w:val="008B05E6"/>
    <w:rsid w:val="008B0E76"/>
    <w:rsid w:val="008B105C"/>
    <w:rsid w:val="008B15CE"/>
    <w:rsid w:val="008B1C8F"/>
    <w:rsid w:val="008B21F8"/>
    <w:rsid w:val="008B2570"/>
    <w:rsid w:val="008B2B19"/>
    <w:rsid w:val="008B2F40"/>
    <w:rsid w:val="008B2FCD"/>
    <w:rsid w:val="008B3627"/>
    <w:rsid w:val="008B3EAD"/>
    <w:rsid w:val="008B4208"/>
    <w:rsid w:val="008B49B6"/>
    <w:rsid w:val="008B534B"/>
    <w:rsid w:val="008B55A6"/>
    <w:rsid w:val="008B56A0"/>
    <w:rsid w:val="008B5AA1"/>
    <w:rsid w:val="008B5C51"/>
    <w:rsid w:val="008B5E49"/>
    <w:rsid w:val="008B5E61"/>
    <w:rsid w:val="008B64CE"/>
    <w:rsid w:val="008B68B4"/>
    <w:rsid w:val="008B756F"/>
    <w:rsid w:val="008B7633"/>
    <w:rsid w:val="008B7914"/>
    <w:rsid w:val="008C0D0C"/>
    <w:rsid w:val="008C127A"/>
    <w:rsid w:val="008C179E"/>
    <w:rsid w:val="008C18BD"/>
    <w:rsid w:val="008C1932"/>
    <w:rsid w:val="008C1CC8"/>
    <w:rsid w:val="008C1ECC"/>
    <w:rsid w:val="008C2C41"/>
    <w:rsid w:val="008C2C7F"/>
    <w:rsid w:val="008C2F0D"/>
    <w:rsid w:val="008C3425"/>
    <w:rsid w:val="008C346A"/>
    <w:rsid w:val="008C364D"/>
    <w:rsid w:val="008C500C"/>
    <w:rsid w:val="008C58A2"/>
    <w:rsid w:val="008C5BC0"/>
    <w:rsid w:val="008C5D2A"/>
    <w:rsid w:val="008C62E8"/>
    <w:rsid w:val="008C6754"/>
    <w:rsid w:val="008C6C16"/>
    <w:rsid w:val="008C6F7D"/>
    <w:rsid w:val="008C74FB"/>
    <w:rsid w:val="008C7AF4"/>
    <w:rsid w:val="008C7B0F"/>
    <w:rsid w:val="008C7DA4"/>
    <w:rsid w:val="008C7F6E"/>
    <w:rsid w:val="008C7FAE"/>
    <w:rsid w:val="008D0210"/>
    <w:rsid w:val="008D033E"/>
    <w:rsid w:val="008D0851"/>
    <w:rsid w:val="008D0AF5"/>
    <w:rsid w:val="008D0DEF"/>
    <w:rsid w:val="008D0FCD"/>
    <w:rsid w:val="008D1074"/>
    <w:rsid w:val="008D1079"/>
    <w:rsid w:val="008D23A4"/>
    <w:rsid w:val="008D2643"/>
    <w:rsid w:val="008D280F"/>
    <w:rsid w:val="008D2F60"/>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1B7B"/>
    <w:rsid w:val="008E22F8"/>
    <w:rsid w:val="008E23EE"/>
    <w:rsid w:val="008E25D0"/>
    <w:rsid w:val="008E25EC"/>
    <w:rsid w:val="008E39D8"/>
    <w:rsid w:val="008E5313"/>
    <w:rsid w:val="008E5D73"/>
    <w:rsid w:val="008E606F"/>
    <w:rsid w:val="008E6300"/>
    <w:rsid w:val="008E6AD9"/>
    <w:rsid w:val="008E6E25"/>
    <w:rsid w:val="008F022A"/>
    <w:rsid w:val="008F06FD"/>
    <w:rsid w:val="008F1172"/>
    <w:rsid w:val="008F27E3"/>
    <w:rsid w:val="008F3485"/>
    <w:rsid w:val="008F3AC3"/>
    <w:rsid w:val="008F42C1"/>
    <w:rsid w:val="008F51FF"/>
    <w:rsid w:val="008F52FC"/>
    <w:rsid w:val="008F5DEF"/>
    <w:rsid w:val="008F6031"/>
    <w:rsid w:val="008F61F2"/>
    <w:rsid w:val="008F636D"/>
    <w:rsid w:val="008F6AF9"/>
    <w:rsid w:val="008F7C0A"/>
    <w:rsid w:val="00901140"/>
    <w:rsid w:val="00901613"/>
    <w:rsid w:val="00901DBB"/>
    <w:rsid w:val="009026CB"/>
    <w:rsid w:val="00902876"/>
    <w:rsid w:val="00902C0B"/>
    <w:rsid w:val="009030FF"/>
    <w:rsid w:val="009036E9"/>
    <w:rsid w:val="009038F6"/>
    <w:rsid w:val="00903FB2"/>
    <w:rsid w:val="00904038"/>
    <w:rsid w:val="009041AF"/>
    <w:rsid w:val="009042AA"/>
    <w:rsid w:val="009049AB"/>
    <w:rsid w:val="00904C8C"/>
    <w:rsid w:val="009050B7"/>
    <w:rsid w:val="0090510D"/>
    <w:rsid w:val="00905130"/>
    <w:rsid w:val="009053BD"/>
    <w:rsid w:val="00905728"/>
    <w:rsid w:val="009061B8"/>
    <w:rsid w:val="009064BF"/>
    <w:rsid w:val="009069B8"/>
    <w:rsid w:val="0091015D"/>
    <w:rsid w:val="009130CC"/>
    <w:rsid w:val="009133EC"/>
    <w:rsid w:val="00913AF7"/>
    <w:rsid w:val="00913B37"/>
    <w:rsid w:val="00914683"/>
    <w:rsid w:val="00914861"/>
    <w:rsid w:val="009148D8"/>
    <w:rsid w:val="00914B5F"/>
    <w:rsid w:val="00914E71"/>
    <w:rsid w:val="0091504C"/>
    <w:rsid w:val="00915417"/>
    <w:rsid w:val="0091573F"/>
    <w:rsid w:val="00915897"/>
    <w:rsid w:val="00915B44"/>
    <w:rsid w:val="00915CD5"/>
    <w:rsid w:val="00916093"/>
    <w:rsid w:val="009160E3"/>
    <w:rsid w:val="0091639C"/>
    <w:rsid w:val="00916A8C"/>
    <w:rsid w:val="00916E99"/>
    <w:rsid w:val="0092002E"/>
    <w:rsid w:val="0092050A"/>
    <w:rsid w:val="009209A1"/>
    <w:rsid w:val="00920EC6"/>
    <w:rsid w:val="0092101E"/>
    <w:rsid w:val="009225D6"/>
    <w:rsid w:val="0092383B"/>
    <w:rsid w:val="00923DCE"/>
    <w:rsid w:val="00924119"/>
    <w:rsid w:val="0092492A"/>
    <w:rsid w:val="00925120"/>
    <w:rsid w:val="009251B3"/>
    <w:rsid w:val="009255FA"/>
    <w:rsid w:val="009262E4"/>
    <w:rsid w:val="009266D2"/>
    <w:rsid w:val="00927361"/>
    <w:rsid w:val="00927D4E"/>
    <w:rsid w:val="00927F89"/>
    <w:rsid w:val="00930AC2"/>
    <w:rsid w:val="00930D2A"/>
    <w:rsid w:val="009312BF"/>
    <w:rsid w:val="00931680"/>
    <w:rsid w:val="00931B84"/>
    <w:rsid w:val="00931DA9"/>
    <w:rsid w:val="0093220A"/>
    <w:rsid w:val="009322B2"/>
    <w:rsid w:val="009328DA"/>
    <w:rsid w:val="00932E7E"/>
    <w:rsid w:val="00933846"/>
    <w:rsid w:val="00933A80"/>
    <w:rsid w:val="0093442D"/>
    <w:rsid w:val="00934CD2"/>
    <w:rsid w:val="00935A35"/>
    <w:rsid w:val="009366FD"/>
    <w:rsid w:val="009375E5"/>
    <w:rsid w:val="0093785F"/>
    <w:rsid w:val="00937BC5"/>
    <w:rsid w:val="00937D30"/>
    <w:rsid w:val="00941692"/>
    <w:rsid w:val="00941848"/>
    <w:rsid w:val="00942258"/>
    <w:rsid w:val="009423BB"/>
    <w:rsid w:val="0094337A"/>
    <w:rsid w:val="009437F2"/>
    <w:rsid w:val="009442E8"/>
    <w:rsid w:val="00944BA7"/>
    <w:rsid w:val="0094519B"/>
    <w:rsid w:val="0094636D"/>
    <w:rsid w:val="00946854"/>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2A9"/>
    <w:rsid w:val="00961453"/>
    <w:rsid w:val="009616D4"/>
    <w:rsid w:val="0096182D"/>
    <w:rsid w:val="00962150"/>
    <w:rsid w:val="009627E5"/>
    <w:rsid w:val="00962CCD"/>
    <w:rsid w:val="00963847"/>
    <w:rsid w:val="00964036"/>
    <w:rsid w:val="00964166"/>
    <w:rsid w:val="00964429"/>
    <w:rsid w:val="009645AD"/>
    <w:rsid w:val="0096475C"/>
    <w:rsid w:val="0096546E"/>
    <w:rsid w:val="0096562A"/>
    <w:rsid w:val="00965865"/>
    <w:rsid w:val="00966096"/>
    <w:rsid w:val="009661BA"/>
    <w:rsid w:val="00966A13"/>
    <w:rsid w:val="00966BAF"/>
    <w:rsid w:val="00967473"/>
    <w:rsid w:val="00967730"/>
    <w:rsid w:val="00970D56"/>
    <w:rsid w:val="00970E50"/>
    <w:rsid w:val="00971074"/>
    <w:rsid w:val="009725B2"/>
    <w:rsid w:val="00972969"/>
    <w:rsid w:val="009742DA"/>
    <w:rsid w:val="009747AA"/>
    <w:rsid w:val="00974B99"/>
    <w:rsid w:val="00974BCB"/>
    <w:rsid w:val="00975222"/>
    <w:rsid w:val="0097529C"/>
    <w:rsid w:val="00975361"/>
    <w:rsid w:val="009758CD"/>
    <w:rsid w:val="00975AEF"/>
    <w:rsid w:val="00975BF2"/>
    <w:rsid w:val="0097616C"/>
    <w:rsid w:val="009763E4"/>
    <w:rsid w:val="0097649D"/>
    <w:rsid w:val="0097654D"/>
    <w:rsid w:val="009766B7"/>
    <w:rsid w:val="00976D58"/>
    <w:rsid w:val="00977A66"/>
    <w:rsid w:val="00977C23"/>
    <w:rsid w:val="00980A22"/>
    <w:rsid w:val="00980D85"/>
    <w:rsid w:val="0098167D"/>
    <w:rsid w:val="00981E09"/>
    <w:rsid w:val="00983094"/>
    <w:rsid w:val="00983599"/>
    <w:rsid w:val="009843DE"/>
    <w:rsid w:val="00984BE4"/>
    <w:rsid w:val="0098536A"/>
    <w:rsid w:val="0098544F"/>
    <w:rsid w:val="00985B04"/>
    <w:rsid w:val="0098661B"/>
    <w:rsid w:val="00986A6D"/>
    <w:rsid w:val="00986BEF"/>
    <w:rsid w:val="00987298"/>
    <w:rsid w:val="00987B34"/>
    <w:rsid w:val="00990055"/>
    <w:rsid w:val="00990282"/>
    <w:rsid w:val="00990769"/>
    <w:rsid w:val="00991DF8"/>
    <w:rsid w:val="00992499"/>
    <w:rsid w:val="009928A3"/>
    <w:rsid w:val="00992986"/>
    <w:rsid w:val="009936E2"/>
    <w:rsid w:val="00994B55"/>
    <w:rsid w:val="00995D86"/>
    <w:rsid w:val="00995FB2"/>
    <w:rsid w:val="00996A5A"/>
    <w:rsid w:val="0099781E"/>
    <w:rsid w:val="00997A68"/>
    <w:rsid w:val="009A0071"/>
    <w:rsid w:val="009A00EA"/>
    <w:rsid w:val="009A0403"/>
    <w:rsid w:val="009A0587"/>
    <w:rsid w:val="009A0C1F"/>
    <w:rsid w:val="009A0DA2"/>
    <w:rsid w:val="009A1F6B"/>
    <w:rsid w:val="009A2616"/>
    <w:rsid w:val="009A2C4C"/>
    <w:rsid w:val="009A2DD8"/>
    <w:rsid w:val="009A30DE"/>
    <w:rsid w:val="009A39D5"/>
    <w:rsid w:val="009A3D29"/>
    <w:rsid w:val="009A509F"/>
    <w:rsid w:val="009A5453"/>
    <w:rsid w:val="009A6A7B"/>
    <w:rsid w:val="009A7532"/>
    <w:rsid w:val="009A7883"/>
    <w:rsid w:val="009B04B7"/>
    <w:rsid w:val="009B0596"/>
    <w:rsid w:val="009B1D50"/>
    <w:rsid w:val="009B237F"/>
    <w:rsid w:val="009B2760"/>
    <w:rsid w:val="009B308D"/>
    <w:rsid w:val="009B31D6"/>
    <w:rsid w:val="009B3707"/>
    <w:rsid w:val="009B38D5"/>
    <w:rsid w:val="009B3B62"/>
    <w:rsid w:val="009B3C8D"/>
    <w:rsid w:val="009B3DE3"/>
    <w:rsid w:val="009B4FFB"/>
    <w:rsid w:val="009B53C7"/>
    <w:rsid w:val="009B54FD"/>
    <w:rsid w:val="009B7489"/>
    <w:rsid w:val="009B7987"/>
    <w:rsid w:val="009B7B0A"/>
    <w:rsid w:val="009C0519"/>
    <w:rsid w:val="009C07C9"/>
    <w:rsid w:val="009C08D7"/>
    <w:rsid w:val="009C0B63"/>
    <w:rsid w:val="009C0DC5"/>
    <w:rsid w:val="009C1866"/>
    <w:rsid w:val="009C1FDE"/>
    <w:rsid w:val="009C23FE"/>
    <w:rsid w:val="009C24C8"/>
    <w:rsid w:val="009C274A"/>
    <w:rsid w:val="009C375C"/>
    <w:rsid w:val="009C4E0D"/>
    <w:rsid w:val="009C4F09"/>
    <w:rsid w:val="009C4F1B"/>
    <w:rsid w:val="009C503B"/>
    <w:rsid w:val="009C542B"/>
    <w:rsid w:val="009C5793"/>
    <w:rsid w:val="009C5816"/>
    <w:rsid w:val="009C61EA"/>
    <w:rsid w:val="009C63EC"/>
    <w:rsid w:val="009C650D"/>
    <w:rsid w:val="009C6DF1"/>
    <w:rsid w:val="009C7DAC"/>
    <w:rsid w:val="009C7F93"/>
    <w:rsid w:val="009D077D"/>
    <w:rsid w:val="009D08A6"/>
    <w:rsid w:val="009D0EC0"/>
    <w:rsid w:val="009D1915"/>
    <w:rsid w:val="009D1B69"/>
    <w:rsid w:val="009D1EB3"/>
    <w:rsid w:val="009D25DE"/>
    <w:rsid w:val="009D2ABF"/>
    <w:rsid w:val="009D3AD2"/>
    <w:rsid w:val="009D3E06"/>
    <w:rsid w:val="009D5843"/>
    <w:rsid w:val="009D638D"/>
    <w:rsid w:val="009D6393"/>
    <w:rsid w:val="009D6B6C"/>
    <w:rsid w:val="009D766F"/>
    <w:rsid w:val="009E040C"/>
    <w:rsid w:val="009E0885"/>
    <w:rsid w:val="009E0E20"/>
    <w:rsid w:val="009E1CC8"/>
    <w:rsid w:val="009E20F7"/>
    <w:rsid w:val="009E2827"/>
    <w:rsid w:val="009E2863"/>
    <w:rsid w:val="009E30D2"/>
    <w:rsid w:val="009E31B5"/>
    <w:rsid w:val="009E4885"/>
    <w:rsid w:val="009E49C6"/>
    <w:rsid w:val="009E4E65"/>
    <w:rsid w:val="009E508B"/>
    <w:rsid w:val="009E5EDF"/>
    <w:rsid w:val="009E5FBE"/>
    <w:rsid w:val="009E6068"/>
    <w:rsid w:val="009E679F"/>
    <w:rsid w:val="009E6A00"/>
    <w:rsid w:val="009E6DB4"/>
    <w:rsid w:val="009F0086"/>
    <w:rsid w:val="009F03AB"/>
    <w:rsid w:val="009F0619"/>
    <w:rsid w:val="009F068A"/>
    <w:rsid w:val="009F08C5"/>
    <w:rsid w:val="009F0A85"/>
    <w:rsid w:val="009F1260"/>
    <w:rsid w:val="009F15CA"/>
    <w:rsid w:val="009F1B71"/>
    <w:rsid w:val="009F220A"/>
    <w:rsid w:val="009F3171"/>
    <w:rsid w:val="009F36D6"/>
    <w:rsid w:val="009F3860"/>
    <w:rsid w:val="009F3E53"/>
    <w:rsid w:val="009F4DDE"/>
    <w:rsid w:val="009F6575"/>
    <w:rsid w:val="009F7ADC"/>
    <w:rsid w:val="00A0002A"/>
    <w:rsid w:val="00A01F3A"/>
    <w:rsid w:val="00A0236D"/>
    <w:rsid w:val="00A026A4"/>
    <w:rsid w:val="00A02985"/>
    <w:rsid w:val="00A02B2B"/>
    <w:rsid w:val="00A02FA8"/>
    <w:rsid w:val="00A03307"/>
    <w:rsid w:val="00A03F1A"/>
    <w:rsid w:val="00A03F74"/>
    <w:rsid w:val="00A03F88"/>
    <w:rsid w:val="00A044B9"/>
    <w:rsid w:val="00A046BF"/>
    <w:rsid w:val="00A04709"/>
    <w:rsid w:val="00A05A37"/>
    <w:rsid w:val="00A05B25"/>
    <w:rsid w:val="00A05C04"/>
    <w:rsid w:val="00A05EC0"/>
    <w:rsid w:val="00A06254"/>
    <w:rsid w:val="00A06842"/>
    <w:rsid w:val="00A07459"/>
    <w:rsid w:val="00A07D78"/>
    <w:rsid w:val="00A07DB6"/>
    <w:rsid w:val="00A10573"/>
    <w:rsid w:val="00A10972"/>
    <w:rsid w:val="00A11406"/>
    <w:rsid w:val="00A11C82"/>
    <w:rsid w:val="00A128DD"/>
    <w:rsid w:val="00A13205"/>
    <w:rsid w:val="00A132A1"/>
    <w:rsid w:val="00A13422"/>
    <w:rsid w:val="00A148F0"/>
    <w:rsid w:val="00A15132"/>
    <w:rsid w:val="00A15331"/>
    <w:rsid w:val="00A1554D"/>
    <w:rsid w:val="00A15792"/>
    <w:rsid w:val="00A158E3"/>
    <w:rsid w:val="00A1591A"/>
    <w:rsid w:val="00A172E0"/>
    <w:rsid w:val="00A17527"/>
    <w:rsid w:val="00A17643"/>
    <w:rsid w:val="00A211C5"/>
    <w:rsid w:val="00A221A3"/>
    <w:rsid w:val="00A223D5"/>
    <w:rsid w:val="00A235E4"/>
    <w:rsid w:val="00A23F41"/>
    <w:rsid w:val="00A254D5"/>
    <w:rsid w:val="00A25547"/>
    <w:rsid w:val="00A2563D"/>
    <w:rsid w:val="00A25F76"/>
    <w:rsid w:val="00A3003E"/>
    <w:rsid w:val="00A31E14"/>
    <w:rsid w:val="00A331DC"/>
    <w:rsid w:val="00A3325E"/>
    <w:rsid w:val="00A34276"/>
    <w:rsid w:val="00A34524"/>
    <w:rsid w:val="00A345B6"/>
    <w:rsid w:val="00A3502D"/>
    <w:rsid w:val="00A354D1"/>
    <w:rsid w:val="00A357A4"/>
    <w:rsid w:val="00A35AF5"/>
    <w:rsid w:val="00A35CDF"/>
    <w:rsid w:val="00A36453"/>
    <w:rsid w:val="00A37970"/>
    <w:rsid w:val="00A37A68"/>
    <w:rsid w:val="00A37B0C"/>
    <w:rsid w:val="00A37CE6"/>
    <w:rsid w:val="00A37D1C"/>
    <w:rsid w:val="00A37FFE"/>
    <w:rsid w:val="00A404BE"/>
    <w:rsid w:val="00A40C08"/>
    <w:rsid w:val="00A40ECF"/>
    <w:rsid w:val="00A411C9"/>
    <w:rsid w:val="00A41B47"/>
    <w:rsid w:val="00A41FEF"/>
    <w:rsid w:val="00A42476"/>
    <w:rsid w:val="00A433CA"/>
    <w:rsid w:val="00A43A1A"/>
    <w:rsid w:val="00A43D48"/>
    <w:rsid w:val="00A43F3C"/>
    <w:rsid w:val="00A447A5"/>
    <w:rsid w:val="00A44D18"/>
    <w:rsid w:val="00A45B83"/>
    <w:rsid w:val="00A4646E"/>
    <w:rsid w:val="00A468FD"/>
    <w:rsid w:val="00A46921"/>
    <w:rsid w:val="00A47249"/>
    <w:rsid w:val="00A47E3B"/>
    <w:rsid w:val="00A501C7"/>
    <w:rsid w:val="00A5058A"/>
    <w:rsid w:val="00A50905"/>
    <w:rsid w:val="00A513FD"/>
    <w:rsid w:val="00A517D0"/>
    <w:rsid w:val="00A51E20"/>
    <w:rsid w:val="00A5254B"/>
    <w:rsid w:val="00A52BC1"/>
    <w:rsid w:val="00A52D47"/>
    <w:rsid w:val="00A5347F"/>
    <w:rsid w:val="00A534A0"/>
    <w:rsid w:val="00A537EA"/>
    <w:rsid w:val="00A539AD"/>
    <w:rsid w:val="00A53D1B"/>
    <w:rsid w:val="00A53E3E"/>
    <w:rsid w:val="00A540B2"/>
    <w:rsid w:val="00A5414D"/>
    <w:rsid w:val="00A54A3E"/>
    <w:rsid w:val="00A556B7"/>
    <w:rsid w:val="00A56454"/>
    <w:rsid w:val="00A564A6"/>
    <w:rsid w:val="00A567AE"/>
    <w:rsid w:val="00A56819"/>
    <w:rsid w:val="00A568AC"/>
    <w:rsid w:val="00A56C78"/>
    <w:rsid w:val="00A57809"/>
    <w:rsid w:val="00A57B07"/>
    <w:rsid w:val="00A6025F"/>
    <w:rsid w:val="00A60E9C"/>
    <w:rsid w:val="00A61196"/>
    <w:rsid w:val="00A6131E"/>
    <w:rsid w:val="00A616AF"/>
    <w:rsid w:val="00A61879"/>
    <w:rsid w:val="00A628B4"/>
    <w:rsid w:val="00A62B65"/>
    <w:rsid w:val="00A62E6A"/>
    <w:rsid w:val="00A63E32"/>
    <w:rsid w:val="00A63E4E"/>
    <w:rsid w:val="00A6444F"/>
    <w:rsid w:val="00A652FF"/>
    <w:rsid w:val="00A65567"/>
    <w:rsid w:val="00A6598D"/>
    <w:rsid w:val="00A65A0D"/>
    <w:rsid w:val="00A65C27"/>
    <w:rsid w:val="00A65F3C"/>
    <w:rsid w:val="00A661FD"/>
    <w:rsid w:val="00A66FB3"/>
    <w:rsid w:val="00A67DF5"/>
    <w:rsid w:val="00A709A3"/>
    <w:rsid w:val="00A71216"/>
    <w:rsid w:val="00A714A3"/>
    <w:rsid w:val="00A71B8B"/>
    <w:rsid w:val="00A74456"/>
    <w:rsid w:val="00A75089"/>
    <w:rsid w:val="00A754D1"/>
    <w:rsid w:val="00A75832"/>
    <w:rsid w:val="00A75EDC"/>
    <w:rsid w:val="00A776CB"/>
    <w:rsid w:val="00A77C75"/>
    <w:rsid w:val="00A80404"/>
    <w:rsid w:val="00A80548"/>
    <w:rsid w:val="00A8085F"/>
    <w:rsid w:val="00A80A3D"/>
    <w:rsid w:val="00A817A8"/>
    <w:rsid w:val="00A81E50"/>
    <w:rsid w:val="00A81F1C"/>
    <w:rsid w:val="00A82241"/>
    <w:rsid w:val="00A82602"/>
    <w:rsid w:val="00A82DA0"/>
    <w:rsid w:val="00A83812"/>
    <w:rsid w:val="00A83E49"/>
    <w:rsid w:val="00A8401C"/>
    <w:rsid w:val="00A8415A"/>
    <w:rsid w:val="00A841A6"/>
    <w:rsid w:val="00A84221"/>
    <w:rsid w:val="00A843CA"/>
    <w:rsid w:val="00A84B7A"/>
    <w:rsid w:val="00A85063"/>
    <w:rsid w:val="00A85367"/>
    <w:rsid w:val="00A86359"/>
    <w:rsid w:val="00A865DC"/>
    <w:rsid w:val="00A86FBC"/>
    <w:rsid w:val="00A879C5"/>
    <w:rsid w:val="00A87FA2"/>
    <w:rsid w:val="00A902AD"/>
    <w:rsid w:val="00A90302"/>
    <w:rsid w:val="00A9099E"/>
    <w:rsid w:val="00A91FB7"/>
    <w:rsid w:val="00A921CE"/>
    <w:rsid w:val="00A92967"/>
    <w:rsid w:val="00A9298F"/>
    <w:rsid w:val="00A9301E"/>
    <w:rsid w:val="00A93E3A"/>
    <w:rsid w:val="00A94BFF"/>
    <w:rsid w:val="00A95186"/>
    <w:rsid w:val="00A951AD"/>
    <w:rsid w:val="00A952F8"/>
    <w:rsid w:val="00A9561B"/>
    <w:rsid w:val="00A961BD"/>
    <w:rsid w:val="00A9652F"/>
    <w:rsid w:val="00A973B1"/>
    <w:rsid w:val="00AA027E"/>
    <w:rsid w:val="00AA1224"/>
    <w:rsid w:val="00AA14F2"/>
    <w:rsid w:val="00AA17D9"/>
    <w:rsid w:val="00AA180B"/>
    <w:rsid w:val="00AA1D43"/>
    <w:rsid w:val="00AA2358"/>
    <w:rsid w:val="00AA2469"/>
    <w:rsid w:val="00AA2CD7"/>
    <w:rsid w:val="00AA2FA4"/>
    <w:rsid w:val="00AA3301"/>
    <w:rsid w:val="00AA3360"/>
    <w:rsid w:val="00AA386B"/>
    <w:rsid w:val="00AA4C2E"/>
    <w:rsid w:val="00AA5B16"/>
    <w:rsid w:val="00AA6384"/>
    <w:rsid w:val="00AA6A25"/>
    <w:rsid w:val="00AA6B93"/>
    <w:rsid w:val="00AA7A06"/>
    <w:rsid w:val="00AA7A7F"/>
    <w:rsid w:val="00AA7F56"/>
    <w:rsid w:val="00AB1984"/>
    <w:rsid w:val="00AB1CBB"/>
    <w:rsid w:val="00AB215B"/>
    <w:rsid w:val="00AB266D"/>
    <w:rsid w:val="00AB2E7D"/>
    <w:rsid w:val="00AB3146"/>
    <w:rsid w:val="00AB333E"/>
    <w:rsid w:val="00AB36F4"/>
    <w:rsid w:val="00AB37DB"/>
    <w:rsid w:val="00AB3ECC"/>
    <w:rsid w:val="00AB54B5"/>
    <w:rsid w:val="00AB573A"/>
    <w:rsid w:val="00AB5A73"/>
    <w:rsid w:val="00AB5F48"/>
    <w:rsid w:val="00AB666B"/>
    <w:rsid w:val="00AB6BA9"/>
    <w:rsid w:val="00AB7156"/>
    <w:rsid w:val="00AB716D"/>
    <w:rsid w:val="00AB72BB"/>
    <w:rsid w:val="00AB7472"/>
    <w:rsid w:val="00AB7BF3"/>
    <w:rsid w:val="00AC039D"/>
    <w:rsid w:val="00AC09D5"/>
    <w:rsid w:val="00AC0C1D"/>
    <w:rsid w:val="00AC0D8E"/>
    <w:rsid w:val="00AC175B"/>
    <w:rsid w:val="00AC1AA3"/>
    <w:rsid w:val="00AC1F8E"/>
    <w:rsid w:val="00AC22C1"/>
    <w:rsid w:val="00AC374B"/>
    <w:rsid w:val="00AC3798"/>
    <w:rsid w:val="00AC3ED5"/>
    <w:rsid w:val="00AC4CB3"/>
    <w:rsid w:val="00AC4D7C"/>
    <w:rsid w:val="00AC53B0"/>
    <w:rsid w:val="00AC6473"/>
    <w:rsid w:val="00AC6655"/>
    <w:rsid w:val="00AC6EF2"/>
    <w:rsid w:val="00AC71A6"/>
    <w:rsid w:val="00AC742F"/>
    <w:rsid w:val="00AC7664"/>
    <w:rsid w:val="00AC774F"/>
    <w:rsid w:val="00AC780D"/>
    <w:rsid w:val="00AC787B"/>
    <w:rsid w:val="00AC78A0"/>
    <w:rsid w:val="00AC7956"/>
    <w:rsid w:val="00AC7E18"/>
    <w:rsid w:val="00AD1B79"/>
    <w:rsid w:val="00AD1E01"/>
    <w:rsid w:val="00AD3208"/>
    <w:rsid w:val="00AD3B3A"/>
    <w:rsid w:val="00AD3C00"/>
    <w:rsid w:val="00AD4A3C"/>
    <w:rsid w:val="00AD4F6A"/>
    <w:rsid w:val="00AD50F8"/>
    <w:rsid w:val="00AD719F"/>
    <w:rsid w:val="00AD738C"/>
    <w:rsid w:val="00AD7447"/>
    <w:rsid w:val="00AD752A"/>
    <w:rsid w:val="00AD7B4C"/>
    <w:rsid w:val="00AD7D36"/>
    <w:rsid w:val="00AE0A0E"/>
    <w:rsid w:val="00AE0DED"/>
    <w:rsid w:val="00AE1801"/>
    <w:rsid w:val="00AE1D05"/>
    <w:rsid w:val="00AE2780"/>
    <w:rsid w:val="00AE284A"/>
    <w:rsid w:val="00AE307E"/>
    <w:rsid w:val="00AE3450"/>
    <w:rsid w:val="00AE392E"/>
    <w:rsid w:val="00AE3E11"/>
    <w:rsid w:val="00AE40B3"/>
    <w:rsid w:val="00AE4338"/>
    <w:rsid w:val="00AE4BAB"/>
    <w:rsid w:val="00AE4BDC"/>
    <w:rsid w:val="00AE4CFD"/>
    <w:rsid w:val="00AE4EA6"/>
    <w:rsid w:val="00AE51FF"/>
    <w:rsid w:val="00AE55AD"/>
    <w:rsid w:val="00AE5D8F"/>
    <w:rsid w:val="00AE67D5"/>
    <w:rsid w:val="00AE67FA"/>
    <w:rsid w:val="00AE78ED"/>
    <w:rsid w:val="00AE7AC2"/>
    <w:rsid w:val="00AE7EC9"/>
    <w:rsid w:val="00AF0117"/>
    <w:rsid w:val="00AF1117"/>
    <w:rsid w:val="00AF1555"/>
    <w:rsid w:val="00AF174E"/>
    <w:rsid w:val="00AF18BA"/>
    <w:rsid w:val="00AF19AE"/>
    <w:rsid w:val="00AF1CA5"/>
    <w:rsid w:val="00AF228C"/>
    <w:rsid w:val="00AF2DB9"/>
    <w:rsid w:val="00AF3928"/>
    <w:rsid w:val="00AF3B55"/>
    <w:rsid w:val="00AF3D62"/>
    <w:rsid w:val="00AF4146"/>
    <w:rsid w:val="00AF419C"/>
    <w:rsid w:val="00AF528D"/>
    <w:rsid w:val="00AF56FE"/>
    <w:rsid w:val="00AF5C45"/>
    <w:rsid w:val="00AF62A7"/>
    <w:rsid w:val="00AF6AC5"/>
    <w:rsid w:val="00AF7809"/>
    <w:rsid w:val="00AF7CA7"/>
    <w:rsid w:val="00AF7F7B"/>
    <w:rsid w:val="00B00BDE"/>
    <w:rsid w:val="00B0104B"/>
    <w:rsid w:val="00B01266"/>
    <w:rsid w:val="00B01FA1"/>
    <w:rsid w:val="00B021E0"/>
    <w:rsid w:val="00B03A30"/>
    <w:rsid w:val="00B03A35"/>
    <w:rsid w:val="00B0430C"/>
    <w:rsid w:val="00B04459"/>
    <w:rsid w:val="00B04F99"/>
    <w:rsid w:val="00B057B6"/>
    <w:rsid w:val="00B05A7C"/>
    <w:rsid w:val="00B06361"/>
    <w:rsid w:val="00B0651D"/>
    <w:rsid w:val="00B06955"/>
    <w:rsid w:val="00B06F9E"/>
    <w:rsid w:val="00B0758A"/>
    <w:rsid w:val="00B07BEA"/>
    <w:rsid w:val="00B07F41"/>
    <w:rsid w:val="00B102F9"/>
    <w:rsid w:val="00B114B4"/>
    <w:rsid w:val="00B11C80"/>
    <w:rsid w:val="00B11F33"/>
    <w:rsid w:val="00B12152"/>
    <w:rsid w:val="00B12DCA"/>
    <w:rsid w:val="00B13ECB"/>
    <w:rsid w:val="00B1524F"/>
    <w:rsid w:val="00B15A54"/>
    <w:rsid w:val="00B15ECF"/>
    <w:rsid w:val="00B16666"/>
    <w:rsid w:val="00B169CD"/>
    <w:rsid w:val="00B16C0A"/>
    <w:rsid w:val="00B1785C"/>
    <w:rsid w:val="00B17F60"/>
    <w:rsid w:val="00B2039A"/>
    <w:rsid w:val="00B203A5"/>
    <w:rsid w:val="00B20AC8"/>
    <w:rsid w:val="00B21063"/>
    <w:rsid w:val="00B2124A"/>
    <w:rsid w:val="00B215D5"/>
    <w:rsid w:val="00B21D55"/>
    <w:rsid w:val="00B225CB"/>
    <w:rsid w:val="00B22870"/>
    <w:rsid w:val="00B22A22"/>
    <w:rsid w:val="00B22AA6"/>
    <w:rsid w:val="00B23D1A"/>
    <w:rsid w:val="00B23F4C"/>
    <w:rsid w:val="00B24233"/>
    <w:rsid w:val="00B246DD"/>
    <w:rsid w:val="00B248D8"/>
    <w:rsid w:val="00B24BA7"/>
    <w:rsid w:val="00B25A6F"/>
    <w:rsid w:val="00B25CD9"/>
    <w:rsid w:val="00B268D0"/>
    <w:rsid w:val="00B269D3"/>
    <w:rsid w:val="00B27490"/>
    <w:rsid w:val="00B27886"/>
    <w:rsid w:val="00B27F44"/>
    <w:rsid w:val="00B301ED"/>
    <w:rsid w:val="00B30448"/>
    <w:rsid w:val="00B3048B"/>
    <w:rsid w:val="00B30875"/>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1B6"/>
    <w:rsid w:val="00B40270"/>
    <w:rsid w:val="00B4054D"/>
    <w:rsid w:val="00B405CD"/>
    <w:rsid w:val="00B40903"/>
    <w:rsid w:val="00B40FDB"/>
    <w:rsid w:val="00B41C6D"/>
    <w:rsid w:val="00B420B2"/>
    <w:rsid w:val="00B42800"/>
    <w:rsid w:val="00B42832"/>
    <w:rsid w:val="00B42863"/>
    <w:rsid w:val="00B430F6"/>
    <w:rsid w:val="00B43511"/>
    <w:rsid w:val="00B43CE6"/>
    <w:rsid w:val="00B4468B"/>
    <w:rsid w:val="00B45528"/>
    <w:rsid w:val="00B468B0"/>
    <w:rsid w:val="00B46B6E"/>
    <w:rsid w:val="00B478FA"/>
    <w:rsid w:val="00B50156"/>
    <w:rsid w:val="00B501E8"/>
    <w:rsid w:val="00B502A3"/>
    <w:rsid w:val="00B506D4"/>
    <w:rsid w:val="00B506ED"/>
    <w:rsid w:val="00B507AA"/>
    <w:rsid w:val="00B50953"/>
    <w:rsid w:val="00B509AE"/>
    <w:rsid w:val="00B50E13"/>
    <w:rsid w:val="00B51581"/>
    <w:rsid w:val="00B518AD"/>
    <w:rsid w:val="00B51BB6"/>
    <w:rsid w:val="00B52056"/>
    <w:rsid w:val="00B52B0E"/>
    <w:rsid w:val="00B52D81"/>
    <w:rsid w:val="00B5355B"/>
    <w:rsid w:val="00B536C1"/>
    <w:rsid w:val="00B5402E"/>
    <w:rsid w:val="00B540E8"/>
    <w:rsid w:val="00B54681"/>
    <w:rsid w:val="00B55852"/>
    <w:rsid w:val="00B55E43"/>
    <w:rsid w:val="00B560A9"/>
    <w:rsid w:val="00B56866"/>
    <w:rsid w:val="00B56CC4"/>
    <w:rsid w:val="00B604BB"/>
    <w:rsid w:val="00B6062A"/>
    <w:rsid w:val="00B60A96"/>
    <w:rsid w:val="00B60DD7"/>
    <w:rsid w:val="00B60EB6"/>
    <w:rsid w:val="00B60EE5"/>
    <w:rsid w:val="00B616A5"/>
    <w:rsid w:val="00B628BE"/>
    <w:rsid w:val="00B62B67"/>
    <w:rsid w:val="00B637FB"/>
    <w:rsid w:val="00B6386F"/>
    <w:rsid w:val="00B649BD"/>
    <w:rsid w:val="00B65295"/>
    <w:rsid w:val="00B65C4D"/>
    <w:rsid w:val="00B65D9B"/>
    <w:rsid w:val="00B667E1"/>
    <w:rsid w:val="00B66E51"/>
    <w:rsid w:val="00B66E68"/>
    <w:rsid w:val="00B672CB"/>
    <w:rsid w:val="00B67346"/>
    <w:rsid w:val="00B6793A"/>
    <w:rsid w:val="00B67AC3"/>
    <w:rsid w:val="00B67DDB"/>
    <w:rsid w:val="00B70880"/>
    <w:rsid w:val="00B71422"/>
    <w:rsid w:val="00B71486"/>
    <w:rsid w:val="00B71607"/>
    <w:rsid w:val="00B71EF7"/>
    <w:rsid w:val="00B720BE"/>
    <w:rsid w:val="00B72361"/>
    <w:rsid w:val="00B74AB0"/>
    <w:rsid w:val="00B75345"/>
    <w:rsid w:val="00B7584B"/>
    <w:rsid w:val="00B76327"/>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83620"/>
    <w:rsid w:val="00B86BD5"/>
    <w:rsid w:val="00B90351"/>
    <w:rsid w:val="00B90532"/>
    <w:rsid w:val="00B906F2"/>
    <w:rsid w:val="00B90D9B"/>
    <w:rsid w:val="00B91259"/>
    <w:rsid w:val="00B91AD5"/>
    <w:rsid w:val="00B91B81"/>
    <w:rsid w:val="00B91FF0"/>
    <w:rsid w:val="00B92164"/>
    <w:rsid w:val="00B926A8"/>
    <w:rsid w:val="00B92FFF"/>
    <w:rsid w:val="00B93538"/>
    <w:rsid w:val="00B936F8"/>
    <w:rsid w:val="00B9492E"/>
    <w:rsid w:val="00B94B06"/>
    <w:rsid w:val="00B960DB"/>
    <w:rsid w:val="00B96799"/>
    <w:rsid w:val="00B96DE5"/>
    <w:rsid w:val="00B97A76"/>
    <w:rsid w:val="00BA0166"/>
    <w:rsid w:val="00BA0584"/>
    <w:rsid w:val="00BA0755"/>
    <w:rsid w:val="00BA1E9D"/>
    <w:rsid w:val="00BA249D"/>
    <w:rsid w:val="00BA2F9B"/>
    <w:rsid w:val="00BA3269"/>
    <w:rsid w:val="00BA38D5"/>
    <w:rsid w:val="00BA3C66"/>
    <w:rsid w:val="00BA4D00"/>
    <w:rsid w:val="00BA4D30"/>
    <w:rsid w:val="00BA4F9B"/>
    <w:rsid w:val="00BA51C0"/>
    <w:rsid w:val="00BA552F"/>
    <w:rsid w:val="00BA5665"/>
    <w:rsid w:val="00BA6825"/>
    <w:rsid w:val="00BA72D9"/>
    <w:rsid w:val="00BA74E8"/>
    <w:rsid w:val="00BB02DB"/>
    <w:rsid w:val="00BB0AB5"/>
    <w:rsid w:val="00BB195B"/>
    <w:rsid w:val="00BB1BBA"/>
    <w:rsid w:val="00BB1DB7"/>
    <w:rsid w:val="00BB204A"/>
    <w:rsid w:val="00BB2BD1"/>
    <w:rsid w:val="00BB2FA1"/>
    <w:rsid w:val="00BB31DF"/>
    <w:rsid w:val="00BB33E9"/>
    <w:rsid w:val="00BB34B7"/>
    <w:rsid w:val="00BB37AF"/>
    <w:rsid w:val="00BB3BE4"/>
    <w:rsid w:val="00BB44DB"/>
    <w:rsid w:val="00BB57D3"/>
    <w:rsid w:val="00BB58EE"/>
    <w:rsid w:val="00BB64EC"/>
    <w:rsid w:val="00BB7589"/>
    <w:rsid w:val="00BB7668"/>
    <w:rsid w:val="00BB767D"/>
    <w:rsid w:val="00BB7D3C"/>
    <w:rsid w:val="00BB7E42"/>
    <w:rsid w:val="00BC06ED"/>
    <w:rsid w:val="00BC077E"/>
    <w:rsid w:val="00BC0DE5"/>
    <w:rsid w:val="00BC0E57"/>
    <w:rsid w:val="00BC1F5F"/>
    <w:rsid w:val="00BC21BE"/>
    <w:rsid w:val="00BC2465"/>
    <w:rsid w:val="00BC2A8A"/>
    <w:rsid w:val="00BC3E36"/>
    <w:rsid w:val="00BC4B2D"/>
    <w:rsid w:val="00BC4CE8"/>
    <w:rsid w:val="00BC4D54"/>
    <w:rsid w:val="00BC5645"/>
    <w:rsid w:val="00BC6E2F"/>
    <w:rsid w:val="00BC728A"/>
    <w:rsid w:val="00BC7632"/>
    <w:rsid w:val="00BC77A4"/>
    <w:rsid w:val="00BC7C9E"/>
    <w:rsid w:val="00BD1DCF"/>
    <w:rsid w:val="00BD1E79"/>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3FED"/>
    <w:rsid w:val="00BE42FC"/>
    <w:rsid w:val="00BE53CB"/>
    <w:rsid w:val="00BE5888"/>
    <w:rsid w:val="00BE6085"/>
    <w:rsid w:val="00BE66FC"/>
    <w:rsid w:val="00BE73FA"/>
    <w:rsid w:val="00BF00D1"/>
    <w:rsid w:val="00BF0353"/>
    <w:rsid w:val="00BF090A"/>
    <w:rsid w:val="00BF0918"/>
    <w:rsid w:val="00BF2001"/>
    <w:rsid w:val="00BF208E"/>
    <w:rsid w:val="00BF2575"/>
    <w:rsid w:val="00BF31A0"/>
    <w:rsid w:val="00BF323A"/>
    <w:rsid w:val="00BF36C0"/>
    <w:rsid w:val="00BF3CC3"/>
    <w:rsid w:val="00BF3F0A"/>
    <w:rsid w:val="00BF4331"/>
    <w:rsid w:val="00BF4C22"/>
    <w:rsid w:val="00BF4E35"/>
    <w:rsid w:val="00BF5098"/>
    <w:rsid w:val="00BF5FB3"/>
    <w:rsid w:val="00BF6F82"/>
    <w:rsid w:val="00BF7B9B"/>
    <w:rsid w:val="00C0083F"/>
    <w:rsid w:val="00C00976"/>
    <w:rsid w:val="00C020CD"/>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3E0A"/>
    <w:rsid w:val="00C14152"/>
    <w:rsid w:val="00C147CC"/>
    <w:rsid w:val="00C15E81"/>
    <w:rsid w:val="00C174C9"/>
    <w:rsid w:val="00C17A25"/>
    <w:rsid w:val="00C17B6E"/>
    <w:rsid w:val="00C200BA"/>
    <w:rsid w:val="00C20748"/>
    <w:rsid w:val="00C20754"/>
    <w:rsid w:val="00C212C6"/>
    <w:rsid w:val="00C21378"/>
    <w:rsid w:val="00C220A5"/>
    <w:rsid w:val="00C22307"/>
    <w:rsid w:val="00C22BB2"/>
    <w:rsid w:val="00C22EAF"/>
    <w:rsid w:val="00C23150"/>
    <w:rsid w:val="00C23F7D"/>
    <w:rsid w:val="00C24580"/>
    <w:rsid w:val="00C24908"/>
    <w:rsid w:val="00C250E8"/>
    <w:rsid w:val="00C25150"/>
    <w:rsid w:val="00C2515F"/>
    <w:rsid w:val="00C251F1"/>
    <w:rsid w:val="00C25B30"/>
    <w:rsid w:val="00C25DCF"/>
    <w:rsid w:val="00C26AEA"/>
    <w:rsid w:val="00C276EC"/>
    <w:rsid w:val="00C27C0A"/>
    <w:rsid w:val="00C30530"/>
    <w:rsid w:val="00C305D9"/>
    <w:rsid w:val="00C31184"/>
    <w:rsid w:val="00C31197"/>
    <w:rsid w:val="00C31AD4"/>
    <w:rsid w:val="00C31C63"/>
    <w:rsid w:val="00C31C8C"/>
    <w:rsid w:val="00C31CD9"/>
    <w:rsid w:val="00C32481"/>
    <w:rsid w:val="00C3394C"/>
    <w:rsid w:val="00C34278"/>
    <w:rsid w:val="00C34581"/>
    <w:rsid w:val="00C34A4C"/>
    <w:rsid w:val="00C34AD7"/>
    <w:rsid w:val="00C3516D"/>
    <w:rsid w:val="00C351E4"/>
    <w:rsid w:val="00C353D8"/>
    <w:rsid w:val="00C35B43"/>
    <w:rsid w:val="00C361A6"/>
    <w:rsid w:val="00C365C5"/>
    <w:rsid w:val="00C3670F"/>
    <w:rsid w:val="00C36E1A"/>
    <w:rsid w:val="00C36E26"/>
    <w:rsid w:val="00C371DF"/>
    <w:rsid w:val="00C37818"/>
    <w:rsid w:val="00C37EFC"/>
    <w:rsid w:val="00C37FF9"/>
    <w:rsid w:val="00C40126"/>
    <w:rsid w:val="00C41099"/>
    <w:rsid w:val="00C41425"/>
    <w:rsid w:val="00C41B4A"/>
    <w:rsid w:val="00C4213A"/>
    <w:rsid w:val="00C42AB4"/>
    <w:rsid w:val="00C42C11"/>
    <w:rsid w:val="00C43344"/>
    <w:rsid w:val="00C43ADB"/>
    <w:rsid w:val="00C44065"/>
    <w:rsid w:val="00C44949"/>
    <w:rsid w:val="00C44B4C"/>
    <w:rsid w:val="00C450E3"/>
    <w:rsid w:val="00C456CC"/>
    <w:rsid w:val="00C45830"/>
    <w:rsid w:val="00C45C56"/>
    <w:rsid w:val="00C45CCD"/>
    <w:rsid w:val="00C461FD"/>
    <w:rsid w:val="00C46734"/>
    <w:rsid w:val="00C46C24"/>
    <w:rsid w:val="00C50112"/>
    <w:rsid w:val="00C5105D"/>
    <w:rsid w:val="00C511F0"/>
    <w:rsid w:val="00C51287"/>
    <w:rsid w:val="00C513C7"/>
    <w:rsid w:val="00C51639"/>
    <w:rsid w:val="00C51871"/>
    <w:rsid w:val="00C53220"/>
    <w:rsid w:val="00C533A0"/>
    <w:rsid w:val="00C537E7"/>
    <w:rsid w:val="00C53AFE"/>
    <w:rsid w:val="00C53E9D"/>
    <w:rsid w:val="00C5426B"/>
    <w:rsid w:val="00C54C18"/>
    <w:rsid w:val="00C573DA"/>
    <w:rsid w:val="00C5772E"/>
    <w:rsid w:val="00C5781B"/>
    <w:rsid w:val="00C609E1"/>
    <w:rsid w:val="00C61117"/>
    <w:rsid w:val="00C615A8"/>
    <w:rsid w:val="00C616B4"/>
    <w:rsid w:val="00C621A7"/>
    <w:rsid w:val="00C62AA0"/>
    <w:rsid w:val="00C62AEC"/>
    <w:rsid w:val="00C62BF2"/>
    <w:rsid w:val="00C62D1B"/>
    <w:rsid w:val="00C62D43"/>
    <w:rsid w:val="00C638A6"/>
    <w:rsid w:val="00C63FB9"/>
    <w:rsid w:val="00C64266"/>
    <w:rsid w:val="00C647DF"/>
    <w:rsid w:val="00C64F8E"/>
    <w:rsid w:val="00C66306"/>
    <w:rsid w:val="00C66CE8"/>
    <w:rsid w:val="00C70074"/>
    <w:rsid w:val="00C703BA"/>
    <w:rsid w:val="00C70D51"/>
    <w:rsid w:val="00C70DF4"/>
    <w:rsid w:val="00C71252"/>
    <w:rsid w:val="00C7277F"/>
    <w:rsid w:val="00C72960"/>
    <w:rsid w:val="00C73C07"/>
    <w:rsid w:val="00C74759"/>
    <w:rsid w:val="00C74930"/>
    <w:rsid w:val="00C74B47"/>
    <w:rsid w:val="00C74D80"/>
    <w:rsid w:val="00C754BD"/>
    <w:rsid w:val="00C75D3A"/>
    <w:rsid w:val="00C769A9"/>
    <w:rsid w:val="00C76CA0"/>
    <w:rsid w:val="00C772BC"/>
    <w:rsid w:val="00C774C9"/>
    <w:rsid w:val="00C77F1B"/>
    <w:rsid w:val="00C800D0"/>
    <w:rsid w:val="00C80987"/>
    <w:rsid w:val="00C80A3F"/>
    <w:rsid w:val="00C8180E"/>
    <w:rsid w:val="00C818A9"/>
    <w:rsid w:val="00C81F34"/>
    <w:rsid w:val="00C82436"/>
    <w:rsid w:val="00C82933"/>
    <w:rsid w:val="00C82BE2"/>
    <w:rsid w:val="00C835D3"/>
    <w:rsid w:val="00C84BBF"/>
    <w:rsid w:val="00C84BE9"/>
    <w:rsid w:val="00C854B7"/>
    <w:rsid w:val="00C85DEF"/>
    <w:rsid w:val="00C85E1C"/>
    <w:rsid w:val="00C85E40"/>
    <w:rsid w:val="00C86D76"/>
    <w:rsid w:val="00C86DA6"/>
    <w:rsid w:val="00C87A64"/>
    <w:rsid w:val="00C910F8"/>
    <w:rsid w:val="00C91106"/>
    <w:rsid w:val="00C9117B"/>
    <w:rsid w:val="00C91D19"/>
    <w:rsid w:val="00C93286"/>
    <w:rsid w:val="00C93B58"/>
    <w:rsid w:val="00C93C2F"/>
    <w:rsid w:val="00C9437C"/>
    <w:rsid w:val="00C946E4"/>
    <w:rsid w:val="00C946FF"/>
    <w:rsid w:val="00C94A14"/>
    <w:rsid w:val="00C94CDA"/>
    <w:rsid w:val="00C95BED"/>
    <w:rsid w:val="00C95EB3"/>
    <w:rsid w:val="00C96725"/>
    <w:rsid w:val="00C96FD9"/>
    <w:rsid w:val="00C97A66"/>
    <w:rsid w:val="00CA007B"/>
    <w:rsid w:val="00CA01BB"/>
    <w:rsid w:val="00CA0AA4"/>
    <w:rsid w:val="00CA0C1E"/>
    <w:rsid w:val="00CA15B0"/>
    <w:rsid w:val="00CA1C71"/>
    <w:rsid w:val="00CA1D4C"/>
    <w:rsid w:val="00CA1D50"/>
    <w:rsid w:val="00CA1DAB"/>
    <w:rsid w:val="00CA20E0"/>
    <w:rsid w:val="00CA2598"/>
    <w:rsid w:val="00CA2F98"/>
    <w:rsid w:val="00CA3347"/>
    <w:rsid w:val="00CA41A6"/>
    <w:rsid w:val="00CA523D"/>
    <w:rsid w:val="00CA6FDA"/>
    <w:rsid w:val="00CA77CF"/>
    <w:rsid w:val="00CA7B58"/>
    <w:rsid w:val="00CB0836"/>
    <w:rsid w:val="00CB0CB9"/>
    <w:rsid w:val="00CB1413"/>
    <w:rsid w:val="00CB18D4"/>
    <w:rsid w:val="00CB24D9"/>
    <w:rsid w:val="00CB2518"/>
    <w:rsid w:val="00CB3156"/>
    <w:rsid w:val="00CB3920"/>
    <w:rsid w:val="00CB469E"/>
    <w:rsid w:val="00CB4C4C"/>
    <w:rsid w:val="00CB4DBA"/>
    <w:rsid w:val="00CB6413"/>
    <w:rsid w:val="00CB696F"/>
    <w:rsid w:val="00CB6A00"/>
    <w:rsid w:val="00CB7059"/>
    <w:rsid w:val="00CB7097"/>
    <w:rsid w:val="00CB709D"/>
    <w:rsid w:val="00CB73EE"/>
    <w:rsid w:val="00CB77F4"/>
    <w:rsid w:val="00CB780D"/>
    <w:rsid w:val="00CC00E9"/>
    <w:rsid w:val="00CC0F1C"/>
    <w:rsid w:val="00CC109F"/>
    <w:rsid w:val="00CC1983"/>
    <w:rsid w:val="00CC1BBB"/>
    <w:rsid w:val="00CC259D"/>
    <w:rsid w:val="00CC299A"/>
    <w:rsid w:val="00CC3039"/>
    <w:rsid w:val="00CC32B7"/>
    <w:rsid w:val="00CC36DE"/>
    <w:rsid w:val="00CC4498"/>
    <w:rsid w:val="00CC4F99"/>
    <w:rsid w:val="00CC5CDC"/>
    <w:rsid w:val="00CC5FC3"/>
    <w:rsid w:val="00CC6369"/>
    <w:rsid w:val="00CC6576"/>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125"/>
    <w:rsid w:val="00CD5397"/>
    <w:rsid w:val="00CD5E93"/>
    <w:rsid w:val="00CD6D2E"/>
    <w:rsid w:val="00CE061C"/>
    <w:rsid w:val="00CE1344"/>
    <w:rsid w:val="00CE15AE"/>
    <w:rsid w:val="00CE1CFC"/>
    <w:rsid w:val="00CE235A"/>
    <w:rsid w:val="00CE2879"/>
    <w:rsid w:val="00CE37A3"/>
    <w:rsid w:val="00CE3814"/>
    <w:rsid w:val="00CE3FC0"/>
    <w:rsid w:val="00CE4AC7"/>
    <w:rsid w:val="00CE56B7"/>
    <w:rsid w:val="00CE5F24"/>
    <w:rsid w:val="00CE6543"/>
    <w:rsid w:val="00CE6660"/>
    <w:rsid w:val="00CE6855"/>
    <w:rsid w:val="00CE6B6F"/>
    <w:rsid w:val="00CE7033"/>
    <w:rsid w:val="00CE7075"/>
    <w:rsid w:val="00CE770A"/>
    <w:rsid w:val="00CF02A6"/>
    <w:rsid w:val="00CF05A6"/>
    <w:rsid w:val="00CF060D"/>
    <w:rsid w:val="00CF06CF"/>
    <w:rsid w:val="00CF101C"/>
    <w:rsid w:val="00CF15C5"/>
    <w:rsid w:val="00CF1E77"/>
    <w:rsid w:val="00CF1EFE"/>
    <w:rsid w:val="00CF2DC1"/>
    <w:rsid w:val="00CF2EE2"/>
    <w:rsid w:val="00CF37AD"/>
    <w:rsid w:val="00CF3948"/>
    <w:rsid w:val="00CF3ACF"/>
    <w:rsid w:val="00CF3BDD"/>
    <w:rsid w:val="00CF441D"/>
    <w:rsid w:val="00CF4FCF"/>
    <w:rsid w:val="00CF4FDC"/>
    <w:rsid w:val="00CF53F2"/>
    <w:rsid w:val="00CF56AF"/>
    <w:rsid w:val="00CF58F1"/>
    <w:rsid w:val="00CF5BE0"/>
    <w:rsid w:val="00CF5BF1"/>
    <w:rsid w:val="00CF5D64"/>
    <w:rsid w:val="00CF6001"/>
    <w:rsid w:val="00CF61CB"/>
    <w:rsid w:val="00CF666F"/>
    <w:rsid w:val="00CF686F"/>
    <w:rsid w:val="00CF6CA7"/>
    <w:rsid w:val="00CF6E7D"/>
    <w:rsid w:val="00CF76FB"/>
    <w:rsid w:val="00CF7705"/>
    <w:rsid w:val="00D00175"/>
    <w:rsid w:val="00D00223"/>
    <w:rsid w:val="00D00312"/>
    <w:rsid w:val="00D0045E"/>
    <w:rsid w:val="00D008D8"/>
    <w:rsid w:val="00D00DBF"/>
    <w:rsid w:val="00D0149B"/>
    <w:rsid w:val="00D01AAA"/>
    <w:rsid w:val="00D01F5D"/>
    <w:rsid w:val="00D01FA9"/>
    <w:rsid w:val="00D02D17"/>
    <w:rsid w:val="00D03755"/>
    <w:rsid w:val="00D03DBE"/>
    <w:rsid w:val="00D03EED"/>
    <w:rsid w:val="00D0597D"/>
    <w:rsid w:val="00D06274"/>
    <w:rsid w:val="00D066D8"/>
    <w:rsid w:val="00D07FB9"/>
    <w:rsid w:val="00D10C27"/>
    <w:rsid w:val="00D10E78"/>
    <w:rsid w:val="00D11949"/>
    <w:rsid w:val="00D11A69"/>
    <w:rsid w:val="00D11CB2"/>
    <w:rsid w:val="00D12C98"/>
    <w:rsid w:val="00D12FFC"/>
    <w:rsid w:val="00D13CA3"/>
    <w:rsid w:val="00D1484F"/>
    <w:rsid w:val="00D14BA0"/>
    <w:rsid w:val="00D14D7B"/>
    <w:rsid w:val="00D1516D"/>
    <w:rsid w:val="00D158B0"/>
    <w:rsid w:val="00D15B1C"/>
    <w:rsid w:val="00D15BBB"/>
    <w:rsid w:val="00D167DD"/>
    <w:rsid w:val="00D1707A"/>
    <w:rsid w:val="00D17CC2"/>
    <w:rsid w:val="00D20EED"/>
    <w:rsid w:val="00D21435"/>
    <w:rsid w:val="00D22204"/>
    <w:rsid w:val="00D2242C"/>
    <w:rsid w:val="00D224FA"/>
    <w:rsid w:val="00D22C3E"/>
    <w:rsid w:val="00D23033"/>
    <w:rsid w:val="00D23D4C"/>
    <w:rsid w:val="00D23D60"/>
    <w:rsid w:val="00D23DA6"/>
    <w:rsid w:val="00D2402F"/>
    <w:rsid w:val="00D245C2"/>
    <w:rsid w:val="00D25660"/>
    <w:rsid w:val="00D2569B"/>
    <w:rsid w:val="00D258EB"/>
    <w:rsid w:val="00D25AEB"/>
    <w:rsid w:val="00D26C14"/>
    <w:rsid w:val="00D26FA6"/>
    <w:rsid w:val="00D271CD"/>
    <w:rsid w:val="00D27BD2"/>
    <w:rsid w:val="00D27C94"/>
    <w:rsid w:val="00D30480"/>
    <w:rsid w:val="00D3064E"/>
    <w:rsid w:val="00D315CC"/>
    <w:rsid w:val="00D31DDA"/>
    <w:rsid w:val="00D31F05"/>
    <w:rsid w:val="00D32067"/>
    <w:rsid w:val="00D327A3"/>
    <w:rsid w:val="00D33893"/>
    <w:rsid w:val="00D33AE9"/>
    <w:rsid w:val="00D33B90"/>
    <w:rsid w:val="00D34224"/>
    <w:rsid w:val="00D34927"/>
    <w:rsid w:val="00D34C82"/>
    <w:rsid w:val="00D36550"/>
    <w:rsid w:val="00D36C97"/>
    <w:rsid w:val="00D36DF8"/>
    <w:rsid w:val="00D379EC"/>
    <w:rsid w:val="00D37C94"/>
    <w:rsid w:val="00D37E9F"/>
    <w:rsid w:val="00D40D88"/>
    <w:rsid w:val="00D41E42"/>
    <w:rsid w:val="00D41F6B"/>
    <w:rsid w:val="00D42380"/>
    <w:rsid w:val="00D42C9B"/>
    <w:rsid w:val="00D4348D"/>
    <w:rsid w:val="00D436D7"/>
    <w:rsid w:val="00D43ADD"/>
    <w:rsid w:val="00D44E42"/>
    <w:rsid w:val="00D44FC3"/>
    <w:rsid w:val="00D45072"/>
    <w:rsid w:val="00D450E2"/>
    <w:rsid w:val="00D453D7"/>
    <w:rsid w:val="00D4552D"/>
    <w:rsid w:val="00D45706"/>
    <w:rsid w:val="00D462D6"/>
    <w:rsid w:val="00D46898"/>
    <w:rsid w:val="00D4714D"/>
    <w:rsid w:val="00D474AB"/>
    <w:rsid w:val="00D4754E"/>
    <w:rsid w:val="00D47B07"/>
    <w:rsid w:val="00D50460"/>
    <w:rsid w:val="00D50961"/>
    <w:rsid w:val="00D50A02"/>
    <w:rsid w:val="00D512A1"/>
    <w:rsid w:val="00D518D6"/>
    <w:rsid w:val="00D51FDC"/>
    <w:rsid w:val="00D52AB4"/>
    <w:rsid w:val="00D52F26"/>
    <w:rsid w:val="00D531F5"/>
    <w:rsid w:val="00D5373C"/>
    <w:rsid w:val="00D538C1"/>
    <w:rsid w:val="00D538D5"/>
    <w:rsid w:val="00D53B5C"/>
    <w:rsid w:val="00D54640"/>
    <w:rsid w:val="00D54916"/>
    <w:rsid w:val="00D55455"/>
    <w:rsid w:val="00D559B5"/>
    <w:rsid w:val="00D56420"/>
    <w:rsid w:val="00D5658A"/>
    <w:rsid w:val="00D56A94"/>
    <w:rsid w:val="00D56C0C"/>
    <w:rsid w:val="00D56D92"/>
    <w:rsid w:val="00D56F9E"/>
    <w:rsid w:val="00D570B4"/>
    <w:rsid w:val="00D5798B"/>
    <w:rsid w:val="00D602DF"/>
    <w:rsid w:val="00D60736"/>
    <w:rsid w:val="00D60760"/>
    <w:rsid w:val="00D6170E"/>
    <w:rsid w:val="00D61972"/>
    <w:rsid w:val="00D61B58"/>
    <w:rsid w:val="00D6307D"/>
    <w:rsid w:val="00D63632"/>
    <w:rsid w:val="00D63732"/>
    <w:rsid w:val="00D637F5"/>
    <w:rsid w:val="00D63925"/>
    <w:rsid w:val="00D63D9C"/>
    <w:rsid w:val="00D6405D"/>
    <w:rsid w:val="00D6568E"/>
    <w:rsid w:val="00D65893"/>
    <w:rsid w:val="00D658EC"/>
    <w:rsid w:val="00D66816"/>
    <w:rsid w:val="00D6684E"/>
    <w:rsid w:val="00D6742A"/>
    <w:rsid w:val="00D67B9B"/>
    <w:rsid w:val="00D67F8E"/>
    <w:rsid w:val="00D71733"/>
    <w:rsid w:val="00D718AC"/>
    <w:rsid w:val="00D719A3"/>
    <w:rsid w:val="00D71E7A"/>
    <w:rsid w:val="00D7217C"/>
    <w:rsid w:val="00D72DE7"/>
    <w:rsid w:val="00D7302F"/>
    <w:rsid w:val="00D7329E"/>
    <w:rsid w:val="00D7340B"/>
    <w:rsid w:val="00D73870"/>
    <w:rsid w:val="00D73BB2"/>
    <w:rsid w:val="00D74575"/>
    <w:rsid w:val="00D74C57"/>
    <w:rsid w:val="00D74D14"/>
    <w:rsid w:val="00D74F3B"/>
    <w:rsid w:val="00D752E7"/>
    <w:rsid w:val="00D7574B"/>
    <w:rsid w:val="00D75913"/>
    <w:rsid w:val="00D75E82"/>
    <w:rsid w:val="00D76270"/>
    <w:rsid w:val="00D767C6"/>
    <w:rsid w:val="00D769C5"/>
    <w:rsid w:val="00D76E76"/>
    <w:rsid w:val="00D77680"/>
    <w:rsid w:val="00D80631"/>
    <w:rsid w:val="00D818EC"/>
    <w:rsid w:val="00D81910"/>
    <w:rsid w:val="00D81A20"/>
    <w:rsid w:val="00D81F55"/>
    <w:rsid w:val="00D8292F"/>
    <w:rsid w:val="00D8321A"/>
    <w:rsid w:val="00D83F57"/>
    <w:rsid w:val="00D84A86"/>
    <w:rsid w:val="00D8507B"/>
    <w:rsid w:val="00D85152"/>
    <w:rsid w:val="00D85252"/>
    <w:rsid w:val="00D85D1A"/>
    <w:rsid w:val="00D85F2C"/>
    <w:rsid w:val="00D86030"/>
    <w:rsid w:val="00D861BD"/>
    <w:rsid w:val="00D86D55"/>
    <w:rsid w:val="00D8789C"/>
    <w:rsid w:val="00D8789D"/>
    <w:rsid w:val="00D87B3F"/>
    <w:rsid w:val="00D9003D"/>
    <w:rsid w:val="00D90279"/>
    <w:rsid w:val="00D90558"/>
    <w:rsid w:val="00D9082F"/>
    <w:rsid w:val="00D90C79"/>
    <w:rsid w:val="00D914EB"/>
    <w:rsid w:val="00D91B36"/>
    <w:rsid w:val="00D9305B"/>
    <w:rsid w:val="00D94085"/>
    <w:rsid w:val="00D9445B"/>
    <w:rsid w:val="00D944D2"/>
    <w:rsid w:val="00D95ECE"/>
    <w:rsid w:val="00D96D4F"/>
    <w:rsid w:val="00D97445"/>
    <w:rsid w:val="00D97E75"/>
    <w:rsid w:val="00DA1806"/>
    <w:rsid w:val="00DA19DB"/>
    <w:rsid w:val="00DA1BD1"/>
    <w:rsid w:val="00DA212B"/>
    <w:rsid w:val="00DA3155"/>
    <w:rsid w:val="00DA3A76"/>
    <w:rsid w:val="00DA525E"/>
    <w:rsid w:val="00DA5713"/>
    <w:rsid w:val="00DA5B51"/>
    <w:rsid w:val="00DA5F95"/>
    <w:rsid w:val="00DA6856"/>
    <w:rsid w:val="00DA6D6D"/>
    <w:rsid w:val="00DA73C1"/>
    <w:rsid w:val="00DA7457"/>
    <w:rsid w:val="00DA7478"/>
    <w:rsid w:val="00DA770D"/>
    <w:rsid w:val="00DA77A8"/>
    <w:rsid w:val="00DA7851"/>
    <w:rsid w:val="00DA7DC1"/>
    <w:rsid w:val="00DB00EE"/>
    <w:rsid w:val="00DB0132"/>
    <w:rsid w:val="00DB23B0"/>
    <w:rsid w:val="00DB2754"/>
    <w:rsid w:val="00DB2780"/>
    <w:rsid w:val="00DB2D88"/>
    <w:rsid w:val="00DB3687"/>
    <w:rsid w:val="00DB38D1"/>
    <w:rsid w:val="00DB3DC3"/>
    <w:rsid w:val="00DB41CB"/>
    <w:rsid w:val="00DB4CC0"/>
    <w:rsid w:val="00DB5114"/>
    <w:rsid w:val="00DB681B"/>
    <w:rsid w:val="00DB6D37"/>
    <w:rsid w:val="00DB725C"/>
    <w:rsid w:val="00DB73C2"/>
    <w:rsid w:val="00DB7E24"/>
    <w:rsid w:val="00DC0445"/>
    <w:rsid w:val="00DC115F"/>
    <w:rsid w:val="00DC17A9"/>
    <w:rsid w:val="00DC2082"/>
    <w:rsid w:val="00DC225F"/>
    <w:rsid w:val="00DC254E"/>
    <w:rsid w:val="00DC2883"/>
    <w:rsid w:val="00DC2C48"/>
    <w:rsid w:val="00DC442C"/>
    <w:rsid w:val="00DC46B5"/>
    <w:rsid w:val="00DC4B28"/>
    <w:rsid w:val="00DC4B5D"/>
    <w:rsid w:val="00DC525E"/>
    <w:rsid w:val="00DC535C"/>
    <w:rsid w:val="00DC5DCB"/>
    <w:rsid w:val="00DC6C0D"/>
    <w:rsid w:val="00DC75E7"/>
    <w:rsid w:val="00DD074A"/>
    <w:rsid w:val="00DD0D70"/>
    <w:rsid w:val="00DD1941"/>
    <w:rsid w:val="00DD1A43"/>
    <w:rsid w:val="00DD26A5"/>
    <w:rsid w:val="00DD2812"/>
    <w:rsid w:val="00DD2CE3"/>
    <w:rsid w:val="00DD34F2"/>
    <w:rsid w:val="00DD3C6B"/>
    <w:rsid w:val="00DD4A56"/>
    <w:rsid w:val="00DD54ED"/>
    <w:rsid w:val="00DD6861"/>
    <w:rsid w:val="00DD68B3"/>
    <w:rsid w:val="00DD697F"/>
    <w:rsid w:val="00DD699C"/>
    <w:rsid w:val="00DD739F"/>
    <w:rsid w:val="00DD7631"/>
    <w:rsid w:val="00DD7762"/>
    <w:rsid w:val="00DD781E"/>
    <w:rsid w:val="00DD7A2C"/>
    <w:rsid w:val="00DD7F63"/>
    <w:rsid w:val="00DE0A1B"/>
    <w:rsid w:val="00DE1238"/>
    <w:rsid w:val="00DE1966"/>
    <w:rsid w:val="00DE1FFE"/>
    <w:rsid w:val="00DE2F9E"/>
    <w:rsid w:val="00DE3077"/>
    <w:rsid w:val="00DE31B1"/>
    <w:rsid w:val="00DE32E7"/>
    <w:rsid w:val="00DE3703"/>
    <w:rsid w:val="00DE3BB8"/>
    <w:rsid w:val="00DE40EB"/>
    <w:rsid w:val="00DE5117"/>
    <w:rsid w:val="00DE51F6"/>
    <w:rsid w:val="00DE547B"/>
    <w:rsid w:val="00DE5648"/>
    <w:rsid w:val="00DE568A"/>
    <w:rsid w:val="00DE56B7"/>
    <w:rsid w:val="00DE595E"/>
    <w:rsid w:val="00DE5CD9"/>
    <w:rsid w:val="00DE6A70"/>
    <w:rsid w:val="00DE70B5"/>
    <w:rsid w:val="00DE7113"/>
    <w:rsid w:val="00DE7B38"/>
    <w:rsid w:val="00DF00F9"/>
    <w:rsid w:val="00DF0576"/>
    <w:rsid w:val="00DF1981"/>
    <w:rsid w:val="00DF1D07"/>
    <w:rsid w:val="00DF1E89"/>
    <w:rsid w:val="00DF1EC8"/>
    <w:rsid w:val="00DF2144"/>
    <w:rsid w:val="00DF24D9"/>
    <w:rsid w:val="00DF2EA5"/>
    <w:rsid w:val="00DF310B"/>
    <w:rsid w:val="00DF3E47"/>
    <w:rsid w:val="00DF5362"/>
    <w:rsid w:val="00DF56E8"/>
    <w:rsid w:val="00DF5C01"/>
    <w:rsid w:val="00DF5FF5"/>
    <w:rsid w:val="00DF6655"/>
    <w:rsid w:val="00DF6EB6"/>
    <w:rsid w:val="00DF7133"/>
    <w:rsid w:val="00DF722A"/>
    <w:rsid w:val="00DF764C"/>
    <w:rsid w:val="00DF7FBF"/>
    <w:rsid w:val="00E00108"/>
    <w:rsid w:val="00E00BB4"/>
    <w:rsid w:val="00E00CAA"/>
    <w:rsid w:val="00E00EE4"/>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1198B"/>
    <w:rsid w:val="00E11C0C"/>
    <w:rsid w:val="00E126B2"/>
    <w:rsid w:val="00E127E3"/>
    <w:rsid w:val="00E13AFB"/>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1C8"/>
    <w:rsid w:val="00E21C65"/>
    <w:rsid w:val="00E2307E"/>
    <w:rsid w:val="00E2352B"/>
    <w:rsid w:val="00E23C63"/>
    <w:rsid w:val="00E23E84"/>
    <w:rsid w:val="00E23F9B"/>
    <w:rsid w:val="00E24D23"/>
    <w:rsid w:val="00E2546F"/>
    <w:rsid w:val="00E26285"/>
    <w:rsid w:val="00E26649"/>
    <w:rsid w:val="00E2703D"/>
    <w:rsid w:val="00E271F9"/>
    <w:rsid w:val="00E27F0A"/>
    <w:rsid w:val="00E304DF"/>
    <w:rsid w:val="00E30712"/>
    <w:rsid w:val="00E309B0"/>
    <w:rsid w:val="00E30A3E"/>
    <w:rsid w:val="00E30E67"/>
    <w:rsid w:val="00E32143"/>
    <w:rsid w:val="00E325F3"/>
    <w:rsid w:val="00E326E9"/>
    <w:rsid w:val="00E32AB7"/>
    <w:rsid w:val="00E32B61"/>
    <w:rsid w:val="00E33106"/>
    <w:rsid w:val="00E33585"/>
    <w:rsid w:val="00E345C2"/>
    <w:rsid w:val="00E34D99"/>
    <w:rsid w:val="00E352C3"/>
    <w:rsid w:val="00E35476"/>
    <w:rsid w:val="00E355C0"/>
    <w:rsid w:val="00E359A5"/>
    <w:rsid w:val="00E35C28"/>
    <w:rsid w:val="00E372F7"/>
    <w:rsid w:val="00E37431"/>
    <w:rsid w:val="00E37DC0"/>
    <w:rsid w:val="00E37DDD"/>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19C"/>
    <w:rsid w:val="00E43894"/>
    <w:rsid w:val="00E444DE"/>
    <w:rsid w:val="00E44AC7"/>
    <w:rsid w:val="00E44E08"/>
    <w:rsid w:val="00E45B2D"/>
    <w:rsid w:val="00E45D26"/>
    <w:rsid w:val="00E45DF9"/>
    <w:rsid w:val="00E468F2"/>
    <w:rsid w:val="00E477C4"/>
    <w:rsid w:val="00E478EF"/>
    <w:rsid w:val="00E47A20"/>
    <w:rsid w:val="00E47BBA"/>
    <w:rsid w:val="00E5065D"/>
    <w:rsid w:val="00E5084C"/>
    <w:rsid w:val="00E50871"/>
    <w:rsid w:val="00E50AD9"/>
    <w:rsid w:val="00E50B4C"/>
    <w:rsid w:val="00E512FE"/>
    <w:rsid w:val="00E5198D"/>
    <w:rsid w:val="00E52063"/>
    <w:rsid w:val="00E52C66"/>
    <w:rsid w:val="00E53533"/>
    <w:rsid w:val="00E537ED"/>
    <w:rsid w:val="00E5384D"/>
    <w:rsid w:val="00E53F2E"/>
    <w:rsid w:val="00E54004"/>
    <w:rsid w:val="00E546C9"/>
    <w:rsid w:val="00E54BB9"/>
    <w:rsid w:val="00E54D3F"/>
    <w:rsid w:val="00E55F1F"/>
    <w:rsid w:val="00E56735"/>
    <w:rsid w:val="00E56866"/>
    <w:rsid w:val="00E56904"/>
    <w:rsid w:val="00E56FA9"/>
    <w:rsid w:val="00E57DFD"/>
    <w:rsid w:val="00E60423"/>
    <w:rsid w:val="00E60438"/>
    <w:rsid w:val="00E60545"/>
    <w:rsid w:val="00E606F4"/>
    <w:rsid w:val="00E607E5"/>
    <w:rsid w:val="00E60A16"/>
    <w:rsid w:val="00E610CB"/>
    <w:rsid w:val="00E6125B"/>
    <w:rsid w:val="00E615AF"/>
    <w:rsid w:val="00E6170A"/>
    <w:rsid w:val="00E62816"/>
    <w:rsid w:val="00E629EF"/>
    <w:rsid w:val="00E62ADF"/>
    <w:rsid w:val="00E62FA7"/>
    <w:rsid w:val="00E637A3"/>
    <w:rsid w:val="00E659FD"/>
    <w:rsid w:val="00E65B0C"/>
    <w:rsid w:val="00E66783"/>
    <w:rsid w:val="00E66B16"/>
    <w:rsid w:val="00E66BA2"/>
    <w:rsid w:val="00E677DB"/>
    <w:rsid w:val="00E700F8"/>
    <w:rsid w:val="00E71B42"/>
    <w:rsid w:val="00E71C2D"/>
    <w:rsid w:val="00E72187"/>
    <w:rsid w:val="00E7266C"/>
    <w:rsid w:val="00E72BB6"/>
    <w:rsid w:val="00E72CD0"/>
    <w:rsid w:val="00E730AC"/>
    <w:rsid w:val="00E7310C"/>
    <w:rsid w:val="00E733ED"/>
    <w:rsid w:val="00E734CE"/>
    <w:rsid w:val="00E73D33"/>
    <w:rsid w:val="00E74DAE"/>
    <w:rsid w:val="00E750CB"/>
    <w:rsid w:val="00E778DC"/>
    <w:rsid w:val="00E77FD3"/>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48F0"/>
    <w:rsid w:val="00E84D1C"/>
    <w:rsid w:val="00E84D9C"/>
    <w:rsid w:val="00E85069"/>
    <w:rsid w:val="00E8628F"/>
    <w:rsid w:val="00E866D8"/>
    <w:rsid w:val="00E86888"/>
    <w:rsid w:val="00E8695C"/>
    <w:rsid w:val="00E90DE0"/>
    <w:rsid w:val="00E91191"/>
    <w:rsid w:val="00E92C96"/>
    <w:rsid w:val="00E93F01"/>
    <w:rsid w:val="00E940B5"/>
    <w:rsid w:val="00E942B8"/>
    <w:rsid w:val="00E944ED"/>
    <w:rsid w:val="00E945AF"/>
    <w:rsid w:val="00E94A0B"/>
    <w:rsid w:val="00E94A2C"/>
    <w:rsid w:val="00E9544C"/>
    <w:rsid w:val="00E95799"/>
    <w:rsid w:val="00E95A53"/>
    <w:rsid w:val="00E95D93"/>
    <w:rsid w:val="00E9683D"/>
    <w:rsid w:val="00E970B7"/>
    <w:rsid w:val="00E97D95"/>
    <w:rsid w:val="00EA0035"/>
    <w:rsid w:val="00EA010D"/>
    <w:rsid w:val="00EA04C5"/>
    <w:rsid w:val="00EA0507"/>
    <w:rsid w:val="00EA09B6"/>
    <w:rsid w:val="00EA0BB5"/>
    <w:rsid w:val="00EA1A8A"/>
    <w:rsid w:val="00EA21FA"/>
    <w:rsid w:val="00EA25EB"/>
    <w:rsid w:val="00EA26D5"/>
    <w:rsid w:val="00EA2775"/>
    <w:rsid w:val="00EA2E36"/>
    <w:rsid w:val="00EA305D"/>
    <w:rsid w:val="00EA3106"/>
    <w:rsid w:val="00EA3874"/>
    <w:rsid w:val="00EA5697"/>
    <w:rsid w:val="00EA5AB6"/>
    <w:rsid w:val="00EA5FB0"/>
    <w:rsid w:val="00EA612E"/>
    <w:rsid w:val="00EA6F91"/>
    <w:rsid w:val="00EA7618"/>
    <w:rsid w:val="00EA761C"/>
    <w:rsid w:val="00EA7D7F"/>
    <w:rsid w:val="00EB0810"/>
    <w:rsid w:val="00EB0B5F"/>
    <w:rsid w:val="00EB1CF7"/>
    <w:rsid w:val="00EB25C2"/>
    <w:rsid w:val="00EB2B6F"/>
    <w:rsid w:val="00EB2CAD"/>
    <w:rsid w:val="00EB2FA2"/>
    <w:rsid w:val="00EB3272"/>
    <w:rsid w:val="00EB37B2"/>
    <w:rsid w:val="00EB3FF9"/>
    <w:rsid w:val="00EB5047"/>
    <w:rsid w:val="00EB5F0B"/>
    <w:rsid w:val="00EB7352"/>
    <w:rsid w:val="00EB769A"/>
    <w:rsid w:val="00EC08CF"/>
    <w:rsid w:val="00EC0B68"/>
    <w:rsid w:val="00EC11E4"/>
    <w:rsid w:val="00EC14E1"/>
    <w:rsid w:val="00EC183C"/>
    <w:rsid w:val="00EC1AB4"/>
    <w:rsid w:val="00EC1CDD"/>
    <w:rsid w:val="00EC2A3F"/>
    <w:rsid w:val="00EC2E64"/>
    <w:rsid w:val="00EC3A35"/>
    <w:rsid w:val="00EC3C52"/>
    <w:rsid w:val="00EC3E5B"/>
    <w:rsid w:val="00EC3E69"/>
    <w:rsid w:val="00EC41A7"/>
    <w:rsid w:val="00EC4257"/>
    <w:rsid w:val="00EC46CE"/>
    <w:rsid w:val="00EC4F94"/>
    <w:rsid w:val="00EC5162"/>
    <w:rsid w:val="00EC5554"/>
    <w:rsid w:val="00EC572B"/>
    <w:rsid w:val="00EC5B8E"/>
    <w:rsid w:val="00EC7356"/>
    <w:rsid w:val="00EC75F6"/>
    <w:rsid w:val="00EC75FC"/>
    <w:rsid w:val="00ED0065"/>
    <w:rsid w:val="00ED14D5"/>
    <w:rsid w:val="00ED17B5"/>
    <w:rsid w:val="00ED1BA0"/>
    <w:rsid w:val="00ED1D2D"/>
    <w:rsid w:val="00ED353D"/>
    <w:rsid w:val="00ED3B56"/>
    <w:rsid w:val="00ED4C59"/>
    <w:rsid w:val="00ED4FF4"/>
    <w:rsid w:val="00ED588C"/>
    <w:rsid w:val="00ED5B71"/>
    <w:rsid w:val="00ED615B"/>
    <w:rsid w:val="00ED643A"/>
    <w:rsid w:val="00ED6E7A"/>
    <w:rsid w:val="00ED6EA1"/>
    <w:rsid w:val="00ED7A7F"/>
    <w:rsid w:val="00ED7B85"/>
    <w:rsid w:val="00EE060B"/>
    <w:rsid w:val="00EE07AC"/>
    <w:rsid w:val="00EE0891"/>
    <w:rsid w:val="00EE0C94"/>
    <w:rsid w:val="00EE0F24"/>
    <w:rsid w:val="00EE1062"/>
    <w:rsid w:val="00EE17F2"/>
    <w:rsid w:val="00EE188A"/>
    <w:rsid w:val="00EE1B01"/>
    <w:rsid w:val="00EE1C62"/>
    <w:rsid w:val="00EE1DB8"/>
    <w:rsid w:val="00EE210D"/>
    <w:rsid w:val="00EE2746"/>
    <w:rsid w:val="00EE2FD8"/>
    <w:rsid w:val="00EE3256"/>
    <w:rsid w:val="00EE4759"/>
    <w:rsid w:val="00EE4C20"/>
    <w:rsid w:val="00EE4F2D"/>
    <w:rsid w:val="00EE524C"/>
    <w:rsid w:val="00EE589E"/>
    <w:rsid w:val="00EE6755"/>
    <w:rsid w:val="00EE6C4E"/>
    <w:rsid w:val="00EE78D6"/>
    <w:rsid w:val="00EF03DC"/>
    <w:rsid w:val="00EF0437"/>
    <w:rsid w:val="00EF0568"/>
    <w:rsid w:val="00EF0BFE"/>
    <w:rsid w:val="00EF1878"/>
    <w:rsid w:val="00EF1DE8"/>
    <w:rsid w:val="00EF2AC7"/>
    <w:rsid w:val="00EF3397"/>
    <w:rsid w:val="00EF40BF"/>
    <w:rsid w:val="00EF429A"/>
    <w:rsid w:val="00EF4557"/>
    <w:rsid w:val="00EF493F"/>
    <w:rsid w:val="00EF5947"/>
    <w:rsid w:val="00EF5E22"/>
    <w:rsid w:val="00EF60CA"/>
    <w:rsid w:val="00EF63C1"/>
    <w:rsid w:val="00EF6557"/>
    <w:rsid w:val="00EF69B7"/>
    <w:rsid w:val="00EF6C2B"/>
    <w:rsid w:val="00F00059"/>
    <w:rsid w:val="00F00084"/>
    <w:rsid w:val="00F008BD"/>
    <w:rsid w:val="00F021A9"/>
    <w:rsid w:val="00F02B50"/>
    <w:rsid w:val="00F02C54"/>
    <w:rsid w:val="00F02C96"/>
    <w:rsid w:val="00F02CD0"/>
    <w:rsid w:val="00F02D03"/>
    <w:rsid w:val="00F035DB"/>
    <w:rsid w:val="00F03B30"/>
    <w:rsid w:val="00F0448C"/>
    <w:rsid w:val="00F04BAF"/>
    <w:rsid w:val="00F0553C"/>
    <w:rsid w:val="00F0571E"/>
    <w:rsid w:val="00F06BA7"/>
    <w:rsid w:val="00F06C50"/>
    <w:rsid w:val="00F071BA"/>
    <w:rsid w:val="00F0788E"/>
    <w:rsid w:val="00F108BD"/>
    <w:rsid w:val="00F11A39"/>
    <w:rsid w:val="00F11D2E"/>
    <w:rsid w:val="00F1284F"/>
    <w:rsid w:val="00F13228"/>
    <w:rsid w:val="00F136A4"/>
    <w:rsid w:val="00F1377B"/>
    <w:rsid w:val="00F13C5E"/>
    <w:rsid w:val="00F14108"/>
    <w:rsid w:val="00F148D5"/>
    <w:rsid w:val="00F1601A"/>
    <w:rsid w:val="00F160BF"/>
    <w:rsid w:val="00F16173"/>
    <w:rsid w:val="00F1675C"/>
    <w:rsid w:val="00F16A3C"/>
    <w:rsid w:val="00F16B84"/>
    <w:rsid w:val="00F17428"/>
    <w:rsid w:val="00F17EAC"/>
    <w:rsid w:val="00F20046"/>
    <w:rsid w:val="00F20CC1"/>
    <w:rsid w:val="00F20D22"/>
    <w:rsid w:val="00F21A58"/>
    <w:rsid w:val="00F22719"/>
    <w:rsid w:val="00F2302A"/>
    <w:rsid w:val="00F23048"/>
    <w:rsid w:val="00F239CD"/>
    <w:rsid w:val="00F23DCC"/>
    <w:rsid w:val="00F24158"/>
    <w:rsid w:val="00F24294"/>
    <w:rsid w:val="00F2477C"/>
    <w:rsid w:val="00F24E5D"/>
    <w:rsid w:val="00F24EBB"/>
    <w:rsid w:val="00F27696"/>
    <w:rsid w:val="00F2777F"/>
    <w:rsid w:val="00F27F06"/>
    <w:rsid w:val="00F30C26"/>
    <w:rsid w:val="00F314E8"/>
    <w:rsid w:val="00F316A2"/>
    <w:rsid w:val="00F323A2"/>
    <w:rsid w:val="00F32850"/>
    <w:rsid w:val="00F332D4"/>
    <w:rsid w:val="00F333DF"/>
    <w:rsid w:val="00F33B57"/>
    <w:rsid w:val="00F33CA8"/>
    <w:rsid w:val="00F33D5C"/>
    <w:rsid w:val="00F34FB7"/>
    <w:rsid w:val="00F356D6"/>
    <w:rsid w:val="00F372DB"/>
    <w:rsid w:val="00F3785D"/>
    <w:rsid w:val="00F378BE"/>
    <w:rsid w:val="00F37D37"/>
    <w:rsid w:val="00F400E3"/>
    <w:rsid w:val="00F4021A"/>
    <w:rsid w:val="00F40876"/>
    <w:rsid w:val="00F4363B"/>
    <w:rsid w:val="00F44642"/>
    <w:rsid w:val="00F454A2"/>
    <w:rsid w:val="00F45E89"/>
    <w:rsid w:val="00F47845"/>
    <w:rsid w:val="00F47B6C"/>
    <w:rsid w:val="00F47B99"/>
    <w:rsid w:val="00F50039"/>
    <w:rsid w:val="00F50675"/>
    <w:rsid w:val="00F5071D"/>
    <w:rsid w:val="00F50BD6"/>
    <w:rsid w:val="00F50E16"/>
    <w:rsid w:val="00F513B2"/>
    <w:rsid w:val="00F51520"/>
    <w:rsid w:val="00F52140"/>
    <w:rsid w:val="00F521E4"/>
    <w:rsid w:val="00F52CCE"/>
    <w:rsid w:val="00F53151"/>
    <w:rsid w:val="00F535A9"/>
    <w:rsid w:val="00F53F3D"/>
    <w:rsid w:val="00F53F92"/>
    <w:rsid w:val="00F54096"/>
    <w:rsid w:val="00F5480F"/>
    <w:rsid w:val="00F54AA5"/>
    <w:rsid w:val="00F552F7"/>
    <w:rsid w:val="00F553A7"/>
    <w:rsid w:val="00F554EB"/>
    <w:rsid w:val="00F5562D"/>
    <w:rsid w:val="00F55710"/>
    <w:rsid w:val="00F55BC7"/>
    <w:rsid w:val="00F56631"/>
    <w:rsid w:val="00F566EA"/>
    <w:rsid w:val="00F567A4"/>
    <w:rsid w:val="00F578EB"/>
    <w:rsid w:val="00F605BE"/>
    <w:rsid w:val="00F60778"/>
    <w:rsid w:val="00F60AF6"/>
    <w:rsid w:val="00F60DDC"/>
    <w:rsid w:val="00F610A9"/>
    <w:rsid w:val="00F617BE"/>
    <w:rsid w:val="00F6185D"/>
    <w:rsid w:val="00F61C7A"/>
    <w:rsid w:val="00F625F7"/>
    <w:rsid w:val="00F632C2"/>
    <w:rsid w:val="00F64702"/>
    <w:rsid w:val="00F64D5A"/>
    <w:rsid w:val="00F65399"/>
    <w:rsid w:val="00F65B68"/>
    <w:rsid w:val="00F65C22"/>
    <w:rsid w:val="00F65EC9"/>
    <w:rsid w:val="00F66CB1"/>
    <w:rsid w:val="00F672BD"/>
    <w:rsid w:val="00F677CB"/>
    <w:rsid w:val="00F67E15"/>
    <w:rsid w:val="00F67FCA"/>
    <w:rsid w:val="00F70815"/>
    <w:rsid w:val="00F70928"/>
    <w:rsid w:val="00F709F4"/>
    <w:rsid w:val="00F71019"/>
    <w:rsid w:val="00F710A9"/>
    <w:rsid w:val="00F72823"/>
    <w:rsid w:val="00F7284D"/>
    <w:rsid w:val="00F72CFE"/>
    <w:rsid w:val="00F72FB0"/>
    <w:rsid w:val="00F73336"/>
    <w:rsid w:val="00F73423"/>
    <w:rsid w:val="00F7365E"/>
    <w:rsid w:val="00F737A4"/>
    <w:rsid w:val="00F73950"/>
    <w:rsid w:val="00F74242"/>
    <w:rsid w:val="00F75481"/>
    <w:rsid w:val="00F76664"/>
    <w:rsid w:val="00F76A4C"/>
    <w:rsid w:val="00F76AB3"/>
    <w:rsid w:val="00F80B27"/>
    <w:rsid w:val="00F816A4"/>
    <w:rsid w:val="00F8194C"/>
    <w:rsid w:val="00F81AE9"/>
    <w:rsid w:val="00F827D0"/>
    <w:rsid w:val="00F82C78"/>
    <w:rsid w:val="00F82E2E"/>
    <w:rsid w:val="00F83186"/>
    <w:rsid w:val="00F83601"/>
    <w:rsid w:val="00F837E6"/>
    <w:rsid w:val="00F8389A"/>
    <w:rsid w:val="00F83AE9"/>
    <w:rsid w:val="00F83E12"/>
    <w:rsid w:val="00F83EC8"/>
    <w:rsid w:val="00F843D4"/>
    <w:rsid w:val="00F84A40"/>
    <w:rsid w:val="00F84B50"/>
    <w:rsid w:val="00F84DBD"/>
    <w:rsid w:val="00F8516E"/>
    <w:rsid w:val="00F852E5"/>
    <w:rsid w:val="00F85C0D"/>
    <w:rsid w:val="00F86741"/>
    <w:rsid w:val="00F86796"/>
    <w:rsid w:val="00F87138"/>
    <w:rsid w:val="00F87C3F"/>
    <w:rsid w:val="00F87C5B"/>
    <w:rsid w:val="00F87FEA"/>
    <w:rsid w:val="00F90613"/>
    <w:rsid w:val="00F906F4"/>
    <w:rsid w:val="00F915F3"/>
    <w:rsid w:val="00F91800"/>
    <w:rsid w:val="00F91853"/>
    <w:rsid w:val="00F918B6"/>
    <w:rsid w:val="00F91987"/>
    <w:rsid w:val="00F91CCD"/>
    <w:rsid w:val="00F9208E"/>
    <w:rsid w:val="00F92571"/>
    <w:rsid w:val="00F93837"/>
    <w:rsid w:val="00F93B2F"/>
    <w:rsid w:val="00F93CAE"/>
    <w:rsid w:val="00F9453D"/>
    <w:rsid w:val="00F954E4"/>
    <w:rsid w:val="00F95BFB"/>
    <w:rsid w:val="00F95CCE"/>
    <w:rsid w:val="00F966D3"/>
    <w:rsid w:val="00F9692D"/>
    <w:rsid w:val="00F978BE"/>
    <w:rsid w:val="00F97D7B"/>
    <w:rsid w:val="00FA0013"/>
    <w:rsid w:val="00FA0154"/>
    <w:rsid w:val="00FA0288"/>
    <w:rsid w:val="00FA0C62"/>
    <w:rsid w:val="00FA0F71"/>
    <w:rsid w:val="00FA23E2"/>
    <w:rsid w:val="00FA26BC"/>
    <w:rsid w:val="00FA2D8E"/>
    <w:rsid w:val="00FA3520"/>
    <w:rsid w:val="00FA3872"/>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2EE5"/>
    <w:rsid w:val="00FB3363"/>
    <w:rsid w:val="00FB4048"/>
    <w:rsid w:val="00FB446E"/>
    <w:rsid w:val="00FB4629"/>
    <w:rsid w:val="00FB577F"/>
    <w:rsid w:val="00FB5E5D"/>
    <w:rsid w:val="00FB5FC4"/>
    <w:rsid w:val="00FB6A07"/>
    <w:rsid w:val="00FB6E1F"/>
    <w:rsid w:val="00FB6FB1"/>
    <w:rsid w:val="00FB7460"/>
    <w:rsid w:val="00FB7747"/>
    <w:rsid w:val="00FB7A10"/>
    <w:rsid w:val="00FC0F81"/>
    <w:rsid w:val="00FC3798"/>
    <w:rsid w:val="00FC577C"/>
    <w:rsid w:val="00FC59AF"/>
    <w:rsid w:val="00FC5BDD"/>
    <w:rsid w:val="00FC5C43"/>
    <w:rsid w:val="00FC5F72"/>
    <w:rsid w:val="00FC62B5"/>
    <w:rsid w:val="00FC6D4E"/>
    <w:rsid w:val="00FC7073"/>
    <w:rsid w:val="00FC736F"/>
    <w:rsid w:val="00FD0CDB"/>
    <w:rsid w:val="00FD1FA7"/>
    <w:rsid w:val="00FD226A"/>
    <w:rsid w:val="00FD2282"/>
    <w:rsid w:val="00FD2D42"/>
    <w:rsid w:val="00FD30B5"/>
    <w:rsid w:val="00FD3453"/>
    <w:rsid w:val="00FD39CF"/>
    <w:rsid w:val="00FD4B7B"/>
    <w:rsid w:val="00FD4D84"/>
    <w:rsid w:val="00FD5468"/>
    <w:rsid w:val="00FD58F5"/>
    <w:rsid w:val="00FD6287"/>
    <w:rsid w:val="00FD754C"/>
    <w:rsid w:val="00FD7696"/>
    <w:rsid w:val="00FE0669"/>
    <w:rsid w:val="00FE0DAE"/>
    <w:rsid w:val="00FE0E6B"/>
    <w:rsid w:val="00FE1370"/>
    <w:rsid w:val="00FE1510"/>
    <w:rsid w:val="00FE2121"/>
    <w:rsid w:val="00FE2387"/>
    <w:rsid w:val="00FE254A"/>
    <w:rsid w:val="00FE2926"/>
    <w:rsid w:val="00FE321B"/>
    <w:rsid w:val="00FE3D07"/>
    <w:rsid w:val="00FE4411"/>
    <w:rsid w:val="00FE46BC"/>
    <w:rsid w:val="00FE4B6F"/>
    <w:rsid w:val="00FE6788"/>
    <w:rsid w:val="00FE6818"/>
    <w:rsid w:val="00FE6A9E"/>
    <w:rsid w:val="00FE6BFB"/>
    <w:rsid w:val="00FF009D"/>
    <w:rsid w:val="00FF0CF5"/>
    <w:rsid w:val="00FF0D6F"/>
    <w:rsid w:val="00FF0E9E"/>
    <w:rsid w:val="00FF1103"/>
    <w:rsid w:val="00FF1712"/>
    <w:rsid w:val="00FF213D"/>
    <w:rsid w:val="00FF251D"/>
    <w:rsid w:val="00FF37DC"/>
    <w:rsid w:val="00FF37F2"/>
    <w:rsid w:val="00FF4243"/>
    <w:rsid w:val="00FF43D9"/>
    <w:rsid w:val="00FF44E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link w:val="NormalWebCar"/>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character" w:customStyle="1" w:styleId="s15">
    <w:name w:val="s15"/>
    <w:basedOn w:val="Fuentedeprrafopredeter"/>
    <w:rsid w:val="00F11A39"/>
  </w:style>
  <w:style w:type="character" w:customStyle="1" w:styleId="apple-converted-space">
    <w:name w:val="apple-converted-space"/>
    <w:basedOn w:val="Fuentedeprrafopredeter"/>
    <w:rsid w:val="00F11A39"/>
  </w:style>
  <w:style w:type="character" w:customStyle="1" w:styleId="NormalWebCar">
    <w:name w:val="Normal (Web) Car"/>
    <w:link w:val="NormalWeb"/>
    <w:uiPriority w:val="99"/>
    <w:locked/>
    <w:rsid w:val="009E49C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31460425">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65763639">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41471648">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2574583">
      <w:bodyDiv w:val="1"/>
      <w:marLeft w:val="0"/>
      <w:marRight w:val="0"/>
      <w:marTop w:val="0"/>
      <w:marBottom w:val="0"/>
      <w:divBdr>
        <w:top w:val="none" w:sz="0" w:space="0" w:color="auto"/>
        <w:left w:val="none" w:sz="0" w:space="0" w:color="auto"/>
        <w:bottom w:val="none" w:sz="0" w:space="0" w:color="auto"/>
        <w:right w:val="none" w:sz="0" w:space="0" w:color="auto"/>
      </w:divBdr>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2882439">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39845968">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17657566">
      <w:bodyDiv w:val="1"/>
      <w:marLeft w:val="0"/>
      <w:marRight w:val="0"/>
      <w:marTop w:val="0"/>
      <w:marBottom w:val="0"/>
      <w:divBdr>
        <w:top w:val="none" w:sz="0" w:space="0" w:color="auto"/>
        <w:left w:val="none" w:sz="0" w:space="0" w:color="auto"/>
        <w:bottom w:val="none" w:sz="0" w:space="0" w:color="auto"/>
        <w:right w:val="none" w:sz="0" w:space="0" w:color="auto"/>
      </w:divBdr>
    </w:div>
    <w:div w:id="1022704690">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0246720">
      <w:bodyDiv w:val="1"/>
      <w:marLeft w:val="0"/>
      <w:marRight w:val="0"/>
      <w:marTop w:val="0"/>
      <w:marBottom w:val="0"/>
      <w:divBdr>
        <w:top w:val="none" w:sz="0" w:space="0" w:color="auto"/>
        <w:left w:val="none" w:sz="0" w:space="0" w:color="auto"/>
        <w:bottom w:val="none" w:sz="0" w:space="0" w:color="auto"/>
        <w:right w:val="none" w:sz="0" w:space="0" w:color="auto"/>
      </w:divBdr>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18936703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47184175">
      <w:bodyDiv w:val="1"/>
      <w:marLeft w:val="0"/>
      <w:marRight w:val="0"/>
      <w:marTop w:val="0"/>
      <w:marBottom w:val="0"/>
      <w:divBdr>
        <w:top w:val="none" w:sz="0" w:space="0" w:color="auto"/>
        <w:left w:val="none" w:sz="0" w:space="0" w:color="auto"/>
        <w:bottom w:val="none" w:sz="0" w:space="0" w:color="auto"/>
        <w:right w:val="none" w:sz="0" w:space="0" w:color="auto"/>
      </w:divBdr>
    </w:div>
    <w:div w:id="1548563183">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02983792">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 w:id="21338674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sesorcontrataciontena@gmail.com"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2056_2020.html" TargetMode="External"/><Relationship Id="rId7" Type="http://schemas.openxmlformats.org/officeDocument/2006/relationships/hyperlink" Target="https://leyes.senado.gov.co/proyectos/index.php/proyectos-ley/cuatrenio-2018-2022/2020-2021/article/200-por-el-cual-se-regula-la-organizacion-y-el-funcionamiento-del-sistema-general-de-regalias-mensaje-de-urgencia" TargetMode="External"/><Relationship Id="rId2" Type="http://schemas.openxmlformats.org/officeDocument/2006/relationships/hyperlink" Target="http://www.secretariasenado.gov.co/senado/basedoc/ley_2056_2020.html" TargetMode="External"/><Relationship Id="rId1" Type="http://schemas.openxmlformats.org/officeDocument/2006/relationships/hyperlink" Target="http://www.secretariasenado.gov.co/senado/basedoc/ley_2056_2020.html" TargetMode="External"/><Relationship Id="rId6" Type="http://schemas.openxmlformats.org/officeDocument/2006/relationships/hyperlink" Target="http://www.secretariasenado.gov.co/senado/basedoc/decreto_0252_2020.html" TargetMode="External"/><Relationship Id="rId5" Type="http://schemas.openxmlformats.org/officeDocument/2006/relationships/hyperlink" Target="http://www.secretariasenado.gov.co/senado/basedoc/decreto_1088_1993.html" TargetMode="External"/><Relationship Id="rId4" Type="http://schemas.openxmlformats.org/officeDocument/2006/relationships/hyperlink" Target="http://www.secretariasenado.gov.co/senado/basedoc/ley_2056_202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DBFEB5FD-8431-48BD-8488-BC7B0F7312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18</Pages>
  <Words>5992</Words>
  <Characters>32962</Characters>
  <Application>Microsoft Office Word</Application>
  <DocSecurity>0</DocSecurity>
  <Lines>274</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38877</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9</cp:revision>
  <dcterms:created xsi:type="dcterms:W3CDTF">2026-06-01T15:56:00Z</dcterms:created>
  <dcterms:modified xsi:type="dcterms:W3CDTF">2026-06-01T23:20:00Z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