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39AFE" w14:textId="77777777" w:rsidR="00FB3658" w:rsidRPr="0051568E" w:rsidRDefault="00FB3658" w:rsidP="00FB3658">
      <w:pPr>
        <w:spacing w:after="0" w:line="240" w:lineRule="auto"/>
        <w:contextualSpacing/>
        <w:jc w:val="both"/>
        <w:rPr>
          <w:rFonts w:ascii="Verdana" w:eastAsia="Arial" w:hAnsi="Verdana"/>
          <w:b/>
          <w:bCs/>
          <w:lang w:val="es-ES" w:eastAsia="es-ES_tradnl"/>
        </w:rPr>
      </w:pPr>
      <w:r w:rsidRPr="0051568E">
        <w:rPr>
          <w:rFonts w:ascii="Verdana" w:eastAsia="Arial" w:hAnsi="Verdana"/>
          <w:b/>
          <w:bCs/>
          <w:lang w:val="es-ES" w:eastAsia="es-ES_tradnl"/>
        </w:rPr>
        <w:t xml:space="preserve">CONTRATO ESTATAL – Definición </w:t>
      </w:r>
      <w:r>
        <w:rPr>
          <w:rFonts w:ascii="Verdana" w:eastAsia="Arial" w:hAnsi="Verdana"/>
          <w:b/>
          <w:bCs/>
          <w:lang w:val="es-ES" w:eastAsia="es-ES_tradnl"/>
        </w:rPr>
        <w:t>– Autonomía de la voluntad</w:t>
      </w:r>
    </w:p>
    <w:p w14:paraId="407DADF5" w14:textId="77777777" w:rsidR="00FB3658" w:rsidRPr="0051568E" w:rsidRDefault="00FB3658" w:rsidP="00FB3658">
      <w:pPr>
        <w:spacing w:after="0" w:line="240" w:lineRule="auto"/>
        <w:contextualSpacing/>
        <w:jc w:val="both"/>
        <w:rPr>
          <w:rFonts w:ascii="Verdana" w:eastAsia="Arial" w:hAnsi="Verdana"/>
          <w:b/>
          <w:bCs/>
          <w:sz w:val="20"/>
          <w:szCs w:val="20"/>
          <w:lang w:val="es-ES" w:eastAsia="es-ES_tradnl"/>
        </w:rPr>
      </w:pPr>
    </w:p>
    <w:p w14:paraId="308765DF" w14:textId="77777777" w:rsidR="00FB3658" w:rsidRPr="00CB3D7C" w:rsidRDefault="00FB3658" w:rsidP="00FB3658">
      <w:pPr>
        <w:widowControl w:val="0"/>
        <w:autoSpaceDE w:val="0"/>
        <w:autoSpaceDN w:val="0"/>
        <w:spacing w:after="0" w:line="240" w:lineRule="auto"/>
        <w:contextualSpacing/>
        <w:jc w:val="both"/>
        <w:rPr>
          <w:rFonts w:ascii="Verdana" w:eastAsia="Arial" w:hAnsi="Verdana" w:cs="Arial"/>
          <w:color w:val="000000" w:themeColor="text1"/>
          <w:sz w:val="20"/>
          <w:szCs w:val="20"/>
          <w:lang w:val="es-ES_tradnl" w:eastAsia="es-ES_tradnl"/>
        </w:rPr>
      </w:pPr>
      <w:r w:rsidRPr="0051568E">
        <w:rPr>
          <w:rFonts w:ascii="Verdana" w:eastAsia="Arial" w:hAnsi="Verdana" w:cs="Arial"/>
          <w:color w:val="000000" w:themeColor="text1"/>
          <w:sz w:val="20"/>
          <w:szCs w:val="20"/>
          <w:lang w:val="es-ES_tradnl" w:eastAsia="es-ES_tradnl"/>
        </w:rPr>
        <w:t>[…] el contrato estatal es el acto jurídico creador de obligaciones en cuya celebración concurre una de las Entidades Estatales, independientemente de que se trate de contratos previstos o tipificados en el derecho privado, en disposiciones especiales o que sencillamente resulten del ejercicio de la autonomía de la voluntad, como sucede con los que se clasifican como atípicos e innominados –artículo 32 de la Ley 80–. Por lo tanto, 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 con independencia del régimen de derecho aplicable.</w:t>
      </w:r>
      <w:r w:rsidRPr="0051568E">
        <w:rPr>
          <w:rFonts w:ascii="Verdana" w:eastAsia="Arial" w:hAnsi="Verdana" w:cs="Arial"/>
          <w:color w:val="000000" w:themeColor="text1"/>
          <w:sz w:val="20"/>
          <w:szCs w:val="20"/>
          <w:lang w:eastAsia="es-ES_tradnl"/>
        </w:rPr>
        <w:t>”.</w:t>
      </w:r>
    </w:p>
    <w:p w14:paraId="555BFBFE" w14:textId="77777777" w:rsidR="00FB3658" w:rsidRDefault="00FB3658" w:rsidP="00FB3658">
      <w:pPr>
        <w:spacing w:after="0" w:line="240" w:lineRule="auto"/>
        <w:jc w:val="both"/>
        <w:rPr>
          <w:rFonts w:ascii="Verdana" w:eastAsia="Calibri" w:hAnsi="Verdana" w:cs="Arial"/>
          <w:b/>
          <w:bCs/>
          <w:lang w:val="es-ES" w:eastAsia="es-ES"/>
        </w:rPr>
      </w:pPr>
    </w:p>
    <w:p w14:paraId="44DF3343" w14:textId="77777777" w:rsidR="00FB3658" w:rsidRPr="001C5C11" w:rsidRDefault="00FB3658" w:rsidP="00FB3658">
      <w:pPr>
        <w:spacing w:after="0" w:line="240" w:lineRule="auto"/>
        <w:jc w:val="both"/>
        <w:rPr>
          <w:rFonts w:ascii="Verdana" w:eastAsia="Calibri" w:hAnsi="Verdana" w:cs="Arial"/>
          <w:b/>
          <w:bCs/>
          <w:lang w:val="es-ES" w:eastAsia="es-ES"/>
        </w:rPr>
      </w:pPr>
      <w:r w:rsidRPr="001C5C11">
        <w:rPr>
          <w:rFonts w:ascii="Verdana" w:eastAsia="Calibri" w:hAnsi="Verdana" w:cs="Arial"/>
          <w:b/>
          <w:bCs/>
          <w:lang w:val="es-ES" w:eastAsia="es-ES"/>
        </w:rPr>
        <w:t>CONTRATACIÓN ESTATAL – Contrato electrónico</w:t>
      </w:r>
    </w:p>
    <w:p w14:paraId="41BE7213" w14:textId="77777777" w:rsidR="00FB3658" w:rsidRPr="00CD5723" w:rsidRDefault="00FB3658" w:rsidP="00CB323E">
      <w:pPr>
        <w:spacing w:after="0" w:line="240" w:lineRule="auto"/>
        <w:contextualSpacing/>
        <w:jc w:val="both"/>
        <w:rPr>
          <w:rFonts w:ascii="Verdana" w:hAnsi="Verdana" w:cs="Arial"/>
          <w:b/>
          <w:color w:val="4472C4" w:themeColor="accent1"/>
          <w:lang w:val="es-ES" w:eastAsia="es-ES_tradnl"/>
        </w:rPr>
      </w:pPr>
    </w:p>
    <w:p w14:paraId="422B097C" w14:textId="77777777" w:rsidR="00FB3658" w:rsidRPr="00840BCD" w:rsidRDefault="00FB3658" w:rsidP="00CB323E">
      <w:pPr>
        <w:spacing w:after="0" w:line="240" w:lineRule="auto"/>
        <w:jc w:val="both"/>
        <w:rPr>
          <w:rFonts w:ascii="Verdana" w:eastAsia="Calibri" w:hAnsi="Verdana" w:cs="Arial"/>
          <w:color w:val="000000" w:themeColor="text1"/>
          <w:sz w:val="20"/>
          <w:szCs w:val="20"/>
          <w:lang w:val="es-ES"/>
        </w:rPr>
      </w:pPr>
      <w:r w:rsidRPr="00840BCD">
        <w:rPr>
          <w:rFonts w:ascii="Verdana" w:eastAsia="Calibri" w:hAnsi="Verdana" w:cs="Arial"/>
          <w:color w:val="000000" w:themeColor="text1"/>
          <w:sz w:val="20"/>
          <w:szCs w:val="20"/>
          <w:lang w:val="es-ES"/>
        </w:rPr>
        <w:t xml:space="preserve">[…] Es necesario aclarar que, dado que el procedimiento contractual se desarrolla en línea y dentro de la plataforma, paulatinamente se va conformando un expediente electrónico, lo cual implica una diferencia con el SECOP I, donde el procedimiento es físico, esto es, con documentos escritos que se publican posteriormente. Al existir esa diferencia entre las dos versiones del SECOP, por regla general, no es posible cargar en SECOP II actuaciones por escrito realizadas por la entidad, como ocurre en el SECOP I, sino que los documentos y actuaciones son electrónicos. </w:t>
      </w:r>
    </w:p>
    <w:p w14:paraId="0817B7F0" w14:textId="77777777" w:rsidR="00FB3658" w:rsidRPr="00840BCD" w:rsidRDefault="00FB3658" w:rsidP="00CB323E">
      <w:pPr>
        <w:spacing w:after="0" w:line="240" w:lineRule="auto"/>
        <w:jc w:val="both"/>
        <w:rPr>
          <w:rFonts w:ascii="Verdana" w:eastAsia="Calibri" w:hAnsi="Verdana" w:cs="Arial"/>
          <w:color w:val="000000" w:themeColor="text1"/>
          <w:sz w:val="20"/>
          <w:szCs w:val="20"/>
          <w:lang w:val="es-ES"/>
        </w:rPr>
      </w:pPr>
    </w:p>
    <w:p w14:paraId="10F81628" w14:textId="77777777" w:rsidR="00FB3658" w:rsidRPr="00840BCD" w:rsidRDefault="00FB3658" w:rsidP="00CB323E">
      <w:pPr>
        <w:spacing w:after="0" w:line="240" w:lineRule="auto"/>
        <w:jc w:val="both"/>
        <w:rPr>
          <w:rFonts w:ascii="Verdana" w:eastAsia="Times New Roman" w:hAnsi="Verdana" w:cs="Arial"/>
          <w:color w:val="000000" w:themeColor="text1"/>
          <w:sz w:val="20"/>
          <w:szCs w:val="20"/>
          <w:lang w:eastAsia="es-ES_tradnl"/>
        </w:rPr>
      </w:pPr>
      <w:r w:rsidRPr="00840BCD">
        <w:rPr>
          <w:rFonts w:ascii="Verdana" w:eastAsia="Calibri" w:hAnsi="Verdana" w:cs="Arial"/>
          <w:color w:val="000000" w:themeColor="text1"/>
          <w:sz w:val="20"/>
          <w:szCs w:val="20"/>
          <w:lang w:val="es-ES"/>
        </w:rPr>
        <w:t xml:space="preserve">La plataforma SECOP II es totalmente transaccional, por lo que el trámite se realiza en línea y la publicidad de las actuaciones es concomitante, según transcurran cada una de las etapas del procedimiento, lo que descarta, en principio, la necesidad cargar documentación alguna. Además, de acuerdo con lo prescrito en el artículo 14 de la Ley 527 de 1999, en la formación del contrato, salvo acuerdo expreso entre las partes, la oferta y su aceptación podrán expresarse por medio de un mensaje de datos, lo que implica que “[n]o se negará validez o fuerza obligatoria a un contrato por la sola razón de haberse utilizado en su formación uno o más mensajes de datos”. </w:t>
      </w:r>
      <w:r w:rsidRPr="00840BCD">
        <w:rPr>
          <w:rFonts w:ascii="Verdana" w:eastAsia="Times New Roman" w:hAnsi="Verdana" w:cs="Arial"/>
          <w:color w:val="000000" w:themeColor="text1"/>
          <w:sz w:val="20"/>
          <w:szCs w:val="20"/>
          <w:lang w:eastAsia="es-ES_tradnl"/>
        </w:rPr>
        <w:t>[…]</w:t>
      </w:r>
    </w:p>
    <w:p w14:paraId="1876B734" w14:textId="77777777" w:rsidR="00FB3658" w:rsidRPr="00CD5723" w:rsidRDefault="00FB3658" w:rsidP="00FB3658">
      <w:pPr>
        <w:spacing w:after="0"/>
        <w:jc w:val="both"/>
        <w:rPr>
          <w:rFonts w:ascii="Verdana" w:eastAsia="Times New Roman" w:hAnsi="Verdana" w:cs="Arial"/>
          <w:color w:val="4472C4" w:themeColor="accent1"/>
          <w:sz w:val="20"/>
          <w:lang w:eastAsia="es-ES_tradnl"/>
        </w:rPr>
      </w:pPr>
    </w:p>
    <w:p w14:paraId="1D5F01FC" w14:textId="77777777" w:rsidR="00FB3658" w:rsidRDefault="00FB3658" w:rsidP="00FB3658">
      <w:pPr>
        <w:spacing w:after="0" w:line="240" w:lineRule="auto"/>
        <w:jc w:val="both"/>
        <w:rPr>
          <w:rFonts w:ascii="Verdana" w:eastAsia="Calibri" w:hAnsi="Verdana" w:cs="Arial"/>
          <w:b/>
          <w:bCs/>
          <w:lang w:val="es-ES" w:eastAsia="es-ES"/>
        </w:rPr>
      </w:pPr>
      <w:r w:rsidRPr="005D147C">
        <w:rPr>
          <w:rFonts w:ascii="Verdana" w:eastAsia="Calibri" w:hAnsi="Verdana" w:cs="Arial"/>
          <w:b/>
          <w:bCs/>
          <w:lang w:val="es-ES" w:eastAsia="es-ES"/>
        </w:rPr>
        <w:t>SECOP II – Validez jurídica y valor probatorio de los documentos electrónicos</w:t>
      </w:r>
    </w:p>
    <w:p w14:paraId="60DBEDF2" w14:textId="77777777" w:rsidR="00FB3658" w:rsidRPr="00C15FFD" w:rsidRDefault="00FB3658" w:rsidP="00FB3658">
      <w:pPr>
        <w:spacing w:after="0" w:line="240" w:lineRule="auto"/>
        <w:jc w:val="both"/>
        <w:rPr>
          <w:rFonts w:ascii="Verdana" w:eastAsia="Calibri" w:hAnsi="Verdana" w:cs="Arial"/>
          <w:b/>
          <w:bCs/>
          <w:sz w:val="20"/>
          <w:szCs w:val="20"/>
          <w:highlight w:val="yellow"/>
          <w:lang w:val="es-ES_tradnl" w:eastAsia="es-ES_tradnl"/>
        </w:rPr>
      </w:pPr>
    </w:p>
    <w:p w14:paraId="70444F1A" w14:textId="77777777" w:rsidR="00FB3658" w:rsidRDefault="00FB3658" w:rsidP="00FB3658">
      <w:pPr>
        <w:widowControl w:val="0"/>
        <w:autoSpaceDE w:val="0"/>
        <w:autoSpaceDN w:val="0"/>
        <w:spacing w:after="120" w:line="240" w:lineRule="auto"/>
        <w:jc w:val="both"/>
        <w:rPr>
          <w:rFonts w:ascii="Verdana" w:hAnsi="Verdana" w:cs="Arial"/>
          <w:color w:val="4472C4" w:themeColor="accent1"/>
          <w:sz w:val="20"/>
          <w:szCs w:val="20"/>
        </w:rPr>
      </w:pPr>
      <w:r>
        <w:rPr>
          <w:rFonts w:ascii="Verdana" w:eastAsia="Calibri" w:hAnsi="Verdana" w:cs="Arial"/>
          <w:color w:val="000000" w:themeColor="text1"/>
          <w:sz w:val="20"/>
          <w:szCs w:val="20"/>
          <w:lang w:val="es-ES"/>
        </w:rPr>
        <w:t xml:space="preserve">[…] </w:t>
      </w:r>
      <w:r w:rsidRPr="00840BCD">
        <w:rPr>
          <w:rFonts w:ascii="Verdana" w:eastAsia="Calibri" w:hAnsi="Verdana" w:cs="Arial"/>
          <w:color w:val="000000" w:themeColor="text1"/>
          <w:sz w:val="20"/>
          <w:szCs w:val="20"/>
          <w:lang w:val="es-ES"/>
        </w:rPr>
        <w:t>La plataforma SECOP II es totalmente transaccional, por lo que el trámite se realiza en línea y la publicidad de las actuaciones es concomitante, según transcurran cada una de las etapas del procedimiento, lo que descarta, en principio, la necesidad cargar documentación alguna. Además, de acuerdo con lo prescrito en el artículo 14 de la Ley 527 de 1999, en la formación del contrato, salvo acuerdo expreso entre las partes, la oferta y su aceptación podrán expresarse por medio de un mensaje de datos, lo que implica que “[n]o se negará validez o fuerza obligatoria a un contrato por la sola razón de haberse utilizado en su formación uno o más mensajes de datos”</w:t>
      </w:r>
      <w:r>
        <w:rPr>
          <w:rFonts w:ascii="Verdana" w:eastAsia="Calibri" w:hAnsi="Verdana" w:cs="Arial"/>
          <w:color w:val="000000" w:themeColor="text1"/>
          <w:sz w:val="20"/>
          <w:szCs w:val="20"/>
          <w:lang w:val="es-ES"/>
        </w:rPr>
        <w:t xml:space="preserve"> […]</w:t>
      </w:r>
    </w:p>
    <w:p w14:paraId="079B91C2" w14:textId="77777777" w:rsidR="00FB3658" w:rsidRDefault="00FB3658" w:rsidP="00FB3658">
      <w:pPr>
        <w:widowControl w:val="0"/>
        <w:autoSpaceDE w:val="0"/>
        <w:autoSpaceDN w:val="0"/>
        <w:spacing w:after="120" w:line="240" w:lineRule="auto"/>
        <w:jc w:val="both"/>
        <w:rPr>
          <w:rFonts w:ascii="Verdana" w:hAnsi="Verdana" w:cs="Arial"/>
          <w:color w:val="4472C4" w:themeColor="accent1"/>
          <w:sz w:val="20"/>
          <w:szCs w:val="20"/>
        </w:rPr>
      </w:pPr>
    </w:p>
    <w:p w14:paraId="763375F2" w14:textId="45B184F1" w:rsidR="00FB3658" w:rsidRPr="001B6793" w:rsidRDefault="00FB3658" w:rsidP="00FB3658">
      <w:pPr>
        <w:spacing w:after="0" w:line="240" w:lineRule="auto"/>
        <w:rPr>
          <w:rFonts w:ascii="Verdana" w:hAnsi="Verdana"/>
        </w:rPr>
      </w:pPr>
      <w:r w:rsidRPr="001B6793">
        <w:rPr>
          <w:rFonts w:ascii="Verdana" w:hAnsi="Verdana"/>
        </w:rPr>
        <w:lastRenderedPageBreak/>
        <w:t xml:space="preserve">Bogotá D.C., </w:t>
      </w:r>
      <w:r w:rsidR="00CB323E">
        <w:rPr>
          <w:rFonts w:ascii="Verdana" w:hAnsi="Verdana"/>
        </w:rPr>
        <w:t>11 Junio 2026</w:t>
      </w:r>
    </w:p>
    <w:p w14:paraId="2F40C724" w14:textId="0444DF00" w:rsidR="00FB3658" w:rsidRPr="001B6793" w:rsidRDefault="00CB323E" w:rsidP="00FB3658">
      <w:pPr>
        <w:spacing w:after="0" w:line="240" w:lineRule="auto"/>
        <w:rPr>
          <w:rFonts w:ascii="Verdana" w:hAnsi="Verdana"/>
          <w:color w:val="4472C4" w:themeColor="accent1"/>
          <w:highlight w:val="lightGray"/>
          <w:lang w:val="es-ES"/>
        </w:rPr>
      </w:pPr>
      <w:r w:rsidRPr="00CB323E">
        <w:rPr>
          <w:rFonts w:ascii="Verdana" w:eastAsia="Calibri" w:hAnsi="Verdana" w:cs="Arial"/>
          <w:noProof/>
          <w:lang w:val="es-ES" w:eastAsia="es-ES"/>
        </w:rPr>
        <w:drawing>
          <wp:anchor distT="0" distB="0" distL="114300" distR="114300" simplePos="0" relativeHeight="251659264" behindDoc="1" locked="0" layoutInCell="1" allowOverlap="1" wp14:anchorId="09B4FA8D" wp14:editId="5747005A">
            <wp:simplePos x="0" y="0"/>
            <wp:positionH relativeFrom="margin">
              <wp:align>right</wp:align>
            </wp:positionH>
            <wp:positionV relativeFrom="paragraph">
              <wp:posOffset>6654</wp:posOffset>
            </wp:positionV>
            <wp:extent cx="2239710" cy="598279"/>
            <wp:effectExtent l="0" t="0" r="8255" b="0"/>
            <wp:wrapNone/>
            <wp:docPr id="11548987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98753" name=""/>
                    <pic:cNvPicPr/>
                  </pic:nvPicPr>
                  <pic:blipFill>
                    <a:blip r:embed="rId10">
                      <a:extLst>
                        <a:ext uri="{28A0092B-C50C-407E-A947-70E740481C1C}">
                          <a14:useLocalDpi xmlns:a14="http://schemas.microsoft.com/office/drawing/2010/main" val="0"/>
                        </a:ext>
                      </a:extLst>
                    </a:blip>
                    <a:stretch>
                      <a:fillRect/>
                    </a:stretch>
                  </pic:blipFill>
                  <pic:spPr>
                    <a:xfrm>
                      <a:off x="0" y="0"/>
                      <a:ext cx="2239710" cy="598279"/>
                    </a:xfrm>
                    <a:prstGeom prst="rect">
                      <a:avLst/>
                    </a:prstGeom>
                  </pic:spPr>
                </pic:pic>
              </a:graphicData>
            </a:graphic>
            <wp14:sizeRelH relativeFrom="margin">
              <wp14:pctWidth>0</wp14:pctWidth>
            </wp14:sizeRelH>
            <wp14:sizeRelV relativeFrom="margin">
              <wp14:pctHeight>0</wp14:pctHeight>
            </wp14:sizeRelV>
          </wp:anchor>
        </w:drawing>
      </w:r>
    </w:p>
    <w:p w14:paraId="63247E3A" w14:textId="2E516964" w:rsidR="00FB3658" w:rsidRPr="001B6793" w:rsidRDefault="00FB3658" w:rsidP="00FB3658">
      <w:pPr>
        <w:spacing w:after="0" w:line="240" w:lineRule="auto"/>
        <w:rPr>
          <w:rFonts w:ascii="Verdana" w:hAnsi="Verdana"/>
          <w:lang w:val="es-ES"/>
        </w:rPr>
      </w:pPr>
      <w:bookmarkStart w:id="0" w:name="_Hlk143780582"/>
      <w:r w:rsidRPr="001B6793">
        <w:rPr>
          <w:rFonts w:ascii="Verdana" w:eastAsia="Calibri" w:hAnsi="Verdana" w:cs="Arial"/>
          <w:lang w:val="es-ES" w:eastAsia="es-ES"/>
        </w:rPr>
        <w:t>Señora</w:t>
      </w:r>
    </w:p>
    <w:p w14:paraId="0A0B6239" w14:textId="77777777" w:rsidR="00FB3658" w:rsidRPr="001F04C4" w:rsidRDefault="00FB3658" w:rsidP="00FB3658">
      <w:pPr>
        <w:spacing w:after="0" w:line="240" w:lineRule="auto"/>
        <w:rPr>
          <w:rFonts w:ascii="Verdana" w:hAnsi="Verdana"/>
        </w:rPr>
      </w:pPr>
      <w:r w:rsidRPr="001F04C4">
        <w:rPr>
          <w:rFonts w:ascii="Verdana" w:eastAsia="Calibri" w:hAnsi="Verdana" w:cs="Arial"/>
          <w:b/>
          <w:bCs/>
          <w:lang w:eastAsia="es-ES"/>
        </w:rPr>
        <w:t>Aurora Andrea Reyes Saavedra</w:t>
      </w:r>
    </w:p>
    <w:p w14:paraId="71C3CE70" w14:textId="77777777" w:rsidR="00FB3658" w:rsidRPr="001F04C4" w:rsidRDefault="00FB3658" w:rsidP="00FB3658">
      <w:pPr>
        <w:spacing w:after="0" w:line="240" w:lineRule="auto"/>
        <w:rPr>
          <w:rFonts w:ascii="Verdana" w:eastAsia="Calibri" w:hAnsi="Verdana" w:cs="Arial"/>
          <w:color w:val="4472C4" w:themeColor="accent1"/>
          <w:lang w:eastAsia="es-ES"/>
        </w:rPr>
      </w:pPr>
      <w:hyperlink r:id="rId11" w:history="1">
        <w:r w:rsidRPr="001F04C4">
          <w:rPr>
            <w:rStyle w:val="Hipervnculo"/>
            <w:rFonts w:ascii="Verdana" w:hAnsi="Verdana"/>
          </w:rPr>
          <w:t>areyes@regionmetropolitana.gov.co</w:t>
        </w:r>
      </w:hyperlink>
      <w:r w:rsidRPr="001F04C4">
        <w:rPr>
          <w:rFonts w:ascii="Verdana" w:hAnsi="Verdana"/>
          <w:color w:val="4472C4" w:themeColor="accent1"/>
        </w:rPr>
        <w:t xml:space="preserve"> </w:t>
      </w:r>
    </w:p>
    <w:p w14:paraId="7FD3A58E" w14:textId="77777777" w:rsidR="00FB3658" w:rsidRPr="001B6793" w:rsidRDefault="00FB3658" w:rsidP="00FB3658">
      <w:pPr>
        <w:spacing w:after="0" w:line="240" w:lineRule="auto"/>
        <w:rPr>
          <w:rFonts w:ascii="Verdana" w:eastAsia="Calibri" w:hAnsi="Verdana" w:cs="Arial"/>
          <w:lang w:val="es-ES" w:eastAsia="es-ES"/>
        </w:rPr>
      </w:pPr>
      <w:r w:rsidRPr="001B6793">
        <w:rPr>
          <w:rFonts w:ascii="Verdana" w:eastAsia="Calibri" w:hAnsi="Verdana" w:cs="Arial"/>
          <w:lang w:val="es-ES" w:eastAsia="es-ES"/>
        </w:rPr>
        <w:t>Bogotá D.C</w:t>
      </w:r>
    </w:p>
    <w:p w14:paraId="758336FD" w14:textId="77777777" w:rsidR="00FB3658" w:rsidRPr="00CD5723" w:rsidRDefault="00FB3658" w:rsidP="00FB3658">
      <w:pPr>
        <w:spacing w:after="0" w:line="240" w:lineRule="auto"/>
        <w:rPr>
          <w:rFonts w:ascii="Verdana" w:eastAsia="Calibri" w:hAnsi="Verdana" w:cs="Arial"/>
          <w:color w:val="4472C4" w:themeColor="accent1"/>
          <w:highlight w:val="lightGray"/>
          <w:lang w:val="es-ES" w:eastAsia="es-ES"/>
        </w:rPr>
      </w:pPr>
    </w:p>
    <w:p w14:paraId="45E1723C" w14:textId="77777777" w:rsidR="00FB3658" w:rsidRPr="00A41820" w:rsidRDefault="00FB3658" w:rsidP="00FB3658">
      <w:pPr>
        <w:spacing w:after="0" w:line="240" w:lineRule="auto"/>
        <w:rPr>
          <w:rFonts w:ascii="Verdana" w:eastAsia="Calibri" w:hAnsi="Verdana" w:cs="Arial"/>
          <w:b/>
          <w:bCs/>
          <w:highlight w:val="lightGray"/>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FB3658" w:rsidRPr="00A41820" w14:paraId="29348193" w14:textId="77777777" w:rsidTr="008F58DF">
        <w:trPr>
          <w:trHeight w:val="300"/>
        </w:trPr>
        <w:tc>
          <w:tcPr>
            <w:tcW w:w="2410" w:type="dxa"/>
          </w:tcPr>
          <w:p w14:paraId="74E8380B" w14:textId="77777777" w:rsidR="00FB3658" w:rsidRPr="00A41820" w:rsidRDefault="00FB3658" w:rsidP="008F58DF">
            <w:pPr>
              <w:ind w:left="-142"/>
              <w:jc w:val="both"/>
              <w:rPr>
                <w:rFonts w:ascii="Verdana" w:eastAsia="Calibri" w:hAnsi="Verdana" w:cs="Arial"/>
                <w:b/>
                <w:bCs/>
                <w:highlight w:val="lightGray"/>
                <w:lang w:val="es-ES" w:eastAsia="es-ES_tradnl"/>
              </w:rPr>
            </w:pPr>
          </w:p>
        </w:tc>
        <w:tc>
          <w:tcPr>
            <w:tcW w:w="6100" w:type="dxa"/>
          </w:tcPr>
          <w:p w14:paraId="0BBAEC72" w14:textId="77777777" w:rsidR="00FB3658" w:rsidRPr="00A41820" w:rsidRDefault="00FB3658" w:rsidP="008F58DF">
            <w:pPr>
              <w:ind w:left="3"/>
              <w:jc w:val="both"/>
              <w:rPr>
                <w:rFonts w:ascii="Verdana" w:eastAsia="Calibri" w:hAnsi="Verdana" w:cs="Arial"/>
                <w:b/>
                <w:bCs/>
                <w:lang w:val="es-ES" w:eastAsia="es-ES"/>
              </w:rPr>
            </w:pPr>
            <w:r w:rsidRPr="00A41820">
              <w:rPr>
                <w:rFonts w:ascii="Verdana" w:eastAsia="Calibri" w:hAnsi="Verdana" w:cs="Arial"/>
                <w:b/>
                <w:bCs/>
                <w:lang w:val="es-ES" w:eastAsia="es-ES"/>
              </w:rPr>
              <w:t>Concepto C-765 de 2026</w:t>
            </w:r>
          </w:p>
          <w:p w14:paraId="1D0D7B00" w14:textId="77777777" w:rsidR="00FB3658" w:rsidRPr="00A41820" w:rsidRDefault="00FB3658" w:rsidP="008F58DF">
            <w:pPr>
              <w:ind w:left="3"/>
              <w:jc w:val="both"/>
              <w:rPr>
                <w:rFonts w:ascii="Verdana" w:eastAsia="Calibri" w:hAnsi="Verdana" w:cs="Arial"/>
                <w:b/>
                <w:bCs/>
                <w:highlight w:val="lightGray"/>
                <w:lang w:val="es-ES" w:eastAsia="es-ES"/>
              </w:rPr>
            </w:pPr>
          </w:p>
        </w:tc>
      </w:tr>
      <w:tr w:rsidR="00FB3658" w:rsidRPr="00CD5723" w14:paraId="12B4EC83" w14:textId="77777777" w:rsidTr="008F58DF">
        <w:trPr>
          <w:trHeight w:val="300"/>
        </w:trPr>
        <w:tc>
          <w:tcPr>
            <w:tcW w:w="2410" w:type="dxa"/>
          </w:tcPr>
          <w:p w14:paraId="5E5B9E52" w14:textId="77777777" w:rsidR="00FB3658" w:rsidRPr="00CD5723" w:rsidRDefault="00FB3658" w:rsidP="008F58DF">
            <w:pPr>
              <w:ind w:left="424" w:firstLine="142"/>
              <w:jc w:val="both"/>
              <w:rPr>
                <w:rFonts w:ascii="Verdana" w:eastAsia="Calibri" w:hAnsi="Verdana" w:cs="Arial"/>
                <w:color w:val="4472C4" w:themeColor="accent1"/>
                <w:highlight w:val="lightGray"/>
                <w:lang w:val="es-ES" w:eastAsia="es-ES_tradnl"/>
              </w:rPr>
            </w:pPr>
            <w:r w:rsidRPr="001B6793">
              <w:rPr>
                <w:rFonts w:ascii="Verdana" w:eastAsia="Calibri" w:hAnsi="Verdana" w:cs="Arial"/>
                <w:b/>
                <w:lang w:val="es-ES" w:eastAsia="es-ES_tradnl"/>
              </w:rPr>
              <w:t>Temas:</w:t>
            </w:r>
            <w:r w:rsidRPr="001B6793">
              <w:rPr>
                <w:rFonts w:ascii="Verdana" w:eastAsia="Calibri" w:hAnsi="Verdana" w:cs="Arial"/>
                <w:lang w:val="es-ES" w:eastAsia="es-ES_tradnl"/>
              </w:rPr>
              <w:t xml:space="preserve"> </w:t>
            </w:r>
            <w:r w:rsidRPr="001B6793">
              <w:rPr>
                <w:rFonts w:ascii="Verdana" w:eastAsia="Calibri" w:hAnsi="Verdana" w:cs="Arial"/>
                <w:highlight w:val="lightGray"/>
                <w:lang w:val="es-ES" w:eastAsia="es-ES_tradnl"/>
              </w:rPr>
              <w:t xml:space="preserve">                 </w:t>
            </w:r>
          </w:p>
        </w:tc>
        <w:tc>
          <w:tcPr>
            <w:tcW w:w="6100" w:type="dxa"/>
          </w:tcPr>
          <w:p w14:paraId="7BD59949" w14:textId="77777777" w:rsidR="00FB3658" w:rsidRPr="00840BCD" w:rsidRDefault="00FB3658" w:rsidP="008F58DF">
            <w:pPr>
              <w:contextualSpacing/>
              <w:jc w:val="both"/>
              <w:rPr>
                <w:rFonts w:ascii="Verdana" w:eastAsia="Arial" w:hAnsi="Verdana"/>
                <w:color w:val="000000" w:themeColor="text1"/>
                <w:lang w:val="es-ES" w:eastAsia="es-ES_tradnl"/>
              </w:rPr>
            </w:pPr>
            <w:r w:rsidRPr="00840BCD">
              <w:rPr>
                <w:rFonts w:ascii="Verdana" w:eastAsia="Arial" w:hAnsi="Verdana"/>
                <w:color w:val="000000" w:themeColor="text1"/>
                <w:lang w:val="es-ES" w:eastAsia="es-ES_tradnl"/>
              </w:rPr>
              <w:t xml:space="preserve">CONTRATO ESTATAL – Definición – Autonomía de la voluntad / </w:t>
            </w:r>
            <w:r w:rsidRPr="00840BCD">
              <w:rPr>
                <w:rFonts w:ascii="Verdana" w:eastAsia="Calibri" w:hAnsi="Verdana" w:cs="Arial"/>
                <w:color w:val="000000" w:themeColor="text1"/>
              </w:rPr>
              <w:t>CONTRATACIÓN ESTATAL – Contrato electrónico /</w:t>
            </w:r>
            <w:r>
              <w:rPr>
                <w:rFonts w:ascii="Verdana" w:eastAsia="Calibri" w:hAnsi="Verdana" w:cs="Arial"/>
                <w:color w:val="000000" w:themeColor="text1"/>
              </w:rPr>
              <w:t xml:space="preserve"> </w:t>
            </w:r>
            <w:r w:rsidRPr="004E1A94">
              <w:rPr>
                <w:rFonts w:ascii="Verdana" w:eastAsia="Calibri" w:hAnsi="Verdana" w:cs="Arial"/>
                <w:color w:val="000000" w:themeColor="text1"/>
              </w:rPr>
              <w:t>SECOP II – Validez jurídica y valor probatorio de los documentos electrónicos</w:t>
            </w:r>
          </w:p>
          <w:p w14:paraId="4C667C21" w14:textId="77777777" w:rsidR="00FB3658" w:rsidRPr="00CD5723" w:rsidRDefault="00FB3658" w:rsidP="008F58DF">
            <w:pPr>
              <w:jc w:val="both"/>
              <w:rPr>
                <w:rFonts w:ascii="Verdana" w:eastAsia="Calibri" w:hAnsi="Verdana" w:cs="Arial"/>
                <w:color w:val="4472C4" w:themeColor="accent1"/>
              </w:rPr>
            </w:pPr>
          </w:p>
        </w:tc>
      </w:tr>
      <w:tr w:rsidR="00FB3658" w:rsidRPr="00CD5723" w14:paraId="5E558AB4" w14:textId="77777777" w:rsidTr="008F58DF">
        <w:trPr>
          <w:trHeight w:val="190"/>
        </w:trPr>
        <w:tc>
          <w:tcPr>
            <w:tcW w:w="2410" w:type="dxa"/>
          </w:tcPr>
          <w:p w14:paraId="41E20DFE" w14:textId="77777777" w:rsidR="00FB3658" w:rsidRPr="00A41820" w:rsidRDefault="00FB3658" w:rsidP="008F58DF">
            <w:pPr>
              <w:ind w:left="561"/>
              <w:jc w:val="both"/>
              <w:rPr>
                <w:rFonts w:ascii="Verdana" w:eastAsia="Calibri" w:hAnsi="Verdana" w:cs="Arial"/>
                <w:b/>
                <w:lang w:val="es-ES" w:eastAsia="es-ES_tradnl"/>
              </w:rPr>
            </w:pPr>
            <w:r w:rsidRPr="00A41820">
              <w:rPr>
                <w:rFonts w:ascii="Verdana" w:eastAsia="Calibri" w:hAnsi="Verdana" w:cs="Arial"/>
                <w:b/>
                <w:lang w:val="es-ES" w:eastAsia="es-ES_tradnl"/>
              </w:rPr>
              <w:t>Radicación:</w:t>
            </w:r>
            <w:r w:rsidRPr="00A41820">
              <w:rPr>
                <w:rFonts w:ascii="Verdana" w:eastAsia="Calibri" w:hAnsi="Verdana" w:cs="Arial"/>
                <w:lang w:val="es-ES" w:eastAsia="es-ES_tradnl"/>
              </w:rPr>
              <w:t xml:space="preserve">              </w:t>
            </w:r>
          </w:p>
        </w:tc>
        <w:tc>
          <w:tcPr>
            <w:tcW w:w="6100" w:type="dxa"/>
          </w:tcPr>
          <w:p w14:paraId="183FB027" w14:textId="77777777" w:rsidR="00FB3658" w:rsidRPr="00A41820" w:rsidRDefault="00FB3658" w:rsidP="008F58DF">
            <w:pPr>
              <w:ind w:left="3"/>
              <w:jc w:val="both"/>
              <w:rPr>
                <w:rFonts w:ascii="Verdana" w:hAnsi="Verdana"/>
                <w:lang w:val="es-ES"/>
              </w:rPr>
            </w:pPr>
            <w:r w:rsidRPr="00A41820">
              <w:rPr>
                <w:rFonts w:ascii="Verdana" w:eastAsia="Calibri" w:hAnsi="Verdana" w:cs="Arial"/>
                <w:lang w:val="es-ES" w:eastAsia="es-ES"/>
              </w:rPr>
              <w:t>Respuesta a consulta con radicado No. 1_2026_04_27_005712</w:t>
            </w:r>
          </w:p>
        </w:tc>
      </w:tr>
    </w:tbl>
    <w:p w14:paraId="12B7009F" w14:textId="77777777" w:rsidR="00FB3658" w:rsidRPr="00CD5723" w:rsidRDefault="00FB3658" w:rsidP="00FB3658">
      <w:pPr>
        <w:spacing w:after="0" w:line="240" w:lineRule="auto"/>
        <w:jc w:val="both"/>
        <w:rPr>
          <w:rFonts w:ascii="Verdana" w:eastAsia="Calibri" w:hAnsi="Verdana" w:cs="Arial"/>
          <w:color w:val="4472C4" w:themeColor="accent1"/>
          <w:highlight w:val="lightGray"/>
          <w:lang w:val="es-ES" w:eastAsia="es-ES"/>
        </w:rPr>
      </w:pPr>
    </w:p>
    <w:p w14:paraId="119F9673" w14:textId="77777777" w:rsidR="00FB3658" w:rsidRPr="00CD5723" w:rsidRDefault="00FB3658" w:rsidP="00FB3658">
      <w:pPr>
        <w:spacing w:after="0" w:line="240" w:lineRule="auto"/>
        <w:jc w:val="both"/>
        <w:rPr>
          <w:rFonts w:ascii="Verdana" w:eastAsia="Calibri" w:hAnsi="Verdana" w:cs="Arial"/>
          <w:color w:val="4472C4" w:themeColor="accent1"/>
          <w:highlight w:val="lightGray"/>
          <w:lang w:val="es-ES" w:eastAsia="es-ES"/>
        </w:rPr>
      </w:pPr>
    </w:p>
    <w:p w14:paraId="325B8694" w14:textId="77777777" w:rsidR="00FB3658" w:rsidRPr="00167633" w:rsidRDefault="00FB3658" w:rsidP="00FB3658">
      <w:pPr>
        <w:spacing w:after="0" w:line="276" w:lineRule="auto"/>
        <w:jc w:val="both"/>
        <w:rPr>
          <w:rFonts w:ascii="Verdana" w:eastAsia="Calibri" w:hAnsi="Verdana" w:cs="Arial"/>
          <w:lang w:val="es-ES" w:eastAsia="es-ES"/>
        </w:rPr>
      </w:pPr>
      <w:r w:rsidRPr="00167633">
        <w:rPr>
          <w:rFonts w:ascii="Verdana" w:eastAsia="Calibri" w:hAnsi="Verdana" w:cs="Arial"/>
          <w:lang w:val="es-ES" w:eastAsia="es-ES"/>
        </w:rPr>
        <w:t>Estimada señora Reyes,</w:t>
      </w:r>
    </w:p>
    <w:p w14:paraId="7C46BC92" w14:textId="77777777" w:rsidR="00FB3658" w:rsidRPr="00167633" w:rsidRDefault="00FB3658" w:rsidP="00FB3658">
      <w:pPr>
        <w:tabs>
          <w:tab w:val="left" w:pos="3768"/>
        </w:tabs>
        <w:spacing w:after="0" w:line="276" w:lineRule="auto"/>
        <w:jc w:val="both"/>
        <w:rPr>
          <w:rFonts w:ascii="Verdana" w:eastAsia="Calibri" w:hAnsi="Verdana" w:cs="Arial"/>
          <w:lang w:val="es-ES" w:eastAsia="es-ES"/>
        </w:rPr>
      </w:pPr>
      <w:r w:rsidRPr="00167633">
        <w:rPr>
          <w:rFonts w:ascii="Verdana" w:eastAsia="Calibri" w:hAnsi="Verdana" w:cs="Arial"/>
          <w:lang w:val="es-ES" w:eastAsia="es-ES"/>
        </w:rPr>
        <w:tab/>
      </w:r>
    </w:p>
    <w:p w14:paraId="40BD20F4" w14:textId="77777777" w:rsidR="00FB3658" w:rsidRPr="001443C1" w:rsidRDefault="00FB3658" w:rsidP="00FB3658">
      <w:pPr>
        <w:spacing w:after="0" w:line="276" w:lineRule="auto"/>
        <w:jc w:val="both"/>
        <w:rPr>
          <w:rFonts w:ascii="Verdana" w:eastAsia="Calibri" w:hAnsi="Verdana" w:cs="Arial"/>
          <w:lang w:val="es-ES" w:eastAsia="es-ES"/>
        </w:rPr>
      </w:pPr>
      <w:r w:rsidRPr="00167633">
        <w:rPr>
          <w:rFonts w:ascii="Verdana" w:eastAsia="Calibri" w:hAnsi="Verdana" w:cs="Arial"/>
          <w:lang w:val="es-ES" w:eastAsia="es-ES"/>
        </w:rPr>
        <w:t>En ejercicio de la competencia otorgada por los artículos 3, numeral 5º, y 11, numeral 8º, del Decreto Ley 4170 de 2011,</w:t>
      </w:r>
      <w:r w:rsidRPr="00167633">
        <w:rPr>
          <w:rFonts w:ascii="Verdana" w:eastAsia="Arial MT" w:hAnsi="Verdana" w:cs="Arial MT"/>
          <w:lang w:val="es-ES" w:eastAsia="es-ES"/>
        </w:rPr>
        <w:t xml:space="preserve"> </w:t>
      </w:r>
      <w:r w:rsidRPr="00167633">
        <w:rPr>
          <w:rFonts w:ascii="Verdana" w:hAnsi="Verdana" w:cs="Arial"/>
          <w:lang w:val="es-ES"/>
        </w:rPr>
        <w:t xml:space="preserve">así como lo establecido en el artículo 4 de la Resolución 469 de 2025 expedida por esta Entidad, </w:t>
      </w:r>
      <w:r w:rsidRPr="00167633">
        <w:rPr>
          <w:rFonts w:ascii="Verdana" w:eastAsia="Calibri" w:hAnsi="Verdana" w:cs="Arial"/>
          <w:lang w:val="es-ES" w:eastAsia="es-ES"/>
        </w:rPr>
        <w:t xml:space="preserve">la Agencia Nacional de </w:t>
      </w:r>
      <w:r w:rsidRPr="001443C1">
        <w:rPr>
          <w:rFonts w:ascii="Verdana" w:eastAsia="Calibri" w:hAnsi="Verdana" w:cs="Arial"/>
          <w:lang w:val="es-ES" w:eastAsia="es-ES"/>
        </w:rPr>
        <w:t xml:space="preserve">Contratación Pública – Colombia Compra Eficiente– responde su solicitud de consulta de fecha 27 de abril de 2026, en la cual manifiesta lo siguiente: </w:t>
      </w:r>
    </w:p>
    <w:p w14:paraId="32A60A7B" w14:textId="77777777" w:rsidR="00FB3658" w:rsidRPr="001443C1" w:rsidRDefault="00FB3658" w:rsidP="00FB3658">
      <w:pPr>
        <w:tabs>
          <w:tab w:val="left" w:pos="142"/>
          <w:tab w:val="left" w:pos="284"/>
        </w:tabs>
        <w:spacing w:after="0" w:line="276" w:lineRule="auto"/>
        <w:jc w:val="both"/>
        <w:rPr>
          <w:rFonts w:ascii="Verdana" w:eastAsia="Century Gothic" w:hAnsi="Verdana" w:cs="Century Gothic"/>
          <w:b/>
          <w:bCs/>
          <w:highlight w:val="lightGray"/>
          <w:lang w:val="es-ES"/>
        </w:rPr>
      </w:pPr>
    </w:p>
    <w:p w14:paraId="26ECE25B"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lang w:val="es-ES"/>
        </w:rPr>
        <w:t>“[…]</w:t>
      </w:r>
      <w:r w:rsidRPr="001443C1">
        <w:rPr>
          <w:rFonts w:ascii="Verdana" w:eastAsia="Century Gothic" w:hAnsi="Verdana" w:cs="Century Gothic"/>
          <w:i/>
          <w:iCs/>
          <w:sz w:val="20"/>
          <w:szCs w:val="20"/>
        </w:rPr>
        <w:t>En atención a lo anterior, respetuosamente se solicita precisar que desde la supervisión:</w:t>
      </w:r>
    </w:p>
    <w:p w14:paraId="68B49672"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p>
    <w:p w14:paraId="72FC8800"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Determinar si la diferencia en la duración del contrato registrada en SECOP II tiene implicaciones jurídicas en la ejecución contractual.</w:t>
      </w:r>
    </w:p>
    <w:p w14:paraId="5CFA5A1D"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Indicar si resulta procedente efectuar ajustes o correcciones en la información registrada en la plataforma SECOP II.</w:t>
      </w:r>
    </w:p>
    <w:p w14:paraId="0B5FFCF4"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Señalar las acciones que, en calidad de supervisión, deban adelantarse para garantizar la coherencia y legalidad del expediente contractual.</w:t>
      </w:r>
    </w:p>
    <w:p w14:paraId="7C77DE20"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En atención a lo anterior, respetuosamente se solicita precisar que desde el cálculo de SECOP II:</w:t>
      </w:r>
    </w:p>
    <w:p w14:paraId="1D916864"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Informar cuál es el criterio o metodología que utiliza SECOP II para calcular la duración del contrato cuando se registran fecha de inicio de ejecución y fecha de terminación.</w:t>
      </w:r>
    </w:p>
    <w:p w14:paraId="6E5E740E"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lastRenderedPageBreak/>
        <w:t>• Indicar si la duración registrada en SECOP II puede diferir del cálculo manual realizado por la entidad, según el criterio de conteo de días aplicado por la plataforma.</w:t>
      </w:r>
    </w:p>
    <w:p w14:paraId="389731FA"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Precisar si, en caso de evidenciarse una diferencia entre las fechas contractuales y el número de días reportado, resulta procedente efectuar ajustes o correcciones en la plataforma SECOP II.</w:t>
      </w:r>
    </w:p>
    <w:p w14:paraId="1B650516"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Informar cuál sería el procedimiento aplicable para solicitar o realizar la corrección de la información registrada, en caso de que ello proceda.</w:t>
      </w:r>
    </w:p>
    <w:p w14:paraId="0D80D87D"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sz w:val="20"/>
          <w:szCs w:val="20"/>
        </w:rPr>
      </w:pPr>
      <w:r w:rsidRPr="001443C1">
        <w:rPr>
          <w:rFonts w:ascii="Verdana" w:eastAsia="Century Gothic" w:hAnsi="Verdana" w:cs="Century Gothic"/>
          <w:i/>
          <w:iCs/>
          <w:sz w:val="20"/>
          <w:szCs w:val="20"/>
        </w:rPr>
        <w:t>• Señalar si dicha diferencia en la duración reportada puede afectar la información contractual publicada o la trazabilidad del expediente electrónico en SECOP II. […]”</w:t>
      </w:r>
    </w:p>
    <w:p w14:paraId="22FDEF6E" w14:textId="77777777" w:rsidR="00FB3658" w:rsidRPr="001443C1" w:rsidRDefault="00FB3658" w:rsidP="00FB3658">
      <w:pPr>
        <w:spacing w:after="0" w:line="240" w:lineRule="auto"/>
        <w:ind w:left="709" w:right="709"/>
        <w:contextualSpacing/>
        <w:jc w:val="both"/>
        <w:rPr>
          <w:rFonts w:ascii="Verdana" w:eastAsia="Century Gothic" w:hAnsi="Verdana" w:cs="Century Gothic"/>
          <w:i/>
          <w:iCs/>
          <w:color w:val="4472C4" w:themeColor="accent1"/>
          <w:sz w:val="20"/>
          <w:szCs w:val="20"/>
        </w:rPr>
      </w:pPr>
    </w:p>
    <w:p w14:paraId="02D71566" w14:textId="77777777" w:rsidR="00FB3658" w:rsidRPr="00861077" w:rsidRDefault="00FB3658" w:rsidP="00FB3658">
      <w:pPr>
        <w:spacing w:after="120" w:line="276" w:lineRule="auto"/>
        <w:ind w:firstLine="708"/>
        <w:jc w:val="both"/>
        <w:rPr>
          <w:rFonts w:ascii="Verdana" w:eastAsia="Calibri" w:hAnsi="Verdana" w:cs="Arial"/>
          <w:lang w:val="es-ES" w:eastAsia="es-ES"/>
        </w:rPr>
      </w:pPr>
      <w:r w:rsidRPr="00861077">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861077">
        <w:rPr>
          <w:rFonts w:ascii="Verdana" w:hAnsi="Verdana"/>
          <w:lang w:val="es-ES"/>
        </w:rPr>
        <w:tab/>
      </w:r>
    </w:p>
    <w:p w14:paraId="105C93A5" w14:textId="77777777" w:rsidR="00FB3658" w:rsidRPr="00861077" w:rsidRDefault="00FB3658" w:rsidP="00FB3658">
      <w:pPr>
        <w:spacing w:after="0" w:line="276" w:lineRule="auto"/>
        <w:ind w:firstLine="709"/>
        <w:jc w:val="both"/>
        <w:rPr>
          <w:rFonts w:ascii="Verdana" w:eastAsia="Calibri" w:hAnsi="Verdana" w:cs="Arial"/>
          <w:lang w:val="es-ES" w:eastAsia="es-ES"/>
        </w:rPr>
      </w:pPr>
      <w:r w:rsidRPr="00861077">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4A98CD27" w14:textId="77777777" w:rsidR="00FB3658" w:rsidRPr="00CD5723" w:rsidRDefault="00FB3658" w:rsidP="00FB3658">
      <w:pPr>
        <w:spacing w:after="0" w:line="276" w:lineRule="auto"/>
        <w:ind w:firstLine="709"/>
        <w:jc w:val="both"/>
        <w:rPr>
          <w:rFonts w:ascii="Verdana" w:eastAsia="Calibri" w:hAnsi="Verdana" w:cs="Arial"/>
          <w:color w:val="4472C4" w:themeColor="accent1"/>
          <w:lang w:val="es-ES" w:eastAsia="es-ES"/>
        </w:rPr>
      </w:pPr>
    </w:p>
    <w:p w14:paraId="63032217" w14:textId="77777777" w:rsidR="00FB3658" w:rsidRPr="003160DA" w:rsidRDefault="00FB3658" w:rsidP="00FB3658">
      <w:pPr>
        <w:tabs>
          <w:tab w:val="left" w:pos="142"/>
          <w:tab w:val="left" w:pos="284"/>
        </w:tabs>
        <w:spacing w:after="0" w:line="276" w:lineRule="auto"/>
        <w:jc w:val="both"/>
        <w:rPr>
          <w:rFonts w:ascii="Verdana" w:eastAsia="Century Gothic" w:hAnsi="Verdana" w:cs="Century Gothic"/>
          <w:b/>
          <w:lang w:val="es-ES"/>
        </w:rPr>
      </w:pPr>
      <w:r w:rsidRPr="003160DA">
        <w:rPr>
          <w:rFonts w:ascii="Verdana" w:eastAsia="Century Gothic" w:hAnsi="Verdana" w:cs="Century Gothic"/>
          <w:b/>
          <w:lang w:val="es-ES"/>
        </w:rPr>
        <w:t>1. Problema planteado:</w:t>
      </w:r>
    </w:p>
    <w:p w14:paraId="0A3FACCB" w14:textId="77777777" w:rsidR="00FB3658" w:rsidRPr="003160DA" w:rsidRDefault="00FB3658" w:rsidP="00FB3658">
      <w:pPr>
        <w:tabs>
          <w:tab w:val="left" w:pos="426"/>
        </w:tabs>
        <w:spacing w:after="0" w:line="276" w:lineRule="auto"/>
        <w:jc w:val="both"/>
        <w:rPr>
          <w:rFonts w:ascii="Verdana" w:eastAsia="Century Gothic" w:hAnsi="Verdana" w:cs="Century Gothic"/>
          <w:highlight w:val="lightGray"/>
          <w:lang w:val="es-ES"/>
        </w:rPr>
      </w:pPr>
    </w:p>
    <w:p w14:paraId="47D49274" w14:textId="77777777" w:rsidR="00FB3658" w:rsidRDefault="00FB3658" w:rsidP="00FB3658">
      <w:pPr>
        <w:spacing w:after="0" w:line="276" w:lineRule="auto"/>
        <w:jc w:val="both"/>
        <w:rPr>
          <w:rFonts w:ascii="Verdana" w:eastAsia="Century Gothic" w:hAnsi="Verdana" w:cs="Century Gothic"/>
          <w:lang w:val="es-ES"/>
        </w:rPr>
      </w:pPr>
      <w:r w:rsidRPr="003160DA">
        <w:rPr>
          <w:rFonts w:ascii="Verdana" w:eastAsia="Century Gothic" w:hAnsi="Verdana" w:cs="Century Gothic"/>
          <w:lang w:val="es-ES"/>
        </w:rPr>
        <w:t xml:space="preserve">De acuerdo con el contenido de su solicitud, esta Agencia resolverá el siguiente problema jurídico: </w:t>
      </w:r>
      <w:r>
        <w:rPr>
          <w:rFonts w:ascii="Verdana" w:eastAsia="Century Gothic" w:hAnsi="Verdana" w:cs="Century Gothic"/>
          <w:lang w:val="es-ES"/>
        </w:rPr>
        <w:t xml:space="preserve">i. </w:t>
      </w:r>
      <w:r w:rsidRPr="003160DA">
        <w:rPr>
          <w:rFonts w:ascii="Verdana" w:eastAsia="Century Gothic" w:hAnsi="Verdana" w:cs="Century Gothic"/>
        </w:rPr>
        <w:t>¿La diferencia en la duración del contrato registrada en SECOP II tiene implicaciones jurídicas en la ejecución contractual</w:t>
      </w:r>
      <w:r w:rsidRPr="001F04C4">
        <w:rPr>
          <w:rFonts w:ascii="Verdana" w:eastAsia="Century Gothic" w:hAnsi="Verdana" w:cs="Century Gothic"/>
          <w:lang w:val="es-ES"/>
        </w:rPr>
        <w:t>?</w:t>
      </w:r>
      <w:r>
        <w:rPr>
          <w:rFonts w:ascii="Verdana" w:eastAsia="Century Gothic" w:hAnsi="Verdana" w:cs="Century Gothic"/>
          <w:lang w:val="es-ES"/>
        </w:rPr>
        <w:t>,</w:t>
      </w:r>
      <w:r w:rsidRPr="001F04C4">
        <w:rPr>
          <w:rFonts w:ascii="Verdana" w:eastAsia="Century Gothic" w:hAnsi="Verdana" w:cs="Century Gothic"/>
          <w:lang w:val="es-ES"/>
        </w:rPr>
        <w:t xml:space="preserve"> ii ¿resulta procedente efectuar ajustes o correcciones en la información registrada en la </w:t>
      </w:r>
      <w:r w:rsidRPr="001F04C4">
        <w:rPr>
          <w:rFonts w:ascii="Verdana" w:eastAsia="Century Gothic" w:hAnsi="Verdana" w:cs="Century Gothic"/>
          <w:lang w:val="es-ES"/>
        </w:rPr>
        <w:lastRenderedPageBreak/>
        <w:t>plataforma SECOP II?</w:t>
      </w:r>
      <w:r>
        <w:rPr>
          <w:rFonts w:ascii="Verdana" w:eastAsia="Century Gothic" w:hAnsi="Verdana" w:cs="Century Gothic"/>
          <w:lang w:val="es-ES"/>
        </w:rPr>
        <w:t>, iii. ¿Qué</w:t>
      </w:r>
      <w:r w:rsidRPr="001F04C4">
        <w:rPr>
          <w:rFonts w:ascii="Verdana" w:eastAsia="Century Gothic" w:hAnsi="Verdana" w:cs="Century Gothic"/>
          <w:lang w:val="es-ES"/>
        </w:rPr>
        <w:t xml:space="preserve"> acciones en calidad de supervisión, deb</w:t>
      </w:r>
      <w:r>
        <w:rPr>
          <w:rFonts w:ascii="Verdana" w:eastAsia="Century Gothic" w:hAnsi="Verdana" w:cs="Century Gothic"/>
          <w:lang w:val="es-ES"/>
        </w:rPr>
        <w:t>e</w:t>
      </w:r>
      <w:r w:rsidRPr="001F04C4">
        <w:rPr>
          <w:rFonts w:ascii="Verdana" w:eastAsia="Century Gothic" w:hAnsi="Verdana" w:cs="Century Gothic"/>
          <w:lang w:val="es-ES"/>
        </w:rPr>
        <w:t>n adelantarse para garantizar la coherencia y legalidad del expediente contractual</w:t>
      </w:r>
      <w:r>
        <w:rPr>
          <w:rFonts w:ascii="Verdana" w:eastAsia="Century Gothic" w:hAnsi="Verdana" w:cs="Century Gothic"/>
          <w:lang w:val="es-ES"/>
        </w:rPr>
        <w:t>?</w:t>
      </w:r>
    </w:p>
    <w:p w14:paraId="41035A83" w14:textId="77777777" w:rsidR="00FB3658" w:rsidRPr="003160DA" w:rsidRDefault="00FB3658" w:rsidP="00FB3658">
      <w:pPr>
        <w:spacing w:after="0" w:line="276" w:lineRule="auto"/>
        <w:jc w:val="both"/>
        <w:rPr>
          <w:rFonts w:ascii="Verdana" w:eastAsia="Century Gothic" w:hAnsi="Verdana" w:cs="Century Gothic"/>
        </w:rPr>
      </w:pPr>
    </w:p>
    <w:p w14:paraId="38B41C6C" w14:textId="77777777" w:rsidR="00FB3658" w:rsidRPr="003160DA" w:rsidRDefault="00FB3658" w:rsidP="00FB3658">
      <w:pPr>
        <w:tabs>
          <w:tab w:val="left" w:pos="142"/>
          <w:tab w:val="left" w:pos="284"/>
        </w:tabs>
        <w:spacing w:after="0" w:line="276" w:lineRule="auto"/>
        <w:jc w:val="both"/>
        <w:rPr>
          <w:rFonts w:ascii="Verdana" w:eastAsia="Century Gothic" w:hAnsi="Verdana" w:cs="Century Gothic"/>
          <w:b/>
          <w:lang w:val="es-ES"/>
        </w:rPr>
      </w:pPr>
      <w:r w:rsidRPr="003160DA">
        <w:rPr>
          <w:rFonts w:ascii="Verdana" w:eastAsia="Century Gothic" w:hAnsi="Verdana" w:cs="Century Gothic"/>
          <w:b/>
          <w:lang w:val="es-ES"/>
        </w:rPr>
        <w:t>2. Respuesta:</w:t>
      </w:r>
    </w:p>
    <w:p w14:paraId="70B323FD" w14:textId="77777777" w:rsidR="00FB3658" w:rsidRPr="00CD5723" w:rsidRDefault="00FB3658" w:rsidP="00FB3658">
      <w:pPr>
        <w:tabs>
          <w:tab w:val="left" w:pos="142"/>
          <w:tab w:val="left" w:pos="284"/>
        </w:tabs>
        <w:spacing w:after="0" w:line="276" w:lineRule="auto"/>
        <w:jc w:val="both"/>
        <w:rPr>
          <w:rFonts w:ascii="Verdana" w:eastAsia="Century Gothic" w:hAnsi="Verdana" w:cs="Century Gothic"/>
          <w:b/>
          <w:color w:val="4472C4" w:themeColor="accen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B3658" w:rsidRPr="00CD5723" w14:paraId="6D58729B" w14:textId="77777777" w:rsidTr="008F58DF">
        <w:tc>
          <w:tcPr>
            <w:tcW w:w="8828" w:type="dxa"/>
          </w:tcPr>
          <w:p w14:paraId="23788910" w14:textId="77777777" w:rsidR="00FB3658" w:rsidRDefault="00FB3658" w:rsidP="00772D06">
            <w:pPr>
              <w:spacing w:after="120" w:line="276" w:lineRule="auto"/>
              <w:jc w:val="both"/>
              <w:rPr>
                <w:rFonts w:ascii="Verdana" w:eastAsia="Calibri" w:hAnsi="Verdana" w:cs="Arial"/>
                <w:color w:val="000000" w:themeColor="text1"/>
              </w:rPr>
            </w:pPr>
            <w:r w:rsidRPr="00EC1D40">
              <w:rPr>
                <w:rFonts w:ascii="Verdana" w:eastAsia="Calibri" w:hAnsi="Verdana" w:cs="Arial"/>
                <w:color w:val="000000" w:themeColor="text1"/>
              </w:rPr>
              <w:t xml:space="preserve">Para responder el primer problema jurídico planteado, es preciso señalar, que de conformidad con lo dispuesto en los artículos 39 y 41 de la Ley 80 de 1993, las condiciones que rigen la relación contractual corresponden a aquellas sobre las cuales las partes alcanzaron un acuerdo y que fueron incorporadas al contrato y a los documentos que lo integran. En este sentido, y en virtud del principio de autonomía de la voluntad, las partes pueden definir, dentro de los límites establecidos por el ordenamiento jurídico, las condiciones de ejecución del negocio jurídico, las cuales resultan vinculantes una vez el contrato se perfeccionan. </w:t>
            </w:r>
          </w:p>
          <w:p w14:paraId="3DDB6E7B" w14:textId="77777777" w:rsidR="00FB3658" w:rsidRDefault="00FB3658" w:rsidP="00772D06">
            <w:pPr>
              <w:spacing w:after="120" w:line="276" w:lineRule="auto"/>
              <w:ind w:firstLine="709"/>
              <w:jc w:val="both"/>
              <w:rPr>
                <w:rFonts w:ascii="Verdana" w:eastAsia="Calibri" w:hAnsi="Verdana" w:cs="Arial"/>
                <w:color w:val="000000" w:themeColor="text1"/>
              </w:rPr>
            </w:pPr>
            <w:r w:rsidRPr="00EC1D40">
              <w:rPr>
                <w:rFonts w:ascii="Verdana" w:eastAsia="Calibri" w:hAnsi="Verdana" w:cs="Arial"/>
                <w:color w:val="000000" w:themeColor="text1"/>
              </w:rPr>
              <w:t>Por otra parte, SECOP II constituye una plataforma transaccional que permite la gestión electrónica de los procedimientos de contratación y conforma el expediente electrónico del proceso contractual, garantizando el cumplimiento de los principios de publicidad, transparencia y trazabilidad. En consecuencia, la información registrada en dicha plataforma debe guardar correspondencia con los documentos contractuales y las actuaciones adelantadas por la entidad estatal.</w:t>
            </w:r>
          </w:p>
          <w:p w14:paraId="3FAD1555" w14:textId="77777777" w:rsidR="00FB3658" w:rsidRPr="00EC1D40" w:rsidRDefault="00FB3658" w:rsidP="008F58DF">
            <w:pPr>
              <w:spacing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No obstante</w:t>
            </w:r>
            <w:r w:rsidRPr="00EC1D40">
              <w:rPr>
                <w:rFonts w:ascii="Verdana" w:eastAsia="Calibri" w:hAnsi="Verdana" w:cs="Arial"/>
                <w:color w:val="000000" w:themeColor="text1"/>
              </w:rPr>
              <w:t>, si existe una diferencia entre la duración del contrato registrada en SECOP II y la duración establecida en el contrato y sus modificaciones debidamente formalizadas, para efectos de la ejecución contractual deberá atenderse a esta última, por corresponder a la voluntad de las partes expresada en los documentos que integran el negocio jurídico.</w:t>
            </w:r>
          </w:p>
          <w:p w14:paraId="6E18329F" w14:textId="77777777" w:rsidR="00FB3658" w:rsidRPr="00CD5723" w:rsidRDefault="00FB3658" w:rsidP="008F58DF">
            <w:pPr>
              <w:spacing w:line="276" w:lineRule="auto"/>
              <w:ind w:firstLine="709"/>
              <w:jc w:val="both"/>
              <w:rPr>
                <w:rFonts w:ascii="Verdana" w:eastAsia="Calibri" w:hAnsi="Verdana" w:cs="Arial"/>
                <w:color w:val="4472C4" w:themeColor="accent1"/>
              </w:rPr>
            </w:pPr>
          </w:p>
          <w:p w14:paraId="315AE850" w14:textId="77777777" w:rsidR="00FB3658" w:rsidRDefault="00FB3658" w:rsidP="00772D06">
            <w:pPr>
              <w:spacing w:after="120" w:line="276" w:lineRule="auto"/>
              <w:contextualSpacing/>
              <w:jc w:val="both"/>
              <w:rPr>
                <w:rFonts w:ascii="Verdana" w:eastAsia="Calibri" w:hAnsi="Verdana" w:cs="Arial"/>
                <w:szCs w:val="24"/>
                <w:lang w:eastAsia="es-ES_tradnl"/>
              </w:rPr>
            </w:pPr>
            <w:r>
              <w:rPr>
                <w:rFonts w:ascii="Verdana" w:eastAsia="Calibri" w:hAnsi="Verdana" w:cs="Arial"/>
                <w:szCs w:val="24"/>
                <w:lang w:eastAsia="es-ES_tradnl"/>
              </w:rPr>
              <w:t xml:space="preserve">ii. </w:t>
            </w:r>
            <w:r w:rsidRPr="00AF1244">
              <w:rPr>
                <w:rFonts w:ascii="Verdana" w:eastAsia="Calibri" w:hAnsi="Verdana" w:cs="Arial"/>
                <w:szCs w:val="24"/>
                <w:lang w:eastAsia="es-ES_tradnl"/>
              </w:rPr>
              <w:t>Ahora bien, para dar respuesta a los problemas jurídicos planteados en los numerales ii, iii y iv de la consulta, se adjunta el pronunciamiento emitido por la Subdirección de Información y Desarrollo Tecnológico de la Agencia Nacional de Contratación Pública – Colombia Compra Eficiente, en el que se atienden las inquietudes relacionadas con el cálculo de la duración contractual en SECOP II, la procedencia de efectuar ajustes o correcciones a la información registrada en la plataforma y los efectos que ello podría tener sobre la información contractual publicada y la trazabilidad del expediente electrónico.</w:t>
            </w:r>
          </w:p>
          <w:p w14:paraId="14968426" w14:textId="77777777" w:rsidR="00FB3658" w:rsidRPr="00CD5723" w:rsidRDefault="00FB3658" w:rsidP="008F58DF">
            <w:pPr>
              <w:spacing w:after="120" w:line="276" w:lineRule="auto"/>
              <w:ind w:firstLine="709"/>
              <w:contextualSpacing/>
              <w:jc w:val="both"/>
              <w:rPr>
                <w:rFonts w:ascii="Verdana" w:eastAsia="Calibri" w:hAnsi="Verdana" w:cs="Arial"/>
                <w:color w:val="4472C4" w:themeColor="accent1"/>
              </w:rPr>
            </w:pPr>
            <w:r w:rsidRPr="001F04C4">
              <w:rPr>
                <w:rFonts w:ascii="Verdana" w:eastAsia="Calibri" w:hAnsi="Verdana" w:cs="Arial"/>
                <w:color w:val="000000" w:themeColor="text1"/>
              </w:rPr>
              <w:lastRenderedPageBreak/>
              <w:t>Finalmente, se precisa que esta Agencia no puede definir un</w:t>
            </w:r>
            <w:r w:rsidRPr="001F04C4">
              <w:rPr>
                <w:color w:val="000000" w:themeColor="text1"/>
              </w:rPr>
              <w:t xml:space="preserve"> </w:t>
            </w:r>
            <w:r w:rsidRPr="001F04C4">
              <w:rPr>
                <w:rFonts w:ascii="Verdana" w:eastAsia="Calibri" w:hAnsi="Verdana" w:cs="Arial"/>
                <w:color w:val="000000" w:themeColor="text1"/>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tc>
      </w:tr>
    </w:tbl>
    <w:p w14:paraId="7531851D" w14:textId="77777777" w:rsidR="00FB3658" w:rsidRPr="003160DA" w:rsidRDefault="00FB3658" w:rsidP="00FB3658">
      <w:pPr>
        <w:tabs>
          <w:tab w:val="left" w:pos="142"/>
          <w:tab w:val="left" w:pos="284"/>
        </w:tabs>
        <w:spacing w:after="0" w:line="276" w:lineRule="auto"/>
        <w:jc w:val="both"/>
        <w:rPr>
          <w:rFonts w:ascii="Verdana" w:eastAsia="Century Gothic" w:hAnsi="Verdana" w:cs="Century Gothic"/>
          <w:b/>
          <w:bCs/>
          <w:lang w:val="es-ES"/>
        </w:rPr>
      </w:pPr>
    </w:p>
    <w:p w14:paraId="07CC9D74" w14:textId="77777777" w:rsidR="00FB3658" w:rsidRPr="003160DA" w:rsidRDefault="00FB3658" w:rsidP="00FB3658">
      <w:pPr>
        <w:tabs>
          <w:tab w:val="left" w:pos="142"/>
          <w:tab w:val="left" w:pos="284"/>
        </w:tabs>
        <w:spacing w:after="0" w:line="276" w:lineRule="auto"/>
        <w:jc w:val="both"/>
        <w:rPr>
          <w:rFonts w:ascii="Verdana" w:eastAsia="Century Gothic" w:hAnsi="Verdana" w:cs="Century Gothic"/>
          <w:b/>
          <w:lang w:val="es-ES"/>
        </w:rPr>
      </w:pPr>
      <w:r w:rsidRPr="003160DA">
        <w:rPr>
          <w:rFonts w:ascii="Verdana" w:eastAsia="Century Gothic" w:hAnsi="Verdana" w:cs="Century Gothic"/>
          <w:b/>
          <w:lang w:val="es-ES"/>
        </w:rPr>
        <w:t>3. Razones de la respuesta:</w:t>
      </w:r>
    </w:p>
    <w:p w14:paraId="4FC11E9E" w14:textId="77777777" w:rsidR="00FB3658" w:rsidRPr="003160DA" w:rsidRDefault="00FB3658" w:rsidP="00FB3658">
      <w:pPr>
        <w:spacing w:after="0" w:line="276" w:lineRule="auto"/>
        <w:jc w:val="both"/>
        <w:rPr>
          <w:rFonts w:ascii="Verdana" w:eastAsia="Calibri" w:hAnsi="Verdana" w:cs="Arial"/>
          <w:lang w:val="es-ES"/>
        </w:rPr>
      </w:pPr>
    </w:p>
    <w:p w14:paraId="3EC06512" w14:textId="77777777" w:rsidR="00FB3658" w:rsidRPr="003160DA" w:rsidRDefault="00FB3658" w:rsidP="00FB3658">
      <w:pPr>
        <w:spacing w:after="0" w:line="276" w:lineRule="auto"/>
        <w:jc w:val="both"/>
        <w:rPr>
          <w:rFonts w:ascii="Verdana" w:eastAsia="Calibri" w:hAnsi="Verdana" w:cs="Arial"/>
          <w:lang w:val="es-ES"/>
        </w:rPr>
      </w:pPr>
      <w:r w:rsidRPr="003160DA">
        <w:rPr>
          <w:rFonts w:ascii="Verdana" w:eastAsia="Calibri" w:hAnsi="Verdana" w:cs="Arial"/>
          <w:lang w:val="es-ES"/>
        </w:rPr>
        <w:t xml:space="preserve">Las respuestas anteriores se sustentan en las siguientes consideraciones: </w:t>
      </w:r>
    </w:p>
    <w:p w14:paraId="75F23CED" w14:textId="77777777" w:rsidR="00FB3658" w:rsidRPr="00586A80" w:rsidRDefault="00FB3658" w:rsidP="00FB3658">
      <w:pPr>
        <w:tabs>
          <w:tab w:val="left" w:pos="142"/>
          <w:tab w:val="left" w:pos="284"/>
        </w:tabs>
        <w:spacing w:after="0" w:line="276" w:lineRule="auto"/>
        <w:jc w:val="both"/>
        <w:rPr>
          <w:rFonts w:ascii="Verdana" w:eastAsia="Century Gothic" w:hAnsi="Verdana" w:cs="Century Gothic"/>
          <w:b/>
          <w:color w:val="000000" w:themeColor="text1"/>
          <w:lang w:val="es-ES"/>
        </w:rPr>
      </w:pPr>
    </w:p>
    <w:p w14:paraId="691844AF" w14:textId="77777777" w:rsidR="00FB3658" w:rsidRPr="0044679D" w:rsidRDefault="00FB3658" w:rsidP="00FB3658">
      <w:pPr>
        <w:widowControl w:val="0"/>
        <w:autoSpaceDE w:val="0"/>
        <w:autoSpaceDN w:val="0"/>
        <w:spacing w:after="120" w:line="276" w:lineRule="auto"/>
        <w:jc w:val="both"/>
        <w:rPr>
          <w:rFonts w:ascii="Verdana" w:eastAsia="Arial" w:hAnsi="Verdana" w:cs="Arial"/>
          <w:color w:val="000000" w:themeColor="text1"/>
          <w:lang w:val="es-ES_tradnl" w:eastAsia="es-ES_tradnl"/>
        </w:rPr>
      </w:pPr>
      <w:bookmarkStart w:id="1" w:name="_Hlk102983874"/>
      <w:bookmarkStart w:id="2" w:name="_Hlk102388095"/>
      <w:r w:rsidRPr="00586A80">
        <w:rPr>
          <w:rFonts w:ascii="Verdana" w:hAnsi="Verdana" w:cs="Arial"/>
          <w:bCs/>
          <w:color w:val="000000" w:themeColor="text1"/>
          <w:lang w:val="es-ES_tradnl" w:eastAsia="es-ES" w:bidi="es-ES"/>
        </w:rPr>
        <w:t>i.</w:t>
      </w:r>
      <w:r w:rsidRPr="00586A80">
        <w:rPr>
          <w:rFonts w:ascii="Verdana" w:eastAsia="Calibri" w:hAnsi="Verdana" w:cs="Arial"/>
          <w:color w:val="000000" w:themeColor="text1"/>
        </w:rPr>
        <w:t xml:space="preserve"> </w:t>
      </w:r>
      <w:r w:rsidRPr="0044679D">
        <w:rPr>
          <w:rFonts w:ascii="Verdana" w:eastAsia="Arial" w:hAnsi="Verdana" w:cs="Arial"/>
          <w:color w:val="000000" w:themeColor="text1"/>
          <w:lang w:val="es-ES_tradnl" w:eastAsia="es-ES_tradnl"/>
        </w:rPr>
        <w:t>El contrato es un “acto jurídico voluntario, una declaración de voluntad, que tiene por objeto establecer una relación jurídica entre dos personas, obligando a la una para con otra a determinada prestación”</w:t>
      </w:r>
      <w:r w:rsidRPr="0044679D">
        <w:rPr>
          <w:rFonts w:ascii="Verdana" w:eastAsia="Arial" w:hAnsi="Verdana" w:cs="Arial"/>
          <w:color w:val="000000" w:themeColor="text1"/>
          <w:vertAlign w:val="superscript"/>
          <w:lang w:val="es-ES_tradnl" w:eastAsia="es-ES_tradnl"/>
        </w:rPr>
        <w:footnoteReference w:id="1"/>
      </w:r>
      <w:r w:rsidRPr="0044679D">
        <w:rPr>
          <w:rFonts w:ascii="Verdana" w:eastAsia="Arial" w:hAnsi="Verdana" w:cs="Arial"/>
          <w:color w:val="000000" w:themeColor="text1"/>
          <w:lang w:val="es-ES_tradnl" w:eastAsia="es-ES_tradnl"/>
        </w:rPr>
        <w:t>. Se trata de un negocio jurídico en el sentido de que es el resultado de un acto dispositivo o de autorregulación de intereses de dos o más sujetos con efectos jurídicos para crear, modificar o extinguir relaciones jurídicas</w:t>
      </w:r>
      <w:r w:rsidRPr="0044679D">
        <w:rPr>
          <w:rFonts w:ascii="Verdana" w:eastAsia="Arial" w:hAnsi="Verdana" w:cs="Arial"/>
          <w:color w:val="000000" w:themeColor="text1"/>
          <w:vertAlign w:val="superscript"/>
          <w:lang w:val="es-ES_tradnl" w:eastAsia="es-ES_tradnl"/>
        </w:rPr>
        <w:footnoteReference w:id="2"/>
      </w:r>
      <w:r w:rsidRPr="0044679D">
        <w:rPr>
          <w:rFonts w:ascii="Verdana" w:eastAsia="Arial" w:hAnsi="Verdana" w:cs="Arial"/>
          <w:color w:val="000000" w:themeColor="text1"/>
          <w:lang w:val="es-ES_tradnl" w:eastAsia="es-ES_tradnl"/>
        </w:rPr>
        <w:t xml:space="preserve">. </w:t>
      </w:r>
    </w:p>
    <w:p w14:paraId="630FDFB0" w14:textId="77777777" w:rsidR="00FB3658" w:rsidRPr="0044679D" w:rsidRDefault="00FB3658" w:rsidP="00FB3658">
      <w:pPr>
        <w:widowControl w:val="0"/>
        <w:autoSpaceDE w:val="0"/>
        <w:autoSpaceDN w:val="0"/>
        <w:spacing w:after="120" w:line="276" w:lineRule="auto"/>
        <w:ind w:firstLine="708"/>
        <w:jc w:val="both"/>
        <w:rPr>
          <w:rFonts w:ascii="Verdana" w:eastAsia="Arial" w:hAnsi="Verdana" w:cs="Arial"/>
          <w:color w:val="000000" w:themeColor="text1"/>
          <w:lang w:val="es-ES" w:eastAsia="es-ES"/>
        </w:rPr>
      </w:pPr>
      <w:r w:rsidRPr="0044679D">
        <w:rPr>
          <w:rFonts w:ascii="Verdana" w:eastAsia="Arial" w:hAnsi="Verdana" w:cs="Arial"/>
          <w:color w:val="000000" w:themeColor="text1"/>
          <w:lang w:val="es-ES" w:eastAsia="es-ES"/>
        </w:rPr>
        <w:t xml:space="preserve">En efecto, el artículo 1495 del Código Civil establece que el “[c]ontrato o convención es un acto por el cual una parte se obliga para con otra a dar, hacer, o no alguna cosa. Cada parte puede ser de una o muchas personas”. A su turno, el Código de Comercio establece en el artículo 864 que “[e]l contrato es un acuerdo de dos o más partes para constituir, regular o extinguir entre ellas una </w:t>
      </w:r>
      <w:r w:rsidRPr="0044679D">
        <w:rPr>
          <w:rFonts w:ascii="Verdana" w:eastAsia="Arial" w:hAnsi="Verdana" w:cs="Arial"/>
          <w:color w:val="000000" w:themeColor="text1"/>
          <w:lang w:val="es-ES" w:eastAsia="es-ES"/>
        </w:rPr>
        <w:lastRenderedPageBreak/>
        <w:t>relación jurídica patrimonial”.</w:t>
      </w:r>
    </w:p>
    <w:p w14:paraId="73055546" w14:textId="77777777" w:rsidR="00FB3658" w:rsidRPr="0044679D" w:rsidRDefault="00FB3658" w:rsidP="00FB3658">
      <w:pPr>
        <w:widowControl w:val="0"/>
        <w:autoSpaceDE w:val="0"/>
        <w:autoSpaceDN w:val="0"/>
        <w:spacing w:after="120" w:line="276" w:lineRule="auto"/>
        <w:ind w:firstLine="708"/>
        <w:jc w:val="both"/>
        <w:rPr>
          <w:rFonts w:ascii="Verdana" w:eastAsia="Arial" w:hAnsi="Verdana" w:cs="Arial"/>
          <w:color w:val="000000" w:themeColor="text1"/>
          <w:lang w:val="es-ES_tradnl" w:eastAsia="es-ES_tradnl"/>
        </w:rPr>
      </w:pPr>
      <w:r w:rsidRPr="0044679D">
        <w:rPr>
          <w:rFonts w:ascii="Verdana" w:eastAsia="Arial" w:hAnsi="Verdana" w:cs="Arial"/>
          <w:color w:val="000000" w:themeColor="text1"/>
          <w:lang w:val="es-ES_tradnl" w:eastAsia="es-ES_tradnl"/>
        </w:rPr>
        <w:t xml:space="preserve">Por su parte, el artículo 1º de la Ley 80 de 1993 –Estatuto General de Contratación de la Administración Pública, en adelante EGCAP–, determina que su objetivo es disponer de reglas y principios que rigen los contratos de las Entidades Estatales y, en ese sentido, el artículo 32 </w:t>
      </w:r>
      <w:r w:rsidRPr="0044679D">
        <w:rPr>
          <w:rFonts w:ascii="Verdana" w:eastAsia="Arial" w:hAnsi="Verdana" w:cs="Arial"/>
          <w:i/>
          <w:iCs/>
          <w:color w:val="000000" w:themeColor="text1"/>
          <w:lang w:val="es-ES_tradnl" w:eastAsia="es-ES_tradnl"/>
        </w:rPr>
        <w:t>ibidem</w:t>
      </w:r>
      <w:r w:rsidRPr="0044679D">
        <w:rPr>
          <w:rFonts w:ascii="Verdana" w:eastAsia="Arial" w:hAnsi="Verdana" w:cs="Arial"/>
          <w:color w:val="000000" w:themeColor="text1"/>
          <w:lang w:val="es-ES_tradnl" w:eastAsia="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w:t>
      </w:r>
      <w:r>
        <w:rPr>
          <w:rFonts w:ascii="Verdana" w:eastAsia="Arial" w:hAnsi="Verdana" w:cs="Arial"/>
          <w:color w:val="000000" w:themeColor="text1"/>
          <w:lang w:val="es-ES_tradnl" w:eastAsia="es-ES_tradnl"/>
        </w:rPr>
        <w:t>,</w:t>
      </w:r>
      <w:r w:rsidRPr="008763E3">
        <w:t xml:space="preserve"> </w:t>
      </w:r>
      <w:r w:rsidRPr="008763E3">
        <w:rPr>
          <w:rFonts w:ascii="Verdana" w:eastAsia="Arial" w:hAnsi="Verdana" w:cs="Arial"/>
          <w:color w:val="000000" w:themeColor="text1"/>
          <w:lang w:val="es-ES_tradnl" w:eastAsia="es-ES_tradnl"/>
        </w:rPr>
        <w:t>así como los que, a título enunciativo, se definen a continuación</w:t>
      </w:r>
      <w:r w:rsidRPr="0044679D">
        <w:rPr>
          <w:rFonts w:ascii="Verdana" w:eastAsia="Arial" w:hAnsi="Verdana" w:cs="Arial"/>
          <w:color w:val="000000" w:themeColor="text1"/>
          <w:lang w:val="es-ES_tradnl" w:eastAsia="es-ES_tradnl"/>
        </w:rPr>
        <w:t xml:space="preserve">”. </w:t>
      </w:r>
    </w:p>
    <w:p w14:paraId="2EA565AD" w14:textId="77777777" w:rsidR="00FB3658" w:rsidRDefault="00FB3658" w:rsidP="00FB3658">
      <w:pPr>
        <w:widowControl w:val="0"/>
        <w:autoSpaceDE w:val="0"/>
        <w:autoSpaceDN w:val="0"/>
        <w:spacing w:after="0" w:line="276" w:lineRule="auto"/>
        <w:ind w:firstLine="709"/>
        <w:jc w:val="both"/>
        <w:rPr>
          <w:rFonts w:ascii="Verdana" w:eastAsia="Arial" w:hAnsi="Verdana" w:cs="Arial"/>
          <w:color w:val="000000" w:themeColor="text1"/>
          <w:lang w:val="es-ES_tradnl" w:eastAsia="es-ES_tradnl"/>
        </w:rPr>
      </w:pPr>
      <w:r w:rsidRPr="0044679D">
        <w:rPr>
          <w:rFonts w:ascii="Verdana" w:eastAsia="Arial" w:hAnsi="Verdana" w:cs="Arial"/>
          <w:color w:val="000000" w:themeColor="text1"/>
          <w:lang w:val="es-ES_tradnl" w:eastAsia="es-ES_tradnl"/>
        </w:rPr>
        <w:t xml:space="preserve">De acuerdo con lo anterior, </w:t>
      </w:r>
      <w:bookmarkStart w:id="3" w:name="_Hlk150759794"/>
      <w:r w:rsidRPr="0044679D">
        <w:rPr>
          <w:rFonts w:ascii="Verdana" w:eastAsia="Arial" w:hAnsi="Verdana" w:cs="Arial"/>
          <w:color w:val="000000" w:themeColor="text1"/>
          <w:lang w:val="es-ES_tradnl" w:eastAsia="es-ES_tradnl"/>
        </w:rPr>
        <w:t>para la definición de contrato estatal basta con que una de las entidades que enumera el artículo 2º de la Ley 80 de 1993</w:t>
      </w:r>
      <w:r w:rsidRPr="0044679D">
        <w:rPr>
          <w:rFonts w:ascii="Verdana" w:eastAsia="Arial" w:hAnsi="Verdana" w:cs="Arial"/>
          <w:color w:val="000000" w:themeColor="text1"/>
          <w:vertAlign w:val="superscript"/>
          <w:lang w:val="es-ES_tradnl" w:eastAsia="es-ES_tradnl"/>
        </w:rPr>
        <w:footnoteReference w:id="3"/>
      </w:r>
      <w:r w:rsidRPr="0044679D">
        <w:rPr>
          <w:rFonts w:ascii="Verdana" w:eastAsia="Arial" w:hAnsi="Verdana" w:cs="Arial"/>
          <w:color w:val="000000" w:themeColor="text1"/>
          <w:lang w:val="es-ES_tradnl" w:eastAsia="es-ES_tradnl"/>
        </w:rPr>
        <w:t xml:space="preserve"> sea una de las partes, sin importar el extremo de la relación jurídico negocial que</w:t>
      </w:r>
      <w:r w:rsidRPr="0044679D">
        <w:rPr>
          <w:rFonts w:ascii="Verdana" w:eastAsia="Arial" w:hAnsi="Verdana" w:cs="Arial"/>
          <w:color w:val="000000" w:themeColor="text1"/>
          <w:spacing w:val="-14"/>
          <w:lang w:val="es-ES_tradnl" w:eastAsia="es-ES_tradnl"/>
        </w:rPr>
        <w:t xml:space="preserve"> </w:t>
      </w:r>
      <w:r w:rsidRPr="0044679D">
        <w:rPr>
          <w:rFonts w:ascii="Verdana" w:eastAsia="Arial" w:hAnsi="Verdana" w:cs="Arial"/>
          <w:color w:val="000000" w:themeColor="text1"/>
          <w:lang w:val="es-ES_tradnl" w:eastAsia="es-ES_tradnl"/>
        </w:rPr>
        <w:t>asuma. Al respecto, el Consejo de Estado ha sostenido que el criterio definitorio de un contrato estatal es que haya sido celebrado por una Entidad Estatal</w:t>
      </w:r>
      <w:bookmarkEnd w:id="3"/>
      <w:r w:rsidRPr="0044679D">
        <w:rPr>
          <w:rFonts w:ascii="Verdana" w:eastAsia="Arial" w:hAnsi="Verdana" w:cs="Arial"/>
          <w:color w:val="000000" w:themeColor="text1"/>
          <w:lang w:val="es-ES_tradnl" w:eastAsia="es-ES_tradnl"/>
        </w:rPr>
        <w:t>:</w:t>
      </w:r>
    </w:p>
    <w:p w14:paraId="1A3A7272" w14:textId="77777777" w:rsidR="00FB3658" w:rsidRPr="0044679D" w:rsidRDefault="00FB3658" w:rsidP="00FB3658">
      <w:pPr>
        <w:widowControl w:val="0"/>
        <w:autoSpaceDE w:val="0"/>
        <w:autoSpaceDN w:val="0"/>
        <w:spacing w:after="0" w:line="276" w:lineRule="auto"/>
        <w:ind w:firstLine="709"/>
        <w:jc w:val="both"/>
        <w:rPr>
          <w:rFonts w:ascii="Verdana" w:eastAsia="Arial" w:hAnsi="Verdana" w:cs="Arial"/>
          <w:color w:val="000000" w:themeColor="text1"/>
          <w:lang w:val="es-ES_tradnl" w:eastAsia="es-ES_tradnl"/>
        </w:rPr>
      </w:pPr>
    </w:p>
    <w:p w14:paraId="4F4535A9" w14:textId="77777777" w:rsidR="00FB3658" w:rsidRPr="0044679D" w:rsidRDefault="00FB3658" w:rsidP="00FB3658">
      <w:pPr>
        <w:widowControl w:val="0"/>
        <w:tabs>
          <w:tab w:val="left" w:pos="7797"/>
        </w:tabs>
        <w:autoSpaceDE w:val="0"/>
        <w:autoSpaceDN w:val="0"/>
        <w:spacing w:after="0" w:line="240" w:lineRule="auto"/>
        <w:ind w:left="709" w:right="709"/>
        <w:contextualSpacing/>
        <w:jc w:val="both"/>
        <w:rPr>
          <w:rFonts w:ascii="Verdana" w:eastAsia="Arial" w:hAnsi="Verdana" w:cs="Arial"/>
          <w:color w:val="000000" w:themeColor="text1"/>
          <w:sz w:val="21"/>
          <w:szCs w:val="21"/>
          <w:lang w:val="es-ES_tradnl" w:eastAsia="es-ES_tradnl"/>
        </w:rPr>
      </w:pPr>
      <w:r w:rsidRPr="0044679D">
        <w:rPr>
          <w:rFonts w:ascii="Verdana" w:eastAsia="Arial" w:hAnsi="Verdana" w:cs="Arial"/>
          <w:color w:val="000000" w:themeColor="text1"/>
          <w:sz w:val="21"/>
          <w:szCs w:val="21"/>
          <w:lang w:val="es-ES_tradnl" w:eastAsia="es-ES_tradnl"/>
        </w:rPr>
        <w:t>“</w:t>
      </w:r>
      <w:r w:rsidRPr="00CB3D7C">
        <w:rPr>
          <w:rFonts w:ascii="Verdana" w:eastAsia="Arial" w:hAnsi="Verdana" w:cs="Arial"/>
          <w:color w:val="000000" w:themeColor="text1"/>
          <w:sz w:val="20"/>
          <w:szCs w:val="20"/>
          <w:lang w:val="es-ES_tradnl" w:eastAsia="es-ES_tradnl"/>
        </w:rPr>
        <w:t>Nótese cómo, elemento esencial para calificar de estatal un contrato, es que haya sido celebrado por una entidad estatal, es decir, una entidad pública con capacidad legal para celebrarlo. Dicho de otro modo, no existen contratos estatales celebrados entre particulares, ni siquiera cuando éstos han sido habilitados legalmente para el ejercicio de funciones</w:t>
      </w:r>
      <w:r w:rsidRPr="00CB3D7C">
        <w:rPr>
          <w:rFonts w:ascii="Verdana" w:eastAsia="Arial" w:hAnsi="Verdana" w:cs="Arial"/>
          <w:color w:val="000000" w:themeColor="text1"/>
          <w:spacing w:val="-4"/>
          <w:sz w:val="20"/>
          <w:szCs w:val="20"/>
          <w:lang w:val="es-ES_tradnl" w:eastAsia="es-ES_tradnl"/>
        </w:rPr>
        <w:t xml:space="preserve"> </w:t>
      </w:r>
      <w:r w:rsidRPr="00CB3D7C">
        <w:rPr>
          <w:rFonts w:ascii="Verdana" w:eastAsia="Arial" w:hAnsi="Verdana" w:cs="Arial"/>
          <w:color w:val="000000" w:themeColor="text1"/>
          <w:sz w:val="20"/>
          <w:szCs w:val="20"/>
          <w:lang w:val="es-ES_tradnl" w:eastAsia="es-ES_tradnl"/>
        </w:rPr>
        <w:t>públicas”</w:t>
      </w:r>
      <w:r w:rsidRPr="00CB3D7C">
        <w:rPr>
          <w:rFonts w:ascii="Verdana" w:eastAsia="Arial" w:hAnsi="Verdana" w:cs="Arial"/>
          <w:color w:val="000000" w:themeColor="text1"/>
          <w:sz w:val="20"/>
          <w:szCs w:val="20"/>
          <w:vertAlign w:val="superscript"/>
          <w:lang w:val="es-ES_tradnl" w:eastAsia="es-ES_tradnl"/>
        </w:rPr>
        <w:footnoteReference w:id="4"/>
      </w:r>
      <w:r w:rsidRPr="00CB3D7C">
        <w:rPr>
          <w:rFonts w:ascii="Verdana" w:eastAsia="Arial" w:hAnsi="Verdana" w:cs="Arial"/>
          <w:color w:val="000000" w:themeColor="text1"/>
          <w:sz w:val="20"/>
          <w:szCs w:val="20"/>
          <w:lang w:val="es-ES_tradnl" w:eastAsia="es-ES_tradnl"/>
        </w:rPr>
        <w:t>.</w:t>
      </w:r>
    </w:p>
    <w:p w14:paraId="2D2881B7" w14:textId="77777777" w:rsidR="00FB3658" w:rsidRPr="0044679D" w:rsidRDefault="00FB3658" w:rsidP="00FB3658">
      <w:pPr>
        <w:widowControl w:val="0"/>
        <w:autoSpaceDE w:val="0"/>
        <w:autoSpaceDN w:val="0"/>
        <w:spacing w:after="0" w:line="276" w:lineRule="auto"/>
        <w:contextualSpacing/>
        <w:jc w:val="both"/>
        <w:rPr>
          <w:rFonts w:ascii="Verdana" w:eastAsia="Arial" w:hAnsi="Verdana" w:cs="Arial"/>
          <w:color w:val="000000" w:themeColor="text1"/>
          <w:sz w:val="21"/>
          <w:szCs w:val="21"/>
          <w:lang w:val="es-ES_tradnl" w:eastAsia="es-ES_tradnl"/>
        </w:rPr>
      </w:pPr>
    </w:p>
    <w:p w14:paraId="060523D9" w14:textId="77777777" w:rsidR="00FB3658" w:rsidRDefault="00FB3658" w:rsidP="00553CC4">
      <w:pPr>
        <w:widowControl w:val="0"/>
        <w:autoSpaceDE w:val="0"/>
        <w:autoSpaceDN w:val="0"/>
        <w:spacing w:after="0" w:line="276" w:lineRule="auto"/>
        <w:ind w:firstLine="607"/>
        <w:jc w:val="both"/>
        <w:rPr>
          <w:rFonts w:ascii="Verdana" w:eastAsia="Arial" w:hAnsi="Verdana" w:cs="Arial"/>
          <w:color w:val="000000" w:themeColor="text1"/>
          <w:lang w:val="es-ES_tradnl" w:eastAsia="es-ES_tradnl"/>
        </w:rPr>
      </w:pPr>
      <w:r w:rsidRPr="0044679D">
        <w:rPr>
          <w:rFonts w:ascii="Verdana" w:eastAsia="Arial" w:hAnsi="Verdana" w:cs="Arial"/>
          <w:color w:val="000000" w:themeColor="text1"/>
          <w:lang w:val="es-ES_tradnl" w:eastAsia="es-ES_tradnl"/>
        </w:rPr>
        <w:t xml:space="preserve">Así pues, el contrato estatal es el acto jurídico creador de obligaciones en cuya celebración concurre una de las Entidades Estatales, independientemente </w:t>
      </w:r>
      <w:r w:rsidRPr="0044679D">
        <w:rPr>
          <w:rFonts w:ascii="Verdana" w:eastAsia="Arial" w:hAnsi="Verdana" w:cs="Arial"/>
          <w:color w:val="000000" w:themeColor="text1"/>
          <w:lang w:val="es-ES_tradnl" w:eastAsia="es-ES_tradnl"/>
        </w:rPr>
        <w:lastRenderedPageBreak/>
        <w:t xml:space="preserve">de que se trate de contratos previstos o tipificados en el derecho privado, en disposiciones especiales o que sencillamente resulten del ejercicio de la autonomía de la voluntad, como sucede con los que se clasifican como atípicos e innominados. Por lo tanto, </w:t>
      </w:r>
      <w:bookmarkStart w:id="4" w:name="_Hlk150759930"/>
      <w:r w:rsidRPr="0044679D">
        <w:rPr>
          <w:rFonts w:ascii="Verdana" w:eastAsia="Arial" w:hAnsi="Verdana" w:cs="Arial"/>
          <w:color w:val="000000" w:themeColor="text1"/>
          <w:lang w:val="es-ES_tradnl" w:eastAsia="es-ES_tradnl"/>
        </w:rPr>
        <w:t>la Ley 80 de 1993 adoptó un criterio eminentemente subjetivo u orgánico, esto es, en atención a la naturaleza de los sujetos u órganos que intervienen en la formación del vínculo contractual, para efectos de determinar que los contratos podrán catalogarse como estatales únicamente en cuanto en uno de sus extremos, al menos, se encuentre una Entidad Estatal</w:t>
      </w:r>
      <w:r w:rsidRPr="0044679D">
        <w:rPr>
          <w:rFonts w:ascii="Verdana" w:eastAsia="Arial" w:hAnsi="Verdana" w:cs="Arial"/>
          <w:color w:val="000000" w:themeColor="text1"/>
          <w:vertAlign w:val="superscript"/>
          <w:lang w:val="es-ES_tradnl" w:eastAsia="es-ES_tradnl"/>
        </w:rPr>
        <w:footnoteReference w:id="5"/>
      </w:r>
      <w:r w:rsidRPr="0044679D">
        <w:rPr>
          <w:rFonts w:ascii="Verdana" w:eastAsia="Arial" w:hAnsi="Verdana" w:cs="Arial"/>
          <w:color w:val="000000" w:themeColor="text1"/>
          <w:lang w:val="es-ES_tradnl" w:eastAsia="es-ES_tradnl"/>
        </w:rPr>
        <w:t>, con independencia del régimen de derecho aplicable.</w:t>
      </w:r>
      <w:bookmarkEnd w:id="4"/>
    </w:p>
    <w:p w14:paraId="4A4E5E90" w14:textId="77777777" w:rsidR="00553CC4" w:rsidRDefault="00553CC4" w:rsidP="00772D06">
      <w:pPr>
        <w:widowControl w:val="0"/>
        <w:autoSpaceDE w:val="0"/>
        <w:autoSpaceDN w:val="0"/>
        <w:spacing w:after="0" w:line="276" w:lineRule="auto"/>
        <w:ind w:firstLine="607"/>
        <w:jc w:val="both"/>
        <w:rPr>
          <w:rFonts w:ascii="Verdana" w:eastAsia="Calibri" w:hAnsi="Verdana" w:cs="Arial"/>
          <w:color w:val="000000" w:themeColor="text1"/>
        </w:rPr>
      </w:pPr>
    </w:p>
    <w:p w14:paraId="0E3CF18F" w14:textId="77777777" w:rsidR="00FB3658" w:rsidRPr="00586A80" w:rsidRDefault="00FB3658" w:rsidP="00FB3658">
      <w:pPr>
        <w:spacing w:after="120" w:line="276" w:lineRule="auto"/>
        <w:jc w:val="both"/>
        <w:rPr>
          <w:rFonts w:ascii="Verdana" w:eastAsia="Calibri" w:hAnsi="Verdana" w:cs="Arial"/>
          <w:color w:val="000000" w:themeColor="text1"/>
        </w:rPr>
      </w:pPr>
      <w:r>
        <w:rPr>
          <w:rFonts w:ascii="Verdana" w:eastAsia="Calibri" w:hAnsi="Verdana" w:cs="Arial"/>
          <w:color w:val="000000" w:themeColor="text1"/>
        </w:rPr>
        <w:t>ii. Por otra parte, l</w:t>
      </w:r>
      <w:r w:rsidRPr="00586A80">
        <w:rPr>
          <w:rFonts w:ascii="Verdana" w:eastAsia="Calibri" w:hAnsi="Verdana" w:cs="Arial"/>
          <w:color w:val="000000" w:themeColor="text1"/>
        </w:rPr>
        <w:t xml:space="preserve">a Ley 80 de 1993, respecto del principio de economía, brinda directrices relacionadas con algunas etapas de un procedimiento contractual, de manera que refleja dos aspectos que ocurren en la actividad contractual: i) la apertura del procedimiento y la </w:t>
      </w:r>
      <w:r w:rsidRPr="00586A80">
        <w:rPr>
          <w:rFonts w:ascii="Verdana" w:eastAsia="Calibri" w:hAnsi="Verdana" w:cs="Arial"/>
          <w:i/>
          <w:iCs/>
          <w:color w:val="000000" w:themeColor="text1"/>
        </w:rPr>
        <w:t>suscripción del contrato</w:t>
      </w:r>
      <w:r w:rsidRPr="00586A80">
        <w:rPr>
          <w:rFonts w:ascii="Verdana" w:eastAsia="Calibri" w:hAnsi="Verdana" w:cs="Arial"/>
          <w:color w:val="000000" w:themeColor="text1"/>
        </w:rPr>
        <w:t xml:space="preserve"> y ii) la ejecución del contrato</w:t>
      </w:r>
      <w:r w:rsidRPr="00586A80">
        <w:rPr>
          <w:rStyle w:val="Refdenotaalpie"/>
          <w:rFonts w:ascii="Verdana" w:eastAsia="Calibri" w:hAnsi="Verdana" w:cs="Arial"/>
          <w:color w:val="000000" w:themeColor="text1"/>
        </w:rPr>
        <w:footnoteReference w:id="6"/>
      </w:r>
      <w:r w:rsidRPr="00586A80">
        <w:rPr>
          <w:rFonts w:ascii="Verdana" w:eastAsia="Calibri" w:hAnsi="Verdana" w:cs="Arial"/>
          <w:color w:val="000000" w:themeColor="text1"/>
        </w:rPr>
        <w:t>. Por tanto, para cada una de estas etapas del procedimiento, la ley prevé requisitos que deben cumplir la entidad y los oferentes o contratistas, según corresponda, con el fin de que mediante la contratación se satisfaga la necesidad que le dio origen.</w:t>
      </w:r>
    </w:p>
    <w:p w14:paraId="530BB77E" w14:textId="77777777" w:rsidR="00FB3658" w:rsidRPr="00924E10" w:rsidRDefault="00FB3658" w:rsidP="00FB3658">
      <w:pPr>
        <w:spacing w:after="0" w:line="276" w:lineRule="auto"/>
        <w:ind w:firstLine="708"/>
        <w:jc w:val="both"/>
        <w:rPr>
          <w:rFonts w:ascii="Verdana" w:eastAsia="Calibri" w:hAnsi="Verdana" w:cs="Arial"/>
          <w:color w:val="000000" w:themeColor="text1"/>
          <w:highlight w:val="yellow"/>
        </w:rPr>
      </w:pPr>
      <w:r>
        <w:rPr>
          <w:rFonts w:ascii="Verdana" w:eastAsia="Calibri" w:hAnsi="Verdana" w:cs="Arial"/>
          <w:color w:val="000000" w:themeColor="text1"/>
        </w:rPr>
        <w:t xml:space="preserve">Ahora bien, resulta </w:t>
      </w:r>
      <w:r w:rsidRPr="00586A80">
        <w:rPr>
          <w:rFonts w:ascii="Verdana" w:eastAsia="Calibri" w:hAnsi="Verdana" w:cs="Arial"/>
          <w:color w:val="000000" w:themeColor="text1"/>
        </w:rPr>
        <w:t>relevante analizar el artículo 41 de la Ley 80 de 1993, que trata sobre los requisitos de perfeccionamiento y ejecución del contrato</w:t>
      </w:r>
      <w:r w:rsidRPr="00586A80">
        <w:rPr>
          <w:rStyle w:val="Refdenotaalpie"/>
          <w:rFonts w:ascii="Verdana" w:eastAsia="Calibri" w:hAnsi="Verdana" w:cs="Arial"/>
          <w:color w:val="000000" w:themeColor="text1"/>
        </w:rPr>
        <w:footnoteReference w:id="7"/>
      </w:r>
      <w:r w:rsidRPr="00586A80">
        <w:rPr>
          <w:rFonts w:ascii="Verdana" w:eastAsia="Calibri" w:hAnsi="Verdana" w:cs="Arial"/>
          <w:color w:val="000000" w:themeColor="text1"/>
        </w:rPr>
        <w:t xml:space="preserve">. El </w:t>
      </w:r>
      <w:r w:rsidRPr="00586A80">
        <w:rPr>
          <w:rFonts w:ascii="Verdana" w:eastAsia="Calibri" w:hAnsi="Verdana" w:cs="Arial"/>
          <w:color w:val="000000" w:themeColor="text1"/>
        </w:rPr>
        <w:lastRenderedPageBreak/>
        <w:t>inciso 1 enuncia los requisitos de perfeccionamiento: i) que exista acuerdo sobre el objeto y la contraprestación, y ii) que conste por escrito. El Consejo de Estado se pronunció sobre la solemnidad del contrato estatal y la imposibilidad de modificarla por voluntad de sus destinatarios:</w:t>
      </w:r>
    </w:p>
    <w:p w14:paraId="038B2DA0" w14:textId="77777777" w:rsidR="00FB3658" w:rsidRPr="00924E10" w:rsidRDefault="00FB3658" w:rsidP="00FB3658">
      <w:pPr>
        <w:spacing w:after="0" w:line="276" w:lineRule="auto"/>
        <w:ind w:firstLine="708"/>
        <w:jc w:val="both"/>
        <w:rPr>
          <w:rFonts w:ascii="Verdana" w:eastAsia="Calibri" w:hAnsi="Verdana" w:cs="Arial"/>
          <w:color w:val="000000" w:themeColor="text1"/>
          <w:highlight w:val="yellow"/>
        </w:rPr>
      </w:pPr>
    </w:p>
    <w:p w14:paraId="0D62063B" w14:textId="77777777" w:rsidR="00FB3658" w:rsidRPr="00586A80" w:rsidRDefault="00FB3658" w:rsidP="00FB3658">
      <w:pPr>
        <w:spacing w:after="0"/>
        <w:ind w:left="709" w:right="709"/>
        <w:jc w:val="both"/>
        <w:rPr>
          <w:rFonts w:ascii="Verdana" w:eastAsia="Calibri" w:hAnsi="Verdana" w:cs="Arial"/>
          <w:color w:val="000000" w:themeColor="text1"/>
          <w:sz w:val="20"/>
          <w:szCs w:val="20"/>
        </w:rPr>
      </w:pPr>
      <w:r w:rsidRPr="00586A80">
        <w:rPr>
          <w:rFonts w:ascii="Verdana" w:eastAsia="Calibri" w:hAnsi="Verdana" w:cs="Arial"/>
          <w:color w:val="000000" w:themeColor="text1"/>
          <w:sz w:val="20"/>
          <w:szCs w:val="20"/>
        </w:rPr>
        <w:t>Pues bien, de acuerdo con lo dispuesto en los artículos 39 y 41 de la Ley 80 de 1993 los contratos estatales son solemnes puesto que su perfeccionamiento exige la solemnidad del escrito, excepción hecha de ciertos eventos de urgencia manifiesta en que el contrato se torna consensual ante la imposibilidad de cumplir con la exigencia de la solemnidad del escrito (Ley 80 de 1993 artículo 41 inciso 4º). En los demás casos de urgencia manifiesta, que no queden comprendidos en esta hipótesis, la solemnidad del escrito se sujeta a la regla general expuesta. No se olvide que las normas que exigen solemnidades constitutivas son de orden público e imperativas y por lo tanto inmodificables e inderogables por el querer de sus destinatarios. En consecuencia, sus destinatarios, es decir todos los que pretendan intervenir en la celebración de un contrato estatal, tienen el deber de acatar la exigencia legal del escrito para perfeccionar</w:t>
      </w:r>
      <w:r w:rsidRPr="00586A80">
        <w:rPr>
          <w:rStyle w:val="Refdenotaalpie"/>
          <w:rFonts w:ascii="Verdana" w:eastAsia="Calibri" w:hAnsi="Verdana" w:cs="Arial"/>
          <w:color w:val="000000" w:themeColor="text1"/>
          <w:sz w:val="20"/>
          <w:szCs w:val="20"/>
        </w:rPr>
        <w:footnoteReference w:id="8"/>
      </w:r>
      <w:r w:rsidRPr="00586A80">
        <w:rPr>
          <w:rFonts w:ascii="Verdana" w:eastAsia="Calibri" w:hAnsi="Verdana" w:cs="Arial"/>
          <w:color w:val="000000" w:themeColor="text1"/>
          <w:sz w:val="20"/>
          <w:szCs w:val="20"/>
        </w:rPr>
        <w:t>.</w:t>
      </w:r>
    </w:p>
    <w:p w14:paraId="0495B445" w14:textId="77777777" w:rsidR="00FB3658" w:rsidRPr="00924E10" w:rsidRDefault="00FB3658" w:rsidP="00FB3658">
      <w:pPr>
        <w:spacing w:after="0"/>
        <w:ind w:left="709" w:right="709"/>
        <w:jc w:val="both"/>
        <w:rPr>
          <w:rFonts w:ascii="Verdana" w:eastAsia="Calibri" w:hAnsi="Verdana" w:cs="Arial"/>
          <w:color w:val="000000" w:themeColor="text1"/>
          <w:highlight w:val="yellow"/>
        </w:rPr>
      </w:pPr>
    </w:p>
    <w:p w14:paraId="7E315C55" w14:textId="77777777" w:rsidR="00FB3658" w:rsidRPr="00586A80" w:rsidRDefault="00FB3658" w:rsidP="00FB3658">
      <w:pPr>
        <w:spacing w:after="120" w:line="276" w:lineRule="auto"/>
        <w:ind w:firstLine="709"/>
        <w:jc w:val="both"/>
        <w:rPr>
          <w:rFonts w:ascii="Verdana" w:eastAsia="Calibri" w:hAnsi="Verdana" w:cs="Arial"/>
          <w:color w:val="000000" w:themeColor="text1"/>
        </w:rPr>
      </w:pPr>
      <w:r w:rsidRPr="00586A80">
        <w:rPr>
          <w:rFonts w:ascii="Verdana" w:eastAsia="Calibri" w:hAnsi="Verdana" w:cs="Arial"/>
          <w:color w:val="000000" w:themeColor="text1"/>
        </w:rPr>
        <w:t>De esta manera, la existencia y perfeccionamiento del contrato se producen cuando se cumplen los elementos esenciales y de solemnidad, sin que las partes puedan suprimir los requisitos legales para esto, ya que la autonomía de la voluntad no prevalece sobre las normas de orden público. Sin embargo, para establecer la diferencia con los requisitos para la ejecución del contrato, a continuación, se expondrán las reglas y la jurisprudencia sobre el tema.</w:t>
      </w:r>
    </w:p>
    <w:p w14:paraId="46B01B98" w14:textId="77777777" w:rsidR="00FB3658" w:rsidRPr="00586A80" w:rsidRDefault="00FB3658" w:rsidP="00FB3658">
      <w:pPr>
        <w:spacing w:before="120" w:after="0" w:line="276" w:lineRule="auto"/>
        <w:ind w:firstLine="709"/>
        <w:jc w:val="both"/>
        <w:rPr>
          <w:rFonts w:ascii="Verdana" w:eastAsia="Calibri" w:hAnsi="Verdana" w:cs="Arial"/>
          <w:color w:val="000000" w:themeColor="text1"/>
        </w:rPr>
      </w:pPr>
      <w:r w:rsidRPr="00586A80">
        <w:rPr>
          <w:rFonts w:ascii="Verdana" w:eastAsia="Calibri" w:hAnsi="Verdana" w:cs="Arial"/>
          <w:color w:val="000000" w:themeColor="text1"/>
        </w:rPr>
        <w:t xml:space="preserve">El inciso 2 del artículo 41 de la Ley 80 de 1993 enuncia los requisitos de ejecución, los cuales deben cumplir las partes antes de iniciar la ejecución del contrato: i) la aprobación de las garantías, ii) que el contratista esté al día en el </w:t>
      </w:r>
      <w:r w:rsidRPr="00586A80">
        <w:rPr>
          <w:rFonts w:ascii="Verdana" w:eastAsia="Calibri" w:hAnsi="Verdana" w:cs="Arial"/>
          <w:color w:val="000000" w:themeColor="text1"/>
        </w:rPr>
        <w:lastRenderedPageBreak/>
        <w:t>pago de los aportes al Sistema de Seguridad Social Integral y iii) la existencia de disponibilidad presupuestal –registro presupuestal–, salvo que se contrate con recursos de vigencias futuras. Ahora bien, en el marco de la autonomía de la voluntad las partes pueden establecer requisitos adicionales para iniciar la ejecución del contrato, tal es el caso de las actas de inicio, entre otros. El Consejo de Estado aclaró la diferencia entre el perfeccionamiento y la ejecución del contrato, de la siguiente manera:</w:t>
      </w:r>
    </w:p>
    <w:p w14:paraId="6D1F73A7" w14:textId="77777777" w:rsidR="00FB3658" w:rsidRPr="00924E10" w:rsidRDefault="00FB3658" w:rsidP="00FB3658">
      <w:pPr>
        <w:spacing w:after="0" w:line="276" w:lineRule="auto"/>
        <w:ind w:firstLine="709"/>
        <w:jc w:val="both"/>
        <w:rPr>
          <w:rFonts w:ascii="Verdana" w:eastAsia="Calibri" w:hAnsi="Verdana" w:cs="Arial"/>
          <w:color w:val="000000" w:themeColor="text1"/>
          <w:highlight w:val="yellow"/>
        </w:rPr>
      </w:pPr>
    </w:p>
    <w:p w14:paraId="6AA4BAE9" w14:textId="77777777" w:rsidR="00FB3658" w:rsidRPr="00586A80" w:rsidRDefault="00FB3658" w:rsidP="00FB3658">
      <w:pPr>
        <w:spacing w:after="0" w:line="240" w:lineRule="auto"/>
        <w:ind w:left="709" w:right="709"/>
        <w:jc w:val="both"/>
        <w:rPr>
          <w:rFonts w:ascii="Verdana" w:eastAsia="Calibri" w:hAnsi="Verdana" w:cs="Arial"/>
          <w:color w:val="000000" w:themeColor="text1"/>
          <w:sz w:val="20"/>
          <w:szCs w:val="20"/>
        </w:rPr>
      </w:pPr>
      <w:r w:rsidRPr="00586A80">
        <w:rPr>
          <w:rFonts w:ascii="Verdana" w:eastAsia="Calibri" w:hAnsi="Verdana" w:cs="Arial"/>
          <w:color w:val="000000" w:themeColor="text1"/>
          <w:sz w:val="20"/>
          <w:szCs w:val="20"/>
        </w:rPr>
        <w:t xml:space="preserve">La Sala concluyó y ahora se reitera que i) la existencia del contrato no difiere de la perfección, esto es cumplidos los elementos esenciales que dan lugar al contrato no queda sino aceptar la relación jurídico contractual; ii) por virtud de lo dispuesto en la Ley 80 de 1993 el contrato estatal existe, esto es, </w:t>
      </w:r>
      <w:r>
        <w:rPr>
          <w:rFonts w:ascii="Verdana" w:eastAsia="Calibri" w:hAnsi="Verdana" w:cs="Arial"/>
          <w:color w:val="000000" w:themeColor="text1"/>
          <w:sz w:val="20"/>
          <w:szCs w:val="20"/>
        </w:rPr>
        <w:t>“</w:t>
      </w:r>
      <w:r w:rsidRPr="00586A80">
        <w:rPr>
          <w:rFonts w:ascii="Verdana" w:eastAsia="Calibri" w:hAnsi="Verdana" w:cs="Arial"/>
          <w:color w:val="000000" w:themeColor="text1"/>
          <w:sz w:val="20"/>
          <w:szCs w:val="20"/>
        </w:rPr>
        <w:t>se perfecciona</w:t>
      </w:r>
      <w:r>
        <w:rPr>
          <w:rFonts w:ascii="Verdana" w:eastAsia="Calibri" w:hAnsi="Verdana" w:cs="Arial"/>
          <w:color w:val="000000" w:themeColor="text1"/>
          <w:sz w:val="20"/>
          <w:szCs w:val="20"/>
        </w:rPr>
        <w:t>”</w:t>
      </w:r>
      <w:r w:rsidRPr="00586A80">
        <w:rPr>
          <w:rFonts w:ascii="Verdana" w:eastAsia="Calibri" w:hAnsi="Verdana" w:cs="Arial"/>
          <w:color w:val="000000" w:themeColor="text1"/>
          <w:sz w:val="20"/>
          <w:szCs w:val="20"/>
        </w:rPr>
        <w:t xml:space="preserve"> cuando </w:t>
      </w:r>
      <w:r>
        <w:rPr>
          <w:rFonts w:ascii="Verdana" w:eastAsia="Calibri" w:hAnsi="Verdana" w:cs="Arial"/>
          <w:color w:val="000000" w:themeColor="text1"/>
          <w:sz w:val="20"/>
          <w:szCs w:val="20"/>
        </w:rPr>
        <w:t>“</w:t>
      </w:r>
      <w:r w:rsidRPr="00586A80">
        <w:rPr>
          <w:rFonts w:ascii="Verdana" w:eastAsia="Calibri" w:hAnsi="Verdana" w:cs="Arial"/>
          <w:color w:val="000000" w:themeColor="text1"/>
          <w:sz w:val="20"/>
          <w:szCs w:val="20"/>
        </w:rPr>
        <w:t>se logra acuerdo sobre el objeto y la contraprestación y éste se eleve a escrito</w:t>
      </w:r>
      <w:r>
        <w:rPr>
          <w:rFonts w:ascii="Verdana" w:eastAsia="Calibri" w:hAnsi="Verdana" w:cs="Arial"/>
          <w:color w:val="000000" w:themeColor="text1"/>
          <w:sz w:val="20"/>
          <w:szCs w:val="20"/>
        </w:rPr>
        <w:t>”</w:t>
      </w:r>
      <w:r w:rsidRPr="00586A80">
        <w:rPr>
          <w:rFonts w:ascii="Verdana" w:eastAsia="Calibri" w:hAnsi="Verdana" w:cs="Arial"/>
          <w:color w:val="000000" w:themeColor="text1"/>
          <w:sz w:val="20"/>
          <w:szCs w:val="20"/>
        </w:rPr>
        <w:t>; iii) es ejecutable cuando se cumplen las condiciones previstas en el inciso segundo del artículo 41 de la ley, interpretado en concordancia con lo dispuesto en el artículo 49 de la Ley 179 de 1994, compilado en el artículo 71 del Estatuto Orgánico de Presupuesto, Decreto Ley 111 de 1996 y iv) el requisito relativo al registro presupuestal no es una condición de existencia del contrato estatal, es un requisito de ejecución</w:t>
      </w:r>
      <w:r w:rsidRPr="00586A80">
        <w:rPr>
          <w:rStyle w:val="Refdenotaalpie"/>
          <w:rFonts w:ascii="Verdana" w:eastAsia="Calibri" w:hAnsi="Verdana" w:cs="Arial"/>
          <w:color w:val="000000" w:themeColor="text1"/>
          <w:sz w:val="20"/>
          <w:szCs w:val="20"/>
        </w:rPr>
        <w:footnoteReference w:id="9"/>
      </w:r>
      <w:r w:rsidRPr="00586A80">
        <w:rPr>
          <w:rFonts w:ascii="Verdana" w:eastAsia="Calibri" w:hAnsi="Verdana" w:cs="Arial"/>
          <w:color w:val="000000" w:themeColor="text1"/>
          <w:sz w:val="20"/>
          <w:szCs w:val="20"/>
        </w:rPr>
        <w:t>.</w:t>
      </w:r>
    </w:p>
    <w:p w14:paraId="4CA3768D" w14:textId="77777777" w:rsidR="00FB3658" w:rsidRPr="00924E10" w:rsidRDefault="00FB3658" w:rsidP="00FB3658">
      <w:pPr>
        <w:spacing w:after="0"/>
        <w:ind w:left="709" w:right="709"/>
        <w:jc w:val="both"/>
        <w:rPr>
          <w:rFonts w:ascii="Verdana" w:eastAsia="Calibri" w:hAnsi="Verdana" w:cs="Arial"/>
          <w:b/>
          <w:bCs/>
          <w:color w:val="000000" w:themeColor="text1"/>
          <w:highlight w:val="yellow"/>
        </w:rPr>
      </w:pPr>
    </w:p>
    <w:p w14:paraId="3607ED5E" w14:textId="77777777" w:rsidR="00FB3658" w:rsidRPr="00D01FFA" w:rsidRDefault="00FB3658" w:rsidP="00FB3658">
      <w:pPr>
        <w:spacing w:after="120" w:line="276" w:lineRule="auto"/>
        <w:ind w:firstLine="709"/>
        <w:jc w:val="both"/>
        <w:rPr>
          <w:rFonts w:ascii="Verdana" w:eastAsia="Calibri" w:hAnsi="Verdana" w:cs="Arial"/>
          <w:color w:val="000000" w:themeColor="text1"/>
        </w:rPr>
      </w:pPr>
      <w:r w:rsidRPr="00D01FFA">
        <w:rPr>
          <w:rFonts w:ascii="Verdana" w:eastAsia="Calibri" w:hAnsi="Verdana" w:cs="Arial"/>
          <w:color w:val="000000" w:themeColor="text1"/>
        </w:rPr>
        <w:t>Se observa que la jurisprudencia asimila los conceptos de existencia y perfeccionamiento del contrato, pero no ocurre lo mismo con la ejecución, puesto que, a pesar de estar regulados en la misma norma, se hace una clara diferenciación y se enlistan los requisitos para cada uno de ellos, señalando que tanto la disponibilidad presupuestal –debiéndose entender registro presupuestal–, como estar al día con el Sistema de Seguridad Social Integral y la aprobación de las garantías son exigencia para ejecutar del contrato.</w:t>
      </w:r>
    </w:p>
    <w:p w14:paraId="692A096F" w14:textId="77777777" w:rsidR="00FB3658" w:rsidRPr="00D01FFA" w:rsidRDefault="00FB3658" w:rsidP="00FB3658">
      <w:pPr>
        <w:spacing w:after="0" w:line="276" w:lineRule="auto"/>
        <w:ind w:firstLine="709"/>
        <w:jc w:val="both"/>
        <w:rPr>
          <w:rFonts w:ascii="Verdana" w:eastAsia="Calibri" w:hAnsi="Verdana" w:cs="Arial"/>
          <w:color w:val="000000" w:themeColor="text1"/>
        </w:rPr>
      </w:pPr>
      <w:r w:rsidRPr="00D01FFA">
        <w:rPr>
          <w:rFonts w:ascii="Verdana" w:eastAsia="Calibri" w:hAnsi="Verdana" w:cs="Arial"/>
          <w:color w:val="000000" w:themeColor="text1"/>
        </w:rPr>
        <w:t>De esta manera, con la regulación del contrato estatal citada y, particularmente, teniendo en cuenta los requisitos de su perfeccionamiento y ejecución, a continuación se explicará el uso de los medios electrónicos en las actuaciones administrativas y su cumplimiento a través de la plataforma SECOP II, mediante el contrato electrónico –entendiendo que el SECOP I es una plataforma de simple publicidad y no constituye un mecanismo de generación de contrato electrónico, sobre el que usted consulta para efectos de la apostilla–</w:t>
      </w:r>
    </w:p>
    <w:p w14:paraId="0CB8E2CF" w14:textId="77777777" w:rsidR="00FB3658" w:rsidRPr="00924E10" w:rsidRDefault="00FB3658" w:rsidP="00FB3658">
      <w:pPr>
        <w:spacing w:after="0" w:line="276" w:lineRule="auto"/>
        <w:ind w:firstLine="709"/>
        <w:jc w:val="both"/>
        <w:rPr>
          <w:rFonts w:ascii="Verdana" w:eastAsia="Calibri" w:hAnsi="Verdana" w:cs="Arial"/>
          <w:color w:val="000000" w:themeColor="text1"/>
          <w:highlight w:val="yellow"/>
        </w:rPr>
      </w:pPr>
    </w:p>
    <w:p w14:paraId="2BE1DFDD" w14:textId="77777777" w:rsidR="00FB3658" w:rsidRPr="00D01FFA" w:rsidRDefault="00FB3658" w:rsidP="00FB3658">
      <w:pPr>
        <w:spacing w:line="276" w:lineRule="auto"/>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lastRenderedPageBreak/>
        <w:t>ii</w:t>
      </w:r>
      <w:r>
        <w:rPr>
          <w:rFonts w:ascii="Verdana" w:eastAsia="Calibri" w:hAnsi="Verdana" w:cs="Arial"/>
          <w:color w:val="000000" w:themeColor="text1"/>
          <w:lang w:val="es-ES"/>
        </w:rPr>
        <w:t>i</w:t>
      </w:r>
      <w:r w:rsidRPr="00D01FFA">
        <w:rPr>
          <w:rFonts w:ascii="Verdana" w:eastAsia="Calibri" w:hAnsi="Verdana" w:cs="Arial"/>
          <w:color w:val="000000" w:themeColor="text1"/>
          <w:lang w:val="es-ES"/>
        </w:rPr>
        <w:t>. Desde hace varios años se ha presentado una tendencia consistente en la eliminación de los trámites innecesarios relacionados con las actuaciones que se adelantan ante las autoridades. Lo que se busca con ello es que las personas tengan una mejor calidad de vida, como resultado de la facilidad para realizar los trámites en el Estado, de manera que puedan utilizar este tiempo en otras actividades.</w:t>
      </w:r>
    </w:p>
    <w:p w14:paraId="1355F1C3" w14:textId="77777777" w:rsidR="00FB3658" w:rsidRPr="00D01FFA" w:rsidRDefault="00FB3658" w:rsidP="00FB3658">
      <w:pPr>
        <w:spacing w:before="120" w:after="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Anteriormente la totalidad de las actuaciones oficiales, es decir, las que se efectuaban ante las entidades públicas, debían surtirse de manera presencial o a través del envío de documentación física, muchas veces cumpliendo con el requisito de la presentación personal. En la actualidad, se viene produciendo una inversión en la lógica que rige la relación de los ciudadanos con el Estado: i) en lugar de la presencialidad, se ha comenzado a privilegiar la virtualidad y ii) del reconocimiento de validez y autenticidad, exclusivamente, a la documentación física, hoy también se admiten dichos atributos respecto de la documentación electrónica.</w:t>
      </w:r>
    </w:p>
    <w:p w14:paraId="63287C76" w14:textId="77777777" w:rsidR="00FB3658" w:rsidRPr="00D01FFA" w:rsidRDefault="00FB3658" w:rsidP="00FB3658">
      <w:pPr>
        <w:spacing w:before="120" w:after="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La función que han jugado las normas “anti-trámites”, para que dicho cambio se produzca, ha sido decisiva. El artículo 6º de la Ley 962 de 2005, “por la cual se dictan disposiciones sobre racionalización de trámites y procedimientos administrativos de los organismos y entidades del Estado y de los particulares que ejercen funciones públicas o prestan servicios públicos”, dispuso que las entidades públicas podían servirse de medios electrónicos para el cumplimiento de sus funciones</w:t>
      </w:r>
      <w:r w:rsidRPr="00D01FFA">
        <w:rPr>
          <w:rStyle w:val="Refdenotaalpie"/>
          <w:rFonts w:ascii="Verdana" w:eastAsia="Calibri" w:hAnsi="Verdana" w:cs="Arial"/>
          <w:color w:val="000000" w:themeColor="text1"/>
          <w:lang w:val="es-ES"/>
        </w:rPr>
        <w:footnoteReference w:id="10"/>
      </w:r>
      <w:r w:rsidRPr="00D01FFA">
        <w:rPr>
          <w:rFonts w:ascii="Verdana" w:eastAsia="Calibri" w:hAnsi="Verdana" w:cs="Arial"/>
          <w:color w:val="000000" w:themeColor="text1"/>
          <w:lang w:val="es-ES"/>
        </w:rPr>
        <w:t xml:space="preserve">. El artículo 7º de la misma Ley permite la publicidad </w:t>
      </w:r>
      <w:r w:rsidRPr="00D01FFA">
        <w:rPr>
          <w:rFonts w:ascii="Verdana" w:eastAsia="Calibri" w:hAnsi="Verdana" w:cs="Arial"/>
          <w:color w:val="000000" w:themeColor="text1"/>
          <w:lang w:val="es-ES"/>
        </w:rPr>
        <w:lastRenderedPageBreak/>
        <w:t>electrónica de las normas y actos generales de la Administración pública</w:t>
      </w:r>
      <w:r w:rsidRPr="00D01FFA">
        <w:rPr>
          <w:rStyle w:val="Refdenotaalpie"/>
          <w:rFonts w:ascii="Verdana" w:eastAsia="Calibri" w:hAnsi="Verdana" w:cs="Arial"/>
          <w:color w:val="000000" w:themeColor="text1"/>
          <w:lang w:val="es-ES"/>
        </w:rPr>
        <w:footnoteReference w:id="11"/>
      </w:r>
      <w:r w:rsidRPr="00D01FFA">
        <w:rPr>
          <w:rFonts w:ascii="Verdana" w:eastAsia="Calibri" w:hAnsi="Verdana" w:cs="Arial"/>
          <w:color w:val="000000" w:themeColor="text1"/>
          <w:lang w:val="es-ES"/>
        </w:rPr>
        <w:t>, e igualmente, el artículo 10º exige que las entidades estatales tengan un correo electrónico habilitando para la recepción de mensajes enviados por las personas</w:t>
      </w:r>
      <w:r w:rsidRPr="00D01FFA">
        <w:rPr>
          <w:rStyle w:val="Refdenotaalpie"/>
          <w:rFonts w:ascii="Verdana" w:eastAsia="Calibri" w:hAnsi="Verdana" w:cs="Arial"/>
          <w:color w:val="000000" w:themeColor="text1"/>
          <w:lang w:val="es-ES"/>
        </w:rPr>
        <w:footnoteReference w:id="12"/>
      </w:r>
      <w:r w:rsidRPr="00D01FFA">
        <w:rPr>
          <w:rFonts w:ascii="Verdana" w:eastAsia="Calibri" w:hAnsi="Verdana" w:cs="Arial"/>
          <w:color w:val="000000" w:themeColor="text1"/>
          <w:lang w:val="es-ES"/>
        </w:rPr>
        <w:t xml:space="preserve">. Entretanto, el Decreto 19 de 2012, “Por el cual se dictan normas para suprimir o reformar regulaciones, procedimientos y trámites innecesarios existentes en la Administración Pública”, continuó la tendencia de poner a disposición de los particulares y de las entidades estatales los medios electrónicos, como instrumentos idóneos para el desarrollo de sus actividades cotidianas. Conviene destacar de este Decreto los artículos: 14 –que permite el </w:t>
      </w:r>
      <w:r w:rsidRPr="00D01FFA">
        <w:rPr>
          <w:rFonts w:ascii="Verdana" w:eastAsia="Calibri" w:hAnsi="Verdana" w:cs="Arial"/>
          <w:color w:val="000000" w:themeColor="text1"/>
          <w:lang w:val="es-ES"/>
        </w:rPr>
        <w:lastRenderedPageBreak/>
        <w:t>uso de medios electrónicos para la realización de peticiones–</w:t>
      </w:r>
      <w:r w:rsidRPr="00D01FFA">
        <w:rPr>
          <w:rStyle w:val="Refdenotaalpie"/>
          <w:rFonts w:ascii="Verdana" w:eastAsia="Calibri" w:hAnsi="Verdana" w:cs="Arial"/>
          <w:color w:val="000000" w:themeColor="text1"/>
          <w:lang w:val="es-ES"/>
        </w:rPr>
        <w:footnoteReference w:id="13"/>
      </w:r>
      <w:r w:rsidRPr="00D01FFA">
        <w:rPr>
          <w:rFonts w:ascii="Verdana" w:eastAsia="Calibri" w:hAnsi="Verdana" w:cs="Arial"/>
          <w:color w:val="000000" w:themeColor="text1"/>
          <w:lang w:val="es-ES"/>
        </w:rPr>
        <w:t>, 38 –que establece como función del Departamento Administrativo de la Función Pública, “Facilitar el acceso a la información y ejecución de los trámites y procedimientos administrativos por medios electrónicos, creando las condiciones de confianza en el uso de los mismos”– y el 223 –que elimina el Diario Único de Contratación y obliga a las entidades a publicar la actividad contractual exclusivamente en el SECOP–</w:t>
      </w:r>
      <w:r w:rsidRPr="00D01FFA">
        <w:rPr>
          <w:rStyle w:val="Refdenotaalpie"/>
          <w:rFonts w:ascii="Verdana" w:eastAsia="Calibri" w:hAnsi="Verdana" w:cs="Arial"/>
          <w:color w:val="000000" w:themeColor="text1"/>
          <w:lang w:val="es-ES"/>
        </w:rPr>
        <w:footnoteReference w:id="14"/>
      </w:r>
      <w:r w:rsidRPr="00D01FFA">
        <w:rPr>
          <w:rFonts w:ascii="Verdana" w:eastAsia="Calibri" w:hAnsi="Verdana" w:cs="Arial"/>
          <w:color w:val="000000" w:themeColor="text1"/>
          <w:lang w:val="es-ES"/>
        </w:rPr>
        <w:t>, entre otros. De igual manera, el Decreto 2106 de 2019 “Por el cual se dictan normas para simplificar, suprimir y reformar trámites, procesos y procedimientos innecesarios existentes en la administración pública” establece que “Para lograr mayor nivel de eficiencia en la administración pública y una adecuada interacción con los ciudadanos y usuarios, garantizando el derecho a la utilización de medios electrónicos, las autoridades deberán integrarse y hacer uso del modelo de Servicios Ciudadanos Digitales”</w:t>
      </w:r>
      <w:r w:rsidRPr="00D01FFA">
        <w:rPr>
          <w:rStyle w:val="Refdenotaalpie"/>
          <w:rFonts w:ascii="Verdana" w:eastAsia="Calibri" w:hAnsi="Verdana" w:cs="Arial"/>
          <w:color w:val="000000" w:themeColor="text1"/>
          <w:lang w:val="es-ES"/>
        </w:rPr>
        <w:footnoteReference w:id="15"/>
      </w:r>
      <w:r w:rsidRPr="00D01FFA">
        <w:rPr>
          <w:rFonts w:ascii="Verdana" w:eastAsia="Calibri" w:hAnsi="Verdana" w:cs="Arial"/>
          <w:color w:val="000000" w:themeColor="text1"/>
          <w:lang w:val="es-ES"/>
        </w:rPr>
        <w:t>. Además, reconoce que las personas pueden adelantar sus trámites a través de “todos los portales, sitios web, plataformas, ventanillas únicas, aplicaciones y soluciones existentes”</w:t>
      </w:r>
      <w:r w:rsidRPr="00D01FFA">
        <w:rPr>
          <w:rStyle w:val="Refdenotaalpie"/>
          <w:rFonts w:ascii="Verdana" w:eastAsia="Calibri" w:hAnsi="Verdana" w:cs="Arial"/>
          <w:color w:val="000000" w:themeColor="text1"/>
          <w:lang w:val="es-ES"/>
        </w:rPr>
        <w:footnoteReference w:id="16"/>
      </w:r>
      <w:r w:rsidRPr="00D01FFA">
        <w:rPr>
          <w:rFonts w:ascii="Verdana" w:eastAsia="Calibri" w:hAnsi="Verdana" w:cs="Arial"/>
          <w:color w:val="000000" w:themeColor="text1"/>
          <w:lang w:val="es-ES"/>
        </w:rPr>
        <w:t xml:space="preserve"> y autoriza la gestión documental electrónica</w:t>
      </w:r>
      <w:r w:rsidRPr="00D01FFA">
        <w:rPr>
          <w:rStyle w:val="Refdenotaalpie"/>
          <w:rFonts w:ascii="Verdana" w:eastAsia="Calibri" w:hAnsi="Verdana" w:cs="Arial"/>
          <w:color w:val="000000" w:themeColor="text1"/>
          <w:lang w:val="es-ES"/>
        </w:rPr>
        <w:footnoteReference w:id="17"/>
      </w:r>
      <w:r w:rsidRPr="00D01FFA">
        <w:rPr>
          <w:rFonts w:ascii="Verdana" w:eastAsia="Calibri" w:hAnsi="Verdana" w:cs="Arial"/>
          <w:color w:val="000000" w:themeColor="text1"/>
          <w:lang w:val="es-ES"/>
        </w:rPr>
        <w:t>.</w:t>
      </w:r>
    </w:p>
    <w:p w14:paraId="233BA4AB" w14:textId="77777777" w:rsidR="00FB3658" w:rsidRPr="00D01FFA" w:rsidRDefault="00FB3658" w:rsidP="00FB3658">
      <w:pPr>
        <w:spacing w:before="120" w:after="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Pero no solo las disposiciones que integran lo que comúnmente conocemos como normativa “anti-trámites” –y que se acaban de reseñar– han sido las que han permitido o exigido el uso de medios electrónicos en las actuaciones normativas. También lo han hecho: la Ley 527 de 1999, la Ley 1150 de 2007, la Ley 1341 de 2009 y la Ley 1437 de 2011.</w:t>
      </w:r>
    </w:p>
    <w:p w14:paraId="4228F9E1" w14:textId="77777777" w:rsidR="00FB3658" w:rsidRPr="00D01FFA" w:rsidRDefault="00FB3658" w:rsidP="00FB3658">
      <w:pPr>
        <w:spacing w:before="120" w:after="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lastRenderedPageBreak/>
        <w:t>En efecto, la Ley 527 de 1999, “Por medio de la cual se define y reglamenta el acceso y uso de los mensajes de datos, del comercio electrónico y de las firmas digitales, y se establecen las entidades de certificación y se dictan otras disposiciones” establece en el artículo 10º que, “En toda actuación administrativa o judicial, no se negará eficacia, validez o fuerza obligatoria y probatoria a todo tipo de información en forma de un mensaje de datos, por el sólo hecho que se trate de un mensaje de datos o en razón de no haber sido presentado en su forma original”. De igual manera, define el “mensaje de datos” como “La información generada, enviada, recibida, almacenada o comunicada por medios electrónicos, ópticos o similares, como pudieran ser, entre otros, el Intercambio Electrónico de Datos (EDI), Internet, el correo electrónico, el telegrama, el télex o el telefax”</w:t>
      </w:r>
      <w:r w:rsidRPr="00D01FFA">
        <w:rPr>
          <w:rStyle w:val="Refdenotaalpie"/>
          <w:rFonts w:ascii="Verdana" w:eastAsia="Calibri" w:hAnsi="Verdana" w:cs="Arial"/>
          <w:color w:val="000000" w:themeColor="text1"/>
          <w:lang w:val="es-ES"/>
        </w:rPr>
        <w:footnoteReference w:id="18"/>
      </w:r>
      <w:r w:rsidRPr="00D01FFA">
        <w:rPr>
          <w:rFonts w:ascii="Verdana" w:eastAsia="Calibri" w:hAnsi="Verdana" w:cs="Arial"/>
          <w:color w:val="000000" w:themeColor="text1"/>
          <w:lang w:val="es-ES"/>
        </w:rPr>
        <w:t xml:space="preserve"> y “sistema de información” como “todo sistema utilizado para generar, enviar, recibir, archivar o procesar de alguna otra forma mensajes de datos”</w:t>
      </w:r>
      <w:r w:rsidRPr="00D01FFA">
        <w:rPr>
          <w:rStyle w:val="Refdenotaalpie"/>
          <w:rFonts w:ascii="Verdana" w:eastAsia="Calibri" w:hAnsi="Verdana" w:cs="Arial"/>
          <w:color w:val="000000" w:themeColor="text1"/>
          <w:lang w:val="es-ES"/>
        </w:rPr>
        <w:footnoteReference w:id="19"/>
      </w:r>
      <w:r w:rsidRPr="00D01FFA">
        <w:rPr>
          <w:rFonts w:ascii="Verdana" w:eastAsia="Calibri" w:hAnsi="Verdana" w:cs="Arial"/>
          <w:color w:val="000000" w:themeColor="text1"/>
          <w:lang w:val="es-ES"/>
        </w:rPr>
        <w:t xml:space="preserve">. Bajo este entendido, las aplicaciones web, que posibilitan el envío de mensajes de datos escritos o audiovisuales, como </w:t>
      </w:r>
      <w:r w:rsidRPr="00D01FFA">
        <w:rPr>
          <w:rFonts w:ascii="Verdana" w:eastAsia="Calibri" w:hAnsi="Verdana" w:cs="Arial"/>
          <w:i/>
          <w:iCs/>
          <w:color w:val="000000" w:themeColor="text1"/>
          <w:lang w:val="es-ES"/>
        </w:rPr>
        <w:t>Skype</w:t>
      </w:r>
      <w:r w:rsidRPr="00D01FFA">
        <w:rPr>
          <w:rFonts w:ascii="Verdana" w:eastAsia="Calibri" w:hAnsi="Verdana" w:cs="Arial"/>
          <w:color w:val="000000" w:themeColor="text1"/>
          <w:lang w:val="es-ES"/>
        </w:rPr>
        <w:t xml:space="preserve">, </w:t>
      </w:r>
      <w:r w:rsidRPr="00D01FFA">
        <w:rPr>
          <w:rFonts w:ascii="Verdana" w:eastAsia="Calibri" w:hAnsi="Verdana" w:cs="Arial"/>
          <w:i/>
          <w:iCs/>
          <w:color w:val="000000" w:themeColor="text1"/>
          <w:lang w:val="es-ES"/>
        </w:rPr>
        <w:t>Facetime</w:t>
      </w:r>
      <w:r w:rsidRPr="00D01FFA">
        <w:rPr>
          <w:rFonts w:ascii="Verdana" w:eastAsia="Calibri" w:hAnsi="Verdana" w:cs="Arial"/>
          <w:color w:val="000000" w:themeColor="text1"/>
          <w:lang w:val="es-ES"/>
        </w:rPr>
        <w:t xml:space="preserve">, </w:t>
      </w:r>
      <w:r w:rsidRPr="00D01FFA">
        <w:rPr>
          <w:rFonts w:ascii="Verdana" w:eastAsia="Calibri" w:hAnsi="Verdana" w:cs="Arial"/>
          <w:i/>
          <w:iCs/>
          <w:color w:val="000000" w:themeColor="text1"/>
          <w:lang w:val="es-ES"/>
        </w:rPr>
        <w:t>Whatsapp</w:t>
      </w:r>
      <w:r w:rsidRPr="00D01FFA">
        <w:rPr>
          <w:rFonts w:ascii="Verdana" w:eastAsia="Calibri" w:hAnsi="Verdana" w:cs="Arial"/>
          <w:color w:val="000000" w:themeColor="text1"/>
          <w:lang w:val="es-ES"/>
        </w:rPr>
        <w:t xml:space="preserve">, </w:t>
      </w:r>
      <w:r w:rsidRPr="00D01FFA">
        <w:rPr>
          <w:rFonts w:ascii="Verdana" w:eastAsia="Calibri" w:hAnsi="Verdana" w:cs="Arial"/>
          <w:i/>
          <w:iCs/>
          <w:color w:val="000000" w:themeColor="text1"/>
          <w:lang w:val="es-ES"/>
        </w:rPr>
        <w:t>Teams</w:t>
      </w:r>
      <w:r w:rsidRPr="00D01FFA">
        <w:rPr>
          <w:rFonts w:ascii="Verdana" w:eastAsia="Calibri" w:hAnsi="Verdana" w:cs="Arial"/>
          <w:color w:val="000000" w:themeColor="text1"/>
          <w:lang w:val="es-ES"/>
        </w:rPr>
        <w:t>, entre otras, constituyen sistemas de información, permitidos por el legislador en las actuaciones administrativas.</w:t>
      </w:r>
    </w:p>
    <w:p w14:paraId="39070AB3" w14:textId="77777777" w:rsidR="00FB3658" w:rsidRPr="00D01FFA" w:rsidRDefault="00FB3658" w:rsidP="00FB3658">
      <w:pPr>
        <w:spacing w:before="120" w:after="0" w:line="276" w:lineRule="auto"/>
        <w:ind w:firstLine="709"/>
        <w:jc w:val="both"/>
        <w:rPr>
          <w:rFonts w:ascii="Verdana" w:eastAsia="Calibri" w:hAnsi="Verdana" w:cs="Arial"/>
          <w:color w:val="000000" w:themeColor="text1"/>
          <w:lang w:val="es-ES_tradnl"/>
        </w:rPr>
      </w:pPr>
      <w:r w:rsidRPr="00D01FFA">
        <w:rPr>
          <w:rFonts w:ascii="Verdana" w:eastAsia="Calibri" w:hAnsi="Verdana" w:cs="Arial"/>
          <w:color w:val="000000" w:themeColor="text1"/>
          <w:lang w:val="es-ES_tradnl"/>
        </w:rPr>
        <w:t>Adicionalmente, la Ley 1150 de 2007, “Por medio de la cual se introducen medidas para la eficiencia y la transparencia en la Ley 80 de 1993 y se dictan otras disposiciones generales sobre la contratación con Recursos Públicos”, incorporó la posibilidad de utilizar dichos sistemas de información y en general los medios electrónicos en las actuaciones contractuales. Así se infiere del artículo 3, a cuyo tenor:</w:t>
      </w:r>
    </w:p>
    <w:p w14:paraId="5E324653" w14:textId="77777777" w:rsidR="00FB3658" w:rsidRPr="00924E10" w:rsidRDefault="00FB3658" w:rsidP="00FB3658">
      <w:pPr>
        <w:spacing w:after="0" w:line="276" w:lineRule="auto"/>
        <w:ind w:firstLine="709"/>
        <w:jc w:val="both"/>
        <w:rPr>
          <w:rFonts w:ascii="Verdana" w:eastAsia="Calibri" w:hAnsi="Verdana" w:cs="Arial"/>
          <w:color w:val="000000" w:themeColor="text1"/>
          <w:sz w:val="21"/>
          <w:szCs w:val="21"/>
          <w:highlight w:val="yellow"/>
          <w:lang w:val="es-ES_tradnl"/>
        </w:rPr>
      </w:pPr>
    </w:p>
    <w:p w14:paraId="49C0BB10"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t>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01D537A6"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lastRenderedPageBreak/>
        <w:t>Lo anterior, sin perjuicio de las publicaciones previstas en el numeral 3 del artículo 30 de la Ley 80 de 1993.</w:t>
      </w:r>
    </w:p>
    <w:p w14:paraId="6BC47ED1"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
        </w:rPr>
        <w:t>Con el fin de materializar los objetivos a que se refiere el inciso anterior, el Gobierno Nacional desarrollará el Sistema Electrónico para la Contratación Pública, SECOP, el cual:</w:t>
      </w:r>
    </w:p>
    <w:p w14:paraId="6C421BE0"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t>a) Dispondrá de las funcionalidades tecnológicas para realizar procesos de contratación electrónicos bajo los métodos de selección señalados en el artículo 2o de la presente ley según lo defina el reglamento;</w:t>
      </w:r>
    </w:p>
    <w:p w14:paraId="3F344C32"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t>b) Servirá de punto único de ingreso de información y de generación de reportes para las entidades estatales y la ciudadanía;</w:t>
      </w:r>
    </w:p>
    <w:p w14:paraId="545C02B0"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t>c) Contará con la información oficial de la contratación realizada con dineros públicos, para lo cual establecerá los patrones a que haya lugar y se encargará de su difusión a través de canales electrónicos y;</w:t>
      </w:r>
    </w:p>
    <w:p w14:paraId="68E002AF"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_tradnl"/>
        </w:rPr>
        <w:t>d) Integrará el Registro Único Empresarial de las Cámaras de Comercio, el Diario Único de Contratación Estatal y los demás sistemas que involucren la gestión contractual pública. Así mismo, se articulará con el Sistema de Información para la Vigilancia de la Contratación Estatal, SICE, creado por la Ley 598 de 2000, sin que este pierda su autonomía para el ejercicio del control fiscal a la contratación pública.</w:t>
      </w:r>
    </w:p>
    <w:p w14:paraId="74D3F13A" w14:textId="77777777" w:rsidR="00FB3658" w:rsidRPr="00D01FFA" w:rsidRDefault="00FB3658" w:rsidP="00FB3658">
      <w:pPr>
        <w:ind w:left="709" w:right="709"/>
        <w:jc w:val="both"/>
        <w:rPr>
          <w:rFonts w:ascii="Verdana" w:eastAsia="Calibri" w:hAnsi="Verdana" w:cs="Arial"/>
          <w:color w:val="000000" w:themeColor="text1"/>
          <w:sz w:val="20"/>
          <w:szCs w:val="20"/>
          <w:lang w:val="es-ES_tradnl"/>
        </w:rPr>
      </w:pPr>
      <w:r w:rsidRPr="00D01FFA">
        <w:rPr>
          <w:rFonts w:ascii="Verdana" w:eastAsia="Calibri" w:hAnsi="Verdana" w:cs="Arial"/>
          <w:color w:val="000000" w:themeColor="text1"/>
          <w:sz w:val="20"/>
          <w:szCs w:val="20"/>
          <w:lang w:val="es-ES"/>
        </w:rPr>
        <w:t>PARÁGRAFO 1o. En ningún caso la administración del SECOP supondrá la creación de una nueva entidad.</w:t>
      </w:r>
    </w:p>
    <w:p w14:paraId="01DA2F5E" w14:textId="77777777" w:rsidR="00FB3658" w:rsidRPr="00924E10" w:rsidRDefault="00FB3658" w:rsidP="00FB3658">
      <w:pPr>
        <w:spacing w:after="0"/>
        <w:ind w:left="709" w:right="709"/>
        <w:jc w:val="both"/>
        <w:rPr>
          <w:rFonts w:ascii="Verdana" w:eastAsia="Calibri" w:hAnsi="Verdana" w:cs="Arial"/>
          <w:color w:val="000000" w:themeColor="text1"/>
          <w:sz w:val="21"/>
          <w:szCs w:val="21"/>
          <w:highlight w:val="yellow"/>
          <w:lang w:val="es-ES"/>
        </w:rPr>
      </w:pPr>
      <w:r w:rsidRPr="00D01FFA">
        <w:rPr>
          <w:rFonts w:ascii="Verdana" w:eastAsia="Calibri" w:hAnsi="Verdana" w:cs="Arial"/>
          <w:color w:val="000000" w:themeColor="text1"/>
          <w:sz w:val="20"/>
          <w:szCs w:val="20"/>
          <w:lang w:val="es-ES"/>
        </w:rPr>
        <w:t>El SECOP será administrado por el organismo que designe el Gobierno Nacional, sin perjuicio de la autonomía que respecto del SICE confiere la Ley 598 de 2000 a la Contraloría General de la República</w:t>
      </w:r>
      <w:r w:rsidRPr="00D01FFA">
        <w:rPr>
          <w:rFonts w:ascii="Verdana" w:eastAsia="Calibri" w:hAnsi="Verdana" w:cs="Arial"/>
          <w:color w:val="000000" w:themeColor="text1"/>
          <w:sz w:val="21"/>
          <w:szCs w:val="21"/>
          <w:lang w:val="es-ES"/>
        </w:rPr>
        <w:t>.</w:t>
      </w:r>
    </w:p>
    <w:p w14:paraId="2A57CED7" w14:textId="77777777" w:rsidR="00FB3658" w:rsidRPr="00924E10" w:rsidRDefault="00FB3658" w:rsidP="00FB3658">
      <w:pPr>
        <w:spacing w:after="0"/>
        <w:ind w:left="709" w:right="709"/>
        <w:jc w:val="both"/>
        <w:rPr>
          <w:rFonts w:ascii="Verdana" w:eastAsia="Calibri" w:hAnsi="Verdana" w:cs="Arial"/>
          <w:color w:val="000000" w:themeColor="text1"/>
          <w:highlight w:val="yellow"/>
          <w:lang w:val="es-ES_tradnl"/>
        </w:rPr>
      </w:pPr>
    </w:p>
    <w:p w14:paraId="05A6CF99" w14:textId="77777777" w:rsidR="00FB3658" w:rsidRPr="00D01FFA" w:rsidRDefault="00FB3658" w:rsidP="00FB3658">
      <w:pPr>
        <w:spacing w:after="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Como se observa, este enunciado normativo introduce en la contratación estatal la regulación contenida en la Ley 527 de 1999, permitiendo que el trámite de los procedimientos contractuales se realice por medios electrónicos; medios en los que cabe, como ya se indicó, el uso de sistemas de información para el envío de mensajes de datos.</w:t>
      </w:r>
    </w:p>
    <w:p w14:paraId="6B76E19E" w14:textId="77777777" w:rsidR="00FB3658" w:rsidRPr="00D01FFA" w:rsidRDefault="00FB3658" w:rsidP="00FB3658">
      <w:pPr>
        <w:pStyle w:val="paragraph"/>
        <w:spacing w:before="0" w:beforeAutospacing="0" w:after="120" w:afterAutospacing="0" w:line="276" w:lineRule="auto"/>
        <w:jc w:val="both"/>
        <w:textAlignment w:val="baseline"/>
        <w:rPr>
          <w:rStyle w:val="eop"/>
          <w:rFonts w:ascii="Verdana" w:eastAsiaTheme="minorHAnsi" w:hAnsi="Verdana" w:cs="Arial"/>
          <w:color w:val="000000" w:themeColor="text1"/>
          <w:sz w:val="22"/>
          <w:szCs w:val="22"/>
          <w:lang w:val="es-MX" w:eastAsia="en-US"/>
        </w:rPr>
      </w:pPr>
      <w:r w:rsidRPr="00D01FFA">
        <w:rPr>
          <w:rFonts w:ascii="Verdana" w:eastAsia="Calibri" w:hAnsi="Verdana" w:cs="Arial"/>
          <w:color w:val="000000" w:themeColor="text1"/>
          <w:sz w:val="22"/>
          <w:szCs w:val="22"/>
          <w:lang w:val="es-ES"/>
        </w:rPr>
        <w:t>i</w:t>
      </w:r>
      <w:r>
        <w:rPr>
          <w:rFonts w:ascii="Verdana" w:eastAsia="Calibri" w:hAnsi="Verdana" w:cs="Arial"/>
          <w:color w:val="000000" w:themeColor="text1"/>
          <w:sz w:val="22"/>
          <w:szCs w:val="22"/>
          <w:lang w:val="es-ES"/>
        </w:rPr>
        <w:t>v</w:t>
      </w:r>
      <w:r w:rsidRPr="00D01FFA">
        <w:rPr>
          <w:rFonts w:ascii="Verdana" w:eastAsia="Calibri" w:hAnsi="Verdana" w:cs="Arial"/>
          <w:color w:val="000000" w:themeColor="text1"/>
          <w:sz w:val="22"/>
          <w:szCs w:val="22"/>
          <w:lang w:val="es-ES"/>
        </w:rPr>
        <w:t>. Por otro lado, e</w:t>
      </w:r>
      <w:r w:rsidRPr="00D01FFA">
        <w:rPr>
          <w:rStyle w:val="normaltextrun"/>
          <w:rFonts w:ascii="Verdana" w:hAnsi="Verdana" w:cs="Arial"/>
          <w:color w:val="000000" w:themeColor="text1"/>
          <w:sz w:val="22"/>
          <w:szCs w:val="22"/>
          <w:lang w:val="es-MX"/>
        </w:rPr>
        <w:t>l artículo 23 de la Ley 80 de 1993 regula los principios que rigen las actuaciones dentro de los procedimientos contractuales que adelantan las entidades</w:t>
      </w:r>
      <w:r w:rsidRPr="00D01FFA">
        <w:rPr>
          <w:rStyle w:val="textrun"/>
          <w:rFonts w:ascii="Verdana" w:hAnsi="Verdana" w:cs="Arial"/>
          <w:color w:val="000000" w:themeColor="text1"/>
          <w:sz w:val="22"/>
          <w:szCs w:val="22"/>
          <w:vertAlign w:val="superscript"/>
        </w:rPr>
        <w:t>16</w:t>
      </w:r>
      <w:r w:rsidRPr="00D01FFA">
        <w:rPr>
          <w:rStyle w:val="normaltextrun"/>
          <w:rFonts w:ascii="Verdana" w:hAnsi="Verdana" w:cs="Arial"/>
          <w:color w:val="000000" w:themeColor="text1"/>
          <w:sz w:val="22"/>
          <w:szCs w:val="22"/>
          <w:lang w:val="es-MX"/>
        </w:rPr>
        <w:t xml:space="preserve">, y se destaca el principio de transparencia, desarrollado por el artículo 24, que contiene las reglas que permiten a los interesados conocer las actuaciones contractuales, que son públicas para poder controvertirlas a través de observaciones, por lo que se conforma un expediente y se expiden copias, de </w:t>
      </w:r>
      <w:r w:rsidRPr="00D01FFA">
        <w:rPr>
          <w:rStyle w:val="normaltextrun"/>
          <w:rFonts w:ascii="Verdana" w:hAnsi="Verdana" w:cs="Arial"/>
          <w:color w:val="000000" w:themeColor="text1"/>
          <w:sz w:val="22"/>
          <w:szCs w:val="22"/>
          <w:lang w:val="es-MX"/>
        </w:rPr>
        <w:lastRenderedPageBreak/>
        <w:t>acuerdo con lo dispuesto por la norma</w:t>
      </w:r>
      <w:r w:rsidRPr="00D01FFA">
        <w:rPr>
          <w:rStyle w:val="textrun"/>
          <w:rFonts w:ascii="Verdana" w:hAnsi="Verdana" w:cs="Arial"/>
          <w:color w:val="000000" w:themeColor="text1"/>
          <w:sz w:val="22"/>
          <w:szCs w:val="22"/>
          <w:vertAlign w:val="superscript"/>
        </w:rPr>
        <w:t>17</w:t>
      </w:r>
      <w:r w:rsidRPr="00D01FFA">
        <w:rPr>
          <w:rStyle w:val="normaltextrun"/>
          <w:rFonts w:ascii="Verdana" w:hAnsi="Verdana" w:cs="Arial"/>
          <w:color w:val="000000" w:themeColor="text1"/>
          <w:sz w:val="22"/>
          <w:szCs w:val="22"/>
          <w:lang w:val="es-MX"/>
        </w:rPr>
        <w:t>. De esta forma, las entidades deben publicar sus actuaciones de los procedimientos contractuales en el medio que ha definido el Estado para tal fin. </w:t>
      </w:r>
      <w:r w:rsidRPr="00D01FFA">
        <w:rPr>
          <w:rStyle w:val="eop"/>
          <w:rFonts w:ascii="Verdana" w:hAnsi="Verdana" w:cs="Arial"/>
          <w:color w:val="000000" w:themeColor="text1"/>
          <w:sz w:val="22"/>
          <w:szCs w:val="22"/>
        </w:rPr>
        <w:t> </w:t>
      </w:r>
    </w:p>
    <w:p w14:paraId="4ABA5DB6" w14:textId="77777777" w:rsidR="00FB3658" w:rsidRPr="00D01FFA" w:rsidRDefault="00FB3658" w:rsidP="00FB3658">
      <w:pPr>
        <w:pStyle w:val="paragraph"/>
        <w:spacing w:before="0" w:beforeAutospacing="0" w:after="0" w:afterAutospacing="0" w:line="276" w:lineRule="auto"/>
        <w:ind w:firstLine="705"/>
        <w:jc w:val="both"/>
        <w:textAlignment w:val="baseline"/>
        <w:rPr>
          <w:rFonts w:ascii="Verdana" w:hAnsi="Verdana" w:cs="Segoe UI"/>
          <w:color w:val="000000" w:themeColor="text1"/>
          <w:sz w:val="22"/>
          <w:szCs w:val="22"/>
        </w:rPr>
      </w:pPr>
      <w:r w:rsidRPr="00D01FFA">
        <w:rPr>
          <w:rStyle w:val="normaltextrun"/>
          <w:rFonts w:ascii="Verdana" w:hAnsi="Verdana" w:cs="Arial"/>
          <w:color w:val="000000" w:themeColor="text1"/>
          <w:sz w:val="22"/>
          <w:szCs w:val="22"/>
          <w:lang w:val="es-MX"/>
        </w:rPr>
        <w:t>Sobre el deber de publicidad, el artículo 2.2.1.1.1.7.1. del Decreto 1082 de 2015 regula la publicidad en el SECOP, y el deber de las entidades de publicar en dicha plataforma los documentos que resulten de la actividad contractual</w:t>
      </w:r>
      <w:r w:rsidRPr="00D01FFA">
        <w:rPr>
          <w:rStyle w:val="textrun"/>
          <w:rFonts w:ascii="Verdana" w:hAnsi="Verdana" w:cs="Arial"/>
          <w:color w:val="000000" w:themeColor="text1"/>
          <w:sz w:val="22"/>
          <w:szCs w:val="22"/>
          <w:vertAlign w:val="superscript"/>
        </w:rPr>
        <w:t>18</w:t>
      </w:r>
      <w:r w:rsidRPr="00D01FFA">
        <w:rPr>
          <w:rStyle w:val="normaltextrun"/>
          <w:rFonts w:ascii="Verdana" w:hAnsi="Verdana" w:cs="Arial"/>
          <w:color w:val="000000" w:themeColor="text1"/>
          <w:sz w:val="22"/>
          <w:szCs w:val="22"/>
          <w:lang w:val="es-MX"/>
        </w:rPr>
        <w:t>, lo cual permite el control de las actuaciones y decisiones de la Administración y el cumplimiento de los demás principios de la contratación pública. Así lo confirma el Consejo de Estado que analizó el principio de publicidad:</w:t>
      </w:r>
      <w:r w:rsidRPr="00D01FFA">
        <w:rPr>
          <w:rStyle w:val="eop"/>
          <w:rFonts w:ascii="Verdana" w:hAnsi="Verdana" w:cs="Arial"/>
          <w:color w:val="000000" w:themeColor="text1"/>
          <w:sz w:val="22"/>
          <w:szCs w:val="22"/>
        </w:rPr>
        <w:t> </w:t>
      </w:r>
    </w:p>
    <w:p w14:paraId="6AA9FDEF" w14:textId="77777777" w:rsidR="00FB3658" w:rsidRPr="00D01FFA" w:rsidRDefault="00FB3658" w:rsidP="00FB3658">
      <w:pPr>
        <w:pStyle w:val="paragraph"/>
        <w:spacing w:before="0" w:beforeAutospacing="0" w:after="0" w:afterAutospacing="0"/>
        <w:jc w:val="both"/>
        <w:textAlignment w:val="baseline"/>
        <w:rPr>
          <w:rFonts w:ascii="Verdana" w:hAnsi="Verdana" w:cs="Segoe UI"/>
          <w:color w:val="000000" w:themeColor="text1"/>
          <w:sz w:val="22"/>
          <w:szCs w:val="22"/>
        </w:rPr>
      </w:pPr>
      <w:r w:rsidRPr="00D01FFA">
        <w:rPr>
          <w:rStyle w:val="eop"/>
          <w:rFonts w:ascii="Verdana" w:hAnsi="Verdana" w:cs="Arial"/>
          <w:color w:val="000000" w:themeColor="text1"/>
          <w:sz w:val="22"/>
          <w:szCs w:val="22"/>
        </w:rPr>
        <w:t> </w:t>
      </w:r>
    </w:p>
    <w:p w14:paraId="167FAC78" w14:textId="77777777" w:rsidR="00FB3658" w:rsidRPr="00D01FFA" w:rsidRDefault="00FB3658" w:rsidP="00FB3658">
      <w:pPr>
        <w:pStyle w:val="paragraph"/>
        <w:spacing w:before="0" w:beforeAutospacing="0" w:after="0" w:afterAutospacing="0"/>
        <w:ind w:left="705" w:right="705"/>
        <w:jc w:val="both"/>
        <w:textAlignment w:val="baseline"/>
        <w:rPr>
          <w:rFonts w:ascii="Verdana" w:hAnsi="Verdana" w:cs="Segoe UI"/>
          <w:color w:val="000000" w:themeColor="text1"/>
          <w:sz w:val="20"/>
          <w:szCs w:val="20"/>
        </w:rPr>
      </w:pPr>
      <w:r w:rsidRPr="00D01FFA">
        <w:rPr>
          <w:rStyle w:val="normaltextrun"/>
          <w:rFonts w:ascii="Verdana" w:hAnsi="Verdana" w:cs="Arial"/>
          <w:color w:val="000000" w:themeColor="text1"/>
          <w:sz w:val="20"/>
          <w:szCs w:val="20"/>
          <w:lang w:val="es-MX"/>
        </w:rPr>
        <w:t>En virtud del principio de publicidad: las autoridades deben dar a conocer sus actuaciones y decisiones mediante las comunicaciones, notificaciones o publicaciones que ordena la ley, con el propósito de que sean vinculantes y puedan ser acatadas por sus destinatarios. Publicidad significa anunciar, divulgar, difundir, informar y revelar las decisiones y su motivación para</w:t>
      </w:r>
      <w:r w:rsidRPr="00D01FFA">
        <w:rPr>
          <w:rStyle w:val="normaltextrun"/>
          <w:rFonts w:ascii="Verdana" w:hAnsi="Verdana" w:cs="Calibri"/>
          <w:color w:val="000000" w:themeColor="text1"/>
          <w:sz w:val="20"/>
          <w:szCs w:val="20"/>
          <w:lang w:val="es-MX"/>
        </w:rPr>
        <w:t> </w:t>
      </w:r>
      <w:r w:rsidRPr="00D01FFA">
        <w:rPr>
          <w:rStyle w:val="normaltextrun"/>
          <w:rFonts w:ascii="Verdana" w:hAnsi="Verdana" w:cs="Arial"/>
          <w:color w:val="000000" w:themeColor="text1"/>
          <w:sz w:val="20"/>
          <w:szCs w:val="20"/>
          <w:lang w:val="es-MX"/>
        </w:rPr>
        <w:t>hacerlas saber a quiénes va dirigida, de manera que puedan ser obligatorias, controvertibles y controlables.</w:t>
      </w:r>
      <w:r w:rsidRPr="00D01FFA">
        <w:rPr>
          <w:rStyle w:val="eop"/>
          <w:rFonts w:ascii="Verdana" w:hAnsi="Verdana" w:cs="Arial"/>
          <w:color w:val="000000" w:themeColor="text1"/>
          <w:sz w:val="20"/>
          <w:szCs w:val="20"/>
        </w:rPr>
        <w:t> </w:t>
      </w:r>
    </w:p>
    <w:p w14:paraId="3B0827A0" w14:textId="77777777" w:rsidR="00FB3658" w:rsidRPr="00D01FFA" w:rsidRDefault="00FB3658" w:rsidP="00FB3658">
      <w:pPr>
        <w:pStyle w:val="paragraph"/>
        <w:spacing w:before="0" w:beforeAutospacing="0" w:after="0" w:afterAutospacing="0"/>
        <w:ind w:left="705" w:right="705"/>
        <w:jc w:val="both"/>
        <w:textAlignment w:val="baseline"/>
        <w:rPr>
          <w:rFonts w:ascii="Verdana" w:hAnsi="Verdana" w:cs="Segoe UI"/>
          <w:color w:val="000000" w:themeColor="text1"/>
          <w:sz w:val="20"/>
          <w:szCs w:val="20"/>
        </w:rPr>
      </w:pPr>
      <w:r w:rsidRPr="00D01FFA">
        <w:rPr>
          <w:rStyle w:val="eop"/>
          <w:rFonts w:ascii="Verdana" w:hAnsi="Verdana" w:cs="Arial"/>
          <w:color w:val="000000" w:themeColor="text1"/>
          <w:sz w:val="20"/>
          <w:szCs w:val="20"/>
        </w:rPr>
        <w:t> </w:t>
      </w:r>
    </w:p>
    <w:p w14:paraId="42E4E929" w14:textId="77777777" w:rsidR="00FB3658" w:rsidRPr="00D01FFA" w:rsidRDefault="00FB3658" w:rsidP="00FB3658">
      <w:pPr>
        <w:pStyle w:val="paragraph"/>
        <w:spacing w:before="0" w:beforeAutospacing="0" w:after="0" w:afterAutospacing="0"/>
        <w:ind w:left="705" w:right="705"/>
        <w:jc w:val="both"/>
        <w:textAlignment w:val="baseline"/>
        <w:rPr>
          <w:rFonts w:ascii="Verdana" w:hAnsi="Verdana" w:cs="Segoe UI"/>
          <w:color w:val="000000" w:themeColor="text1"/>
          <w:sz w:val="20"/>
          <w:szCs w:val="20"/>
        </w:rPr>
      </w:pPr>
      <w:r w:rsidRPr="00D01FFA">
        <w:rPr>
          <w:rStyle w:val="normaltextrun"/>
          <w:rFonts w:ascii="Verdana" w:hAnsi="Verdana" w:cs="Arial"/>
          <w:color w:val="000000" w:themeColor="text1"/>
          <w:sz w:val="20"/>
          <w:szCs w:val="20"/>
          <w:lang w:val="es-MX"/>
        </w:rPr>
        <w:t>En efecto, los posibles oferentes y la comunidad en general deben tener conocimiento o la oportunidad de conocer tanto la convocatoria y reglas del proceso de selección o llamado a la licitación, como los actos y hechos del procedimiento y los participantes de presentar observaciones (art. 24 Nos. 2 y 6 y 30 No. 3 Ley 80 de 1993). La actuación de la administración debe ser abierta al público y a los participantes o concurrentes, quienes, incluso, en el caso de la licitación pueden hacer uso del ejercicio del derecho a la audiencia pública (art. 24 No. 3 ibídem en armonía con el artículo 273 de la Constitución Política).</w:t>
      </w:r>
      <w:r w:rsidRPr="00D01FFA">
        <w:rPr>
          <w:rStyle w:val="eop"/>
          <w:rFonts w:ascii="Verdana" w:hAnsi="Verdana" w:cs="Arial"/>
          <w:color w:val="000000" w:themeColor="text1"/>
          <w:sz w:val="20"/>
          <w:szCs w:val="20"/>
        </w:rPr>
        <w:t> </w:t>
      </w:r>
    </w:p>
    <w:p w14:paraId="62D1A109" w14:textId="77777777" w:rsidR="00FB3658" w:rsidRPr="00D01FFA" w:rsidRDefault="00FB3658" w:rsidP="00FB3658">
      <w:pPr>
        <w:pStyle w:val="paragraph"/>
        <w:spacing w:before="0" w:beforeAutospacing="0" w:after="0" w:afterAutospacing="0"/>
        <w:ind w:left="705" w:right="705"/>
        <w:jc w:val="both"/>
        <w:textAlignment w:val="baseline"/>
        <w:rPr>
          <w:rFonts w:ascii="Verdana" w:hAnsi="Verdana" w:cs="Segoe UI"/>
          <w:color w:val="000000" w:themeColor="text1"/>
          <w:sz w:val="20"/>
          <w:szCs w:val="20"/>
        </w:rPr>
      </w:pPr>
      <w:r w:rsidRPr="00D01FFA">
        <w:rPr>
          <w:rStyle w:val="eop"/>
          <w:rFonts w:ascii="Verdana" w:hAnsi="Verdana" w:cs="Arial"/>
          <w:color w:val="000000" w:themeColor="text1"/>
          <w:sz w:val="20"/>
          <w:szCs w:val="20"/>
        </w:rPr>
        <w:t> </w:t>
      </w:r>
    </w:p>
    <w:p w14:paraId="1F1BB9A0" w14:textId="77777777" w:rsidR="00FB3658" w:rsidRPr="00D01FFA" w:rsidRDefault="00FB3658" w:rsidP="00FB3658">
      <w:pPr>
        <w:pStyle w:val="paragraph"/>
        <w:spacing w:before="0" w:beforeAutospacing="0" w:after="0" w:afterAutospacing="0"/>
        <w:ind w:left="705" w:right="705"/>
        <w:jc w:val="both"/>
        <w:textAlignment w:val="baseline"/>
        <w:rPr>
          <w:rFonts w:ascii="Verdana" w:hAnsi="Verdana" w:cs="Segoe UI"/>
          <w:color w:val="000000" w:themeColor="text1"/>
          <w:sz w:val="20"/>
          <w:szCs w:val="20"/>
        </w:rPr>
      </w:pPr>
      <w:r w:rsidRPr="00D01FFA">
        <w:rPr>
          <w:rStyle w:val="normaltextrun"/>
          <w:rFonts w:ascii="Verdana" w:hAnsi="Verdana" w:cs="Arial"/>
          <w:color w:val="000000" w:themeColor="text1"/>
          <w:sz w:val="20"/>
          <w:szCs w:val="20"/>
          <w:lang w:val="es-MX"/>
        </w:rPr>
        <w:t>Este principio-deber también se traduce en el correlativo derecho de los interesados de enterarse de esas actuaciones de la administración, pedir por parte de quien demuestre un interés legítimo información y solicitar las copias de los documentos que la integran, con sujeción a la reserva de ley (art. 23 y 74 de la C.P., No. 4 del artículo 24 de la Ley 80 de 1993, entre otros)</w:t>
      </w:r>
      <w:r w:rsidRPr="00D01FFA">
        <w:rPr>
          <w:rStyle w:val="textrun"/>
          <w:rFonts w:ascii="Verdana" w:hAnsi="Verdana" w:cs="Arial"/>
          <w:color w:val="000000" w:themeColor="text1"/>
          <w:sz w:val="20"/>
          <w:szCs w:val="20"/>
          <w:vertAlign w:val="superscript"/>
        </w:rPr>
        <w:t>19</w:t>
      </w:r>
      <w:r w:rsidRPr="00D01FFA">
        <w:rPr>
          <w:rStyle w:val="normaltextrun"/>
          <w:rFonts w:ascii="Verdana" w:hAnsi="Verdana" w:cs="Arial"/>
          <w:color w:val="000000" w:themeColor="text1"/>
          <w:sz w:val="20"/>
          <w:szCs w:val="20"/>
          <w:lang w:val="es-MX"/>
        </w:rPr>
        <w:t>.</w:t>
      </w:r>
      <w:r w:rsidRPr="00D01FFA">
        <w:rPr>
          <w:rStyle w:val="eop"/>
          <w:rFonts w:ascii="Verdana" w:hAnsi="Verdana" w:cs="Arial"/>
          <w:color w:val="000000" w:themeColor="text1"/>
          <w:sz w:val="20"/>
          <w:szCs w:val="20"/>
        </w:rPr>
        <w:t> </w:t>
      </w:r>
    </w:p>
    <w:p w14:paraId="05AD036C" w14:textId="77777777" w:rsidR="00FB3658" w:rsidRPr="00D01FFA" w:rsidRDefault="00FB3658" w:rsidP="00FB3658">
      <w:pPr>
        <w:pStyle w:val="paragraph"/>
        <w:spacing w:before="0" w:beforeAutospacing="0" w:after="0" w:afterAutospacing="0"/>
        <w:ind w:left="705" w:right="675"/>
        <w:jc w:val="both"/>
        <w:textAlignment w:val="baseline"/>
        <w:rPr>
          <w:rFonts w:ascii="Verdana" w:eastAsia="Calibri" w:hAnsi="Verdana" w:cs="Arial"/>
          <w:color w:val="000000" w:themeColor="text1"/>
          <w:sz w:val="22"/>
          <w:szCs w:val="22"/>
          <w:lang w:val="es-MX" w:eastAsia="en-US"/>
        </w:rPr>
      </w:pPr>
      <w:r w:rsidRPr="00D01FFA">
        <w:rPr>
          <w:rStyle w:val="eop"/>
          <w:rFonts w:ascii="Verdana" w:hAnsi="Verdana" w:cs="Arial"/>
          <w:color w:val="000000" w:themeColor="text1"/>
          <w:sz w:val="22"/>
          <w:szCs w:val="22"/>
        </w:rPr>
        <w:t> </w:t>
      </w:r>
    </w:p>
    <w:p w14:paraId="596906F9" w14:textId="77777777" w:rsidR="00FB3658" w:rsidRPr="00D01FFA" w:rsidRDefault="00FB3658" w:rsidP="00FB3658">
      <w:pPr>
        <w:pStyle w:val="paragraph"/>
        <w:spacing w:before="0" w:beforeAutospacing="0" w:after="120" w:afterAutospacing="0" w:line="276" w:lineRule="auto"/>
        <w:ind w:firstLine="705"/>
        <w:jc w:val="both"/>
        <w:textAlignment w:val="baseline"/>
        <w:rPr>
          <w:rFonts w:ascii="Verdana" w:eastAsia="Calibri" w:hAnsi="Verdana" w:cs="Arial"/>
          <w:color w:val="000000" w:themeColor="text1"/>
          <w:sz w:val="22"/>
          <w:szCs w:val="22"/>
          <w:lang w:val="es-MX" w:eastAsia="en-US"/>
        </w:rPr>
      </w:pPr>
      <w:r w:rsidRPr="00D01FFA">
        <w:rPr>
          <w:rFonts w:ascii="Verdana" w:eastAsia="Calibri" w:hAnsi="Verdana" w:cs="Arial"/>
          <w:color w:val="000000" w:themeColor="text1"/>
          <w:sz w:val="22"/>
          <w:szCs w:val="22"/>
          <w:lang w:val="es-MX" w:eastAsia="en-US"/>
        </w:rPr>
        <w:t xml:space="preserve">De acuerdo con esto, las entidades deben cumplir con el principio de publicidad respecto de su actividad contractual, como garantía para los administrados para conocer las actuaciones y participar en el control de estas. Por ende, el SECOP es la herramienta que dispuso el Estado para que las entidades cumplan el principio de publicidad, y la Agencia Nacional de Contratación Pública ‒ Colombia Compra Eficiente, mediante la Circular Externa </w:t>
      </w:r>
      <w:r w:rsidRPr="00D01FFA">
        <w:rPr>
          <w:rFonts w:ascii="Verdana" w:eastAsia="Calibri" w:hAnsi="Verdana" w:cs="Arial"/>
          <w:color w:val="000000" w:themeColor="text1"/>
          <w:sz w:val="22"/>
          <w:szCs w:val="22"/>
          <w:lang w:val="es-MX" w:eastAsia="en-US"/>
        </w:rPr>
        <w:lastRenderedPageBreak/>
        <w:t>No 1 de 21 de junio de 2013, recopilada en la Circular Externa Única, recordó a todas las entidades del Estado el deber de publicar oportunamente su actividad contractual en el SECOP, sin que sea relevante para la exigencia de esta obligación su régimen jurídico, naturaleza pública o privada, o la pertenencia a una u otra rama del poder público.  </w:t>
      </w:r>
    </w:p>
    <w:p w14:paraId="2D3D55E6" w14:textId="77777777" w:rsidR="00FB3658" w:rsidRPr="00D01FFA" w:rsidRDefault="00FB3658" w:rsidP="00FB3658">
      <w:pPr>
        <w:spacing w:after="120" w:line="276" w:lineRule="auto"/>
        <w:ind w:firstLine="708"/>
        <w:jc w:val="both"/>
        <w:rPr>
          <w:rFonts w:ascii="Verdana" w:eastAsia="Calibri" w:hAnsi="Verdana" w:cs="Arial"/>
          <w:color w:val="000000" w:themeColor="text1"/>
        </w:rPr>
      </w:pPr>
      <w:r w:rsidRPr="00D01FFA">
        <w:rPr>
          <w:rFonts w:ascii="Verdana" w:eastAsia="Calibri" w:hAnsi="Verdana" w:cs="Arial"/>
          <w:color w:val="000000" w:themeColor="text1"/>
        </w:rPr>
        <w:t>El artículo 3 de la Ley 1150 de 2007 señala que los actos relacionados con los procedimientos de contratación de las entidades pueden ser electrónicos, al igual que su publicidad, por lo que el Gobierno nacional debe definir los medios para llevarlo a cabo, y tiene la obligación de desarrollar el SECOP</w:t>
      </w:r>
      <w:r w:rsidRPr="00D01FFA">
        <w:rPr>
          <w:rStyle w:val="Refdenotaalpie"/>
          <w:rFonts w:ascii="Verdana" w:eastAsia="Calibri" w:hAnsi="Verdana" w:cs="Arial"/>
          <w:color w:val="000000" w:themeColor="text1"/>
        </w:rPr>
        <w:footnoteReference w:id="20"/>
      </w:r>
      <w:r w:rsidRPr="00D01FFA">
        <w:rPr>
          <w:rFonts w:ascii="Verdana" w:eastAsia="Calibri" w:hAnsi="Verdana" w:cs="Arial"/>
          <w:color w:val="000000" w:themeColor="text1"/>
        </w:rPr>
        <w:t>. Este sistema debe contar con la información oficial de los procedimientos contractuales de las entidades, teniendo en cuenta que se ejecutan recursos públicos y por ende la ciudadanía tiene derecho a conocer cómo se invierten, y controlar que el objetivo sea la satisfacción de sus necesidades.</w:t>
      </w:r>
    </w:p>
    <w:p w14:paraId="2515316C" w14:textId="77777777" w:rsidR="00FB3658" w:rsidRPr="00D01FFA" w:rsidRDefault="00FB3658" w:rsidP="00FB3658">
      <w:pPr>
        <w:spacing w:line="276" w:lineRule="auto"/>
        <w:ind w:firstLine="709"/>
        <w:jc w:val="both"/>
        <w:rPr>
          <w:rFonts w:ascii="Verdana" w:eastAsia="Calibri" w:hAnsi="Verdana" w:cs="Arial"/>
          <w:color w:val="000000" w:themeColor="text1"/>
        </w:rPr>
      </w:pPr>
      <w:r w:rsidRPr="00D01FFA">
        <w:rPr>
          <w:rFonts w:ascii="Verdana" w:eastAsia="Calibri" w:hAnsi="Verdana" w:cs="Arial"/>
          <w:color w:val="000000" w:themeColor="text1"/>
        </w:rPr>
        <w:t xml:space="preserve">La norma citada genera un cambio en la contratación pública, donde las actuaciones de las entidades se realizaban por escrito y en papel, y ahora se crea un mecanismo eficiente que reduce costos para que se cumpla el principio de publicidad, como un deber de las </w:t>
      </w:r>
      <w:proofErr w:type="gramStart"/>
      <w:r w:rsidRPr="00D01FFA">
        <w:rPr>
          <w:rFonts w:ascii="Verdana" w:eastAsia="Calibri" w:hAnsi="Verdana" w:cs="Arial"/>
          <w:color w:val="000000" w:themeColor="text1"/>
        </w:rPr>
        <w:t>autoridades públicas</w:t>
      </w:r>
      <w:proofErr w:type="gramEnd"/>
      <w:r w:rsidRPr="00D01FFA">
        <w:rPr>
          <w:rFonts w:ascii="Verdana" w:eastAsia="Calibri" w:hAnsi="Verdana" w:cs="Arial"/>
          <w:color w:val="000000" w:themeColor="text1"/>
        </w:rPr>
        <w:t xml:space="preserve"> en el ejercicio de las funciones administrativas que la ley les otorga. No obstante, la norma no establece como único supuesto para el deber de publicidad en el SECOP la ejecución de recursos públicos, ya que el deber es más amplio, teniendo en cuenta que dicha obligación está consagrada en una norma que aplica a las </w:t>
      </w:r>
      <w:r w:rsidRPr="00D01FFA">
        <w:rPr>
          <w:rFonts w:ascii="Verdana" w:eastAsia="Calibri" w:hAnsi="Verdana" w:cs="Arial"/>
          <w:color w:val="000000" w:themeColor="text1"/>
        </w:rPr>
        <w:lastRenderedPageBreak/>
        <w:t xml:space="preserve">entidades estatales, esto es, que son ellas quienes deben publicar las actuaciones relacionadas con su actividad contractual. </w:t>
      </w:r>
    </w:p>
    <w:p w14:paraId="3915C00C" w14:textId="77777777" w:rsidR="00FB3658" w:rsidRPr="00D01FFA" w:rsidRDefault="00FB3658" w:rsidP="00FB3658">
      <w:pPr>
        <w:spacing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rPr>
        <w:t xml:space="preserve">En ese contexto, esta Agencia </w:t>
      </w:r>
      <w:r w:rsidRPr="00D01FFA">
        <w:rPr>
          <w:rFonts w:ascii="Verdana" w:eastAsia="Calibri" w:hAnsi="Verdana" w:cs="Arial"/>
          <w:color w:val="000000" w:themeColor="text1"/>
          <w:lang w:val="es-ES"/>
        </w:rPr>
        <w:t>desarrolló la primera versión de la plataforma, denominada SECOP I, que funciona como medio de publicidad y no transaccional, lo que significa que, en la práctica, el procedimiento contractual ocurre fuera de la plataforma y que la entidad lleva un expediente físico, cuyos documentos se escanean para cargarlos en la plataforma por quien tenga la función dentro de la entidad, de acuerdo con su organización interna.</w:t>
      </w:r>
    </w:p>
    <w:p w14:paraId="12754E99" w14:textId="77777777" w:rsidR="00FB3658" w:rsidRPr="00D01FFA" w:rsidRDefault="00FB3658" w:rsidP="00FB3658">
      <w:pPr>
        <w:spacing w:before="120" w:after="120" w:line="276" w:lineRule="auto"/>
        <w:ind w:firstLine="708"/>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Mientras que el SECOP II es la segunda versión de la plataforma y se caracteriza por ser transaccional, esto es, permite la gestión en línea de los procedimientos de contratación, con cuentas y usuarios asociados a éstas, para las entidades y los proveedores, así como el acceso de consulta para cualquier interesado en hacer seguimiento a la contratación pública. Desde sus cuentas, las entidades crean, evalúan y adjudican procedimientos de contratación, y gestionan la fase de ejecución del contrato. Los proveedores, por su parte, pueden hacer comentarios a los documentos del procedimiento, presentar ofertas y, en general, seguir el procedimiento de selección en línea.</w:t>
      </w:r>
    </w:p>
    <w:p w14:paraId="39550CF0" w14:textId="77777777" w:rsidR="00FB3658" w:rsidRPr="00D01FFA" w:rsidRDefault="00FB3658" w:rsidP="00FB3658">
      <w:pPr>
        <w:spacing w:after="0" w:line="276" w:lineRule="auto"/>
        <w:ind w:firstLine="708"/>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Es necesario aclarar que, dado que el procedimiento contractual se desarrolla en línea y dentro de la plataforma, paulatinamente se va conformando un expediente electrónico, lo cual implica una diferencia con el SECOP I, donde el procedimiento es físico, esto es, con documentos escritos que se publican posteriormente. Al existir esa diferencia entre las dos versiones del SECOP, por regla general, no es posible cargar en SECOP II actuaciones por escrito realizadas por la entidad, como ocurre en el SECOP I, sino que los documentos y actuaciones son electrónicos. En efecto, en una de las orientaciones jurídicas del SECOP II</w:t>
      </w:r>
      <w:r w:rsidRPr="00D01FFA">
        <w:rPr>
          <w:rStyle w:val="Refdenotaalpie"/>
          <w:rFonts w:ascii="Verdana" w:eastAsia="Calibri" w:hAnsi="Verdana" w:cs="Arial"/>
          <w:color w:val="000000" w:themeColor="text1"/>
          <w:lang w:val="es-ES"/>
        </w:rPr>
        <w:footnoteReference w:id="21"/>
      </w:r>
      <w:r w:rsidRPr="00D01FFA">
        <w:rPr>
          <w:rFonts w:ascii="Verdana" w:eastAsia="Calibri" w:hAnsi="Verdana" w:cs="Arial"/>
          <w:color w:val="000000" w:themeColor="text1"/>
          <w:lang w:val="es-ES"/>
        </w:rPr>
        <w:t>, la Subdirección de Gestión Contractual explicó que:</w:t>
      </w:r>
    </w:p>
    <w:p w14:paraId="0EDE265C" w14:textId="77777777" w:rsidR="00FB3658" w:rsidRPr="00D01FFA" w:rsidRDefault="00FB3658" w:rsidP="00FB3658">
      <w:pPr>
        <w:spacing w:after="0" w:line="276" w:lineRule="auto"/>
        <w:ind w:firstLine="708"/>
        <w:jc w:val="both"/>
        <w:rPr>
          <w:rFonts w:ascii="Verdana" w:eastAsia="Calibri" w:hAnsi="Verdana" w:cs="Arial"/>
          <w:color w:val="000000" w:themeColor="text1"/>
          <w:lang w:val="es-ES"/>
        </w:rPr>
      </w:pPr>
    </w:p>
    <w:p w14:paraId="7B7262B9" w14:textId="77777777" w:rsidR="00FB3658" w:rsidRPr="00D01FFA" w:rsidRDefault="00FB3658" w:rsidP="00FB3658">
      <w:pPr>
        <w:spacing w:after="0"/>
        <w:ind w:left="709" w:right="707"/>
        <w:jc w:val="both"/>
        <w:rPr>
          <w:rFonts w:ascii="Verdana" w:eastAsia="Calibri" w:hAnsi="Verdana" w:cs="Arial"/>
          <w:color w:val="000000" w:themeColor="text1"/>
          <w:sz w:val="20"/>
          <w:szCs w:val="20"/>
          <w:lang w:val="es-ES"/>
        </w:rPr>
      </w:pPr>
      <w:r w:rsidRPr="00D01FFA">
        <w:rPr>
          <w:rFonts w:ascii="Verdana" w:eastAsia="Calibri" w:hAnsi="Verdana" w:cs="Arial"/>
          <w:color w:val="000000" w:themeColor="text1"/>
          <w:sz w:val="20"/>
          <w:szCs w:val="20"/>
          <w:lang w:val="es-ES"/>
        </w:rPr>
        <w:t xml:space="preserve">[…] </w:t>
      </w:r>
      <w:r w:rsidRPr="00D01FFA">
        <w:rPr>
          <w:rFonts w:ascii="Verdana" w:eastAsia="Calibri" w:hAnsi="Verdana" w:cs="Arial"/>
          <w:i/>
          <w:iCs/>
          <w:color w:val="000000" w:themeColor="text1"/>
          <w:sz w:val="20"/>
          <w:szCs w:val="20"/>
          <w:lang w:val="es-ES"/>
        </w:rPr>
        <w:t>Contratos electrónicos</w:t>
      </w:r>
      <w:r w:rsidRPr="00D01FFA">
        <w:rPr>
          <w:rFonts w:ascii="Verdana" w:eastAsia="Calibri" w:hAnsi="Verdana" w:cs="Arial"/>
          <w:color w:val="000000" w:themeColor="text1"/>
          <w:sz w:val="20"/>
          <w:szCs w:val="20"/>
          <w:lang w:val="es-ES"/>
        </w:rPr>
        <w:t xml:space="preserve">: </w:t>
      </w:r>
      <w:r w:rsidRPr="00D01FFA">
        <w:rPr>
          <w:rFonts w:ascii="Verdana" w:eastAsia="Calibri" w:hAnsi="Verdana" w:cs="Arial"/>
          <w:color w:val="000000" w:themeColor="text1"/>
          <w:sz w:val="20"/>
          <w:szCs w:val="20"/>
        </w:rPr>
        <w:t xml:space="preserve">Acuerdos de voluntades perfeccionados por medio de la firma electrónica en SECOP II. Están compuestos por formularios y los anexos que son, mensajes de datos que la Entidad Estatal envía al Proveedor como “contrato” y el mensaje de datos de aceptación por parte del Proveedor. Estos mensajes acompañados de la firma electrónica y el sello de tiempo que provee la plataforma constituyen el </w:t>
      </w:r>
      <w:r w:rsidRPr="00D01FFA">
        <w:rPr>
          <w:rFonts w:ascii="Verdana" w:eastAsia="Calibri" w:hAnsi="Verdana" w:cs="Arial"/>
          <w:color w:val="000000" w:themeColor="text1"/>
          <w:sz w:val="20"/>
          <w:szCs w:val="20"/>
        </w:rPr>
        <w:lastRenderedPageBreak/>
        <w:t>contrato electrónico el cual tiene plena validez y fuerza obligatoria conforme a la Ley 527 de 1999.</w:t>
      </w:r>
    </w:p>
    <w:p w14:paraId="6E424219" w14:textId="77777777" w:rsidR="00FB3658" w:rsidRPr="00924E10" w:rsidRDefault="00FB3658" w:rsidP="00FB3658">
      <w:pPr>
        <w:spacing w:after="0"/>
        <w:ind w:left="709" w:right="707"/>
        <w:jc w:val="both"/>
        <w:rPr>
          <w:rFonts w:ascii="Verdana" w:eastAsia="Calibri" w:hAnsi="Verdana" w:cs="Arial"/>
          <w:color w:val="000000" w:themeColor="text1"/>
          <w:highlight w:val="yellow"/>
          <w:lang w:val="es-ES"/>
        </w:rPr>
      </w:pPr>
    </w:p>
    <w:p w14:paraId="7EEEB2B0" w14:textId="77777777" w:rsidR="00FB3658" w:rsidRPr="00D01FFA" w:rsidRDefault="00FB3658" w:rsidP="00FB3658">
      <w:pPr>
        <w:spacing w:line="276" w:lineRule="auto"/>
        <w:ind w:firstLine="708"/>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 xml:space="preserve">La plataforma SECOP II es totalmente transaccional, por lo que el trámite se realiza en línea y la publicidad de las actuaciones es concomitante, según transcurran cada una de las etapas del procedimiento, lo que descarta, en principio, la necesidad cargar documentación alguna. Además, de acuerdo con lo prescrito en el artículo 14 de la Ley 527 de 1999, en la formación del contrato, salvo acuerdo expreso entre las partes, la oferta y su aceptación podrán expresarse por medio de un mensaje de datos, lo que implica que “[n]o se negará validez o fuerza obligatoria a un contrato por la sola razón de haberse utilizado en su formación uno o más mensajes de datos”. Igualmente, el artículo 22 </w:t>
      </w:r>
      <w:r w:rsidRPr="00D01FFA">
        <w:rPr>
          <w:rFonts w:ascii="Verdana" w:eastAsia="Calibri" w:hAnsi="Verdana" w:cs="Arial"/>
          <w:i/>
          <w:iCs/>
          <w:color w:val="000000" w:themeColor="text1"/>
          <w:lang w:val="es-ES"/>
        </w:rPr>
        <w:t>ibidem</w:t>
      </w:r>
      <w:r w:rsidRPr="00D01FFA">
        <w:rPr>
          <w:rFonts w:ascii="Verdana" w:eastAsia="Calibri" w:hAnsi="Verdana" w:cs="Arial"/>
          <w:color w:val="000000" w:themeColor="text1"/>
          <w:lang w:val="es-ES"/>
        </w:rPr>
        <w:t xml:space="preserve"> dispone que los contratos electrónicos compuestos por mensajes de datos tienen los efectos jurídicos según las normas aplicables al negocio jurídico contenido en dichos mensajes, esto es, las normas que regulan el sistema de contratación pública.</w:t>
      </w:r>
    </w:p>
    <w:p w14:paraId="264A02A6" w14:textId="77777777" w:rsidR="00FB3658" w:rsidRPr="00D01FFA" w:rsidRDefault="00FB3658" w:rsidP="00FB3658">
      <w:pPr>
        <w:spacing w:before="120" w:line="276" w:lineRule="auto"/>
        <w:ind w:firstLine="709"/>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No obstante, eventualmente puede ocurrir que al SECOP II se deban cargar documentos suscritos o no por las partes. Esto ocurre, por ejemplo, con los estudios previos, el informe de evaluación, la resolución de adjudicación o con el clausulado del contrato, entre otras actuaciones en las que los usuarios quedan habilitados para cargar documentos en la plataforma. Se trata de algo excepcional, pues, se insiste, el SECOP II es una plataforma esencialmente transaccional, distinta de la SECOP I que es una herramienta eminentemente de publicidad.</w:t>
      </w:r>
    </w:p>
    <w:p w14:paraId="005465C3" w14:textId="77777777" w:rsidR="00FB3658" w:rsidRPr="00840BCD" w:rsidRDefault="00FB3658" w:rsidP="00FB3658">
      <w:pPr>
        <w:spacing w:before="120" w:line="276" w:lineRule="auto"/>
        <w:jc w:val="both"/>
        <w:rPr>
          <w:rFonts w:ascii="Verdana" w:eastAsia="Calibri" w:hAnsi="Verdana" w:cs="Arial"/>
          <w:color w:val="000000" w:themeColor="text1"/>
          <w:lang w:val="es-ES"/>
        </w:rPr>
      </w:pPr>
      <w:r w:rsidRPr="00840BCD">
        <w:rPr>
          <w:rFonts w:ascii="Verdana" w:eastAsia="Calibri" w:hAnsi="Verdana" w:cs="Arial"/>
          <w:color w:val="000000" w:themeColor="text1"/>
          <w:lang w:val="es-ES"/>
        </w:rPr>
        <w:t>v.</w:t>
      </w:r>
      <w:r w:rsidRPr="00840BCD">
        <w:rPr>
          <w:rFonts w:ascii="Verdana" w:eastAsia="Calibri" w:hAnsi="Verdana" w:cs="Arial"/>
          <w:szCs w:val="24"/>
          <w:lang w:eastAsia="es-ES_tradnl"/>
        </w:rPr>
        <w:t xml:space="preserve"> Ahora bien, para dar respuesta a los problemas jurídicos planteados en los numerales ii, iii y iv de la consulta, se adjunta el pronunciamiento emitido por la</w:t>
      </w:r>
      <w:r w:rsidRPr="00AF1244">
        <w:rPr>
          <w:rFonts w:ascii="Verdana" w:eastAsia="Calibri" w:hAnsi="Verdana" w:cs="Arial"/>
          <w:szCs w:val="24"/>
          <w:lang w:eastAsia="es-ES_tradnl"/>
        </w:rPr>
        <w:t xml:space="preserve"> Subdirección de Información y Desarrollo Tecnológico de la Agencia Nacional de Contratación Pública – Colombia Compra Eficiente, en el que se atienden las inquietudes relacionadas con el cálculo de la duración contractual en SECOP II, la procedencia de efectuar ajustes o correcciones a la información registrada en la plataforma y los efectos que ello podría tener sobre la información contractual publicada y la trazabilidad del expediente electrónico.</w:t>
      </w:r>
    </w:p>
    <w:p w14:paraId="40D099F2" w14:textId="77777777" w:rsidR="00FB3658" w:rsidRPr="00840BCD" w:rsidRDefault="00FB3658" w:rsidP="00FB3658">
      <w:pPr>
        <w:spacing w:after="120" w:line="276" w:lineRule="auto"/>
        <w:ind w:firstLine="708"/>
        <w:jc w:val="both"/>
        <w:rPr>
          <w:rFonts w:ascii="Verdana" w:eastAsia="Calibri" w:hAnsi="Verdana" w:cs="Arial"/>
          <w:color w:val="000000" w:themeColor="text1"/>
        </w:rPr>
      </w:pPr>
      <w:r w:rsidRPr="00840BCD">
        <w:rPr>
          <w:rFonts w:ascii="Verdana" w:eastAsia="Calibri" w:hAnsi="Verdana" w:cs="Arial"/>
          <w:color w:val="000000" w:themeColor="text1"/>
        </w:rPr>
        <w:t>Finalmente, se precisa que esta Agencia no puede definir un</w:t>
      </w:r>
      <w:r w:rsidRPr="00840BCD">
        <w:rPr>
          <w:color w:val="000000" w:themeColor="text1"/>
        </w:rPr>
        <w:t xml:space="preserve"> </w:t>
      </w:r>
      <w:r w:rsidRPr="00840BCD">
        <w:rPr>
          <w:rFonts w:ascii="Verdana" w:eastAsia="Calibri" w:hAnsi="Verdana" w:cs="Arial"/>
          <w:color w:val="000000" w:themeColor="text1"/>
        </w:rPr>
        <w:t xml:space="preserve">criterio universal y absoluto por vía consultiva, sino que brinda elementos hermenéuticos de carácter general para que los partícipes del sistema de </w:t>
      </w:r>
      <w:r w:rsidRPr="00840BCD">
        <w:rPr>
          <w:rFonts w:ascii="Verdana" w:eastAsia="Calibri" w:hAnsi="Verdana" w:cs="Arial"/>
          <w:color w:val="000000" w:themeColor="text1"/>
        </w:rPr>
        <w:lastRenderedPageBreak/>
        <w:t xml:space="preserve">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bookmarkEnd w:id="1"/>
    <w:bookmarkEnd w:id="2"/>
    <w:p w14:paraId="1DAEA3EC" w14:textId="77777777" w:rsidR="00FB3658" w:rsidRPr="001F04C4" w:rsidRDefault="00FB3658" w:rsidP="00FB3658">
      <w:pPr>
        <w:spacing w:after="0" w:line="276" w:lineRule="auto"/>
        <w:jc w:val="both"/>
        <w:rPr>
          <w:rFonts w:ascii="Verdana" w:eastAsia="Century Gothic" w:hAnsi="Verdana" w:cs="Century Gothic"/>
          <w:b/>
          <w:color w:val="000000" w:themeColor="text1"/>
          <w:lang w:val="es-ES"/>
        </w:rPr>
      </w:pPr>
      <w:r w:rsidRPr="001F04C4">
        <w:rPr>
          <w:rFonts w:ascii="Verdana" w:eastAsia="Century Gothic" w:hAnsi="Verdana" w:cs="Century Gothic"/>
          <w:b/>
          <w:color w:val="000000" w:themeColor="text1"/>
          <w:lang w:val="es-ES"/>
        </w:rPr>
        <w:t>4. Referencias normativas, jurisprudenciales y otras fuentes:</w:t>
      </w:r>
    </w:p>
    <w:p w14:paraId="4FD34FC7" w14:textId="77777777" w:rsidR="00FB3658" w:rsidRPr="00CD5723" w:rsidRDefault="00FB3658" w:rsidP="00FB3658">
      <w:pPr>
        <w:spacing w:after="0" w:line="276" w:lineRule="auto"/>
        <w:jc w:val="both"/>
        <w:rPr>
          <w:rFonts w:ascii="Verdana" w:eastAsia="Century Gothic" w:hAnsi="Verdana" w:cs="Century Gothic"/>
          <w:b/>
          <w:color w:val="4472C4" w:themeColor="accen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FB3658" w:rsidRPr="00CD5723" w14:paraId="3FB2C526" w14:textId="77777777" w:rsidTr="008F58DF">
        <w:trPr>
          <w:trHeight w:val="453"/>
        </w:trPr>
        <w:tc>
          <w:tcPr>
            <w:tcW w:w="8647" w:type="dxa"/>
          </w:tcPr>
          <w:p w14:paraId="78A86439"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rPr>
            </w:pPr>
            <w:r w:rsidRPr="00D01FFA">
              <w:rPr>
                <w:rFonts w:ascii="Verdana" w:eastAsia="Calibri" w:hAnsi="Verdana" w:cs="Arial"/>
                <w:color w:val="000000" w:themeColor="text1"/>
              </w:rPr>
              <w:t>Ley 80 de 1993. Artículos 23, 24, 25, 41</w:t>
            </w:r>
          </w:p>
          <w:p w14:paraId="6F19E43A"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lang w:val="es-ES"/>
              </w:rPr>
            </w:pPr>
            <w:r w:rsidRPr="00D01FFA">
              <w:rPr>
                <w:rFonts w:ascii="Verdana" w:eastAsia="Calibri" w:hAnsi="Verdana" w:cs="Arial"/>
                <w:color w:val="000000" w:themeColor="text1"/>
                <w:lang w:val="es-ES"/>
              </w:rPr>
              <w:t>Ley 527 de 1999. Artículo 10</w:t>
            </w:r>
          </w:p>
          <w:p w14:paraId="4F557949"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rPr>
            </w:pPr>
            <w:r w:rsidRPr="00D01FFA">
              <w:rPr>
                <w:rFonts w:ascii="Verdana" w:eastAsia="Calibri" w:hAnsi="Verdana" w:cs="Arial"/>
                <w:color w:val="000000" w:themeColor="text1"/>
              </w:rPr>
              <w:t>Ley 962 de 2005. Art</w:t>
            </w:r>
            <w:r w:rsidRPr="00D01FFA">
              <w:rPr>
                <w:rFonts w:ascii="Verdana" w:eastAsia="Calibri" w:hAnsi="Verdana" w:cs="Arial"/>
                <w:color w:val="000000" w:themeColor="text1"/>
                <w:lang w:val="es-ES"/>
              </w:rPr>
              <w:t>í</w:t>
            </w:r>
            <w:r w:rsidRPr="00D01FFA">
              <w:rPr>
                <w:rFonts w:ascii="Verdana" w:eastAsia="Calibri" w:hAnsi="Verdana" w:cs="Arial"/>
                <w:color w:val="000000" w:themeColor="text1"/>
              </w:rPr>
              <w:t>culos 6 y 7.</w:t>
            </w:r>
          </w:p>
          <w:p w14:paraId="1D1AB4DF"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rPr>
            </w:pPr>
            <w:r w:rsidRPr="00D01FFA">
              <w:rPr>
                <w:rFonts w:ascii="Verdana" w:eastAsia="Calibri" w:hAnsi="Verdana" w:cs="Arial"/>
                <w:color w:val="000000" w:themeColor="text1"/>
              </w:rPr>
              <w:t>Ley 1150 de 2007. Artículo 3</w:t>
            </w:r>
          </w:p>
          <w:p w14:paraId="24999034"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lang w:val="es-MX"/>
              </w:rPr>
            </w:pPr>
            <w:r w:rsidRPr="00D01FFA">
              <w:rPr>
                <w:rFonts w:ascii="Verdana" w:eastAsia="Calibri" w:hAnsi="Verdana" w:cs="Arial"/>
                <w:color w:val="000000" w:themeColor="text1"/>
                <w:lang w:val="es-MX"/>
              </w:rPr>
              <w:t>Decreto 1082 de 2015. Artículo 2.2.1.1.1.7.1</w:t>
            </w:r>
          </w:p>
          <w:p w14:paraId="323DCF6B"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000000" w:themeColor="text1"/>
              </w:rPr>
            </w:pPr>
            <w:r w:rsidRPr="00D01FFA">
              <w:rPr>
                <w:rFonts w:ascii="Verdana" w:eastAsia="Calibri" w:hAnsi="Verdana" w:cs="Arial"/>
                <w:color w:val="000000" w:themeColor="text1"/>
              </w:rPr>
              <w:t>Consejo de Estado. Sección tercera. Sentencia del 18 de mayo de 2017. Exp. 48.396. C.P. Jaime Orlando Santofimio Gamboa.</w:t>
            </w:r>
          </w:p>
          <w:p w14:paraId="084AFC03" w14:textId="77777777" w:rsidR="00FB3658" w:rsidRPr="00D01FFA" w:rsidRDefault="00FB3658" w:rsidP="008F58DF">
            <w:pPr>
              <w:widowControl w:val="0"/>
              <w:numPr>
                <w:ilvl w:val="0"/>
                <w:numId w:val="16"/>
              </w:numPr>
              <w:autoSpaceDE w:val="0"/>
              <w:autoSpaceDN w:val="0"/>
              <w:spacing w:line="276" w:lineRule="auto"/>
              <w:jc w:val="both"/>
              <w:rPr>
                <w:rFonts w:ascii="Verdana" w:eastAsia="Calibri" w:hAnsi="Verdana" w:cs="Arial"/>
                <w:color w:val="4472C4" w:themeColor="accent1"/>
              </w:rPr>
            </w:pPr>
            <w:r w:rsidRPr="00D01FFA">
              <w:rPr>
                <w:rFonts w:ascii="Verdana" w:eastAsia="Calibri" w:hAnsi="Verdana" w:cs="Arial"/>
                <w:color w:val="000000" w:themeColor="text1"/>
              </w:rPr>
              <w:t>Consejo de Estado. Sección tercera. Sentencia del 10 de mayo de 2018. Exp. 41.186. C.P. Stella Conto Díaz del Castillo.</w:t>
            </w:r>
          </w:p>
        </w:tc>
      </w:tr>
    </w:tbl>
    <w:p w14:paraId="48421646" w14:textId="77777777" w:rsidR="00FB3658" w:rsidRPr="00CD5723" w:rsidRDefault="00FB3658" w:rsidP="00FB3658">
      <w:pPr>
        <w:widowControl w:val="0"/>
        <w:autoSpaceDE w:val="0"/>
        <w:autoSpaceDN w:val="0"/>
        <w:spacing w:after="0" w:line="276" w:lineRule="auto"/>
        <w:jc w:val="both"/>
        <w:rPr>
          <w:rFonts w:ascii="Verdana" w:hAnsi="Verdana" w:cs="Arial"/>
          <w:color w:val="4472C4" w:themeColor="accent1"/>
          <w:highlight w:val="lightGray"/>
          <w:lang w:val="es-ES"/>
        </w:rPr>
      </w:pPr>
    </w:p>
    <w:p w14:paraId="2A5D629C" w14:textId="77777777" w:rsidR="00FB3658" w:rsidRPr="003160DA" w:rsidRDefault="00FB3658" w:rsidP="00FB3658">
      <w:pPr>
        <w:tabs>
          <w:tab w:val="left" w:pos="142"/>
          <w:tab w:val="left" w:pos="284"/>
        </w:tabs>
        <w:spacing w:after="0" w:line="276" w:lineRule="auto"/>
        <w:jc w:val="both"/>
        <w:rPr>
          <w:rFonts w:ascii="Verdana" w:eastAsia="Century Gothic" w:hAnsi="Verdana" w:cs="Century Gothic"/>
          <w:b/>
          <w:lang w:val="es-ES"/>
        </w:rPr>
      </w:pPr>
      <w:r w:rsidRPr="003160DA">
        <w:rPr>
          <w:rFonts w:ascii="Verdana" w:eastAsia="Century Gothic" w:hAnsi="Verdana" w:cs="Century Gothic"/>
          <w:b/>
          <w:lang w:val="es-ES"/>
        </w:rPr>
        <w:t>5. Doctrina de la Agencia Nacional de Contratación Pública:</w:t>
      </w:r>
    </w:p>
    <w:p w14:paraId="5B9CB2B8" w14:textId="77777777" w:rsidR="00FB3658" w:rsidRPr="00CD5723" w:rsidRDefault="00FB3658" w:rsidP="00FB3658">
      <w:pPr>
        <w:tabs>
          <w:tab w:val="left" w:pos="142"/>
          <w:tab w:val="left" w:pos="284"/>
        </w:tabs>
        <w:spacing w:after="0" w:line="276" w:lineRule="auto"/>
        <w:jc w:val="both"/>
        <w:rPr>
          <w:rFonts w:ascii="Verdana" w:eastAsia="Century Gothic" w:hAnsi="Verdana" w:cs="Century Gothic"/>
          <w:b/>
          <w:color w:val="4472C4" w:themeColor="accent1"/>
          <w:lang w:val="es-ES"/>
        </w:rPr>
      </w:pPr>
    </w:p>
    <w:p w14:paraId="25811197" w14:textId="77777777" w:rsidR="00FB3658" w:rsidRPr="00CD5723" w:rsidRDefault="00FB3658" w:rsidP="00FB3658">
      <w:pPr>
        <w:spacing w:after="0" w:line="276" w:lineRule="auto"/>
        <w:jc w:val="both"/>
        <w:rPr>
          <w:rFonts w:ascii="Verdana" w:eastAsia="Calibri" w:hAnsi="Verdana" w:cs="Arial"/>
          <w:color w:val="4472C4" w:themeColor="accent1"/>
          <w:lang w:eastAsia="es-ES_tradnl"/>
        </w:rPr>
      </w:pPr>
      <w:r w:rsidRPr="00840BCD">
        <w:rPr>
          <w:rFonts w:ascii="Verdana" w:hAnsi="Verdana" w:cs="Arial"/>
          <w:bCs/>
          <w:color w:val="000000" w:themeColor="text1"/>
          <w:shd w:val="clear" w:color="auto" w:fill="FFFFFF"/>
        </w:rPr>
        <w:t xml:space="preserve">La Agencia Nacional de Contratación Pública – Colombia Compra Eficiente, </w:t>
      </w:r>
      <w:r w:rsidRPr="00840BCD">
        <w:rPr>
          <w:rFonts w:ascii="Verdana" w:eastAsia="Calibri" w:hAnsi="Verdana" w:cs="Arial"/>
          <w:color w:val="000000" w:themeColor="text1"/>
          <w:lang w:val="es-ES" w:eastAsia="es-ES"/>
        </w:rPr>
        <w:t xml:space="preserve">se ha pronunciado sobre </w:t>
      </w:r>
      <w:r>
        <w:rPr>
          <w:rFonts w:ascii="Verdana" w:eastAsia="Calibri" w:hAnsi="Verdana" w:cs="Arial"/>
          <w:color w:val="000000" w:themeColor="text1"/>
          <w:lang w:val="es-ES" w:eastAsia="es-ES"/>
        </w:rPr>
        <w:t xml:space="preserve">las generalidades de los Contratos estatales y el contrato electrónico en los </w:t>
      </w:r>
      <w:r w:rsidRPr="00400F53">
        <w:rPr>
          <w:rFonts w:ascii="Verdana" w:eastAsia="Aptos" w:hAnsi="Verdana" w:cs="Arial"/>
          <w:shd w:val="clear" w:color="auto" w:fill="FFFFFF"/>
          <w:lang w:val="es-ES"/>
        </w:rPr>
        <w:t>conceptos C‒170</w:t>
      </w:r>
      <w:r>
        <w:rPr>
          <w:rFonts w:ascii="Verdana" w:eastAsia="Aptos" w:hAnsi="Verdana" w:cs="Arial"/>
          <w:shd w:val="clear" w:color="auto" w:fill="FFFFFF"/>
          <w:lang w:val="es-ES"/>
        </w:rPr>
        <w:t xml:space="preserve">, </w:t>
      </w:r>
      <w:r w:rsidRPr="00400F53">
        <w:rPr>
          <w:rFonts w:ascii="Verdana" w:eastAsia="Aptos" w:hAnsi="Verdana" w:cs="Arial"/>
          <w:shd w:val="clear" w:color="auto" w:fill="FFFFFF"/>
          <w:lang w:val="es-ES"/>
        </w:rPr>
        <w:t>C‒172 del 6 de abril de 2020</w:t>
      </w:r>
      <w:r>
        <w:rPr>
          <w:rFonts w:ascii="Verdana" w:eastAsia="Aptos" w:hAnsi="Verdana" w:cs="Arial"/>
          <w:shd w:val="clear" w:color="auto" w:fill="FFFFFF"/>
          <w:lang w:val="es-ES"/>
        </w:rPr>
        <w:t>,</w:t>
      </w:r>
      <w:r w:rsidRPr="00400F53">
        <w:rPr>
          <w:rFonts w:ascii="Verdana" w:eastAsia="Aptos" w:hAnsi="Verdana" w:cs="Arial"/>
          <w:shd w:val="clear" w:color="auto" w:fill="FFFFFF"/>
          <w:lang w:val="es-ES"/>
        </w:rPr>
        <w:t xml:space="preserve"> C‒295 del 30 de abril de 2020</w:t>
      </w:r>
      <w:r>
        <w:rPr>
          <w:rFonts w:ascii="Verdana" w:eastAsia="Aptos" w:hAnsi="Verdana" w:cs="Arial"/>
          <w:shd w:val="clear" w:color="auto" w:fill="FFFFFF"/>
          <w:lang w:val="es-ES"/>
        </w:rPr>
        <w:t>, C-366 del 16 de junio de 2020, C-496 del 23 de septiembre de 2024, C-203 del 27 de marzo de 2025, C-913 del 19 de agosto de 2025, C-1055 del 10 de septiembre de 2025</w:t>
      </w:r>
      <w:r>
        <w:rPr>
          <w:rFonts w:ascii="Verdana" w:eastAsia="Calibri" w:hAnsi="Verdana" w:cs="Arial"/>
          <w:color w:val="000000" w:themeColor="text1"/>
          <w:lang w:eastAsia="es-ES_tradnl"/>
        </w:rPr>
        <w:t xml:space="preserve"> y C-1796 del 08 de enero de 2026,</w:t>
      </w:r>
      <w:r w:rsidRPr="00E03F1A">
        <w:rPr>
          <w:rFonts w:ascii="Verdana" w:eastAsia="Calibri" w:hAnsi="Verdana" w:cs="Arial"/>
          <w:color w:val="000000" w:themeColor="text1"/>
          <w:lang w:eastAsia="es-ES_tradnl"/>
        </w:rPr>
        <w:t xml:space="preserve"> entre otros.</w:t>
      </w:r>
    </w:p>
    <w:p w14:paraId="638C920A" w14:textId="77777777" w:rsidR="00FB3658" w:rsidRPr="00B52E6D" w:rsidRDefault="00FB3658" w:rsidP="00FB3658">
      <w:pPr>
        <w:spacing w:after="0" w:line="276" w:lineRule="auto"/>
        <w:jc w:val="both"/>
        <w:rPr>
          <w:rFonts w:ascii="Verdana" w:hAnsi="Verdana" w:cs="Arial"/>
          <w:shd w:val="clear" w:color="auto" w:fill="FFFFFF"/>
          <w:lang w:val="es-ES"/>
        </w:rPr>
      </w:pPr>
    </w:p>
    <w:p w14:paraId="22CB6EB7" w14:textId="77777777" w:rsidR="00FB3658" w:rsidRPr="00B52E6D" w:rsidRDefault="00FB3658" w:rsidP="00FB3658">
      <w:pPr>
        <w:spacing w:after="0" w:line="276" w:lineRule="auto"/>
        <w:jc w:val="both"/>
        <w:rPr>
          <w:rFonts w:ascii="Verdana" w:hAnsi="Verdana"/>
          <w:lang w:val="es-ES"/>
        </w:rPr>
      </w:pPr>
      <w:r w:rsidRPr="00B52E6D">
        <w:rPr>
          <w:rFonts w:ascii="Verdana" w:hAnsi="Verdana" w:cs="Arial"/>
          <w:shd w:val="clear" w:color="auto" w:fill="FFFFFF"/>
          <w:lang w:val="es-ES"/>
        </w:rPr>
        <w:t>Estos</w:t>
      </w:r>
      <w:r w:rsidRPr="00B52E6D">
        <w:rPr>
          <w:rFonts w:ascii="Verdana" w:hAnsi="Verdana"/>
          <w:lang w:val="es-ES"/>
        </w:rPr>
        <w:t xml:space="preserve"> y otros se encuentran disponibles para consulta en el Sistema de relatoría de la Agencia, al cual se puede acceder a través del siguiente enlace:</w:t>
      </w:r>
      <w:r w:rsidRPr="00B52E6D">
        <w:rPr>
          <w:rFonts w:ascii="Verdana" w:hAnsi="Verdana" w:cs="Arial"/>
          <w:shd w:val="clear" w:color="auto" w:fill="FFFFFF"/>
          <w:lang w:val="es-ES"/>
        </w:rPr>
        <w:t xml:space="preserve"> </w:t>
      </w:r>
      <w:hyperlink r:id="rId12" w:history="1">
        <w:r w:rsidRPr="00B52E6D">
          <w:rPr>
            <w:rStyle w:val="Hipervnculo"/>
            <w:rFonts w:ascii="Verdana" w:hAnsi="Verdana" w:cs="Arial"/>
            <w:shd w:val="clear" w:color="auto" w:fill="FFFFFF"/>
            <w:lang w:val="es-ES"/>
          </w:rPr>
          <w:t>https://relatoria.colombiacompra.gov.co/busqueda/conceptos</w:t>
        </w:r>
      </w:hyperlink>
    </w:p>
    <w:p w14:paraId="7163173A" w14:textId="77777777" w:rsidR="00FB3658" w:rsidRPr="00B52E6D" w:rsidRDefault="00FB3658" w:rsidP="00FB3658">
      <w:pPr>
        <w:spacing w:after="0" w:line="276" w:lineRule="auto"/>
        <w:jc w:val="both"/>
        <w:rPr>
          <w:rFonts w:ascii="Verdana" w:hAnsi="Verdana" w:cs="Arial"/>
          <w:shd w:val="clear" w:color="auto" w:fill="FFFFFF"/>
        </w:rPr>
      </w:pPr>
    </w:p>
    <w:p w14:paraId="017F077B" w14:textId="77777777" w:rsidR="00FB3658" w:rsidRPr="00255E89" w:rsidRDefault="00FB3658" w:rsidP="00FB3658">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Por último, lo invitamos a seguirnos en las redes sociales en las cuales se difunde información institucional: </w:t>
      </w:r>
    </w:p>
    <w:p w14:paraId="014EB375" w14:textId="77777777" w:rsidR="00FB3658" w:rsidRPr="00064773" w:rsidRDefault="00FB3658" w:rsidP="00FB3658">
      <w:pPr>
        <w:spacing w:after="0" w:line="276" w:lineRule="auto"/>
        <w:jc w:val="both"/>
        <w:rPr>
          <w:rFonts w:ascii="Verdana" w:hAnsi="Verdana" w:cs="Arial"/>
          <w:shd w:val="clear" w:color="auto" w:fill="FFFFFF"/>
        </w:rPr>
      </w:pPr>
    </w:p>
    <w:p w14:paraId="434744B4" w14:textId="77777777" w:rsidR="00FB3658" w:rsidRPr="00B52E6D" w:rsidRDefault="00FB3658" w:rsidP="00FB3658">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Twitter: </w:t>
      </w:r>
      <w:r w:rsidRPr="00B52E6D">
        <w:rPr>
          <w:rStyle w:val="Hipervnculo"/>
          <w:rFonts w:ascii="Verdana" w:hAnsi="Verdana"/>
          <w:lang w:val="es-ES"/>
        </w:rPr>
        <w:t>@colombiacompra</w:t>
      </w:r>
      <w:r w:rsidRPr="00B52E6D">
        <w:rPr>
          <w:rStyle w:val="Hipervnculo"/>
          <w:rFonts w:ascii="Verdana" w:hAnsi="Verdana"/>
          <w:color w:val="auto"/>
          <w:lang w:val="es-ES"/>
        </w:rPr>
        <w:t xml:space="preserve"> </w:t>
      </w:r>
    </w:p>
    <w:p w14:paraId="20239162" w14:textId="77777777" w:rsidR="00FB3658" w:rsidRPr="00B52E6D" w:rsidRDefault="00FB3658" w:rsidP="00FB3658">
      <w:pPr>
        <w:spacing w:after="0" w:line="276" w:lineRule="auto"/>
        <w:jc w:val="both"/>
        <w:rPr>
          <w:rFonts w:ascii="Verdana" w:hAnsi="Verdana" w:cs="Arial"/>
          <w:shd w:val="clear" w:color="auto" w:fill="FFFFFF"/>
        </w:rPr>
      </w:pPr>
      <w:r w:rsidRPr="00B52E6D">
        <w:rPr>
          <w:rFonts w:ascii="Verdana" w:hAnsi="Verdana" w:cs="Arial"/>
          <w:shd w:val="clear" w:color="auto" w:fill="FFFFFF"/>
        </w:rPr>
        <w:t>Facebook:</w:t>
      </w:r>
      <w:r w:rsidRPr="00B52E6D">
        <w:rPr>
          <w:rStyle w:val="Hipervnculo"/>
          <w:rFonts w:ascii="Verdana" w:hAnsi="Verdana"/>
          <w:lang w:val="es-ES"/>
        </w:rPr>
        <w:t xml:space="preserve"> ColombiaCompraEficiente</w:t>
      </w:r>
    </w:p>
    <w:p w14:paraId="0F8D1B9F" w14:textId="77777777" w:rsidR="00FB3658" w:rsidRPr="00B52E6D" w:rsidRDefault="00FB3658" w:rsidP="00FB3658">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LinkedIn: </w:t>
      </w:r>
      <w:r w:rsidRPr="00B52E6D">
        <w:rPr>
          <w:rStyle w:val="Hipervnculo"/>
          <w:rFonts w:ascii="Verdana" w:hAnsi="Verdana"/>
          <w:lang w:val="es-ES"/>
        </w:rPr>
        <w:t>Agencia Nacional de Contratación Pública - Colombia Compra Eficiente</w:t>
      </w:r>
      <w:r w:rsidRPr="00B52E6D">
        <w:rPr>
          <w:rFonts w:ascii="Verdana" w:hAnsi="Verdana" w:cs="Arial"/>
          <w:color w:val="0000FF"/>
          <w:shd w:val="clear" w:color="auto" w:fill="FFFFFF"/>
        </w:rPr>
        <w:t xml:space="preserve"> </w:t>
      </w:r>
    </w:p>
    <w:p w14:paraId="33694D06" w14:textId="77777777" w:rsidR="00FB3658" w:rsidRPr="00B52E6D" w:rsidRDefault="00FB3658" w:rsidP="00FB3658">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Instagram: </w:t>
      </w:r>
      <w:r w:rsidRPr="00B52E6D">
        <w:rPr>
          <w:rStyle w:val="Hipervnculo"/>
          <w:rFonts w:ascii="Verdana" w:hAnsi="Verdana"/>
          <w:lang w:val="es-ES"/>
        </w:rPr>
        <w:t>@colombiacompraeficiente_cce</w:t>
      </w:r>
    </w:p>
    <w:p w14:paraId="69BCA3BD" w14:textId="77777777" w:rsidR="00FB3658" w:rsidRPr="00B52E6D" w:rsidRDefault="00FB3658" w:rsidP="00FB3658">
      <w:pPr>
        <w:widowControl w:val="0"/>
        <w:autoSpaceDE w:val="0"/>
        <w:autoSpaceDN w:val="0"/>
        <w:spacing w:after="0" w:line="276" w:lineRule="auto"/>
        <w:jc w:val="both"/>
        <w:rPr>
          <w:rFonts w:ascii="Verdana" w:hAnsi="Verdana" w:cs="Arial"/>
          <w:lang w:val="es-ES"/>
        </w:rPr>
      </w:pPr>
    </w:p>
    <w:p w14:paraId="04E26B39" w14:textId="77777777" w:rsidR="00FB3658" w:rsidRPr="00B52E6D" w:rsidRDefault="00FB3658" w:rsidP="00FB3658">
      <w:pPr>
        <w:widowControl w:val="0"/>
        <w:autoSpaceDE w:val="0"/>
        <w:autoSpaceDN w:val="0"/>
        <w:spacing w:after="0" w:line="276" w:lineRule="auto"/>
        <w:jc w:val="both"/>
        <w:rPr>
          <w:rFonts w:ascii="Verdana" w:hAnsi="Verdana" w:cs="Arial"/>
          <w:lang w:val="es-ES"/>
        </w:rPr>
      </w:pPr>
      <w:r w:rsidRPr="00B52E6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7D3809D9" w14:textId="77777777" w:rsidR="00FB3658" w:rsidRPr="00B52E6D" w:rsidRDefault="00FB3658" w:rsidP="00FB3658">
      <w:pPr>
        <w:widowControl w:val="0"/>
        <w:autoSpaceDE w:val="0"/>
        <w:autoSpaceDN w:val="0"/>
        <w:spacing w:after="0" w:line="276" w:lineRule="auto"/>
        <w:jc w:val="both"/>
        <w:rPr>
          <w:rFonts w:ascii="Verdana" w:hAnsi="Verdana" w:cs="Arial"/>
          <w:lang w:val="es-ES"/>
        </w:rPr>
      </w:pPr>
    </w:p>
    <w:p w14:paraId="69DEC71C" w14:textId="77777777" w:rsidR="00FB3658" w:rsidRDefault="00FB3658" w:rsidP="00FB3658">
      <w:pPr>
        <w:spacing w:after="0" w:line="276" w:lineRule="auto"/>
        <w:rPr>
          <w:rFonts w:ascii="Verdana" w:hAnsi="Verdana" w:cs="Arial"/>
          <w:lang w:val="es-ES" w:eastAsia="es-CO"/>
        </w:rPr>
      </w:pPr>
      <w:r w:rsidRPr="006F76C5">
        <w:rPr>
          <w:rFonts w:ascii="Verdana" w:eastAsia="Times New Roman" w:hAnsi="Verdana" w:cs="Arial"/>
          <w:lang w:val="es-ES" w:eastAsia="es-CO"/>
        </w:rPr>
        <w:t>Atentamente,</w:t>
      </w:r>
      <w:r w:rsidRPr="006F76C5">
        <w:rPr>
          <w:rFonts w:ascii="Verdana" w:hAnsi="Verdana" w:cs="Arial"/>
          <w:lang w:val="es-ES" w:eastAsia="es-CO"/>
        </w:rPr>
        <w:t xml:space="preserve"> </w:t>
      </w:r>
    </w:p>
    <w:p w14:paraId="228971FD" w14:textId="44B387A7" w:rsidR="00FB3658" w:rsidRPr="00235D3B" w:rsidRDefault="00CB323E" w:rsidP="00FB3658">
      <w:pPr>
        <w:spacing w:after="0" w:line="276" w:lineRule="auto"/>
        <w:rPr>
          <w:rFonts w:ascii="Verdana" w:hAnsi="Verdana" w:cs="Arial"/>
          <w:lang w:val="es-ES" w:eastAsia="es-CO"/>
        </w:rPr>
      </w:pPr>
      <w:r w:rsidRPr="00CB323E">
        <w:rPr>
          <w:rFonts w:ascii="Verdana" w:hAnsi="Verdana"/>
          <w:noProof/>
          <w:color w:val="EE0000"/>
        </w:rPr>
        <w:drawing>
          <wp:anchor distT="0" distB="0" distL="114300" distR="114300" simplePos="0" relativeHeight="251658240" behindDoc="1" locked="0" layoutInCell="1" allowOverlap="1" wp14:anchorId="1B230634" wp14:editId="6C495D43">
            <wp:simplePos x="0" y="0"/>
            <wp:positionH relativeFrom="margin">
              <wp:align>center</wp:align>
            </wp:positionH>
            <wp:positionV relativeFrom="paragraph">
              <wp:posOffset>131197</wp:posOffset>
            </wp:positionV>
            <wp:extent cx="2932430" cy="1029970"/>
            <wp:effectExtent l="0" t="0" r="1270" b="0"/>
            <wp:wrapTight wrapText="bothSides">
              <wp:wrapPolygon edited="0">
                <wp:start x="0" y="0"/>
                <wp:lineTo x="0" y="21174"/>
                <wp:lineTo x="21469" y="21174"/>
                <wp:lineTo x="21469" y="0"/>
                <wp:lineTo x="0" y="0"/>
              </wp:wrapPolygon>
            </wp:wrapTight>
            <wp:docPr id="13401985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98547" name=""/>
                    <pic:cNvPicPr/>
                  </pic:nvPicPr>
                  <pic:blipFill>
                    <a:blip r:embed="rId13">
                      <a:extLst>
                        <a:ext uri="{28A0092B-C50C-407E-A947-70E740481C1C}">
                          <a14:useLocalDpi xmlns:a14="http://schemas.microsoft.com/office/drawing/2010/main" val="0"/>
                        </a:ext>
                      </a:extLst>
                    </a:blip>
                    <a:stretch>
                      <a:fillRect/>
                    </a:stretch>
                  </pic:blipFill>
                  <pic:spPr>
                    <a:xfrm>
                      <a:off x="0" y="0"/>
                      <a:ext cx="2932430" cy="1029970"/>
                    </a:xfrm>
                    <a:prstGeom prst="rect">
                      <a:avLst/>
                    </a:prstGeom>
                  </pic:spPr>
                </pic:pic>
              </a:graphicData>
            </a:graphic>
            <wp14:sizeRelH relativeFrom="margin">
              <wp14:pctWidth>0</wp14:pctWidth>
            </wp14:sizeRelH>
            <wp14:sizeRelV relativeFrom="margin">
              <wp14:pctHeight>0</wp14:pctHeight>
            </wp14:sizeRelV>
          </wp:anchor>
        </w:drawing>
      </w:r>
    </w:p>
    <w:p w14:paraId="4FAC2F24" w14:textId="59B660FC" w:rsidR="00FB3658" w:rsidRPr="00CB323E" w:rsidRDefault="00FB3658" w:rsidP="00CB323E">
      <w:pPr>
        <w:spacing w:after="0" w:line="276" w:lineRule="auto"/>
        <w:jc w:val="center"/>
        <w:rPr>
          <w:rFonts w:ascii="Verdana" w:hAnsi="Verdana"/>
          <w:noProof/>
          <w:color w:val="EE0000"/>
          <w:highlight w:val="lightGray"/>
        </w:rPr>
      </w:pPr>
    </w:p>
    <w:p w14:paraId="1B9969F9" w14:textId="77777777" w:rsidR="00FB3658" w:rsidRDefault="00FB3658" w:rsidP="00FB3658">
      <w:pPr>
        <w:spacing w:after="0" w:line="276" w:lineRule="auto"/>
        <w:rPr>
          <w:rFonts w:ascii="Verdana" w:hAnsi="Verdana" w:cs="Arial"/>
          <w:highlight w:val="lightGray"/>
          <w:lang w:val="es-ES" w:eastAsia="es-CO"/>
        </w:rPr>
      </w:pPr>
    </w:p>
    <w:p w14:paraId="2813F251" w14:textId="77777777" w:rsidR="00CB323E" w:rsidRDefault="00CB323E" w:rsidP="00FB3658">
      <w:pPr>
        <w:spacing w:after="0" w:line="276" w:lineRule="auto"/>
        <w:rPr>
          <w:rFonts w:ascii="Verdana" w:hAnsi="Verdana" w:cs="Arial"/>
          <w:highlight w:val="lightGray"/>
          <w:lang w:val="es-ES" w:eastAsia="es-CO"/>
        </w:rPr>
      </w:pPr>
    </w:p>
    <w:p w14:paraId="0A1A642B" w14:textId="77777777" w:rsidR="00CB323E" w:rsidRDefault="00CB323E" w:rsidP="00FB3658">
      <w:pPr>
        <w:spacing w:after="0" w:line="276" w:lineRule="auto"/>
        <w:rPr>
          <w:rFonts w:ascii="Verdana" w:hAnsi="Verdana" w:cs="Arial"/>
          <w:highlight w:val="lightGray"/>
          <w:lang w:val="es-ES" w:eastAsia="es-CO"/>
        </w:rPr>
      </w:pPr>
    </w:p>
    <w:p w14:paraId="25C55B7D" w14:textId="77777777" w:rsidR="00CB323E" w:rsidRDefault="00CB323E" w:rsidP="00FB3658">
      <w:pPr>
        <w:spacing w:after="0" w:line="276" w:lineRule="auto"/>
        <w:rPr>
          <w:rFonts w:ascii="Verdana" w:hAnsi="Verdana" w:cs="Arial"/>
          <w:highlight w:val="lightGray"/>
          <w:lang w:val="es-ES" w:eastAsia="es-CO"/>
        </w:rPr>
      </w:pPr>
    </w:p>
    <w:p w14:paraId="18286C6B" w14:textId="77777777" w:rsidR="0036053A" w:rsidRPr="00797350" w:rsidRDefault="0036053A" w:rsidP="00FB3658">
      <w:pPr>
        <w:spacing w:after="0" w:line="276" w:lineRule="auto"/>
        <w:rPr>
          <w:rFonts w:ascii="Verdana" w:hAnsi="Verdana" w:cs="Arial"/>
          <w:highlight w:val="lightGray"/>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FB3658" w:rsidRPr="00797350" w14:paraId="6303CA00" w14:textId="77777777" w:rsidTr="008F58DF">
        <w:trPr>
          <w:trHeight w:val="315"/>
        </w:trPr>
        <w:tc>
          <w:tcPr>
            <w:tcW w:w="893" w:type="dxa"/>
            <w:vAlign w:val="center"/>
            <w:hideMark/>
          </w:tcPr>
          <w:p w14:paraId="67832C87" w14:textId="77777777" w:rsidR="00FB3658" w:rsidRPr="00797350" w:rsidRDefault="00FB3658" w:rsidP="008F58DF">
            <w:pPr>
              <w:contextualSpacing/>
              <w:rPr>
                <w:rFonts w:ascii="Verdana" w:hAnsi="Verdana" w:cs="Arial"/>
                <w:sz w:val="16"/>
                <w:szCs w:val="16"/>
                <w:lang w:val="es-ES" w:eastAsia="es-ES"/>
              </w:rPr>
            </w:pPr>
            <w:r w:rsidRPr="0079735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2E50244A" w14:textId="77777777" w:rsidR="00FB3658" w:rsidRPr="00797350" w:rsidRDefault="00FB3658" w:rsidP="008F58DF">
            <w:pPr>
              <w:rPr>
                <w:rFonts w:ascii="Verdana" w:eastAsia="Times New Roman" w:hAnsi="Verdana" w:cs="Arial"/>
                <w:sz w:val="16"/>
                <w:szCs w:val="16"/>
                <w:lang w:eastAsia="es-ES"/>
              </w:rPr>
            </w:pPr>
            <w:r w:rsidRPr="00797350">
              <w:rPr>
                <w:rFonts w:ascii="Verdana" w:eastAsia="Times New Roman" w:hAnsi="Verdana" w:cs="Arial"/>
                <w:sz w:val="16"/>
                <w:szCs w:val="16"/>
                <w:lang w:eastAsia="es-ES"/>
              </w:rPr>
              <w:t>Camila Alejandra Naranjo Gómez</w:t>
            </w:r>
          </w:p>
          <w:p w14:paraId="538CFE47" w14:textId="77777777" w:rsidR="00FB3658" w:rsidRPr="00797350" w:rsidRDefault="00FB3658" w:rsidP="008F58DF">
            <w:pPr>
              <w:contextualSpacing/>
              <w:rPr>
                <w:rFonts w:ascii="Verdana" w:eastAsia="Arial" w:hAnsi="Verdana" w:cs="Arial"/>
                <w:sz w:val="16"/>
                <w:szCs w:val="16"/>
                <w:lang w:val="es-ES"/>
              </w:rPr>
            </w:pPr>
            <w:r w:rsidRPr="00797350">
              <w:rPr>
                <w:rFonts w:ascii="Verdana" w:eastAsia="Times New Roman" w:hAnsi="Verdana" w:cs="Arial"/>
                <w:sz w:val="16"/>
                <w:szCs w:val="16"/>
                <w:lang w:eastAsia="es-ES"/>
              </w:rPr>
              <w:t>Analista T2-02 de la Subdirección de Gestión Contractual</w:t>
            </w:r>
          </w:p>
        </w:tc>
      </w:tr>
      <w:tr w:rsidR="00FB3658" w:rsidRPr="00797350" w14:paraId="22C4B653" w14:textId="77777777" w:rsidTr="008F58DF">
        <w:trPr>
          <w:trHeight w:val="330"/>
        </w:trPr>
        <w:tc>
          <w:tcPr>
            <w:tcW w:w="893" w:type="dxa"/>
            <w:vAlign w:val="center"/>
            <w:hideMark/>
          </w:tcPr>
          <w:p w14:paraId="23694488" w14:textId="77777777" w:rsidR="00FB3658" w:rsidRPr="00797350" w:rsidRDefault="00FB3658" w:rsidP="008F58DF">
            <w:pPr>
              <w:contextualSpacing/>
              <w:rPr>
                <w:rFonts w:ascii="Verdana" w:hAnsi="Verdana" w:cs="Arial"/>
                <w:sz w:val="16"/>
                <w:szCs w:val="16"/>
                <w:lang w:val="es-ES" w:eastAsia="es-ES"/>
              </w:rPr>
            </w:pPr>
            <w:r w:rsidRPr="0079735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876E9C7" w14:textId="77777777" w:rsidR="00FB3658" w:rsidRPr="00797350" w:rsidRDefault="00FB3658" w:rsidP="008F58DF">
            <w:pPr>
              <w:rPr>
                <w:rFonts w:ascii="Verdana" w:eastAsia="Times New Roman" w:hAnsi="Verdana" w:cs="Arial"/>
                <w:sz w:val="16"/>
                <w:szCs w:val="16"/>
                <w:lang w:eastAsia="es-ES"/>
              </w:rPr>
            </w:pPr>
            <w:r w:rsidRPr="00797350">
              <w:rPr>
                <w:rFonts w:ascii="Verdana" w:eastAsia="Times New Roman" w:hAnsi="Verdana" w:cs="Arial"/>
                <w:sz w:val="16"/>
                <w:szCs w:val="16"/>
                <w:lang w:eastAsia="es-ES"/>
              </w:rPr>
              <w:t>Diana Luc</w:t>
            </w:r>
            <w:r>
              <w:rPr>
                <w:rFonts w:ascii="Verdana" w:eastAsia="Times New Roman" w:hAnsi="Verdana" w:cs="Arial"/>
                <w:sz w:val="16"/>
                <w:szCs w:val="16"/>
                <w:lang w:eastAsia="es-ES"/>
              </w:rPr>
              <w:t>í</w:t>
            </w:r>
            <w:r w:rsidRPr="00797350">
              <w:rPr>
                <w:rFonts w:ascii="Verdana" w:eastAsia="Times New Roman" w:hAnsi="Verdana" w:cs="Arial"/>
                <w:sz w:val="16"/>
                <w:szCs w:val="16"/>
                <w:lang w:eastAsia="es-ES"/>
              </w:rPr>
              <w:t>a Saavedra Castañeda</w:t>
            </w:r>
          </w:p>
          <w:p w14:paraId="24F33F00" w14:textId="77777777" w:rsidR="00FB3658" w:rsidRPr="00797350" w:rsidRDefault="00FB3658" w:rsidP="008F58DF">
            <w:pPr>
              <w:pStyle w:val="paragraph"/>
              <w:spacing w:before="0" w:beforeAutospacing="0" w:after="0" w:afterAutospacing="0"/>
              <w:contextualSpacing/>
              <w:textAlignment w:val="baseline"/>
              <w:rPr>
                <w:rFonts w:ascii="Verdana" w:hAnsi="Verdana" w:cs="Segoe UI"/>
                <w:sz w:val="16"/>
                <w:szCs w:val="16"/>
                <w:lang w:val="es-ES"/>
              </w:rPr>
            </w:pPr>
            <w:r w:rsidRPr="00797350">
              <w:rPr>
                <w:rFonts w:ascii="Verdana" w:hAnsi="Verdana" w:cs="Arial"/>
                <w:sz w:val="16"/>
                <w:szCs w:val="16"/>
                <w:lang w:eastAsia="es-ES"/>
              </w:rPr>
              <w:t>Contratista de la Subdirección de Gestión Contractual</w:t>
            </w:r>
          </w:p>
        </w:tc>
      </w:tr>
      <w:tr w:rsidR="00FB3658" w:rsidRPr="009F79FE" w14:paraId="18A989F1" w14:textId="77777777" w:rsidTr="008F58DF">
        <w:trPr>
          <w:trHeight w:val="300"/>
        </w:trPr>
        <w:tc>
          <w:tcPr>
            <w:tcW w:w="893" w:type="dxa"/>
            <w:vAlign w:val="center"/>
          </w:tcPr>
          <w:p w14:paraId="6F934107" w14:textId="77777777" w:rsidR="00FB3658" w:rsidRPr="00797350" w:rsidRDefault="00FB3658" w:rsidP="008F58DF">
            <w:pPr>
              <w:contextualSpacing/>
              <w:rPr>
                <w:rFonts w:ascii="Verdana" w:hAnsi="Verdana" w:cs="Arial"/>
                <w:sz w:val="16"/>
                <w:szCs w:val="16"/>
                <w:lang w:val="es-ES" w:eastAsia="es-ES"/>
              </w:rPr>
            </w:pPr>
            <w:r w:rsidRPr="00797350">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F329031" w14:textId="77777777" w:rsidR="00FB3658" w:rsidRPr="00797350" w:rsidRDefault="00FB3658" w:rsidP="008F58DF">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Carolina Quintero Gacharná</w:t>
            </w:r>
          </w:p>
          <w:p w14:paraId="51D2A24F" w14:textId="77777777" w:rsidR="00FB3658" w:rsidRPr="00797350" w:rsidRDefault="00FB3658" w:rsidP="008F58DF">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Subdirectora de Gestión Contractual ANCP – CCE</w:t>
            </w:r>
          </w:p>
        </w:tc>
      </w:tr>
      <w:tr w:rsidR="00FB3658" w:rsidRPr="009F79FE" w14:paraId="53143EAC" w14:textId="77777777" w:rsidTr="008F58DF">
        <w:trPr>
          <w:trHeight w:val="300"/>
        </w:trPr>
        <w:tc>
          <w:tcPr>
            <w:tcW w:w="893" w:type="dxa"/>
            <w:vAlign w:val="center"/>
          </w:tcPr>
          <w:p w14:paraId="3B1DA2D7" w14:textId="77777777" w:rsidR="00FB3658" w:rsidRPr="00797350" w:rsidRDefault="00FB3658" w:rsidP="008F58DF">
            <w:pPr>
              <w:contextualSpacing/>
              <w:rPr>
                <w:rFonts w:ascii="Verdana" w:hAnsi="Verdana" w:cs="Arial"/>
                <w:sz w:val="16"/>
                <w:szCs w:val="16"/>
                <w:lang w:val="es-ES" w:eastAsia="es-ES"/>
              </w:rPr>
            </w:pPr>
            <w:r>
              <w:rPr>
                <w:rFonts w:ascii="Verdana" w:hAnsi="Verdana" w:cs="Arial"/>
                <w:sz w:val="16"/>
                <w:szCs w:val="16"/>
                <w:lang w:val="es-ES" w:eastAsia="es-ES"/>
              </w:rPr>
              <w:t xml:space="preserve">Anexo: </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AFCE619" w14:textId="77777777" w:rsidR="00FB3658" w:rsidRPr="001F04C4" w:rsidRDefault="00FB3658" w:rsidP="008F58DF">
            <w:pPr>
              <w:contextualSpacing/>
              <w:rPr>
                <w:rFonts w:ascii="Verdana" w:eastAsia="Calibri" w:hAnsi="Verdana" w:cs="Arial"/>
                <w:sz w:val="16"/>
                <w:szCs w:val="16"/>
                <w:lang w:eastAsia="es-ES"/>
              </w:rPr>
            </w:pPr>
            <w:r>
              <w:rPr>
                <w:rFonts w:ascii="Verdana" w:eastAsia="Calibri" w:hAnsi="Verdana" w:cs="Arial"/>
                <w:sz w:val="16"/>
                <w:szCs w:val="16"/>
                <w:lang w:val="es-ES" w:eastAsia="es-ES"/>
              </w:rPr>
              <w:t xml:space="preserve">Respuesta </w:t>
            </w:r>
            <w:r w:rsidRPr="001F04C4">
              <w:rPr>
                <w:rFonts w:ascii="Verdana" w:eastAsia="Calibri" w:hAnsi="Verdana" w:cs="Arial"/>
                <w:sz w:val="16"/>
                <w:szCs w:val="16"/>
                <w:lang w:val="es-ES" w:eastAsia="es-ES"/>
              </w:rPr>
              <w:t>parcial a la consulta con número de radicado 1_2026_04_27_005712 – Subdirección de IDT</w:t>
            </w:r>
          </w:p>
        </w:tc>
      </w:tr>
      <w:bookmarkEnd w:id="0"/>
    </w:tbl>
    <w:p w14:paraId="4AB53469" w14:textId="77777777" w:rsidR="00FB3658" w:rsidRDefault="00FB3658" w:rsidP="00FB3658"/>
    <w:p w14:paraId="24A87783" w14:textId="45D75CCB" w:rsidR="00FB3658" w:rsidRPr="00FE55BD" w:rsidRDefault="00FB3658" w:rsidP="00FB3658"/>
    <w:p w14:paraId="0F293BF4" w14:textId="5FA79642" w:rsidR="00127233" w:rsidRPr="00FB3658" w:rsidRDefault="00127233" w:rsidP="00FB3658"/>
    <w:sectPr w:rsidR="00127233" w:rsidRPr="00FB3658"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AF711" w14:textId="77777777" w:rsidR="00657322" w:rsidRDefault="00657322" w:rsidP="004A1847">
      <w:pPr>
        <w:spacing w:after="0" w:line="240" w:lineRule="auto"/>
      </w:pPr>
      <w:r>
        <w:separator/>
      </w:r>
    </w:p>
  </w:endnote>
  <w:endnote w:type="continuationSeparator" w:id="0">
    <w:p w14:paraId="40DA40CF" w14:textId="77777777" w:rsidR="00657322" w:rsidRDefault="0065732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DA309" w14:textId="77777777" w:rsidR="00657322" w:rsidRDefault="00657322" w:rsidP="004A1847">
      <w:pPr>
        <w:spacing w:after="0" w:line="240" w:lineRule="auto"/>
      </w:pPr>
      <w:r>
        <w:separator/>
      </w:r>
    </w:p>
  </w:footnote>
  <w:footnote w:type="continuationSeparator" w:id="0">
    <w:p w14:paraId="03C60028" w14:textId="77777777" w:rsidR="00657322" w:rsidRDefault="00657322" w:rsidP="004A1847">
      <w:pPr>
        <w:spacing w:after="0" w:line="240" w:lineRule="auto"/>
      </w:pPr>
      <w:r>
        <w:continuationSeparator/>
      </w:r>
    </w:p>
  </w:footnote>
  <w:footnote w:id="1">
    <w:p w14:paraId="17035364" w14:textId="77777777" w:rsidR="00FB3658" w:rsidRPr="00CB3D7C" w:rsidRDefault="00FB3658" w:rsidP="00FB3658">
      <w:pPr>
        <w:pStyle w:val="Textonotapie"/>
        <w:ind w:firstLine="708"/>
        <w:contextualSpacing/>
        <w:jc w:val="both"/>
        <w:rPr>
          <w:rFonts w:ascii="Verdana" w:hAnsi="Verdana" w:cs="Arial"/>
          <w:sz w:val="16"/>
          <w:szCs w:val="16"/>
          <w:lang w:val="es-CO"/>
        </w:rPr>
      </w:pPr>
      <w:r w:rsidRPr="00CB3D7C">
        <w:rPr>
          <w:rStyle w:val="Refdenotaalpie"/>
          <w:rFonts w:ascii="Verdana" w:hAnsi="Verdana" w:cs="Arial"/>
          <w:sz w:val="16"/>
          <w:szCs w:val="16"/>
        </w:rPr>
        <w:footnoteRef/>
      </w:r>
      <w:r w:rsidRPr="00CB3D7C">
        <w:rPr>
          <w:rFonts w:ascii="Verdana" w:hAnsi="Verdana" w:cs="Arial"/>
          <w:sz w:val="16"/>
          <w:szCs w:val="16"/>
        </w:rPr>
        <w:t xml:space="preserve"> </w:t>
      </w:r>
      <w:r w:rsidRPr="00CB3D7C">
        <w:rPr>
          <w:rFonts w:ascii="Verdana" w:hAnsi="Verdana" w:cs="Arial"/>
          <w:sz w:val="16"/>
          <w:szCs w:val="16"/>
          <w:lang w:val="es-CO"/>
        </w:rPr>
        <w:t xml:space="preserve">CLARO SOLAR, Luis. Explicaciones de derecho civil chileno y comparado. Tomo Décimo – Obligaciones y contratos 1. Santiago de Chile, Nascimiento, 1936. </w:t>
      </w:r>
    </w:p>
    <w:p w14:paraId="75A2ECC1" w14:textId="77777777" w:rsidR="00FB3658" w:rsidRPr="00CB3D7C" w:rsidRDefault="00FB3658" w:rsidP="00FB3658">
      <w:pPr>
        <w:pStyle w:val="Textonotapie"/>
        <w:ind w:firstLine="708"/>
        <w:contextualSpacing/>
        <w:jc w:val="both"/>
        <w:rPr>
          <w:rFonts w:ascii="Verdana" w:hAnsi="Verdana" w:cs="Arial"/>
          <w:sz w:val="16"/>
          <w:szCs w:val="16"/>
          <w:lang w:val="es-CO"/>
        </w:rPr>
      </w:pPr>
    </w:p>
  </w:footnote>
  <w:footnote w:id="2">
    <w:p w14:paraId="0661A89F" w14:textId="77777777" w:rsidR="00FB3658" w:rsidRPr="00CB3D7C" w:rsidRDefault="00FB3658" w:rsidP="00FB3658">
      <w:pPr>
        <w:pStyle w:val="Textoindependiente"/>
        <w:spacing w:after="0" w:line="240" w:lineRule="auto"/>
        <w:ind w:firstLine="708"/>
        <w:contextualSpacing/>
        <w:jc w:val="both"/>
        <w:rPr>
          <w:rFonts w:ascii="Verdana" w:hAnsi="Verdana" w:cs="Arial"/>
          <w:sz w:val="16"/>
          <w:szCs w:val="16"/>
        </w:rPr>
      </w:pPr>
      <w:r w:rsidRPr="00CB3D7C">
        <w:rPr>
          <w:rStyle w:val="Refdenotaalpie"/>
          <w:rFonts w:ascii="Verdana" w:hAnsi="Verdana" w:cs="Arial"/>
          <w:sz w:val="16"/>
          <w:szCs w:val="16"/>
        </w:rPr>
        <w:footnoteRef/>
      </w:r>
      <w:r w:rsidRPr="00CB3D7C">
        <w:rPr>
          <w:rFonts w:ascii="Verdana" w:hAnsi="Verdana" w:cs="Arial"/>
          <w:sz w:val="16"/>
          <w:szCs w:val="16"/>
        </w:rPr>
        <w:t xml:space="preserve"> “[...]el negocio jurídico es un acto de autonomía privada jurídicamente relevante; acto de autorregulación de los propios intereses: la ley no delimita totalmente su contenido, señala orientaciones y límites a la actividad dispositiva, indaga sobre su observancia y, no hallando reparo que formular, interpreta el comportamiento, lo ubica dentro del marco de circunstancias en que se realizó y, una vez encasillado dentro de uno de los tipos socialmente reconocidos, le asigna los efectos que mejor correspondan a la determinación particular así alindada y calificada”. (HINESTROSA, Fernando, Tratado de las Obligaciones II De las fuentes de las obligaciones: </w:t>
      </w:r>
      <w:r w:rsidRPr="00CB3D7C">
        <w:rPr>
          <w:rFonts w:ascii="Verdana" w:hAnsi="Verdana" w:cs="Arial"/>
          <w:i/>
          <w:sz w:val="16"/>
          <w:szCs w:val="16"/>
        </w:rPr>
        <w:t>El Negocio Jurídico</w:t>
      </w:r>
      <w:r w:rsidRPr="00CB3D7C">
        <w:rPr>
          <w:rFonts w:ascii="Verdana" w:hAnsi="Verdana" w:cs="Arial"/>
          <w:sz w:val="16"/>
          <w:szCs w:val="16"/>
        </w:rPr>
        <w:t>, Volumen I, Universidad Externado de Colombia, Bogotá, 2015, pág. 107).</w:t>
      </w:r>
    </w:p>
    <w:p w14:paraId="6B8E7CA7" w14:textId="77777777" w:rsidR="00FB3658" w:rsidRPr="00CB3D7C" w:rsidRDefault="00FB3658" w:rsidP="00FB3658">
      <w:pPr>
        <w:pStyle w:val="Textoindependiente"/>
        <w:spacing w:after="0" w:line="240" w:lineRule="auto"/>
        <w:ind w:firstLine="708"/>
        <w:contextualSpacing/>
        <w:jc w:val="both"/>
        <w:rPr>
          <w:rFonts w:ascii="Verdana" w:hAnsi="Verdana" w:cs="Arial"/>
          <w:sz w:val="16"/>
          <w:szCs w:val="16"/>
        </w:rPr>
      </w:pPr>
    </w:p>
  </w:footnote>
  <w:footnote w:id="3">
    <w:p w14:paraId="545108E7" w14:textId="77777777" w:rsidR="00FB3658" w:rsidRPr="00CB3D7C" w:rsidRDefault="00FB3658" w:rsidP="00FB3658">
      <w:pPr>
        <w:pStyle w:val="Textoindependiente"/>
        <w:spacing w:after="0" w:line="240" w:lineRule="auto"/>
        <w:ind w:firstLine="708"/>
        <w:contextualSpacing/>
        <w:jc w:val="both"/>
        <w:rPr>
          <w:rFonts w:ascii="Verdana" w:hAnsi="Verdana" w:cs="Arial"/>
          <w:sz w:val="16"/>
          <w:szCs w:val="16"/>
        </w:rPr>
      </w:pPr>
      <w:r w:rsidRPr="00CB3D7C">
        <w:rPr>
          <w:rStyle w:val="Refdenotaalpie"/>
          <w:rFonts w:ascii="Verdana" w:hAnsi="Verdana" w:cs="Arial"/>
          <w:sz w:val="16"/>
          <w:szCs w:val="16"/>
        </w:rPr>
        <w:footnoteRef/>
      </w:r>
      <w:r w:rsidRPr="00CB3D7C">
        <w:rPr>
          <w:rFonts w:ascii="Verdana" w:hAnsi="Verdana" w:cs="Arial"/>
          <w:sz w:val="16"/>
          <w:szCs w:val="16"/>
        </w:rPr>
        <w:t xml:space="preserve"> </w:t>
      </w:r>
      <w:r w:rsidRPr="00CB3D7C">
        <w:rPr>
          <w:rFonts w:ascii="Verdana" w:hAnsi="Verdana" w:cs="Arial"/>
          <w:sz w:val="16"/>
          <w:szCs w:val="16"/>
          <w:lang w:val="es-ES_tradnl"/>
        </w:rPr>
        <w:t xml:space="preserve">El artículo 2º define, para los efectos del ámbito de sujeción del estatuto, que se denominan entidades estatales: a) </w:t>
      </w:r>
      <w:r w:rsidRPr="00CB3D7C">
        <w:rPr>
          <w:rFonts w:ascii="Verdana" w:hAnsi="Verdana" w:cs="Arial"/>
          <w:sz w:val="16"/>
          <w:szCs w:val="16"/>
        </w:rPr>
        <w:t>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b)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w:t>
      </w:r>
    </w:p>
    <w:p w14:paraId="43CF7809" w14:textId="77777777" w:rsidR="00FB3658" w:rsidRPr="00CB3D7C" w:rsidRDefault="00FB3658" w:rsidP="00FB3658">
      <w:pPr>
        <w:pStyle w:val="Textoindependiente"/>
        <w:spacing w:after="0" w:line="240" w:lineRule="auto"/>
        <w:ind w:firstLine="708"/>
        <w:contextualSpacing/>
        <w:jc w:val="both"/>
        <w:rPr>
          <w:rFonts w:ascii="Verdana" w:hAnsi="Verdana" w:cs="Arial"/>
          <w:sz w:val="16"/>
          <w:szCs w:val="16"/>
        </w:rPr>
      </w:pPr>
    </w:p>
  </w:footnote>
  <w:footnote w:id="4">
    <w:p w14:paraId="093CBD40" w14:textId="77777777" w:rsidR="00FB3658" w:rsidRDefault="00FB3658" w:rsidP="00FB3658">
      <w:pPr>
        <w:pStyle w:val="Textonotapie"/>
        <w:ind w:firstLine="720"/>
        <w:contextualSpacing/>
        <w:jc w:val="both"/>
        <w:rPr>
          <w:rFonts w:ascii="Verdana" w:hAnsi="Verdana" w:cs="Arial"/>
          <w:sz w:val="16"/>
          <w:szCs w:val="16"/>
        </w:rPr>
      </w:pPr>
      <w:r w:rsidRPr="00CB3D7C">
        <w:rPr>
          <w:rStyle w:val="Refdenotaalpie"/>
          <w:rFonts w:ascii="Verdana" w:hAnsi="Verdana" w:cs="Arial"/>
          <w:sz w:val="16"/>
          <w:szCs w:val="16"/>
        </w:rPr>
        <w:footnoteRef/>
      </w:r>
      <w:r w:rsidRPr="00CB3D7C">
        <w:rPr>
          <w:rFonts w:ascii="Verdana" w:hAnsi="Verdana" w:cs="Arial"/>
          <w:sz w:val="16"/>
          <w:szCs w:val="16"/>
        </w:rPr>
        <w:t xml:space="preserve"> Consejo de Estado. Sección Tercera. Sentencia del 4 de abril de 2002, M.P. Alier E. Hernández Enríquez. Rad. 1999-0290-01 (17.244).</w:t>
      </w:r>
    </w:p>
    <w:p w14:paraId="7A34FAC4" w14:textId="77777777" w:rsidR="00FB3658" w:rsidRPr="00CB3D7C" w:rsidRDefault="00FB3658" w:rsidP="00FB3658">
      <w:pPr>
        <w:pStyle w:val="Textonotapie"/>
        <w:ind w:firstLine="720"/>
        <w:contextualSpacing/>
        <w:jc w:val="both"/>
        <w:rPr>
          <w:rFonts w:ascii="Verdana" w:hAnsi="Verdana" w:cs="Arial"/>
          <w:sz w:val="16"/>
          <w:szCs w:val="16"/>
        </w:rPr>
      </w:pPr>
    </w:p>
  </w:footnote>
  <w:footnote w:id="5">
    <w:p w14:paraId="5D852C16" w14:textId="77777777" w:rsidR="00FB3658" w:rsidRPr="00CB3D7C" w:rsidRDefault="00FB3658" w:rsidP="00FB3658">
      <w:pPr>
        <w:spacing w:after="0" w:line="240" w:lineRule="auto"/>
        <w:ind w:firstLine="707"/>
        <w:contextualSpacing/>
        <w:jc w:val="both"/>
        <w:rPr>
          <w:rFonts w:ascii="Verdana" w:hAnsi="Verdana" w:cs="Arial"/>
          <w:sz w:val="16"/>
          <w:szCs w:val="16"/>
        </w:rPr>
      </w:pPr>
      <w:r w:rsidRPr="00CB3D7C">
        <w:rPr>
          <w:rStyle w:val="Refdenotaalpie"/>
          <w:rFonts w:ascii="Verdana" w:hAnsi="Verdana" w:cs="Arial"/>
          <w:sz w:val="16"/>
          <w:szCs w:val="16"/>
        </w:rPr>
        <w:footnoteRef/>
      </w:r>
      <w:r w:rsidRPr="00CB3D7C">
        <w:rPr>
          <w:rFonts w:ascii="Verdana" w:hAnsi="Verdana" w:cs="Arial"/>
          <w:sz w:val="16"/>
          <w:szCs w:val="16"/>
        </w:rPr>
        <w:t xml:space="preserve"> CONSEJO DE ESTADO. Sección Tercera, Auto del 30 de enero de 2008. Rad. 32.867, M.P. Mauricio Fajardo Gómez.</w:t>
      </w:r>
    </w:p>
    <w:p w14:paraId="58F91DA2" w14:textId="77777777" w:rsidR="00FB3658" w:rsidRPr="00CB3D7C" w:rsidRDefault="00FB3658" w:rsidP="00FB3658">
      <w:pPr>
        <w:spacing w:after="0" w:line="240" w:lineRule="auto"/>
        <w:ind w:firstLine="707"/>
        <w:contextualSpacing/>
        <w:jc w:val="both"/>
        <w:rPr>
          <w:rFonts w:ascii="Verdana" w:hAnsi="Verdana" w:cs="Arial"/>
          <w:sz w:val="16"/>
          <w:szCs w:val="16"/>
        </w:rPr>
      </w:pPr>
    </w:p>
  </w:footnote>
  <w:footnote w:id="6">
    <w:p w14:paraId="67F2C14A"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Style w:val="Refdenotaalpie"/>
          <w:rFonts w:ascii="Verdana" w:hAnsi="Verdana" w:cs="Arial"/>
          <w:color w:val="000000" w:themeColor="text1"/>
          <w:sz w:val="16"/>
          <w:szCs w:val="16"/>
        </w:rPr>
        <w:footnoteRef/>
      </w:r>
      <w:r w:rsidRPr="00586A80">
        <w:rPr>
          <w:rFonts w:ascii="Verdana" w:hAnsi="Verdana" w:cs="Arial"/>
          <w:color w:val="000000" w:themeColor="text1"/>
          <w:sz w:val="16"/>
          <w:szCs w:val="16"/>
        </w:rPr>
        <w:t xml:space="preserve"> Ley 80 de 1993: “Artículo 25. Del principio de economía. En virtud de este principio:</w:t>
      </w:r>
    </w:p>
    <w:p w14:paraId="66EE343C"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1. En las normas de selección y en los pliegos de condiciones para la escogencia de contratistas, se cumplirán y establecerán los procedimientos y etapas estrictamente necesarios para asegurar la selección objetiva de la propuesta más favorable. Para este propósito, se señalarán términos preclusivos y perentorios para las diferentes etapas de la selección y las autoridades darán impulso oficioso a las actuaciones.</w:t>
      </w:r>
    </w:p>
    <w:p w14:paraId="5B56C167"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w:t>
      </w:r>
    </w:p>
    <w:p w14:paraId="2A4683EE" w14:textId="77777777" w:rsidR="00FB3658" w:rsidRPr="00586A80" w:rsidRDefault="00FB3658" w:rsidP="00FB3658">
      <w:pPr>
        <w:spacing w:after="0"/>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6. Las entidades estatales abrirán licitaciones e iniciarán procesos de suscripción de contratos, cuando existan las respectivas partidas o disponibilidades presupuestales.</w:t>
      </w:r>
    </w:p>
    <w:p w14:paraId="6E40106F" w14:textId="77777777" w:rsidR="00FB3658" w:rsidRPr="00586A80" w:rsidRDefault="00FB3658" w:rsidP="00FB3658">
      <w:pPr>
        <w:spacing w:after="0"/>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w:t>
      </w:r>
    </w:p>
    <w:p w14:paraId="2AC35D66"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23E2DB43" w14:textId="77777777" w:rsidR="00FB3658" w:rsidRPr="00586A80" w:rsidRDefault="00FB3658" w:rsidP="00FB3658">
      <w:pPr>
        <w:pStyle w:val="Textonotapie"/>
        <w:ind w:firstLine="708"/>
        <w:jc w:val="both"/>
        <w:rPr>
          <w:rFonts w:ascii="Verdana" w:hAnsi="Verdana" w:cs="Arial"/>
          <w:color w:val="000000" w:themeColor="text1"/>
          <w:sz w:val="16"/>
          <w:szCs w:val="16"/>
          <w:lang w:val="es-ES"/>
        </w:rPr>
      </w:pPr>
    </w:p>
  </w:footnote>
  <w:footnote w:id="7">
    <w:p w14:paraId="51025E93"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Style w:val="Refdenotaalpie"/>
          <w:rFonts w:ascii="Verdana" w:hAnsi="Verdana" w:cs="Arial"/>
          <w:color w:val="000000" w:themeColor="text1"/>
          <w:sz w:val="16"/>
          <w:szCs w:val="16"/>
        </w:rPr>
        <w:footnoteRef/>
      </w:r>
      <w:r w:rsidRPr="00586A80">
        <w:rPr>
          <w:rFonts w:ascii="Verdana" w:hAnsi="Verdana" w:cs="Arial"/>
          <w:color w:val="000000" w:themeColor="text1"/>
          <w:sz w:val="16"/>
          <w:szCs w:val="16"/>
        </w:rPr>
        <w:t xml:space="preserve"> Ley 80 de 1993: “Artículo 41. Del perfeccionamiento del contrato. Los contratos del Estado se perfeccionan cuando se logre acuerdo sobre el objeto y la contraprestación y éste se eleve a escrito.</w:t>
      </w:r>
    </w:p>
    <w:p w14:paraId="62F300F2"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Para la ejecución se requerirá de la aprobación de la garantía y de la existencia de las disponibilidades presupuestales correspondientes, salvo que se trate de la contratación con recursos de vigencias fiscales futuras de conformidad con lo previsto en la ley orgánica del presupuesto. El proponente y el contratista deberán acreditar que se encuentran al día en el pago de aportes parafiscales relativos al Sistema de Seguridad Social Integral, así como los propios del Sena, ICBF y Cajas de Compensación Familiar, cuando corresponda.</w:t>
      </w:r>
    </w:p>
    <w:p w14:paraId="1F783210"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Los contratos estatales son intuito personae (sic) y, en consecuencia, una vez celebrados no podrán cederse sin previa autorización escrita de la entidad contratante.</w:t>
      </w:r>
    </w:p>
    <w:p w14:paraId="612543BC"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En caso de situaciones de urgencia manifiesta a que se refiere el artículo 42 de esta ley que no permitan la suscripción de contrato escrito, se prescindirá de éste y aún del acuerdo acerca de la remuneración, no obstante, deberá dejarse constancia escrita de la autorización impartida por la entidad estatal contratante.</w:t>
      </w:r>
    </w:p>
    <w:p w14:paraId="6DA47EC7" w14:textId="77777777" w:rsidR="00FB3658" w:rsidRPr="00586A80" w:rsidRDefault="00FB3658" w:rsidP="00FB3658">
      <w:pPr>
        <w:pStyle w:val="Textonotapie"/>
        <w:ind w:firstLine="708"/>
        <w:jc w:val="both"/>
        <w:rPr>
          <w:rFonts w:ascii="Verdana" w:hAnsi="Verdana" w:cs="Arial"/>
          <w:color w:val="000000" w:themeColor="text1"/>
          <w:sz w:val="16"/>
          <w:szCs w:val="16"/>
        </w:rPr>
      </w:pPr>
      <w:r w:rsidRPr="00586A80">
        <w:rPr>
          <w:rFonts w:ascii="Verdana" w:hAnsi="Verdana" w:cs="Arial"/>
          <w:color w:val="000000" w:themeColor="text1"/>
          <w:sz w:val="16"/>
          <w:szCs w:val="16"/>
        </w:rPr>
        <w:t>A falta de acuerdo previo sobre la remuneración de que trata el inciso anterior, la contraprestación económica se acordará con posterioridad al inicio de la ejecución de lo contratado. Si no se lograre el acuerdo, la contraprestación será determinada por el justiprecio objetivo de la entidad u organismo respectivo que tenga el carácter de cuerpo consultivo del Gobierno y, a falta de éste, por un perito designado por las partes”.</w:t>
      </w:r>
    </w:p>
    <w:p w14:paraId="5AA07F51" w14:textId="77777777" w:rsidR="00FB3658" w:rsidRPr="00215737" w:rsidRDefault="00FB3658" w:rsidP="00FB3658">
      <w:pPr>
        <w:pStyle w:val="Textonotapie"/>
        <w:ind w:firstLine="708"/>
        <w:jc w:val="both"/>
        <w:rPr>
          <w:rFonts w:ascii="Verdana" w:hAnsi="Verdana" w:cs="Arial"/>
          <w:color w:val="000000" w:themeColor="text1"/>
          <w:sz w:val="14"/>
          <w:szCs w:val="14"/>
          <w:lang w:val="es-ES"/>
        </w:rPr>
      </w:pPr>
    </w:p>
  </w:footnote>
  <w:footnote w:id="8">
    <w:p w14:paraId="5A413D56" w14:textId="77777777" w:rsidR="00FB3658" w:rsidRPr="00215737" w:rsidRDefault="00FB3658" w:rsidP="00FB3658">
      <w:pPr>
        <w:pStyle w:val="Textonotapie"/>
        <w:ind w:firstLine="708"/>
        <w:jc w:val="both"/>
        <w:rPr>
          <w:rFonts w:ascii="Verdana" w:hAnsi="Verdana" w:cs="Arial"/>
          <w:color w:val="000000" w:themeColor="text1"/>
          <w:sz w:val="14"/>
          <w:szCs w:val="14"/>
          <w:lang w:val="pt-BR"/>
        </w:rPr>
      </w:pPr>
      <w:r w:rsidRPr="00215737">
        <w:rPr>
          <w:rStyle w:val="Refdenotaalpie"/>
          <w:rFonts w:ascii="Verdana" w:hAnsi="Verdana" w:cs="Arial"/>
          <w:color w:val="000000" w:themeColor="text1"/>
          <w:sz w:val="14"/>
          <w:szCs w:val="14"/>
        </w:rPr>
        <w:footnoteRef/>
      </w:r>
      <w:r w:rsidRPr="00215737">
        <w:rPr>
          <w:rFonts w:ascii="Verdana" w:hAnsi="Verdana" w:cs="Arial"/>
          <w:color w:val="000000" w:themeColor="text1"/>
          <w:sz w:val="14"/>
          <w:szCs w:val="14"/>
        </w:rPr>
        <w:t xml:space="preserve"> Consejo de Estado. Sección tercera. Sentencia del 18 de mayo de 2017. </w:t>
      </w:r>
      <w:r w:rsidRPr="00215737">
        <w:rPr>
          <w:rFonts w:ascii="Verdana" w:hAnsi="Verdana" w:cs="Arial"/>
          <w:color w:val="000000" w:themeColor="text1"/>
          <w:sz w:val="14"/>
          <w:szCs w:val="14"/>
          <w:lang w:val="pt-BR"/>
        </w:rPr>
        <w:t>Exp. 48.396. C.P. Jaime Orlando Santofimio Gamboa.</w:t>
      </w:r>
    </w:p>
    <w:p w14:paraId="13DAF033" w14:textId="77777777" w:rsidR="00FB3658" w:rsidRPr="00215737" w:rsidRDefault="00FB3658" w:rsidP="00FB3658">
      <w:pPr>
        <w:pStyle w:val="Textonotapie"/>
        <w:ind w:firstLine="708"/>
        <w:jc w:val="both"/>
        <w:rPr>
          <w:rFonts w:ascii="Verdana" w:hAnsi="Verdana" w:cs="Arial"/>
          <w:color w:val="000000" w:themeColor="text1"/>
          <w:sz w:val="14"/>
          <w:szCs w:val="14"/>
          <w:lang w:val="pt-BR"/>
        </w:rPr>
      </w:pPr>
      <w:r w:rsidRPr="00215737">
        <w:rPr>
          <w:rFonts w:ascii="Verdana" w:hAnsi="Verdana" w:cs="Arial"/>
          <w:color w:val="000000" w:themeColor="text1"/>
          <w:sz w:val="14"/>
          <w:szCs w:val="14"/>
          <w:lang w:val="pt-BR"/>
        </w:rPr>
        <w:t xml:space="preserve"> </w:t>
      </w:r>
    </w:p>
  </w:footnote>
  <w:footnote w:id="9">
    <w:p w14:paraId="513D93D7" w14:textId="77777777" w:rsidR="00FB3658" w:rsidRPr="00215737" w:rsidRDefault="00FB3658" w:rsidP="00FB3658">
      <w:pPr>
        <w:pStyle w:val="Textonotapie"/>
        <w:ind w:firstLine="708"/>
        <w:jc w:val="both"/>
        <w:rPr>
          <w:rFonts w:ascii="Verdana" w:hAnsi="Verdana" w:cs="Arial"/>
          <w:color w:val="000000" w:themeColor="text1"/>
          <w:sz w:val="14"/>
          <w:szCs w:val="14"/>
          <w:lang w:val="es-ES"/>
        </w:rPr>
      </w:pPr>
      <w:r w:rsidRPr="00215737">
        <w:rPr>
          <w:rStyle w:val="Refdenotaalpie"/>
          <w:rFonts w:ascii="Verdana" w:hAnsi="Verdana" w:cs="Arial"/>
          <w:color w:val="000000" w:themeColor="text1"/>
          <w:sz w:val="14"/>
          <w:szCs w:val="14"/>
        </w:rPr>
        <w:footnoteRef/>
      </w:r>
      <w:r w:rsidRPr="00215737">
        <w:rPr>
          <w:rFonts w:ascii="Verdana" w:hAnsi="Verdana" w:cs="Arial"/>
          <w:color w:val="000000" w:themeColor="text1"/>
          <w:sz w:val="14"/>
          <w:szCs w:val="14"/>
          <w:lang w:val="pt-BR"/>
        </w:rPr>
        <w:t xml:space="preserve"> Consejo de Estado. </w:t>
      </w:r>
      <w:r w:rsidRPr="00215737">
        <w:rPr>
          <w:rFonts w:ascii="Verdana" w:hAnsi="Verdana" w:cs="Arial"/>
          <w:color w:val="000000" w:themeColor="text1"/>
          <w:sz w:val="14"/>
          <w:szCs w:val="14"/>
        </w:rPr>
        <w:t>Sección tercera. Sentencia del 10 de mayo de 2018. Exp. 41.186. C.P. Stella Conto Díaz del Castillo.</w:t>
      </w:r>
    </w:p>
  </w:footnote>
  <w:footnote w:id="10">
    <w:p w14:paraId="425D8B9A"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6°. Medios tecnológicos. Para atender los trámites y procedimientos de su competencia, los organismos y entidades de la Administración Pública deberán ponerlos en conocimiento de los ciudadanos en la forma prevista en las disposiciones vigentes, o emplear, adicionalmente, cualquier medio tecnológico o documento electrónico de que dispongan, a fin de hacer efectivos los principios de igualdad, economía, celeridad, imparcialidad, publicidad, moralidad y eficacia en la función administrativa. Para el efecto, podrán implementar las condiciones y requisitos de seguridad que para cada caso sean procedentes, sin perjuicio de las competencias que en esta materia tengan algunas entidades especializadas.</w:t>
      </w:r>
    </w:p>
    <w:p w14:paraId="19C16D63"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La sustanciación de las actuaciones así como la expedición de los actos administrativos, tendrán lugar en la forma prevista en las disposiciones vigentes. Para el trámite, notificación y publicación de tales actuaciones y actos, podrán adicionalmente utilizarse soportes, medios y aplicaciones electrónicas.</w:t>
      </w:r>
    </w:p>
    <w:p w14:paraId="2C8E2BA9"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Toda persona podrá presentar peticiones, quejas, reclamaciones o recursos, mediante cualquier medio tecnológico o electrónico del cual dispongan las entidades y organismos de la Administración Pública.</w:t>
      </w:r>
    </w:p>
    <w:p w14:paraId="652DAAD0"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En los casos de peticiones relacionadas con el reconocimiento de una prestación económica en todo caso deben allegarse los documentos físicos que soporten el derecho que se reclama.</w:t>
      </w:r>
    </w:p>
    <w:p w14:paraId="23FEE526"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La utilización de medios electrónicos se regirá por lo dispuesto en la Ley 527 de 1999 y en las normas que la complementen, adicionen o modifiquen, en concordancia con las disposiciones del Capítulo 8 del Título XIII, Sección Tercera, Libro Segundo, artículos 251 a 293, del Código de Procedimiento Civil, y demás normas aplicables, siempre que sea posible verificar la identidad del remitente, así como la fecha de recibo del documento.</w:t>
      </w:r>
    </w:p>
    <w:p w14:paraId="04A9B8C0"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Parágrafo 1°. Las entidades y organismos de la Administración Pública deberán hacer públicos los medios tecnológicos o electrónicos de que dispongan, para permitir su utilización.</w:t>
      </w:r>
    </w:p>
    <w:p w14:paraId="7E215E56"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Parágrafo 2°. En todo caso, el uso de los medios tecnológicos y electrónicos para adelantar trámites y competencias de la Administración Pública deberá garantizar los principios de autenticidad, disponibilidad e integridad.</w:t>
      </w:r>
    </w:p>
    <w:p w14:paraId="612CF91C"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lang w:val="es-ES"/>
        </w:rPr>
        <w:t>Parágrafo 3°. Cuando la sustanciación de las actuaciones y actos administrativos se realice por medios electrónicos, las firmas autógrafas que los mismos requieran, podrán ser sustituidas por un certificado digital que asegure la identidad del suscriptor, de conformidad con lo que para el efecto establezca el Gobierno Nacional”.</w:t>
      </w:r>
    </w:p>
  </w:footnote>
  <w:footnote w:id="11">
    <w:p w14:paraId="155D885B" w14:textId="77777777" w:rsidR="00FB3658" w:rsidRPr="00D01FFA" w:rsidRDefault="00FB3658" w:rsidP="00FB3658">
      <w:pPr>
        <w:pStyle w:val="Textonotapie"/>
        <w:ind w:firstLine="709"/>
        <w:jc w:val="both"/>
        <w:rPr>
          <w:rFonts w:ascii="Verdana" w:hAnsi="Verdana" w:cs="Arial"/>
          <w:color w:val="000000" w:themeColor="text1"/>
          <w:sz w:val="16"/>
          <w:szCs w:val="16"/>
        </w:rPr>
      </w:pPr>
    </w:p>
    <w:p w14:paraId="4044D517" w14:textId="77777777" w:rsidR="00FB3658" w:rsidRPr="00D01FFA" w:rsidRDefault="00FB3658" w:rsidP="00FB3658">
      <w:pPr>
        <w:pStyle w:val="Textonotapie"/>
        <w:ind w:firstLine="709"/>
        <w:jc w:val="both"/>
        <w:rPr>
          <w:rFonts w:ascii="Verdana" w:hAnsi="Verdana" w:cs="Arial"/>
          <w:color w:val="000000" w:themeColor="text1"/>
          <w:sz w:val="16"/>
          <w:szCs w:val="16"/>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Artículo 7°. Publicidad electrónica de normas y actos generales emitidos por la administración pública. La Administración Pública deberá poner a disposición del público, a través de medios electrónicos, las leyes, decretos y actos administrativos de carácter general o documentos de interés público relativos a cada uno de ellos, dentro de los cinco (5) días siguientes a su publicación, sin perjuicio de la obligación legal de publicarlos en el Diario Oficial.</w:t>
      </w:r>
    </w:p>
    <w:p w14:paraId="2BAF9884" w14:textId="77777777" w:rsidR="00FB3658" w:rsidRPr="00D01FFA" w:rsidRDefault="00FB3658" w:rsidP="00FB3658">
      <w:pPr>
        <w:pStyle w:val="Textonotapie"/>
        <w:ind w:firstLine="709"/>
        <w:jc w:val="both"/>
        <w:rPr>
          <w:rFonts w:ascii="Verdana" w:hAnsi="Verdana" w:cs="Arial"/>
          <w:color w:val="000000" w:themeColor="text1"/>
          <w:sz w:val="16"/>
          <w:szCs w:val="16"/>
        </w:rPr>
      </w:pPr>
      <w:r w:rsidRPr="00D01FFA">
        <w:rPr>
          <w:rFonts w:ascii="Verdana" w:hAnsi="Verdana" w:cs="Arial"/>
          <w:color w:val="000000" w:themeColor="text1"/>
          <w:sz w:val="16"/>
          <w:szCs w:val="16"/>
        </w:rPr>
        <w:t>Las reproducciones efectuadas se reputarán auténticas para todos los efectos legales, siempre que no se altere el contenido del acto o documento.</w:t>
      </w:r>
    </w:p>
    <w:p w14:paraId="0A7ACC89"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Fonts w:ascii="Verdana" w:hAnsi="Verdana" w:cs="Arial"/>
          <w:color w:val="000000" w:themeColor="text1"/>
          <w:sz w:val="16"/>
          <w:szCs w:val="16"/>
        </w:rPr>
        <w:t>A partir de la vigencia de la presente ley y para efectos de adelantar cualquier trámite administrativo, no será obligatorio acreditar la existencia de normas de carácter general de orden nacional, ante ningún organismo de la Administración Pública”.</w:t>
      </w:r>
    </w:p>
  </w:footnote>
  <w:footnote w:id="12">
    <w:p w14:paraId="24054950" w14:textId="77777777" w:rsidR="00FB3658" w:rsidRPr="00D01FFA" w:rsidRDefault="00FB3658" w:rsidP="00FB3658">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p>
    <w:p w14:paraId="79DA359C" w14:textId="77777777" w:rsidR="00FB3658" w:rsidRPr="00D01FFA" w:rsidRDefault="00FB3658" w:rsidP="00FB3658">
      <w:pPr>
        <w:pStyle w:val="NormalWeb"/>
        <w:shd w:val="clear" w:color="auto" w:fill="FFFFFF"/>
        <w:spacing w:before="0" w:beforeAutospacing="0" w:after="0" w:afterAutospacing="0"/>
        <w:ind w:firstLine="709"/>
        <w:jc w:val="both"/>
        <w:rPr>
          <w:rFonts w:ascii="Verdana" w:eastAsiaTheme="minorHAnsi" w:hAnsi="Verdana" w:cs="Arial"/>
          <w:color w:val="000000" w:themeColor="text1"/>
          <w:sz w:val="16"/>
          <w:szCs w:val="16"/>
          <w:lang w:val="es-ES_tradnl" w:eastAsia="es-ES_tradnl"/>
        </w:rPr>
      </w:pPr>
      <w:r w:rsidRPr="00D01FFA">
        <w:rPr>
          <w:rStyle w:val="Refdenotaalpie"/>
          <w:rFonts w:ascii="Verdana" w:eastAsiaTheme="majorEastAsi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w:t>
      </w:r>
      <w:r w:rsidRPr="00D01FFA">
        <w:rPr>
          <w:rFonts w:ascii="Verdana" w:eastAsiaTheme="minorHAnsi" w:hAnsi="Verdana" w:cs="Arial"/>
          <w:bCs/>
          <w:color w:val="000000" w:themeColor="text1"/>
          <w:sz w:val="16"/>
          <w:szCs w:val="16"/>
          <w:lang w:val="es-ES_tradnl" w:eastAsia="es-ES_tradnl"/>
        </w:rPr>
        <w:t>Artículo 10. </w:t>
      </w:r>
      <w:r w:rsidRPr="00D01FFA">
        <w:rPr>
          <w:rFonts w:ascii="Verdana" w:eastAsiaTheme="minorHAnsi" w:hAnsi="Verdana" w:cs="Arial"/>
          <w:color w:val="000000" w:themeColor="text1"/>
          <w:sz w:val="16"/>
          <w:szCs w:val="16"/>
          <w:lang w:val="es-ES_tradnl" w:eastAsia="es-ES_tradnl"/>
        </w:rPr>
        <w:t xml:space="preserve">Utilización del correo para el envío de información. Modifíquese el artículo 25 del Decreto 2150 de 1995, el cual quedará así: </w:t>
      </w:r>
      <w:r w:rsidRPr="00D01FFA">
        <w:rPr>
          <w:rFonts w:ascii="Verdana" w:eastAsiaTheme="minorHAnsi" w:hAnsi="Verdana" w:cs="Arial"/>
          <w:color w:val="000000" w:themeColor="text1"/>
          <w:sz w:val="16"/>
          <w:szCs w:val="16"/>
          <w:lang w:val="es-ES_tradnl"/>
        </w:rPr>
        <w:t>"Artículo 25. Utilización del correo para el envío de información. Las entidades de la Administración Pública deberán facilitar la recepción y envío de documentos, propuestas o solicitudes y sus respectivas respuestas por medio de correo certificado y por correo electrónico.</w:t>
      </w:r>
    </w:p>
    <w:p w14:paraId="4347A0AD"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_tradnl"/>
        </w:rPr>
      </w:pPr>
      <w:r w:rsidRPr="00D01FFA">
        <w:rPr>
          <w:rFonts w:ascii="Verdana" w:hAnsi="Verdana" w:cs="Arial"/>
          <w:color w:val="000000" w:themeColor="text1"/>
          <w:sz w:val="16"/>
          <w:szCs w:val="16"/>
          <w:lang w:val="es-ES_tradnl"/>
        </w:rPr>
        <w:t>En ningún caso, se podrán rechazar o inadmitir las solicitudes o informes enviados por personas naturales o jurídicas que se hayan recibido por correo dentro del territorio nacional.</w:t>
      </w:r>
    </w:p>
    <w:p w14:paraId="2DEBE231"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_tradnl"/>
        </w:rPr>
      </w:pPr>
      <w:r w:rsidRPr="00D01FFA">
        <w:rPr>
          <w:rFonts w:ascii="Verdana" w:hAnsi="Verdana" w:cs="Arial"/>
          <w:color w:val="000000" w:themeColor="text1"/>
          <w:sz w:val="16"/>
          <w:szCs w:val="16"/>
          <w:lang w:val="es-ES_tradnl"/>
        </w:rPr>
        <w:t>Las peticiones de los administrados o usuarios se entenderán presentadas el día de incorporación al correo, pero para efectos del cómputo del término de respuesta, se entenderán radicadas el día en que efectivamente el documento llegue a la entidad y no el día de su incorporación al correo.</w:t>
      </w:r>
    </w:p>
    <w:p w14:paraId="4D51475E"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_tradnl"/>
        </w:rPr>
      </w:pPr>
      <w:r w:rsidRPr="00D01FFA">
        <w:rPr>
          <w:rFonts w:ascii="Verdana" w:hAnsi="Verdana" w:cs="Arial"/>
          <w:color w:val="000000" w:themeColor="text1"/>
          <w:sz w:val="16"/>
          <w:szCs w:val="16"/>
          <w:lang w:val="es-ES_tradnl"/>
        </w:rPr>
        <w:t>Las solicitudes formuladas a los administrados o usuarios a los que se refiere el presente artículo, y que sean enviadas por correo, deberán ser respondidas dentro del término que la propia comunicación señale, el cual empezará a contarse a partir de la fecha de recepción de la misma en el domicilio del destinatario. Cuando no sea posible establecer la fecha de recepción del documento en el domicilio del destinatario, se presumirá a los diez (10) días de la fecha de despacho en el correo.</w:t>
      </w:r>
    </w:p>
    <w:p w14:paraId="422BCB9F"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_tradnl"/>
        </w:rPr>
      </w:pPr>
      <w:r w:rsidRPr="00D01FFA">
        <w:rPr>
          <w:rFonts w:ascii="Verdana" w:hAnsi="Verdana" w:cs="Arial"/>
          <w:color w:val="000000" w:themeColor="text1"/>
          <w:sz w:val="16"/>
          <w:szCs w:val="16"/>
          <w:lang w:val="es-ES_tradnl"/>
        </w:rPr>
        <w:t>Igualmente, los peticionarios podrán solicitar el envío por correo de documentos o información a la entidad pública, para lo cual deberán adjuntar a su petición un sobre con porte pagado y debidamente diligenciado.</w:t>
      </w:r>
    </w:p>
    <w:p w14:paraId="252F70E0"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_tradnl"/>
        </w:rPr>
      </w:pPr>
      <w:r w:rsidRPr="00D01FFA">
        <w:rPr>
          <w:rFonts w:ascii="Verdana" w:hAnsi="Verdana" w:cs="Arial"/>
          <w:bCs/>
          <w:color w:val="000000" w:themeColor="text1"/>
          <w:sz w:val="16"/>
          <w:szCs w:val="16"/>
          <w:lang w:val="es-ES_tradnl"/>
        </w:rPr>
        <w:t>Parágrafo. </w:t>
      </w:r>
      <w:r w:rsidRPr="00D01FFA">
        <w:rPr>
          <w:rFonts w:ascii="Verdana" w:hAnsi="Verdana" w:cs="Arial"/>
          <w:color w:val="000000" w:themeColor="text1"/>
          <w:sz w:val="16"/>
          <w:szCs w:val="16"/>
          <w:lang w:val="es-ES_tradnl"/>
        </w:rPr>
        <w:t>Para efectos del presente artículo, se entenderá válido el envío por correo certificado, siempre y cuando la dirección esté correcta y claramente diligenciada".</w:t>
      </w:r>
    </w:p>
    <w:p w14:paraId="2809FA3F" w14:textId="77777777" w:rsidR="00FB3658" w:rsidRPr="00D01FFA" w:rsidRDefault="00FB3658" w:rsidP="00FB3658">
      <w:pPr>
        <w:shd w:val="clear" w:color="auto" w:fill="FFFFFF"/>
        <w:spacing w:after="0"/>
        <w:ind w:firstLine="709"/>
        <w:jc w:val="both"/>
        <w:rPr>
          <w:rFonts w:ascii="Verdana" w:hAnsi="Verdana" w:cs="Arial"/>
          <w:color w:val="000000" w:themeColor="text1"/>
          <w:sz w:val="16"/>
          <w:szCs w:val="16"/>
          <w:lang w:val="es-ES"/>
        </w:rPr>
      </w:pPr>
    </w:p>
  </w:footnote>
  <w:footnote w:id="13">
    <w:p w14:paraId="21D2178F"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14. Presentación de solicitudes, quejas, recomendaciones o reclamos fuera de la sede de la entidad. Los interesados que residan en una ciudad diferente a la de la sede de la entidad u organismo al que se dirigen, pueden presentar sus solicitudes, quejas, recomendaciones o reclamaciones a través de medios electrónicos, de sus dependencias regionales o seccionales. Si ellas no existieren, deberán hacerlo a través de aquellas en quienes deleguen en aplicación del artículo 9 de la Ley 489 de 1998, o a través de convenios que se suscriban para el efecto. En todo caso, los respectivos escritos deberán ser remitidos a la autoridad correspondiente dentro de las 24 horas siguientes”.</w:t>
      </w:r>
    </w:p>
    <w:p w14:paraId="13DE862B"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p>
  </w:footnote>
  <w:footnote w:id="14">
    <w:p w14:paraId="5ACDE275"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223. Eliminación del diario único de contratación. A partir del primero de junio de 2012, los contratos estatales sólo se publicarán en el Sistema Electrónico para la Contratación Pública -SECOP- que administra la Agencia Nacional de Contratación Pública- Colombia Compra Eficiente. En consecuencia, a partir de dicha fecha los contratos estatales no requerirán de publicación en el Diario Único de Contratación y quedarán derogados el parágrafo 3 del artículo 41 de la Ley 80 de 1993, los artículos 59, 60, 61 y 62 de la ley 190 de 1995 y el parágrafo 2 del artículo 3 de la Ley 1150 de 2007”.</w:t>
      </w:r>
    </w:p>
    <w:p w14:paraId="27757D3E"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p>
  </w:footnote>
  <w:footnote w:id="15">
    <w:p w14:paraId="61528C16"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9.</w:t>
      </w:r>
    </w:p>
    <w:p w14:paraId="36D51CA8"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p>
  </w:footnote>
  <w:footnote w:id="16">
    <w:p w14:paraId="28B92BC1"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14.</w:t>
      </w:r>
    </w:p>
    <w:p w14:paraId="62D052F8"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p>
  </w:footnote>
  <w:footnote w:id="17">
    <w:p w14:paraId="6D0BD559" w14:textId="77777777" w:rsidR="00FB3658" w:rsidRPr="00D01FFA" w:rsidRDefault="00FB3658" w:rsidP="00FB3658">
      <w:pPr>
        <w:pStyle w:val="Textonotapie"/>
        <w:ind w:firstLine="709"/>
        <w:jc w:val="both"/>
        <w:rPr>
          <w:rFonts w:ascii="Verdana" w:hAnsi="Verdana" w:cs="Arial"/>
          <w:color w:val="000000" w:themeColor="text1"/>
          <w:sz w:val="16"/>
          <w:szCs w:val="16"/>
          <w:lang w:val="es-ES"/>
        </w:rPr>
      </w:pPr>
      <w:r w:rsidRPr="00D01FFA">
        <w:rPr>
          <w:rStyle w:val="Refdenotaalpie"/>
          <w:rFonts w:ascii="Verdana" w:hAnsi="Verdana" w:cs="Arial"/>
          <w:color w:val="000000" w:themeColor="text1"/>
          <w:sz w:val="16"/>
          <w:szCs w:val="16"/>
        </w:rPr>
        <w:footnoteRef/>
      </w:r>
      <w:r w:rsidRPr="00D01FFA">
        <w:rPr>
          <w:rFonts w:ascii="Verdana" w:hAnsi="Verdana" w:cs="Arial"/>
          <w:color w:val="000000" w:themeColor="text1"/>
          <w:sz w:val="16"/>
          <w:szCs w:val="16"/>
        </w:rPr>
        <w:t xml:space="preserve"> </w:t>
      </w:r>
      <w:r w:rsidRPr="00D01FFA">
        <w:rPr>
          <w:rFonts w:ascii="Verdana" w:hAnsi="Verdana" w:cs="Arial"/>
          <w:color w:val="000000" w:themeColor="text1"/>
          <w:sz w:val="16"/>
          <w:szCs w:val="16"/>
          <w:lang w:val="es-ES"/>
        </w:rPr>
        <w:t>Artículo 16.</w:t>
      </w:r>
    </w:p>
    <w:p w14:paraId="7A04AEB1" w14:textId="77777777" w:rsidR="00FB3658" w:rsidRPr="00215737" w:rsidRDefault="00FB3658" w:rsidP="00FB3658">
      <w:pPr>
        <w:pStyle w:val="Textonotapie"/>
        <w:ind w:firstLine="709"/>
        <w:jc w:val="both"/>
        <w:rPr>
          <w:rFonts w:ascii="Verdana" w:hAnsi="Verdana" w:cs="Arial"/>
          <w:color w:val="000000" w:themeColor="text1"/>
          <w:sz w:val="14"/>
          <w:szCs w:val="14"/>
          <w:lang w:val="es-ES"/>
        </w:rPr>
      </w:pPr>
    </w:p>
  </w:footnote>
  <w:footnote w:id="18">
    <w:p w14:paraId="20AEA3C7" w14:textId="77777777" w:rsidR="00FB3658" w:rsidRPr="00215737" w:rsidRDefault="00FB3658" w:rsidP="00FB3658">
      <w:pPr>
        <w:pStyle w:val="Textonotapie"/>
        <w:ind w:firstLine="709"/>
        <w:jc w:val="both"/>
        <w:rPr>
          <w:rFonts w:ascii="Verdana" w:hAnsi="Verdana" w:cs="Arial"/>
          <w:color w:val="000000" w:themeColor="text1"/>
          <w:sz w:val="14"/>
          <w:szCs w:val="14"/>
          <w:lang w:val="es-ES"/>
        </w:rPr>
      </w:pPr>
      <w:r w:rsidRPr="00215737">
        <w:rPr>
          <w:rStyle w:val="Refdenotaalpie"/>
          <w:rFonts w:ascii="Verdana" w:hAnsi="Verdana" w:cs="Arial"/>
          <w:color w:val="000000" w:themeColor="text1"/>
          <w:sz w:val="14"/>
          <w:szCs w:val="14"/>
        </w:rPr>
        <w:footnoteRef/>
      </w:r>
      <w:r w:rsidRPr="00215737">
        <w:rPr>
          <w:rFonts w:ascii="Verdana" w:hAnsi="Verdana" w:cs="Arial"/>
          <w:color w:val="000000" w:themeColor="text1"/>
          <w:sz w:val="14"/>
          <w:szCs w:val="14"/>
        </w:rPr>
        <w:t xml:space="preserve"> </w:t>
      </w:r>
      <w:r w:rsidRPr="00215737">
        <w:rPr>
          <w:rFonts w:ascii="Verdana" w:hAnsi="Verdana" w:cs="Arial"/>
          <w:color w:val="000000" w:themeColor="text1"/>
          <w:sz w:val="14"/>
          <w:szCs w:val="14"/>
          <w:lang w:val="es-ES"/>
        </w:rPr>
        <w:t>Artículo 2, literal a).</w:t>
      </w:r>
    </w:p>
    <w:p w14:paraId="66CDDD49" w14:textId="77777777" w:rsidR="00FB3658" w:rsidRPr="00215737" w:rsidRDefault="00FB3658" w:rsidP="00FB3658">
      <w:pPr>
        <w:pStyle w:val="Textonotapie"/>
        <w:ind w:firstLine="709"/>
        <w:jc w:val="both"/>
        <w:rPr>
          <w:rFonts w:ascii="Verdana" w:hAnsi="Verdana" w:cs="Arial"/>
          <w:color w:val="000000" w:themeColor="text1"/>
          <w:sz w:val="14"/>
          <w:szCs w:val="14"/>
          <w:lang w:val="es-ES"/>
        </w:rPr>
      </w:pPr>
    </w:p>
  </w:footnote>
  <w:footnote w:id="19">
    <w:p w14:paraId="02AF2B1D" w14:textId="77777777" w:rsidR="00FB3658" w:rsidRPr="00215737" w:rsidRDefault="00FB3658" w:rsidP="00FB3658">
      <w:pPr>
        <w:pStyle w:val="Textonotapie"/>
        <w:ind w:firstLine="709"/>
        <w:jc w:val="both"/>
        <w:rPr>
          <w:rFonts w:ascii="Verdana" w:hAnsi="Verdana" w:cs="Arial"/>
          <w:color w:val="000000" w:themeColor="text1"/>
          <w:sz w:val="14"/>
          <w:szCs w:val="14"/>
          <w:lang w:val="es-ES"/>
        </w:rPr>
      </w:pPr>
      <w:r w:rsidRPr="00215737">
        <w:rPr>
          <w:rStyle w:val="Refdenotaalpie"/>
          <w:rFonts w:ascii="Verdana" w:hAnsi="Verdana" w:cs="Arial"/>
          <w:color w:val="000000" w:themeColor="text1"/>
          <w:sz w:val="14"/>
          <w:szCs w:val="14"/>
        </w:rPr>
        <w:footnoteRef/>
      </w:r>
      <w:r w:rsidRPr="00215737">
        <w:rPr>
          <w:rFonts w:ascii="Verdana" w:hAnsi="Verdana" w:cs="Arial"/>
          <w:color w:val="000000" w:themeColor="text1"/>
          <w:sz w:val="14"/>
          <w:szCs w:val="14"/>
        </w:rPr>
        <w:t xml:space="preserve"> </w:t>
      </w:r>
      <w:r w:rsidRPr="00215737">
        <w:rPr>
          <w:rFonts w:ascii="Verdana" w:hAnsi="Verdana" w:cs="Arial"/>
          <w:color w:val="000000" w:themeColor="text1"/>
          <w:sz w:val="14"/>
          <w:szCs w:val="14"/>
          <w:lang w:val="es-ES"/>
        </w:rPr>
        <w:t>Artículo 2, literal f).</w:t>
      </w:r>
    </w:p>
    <w:p w14:paraId="1515B91A" w14:textId="77777777" w:rsidR="00FB3658" w:rsidRPr="00215737" w:rsidRDefault="00FB3658" w:rsidP="00FB3658">
      <w:pPr>
        <w:pStyle w:val="Textonotapie"/>
        <w:ind w:firstLine="709"/>
        <w:jc w:val="both"/>
        <w:rPr>
          <w:rFonts w:ascii="Verdana" w:hAnsi="Verdana" w:cs="Arial"/>
          <w:color w:val="000000" w:themeColor="text1"/>
          <w:sz w:val="14"/>
          <w:szCs w:val="14"/>
          <w:lang w:val="es-ES"/>
        </w:rPr>
      </w:pPr>
    </w:p>
  </w:footnote>
  <w:footnote w:id="20">
    <w:p w14:paraId="7D6ACB73"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Style w:val="Refdenotaalpie"/>
          <w:rFonts w:ascii="Verdana" w:hAnsi="Verdana" w:cs="Arial"/>
          <w:color w:val="000000" w:themeColor="text1"/>
          <w:sz w:val="14"/>
          <w:szCs w:val="14"/>
        </w:rPr>
        <w:footnoteRef/>
      </w:r>
      <w:r w:rsidRPr="00215737">
        <w:rPr>
          <w:rFonts w:ascii="Verdana" w:hAnsi="Verdana" w:cs="Arial"/>
          <w:color w:val="000000" w:themeColor="text1"/>
          <w:sz w:val="14"/>
          <w:szCs w:val="14"/>
        </w:rPr>
        <w:t xml:space="preserve"> Ley 1150 de 2007: “Artículo 3. De la contratación pública electrónica.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050BE3AE"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Lo anterior, sin perjuicio de las publicaciones previstas en el numeral 3 del artículo 30 de la Ley 80 de 1993.</w:t>
      </w:r>
    </w:p>
    <w:p w14:paraId="342A4914"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Con el fin de materializar los objetivos a que se refiere el inciso anterior, el Gobierno Nacional desarrollará el Sistema Electrónico para la Contratación Pública, Secop, el cual:</w:t>
      </w:r>
    </w:p>
    <w:p w14:paraId="554246F3"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a) Dispondrá de las funcionalidades tecnológicas para realizar procesos de contratación electrónicos bajo los métodos de selección señalados en el artículo 2o de la presente ley según lo defina el reglamento;</w:t>
      </w:r>
    </w:p>
    <w:p w14:paraId="6AA8CB71"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b) Servirá de punto único de ingreso de información y de generación de reportes para las entidades estatales y la ciudadanía;</w:t>
      </w:r>
    </w:p>
    <w:p w14:paraId="68918EDB"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c) Contará con la información oficial de la contratación realizada con dineros públicos, para lo cual establecerá los patrones a que haya lugar y se encargará de su difusión a través de canales electrónicos y;</w:t>
      </w:r>
    </w:p>
    <w:p w14:paraId="33225B79"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d) Integrará el Registro Unico Empresarial de las Cámaras de Comercio, el Diario Unico de Contratación Estatal y los demás sistemas que involucren la gestión contractual pública. Así mismo, se articulará con el Sistema de Información para la Vigilancia de la Contratación Estatal, SICE, creado por la Ley 598 de 2000, sin que este pierda su autonomía para el ejercicio del control fiscal a la contratación pública.</w:t>
      </w:r>
    </w:p>
    <w:p w14:paraId="481C0AB9" w14:textId="77777777" w:rsidR="00FB3658" w:rsidRPr="00215737" w:rsidRDefault="00FB3658" w:rsidP="00FB3658">
      <w:pPr>
        <w:pStyle w:val="Textonotapie"/>
        <w:ind w:firstLine="708"/>
        <w:jc w:val="both"/>
        <w:rPr>
          <w:rFonts w:ascii="Verdana" w:hAnsi="Verdana" w:cs="Arial"/>
          <w:color w:val="000000" w:themeColor="text1"/>
          <w:sz w:val="14"/>
          <w:szCs w:val="14"/>
        </w:rPr>
      </w:pPr>
      <w:r w:rsidRPr="00215737">
        <w:rPr>
          <w:rFonts w:ascii="Verdana" w:hAnsi="Verdana" w:cs="Arial"/>
          <w:color w:val="000000" w:themeColor="text1"/>
          <w:sz w:val="14"/>
          <w:szCs w:val="14"/>
        </w:rPr>
        <w:t>[...]”.</w:t>
      </w:r>
    </w:p>
    <w:p w14:paraId="76D425E8" w14:textId="77777777" w:rsidR="00FB3658" w:rsidRPr="00215737" w:rsidRDefault="00FB3658" w:rsidP="00FB3658">
      <w:pPr>
        <w:pStyle w:val="Textonotapie"/>
        <w:jc w:val="both"/>
        <w:rPr>
          <w:rFonts w:ascii="Verdana" w:hAnsi="Verdana" w:cs="Arial"/>
          <w:color w:val="000000" w:themeColor="text1"/>
          <w:sz w:val="14"/>
          <w:szCs w:val="14"/>
        </w:rPr>
      </w:pPr>
    </w:p>
  </w:footnote>
  <w:footnote w:id="21">
    <w:p w14:paraId="43BF3928" w14:textId="77777777" w:rsidR="00FB3658" w:rsidRPr="00215737" w:rsidRDefault="00FB3658" w:rsidP="00FB3658">
      <w:pPr>
        <w:pStyle w:val="Textonotapie"/>
        <w:ind w:firstLine="708"/>
        <w:jc w:val="both"/>
        <w:rPr>
          <w:rFonts w:ascii="Verdana" w:hAnsi="Verdana" w:cs="Arial"/>
          <w:sz w:val="14"/>
          <w:szCs w:val="14"/>
        </w:rPr>
      </w:pPr>
      <w:r w:rsidRPr="00215737">
        <w:rPr>
          <w:rStyle w:val="Refdenotaalpie"/>
          <w:rFonts w:ascii="Verdana" w:hAnsi="Verdana" w:cs="Arial"/>
          <w:sz w:val="14"/>
          <w:szCs w:val="14"/>
        </w:rPr>
        <w:footnoteRef/>
      </w:r>
      <w:r w:rsidRPr="00215737">
        <w:rPr>
          <w:rFonts w:ascii="Verdana" w:hAnsi="Verdana" w:cs="Arial"/>
          <w:sz w:val="14"/>
          <w:szCs w:val="14"/>
        </w:rPr>
        <w:t xml:space="preserve"> Términos y Condiciones de Uso del SECOP II: </w:t>
      </w:r>
      <w:hyperlink r:id="rId1" w:history="1">
        <w:r w:rsidRPr="00215737">
          <w:rPr>
            <w:rStyle w:val="Hipervnculo"/>
            <w:rFonts w:ascii="Verdana" w:hAnsi="Verdana" w:cs="Arial"/>
            <w:sz w:val="14"/>
            <w:szCs w:val="14"/>
          </w:rPr>
          <w:t>https://www.colombiacompra.gov.co/wp-content/uploads/2024/10/cce-gti-idi-05_terminos_y_condiciones_de_uso_del_sistema_electronico_de_contratacion_publica_-_secop_ii_19-11-2021.pdf</w:t>
        </w:r>
      </w:hyperlink>
      <w:r w:rsidRPr="00215737">
        <w:rPr>
          <w:rFonts w:ascii="Verdana" w:hAnsi="Verdana" w:cs="Arial"/>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318926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97619"/>
    <w:rsid w:val="000A683E"/>
    <w:rsid w:val="000B19B9"/>
    <w:rsid w:val="000D0334"/>
    <w:rsid w:val="000D5DA7"/>
    <w:rsid w:val="000F6486"/>
    <w:rsid w:val="00110B50"/>
    <w:rsid w:val="00116940"/>
    <w:rsid w:val="00125105"/>
    <w:rsid w:val="00127233"/>
    <w:rsid w:val="0015699B"/>
    <w:rsid w:val="00192027"/>
    <w:rsid w:val="001A33BF"/>
    <w:rsid w:val="001A71B8"/>
    <w:rsid w:val="001E4177"/>
    <w:rsid w:val="001F0B24"/>
    <w:rsid w:val="001F7DC6"/>
    <w:rsid w:val="002222BD"/>
    <w:rsid w:val="0022400B"/>
    <w:rsid w:val="002421BB"/>
    <w:rsid w:val="0025796E"/>
    <w:rsid w:val="002707A2"/>
    <w:rsid w:val="002806E4"/>
    <w:rsid w:val="002951A0"/>
    <w:rsid w:val="002962BC"/>
    <w:rsid w:val="002A093D"/>
    <w:rsid w:val="002A0DD0"/>
    <w:rsid w:val="002A49AC"/>
    <w:rsid w:val="002A64FD"/>
    <w:rsid w:val="002C7A84"/>
    <w:rsid w:val="002E2BF8"/>
    <w:rsid w:val="002E4FD9"/>
    <w:rsid w:val="0030657A"/>
    <w:rsid w:val="00322A85"/>
    <w:rsid w:val="00324168"/>
    <w:rsid w:val="00330834"/>
    <w:rsid w:val="00330B1E"/>
    <w:rsid w:val="00340160"/>
    <w:rsid w:val="003448F4"/>
    <w:rsid w:val="0036053A"/>
    <w:rsid w:val="00374F5E"/>
    <w:rsid w:val="00377E3E"/>
    <w:rsid w:val="00380F7F"/>
    <w:rsid w:val="003945C1"/>
    <w:rsid w:val="003A779E"/>
    <w:rsid w:val="003D0F4D"/>
    <w:rsid w:val="003D5B0D"/>
    <w:rsid w:val="003E0499"/>
    <w:rsid w:val="003E4F80"/>
    <w:rsid w:val="003E6439"/>
    <w:rsid w:val="003F3941"/>
    <w:rsid w:val="00406575"/>
    <w:rsid w:val="00414C74"/>
    <w:rsid w:val="0042722E"/>
    <w:rsid w:val="0044528D"/>
    <w:rsid w:val="00447B81"/>
    <w:rsid w:val="00466E39"/>
    <w:rsid w:val="004A1847"/>
    <w:rsid w:val="004A305D"/>
    <w:rsid w:val="004F21C4"/>
    <w:rsid w:val="004F685F"/>
    <w:rsid w:val="00553CC4"/>
    <w:rsid w:val="005566E8"/>
    <w:rsid w:val="00574867"/>
    <w:rsid w:val="00591460"/>
    <w:rsid w:val="005A65E0"/>
    <w:rsid w:val="005C3777"/>
    <w:rsid w:val="005C5CDC"/>
    <w:rsid w:val="005D476C"/>
    <w:rsid w:val="00602A9A"/>
    <w:rsid w:val="006200BF"/>
    <w:rsid w:val="006219F8"/>
    <w:rsid w:val="006302F7"/>
    <w:rsid w:val="00634FD6"/>
    <w:rsid w:val="00646B9F"/>
    <w:rsid w:val="00657322"/>
    <w:rsid w:val="006637BF"/>
    <w:rsid w:val="00665D70"/>
    <w:rsid w:val="006900D9"/>
    <w:rsid w:val="006A4AE8"/>
    <w:rsid w:val="00706C16"/>
    <w:rsid w:val="007340C3"/>
    <w:rsid w:val="0075235A"/>
    <w:rsid w:val="00756841"/>
    <w:rsid w:val="007649AB"/>
    <w:rsid w:val="00771D0C"/>
    <w:rsid w:val="00772D06"/>
    <w:rsid w:val="007833AC"/>
    <w:rsid w:val="007B268C"/>
    <w:rsid w:val="007B7171"/>
    <w:rsid w:val="007C0C0F"/>
    <w:rsid w:val="007C3DC2"/>
    <w:rsid w:val="007E5497"/>
    <w:rsid w:val="00806F5F"/>
    <w:rsid w:val="00820278"/>
    <w:rsid w:val="008258C9"/>
    <w:rsid w:val="00844AE9"/>
    <w:rsid w:val="00867F95"/>
    <w:rsid w:val="00880842"/>
    <w:rsid w:val="008843B6"/>
    <w:rsid w:val="00891928"/>
    <w:rsid w:val="008A446D"/>
    <w:rsid w:val="008B25F1"/>
    <w:rsid w:val="008D180B"/>
    <w:rsid w:val="008F01C5"/>
    <w:rsid w:val="008F0EA7"/>
    <w:rsid w:val="00923EEF"/>
    <w:rsid w:val="009419F9"/>
    <w:rsid w:val="00946D31"/>
    <w:rsid w:val="0095685E"/>
    <w:rsid w:val="00961B09"/>
    <w:rsid w:val="00965334"/>
    <w:rsid w:val="0097093E"/>
    <w:rsid w:val="009A0DFA"/>
    <w:rsid w:val="009A1C6F"/>
    <w:rsid w:val="009B2D26"/>
    <w:rsid w:val="009C71FA"/>
    <w:rsid w:val="009C72E7"/>
    <w:rsid w:val="009C7F7E"/>
    <w:rsid w:val="009D3058"/>
    <w:rsid w:val="009D458D"/>
    <w:rsid w:val="009F3A13"/>
    <w:rsid w:val="00A122D3"/>
    <w:rsid w:val="00A14468"/>
    <w:rsid w:val="00A17F13"/>
    <w:rsid w:val="00A20739"/>
    <w:rsid w:val="00A23AF9"/>
    <w:rsid w:val="00A33C78"/>
    <w:rsid w:val="00A566BC"/>
    <w:rsid w:val="00A81CF3"/>
    <w:rsid w:val="00AB0ADB"/>
    <w:rsid w:val="00B00C0E"/>
    <w:rsid w:val="00B01B1A"/>
    <w:rsid w:val="00B0381D"/>
    <w:rsid w:val="00B44A47"/>
    <w:rsid w:val="00B72CD3"/>
    <w:rsid w:val="00B72FFF"/>
    <w:rsid w:val="00B9562D"/>
    <w:rsid w:val="00BC3D36"/>
    <w:rsid w:val="00BD54A6"/>
    <w:rsid w:val="00BD7F72"/>
    <w:rsid w:val="00BF7425"/>
    <w:rsid w:val="00C04FB3"/>
    <w:rsid w:val="00C11D8B"/>
    <w:rsid w:val="00C15139"/>
    <w:rsid w:val="00C330EB"/>
    <w:rsid w:val="00C50D69"/>
    <w:rsid w:val="00C5365C"/>
    <w:rsid w:val="00C754BE"/>
    <w:rsid w:val="00C76B1C"/>
    <w:rsid w:val="00C925AC"/>
    <w:rsid w:val="00CB323E"/>
    <w:rsid w:val="00CB6357"/>
    <w:rsid w:val="00CC1B26"/>
    <w:rsid w:val="00D361FD"/>
    <w:rsid w:val="00D423A2"/>
    <w:rsid w:val="00D44E26"/>
    <w:rsid w:val="00D50256"/>
    <w:rsid w:val="00D520D8"/>
    <w:rsid w:val="00D63AC2"/>
    <w:rsid w:val="00D7383B"/>
    <w:rsid w:val="00D7788A"/>
    <w:rsid w:val="00DA231B"/>
    <w:rsid w:val="00DC39FC"/>
    <w:rsid w:val="00DD5DF1"/>
    <w:rsid w:val="00DF5254"/>
    <w:rsid w:val="00E02524"/>
    <w:rsid w:val="00E16408"/>
    <w:rsid w:val="00E20894"/>
    <w:rsid w:val="00E245AB"/>
    <w:rsid w:val="00E2764C"/>
    <w:rsid w:val="00E27F2E"/>
    <w:rsid w:val="00E3058B"/>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3658"/>
    <w:rsid w:val="00FB5DD1"/>
    <w:rsid w:val="00FC2B5D"/>
    <w:rsid w:val="00FF1449"/>
    <w:rsid w:val="00FF7963"/>
    <w:rsid w:val="071B8F93"/>
    <w:rsid w:val="07C73DD1"/>
    <w:rsid w:val="09908A09"/>
    <w:rsid w:val="0EFE6349"/>
    <w:rsid w:val="0FF4CCA8"/>
    <w:rsid w:val="13CFC91B"/>
    <w:rsid w:val="14D76D9A"/>
    <w:rsid w:val="19A2EC2C"/>
    <w:rsid w:val="21779BE6"/>
    <w:rsid w:val="2859CA1B"/>
    <w:rsid w:val="2C4D2425"/>
    <w:rsid w:val="2EE1E026"/>
    <w:rsid w:val="2F44F38F"/>
    <w:rsid w:val="30821638"/>
    <w:rsid w:val="32A4F9CF"/>
    <w:rsid w:val="33A1FF93"/>
    <w:rsid w:val="356CEDFD"/>
    <w:rsid w:val="3C591AFD"/>
    <w:rsid w:val="42183F0A"/>
    <w:rsid w:val="545B112A"/>
    <w:rsid w:val="5AD8472E"/>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B3658"/>
    <w:pPr>
      <w:spacing w:line="240" w:lineRule="exact"/>
    </w:pPr>
    <w:rPr>
      <w:vertAlign w:val="superscript"/>
    </w:rPr>
  </w:style>
  <w:style w:type="paragraph" w:styleId="Textoindependiente">
    <w:name w:val="Body Text"/>
    <w:basedOn w:val="Normal"/>
    <w:link w:val="TextoindependienteCar"/>
    <w:uiPriority w:val="99"/>
    <w:semiHidden/>
    <w:unhideWhenUsed/>
    <w:rsid w:val="00FB3658"/>
    <w:pPr>
      <w:spacing w:after="120"/>
    </w:pPr>
  </w:style>
  <w:style w:type="character" w:customStyle="1" w:styleId="TextoindependienteCar">
    <w:name w:val="Texto independiente Car"/>
    <w:basedOn w:val="Fuentedeprrafopredeter"/>
    <w:link w:val="Textoindependiente"/>
    <w:uiPriority w:val="99"/>
    <w:semiHidden/>
    <w:rsid w:val="00FB3658"/>
  </w:style>
  <w:style w:type="character" w:customStyle="1" w:styleId="NormalWebCar">
    <w:name w:val="Normal (Web) Car"/>
    <w:link w:val="NormalWeb"/>
    <w:uiPriority w:val="99"/>
    <w:locked/>
    <w:rsid w:val="00FB3658"/>
    <w:rPr>
      <w:rFonts w:ascii="Times New Roman" w:eastAsia="Times New Roman" w:hAnsi="Times New Roman" w:cs="Times New Roman"/>
      <w:sz w:val="24"/>
      <w:szCs w:val="24"/>
      <w:lang w:eastAsia="es-CO"/>
    </w:rPr>
  </w:style>
  <w:style w:type="character" w:customStyle="1" w:styleId="textrun">
    <w:name w:val="textrun"/>
    <w:basedOn w:val="Fuentedeprrafopredeter"/>
    <w:rsid w:val="00FB3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reyes@regionmetropolitana.gov.co"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4/10/cce-gti-idi-05_terminos_y_condiciones_de_uso_del_sistema_electronico_de_contratacion_publica_-_secop_ii_19-11-20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D291737-B0EB-466C-9D3F-35A08B34A502}"/>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20</Pages>
  <Words>5966</Words>
  <Characters>32817</Characters>
  <Application>Microsoft Office Word</Application>
  <DocSecurity>0</DocSecurity>
  <Lines>273</Lines>
  <Paragraphs>77</Paragraphs>
  <ScaleCrop>false</ScaleCrop>
  <Company/>
  <LinksUpToDate>false</LinksUpToDate>
  <CharactersWithSpaces>38706</CharactersWithSpaces>
  <SharedDoc>false</SharedDoc>
  <HLinks>
    <vt:vector size="18" baseType="variant">
      <vt:variant>
        <vt:i4>7471218</vt:i4>
      </vt:variant>
      <vt:variant>
        <vt:i4>3</vt:i4>
      </vt:variant>
      <vt:variant>
        <vt:i4>0</vt:i4>
      </vt:variant>
      <vt:variant>
        <vt:i4>5</vt:i4>
      </vt:variant>
      <vt:variant>
        <vt:lpwstr>https://relatoria.colombiacompra.gov.co/busqueda/conceptos</vt:lpwstr>
      </vt:variant>
      <vt:variant>
        <vt:lpwstr/>
      </vt:variant>
      <vt:variant>
        <vt:i4>3145802</vt:i4>
      </vt:variant>
      <vt:variant>
        <vt:i4>0</vt:i4>
      </vt:variant>
      <vt:variant>
        <vt:i4>0</vt:i4>
      </vt:variant>
      <vt:variant>
        <vt:i4>5</vt:i4>
      </vt:variant>
      <vt:variant>
        <vt:lpwstr>mailto:areyes@regionmetropolitana.gov.co</vt:lpwstr>
      </vt:variant>
      <vt:variant>
        <vt:lpwstr/>
      </vt:variant>
      <vt:variant>
        <vt:i4>3801171</vt:i4>
      </vt:variant>
      <vt:variant>
        <vt:i4>0</vt:i4>
      </vt:variant>
      <vt:variant>
        <vt:i4>0</vt:i4>
      </vt:variant>
      <vt:variant>
        <vt:i4>5</vt:i4>
      </vt:variant>
      <vt:variant>
        <vt:lpwstr>https://www.colombiacompra.gov.co/wp-content/uploads/2024/10/cce-gti-idi-05_terminos_y_condiciones_de_uso_del_sistema_electronico_de_contratacion_publica_-_secop_ii_19-11-2021.pdf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7</cp:revision>
  <cp:lastPrinted>2023-01-10T21:18:00Z</cp:lastPrinted>
  <dcterms:created xsi:type="dcterms:W3CDTF">2026-06-11T22:35:00Z</dcterms:created>
  <dcterms:modified xsi:type="dcterms:W3CDTF">2026-06-11T23:15:00Z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