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073D9" w14:textId="77777777" w:rsidR="00D00414" w:rsidRPr="00893C18" w:rsidRDefault="00D00414" w:rsidP="00D00414">
      <w:pPr>
        <w:snapToGrid w:val="0"/>
        <w:contextualSpacing/>
        <w:jc w:val="both"/>
        <w:rPr>
          <w:rFonts w:ascii="Verdana" w:eastAsia="Calibri" w:hAnsi="Verdana" w:cs="Arial"/>
          <w:b/>
          <w:bCs/>
          <w:lang w:val="es-ES" w:eastAsia="es-ES"/>
        </w:rPr>
      </w:pPr>
      <w:bookmarkStart w:id="0" w:name="_Hlk143780582"/>
      <w:r w:rsidRPr="00893C18">
        <w:rPr>
          <w:rFonts w:ascii="Verdana" w:eastAsia="Calibri" w:hAnsi="Verdana" w:cs="Arial"/>
          <w:b/>
          <w:bCs/>
          <w:lang w:val="es-ES" w:eastAsia="es-ES"/>
        </w:rPr>
        <w:t>SARLAFT ‒ Marco jurídico – Definición</w:t>
      </w:r>
    </w:p>
    <w:p w14:paraId="50990287" w14:textId="77777777" w:rsidR="00D00414" w:rsidRPr="00893C18" w:rsidRDefault="00D00414" w:rsidP="00D00414">
      <w:pPr>
        <w:snapToGrid w:val="0"/>
        <w:spacing w:after="0" w:line="240" w:lineRule="auto"/>
        <w:contextualSpacing/>
        <w:jc w:val="both"/>
        <w:rPr>
          <w:rFonts w:ascii="Verdana" w:eastAsia="Calibri" w:hAnsi="Verdana" w:cs="Arial"/>
          <w:b/>
          <w:bCs/>
          <w:sz w:val="20"/>
          <w:szCs w:val="20"/>
          <w:lang w:val="es-ES" w:eastAsia="es-ES"/>
        </w:rPr>
      </w:pPr>
    </w:p>
    <w:p w14:paraId="1902E5D0" w14:textId="77777777" w:rsidR="00D00414" w:rsidRDefault="00D00414" w:rsidP="00D00414">
      <w:pPr>
        <w:snapToGrid w:val="0"/>
        <w:spacing w:after="0" w:line="240" w:lineRule="auto"/>
        <w:contextualSpacing/>
        <w:jc w:val="both"/>
        <w:rPr>
          <w:rFonts w:ascii="Verdana" w:eastAsia="Calibri" w:hAnsi="Verdana" w:cs="Arial"/>
          <w:color w:val="000000" w:themeColor="text1"/>
          <w:sz w:val="20"/>
          <w:szCs w:val="20"/>
        </w:rPr>
      </w:pPr>
      <w:r w:rsidRPr="00893C18">
        <w:rPr>
          <w:rFonts w:ascii="Verdana" w:eastAsia="Calibri" w:hAnsi="Verdana" w:cs="Arial"/>
          <w:color w:val="000000" w:themeColor="text1"/>
          <w:sz w:val="20"/>
          <w:szCs w:val="20"/>
        </w:rPr>
        <w:t>[…] el SARLAFT es un sistema de prevención y control para la adecuada gestión del riesgo de lavado de activos y financiación del terrorismo. Para esto, se deberán adoptar unas políticas, procedimientos y herramientas mínimas que contemplen todas las actividades que realizan en desarrollo de su objeto social y que se ajusten a su tamaño, actividad económica, forma de comercialización y demás características particulares de cada agente sujeto a vigilancia. En el caso de las entidades vigiladas por la Superintendencia Financiera, se requiere que implementen el SARLAFT con el fin de prevenir que sean utilizadas para (i) dar apariencia de legalidad a activos provenientes de actividades delictivas y/o (</w:t>
      </w:r>
      <w:proofErr w:type="spellStart"/>
      <w:r w:rsidRPr="00893C18">
        <w:rPr>
          <w:rFonts w:ascii="Verdana" w:eastAsia="Calibri" w:hAnsi="Verdana" w:cs="Arial"/>
          <w:color w:val="000000" w:themeColor="text1"/>
          <w:sz w:val="20"/>
          <w:szCs w:val="20"/>
        </w:rPr>
        <w:t>ii</w:t>
      </w:r>
      <w:proofErr w:type="spellEnd"/>
      <w:r w:rsidRPr="00893C18">
        <w:rPr>
          <w:rFonts w:ascii="Verdana" w:eastAsia="Calibri" w:hAnsi="Verdana" w:cs="Arial"/>
          <w:color w:val="000000" w:themeColor="text1"/>
          <w:sz w:val="20"/>
          <w:szCs w:val="20"/>
        </w:rPr>
        <w:t xml:space="preserve">) canalizar recursos hacia la </w:t>
      </w:r>
      <w:proofErr w:type="spellStart"/>
      <w:r w:rsidRPr="00893C18">
        <w:rPr>
          <w:rFonts w:ascii="Verdana" w:eastAsia="Calibri" w:hAnsi="Verdana" w:cs="Arial"/>
          <w:color w:val="000000" w:themeColor="text1"/>
          <w:sz w:val="20"/>
          <w:szCs w:val="20"/>
        </w:rPr>
        <w:t>realización</w:t>
      </w:r>
      <w:proofErr w:type="spellEnd"/>
      <w:r w:rsidRPr="00893C18">
        <w:rPr>
          <w:rFonts w:ascii="Verdana" w:eastAsia="Calibri" w:hAnsi="Verdana" w:cs="Arial"/>
          <w:color w:val="000000" w:themeColor="text1"/>
          <w:sz w:val="20"/>
          <w:szCs w:val="20"/>
        </w:rPr>
        <w:t xml:space="preserve"> de actividades terroristas. Con este fin, en desarrollo de los dispuesto en los artículos 102 y subsiguientes del Decreto Ley 663 de 1993, Estatuto Orgánico del Sistema Financiero, así como lo dispuesto en el artículo 22 de la Ley 964 de 2005, la Superintendencia determina los criterios y </w:t>
      </w:r>
      <w:proofErr w:type="spellStart"/>
      <w:r w:rsidRPr="00893C18">
        <w:rPr>
          <w:rFonts w:ascii="Verdana" w:eastAsia="Calibri" w:hAnsi="Verdana" w:cs="Arial"/>
          <w:color w:val="000000" w:themeColor="text1"/>
          <w:sz w:val="20"/>
          <w:szCs w:val="20"/>
        </w:rPr>
        <w:t>parámetros</w:t>
      </w:r>
      <w:proofErr w:type="spellEnd"/>
      <w:r w:rsidRPr="00893C18">
        <w:rPr>
          <w:rFonts w:ascii="Verdana" w:eastAsia="Calibri" w:hAnsi="Verdana" w:cs="Arial"/>
          <w:color w:val="000000" w:themeColor="text1"/>
          <w:sz w:val="20"/>
          <w:szCs w:val="20"/>
        </w:rPr>
        <w:t xml:space="preserve"> </w:t>
      </w:r>
      <w:proofErr w:type="spellStart"/>
      <w:r w:rsidRPr="00893C18">
        <w:rPr>
          <w:rFonts w:ascii="Verdana" w:eastAsia="Calibri" w:hAnsi="Verdana" w:cs="Arial"/>
          <w:color w:val="000000" w:themeColor="text1"/>
          <w:sz w:val="20"/>
          <w:szCs w:val="20"/>
        </w:rPr>
        <w:t>mínimos</w:t>
      </w:r>
      <w:proofErr w:type="spellEnd"/>
      <w:r w:rsidRPr="00893C18">
        <w:rPr>
          <w:rFonts w:ascii="Verdana" w:eastAsia="Calibri" w:hAnsi="Verdana" w:cs="Arial"/>
          <w:color w:val="000000" w:themeColor="text1"/>
          <w:sz w:val="20"/>
          <w:szCs w:val="20"/>
        </w:rPr>
        <w:t xml:space="preserve"> que las entidades vigiladas deben atender en el </w:t>
      </w:r>
      <w:proofErr w:type="spellStart"/>
      <w:r w:rsidRPr="00893C18">
        <w:rPr>
          <w:rFonts w:ascii="Verdana" w:eastAsia="Calibri" w:hAnsi="Verdana" w:cs="Arial"/>
          <w:color w:val="000000" w:themeColor="text1"/>
          <w:sz w:val="20"/>
          <w:szCs w:val="20"/>
        </w:rPr>
        <w:t>diseño</w:t>
      </w:r>
      <w:proofErr w:type="spellEnd"/>
      <w:r w:rsidRPr="00893C18">
        <w:rPr>
          <w:rFonts w:ascii="Verdana" w:eastAsia="Calibri" w:hAnsi="Verdana" w:cs="Arial"/>
          <w:color w:val="000000" w:themeColor="text1"/>
          <w:sz w:val="20"/>
          <w:szCs w:val="20"/>
        </w:rPr>
        <w:t xml:space="preserve">, </w:t>
      </w:r>
      <w:proofErr w:type="spellStart"/>
      <w:r w:rsidRPr="00893C18">
        <w:rPr>
          <w:rFonts w:ascii="Verdana" w:eastAsia="Calibri" w:hAnsi="Verdana" w:cs="Arial"/>
          <w:color w:val="000000" w:themeColor="text1"/>
          <w:sz w:val="20"/>
          <w:szCs w:val="20"/>
        </w:rPr>
        <w:t>implementación</w:t>
      </w:r>
      <w:proofErr w:type="spellEnd"/>
      <w:r w:rsidRPr="00893C18">
        <w:rPr>
          <w:rFonts w:ascii="Verdana" w:eastAsia="Calibri" w:hAnsi="Verdana" w:cs="Arial"/>
          <w:color w:val="000000" w:themeColor="text1"/>
          <w:sz w:val="20"/>
          <w:szCs w:val="20"/>
        </w:rPr>
        <w:t xml:space="preserve"> y funcionamiento del mencionado sistema. </w:t>
      </w:r>
    </w:p>
    <w:p w14:paraId="1F371E34" w14:textId="77777777" w:rsidR="00D00414" w:rsidRPr="00893C18" w:rsidRDefault="00D00414" w:rsidP="00D00414">
      <w:pPr>
        <w:snapToGrid w:val="0"/>
        <w:spacing w:after="0" w:line="240" w:lineRule="auto"/>
        <w:contextualSpacing/>
        <w:jc w:val="both"/>
        <w:rPr>
          <w:rFonts w:ascii="Verdana" w:eastAsia="Calibri" w:hAnsi="Verdana" w:cs="Arial"/>
          <w:color w:val="000000" w:themeColor="text1"/>
          <w:sz w:val="20"/>
          <w:szCs w:val="20"/>
        </w:rPr>
      </w:pPr>
    </w:p>
    <w:p w14:paraId="208E68DD" w14:textId="77777777" w:rsidR="00D00414" w:rsidRDefault="00D00414" w:rsidP="00D00414">
      <w:pPr>
        <w:snapToGrid w:val="0"/>
        <w:spacing w:after="0" w:line="240" w:lineRule="auto"/>
        <w:contextualSpacing/>
        <w:jc w:val="both"/>
        <w:rPr>
          <w:rFonts w:ascii="Verdana" w:eastAsia="Calibri" w:hAnsi="Verdana" w:cs="Arial"/>
          <w:color w:val="000000" w:themeColor="text1"/>
          <w:sz w:val="20"/>
          <w:szCs w:val="20"/>
        </w:rPr>
      </w:pPr>
      <w:r w:rsidRPr="00893C18">
        <w:rPr>
          <w:rFonts w:ascii="Verdana" w:eastAsia="Calibri" w:hAnsi="Verdana" w:cs="Arial"/>
          <w:color w:val="000000" w:themeColor="text1"/>
          <w:sz w:val="20"/>
          <w:szCs w:val="20"/>
        </w:rPr>
        <w:t xml:space="preserve">Bajo dicho marco, las entidades deben implementar sistemas para prevenir el riesgo de que se introduzcan al sistema financiero recursos provenientes de actividades relacionadas con el lavado de activos y/o </w:t>
      </w:r>
      <w:proofErr w:type="spellStart"/>
      <w:r w:rsidRPr="00893C18">
        <w:rPr>
          <w:rFonts w:ascii="Verdana" w:eastAsia="Calibri" w:hAnsi="Verdana" w:cs="Arial"/>
          <w:color w:val="000000" w:themeColor="text1"/>
          <w:sz w:val="20"/>
          <w:szCs w:val="20"/>
        </w:rPr>
        <w:t>financiación</w:t>
      </w:r>
      <w:proofErr w:type="spellEnd"/>
      <w:r w:rsidRPr="00893C18">
        <w:rPr>
          <w:rFonts w:ascii="Verdana" w:eastAsia="Calibri" w:hAnsi="Verdana" w:cs="Arial"/>
          <w:color w:val="000000" w:themeColor="text1"/>
          <w:sz w:val="20"/>
          <w:szCs w:val="20"/>
        </w:rPr>
        <w:t xml:space="preserve"> del terrorismo (LA/FT), así como detectar y reportar las operaciones cuyo propósito sea dar apariencia de legalidad a operaciones vinculadas al LA/FT.</w:t>
      </w:r>
    </w:p>
    <w:p w14:paraId="474C7130" w14:textId="77777777" w:rsidR="00D00414" w:rsidRDefault="00D00414" w:rsidP="00D00414">
      <w:pPr>
        <w:snapToGrid w:val="0"/>
        <w:spacing w:after="0" w:line="240" w:lineRule="auto"/>
        <w:contextualSpacing/>
        <w:jc w:val="both"/>
        <w:rPr>
          <w:rFonts w:ascii="Verdana" w:eastAsia="Calibri" w:hAnsi="Verdana" w:cs="Arial"/>
          <w:color w:val="000000" w:themeColor="text1"/>
          <w:sz w:val="20"/>
          <w:szCs w:val="20"/>
        </w:rPr>
      </w:pPr>
    </w:p>
    <w:p w14:paraId="250902FE" w14:textId="77777777" w:rsidR="00D00414" w:rsidRPr="00893C18" w:rsidRDefault="00D00414" w:rsidP="00D00414">
      <w:pPr>
        <w:snapToGrid w:val="0"/>
        <w:contextualSpacing/>
        <w:jc w:val="both"/>
        <w:rPr>
          <w:rFonts w:ascii="Verdana" w:eastAsia="Calibri" w:hAnsi="Verdana" w:cs="Arial"/>
          <w:b/>
          <w:bCs/>
          <w:lang w:val="es-ES" w:eastAsia="es-ES"/>
        </w:rPr>
      </w:pPr>
      <w:r w:rsidRPr="00893C18">
        <w:rPr>
          <w:rFonts w:ascii="Verdana" w:eastAsia="Calibri" w:hAnsi="Verdana" w:cs="Arial"/>
          <w:b/>
          <w:bCs/>
          <w:lang w:val="es-ES" w:eastAsia="es-ES"/>
        </w:rPr>
        <w:t>RÉGIMEN DE INHABILIDADES E INCOMPATIBILIDADES – Reserva legal</w:t>
      </w:r>
    </w:p>
    <w:p w14:paraId="65C497E6" w14:textId="77777777" w:rsidR="00D00414" w:rsidRPr="00893C18" w:rsidRDefault="00D00414" w:rsidP="00D00414">
      <w:pPr>
        <w:snapToGrid w:val="0"/>
        <w:spacing w:after="0" w:line="240" w:lineRule="auto"/>
        <w:contextualSpacing/>
        <w:jc w:val="both"/>
        <w:rPr>
          <w:rFonts w:ascii="Verdana" w:eastAsia="Calibri" w:hAnsi="Verdana" w:cs="Arial"/>
          <w:b/>
          <w:bCs/>
          <w:sz w:val="20"/>
          <w:szCs w:val="20"/>
          <w:lang w:val="es-ES" w:eastAsia="es-ES"/>
        </w:rPr>
      </w:pPr>
    </w:p>
    <w:p w14:paraId="23483AEB" w14:textId="4204334A" w:rsidR="00D00414" w:rsidRPr="00893C18" w:rsidRDefault="00D00414" w:rsidP="00D00414">
      <w:pPr>
        <w:snapToGrid w:val="0"/>
        <w:spacing w:after="0" w:line="240" w:lineRule="auto"/>
        <w:contextualSpacing/>
        <w:jc w:val="both"/>
        <w:rPr>
          <w:rFonts w:ascii="Verdana" w:eastAsia="Calibri" w:hAnsi="Verdana" w:cs="Arial"/>
          <w:color w:val="000000" w:themeColor="text1"/>
          <w:sz w:val="20"/>
          <w:szCs w:val="20"/>
        </w:rPr>
      </w:pPr>
      <w:r w:rsidRPr="00893C18">
        <w:rPr>
          <w:rFonts w:ascii="Verdana" w:eastAsia="Calibri" w:hAnsi="Verdana" w:cs="Arial"/>
          <w:color w:val="000000" w:themeColor="text1"/>
          <w:sz w:val="20"/>
          <w:szCs w:val="20"/>
          <w:lang w:val="es-ES_tradnl"/>
        </w:rPr>
        <w:t xml:space="preserve">Por un lado, </w:t>
      </w:r>
      <w:r w:rsidRPr="00893C18">
        <w:rPr>
          <w:rFonts w:ascii="Verdana" w:hAnsi="Verdana"/>
          <w:sz w:val="20"/>
          <w:szCs w:val="20"/>
        </w:rPr>
        <w:t xml:space="preserve">es necesario tener en cuenta que el carácter reconocidamente taxativo y restrictivo de </w:t>
      </w:r>
      <w:r w:rsidRPr="00893C18">
        <w:rPr>
          <w:rFonts w:ascii="Verdana" w:hAnsi="Verdana"/>
          <w:i/>
          <w:iCs/>
          <w:sz w:val="20"/>
          <w:szCs w:val="20"/>
        </w:rPr>
        <w:t>régimen de inhabilidades</w:t>
      </w:r>
      <w:r w:rsidRPr="00893C18">
        <w:rPr>
          <w:rFonts w:ascii="Verdana" w:hAnsi="Verdana"/>
          <w:sz w:val="20"/>
          <w:szCs w:val="20"/>
        </w:rPr>
        <w:t xml:space="preserve"> obedece a la necesidad de salvaguardar el interés general inherente en la contratación pública, de forma que implique el menor sacrificio posible al derecho de igualdad y de reconocimiento de la personalidad jurídica de quienes aspiran a contratar con el Estado. Bajo estas circunstancias, las entidades públicas no pueden establecer en el pliego de condiciones causales de inhabilidad o incompatibilidad no previstas en la Constitución o en la ley. En consecuencia, al tratarse de una materia que tiene reserva legal, no es posible que una entidad pública establezca nuevas causales que afecten la capacidad para contratar con el Estado, ni siquiera haciéndolas pasar como causa para rechazar los ofrecimientos realizados.</w:t>
      </w:r>
    </w:p>
    <w:p w14:paraId="528D4DDA" w14:textId="77777777" w:rsidR="00D00414" w:rsidRDefault="00D00414" w:rsidP="00766AAE">
      <w:pPr>
        <w:spacing w:after="0"/>
        <w:rPr>
          <w:rFonts w:ascii="Verdana" w:eastAsia="Calibri" w:hAnsi="Verdana" w:cs="Arial"/>
          <w:lang w:val="es-ES" w:eastAsia="es-ES"/>
        </w:rPr>
      </w:pPr>
    </w:p>
    <w:p w14:paraId="6F417F28" w14:textId="77777777" w:rsidR="00D00414" w:rsidRPr="00C158B5" w:rsidRDefault="00D00414" w:rsidP="00D00414">
      <w:pPr>
        <w:snapToGrid w:val="0"/>
        <w:contextualSpacing/>
        <w:jc w:val="both"/>
        <w:rPr>
          <w:rFonts w:ascii="Verdana" w:eastAsia="Calibri" w:hAnsi="Verdana" w:cs="Arial"/>
          <w:b/>
          <w:bCs/>
          <w:lang w:val="es-ES" w:eastAsia="es-ES"/>
        </w:rPr>
      </w:pPr>
      <w:r w:rsidRPr="00C158B5">
        <w:rPr>
          <w:rFonts w:ascii="Verdana" w:eastAsia="Calibri" w:hAnsi="Verdana" w:cs="Arial"/>
          <w:b/>
          <w:bCs/>
          <w:lang w:val="es-ES" w:eastAsia="es-ES"/>
        </w:rPr>
        <w:t>REPORTE EN LISTAS RESTRICTIVAS – Medidas y alcance</w:t>
      </w:r>
    </w:p>
    <w:p w14:paraId="3EB8209C" w14:textId="77777777" w:rsidR="00D00414" w:rsidRPr="00893C18" w:rsidRDefault="00D00414" w:rsidP="00D00414">
      <w:pPr>
        <w:snapToGrid w:val="0"/>
        <w:spacing w:after="0" w:line="240" w:lineRule="auto"/>
        <w:contextualSpacing/>
        <w:jc w:val="both"/>
        <w:rPr>
          <w:rFonts w:ascii="Verdana" w:eastAsia="Calibri" w:hAnsi="Verdana" w:cs="Arial"/>
          <w:b/>
          <w:bCs/>
          <w:sz w:val="20"/>
          <w:szCs w:val="20"/>
          <w:lang w:val="es-ES" w:eastAsia="es-ES"/>
        </w:rPr>
      </w:pPr>
    </w:p>
    <w:p w14:paraId="38C7DCE9" w14:textId="77777777" w:rsidR="00D00414" w:rsidRDefault="00D00414" w:rsidP="00D00414">
      <w:pPr>
        <w:snapToGrid w:val="0"/>
        <w:spacing w:after="0" w:line="240" w:lineRule="auto"/>
        <w:contextualSpacing/>
        <w:jc w:val="both"/>
        <w:rPr>
          <w:rFonts w:ascii="Verdana" w:eastAsia="Calibri" w:hAnsi="Verdana" w:cs="Arial"/>
          <w:color w:val="000000" w:themeColor="text1"/>
          <w:sz w:val="20"/>
          <w:szCs w:val="20"/>
        </w:rPr>
      </w:pPr>
      <w:r w:rsidRPr="00893C18">
        <w:rPr>
          <w:rFonts w:ascii="Verdana" w:eastAsia="Calibri" w:hAnsi="Verdana" w:cs="Arial"/>
          <w:color w:val="000000" w:themeColor="text1"/>
          <w:sz w:val="20"/>
          <w:szCs w:val="20"/>
        </w:rPr>
        <w:t xml:space="preserve">[…] las entidades deben implementar sistemas para prevenir el riesgo de que se introduzcan al sistema financiero recursos provenientes de actividades relacionadas con el lavado de activos y/o </w:t>
      </w:r>
      <w:proofErr w:type="spellStart"/>
      <w:r w:rsidRPr="00893C18">
        <w:rPr>
          <w:rFonts w:ascii="Verdana" w:eastAsia="Calibri" w:hAnsi="Verdana" w:cs="Arial"/>
          <w:color w:val="000000" w:themeColor="text1"/>
          <w:sz w:val="20"/>
          <w:szCs w:val="20"/>
        </w:rPr>
        <w:t>financiación</w:t>
      </w:r>
      <w:proofErr w:type="spellEnd"/>
      <w:r w:rsidRPr="00893C18">
        <w:rPr>
          <w:rFonts w:ascii="Verdana" w:eastAsia="Calibri" w:hAnsi="Verdana" w:cs="Arial"/>
          <w:color w:val="000000" w:themeColor="text1"/>
          <w:sz w:val="20"/>
          <w:szCs w:val="20"/>
        </w:rPr>
        <w:t xml:space="preserve"> del terrorismo (LA/FT), así como detectar y reportar las operaciones cuyo propósito sea dar apariencia de legalidad a operaciones vinculadas al LA/FT.</w:t>
      </w:r>
    </w:p>
    <w:p w14:paraId="6672A11F" w14:textId="77777777" w:rsidR="00D00414" w:rsidRPr="00893C18" w:rsidRDefault="00D00414" w:rsidP="00D00414">
      <w:pPr>
        <w:snapToGrid w:val="0"/>
        <w:spacing w:after="0" w:line="240" w:lineRule="auto"/>
        <w:contextualSpacing/>
        <w:jc w:val="both"/>
        <w:rPr>
          <w:rFonts w:ascii="Verdana" w:eastAsia="Calibri" w:hAnsi="Verdana" w:cs="Arial"/>
          <w:color w:val="000000" w:themeColor="text1"/>
          <w:sz w:val="20"/>
          <w:szCs w:val="20"/>
        </w:rPr>
      </w:pPr>
    </w:p>
    <w:p w14:paraId="5592793A" w14:textId="569C113B" w:rsidR="00D00414" w:rsidRDefault="00D00414" w:rsidP="0045667C">
      <w:pPr>
        <w:spacing w:after="0"/>
        <w:jc w:val="both"/>
        <w:rPr>
          <w:rFonts w:ascii="Verdana" w:eastAsia="Calibri" w:hAnsi="Verdana" w:cs="Arial"/>
          <w:color w:val="000000" w:themeColor="text1"/>
          <w:sz w:val="20"/>
          <w:szCs w:val="20"/>
        </w:rPr>
      </w:pPr>
      <w:r w:rsidRPr="00893C18">
        <w:rPr>
          <w:rFonts w:ascii="Verdana" w:eastAsia="Calibri" w:hAnsi="Verdana" w:cs="Arial"/>
          <w:color w:val="000000" w:themeColor="text1"/>
          <w:sz w:val="20"/>
          <w:szCs w:val="20"/>
        </w:rPr>
        <w:lastRenderedPageBreak/>
        <w:t>En particular, para prevenir el riesgo de corrupción y de delitos derivados de la celebración de contratos estatales, la Sala de Consulta y Servicio Civil del Consejo de Estado explica que las entidades –tanto las sometidas como exceptuadas de la Ley 80 de 1993– tienen las siguientes opciones: “(i) En los estudios previos que sustentan la contratación: a) tipificar, estimar y asignar los riesgos para prevenir actos de corrupción; b) contemplar las medidas tendientes a verificar las calidades de los proponentes o futuros contratistas; (</w:t>
      </w:r>
      <w:proofErr w:type="spellStart"/>
      <w:r w:rsidRPr="00893C18">
        <w:rPr>
          <w:rFonts w:ascii="Verdana" w:eastAsia="Calibri" w:hAnsi="Verdana" w:cs="Arial"/>
          <w:color w:val="000000" w:themeColor="text1"/>
          <w:sz w:val="20"/>
          <w:szCs w:val="20"/>
        </w:rPr>
        <w:t>ii</w:t>
      </w:r>
      <w:proofErr w:type="spellEnd"/>
      <w:r w:rsidRPr="00893C18">
        <w:rPr>
          <w:rFonts w:ascii="Verdana" w:eastAsia="Calibri" w:hAnsi="Verdana" w:cs="Arial"/>
          <w:color w:val="000000" w:themeColor="text1"/>
          <w:sz w:val="20"/>
          <w:szCs w:val="20"/>
        </w:rPr>
        <w:t>) En los pliegos de condiciones y como parte integrante de la oferta: a) exigir la suscripción de “pactos o compromisos de integridad” y de la “declaración de origen de fondos”; b) identificar plenamente al proponente y verificar los datos pertinentes, de acuerdo con la prerrogativa de la entidad, y c) señalar expresamente que uno de los riesgos asociados al contrato es el de corrupción, el cual se relaciona directamente con el riesgo financiero y, en consecuencia, exigir garantías suficientes que permitan mantener cubierta a la entidad en relación con este riesgo; (</w:t>
      </w:r>
      <w:proofErr w:type="spellStart"/>
      <w:r w:rsidRPr="00893C18">
        <w:rPr>
          <w:rFonts w:ascii="Verdana" w:eastAsia="Calibri" w:hAnsi="Verdana" w:cs="Arial"/>
          <w:color w:val="000000" w:themeColor="text1"/>
          <w:sz w:val="20"/>
          <w:szCs w:val="20"/>
        </w:rPr>
        <w:t>iii</w:t>
      </w:r>
      <w:proofErr w:type="spellEnd"/>
      <w:r w:rsidRPr="00893C18">
        <w:rPr>
          <w:rFonts w:ascii="Verdana" w:eastAsia="Calibri" w:hAnsi="Verdana" w:cs="Arial"/>
          <w:color w:val="000000" w:themeColor="text1"/>
          <w:sz w:val="20"/>
          <w:szCs w:val="20"/>
        </w:rPr>
        <w:t>) En las cláusulas contractuales: a) incorporar la obligación a cargo del contratista de reportar periódicamente su información societaria, financiera y comercial, así como la modificación del estado de los mencionados riesgos; b) con el fin de proteger los intereses de la administración, incluir condiciones resolutorias expresas por hechos u omisiones que, aunque no estén tipificadas como causales de inhabilidad o incompatibilidad impliquen por parte del contratista o de las personas vinculadas a él actos de corrupción u otras circunstancias de las cuales se derive el aumento considerable de los riesgos para la entidad contratante o que vulneren los principios de la contratación estatal; c) estipular multas en los términos expuestos en este concepto”.</w:t>
      </w:r>
    </w:p>
    <w:p w14:paraId="2671C680" w14:textId="77777777" w:rsidR="00D00414" w:rsidRDefault="00D00414" w:rsidP="00766AAE">
      <w:pPr>
        <w:spacing w:after="0"/>
        <w:rPr>
          <w:rFonts w:ascii="Verdana" w:hAnsi="Verdana"/>
          <w:lang w:val="es-ES"/>
        </w:rPr>
      </w:pPr>
    </w:p>
    <w:p w14:paraId="75D8E2DB" w14:textId="22250990" w:rsidR="00D00414" w:rsidRDefault="00D00414" w:rsidP="00D00414">
      <w:pPr>
        <w:jc w:val="both"/>
        <w:rPr>
          <w:rFonts w:ascii="Verdana" w:eastAsia="Calibri" w:hAnsi="Verdana" w:cs="Arial"/>
          <w:b/>
          <w:lang w:val="es-ES_tradnl"/>
        </w:rPr>
      </w:pPr>
      <w:r w:rsidRPr="00EB41C9">
        <w:rPr>
          <w:rFonts w:ascii="Verdana" w:eastAsia="Calibri" w:hAnsi="Verdana" w:cs="Arial"/>
          <w:b/>
          <w:lang w:val="es-ES_tradnl"/>
        </w:rPr>
        <w:t>CAUSALES DE RECHAZO – Carácter restrictivo – Determinación objetiva – Causales de rechazo</w:t>
      </w:r>
    </w:p>
    <w:p w14:paraId="1C83DAE8" w14:textId="4081F75E" w:rsidR="00D00414" w:rsidRPr="0045667C" w:rsidRDefault="00D00414" w:rsidP="00D00414">
      <w:pPr>
        <w:spacing w:after="120" w:line="276" w:lineRule="auto"/>
        <w:jc w:val="both"/>
        <w:rPr>
          <w:rFonts w:ascii="Verdana" w:eastAsia="Calibri" w:hAnsi="Verdana" w:cs="Arial"/>
          <w:color w:val="000000" w:themeColor="text1"/>
          <w:sz w:val="20"/>
          <w:szCs w:val="20"/>
          <w:lang w:val="es-ES" w:eastAsia="es-ES"/>
        </w:rPr>
      </w:pPr>
      <w:r w:rsidRPr="0045667C">
        <w:rPr>
          <w:rFonts w:ascii="Verdana" w:eastAsia="Calibri" w:hAnsi="Verdana" w:cs="Arial"/>
          <w:color w:val="000000" w:themeColor="text1"/>
          <w:sz w:val="20"/>
          <w:szCs w:val="20"/>
          <w:lang w:val="es-ES" w:eastAsia="es-ES"/>
        </w:rPr>
        <w:t>Las causales de rechazo son las establecidas en la Ley y las fijadas por la Entidad Estatal en los pliegos de condiciones. Sin embargo, en ejercicio de dicha facultad, a las entidades no les es dable fijar causales de rechazo que soslayen o afecten la selección objetiva en la contratación.</w:t>
      </w:r>
    </w:p>
    <w:p w14:paraId="0971A6C3" w14:textId="77777777" w:rsidR="00D00414" w:rsidRPr="0045667C" w:rsidRDefault="00D00414" w:rsidP="00D00414">
      <w:pPr>
        <w:spacing w:after="120" w:line="276" w:lineRule="auto"/>
        <w:jc w:val="both"/>
        <w:rPr>
          <w:rFonts w:ascii="Verdana" w:eastAsia="Calibri" w:hAnsi="Verdana" w:cs="Arial"/>
          <w:color w:val="000000" w:themeColor="text1"/>
          <w:sz w:val="20"/>
          <w:szCs w:val="20"/>
          <w:lang w:val="es-ES" w:eastAsia="es-ES"/>
        </w:rPr>
      </w:pPr>
      <w:r w:rsidRPr="0045667C">
        <w:rPr>
          <w:rFonts w:ascii="Verdana" w:eastAsia="Calibri" w:hAnsi="Verdana" w:cs="Arial"/>
          <w:color w:val="000000" w:themeColor="text1"/>
          <w:sz w:val="20"/>
          <w:szCs w:val="20"/>
          <w:lang w:val="es-ES" w:eastAsia="es-ES"/>
        </w:rPr>
        <w:t xml:space="preserve">De igual forma, esta Agencia ha reiterado la postura del Consejo de Estado, según la cual, por la naturaleza propia de las causales de rechazo, su aplicación es estricta y restrictiva, lo que significa que su interpretación gramatical prevalece sobre una interpretación extensiva o de otra índole, mediante la cual se pretenda ampliar su alcance. Al respecto, el Consejo de Estado sostuvo: “En esta línea de pensamiento, resulta claro que el rechazo o la descalificación de ofertas no puede depender de la libre discrecionalidad de la administración, en la medida en que el oferente, por el hecho de participar en el proceso licitatorio, adquiere el derecho de participar en el procedimiento de selección y se genera para él una situación jurídica particular; en consecuencia, para rechazar o descalificar una propuesta, la entidad pública debe sujetarse a determinadas reglas consistentes en que las causales que dan lugar a ello se encuentren previamente </w:t>
      </w:r>
      <w:r w:rsidRPr="0045667C">
        <w:rPr>
          <w:rFonts w:ascii="Verdana" w:eastAsia="Calibri" w:hAnsi="Verdana" w:cs="Arial"/>
          <w:color w:val="000000" w:themeColor="text1"/>
          <w:sz w:val="20"/>
          <w:szCs w:val="20"/>
          <w:lang w:val="es-ES" w:eastAsia="es-ES"/>
        </w:rPr>
        <w:lastRenderedPageBreak/>
        <w:t>establecidas en la ley, deriven del incumplimiento de requisitos de la propuesta o de la omisión de documentos referentes a la futura contratación que sean necesarios para la comparación de las propuestas, de conformidad con lo establecido en el numeral 15 del artículo 25 de la Ley 80 de 1993, puesto que la causa excluyente debe ser razonable, esencial y proporcionada, toda vez que no tendría justificación excluir una propuesta por una deficiencia que no tenga incidencia alguna en la contratación.”</w:t>
      </w:r>
    </w:p>
    <w:p w14:paraId="68174E52" w14:textId="67AFFBCC" w:rsidR="00D00414" w:rsidRPr="0045667C" w:rsidRDefault="00D00414" w:rsidP="00D00414">
      <w:pPr>
        <w:spacing w:after="120" w:line="276" w:lineRule="auto"/>
        <w:jc w:val="both"/>
        <w:rPr>
          <w:rFonts w:ascii="Verdana" w:eastAsia="Calibri" w:hAnsi="Verdana" w:cs="Arial"/>
          <w:color w:val="000000" w:themeColor="text1"/>
          <w:sz w:val="20"/>
          <w:szCs w:val="20"/>
          <w:lang w:val="es-ES" w:eastAsia="es-ES"/>
        </w:rPr>
      </w:pPr>
      <w:r w:rsidRPr="0045667C">
        <w:rPr>
          <w:rFonts w:ascii="Verdana" w:eastAsia="Calibri" w:hAnsi="Verdana" w:cs="Arial"/>
          <w:color w:val="000000" w:themeColor="text1"/>
          <w:sz w:val="20"/>
          <w:szCs w:val="20"/>
          <w:lang w:val="es-ES" w:eastAsia="es-ES"/>
        </w:rPr>
        <w:t>Las causales de rechazo son las establecidas en la Ley y las fijadas por la Entidad Estatal en los pliegos de condiciones. Sin embargo, en el ejercicio de dicha facultad a las entidades no les es dable el establecer causales de rechazo que afecten la selección objetiva en la contratación pública. De esta forma, por la naturaleza propia de las causales de rechazo, su aplicación es estricta y restrictiva, lo que significa que su interpretación gramatical prevalece sobre una interpretación extensiva o de otra índole, mediante la cual, se pretenda ampliar su alcance.</w:t>
      </w:r>
    </w:p>
    <w:p w14:paraId="65B01326" w14:textId="77777777" w:rsidR="000E3E5F" w:rsidRDefault="000E3E5F" w:rsidP="00D00414">
      <w:pPr>
        <w:spacing w:after="120" w:line="276" w:lineRule="auto"/>
        <w:jc w:val="both"/>
        <w:rPr>
          <w:rFonts w:ascii="Verdana" w:eastAsia="Calibri" w:hAnsi="Verdana" w:cs="Arial"/>
          <w:color w:val="000000" w:themeColor="text1"/>
          <w:lang w:val="es-ES" w:eastAsia="es-ES"/>
        </w:rPr>
      </w:pPr>
    </w:p>
    <w:p w14:paraId="3844E203" w14:textId="77777777" w:rsidR="000E3E5F" w:rsidRDefault="000E3E5F" w:rsidP="00D00414">
      <w:pPr>
        <w:spacing w:after="120" w:line="276" w:lineRule="auto"/>
        <w:jc w:val="both"/>
        <w:rPr>
          <w:rFonts w:ascii="Verdana" w:eastAsia="Calibri" w:hAnsi="Verdana" w:cs="Arial"/>
          <w:color w:val="000000" w:themeColor="text1"/>
          <w:lang w:val="es-ES" w:eastAsia="es-ES"/>
        </w:rPr>
      </w:pPr>
    </w:p>
    <w:p w14:paraId="0FF761BB" w14:textId="77777777" w:rsidR="000E3E5F" w:rsidRDefault="000E3E5F" w:rsidP="00D00414">
      <w:pPr>
        <w:spacing w:after="120" w:line="276" w:lineRule="auto"/>
        <w:jc w:val="both"/>
        <w:rPr>
          <w:rFonts w:ascii="Verdana" w:eastAsia="Calibri" w:hAnsi="Verdana" w:cs="Arial"/>
          <w:color w:val="000000" w:themeColor="text1"/>
          <w:lang w:val="es-ES" w:eastAsia="es-ES"/>
        </w:rPr>
      </w:pPr>
    </w:p>
    <w:p w14:paraId="0F3E8B6F" w14:textId="77777777" w:rsidR="000E3E5F" w:rsidRDefault="000E3E5F" w:rsidP="00D00414">
      <w:pPr>
        <w:spacing w:after="120" w:line="276" w:lineRule="auto"/>
        <w:jc w:val="both"/>
        <w:rPr>
          <w:rFonts w:ascii="Verdana" w:eastAsia="Calibri" w:hAnsi="Verdana" w:cs="Arial"/>
          <w:color w:val="000000" w:themeColor="text1"/>
          <w:lang w:val="es-ES" w:eastAsia="es-ES"/>
        </w:rPr>
      </w:pPr>
    </w:p>
    <w:p w14:paraId="27400443" w14:textId="77777777" w:rsidR="000E3E5F" w:rsidRDefault="000E3E5F" w:rsidP="00D00414">
      <w:pPr>
        <w:spacing w:after="120" w:line="276" w:lineRule="auto"/>
        <w:jc w:val="both"/>
        <w:rPr>
          <w:rFonts w:ascii="Verdana" w:eastAsia="Calibri" w:hAnsi="Verdana" w:cs="Arial"/>
          <w:color w:val="000000" w:themeColor="text1"/>
          <w:lang w:val="es-ES" w:eastAsia="es-ES"/>
        </w:rPr>
      </w:pPr>
    </w:p>
    <w:p w14:paraId="64C4D8CD" w14:textId="77777777" w:rsidR="000E3E5F" w:rsidRDefault="000E3E5F" w:rsidP="00D00414">
      <w:pPr>
        <w:spacing w:after="120" w:line="276" w:lineRule="auto"/>
        <w:jc w:val="both"/>
        <w:rPr>
          <w:rFonts w:ascii="Verdana" w:eastAsia="Calibri" w:hAnsi="Verdana" w:cs="Arial"/>
          <w:color w:val="000000" w:themeColor="text1"/>
          <w:lang w:val="es-ES" w:eastAsia="es-ES"/>
        </w:rPr>
      </w:pPr>
    </w:p>
    <w:p w14:paraId="0CE621FF" w14:textId="77777777" w:rsidR="000E3E5F" w:rsidRDefault="000E3E5F" w:rsidP="00D00414">
      <w:pPr>
        <w:spacing w:after="120" w:line="276" w:lineRule="auto"/>
        <w:jc w:val="both"/>
        <w:rPr>
          <w:rFonts w:ascii="Verdana" w:eastAsia="Calibri" w:hAnsi="Verdana" w:cs="Arial"/>
          <w:color w:val="000000" w:themeColor="text1"/>
          <w:lang w:val="es-ES" w:eastAsia="es-ES"/>
        </w:rPr>
      </w:pPr>
    </w:p>
    <w:p w14:paraId="2FDDA648" w14:textId="77777777" w:rsidR="000E3E5F" w:rsidRDefault="000E3E5F" w:rsidP="00D00414">
      <w:pPr>
        <w:spacing w:after="120" w:line="276" w:lineRule="auto"/>
        <w:jc w:val="both"/>
        <w:rPr>
          <w:rFonts w:ascii="Verdana" w:eastAsia="Calibri" w:hAnsi="Verdana" w:cs="Arial"/>
          <w:color w:val="000000" w:themeColor="text1"/>
          <w:lang w:val="es-ES" w:eastAsia="es-ES"/>
        </w:rPr>
      </w:pPr>
    </w:p>
    <w:p w14:paraId="02CDCC26" w14:textId="77777777" w:rsidR="000E3E5F" w:rsidRDefault="000E3E5F" w:rsidP="00D00414">
      <w:pPr>
        <w:spacing w:after="120" w:line="276" w:lineRule="auto"/>
        <w:jc w:val="both"/>
        <w:rPr>
          <w:rFonts w:ascii="Verdana" w:eastAsia="Calibri" w:hAnsi="Verdana" w:cs="Arial"/>
          <w:color w:val="000000" w:themeColor="text1"/>
          <w:lang w:val="es-ES" w:eastAsia="es-ES"/>
        </w:rPr>
      </w:pPr>
    </w:p>
    <w:p w14:paraId="0049579D" w14:textId="77777777" w:rsidR="000E3E5F" w:rsidRDefault="000E3E5F" w:rsidP="00D00414">
      <w:pPr>
        <w:spacing w:after="120" w:line="276" w:lineRule="auto"/>
        <w:jc w:val="both"/>
        <w:rPr>
          <w:rFonts w:ascii="Verdana" w:eastAsia="Calibri" w:hAnsi="Verdana" w:cs="Arial"/>
          <w:color w:val="000000" w:themeColor="text1"/>
          <w:lang w:val="es-ES" w:eastAsia="es-ES"/>
        </w:rPr>
      </w:pPr>
    </w:p>
    <w:p w14:paraId="2098EA0C" w14:textId="77777777" w:rsidR="000E3E5F" w:rsidRDefault="000E3E5F" w:rsidP="00D00414">
      <w:pPr>
        <w:spacing w:after="120" w:line="276" w:lineRule="auto"/>
        <w:jc w:val="both"/>
        <w:rPr>
          <w:rFonts w:ascii="Verdana" w:eastAsia="Calibri" w:hAnsi="Verdana" w:cs="Arial"/>
          <w:color w:val="000000" w:themeColor="text1"/>
          <w:lang w:val="es-ES" w:eastAsia="es-ES"/>
        </w:rPr>
      </w:pPr>
    </w:p>
    <w:p w14:paraId="2E26AE66" w14:textId="77777777" w:rsidR="000E3E5F" w:rsidRDefault="000E3E5F" w:rsidP="00D00414">
      <w:pPr>
        <w:spacing w:after="120" w:line="276" w:lineRule="auto"/>
        <w:jc w:val="both"/>
        <w:rPr>
          <w:rFonts w:ascii="Verdana" w:eastAsia="Calibri" w:hAnsi="Verdana" w:cs="Arial"/>
          <w:color w:val="000000" w:themeColor="text1"/>
          <w:lang w:val="es-ES" w:eastAsia="es-ES"/>
        </w:rPr>
      </w:pPr>
    </w:p>
    <w:p w14:paraId="3D4B263F" w14:textId="77777777" w:rsidR="000E3E5F" w:rsidRDefault="000E3E5F" w:rsidP="00D00414">
      <w:pPr>
        <w:spacing w:after="120" w:line="276" w:lineRule="auto"/>
        <w:jc w:val="both"/>
        <w:rPr>
          <w:rFonts w:ascii="Verdana" w:eastAsia="Calibri" w:hAnsi="Verdana" w:cs="Arial"/>
          <w:color w:val="000000" w:themeColor="text1"/>
          <w:lang w:val="es-ES" w:eastAsia="es-ES"/>
        </w:rPr>
      </w:pPr>
    </w:p>
    <w:p w14:paraId="60C1EDCB" w14:textId="77777777" w:rsidR="0045667C" w:rsidRDefault="0045667C" w:rsidP="00766AAE">
      <w:pPr>
        <w:spacing w:after="0"/>
        <w:rPr>
          <w:rFonts w:ascii="Verdana" w:hAnsi="Verdana"/>
          <w:lang w:val="es-ES"/>
        </w:rPr>
      </w:pPr>
    </w:p>
    <w:p w14:paraId="5DDF6BF4" w14:textId="77777777" w:rsidR="0045667C" w:rsidRDefault="0045667C" w:rsidP="00766AAE">
      <w:pPr>
        <w:spacing w:after="0"/>
        <w:rPr>
          <w:rFonts w:ascii="Verdana" w:hAnsi="Verdana"/>
          <w:lang w:val="es-ES"/>
        </w:rPr>
      </w:pPr>
    </w:p>
    <w:p w14:paraId="52014E43" w14:textId="77777777" w:rsidR="0045667C" w:rsidRDefault="0045667C" w:rsidP="00766AAE">
      <w:pPr>
        <w:spacing w:after="0"/>
        <w:rPr>
          <w:rFonts w:ascii="Verdana" w:hAnsi="Verdana"/>
          <w:lang w:val="es-ES"/>
        </w:rPr>
      </w:pPr>
    </w:p>
    <w:p w14:paraId="65263961" w14:textId="77777777" w:rsidR="0045667C" w:rsidRDefault="0045667C" w:rsidP="00766AAE">
      <w:pPr>
        <w:spacing w:after="0"/>
        <w:rPr>
          <w:rFonts w:ascii="Verdana" w:hAnsi="Verdana"/>
          <w:lang w:val="es-ES"/>
        </w:rPr>
      </w:pPr>
    </w:p>
    <w:p w14:paraId="61FEC124" w14:textId="172442E0" w:rsidR="00766AAE" w:rsidRPr="00BE3A6E" w:rsidRDefault="000E3E5F" w:rsidP="00766AAE">
      <w:pPr>
        <w:spacing w:after="0"/>
        <w:rPr>
          <w:rFonts w:ascii="Verdana" w:hAnsi="Verdana"/>
          <w:lang w:val="es-ES"/>
        </w:rPr>
      </w:pPr>
      <w:r w:rsidRPr="00BE3A6E">
        <w:rPr>
          <w:rFonts w:ascii="Verdana" w:hAnsi="Verdana"/>
          <w:lang w:val="es-ES"/>
        </w:rPr>
        <w:lastRenderedPageBreak/>
        <w:t xml:space="preserve">Bogotá D.C., </w:t>
      </w:r>
      <w:r>
        <w:rPr>
          <w:rFonts w:ascii="Verdana" w:hAnsi="Verdana"/>
          <w:lang w:val="es-ES"/>
        </w:rPr>
        <w:t>22 de junio de 2026</w:t>
      </w:r>
      <w:r w:rsidR="00D00414">
        <w:rPr>
          <w:rFonts w:ascii="Verdana" w:eastAsia="Calibri" w:hAnsi="Verdana" w:cs="Arial"/>
          <w:noProof/>
          <w:color w:val="000000" w:themeColor="text1"/>
          <w:lang w:val="es-ES" w:eastAsia="es-ES"/>
        </w:rPr>
        <w:drawing>
          <wp:anchor distT="0" distB="0" distL="114300" distR="114300" simplePos="0" relativeHeight="251663360" behindDoc="0" locked="0" layoutInCell="1" allowOverlap="1" wp14:anchorId="55010769" wp14:editId="5B6292B1">
            <wp:simplePos x="0" y="0"/>
            <wp:positionH relativeFrom="column">
              <wp:posOffset>3406588</wp:posOffset>
            </wp:positionH>
            <wp:positionV relativeFrom="paragraph">
              <wp:posOffset>136899</wp:posOffset>
            </wp:positionV>
            <wp:extent cx="2124075" cy="596265"/>
            <wp:effectExtent l="0" t="0" r="0" b="635"/>
            <wp:wrapSquare wrapText="bothSides"/>
            <wp:docPr id="946462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462640" name="Picture 946462640"/>
                    <pic:cNvPicPr/>
                  </pic:nvPicPr>
                  <pic:blipFill>
                    <a:blip r:embed="rId10">
                      <a:extLst>
                        <a:ext uri="{28A0092B-C50C-407E-A947-70E740481C1C}">
                          <a14:useLocalDpi xmlns:a14="http://schemas.microsoft.com/office/drawing/2010/main" val="0"/>
                        </a:ext>
                      </a:extLst>
                    </a:blip>
                    <a:stretch>
                      <a:fillRect/>
                    </a:stretch>
                  </pic:blipFill>
                  <pic:spPr>
                    <a:xfrm>
                      <a:off x="0" y="0"/>
                      <a:ext cx="2124075" cy="596265"/>
                    </a:xfrm>
                    <a:prstGeom prst="rect">
                      <a:avLst/>
                    </a:prstGeom>
                  </pic:spPr>
                </pic:pic>
              </a:graphicData>
            </a:graphic>
            <wp14:sizeRelH relativeFrom="page">
              <wp14:pctWidth>0</wp14:pctWidth>
            </wp14:sizeRelH>
            <wp14:sizeRelV relativeFrom="page">
              <wp14:pctHeight>0</wp14:pctHeight>
            </wp14:sizeRelV>
          </wp:anchor>
        </w:drawing>
      </w:r>
    </w:p>
    <w:p w14:paraId="05447459" w14:textId="76B50BD6" w:rsidR="00766AAE" w:rsidRPr="00BE3A6E" w:rsidRDefault="00766AAE" w:rsidP="00766AAE">
      <w:pPr>
        <w:spacing w:after="0"/>
        <w:rPr>
          <w:rFonts w:ascii="Verdana" w:hAnsi="Verdana"/>
          <w:lang w:val="es-ES"/>
        </w:rPr>
      </w:pPr>
    </w:p>
    <w:p w14:paraId="2E302DE2" w14:textId="34D3B2DA" w:rsidR="00766AAE" w:rsidRPr="00BE3A6E" w:rsidRDefault="00766AAE" w:rsidP="00766AAE">
      <w:pPr>
        <w:spacing w:after="0" w:line="240"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Doctor</w:t>
      </w:r>
      <w:r w:rsidR="00D00414" w:rsidRPr="00D00414">
        <w:rPr>
          <w:rFonts w:ascii="Verdana" w:eastAsia="Calibri" w:hAnsi="Verdana" w:cs="Arial"/>
          <w:noProof/>
          <w:color w:val="000000" w:themeColor="text1"/>
          <w:lang w:val="es-ES" w:eastAsia="es-ES"/>
        </w:rPr>
        <w:t xml:space="preserve"> </w:t>
      </w:r>
    </w:p>
    <w:p w14:paraId="095D0FBF" w14:textId="64511363" w:rsidR="00766AAE" w:rsidRPr="00F97E64" w:rsidRDefault="00766AAE" w:rsidP="00766AAE">
      <w:pPr>
        <w:spacing w:after="0" w:line="240" w:lineRule="auto"/>
        <w:jc w:val="both"/>
        <w:rPr>
          <w:rFonts w:ascii="Verdana" w:eastAsia="Calibri" w:hAnsi="Verdana" w:cs="Arial"/>
          <w:b/>
          <w:color w:val="000000" w:themeColor="text1"/>
          <w:lang w:eastAsia="es-ES"/>
        </w:rPr>
      </w:pPr>
      <w:r w:rsidRPr="00F97E64">
        <w:rPr>
          <w:rFonts w:ascii="Verdana" w:eastAsia="Calibri" w:hAnsi="Verdana" w:cs="Arial"/>
          <w:b/>
          <w:color w:val="000000" w:themeColor="text1"/>
          <w:lang w:eastAsia="es-ES"/>
        </w:rPr>
        <w:t xml:space="preserve">Ronald Gordillo Álvarez </w:t>
      </w:r>
    </w:p>
    <w:p w14:paraId="5231C14B" w14:textId="28C9DA52" w:rsidR="00766AAE" w:rsidRPr="00F97E64" w:rsidRDefault="00D00414" w:rsidP="00766AAE">
      <w:pPr>
        <w:spacing w:after="0" w:line="240" w:lineRule="auto"/>
        <w:jc w:val="both"/>
        <w:rPr>
          <w:rFonts w:ascii="Verdana" w:eastAsia="Calibri" w:hAnsi="Verdana" w:cs="Arial"/>
          <w:color w:val="000000" w:themeColor="text1"/>
          <w:lang w:eastAsia="es-ES"/>
        </w:rPr>
      </w:pPr>
      <w:r>
        <w:rPr>
          <w:rFonts w:ascii="Verdana" w:hAnsi="Verdana"/>
          <w:noProof/>
          <w:lang w:val="es-ES"/>
        </w:rPr>
        <w:drawing>
          <wp:anchor distT="0" distB="0" distL="114300" distR="114300" simplePos="0" relativeHeight="251661312" behindDoc="0" locked="0" layoutInCell="1" allowOverlap="1" wp14:anchorId="7151EC23" wp14:editId="3C4A1197">
            <wp:simplePos x="0" y="0"/>
            <wp:positionH relativeFrom="column">
              <wp:posOffset>3401509</wp:posOffset>
            </wp:positionH>
            <wp:positionV relativeFrom="paragraph">
              <wp:posOffset>20506</wp:posOffset>
            </wp:positionV>
            <wp:extent cx="2070735" cy="566420"/>
            <wp:effectExtent l="0" t="0" r="0" b="5080"/>
            <wp:wrapSquare wrapText="bothSides"/>
            <wp:docPr id="1525064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064625" name="Picture 1525064625"/>
                    <pic:cNvPicPr/>
                  </pic:nvPicPr>
                  <pic:blipFill>
                    <a:blip r:embed="rId11">
                      <a:extLst>
                        <a:ext uri="{28A0092B-C50C-407E-A947-70E740481C1C}">
                          <a14:useLocalDpi xmlns:a14="http://schemas.microsoft.com/office/drawing/2010/main" val="0"/>
                        </a:ext>
                      </a:extLst>
                    </a:blip>
                    <a:stretch>
                      <a:fillRect/>
                    </a:stretch>
                  </pic:blipFill>
                  <pic:spPr>
                    <a:xfrm>
                      <a:off x="0" y="0"/>
                      <a:ext cx="2070735" cy="566420"/>
                    </a:xfrm>
                    <a:prstGeom prst="rect">
                      <a:avLst/>
                    </a:prstGeom>
                  </pic:spPr>
                </pic:pic>
              </a:graphicData>
            </a:graphic>
            <wp14:sizeRelH relativeFrom="page">
              <wp14:pctWidth>0</wp14:pctWidth>
            </wp14:sizeRelH>
            <wp14:sizeRelV relativeFrom="page">
              <wp14:pctHeight>0</wp14:pctHeight>
            </wp14:sizeRelV>
          </wp:anchor>
        </w:drawing>
      </w:r>
      <w:r w:rsidR="00766AAE" w:rsidRPr="00F97E64">
        <w:rPr>
          <w:rFonts w:ascii="Verdana" w:eastAsia="Calibri" w:hAnsi="Verdana" w:cs="Arial"/>
          <w:color w:val="000000" w:themeColor="text1"/>
          <w:lang w:eastAsia="es-ES"/>
        </w:rPr>
        <w:t xml:space="preserve">Subdirector de Contratación </w:t>
      </w:r>
    </w:p>
    <w:p w14:paraId="59D128D8" w14:textId="46E3B5FF" w:rsidR="00766AAE" w:rsidRPr="00F97E64" w:rsidRDefault="00766AAE" w:rsidP="00766AAE">
      <w:pPr>
        <w:spacing w:after="0" w:line="240" w:lineRule="auto"/>
        <w:jc w:val="both"/>
        <w:rPr>
          <w:rFonts w:ascii="Verdana" w:eastAsia="Calibri" w:hAnsi="Verdana" w:cs="Arial"/>
          <w:color w:val="000000" w:themeColor="text1"/>
          <w:lang w:val="es-ES" w:eastAsia="es-ES"/>
        </w:rPr>
      </w:pPr>
      <w:r w:rsidRPr="00F97E64">
        <w:rPr>
          <w:rFonts w:ascii="Verdana" w:eastAsia="Calibri" w:hAnsi="Verdana" w:cs="Arial"/>
          <w:color w:val="000000" w:themeColor="text1"/>
          <w:lang w:val="es-ES" w:eastAsia="es-ES"/>
        </w:rPr>
        <w:t>Departamento Nacional de Planeación</w:t>
      </w:r>
    </w:p>
    <w:p w14:paraId="4818D510" w14:textId="77777777" w:rsidR="00766AAE" w:rsidRPr="00BE3A6E" w:rsidRDefault="00766AAE" w:rsidP="00766AAE">
      <w:pPr>
        <w:spacing w:after="0" w:line="240" w:lineRule="auto"/>
        <w:rPr>
          <w:rFonts w:ascii="Verdana" w:eastAsia="Calibri" w:hAnsi="Verdana" w:cs="Arial"/>
          <w:color w:val="000000" w:themeColor="text1"/>
          <w:lang w:val="es-ES" w:eastAsia="es-ES_tradnl"/>
        </w:rPr>
      </w:pPr>
      <w:r w:rsidRPr="00BE3A6E">
        <w:rPr>
          <w:rFonts w:ascii="Verdana" w:eastAsia="Calibri" w:hAnsi="Verdana" w:cs="Arial"/>
          <w:color w:val="000000" w:themeColor="text1"/>
          <w:lang w:val="es-ES" w:eastAsia="es-ES_tradnl"/>
        </w:rPr>
        <w:t>Bogotá D.C.</w:t>
      </w:r>
    </w:p>
    <w:p w14:paraId="7BB2A48B" w14:textId="77777777" w:rsidR="00766AAE" w:rsidRPr="00BE3A6E" w:rsidRDefault="00766AAE" w:rsidP="00766AAE">
      <w:pPr>
        <w:spacing w:after="0" w:line="240" w:lineRule="auto"/>
        <w:rPr>
          <w:rFonts w:ascii="Verdana" w:eastAsia="Calibri" w:hAnsi="Verdana" w:cs="Arial"/>
          <w:b/>
          <w:bCs/>
          <w:color w:val="000000" w:themeColor="text1"/>
          <w:lang w:val="es-ES" w:eastAsia="es-ES_tradnl"/>
        </w:rPr>
      </w:pPr>
    </w:p>
    <w:tbl>
      <w:tblPr>
        <w:tblStyle w:val="Tablaconcuadrcula"/>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766AAE" w:rsidRPr="00BE3A6E" w14:paraId="41653B02" w14:textId="77777777" w:rsidTr="00EE009D">
        <w:trPr>
          <w:gridAfter w:val="1"/>
          <w:wAfter w:w="4179" w:type="dxa"/>
          <w:trHeight w:val="304"/>
        </w:trPr>
        <w:tc>
          <w:tcPr>
            <w:tcW w:w="2689" w:type="dxa"/>
          </w:tcPr>
          <w:p w14:paraId="0F5F719E" w14:textId="77777777" w:rsidR="00766AAE" w:rsidRPr="00BE3A6E" w:rsidRDefault="00766AAE" w:rsidP="00EE009D">
            <w:pPr>
              <w:jc w:val="both"/>
              <w:rPr>
                <w:rFonts w:ascii="Verdana" w:eastAsia="Calibri" w:hAnsi="Verdana" w:cs="Arial"/>
                <w:b/>
                <w:bCs/>
                <w:color w:val="000000" w:themeColor="text1"/>
                <w:lang w:val="es-ES" w:eastAsia="es-ES_tradnl"/>
              </w:rPr>
            </w:pPr>
          </w:p>
        </w:tc>
        <w:tc>
          <w:tcPr>
            <w:tcW w:w="6100" w:type="dxa"/>
          </w:tcPr>
          <w:p w14:paraId="5B967D75" w14:textId="77777777" w:rsidR="00766AAE" w:rsidRPr="00BE3A6E" w:rsidRDefault="00766AAE" w:rsidP="00EE009D">
            <w:pPr>
              <w:jc w:val="both"/>
              <w:rPr>
                <w:rFonts w:ascii="Verdana" w:eastAsia="Calibri" w:hAnsi="Verdana" w:cs="Arial"/>
                <w:b/>
                <w:bCs/>
                <w:color w:val="000000" w:themeColor="text1"/>
                <w:lang w:val="es-ES" w:eastAsia="es-ES"/>
              </w:rPr>
            </w:pPr>
            <w:r w:rsidRPr="00BE3A6E">
              <w:rPr>
                <w:rFonts w:ascii="Verdana" w:eastAsia="Calibri" w:hAnsi="Verdana" w:cs="Arial"/>
                <w:b/>
                <w:bCs/>
                <w:color w:val="000000" w:themeColor="text1"/>
                <w:lang w:val="es-ES" w:eastAsia="es-ES"/>
              </w:rPr>
              <w:t>Concepto C-</w:t>
            </w:r>
            <w:r>
              <w:rPr>
                <w:rFonts w:ascii="Verdana" w:eastAsia="Calibri" w:hAnsi="Verdana" w:cs="Arial"/>
                <w:b/>
                <w:bCs/>
                <w:color w:val="000000" w:themeColor="text1"/>
                <w:lang w:val="es-ES" w:eastAsia="es-ES"/>
              </w:rPr>
              <w:t>7</w:t>
            </w:r>
            <w:r w:rsidRPr="00741888">
              <w:rPr>
                <w:rFonts w:ascii="Verdana" w:eastAsia="Calibri" w:hAnsi="Verdana" w:cs="Arial"/>
                <w:b/>
                <w:bCs/>
                <w:color w:val="000000" w:themeColor="text1"/>
                <w:lang w:val="es-ES" w:eastAsia="es-ES"/>
              </w:rPr>
              <w:t>66</w:t>
            </w:r>
            <w:r w:rsidRPr="00BE3A6E">
              <w:rPr>
                <w:rFonts w:ascii="Verdana" w:eastAsia="Calibri" w:hAnsi="Verdana" w:cs="Arial"/>
                <w:b/>
                <w:bCs/>
                <w:color w:val="000000" w:themeColor="text1"/>
                <w:lang w:val="es-ES" w:eastAsia="es-ES"/>
              </w:rPr>
              <w:t xml:space="preserve"> de 2026</w:t>
            </w:r>
          </w:p>
          <w:p w14:paraId="3757E126" w14:textId="77777777" w:rsidR="00766AAE" w:rsidRPr="00BE3A6E" w:rsidRDefault="00766AAE" w:rsidP="00EE009D">
            <w:pPr>
              <w:jc w:val="both"/>
              <w:rPr>
                <w:rFonts w:ascii="Verdana" w:eastAsia="Calibri" w:hAnsi="Verdana" w:cs="Arial"/>
                <w:b/>
                <w:bCs/>
                <w:color w:val="000000" w:themeColor="text1"/>
                <w:lang w:val="es-ES" w:eastAsia="es-ES"/>
              </w:rPr>
            </w:pPr>
          </w:p>
        </w:tc>
      </w:tr>
      <w:tr w:rsidR="00766AAE" w:rsidRPr="00BE3A6E" w14:paraId="6F427391" w14:textId="77777777" w:rsidTr="00EE009D">
        <w:trPr>
          <w:trHeight w:val="884"/>
        </w:trPr>
        <w:tc>
          <w:tcPr>
            <w:tcW w:w="2689" w:type="dxa"/>
          </w:tcPr>
          <w:p w14:paraId="63958B26" w14:textId="77777777" w:rsidR="00766AAE" w:rsidRPr="00BE3A6E" w:rsidRDefault="00766AAE" w:rsidP="00EE009D">
            <w:pPr>
              <w:jc w:val="both"/>
              <w:rPr>
                <w:rFonts w:ascii="Verdana" w:eastAsia="Calibri" w:hAnsi="Verdana" w:cs="Arial"/>
                <w:color w:val="000000" w:themeColor="text1"/>
                <w:lang w:val="es-ES" w:eastAsia="es-ES_tradnl"/>
              </w:rPr>
            </w:pPr>
            <w:r w:rsidRPr="00BE3A6E">
              <w:rPr>
                <w:rFonts w:ascii="Verdana" w:eastAsia="Calibri" w:hAnsi="Verdana" w:cs="Arial"/>
                <w:b/>
                <w:color w:val="000000" w:themeColor="text1"/>
                <w:lang w:val="es-ES" w:eastAsia="es-ES_tradnl"/>
              </w:rPr>
              <w:t>Temas:</w:t>
            </w:r>
            <w:r w:rsidRPr="00BE3A6E">
              <w:rPr>
                <w:rFonts w:ascii="Verdana" w:eastAsia="Calibri" w:hAnsi="Verdana" w:cs="Arial"/>
                <w:color w:val="000000" w:themeColor="text1"/>
                <w:lang w:val="es-ES" w:eastAsia="es-ES_tradnl"/>
              </w:rPr>
              <w:t xml:space="preserve">                   </w:t>
            </w:r>
          </w:p>
        </w:tc>
        <w:tc>
          <w:tcPr>
            <w:tcW w:w="6100" w:type="dxa"/>
          </w:tcPr>
          <w:p w14:paraId="7B081F52" w14:textId="77777777" w:rsidR="00766AAE" w:rsidRPr="00BE3A6E" w:rsidRDefault="00766AAE" w:rsidP="00EE009D">
            <w:pPr>
              <w:spacing w:line="276" w:lineRule="auto"/>
              <w:jc w:val="both"/>
              <w:rPr>
                <w:rFonts w:ascii="Verdana" w:eastAsia="Calibri" w:hAnsi="Verdana" w:cs="Arial"/>
                <w:lang w:val="es-ES" w:eastAsia="es-ES"/>
              </w:rPr>
            </w:pPr>
            <w:r w:rsidRPr="00753106">
              <w:rPr>
                <w:rFonts w:ascii="Verdana" w:eastAsia="Calibri" w:hAnsi="Verdana" w:cs="Arial"/>
                <w:lang w:val="es-ES" w:eastAsia="es-ES"/>
              </w:rPr>
              <w:t>SARLAFT ‒ Marco jurídico – Definición / RÉGIMEN DE INHABILIDADES E INCOMPATIBILIDADES – Reserva legal / REPORTE EN LISTAS RESTRICTIVAS – Medidas y alcance</w:t>
            </w:r>
            <w:r>
              <w:rPr>
                <w:rFonts w:ascii="Verdana" w:eastAsia="Calibri" w:hAnsi="Verdana" w:cs="Arial"/>
                <w:lang w:val="es-ES" w:eastAsia="es-ES"/>
              </w:rPr>
              <w:t xml:space="preserve"> / </w:t>
            </w:r>
            <w:r w:rsidRPr="004368EE">
              <w:rPr>
                <w:rFonts w:ascii="Verdana" w:eastAsia="Calibri" w:hAnsi="Verdana" w:cs="Arial"/>
                <w:bCs/>
                <w:lang w:val="es-ES_tradnl"/>
              </w:rPr>
              <w:t>CAUSALES DE RECHAZO – Carácter restrictivo – Determinación objetiva</w:t>
            </w:r>
            <w:r>
              <w:rPr>
                <w:rFonts w:ascii="Verdana" w:eastAsia="Calibri" w:hAnsi="Verdana" w:cs="Arial"/>
                <w:bCs/>
                <w:lang w:val="es-ES_tradnl"/>
              </w:rPr>
              <w:t xml:space="preserve"> </w:t>
            </w:r>
          </w:p>
          <w:p w14:paraId="01A689EC" w14:textId="77777777" w:rsidR="00766AAE" w:rsidRPr="00BE3A6E" w:rsidRDefault="00766AAE" w:rsidP="00EE009D">
            <w:pPr>
              <w:spacing w:line="276" w:lineRule="auto"/>
              <w:jc w:val="both"/>
              <w:rPr>
                <w:rFonts w:ascii="Verdana" w:eastAsia="Calibri" w:hAnsi="Verdana" w:cs="Arial"/>
                <w:color w:val="000000" w:themeColor="text1"/>
                <w:lang w:val="es-ES" w:eastAsia="es-ES"/>
              </w:rPr>
            </w:pPr>
          </w:p>
        </w:tc>
        <w:tc>
          <w:tcPr>
            <w:tcW w:w="4179" w:type="dxa"/>
          </w:tcPr>
          <w:p w14:paraId="6D05E365" w14:textId="77777777" w:rsidR="00766AAE" w:rsidRPr="00BE3A6E" w:rsidRDefault="00766AAE" w:rsidP="00EE009D">
            <w:pPr>
              <w:spacing w:line="276" w:lineRule="auto"/>
              <w:jc w:val="both"/>
              <w:rPr>
                <w:rFonts w:ascii="Verdana" w:eastAsia="Calibri" w:hAnsi="Verdana" w:cs="Arial"/>
                <w:b/>
                <w:bCs/>
                <w:color w:val="000000" w:themeColor="text1"/>
                <w:lang w:val="es-ES" w:eastAsia="es-ES"/>
              </w:rPr>
            </w:pPr>
          </w:p>
          <w:p w14:paraId="15F19088" w14:textId="77777777" w:rsidR="00766AAE" w:rsidRPr="00BE3A6E" w:rsidRDefault="00766AAE" w:rsidP="00EE009D">
            <w:pPr>
              <w:rPr>
                <w:rFonts w:ascii="Verdana" w:hAnsi="Verdana"/>
                <w:lang w:val="es-ES"/>
              </w:rPr>
            </w:pPr>
          </w:p>
        </w:tc>
      </w:tr>
      <w:tr w:rsidR="00766AAE" w:rsidRPr="00BE3A6E" w14:paraId="2602EB80" w14:textId="77777777" w:rsidTr="00EE009D">
        <w:trPr>
          <w:gridAfter w:val="1"/>
          <w:wAfter w:w="4179" w:type="dxa"/>
        </w:trPr>
        <w:tc>
          <w:tcPr>
            <w:tcW w:w="2689" w:type="dxa"/>
          </w:tcPr>
          <w:p w14:paraId="63586A6C" w14:textId="77777777" w:rsidR="00766AAE" w:rsidRPr="00BE3A6E" w:rsidRDefault="00766AAE" w:rsidP="00EE009D">
            <w:pPr>
              <w:jc w:val="both"/>
              <w:rPr>
                <w:rFonts w:ascii="Verdana" w:eastAsia="Calibri" w:hAnsi="Verdana" w:cs="Arial"/>
                <w:b/>
                <w:color w:val="000000" w:themeColor="text1"/>
                <w:lang w:val="es-ES" w:eastAsia="es-ES_tradnl"/>
              </w:rPr>
            </w:pPr>
            <w:r w:rsidRPr="00BE3A6E">
              <w:rPr>
                <w:rFonts w:ascii="Verdana" w:eastAsia="Calibri" w:hAnsi="Verdana" w:cs="Arial"/>
                <w:b/>
                <w:color w:val="000000" w:themeColor="text1"/>
                <w:lang w:val="es-ES" w:eastAsia="es-ES_tradnl"/>
              </w:rPr>
              <w:t>Radicación:</w:t>
            </w:r>
            <w:r w:rsidRPr="00BE3A6E">
              <w:rPr>
                <w:rFonts w:ascii="Verdana" w:eastAsia="Calibri" w:hAnsi="Verdana" w:cs="Arial"/>
                <w:color w:val="000000" w:themeColor="text1"/>
                <w:lang w:val="es-ES" w:eastAsia="es-ES_tradnl"/>
              </w:rPr>
              <w:t xml:space="preserve">               </w:t>
            </w:r>
          </w:p>
        </w:tc>
        <w:tc>
          <w:tcPr>
            <w:tcW w:w="6100" w:type="dxa"/>
          </w:tcPr>
          <w:p w14:paraId="51F7AF0A" w14:textId="77777777" w:rsidR="00766AAE" w:rsidRPr="00BE3A6E" w:rsidRDefault="00766AAE" w:rsidP="00EE009D">
            <w:pPr>
              <w:jc w:val="both"/>
              <w:rPr>
                <w:rFonts w:ascii="Verdana" w:eastAsia="Calibri" w:hAnsi="Verdana" w:cs="Arial"/>
                <w:color w:val="000000" w:themeColor="text1"/>
                <w:lang w:val="es-ES" w:eastAsia="es-ES_tradnl"/>
              </w:rPr>
            </w:pPr>
            <w:r w:rsidRPr="00BE3A6E">
              <w:rPr>
                <w:rFonts w:ascii="Verdana" w:eastAsia="Calibri" w:hAnsi="Verdana" w:cs="Arial"/>
                <w:color w:val="000000" w:themeColor="text1"/>
                <w:lang w:val="es-ES" w:eastAsia="es-ES_tradnl"/>
              </w:rPr>
              <w:t xml:space="preserve">Respuesta a </w:t>
            </w:r>
            <w:r>
              <w:rPr>
                <w:rFonts w:ascii="Verdana" w:eastAsia="Calibri" w:hAnsi="Verdana" w:cs="Arial"/>
                <w:color w:val="000000" w:themeColor="text1"/>
                <w:lang w:val="es-ES" w:eastAsia="es-ES_tradnl"/>
              </w:rPr>
              <w:t xml:space="preserve">las </w:t>
            </w:r>
            <w:r w:rsidRPr="00BE3A6E">
              <w:rPr>
                <w:rFonts w:ascii="Verdana" w:eastAsia="Calibri" w:hAnsi="Verdana" w:cs="Arial"/>
                <w:color w:val="000000" w:themeColor="text1"/>
                <w:lang w:val="es-ES" w:eastAsia="es-ES_tradnl"/>
              </w:rPr>
              <w:t>consulta</w:t>
            </w:r>
            <w:r>
              <w:rPr>
                <w:rFonts w:ascii="Verdana" w:eastAsia="Calibri" w:hAnsi="Verdana" w:cs="Arial"/>
                <w:color w:val="000000" w:themeColor="text1"/>
                <w:lang w:val="es-ES" w:eastAsia="es-ES_tradnl"/>
              </w:rPr>
              <w:t>s</w:t>
            </w:r>
            <w:r w:rsidRPr="00BE3A6E">
              <w:rPr>
                <w:rFonts w:ascii="Verdana" w:eastAsia="Calibri" w:hAnsi="Verdana" w:cs="Arial"/>
                <w:color w:val="000000" w:themeColor="text1"/>
                <w:lang w:val="es-ES" w:eastAsia="es-ES_tradnl"/>
              </w:rPr>
              <w:t xml:space="preserve"> con radicados No. </w:t>
            </w:r>
            <w:r w:rsidRPr="00F97E64">
              <w:rPr>
                <w:rFonts w:ascii="Verdana" w:eastAsia="Calibri" w:hAnsi="Verdana" w:cs="Arial"/>
                <w:color w:val="000000" w:themeColor="text1"/>
                <w:lang w:val="es-ES" w:eastAsia="es-ES_tradnl"/>
              </w:rPr>
              <w:t>1_2026_05_07_006219</w:t>
            </w:r>
            <w:r>
              <w:rPr>
                <w:rFonts w:ascii="Verdana" w:eastAsia="Calibri" w:hAnsi="Verdana" w:cs="Arial"/>
                <w:color w:val="000000" w:themeColor="text1"/>
                <w:lang w:val="es-ES" w:eastAsia="es-ES_tradnl"/>
              </w:rPr>
              <w:t xml:space="preserve"> y </w:t>
            </w:r>
            <w:r w:rsidRPr="000C76A3">
              <w:rPr>
                <w:rFonts w:ascii="Verdana" w:eastAsia="Calibri" w:hAnsi="Verdana" w:cs="Arial"/>
                <w:color w:val="000000" w:themeColor="text1"/>
                <w:lang w:eastAsia="es-ES_tradnl"/>
              </w:rPr>
              <w:t>1_2026_05_07_006220</w:t>
            </w:r>
            <w:r>
              <w:rPr>
                <w:rFonts w:ascii="Verdana" w:eastAsia="Calibri" w:hAnsi="Verdana" w:cs="Arial"/>
                <w:color w:val="000000" w:themeColor="text1"/>
                <w:lang w:eastAsia="es-ES_tradnl"/>
              </w:rPr>
              <w:t xml:space="preserve"> (acumuladas)</w:t>
            </w:r>
          </w:p>
        </w:tc>
      </w:tr>
    </w:tbl>
    <w:p w14:paraId="5911514F" w14:textId="77777777" w:rsidR="00766AAE" w:rsidRPr="00BE3A6E" w:rsidRDefault="00766AAE" w:rsidP="00766AAE">
      <w:pPr>
        <w:spacing w:after="0" w:line="276" w:lineRule="auto"/>
        <w:jc w:val="both"/>
        <w:rPr>
          <w:rFonts w:ascii="Verdana" w:eastAsia="Calibri" w:hAnsi="Verdana" w:cs="Arial"/>
          <w:color w:val="000000" w:themeColor="text1"/>
          <w:lang w:val="es-ES" w:eastAsia="es-ES_tradnl"/>
        </w:rPr>
      </w:pPr>
    </w:p>
    <w:p w14:paraId="08692C4E" w14:textId="77777777" w:rsidR="00766AAE" w:rsidRPr="00BE3A6E" w:rsidRDefault="00766AAE" w:rsidP="00766AAE">
      <w:pPr>
        <w:spacing w:after="0" w:line="276" w:lineRule="auto"/>
        <w:jc w:val="both"/>
        <w:rPr>
          <w:rFonts w:ascii="Verdana" w:eastAsia="Calibri" w:hAnsi="Verdana" w:cs="Arial"/>
          <w:color w:val="000000" w:themeColor="text1"/>
          <w:lang w:val="es-ES" w:eastAsia="es-ES_tradnl"/>
        </w:rPr>
      </w:pPr>
    </w:p>
    <w:p w14:paraId="45D54F54" w14:textId="77777777" w:rsidR="00766AAE" w:rsidRPr="00BE3A6E" w:rsidRDefault="00766AAE" w:rsidP="00766AAE">
      <w:pPr>
        <w:spacing w:after="0" w:line="276" w:lineRule="auto"/>
        <w:jc w:val="both"/>
        <w:rPr>
          <w:rFonts w:ascii="Verdana" w:eastAsia="Calibri" w:hAnsi="Verdana" w:cs="Arial"/>
          <w:color w:val="000000" w:themeColor="text1"/>
          <w:lang w:val="es-ES" w:eastAsia="es-ES"/>
        </w:rPr>
      </w:pPr>
      <w:r w:rsidRPr="00BE3A6E">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o Doctor Gordillo</w:t>
      </w:r>
      <w:r w:rsidRPr="00BE3A6E">
        <w:rPr>
          <w:rFonts w:ascii="Verdana" w:eastAsia="Calibri" w:hAnsi="Verdana" w:cs="Arial"/>
          <w:color w:val="000000" w:themeColor="text1"/>
          <w:lang w:val="es-ES" w:eastAsia="es-ES"/>
        </w:rPr>
        <w:t xml:space="preserve">: </w:t>
      </w:r>
    </w:p>
    <w:p w14:paraId="23511CB0" w14:textId="77777777" w:rsidR="00766AAE" w:rsidRPr="00BE3A6E" w:rsidRDefault="00766AAE" w:rsidP="00766AAE">
      <w:pPr>
        <w:tabs>
          <w:tab w:val="left" w:pos="3768"/>
        </w:tabs>
        <w:spacing w:after="0" w:line="276" w:lineRule="auto"/>
        <w:jc w:val="both"/>
        <w:rPr>
          <w:rFonts w:ascii="Verdana" w:eastAsia="Calibri" w:hAnsi="Verdana" w:cs="Arial"/>
          <w:color w:val="000000" w:themeColor="text1"/>
          <w:lang w:val="es-ES" w:eastAsia="es-ES"/>
        </w:rPr>
      </w:pPr>
      <w:r w:rsidRPr="00BE3A6E">
        <w:rPr>
          <w:rFonts w:ascii="Verdana" w:eastAsia="Calibri" w:hAnsi="Verdana" w:cs="Arial"/>
          <w:color w:val="000000" w:themeColor="text1"/>
          <w:lang w:val="es-ES" w:eastAsia="es-ES"/>
        </w:rPr>
        <w:tab/>
      </w:r>
    </w:p>
    <w:p w14:paraId="79C6573D" w14:textId="77777777" w:rsidR="00766AAE" w:rsidRPr="00BE3A6E" w:rsidRDefault="00766AAE" w:rsidP="00766AAE">
      <w:pPr>
        <w:spacing w:after="0" w:line="276" w:lineRule="auto"/>
        <w:jc w:val="both"/>
        <w:rPr>
          <w:rFonts w:ascii="Verdana" w:eastAsia="Calibri" w:hAnsi="Verdana" w:cs="Arial"/>
          <w:color w:val="000000" w:themeColor="text1"/>
          <w:lang w:val="es-ES" w:eastAsia="es-ES"/>
        </w:rPr>
      </w:pPr>
      <w:r w:rsidRPr="00BE3A6E">
        <w:rPr>
          <w:rFonts w:ascii="Verdana" w:eastAsia="Calibri" w:hAnsi="Verdana" w:cs="Arial"/>
          <w:color w:val="000000" w:themeColor="text1"/>
          <w:lang w:val="es-ES" w:eastAsia="es-ES"/>
        </w:rPr>
        <w:t>En ejercicio de la competencia otorgada por los artículos 3, numeral 5º, y 11, numeral 8º, del Decreto Ley 4170 de 2011,</w:t>
      </w:r>
      <w:r w:rsidRPr="00BE3A6E">
        <w:rPr>
          <w:rFonts w:ascii="Verdana" w:eastAsia="Arial MT" w:hAnsi="Verdana" w:cs="Arial MT"/>
          <w:color w:val="000000" w:themeColor="text1"/>
          <w:lang w:val="es-ES" w:eastAsia="es-ES"/>
        </w:rPr>
        <w:t xml:space="preserve"> </w:t>
      </w:r>
      <w:r w:rsidRPr="00BE3A6E">
        <w:rPr>
          <w:rFonts w:ascii="Verdana" w:hAnsi="Verdana" w:cs="Arial"/>
          <w:color w:val="000000" w:themeColor="text1"/>
          <w:lang w:val="es-ES"/>
        </w:rPr>
        <w:t xml:space="preserve">así como lo establecido en el artículo 4 de la Resolución 1707 de 2018 expedida por esta Entidad, la Agencia Nacional de Contratación Pública – Colombia Compra Eficiente– responde su solicitud de concepto del </w:t>
      </w:r>
      <w:r>
        <w:rPr>
          <w:rFonts w:ascii="Verdana" w:hAnsi="Verdana" w:cs="Arial"/>
          <w:color w:val="000000" w:themeColor="text1"/>
          <w:lang w:val="es-ES"/>
        </w:rPr>
        <w:t>07</w:t>
      </w:r>
      <w:r w:rsidRPr="00BE3A6E">
        <w:rPr>
          <w:rFonts w:ascii="Verdana" w:hAnsi="Verdana" w:cs="Arial"/>
          <w:color w:val="000000" w:themeColor="text1"/>
          <w:lang w:val="es-ES"/>
        </w:rPr>
        <w:t xml:space="preserve"> de </w:t>
      </w:r>
      <w:r>
        <w:rPr>
          <w:rFonts w:ascii="Verdana" w:hAnsi="Verdana" w:cs="Arial"/>
          <w:color w:val="000000" w:themeColor="text1"/>
          <w:lang w:val="es-ES"/>
        </w:rPr>
        <w:t>mayo</w:t>
      </w:r>
      <w:r w:rsidRPr="00BE3A6E">
        <w:rPr>
          <w:rFonts w:ascii="Verdana" w:hAnsi="Verdana" w:cs="Arial"/>
          <w:color w:val="000000" w:themeColor="text1"/>
          <w:lang w:val="es-ES"/>
        </w:rPr>
        <w:t xml:space="preserve"> de 2026, en la cual manifiesta lo siguiente:</w:t>
      </w:r>
      <w:r w:rsidRPr="00BE3A6E">
        <w:rPr>
          <w:rFonts w:ascii="Verdana" w:eastAsia="Calibri" w:hAnsi="Verdana" w:cs="Arial"/>
          <w:color w:val="000000" w:themeColor="text1"/>
          <w:lang w:val="es-ES" w:eastAsia="es-ES"/>
        </w:rPr>
        <w:t xml:space="preserve"> </w:t>
      </w:r>
    </w:p>
    <w:p w14:paraId="490DAE0E" w14:textId="77777777" w:rsidR="00766AAE" w:rsidRPr="00BE3A6E" w:rsidRDefault="00766AAE" w:rsidP="00766AAE">
      <w:pPr>
        <w:spacing w:after="0" w:line="276" w:lineRule="auto"/>
        <w:jc w:val="both"/>
        <w:rPr>
          <w:rFonts w:ascii="Verdana" w:eastAsia="Calibri" w:hAnsi="Verdana" w:cs="Arial"/>
          <w:color w:val="000000" w:themeColor="text1"/>
          <w:lang w:val="es-ES" w:eastAsia="es-ES"/>
        </w:rPr>
      </w:pPr>
    </w:p>
    <w:p w14:paraId="2CDB2255" w14:textId="77777777" w:rsidR="00766AAE" w:rsidRPr="00F97E64" w:rsidRDefault="00766AAE" w:rsidP="00766AAE">
      <w:pPr>
        <w:spacing w:after="0"/>
        <w:ind w:left="720" w:right="709"/>
        <w:jc w:val="both"/>
        <w:rPr>
          <w:rFonts w:ascii="Verdana" w:eastAsia="Century Gothic" w:hAnsi="Verdana" w:cs="Century Gothic"/>
          <w:i/>
          <w:color w:val="000000" w:themeColor="text1"/>
          <w:sz w:val="20"/>
          <w:szCs w:val="20"/>
        </w:rPr>
      </w:pPr>
      <w:r w:rsidRPr="00BE3A6E">
        <w:rPr>
          <w:rFonts w:ascii="Verdana" w:eastAsia="Century Gothic" w:hAnsi="Verdana" w:cs="Century Gothic"/>
          <w:i/>
          <w:iCs/>
          <w:color w:val="000000" w:themeColor="text1"/>
          <w:sz w:val="20"/>
          <w:szCs w:val="20"/>
          <w:lang w:val="es-ES"/>
        </w:rPr>
        <w:t xml:space="preserve">“[…] </w:t>
      </w:r>
      <w:r w:rsidRPr="00F97E64">
        <w:rPr>
          <w:rFonts w:ascii="Verdana" w:eastAsia="Century Gothic" w:hAnsi="Verdana" w:cs="Century Gothic"/>
          <w:i/>
          <w:color w:val="000000" w:themeColor="text1"/>
          <w:sz w:val="20"/>
          <w:szCs w:val="20"/>
        </w:rPr>
        <w:t xml:space="preserve">El Departamento Nacional de Planeación, en cumplimiento de lo dispuesto en el artículo 12 de la Ley 2195 de 2022 y lo reglamentado mediante el Decreto 1122 de 2024, ha establecido para la presente vigencia, dentro de su Programa de Transparencia y Ética Pública, la implementación del enfoque de debida diligencia en el proceso de gestión contractual. </w:t>
      </w:r>
    </w:p>
    <w:p w14:paraId="6DC0E926" w14:textId="77777777" w:rsidR="00766AAE" w:rsidRPr="00F97E64" w:rsidRDefault="00766AAE" w:rsidP="00766AAE">
      <w:pPr>
        <w:spacing w:after="0"/>
        <w:ind w:left="720" w:right="709"/>
        <w:jc w:val="both"/>
        <w:rPr>
          <w:rFonts w:ascii="Verdana" w:eastAsia="Century Gothic" w:hAnsi="Verdana" w:cs="Century Gothic"/>
          <w:i/>
          <w:color w:val="000000" w:themeColor="text1"/>
          <w:sz w:val="20"/>
          <w:szCs w:val="20"/>
        </w:rPr>
      </w:pPr>
      <w:r w:rsidRPr="00F97E64">
        <w:rPr>
          <w:rFonts w:ascii="Verdana" w:eastAsia="Century Gothic" w:hAnsi="Verdana" w:cs="Century Gothic"/>
          <w:i/>
          <w:color w:val="000000" w:themeColor="text1"/>
          <w:sz w:val="20"/>
          <w:szCs w:val="20"/>
        </w:rPr>
        <w:t xml:space="preserve">En desarrollo de lo anterior, la entidad se encuentra adelantando el ajuste de su Manual de Contratación, Manual de Supervisión e Interventoría, así como de los formatos asociados, con el fin de incorporar medidas </w:t>
      </w:r>
      <w:r w:rsidRPr="00F97E64">
        <w:rPr>
          <w:rFonts w:ascii="Verdana" w:eastAsia="Century Gothic" w:hAnsi="Verdana" w:cs="Century Gothic"/>
          <w:i/>
          <w:color w:val="000000" w:themeColor="text1"/>
          <w:sz w:val="20"/>
          <w:szCs w:val="20"/>
        </w:rPr>
        <w:lastRenderedPageBreak/>
        <w:t xml:space="preserve">orientadas al conocimiento de la contraparte y a la prevención de riesgos de corrupción, lavado de activos y financiación del terrorismo. </w:t>
      </w:r>
    </w:p>
    <w:p w14:paraId="1CBD4194" w14:textId="77777777" w:rsidR="00766AAE" w:rsidRPr="00F97E64" w:rsidRDefault="00766AAE" w:rsidP="00766AAE">
      <w:pPr>
        <w:spacing w:after="0"/>
        <w:ind w:left="720" w:right="709"/>
        <w:jc w:val="both"/>
        <w:rPr>
          <w:rFonts w:ascii="Verdana" w:eastAsia="Century Gothic" w:hAnsi="Verdana" w:cs="Century Gothic"/>
          <w:i/>
          <w:color w:val="000000" w:themeColor="text1"/>
          <w:sz w:val="20"/>
          <w:szCs w:val="20"/>
        </w:rPr>
      </w:pPr>
      <w:r w:rsidRPr="00F97E64">
        <w:rPr>
          <w:rFonts w:ascii="Verdana" w:eastAsia="Century Gothic" w:hAnsi="Verdana" w:cs="Century Gothic"/>
          <w:i/>
          <w:color w:val="000000" w:themeColor="text1"/>
          <w:sz w:val="20"/>
          <w:szCs w:val="20"/>
        </w:rPr>
        <w:t xml:space="preserve">Como parte de dichas medidas, se ha propuesto incluir como requisito para la contratación con el Departamento la verificación previa en listas aplicables en Colombia en materia de Lavado de Activos y Financiación del Terrorismo (LA/FT). </w:t>
      </w:r>
    </w:p>
    <w:p w14:paraId="23899E76" w14:textId="77777777" w:rsidR="00766AAE" w:rsidRPr="00F97E64" w:rsidRDefault="00766AAE" w:rsidP="00766AAE">
      <w:pPr>
        <w:spacing w:after="0"/>
        <w:ind w:left="720" w:right="709"/>
        <w:jc w:val="both"/>
        <w:rPr>
          <w:rFonts w:ascii="Verdana" w:eastAsia="Century Gothic" w:hAnsi="Verdana" w:cs="Century Gothic"/>
          <w:i/>
          <w:color w:val="000000" w:themeColor="text1"/>
          <w:sz w:val="20"/>
          <w:szCs w:val="20"/>
        </w:rPr>
      </w:pPr>
      <w:r>
        <w:rPr>
          <w:rFonts w:ascii="Verdana" w:eastAsia="Century Gothic" w:hAnsi="Verdana" w:cs="Century Gothic"/>
          <w:i/>
          <w:iCs/>
          <w:color w:val="000000" w:themeColor="text1"/>
          <w:sz w:val="20"/>
          <w:szCs w:val="20"/>
          <w:lang w:val="es-ES"/>
        </w:rPr>
        <w:t xml:space="preserve">[…] </w:t>
      </w:r>
      <w:r w:rsidRPr="00F97E64">
        <w:rPr>
          <w:rFonts w:ascii="Verdana" w:eastAsia="Century Gothic" w:hAnsi="Verdana" w:cs="Century Gothic"/>
          <w:i/>
          <w:color w:val="000000" w:themeColor="text1"/>
          <w:sz w:val="20"/>
          <w:szCs w:val="20"/>
        </w:rPr>
        <w:t xml:space="preserve">No obstante lo anterior, frente a los procesos de selección, excluyendo aquellos que se adelanten a través de la Tienda Virtual del Estado Colombiano, surge la inquietud respecto de la pertinencia jurídica de incluir en la invitación pública y/o en el pliego de condiciones la exigencia al proponente de declarar y acreditar no encontrarse incluido en las listas vinculantes adoptadas por Colombia, así como de establecer dicha circunstancia como causal de rechazo, sin que ello implique una afectación al principio y deber de selección objetiva. </w:t>
      </w:r>
    </w:p>
    <w:p w14:paraId="7190EA95" w14:textId="77777777" w:rsidR="00766AAE" w:rsidRPr="00F97E64" w:rsidRDefault="00766AAE" w:rsidP="00766AAE">
      <w:pPr>
        <w:spacing w:after="0"/>
        <w:ind w:left="720" w:right="709"/>
        <w:jc w:val="both"/>
        <w:rPr>
          <w:rFonts w:ascii="Verdana" w:eastAsia="Century Gothic" w:hAnsi="Verdana" w:cs="Century Gothic"/>
          <w:i/>
          <w:color w:val="000000" w:themeColor="text1"/>
          <w:sz w:val="20"/>
          <w:szCs w:val="20"/>
        </w:rPr>
      </w:pPr>
      <w:r w:rsidRPr="00F97E64">
        <w:rPr>
          <w:rFonts w:ascii="Verdana" w:eastAsia="Century Gothic" w:hAnsi="Verdana" w:cs="Century Gothic"/>
          <w:i/>
          <w:color w:val="000000" w:themeColor="text1"/>
          <w:sz w:val="20"/>
          <w:szCs w:val="20"/>
        </w:rPr>
        <w:t xml:space="preserve">Lo anterior, teniendo en cuenta lo previsto en el artículo 5 de la Ley 1150 de 2007, modificado por el artículo 88 de la Ley 1474 de 2011 y por el artículo 5 de la Ley 1882 de 2018. </w:t>
      </w:r>
    </w:p>
    <w:p w14:paraId="5F844E89" w14:textId="77777777" w:rsidR="00766AAE" w:rsidRPr="00F97E64" w:rsidRDefault="00766AAE" w:rsidP="00766AAE">
      <w:pPr>
        <w:spacing w:after="0"/>
        <w:ind w:left="720" w:right="709"/>
        <w:jc w:val="both"/>
        <w:rPr>
          <w:rFonts w:ascii="Verdana" w:eastAsia="Century Gothic" w:hAnsi="Verdana" w:cs="Century Gothic"/>
          <w:i/>
          <w:color w:val="000000" w:themeColor="text1"/>
          <w:sz w:val="20"/>
          <w:szCs w:val="20"/>
        </w:rPr>
      </w:pPr>
      <w:r w:rsidRPr="00F97E64">
        <w:rPr>
          <w:rFonts w:ascii="Verdana" w:eastAsia="Century Gothic" w:hAnsi="Verdana" w:cs="Century Gothic"/>
          <w:i/>
          <w:color w:val="000000" w:themeColor="text1"/>
          <w:sz w:val="20"/>
          <w:szCs w:val="20"/>
        </w:rPr>
        <w:t>En este contexto, se solicita la emisión de un concepto sobre la viabilidad de la medida descrita, en el marco del régimen de contratación estatal y de los principios que lo orientan y en caso de considerarlo la realización de una mesa de trabajo para tratar el tema del asunto</w:t>
      </w:r>
      <w:r>
        <w:rPr>
          <w:rFonts w:ascii="Verdana" w:eastAsia="Century Gothic" w:hAnsi="Verdana" w:cs="Century Gothic"/>
          <w:i/>
          <w:color w:val="000000" w:themeColor="text1"/>
          <w:sz w:val="20"/>
          <w:szCs w:val="20"/>
        </w:rPr>
        <w:t>”</w:t>
      </w:r>
      <w:r w:rsidRPr="00F97E64">
        <w:rPr>
          <w:rFonts w:ascii="Verdana" w:eastAsia="Century Gothic" w:hAnsi="Verdana" w:cs="Century Gothic"/>
          <w:i/>
          <w:color w:val="000000" w:themeColor="text1"/>
          <w:sz w:val="20"/>
          <w:szCs w:val="20"/>
        </w:rPr>
        <w:t xml:space="preserve">. </w:t>
      </w:r>
    </w:p>
    <w:p w14:paraId="71C5DA13" w14:textId="77777777" w:rsidR="00766AAE" w:rsidRPr="00BE3A6E" w:rsidRDefault="00766AAE" w:rsidP="00766AAE">
      <w:pPr>
        <w:spacing w:after="0"/>
        <w:ind w:right="709"/>
        <w:jc w:val="both"/>
        <w:rPr>
          <w:rFonts w:ascii="Verdana" w:eastAsia="Century Gothic" w:hAnsi="Verdana" w:cs="Century Gothic"/>
          <w:i/>
          <w:iCs/>
          <w:color w:val="000000" w:themeColor="text1"/>
          <w:sz w:val="20"/>
          <w:szCs w:val="20"/>
          <w:lang w:val="es-ES"/>
        </w:rPr>
      </w:pPr>
    </w:p>
    <w:p w14:paraId="4E4BF1DA" w14:textId="77777777" w:rsidR="00766AAE" w:rsidRPr="00BE3A6E" w:rsidRDefault="00766AAE" w:rsidP="00766AAE">
      <w:pPr>
        <w:spacing w:after="0" w:line="276" w:lineRule="auto"/>
        <w:contextualSpacing/>
        <w:jc w:val="both"/>
        <w:rPr>
          <w:rFonts w:ascii="Verdana" w:eastAsia="Calibri" w:hAnsi="Verdana" w:cs="Arial"/>
          <w:color w:val="000000" w:themeColor="text1"/>
          <w:szCs w:val="24"/>
          <w:lang w:val="es-ES" w:eastAsia="es-ES_tradnl"/>
        </w:rPr>
      </w:pPr>
      <w:r w:rsidRPr="00BE3A6E">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BE3A6E">
        <w:rPr>
          <w:rFonts w:ascii="Verdana" w:eastAsia="Calibri" w:hAnsi="Verdana" w:cs="Arial"/>
          <w:color w:val="000000" w:themeColor="text1"/>
          <w:szCs w:val="24"/>
          <w:lang w:val="es-ES" w:eastAsia="es-ES_tradnl"/>
        </w:rPr>
        <w:tab/>
      </w:r>
    </w:p>
    <w:p w14:paraId="528A2836" w14:textId="77777777" w:rsidR="00766AAE" w:rsidRPr="00BE3A6E" w:rsidRDefault="00766AAE" w:rsidP="00766AAE">
      <w:pPr>
        <w:spacing w:before="120" w:after="120" w:line="276" w:lineRule="auto"/>
        <w:ind w:firstLine="709"/>
        <w:jc w:val="both"/>
        <w:rPr>
          <w:rFonts w:ascii="Verdana" w:eastAsia="Calibri" w:hAnsi="Verdana" w:cs="Arial"/>
          <w:color w:val="000000" w:themeColor="text1"/>
          <w:lang w:val="es-ES" w:eastAsia="es-ES"/>
        </w:rPr>
      </w:pPr>
      <w:r w:rsidRPr="00BE3A6E">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eastAsia="Calibri" w:hAnsi="Verdana" w:cs="Arial"/>
          <w:color w:val="000000" w:themeColor="text1"/>
          <w:lang w:val="es-ES" w:eastAsia="es-ES"/>
        </w:rPr>
        <w:t>el</w:t>
      </w:r>
      <w:r w:rsidRPr="00BE3A6E">
        <w:rPr>
          <w:rFonts w:ascii="Verdana" w:eastAsia="Calibri" w:hAnsi="Verdana" w:cs="Arial"/>
          <w:color w:val="000000" w:themeColor="text1"/>
          <w:lang w:val="es-ES" w:eastAsia="es-ES"/>
        </w:rPr>
        <w:t xml:space="preserve"> problema jurídico de su consulta. </w:t>
      </w:r>
    </w:p>
    <w:p w14:paraId="19358EAA" w14:textId="77777777" w:rsidR="00766AAE" w:rsidRPr="00BE3A6E" w:rsidRDefault="00766AAE" w:rsidP="00766AAE">
      <w:pPr>
        <w:spacing w:after="0" w:line="276" w:lineRule="auto"/>
        <w:jc w:val="both"/>
        <w:rPr>
          <w:rFonts w:ascii="Verdana" w:eastAsia="Calibri" w:hAnsi="Verdana" w:cs="Arial"/>
          <w:color w:val="000000" w:themeColor="text1"/>
          <w:lang w:val="es-ES" w:eastAsia="es-ES"/>
        </w:rPr>
      </w:pPr>
    </w:p>
    <w:p w14:paraId="36AECA94" w14:textId="77777777" w:rsidR="00766AAE" w:rsidRPr="00BE3A6E" w:rsidRDefault="00766AAE" w:rsidP="00766AAE">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BE3A6E">
        <w:rPr>
          <w:rFonts w:ascii="Verdana" w:eastAsia="Century Gothic" w:hAnsi="Verdana" w:cs="Century Gothic"/>
          <w:b/>
          <w:bCs/>
          <w:color w:val="000000" w:themeColor="text1"/>
        </w:rPr>
        <w:t>Problema planteado:</w:t>
      </w:r>
    </w:p>
    <w:p w14:paraId="6A9E59CB" w14:textId="77777777" w:rsidR="00766AAE" w:rsidRPr="00BE3A6E" w:rsidRDefault="00766AAE" w:rsidP="00766AAE">
      <w:pPr>
        <w:tabs>
          <w:tab w:val="left" w:pos="426"/>
        </w:tabs>
        <w:spacing w:after="0" w:line="276" w:lineRule="auto"/>
        <w:jc w:val="both"/>
        <w:rPr>
          <w:rFonts w:ascii="Verdana" w:eastAsia="Century Gothic" w:hAnsi="Verdana" w:cs="Century Gothic"/>
          <w:color w:val="000000" w:themeColor="text1"/>
          <w:lang w:val="es-ES"/>
        </w:rPr>
      </w:pPr>
    </w:p>
    <w:p w14:paraId="57E7AC44" w14:textId="77777777" w:rsidR="00766AAE" w:rsidRPr="00BE3A6E" w:rsidRDefault="00766AAE" w:rsidP="00766AAE">
      <w:pPr>
        <w:spacing w:after="0" w:line="276" w:lineRule="auto"/>
        <w:jc w:val="both"/>
        <w:rPr>
          <w:rFonts w:ascii="Verdana" w:eastAsia="Century Gothic" w:hAnsi="Verdana" w:cs="Century Gothic"/>
          <w:color w:val="000000" w:themeColor="text1"/>
          <w:lang w:val="es-ES"/>
        </w:rPr>
      </w:pPr>
      <w:r w:rsidRPr="00BE3A6E">
        <w:rPr>
          <w:rFonts w:ascii="Verdana" w:eastAsia="Century Gothic" w:hAnsi="Verdana" w:cs="Century Gothic"/>
          <w:color w:val="000000" w:themeColor="text1"/>
          <w:lang w:val="es-ES"/>
        </w:rPr>
        <w:t xml:space="preserve">De acuerdo con el contenido de su solicitud, esta Agencia resolverá </w:t>
      </w:r>
      <w:r>
        <w:rPr>
          <w:rFonts w:ascii="Verdana" w:eastAsia="Century Gothic" w:hAnsi="Verdana" w:cs="Century Gothic"/>
          <w:color w:val="000000" w:themeColor="text1"/>
          <w:lang w:val="es-ES"/>
        </w:rPr>
        <w:t xml:space="preserve">el siguiente </w:t>
      </w:r>
      <w:r w:rsidRPr="00BE3A6E">
        <w:rPr>
          <w:rFonts w:ascii="Verdana" w:eastAsia="Century Gothic" w:hAnsi="Verdana" w:cs="Century Gothic"/>
          <w:color w:val="000000" w:themeColor="text1"/>
          <w:lang w:val="es-ES"/>
        </w:rPr>
        <w:t xml:space="preserve">problema jurídico: </w:t>
      </w:r>
      <w:r w:rsidRPr="00BE3A6E">
        <w:rPr>
          <w:rFonts w:ascii="Verdana" w:eastAsia="Century Gothic" w:hAnsi="Verdana" w:cs="Century Gothic"/>
          <w:lang w:val="es-ES"/>
        </w:rPr>
        <w:t>¿cuál es el alcance de los mecanismos y metodologías que para la lucha contra el lavado de activos y financiación del terrorismo en el sistema de compras y contratación pública?</w:t>
      </w:r>
    </w:p>
    <w:p w14:paraId="6DC89FA4" w14:textId="77777777" w:rsidR="00766AAE" w:rsidRPr="00BE3A6E" w:rsidRDefault="00766AAE" w:rsidP="00766AAE">
      <w:pPr>
        <w:spacing w:after="0" w:line="276" w:lineRule="auto"/>
        <w:jc w:val="both"/>
        <w:rPr>
          <w:rFonts w:ascii="Verdana" w:eastAsia="Calibri" w:hAnsi="Verdana" w:cs="Arial"/>
          <w:color w:val="000000" w:themeColor="text1"/>
          <w:lang w:val="es-ES"/>
        </w:rPr>
      </w:pPr>
    </w:p>
    <w:p w14:paraId="44A148D8" w14:textId="77777777" w:rsidR="00766AAE" w:rsidRPr="00BE3A6E" w:rsidRDefault="00766AAE" w:rsidP="00766AA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BE3A6E">
        <w:rPr>
          <w:rFonts w:ascii="Verdana" w:eastAsia="Century Gothic" w:hAnsi="Verdana" w:cs="Century Gothic"/>
          <w:b/>
          <w:bCs/>
          <w:color w:val="000000" w:themeColor="text1"/>
        </w:rPr>
        <w:t>Respuesta:</w:t>
      </w:r>
    </w:p>
    <w:p w14:paraId="7A746074" w14:textId="77777777" w:rsidR="00766AAE" w:rsidRPr="00BE3A6E" w:rsidRDefault="00766AAE" w:rsidP="00766AAE">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766AAE" w:rsidRPr="00BE3A6E" w14:paraId="5FAEC9B4" w14:textId="77777777" w:rsidTr="00EE009D">
        <w:tc>
          <w:tcPr>
            <w:tcW w:w="8828" w:type="dxa"/>
          </w:tcPr>
          <w:p w14:paraId="5DA5481C" w14:textId="77777777" w:rsidR="00766AAE" w:rsidRPr="00BE3A6E" w:rsidRDefault="00766AAE" w:rsidP="00EE009D">
            <w:pPr>
              <w:spacing w:before="120" w:after="120" w:line="276" w:lineRule="auto"/>
              <w:jc w:val="both"/>
              <w:rPr>
                <w:rFonts w:ascii="Verdana" w:eastAsia="Calibri" w:hAnsi="Verdana" w:cs="Arial"/>
                <w:color w:val="000000" w:themeColor="text1"/>
                <w:lang w:val="es-ES"/>
              </w:rPr>
            </w:pPr>
            <w:r w:rsidRPr="00BE3A6E">
              <w:rPr>
                <w:rFonts w:ascii="Verdana" w:eastAsia="Times New Roman" w:hAnsi="Verdana" w:cs="Arial"/>
                <w:color w:val="000000"/>
                <w:lang w:val="es-ES" w:eastAsia="es-ES_tradnl"/>
              </w:rPr>
              <w:t>Conforme a la interpretación general de las normas del sistema de compras y contratación pública, l</w:t>
            </w:r>
            <w:r w:rsidRPr="00BE3A6E">
              <w:rPr>
                <w:rFonts w:ascii="Verdana" w:eastAsia="Calibri" w:hAnsi="Verdana" w:cs="Arial"/>
                <w:color w:val="000000" w:themeColor="text1"/>
                <w:lang w:val="es-ES"/>
              </w:rPr>
              <w:t xml:space="preserve">a debida diligencia o verificación en listas vinculantes, restrictivas y no restrictivas es una acción fundamental al interior de todos los sistemas de gestión del riesgo de lavado de activos y financiación del terrorismo, pues se configura en la etapa de conocimiento del proveedor, así como en la vinculación del extremo contractual, satisfaciendo la necesidad de salvaguardar el interés general inherente en la contratación pública, de forma que implique el menor sacrificio posible al derecho de igualdad y al reconocimiento de la personalidad jurídica de quienes aspiran a contratar con el Estado. </w:t>
            </w:r>
          </w:p>
          <w:p w14:paraId="28CC51AF" w14:textId="77777777" w:rsidR="00766AAE" w:rsidRPr="00BE3A6E" w:rsidRDefault="00766AAE" w:rsidP="00EE009D">
            <w:pPr>
              <w:spacing w:after="120" w:line="276" w:lineRule="auto"/>
              <w:ind w:firstLine="708"/>
              <w:jc w:val="both"/>
              <w:rPr>
                <w:rFonts w:ascii="Verdana" w:hAnsi="Verdana" w:cs="Arial"/>
                <w:color w:val="000000" w:themeColor="text1"/>
                <w:lang w:val="es-ES"/>
              </w:rPr>
            </w:pPr>
            <w:r w:rsidRPr="00BE3A6E">
              <w:rPr>
                <w:rFonts w:ascii="Verdana" w:hAnsi="Verdana"/>
                <w:lang w:val="es-ES"/>
              </w:rPr>
              <w:t xml:space="preserve">El carácter reconocidamente taxativo y restrictivo supone que las entidades no pueden establecer en el pliego de condiciones causales de inhabilidad o incompatibilidad no previstas en la Constitución o en la ley, ni siquiera haciéndolas pasar como causa para rechazar los ofrecimientos realizados. De forma similar, </w:t>
            </w:r>
            <w:r w:rsidRPr="00BE3A6E">
              <w:rPr>
                <w:rFonts w:ascii="Verdana" w:hAnsi="Verdana" w:cs="Arial"/>
                <w:color w:val="000000" w:themeColor="text1"/>
                <w:lang w:val="es-ES"/>
              </w:rPr>
              <w:t>dado que la terminación unilateral tiene regulación especial en los artículos 17 y 45 del EGCAP, estas causales aplicables son de interpretación restrictiva. Ya que ninguna de las causales de terminación unilateral establecidas en la Ley 80 de 1993 se relaciona con los controles derivados del SARLAFT o la inclusión en listas restrictivas internacionales, el ejercicio de la autonomía de la voluntad no permite a las entidades adicionar causales que den lugar a la terminación unilateral en estos supuestos.</w:t>
            </w:r>
          </w:p>
          <w:p w14:paraId="4166758D" w14:textId="77777777" w:rsidR="00766AAE" w:rsidRPr="00BE3A6E" w:rsidRDefault="00766AAE" w:rsidP="00EE009D">
            <w:pPr>
              <w:spacing w:after="120" w:line="276" w:lineRule="auto"/>
              <w:ind w:firstLine="709"/>
              <w:jc w:val="both"/>
              <w:rPr>
                <w:rFonts w:ascii="Verdana" w:eastAsia="Calibri" w:hAnsi="Verdana" w:cs="Arial"/>
                <w:lang w:val="es-ES"/>
              </w:rPr>
            </w:pPr>
            <w:r w:rsidRPr="00BE3A6E">
              <w:rPr>
                <w:rFonts w:ascii="Verdana" w:eastAsia="Calibri" w:hAnsi="Verdana" w:cs="Arial"/>
                <w:lang w:val="es-ES"/>
              </w:rPr>
              <w:t>Sin embargo, el alcance, oportunidad y metodología para el análisis del riesgo de lavado de activos y de la financiación del terrorismo en el marco de los procesos regidos por el EGCAP debe seguir</w:t>
            </w:r>
            <w:r w:rsidRPr="00BE3A6E">
              <w:rPr>
                <w:rFonts w:ascii="Verdana" w:eastAsia="Calibri" w:hAnsi="Verdana" w:cs="Arial"/>
                <w:i/>
                <w:iCs/>
                <w:lang w:val="es-ES"/>
              </w:rPr>
              <w:t xml:space="preserve"> las condiciones referidas por la </w:t>
            </w:r>
            <w:r w:rsidRPr="00BE3A6E">
              <w:rPr>
                <w:rFonts w:ascii="Verdana" w:eastAsia="Calibri" w:hAnsi="Verdana" w:cs="Arial"/>
                <w:i/>
                <w:iCs/>
                <w:lang w:val="es-ES"/>
              </w:rPr>
              <w:lastRenderedPageBreak/>
              <w:t>Sala de Consulta y Servicio Civil en el Concepto del 27 de agosto de 2015</w:t>
            </w:r>
            <w:r w:rsidRPr="00BE3A6E">
              <w:rPr>
                <w:rFonts w:ascii="Verdana" w:eastAsia="Calibri" w:hAnsi="Verdana" w:cs="Arial"/>
                <w:lang w:val="es-ES"/>
              </w:rPr>
              <w:t xml:space="preserve">. Respecto al riesgo de corrupción, sumado a las medidas previstas en el artículo 9 del EGCAP y de la Ley 1150 de 2007, siempre que se configure el supuesto de la inhabilidad del literal j) del artículo 8.1 de la Ley 80 de 1993, podrá aplicarse la causal de terminación unilateral del artículo 44.1 </w:t>
            </w:r>
            <w:r w:rsidRPr="00BE3A6E">
              <w:rPr>
                <w:rFonts w:ascii="Verdana" w:eastAsia="Calibri" w:hAnsi="Verdana" w:cs="Arial"/>
                <w:i/>
                <w:iCs/>
                <w:lang w:val="es-ES"/>
              </w:rPr>
              <w:t>ibidem</w:t>
            </w:r>
            <w:r w:rsidRPr="00BE3A6E">
              <w:rPr>
                <w:rFonts w:ascii="Verdana" w:eastAsia="Calibri" w:hAnsi="Verdana" w:cs="Arial"/>
                <w:lang w:val="es-ES"/>
              </w:rPr>
              <w:t>.</w:t>
            </w:r>
          </w:p>
          <w:p w14:paraId="12B866EF" w14:textId="77777777" w:rsidR="00766AAE" w:rsidRPr="00BE3A6E" w:rsidRDefault="00766AAE" w:rsidP="00EE009D">
            <w:pPr>
              <w:spacing w:after="120" w:line="276" w:lineRule="auto"/>
              <w:ind w:firstLine="709"/>
              <w:jc w:val="both"/>
              <w:rPr>
                <w:rFonts w:ascii="Verdana" w:eastAsia="Calibri" w:hAnsi="Verdana" w:cs="Arial"/>
                <w:lang w:val="es-ES"/>
              </w:rPr>
            </w:pPr>
            <w:r w:rsidRPr="00BE3A6E">
              <w:rPr>
                <w:rFonts w:ascii="Verdana" w:eastAsia="Calibri" w:hAnsi="Verdana" w:cs="Arial"/>
                <w:lang w:val="es-ES"/>
              </w:rPr>
              <w:t>Las entidades pueden, dentro del marco definido por el Consejo de Estado, incorporar en los estudios previos la tipificación de los riesgos de corrupción y LA/FT como categorías explícitas en la matriz de riesgos del proceso, definiendo el nivel de diligencia que ejercerán sobre los proponentes; con base en este análisis, podrán luego exigir las garantías correspondientes. Durante la fase precontractual será necesario que la entidad realice la revisión sistemática y oportuna de listas nacionales con el fin de verificar la presencia de inhabilidades, así como la implementación de mecanismos para la verificación de situaciones de control, conforme con lo dispuesto en el Decreto 1600 de 2024, y la identificación del beneficiario final</w:t>
            </w:r>
            <w:r>
              <w:rPr>
                <w:rFonts w:ascii="Verdana" w:eastAsia="Calibri" w:hAnsi="Verdana" w:cs="Arial"/>
                <w:lang w:val="es-ES"/>
              </w:rPr>
              <w:t>,</w:t>
            </w:r>
            <w:r w:rsidRPr="00BE3A6E">
              <w:rPr>
                <w:rFonts w:ascii="Verdana" w:eastAsia="Calibri" w:hAnsi="Verdana" w:cs="Arial"/>
                <w:lang w:val="es-ES"/>
              </w:rPr>
              <w:t xml:space="preserve"> según lo establecido en la Ley 2195 de 2022. La entidad deberá verificar el estado de las inhabilidades durante la suscripción y ejecución del contrato, con el fin de descartar la configuración de causales sobrevinientes, y adoptar las medidas de renuncia o cesión que la ley establece según el caso. Las entidades también pueden incluir obligaciones contractuales sobre el reporte periódico de información que resulte relevante para identificar potenciales inhabilidades o la materialización de dichos riesgos, así como mecanismos de respuesta, como es el caso de multas o condiciones resolutorias.</w:t>
            </w:r>
          </w:p>
          <w:p w14:paraId="4751A7F4" w14:textId="77777777" w:rsidR="00766AAE" w:rsidRDefault="00766AAE" w:rsidP="00EE009D">
            <w:pPr>
              <w:spacing w:after="120" w:line="276" w:lineRule="auto"/>
              <w:ind w:firstLine="708"/>
              <w:jc w:val="both"/>
              <w:rPr>
                <w:rFonts w:ascii="Verdana" w:eastAsia="Calibri" w:hAnsi="Verdana" w:cs="Arial"/>
                <w:lang w:val="es-ES"/>
              </w:rPr>
            </w:pPr>
            <w:r w:rsidRPr="00BE3A6E">
              <w:rPr>
                <w:rFonts w:ascii="Verdana" w:eastAsia="Calibri" w:hAnsi="Verdana" w:cs="Arial"/>
                <w:lang w:val="es-ES"/>
              </w:rPr>
              <w:t>Con lo anterior, la entidad puede determinar acciones y metodologías oportunas y apropiadas que resultan acordes con el principio de legalidad y de selección objetiva, pues las medidas establecidas por el Consejo de Estado incluyen la tipificación previa de los riesgos de corrupción y LA/FT; la consagración expresa de mecanismos de verificación en los documentos del proceso, como es el caso de exigir declaraciones de origen lícito de fondos, de beneficiario final o la suscripción de pactos de integridad; y la incorporación en el contrato de cláusulas para la gestión de dichos riesgos, como las condiciones</w:t>
            </w:r>
            <w:r>
              <w:rPr>
                <w:rFonts w:ascii="Verdana" w:eastAsia="Calibri" w:hAnsi="Verdana" w:cs="Arial"/>
                <w:lang w:val="es-ES"/>
              </w:rPr>
              <w:t xml:space="preserve"> resolutorias</w:t>
            </w:r>
            <w:r w:rsidRPr="00BE3A6E">
              <w:rPr>
                <w:rFonts w:ascii="Verdana" w:eastAsia="Calibri" w:hAnsi="Verdana" w:cs="Arial"/>
                <w:lang w:val="es-ES"/>
              </w:rPr>
              <w:t xml:space="preserve"> de carácter convencional que pueden pactar las partes con sustento en el principio de buena fe y el artículo 3 de la Ley 80 de 1993.</w:t>
            </w:r>
          </w:p>
          <w:p w14:paraId="22A52045" w14:textId="77777777" w:rsidR="00766AAE" w:rsidRPr="00BE3A6E" w:rsidRDefault="00766AAE" w:rsidP="00EE009D">
            <w:pPr>
              <w:spacing w:after="120" w:line="276" w:lineRule="auto"/>
              <w:ind w:firstLine="709"/>
              <w:jc w:val="both"/>
              <w:rPr>
                <w:rFonts w:ascii="Verdana" w:eastAsia="Calibri" w:hAnsi="Verdana" w:cs="Arial"/>
                <w:lang w:val="es-ES"/>
              </w:rPr>
            </w:pPr>
            <w:r>
              <w:rPr>
                <w:rFonts w:ascii="Verdana" w:eastAsia="Calibri" w:hAnsi="Verdana" w:cs="Arial"/>
                <w:lang w:val="es-ES"/>
              </w:rPr>
              <w:t xml:space="preserve">Lo anterior no obsta para que las entidades ejerzan la potestad que les asiste de incluir causales de rechazo en el pliego de condiciones o documento </w:t>
            </w:r>
            <w:r>
              <w:rPr>
                <w:rFonts w:ascii="Verdana" w:eastAsia="Calibri" w:hAnsi="Verdana" w:cs="Arial"/>
                <w:lang w:val="es-ES"/>
              </w:rPr>
              <w:lastRenderedPageBreak/>
              <w:t>equivalente, siempre que éstas se encuentren debidamente justificadas en relación con el objeto contractual y respondan a defectos, omisiones o circunstancias que permitan deducir que la oferta no resulta favorable para los intereses de la entidad, la protección del interés general y los fines de la contratación y sus principios, conforme con lo señalado por el Consejo de Estado en la jurisprudencia. Así, por ejemplo, frente a determinados procesos en los cuales el reporte de un oferente en listas vinculantes aplicables en Colombia en materia de Financiación del Terrorismo pueda evidenciar un alto riesgo de que la propuesta resulte contraria a los intereses de la entidad o al interés general, este hecho podría sustentar la inclusión de una causal de rechazo en el pliego de condiciones. En cualquier caso, la entidad deberá asegurar que dichas causales no encubran ni equivalgan, en la práctica, a la creación de causales de inhabilidad o incompatibilidad no previstas en la Constitución o en la ley, ni se fundamenten en consideraciones subjetivas o ajenas al cumplimiento de los requisitos técnicos y económicos de la oferta, so pena de comprometer los principios de transparencia, igualdad y selección objetiva que rigen la contratación estatal.</w:t>
            </w:r>
          </w:p>
          <w:p w14:paraId="33D3CEBC" w14:textId="77777777" w:rsidR="00766AAE" w:rsidRPr="00BE3A6E" w:rsidRDefault="00766AAE" w:rsidP="00EE009D">
            <w:pPr>
              <w:widowControl w:val="0"/>
              <w:autoSpaceDE w:val="0"/>
              <w:autoSpaceDN w:val="0"/>
              <w:spacing w:before="120" w:after="120" w:line="276" w:lineRule="auto"/>
              <w:ind w:firstLine="708"/>
              <w:jc w:val="both"/>
              <w:rPr>
                <w:rFonts w:ascii="Verdana" w:eastAsia="Arial" w:hAnsi="Verdana" w:cs="Arial"/>
                <w:color w:val="000000"/>
                <w:lang w:val="es-ES"/>
              </w:rPr>
            </w:pPr>
            <w:r w:rsidRPr="00BE3A6E">
              <w:rPr>
                <w:rStyle w:val="s15"/>
                <w:rFonts w:ascii="Verdana" w:hAnsi="Verdana"/>
                <w:color w:val="000000"/>
                <w:lang w:val="es-ES"/>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w:t>
            </w:r>
            <w:r w:rsidRPr="00BE3A6E">
              <w:rPr>
                <w:rStyle w:val="apple-converted-space"/>
                <w:rFonts w:ascii="Verdana" w:hAnsi="Verdana"/>
                <w:color w:val="000000"/>
                <w:lang w:val="es-ES"/>
              </w:rPr>
              <w:t> </w:t>
            </w:r>
            <w:r w:rsidRPr="00BE3A6E">
              <w:rPr>
                <w:rStyle w:val="s15"/>
                <w:rFonts w:ascii="Verdana" w:hAnsi="Verdana"/>
                <w:color w:val="000000"/>
                <w:lang w:val="es-ES"/>
              </w:rPr>
              <w:t>Por lo anterior, previo</w:t>
            </w:r>
            <w:r w:rsidRPr="00BE3A6E">
              <w:rPr>
                <w:rStyle w:val="apple-converted-space"/>
                <w:rFonts w:ascii="Verdana" w:hAnsi="Verdana"/>
                <w:color w:val="000000"/>
                <w:lang w:val="es-ES"/>
              </w:rPr>
              <w:t> </w:t>
            </w:r>
            <w:r w:rsidRPr="00BE3A6E">
              <w:rPr>
                <w:rStyle w:val="s15"/>
                <w:rFonts w:ascii="Verdana" w:hAnsi="Verdana"/>
                <w:color w:val="000000"/>
                <w:lang w:val="es-ES"/>
              </w:rPr>
              <w:t>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4F7CDC33" w14:textId="77777777" w:rsidR="00766AAE" w:rsidRPr="00BE3A6E" w:rsidRDefault="00766AAE" w:rsidP="00766AAE">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04187A41" w14:textId="77777777" w:rsidR="00766AAE" w:rsidRPr="00BE3A6E" w:rsidRDefault="00766AAE" w:rsidP="00766AA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BE3A6E">
        <w:rPr>
          <w:rFonts w:ascii="Verdana" w:eastAsia="Century Gothic" w:hAnsi="Verdana" w:cs="Century Gothic"/>
          <w:b/>
          <w:bCs/>
          <w:color w:val="000000" w:themeColor="text1"/>
        </w:rPr>
        <w:t>Razones de la respuesta:</w:t>
      </w:r>
    </w:p>
    <w:p w14:paraId="3A16CE67" w14:textId="77777777" w:rsidR="00766AAE" w:rsidRPr="00BE3A6E" w:rsidRDefault="00766AAE" w:rsidP="00766AAE">
      <w:pPr>
        <w:spacing w:after="0" w:line="276" w:lineRule="auto"/>
        <w:jc w:val="both"/>
        <w:rPr>
          <w:rFonts w:ascii="Verdana" w:eastAsia="Calibri" w:hAnsi="Verdana" w:cs="Arial"/>
          <w:color w:val="000000" w:themeColor="text1"/>
          <w:lang w:val="es-ES"/>
        </w:rPr>
      </w:pPr>
    </w:p>
    <w:p w14:paraId="17F92780" w14:textId="77777777" w:rsidR="00766AAE" w:rsidRPr="00BE3A6E" w:rsidRDefault="00766AAE" w:rsidP="00766AAE">
      <w:pPr>
        <w:spacing w:after="0" w:line="276" w:lineRule="auto"/>
        <w:jc w:val="both"/>
        <w:rPr>
          <w:rFonts w:ascii="Verdana" w:eastAsia="Calibri" w:hAnsi="Verdana" w:cs="Arial"/>
          <w:color w:val="000000" w:themeColor="text1"/>
          <w:lang w:val="es-ES"/>
        </w:rPr>
      </w:pPr>
      <w:r w:rsidRPr="00BE3A6E">
        <w:rPr>
          <w:rFonts w:ascii="Verdana" w:eastAsia="Calibri" w:hAnsi="Verdana" w:cs="Arial"/>
          <w:color w:val="000000" w:themeColor="text1"/>
          <w:lang w:val="es-ES"/>
        </w:rPr>
        <w:t xml:space="preserve">Lo anterior se sustenta en las siguientes consideraciones: </w:t>
      </w:r>
    </w:p>
    <w:p w14:paraId="4C6D2A6C" w14:textId="77777777" w:rsidR="00766AAE" w:rsidRPr="00BE3A6E" w:rsidRDefault="00766AAE" w:rsidP="00766AAE">
      <w:pPr>
        <w:spacing w:after="0" w:line="276" w:lineRule="auto"/>
        <w:jc w:val="both"/>
        <w:rPr>
          <w:rFonts w:ascii="Verdana" w:eastAsia="Calibri" w:hAnsi="Verdana" w:cs="Arial"/>
          <w:lang w:val="es-ES"/>
        </w:rPr>
      </w:pPr>
    </w:p>
    <w:p w14:paraId="130151AC" w14:textId="77777777" w:rsidR="00766AAE" w:rsidRPr="00BE3A6E" w:rsidRDefault="00766AAE" w:rsidP="00766AAE">
      <w:pPr>
        <w:spacing w:after="120" w:line="276" w:lineRule="auto"/>
        <w:jc w:val="both"/>
        <w:rPr>
          <w:rFonts w:ascii="Verdana" w:eastAsia="Calibri" w:hAnsi="Verdana" w:cs="Arial"/>
          <w:color w:val="000000" w:themeColor="text1"/>
          <w:lang w:val="es-ES"/>
        </w:rPr>
      </w:pPr>
      <w:r w:rsidRPr="00BE3A6E">
        <w:rPr>
          <w:rFonts w:ascii="Verdana" w:eastAsia="Calibri" w:hAnsi="Verdana" w:cs="Arial"/>
          <w:lang w:val="es-ES"/>
        </w:rPr>
        <w:t>i)</w:t>
      </w:r>
      <w:r w:rsidRPr="00BE3A6E">
        <w:rPr>
          <w:rFonts w:ascii="Verdana" w:eastAsia="Calibri" w:hAnsi="Verdana" w:cs="Arial"/>
          <w:color w:val="000000" w:themeColor="text1"/>
          <w:lang w:val="es-ES"/>
        </w:rPr>
        <w:t xml:space="preserve"> La debida diligencia o verificación en listas vinculantes, restrictivas y no restrictivas es una acción fundamental al interior de todos los </w:t>
      </w:r>
      <w:r w:rsidRPr="00BE3A6E">
        <w:rPr>
          <w:rFonts w:ascii="Verdana" w:eastAsia="Calibri" w:hAnsi="Verdana" w:cs="Arial"/>
          <w:i/>
          <w:iCs/>
          <w:color w:val="000000" w:themeColor="text1"/>
          <w:lang w:val="es-ES"/>
        </w:rPr>
        <w:t>sistemas de gestión del riesgo de lavado de activos y financiación del terrorismo</w:t>
      </w:r>
      <w:r w:rsidRPr="00BE3A6E">
        <w:rPr>
          <w:rFonts w:ascii="Verdana" w:eastAsia="Calibri" w:hAnsi="Verdana" w:cs="Arial"/>
          <w:color w:val="000000" w:themeColor="text1"/>
          <w:lang w:val="es-ES"/>
        </w:rPr>
        <w:t xml:space="preserve">, pues se </w:t>
      </w:r>
      <w:r w:rsidRPr="00BE3A6E">
        <w:rPr>
          <w:rFonts w:ascii="Verdana" w:eastAsia="Calibri" w:hAnsi="Verdana" w:cs="Arial"/>
          <w:color w:val="000000" w:themeColor="text1"/>
          <w:lang w:val="es-ES"/>
        </w:rPr>
        <w:lastRenderedPageBreak/>
        <w:t>configura en la etapa de conocimiento del proveedor, así como en la vinculación del extremo contractual, satisfaciendo la necesidad de salvaguardar el interés general inherente en la contratación pública, de forma que implique el menor sacrificio posible al derecho de igualdad y al reconocimiento de la personalidad jurídica de quienes aspiran a contratar con el Estado.</w:t>
      </w:r>
    </w:p>
    <w:p w14:paraId="34A6DE32" w14:textId="77777777" w:rsidR="00766AAE" w:rsidRPr="00BE3A6E" w:rsidRDefault="00766AAE" w:rsidP="00766AAE">
      <w:pPr>
        <w:spacing w:after="120" w:line="276" w:lineRule="auto"/>
        <w:ind w:firstLine="709"/>
        <w:jc w:val="both"/>
        <w:rPr>
          <w:rFonts w:ascii="Verdana" w:eastAsia="Calibri" w:hAnsi="Verdana" w:cs="Arial"/>
          <w:color w:val="000000" w:themeColor="text1"/>
          <w:lang w:val="es-ES"/>
        </w:rPr>
      </w:pPr>
      <w:r w:rsidRPr="00BE3A6E">
        <w:rPr>
          <w:rFonts w:ascii="Verdana" w:hAnsi="Verdana" w:cs="Arial"/>
          <w:color w:val="000000" w:themeColor="text1"/>
          <w:lang w:val="es-ES"/>
        </w:rPr>
        <w:t xml:space="preserve">Con respecto </w:t>
      </w:r>
      <w:r w:rsidRPr="00BE3A6E">
        <w:rPr>
          <w:rFonts w:ascii="Verdana" w:hAnsi="Verdana"/>
          <w:i/>
          <w:iCs/>
          <w:lang w:val="es-ES"/>
        </w:rPr>
        <w:t xml:space="preserve">al riesgo de lavado de activos en los procesos de contratación, </w:t>
      </w:r>
      <w:r w:rsidRPr="00BE3A6E">
        <w:rPr>
          <w:rFonts w:ascii="Verdana" w:eastAsia="Calibri" w:hAnsi="Verdana" w:cs="Arial"/>
          <w:color w:val="000000" w:themeColor="text1"/>
          <w:lang w:val="es-ES"/>
        </w:rPr>
        <w:t xml:space="preserve">la Ley 526 de 1999, modificada por las Leyes 1121 de 2006, 1621 de 2012 y 1762 de 2015, creó la </w:t>
      </w:r>
      <w:bookmarkStart w:id="1" w:name="_Hlk56670371"/>
      <w:r w:rsidRPr="00BE3A6E">
        <w:rPr>
          <w:rFonts w:ascii="Verdana" w:eastAsia="Calibri" w:hAnsi="Verdana" w:cs="Arial"/>
          <w:color w:val="000000" w:themeColor="text1"/>
          <w:lang w:val="es-ES"/>
        </w:rPr>
        <w:t>Unidad de Información y Análisis Financiero</w:t>
      </w:r>
      <w:bookmarkEnd w:id="1"/>
      <w:r w:rsidRPr="00BE3A6E">
        <w:rPr>
          <w:rFonts w:ascii="Verdana" w:eastAsia="Calibri" w:hAnsi="Verdana" w:cs="Arial"/>
          <w:color w:val="000000" w:themeColor="text1"/>
          <w:lang w:val="es-ES"/>
        </w:rPr>
        <w:t xml:space="preserve"> –UIAF– adscrita al Ministerio de Hacienda y Crédito Público, con el propósito </w:t>
      </w:r>
      <w:r>
        <w:rPr>
          <w:rFonts w:ascii="Verdana" w:eastAsia="Calibri" w:hAnsi="Verdana" w:cs="Arial"/>
          <w:color w:val="000000" w:themeColor="text1"/>
          <w:lang w:val="es-ES"/>
        </w:rPr>
        <w:t xml:space="preserve">de </w:t>
      </w:r>
      <w:r w:rsidRPr="00BE3A6E">
        <w:rPr>
          <w:rFonts w:ascii="Verdana" w:eastAsia="Calibri" w:hAnsi="Verdana" w:cs="Arial"/>
          <w:color w:val="000000" w:themeColor="text1"/>
          <w:lang w:val="es-ES"/>
        </w:rPr>
        <w:t xml:space="preserve">detectar prácticas asociadas con el lavado de activos, financiación del terrorismo y las conductas relacionadas con la defraudación en materia aduanera. Adicionalmente, el artículo 2 del Decreto 1497 de 2002, actualmente compilado en el Decreto Único Reglamentario 1068 de 2015 del sector Hacienda y Crédito Público, dispuso que las entidades públicas y privadas, incluso, las pertenecientes a sectores diferentes al financiero, asegurador y bursátil, están obligadas </w:t>
      </w:r>
      <w:r>
        <w:rPr>
          <w:rFonts w:ascii="Verdana" w:eastAsia="Calibri" w:hAnsi="Verdana" w:cs="Arial"/>
          <w:color w:val="000000" w:themeColor="text1"/>
          <w:lang w:val="es-ES"/>
        </w:rPr>
        <w:t xml:space="preserve">a </w:t>
      </w:r>
      <w:r w:rsidRPr="00BE3A6E">
        <w:rPr>
          <w:rFonts w:ascii="Verdana" w:eastAsia="Calibri" w:hAnsi="Verdana" w:cs="Arial"/>
          <w:color w:val="000000" w:themeColor="text1"/>
          <w:lang w:val="es-ES"/>
        </w:rPr>
        <w:t xml:space="preserve">reportar operaciones sospechosas a la UIAF. </w:t>
      </w:r>
    </w:p>
    <w:p w14:paraId="00A6EC2D" w14:textId="77777777" w:rsidR="00766AAE" w:rsidRPr="00BE3A6E" w:rsidRDefault="00766AAE" w:rsidP="00766AAE">
      <w:pPr>
        <w:spacing w:after="0" w:line="276" w:lineRule="auto"/>
        <w:ind w:firstLine="708"/>
        <w:jc w:val="both"/>
        <w:rPr>
          <w:rFonts w:ascii="Verdana" w:eastAsia="Calibri" w:hAnsi="Verdana" w:cs="Arial"/>
          <w:color w:val="000000" w:themeColor="text1"/>
          <w:lang w:val="es-ES"/>
        </w:rPr>
      </w:pPr>
      <w:r w:rsidRPr="00BE3A6E">
        <w:rPr>
          <w:rFonts w:ascii="Verdana" w:eastAsia="Calibri" w:hAnsi="Verdana" w:cs="Arial"/>
          <w:color w:val="000000" w:themeColor="text1"/>
          <w:lang w:val="es-ES"/>
        </w:rPr>
        <w:t>Dentro de este contexto, el SARLAFT es un sistema de prevención y control para la adecuada gestión del riesgo de lavado de activos y financiación del terrorismo. Para esto, se deberán adoptar unas políticas, procedimientos y herramientas mínimas que contemplen todas las actividades que realizan en desarrollo de su objeto social y que se ajusten a su tamaño, actividad económica, forma de comercialización y demás características particulares de cada agente sujeto a vigilancia. En el caso de las entidades vigiladas por la Superintendencia Financiera, se requiere que implementen el SARLAFT con el fin de prevenir que sean utilizadas para (i) dar apariencia de legalidad a activos provenientes de actividades delictivas y/o (</w:t>
      </w:r>
      <w:proofErr w:type="spellStart"/>
      <w:r w:rsidRPr="00BE3A6E">
        <w:rPr>
          <w:rFonts w:ascii="Verdana" w:eastAsia="Calibri" w:hAnsi="Verdana" w:cs="Arial"/>
          <w:color w:val="000000" w:themeColor="text1"/>
          <w:lang w:val="es-ES"/>
        </w:rPr>
        <w:t>ii</w:t>
      </w:r>
      <w:proofErr w:type="spellEnd"/>
      <w:r w:rsidRPr="00BE3A6E">
        <w:rPr>
          <w:rFonts w:ascii="Verdana" w:eastAsia="Calibri" w:hAnsi="Verdana" w:cs="Arial"/>
          <w:color w:val="000000" w:themeColor="text1"/>
          <w:lang w:val="es-ES"/>
        </w:rPr>
        <w:t>) canalizar recursos hacia la realización de actividades terroristas. Con este fin, en desarrollo de los dispuesto en los artículos 102 y subsiguientes del Decreto Ley 663 de 1993, Estatuto Orgánico del Sistema Financiero, así como lo dispuesto en el artículo 22 de la Ley 964 de 2005, la Superintendencia determina los criterios y parámetros mínimos que las entidades vigiladas deben atender en el diseño, implementación y funcionamiento del mencionado sistema</w:t>
      </w:r>
      <w:r w:rsidRPr="00BE3A6E">
        <w:rPr>
          <w:rStyle w:val="Refdenotaalpie"/>
          <w:rFonts w:ascii="Verdana" w:eastAsia="Calibri" w:hAnsi="Verdana" w:cs="Arial"/>
          <w:color w:val="000000" w:themeColor="text1"/>
          <w:lang w:val="es-ES"/>
        </w:rPr>
        <w:footnoteReference w:id="2"/>
      </w:r>
      <w:r w:rsidRPr="00BE3A6E">
        <w:rPr>
          <w:rFonts w:ascii="Verdana" w:eastAsia="Calibri" w:hAnsi="Verdana" w:cs="Arial"/>
          <w:color w:val="000000" w:themeColor="text1"/>
          <w:lang w:val="es-ES"/>
        </w:rPr>
        <w:t xml:space="preserve">. </w:t>
      </w:r>
    </w:p>
    <w:p w14:paraId="1EBF1CD1" w14:textId="77777777" w:rsidR="00766AAE" w:rsidRPr="00BE3A6E" w:rsidRDefault="00766AAE" w:rsidP="00766AAE">
      <w:pPr>
        <w:spacing w:before="120" w:after="0" w:line="276" w:lineRule="auto"/>
        <w:ind w:firstLine="708"/>
        <w:jc w:val="both"/>
        <w:rPr>
          <w:rFonts w:ascii="Verdana" w:eastAsia="Calibri" w:hAnsi="Verdana" w:cs="Arial"/>
          <w:color w:val="000000" w:themeColor="text1"/>
          <w:lang w:val="es-ES"/>
        </w:rPr>
      </w:pPr>
      <w:r w:rsidRPr="00BE3A6E">
        <w:rPr>
          <w:rFonts w:ascii="Verdana" w:eastAsia="Calibri" w:hAnsi="Verdana" w:cs="Arial"/>
          <w:color w:val="000000" w:themeColor="text1"/>
          <w:lang w:val="es-ES"/>
        </w:rPr>
        <w:lastRenderedPageBreak/>
        <w:t>Bajo dicho marco, las entidades deben implementar sistemas para prevenir el riesgo de que se introduzcan al sistema financiero recursos provenientes de actividades relacionadas con el lavado de activos y/o financiación del terrorismo (LA/FT), así como detectar y reportar las operaciones cuyo propósito sea dar apariencia de legalidad a operaciones vinculadas al LA/FT.</w:t>
      </w:r>
    </w:p>
    <w:p w14:paraId="24C146AF" w14:textId="77777777" w:rsidR="00766AAE" w:rsidRPr="00BE3A6E" w:rsidRDefault="00766AAE" w:rsidP="00766AAE">
      <w:pPr>
        <w:spacing w:before="120" w:after="0" w:line="276" w:lineRule="auto"/>
        <w:ind w:firstLine="708"/>
        <w:jc w:val="both"/>
        <w:rPr>
          <w:rFonts w:ascii="Verdana" w:eastAsia="Calibri" w:hAnsi="Verdana" w:cs="Arial"/>
          <w:color w:val="000000" w:themeColor="text1"/>
          <w:lang w:val="es-ES"/>
        </w:rPr>
      </w:pPr>
      <w:r w:rsidRPr="00BE3A6E">
        <w:rPr>
          <w:rFonts w:ascii="Verdana" w:eastAsia="Calibri" w:hAnsi="Verdana" w:cs="Arial"/>
          <w:color w:val="000000" w:themeColor="text1"/>
          <w:lang w:val="es-ES"/>
        </w:rPr>
        <w:t xml:space="preserve">En particular, para prevenir el riesgo de corrupción y de delitos derivados de la celebración de contratos estatales, la </w:t>
      </w:r>
      <w:bookmarkStart w:id="2" w:name="_Hlk148964958"/>
      <w:r w:rsidRPr="00BE3A6E">
        <w:rPr>
          <w:rFonts w:ascii="Verdana" w:eastAsia="Calibri" w:hAnsi="Verdana" w:cs="Arial"/>
          <w:color w:val="000000" w:themeColor="text1"/>
          <w:lang w:val="es-ES"/>
        </w:rPr>
        <w:t>Sala de Consulta y Servicio Civil del Consejo de Estado</w:t>
      </w:r>
      <w:bookmarkEnd w:id="2"/>
      <w:r w:rsidRPr="00BE3A6E">
        <w:rPr>
          <w:rFonts w:ascii="Verdana" w:eastAsia="Calibri" w:hAnsi="Verdana" w:cs="Arial"/>
          <w:color w:val="000000" w:themeColor="text1"/>
          <w:lang w:val="es-ES"/>
        </w:rPr>
        <w:t xml:space="preserve"> explica que las entidades –tanto las sometidas como exceptuadas de la Ley 80 de 1993– tienen las siguientes opciones: </w:t>
      </w:r>
    </w:p>
    <w:p w14:paraId="25C174DD" w14:textId="77777777" w:rsidR="00766AAE" w:rsidRPr="00BE3A6E" w:rsidRDefault="00766AAE" w:rsidP="00766AAE">
      <w:pPr>
        <w:spacing w:after="0" w:line="276" w:lineRule="auto"/>
        <w:ind w:firstLine="708"/>
        <w:jc w:val="both"/>
        <w:rPr>
          <w:rFonts w:ascii="Verdana" w:eastAsia="Calibri" w:hAnsi="Verdana" w:cs="Arial"/>
          <w:color w:val="000000" w:themeColor="text1"/>
          <w:lang w:val="es-ES"/>
        </w:rPr>
      </w:pPr>
    </w:p>
    <w:p w14:paraId="09AD16D8" w14:textId="77777777" w:rsidR="00766AAE" w:rsidRPr="00BE3A6E" w:rsidRDefault="00766AAE" w:rsidP="00766AAE">
      <w:pPr>
        <w:spacing w:after="120" w:line="240" w:lineRule="auto"/>
        <w:ind w:left="709" w:right="709"/>
        <w:jc w:val="both"/>
        <w:rPr>
          <w:rFonts w:ascii="Verdana" w:eastAsia="Calibri" w:hAnsi="Verdana" w:cs="Arial"/>
          <w:color w:val="000000" w:themeColor="text1"/>
          <w:sz w:val="21"/>
          <w:szCs w:val="21"/>
          <w:lang w:val="es-ES"/>
        </w:rPr>
      </w:pPr>
      <w:r w:rsidRPr="00BE3A6E">
        <w:rPr>
          <w:rFonts w:ascii="Verdana" w:eastAsia="Calibri" w:hAnsi="Verdana" w:cs="Arial"/>
          <w:color w:val="000000" w:themeColor="text1"/>
          <w:sz w:val="21"/>
          <w:szCs w:val="21"/>
          <w:lang w:val="es-ES"/>
        </w:rPr>
        <w:t>“(i) En los estudios previos que sustentan la contratación: a) tipificar, estimar y asignar los riesgos para prevenir actos de corrupción; b) contemplar las medidas tendientes a verificar las calidades de los proponentes o futuros contratistas;</w:t>
      </w:r>
    </w:p>
    <w:p w14:paraId="5052226A" w14:textId="77777777" w:rsidR="00766AAE" w:rsidRPr="00BE3A6E" w:rsidRDefault="00766AAE" w:rsidP="00766AAE">
      <w:pPr>
        <w:spacing w:after="120" w:line="240" w:lineRule="auto"/>
        <w:ind w:left="709" w:right="709"/>
        <w:jc w:val="both"/>
        <w:rPr>
          <w:rFonts w:ascii="Verdana" w:eastAsia="Calibri" w:hAnsi="Verdana" w:cs="Arial"/>
          <w:color w:val="000000" w:themeColor="text1"/>
          <w:sz w:val="21"/>
          <w:szCs w:val="21"/>
          <w:lang w:val="es-ES"/>
        </w:rPr>
      </w:pPr>
      <w:r w:rsidRPr="00BE3A6E">
        <w:rPr>
          <w:rFonts w:ascii="Verdana" w:eastAsia="Calibri" w:hAnsi="Verdana" w:cs="Arial"/>
          <w:color w:val="000000" w:themeColor="text1"/>
          <w:sz w:val="21"/>
          <w:szCs w:val="21"/>
          <w:lang w:val="es-ES"/>
        </w:rPr>
        <w:t>(</w:t>
      </w:r>
      <w:proofErr w:type="spellStart"/>
      <w:r w:rsidRPr="00BE3A6E">
        <w:rPr>
          <w:rFonts w:ascii="Verdana" w:eastAsia="Calibri" w:hAnsi="Verdana" w:cs="Arial"/>
          <w:color w:val="000000" w:themeColor="text1"/>
          <w:sz w:val="21"/>
          <w:szCs w:val="21"/>
          <w:lang w:val="es-ES"/>
        </w:rPr>
        <w:t>ii</w:t>
      </w:r>
      <w:proofErr w:type="spellEnd"/>
      <w:r w:rsidRPr="00BE3A6E">
        <w:rPr>
          <w:rFonts w:ascii="Verdana" w:eastAsia="Calibri" w:hAnsi="Verdana" w:cs="Arial"/>
          <w:color w:val="000000" w:themeColor="text1"/>
          <w:sz w:val="21"/>
          <w:szCs w:val="21"/>
          <w:lang w:val="es-ES"/>
        </w:rPr>
        <w:t>) En los pliegos de condiciones y como parte integrante de la oferta: a) exigir la suscripción de “pactos o compromisos de integridad” y de la “declaración de origen de fondos”; b) identificar plenamente al proponente y verificar los datos pertinentes, de acuerdo con la prerrogativa de la entidad, y c) señalar expresamente que uno de los riesgos asociados al contrato es el de corrupción, el cual se relaciona directamente con el riesgo financiero y, en consecuencia, exigir garantías suficientes que permitan mantener cubierta a la entidad en relación con este riesgo;</w:t>
      </w:r>
    </w:p>
    <w:p w14:paraId="79FF18B4" w14:textId="77777777" w:rsidR="00766AAE" w:rsidRPr="00BE3A6E" w:rsidRDefault="00766AAE" w:rsidP="00766AAE">
      <w:pPr>
        <w:spacing w:after="0" w:line="240" w:lineRule="auto"/>
        <w:ind w:left="709" w:right="709"/>
        <w:jc w:val="both"/>
        <w:rPr>
          <w:rFonts w:ascii="Verdana" w:eastAsia="Calibri" w:hAnsi="Verdana" w:cs="Arial"/>
          <w:color w:val="000000" w:themeColor="text1"/>
          <w:sz w:val="21"/>
          <w:szCs w:val="21"/>
          <w:lang w:val="es-ES"/>
        </w:rPr>
      </w:pPr>
      <w:r w:rsidRPr="00BE3A6E">
        <w:rPr>
          <w:rFonts w:ascii="Verdana" w:eastAsia="Calibri" w:hAnsi="Verdana" w:cs="Arial"/>
          <w:color w:val="000000" w:themeColor="text1"/>
          <w:sz w:val="21"/>
          <w:szCs w:val="21"/>
          <w:lang w:val="es-ES"/>
        </w:rPr>
        <w:t>(</w:t>
      </w:r>
      <w:proofErr w:type="spellStart"/>
      <w:r w:rsidRPr="00BE3A6E">
        <w:rPr>
          <w:rFonts w:ascii="Verdana" w:eastAsia="Calibri" w:hAnsi="Verdana" w:cs="Arial"/>
          <w:color w:val="000000" w:themeColor="text1"/>
          <w:sz w:val="21"/>
          <w:szCs w:val="21"/>
          <w:lang w:val="es-ES"/>
        </w:rPr>
        <w:t>iii</w:t>
      </w:r>
      <w:proofErr w:type="spellEnd"/>
      <w:r w:rsidRPr="00BE3A6E">
        <w:rPr>
          <w:rFonts w:ascii="Verdana" w:eastAsia="Calibri" w:hAnsi="Verdana" w:cs="Arial"/>
          <w:color w:val="000000" w:themeColor="text1"/>
          <w:sz w:val="21"/>
          <w:szCs w:val="21"/>
          <w:lang w:val="es-ES"/>
        </w:rPr>
        <w:t>) En las cláusulas contractuales: a) incorporar la obligación a cargo del contratista de reportar periódicamente su información societaria, financiera y comercial, así como la modificación del estado de los mencionados riesgos; b) con el fin de proteger los intereses de la administración, incluir condiciones resolutorias expresas por hechos u omisiones que, aunque no estén tipificadas como causales de inhabilidad o incompatibilidad impliquen por parte del contratista o de las personas vinculadas a él actos de corrupción u otras circunstancias de las cuales se derive el aumento considerable de los riesgos para la entidad contratante o que vulneren los principios de la contratación estatal; c) estipular multas en los términos expuestos en este concepto”</w:t>
      </w:r>
      <w:r w:rsidRPr="00BE3A6E">
        <w:rPr>
          <w:rStyle w:val="Refdenotaalpie"/>
          <w:rFonts w:ascii="Verdana" w:eastAsia="Calibri" w:hAnsi="Verdana" w:cs="Arial"/>
          <w:color w:val="000000" w:themeColor="text1"/>
          <w:sz w:val="21"/>
          <w:szCs w:val="21"/>
          <w:lang w:val="es-ES"/>
        </w:rPr>
        <w:footnoteReference w:id="3"/>
      </w:r>
      <w:r w:rsidRPr="00BE3A6E">
        <w:rPr>
          <w:rFonts w:ascii="Verdana" w:eastAsia="Calibri" w:hAnsi="Verdana" w:cs="Arial"/>
          <w:color w:val="000000" w:themeColor="text1"/>
          <w:sz w:val="21"/>
          <w:szCs w:val="21"/>
          <w:lang w:val="es-ES"/>
        </w:rPr>
        <w:t>.</w:t>
      </w:r>
    </w:p>
    <w:p w14:paraId="4A63B1F8" w14:textId="77777777" w:rsidR="00766AAE" w:rsidRPr="00BE3A6E" w:rsidRDefault="00766AAE" w:rsidP="00766AAE">
      <w:pPr>
        <w:spacing w:after="0" w:line="276" w:lineRule="auto"/>
        <w:ind w:left="709" w:right="709"/>
        <w:jc w:val="both"/>
        <w:rPr>
          <w:rFonts w:ascii="Verdana" w:eastAsia="Calibri" w:hAnsi="Verdana" w:cs="Arial"/>
          <w:color w:val="000000" w:themeColor="text1"/>
          <w:lang w:val="es-ES"/>
        </w:rPr>
      </w:pPr>
    </w:p>
    <w:p w14:paraId="6DAF453E" w14:textId="77777777" w:rsidR="00766AAE" w:rsidRPr="00BE3A6E" w:rsidRDefault="00766AAE" w:rsidP="00766AAE">
      <w:pPr>
        <w:spacing w:after="120" w:line="276" w:lineRule="auto"/>
        <w:ind w:firstLine="709"/>
        <w:jc w:val="both"/>
        <w:rPr>
          <w:rFonts w:ascii="Verdana" w:eastAsia="Calibri" w:hAnsi="Verdana" w:cs="Arial"/>
          <w:color w:val="000000" w:themeColor="text1"/>
          <w:lang w:val="es-ES"/>
        </w:rPr>
      </w:pPr>
      <w:r w:rsidRPr="00BE3A6E">
        <w:rPr>
          <w:rFonts w:ascii="Verdana" w:eastAsia="Calibri" w:hAnsi="Verdana" w:cs="Arial"/>
          <w:color w:val="000000" w:themeColor="text1"/>
          <w:lang w:val="es-ES"/>
        </w:rPr>
        <w:lastRenderedPageBreak/>
        <w:t xml:space="preserve">En virtud de lo anterior, puede concluirse que el SARLAFT constituye una </w:t>
      </w:r>
      <w:r w:rsidRPr="00BE3A6E">
        <w:rPr>
          <w:rFonts w:ascii="Verdana" w:eastAsia="Calibri" w:hAnsi="Verdana" w:cs="Arial"/>
          <w:i/>
          <w:iCs/>
          <w:color w:val="000000" w:themeColor="text1"/>
          <w:lang w:val="es-ES"/>
        </w:rPr>
        <w:t>política de manejo del riesgo</w:t>
      </w:r>
      <w:r w:rsidRPr="00BE3A6E">
        <w:rPr>
          <w:rFonts w:ascii="Verdana" w:eastAsia="Calibri" w:hAnsi="Verdana" w:cs="Arial"/>
          <w:color w:val="000000" w:themeColor="text1"/>
          <w:lang w:val="es-ES"/>
        </w:rPr>
        <w:t xml:space="preserve">, en el marco de los procesos de debida diligencia, la cual hace referencia a una validación establecida en la gestión interna del riesgo crítico de la organización, donde se busca el aseguramiento en las relaciones contractuales con sus contrapartes. Dicho aseguramiento se busca en materia de prevención de los riesgos asociados al lavado de activos, financiación del terrorismo y la proliferación de armas de destrucción masiva, donde las compañías están expuestas a los riesgos de reputación, legales, operacionales y de contagio que afectarían ostensiblemente cualquier organización y la continuidad en la ejecución de una actividad contractual. </w:t>
      </w:r>
    </w:p>
    <w:p w14:paraId="780046AB" w14:textId="77777777" w:rsidR="00766AAE" w:rsidRPr="00BE3A6E" w:rsidRDefault="00766AAE" w:rsidP="00766AAE">
      <w:pPr>
        <w:spacing w:after="120" w:line="276" w:lineRule="auto"/>
        <w:ind w:firstLine="709"/>
        <w:jc w:val="both"/>
        <w:rPr>
          <w:rFonts w:ascii="Verdana" w:eastAsia="Calibri" w:hAnsi="Verdana" w:cs="Arial"/>
          <w:lang w:val="es-ES"/>
        </w:rPr>
      </w:pPr>
      <w:r w:rsidRPr="00BE3A6E">
        <w:rPr>
          <w:rFonts w:ascii="Verdana" w:eastAsia="Calibri" w:hAnsi="Verdana" w:cs="Arial"/>
          <w:lang w:val="es-ES"/>
        </w:rPr>
        <w:t>Sin perjuicio de otras medidas que adopte la entidad que adelanta el proceso de selección, el alcance, oportunidad y metodología para el análisis del riesgo de lavado de activos y de la financiación del terrorismo en el marco de los procesos regidos por el EGCAP debe seguir</w:t>
      </w:r>
      <w:r w:rsidRPr="00BE3A6E">
        <w:rPr>
          <w:rFonts w:ascii="Verdana" w:eastAsia="Calibri" w:hAnsi="Verdana" w:cs="Arial"/>
          <w:i/>
          <w:iCs/>
          <w:lang w:val="es-ES"/>
        </w:rPr>
        <w:t xml:space="preserve"> las condiciones antes referidas por la Sala de Consulta y Servicio Civil en el Concepto del 27 de agosto de 2015</w:t>
      </w:r>
      <w:r w:rsidRPr="00BE3A6E">
        <w:rPr>
          <w:rFonts w:ascii="Verdana" w:eastAsia="Calibri" w:hAnsi="Verdana" w:cs="Arial"/>
          <w:lang w:val="es-ES"/>
        </w:rPr>
        <w:t xml:space="preserve">. Es importante resaltar que ninguna de las medidas que sugiere el Consejo de Estado incluye la consagración de causales de rechazo con tintes habilitantes ni la posibilidad de terminar unilateralmente los contratos. Respecto al riesgo de corrupción, sumado a las medidas previstas en el artículo 9 del EGCAP y de la Ley 1150 de 2007, siempre que se configure el supuesto de la inhabilidad del literal j) del artículo 8.1 de la Ley 80 de 1993, podrá aplicarse la causal de terminación unilateral del artículo 44.1 </w:t>
      </w:r>
      <w:r w:rsidRPr="00BE3A6E">
        <w:rPr>
          <w:rFonts w:ascii="Verdana" w:eastAsia="Calibri" w:hAnsi="Verdana" w:cs="Arial"/>
          <w:i/>
          <w:iCs/>
          <w:lang w:val="es-ES"/>
        </w:rPr>
        <w:t>ibidem</w:t>
      </w:r>
      <w:r w:rsidRPr="00BE3A6E">
        <w:rPr>
          <w:rFonts w:ascii="Verdana" w:eastAsia="Calibri" w:hAnsi="Verdana" w:cs="Arial"/>
          <w:lang w:val="es-ES"/>
        </w:rPr>
        <w:t xml:space="preserve">. </w:t>
      </w:r>
    </w:p>
    <w:p w14:paraId="3DA404BC" w14:textId="77777777" w:rsidR="00766AAE" w:rsidRPr="00BE3A6E" w:rsidRDefault="00766AAE" w:rsidP="00766AAE">
      <w:pPr>
        <w:spacing w:after="120" w:line="276" w:lineRule="auto"/>
        <w:ind w:firstLine="709"/>
        <w:jc w:val="both"/>
        <w:rPr>
          <w:rFonts w:ascii="Verdana" w:hAnsi="Verdana" w:cs="Arial"/>
          <w:color w:val="000000" w:themeColor="text1"/>
          <w:lang w:val="es-ES"/>
        </w:rPr>
      </w:pPr>
      <w:r w:rsidRPr="00BE3A6E">
        <w:rPr>
          <w:rFonts w:ascii="Verdana" w:eastAsia="Calibri" w:hAnsi="Verdana" w:cs="Arial"/>
          <w:lang w:val="es-ES"/>
        </w:rPr>
        <w:t>E</w:t>
      </w:r>
      <w:r w:rsidRPr="00BE3A6E">
        <w:rPr>
          <w:rFonts w:ascii="Verdana" w:hAnsi="Verdana"/>
          <w:lang w:val="es-ES"/>
        </w:rPr>
        <w:t>l carácter reconocidamente taxativo y restrictivo de</w:t>
      </w:r>
      <w:r>
        <w:rPr>
          <w:rFonts w:ascii="Verdana" w:hAnsi="Verdana"/>
          <w:lang w:val="es-ES"/>
        </w:rPr>
        <w:t>l</w:t>
      </w:r>
      <w:r w:rsidRPr="00BE3A6E">
        <w:rPr>
          <w:rFonts w:ascii="Verdana" w:hAnsi="Verdana"/>
          <w:lang w:val="es-ES"/>
        </w:rPr>
        <w:t xml:space="preserve"> régimen de inhabilidades implica que las entidades públicas no pueden establecer en el pliego de condiciones causales de inhabilidad o incompatibilidad no previstas en la Constitución o en la ley. En consecuencia, al tratarse de una materia que tiene reserva legal, no es posible que una entidad establezca nuevas causales que afecten la capacidad para contratar con el Estado que se encuentren relacionadas con el tema objeto de consulta, ni siquiera haciéndolas pasar como causa para rechazar los ofrecimientos realizados. Tampoco podrán proceder a la terminación unilateral del contrato con ocasión a la inclusión del contratista en las señaladas lista</w:t>
      </w:r>
      <w:r>
        <w:rPr>
          <w:rFonts w:ascii="Verdana" w:hAnsi="Verdana"/>
          <w:lang w:val="es-ES"/>
        </w:rPr>
        <w:t>s</w:t>
      </w:r>
      <w:r w:rsidRPr="00BE3A6E">
        <w:rPr>
          <w:rFonts w:ascii="Verdana" w:hAnsi="Verdana"/>
          <w:lang w:val="es-ES"/>
        </w:rPr>
        <w:t xml:space="preserve"> restrictivas, teniendo en cuenta que este supuesto no fue contemplado en </w:t>
      </w:r>
      <w:r w:rsidRPr="00BE3A6E">
        <w:rPr>
          <w:rFonts w:ascii="Verdana" w:hAnsi="Verdana" w:cs="Arial"/>
          <w:color w:val="000000" w:themeColor="text1"/>
          <w:lang w:val="es-ES"/>
        </w:rPr>
        <w:t>los artículos 17 y 45 del EGCAP.</w:t>
      </w:r>
    </w:p>
    <w:p w14:paraId="58566874" w14:textId="77777777" w:rsidR="00766AAE" w:rsidRPr="00BE3A6E" w:rsidRDefault="00766AAE" w:rsidP="00766AAE">
      <w:pPr>
        <w:spacing w:after="120" w:line="276" w:lineRule="auto"/>
        <w:ind w:firstLine="708"/>
        <w:jc w:val="both"/>
        <w:rPr>
          <w:rFonts w:ascii="Verdana" w:hAnsi="Verdana" w:cs="Arial"/>
          <w:color w:val="000000" w:themeColor="text1"/>
          <w:lang w:val="es-ES"/>
        </w:rPr>
      </w:pPr>
      <w:r w:rsidRPr="00BE3A6E">
        <w:rPr>
          <w:rFonts w:ascii="Verdana" w:hAnsi="Verdana"/>
          <w:lang w:val="es-ES"/>
        </w:rPr>
        <w:t xml:space="preserve">Por otra parte, </w:t>
      </w:r>
      <w:r w:rsidRPr="00BE3A6E">
        <w:rPr>
          <w:rFonts w:ascii="Verdana" w:hAnsi="Verdana" w:cs="Arial"/>
          <w:color w:val="000000" w:themeColor="text1"/>
          <w:lang w:val="es-ES"/>
        </w:rPr>
        <w:t>el artículo 17 de la Ley 80 de 1993, así como los numerales 1, 2, y 4 del artículo 44 en concordancia el inciso segundo de</w:t>
      </w:r>
      <w:r>
        <w:rPr>
          <w:rFonts w:ascii="Verdana" w:hAnsi="Verdana" w:cs="Arial"/>
          <w:color w:val="000000" w:themeColor="text1"/>
          <w:lang w:val="es-ES"/>
        </w:rPr>
        <w:t>l</w:t>
      </w:r>
      <w:r w:rsidRPr="00BE3A6E">
        <w:rPr>
          <w:rFonts w:ascii="Verdana" w:hAnsi="Verdana" w:cs="Arial"/>
          <w:color w:val="000000" w:themeColor="text1"/>
          <w:lang w:val="es-ES"/>
        </w:rPr>
        <w:t xml:space="preserve"> artículo 45 del </w:t>
      </w:r>
      <w:r w:rsidRPr="00BE3A6E">
        <w:rPr>
          <w:rFonts w:ascii="Verdana" w:hAnsi="Verdana" w:cs="Arial"/>
          <w:color w:val="000000" w:themeColor="text1"/>
          <w:lang w:val="es-ES"/>
        </w:rPr>
        <w:lastRenderedPageBreak/>
        <w:t>Estatuto General de Contratación de la Administración Pública (EGCAP) establece</w:t>
      </w:r>
      <w:r>
        <w:rPr>
          <w:rFonts w:ascii="Verdana" w:hAnsi="Verdana" w:cs="Arial"/>
          <w:color w:val="000000" w:themeColor="text1"/>
          <w:lang w:val="es-ES"/>
        </w:rPr>
        <w:t>n</w:t>
      </w:r>
      <w:r w:rsidRPr="00BE3A6E">
        <w:rPr>
          <w:rFonts w:ascii="Verdana" w:hAnsi="Verdana" w:cs="Arial"/>
          <w:color w:val="000000" w:themeColor="text1"/>
          <w:lang w:val="es-ES"/>
        </w:rPr>
        <w:t xml:space="preserve"> expresamente los eventos en los cuales procede la </w:t>
      </w:r>
      <w:r w:rsidRPr="00BE3A6E">
        <w:rPr>
          <w:rFonts w:ascii="Verdana" w:hAnsi="Verdana" w:cs="Arial"/>
          <w:i/>
          <w:iCs/>
          <w:color w:val="000000" w:themeColor="text1"/>
          <w:lang w:val="es-ES"/>
        </w:rPr>
        <w:t>terminación unilateral</w:t>
      </w:r>
      <w:r w:rsidRPr="00BE3A6E">
        <w:rPr>
          <w:rFonts w:ascii="Verdana" w:hAnsi="Verdana" w:cs="Arial"/>
          <w:color w:val="000000" w:themeColor="text1"/>
          <w:lang w:val="es-ES"/>
        </w:rPr>
        <w:t xml:space="preserve"> del contrato</w:t>
      </w:r>
      <w:r w:rsidRPr="00BE3A6E">
        <w:rPr>
          <w:rStyle w:val="Refdenotaalpie"/>
          <w:rFonts w:ascii="Verdana" w:hAnsi="Verdana" w:cs="Arial"/>
          <w:color w:val="000000" w:themeColor="text1"/>
          <w:lang w:val="es-ES"/>
        </w:rPr>
        <w:footnoteReference w:id="4"/>
      </w:r>
      <w:r w:rsidRPr="00BE3A6E">
        <w:rPr>
          <w:rFonts w:ascii="Verdana" w:hAnsi="Verdana" w:cs="Arial"/>
          <w:color w:val="000000" w:themeColor="text1"/>
          <w:lang w:val="es-ES"/>
        </w:rPr>
        <w:t>. Adicionalmente, el inciso primero del artículo 13 de la Ley 80 de 1993 dispone que “Los contratos que celebren las entidades a que se refiere el artículo 2o. del presente estatuto se regirán por las disposiciones comerciales y civiles pertinentes, salvo en las materias particularmente reguladas en esta ley”. En consecuencia, dado que la terminación unilateral tiene regulación especial en los artículos 17 y 45 del EGCAP, las causales aplicables son de interpretación restrictiva. Ya que ninguna de las causales de terminación unilateral establecidas en la Ley 80 de 1993 se relaciona con los controles derivados del SARLAFT</w:t>
      </w:r>
      <w:r w:rsidRPr="00BE3A6E">
        <w:rPr>
          <w:rStyle w:val="Refdenotaalpie"/>
          <w:rFonts w:ascii="Verdana" w:hAnsi="Verdana" w:cs="Arial"/>
          <w:color w:val="000000" w:themeColor="text1"/>
          <w:lang w:val="es-ES"/>
        </w:rPr>
        <w:footnoteReference w:id="5"/>
      </w:r>
      <w:r w:rsidRPr="00BE3A6E">
        <w:rPr>
          <w:rFonts w:ascii="Verdana" w:hAnsi="Verdana" w:cs="Arial"/>
          <w:color w:val="000000" w:themeColor="text1"/>
          <w:lang w:val="es-ES"/>
        </w:rPr>
        <w:t xml:space="preserve"> y que las potestades exorbitantes de las entidades públicas se rigen por el principio de legalidad, el ejercicio de la autonomía de la voluntad no les permite adicionar causales que den lugar a la terminación unilateral como resultado de que el contratista sea incluido, por ejemplo, en una lista restrictiva internacional que no surta dichos efectos en Colombia, como es el caso de la denominada Lista Clinton.</w:t>
      </w:r>
    </w:p>
    <w:p w14:paraId="05F200E9" w14:textId="77777777" w:rsidR="00766AAE" w:rsidRPr="00BE3A6E" w:rsidRDefault="00766AAE" w:rsidP="00766AAE">
      <w:pPr>
        <w:spacing w:after="120" w:line="276" w:lineRule="auto"/>
        <w:ind w:firstLine="709"/>
        <w:jc w:val="both"/>
        <w:rPr>
          <w:rFonts w:ascii="Verdana" w:eastAsia="Calibri" w:hAnsi="Verdana" w:cs="Arial"/>
          <w:lang w:val="es-ES"/>
        </w:rPr>
      </w:pPr>
      <w:r w:rsidRPr="00BE3A6E">
        <w:rPr>
          <w:rFonts w:ascii="Verdana" w:eastAsia="Calibri" w:hAnsi="Verdana" w:cs="Arial"/>
          <w:lang w:val="es-ES"/>
        </w:rPr>
        <w:lastRenderedPageBreak/>
        <w:t>En este marco, las denominadas listas restrictivas internacionales, como es el caso de OFAC</w:t>
      </w:r>
      <w:r w:rsidRPr="00BE3A6E">
        <w:rPr>
          <w:rStyle w:val="Refdenotaalpie"/>
          <w:rFonts w:ascii="Verdana" w:eastAsia="Calibri" w:hAnsi="Verdana" w:cs="Arial"/>
          <w:lang w:val="es-ES"/>
        </w:rPr>
        <w:footnoteReference w:id="6"/>
      </w:r>
      <w:r w:rsidRPr="00BE3A6E">
        <w:rPr>
          <w:rFonts w:ascii="Verdana" w:eastAsia="Calibri" w:hAnsi="Verdana" w:cs="Arial"/>
          <w:lang w:val="es-ES"/>
        </w:rPr>
        <w:t xml:space="preserve">, ONU o UE, pueden ser mecanismos de consulta de información que activen deberes de diligencia adicionales en cabeza de las entidades contratantes. Como lo precisó esta Agencia en el concepto C-1449 de 2025, el alcance de la consulta en dichas listas, como es el caso de la Lista Clinton, no genera inhabilidad ni justifica la terminación unilateral del contrato, pero puede activar verificaciones adicionales. </w:t>
      </w:r>
    </w:p>
    <w:p w14:paraId="3019AB29" w14:textId="77777777" w:rsidR="00766AAE" w:rsidRPr="00BE3A6E" w:rsidRDefault="00766AAE" w:rsidP="00766AAE">
      <w:pPr>
        <w:spacing w:after="120" w:line="276" w:lineRule="auto"/>
        <w:ind w:firstLine="709"/>
        <w:jc w:val="both"/>
        <w:rPr>
          <w:rFonts w:ascii="Verdana" w:eastAsia="Calibri" w:hAnsi="Verdana" w:cs="Arial"/>
          <w:lang w:val="es-ES"/>
        </w:rPr>
      </w:pPr>
      <w:r w:rsidRPr="00BE3A6E">
        <w:rPr>
          <w:rFonts w:ascii="Verdana" w:eastAsia="Calibri" w:hAnsi="Verdana" w:cs="Arial"/>
          <w:lang w:val="es-ES"/>
        </w:rPr>
        <w:t>En efecto, las entidades pueden, dentro del marco definido por el Consejo de Estado, incorporar en los estudios previos la tipificación de los riesgos de corrupción y LA/FT como categorías explícitas en la matriz de riesgos del proceso, definiendo el nivel de diligencia que ejercerán sobre los proponentes; con base en este análisis, podrán luego exigir las garantías correspondientes. Durante la fase precontractual será necesario que la entidad realice la revisión sistemática y oportuna de listas nacionales con el fin de verificar la presencia de inhabilidades, así como la implementación de mecanismos para la verificación de situaciones de control, conforme con lo dispuesto en el Decreto 1600 de 2024, y la identificación del beneficiario final</w:t>
      </w:r>
      <w:r>
        <w:rPr>
          <w:rFonts w:ascii="Verdana" w:eastAsia="Calibri" w:hAnsi="Verdana" w:cs="Arial"/>
          <w:lang w:val="es-ES"/>
        </w:rPr>
        <w:t>,</w:t>
      </w:r>
      <w:r w:rsidRPr="00BE3A6E">
        <w:rPr>
          <w:rFonts w:ascii="Verdana" w:eastAsia="Calibri" w:hAnsi="Verdana" w:cs="Arial"/>
          <w:lang w:val="es-ES"/>
        </w:rPr>
        <w:t xml:space="preserve"> según lo establecido en la Ley 2195 de 2022. La entidad deberá verificar el estado de las inhabilidades durante la suscripción y ejecución del contrato, con el fin de descartar la configuración de causales sobrevinientes, y adoptar las medidas de renuncia o cesión que la ley establece según el caso. Las entidades también pueden incluir obligaciones contractuales sobre el reporte periódico de información que resulte relevante para identificar potenciales inhabilidades o la materialización de dichos riesgos, así como mecanismos de respuesta, como es el caso de multas o condiciones resolutorias.</w:t>
      </w:r>
    </w:p>
    <w:p w14:paraId="63C8066E" w14:textId="77777777" w:rsidR="00766AAE" w:rsidRPr="00BE3A6E" w:rsidRDefault="00766AAE" w:rsidP="00766AAE">
      <w:pPr>
        <w:spacing w:after="120" w:line="276" w:lineRule="auto"/>
        <w:ind w:firstLine="709"/>
        <w:jc w:val="both"/>
        <w:rPr>
          <w:rFonts w:ascii="Verdana" w:eastAsia="Calibri" w:hAnsi="Verdana" w:cs="Arial"/>
          <w:lang w:val="es-ES"/>
        </w:rPr>
      </w:pPr>
      <w:r w:rsidRPr="00BE3A6E">
        <w:rPr>
          <w:rFonts w:ascii="Verdana" w:eastAsia="Calibri" w:hAnsi="Verdana" w:cs="Arial"/>
          <w:lang w:val="es-ES"/>
        </w:rPr>
        <w:t xml:space="preserve">Con lo anterior, la entidad puede determinar acciones y metodologías oportunas y apropiadas que resultan acordes con el principio de legalidad y de selección objetiva, pues las medidas establecidas por el Consejo de Estado incluyen la tipificación previa de los riesgos de corrupción y LA/FT; la consagración expresa de mecanismos de verificación en los documentos del proceso, como es el caso de exigir declaraciones de origen lícito de fondos, de </w:t>
      </w:r>
      <w:r w:rsidRPr="00BE3A6E">
        <w:rPr>
          <w:rFonts w:ascii="Verdana" w:eastAsia="Calibri" w:hAnsi="Verdana" w:cs="Arial"/>
          <w:lang w:val="es-ES"/>
        </w:rPr>
        <w:lastRenderedPageBreak/>
        <w:t>beneficiario final o la suscripción de pactos de integridad; y la incorporación en el contrato de cláusulas para la gestión de dichos riesgos, como las condiciones resolut</w:t>
      </w:r>
      <w:r>
        <w:rPr>
          <w:rFonts w:ascii="Verdana" w:eastAsia="Calibri" w:hAnsi="Verdana" w:cs="Arial"/>
          <w:lang w:val="es-ES"/>
        </w:rPr>
        <w:t>orias</w:t>
      </w:r>
      <w:r w:rsidRPr="00BE3A6E">
        <w:rPr>
          <w:rFonts w:ascii="Verdana" w:eastAsia="Calibri" w:hAnsi="Verdana" w:cs="Arial"/>
          <w:lang w:val="es-ES"/>
        </w:rPr>
        <w:t xml:space="preserve"> de carácter convencional que pueden pactar las partes con sustento en el principio de buena fe y el artículo 3 de la Ley 80 de 1993. Adicionalmente, tanto la postura de esta Agencia como del Consejo de Estado es clara en que la consulta de listas restrictivas puede activar medidas de debida diligencia en el marco de lo establecido por la entidad, sin que esto implique la potestad de incluir causales de terminación unilateral, de inhabilidad o de rechazo que afecten la capacidad para contratar con el Estado y no hayan sido previstas en la Constitución o en la ley.</w:t>
      </w:r>
    </w:p>
    <w:p w14:paraId="0BAB8F31" w14:textId="77777777" w:rsidR="00766AAE" w:rsidRPr="00BE3A6E" w:rsidRDefault="00766AAE" w:rsidP="00766AAE">
      <w:pPr>
        <w:spacing w:after="120" w:line="276" w:lineRule="auto"/>
        <w:ind w:firstLine="709"/>
        <w:jc w:val="both"/>
        <w:rPr>
          <w:rFonts w:ascii="Verdana" w:eastAsia="Calibri" w:hAnsi="Verdana" w:cs="Arial"/>
          <w:lang w:val="es-ES"/>
        </w:rPr>
      </w:pPr>
      <w:r w:rsidRPr="00BE3A6E">
        <w:rPr>
          <w:rFonts w:ascii="Verdana" w:hAnsi="Verdana" w:cs="Arial"/>
          <w:color w:val="000000" w:themeColor="text1"/>
          <w:lang w:val="es-ES"/>
        </w:rPr>
        <w:t xml:space="preserve">Lo anterior también es aplicable en el caso de las entidades que se encuentren vigiladas por la Superintendencia Financiera, en el sentido que no podrán determinar causales de inhabilidad o rechazo relacionadas con el tema objeto de consulta, sin que el supuesto haya sido contemplado por la ley. Corresponderá a cada una de estas entidades analizar el marco jurídico aplicable al caso concreto y determinar si existe alguna causal o restricción que pueda dar lugar a limitar la participación de proponentes que hayan sido incluidos en las listas referidas. Por otra parte, las entidades deberán determinar si la inclusión en este tipo de listas supone el incumplimiento de otros requisitos, por ejemplo, relacionados con la capacidad financiera o jurídica de los proponentes, caso en el cual podría ocasionar el rechazo de sus ofertas con base en el incumplimiento de los requisitos habilitantes exigidos. </w:t>
      </w:r>
    </w:p>
    <w:p w14:paraId="4FA10D7D" w14:textId="77777777" w:rsidR="00766AAE" w:rsidRPr="008900F6" w:rsidRDefault="00766AAE" w:rsidP="00766AAE">
      <w:pPr>
        <w:spacing w:after="0" w:line="276" w:lineRule="auto"/>
        <w:contextualSpacing/>
        <w:jc w:val="both"/>
        <w:rPr>
          <w:rFonts w:ascii="Verdana" w:eastAsia="Calibri" w:hAnsi="Verdana"/>
          <w:lang w:val="es-ES"/>
        </w:rPr>
      </w:pPr>
      <w:proofErr w:type="spellStart"/>
      <w:r w:rsidRPr="00BE3A6E">
        <w:rPr>
          <w:rFonts w:ascii="Verdana" w:eastAsia="Calibri" w:hAnsi="Verdana" w:cs="Arial"/>
          <w:lang w:val="es-ES"/>
        </w:rPr>
        <w:t>ii</w:t>
      </w:r>
      <w:proofErr w:type="spellEnd"/>
      <w:r w:rsidRPr="00BE3A6E">
        <w:rPr>
          <w:rFonts w:ascii="Verdana" w:eastAsia="Calibri" w:hAnsi="Verdana" w:cs="Arial"/>
          <w:lang w:val="es-ES"/>
        </w:rPr>
        <w:t>)</w:t>
      </w:r>
      <w:r>
        <w:rPr>
          <w:rFonts w:ascii="Verdana" w:eastAsia="Calibri" w:hAnsi="Verdana"/>
          <w:lang w:val="es-ES"/>
        </w:rPr>
        <w:t xml:space="preserve"> Sin perjuicio de lo expuesto</w:t>
      </w:r>
      <w:r w:rsidRPr="008900F6">
        <w:rPr>
          <w:rFonts w:ascii="Verdana" w:eastAsia="Calibri" w:hAnsi="Verdana"/>
          <w:lang w:val="es-ES"/>
        </w:rPr>
        <w:t xml:space="preserve">, </w:t>
      </w:r>
      <w:r>
        <w:rPr>
          <w:rFonts w:ascii="Verdana" w:eastAsia="Calibri" w:hAnsi="Verdana"/>
          <w:lang w:val="es-ES"/>
        </w:rPr>
        <w:t xml:space="preserve">es importante resaltar que </w:t>
      </w:r>
      <w:r w:rsidRPr="008900F6">
        <w:rPr>
          <w:rFonts w:ascii="Verdana" w:eastAsia="Calibri" w:hAnsi="Verdana"/>
          <w:lang w:val="es-ES"/>
        </w:rPr>
        <w:t xml:space="preserve">las causales de rechazo son las establecidas en la ley y </w:t>
      </w:r>
      <w:r>
        <w:rPr>
          <w:rFonts w:ascii="Verdana" w:eastAsia="Calibri" w:hAnsi="Verdana"/>
          <w:lang w:val="es-ES"/>
        </w:rPr>
        <w:t>aquellas</w:t>
      </w:r>
      <w:r w:rsidRPr="008900F6">
        <w:rPr>
          <w:rFonts w:ascii="Verdana" w:eastAsia="Calibri" w:hAnsi="Verdana"/>
          <w:lang w:val="es-ES"/>
        </w:rPr>
        <w:t xml:space="preserve"> </w:t>
      </w:r>
      <w:r>
        <w:rPr>
          <w:rFonts w:ascii="Verdana" w:eastAsia="Calibri" w:hAnsi="Verdana"/>
          <w:lang w:val="es-ES"/>
        </w:rPr>
        <w:t xml:space="preserve">que fije </w:t>
      </w:r>
      <w:r w:rsidRPr="008900F6">
        <w:rPr>
          <w:rFonts w:ascii="Verdana" w:eastAsia="Calibri" w:hAnsi="Verdana"/>
          <w:lang w:val="es-ES"/>
        </w:rPr>
        <w:t>la Entidad Estatal en los pliegos de condiciones o documento equivalente. Sin embargo, en el ejercicio de dicha facultad, a las entidades no les es dable fijar causales de rechazo que soslayen o afecten la selección objetiva en la contratación. Sobre el particular, el Consejo de Estado</w:t>
      </w:r>
      <w:r w:rsidRPr="008900F6">
        <w:rPr>
          <w:rFonts w:ascii="Verdana" w:eastAsia="Calibri" w:hAnsi="Verdana" w:cs="Arial"/>
          <w:i/>
          <w:iCs/>
          <w:vertAlign w:val="superscript"/>
        </w:rPr>
        <w:footnoteReference w:id="7"/>
      </w:r>
      <w:r w:rsidRPr="008900F6">
        <w:rPr>
          <w:rFonts w:ascii="Verdana" w:eastAsia="Calibri" w:hAnsi="Verdana" w:cs="Arial"/>
          <w:sz w:val="24"/>
          <w:szCs w:val="24"/>
        </w:rPr>
        <w:t xml:space="preserve"> </w:t>
      </w:r>
      <w:r w:rsidRPr="008900F6">
        <w:rPr>
          <w:rFonts w:ascii="Verdana" w:eastAsia="Calibri" w:hAnsi="Verdana"/>
          <w:lang w:val="es-ES"/>
        </w:rPr>
        <w:t>señaló:</w:t>
      </w:r>
    </w:p>
    <w:p w14:paraId="708F4136" w14:textId="77777777" w:rsidR="00766AAE" w:rsidRPr="008900F6" w:rsidRDefault="00766AAE" w:rsidP="00766AAE">
      <w:pPr>
        <w:spacing w:after="0" w:line="276" w:lineRule="auto"/>
        <w:ind w:left="720"/>
        <w:contextualSpacing/>
        <w:jc w:val="both"/>
        <w:rPr>
          <w:rFonts w:ascii="Verdana" w:eastAsia="Calibri" w:hAnsi="Verdana"/>
          <w:lang w:val="es-ES"/>
        </w:rPr>
      </w:pPr>
    </w:p>
    <w:p w14:paraId="42C5956D" w14:textId="77777777" w:rsidR="00766AAE" w:rsidRPr="008900F6" w:rsidRDefault="00766AAE" w:rsidP="00766AAE">
      <w:pPr>
        <w:spacing w:after="0" w:line="240" w:lineRule="auto"/>
        <w:ind w:left="426" w:right="616"/>
        <w:contextualSpacing/>
        <w:jc w:val="both"/>
        <w:rPr>
          <w:rFonts w:ascii="Verdana" w:eastAsia="Calibri" w:hAnsi="Verdana"/>
          <w:sz w:val="20"/>
          <w:szCs w:val="20"/>
          <w:lang w:val="es-ES"/>
        </w:rPr>
      </w:pPr>
      <w:r w:rsidRPr="008900F6">
        <w:rPr>
          <w:rFonts w:ascii="Verdana" w:eastAsia="Calibri" w:hAnsi="Verdana"/>
          <w:sz w:val="20"/>
          <w:szCs w:val="20"/>
          <w:lang w:val="es-ES"/>
        </w:rPr>
        <w:t xml:space="preserve">“Quiere con esto destacar la Sala que las causales de rechazo de las propuestas pueden ser legales y por lo mismo generan el efecto del descarte o exclusión de la oferta </w:t>
      </w:r>
      <w:proofErr w:type="spellStart"/>
      <w:r w:rsidRPr="008900F6">
        <w:rPr>
          <w:rFonts w:ascii="Verdana" w:eastAsia="Calibri" w:hAnsi="Verdana"/>
          <w:sz w:val="20"/>
          <w:szCs w:val="20"/>
          <w:lang w:val="es-ES"/>
        </w:rPr>
        <w:t>ope</w:t>
      </w:r>
      <w:proofErr w:type="spellEnd"/>
      <w:r w:rsidRPr="008900F6">
        <w:rPr>
          <w:rFonts w:ascii="Verdana" w:eastAsia="Calibri" w:hAnsi="Verdana"/>
          <w:sz w:val="20"/>
          <w:szCs w:val="20"/>
          <w:lang w:val="es-ES"/>
        </w:rPr>
        <w:t xml:space="preserve"> </w:t>
      </w:r>
      <w:proofErr w:type="spellStart"/>
      <w:r w:rsidRPr="008900F6">
        <w:rPr>
          <w:rFonts w:ascii="Verdana" w:eastAsia="Calibri" w:hAnsi="Verdana"/>
          <w:sz w:val="20"/>
          <w:szCs w:val="20"/>
          <w:lang w:val="es-ES"/>
        </w:rPr>
        <w:t>legis</w:t>
      </w:r>
      <w:proofErr w:type="spellEnd"/>
      <w:r w:rsidRPr="008900F6">
        <w:rPr>
          <w:rFonts w:ascii="Verdana" w:eastAsia="Calibri" w:hAnsi="Verdana"/>
          <w:sz w:val="20"/>
          <w:szCs w:val="20"/>
          <w:lang w:val="es-ES"/>
        </w:rPr>
        <w:t xml:space="preserve">, sin necesidad de que se haga referencia a las mismas en el pliego de condiciones; o también pueden las causales de rechazo de las propuestas ser establecidas expresamente por la entidad en el respectivo pliego de condiciones. Lo cierto es que, sea que las causales de </w:t>
      </w:r>
      <w:r w:rsidRPr="008900F6">
        <w:rPr>
          <w:rFonts w:ascii="Verdana" w:eastAsia="Calibri" w:hAnsi="Verdana"/>
          <w:sz w:val="20"/>
          <w:szCs w:val="20"/>
          <w:lang w:val="es-ES"/>
        </w:rPr>
        <w:lastRenderedPageBreak/>
        <w:t>rechazo de la oferta emanen directamente de la ley o del pliego de condiciones, en uno y en otro caso se refieren a defectos, omisiones o circunstancias impeditivas que permiten deducir que la misma no resulta favorable para los intereses de la entidad y los fines de la contratación y que de soslayarse se comprometería el cumplimiento de los principios de transparencia, economía y responsabilidad, así como el deber de selección objetiva en la contratación”.</w:t>
      </w:r>
    </w:p>
    <w:p w14:paraId="31024426" w14:textId="77777777" w:rsidR="00766AAE" w:rsidRPr="008900F6" w:rsidRDefault="00766AAE" w:rsidP="00766AAE">
      <w:pPr>
        <w:spacing w:after="0" w:line="276" w:lineRule="auto"/>
        <w:ind w:left="720"/>
        <w:contextualSpacing/>
        <w:jc w:val="both"/>
        <w:rPr>
          <w:rFonts w:ascii="Verdana" w:eastAsia="Calibri" w:hAnsi="Verdana"/>
          <w:lang w:val="es-ES"/>
        </w:rPr>
      </w:pPr>
    </w:p>
    <w:p w14:paraId="3EFD3F92" w14:textId="77777777" w:rsidR="00766AAE" w:rsidRPr="008900F6" w:rsidRDefault="00766AAE" w:rsidP="00766AAE">
      <w:pPr>
        <w:spacing w:after="0" w:line="276" w:lineRule="auto"/>
        <w:ind w:firstLine="426"/>
        <w:contextualSpacing/>
        <w:jc w:val="both"/>
        <w:rPr>
          <w:rFonts w:ascii="Verdana" w:eastAsia="Calibri" w:hAnsi="Verdana"/>
          <w:lang w:val="es-ES"/>
        </w:rPr>
      </w:pPr>
      <w:r w:rsidRPr="008900F6">
        <w:rPr>
          <w:rFonts w:ascii="Verdana" w:eastAsia="Calibri" w:hAnsi="Verdana"/>
          <w:lang w:val="es-ES"/>
        </w:rPr>
        <w:t>Esta entidad ha reiterado la postura del Consejo de Estado, según la cual, por la naturaleza propia de las causales de rechazo, su aplicación es estricta y restrictiva, lo que significa que su interpretación gramatical prevale sobre una interpretación extensiva o de otra índole, mediante la cual se pretenda ampliar su alcance. Sobre el particular el Alto Tribunal Administrativo</w:t>
      </w:r>
      <w:r w:rsidRPr="008900F6">
        <w:rPr>
          <w:rFonts w:ascii="Verdana" w:eastAsia="Calibri" w:hAnsi="Verdana" w:cs="Arial"/>
          <w:i/>
          <w:vertAlign w:val="superscript"/>
        </w:rPr>
        <w:footnoteReference w:id="8"/>
      </w:r>
      <w:r w:rsidRPr="008900F6">
        <w:rPr>
          <w:rFonts w:ascii="Verdana" w:eastAsia="Calibri" w:hAnsi="Verdana"/>
          <w:lang w:val="es-ES"/>
        </w:rPr>
        <w:t>, sostuvo:</w:t>
      </w:r>
    </w:p>
    <w:p w14:paraId="147C8EBF" w14:textId="77777777" w:rsidR="00766AAE" w:rsidRPr="008900F6" w:rsidRDefault="00766AAE" w:rsidP="00766AAE">
      <w:pPr>
        <w:spacing w:after="0" w:line="276" w:lineRule="auto"/>
        <w:ind w:left="720"/>
        <w:contextualSpacing/>
        <w:jc w:val="both"/>
        <w:rPr>
          <w:rFonts w:ascii="Verdana" w:eastAsia="Calibri" w:hAnsi="Verdana"/>
          <w:lang w:val="es-ES"/>
        </w:rPr>
      </w:pPr>
    </w:p>
    <w:p w14:paraId="097CEC8A" w14:textId="77777777" w:rsidR="00766AAE" w:rsidRPr="008900F6" w:rsidRDefault="00766AAE" w:rsidP="00766AAE">
      <w:pPr>
        <w:spacing w:after="0" w:line="240" w:lineRule="auto"/>
        <w:ind w:left="567" w:right="616"/>
        <w:contextualSpacing/>
        <w:jc w:val="both"/>
        <w:rPr>
          <w:rFonts w:ascii="Verdana" w:eastAsia="Calibri" w:hAnsi="Verdana"/>
          <w:lang w:val="es-ES"/>
        </w:rPr>
      </w:pPr>
      <w:r w:rsidRPr="008900F6">
        <w:rPr>
          <w:rFonts w:ascii="Verdana" w:eastAsia="Calibri" w:hAnsi="Verdana"/>
          <w:sz w:val="20"/>
          <w:szCs w:val="20"/>
          <w:lang w:val="es-ES"/>
        </w:rPr>
        <w:t>“En esta línea de pensamiento, resulta claro que el rechazo o la descalificación de ofertas no puede depender de la libre discrecionalidad de la administración, en la medida en que el oferente, por el hecho de participar en el proceso licitatorio, adquiere el derecho de participar en el procedimiento de selección y se genera para él una situación jurídica particular; en consecuencia, para rechazar o descalificar una propuesta, la entidad pública debe sujetarse a determinadas reglas consistentes en que las causales que dan lugar a ello se encuentren previamente establecidas en la ley, deriven del incumplimiento de requisitos de la propuesta o de la omisión de documentos referentes a la futura contratación que sean necesarios para la comparación de las propuestas, de conformidad con lo establecido en el numeral 15 del artículo 25 de la Ley 80 de 1993, puesto que la causa excluyente debe ser razonable, esencial y proporcionada, toda vez que no tendría justificación excluir una propuesta por una deficiencia que no tenga incidencia alguna en la contratación”.</w:t>
      </w:r>
    </w:p>
    <w:p w14:paraId="188B119F" w14:textId="77777777" w:rsidR="00766AAE" w:rsidRPr="008900F6" w:rsidRDefault="00766AAE" w:rsidP="00766AAE">
      <w:pPr>
        <w:spacing w:after="0" w:line="276" w:lineRule="auto"/>
        <w:ind w:left="720"/>
        <w:contextualSpacing/>
        <w:jc w:val="both"/>
        <w:rPr>
          <w:rFonts w:ascii="Verdana" w:eastAsia="Calibri" w:hAnsi="Verdana"/>
          <w:lang w:val="es-ES"/>
        </w:rPr>
      </w:pPr>
    </w:p>
    <w:p w14:paraId="2A2FD00A" w14:textId="77777777" w:rsidR="00766AAE" w:rsidRDefault="00766AAE" w:rsidP="00766AAE">
      <w:pPr>
        <w:spacing w:after="120" w:line="276" w:lineRule="auto"/>
        <w:ind w:firstLine="709"/>
        <w:jc w:val="both"/>
        <w:rPr>
          <w:rFonts w:ascii="Verdana" w:eastAsia="Calibri" w:hAnsi="Verdana" w:cs="Arial"/>
          <w:lang w:val="es-ES"/>
        </w:rPr>
      </w:pPr>
      <w:r w:rsidRPr="008900F6">
        <w:rPr>
          <w:rFonts w:ascii="Verdana" w:eastAsia="Calibri" w:hAnsi="Verdana" w:cs="Arial"/>
          <w:lang w:val="es-ES"/>
        </w:rPr>
        <w:t xml:space="preserve">Ahora bien, debe precisarse que el numeral 3 del artículo 3 de la Ley 1437 de 2011 prescribe que “[e]n virtud del principio de imparcialidad, las autoridades deberán actuar teniendo en cuenta que la finalidad de los procedimientos consiste en asegurar y garantizar los derechos de todas las personas sin discriminación alguna y sin tener en consideración factores de afecto o de interés y, en general, cualquier clase de motivación subjetiva”. Esta directriz es de especial relevancia en materia de contratación estatal, ya que –en virtud del artículo 77 de la Ley 80 de 1993 y el artículo 13 de la Ley 1150 de 2007– se </w:t>
      </w:r>
      <w:r w:rsidRPr="008900F6">
        <w:rPr>
          <w:rFonts w:ascii="Verdana" w:eastAsia="Calibri" w:hAnsi="Verdana" w:cs="Arial"/>
          <w:lang w:val="es-ES"/>
        </w:rPr>
        <w:lastRenderedPageBreak/>
        <w:t>integra tanto al régimen de las entidades sometidas al Estatuto General de Contratación de la Administración Pública como al de las exceptuadas de este, guardando una estrecha relación con el principio de selección objetiva.</w:t>
      </w:r>
    </w:p>
    <w:p w14:paraId="074CC9DB" w14:textId="77777777" w:rsidR="00766AAE" w:rsidRPr="008900F6" w:rsidRDefault="00766AAE" w:rsidP="00766AAE">
      <w:pPr>
        <w:spacing w:after="120" w:line="276" w:lineRule="auto"/>
        <w:ind w:firstLine="709"/>
        <w:jc w:val="both"/>
        <w:rPr>
          <w:rFonts w:ascii="Verdana" w:eastAsia="Calibri" w:hAnsi="Verdana" w:cs="Arial"/>
          <w:lang w:val="es-ES"/>
        </w:rPr>
      </w:pPr>
      <w:r w:rsidRPr="005F396E">
        <w:rPr>
          <w:rFonts w:ascii="Verdana" w:eastAsia="Calibri" w:hAnsi="Verdana" w:cs="Arial"/>
          <w:lang w:val="es-ES"/>
        </w:rPr>
        <w:t>Dichos principios tienen un papel relevante en la elaboración de los pliegos de condiciones o documentos equivalentes, pues si bien las entidades tienen un margen de autonomía para definir algunos aspectos del futuro negocio, las causales de rechazo de las propuestas deben ser razonables, bien porque algunas de éstas se encuentren previstas en el ordenamiento o porque conducen a que no se adjudique el contrato al proponente que no cumple con los requisitos técnicos y económicos para su ejecución. En esta medida, dichas causales no deben fundamentarse en el simple capricho o el mero arbitrio, lo cual –</w:t>
      </w:r>
      <w:r w:rsidRPr="008900F6">
        <w:rPr>
          <w:rFonts w:ascii="Verdana" w:eastAsia="Calibri" w:hAnsi="Verdana" w:cs="Arial"/>
          <w:lang w:val="es-ES"/>
        </w:rPr>
        <w:t>además de contrariar los principios analizados– limita la participación.</w:t>
      </w:r>
    </w:p>
    <w:p w14:paraId="27E88F35" w14:textId="77777777" w:rsidR="00766AAE" w:rsidRPr="001B641F" w:rsidRDefault="00766AAE" w:rsidP="00766AAE">
      <w:pPr>
        <w:spacing w:after="120" w:line="276" w:lineRule="auto"/>
        <w:ind w:firstLine="709"/>
        <w:jc w:val="both"/>
        <w:rPr>
          <w:rFonts w:ascii="Verdana" w:eastAsia="Calibri" w:hAnsi="Verdana" w:cs="Arial"/>
          <w:lang w:val="es-ES"/>
        </w:rPr>
      </w:pPr>
      <w:r w:rsidRPr="005F396E">
        <w:rPr>
          <w:rFonts w:ascii="Verdana" w:eastAsia="Calibri" w:hAnsi="Verdana" w:cs="Arial"/>
          <w:lang w:val="es-ES"/>
        </w:rPr>
        <w:t>De esta forma, puede colegirse que las causales de rechazo de la oferta deben emanar directamente de la ley o del pliego de condiciones, pero en uno y en otro caso deberán guardan relación con defectos, omisiones o circunstancias impeditivas que permitan deducir que la oferta no resulta favorable para los intereses de la entidad, en los términos del inciso 1 del artículo 5 de la Ley 1150 de 2007. En otras palabras, la determinación de las causales</w:t>
      </w:r>
      <w:r w:rsidRPr="008900F6">
        <w:rPr>
          <w:rFonts w:ascii="Verdana" w:eastAsia="Calibri" w:hAnsi="Verdana"/>
          <w:lang w:val="es-ES"/>
        </w:rPr>
        <w:t xml:space="preserve"> de rechazo, no pueden fundamentarse en consideraciones subjetivas, que conviertan dichas causales en inhabilidades para participar en los procesos de selección.</w:t>
      </w:r>
    </w:p>
    <w:p w14:paraId="1FCAA405" w14:textId="77777777" w:rsidR="00766AAE" w:rsidRPr="00965C36" w:rsidRDefault="00766AAE" w:rsidP="00766AAE">
      <w:pPr>
        <w:spacing w:after="120" w:line="276" w:lineRule="auto"/>
        <w:ind w:firstLine="708"/>
        <w:jc w:val="both"/>
        <w:rPr>
          <w:rFonts w:ascii="Verdana" w:eastAsia="Aptos" w:hAnsi="Verdana" w:cs="Times New Roman"/>
          <w:kern w:val="2"/>
          <w14:ligatures w14:val="standardContextual"/>
        </w:rPr>
      </w:pPr>
      <w:r>
        <w:rPr>
          <w:rFonts w:ascii="Verdana" w:eastAsia="Calibri" w:hAnsi="Verdana" w:cs="Arial"/>
          <w:bCs/>
          <w:lang w:eastAsia="es-ES_tradnl"/>
        </w:rPr>
        <w:t xml:space="preserve">Frente a los </w:t>
      </w:r>
      <w:proofErr w:type="gramStart"/>
      <w:r>
        <w:rPr>
          <w:rFonts w:ascii="Verdana" w:eastAsia="Calibri" w:hAnsi="Verdana" w:cs="Arial"/>
          <w:bCs/>
          <w:lang w:eastAsia="es-ES_tradnl"/>
        </w:rPr>
        <w:t>posible reportes</w:t>
      </w:r>
      <w:proofErr w:type="gramEnd"/>
      <w:r>
        <w:rPr>
          <w:rFonts w:ascii="Verdana" w:eastAsia="Calibri" w:hAnsi="Verdana" w:cs="Arial"/>
          <w:bCs/>
          <w:lang w:eastAsia="es-ES_tradnl"/>
        </w:rPr>
        <w:t xml:space="preserve"> de oferentes en listas de lucha contra el terrorismo</w:t>
      </w:r>
      <w:r w:rsidRPr="007D4A74">
        <w:rPr>
          <w:rFonts w:ascii="Verdana" w:eastAsia="Calibri" w:hAnsi="Verdana" w:cs="Arial"/>
          <w:color w:val="000000" w:themeColor="text1"/>
        </w:rPr>
        <w:t>, las entidades pueden evaluar la adopción de medidas</w:t>
      </w:r>
      <w:r>
        <w:rPr>
          <w:rFonts w:ascii="Verdana" w:eastAsia="Calibri" w:hAnsi="Verdana" w:cs="Arial"/>
          <w:color w:val="000000" w:themeColor="text1"/>
        </w:rPr>
        <w:t xml:space="preserve"> en el marco del proceso de contratación</w:t>
      </w:r>
      <w:r w:rsidRPr="007D4A74">
        <w:rPr>
          <w:rFonts w:ascii="Verdana" w:eastAsia="Calibri" w:hAnsi="Verdana" w:cs="Arial"/>
          <w:color w:val="000000" w:themeColor="text1"/>
        </w:rPr>
        <w:t>, las cuales pueden consistir en establecer cau</w:t>
      </w:r>
      <w:r>
        <w:rPr>
          <w:rFonts w:ascii="Verdana" w:eastAsia="Calibri" w:hAnsi="Verdana" w:cs="Arial"/>
          <w:color w:val="000000" w:themeColor="text1"/>
        </w:rPr>
        <w:t>s</w:t>
      </w:r>
      <w:r w:rsidRPr="007D4A74">
        <w:rPr>
          <w:rFonts w:ascii="Verdana" w:eastAsia="Calibri" w:hAnsi="Verdana" w:cs="Arial"/>
          <w:color w:val="000000" w:themeColor="text1"/>
        </w:rPr>
        <w:t xml:space="preserve">ales de rechazo. A través de la Sentencia del 4 de junio de 2008, Exp. 17783, con ponencia de la Magistrada Myriam Guerrero de Escobar, la Sección Tercera del Consejo de Estado  explica que las causales de rechazo deben estar previamente establecidas en el bloque de legalidad o derivar del incumplimiento de requisitos de la propuesta o de la omisión de documentos referentes a la futura contratación que sean necesarios para compararla: la causal debe ser razonable, esencial, proporcionada y derivar de un proceso de evaluación ajustado a la ley y el pliego de condiciones, cuyos resultados deben ser conocidos por los proponentes y sus competidores para garantizar la posibilidad de controvertirlos. Por ello, </w:t>
      </w:r>
      <w:r>
        <w:rPr>
          <w:rFonts w:ascii="Verdana" w:eastAsia="Calibri" w:hAnsi="Verdana" w:cs="Arial"/>
          <w:color w:val="000000" w:themeColor="text1"/>
        </w:rPr>
        <w:t xml:space="preserve">las entidades deben evaluar si frente a las características propias del proceso el reporte en las listas objeto de consulta es </w:t>
      </w:r>
      <w:r w:rsidRPr="007D4A74">
        <w:rPr>
          <w:rFonts w:ascii="Verdana" w:eastAsia="Calibri" w:hAnsi="Verdana" w:cs="Arial"/>
          <w:color w:val="000000" w:themeColor="text1"/>
        </w:rPr>
        <w:t xml:space="preserve">perjudicial </w:t>
      </w:r>
      <w:r>
        <w:rPr>
          <w:rFonts w:ascii="Verdana" w:eastAsia="Calibri" w:hAnsi="Verdana" w:cs="Arial"/>
          <w:color w:val="000000" w:themeColor="text1"/>
        </w:rPr>
        <w:t xml:space="preserve">a los intereses </w:t>
      </w:r>
      <w:r>
        <w:rPr>
          <w:rFonts w:ascii="Verdana" w:eastAsia="Calibri" w:hAnsi="Verdana" w:cs="Arial"/>
          <w:color w:val="000000" w:themeColor="text1"/>
        </w:rPr>
        <w:lastRenderedPageBreak/>
        <w:t xml:space="preserve">de </w:t>
      </w:r>
      <w:r w:rsidRPr="007D4A74">
        <w:rPr>
          <w:rFonts w:ascii="Verdana" w:eastAsia="Calibri" w:hAnsi="Verdana" w:cs="Arial"/>
          <w:color w:val="000000" w:themeColor="text1"/>
        </w:rPr>
        <w:t>la entidad</w:t>
      </w:r>
      <w:r>
        <w:rPr>
          <w:rFonts w:ascii="Verdana" w:eastAsia="Calibri" w:hAnsi="Verdana" w:cs="Arial"/>
          <w:color w:val="000000" w:themeColor="text1"/>
        </w:rPr>
        <w:t xml:space="preserve">, contraviene el interés general y fundamenta la formulación de eventuales </w:t>
      </w:r>
      <w:r w:rsidRPr="007D4A74">
        <w:rPr>
          <w:rFonts w:ascii="Verdana" w:eastAsia="Calibri" w:hAnsi="Verdana" w:cs="Arial"/>
          <w:i/>
          <w:iCs/>
          <w:color w:val="000000" w:themeColor="text1"/>
        </w:rPr>
        <w:t>causales de</w:t>
      </w:r>
      <w:r>
        <w:rPr>
          <w:rFonts w:ascii="Verdana" w:eastAsia="Calibri" w:hAnsi="Verdana" w:cs="Arial"/>
          <w:i/>
          <w:iCs/>
          <w:color w:val="000000" w:themeColor="text1"/>
        </w:rPr>
        <w:t xml:space="preserve"> rechazo</w:t>
      </w:r>
      <w:r w:rsidRPr="007D4A74">
        <w:rPr>
          <w:rFonts w:ascii="Verdana" w:eastAsia="Calibri" w:hAnsi="Verdana" w:cs="Arial"/>
          <w:color w:val="000000" w:themeColor="text1"/>
        </w:rPr>
        <w:t>. Al respecto, la doctrina explica que:</w:t>
      </w:r>
    </w:p>
    <w:p w14:paraId="3C031D66" w14:textId="77777777" w:rsidR="00766AAE" w:rsidRPr="007D4A74" w:rsidRDefault="00766AAE" w:rsidP="00766AAE">
      <w:pPr>
        <w:spacing w:after="120" w:line="240" w:lineRule="auto"/>
        <w:ind w:left="709" w:right="709"/>
        <w:jc w:val="both"/>
        <w:rPr>
          <w:rFonts w:ascii="Verdana" w:eastAsia="Calibri" w:hAnsi="Verdana" w:cs="Arial"/>
          <w:color w:val="000000" w:themeColor="text1"/>
          <w:sz w:val="20"/>
          <w:szCs w:val="20"/>
        </w:rPr>
      </w:pPr>
      <w:r w:rsidRPr="007D4A74">
        <w:rPr>
          <w:rFonts w:ascii="Verdana" w:eastAsia="Calibri" w:hAnsi="Verdana" w:cs="Arial"/>
          <w:color w:val="000000" w:themeColor="text1"/>
          <w:sz w:val="20"/>
          <w:szCs w:val="20"/>
        </w:rPr>
        <w:t>“Lo anterior es acorde con la naturaleza y finalidad de las causales de rechazo, ya que se encuentran estipuladas directamente en la ley o se fundamentan en ella, y se refieren a: ‘…defectos omisiones o circunstancias que permiten deducir que la [oferta] no resulta favorable a los intereses de la entidad y los fines de la contratación y que de soslayarse se comprometería el cumplimiento de los principios de transparencia, economía responsabilidad, así como el deber de selección objetiva en la contratación’ (Consejo de Estado, 27 de abril de 2011).</w:t>
      </w:r>
    </w:p>
    <w:p w14:paraId="2BB0AB82" w14:textId="6AB078A8" w:rsidR="00766AAE" w:rsidRPr="00471ED8" w:rsidRDefault="00766AAE" w:rsidP="00471ED8">
      <w:pPr>
        <w:spacing w:after="120" w:line="240" w:lineRule="auto"/>
        <w:ind w:left="709" w:right="709"/>
        <w:jc w:val="both"/>
        <w:rPr>
          <w:rFonts w:ascii="Verdana" w:eastAsia="Calibri" w:hAnsi="Verdana" w:cs="Arial"/>
          <w:color w:val="000000" w:themeColor="text1"/>
          <w:sz w:val="20"/>
          <w:szCs w:val="20"/>
        </w:rPr>
      </w:pPr>
      <w:r w:rsidRPr="007D4A74">
        <w:rPr>
          <w:rFonts w:ascii="Verdana" w:eastAsia="Calibri" w:hAnsi="Verdana" w:cs="Arial"/>
          <w:color w:val="000000" w:themeColor="text1"/>
          <w:sz w:val="20"/>
          <w:szCs w:val="20"/>
        </w:rPr>
        <w:t>Las entidades deberán asegurar que las causales establecidas garanticen la objetividad, se fundamenten en la protección del interés general y estén respaldadas por los principios de libre concurrencia, igualdad y el deber de selección objetiva, de modo que no sean producto de un capricho del operador jurídico. En los casos en que la causal no tenga este sustento, podrá ser descartada por el juez administrativo”</w:t>
      </w:r>
      <w:r w:rsidRPr="007D4A74">
        <w:rPr>
          <w:rStyle w:val="Refdenotaalpie"/>
          <w:rFonts w:ascii="Verdana" w:eastAsia="Calibri" w:hAnsi="Verdana" w:cs="Arial"/>
          <w:color w:val="000000" w:themeColor="text1"/>
          <w:sz w:val="20"/>
          <w:szCs w:val="20"/>
        </w:rPr>
        <w:footnoteReference w:id="9"/>
      </w:r>
      <w:r w:rsidRPr="007D4A74">
        <w:rPr>
          <w:rFonts w:ascii="Verdana" w:eastAsia="Calibri" w:hAnsi="Verdana" w:cs="Arial"/>
          <w:color w:val="000000" w:themeColor="text1"/>
          <w:sz w:val="20"/>
          <w:szCs w:val="20"/>
        </w:rPr>
        <w:t>.</w:t>
      </w:r>
    </w:p>
    <w:p w14:paraId="33B063E2" w14:textId="77777777" w:rsidR="00766AAE" w:rsidRPr="00B15B78" w:rsidRDefault="00766AAE" w:rsidP="00766AAE">
      <w:pPr>
        <w:spacing w:after="120" w:line="276" w:lineRule="auto"/>
        <w:ind w:firstLine="709"/>
        <w:jc w:val="both"/>
        <w:rPr>
          <w:rFonts w:ascii="Verdana" w:eastAsia="Calibri" w:hAnsi="Verdana" w:cs="Arial"/>
          <w:color w:val="000000" w:themeColor="text1"/>
        </w:rPr>
      </w:pPr>
      <w:r>
        <w:rPr>
          <w:rFonts w:ascii="Verdana" w:eastAsia="Calibri" w:hAnsi="Verdana" w:cs="Arial"/>
          <w:bCs/>
          <w:color w:val="000000" w:themeColor="text1"/>
          <w:lang w:val="es-ES"/>
        </w:rPr>
        <w:t>Lo anterior se evidencia, por ejemplo, en supuestos en los cuales la entidad adelante aun proceso para contratar armamento, software u otros bienes o servicios relacionados con la seguridad nacional en los cuales un proponente resulte reportado en l</w:t>
      </w:r>
      <w:r w:rsidRPr="00C273B3">
        <w:rPr>
          <w:rFonts w:ascii="Verdana" w:eastAsia="Calibri" w:hAnsi="Verdana" w:cs="Arial"/>
          <w:color w:val="000000" w:themeColor="text1"/>
        </w:rPr>
        <w:t>istas aplicables en Colombia en materia de Financiación del Terrorismo</w:t>
      </w:r>
      <w:r>
        <w:rPr>
          <w:rFonts w:ascii="Verdana" w:eastAsia="Calibri" w:hAnsi="Verdana" w:cs="Arial"/>
          <w:color w:val="000000" w:themeColor="text1"/>
        </w:rPr>
        <w:t xml:space="preserve">, como es el caso de </w:t>
      </w:r>
      <w:r w:rsidRPr="00C273B3">
        <w:rPr>
          <w:rFonts w:ascii="Verdana" w:eastAsia="Calibri" w:hAnsi="Verdana" w:cs="Arial"/>
          <w:color w:val="000000" w:themeColor="text1"/>
        </w:rPr>
        <w:t>Listas del Consejo de Seguridad de las Naciones Unidas (ONU), listas de terroristas de los Estados Unidos, listas de organizaciones terroristas de la Unión Europea y/o listas de personas terroristas de la Unión Europea adoptadas por el Gobierno Nacional</w:t>
      </w:r>
      <w:r>
        <w:rPr>
          <w:rFonts w:ascii="Verdana" w:eastAsia="Calibri" w:hAnsi="Verdana" w:cs="Arial"/>
          <w:color w:val="000000" w:themeColor="text1"/>
        </w:rPr>
        <w:t xml:space="preserve">. En este supuesto, la entidad puede evidenciar un alto riesgo de que la oferta no resulte favorable a sus intereses, a los fines de la contratación y a la protección del interés general, lo cual puede sustentar la inclusión de causales de rechazo en el pliego de condiciones. En cualquier caso, esta evaluación deberá tener en cuenta lo expresado previamente en este concepto con respecto a la imposibilidad de implementar causales que supongan en realidad la creación de una causal de inhabilidad que el legislador no dispuso. </w:t>
      </w:r>
    </w:p>
    <w:p w14:paraId="10F49DC9" w14:textId="77777777" w:rsidR="00766AAE" w:rsidRPr="00BE3A6E" w:rsidRDefault="00766AAE" w:rsidP="00766AAE">
      <w:pPr>
        <w:spacing w:after="120" w:line="276" w:lineRule="auto"/>
        <w:ind w:firstLine="709"/>
        <w:jc w:val="both"/>
        <w:rPr>
          <w:rFonts w:ascii="Verdana" w:eastAsia="Calibri" w:hAnsi="Verdana" w:cs="Arial"/>
          <w:lang w:val="es-ES"/>
        </w:rPr>
      </w:pPr>
      <w:r w:rsidRPr="00BE3A6E">
        <w:rPr>
          <w:rFonts w:ascii="Verdana" w:eastAsia="Calibri" w:hAnsi="Verdana" w:cs="Arial"/>
          <w:bCs/>
          <w:color w:val="000000" w:themeColor="text1"/>
          <w:lang w:val="es-ES"/>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w:t>
      </w:r>
      <w:r w:rsidRPr="00BE3A6E">
        <w:rPr>
          <w:rFonts w:ascii="Verdana" w:eastAsia="Calibri" w:hAnsi="Verdana" w:cs="Arial"/>
          <w:bCs/>
          <w:color w:val="000000" w:themeColor="text1"/>
          <w:lang w:val="es-ES"/>
        </w:rPr>
        <w:lastRenderedPageBreak/>
        <w:t>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en adoptar la decisión correspondiente y, en caso de conflicto, a las autoridades judiciales, fiscales y disciplinarias.</w:t>
      </w:r>
    </w:p>
    <w:p w14:paraId="1355E2D7" w14:textId="77777777" w:rsidR="00766AAE" w:rsidRPr="00BE3A6E" w:rsidRDefault="00766AAE" w:rsidP="00766AAE">
      <w:pPr>
        <w:spacing w:after="120" w:line="276" w:lineRule="auto"/>
        <w:ind w:firstLine="708"/>
        <w:jc w:val="both"/>
        <w:rPr>
          <w:rFonts w:ascii="Verdana" w:hAnsi="Verdana" w:cs="Arial"/>
          <w:lang w:val="es-ES"/>
        </w:rPr>
      </w:pPr>
      <w:r w:rsidRPr="00BE3A6E">
        <w:rPr>
          <w:rFonts w:ascii="Verdana" w:eastAsia="Calibri" w:hAnsi="Verdana" w:cs="Arial"/>
          <w:bCs/>
          <w:color w:val="000000" w:themeColor="text1"/>
          <w:lang w:val="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60EC1C22" w14:textId="77777777" w:rsidR="00766AAE" w:rsidRPr="00BE3A6E" w:rsidRDefault="00766AAE" w:rsidP="00766AA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BE3A6E">
        <w:rPr>
          <w:rFonts w:ascii="Verdana" w:eastAsia="Century Gothic" w:hAnsi="Verdana" w:cs="Century Gothic"/>
          <w:b/>
          <w:bCs/>
          <w:color w:val="000000" w:themeColor="text1"/>
        </w:rPr>
        <w:t>Referencias normativas, jurisprudenciales y otras fuentes:</w:t>
      </w:r>
    </w:p>
    <w:p w14:paraId="5D002FDF" w14:textId="77777777" w:rsidR="00766AAE" w:rsidRPr="00BE3A6E" w:rsidRDefault="00766AAE" w:rsidP="00766AAE">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766AAE" w:rsidRPr="00BE3A6E" w14:paraId="0CAA6AF5" w14:textId="77777777" w:rsidTr="00EE009D">
        <w:trPr>
          <w:trHeight w:val="870"/>
        </w:trPr>
        <w:tc>
          <w:tcPr>
            <w:tcW w:w="8647" w:type="dxa"/>
          </w:tcPr>
          <w:p w14:paraId="6B3970F3" w14:textId="77777777" w:rsidR="00766AAE" w:rsidRPr="00BE3A6E" w:rsidRDefault="00766AAE" w:rsidP="00EE009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BE3A6E">
              <w:rPr>
                <w:rFonts w:ascii="Verdana" w:eastAsia="Calibri" w:hAnsi="Verdana" w:cs="Arial"/>
                <w:color w:val="000000" w:themeColor="text1"/>
                <w:lang w:val="es-ES"/>
              </w:rPr>
              <w:t>Ley 80 de 1993, artículos 8, 13, 17, 44 y 45.</w:t>
            </w:r>
          </w:p>
          <w:p w14:paraId="15AF0C8C" w14:textId="77777777" w:rsidR="00766AAE" w:rsidRPr="00BE3A6E" w:rsidRDefault="00766AAE" w:rsidP="00EE009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BE3A6E">
              <w:rPr>
                <w:rFonts w:ascii="Verdana" w:eastAsia="Calibri" w:hAnsi="Verdana" w:cs="Arial"/>
                <w:color w:val="000000" w:themeColor="text1"/>
                <w:lang w:val="es-ES"/>
              </w:rPr>
              <w:t>Decreto Ley 663 de 1993, Estatuto Orgánico del Sistema Financiero, artículos 102 y subsiguientes.</w:t>
            </w:r>
          </w:p>
          <w:p w14:paraId="77810A7B" w14:textId="77777777" w:rsidR="00766AAE" w:rsidRPr="00BE3A6E" w:rsidRDefault="00766AAE" w:rsidP="00EE009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BE3A6E">
              <w:rPr>
                <w:rFonts w:ascii="Verdana" w:eastAsia="Calibri" w:hAnsi="Verdana" w:cs="Arial"/>
                <w:color w:val="000000" w:themeColor="text1"/>
                <w:lang w:val="es-ES"/>
              </w:rPr>
              <w:t>Ley 964 de 2005, artículo 22.</w:t>
            </w:r>
          </w:p>
          <w:p w14:paraId="2C7C16A8" w14:textId="77777777" w:rsidR="00766AAE" w:rsidRPr="00BE3A6E" w:rsidRDefault="00766AAE" w:rsidP="00EE009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BE3A6E">
              <w:rPr>
                <w:rFonts w:ascii="Verdana" w:eastAsia="Calibri" w:hAnsi="Verdana" w:cs="Arial"/>
                <w:color w:val="000000" w:themeColor="text1"/>
                <w:lang w:val="es-ES"/>
              </w:rPr>
              <w:t>Ley 526 de 1999, modificada por las Leyes 1121 de 2006, 1621 de 2012 y 1762 de 2015.</w:t>
            </w:r>
          </w:p>
          <w:p w14:paraId="2F7DFC2E" w14:textId="77777777" w:rsidR="00766AAE" w:rsidRPr="00BE3A6E" w:rsidRDefault="00766AAE" w:rsidP="00EE009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BE3A6E">
              <w:rPr>
                <w:rFonts w:ascii="Verdana" w:eastAsia="Calibri" w:hAnsi="Verdana" w:cs="Arial"/>
                <w:color w:val="000000" w:themeColor="text1"/>
                <w:lang w:val="es-ES"/>
              </w:rPr>
              <w:t>Decreto 1497 de 2002, actualmente compilado en el Decreto Único Reglamentario 1068 de 2015 del sector Hacienda y Crédito Público, artículo 2.</w:t>
            </w:r>
          </w:p>
          <w:p w14:paraId="0F403FB0" w14:textId="77777777" w:rsidR="00766AAE" w:rsidRPr="00BE3A6E" w:rsidRDefault="00766AAE" w:rsidP="00EE009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BE3A6E">
              <w:rPr>
                <w:rFonts w:ascii="Verdana" w:hAnsi="Verdana" w:cs="Arial"/>
                <w:lang w:val="es-ES"/>
              </w:rPr>
              <w:t>Consejo De Estado. Sala de Consulta y Servicio Civil. Concepto del 27 de agosto de 2015. Rad. 2.264. C.P. Álvaro Namén Vargas.</w:t>
            </w:r>
          </w:p>
          <w:p w14:paraId="2ED807A6" w14:textId="77777777" w:rsidR="00766AAE" w:rsidRPr="00BE3A6E" w:rsidRDefault="00766AAE" w:rsidP="00EE009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BE3A6E">
              <w:rPr>
                <w:rFonts w:ascii="Verdana" w:hAnsi="Verdana" w:cs="Arial"/>
                <w:color w:val="000000" w:themeColor="text1"/>
                <w:lang w:val="es-ES"/>
              </w:rPr>
              <w:t>Corte Constitucional. Sentencia T-468 de 2003. M.P. Rodrigo Escobar Gil.</w:t>
            </w:r>
          </w:p>
          <w:p w14:paraId="30AA3470" w14:textId="77777777" w:rsidR="00766AAE" w:rsidRPr="00BE3A6E" w:rsidRDefault="00766AAE" w:rsidP="00EE009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BE3A6E">
              <w:rPr>
                <w:rFonts w:ascii="Verdana" w:hAnsi="Verdana"/>
                <w:lang w:val="es-ES"/>
              </w:rPr>
              <w:t xml:space="preserve">Superintendencia Financiera, </w:t>
            </w:r>
            <w:r w:rsidRPr="00BE3A6E">
              <w:rPr>
                <w:rFonts w:ascii="Verdana" w:hAnsi="Verdana" w:cs="Arial"/>
                <w:lang w:val="es-ES" w:eastAsia="es-CO"/>
              </w:rPr>
              <w:t xml:space="preserve">Capítulo IV, Titulo IV, Parte I de la Circular Básica Jurídica, Instrucciones relativas a la Administración del </w:t>
            </w:r>
            <w:r w:rsidRPr="00BE3A6E">
              <w:rPr>
                <w:rFonts w:ascii="Verdana" w:hAnsi="Verdana" w:cs="Arial"/>
                <w:lang w:val="es-ES" w:eastAsia="es-CO"/>
              </w:rPr>
              <w:lastRenderedPageBreak/>
              <w:t>Riesgo de Lavado de Activos y de la Financiación del Terrorismo.</w:t>
            </w:r>
          </w:p>
        </w:tc>
      </w:tr>
    </w:tbl>
    <w:p w14:paraId="00D5EA50" w14:textId="77777777" w:rsidR="00766AAE" w:rsidRPr="00BE3A6E" w:rsidRDefault="00766AAE" w:rsidP="00766AAE">
      <w:pPr>
        <w:widowControl w:val="0"/>
        <w:autoSpaceDE w:val="0"/>
        <w:autoSpaceDN w:val="0"/>
        <w:spacing w:after="0" w:line="276" w:lineRule="auto"/>
        <w:jc w:val="both"/>
        <w:rPr>
          <w:rFonts w:ascii="Verdana" w:hAnsi="Verdana" w:cs="Arial"/>
          <w:color w:val="000000" w:themeColor="text1"/>
          <w:lang w:val="es-ES"/>
        </w:rPr>
      </w:pPr>
    </w:p>
    <w:p w14:paraId="298AA01C" w14:textId="77777777" w:rsidR="00766AAE" w:rsidRPr="00BE3A6E" w:rsidRDefault="00766AAE" w:rsidP="00766AA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BE3A6E">
        <w:rPr>
          <w:rFonts w:ascii="Verdana" w:eastAsia="Century Gothic" w:hAnsi="Verdana" w:cs="Century Gothic"/>
          <w:b/>
          <w:bCs/>
          <w:color w:val="000000" w:themeColor="text1"/>
        </w:rPr>
        <w:t>Doctrina de la Agencia Nacional de Contratación Pública:</w:t>
      </w:r>
    </w:p>
    <w:p w14:paraId="462D099F" w14:textId="77777777" w:rsidR="00766AAE" w:rsidRPr="00BE3A6E" w:rsidRDefault="00766AAE" w:rsidP="00766AAE">
      <w:pPr>
        <w:widowControl w:val="0"/>
        <w:autoSpaceDE w:val="0"/>
        <w:autoSpaceDN w:val="0"/>
        <w:spacing w:after="0" w:line="276" w:lineRule="auto"/>
        <w:jc w:val="both"/>
        <w:rPr>
          <w:rFonts w:ascii="Verdana" w:hAnsi="Verdana" w:cs="Arial"/>
          <w:color w:val="000000" w:themeColor="text1"/>
          <w:lang w:val="es-ES"/>
        </w:rPr>
      </w:pPr>
    </w:p>
    <w:p w14:paraId="48D6E7A0" w14:textId="77777777" w:rsidR="00766AAE" w:rsidRPr="00BE3A6E" w:rsidRDefault="00766AAE" w:rsidP="00766AAE">
      <w:pPr>
        <w:spacing w:line="276" w:lineRule="auto"/>
        <w:jc w:val="both"/>
        <w:rPr>
          <w:rStyle w:val="normaltextrun"/>
          <w:rFonts w:ascii="Verdana" w:eastAsia="Calibri" w:hAnsi="Verdana" w:cs="Arial"/>
          <w:b/>
          <w:bCs/>
          <w:color w:val="000000" w:themeColor="text1"/>
          <w:lang w:val="es-ES" w:eastAsia="es-ES"/>
        </w:rPr>
      </w:pPr>
      <w:r w:rsidRPr="00BE3A6E">
        <w:rPr>
          <w:rStyle w:val="normaltextrun"/>
          <w:rFonts w:ascii="Verdana" w:hAnsi="Verdana" w:cs="Arial"/>
          <w:color w:val="000000" w:themeColor="text1"/>
          <w:shd w:val="clear" w:color="auto" w:fill="FFFFFF"/>
          <w:lang w:val="es-ES"/>
        </w:rPr>
        <w:t>La Agencia Nacional de Contratación Pública – Colombia Compra Eficiente señaló e</w:t>
      </w:r>
      <w:r w:rsidRPr="00BE3A6E">
        <w:rPr>
          <w:rStyle w:val="normaltextrun"/>
          <w:rFonts w:ascii="Verdana" w:hAnsi="Verdana" w:cs="Arial"/>
          <w:shd w:val="clear" w:color="auto" w:fill="FFFFFF"/>
          <w:lang w:val="es-ES"/>
        </w:rPr>
        <w:t xml:space="preserve">n los Conceptos 415140001639 del 17 de junio de 2019, C-001 del 15 de enero de 2020, C-230 del 16 de abril de 2020, C-684 del 24 de noviembre de 2020, C-958 del 13 de febrero de 2023, </w:t>
      </w:r>
      <w:r w:rsidRPr="00BE3A6E">
        <w:rPr>
          <w:rFonts w:ascii="Verdana" w:eastAsia="Calibri" w:hAnsi="Verdana" w:cs="Arial"/>
          <w:lang w:val="es-ES" w:eastAsia="es-ES"/>
        </w:rPr>
        <w:t xml:space="preserve">C–279 del 27 de marzo de 2025 y </w:t>
      </w:r>
      <w:r w:rsidRPr="00BE3A6E">
        <w:rPr>
          <w:rFonts w:ascii="Verdana" w:eastAsia="Calibri" w:hAnsi="Verdana" w:cs="Arial"/>
          <w:color w:val="000000" w:themeColor="text1"/>
          <w:lang w:val="es-ES" w:eastAsia="es-ES"/>
        </w:rPr>
        <w:t>C-1449 del 19 de noviembre de 2025</w:t>
      </w:r>
      <w:r w:rsidRPr="00BE3A6E">
        <w:rPr>
          <w:rFonts w:ascii="Verdana" w:eastAsia="Calibri" w:hAnsi="Verdana" w:cs="Arial"/>
          <w:b/>
          <w:bCs/>
          <w:color w:val="000000" w:themeColor="text1"/>
          <w:lang w:val="es-ES" w:eastAsia="es-ES"/>
        </w:rPr>
        <w:t xml:space="preserve"> </w:t>
      </w:r>
      <w:r w:rsidRPr="00BE3A6E">
        <w:rPr>
          <w:rStyle w:val="normaltextrun"/>
          <w:rFonts w:ascii="Verdana" w:hAnsi="Verdana" w:cs="Arial"/>
          <w:shd w:val="clear" w:color="auto" w:fill="FFFFFF"/>
          <w:lang w:val="es-ES"/>
        </w:rPr>
        <w:t>que la inclusión en la Lista Clinton o los controles del SARLAFT no derivan inhabilidades o incompatibilidades, y que est</w:t>
      </w:r>
      <w:r>
        <w:rPr>
          <w:rStyle w:val="normaltextrun"/>
          <w:rFonts w:ascii="Verdana" w:hAnsi="Verdana" w:cs="Arial"/>
          <w:shd w:val="clear" w:color="auto" w:fill="FFFFFF"/>
          <w:lang w:val="es-ES"/>
        </w:rPr>
        <w:t>a</w:t>
      </w:r>
      <w:r w:rsidRPr="00BE3A6E">
        <w:rPr>
          <w:rStyle w:val="normaltextrun"/>
          <w:rFonts w:ascii="Verdana" w:hAnsi="Verdana" w:cs="Arial"/>
          <w:shd w:val="clear" w:color="auto" w:fill="FFFFFF"/>
          <w:lang w:val="es-ES"/>
        </w:rPr>
        <w:t xml:space="preserve">s no pueden camuflarse como causales de rechazo en los pliegos de condiciones o documentos equivalentes. Asimismo, </w:t>
      </w:r>
      <w:r w:rsidRPr="00BE3A6E">
        <w:rPr>
          <w:rFonts w:ascii="Verdana" w:hAnsi="Verdana" w:cs="Arial"/>
          <w:shd w:val="clear" w:color="auto" w:fill="FFFFFF"/>
          <w:lang w:val="es-ES"/>
        </w:rPr>
        <w:t>se ha pronunciado sobre las causales de rechazo y la terminación unilateral frente al riesgo de lavado de activos en los Conceptos C-419 del 27 de octubre de 2023 y C-494 del 12 de noviembre de 2024</w:t>
      </w:r>
      <w:r w:rsidRPr="00BE3A6E">
        <w:rPr>
          <w:rStyle w:val="normaltextrun"/>
          <w:rFonts w:ascii="Verdana" w:hAnsi="Verdana" w:cs="Arial"/>
          <w:shd w:val="clear" w:color="auto" w:fill="FFFFFF"/>
          <w:lang w:val="es-ES"/>
        </w:rPr>
        <w:t>. Estos y otros conceptos se encuentran disponibles para consulta en el Sistema de relatoría de la Agencia</w:t>
      </w:r>
      <w:r w:rsidRPr="00BE3A6E">
        <w:rPr>
          <w:rFonts w:ascii="Verdana" w:hAnsi="Verdana"/>
          <w:lang w:val="es-ES"/>
        </w:rPr>
        <w:t>, al cual puede accederse a través del siguiente enlace:</w:t>
      </w:r>
      <w:r w:rsidRPr="00BE3A6E">
        <w:rPr>
          <w:rStyle w:val="normaltextrun"/>
          <w:rFonts w:ascii="Verdana" w:hAnsi="Verdana" w:cs="Arial"/>
          <w:shd w:val="clear" w:color="auto" w:fill="FFFFFF"/>
          <w:lang w:val="es-ES"/>
        </w:rPr>
        <w:t xml:space="preserve"> </w:t>
      </w:r>
      <w:hyperlink r:id="rId12" w:history="1">
        <w:r w:rsidRPr="00BE3A6E">
          <w:rPr>
            <w:rStyle w:val="Hipervnculo"/>
            <w:rFonts w:ascii="Verdana" w:hAnsi="Verdana" w:cs="Arial"/>
            <w:shd w:val="clear" w:color="auto" w:fill="FFFFFF"/>
            <w:lang w:val="es-ES"/>
          </w:rPr>
          <w:t>https://relatoria.colombiacompra.gov.co/busqueda/conceptos</w:t>
        </w:r>
      </w:hyperlink>
      <w:r w:rsidRPr="00BE3A6E">
        <w:rPr>
          <w:rStyle w:val="normaltextrun"/>
          <w:rFonts w:ascii="Verdana" w:hAnsi="Verdana" w:cs="Arial"/>
          <w:shd w:val="clear" w:color="auto" w:fill="FFFFFF"/>
          <w:lang w:val="es-ES"/>
        </w:rPr>
        <w:t>.</w:t>
      </w:r>
      <w:r w:rsidRPr="00BE3A6E">
        <w:rPr>
          <w:rStyle w:val="normaltextrun"/>
          <w:rFonts w:ascii="Verdana" w:hAnsi="Verdana" w:cs="Arial"/>
          <w:color w:val="FF0000"/>
          <w:shd w:val="clear" w:color="auto" w:fill="FFFFFF"/>
          <w:lang w:val="es-ES"/>
        </w:rPr>
        <w:t xml:space="preserve"> </w:t>
      </w:r>
    </w:p>
    <w:p w14:paraId="7780B299" w14:textId="77777777" w:rsidR="00766AAE" w:rsidRPr="00BE3A6E" w:rsidRDefault="00766AAE" w:rsidP="00766AAE">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1F5090BE" w14:textId="77777777" w:rsidR="00766AAE" w:rsidRPr="00BE3A6E" w:rsidRDefault="00766AAE" w:rsidP="00766AAE">
      <w:pPr>
        <w:spacing w:after="0" w:line="276" w:lineRule="auto"/>
        <w:jc w:val="both"/>
        <w:rPr>
          <w:rFonts w:ascii="Verdana" w:hAnsi="Verdana"/>
          <w:lang w:val="es-ES"/>
        </w:rPr>
      </w:pPr>
      <w:r w:rsidRPr="00BE3A6E">
        <w:rPr>
          <w:rFonts w:ascii="Verdana" w:hAnsi="Verdana"/>
          <w:lang w:val="es-ES"/>
        </w:rPr>
        <w:t xml:space="preserve">Por último, lo invitamos a seguirnos en las redes sociales en las cuales se difunde información institucional: </w:t>
      </w:r>
    </w:p>
    <w:p w14:paraId="70CD97EC" w14:textId="77777777" w:rsidR="00766AAE" w:rsidRPr="00BE3A6E" w:rsidRDefault="00766AAE" w:rsidP="00766AAE">
      <w:pPr>
        <w:spacing w:after="0" w:line="276" w:lineRule="auto"/>
        <w:jc w:val="both"/>
        <w:rPr>
          <w:rFonts w:ascii="Verdana" w:hAnsi="Verdana"/>
          <w:lang w:val="es-ES"/>
        </w:rPr>
      </w:pPr>
    </w:p>
    <w:p w14:paraId="1A4A1CD7" w14:textId="77777777" w:rsidR="00766AAE" w:rsidRPr="00BE3A6E" w:rsidRDefault="00766AAE" w:rsidP="00766AAE">
      <w:pPr>
        <w:spacing w:after="0" w:line="276" w:lineRule="auto"/>
        <w:jc w:val="both"/>
        <w:rPr>
          <w:rFonts w:ascii="Verdana" w:hAnsi="Verdana"/>
          <w:lang w:val="es-ES"/>
        </w:rPr>
      </w:pPr>
      <w:r w:rsidRPr="00BE3A6E">
        <w:rPr>
          <w:rFonts w:ascii="Verdana" w:hAnsi="Verdana"/>
          <w:lang w:val="es-ES"/>
        </w:rPr>
        <w:t xml:space="preserve">Twitter: </w:t>
      </w:r>
      <w:r w:rsidRPr="00BE3A6E">
        <w:rPr>
          <w:rStyle w:val="Hipervnculo"/>
          <w:rFonts w:ascii="Verdana" w:hAnsi="Verdana" w:cs="Arial"/>
          <w:shd w:val="clear" w:color="auto" w:fill="FFFFFF"/>
          <w:lang w:val="es-ES"/>
        </w:rPr>
        <w:t>@colombiacompra</w:t>
      </w:r>
      <w:r w:rsidRPr="00BE3A6E">
        <w:rPr>
          <w:rFonts w:ascii="Verdana" w:hAnsi="Verdana"/>
          <w:color w:val="4472C4" w:themeColor="accent1"/>
          <w:lang w:val="es-ES"/>
        </w:rPr>
        <w:t xml:space="preserve"> </w:t>
      </w:r>
    </w:p>
    <w:p w14:paraId="2841315C" w14:textId="77777777" w:rsidR="00766AAE" w:rsidRPr="00BE3A6E" w:rsidRDefault="00766AAE" w:rsidP="00766AAE">
      <w:pPr>
        <w:spacing w:after="0" w:line="276" w:lineRule="auto"/>
        <w:jc w:val="both"/>
        <w:rPr>
          <w:rFonts w:ascii="Verdana" w:hAnsi="Verdana"/>
          <w:lang w:val="es-ES"/>
        </w:rPr>
      </w:pPr>
      <w:r w:rsidRPr="00BE3A6E">
        <w:rPr>
          <w:rFonts w:ascii="Verdana" w:hAnsi="Verdana"/>
          <w:lang w:val="es-ES"/>
        </w:rPr>
        <w:t xml:space="preserve">Facebook: </w:t>
      </w:r>
      <w:proofErr w:type="spellStart"/>
      <w:r w:rsidRPr="00BE3A6E">
        <w:rPr>
          <w:rStyle w:val="Hipervnculo"/>
          <w:rFonts w:ascii="Verdana" w:hAnsi="Verdana" w:cs="Arial"/>
          <w:shd w:val="clear" w:color="auto" w:fill="FFFFFF"/>
          <w:lang w:val="es-ES"/>
        </w:rPr>
        <w:t>ColombiaCompraEficiente</w:t>
      </w:r>
      <w:proofErr w:type="spellEnd"/>
    </w:p>
    <w:p w14:paraId="680F544F" w14:textId="77777777" w:rsidR="00766AAE" w:rsidRPr="00BE3A6E" w:rsidRDefault="00766AAE" w:rsidP="00766AAE">
      <w:pPr>
        <w:spacing w:after="0" w:line="276" w:lineRule="auto"/>
        <w:jc w:val="both"/>
        <w:rPr>
          <w:rFonts w:ascii="Verdana" w:hAnsi="Verdana"/>
          <w:lang w:val="es-ES"/>
        </w:rPr>
      </w:pPr>
      <w:r w:rsidRPr="00BE3A6E">
        <w:rPr>
          <w:rFonts w:ascii="Verdana" w:hAnsi="Verdana"/>
          <w:lang w:val="es-ES"/>
        </w:rPr>
        <w:t xml:space="preserve">LinkedIn: </w:t>
      </w:r>
      <w:r w:rsidRPr="00BE3A6E">
        <w:rPr>
          <w:rStyle w:val="Hipervnculo"/>
          <w:rFonts w:ascii="Verdana" w:hAnsi="Verdana" w:cs="Arial"/>
          <w:shd w:val="clear" w:color="auto" w:fill="FFFFFF"/>
          <w:lang w:val="es-ES"/>
        </w:rPr>
        <w:t xml:space="preserve">Agencia Nacional de Contratación Pública - Colombia Compra Eficiente </w:t>
      </w:r>
      <w:r w:rsidRPr="00BE3A6E">
        <w:rPr>
          <w:rFonts w:ascii="Verdana" w:hAnsi="Verdana"/>
          <w:lang w:val="es-ES"/>
        </w:rPr>
        <w:t xml:space="preserve">Instagram: </w:t>
      </w:r>
      <w:r w:rsidRPr="00BE3A6E">
        <w:rPr>
          <w:rStyle w:val="Hipervnculo"/>
          <w:rFonts w:ascii="Verdana" w:hAnsi="Verdana" w:cs="Arial"/>
          <w:shd w:val="clear" w:color="auto" w:fill="FFFFFF"/>
          <w:lang w:val="es-ES"/>
        </w:rPr>
        <w:t>@colombiacompraeficiente_cce</w:t>
      </w:r>
    </w:p>
    <w:p w14:paraId="2F225C40" w14:textId="77777777" w:rsidR="00766AAE" w:rsidRPr="00BE3A6E" w:rsidRDefault="00766AAE" w:rsidP="00766AAE">
      <w:pPr>
        <w:widowControl w:val="0"/>
        <w:autoSpaceDE w:val="0"/>
        <w:autoSpaceDN w:val="0"/>
        <w:spacing w:after="0" w:line="276" w:lineRule="auto"/>
        <w:jc w:val="both"/>
        <w:rPr>
          <w:rFonts w:ascii="Verdana" w:hAnsi="Verdana" w:cs="Arial"/>
          <w:color w:val="000000" w:themeColor="text1"/>
          <w:lang w:val="es-ES"/>
        </w:rPr>
      </w:pPr>
    </w:p>
    <w:p w14:paraId="5439DF43" w14:textId="77777777" w:rsidR="00766AAE" w:rsidRPr="00BE3A6E" w:rsidRDefault="00766AAE" w:rsidP="00766AAE">
      <w:pPr>
        <w:widowControl w:val="0"/>
        <w:autoSpaceDE w:val="0"/>
        <w:autoSpaceDN w:val="0"/>
        <w:spacing w:after="0" w:line="276" w:lineRule="auto"/>
        <w:jc w:val="both"/>
        <w:rPr>
          <w:rFonts w:ascii="Verdana" w:hAnsi="Verdana" w:cs="Arial"/>
          <w:color w:val="000000" w:themeColor="text1"/>
          <w:lang w:val="es-ES"/>
        </w:rPr>
      </w:pPr>
      <w:r w:rsidRPr="00BE3A6E">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4B36E947" w14:textId="77777777" w:rsidR="00766AAE" w:rsidRPr="00BE3A6E" w:rsidRDefault="00766AAE" w:rsidP="00766AAE">
      <w:pPr>
        <w:widowControl w:val="0"/>
        <w:autoSpaceDE w:val="0"/>
        <w:autoSpaceDN w:val="0"/>
        <w:spacing w:after="0" w:line="276" w:lineRule="auto"/>
        <w:jc w:val="both"/>
        <w:rPr>
          <w:rFonts w:ascii="Verdana" w:hAnsi="Verdana" w:cs="Arial"/>
          <w:color w:val="000000" w:themeColor="text1"/>
          <w:lang w:val="es-ES"/>
        </w:rPr>
      </w:pPr>
    </w:p>
    <w:p w14:paraId="14A01DC4" w14:textId="53038B2C" w:rsidR="00766AAE" w:rsidRPr="00BE3A6E" w:rsidRDefault="00766AAE" w:rsidP="00766AAE">
      <w:pPr>
        <w:spacing w:after="0" w:line="276" w:lineRule="auto"/>
        <w:rPr>
          <w:rFonts w:ascii="Verdana" w:hAnsi="Verdana" w:cs="Arial"/>
          <w:color w:val="000000" w:themeColor="text1"/>
          <w:lang w:val="es-ES" w:eastAsia="es-CO"/>
        </w:rPr>
      </w:pPr>
      <w:r w:rsidRPr="00BE3A6E">
        <w:rPr>
          <w:rFonts w:ascii="Verdana" w:eastAsia="Times New Roman" w:hAnsi="Verdana" w:cs="Arial"/>
          <w:color w:val="000000" w:themeColor="text1"/>
          <w:lang w:val="es-ES" w:eastAsia="es-CO"/>
        </w:rPr>
        <w:t>Atentamente,</w:t>
      </w:r>
      <w:r w:rsidRPr="00BE3A6E">
        <w:rPr>
          <w:rFonts w:ascii="Verdana" w:hAnsi="Verdana" w:cs="Arial"/>
          <w:color w:val="000000" w:themeColor="text1"/>
          <w:lang w:val="es-ES" w:eastAsia="es-CO"/>
        </w:rPr>
        <w:t xml:space="preserve"> </w:t>
      </w:r>
    </w:p>
    <w:p w14:paraId="5DA29AEE" w14:textId="77777777" w:rsidR="00766AAE" w:rsidRDefault="00766AAE" w:rsidP="00766AAE">
      <w:pPr>
        <w:spacing w:line="276" w:lineRule="auto"/>
        <w:rPr>
          <w:lang w:val="es-ES"/>
        </w:rPr>
      </w:pPr>
    </w:p>
    <w:p w14:paraId="1E8AA303" w14:textId="074872FA" w:rsidR="00235CE8" w:rsidRPr="00BE3A6E" w:rsidRDefault="00235CE8" w:rsidP="00766AAE">
      <w:pPr>
        <w:spacing w:line="276" w:lineRule="auto"/>
        <w:rPr>
          <w:lang w:val="es-ES"/>
        </w:rPr>
      </w:pPr>
      <w:r w:rsidRPr="002C3AD6">
        <w:rPr>
          <w:rFonts w:ascii="Century Gothic" w:hAnsi="Century Gothic"/>
          <w:noProof/>
        </w:rPr>
        <w:lastRenderedPageBreak/>
        <w:drawing>
          <wp:anchor distT="0" distB="0" distL="114300" distR="114300" simplePos="0" relativeHeight="251659264" behindDoc="0" locked="0" layoutInCell="1" allowOverlap="1" wp14:anchorId="016F86F7" wp14:editId="7725F1B1">
            <wp:simplePos x="0" y="0"/>
            <wp:positionH relativeFrom="column">
              <wp:posOffset>1165411</wp:posOffset>
            </wp:positionH>
            <wp:positionV relativeFrom="paragraph">
              <wp:posOffset>561</wp:posOffset>
            </wp:positionV>
            <wp:extent cx="3772426" cy="1400370"/>
            <wp:effectExtent l="0" t="0" r="0"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3772426" cy="1400370"/>
                    </a:xfrm>
                    <a:prstGeom prst="rect">
                      <a:avLst/>
                    </a:prstGeom>
                  </pic:spPr>
                </pic:pic>
              </a:graphicData>
            </a:graphic>
            <wp14:sizeRelH relativeFrom="page">
              <wp14:pctWidth>0</wp14:pctWidth>
            </wp14:sizeRelH>
            <wp14:sizeRelV relativeFrom="page">
              <wp14:pctHeight>0</wp14:pctHeight>
            </wp14:sizeRelV>
          </wp:anchor>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766AAE" w:rsidRPr="00BE3A6E" w14:paraId="59300010" w14:textId="77777777" w:rsidTr="00EE009D">
        <w:trPr>
          <w:trHeight w:val="315"/>
        </w:trPr>
        <w:tc>
          <w:tcPr>
            <w:tcW w:w="893" w:type="dxa"/>
            <w:vAlign w:val="center"/>
            <w:hideMark/>
          </w:tcPr>
          <w:p w14:paraId="421E752D" w14:textId="77777777" w:rsidR="00766AAE" w:rsidRPr="00BE3A6E" w:rsidRDefault="00766AAE" w:rsidP="00EE009D">
            <w:pPr>
              <w:contextualSpacing/>
              <w:rPr>
                <w:rFonts w:ascii="Verdana" w:hAnsi="Verdana" w:cs="Arial"/>
                <w:sz w:val="15"/>
                <w:szCs w:val="15"/>
                <w:lang w:val="es-ES" w:eastAsia="es-ES"/>
              </w:rPr>
            </w:pPr>
            <w:r w:rsidRPr="00BE3A6E">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25821B96" w14:textId="77777777" w:rsidR="00766AAE" w:rsidRPr="00BE3A6E" w:rsidRDefault="00766AAE" w:rsidP="00EE009D">
            <w:pPr>
              <w:contextualSpacing/>
              <w:rPr>
                <w:rFonts w:ascii="Verdana" w:eastAsia="Arial" w:hAnsi="Verdana" w:cs="Arial"/>
                <w:color w:val="000000" w:themeColor="text1"/>
                <w:sz w:val="15"/>
                <w:szCs w:val="15"/>
                <w:lang w:val="es-ES"/>
              </w:rPr>
            </w:pPr>
            <w:r w:rsidRPr="00BE3A6E">
              <w:rPr>
                <w:rFonts w:ascii="Verdana" w:eastAsia="Arial" w:hAnsi="Verdana" w:cs="Arial"/>
                <w:color w:val="000000" w:themeColor="text1"/>
                <w:sz w:val="15"/>
                <w:szCs w:val="15"/>
                <w:lang w:val="es-ES"/>
              </w:rPr>
              <w:t>Anamaría Bonilla Prieto</w:t>
            </w:r>
          </w:p>
          <w:p w14:paraId="0B6913F9" w14:textId="77777777" w:rsidR="00766AAE" w:rsidRPr="00BE3A6E" w:rsidRDefault="00766AAE" w:rsidP="00EE009D">
            <w:pPr>
              <w:contextualSpacing/>
              <w:rPr>
                <w:rFonts w:ascii="Verdana" w:eastAsia="Arial" w:hAnsi="Verdana" w:cs="Arial"/>
                <w:sz w:val="15"/>
                <w:szCs w:val="15"/>
                <w:lang w:val="es-ES"/>
              </w:rPr>
            </w:pPr>
            <w:r w:rsidRPr="00BE3A6E">
              <w:rPr>
                <w:rStyle w:val="normaltextrun"/>
                <w:rFonts w:ascii="Verdana" w:eastAsia="Arial" w:hAnsi="Verdana" w:cs="Arial"/>
                <w:color w:val="000000" w:themeColor="text1"/>
                <w:sz w:val="15"/>
                <w:szCs w:val="15"/>
                <w:lang w:val="es-ES"/>
              </w:rPr>
              <w:t xml:space="preserve">Contratista de la Subdirección </w:t>
            </w:r>
            <w:r w:rsidRPr="00BE3A6E">
              <w:rPr>
                <w:rStyle w:val="normaltextrun"/>
                <w:rFonts w:ascii="Verdana" w:eastAsia="Arial" w:hAnsi="Verdana" w:cs="Arial"/>
                <w:sz w:val="15"/>
                <w:szCs w:val="15"/>
                <w:lang w:val="es-ES"/>
              </w:rPr>
              <w:t>de Gestión Contractual</w:t>
            </w:r>
          </w:p>
        </w:tc>
      </w:tr>
      <w:tr w:rsidR="00766AAE" w:rsidRPr="00BE3A6E" w14:paraId="3D57ABF5" w14:textId="77777777" w:rsidTr="00EE009D">
        <w:trPr>
          <w:trHeight w:val="330"/>
        </w:trPr>
        <w:tc>
          <w:tcPr>
            <w:tcW w:w="893" w:type="dxa"/>
            <w:vAlign w:val="center"/>
            <w:hideMark/>
          </w:tcPr>
          <w:p w14:paraId="217F4007" w14:textId="77777777" w:rsidR="00766AAE" w:rsidRPr="00BE3A6E" w:rsidRDefault="00766AAE" w:rsidP="00EE009D">
            <w:pPr>
              <w:contextualSpacing/>
              <w:rPr>
                <w:rFonts w:ascii="Verdana" w:hAnsi="Verdana" w:cs="Arial"/>
                <w:sz w:val="15"/>
                <w:szCs w:val="15"/>
                <w:lang w:val="es-ES" w:eastAsia="es-ES"/>
              </w:rPr>
            </w:pPr>
            <w:r w:rsidRPr="00BE3A6E">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29C81AB2" w14:textId="77777777" w:rsidR="00766AAE" w:rsidRPr="00BE3A6E" w:rsidRDefault="00766AAE" w:rsidP="00EE009D">
            <w:pPr>
              <w:contextualSpacing/>
              <w:rPr>
                <w:rFonts w:ascii="Verdana" w:eastAsia="Arial" w:hAnsi="Verdana" w:cs="Arial"/>
                <w:color w:val="000000" w:themeColor="text1"/>
                <w:sz w:val="15"/>
                <w:szCs w:val="15"/>
                <w:lang w:val="es-ES"/>
              </w:rPr>
            </w:pPr>
            <w:r w:rsidRPr="00BE3A6E">
              <w:rPr>
                <w:rFonts w:ascii="Verdana" w:eastAsia="Arial" w:hAnsi="Verdana" w:cs="Arial"/>
                <w:color w:val="000000" w:themeColor="text1"/>
                <w:sz w:val="15"/>
                <w:szCs w:val="15"/>
                <w:lang w:val="es-ES"/>
              </w:rPr>
              <w:t>Alejandro Sarmiento Cantillo</w:t>
            </w:r>
          </w:p>
          <w:p w14:paraId="7CB4E372" w14:textId="77777777" w:rsidR="00766AAE" w:rsidRPr="00BE3A6E" w:rsidRDefault="00766AAE" w:rsidP="00EE009D">
            <w:pPr>
              <w:pStyle w:val="paragraph"/>
              <w:spacing w:before="0" w:beforeAutospacing="0" w:after="0" w:afterAutospacing="0"/>
              <w:contextualSpacing/>
              <w:textAlignment w:val="baseline"/>
              <w:rPr>
                <w:rFonts w:ascii="Verdana" w:hAnsi="Verdana" w:cs="Segoe UI"/>
                <w:sz w:val="15"/>
                <w:szCs w:val="15"/>
                <w:lang w:val="es-ES"/>
              </w:rPr>
            </w:pPr>
            <w:r w:rsidRPr="00BE3A6E">
              <w:rPr>
                <w:rFonts w:ascii="Verdana" w:eastAsia="Arial" w:hAnsi="Verdana" w:cs="Arial"/>
                <w:color w:val="000000" w:themeColor="text1"/>
                <w:sz w:val="15"/>
                <w:szCs w:val="15"/>
                <w:lang w:val="es-ES"/>
              </w:rPr>
              <w:t>Gestor T1 – 15 de la Subdirección de Gestión Contractual</w:t>
            </w:r>
            <w:r w:rsidRPr="00BE3A6E">
              <w:rPr>
                <w:rFonts w:ascii="Verdana" w:hAnsi="Verdana" w:cs="Segoe UI"/>
                <w:sz w:val="15"/>
                <w:szCs w:val="15"/>
                <w:lang w:val="es-ES"/>
              </w:rPr>
              <w:t> </w:t>
            </w:r>
          </w:p>
          <w:p w14:paraId="428682E0" w14:textId="77777777" w:rsidR="00766AAE" w:rsidRPr="00BE3A6E" w:rsidRDefault="00766AAE" w:rsidP="00EE009D">
            <w:pPr>
              <w:pStyle w:val="paragraph"/>
              <w:spacing w:before="0" w:beforeAutospacing="0" w:after="0" w:afterAutospacing="0"/>
              <w:contextualSpacing/>
              <w:textAlignment w:val="baseline"/>
              <w:rPr>
                <w:rFonts w:ascii="Verdana" w:hAnsi="Verdana" w:cs="Segoe UI"/>
                <w:sz w:val="15"/>
                <w:szCs w:val="15"/>
                <w:lang w:val="es-ES"/>
              </w:rPr>
            </w:pPr>
          </w:p>
        </w:tc>
      </w:tr>
      <w:tr w:rsidR="00766AAE" w:rsidRPr="00BE3A6E" w14:paraId="374708D0" w14:textId="77777777" w:rsidTr="00EE009D">
        <w:trPr>
          <w:trHeight w:val="300"/>
        </w:trPr>
        <w:tc>
          <w:tcPr>
            <w:tcW w:w="893" w:type="dxa"/>
            <w:vAlign w:val="center"/>
          </w:tcPr>
          <w:p w14:paraId="676CB503" w14:textId="77777777" w:rsidR="00766AAE" w:rsidRPr="00BE3A6E" w:rsidRDefault="00766AAE" w:rsidP="00EE009D">
            <w:pPr>
              <w:contextualSpacing/>
              <w:rPr>
                <w:rFonts w:ascii="Verdana" w:hAnsi="Verdana" w:cs="Arial"/>
                <w:sz w:val="15"/>
                <w:szCs w:val="15"/>
                <w:lang w:val="es-ES" w:eastAsia="es-ES"/>
              </w:rPr>
            </w:pPr>
            <w:r w:rsidRPr="00BE3A6E">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0691A37" w14:textId="77777777" w:rsidR="00766AAE" w:rsidRPr="00BE3A6E" w:rsidRDefault="00766AAE" w:rsidP="00EE009D">
            <w:pPr>
              <w:contextualSpacing/>
              <w:rPr>
                <w:rFonts w:ascii="Verdana" w:eastAsia="Calibri" w:hAnsi="Verdana" w:cs="Arial"/>
                <w:sz w:val="16"/>
                <w:szCs w:val="16"/>
                <w:lang w:val="es-ES" w:eastAsia="es-ES"/>
              </w:rPr>
            </w:pPr>
            <w:r w:rsidRPr="00BE3A6E">
              <w:rPr>
                <w:rFonts w:ascii="Verdana" w:eastAsia="Calibri" w:hAnsi="Verdana" w:cs="Arial"/>
                <w:sz w:val="16"/>
                <w:szCs w:val="16"/>
                <w:lang w:val="es-ES" w:eastAsia="es-ES"/>
              </w:rPr>
              <w:t>Carolina Quintero Gacharná</w:t>
            </w:r>
          </w:p>
          <w:p w14:paraId="6B1F9FEC" w14:textId="77777777" w:rsidR="00766AAE" w:rsidRPr="00BE3A6E" w:rsidRDefault="00766AAE" w:rsidP="00EE009D">
            <w:pPr>
              <w:contextualSpacing/>
              <w:rPr>
                <w:rFonts w:ascii="Verdana" w:eastAsia="Calibri" w:hAnsi="Verdana" w:cs="Arial"/>
                <w:sz w:val="15"/>
                <w:szCs w:val="15"/>
                <w:lang w:val="es-ES" w:eastAsia="es-ES"/>
              </w:rPr>
            </w:pPr>
            <w:r w:rsidRPr="00BE3A6E">
              <w:rPr>
                <w:rFonts w:ascii="Verdana" w:eastAsia="Calibri" w:hAnsi="Verdana" w:cs="Arial"/>
                <w:sz w:val="16"/>
                <w:szCs w:val="16"/>
                <w:lang w:val="es-ES" w:eastAsia="es-ES"/>
              </w:rPr>
              <w:t>Subdirectora de Gestión Contractual ANCP – CCE</w:t>
            </w:r>
          </w:p>
        </w:tc>
      </w:tr>
      <w:bookmarkEnd w:id="0"/>
    </w:tbl>
    <w:p w14:paraId="3B29D294" w14:textId="650A4A4B" w:rsidR="00766AAE" w:rsidRPr="00BE3A6E" w:rsidRDefault="00766AAE" w:rsidP="00766AAE">
      <w:pPr>
        <w:rPr>
          <w:lang w:val="es-ES"/>
        </w:rPr>
      </w:pPr>
    </w:p>
    <w:p w14:paraId="4E804863" w14:textId="77777777" w:rsidR="00766AAE" w:rsidRPr="00BE3A6E" w:rsidRDefault="00766AAE" w:rsidP="00766AAE">
      <w:pPr>
        <w:rPr>
          <w:lang w:val="es-ES"/>
        </w:rPr>
      </w:pPr>
    </w:p>
    <w:p w14:paraId="2A65E8E4" w14:textId="77777777" w:rsidR="00766AAE" w:rsidRPr="00BE3A6E" w:rsidRDefault="00766AAE" w:rsidP="00766AAE">
      <w:pPr>
        <w:rPr>
          <w:lang w:val="es-ES"/>
        </w:rPr>
      </w:pPr>
    </w:p>
    <w:p w14:paraId="22A42E06" w14:textId="77777777" w:rsidR="00127233" w:rsidRPr="00766AAE" w:rsidRDefault="00127233" w:rsidP="00766AAE"/>
    <w:sectPr w:rsidR="00127233" w:rsidRPr="00766AAE" w:rsidSect="007C0C0F">
      <w:headerReference w:type="default" r:id="rId14"/>
      <w:footerReference w:type="default" r:id="rId1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B6E7C" w14:textId="77777777" w:rsidR="000C1088" w:rsidRDefault="000C1088" w:rsidP="004A1847">
      <w:pPr>
        <w:spacing w:after="0" w:line="240" w:lineRule="auto"/>
      </w:pPr>
      <w:r>
        <w:separator/>
      </w:r>
    </w:p>
  </w:endnote>
  <w:endnote w:type="continuationSeparator" w:id="0">
    <w:p w14:paraId="379A2B0F" w14:textId="77777777" w:rsidR="000C1088" w:rsidRDefault="000C1088" w:rsidP="004A1847">
      <w:pPr>
        <w:spacing w:after="0" w:line="240" w:lineRule="auto"/>
      </w:pPr>
      <w:r>
        <w:continuationSeparator/>
      </w:r>
    </w:p>
  </w:endnote>
  <w:endnote w:type="continuationNotice" w:id="1">
    <w:p w14:paraId="3B96463F" w14:textId="77777777" w:rsidR="000C1088" w:rsidRDefault="000C10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4A9A8" w14:textId="77777777" w:rsidR="004A1847" w:rsidRDefault="004A1847">
    <w:pPr>
      <w:pStyle w:val="Piedepgina"/>
    </w:pPr>
  </w:p>
  <w:p w14:paraId="3F4D784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1A0D4638"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A4B8BD1"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0F3F909E" w14:textId="77777777"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8E582" w14:textId="77777777" w:rsidR="000C1088" w:rsidRDefault="000C1088" w:rsidP="004A1847">
      <w:pPr>
        <w:spacing w:after="0" w:line="240" w:lineRule="auto"/>
      </w:pPr>
      <w:r>
        <w:separator/>
      </w:r>
    </w:p>
  </w:footnote>
  <w:footnote w:type="continuationSeparator" w:id="0">
    <w:p w14:paraId="0AF59F0C" w14:textId="77777777" w:rsidR="000C1088" w:rsidRDefault="000C1088" w:rsidP="004A1847">
      <w:pPr>
        <w:spacing w:after="0" w:line="240" w:lineRule="auto"/>
      </w:pPr>
      <w:r>
        <w:continuationSeparator/>
      </w:r>
    </w:p>
  </w:footnote>
  <w:footnote w:type="continuationNotice" w:id="1">
    <w:p w14:paraId="2A902602" w14:textId="77777777" w:rsidR="000C1088" w:rsidRDefault="000C1088">
      <w:pPr>
        <w:spacing w:after="0" w:line="240" w:lineRule="auto"/>
      </w:pPr>
    </w:p>
  </w:footnote>
  <w:footnote w:id="2">
    <w:p w14:paraId="317CED52" w14:textId="77777777" w:rsidR="00766AAE" w:rsidRPr="005916FD" w:rsidRDefault="00766AAE" w:rsidP="00766AAE">
      <w:pPr>
        <w:pStyle w:val="Textonotapie"/>
        <w:snapToGrid w:val="0"/>
        <w:ind w:firstLine="708"/>
        <w:contextualSpacing/>
        <w:jc w:val="both"/>
        <w:rPr>
          <w:rFonts w:ascii="Verdana" w:hAnsi="Verdana"/>
          <w:sz w:val="15"/>
          <w:szCs w:val="15"/>
          <w:lang w:val="es-ES"/>
        </w:rPr>
      </w:pPr>
      <w:r w:rsidRPr="005916FD">
        <w:rPr>
          <w:rStyle w:val="Refdenotaalpie"/>
          <w:rFonts w:ascii="Verdana" w:hAnsi="Verdana"/>
          <w:sz w:val="15"/>
          <w:szCs w:val="15"/>
        </w:rPr>
        <w:footnoteRef/>
      </w:r>
      <w:r w:rsidRPr="005916FD">
        <w:rPr>
          <w:rFonts w:ascii="Verdana" w:hAnsi="Verdana"/>
          <w:sz w:val="15"/>
          <w:szCs w:val="15"/>
        </w:rPr>
        <w:t xml:space="preserve"> Superintendencia Financiera, </w:t>
      </w:r>
      <w:r w:rsidRPr="005916FD">
        <w:rPr>
          <w:rFonts w:ascii="Verdana" w:hAnsi="Verdana" w:cs="Arial"/>
          <w:sz w:val="15"/>
          <w:szCs w:val="15"/>
          <w:lang w:eastAsia="es-CO"/>
        </w:rPr>
        <w:t>Capítulo IV, Titulo IV, Parte I de la Circular Básica Jurídica, Instrucciones relativas a la Administración del Riesgo de Lavado de Activos y de la Financiación del Terrorismo.</w:t>
      </w:r>
    </w:p>
  </w:footnote>
  <w:footnote w:id="3">
    <w:p w14:paraId="20A94240" w14:textId="77777777" w:rsidR="00766AAE" w:rsidRPr="005916FD" w:rsidRDefault="00766AAE" w:rsidP="00766AAE">
      <w:pPr>
        <w:pStyle w:val="Textonotapie"/>
        <w:snapToGrid w:val="0"/>
        <w:ind w:firstLine="708"/>
        <w:contextualSpacing/>
        <w:jc w:val="both"/>
        <w:rPr>
          <w:rFonts w:ascii="Verdana" w:hAnsi="Verdana" w:cs="Arial"/>
          <w:sz w:val="15"/>
          <w:szCs w:val="15"/>
        </w:rPr>
      </w:pPr>
      <w:r w:rsidRPr="005916FD">
        <w:rPr>
          <w:rStyle w:val="Refdenotaalpie"/>
          <w:rFonts w:ascii="Verdana" w:hAnsi="Verdana" w:cs="Arial"/>
          <w:sz w:val="15"/>
          <w:szCs w:val="15"/>
        </w:rPr>
        <w:footnoteRef/>
      </w:r>
      <w:r w:rsidRPr="005916FD">
        <w:rPr>
          <w:rFonts w:ascii="Verdana" w:hAnsi="Verdana" w:cs="Arial"/>
          <w:sz w:val="15"/>
          <w:szCs w:val="15"/>
        </w:rPr>
        <w:t xml:space="preserve"> CONSEJO DE ESTADO. Sala de Consulta y Servicio Civil. Concepto del 27 de agosto de 2015. Rad. 2.264. C.P. Álvaro Namén Vargas.</w:t>
      </w:r>
    </w:p>
  </w:footnote>
  <w:footnote w:id="4">
    <w:p w14:paraId="185F62DA" w14:textId="77777777" w:rsidR="00766AAE" w:rsidRPr="005916FD" w:rsidRDefault="00766AAE" w:rsidP="00766AAE">
      <w:pPr>
        <w:pStyle w:val="Textonotapie"/>
        <w:snapToGrid w:val="0"/>
        <w:ind w:firstLine="708"/>
        <w:contextualSpacing/>
        <w:jc w:val="both"/>
        <w:rPr>
          <w:rFonts w:ascii="Verdana" w:hAnsi="Verdana"/>
          <w:sz w:val="15"/>
          <w:szCs w:val="15"/>
          <w:lang w:val="es-CO"/>
        </w:rPr>
      </w:pPr>
      <w:r w:rsidRPr="005916FD">
        <w:rPr>
          <w:rStyle w:val="Refdenotaalpie"/>
          <w:rFonts w:ascii="Verdana" w:hAnsi="Verdana"/>
          <w:sz w:val="15"/>
          <w:szCs w:val="15"/>
        </w:rPr>
        <w:footnoteRef/>
      </w:r>
      <w:r w:rsidRPr="005916FD">
        <w:rPr>
          <w:rFonts w:ascii="Verdana" w:hAnsi="Verdana"/>
          <w:sz w:val="15"/>
          <w:szCs w:val="15"/>
        </w:rPr>
        <w:t xml:space="preserve"> El artículo 17 de la Ley 80 de 1993 establece las siguientes causales: i) cuando las exigencias del servicio público lo requieran o la situación de orden público lo imponga; ii) por muerte o incapacidad física permanente del contratista, si es persona natural, o por disolución de la persona jurídica del contratista; iii) por interdicción judicial o declaración de quiebra del contratista; y iv) por cesación de pagos, concurso de acreedores o embargos judiciales del contratista que afecten de manera grave el cumplimiento del contrato. Adicionalmente, conforme a los numerales 1, 2, y 4 del artículo 44 y el inciso segundo de artículo 45 del EGCAP, el jefe o representante legal de la entidad debe dar por terminado el contrato mediante acto administrativo debidamente motivado y ordenar su liquidación en el estado en que se encuentre cuando: i) se celebre con personas incursas en causales de inhabilidad o incompatibilidad previstas en la Constitución y la ley, ii) se celebren contra expresa prohibición constitucional o legal y iii) se declaren nulos los actos administrativos en que se fundamenten.</w:t>
      </w:r>
    </w:p>
  </w:footnote>
  <w:footnote w:id="5">
    <w:p w14:paraId="1E5FF141" w14:textId="77777777" w:rsidR="00766AAE" w:rsidRPr="005916FD" w:rsidRDefault="00766AAE" w:rsidP="00766AAE">
      <w:pPr>
        <w:snapToGrid w:val="0"/>
        <w:spacing w:after="0" w:line="240" w:lineRule="auto"/>
        <w:ind w:firstLine="708"/>
        <w:contextualSpacing/>
        <w:jc w:val="both"/>
        <w:rPr>
          <w:rFonts w:ascii="Verdana" w:hAnsi="Verdana" w:cs="Arial"/>
          <w:color w:val="000000" w:themeColor="text1"/>
          <w:sz w:val="15"/>
          <w:szCs w:val="15"/>
          <w:lang w:val="es-ES"/>
        </w:rPr>
      </w:pPr>
      <w:r w:rsidRPr="005916FD">
        <w:rPr>
          <w:rStyle w:val="Refdenotaalpie"/>
          <w:rFonts w:ascii="Verdana" w:hAnsi="Verdana"/>
          <w:sz w:val="15"/>
          <w:szCs w:val="15"/>
        </w:rPr>
        <w:footnoteRef/>
      </w:r>
      <w:r w:rsidRPr="005916FD">
        <w:rPr>
          <w:rFonts w:ascii="Verdana" w:hAnsi="Verdana"/>
          <w:sz w:val="15"/>
          <w:szCs w:val="15"/>
        </w:rPr>
        <w:t xml:space="preserve"> </w:t>
      </w:r>
      <w:r w:rsidRPr="005916FD">
        <w:rPr>
          <w:rFonts w:ascii="Verdana" w:hAnsi="Verdana" w:cs="Arial"/>
          <w:color w:val="000000" w:themeColor="text1"/>
          <w:sz w:val="15"/>
          <w:szCs w:val="15"/>
          <w:lang w:val="es-ES"/>
        </w:rPr>
        <w:t xml:space="preserve">El artículo 17 de la Ley 80 de 1993 establece expresamente en que eventos procede la terminación unilateral del contrato. Al efecto, la norma establece las siguientes causales: i) cuando las exigencias del servicio público lo requieran o la situación de orden público lo imponga; </w:t>
      </w:r>
      <w:proofErr w:type="spellStart"/>
      <w:r w:rsidRPr="005916FD">
        <w:rPr>
          <w:rFonts w:ascii="Verdana" w:hAnsi="Verdana" w:cs="Arial"/>
          <w:color w:val="000000" w:themeColor="text1"/>
          <w:sz w:val="15"/>
          <w:szCs w:val="15"/>
          <w:lang w:val="es-ES"/>
        </w:rPr>
        <w:t>ii</w:t>
      </w:r>
      <w:proofErr w:type="spellEnd"/>
      <w:r w:rsidRPr="005916FD">
        <w:rPr>
          <w:rFonts w:ascii="Verdana" w:hAnsi="Verdana" w:cs="Arial"/>
          <w:color w:val="000000" w:themeColor="text1"/>
          <w:sz w:val="15"/>
          <w:szCs w:val="15"/>
          <w:lang w:val="es-ES"/>
        </w:rPr>
        <w:t xml:space="preserve">) por muerte o incapacidad física permanente del contratista, si es persona natural, o por disolución de la persona jurídica del contratista; </w:t>
      </w:r>
      <w:proofErr w:type="spellStart"/>
      <w:r w:rsidRPr="005916FD">
        <w:rPr>
          <w:rFonts w:ascii="Verdana" w:hAnsi="Verdana" w:cs="Arial"/>
          <w:color w:val="000000" w:themeColor="text1"/>
          <w:sz w:val="15"/>
          <w:szCs w:val="15"/>
          <w:lang w:val="es-ES"/>
        </w:rPr>
        <w:t>iii</w:t>
      </w:r>
      <w:proofErr w:type="spellEnd"/>
      <w:r w:rsidRPr="005916FD">
        <w:rPr>
          <w:rFonts w:ascii="Verdana" w:hAnsi="Verdana" w:cs="Arial"/>
          <w:color w:val="000000" w:themeColor="text1"/>
          <w:sz w:val="15"/>
          <w:szCs w:val="15"/>
          <w:lang w:val="es-ES"/>
        </w:rPr>
        <w:t xml:space="preserve">) por interdicción judicial o declaración de quiebra del contratista; y </w:t>
      </w:r>
      <w:proofErr w:type="spellStart"/>
      <w:r w:rsidRPr="005916FD">
        <w:rPr>
          <w:rFonts w:ascii="Verdana" w:hAnsi="Verdana" w:cs="Arial"/>
          <w:color w:val="000000" w:themeColor="text1"/>
          <w:sz w:val="15"/>
          <w:szCs w:val="15"/>
          <w:lang w:val="es-ES"/>
        </w:rPr>
        <w:t>iv</w:t>
      </w:r>
      <w:proofErr w:type="spellEnd"/>
      <w:r w:rsidRPr="005916FD">
        <w:rPr>
          <w:rFonts w:ascii="Verdana" w:hAnsi="Verdana" w:cs="Arial"/>
          <w:color w:val="000000" w:themeColor="text1"/>
          <w:sz w:val="15"/>
          <w:szCs w:val="15"/>
          <w:lang w:val="es-ES"/>
        </w:rPr>
        <w:t xml:space="preserve">) por cesación de pagos, concurso de acreedores o embargos judiciales del contratista que afecten de manera grave el cumplimiento del contrato. Adicionalmente, conforme a los numerales 1, 2, y 4 del artículo 44 y el inciso segundo de artículo 45 del EGCAP, el jefe o representante legal de la entidad debe dar por terminado el contrato mediante acto administrativo debidamente motivado y ordenar su liquidación en el estado en que se encuentre cuando: i) se celebre con personas incursas en causales de inhabilidad o incompatibilidad previstas en la Constitución y la ley, </w:t>
      </w:r>
      <w:proofErr w:type="spellStart"/>
      <w:r w:rsidRPr="005916FD">
        <w:rPr>
          <w:rFonts w:ascii="Verdana" w:hAnsi="Verdana" w:cs="Arial"/>
          <w:color w:val="000000" w:themeColor="text1"/>
          <w:sz w:val="15"/>
          <w:szCs w:val="15"/>
          <w:lang w:val="es-ES"/>
        </w:rPr>
        <w:t>ii</w:t>
      </w:r>
      <w:proofErr w:type="spellEnd"/>
      <w:r w:rsidRPr="005916FD">
        <w:rPr>
          <w:rFonts w:ascii="Verdana" w:hAnsi="Verdana" w:cs="Arial"/>
          <w:color w:val="000000" w:themeColor="text1"/>
          <w:sz w:val="15"/>
          <w:szCs w:val="15"/>
          <w:lang w:val="es-ES"/>
        </w:rPr>
        <w:t xml:space="preserve">) se celebren contra expresa prohibición constitucional o legal y </w:t>
      </w:r>
      <w:proofErr w:type="spellStart"/>
      <w:r w:rsidRPr="005916FD">
        <w:rPr>
          <w:rFonts w:ascii="Verdana" w:hAnsi="Verdana" w:cs="Arial"/>
          <w:color w:val="000000" w:themeColor="text1"/>
          <w:sz w:val="15"/>
          <w:szCs w:val="15"/>
          <w:lang w:val="es-ES"/>
        </w:rPr>
        <w:t>iii</w:t>
      </w:r>
      <w:proofErr w:type="spellEnd"/>
      <w:r w:rsidRPr="005916FD">
        <w:rPr>
          <w:rFonts w:ascii="Verdana" w:hAnsi="Verdana" w:cs="Arial"/>
          <w:color w:val="000000" w:themeColor="text1"/>
          <w:sz w:val="15"/>
          <w:szCs w:val="15"/>
          <w:lang w:val="es-ES"/>
        </w:rPr>
        <w:t>) se declaren nulos los actos administrativos en que se fundamenten.</w:t>
      </w:r>
    </w:p>
    <w:p w14:paraId="61B71CF5" w14:textId="77777777" w:rsidR="00766AAE" w:rsidRPr="005916FD" w:rsidRDefault="00766AAE" w:rsidP="00766AAE">
      <w:pPr>
        <w:snapToGrid w:val="0"/>
        <w:spacing w:after="0" w:line="240" w:lineRule="auto"/>
        <w:ind w:firstLine="708"/>
        <w:contextualSpacing/>
        <w:jc w:val="both"/>
        <w:rPr>
          <w:rFonts w:ascii="Verdana" w:hAnsi="Verdana" w:cs="Arial"/>
          <w:color w:val="000000" w:themeColor="text1"/>
          <w:sz w:val="15"/>
          <w:szCs w:val="15"/>
          <w:lang w:val="es-ES"/>
        </w:rPr>
      </w:pPr>
      <w:r w:rsidRPr="005916FD">
        <w:rPr>
          <w:rFonts w:ascii="Verdana" w:hAnsi="Verdana" w:cs="Arial"/>
          <w:color w:val="000000" w:themeColor="text1"/>
          <w:sz w:val="15"/>
          <w:szCs w:val="15"/>
          <w:lang w:val="es-ES"/>
        </w:rPr>
        <w:t>Ninguna de las causales de terminación unilateral mencionadas en el párrafo precedente se relaciona con los controles derivados d</w:t>
      </w:r>
      <w:r w:rsidRPr="005916FD">
        <w:rPr>
          <w:rFonts w:ascii="Verdana" w:eastAsia="Calibri" w:hAnsi="Verdana" w:cs="Arial"/>
          <w:color w:val="000000" w:themeColor="text1"/>
          <w:sz w:val="15"/>
          <w:szCs w:val="15"/>
          <w:lang w:val="es-ES"/>
        </w:rPr>
        <w:t>el SARLAFT. Dado que las potestades exorbitantes de las entidades públicas se rigen por el principio de legalidad, el ejercicio de la autonomía de la voluntad no permite adicionar los supuestos planteados con el supuesto objeto de consulta. Lo anterior teniendo en cuenta que el artículo 13, inciso primero, de la Ley 80 de 1993 dispone que “Los contratos que celebren las entidades a que se refiere el artículo 2o. del presente estatuto se regirán por las disposiciones comerciales y civiles pertinentes, salvo en las materias particularmente reguladas en esta ley”.</w:t>
      </w:r>
      <w:r w:rsidRPr="005916FD">
        <w:rPr>
          <w:rFonts w:ascii="Verdana" w:hAnsi="Verdana" w:cs="Arial"/>
          <w:color w:val="000000" w:themeColor="text1"/>
          <w:sz w:val="15"/>
          <w:szCs w:val="15"/>
          <w:lang w:val="es-ES"/>
        </w:rPr>
        <w:t xml:space="preserve"> En consecuencia, dado que la terminación unilateral tiene regulación especial en los artículos 17 y 45 del EGCAP, las causales aplicables son de interpretación restrictiva.</w:t>
      </w:r>
    </w:p>
  </w:footnote>
  <w:footnote w:id="6">
    <w:p w14:paraId="48DED4BF" w14:textId="77777777" w:rsidR="00766AAE" w:rsidRPr="005916FD" w:rsidRDefault="00766AAE" w:rsidP="00766AAE">
      <w:pPr>
        <w:snapToGrid w:val="0"/>
        <w:spacing w:after="0" w:line="240" w:lineRule="auto"/>
        <w:ind w:firstLine="708"/>
        <w:contextualSpacing/>
        <w:jc w:val="both"/>
        <w:rPr>
          <w:rFonts w:ascii="Verdana" w:eastAsia="Calibri" w:hAnsi="Verdana" w:cs="Arial"/>
          <w:i/>
          <w:iCs/>
          <w:color w:val="000000" w:themeColor="text1"/>
          <w:sz w:val="15"/>
          <w:szCs w:val="15"/>
          <w:lang w:val="es-ES"/>
        </w:rPr>
      </w:pPr>
      <w:r w:rsidRPr="005916FD">
        <w:rPr>
          <w:rStyle w:val="Refdenotaalpie"/>
          <w:rFonts w:ascii="Verdana" w:hAnsi="Verdana"/>
          <w:sz w:val="15"/>
          <w:szCs w:val="15"/>
        </w:rPr>
        <w:footnoteRef/>
      </w:r>
      <w:r w:rsidRPr="005916FD">
        <w:rPr>
          <w:rFonts w:ascii="Verdana" w:hAnsi="Verdana"/>
          <w:sz w:val="15"/>
          <w:szCs w:val="15"/>
        </w:rPr>
        <w:t xml:space="preserve"> </w:t>
      </w:r>
      <w:r w:rsidRPr="005916FD">
        <w:rPr>
          <w:rFonts w:ascii="Verdana" w:eastAsia="Calibri" w:hAnsi="Verdana" w:cs="Arial"/>
          <w:color w:val="000000" w:themeColor="text1"/>
          <w:sz w:val="15"/>
          <w:szCs w:val="15"/>
          <w:lang w:val="es-ES"/>
        </w:rPr>
        <w:t xml:space="preserve">Al respecto, conforme al anexo de la Circular Conjunta 034 de 2011 de la Procuraduría General de la Nación, la Auditoría General de la Nación y la Contraloría General de Santander, cabe destacar que la Orden Ejecutiva 12.798 del Gobierno de Estados Unidos no rige en Colombia. Dado que carece de fuerza vinculante en nuestro ordenamiento jurídico, esta Agencia ha sostenido que la inclusión en dicha lista </w:t>
      </w:r>
      <w:r w:rsidRPr="005916FD">
        <w:rPr>
          <w:rFonts w:ascii="Verdana" w:eastAsia="Calibri" w:hAnsi="Verdana" w:cs="Arial"/>
          <w:i/>
          <w:iCs/>
          <w:color w:val="000000" w:themeColor="text1"/>
          <w:sz w:val="15"/>
          <w:szCs w:val="15"/>
          <w:lang w:val="es-ES"/>
        </w:rPr>
        <w:t xml:space="preserve">no genera inhabilidad o incompatibilidad para contratar con el Estado ni puede ser considerada como una causal de terminación unilateral. </w:t>
      </w:r>
    </w:p>
    <w:p w14:paraId="279472E3" w14:textId="77777777" w:rsidR="00766AAE" w:rsidRPr="005916FD" w:rsidRDefault="00766AAE" w:rsidP="00766AAE">
      <w:pPr>
        <w:pStyle w:val="Textonotapie"/>
        <w:snapToGrid w:val="0"/>
        <w:contextualSpacing/>
        <w:rPr>
          <w:rFonts w:ascii="Verdana" w:hAnsi="Verdana"/>
          <w:sz w:val="15"/>
          <w:szCs w:val="15"/>
          <w:lang w:val="es-ES"/>
        </w:rPr>
      </w:pPr>
    </w:p>
  </w:footnote>
  <w:footnote w:id="7">
    <w:p w14:paraId="05083D98" w14:textId="77777777" w:rsidR="00766AAE" w:rsidRPr="00CA419A" w:rsidRDefault="00766AAE" w:rsidP="00766AAE">
      <w:pPr>
        <w:pStyle w:val="Textonotapie"/>
        <w:ind w:firstLine="708"/>
        <w:jc w:val="both"/>
        <w:rPr>
          <w:rFonts w:ascii="Verdana" w:eastAsia="Calibri" w:hAnsi="Verdana" w:cs="Arial"/>
          <w:sz w:val="16"/>
          <w:szCs w:val="16"/>
          <w:lang w:val="es-CO"/>
        </w:rPr>
      </w:pPr>
      <w:r w:rsidRPr="00CA419A">
        <w:rPr>
          <w:rStyle w:val="Refdenotaalpie"/>
          <w:rFonts w:ascii="Verdana" w:hAnsi="Verdana" w:cs="Arial"/>
          <w:sz w:val="16"/>
          <w:szCs w:val="16"/>
        </w:rPr>
        <w:footnoteRef/>
      </w:r>
      <w:r w:rsidRPr="00CA419A">
        <w:rPr>
          <w:rFonts w:ascii="Verdana" w:hAnsi="Verdana" w:cs="Arial"/>
          <w:sz w:val="16"/>
          <w:szCs w:val="16"/>
        </w:rPr>
        <w:t xml:space="preserve"> </w:t>
      </w:r>
      <w:r w:rsidRPr="00CA419A">
        <w:rPr>
          <w:rFonts w:ascii="Verdana" w:eastAsia="Times New Roman" w:hAnsi="Verdana" w:cs="Arial"/>
          <w:sz w:val="16"/>
          <w:szCs w:val="16"/>
          <w:lang w:val="es-CO" w:eastAsia="es-CO"/>
        </w:rPr>
        <w:t>Consejo de Estado. Sección Tercera. Sentencia del 27 de abril de 2011. Exp. 18.293. C.P. Ruth Stella Correa Palacio.</w:t>
      </w:r>
    </w:p>
  </w:footnote>
  <w:footnote w:id="8">
    <w:p w14:paraId="282F9C81" w14:textId="77777777" w:rsidR="00766AAE" w:rsidRPr="00CA419A" w:rsidRDefault="00766AAE" w:rsidP="00766AAE">
      <w:pPr>
        <w:pStyle w:val="Textonotapie"/>
        <w:ind w:firstLine="708"/>
        <w:jc w:val="both"/>
        <w:rPr>
          <w:rFonts w:ascii="Verdana" w:eastAsia="Times New Roman" w:hAnsi="Verdana" w:cs="Arial"/>
          <w:sz w:val="16"/>
          <w:szCs w:val="16"/>
          <w:lang w:val="es-CO" w:eastAsia="es-CO"/>
        </w:rPr>
      </w:pPr>
      <w:r w:rsidRPr="00CA419A">
        <w:rPr>
          <w:rStyle w:val="Refdenotaalpie"/>
          <w:rFonts w:ascii="Verdana" w:hAnsi="Verdana" w:cs="Arial"/>
          <w:sz w:val="16"/>
          <w:szCs w:val="16"/>
        </w:rPr>
        <w:footnoteRef/>
      </w:r>
      <w:r w:rsidRPr="00CA419A">
        <w:rPr>
          <w:rFonts w:ascii="Verdana" w:hAnsi="Verdana" w:cs="Arial"/>
          <w:sz w:val="16"/>
          <w:szCs w:val="16"/>
        </w:rPr>
        <w:t xml:space="preserve"> </w:t>
      </w:r>
      <w:r w:rsidRPr="00CA419A">
        <w:rPr>
          <w:rFonts w:ascii="Verdana" w:eastAsia="Times New Roman" w:hAnsi="Verdana" w:cs="Arial"/>
          <w:sz w:val="16"/>
          <w:szCs w:val="16"/>
          <w:lang w:val="es-CO" w:eastAsia="es-CO"/>
        </w:rPr>
        <w:t>Consejo de Estado. Sección Tercera. Sentencia del 21 de noviembre de 2013 Exp. 25397. C.P. Carlos Alberto Zambrano Barrera.</w:t>
      </w:r>
    </w:p>
    <w:p w14:paraId="4593C1C0" w14:textId="77777777" w:rsidR="00766AAE" w:rsidRPr="00CA419A" w:rsidRDefault="00766AAE" w:rsidP="00766AAE">
      <w:pPr>
        <w:pStyle w:val="Textonotapie"/>
        <w:ind w:firstLine="708"/>
        <w:jc w:val="both"/>
        <w:rPr>
          <w:rFonts w:ascii="Verdana" w:eastAsia="Calibri" w:hAnsi="Verdana" w:cs="Arial"/>
          <w:sz w:val="16"/>
          <w:szCs w:val="16"/>
          <w:lang w:val="es-CO"/>
        </w:rPr>
      </w:pPr>
    </w:p>
  </w:footnote>
  <w:footnote w:id="9">
    <w:p w14:paraId="507CC821" w14:textId="77777777" w:rsidR="00766AAE" w:rsidRPr="00D20DBC" w:rsidRDefault="00766AAE" w:rsidP="00766AAE">
      <w:pPr>
        <w:pStyle w:val="Textonotapie"/>
        <w:ind w:firstLine="708"/>
        <w:jc w:val="both"/>
        <w:rPr>
          <w:rFonts w:ascii="Verdana" w:hAnsi="Verdana" w:cs="Arial"/>
          <w:sz w:val="16"/>
          <w:szCs w:val="16"/>
        </w:rPr>
      </w:pPr>
      <w:r w:rsidRPr="00D20DBC">
        <w:rPr>
          <w:rStyle w:val="Refdenotaalpie"/>
          <w:rFonts w:ascii="Verdana" w:hAnsi="Verdana" w:cs="Arial"/>
          <w:sz w:val="16"/>
          <w:szCs w:val="16"/>
        </w:rPr>
        <w:footnoteRef/>
      </w:r>
      <w:r w:rsidRPr="00D20DBC">
        <w:rPr>
          <w:rFonts w:ascii="Verdana" w:hAnsi="Verdana" w:cs="Arial"/>
          <w:sz w:val="16"/>
          <w:szCs w:val="16"/>
        </w:rPr>
        <w:t xml:space="preserve"> DUQUE BOTERO, Juan David. La competencia en la compra pública. Bogotá: Tirant lo Blanch, 2023. p. 492.</w:t>
      </w:r>
      <w:r>
        <w:rPr>
          <w:rFonts w:ascii="Verdana" w:hAnsi="Verdana" w:cs="Arial"/>
          <w:sz w:val="16"/>
          <w:szCs w:val="16"/>
        </w:rPr>
        <w:t xml:space="preserve"> La cita se refiere a la inclusión de causales de rechazo en el caso de acuerdos restrictivos de la libre competencia económica.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5370" w14:textId="77777777"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50575AAA" wp14:editId="423DF8EF">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5E83C61C" wp14:editId="0053FF7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2AA0C33C" w14:textId="77777777" w:rsidR="00756841" w:rsidRDefault="00756841">
    <w:pPr>
      <w:pStyle w:val="Encabezado"/>
    </w:pPr>
  </w:p>
  <w:p w14:paraId="746E9C93" w14:textId="77777777" w:rsidR="004A305D" w:rsidRPr="004A305D" w:rsidRDefault="004A305D" w:rsidP="00B01B1A">
    <w:pPr>
      <w:spacing w:after="0" w:line="120" w:lineRule="auto"/>
      <w:rPr>
        <w:rFonts w:ascii="Century Gothic" w:eastAsia="Geo" w:hAnsi="Century Gothic" w:cs="Geo"/>
        <w:sz w:val="16"/>
        <w:szCs w:val="16"/>
        <w:lang w:eastAsia="es-CO"/>
      </w:rPr>
    </w:pPr>
  </w:p>
  <w:p w14:paraId="5279B40E" w14:textId="77777777" w:rsidR="00C925AC" w:rsidRDefault="00C925AC" w:rsidP="00844AE9">
    <w:pPr>
      <w:spacing w:after="0" w:line="240" w:lineRule="auto"/>
      <w:rPr>
        <w:rFonts w:ascii="Verdana" w:hAnsi="Verdana"/>
        <w:sz w:val="24"/>
        <w:szCs w:val="24"/>
      </w:rPr>
    </w:pPr>
  </w:p>
  <w:p w14:paraId="21FD5248" w14:textId="77777777" w:rsidR="00A14468" w:rsidRPr="00C925AC" w:rsidRDefault="00A14468" w:rsidP="00844AE9">
    <w:pPr>
      <w:spacing w:after="0" w:line="240" w:lineRule="auto"/>
      <w:rPr>
        <w:rFonts w:ascii="Verdana" w:hAnsi="Verdana"/>
        <w:sz w:val="24"/>
        <w:szCs w:val="24"/>
      </w:rPr>
    </w:pPr>
  </w:p>
  <w:p w14:paraId="0E4A5BCB" w14:textId="77777777"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1916AB3"/>
    <w:multiLevelType w:val="hybridMultilevel"/>
    <w:tmpl w:val="D61EC1E6"/>
    <w:lvl w:ilvl="0" w:tplc="73DEAA1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571424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EB9"/>
    <w:rsid w:val="000070FB"/>
    <w:rsid w:val="00016F78"/>
    <w:rsid w:val="00046945"/>
    <w:rsid w:val="00061B2A"/>
    <w:rsid w:val="00082362"/>
    <w:rsid w:val="000A4DC4"/>
    <w:rsid w:val="000A683E"/>
    <w:rsid w:val="000B19B9"/>
    <w:rsid w:val="000C1088"/>
    <w:rsid w:val="000D0334"/>
    <w:rsid w:val="000D5DA7"/>
    <w:rsid w:val="000E3E5F"/>
    <w:rsid w:val="000F6486"/>
    <w:rsid w:val="00116940"/>
    <w:rsid w:val="00125105"/>
    <w:rsid w:val="00127233"/>
    <w:rsid w:val="00142FA4"/>
    <w:rsid w:val="0015699B"/>
    <w:rsid w:val="00166933"/>
    <w:rsid w:val="001A33BF"/>
    <w:rsid w:val="001E4177"/>
    <w:rsid w:val="001F0B24"/>
    <w:rsid w:val="001F7DC6"/>
    <w:rsid w:val="0022400B"/>
    <w:rsid w:val="00235CE8"/>
    <w:rsid w:val="002421BB"/>
    <w:rsid w:val="0025796E"/>
    <w:rsid w:val="002707A2"/>
    <w:rsid w:val="002951A0"/>
    <w:rsid w:val="002962BC"/>
    <w:rsid w:val="002A093D"/>
    <w:rsid w:val="002A0DD0"/>
    <w:rsid w:val="002A49AC"/>
    <w:rsid w:val="002A64FD"/>
    <w:rsid w:val="002B06C3"/>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5667C"/>
    <w:rsid w:val="00466E39"/>
    <w:rsid w:val="00471ED8"/>
    <w:rsid w:val="004866F5"/>
    <w:rsid w:val="004A1847"/>
    <w:rsid w:val="004A305D"/>
    <w:rsid w:val="004F21C4"/>
    <w:rsid w:val="004F685F"/>
    <w:rsid w:val="00526AE5"/>
    <w:rsid w:val="005566E8"/>
    <w:rsid w:val="00574867"/>
    <w:rsid w:val="00591460"/>
    <w:rsid w:val="005A65E0"/>
    <w:rsid w:val="005C3777"/>
    <w:rsid w:val="005C5CDC"/>
    <w:rsid w:val="005D476C"/>
    <w:rsid w:val="006200BF"/>
    <w:rsid w:val="006219F8"/>
    <w:rsid w:val="006302F7"/>
    <w:rsid w:val="00646B9F"/>
    <w:rsid w:val="00665D70"/>
    <w:rsid w:val="006900D9"/>
    <w:rsid w:val="00695621"/>
    <w:rsid w:val="00703418"/>
    <w:rsid w:val="0070653A"/>
    <w:rsid w:val="00706C16"/>
    <w:rsid w:val="00717EB9"/>
    <w:rsid w:val="007340C3"/>
    <w:rsid w:val="0075235A"/>
    <w:rsid w:val="00756841"/>
    <w:rsid w:val="007649AB"/>
    <w:rsid w:val="00766AAE"/>
    <w:rsid w:val="00771D0C"/>
    <w:rsid w:val="007833AC"/>
    <w:rsid w:val="007A0ECA"/>
    <w:rsid w:val="007A4C20"/>
    <w:rsid w:val="007B09D7"/>
    <w:rsid w:val="007B268C"/>
    <w:rsid w:val="007B7171"/>
    <w:rsid w:val="007C0C0F"/>
    <w:rsid w:val="007C3DC2"/>
    <w:rsid w:val="007E4A4C"/>
    <w:rsid w:val="007E5497"/>
    <w:rsid w:val="00806F5F"/>
    <w:rsid w:val="00820278"/>
    <w:rsid w:val="008258C9"/>
    <w:rsid w:val="00844AE9"/>
    <w:rsid w:val="00867F95"/>
    <w:rsid w:val="008843B6"/>
    <w:rsid w:val="00891928"/>
    <w:rsid w:val="00892DAD"/>
    <w:rsid w:val="008A446D"/>
    <w:rsid w:val="008B25F1"/>
    <w:rsid w:val="008D180B"/>
    <w:rsid w:val="008F0EA7"/>
    <w:rsid w:val="008F64A9"/>
    <w:rsid w:val="00923EEF"/>
    <w:rsid w:val="00941590"/>
    <w:rsid w:val="009419F9"/>
    <w:rsid w:val="0095685E"/>
    <w:rsid w:val="00961B09"/>
    <w:rsid w:val="00965334"/>
    <w:rsid w:val="0097093E"/>
    <w:rsid w:val="009A0DFA"/>
    <w:rsid w:val="009A1C6F"/>
    <w:rsid w:val="009A214A"/>
    <w:rsid w:val="009B2D26"/>
    <w:rsid w:val="009C71FA"/>
    <w:rsid w:val="009C72E7"/>
    <w:rsid w:val="009C7F7E"/>
    <w:rsid w:val="009D3058"/>
    <w:rsid w:val="009F279D"/>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214"/>
    <w:rsid w:val="00BC3D36"/>
    <w:rsid w:val="00BD54A6"/>
    <w:rsid w:val="00BD7F72"/>
    <w:rsid w:val="00BF7425"/>
    <w:rsid w:val="00C04FB3"/>
    <w:rsid w:val="00C07AFB"/>
    <w:rsid w:val="00C11D8B"/>
    <w:rsid w:val="00C15139"/>
    <w:rsid w:val="00C330EB"/>
    <w:rsid w:val="00C50D69"/>
    <w:rsid w:val="00C5365C"/>
    <w:rsid w:val="00C754BE"/>
    <w:rsid w:val="00C76B1C"/>
    <w:rsid w:val="00C925AC"/>
    <w:rsid w:val="00CB6357"/>
    <w:rsid w:val="00CC1B26"/>
    <w:rsid w:val="00CD22DC"/>
    <w:rsid w:val="00D00414"/>
    <w:rsid w:val="00D361FD"/>
    <w:rsid w:val="00D423A2"/>
    <w:rsid w:val="00D44E26"/>
    <w:rsid w:val="00D520D8"/>
    <w:rsid w:val="00D63AC2"/>
    <w:rsid w:val="00D7383B"/>
    <w:rsid w:val="00D7788A"/>
    <w:rsid w:val="00DA231B"/>
    <w:rsid w:val="00DC39FC"/>
    <w:rsid w:val="00DE1DCB"/>
    <w:rsid w:val="00DF5254"/>
    <w:rsid w:val="00E005B6"/>
    <w:rsid w:val="00E02524"/>
    <w:rsid w:val="00E16408"/>
    <w:rsid w:val="00E20894"/>
    <w:rsid w:val="00E245AB"/>
    <w:rsid w:val="00E256A9"/>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1B87"/>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BFFE7F6"/>
    <w:rsid w:val="3C591AFD"/>
    <w:rsid w:val="42183F0A"/>
    <w:rsid w:val="545B112A"/>
    <w:rsid w:val="5BEB1497"/>
    <w:rsid w:val="69614A15"/>
    <w:rsid w:val="6ADA56F4"/>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021C6"/>
  <w15:chartTrackingRefBased/>
  <w15:docId w15:val="{2FDE3891-462F-B743-89BC-D00246CCB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766AAE"/>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766AAE"/>
    <w:rPr>
      <w:rFonts w:ascii="Geomanist Light" w:hAnsi="Geomanist Light"/>
      <w:lang w:val="es-ES"/>
    </w:rPr>
  </w:style>
  <w:style w:type="character" w:customStyle="1" w:styleId="s15">
    <w:name w:val="s15"/>
    <w:basedOn w:val="Fuentedeprrafopredeter"/>
    <w:rsid w:val="00766AAE"/>
  </w:style>
  <w:style w:type="character" w:customStyle="1" w:styleId="apple-converted-space">
    <w:name w:val="apple-converted-space"/>
    <w:basedOn w:val="Fuentedeprrafopredeter"/>
    <w:rsid w:val="00766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39AF66DB-C81A-498C-80AE-C133EC3CF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15</TotalTime>
  <Pages>20</Pages>
  <Words>6688</Words>
  <Characters>36786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43388</CharactersWithSpaces>
  <SharedDoc>false</SharedDoc>
  <HLinks>
    <vt:vector size="6" baseType="variant">
      <vt:variant>
        <vt:i4>7471218</vt:i4>
      </vt:variant>
      <vt:variant>
        <vt:i4>0</vt:i4>
      </vt:variant>
      <vt:variant>
        <vt:i4>0</vt:i4>
      </vt:variant>
      <vt:variant>
        <vt:i4>5</vt:i4>
      </vt:variant>
      <vt:variant>
        <vt:lpwstr>https://relatoria.colombiacompra.gov.co/busqueda/conceptos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Agencia Nacional de Contratación Pública - CCE</dc:creator>
  <cp:keywords/>
  <dc:description/>
  <cp:lastModifiedBy>Sergio Andrés Rivera Cano</cp:lastModifiedBy>
  <cp:revision>6</cp:revision>
  <cp:lastPrinted>2023-01-10T21:18:00Z</cp:lastPrinted>
  <dcterms:created xsi:type="dcterms:W3CDTF">2026-06-23T17:45:00Z</dcterms:created>
  <dcterms:modified xsi:type="dcterms:W3CDTF">2026-06-23T18:25:00Z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