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6FDCB" w14:textId="77777777" w:rsidR="004A3648" w:rsidRPr="00AD5455" w:rsidRDefault="004A3648" w:rsidP="004A3648">
      <w:pPr>
        <w:spacing w:after="0" w:line="240" w:lineRule="auto"/>
        <w:jc w:val="both"/>
        <w:rPr>
          <w:rFonts w:ascii="Verdana" w:hAnsi="Verdana"/>
          <w:b/>
          <w:bCs/>
          <w:lang w:val="es-MX"/>
        </w:rPr>
      </w:pPr>
      <w:bookmarkStart w:id="0" w:name="_Hlk143780582"/>
      <w:r w:rsidRPr="00AD5455">
        <w:rPr>
          <w:rFonts w:ascii="Verdana" w:hAnsi="Verdana"/>
          <w:b/>
          <w:bCs/>
          <w:lang w:val="es-MX"/>
        </w:rPr>
        <w:t>MÍNIMA CUANTÍA – Generalidades – Ley 1150 de 2007</w:t>
      </w:r>
    </w:p>
    <w:p w14:paraId="2BF34A3C" w14:textId="77777777" w:rsidR="004A3648" w:rsidRDefault="004A3648" w:rsidP="004A3648">
      <w:pPr>
        <w:spacing w:after="0" w:line="240" w:lineRule="auto"/>
        <w:jc w:val="both"/>
        <w:rPr>
          <w:rFonts w:ascii="Verdana" w:hAnsi="Verdana"/>
          <w:bCs/>
          <w:lang w:val="es-MX"/>
        </w:rPr>
      </w:pPr>
    </w:p>
    <w:p w14:paraId="2F73B272" w14:textId="77777777" w:rsidR="004A3648" w:rsidRDefault="004A3648" w:rsidP="004A3648">
      <w:pPr>
        <w:spacing w:after="0" w:line="240" w:lineRule="auto"/>
        <w:jc w:val="both"/>
        <w:rPr>
          <w:rFonts w:ascii="Verdana" w:hAnsi="Verdana"/>
          <w:bCs/>
          <w:sz w:val="20"/>
          <w:lang w:val="es-ES_tradnl"/>
        </w:rPr>
      </w:pPr>
      <w:r w:rsidRPr="00AD5455">
        <w:rPr>
          <w:rFonts w:ascii="Verdana" w:hAnsi="Verdana"/>
          <w:bCs/>
          <w:sz w:val="20"/>
          <w:lang w:val="es-ES_tradnl"/>
        </w:rPr>
        <w:t>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w:t>
      </w:r>
    </w:p>
    <w:p w14:paraId="0491804E" w14:textId="77777777" w:rsidR="004A3648" w:rsidRPr="00AD5455" w:rsidRDefault="004A3648" w:rsidP="004A3648">
      <w:pPr>
        <w:spacing w:after="0" w:line="240" w:lineRule="auto"/>
        <w:jc w:val="both"/>
        <w:rPr>
          <w:rFonts w:ascii="Verdana" w:hAnsi="Verdana"/>
          <w:bCs/>
          <w:sz w:val="20"/>
          <w:lang w:val="es-ES_tradnl"/>
        </w:rPr>
      </w:pPr>
    </w:p>
    <w:p w14:paraId="5CF3EF59" w14:textId="77777777" w:rsidR="004A3648" w:rsidRPr="003510EB" w:rsidRDefault="004A3648" w:rsidP="004A3648">
      <w:pPr>
        <w:spacing w:after="0" w:line="240" w:lineRule="auto"/>
        <w:jc w:val="both"/>
        <w:rPr>
          <w:rFonts w:ascii="Verdana" w:hAnsi="Verdana"/>
          <w:bCs/>
          <w:sz w:val="20"/>
          <w:lang w:val="es-ES_tradnl"/>
        </w:rPr>
      </w:pPr>
      <w:r w:rsidRPr="00AD5455">
        <w:rPr>
          <w:rFonts w:ascii="Verdana" w:hAnsi="Verdana"/>
          <w:bCs/>
          <w:sz w:val="20"/>
          <w:lang w:val="es-ES_tradnl"/>
        </w:rPr>
        <w:t>Dicho de otro modo, la mínima cuantía es un procedimiento de selección “especial”, porque es una excepción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 y lo segundo, porque sus requisitos, etapas y términos son especiales.</w:t>
      </w:r>
    </w:p>
    <w:p w14:paraId="15322052" w14:textId="77777777" w:rsidR="004A3648" w:rsidRPr="00AD5455" w:rsidRDefault="004A3648" w:rsidP="004A3648">
      <w:pPr>
        <w:spacing w:after="0" w:line="240" w:lineRule="auto"/>
        <w:jc w:val="both"/>
        <w:rPr>
          <w:rFonts w:ascii="Verdana" w:hAnsi="Verdana"/>
          <w:b/>
          <w:bCs/>
          <w:lang w:val="es-ES_tradnl"/>
        </w:rPr>
      </w:pPr>
    </w:p>
    <w:p w14:paraId="3F0EAE59" w14:textId="77777777" w:rsidR="004A3648" w:rsidRPr="00AD5455" w:rsidRDefault="004A3648" w:rsidP="004A3648">
      <w:pPr>
        <w:spacing w:after="0" w:line="240" w:lineRule="auto"/>
        <w:jc w:val="both"/>
        <w:rPr>
          <w:rFonts w:ascii="Verdana" w:hAnsi="Verdana"/>
          <w:b/>
          <w:bCs/>
          <w:lang w:val="es-MX"/>
        </w:rPr>
      </w:pPr>
      <w:r w:rsidRPr="00AD5455">
        <w:rPr>
          <w:rFonts w:ascii="Verdana" w:hAnsi="Verdana"/>
          <w:b/>
          <w:bCs/>
          <w:lang w:val="es-MX"/>
        </w:rPr>
        <w:t xml:space="preserve">MÍNIMA CUANTÍA – Normas reglamentarias – Decreto 1082 de 2015 – Procedimiento </w:t>
      </w:r>
    </w:p>
    <w:p w14:paraId="31436DE4" w14:textId="77777777" w:rsidR="004A3648" w:rsidRDefault="004A3648" w:rsidP="004A3648">
      <w:pPr>
        <w:spacing w:after="0" w:line="240" w:lineRule="auto"/>
        <w:jc w:val="both"/>
        <w:rPr>
          <w:rFonts w:ascii="Verdana" w:hAnsi="Verdana"/>
          <w:bCs/>
          <w:lang w:val="es-MX"/>
        </w:rPr>
      </w:pPr>
    </w:p>
    <w:p w14:paraId="02DB8A57" w14:textId="77777777" w:rsidR="004A3648" w:rsidRPr="00253A86" w:rsidRDefault="004A3648" w:rsidP="004A3648">
      <w:pPr>
        <w:spacing w:after="0" w:line="240" w:lineRule="auto"/>
        <w:jc w:val="both"/>
        <w:rPr>
          <w:rFonts w:ascii="Verdana" w:hAnsi="Verdana"/>
          <w:bCs/>
          <w:sz w:val="20"/>
          <w:lang w:val="es-ES"/>
        </w:rPr>
      </w:pPr>
      <w:r w:rsidRPr="00253A86">
        <w:rPr>
          <w:rFonts w:ascii="Verdana" w:hAnsi="Verdana"/>
          <w:bCs/>
          <w:sz w:val="20"/>
          <w:lang w:val="es-ES"/>
        </w:rPr>
        <w:t>Por su parte, el 31 de diciembre de 2020 fue expedida la Ley 2069 de 2020 –conocida como Ley de Emprendimiento–, cuyo artículo 30 modificó el numeral 5 del artículo 2 de la Ley 1150 de 2007, el cual regula la mínima cuantía. Esta norma dispuso aspectos del procedimiento como: i) el término mínimo para publicar la invitación, ii) el plazo mínimo de recepción de las ofertas, iii) el factor de evaluación que define la selección del proponente y iv) el perfeccionamiento del contrato.</w:t>
      </w:r>
    </w:p>
    <w:p w14:paraId="3B56DC29" w14:textId="77777777" w:rsidR="004A3648" w:rsidRPr="00253A86" w:rsidRDefault="004A3648" w:rsidP="004A3648">
      <w:pPr>
        <w:spacing w:after="0" w:line="240" w:lineRule="auto"/>
        <w:jc w:val="both"/>
        <w:rPr>
          <w:rFonts w:ascii="Verdana" w:hAnsi="Verdana"/>
          <w:bCs/>
          <w:sz w:val="20"/>
          <w:lang w:val="es-ES"/>
        </w:rPr>
      </w:pPr>
    </w:p>
    <w:p w14:paraId="0E48DF5A" w14:textId="77777777" w:rsidR="004A3648" w:rsidRPr="00253A86" w:rsidRDefault="004A3648" w:rsidP="004A3648">
      <w:pPr>
        <w:spacing w:after="0" w:line="240" w:lineRule="auto"/>
        <w:jc w:val="both"/>
        <w:rPr>
          <w:rFonts w:ascii="Verdana" w:hAnsi="Verdana"/>
          <w:bCs/>
          <w:sz w:val="20"/>
          <w:lang w:val="es-ES"/>
        </w:rPr>
      </w:pPr>
      <w:r w:rsidRPr="00253A86">
        <w:rPr>
          <w:rFonts w:ascii="Verdana" w:hAnsi="Verdana"/>
          <w:bCs/>
          <w:sz w:val="20"/>
          <w:lang w:val="es-ES"/>
        </w:rPr>
        <w:t>Adicionalmente, se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Entre los aspectos reglamentados por el decreto indicado se encuentra el procedimiento de mínima cuantía. De esta manera,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w:t>
      </w:r>
    </w:p>
    <w:p w14:paraId="1CAD2AA2" w14:textId="77777777" w:rsidR="004A3648" w:rsidRPr="00253A86" w:rsidRDefault="004A3648" w:rsidP="004A3648">
      <w:pPr>
        <w:spacing w:after="0" w:line="240" w:lineRule="auto"/>
        <w:jc w:val="both"/>
        <w:rPr>
          <w:rFonts w:ascii="Verdana" w:hAnsi="Verdana"/>
          <w:bCs/>
          <w:sz w:val="20"/>
          <w:lang w:val="es-ES"/>
        </w:rPr>
      </w:pPr>
    </w:p>
    <w:p w14:paraId="3A493F66" w14:textId="77777777" w:rsidR="004A3648" w:rsidRPr="00253A86" w:rsidRDefault="004A3648" w:rsidP="004A3648">
      <w:pPr>
        <w:spacing w:after="0" w:line="240" w:lineRule="auto"/>
        <w:jc w:val="both"/>
        <w:rPr>
          <w:rFonts w:ascii="Verdana" w:hAnsi="Verdana"/>
          <w:b/>
          <w:bCs/>
          <w:lang w:val="es-MX"/>
        </w:rPr>
      </w:pPr>
      <w:r w:rsidRPr="00253A86">
        <w:rPr>
          <w:rFonts w:ascii="Verdana" w:hAnsi="Verdana"/>
          <w:b/>
          <w:bCs/>
          <w:lang w:val="es-MX"/>
        </w:rPr>
        <w:t xml:space="preserve">ACEPTACIÓN DE LA OFERTA – Perfeccionamiento del contrato </w:t>
      </w:r>
    </w:p>
    <w:p w14:paraId="27120EE3" w14:textId="77777777" w:rsidR="004A3648" w:rsidRDefault="004A3648" w:rsidP="004A3648">
      <w:pPr>
        <w:spacing w:after="0" w:line="240" w:lineRule="auto"/>
        <w:jc w:val="both"/>
        <w:rPr>
          <w:rFonts w:ascii="Verdana" w:hAnsi="Verdana"/>
          <w:bCs/>
          <w:lang w:val="es-MX"/>
        </w:rPr>
      </w:pPr>
    </w:p>
    <w:p w14:paraId="7AD1E457" w14:textId="77777777" w:rsidR="004A3648" w:rsidRDefault="004A3648" w:rsidP="004A3648">
      <w:pPr>
        <w:spacing w:after="0" w:line="240" w:lineRule="auto"/>
        <w:jc w:val="both"/>
        <w:rPr>
          <w:rFonts w:ascii="Verdana" w:hAnsi="Verdana"/>
          <w:bCs/>
          <w:sz w:val="20"/>
          <w:lang w:val="es-ES_tradnl"/>
        </w:rPr>
      </w:pPr>
      <w:r w:rsidRPr="00253A86">
        <w:rPr>
          <w:rFonts w:ascii="Verdana" w:hAnsi="Verdana"/>
          <w:bCs/>
          <w:sz w:val="20"/>
          <w:lang w:val="es-ES"/>
        </w:rPr>
        <w:t xml:space="preserve">En este sentido, el legislador estableció que en los procesos de mínima cuantía no habría un </w:t>
      </w:r>
      <w:r w:rsidRPr="00253A86">
        <w:rPr>
          <w:rFonts w:ascii="Verdana" w:hAnsi="Verdana"/>
          <w:bCs/>
          <w:i/>
          <w:sz w:val="20"/>
          <w:lang w:val="es-ES"/>
        </w:rPr>
        <w:t>“acto de adjudicación”</w:t>
      </w:r>
      <w:r w:rsidRPr="00253A86">
        <w:rPr>
          <w:rFonts w:ascii="Verdana" w:hAnsi="Verdana"/>
          <w:bCs/>
          <w:sz w:val="20"/>
          <w:lang w:val="es-ES"/>
        </w:rPr>
        <w:t xml:space="preserve">, sino que en aras de la celeridad y economía que se busca con esta modalidad, la selección de la mejor oferta se realiza mediante una </w:t>
      </w:r>
      <w:r w:rsidRPr="00253A86">
        <w:rPr>
          <w:rFonts w:ascii="Verdana" w:hAnsi="Verdana"/>
          <w:bCs/>
          <w:i/>
          <w:sz w:val="20"/>
          <w:lang w:val="es-ES"/>
        </w:rPr>
        <w:t xml:space="preserve">“comunicación </w:t>
      </w:r>
      <w:r w:rsidRPr="00253A86">
        <w:rPr>
          <w:rFonts w:ascii="Verdana" w:hAnsi="Verdana"/>
          <w:bCs/>
          <w:i/>
          <w:sz w:val="20"/>
          <w:lang w:val="es-ES"/>
        </w:rPr>
        <w:lastRenderedPageBreak/>
        <w:t>de aceptación de la oferta”</w:t>
      </w:r>
      <w:r w:rsidRPr="00253A86">
        <w:rPr>
          <w:rFonts w:ascii="Verdana" w:hAnsi="Verdana"/>
          <w:bCs/>
          <w:sz w:val="20"/>
          <w:lang w:val="es-ES"/>
        </w:rPr>
        <w:t>, y dicha comunicación, junto con la oferta presentada por el oferente seleccionado, constituyen el contrato. Así, la comunicación de aceptación de la oferta hace las veces del acto de adjudicación, en el entendido de que bajo dicha actuación la entidad selecciona a su contratista; solo que en estos casos mediante dicho acto además se perfecciona el contrato.</w:t>
      </w:r>
    </w:p>
    <w:p w14:paraId="6131E18D" w14:textId="77777777" w:rsidR="004A3648" w:rsidRDefault="004A3648" w:rsidP="004A3648">
      <w:pPr>
        <w:spacing w:after="0" w:line="240" w:lineRule="auto"/>
        <w:jc w:val="both"/>
        <w:rPr>
          <w:rFonts w:ascii="Verdana" w:eastAsia="Times New Roman" w:hAnsi="Verdana" w:cs="Arial"/>
          <w:b/>
          <w:lang w:val="es-ES_tradnl" w:eastAsia="es-ES"/>
        </w:rPr>
      </w:pPr>
    </w:p>
    <w:p w14:paraId="51A6D97B" w14:textId="77777777" w:rsidR="004A3648" w:rsidRDefault="004A3648" w:rsidP="004A3648">
      <w:pPr>
        <w:spacing w:after="0" w:line="240" w:lineRule="auto"/>
        <w:jc w:val="both"/>
        <w:rPr>
          <w:rFonts w:ascii="Verdana" w:eastAsia="Times New Roman" w:hAnsi="Verdana" w:cs="Arial"/>
          <w:b/>
          <w:lang w:val="es-ES_tradnl" w:eastAsia="es-ES"/>
        </w:rPr>
      </w:pPr>
      <w:r w:rsidRPr="003034EB">
        <w:rPr>
          <w:rFonts w:ascii="Verdana" w:eastAsia="Times New Roman" w:hAnsi="Verdana" w:cs="Arial"/>
          <w:b/>
          <w:lang w:eastAsia="es-ES"/>
        </w:rPr>
        <w:t xml:space="preserve">ACEPTACIÓN DE LA OFERTA – </w:t>
      </w:r>
      <w:r>
        <w:rPr>
          <w:rFonts w:ascii="Verdana" w:eastAsia="Times New Roman" w:hAnsi="Verdana" w:cs="Arial"/>
          <w:b/>
          <w:lang w:eastAsia="es-ES"/>
        </w:rPr>
        <w:t xml:space="preserve">Valor contratado - </w:t>
      </w:r>
      <w:r w:rsidRPr="003034EB">
        <w:rPr>
          <w:rFonts w:ascii="Verdana" w:eastAsia="Times New Roman" w:hAnsi="Verdana" w:cs="Arial"/>
          <w:b/>
          <w:lang w:eastAsia="es-ES"/>
        </w:rPr>
        <w:t>REGISTRO PRESUPUESTAL</w:t>
      </w:r>
      <w:r>
        <w:rPr>
          <w:rFonts w:ascii="Verdana" w:eastAsia="Times New Roman" w:hAnsi="Verdana" w:cs="Arial"/>
          <w:b/>
          <w:lang w:eastAsia="es-ES"/>
        </w:rPr>
        <w:t xml:space="preserve"> - </w:t>
      </w:r>
      <w:r w:rsidRPr="008E2777">
        <w:rPr>
          <w:rFonts w:ascii="Verdana" w:eastAsia="Times New Roman" w:hAnsi="Verdana" w:cs="Arial"/>
          <w:b/>
          <w:lang w:eastAsia="es-ES"/>
        </w:rPr>
        <w:t>correspondencia de valores</w:t>
      </w:r>
    </w:p>
    <w:p w14:paraId="08F215CF" w14:textId="77777777" w:rsidR="004A3648" w:rsidRDefault="004A3648" w:rsidP="004A3648">
      <w:pPr>
        <w:spacing w:after="0" w:line="240" w:lineRule="auto"/>
        <w:jc w:val="both"/>
        <w:rPr>
          <w:rFonts w:ascii="Verdana" w:eastAsia="Times New Roman" w:hAnsi="Verdana" w:cs="Arial"/>
          <w:b/>
          <w:lang w:val="es-ES_tradnl" w:eastAsia="es-ES"/>
        </w:rPr>
      </w:pPr>
    </w:p>
    <w:p w14:paraId="4A3B5CAC" w14:textId="77777777" w:rsidR="004A3648" w:rsidRPr="003034EB" w:rsidRDefault="004A3648" w:rsidP="004A3648">
      <w:pPr>
        <w:spacing w:after="0" w:line="240" w:lineRule="auto"/>
        <w:jc w:val="both"/>
        <w:rPr>
          <w:rFonts w:ascii="Verdana" w:eastAsia="Times New Roman" w:hAnsi="Verdana" w:cs="Arial"/>
          <w:bCs/>
          <w:sz w:val="20"/>
          <w:szCs w:val="20"/>
          <w:lang w:val="es-ES_tradnl" w:eastAsia="es-ES"/>
        </w:rPr>
      </w:pPr>
      <w:r>
        <w:rPr>
          <w:rFonts w:ascii="Verdana" w:eastAsia="Times New Roman" w:hAnsi="Verdana" w:cs="Arial"/>
          <w:bCs/>
          <w:sz w:val="20"/>
          <w:szCs w:val="20"/>
          <w:lang w:val="es-ES_tradnl" w:eastAsia="es-ES"/>
        </w:rPr>
        <w:t>E</w:t>
      </w:r>
      <w:r w:rsidRPr="003034EB">
        <w:rPr>
          <w:rFonts w:ascii="Verdana" w:eastAsia="Times New Roman" w:hAnsi="Verdana" w:cs="Arial"/>
          <w:bCs/>
          <w:sz w:val="20"/>
          <w:szCs w:val="20"/>
          <w:lang w:val="es-ES_tradnl" w:eastAsia="es-ES"/>
        </w:rPr>
        <w:t>xiste una estrecha correspondencia entre el valor de la oferta aceptada, el valor del contrato que surge de dicha aceptación y el valor del compromiso presupuestal que debe respaldar la obligación adquirida por la entidad. En esa medida, cualquier decisión relacionada con la aceptación de la oferta o con la expedición del registro presupuestal deberá analizarse a la luz de las reglas que gobiernan la formación del contrato estatal, el contenido de la oferta seleccionada y la finalidad propia del registro presupuestal como instrumento de ejecución del gasto público.</w:t>
      </w:r>
    </w:p>
    <w:p w14:paraId="625F0E58" w14:textId="77777777" w:rsidR="004A3648" w:rsidRDefault="004A3648" w:rsidP="004A3648">
      <w:pPr>
        <w:spacing w:after="0" w:line="240" w:lineRule="auto"/>
        <w:jc w:val="both"/>
        <w:rPr>
          <w:rFonts w:ascii="Verdana" w:eastAsia="Times New Roman" w:hAnsi="Verdana" w:cs="Arial"/>
          <w:b/>
          <w:lang w:val="es-ES_tradnl" w:eastAsia="es-ES"/>
        </w:rPr>
      </w:pPr>
    </w:p>
    <w:p w14:paraId="73B63A54" w14:textId="77777777" w:rsidR="004A3648" w:rsidRDefault="004A3648" w:rsidP="004A3648">
      <w:pPr>
        <w:spacing w:after="0" w:line="240" w:lineRule="auto"/>
        <w:jc w:val="both"/>
        <w:rPr>
          <w:rFonts w:ascii="Verdana" w:eastAsia="Times New Roman" w:hAnsi="Verdana" w:cs="Arial"/>
          <w:b/>
          <w:lang w:val="es-ES_tradnl" w:eastAsia="es-ES"/>
        </w:rPr>
      </w:pPr>
    </w:p>
    <w:p w14:paraId="30E8AC17" w14:textId="77777777" w:rsidR="004A3648" w:rsidRDefault="004A3648" w:rsidP="004A3648">
      <w:pPr>
        <w:spacing w:after="0" w:line="240" w:lineRule="auto"/>
        <w:jc w:val="both"/>
        <w:rPr>
          <w:rFonts w:ascii="Verdana" w:eastAsia="Times New Roman" w:hAnsi="Verdana" w:cs="Arial"/>
          <w:b/>
          <w:lang w:val="es-ES_tradnl" w:eastAsia="es-ES"/>
        </w:rPr>
      </w:pPr>
    </w:p>
    <w:p w14:paraId="691EC6B2"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5CB97A6C"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529A6051"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076DF086"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1FB10A24"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65DEC92A"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2ED8320A"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3704850C"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4370E7EA"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5D7DCB95"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3DF7E939"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6ABAFE3B"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22B80510"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08A6F24F"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07AA7CB8"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327F6547"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5C5D24BD"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7C575F97"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3EFB2A81"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449A5A13"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707E621E"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3B870339"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459371F5"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44878C16"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1F15F7CB"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28CFEB62" w14:textId="77777777" w:rsidR="004A3648" w:rsidRDefault="004A3648" w:rsidP="004A3648">
      <w:pPr>
        <w:spacing w:after="0" w:line="240" w:lineRule="auto"/>
        <w:jc w:val="both"/>
        <w:rPr>
          <w:rFonts w:ascii="Verdana" w:eastAsia="Times New Roman" w:hAnsi="Verdana" w:cs="Times New Roman"/>
          <w:sz w:val="20"/>
          <w:szCs w:val="20"/>
          <w:lang w:val="es-ES_tradnl" w:eastAsia="es-ES_tradnl"/>
        </w:rPr>
      </w:pPr>
    </w:p>
    <w:p w14:paraId="00F7C527" w14:textId="77777777" w:rsidR="004A3648" w:rsidRPr="00E31648" w:rsidRDefault="004A3648" w:rsidP="004A3648">
      <w:pPr>
        <w:spacing w:after="0" w:line="240" w:lineRule="auto"/>
      </w:pPr>
      <w:r w:rsidRPr="00C562D4">
        <w:rPr>
          <w:rFonts w:ascii="Verdana" w:eastAsia="Calibri" w:hAnsi="Verdana" w:cs="Arial"/>
          <w:color w:val="000000" w:themeColor="text1"/>
        </w:rPr>
        <w:lastRenderedPageBreak/>
        <w:t xml:space="preserve">Bogotá D.C., </w:t>
      </w:r>
      <w:r>
        <w:rPr>
          <w:rFonts w:ascii="Verdana" w:eastAsia="Calibri" w:hAnsi="Verdana" w:cs="Arial"/>
          <w:color w:val="000000" w:themeColor="text1"/>
        </w:rPr>
        <w:t xml:space="preserve">18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junio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3C530DBC" w14:textId="77777777" w:rsidR="004A3648" w:rsidRDefault="004A3648" w:rsidP="004A3648">
      <w:pPr>
        <w:spacing w:after="0" w:line="240" w:lineRule="auto"/>
        <w:jc w:val="both"/>
        <w:rPr>
          <w:rFonts w:ascii="Verdana" w:eastAsia="Calibri" w:hAnsi="Verdana" w:cs="Arial"/>
          <w:color w:val="000000" w:themeColor="text1"/>
          <w:lang w:val="es-ES"/>
        </w:rPr>
      </w:pPr>
    </w:p>
    <w:p w14:paraId="77EF96AA" w14:textId="75A67F1E" w:rsidR="00AA0BF8" w:rsidRDefault="00AA0BF8" w:rsidP="00AA0BF8">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6EDEEA96" wp14:editId="50375436">
            <wp:extent cx="2076450" cy="676275"/>
            <wp:effectExtent l="0" t="0" r="0" b="9525"/>
            <wp:docPr id="13185118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76450" cy="676275"/>
                    </a:xfrm>
                    <a:prstGeom prst="rect">
                      <a:avLst/>
                    </a:prstGeom>
                    <a:noFill/>
                    <a:ln>
                      <a:noFill/>
                    </a:ln>
                  </pic:spPr>
                </pic:pic>
              </a:graphicData>
            </a:graphic>
          </wp:inline>
        </w:drawing>
      </w:r>
    </w:p>
    <w:p w14:paraId="5942B159" w14:textId="77777777" w:rsidR="004A3648" w:rsidRDefault="004A3648" w:rsidP="004A3648">
      <w:pPr>
        <w:spacing w:after="0" w:line="240" w:lineRule="auto"/>
        <w:jc w:val="both"/>
        <w:rPr>
          <w:rFonts w:ascii="Verdana" w:eastAsia="Calibri" w:hAnsi="Verdana" w:cs="Arial"/>
          <w:color w:val="000000" w:themeColor="text1"/>
          <w:lang w:val="es-ES" w:eastAsia="es-ES"/>
        </w:rPr>
      </w:pPr>
    </w:p>
    <w:p w14:paraId="6E9A96A5" w14:textId="77777777" w:rsidR="004A3648" w:rsidRPr="0046108F" w:rsidRDefault="004A3648" w:rsidP="004A3648">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p>
    <w:p w14:paraId="3B9226B0" w14:textId="77777777" w:rsidR="004A3648" w:rsidRDefault="004A3648" w:rsidP="004A3648">
      <w:pPr>
        <w:spacing w:after="0" w:line="240" w:lineRule="auto"/>
        <w:rPr>
          <w:rFonts w:ascii="Verdana" w:eastAsia="Calibri" w:hAnsi="Verdana" w:cs="Arial"/>
          <w:b/>
          <w:bCs/>
          <w:lang w:eastAsia="es-ES"/>
        </w:rPr>
      </w:pPr>
      <w:r w:rsidRPr="001C2C21">
        <w:rPr>
          <w:rFonts w:ascii="Verdana" w:eastAsia="Calibri" w:hAnsi="Verdana" w:cs="Arial"/>
          <w:b/>
          <w:bCs/>
          <w:lang w:eastAsia="es-ES"/>
        </w:rPr>
        <w:t xml:space="preserve">David Andrés Gamboa Luna </w:t>
      </w:r>
    </w:p>
    <w:p w14:paraId="70E2F365" w14:textId="77777777" w:rsidR="004A3648" w:rsidRPr="001C2C21" w:rsidRDefault="004A3648" w:rsidP="004A3648">
      <w:pPr>
        <w:spacing w:after="0" w:line="240" w:lineRule="auto"/>
        <w:rPr>
          <w:rFonts w:ascii="Verdana" w:eastAsia="Calibri" w:hAnsi="Verdana" w:cs="Arial"/>
          <w:lang w:eastAsia="es-ES"/>
        </w:rPr>
      </w:pPr>
      <w:hyperlink r:id="rId11" w:history="1">
        <w:r w:rsidRPr="001C2C21">
          <w:rPr>
            <w:rStyle w:val="Hipervnculo"/>
            <w:rFonts w:ascii="Verdana" w:eastAsia="Calibri" w:hAnsi="Verdana" w:cs="Arial"/>
            <w:lang w:eastAsia="es-ES"/>
          </w:rPr>
          <w:t>dgamboal@dian.gov.co</w:t>
        </w:r>
      </w:hyperlink>
      <w:r w:rsidRPr="001C2C21">
        <w:rPr>
          <w:rFonts w:ascii="Verdana" w:eastAsia="Calibri" w:hAnsi="Verdana" w:cs="Arial"/>
          <w:lang w:eastAsia="es-ES"/>
        </w:rPr>
        <w:t xml:space="preserve"> </w:t>
      </w:r>
    </w:p>
    <w:p w14:paraId="4DA05224" w14:textId="77777777" w:rsidR="004A3648" w:rsidRPr="006B17A7" w:rsidRDefault="004A3648" w:rsidP="004A3648">
      <w:pPr>
        <w:spacing w:after="0" w:line="240" w:lineRule="auto"/>
        <w:rPr>
          <w:rFonts w:ascii="Verdana" w:eastAsia="Calibri" w:hAnsi="Verdana" w:cs="Arial"/>
          <w:b/>
          <w:bCs/>
          <w:lang w:val="es-ES" w:eastAsia="es-ES"/>
        </w:rPr>
      </w:pPr>
    </w:p>
    <w:p w14:paraId="1A7C1103" w14:textId="77777777" w:rsidR="004A3648" w:rsidRPr="00CB7ABE" w:rsidRDefault="004A3648" w:rsidP="004A3648">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4A3648" w:rsidRPr="00115E3D" w14:paraId="0373D618" w14:textId="77777777" w:rsidTr="0076623F">
        <w:trPr>
          <w:trHeight w:val="615"/>
        </w:trPr>
        <w:tc>
          <w:tcPr>
            <w:tcW w:w="2270" w:type="dxa"/>
          </w:tcPr>
          <w:p w14:paraId="24A56314" w14:textId="77777777" w:rsidR="004A3648" w:rsidRPr="00CB7ABE" w:rsidRDefault="004A3648" w:rsidP="0076623F">
            <w:pPr>
              <w:jc w:val="both"/>
              <w:rPr>
                <w:rFonts w:ascii="Verdana" w:eastAsia="Calibri" w:hAnsi="Verdana" w:cs="Arial"/>
                <w:b/>
                <w:bCs/>
                <w:color w:val="000000" w:themeColor="text1"/>
                <w:lang w:eastAsia="es-ES_tradnl"/>
              </w:rPr>
            </w:pPr>
          </w:p>
        </w:tc>
        <w:tc>
          <w:tcPr>
            <w:tcW w:w="6547" w:type="dxa"/>
          </w:tcPr>
          <w:p w14:paraId="77D6B893" w14:textId="77777777" w:rsidR="004A3648" w:rsidRPr="008A209A" w:rsidRDefault="004A3648" w:rsidP="0076623F">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770 </w:t>
            </w:r>
            <w:r w:rsidRPr="008A209A">
              <w:rPr>
                <w:rFonts w:ascii="Verdana" w:eastAsia="Calibri" w:hAnsi="Verdana" w:cs="Arial"/>
                <w:b/>
                <w:bCs/>
                <w:color w:val="000000" w:themeColor="text1"/>
                <w:lang w:val="es-ES" w:eastAsia="es-ES"/>
              </w:rPr>
              <w:t>de 2026</w:t>
            </w:r>
          </w:p>
        </w:tc>
      </w:tr>
      <w:tr w:rsidR="004A3648" w:rsidRPr="007E403E" w14:paraId="0FFA6162" w14:textId="77777777" w:rsidTr="0076623F">
        <w:trPr>
          <w:trHeight w:val="1071"/>
        </w:trPr>
        <w:tc>
          <w:tcPr>
            <w:tcW w:w="2270" w:type="dxa"/>
          </w:tcPr>
          <w:p w14:paraId="0DE8FF68" w14:textId="77777777" w:rsidR="004A3648" w:rsidRPr="001B36DA" w:rsidRDefault="004A3648" w:rsidP="0076623F">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3E9B0476" w14:textId="77777777" w:rsidR="004A3648" w:rsidRPr="008E2777" w:rsidRDefault="004A3648" w:rsidP="0076623F">
            <w:pPr>
              <w:jc w:val="both"/>
              <w:rPr>
                <w:rFonts w:ascii="Verdana" w:eastAsia="Times New Roman" w:hAnsi="Verdana" w:cs="Arial"/>
                <w:bCs/>
                <w:lang w:val="es-ES_tradnl" w:eastAsia="es-ES"/>
              </w:rPr>
            </w:pPr>
            <w:r w:rsidRPr="00A272D1">
              <w:rPr>
                <w:rFonts w:ascii="Verdana" w:eastAsia="Calibri" w:hAnsi="Verdana" w:cs="Arial"/>
                <w:lang w:val="es-MX"/>
              </w:rPr>
              <w:t xml:space="preserve">MÍNIMA CUANTÍA – Generalidades – Ley 1150 de 2007 / MÍNIMA CUANTÍA – Normas reglamentarias – Decreto 1082 de 2015 – Procedimiento / </w:t>
            </w:r>
            <w:r w:rsidRPr="008E2777">
              <w:rPr>
                <w:rFonts w:ascii="Verdana" w:eastAsia="Times New Roman" w:hAnsi="Verdana" w:cs="Arial"/>
                <w:bCs/>
                <w:lang w:eastAsia="es-ES"/>
              </w:rPr>
              <w:t>ACEPTACIÓN DE LA OFERTA – Valor contratado - REGISTRO PRESUPUESTAL - correspondencia de valores</w:t>
            </w:r>
          </w:p>
          <w:p w14:paraId="5C06E7E0" w14:textId="77777777" w:rsidR="004A3648" w:rsidRPr="00103B36" w:rsidRDefault="004A3648" w:rsidP="0076623F">
            <w:pPr>
              <w:spacing w:line="276" w:lineRule="auto"/>
              <w:jc w:val="both"/>
              <w:rPr>
                <w:rFonts w:ascii="Verdana" w:eastAsia="Calibri" w:hAnsi="Verdana" w:cs="Arial"/>
                <w:color w:val="000000" w:themeColor="text1"/>
                <w:highlight w:val="yellow"/>
                <w:lang w:val="es-ES" w:eastAsia="es-ES"/>
              </w:rPr>
            </w:pPr>
            <w:r w:rsidRPr="00A272D1">
              <w:rPr>
                <w:rFonts w:ascii="Verdana" w:eastAsia="Calibri" w:hAnsi="Verdana" w:cs="Arial"/>
                <w:lang w:val="es-MX"/>
              </w:rPr>
              <w:t xml:space="preserve"> </w:t>
            </w:r>
          </w:p>
        </w:tc>
      </w:tr>
      <w:tr w:rsidR="004A3648" w:rsidRPr="00115E3D" w14:paraId="482B90E3" w14:textId="77777777" w:rsidTr="0076623F">
        <w:trPr>
          <w:trHeight w:val="653"/>
        </w:trPr>
        <w:tc>
          <w:tcPr>
            <w:tcW w:w="2270" w:type="dxa"/>
          </w:tcPr>
          <w:p w14:paraId="13769A63" w14:textId="77777777" w:rsidR="004A3648" w:rsidRPr="00CB7ABE" w:rsidRDefault="004A3648" w:rsidP="0076623F">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480D7AC4" w14:textId="77777777" w:rsidR="004A3648" w:rsidRPr="00CB7ABE" w:rsidRDefault="004A3648" w:rsidP="0076623F">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C4730A">
              <w:rPr>
                <w:rFonts w:ascii="Verdana" w:eastAsia="Calibri" w:hAnsi="Verdana" w:cs="Arial"/>
                <w:color w:val="000000" w:themeColor="text1"/>
                <w:lang w:val="es-ES_tradnl" w:eastAsia="es-ES_tradnl"/>
              </w:rPr>
              <w:t>1_2026_05_07_006226.</w:t>
            </w:r>
          </w:p>
        </w:tc>
      </w:tr>
      <w:tr w:rsidR="004A3648" w:rsidRPr="00115E3D" w14:paraId="62F8FAA1" w14:textId="77777777" w:rsidTr="0076623F">
        <w:trPr>
          <w:trHeight w:val="278"/>
        </w:trPr>
        <w:tc>
          <w:tcPr>
            <w:tcW w:w="2270" w:type="dxa"/>
          </w:tcPr>
          <w:p w14:paraId="4A622C95" w14:textId="77777777" w:rsidR="004A3648" w:rsidRPr="00CB7ABE" w:rsidRDefault="004A3648" w:rsidP="0076623F">
            <w:pPr>
              <w:jc w:val="both"/>
              <w:rPr>
                <w:rFonts w:ascii="Verdana" w:eastAsia="Calibri" w:hAnsi="Verdana" w:cs="Arial"/>
                <w:b/>
                <w:color w:val="000000" w:themeColor="text1"/>
                <w:lang w:val="es-ES_tradnl" w:eastAsia="es-ES_tradnl"/>
              </w:rPr>
            </w:pPr>
          </w:p>
        </w:tc>
        <w:tc>
          <w:tcPr>
            <w:tcW w:w="6547" w:type="dxa"/>
          </w:tcPr>
          <w:p w14:paraId="33551AFC" w14:textId="77777777" w:rsidR="004A3648" w:rsidRPr="00CB7ABE" w:rsidRDefault="004A3648" w:rsidP="0076623F">
            <w:pPr>
              <w:ind w:right="1"/>
              <w:jc w:val="both"/>
              <w:rPr>
                <w:rFonts w:ascii="Verdana" w:eastAsia="Calibri" w:hAnsi="Verdana" w:cs="Arial"/>
                <w:color w:val="000000" w:themeColor="text1"/>
                <w:lang w:val="es-ES_tradnl" w:eastAsia="es-ES_tradnl"/>
              </w:rPr>
            </w:pPr>
          </w:p>
        </w:tc>
      </w:tr>
    </w:tbl>
    <w:p w14:paraId="04B3DE77" w14:textId="77777777" w:rsidR="004A3648" w:rsidRPr="00115E3D" w:rsidRDefault="004A3648" w:rsidP="004A3648">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w:t>
      </w:r>
      <w:r w:rsidRPr="00115E3D">
        <w:rPr>
          <w:rFonts w:ascii="Verdana" w:eastAsia="Calibri" w:hAnsi="Verdana" w:cs="Arial"/>
          <w:color w:val="000000" w:themeColor="text1"/>
          <w:lang w:val="es-ES" w:eastAsia="es-ES"/>
        </w:rPr>
        <w:t>stimad</w:t>
      </w:r>
      <w:r>
        <w:rPr>
          <w:rFonts w:ascii="Verdana" w:eastAsia="Calibri" w:hAnsi="Verdana" w:cs="Arial"/>
          <w:color w:val="000000" w:themeColor="text1"/>
          <w:lang w:val="es-ES" w:eastAsia="es-ES"/>
        </w:rPr>
        <w:t xml:space="preserve">o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Gamboa;</w:t>
      </w:r>
    </w:p>
    <w:p w14:paraId="036A24E5" w14:textId="77777777" w:rsidR="004A3648" w:rsidRPr="00115E3D" w:rsidRDefault="004A3648" w:rsidP="004A3648">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1A16185F" w14:textId="688EEF6D" w:rsidR="004A3648" w:rsidRPr="00115E3D" w:rsidRDefault="004A3648" w:rsidP="004A3648">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w:t>
      </w:r>
      <w:r>
        <w:rPr>
          <w:rFonts w:ascii="Verdana" w:eastAsia="Calibri" w:hAnsi="Verdana" w:cs="Arial"/>
          <w:color w:val="000000" w:themeColor="text1"/>
          <w:lang w:val="es-ES" w:eastAsia="es-ES"/>
        </w:rPr>
        <w:t xml:space="preserve"> a su solicitud trasladada por el Ministerio de Hacienda y Crédito Público y radicada ante esta entidad el 07 de mayo de 2026 </w:t>
      </w:r>
      <w:r w:rsidRPr="00115E3D">
        <w:rPr>
          <w:rFonts w:ascii="Verdana" w:eastAsia="Calibri" w:hAnsi="Verdana" w:cs="Arial"/>
          <w:color w:val="000000" w:themeColor="text1"/>
          <w:lang w:val="es-ES" w:eastAsia="es-ES"/>
        </w:rPr>
        <w:t xml:space="preserve">en la cual manifiesta lo siguiente: </w:t>
      </w:r>
    </w:p>
    <w:p w14:paraId="5CB1AA4F" w14:textId="77777777" w:rsidR="004A3648" w:rsidRDefault="004A3648" w:rsidP="004A3648">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26DF8293" w14:textId="77777777" w:rsidR="004A3648" w:rsidRDefault="004A3648" w:rsidP="004A3648">
      <w:pPr>
        <w:spacing w:after="0" w:line="240" w:lineRule="auto"/>
        <w:ind w:left="1134" w:right="709"/>
        <w:rPr>
          <w:rFonts w:ascii="Verdana" w:eastAsia="Century Gothic" w:hAnsi="Verdana" w:cs="Century Gothic"/>
          <w:i/>
          <w:iCs/>
          <w:color w:val="000000" w:themeColor="text1"/>
          <w:sz w:val="20"/>
          <w:szCs w:val="20"/>
          <w:lang w:val="es-ES"/>
        </w:rPr>
      </w:pPr>
      <w:r w:rsidRPr="00104557">
        <w:rPr>
          <w:rFonts w:ascii="Verdana" w:eastAsia="Century Gothic" w:hAnsi="Verdana" w:cs="Century Gothic"/>
          <w:i/>
          <w:iCs/>
          <w:color w:val="000000" w:themeColor="text1"/>
          <w:sz w:val="20"/>
          <w:szCs w:val="20"/>
          <w:lang w:val="es-ES"/>
        </w:rPr>
        <w:t>“</w:t>
      </w:r>
    </w:p>
    <w:p w14:paraId="67A10E20" w14:textId="77777777" w:rsidR="004A3648" w:rsidRPr="00A62282" w:rsidRDefault="004A3648" w:rsidP="004A3648">
      <w:pPr>
        <w:pStyle w:val="Prrafodelista"/>
        <w:numPr>
          <w:ilvl w:val="0"/>
          <w:numId w:val="18"/>
        </w:numPr>
        <w:spacing w:after="0" w:line="240" w:lineRule="auto"/>
        <w:ind w:left="1134" w:right="1041" w:firstLine="0"/>
        <w:jc w:val="both"/>
        <w:rPr>
          <w:rFonts w:ascii="Verdana" w:hAnsi="Verdana"/>
          <w:i/>
          <w:iCs/>
          <w:sz w:val="20"/>
          <w:szCs w:val="20"/>
        </w:rPr>
      </w:pPr>
      <w:r w:rsidRPr="00A62282">
        <w:rPr>
          <w:rFonts w:ascii="Verdana" w:hAnsi="Verdana"/>
          <w:i/>
          <w:iCs/>
          <w:sz w:val="20"/>
          <w:szCs w:val="20"/>
        </w:rPr>
        <w:t xml:space="preserve">¿Es viable adjudicar contratos por valor superior a la oferta del contratista para los contratos de mínima cuantía? </w:t>
      </w:r>
    </w:p>
    <w:p w14:paraId="28A7E1D4" w14:textId="77777777" w:rsidR="004A3648" w:rsidRPr="00A62282" w:rsidRDefault="004A3648" w:rsidP="004A3648">
      <w:pPr>
        <w:spacing w:after="0" w:line="240" w:lineRule="auto"/>
        <w:ind w:left="1134" w:right="1041"/>
        <w:contextualSpacing/>
        <w:jc w:val="both"/>
        <w:rPr>
          <w:rFonts w:ascii="Verdana" w:hAnsi="Verdana"/>
          <w:i/>
          <w:iCs/>
          <w:sz w:val="20"/>
          <w:szCs w:val="20"/>
        </w:rPr>
      </w:pPr>
      <w:r w:rsidRPr="00A62282">
        <w:rPr>
          <w:rFonts w:ascii="Verdana" w:hAnsi="Verdana"/>
          <w:i/>
          <w:iCs/>
          <w:sz w:val="20"/>
          <w:szCs w:val="20"/>
        </w:rPr>
        <w:t xml:space="preserve">2. ¿Es posible asignar Registro Presupuestal a un contrato de mínima cuantía por valor superior a la oferta presentada por el contratista con la siguiente justificación?: De ser afirmativa la respuesta a la pregunta 1 y/o 2 surgen las siguientes preguntas: </w:t>
      </w:r>
    </w:p>
    <w:p w14:paraId="4B8F53B0" w14:textId="77777777" w:rsidR="004A3648" w:rsidRPr="00A62282" w:rsidRDefault="004A3648" w:rsidP="004A3648">
      <w:pPr>
        <w:spacing w:after="0" w:line="240" w:lineRule="auto"/>
        <w:ind w:left="1134" w:right="1041"/>
        <w:contextualSpacing/>
        <w:jc w:val="both"/>
        <w:rPr>
          <w:rFonts w:ascii="Verdana" w:hAnsi="Verdana"/>
          <w:i/>
          <w:iCs/>
          <w:sz w:val="20"/>
          <w:szCs w:val="20"/>
        </w:rPr>
      </w:pPr>
      <w:r w:rsidRPr="00A62282">
        <w:rPr>
          <w:rFonts w:ascii="Verdana" w:hAnsi="Verdana"/>
          <w:i/>
          <w:iCs/>
          <w:sz w:val="20"/>
          <w:szCs w:val="20"/>
        </w:rPr>
        <w:t xml:space="preserve">3.1 ¿Cuál sería el fundamento legal para poder hacerlo? </w:t>
      </w:r>
    </w:p>
    <w:p w14:paraId="548A6053" w14:textId="77777777" w:rsidR="004A3648" w:rsidRPr="00A62282" w:rsidRDefault="004A3648" w:rsidP="004A3648">
      <w:pPr>
        <w:spacing w:after="0" w:line="240" w:lineRule="auto"/>
        <w:ind w:left="1134" w:right="1041"/>
        <w:contextualSpacing/>
        <w:jc w:val="both"/>
        <w:rPr>
          <w:rFonts w:ascii="Verdana" w:hAnsi="Verdana"/>
          <w:i/>
          <w:iCs/>
          <w:sz w:val="20"/>
          <w:szCs w:val="20"/>
        </w:rPr>
      </w:pPr>
      <w:r w:rsidRPr="00A62282">
        <w:rPr>
          <w:rFonts w:ascii="Verdana" w:hAnsi="Verdana"/>
          <w:i/>
          <w:iCs/>
          <w:sz w:val="20"/>
          <w:szCs w:val="20"/>
        </w:rPr>
        <w:lastRenderedPageBreak/>
        <w:t xml:space="preserve">3.2 ¿No se estarían agregando procedimientos o formalidades adicionales a los establecidos en la Ley 1474 de 2011? </w:t>
      </w:r>
    </w:p>
    <w:p w14:paraId="5B9E44BD" w14:textId="77777777" w:rsidR="004A3648" w:rsidRPr="00A62282" w:rsidRDefault="004A3648" w:rsidP="004A3648">
      <w:pPr>
        <w:spacing w:after="0" w:line="240" w:lineRule="auto"/>
        <w:ind w:left="1134" w:right="1041"/>
        <w:contextualSpacing/>
        <w:jc w:val="both"/>
        <w:rPr>
          <w:rFonts w:ascii="Verdana" w:eastAsia="Century Gothic" w:hAnsi="Verdana" w:cs="Century Gothic"/>
          <w:i/>
          <w:iCs/>
          <w:color w:val="000000" w:themeColor="text1"/>
          <w:sz w:val="20"/>
          <w:szCs w:val="20"/>
          <w:lang w:val="es-ES"/>
        </w:rPr>
      </w:pPr>
      <w:r w:rsidRPr="00A62282">
        <w:rPr>
          <w:rFonts w:ascii="Verdana" w:hAnsi="Verdana"/>
          <w:i/>
          <w:iCs/>
          <w:sz w:val="20"/>
          <w:szCs w:val="20"/>
        </w:rPr>
        <w:t>3.3 Es viable expedir el Registro Presupuestal por el valor total de la disponibilidad presupuestal o un valor diferente a la oferta presentada por el contratista que fue por menor valor?</w:t>
      </w:r>
      <w:r w:rsidRPr="00A62282">
        <w:rPr>
          <w:rFonts w:ascii="Verdana" w:eastAsia="Century Gothic" w:hAnsi="Verdana" w:cs="Century Gothic"/>
          <w:i/>
          <w:iCs/>
          <w:color w:val="000000" w:themeColor="text1"/>
          <w:sz w:val="20"/>
          <w:szCs w:val="20"/>
          <w:lang w:val="es-MX"/>
        </w:rPr>
        <w:t>“</w:t>
      </w:r>
    </w:p>
    <w:p w14:paraId="61BFF8C6" w14:textId="77777777" w:rsidR="004A3648" w:rsidRDefault="004A3648" w:rsidP="004A3648">
      <w:pPr>
        <w:spacing w:after="0" w:line="240" w:lineRule="auto"/>
        <w:ind w:left="709" w:right="709"/>
        <w:jc w:val="both"/>
        <w:rPr>
          <w:rFonts w:ascii="Verdana" w:eastAsia="Century Gothic" w:hAnsi="Verdana" w:cs="Century Gothic"/>
          <w:i/>
          <w:iCs/>
          <w:color w:val="000000" w:themeColor="text1"/>
          <w:sz w:val="20"/>
          <w:szCs w:val="20"/>
          <w:lang w:val="es-ES"/>
        </w:rPr>
      </w:pPr>
    </w:p>
    <w:p w14:paraId="1CB7B646" w14:textId="77777777" w:rsidR="004A3648" w:rsidRDefault="004A3648" w:rsidP="004A3648">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4ED855F3" w14:textId="77777777" w:rsidR="004A3648" w:rsidRPr="00115E3D" w:rsidRDefault="004A3648" w:rsidP="004A3648">
      <w:pPr>
        <w:spacing w:after="0" w:line="240" w:lineRule="auto"/>
        <w:ind w:right="49"/>
        <w:jc w:val="both"/>
        <w:rPr>
          <w:rFonts w:ascii="Verdana" w:eastAsia="Calibri" w:hAnsi="Verdana" w:cs="Arial"/>
          <w:color w:val="000000" w:themeColor="text1"/>
          <w:szCs w:val="24"/>
          <w:lang w:val="es-ES_tradnl" w:eastAsia="es-ES_tradnl"/>
        </w:rPr>
      </w:pPr>
    </w:p>
    <w:p w14:paraId="5C661FCC" w14:textId="77777777" w:rsidR="004A3648" w:rsidRPr="00115E3D" w:rsidRDefault="004A3648" w:rsidP="004A3648">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54DEAAC0" w14:textId="77777777" w:rsidR="004A3648" w:rsidRDefault="004A3648" w:rsidP="004A3648">
      <w:pPr>
        <w:spacing w:after="0" w:line="276" w:lineRule="auto"/>
        <w:ind w:firstLine="709"/>
        <w:jc w:val="both"/>
        <w:rPr>
          <w:rFonts w:ascii="Verdana" w:eastAsia="Calibri" w:hAnsi="Verdana" w:cs="Arial"/>
          <w:color w:val="000000" w:themeColor="text1"/>
          <w:lang w:val="es-ES" w:eastAsia="es-ES"/>
        </w:rPr>
      </w:pPr>
    </w:p>
    <w:p w14:paraId="7D497930" w14:textId="77777777" w:rsidR="004A3648" w:rsidRPr="00115E3D" w:rsidRDefault="004A3648" w:rsidP="004A364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06BB26CB" w14:textId="77777777" w:rsidR="004A3648" w:rsidRPr="00115E3D" w:rsidRDefault="004A3648" w:rsidP="004A3648">
      <w:pPr>
        <w:tabs>
          <w:tab w:val="left" w:pos="426"/>
        </w:tabs>
        <w:spacing w:after="0" w:line="276" w:lineRule="auto"/>
        <w:jc w:val="both"/>
        <w:rPr>
          <w:rFonts w:ascii="Verdana" w:eastAsia="Century Gothic" w:hAnsi="Verdana" w:cs="Century Gothic"/>
          <w:color w:val="000000" w:themeColor="text1"/>
          <w:lang w:val="es-ES"/>
        </w:rPr>
      </w:pPr>
    </w:p>
    <w:p w14:paraId="54CBF311" w14:textId="77777777" w:rsidR="004A3648" w:rsidRDefault="004A3648" w:rsidP="004A3648">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 siguiente</w:t>
      </w:r>
      <w:r w:rsidRPr="00115E3D">
        <w:rPr>
          <w:rFonts w:ascii="Verdana" w:eastAsia="Century Gothic" w:hAnsi="Verdana" w:cs="Century Gothic"/>
          <w:color w:val="000000" w:themeColor="text1"/>
        </w:rPr>
        <w:t xml:space="preserve"> problema jurídico:</w:t>
      </w:r>
      <w:r>
        <w:rPr>
          <w:rFonts w:ascii="Verdana" w:eastAsia="Century Gothic" w:hAnsi="Verdana" w:cs="Century Gothic"/>
          <w:color w:val="000000" w:themeColor="text1"/>
        </w:rPr>
        <w:t xml:space="preserve"> </w:t>
      </w:r>
      <w:r w:rsidRPr="003D038F">
        <w:rPr>
          <w:rFonts w:ascii="Verdana" w:eastAsia="Century Gothic" w:hAnsi="Verdana" w:cs="Century Gothic"/>
          <w:color w:val="000000" w:themeColor="text1"/>
        </w:rPr>
        <w:t>¿</w:t>
      </w:r>
      <w:r w:rsidRPr="008244CD">
        <w:rPr>
          <w:rFonts w:ascii="Verdana" w:eastAsia="Century Gothic" w:hAnsi="Verdana" w:cs="Century Gothic"/>
          <w:color w:val="000000" w:themeColor="text1"/>
        </w:rPr>
        <w:t>Es jurídicamente procedente que, en un proceso de mínima cuantía, el valor del contrato o del registro presupuestal exceda el valor de la oferta presentada por el proponente seleccionado y aceptada por la entidad estatal?</w:t>
      </w:r>
    </w:p>
    <w:p w14:paraId="2F38AB4B" w14:textId="77777777" w:rsidR="004A3648" w:rsidRDefault="004A3648" w:rsidP="004A3648">
      <w:pPr>
        <w:spacing w:after="0" w:line="276" w:lineRule="auto"/>
        <w:jc w:val="both"/>
        <w:rPr>
          <w:rFonts w:ascii="Verdana" w:eastAsia="Century Gothic" w:hAnsi="Verdana" w:cs="Century Gothic"/>
          <w:color w:val="000000" w:themeColor="text1"/>
        </w:rPr>
      </w:pPr>
    </w:p>
    <w:p w14:paraId="2C10271A" w14:textId="77777777" w:rsidR="004A3648" w:rsidRPr="00115E3D" w:rsidRDefault="004A3648" w:rsidP="004A3648">
      <w:pPr>
        <w:spacing w:after="0" w:line="276" w:lineRule="auto"/>
        <w:jc w:val="both"/>
        <w:rPr>
          <w:rFonts w:ascii="Verdana" w:eastAsia="Century Gothic" w:hAnsi="Verdana" w:cs="Century Gothic"/>
          <w:b/>
          <w:bCs/>
          <w:color w:val="000000" w:themeColor="text1"/>
        </w:rPr>
      </w:pPr>
      <w:r>
        <w:rPr>
          <w:rFonts w:ascii="Verdana" w:eastAsia="Century Gothic" w:hAnsi="Verdana" w:cs="Century Gothic"/>
          <w:color w:val="000000" w:themeColor="text1"/>
        </w:rPr>
        <w:t xml:space="preserve"> </w:t>
      </w:r>
      <w:r w:rsidRPr="00115E3D">
        <w:rPr>
          <w:rFonts w:ascii="Verdana" w:eastAsia="Century Gothic" w:hAnsi="Verdana" w:cs="Century Gothic"/>
          <w:b/>
          <w:bCs/>
          <w:color w:val="000000" w:themeColor="text1"/>
        </w:rPr>
        <w:t>Respuesta:</w:t>
      </w:r>
    </w:p>
    <w:p w14:paraId="02B8D589" w14:textId="77777777" w:rsidR="004A3648" w:rsidRPr="00115E3D" w:rsidRDefault="004A3648" w:rsidP="004A364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A3648" w:rsidRPr="00115E3D" w14:paraId="1EF9317D" w14:textId="77777777" w:rsidTr="0076623F">
        <w:trPr>
          <w:trHeight w:val="774"/>
        </w:trPr>
        <w:tc>
          <w:tcPr>
            <w:tcW w:w="8828" w:type="dxa"/>
          </w:tcPr>
          <w:p w14:paraId="07E48805" w14:textId="77777777" w:rsidR="004A3648" w:rsidRPr="009C504B" w:rsidRDefault="004A3648" w:rsidP="0076623F">
            <w:pPr>
              <w:spacing w:after="120" w:line="276" w:lineRule="auto"/>
              <w:jc w:val="both"/>
              <w:rPr>
                <w:rFonts w:ascii="Verdana" w:eastAsia="Arial" w:hAnsi="Verdana" w:cs="Arial"/>
              </w:rPr>
            </w:pPr>
            <w:r>
              <w:rPr>
                <w:rFonts w:ascii="Verdana" w:eastAsia="Arial" w:hAnsi="Verdana" w:cs="Arial"/>
              </w:rPr>
              <w:lastRenderedPageBreak/>
              <w:t xml:space="preserve">          </w:t>
            </w:r>
            <w:r w:rsidRPr="009C504B">
              <w:rPr>
                <w:rFonts w:ascii="Verdana" w:eastAsia="Arial" w:hAnsi="Verdana" w:cs="Arial"/>
              </w:rPr>
              <w:t>De conformidad con lo dispuesto en el literal d) del numeral 5 del artículo 2 de la Ley 1150 de 2007 y en el numeral 9 del artículo 2.2.1.2.1.5.2 del Decreto 1082 de 2015, en los procesos de mínima cuantía la oferta y su aceptación constituyen el contrato estatal. En consecuencia, el perfeccionamiento del vínculo contractual se produce con la comunicación de aceptación de la oferta por parte de la entidad estatal al proponente seleccionado, sin que resulte necesaria la suscripción de una minuta contractual. No obstante, desde una perspectiva operativa, el SECOP II puede requerir la elaboración y suscripción de documentos adicionales para efectos de culminar el flujo transaccional del proceso.</w:t>
            </w:r>
          </w:p>
          <w:p w14:paraId="6542D17A" w14:textId="77777777" w:rsidR="004A3648" w:rsidRPr="009C504B" w:rsidRDefault="004A3648" w:rsidP="0076623F">
            <w:pPr>
              <w:spacing w:after="120" w:line="276" w:lineRule="auto"/>
              <w:jc w:val="both"/>
              <w:rPr>
                <w:rFonts w:ascii="Verdana" w:eastAsia="Arial" w:hAnsi="Verdana" w:cs="Arial"/>
              </w:rPr>
            </w:pPr>
            <w:r>
              <w:rPr>
                <w:rFonts w:ascii="Verdana" w:eastAsia="Arial" w:hAnsi="Verdana" w:cs="Arial"/>
              </w:rPr>
              <w:t xml:space="preserve">          </w:t>
            </w:r>
            <w:r w:rsidRPr="009C504B">
              <w:rPr>
                <w:rFonts w:ascii="Verdana" w:eastAsia="Arial" w:hAnsi="Verdana" w:cs="Arial"/>
              </w:rPr>
              <w:t>Bajo este entendimiento, el contenido de la oferta aceptada se incorpora al contrato estatal y determina el alcance de las obligaciones asumidas por las partes, incluyendo las condiciones técnicas, económicas y financieras ofrecidas por el contratista. En ese sentido, la aceptación de la oferta supone la conformidad de la entidad estatal con los términos propuestos por el oferente seleccionado y constituye el fundamento del negocio jurídico celebrado.</w:t>
            </w:r>
          </w:p>
          <w:p w14:paraId="4F6B25DA" w14:textId="77777777" w:rsidR="004A3648" w:rsidRPr="009C504B" w:rsidRDefault="004A3648" w:rsidP="0076623F">
            <w:pPr>
              <w:spacing w:after="120" w:line="276" w:lineRule="auto"/>
              <w:jc w:val="both"/>
              <w:rPr>
                <w:rFonts w:ascii="Verdana" w:eastAsia="Arial" w:hAnsi="Verdana" w:cs="Arial"/>
              </w:rPr>
            </w:pPr>
            <w:r>
              <w:rPr>
                <w:rFonts w:ascii="Verdana" w:eastAsia="Arial" w:hAnsi="Verdana" w:cs="Arial"/>
              </w:rPr>
              <w:t xml:space="preserve">          </w:t>
            </w:r>
            <w:r w:rsidRPr="009C504B">
              <w:rPr>
                <w:rFonts w:ascii="Verdana" w:eastAsia="Arial" w:hAnsi="Verdana" w:cs="Arial"/>
              </w:rPr>
              <w:t>Por otra parte, el registro presupuestal corresponde al instrumento mediante el cual se afecta de manera definitiva la apropiación presupuestal para respaldar una obligación previamente adquirida por la entidad estatal. Así, existe una relación directa entre el compromiso contractual asumido y el valor que se registra presupuestalmente, en la medida en que este último tiene por finalidad amparar la obligación derivada del contrato celebrado.</w:t>
            </w:r>
          </w:p>
          <w:p w14:paraId="5C98065E" w14:textId="77777777" w:rsidR="004A3648" w:rsidRPr="009C504B" w:rsidRDefault="004A3648" w:rsidP="0076623F">
            <w:pPr>
              <w:spacing w:after="120" w:line="276" w:lineRule="auto"/>
              <w:jc w:val="both"/>
              <w:rPr>
                <w:rFonts w:ascii="Verdana" w:eastAsia="Arial" w:hAnsi="Verdana" w:cs="Arial"/>
              </w:rPr>
            </w:pPr>
            <w:r>
              <w:rPr>
                <w:rFonts w:ascii="Verdana" w:eastAsia="Arial" w:hAnsi="Verdana" w:cs="Arial"/>
              </w:rPr>
              <w:t xml:space="preserve">         </w:t>
            </w:r>
            <w:r w:rsidRPr="009C504B">
              <w:rPr>
                <w:rFonts w:ascii="Verdana" w:eastAsia="Arial" w:hAnsi="Verdana" w:cs="Arial"/>
              </w:rPr>
              <w:t>De acuerdo con lo anterior, cuando en un proceso de mínima cuantía la oferta aceptada constituye el contrato, el análisis sobre el valor que debe respaldarse presupuestalmente exige verificar el alcance de las obligaciones efectivamente asumidas por las partes y el contenido económico de la oferta que dio origen al vínculo contractual. En este contexto, resulta relevante considerar que la disponibilidad presupuestal expedida para adelantar el proceso constituye el respaldo máximo de recursos con los que cuenta la entidad para satisfacer la necesidad identificada, mientras que la oferta presentada por el contratista refleja las condiciones económicas bajo las cuales este se compromete a ejecutar el objeto contractual.</w:t>
            </w:r>
          </w:p>
          <w:p w14:paraId="4F392CBF" w14:textId="77777777" w:rsidR="004A3648" w:rsidRPr="009C504B" w:rsidRDefault="004A3648" w:rsidP="0076623F">
            <w:pPr>
              <w:spacing w:after="120" w:line="276" w:lineRule="auto"/>
              <w:jc w:val="both"/>
              <w:rPr>
                <w:rFonts w:ascii="Verdana" w:eastAsia="Arial" w:hAnsi="Verdana" w:cs="Arial"/>
              </w:rPr>
            </w:pPr>
            <w:r>
              <w:rPr>
                <w:rFonts w:ascii="Verdana" w:eastAsia="Arial" w:hAnsi="Verdana" w:cs="Arial"/>
              </w:rPr>
              <w:t xml:space="preserve">          </w:t>
            </w:r>
            <w:r w:rsidRPr="009C504B">
              <w:rPr>
                <w:rFonts w:ascii="Verdana" w:eastAsia="Arial" w:hAnsi="Verdana" w:cs="Arial"/>
              </w:rPr>
              <w:t xml:space="preserve">Por consiguiente, a partir del marco normativo expuesto, puede entenderse que existe una estrecha correspondencia entre el valor de la oferta </w:t>
            </w:r>
            <w:r w:rsidRPr="009C504B">
              <w:rPr>
                <w:rFonts w:ascii="Verdana" w:eastAsia="Arial" w:hAnsi="Verdana" w:cs="Arial"/>
              </w:rPr>
              <w:lastRenderedPageBreak/>
              <w:t>aceptada, el valor del contrato que surge de dicha aceptación y el valor del compromiso presupuestal que debe respaldar la obligación adquirida por la entidad. En esa medida, cualquier decisión relacionada con la aceptación de la oferta o con la expedición del registro presupuestal deberá analizarse a la luz de las reglas que gobiernan la formación del contrato estatal, el contenido de la oferta seleccionada y la finalidad propia del registro presupuestal como instrumento de ejecución del gasto público.</w:t>
            </w:r>
          </w:p>
          <w:p w14:paraId="5F768B1A" w14:textId="77777777" w:rsidR="004A3648" w:rsidRPr="009C504B" w:rsidRDefault="004A3648" w:rsidP="0076623F">
            <w:pPr>
              <w:spacing w:after="120" w:line="276" w:lineRule="auto"/>
              <w:jc w:val="both"/>
              <w:rPr>
                <w:rFonts w:ascii="Verdana" w:eastAsia="Arial" w:hAnsi="Verdana" w:cs="Arial"/>
              </w:rPr>
            </w:pPr>
            <w:r>
              <w:rPr>
                <w:rFonts w:ascii="Verdana" w:eastAsia="Arial" w:hAnsi="Verdana" w:cs="Arial"/>
              </w:rPr>
              <w:t xml:space="preserve">            </w:t>
            </w:r>
            <w:r w:rsidRPr="009C504B">
              <w:rPr>
                <w:rFonts w:ascii="Verdana" w:eastAsia="Arial" w:hAnsi="Verdana" w:cs="Arial"/>
              </w:rPr>
              <w:t>Por lo anterior, con fundamento en el principio de autonomía administrativa y previa valoración de sus asesores jurídicos, presupuestales y financieros, corresponde a cada entidad estatal determinar la forma de proceder frente a los casos concretos que se presenten en desarrollo de sus procesos contractuales. En caso de controversia, serán las autoridades competentes, en ejercicio de sus funciones judiciales, fiscales o disciplinarias, las encargadas de determinar los efectos jurídicos que correspondan.</w:t>
            </w:r>
          </w:p>
          <w:p w14:paraId="61C35DFA" w14:textId="77777777" w:rsidR="004A3648" w:rsidRPr="0029110A" w:rsidRDefault="004A3648" w:rsidP="0076623F">
            <w:pPr>
              <w:spacing w:after="120" w:line="276" w:lineRule="auto"/>
              <w:jc w:val="both"/>
              <w:rPr>
                <w:rFonts w:ascii="Verdana" w:eastAsia="Calibri" w:hAnsi="Verdana" w:cs="Times New Roman"/>
                <w:lang w:val="es-ES"/>
              </w:rPr>
            </w:pPr>
            <w:r>
              <w:rPr>
                <w:rFonts w:ascii="Verdana" w:eastAsia="Arial" w:hAnsi="Verdana" w:cs="Arial"/>
              </w:rPr>
              <w:t xml:space="preserve">           </w:t>
            </w:r>
            <w:r w:rsidRPr="009C504B">
              <w:rPr>
                <w:rFonts w:ascii="Verdana" w:eastAsia="Arial" w:hAnsi="Verdana" w:cs="Arial"/>
              </w:rPr>
              <w:t>En ese sentido, al tratarse de asuntos cuya solución depende de las particularidades de cada procedimiento contractual, no es posible establecer por vía consultiva una regla absoluta aplicable a todos los casos. Por ello, se suministran elementos generales de análisis para que los partícipes del Sistema de Compra Pública adopten las decisiones que estimen procedentes conforme al ordenamiento jurídico vigente, sin que corresponda a la Agencia Nacional de Contratación Pública – Colombia Compra Eficiente avalar o validar actuaciones concretas de las entidades estatales.</w:t>
            </w:r>
          </w:p>
        </w:tc>
      </w:tr>
      <w:tr w:rsidR="004A3648" w:rsidRPr="00115E3D" w14:paraId="7CEA00CB" w14:textId="77777777" w:rsidTr="0076623F">
        <w:trPr>
          <w:trHeight w:val="162"/>
        </w:trPr>
        <w:tc>
          <w:tcPr>
            <w:tcW w:w="8828" w:type="dxa"/>
          </w:tcPr>
          <w:p w14:paraId="58EC50F1" w14:textId="77777777" w:rsidR="004A3648" w:rsidRDefault="004A3648" w:rsidP="0076623F">
            <w:pPr>
              <w:spacing w:line="276" w:lineRule="auto"/>
              <w:jc w:val="both"/>
              <w:rPr>
                <w:rFonts w:ascii="Verdana" w:eastAsia="Calibri" w:hAnsi="Verdana" w:cs="Arial"/>
              </w:rPr>
            </w:pPr>
          </w:p>
        </w:tc>
      </w:tr>
    </w:tbl>
    <w:p w14:paraId="382D6462" w14:textId="77777777" w:rsidR="004A3648" w:rsidRDefault="004A3648" w:rsidP="004A3648">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4070C829" w14:textId="77777777" w:rsidR="004A3648" w:rsidRDefault="004A3648" w:rsidP="004A36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41BBAE74" w14:textId="77777777" w:rsidR="004A3648" w:rsidRDefault="004A3648" w:rsidP="004A3648">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58205EA6" w14:textId="77777777" w:rsidR="004A3648" w:rsidRPr="0030549B" w:rsidRDefault="004A3648" w:rsidP="004A3648">
      <w:pPr>
        <w:spacing w:after="120" w:line="276" w:lineRule="auto"/>
        <w:ind w:firstLine="708"/>
        <w:jc w:val="both"/>
        <w:rPr>
          <w:rFonts w:ascii="Verdana" w:eastAsia="Calibri" w:hAnsi="Verdana" w:cs="Arial"/>
          <w:lang w:val="es-ES_tradnl"/>
        </w:rPr>
      </w:pPr>
      <w:bookmarkStart w:id="2" w:name="_Hlk54011258"/>
      <w:r w:rsidRPr="00305AB1">
        <w:rPr>
          <w:rFonts w:ascii="Verdana" w:eastAsia="Calibri" w:hAnsi="Verdana" w:cs="Arial"/>
          <w:bCs/>
          <w:lang w:val="es-ES_tradnl"/>
        </w:rPr>
        <w:t>La planeación contractual es una herramienta de gerencia pública, que exige</w:t>
      </w:r>
      <w:r>
        <w:rPr>
          <w:rFonts w:ascii="Verdana" w:eastAsia="Calibri" w:hAnsi="Verdana" w:cs="Arial"/>
          <w:bCs/>
          <w:lang w:val="es-ES_tradnl"/>
        </w:rPr>
        <w:t xml:space="preserve"> </w:t>
      </w:r>
      <w:r w:rsidRPr="0030549B">
        <w:rPr>
          <w:rFonts w:ascii="Verdana" w:eastAsia="Calibri" w:hAnsi="Verdana" w:cs="Arial"/>
          <w:lang w:val="es-ES_tradnl"/>
        </w:rPr>
        <w:t xml:space="preserve">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w:t>
      </w:r>
      <w:r w:rsidRPr="0030549B">
        <w:rPr>
          <w:rFonts w:ascii="Verdana" w:eastAsia="Calibri" w:hAnsi="Verdana" w:cs="Arial"/>
          <w:lang w:val="es-ES_tradnl"/>
        </w:rPr>
        <w:lastRenderedPageBreak/>
        <w:t>procedimiento es la cuantía –calculada como presupuesto oficial a partir del estudio del sector–, “independientemente de su objeto”</w:t>
      </w:r>
      <w:r w:rsidRPr="0030549B">
        <w:rPr>
          <w:rFonts w:ascii="Verdana" w:eastAsia="Calibri" w:hAnsi="Verdana" w:cs="Arial"/>
          <w:vertAlign w:val="superscript"/>
          <w:lang w:val="es-ES_tradnl"/>
        </w:rPr>
        <w:footnoteReference w:id="2"/>
      </w:r>
      <w:r w:rsidRPr="0030549B">
        <w:rPr>
          <w:rFonts w:ascii="Verdana" w:eastAsia="Calibri" w:hAnsi="Verdana" w:cs="Arial"/>
          <w:lang w:val="es-ES_tradnl"/>
        </w:rPr>
        <w:t>.</w:t>
      </w:r>
    </w:p>
    <w:p w14:paraId="6CDBDD38" w14:textId="77777777" w:rsidR="004A3648" w:rsidRDefault="004A3648" w:rsidP="004A3648">
      <w:pPr>
        <w:tabs>
          <w:tab w:val="left" w:pos="709"/>
        </w:tabs>
        <w:spacing w:after="120" w:line="276" w:lineRule="auto"/>
        <w:ind w:firstLine="709"/>
        <w:jc w:val="both"/>
        <w:rPr>
          <w:rFonts w:ascii="Verdana" w:eastAsia="Calibri" w:hAnsi="Verdana" w:cs="Arial"/>
          <w:lang w:val="es-ES_tradnl"/>
        </w:rPr>
      </w:pPr>
      <w:r w:rsidRPr="0030549B">
        <w:rPr>
          <w:rFonts w:ascii="Verdana" w:eastAsia="Calibri" w:hAnsi="Verdana" w:cs="Arial"/>
          <w:lang w:val="es-ES_tradnl"/>
        </w:rPr>
        <w:t>Dicho de otro modo, la mínima cuantía es un procedimiento de selección “especial”</w:t>
      </w:r>
      <w:r w:rsidRPr="0030549B">
        <w:rPr>
          <w:rFonts w:ascii="Verdana" w:eastAsia="Calibri" w:hAnsi="Verdana" w:cs="Arial"/>
          <w:vertAlign w:val="superscript"/>
          <w:lang w:val="es-ES_tradnl"/>
        </w:rPr>
        <w:footnoteReference w:id="3"/>
      </w:r>
      <w:r w:rsidRPr="0030549B">
        <w:rPr>
          <w:rFonts w:ascii="Verdana" w:eastAsia="Calibri" w:hAnsi="Verdana" w:cs="Arial"/>
          <w:lang w:val="es-ES_tradnl"/>
        </w:rPr>
        <w:t>, porque es una excepción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w:t>
      </w:r>
      <w:r w:rsidRPr="0030549B">
        <w:rPr>
          <w:rFonts w:ascii="Verdana" w:eastAsia="Calibri" w:hAnsi="Verdana" w:cs="Arial"/>
          <w:vertAlign w:val="superscript"/>
          <w:lang w:val="es-ES_tradnl"/>
        </w:rPr>
        <w:footnoteReference w:id="4"/>
      </w:r>
      <w:r w:rsidRPr="0030549B">
        <w:rPr>
          <w:rFonts w:ascii="Verdana" w:eastAsia="Calibri" w:hAnsi="Verdana" w:cs="Arial"/>
          <w:lang w:val="es-ES_tradnl"/>
        </w:rPr>
        <w:t>, y lo segundo, porque sus requisitos, etapas y términos son especiales.</w:t>
      </w:r>
    </w:p>
    <w:p w14:paraId="49C2A228" w14:textId="77777777" w:rsidR="004A3648" w:rsidRPr="0030549B" w:rsidRDefault="004A3648" w:rsidP="004A3648">
      <w:pPr>
        <w:tabs>
          <w:tab w:val="left" w:pos="709"/>
        </w:tabs>
        <w:spacing w:after="120" w:line="276" w:lineRule="auto"/>
        <w:ind w:firstLine="709"/>
        <w:jc w:val="both"/>
        <w:rPr>
          <w:rFonts w:ascii="Verdana" w:eastAsia="Calibri" w:hAnsi="Verdana" w:cs="Arial"/>
          <w:color w:val="000000" w:themeColor="text1"/>
          <w:lang w:val="es-ES"/>
        </w:rPr>
      </w:pPr>
      <w:r w:rsidRPr="0030549B">
        <w:rPr>
          <w:rFonts w:ascii="Verdana" w:eastAsia="Calibri" w:hAnsi="Verdana" w:cs="Arial"/>
          <w:color w:val="000000" w:themeColor="text1"/>
          <w:lang w:val="es-ES"/>
        </w:rPr>
        <w:t>Por su parte, el 31 de diciembre de 2020 fue expedida la Ley 2069 de 2020 –conocida como Ley de Emprendimiento–, cuyo artículo 30 modificó el numeral 5 del artículo 2 de la Ley 1150 de 2007, el cual regula la mínima cuantía. Esta norma dispuso aspectos del procedimiento como: i) el término mínimo para publicar la invitación, ii) el plazo mínimo de recepción de las ofertas, iii) el factor de evaluación que define la selección del proponente y iv) el perfeccionamiento del contrato.</w:t>
      </w:r>
    </w:p>
    <w:p w14:paraId="4AD3B943" w14:textId="77777777" w:rsidR="004A3648" w:rsidRPr="0030549B" w:rsidRDefault="004A3648" w:rsidP="004A3648">
      <w:pPr>
        <w:tabs>
          <w:tab w:val="left" w:pos="709"/>
        </w:tabs>
        <w:spacing w:after="120" w:line="276" w:lineRule="auto"/>
        <w:ind w:firstLine="709"/>
        <w:jc w:val="both"/>
        <w:rPr>
          <w:rFonts w:ascii="Verdana" w:eastAsia="Calibri" w:hAnsi="Verdana" w:cs="Arial"/>
          <w:color w:val="000000" w:themeColor="text1"/>
          <w:lang w:val="es-ES"/>
        </w:rPr>
      </w:pPr>
      <w:r w:rsidRPr="0030549B">
        <w:rPr>
          <w:rFonts w:ascii="Verdana" w:eastAsia="Calibri" w:hAnsi="Verdana" w:cs="Arial"/>
          <w:color w:val="000000" w:themeColor="text1"/>
          <w:lang w:val="es-ES"/>
        </w:rPr>
        <w:t xml:space="preserve">Adicionalmente, se expidió el Decreto 1860 del 24 de diciembre de 2021, “Por el cual se modifica y adiciona el Decreto 1082 de 2015, Único Reglamentario del Sector Administrativo de Planeación Nacional, con el fin de reglamentar los </w:t>
      </w:r>
      <w:r w:rsidRPr="0030549B">
        <w:rPr>
          <w:rFonts w:ascii="Verdana" w:eastAsia="Calibri" w:hAnsi="Verdana" w:cs="Arial"/>
          <w:color w:val="000000" w:themeColor="text1"/>
          <w:lang w:val="es-ES"/>
        </w:rPr>
        <w:lastRenderedPageBreak/>
        <w:t>artículos 30, 31, 32, 34 y 35 de la Ley 2069 de 2020, en lo relativo al sistema de compras públicas y se dictan otras disposiciones”. Entre los aspectos reglamentados por el decreto indicado se encuentra el procedimiento de mínima cuantía. De esta manera,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w:t>
      </w:r>
    </w:p>
    <w:p w14:paraId="37772C49" w14:textId="77777777" w:rsidR="004A3648" w:rsidRPr="0030549B" w:rsidRDefault="004A3648" w:rsidP="004A3648">
      <w:pPr>
        <w:tabs>
          <w:tab w:val="left" w:pos="709"/>
        </w:tabs>
        <w:spacing w:after="120" w:line="276" w:lineRule="auto"/>
        <w:jc w:val="both"/>
        <w:rPr>
          <w:rFonts w:ascii="Verdana" w:eastAsia="Calibri" w:hAnsi="Verdana" w:cs="Arial"/>
          <w:color w:val="000000" w:themeColor="text1"/>
          <w:lang w:val="es-ES"/>
        </w:rPr>
      </w:pPr>
      <w:r w:rsidRPr="0030549B">
        <w:rPr>
          <w:rFonts w:ascii="Verdana" w:eastAsia="Calibri" w:hAnsi="Verdana" w:cs="Arial"/>
          <w:bCs/>
          <w:color w:val="000000" w:themeColor="text1"/>
          <w:lang w:val="es-ES_tradnl"/>
        </w:rPr>
        <w:tab/>
      </w:r>
      <w:r w:rsidRPr="0030549B">
        <w:rPr>
          <w:rFonts w:ascii="Verdana" w:eastAsia="Calibri" w:hAnsi="Verdana" w:cs="Arial"/>
          <w:color w:val="000000" w:themeColor="text1"/>
          <w:lang w:val="es-ES"/>
        </w:rPr>
        <w:t>Teniendo en cuenta lo anterior, la nueva Subsección 5 a que se hizo referencia contiene los siguientes artículos: i) 2.2.1.2.1.5.1. que se ocupa de desarrollar el contenido de los estudios previos para la contratación de mínima cuantía</w:t>
      </w:r>
      <w:r w:rsidRPr="0030549B">
        <w:rPr>
          <w:rFonts w:ascii="Verdana" w:eastAsia="Calibri" w:hAnsi="Verdana" w:cs="Arial"/>
          <w:color w:val="000000" w:themeColor="text1"/>
          <w:vertAlign w:val="superscript"/>
          <w:lang w:val="es-ES"/>
        </w:rPr>
        <w:footnoteReference w:id="5"/>
      </w:r>
      <w:r w:rsidRPr="0030549B">
        <w:rPr>
          <w:rFonts w:ascii="Verdana" w:eastAsia="Calibri" w:hAnsi="Verdana" w:cs="Arial"/>
          <w:color w:val="000000" w:themeColor="text1"/>
          <w:lang w:val="es-ES"/>
        </w:rPr>
        <w:t xml:space="preserve">. ii) 2.2.1.2.1.5.2. que contiene el procedimiento general de la mínima cuantía, señalando el contenido mínimo de la “invitación” y las distintas etapas y reglas que estructuran esta modalidad de selección, incluyendo la forma en que procederán las convocatorias limitadas a </w:t>
      </w:r>
      <w:r>
        <w:rPr>
          <w:rFonts w:ascii="Verdana" w:eastAsia="Calibri" w:hAnsi="Verdana" w:cs="Arial"/>
          <w:color w:val="000000" w:themeColor="text1"/>
          <w:lang w:val="es-ES"/>
        </w:rPr>
        <w:t>M</w:t>
      </w:r>
      <w:r w:rsidRPr="0030549B">
        <w:rPr>
          <w:rFonts w:ascii="Verdana" w:eastAsia="Calibri" w:hAnsi="Verdana" w:cs="Arial"/>
          <w:color w:val="000000" w:themeColor="text1"/>
          <w:lang w:val="es-ES"/>
        </w:rPr>
        <w:t>ipymes, de acuerdo con el mandato del parágrafo 1 del artículo 30 de la Ley 2069 de 2020</w:t>
      </w:r>
      <w:r w:rsidRPr="0030549B">
        <w:rPr>
          <w:rFonts w:ascii="Verdana" w:eastAsia="Calibri" w:hAnsi="Verdana" w:cs="Arial"/>
          <w:color w:val="000000" w:themeColor="text1"/>
          <w:vertAlign w:val="superscript"/>
          <w:lang w:val="es-ES"/>
        </w:rPr>
        <w:footnoteReference w:id="6"/>
      </w:r>
      <w:r w:rsidRPr="0030549B">
        <w:rPr>
          <w:rFonts w:ascii="Verdana" w:eastAsia="Calibri" w:hAnsi="Verdana" w:cs="Arial"/>
          <w:color w:val="000000" w:themeColor="text1"/>
          <w:lang w:val="es-ES"/>
        </w:rPr>
        <w:t>. iii) 2.2.1.2.1.5.3. que regula un procedimiento especial para las adquisiciones en grandes almacenes cuando se trate de mínima cuantía. iv) 2.2.1.2.1.5.4. el cual establece la posibilidad de que la Agencia Nacional de Contratación Pública – Colombia Compra Eficiente cree y establezca las reglas para la utilización de Instrumentos de agregación de demanda en la Tienda Virtual del Estado Colombiano para adquisiciones hasta el monto de la mínima cuantía con Mipyme y con grandes almacenes. Y v) 2.2.1.2.1.5.5. el cual establece que la entidad estatal es libre de exigir o no garantías en el proceso de selección de mínima cuantía y en la adquisición de “grandes almacenes”.</w:t>
      </w:r>
    </w:p>
    <w:p w14:paraId="71EACA67" w14:textId="77777777" w:rsidR="004A3648" w:rsidRPr="0030549B" w:rsidRDefault="004A3648" w:rsidP="004A3648">
      <w:pPr>
        <w:tabs>
          <w:tab w:val="left" w:pos="709"/>
        </w:tabs>
        <w:spacing w:after="120" w:line="276" w:lineRule="auto"/>
        <w:jc w:val="both"/>
        <w:rPr>
          <w:rFonts w:ascii="Verdana" w:eastAsia="Calibri" w:hAnsi="Verdana" w:cs="Arial"/>
          <w:bCs/>
          <w:color w:val="000000" w:themeColor="text1"/>
          <w:lang w:val="es-ES_tradnl"/>
        </w:rPr>
      </w:pPr>
      <w:r w:rsidRPr="0030549B">
        <w:rPr>
          <w:rFonts w:ascii="Verdana" w:eastAsia="Calibri" w:hAnsi="Verdana" w:cs="Arial"/>
          <w:bCs/>
          <w:color w:val="000000" w:themeColor="text1"/>
          <w:lang w:val="es-ES_tradnl"/>
        </w:rPr>
        <w:lastRenderedPageBreak/>
        <w:tab/>
        <w:t xml:space="preserve">De esta manera, el artículo 2 del Decreto 1860 de 2021, que modifica los artículos del Decreto 1082 de 2015 expuestos en el párrafo anterior, constituye la reglamentación del artículo 30 de la Ley 2069 de 2020, al desarrollar las reglas aplicables a esta modalidad de selección. </w:t>
      </w:r>
    </w:p>
    <w:p w14:paraId="5763C21C" w14:textId="77777777" w:rsidR="004A3648" w:rsidRPr="0030549B" w:rsidRDefault="004A3648" w:rsidP="004A3648">
      <w:pPr>
        <w:tabs>
          <w:tab w:val="left" w:pos="709"/>
        </w:tabs>
        <w:spacing w:after="120" w:line="276" w:lineRule="auto"/>
        <w:jc w:val="both"/>
        <w:rPr>
          <w:rFonts w:ascii="Verdana" w:eastAsia="Calibri" w:hAnsi="Verdana" w:cs="Arial"/>
          <w:color w:val="000000" w:themeColor="text1"/>
          <w:lang w:val="es-ES_tradnl"/>
        </w:rPr>
      </w:pPr>
      <w:r w:rsidRPr="0030549B">
        <w:rPr>
          <w:rFonts w:ascii="Verdana" w:eastAsia="Calibri" w:hAnsi="Verdana" w:cs="Arial"/>
          <w:color w:val="000000" w:themeColor="text1"/>
          <w:lang w:val="es-ES_tradnl"/>
        </w:rPr>
        <w:tab/>
        <w:t>Ahora bien, vistas las anteriores vicisitudes normativas que rodean la modalidad de selección de mínima cuantía, y con fundamento en los artículos 2.2.1.2.1.5.1. al 2.2.1.2.1.5.4 del Decreto 1082 de 2015 modificados, como se ha venido exponiendo, por el artículo 2 del Decreto 1860 de 2021, resulta imperante sintetizar los requisitos en el procedimiento de esta modalidad de selección de la siguiente forma:</w:t>
      </w:r>
    </w:p>
    <w:p w14:paraId="291A8D35" w14:textId="77777777" w:rsidR="004A3648" w:rsidRPr="0030549B" w:rsidRDefault="004A3648" w:rsidP="004A3648">
      <w:pPr>
        <w:spacing w:after="120" w:line="276" w:lineRule="auto"/>
        <w:ind w:firstLine="709"/>
        <w:jc w:val="both"/>
        <w:rPr>
          <w:rFonts w:ascii="Verdana" w:eastAsia="Calibri" w:hAnsi="Verdana" w:cs="Arial"/>
          <w:color w:val="000000"/>
          <w:lang w:val="es-ES_tradnl"/>
        </w:rPr>
      </w:pPr>
      <w:r w:rsidRPr="0030549B">
        <w:rPr>
          <w:rFonts w:ascii="Verdana" w:eastAsia="Calibri" w:hAnsi="Verdana" w:cs="Arial"/>
          <w:color w:val="000000"/>
          <w:lang w:val="es-ES_tradnl"/>
        </w:rPr>
        <w:t>i) La entidad estatal debe hacer los estudios previos en los que señale cuál es la necesidad que pretende satisfacer, el objeto del contrato, sus condiciones técnicas, el valor estimado, el plazo de ejecución y el certificado de disponibilidad presupuestal.</w:t>
      </w:r>
    </w:p>
    <w:p w14:paraId="7AA7E658" w14:textId="77777777" w:rsidR="004A3648" w:rsidRPr="0030549B" w:rsidRDefault="004A3648" w:rsidP="004A3648">
      <w:pPr>
        <w:spacing w:after="120" w:line="276" w:lineRule="auto"/>
        <w:ind w:firstLine="709"/>
        <w:jc w:val="both"/>
        <w:rPr>
          <w:rFonts w:ascii="Verdana" w:eastAsia="Calibri" w:hAnsi="Verdana" w:cs="Arial"/>
          <w:color w:val="000000"/>
          <w:lang w:val="es-ES"/>
        </w:rPr>
      </w:pPr>
      <w:r w:rsidRPr="0030549B">
        <w:rPr>
          <w:rFonts w:ascii="Verdana" w:eastAsia="Calibri" w:hAnsi="Verdana" w:cs="Arial"/>
          <w:color w:val="000000"/>
          <w:lang w:val="es-ES"/>
        </w:rPr>
        <w:t>ii) Luego de los trámites previos, la entidad debe publicar en el SECOP una invitación, señalando el objeto, las condiciones técnicas y el valor estimado del contrato, expresando además las razones que justifican el cálculo de la cuantía. Asimismo, puede exigir o no una capacidad financiera mínima. Igualmente, esta Agencia ha recomendado “incluir en la invitación el cronograma, el plazo o condiciones de pago a cargo de la Entidad Estatal, la indicación del requerimiento de garantías (cuya exigencia es discrecional de la Entidad Estatal) y los demás aspectos que considere necesarios para la satisfacción de la necesidad”</w:t>
      </w:r>
      <w:r w:rsidRPr="0030549B">
        <w:rPr>
          <w:rFonts w:ascii="Verdana" w:eastAsia="Calibri" w:hAnsi="Verdana" w:cs="Arial"/>
          <w:color w:val="000000"/>
          <w:vertAlign w:val="superscript"/>
          <w:lang w:val="es-ES"/>
        </w:rPr>
        <w:footnoteReference w:id="7"/>
      </w:r>
      <w:r w:rsidRPr="0030549B">
        <w:rPr>
          <w:rFonts w:ascii="Verdana" w:eastAsia="Calibri" w:hAnsi="Verdana" w:cs="Arial"/>
          <w:color w:val="000000"/>
          <w:lang w:val="es-ES"/>
        </w:rPr>
        <w:t>.</w:t>
      </w:r>
    </w:p>
    <w:p w14:paraId="163CB1BC" w14:textId="77777777" w:rsidR="004A3648" w:rsidRPr="0030549B" w:rsidRDefault="004A3648" w:rsidP="004A3648">
      <w:pPr>
        <w:spacing w:after="120" w:line="276" w:lineRule="auto"/>
        <w:ind w:firstLine="709"/>
        <w:jc w:val="both"/>
        <w:rPr>
          <w:rFonts w:ascii="Verdana" w:eastAsia="Calibri" w:hAnsi="Verdana" w:cs="Arial"/>
          <w:color w:val="000000"/>
          <w:lang w:val="es-ES"/>
        </w:rPr>
      </w:pPr>
      <w:r w:rsidRPr="0030549B">
        <w:rPr>
          <w:rFonts w:ascii="Verdana" w:eastAsia="Calibri" w:hAnsi="Verdana" w:cs="Arial"/>
          <w:color w:val="000000" w:themeColor="text1"/>
          <w:lang w:val="es-ES"/>
        </w:rPr>
        <w:t>iii) La invitación se debe hacer por un término no inferior a un (1) día hábil.</w:t>
      </w:r>
    </w:p>
    <w:p w14:paraId="317B4533" w14:textId="77777777" w:rsidR="004A3648" w:rsidRPr="0030549B" w:rsidRDefault="004A3648" w:rsidP="004A3648">
      <w:pPr>
        <w:spacing w:after="120" w:line="276" w:lineRule="auto"/>
        <w:ind w:firstLine="709"/>
        <w:jc w:val="both"/>
        <w:rPr>
          <w:rFonts w:ascii="Verdana" w:eastAsia="Calibri" w:hAnsi="Verdana" w:cs="Arial"/>
          <w:color w:val="000000"/>
          <w:lang w:val="es-ES"/>
        </w:rPr>
      </w:pPr>
      <w:r w:rsidRPr="0030549B">
        <w:rPr>
          <w:rFonts w:ascii="Verdana" w:eastAsia="Calibri" w:hAnsi="Verdana" w:cs="Arial"/>
          <w:color w:val="000000" w:themeColor="text1"/>
          <w:lang w:val="es-ES"/>
        </w:rPr>
        <w:t>iv) Las observaciones que presenten los interesados a la invitación deben responderse a más tardar antes del vencimiento del término para presentar las ofertas.</w:t>
      </w:r>
    </w:p>
    <w:p w14:paraId="611A8F71" w14:textId="77777777" w:rsidR="004A3648" w:rsidRPr="0030549B" w:rsidRDefault="004A3648" w:rsidP="004A3648">
      <w:pPr>
        <w:spacing w:after="120" w:line="276" w:lineRule="auto"/>
        <w:ind w:firstLine="709"/>
        <w:jc w:val="both"/>
        <w:rPr>
          <w:rFonts w:ascii="Verdana" w:eastAsia="Calibri" w:hAnsi="Verdana" w:cs="Arial"/>
          <w:color w:val="000000"/>
          <w:lang w:val="es-ES_tradnl"/>
        </w:rPr>
      </w:pPr>
      <w:r w:rsidRPr="0030549B">
        <w:rPr>
          <w:rFonts w:ascii="Verdana" w:eastAsia="Calibri" w:hAnsi="Verdana" w:cs="Arial"/>
          <w:color w:val="000000"/>
          <w:lang w:val="es-ES_tradnl"/>
        </w:rPr>
        <w:t xml:space="preserve">v) Presentadas las propuestas, la entidad estatal debe revisar las ofertas económicas y verificar que la del menor precio cumpla los requisitos de </w:t>
      </w:r>
      <w:r w:rsidRPr="0030549B">
        <w:rPr>
          <w:rFonts w:ascii="Verdana" w:eastAsia="Calibri" w:hAnsi="Verdana" w:cs="Arial"/>
          <w:color w:val="000000"/>
          <w:lang w:val="es-ES_tradnl"/>
        </w:rPr>
        <w:lastRenderedPageBreak/>
        <w:t>participación. Si no los satisface debe revisar la oferta económica inmediatamente inferior, y así sucesivamente. Esto significa que en la mínima cuantía el precio es el único factor de calificación</w:t>
      </w:r>
      <w:r w:rsidRPr="0030549B">
        <w:rPr>
          <w:rFonts w:ascii="Verdana" w:eastAsia="Calibri" w:hAnsi="Verdana" w:cs="Arial"/>
          <w:color w:val="000000"/>
          <w:vertAlign w:val="superscript"/>
          <w:lang w:val="es-ES_tradnl"/>
        </w:rPr>
        <w:footnoteReference w:id="8"/>
      </w:r>
      <w:r w:rsidRPr="0030549B">
        <w:rPr>
          <w:rFonts w:ascii="Verdana" w:eastAsia="Calibri" w:hAnsi="Verdana" w:cs="Arial"/>
          <w:color w:val="000000"/>
          <w:lang w:val="es-ES_tradnl"/>
        </w:rPr>
        <w:t>.</w:t>
      </w:r>
    </w:p>
    <w:p w14:paraId="52FDBAB1" w14:textId="77777777" w:rsidR="004A3648" w:rsidRPr="0030549B" w:rsidRDefault="004A3648" w:rsidP="004A3648">
      <w:pPr>
        <w:spacing w:after="120" w:line="276" w:lineRule="auto"/>
        <w:ind w:firstLine="709"/>
        <w:jc w:val="both"/>
        <w:rPr>
          <w:rFonts w:ascii="Verdana" w:eastAsia="Calibri" w:hAnsi="Verdana" w:cs="Arial"/>
          <w:color w:val="000000"/>
          <w:lang w:val="es-ES_tradnl"/>
        </w:rPr>
      </w:pPr>
      <w:r w:rsidRPr="0030549B">
        <w:rPr>
          <w:rFonts w:ascii="Verdana" w:eastAsia="Calibri" w:hAnsi="Verdana" w:cs="Arial"/>
          <w:color w:val="000000"/>
          <w:lang w:val="es-ES_tradnl"/>
        </w:rPr>
        <w:t>vi) El informe de evaluación se debe publicar por lo menos un (1) día hábil.</w:t>
      </w:r>
    </w:p>
    <w:p w14:paraId="6AEFED91" w14:textId="77777777" w:rsidR="004A3648" w:rsidRPr="0030549B" w:rsidRDefault="004A3648" w:rsidP="004A3648">
      <w:pPr>
        <w:spacing w:after="120" w:line="276" w:lineRule="auto"/>
        <w:ind w:firstLine="709"/>
        <w:jc w:val="both"/>
        <w:rPr>
          <w:rFonts w:ascii="Verdana" w:eastAsia="Calibri" w:hAnsi="Verdana" w:cs="Arial"/>
          <w:color w:val="000000"/>
          <w:lang w:val="es-ES"/>
        </w:rPr>
      </w:pPr>
      <w:r w:rsidRPr="0030549B">
        <w:rPr>
          <w:rFonts w:ascii="Verdana" w:eastAsia="Calibri" w:hAnsi="Verdana" w:cs="Arial"/>
          <w:color w:val="000000" w:themeColor="text1"/>
          <w:lang w:val="es-ES"/>
        </w:rPr>
        <w:t xml:space="preserve">vii) </w:t>
      </w:r>
      <w:bookmarkStart w:id="3" w:name="_Hlk134700391"/>
      <w:r w:rsidRPr="0030549B">
        <w:rPr>
          <w:rFonts w:ascii="Verdana" w:eastAsia="Calibri" w:hAnsi="Verdana" w:cs="Arial"/>
          <w:color w:val="000000" w:themeColor="text1"/>
          <w:lang w:val="es-ES"/>
        </w:rPr>
        <w:t>El contrato se perfecciona con la comunicación de aceptación de la oferta que envía la entidad estatal al proponente que presentó la oferta económica de menor precio, no requiriéndose, entonces, la suscripción de una minuta. En la comunicación de aceptación de la oferta la entidad estatal le debe informar al proponente ganador quién será el supervisor del contrato.</w:t>
      </w:r>
    </w:p>
    <w:bookmarkEnd w:id="3"/>
    <w:p w14:paraId="1179C8A4" w14:textId="77777777" w:rsidR="004A3648" w:rsidRPr="0030549B" w:rsidRDefault="004A3648" w:rsidP="004A3648">
      <w:pPr>
        <w:spacing w:after="120" w:line="276" w:lineRule="auto"/>
        <w:ind w:firstLine="709"/>
        <w:jc w:val="both"/>
        <w:rPr>
          <w:rFonts w:ascii="Verdana" w:eastAsia="Calibri" w:hAnsi="Verdana" w:cs="Arial"/>
          <w:color w:val="000000"/>
          <w:lang w:val="es-ES"/>
        </w:rPr>
      </w:pPr>
      <w:r w:rsidRPr="0030549B">
        <w:rPr>
          <w:rFonts w:ascii="Verdana" w:eastAsia="Calibri" w:hAnsi="Verdana" w:cs="Arial"/>
          <w:color w:val="000000" w:themeColor="text1"/>
          <w:lang w:val="es-ES"/>
        </w:rPr>
        <w:t xml:space="preserve">viii) De existir empate debe </w:t>
      </w:r>
      <w:r>
        <w:rPr>
          <w:rFonts w:ascii="Verdana" w:eastAsia="Calibri" w:hAnsi="Verdana" w:cs="Arial"/>
          <w:color w:val="000000" w:themeColor="text1"/>
          <w:lang w:val="es-ES"/>
        </w:rPr>
        <w:t xml:space="preserve">tenerse en cuenta lo dispuesto en el artículo 35 de la Ley 2069 de 2020. </w:t>
      </w:r>
    </w:p>
    <w:p w14:paraId="081303E3" w14:textId="77777777" w:rsidR="004A3648" w:rsidRPr="00716B05" w:rsidRDefault="004A3648" w:rsidP="004A3648">
      <w:pPr>
        <w:tabs>
          <w:tab w:val="left" w:pos="709"/>
        </w:tabs>
        <w:spacing w:after="120" w:line="276" w:lineRule="auto"/>
        <w:jc w:val="both"/>
        <w:rPr>
          <w:rFonts w:ascii="Verdana" w:eastAsia="Calibri" w:hAnsi="Verdana" w:cs="Arial"/>
          <w:bCs/>
          <w:color w:val="000000" w:themeColor="text1"/>
          <w:lang w:val="es-ES_tradnl"/>
        </w:rPr>
      </w:pPr>
      <w:r w:rsidRPr="0030549B">
        <w:rPr>
          <w:rFonts w:ascii="Verdana" w:eastAsia="Calibri" w:hAnsi="Verdana" w:cs="Arial"/>
          <w:bCs/>
          <w:color w:val="000000" w:themeColor="text1"/>
          <w:lang w:val="es-ES_tradnl"/>
        </w:rPr>
        <w:tab/>
      </w:r>
      <w:r w:rsidRPr="00716B05">
        <w:rPr>
          <w:rFonts w:ascii="Verdana" w:eastAsia="Calibri" w:hAnsi="Verdana" w:cs="Arial"/>
          <w:bCs/>
          <w:color w:val="000000" w:themeColor="text1"/>
          <w:lang w:val="es-ES_tradnl"/>
        </w:rPr>
        <w:t xml:space="preserve">De conformidad con lo expuesto, y con fundamento en lo previsto en el numeral 9 del artículo 2.2.1.2.1.5.2. del Decreto 1082 del 2015 según el cual “la oferta y su aceptación constituyen el contrato estatal”, es claro que la comunicación de la aceptación de la oferta por parte de la entidad al proponente perfecciona los requisitos de existencia del contrato. </w:t>
      </w:r>
      <w:r w:rsidRPr="00716B05">
        <w:rPr>
          <w:rFonts w:ascii="Verdana" w:eastAsia="Calibri" w:hAnsi="Verdana" w:cs="Arial"/>
          <w:bCs/>
          <w:color w:val="000000" w:themeColor="text1"/>
        </w:rPr>
        <w:t>Esta particularidad en relación con el procedimiento de mínima cuantía se deriva de lo establecido en el literal d) del numeral 5 del artículo 2 de la Ley 1150 de 2007 que de manera expresa dispone que "la comunicación de aceptación junto con la oferta c</w:t>
      </w:r>
      <w:r w:rsidRPr="00716B05">
        <w:rPr>
          <w:rFonts w:ascii="Verdana" w:eastAsia="Calibri" w:hAnsi="Verdana" w:cs="Arial"/>
          <w:bCs/>
          <w:i/>
          <w:iCs/>
          <w:color w:val="000000" w:themeColor="text1"/>
        </w:rPr>
        <w:t>onstituye para todos los efectos el contrato celebrado</w:t>
      </w:r>
      <w:r w:rsidRPr="00716B05">
        <w:rPr>
          <w:rFonts w:ascii="Verdana" w:eastAsia="Calibri" w:hAnsi="Verdana" w:cs="Arial"/>
          <w:bCs/>
          <w:color w:val="000000" w:themeColor="text1"/>
        </w:rPr>
        <w:t>, con base en lo cual se efectuará el respectivo registro presupuestal". Esto implica que, en este tipo de procedimientos, el contrato se entiende perfeccionado en el momento en que se produce dicha comunicación, sin necesidad de cumplir con requisitos adicionales.</w:t>
      </w:r>
    </w:p>
    <w:p w14:paraId="5C88D9CE" w14:textId="77777777" w:rsidR="004A3648" w:rsidRPr="00716B05" w:rsidRDefault="004A3648" w:rsidP="004A3648">
      <w:pPr>
        <w:tabs>
          <w:tab w:val="left" w:pos="709"/>
        </w:tabs>
        <w:spacing w:after="120" w:line="276" w:lineRule="auto"/>
        <w:ind w:firstLine="709"/>
        <w:jc w:val="both"/>
        <w:rPr>
          <w:rFonts w:ascii="Verdana" w:eastAsia="Calibri" w:hAnsi="Verdana" w:cs="Arial"/>
          <w:bCs/>
          <w:color w:val="000000"/>
          <w:lang w:val="es-ES"/>
        </w:rPr>
      </w:pPr>
      <w:r w:rsidRPr="00716B05">
        <w:rPr>
          <w:rFonts w:ascii="Verdana" w:eastAsia="Calibri" w:hAnsi="Verdana" w:cs="Arial"/>
          <w:bCs/>
          <w:color w:val="000000"/>
          <w:lang w:val="es-ES"/>
        </w:rPr>
        <w:t xml:space="preserve">En este sentido, el legislador estableció que en los procesos de mínima cuantía no habría un </w:t>
      </w:r>
      <w:r w:rsidRPr="00716B05">
        <w:rPr>
          <w:rFonts w:ascii="Verdana" w:eastAsia="Calibri" w:hAnsi="Verdana" w:cs="Arial"/>
          <w:bCs/>
          <w:i/>
          <w:color w:val="000000"/>
          <w:lang w:val="es-ES"/>
        </w:rPr>
        <w:t>“acto de adjudicación”</w:t>
      </w:r>
      <w:r w:rsidRPr="00716B05">
        <w:rPr>
          <w:rFonts w:ascii="Verdana" w:eastAsia="Calibri" w:hAnsi="Verdana" w:cs="Arial"/>
          <w:bCs/>
          <w:color w:val="000000"/>
          <w:lang w:val="es-ES"/>
        </w:rPr>
        <w:t xml:space="preserve">, sino que en aras de la celeridad y economía que se busca con esta modalidad, la selección de la mejor oferta se realiza mediante una </w:t>
      </w:r>
      <w:r w:rsidRPr="00716B05">
        <w:rPr>
          <w:rFonts w:ascii="Verdana" w:eastAsia="Calibri" w:hAnsi="Verdana" w:cs="Arial"/>
          <w:bCs/>
          <w:i/>
          <w:color w:val="000000"/>
          <w:lang w:val="es-ES"/>
        </w:rPr>
        <w:t>“comunicación de aceptación de la oferta”</w:t>
      </w:r>
      <w:r w:rsidRPr="00716B05">
        <w:rPr>
          <w:rFonts w:ascii="Verdana" w:eastAsia="Calibri" w:hAnsi="Verdana" w:cs="Arial"/>
          <w:bCs/>
          <w:color w:val="000000"/>
          <w:lang w:val="es-ES"/>
        </w:rPr>
        <w:t xml:space="preserve">, y dicha comunicación, junto con la oferta presentada por el oferente seleccionado, constituyen el contrato. Así, la comunicación de aceptación de la oferta hace las veces del acto de adjudicación, en el entendido de que bajo dicha actuación la </w:t>
      </w:r>
      <w:r w:rsidRPr="00716B05">
        <w:rPr>
          <w:rFonts w:ascii="Verdana" w:eastAsia="Calibri" w:hAnsi="Verdana" w:cs="Arial"/>
          <w:bCs/>
          <w:color w:val="000000"/>
          <w:lang w:val="es-ES"/>
        </w:rPr>
        <w:lastRenderedPageBreak/>
        <w:t>entidad selecciona a su contratista; solo que en estos casos mediante dicho acto además se perfecciona el contrato.</w:t>
      </w:r>
    </w:p>
    <w:bookmarkEnd w:id="2"/>
    <w:p w14:paraId="09189279" w14:textId="77777777" w:rsidR="004A3648" w:rsidRPr="009C504B" w:rsidRDefault="004A3648" w:rsidP="004A3648">
      <w:pPr>
        <w:spacing w:after="120" w:line="276" w:lineRule="auto"/>
        <w:ind w:firstLine="708"/>
        <w:jc w:val="both"/>
        <w:rPr>
          <w:rFonts w:ascii="Verdana" w:eastAsia="Arial" w:hAnsi="Verdana" w:cs="Arial"/>
        </w:rPr>
      </w:pPr>
      <w:r>
        <w:rPr>
          <w:rFonts w:ascii="Verdana" w:eastAsia="Calibri" w:hAnsi="Verdana" w:cs="Arial"/>
          <w:bCs/>
          <w:lang w:val="es-ES_tradnl"/>
        </w:rPr>
        <w:t>Ahora bien, en atención al problema jurídico planteado y d</w:t>
      </w:r>
      <w:r>
        <w:rPr>
          <w:rFonts w:ascii="Verdana" w:eastAsia="Arial" w:hAnsi="Verdana" w:cs="Arial"/>
        </w:rPr>
        <w:t>e</w:t>
      </w:r>
      <w:r w:rsidRPr="009C504B">
        <w:rPr>
          <w:rFonts w:ascii="Verdana" w:eastAsia="Arial" w:hAnsi="Verdana" w:cs="Arial"/>
        </w:rPr>
        <w:t xml:space="preserve"> conformidad con lo dispuesto en el literal d) del numeral 5 del artículo 2 de la Ley 1150 de 2007 y en el numeral 9 del artículo 2.2.1.2.1.5.2 del Decreto 1082 de 2015, en los procesos de mínima cuantía la oferta y su aceptación constituyen el contrato estatal. En consecuencia, el perfeccionamiento del vínculo contractual se produce con la comunicación de aceptación de la oferta por parte de la entidad estatal al proponente seleccionado, sin que resulte necesaria la suscripción de una minuta contractual. No obstante, desde una perspectiva operativa, el SECOP II puede requerir la elaboración y suscripción de documentos adicionales para efectos de culminar el flujo transaccional del proceso.</w:t>
      </w:r>
    </w:p>
    <w:p w14:paraId="0EB7EF3F" w14:textId="77777777" w:rsidR="004A3648" w:rsidRPr="009C504B" w:rsidRDefault="004A3648" w:rsidP="004A3648">
      <w:pPr>
        <w:spacing w:after="120" w:line="276" w:lineRule="auto"/>
        <w:jc w:val="both"/>
        <w:rPr>
          <w:rFonts w:ascii="Verdana" w:eastAsia="Arial" w:hAnsi="Verdana" w:cs="Arial"/>
        </w:rPr>
      </w:pPr>
      <w:r>
        <w:rPr>
          <w:rFonts w:ascii="Verdana" w:eastAsia="Arial" w:hAnsi="Verdana" w:cs="Arial"/>
        </w:rPr>
        <w:t xml:space="preserve">          </w:t>
      </w:r>
      <w:r w:rsidRPr="009C504B">
        <w:rPr>
          <w:rFonts w:ascii="Verdana" w:eastAsia="Arial" w:hAnsi="Verdana" w:cs="Arial"/>
        </w:rPr>
        <w:t>Bajo este entendimiento, el contenido de la oferta aceptada se incorpora al contrato estatal y determina el alcance de las obligaciones asumidas por las partes, incluyendo las condiciones técnicas, económicas y financieras ofrecidas por el contratista. En ese sentido, la aceptación de la oferta supone la conformidad de la entidad estatal con los términos propuestos por el oferente seleccionado y constituye el fundamento del negocio jurídico celebrado.</w:t>
      </w:r>
    </w:p>
    <w:p w14:paraId="4161FBB5" w14:textId="77777777" w:rsidR="004A3648" w:rsidRPr="009C504B" w:rsidRDefault="004A3648" w:rsidP="004A3648">
      <w:pPr>
        <w:spacing w:after="120" w:line="276" w:lineRule="auto"/>
        <w:jc w:val="both"/>
        <w:rPr>
          <w:rFonts w:ascii="Verdana" w:eastAsia="Arial" w:hAnsi="Verdana" w:cs="Arial"/>
        </w:rPr>
      </w:pPr>
      <w:r>
        <w:rPr>
          <w:rFonts w:ascii="Verdana" w:eastAsia="Arial" w:hAnsi="Verdana" w:cs="Arial"/>
        </w:rPr>
        <w:t xml:space="preserve">          </w:t>
      </w:r>
      <w:r w:rsidRPr="009C504B">
        <w:rPr>
          <w:rFonts w:ascii="Verdana" w:eastAsia="Arial" w:hAnsi="Verdana" w:cs="Arial"/>
        </w:rPr>
        <w:t>Por otra parte, el registro presupuestal corresponde al instrumento mediante el cual se afecta de manera definitiva la apropiación presupuestal para respaldar una obligación previamente adquirida por la entidad estatal. Así, existe una relación directa entre el compromiso contractual asumido y el valor que se registra presupuestalmente, en la medida en que este último tiene por finalidad amparar la obligación derivada del contrato celebrado.</w:t>
      </w:r>
    </w:p>
    <w:p w14:paraId="670234F4" w14:textId="77777777" w:rsidR="004A3648" w:rsidRPr="009C504B" w:rsidRDefault="004A3648" w:rsidP="004A3648">
      <w:pPr>
        <w:spacing w:after="120" w:line="276" w:lineRule="auto"/>
        <w:jc w:val="both"/>
        <w:rPr>
          <w:rFonts w:ascii="Verdana" w:eastAsia="Arial" w:hAnsi="Verdana" w:cs="Arial"/>
        </w:rPr>
      </w:pPr>
      <w:r>
        <w:rPr>
          <w:rFonts w:ascii="Verdana" w:eastAsia="Arial" w:hAnsi="Verdana" w:cs="Arial"/>
        </w:rPr>
        <w:t xml:space="preserve">         </w:t>
      </w:r>
      <w:r w:rsidRPr="009C504B">
        <w:rPr>
          <w:rFonts w:ascii="Verdana" w:eastAsia="Arial" w:hAnsi="Verdana" w:cs="Arial"/>
        </w:rPr>
        <w:t>De acuerdo con lo anterior, cuando en un proceso de mínima cuantía la oferta aceptada constituye el contrato, el análisis sobre el valor que debe respaldarse presupuestalmente exige verificar el alcance de las obligaciones efectivamente asumidas por las partes y el contenido económico de la oferta que dio origen al vínculo contractual. En este contexto, resulta relevante considerar que la disponibilidad presupuestal expedida para adelantar el proceso constituye el respaldo máximo de recursos con los que cuenta la entidad para satisfacer la necesidad identificada, mientras que la oferta presentada por el contratista refleja las condiciones económicas bajo las cuales este se compromete a ejecutar el objeto contractual.</w:t>
      </w:r>
    </w:p>
    <w:p w14:paraId="5AB66B8D" w14:textId="77777777" w:rsidR="004A3648" w:rsidRPr="009C504B" w:rsidRDefault="004A3648" w:rsidP="004A3648">
      <w:pPr>
        <w:spacing w:after="120" w:line="276" w:lineRule="auto"/>
        <w:jc w:val="both"/>
        <w:rPr>
          <w:rFonts w:ascii="Verdana" w:eastAsia="Arial" w:hAnsi="Verdana" w:cs="Arial"/>
        </w:rPr>
      </w:pPr>
      <w:r>
        <w:rPr>
          <w:rFonts w:ascii="Verdana" w:eastAsia="Arial" w:hAnsi="Verdana" w:cs="Arial"/>
        </w:rPr>
        <w:lastRenderedPageBreak/>
        <w:t xml:space="preserve">          </w:t>
      </w:r>
      <w:r w:rsidRPr="009C504B">
        <w:rPr>
          <w:rFonts w:ascii="Verdana" w:eastAsia="Arial" w:hAnsi="Verdana" w:cs="Arial"/>
        </w:rPr>
        <w:t>Por consiguiente, a partir del marco normativo expuesto, puede entenderse que existe una estrecha correspondencia entre el valor de la oferta aceptada, el valor del contrato que surge de dicha aceptación y el valor del compromiso presupuestal que debe respaldar la obligación adquirida por la entidad. En esa medida, cualquier decisión relacionada con la aceptación de la oferta o con la expedición del registro presupuestal deberá analizarse a la luz de las reglas que gobiernan la formación del contrato estatal, el contenido de la oferta seleccionada y la finalidad propia del registro presupuestal como instrumento de ejecución del gasto público.</w:t>
      </w:r>
    </w:p>
    <w:p w14:paraId="2348E42E" w14:textId="77777777" w:rsidR="004A3648" w:rsidRDefault="004A3648" w:rsidP="004A3648">
      <w:pPr>
        <w:spacing w:after="120" w:line="276" w:lineRule="auto"/>
        <w:jc w:val="both"/>
        <w:rPr>
          <w:rFonts w:ascii="Verdana" w:eastAsia="Arial" w:hAnsi="Verdana" w:cs="Arial"/>
        </w:rPr>
      </w:pPr>
      <w:r>
        <w:rPr>
          <w:rFonts w:ascii="Verdana" w:eastAsia="Arial" w:hAnsi="Verdana" w:cs="Arial"/>
        </w:rPr>
        <w:t xml:space="preserve">            </w:t>
      </w:r>
      <w:r w:rsidRPr="009C504B">
        <w:rPr>
          <w:rFonts w:ascii="Verdana" w:eastAsia="Arial" w:hAnsi="Verdana" w:cs="Arial"/>
        </w:rPr>
        <w:t>Por lo anterior, con fundamento en el principio de autonomía administrativa y previa valoración de sus asesores jurídicos, presupuestales y financieros, corresponde a cada entidad estatal determinar la forma de proceder frente a los casos concretos que se presenten en desarrollo de sus procesos contractuales. En caso de controversia, serán las autoridades competentes, en ejercicio de sus funciones judiciales, fiscales o disciplinarias, las encargadas de determinar los efectos jurídicos que correspondan.</w:t>
      </w:r>
    </w:p>
    <w:p w14:paraId="3E667807" w14:textId="77777777" w:rsidR="004A3648" w:rsidRPr="006B17A7" w:rsidRDefault="004A3648" w:rsidP="004A3648">
      <w:pPr>
        <w:spacing w:after="120" w:line="276" w:lineRule="auto"/>
        <w:ind w:firstLine="708"/>
        <w:jc w:val="both"/>
        <w:rPr>
          <w:rFonts w:ascii="Verdana" w:eastAsia="Calibri" w:hAnsi="Verdana" w:cs="Arial"/>
        </w:rPr>
      </w:pPr>
      <w:r w:rsidRPr="009C504B">
        <w:rPr>
          <w:rFonts w:ascii="Verdana" w:eastAsia="Arial" w:hAnsi="Verdana" w:cs="Arial"/>
        </w:rPr>
        <w:t>En ese sentido, al tratarse de asuntos cuya solución depende de las particularidades de cada procedimiento contractual, no es posible establecer por vía consultiva una regla absoluta aplicable a todos los casos. Por ello, se suministran elementos generales de análisis para que los partícipes del Sistema de Compra Pública adopten las decisiones que estimen procedentes conforme al ordenamiento jurídico vigente, sin que corresponda a la Agencia Nacional de Contratación Pública – Colombia Compra Eficiente avalar o validar actuaciones concretas de las entidades estatales.</w:t>
      </w:r>
      <w:r>
        <w:rPr>
          <w:rFonts w:ascii="Verdana" w:eastAsia="Arial" w:hAnsi="Verdana" w:cs="Arial"/>
        </w:rPr>
        <w:t xml:space="preserve">     </w:t>
      </w:r>
    </w:p>
    <w:p w14:paraId="7C176AAC" w14:textId="77777777" w:rsidR="004A3648" w:rsidRPr="006B17A7" w:rsidRDefault="004A3648" w:rsidP="004A3648">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2964494A" w14:textId="77777777" w:rsidR="004A3648" w:rsidRPr="006B17A7" w:rsidRDefault="004A3648" w:rsidP="004A3648">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A3648" w:rsidRPr="006B17A7" w14:paraId="3D38ADC9" w14:textId="77777777" w:rsidTr="0076623F">
        <w:trPr>
          <w:trHeight w:val="870"/>
        </w:trPr>
        <w:tc>
          <w:tcPr>
            <w:tcW w:w="8647" w:type="dxa"/>
          </w:tcPr>
          <w:p w14:paraId="075C58A7" w14:textId="77777777" w:rsidR="004A3648" w:rsidRDefault="004A3648" w:rsidP="004A3648">
            <w:pPr>
              <w:widowControl w:val="0"/>
              <w:numPr>
                <w:ilvl w:val="0"/>
                <w:numId w:val="17"/>
              </w:numPr>
              <w:autoSpaceDE w:val="0"/>
              <w:autoSpaceDN w:val="0"/>
              <w:spacing w:line="276" w:lineRule="auto"/>
              <w:jc w:val="both"/>
              <w:rPr>
                <w:rFonts w:ascii="Verdana" w:eastAsia="Arial MT" w:hAnsi="Verdana" w:cs="Arial"/>
                <w:bCs/>
                <w:lang w:eastAsia="es-ES" w:bidi="es-ES"/>
              </w:rPr>
            </w:pPr>
            <w:r w:rsidRPr="00E34457">
              <w:rPr>
                <w:rFonts w:ascii="Verdana" w:eastAsia="Arial MT" w:hAnsi="Verdana" w:cs="Arial"/>
                <w:bCs/>
                <w:lang w:bidi="es-ES"/>
              </w:rPr>
              <w:t>Ley 527 de 1999</w:t>
            </w:r>
            <w:r>
              <w:rPr>
                <w:rFonts w:ascii="Verdana" w:eastAsia="Arial MT" w:hAnsi="Verdana" w:cs="Arial"/>
                <w:bCs/>
                <w:lang w:bidi="es-ES"/>
              </w:rPr>
              <w:t>. Articulo 14 y 22.</w:t>
            </w:r>
          </w:p>
          <w:p w14:paraId="7CC1BE0E" w14:textId="77777777" w:rsidR="004A3648" w:rsidRPr="002F6633" w:rsidRDefault="004A3648" w:rsidP="004A3648">
            <w:pPr>
              <w:widowControl w:val="0"/>
              <w:numPr>
                <w:ilvl w:val="0"/>
                <w:numId w:val="17"/>
              </w:numPr>
              <w:autoSpaceDE w:val="0"/>
              <w:autoSpaceDN w:val="0"/>
              <w:spacing w:line="276" w:lineRule="auto"/>
              <w:jc w:val="both"/>
              <w:rPr>
                <w:rFonts w:ascii="Verdana" w:eastAsia="Arial MT" w:hAnsi="Verdana" w:cs="Arial"/>
                <w:bCs/>
                <w:lang w:eastAsia="es-ES" w:bidi="es-ES"/>
              </w:rPr>
            </w:pPr>
            <w:r w:rsidRPr="002F6633">
              <w:rPr>
                <w:rFonts w:ascii="Verdana" w:eastAsia="Arial MT" w:hAnsi="Verdana" w:cs="Arial"/>
                <w:bCs/>
                <w:lang w:eastAsia="es-ES" w:bidi="es-ES"/>
              </w:rPr>
              <w:t>Ley 1150 de 2007. Artículo 2</w:t>
            </w:r>
          </w:p>
          <w:p w14:paraId="2FA5128D" w14:textId="77777777" w:rsidR="004A3648" w:rsidRPr="002F6633" w:rsidRDefault="004A3648" w:rsidP="004A3648">
            <w:pPr>
              <w:widowControl w:val="0"/>
              <w:numPr>
                <w:ilvl w:val="0"/>
                <w:numId w:val="17"/>
              </w:numPr>
              <w:autoSpaceDE w:val="0"/>
              <w:autoSpaceDN w:val="0"/>
              <w:spacing w:line="276" w:lineRule="auto"/>
              <w:jc w:val="both"/>
              <w:rPr>
                <w:rFonts w:ascii="Verdana" w:eastAsia="Arial MT" w:hAnsi="Verdana" w:cs="Arial"/>
                <w:bCs/>
                <w:lang w:eastAsia="es-ES" w:bidi="es-ES"/>
              </w:rPr>
            </w:pPr>
            <w:r w:rsidRPr="002F6633">
              <w:rPr>
                <w:rFonts w:ascii="Verdana" w:eastAsia="Arial MT" w:hAnsi="Verdana" w:cs="Arial"/>
                <w:bCs/>
                <w:lang w:eastAsia="es-ES" w:bidi="es-ES"/>
              </w:rPr>
              <w:t>Ley 1474 de 2011. Artículo 94</w:t>
            </w:r>
          </w:p>
          <w:p w14:paraId="6AC5819D" w14:textId="77777777" w:rsidR="004A3648" w:rsidRPr="002F6633" w:rsidRDefault="004A3648" w:rsidP="004A3648">
            <w:pPr>
              <w:widowControl w:val="0"/>
              <w:numPr>
                <w:ilvl w:val="0"/>
                <w:numId w:val="17"/>
              </w:numPr>
              <w:autoSpaceDE w:val="0"/>
              <w:autoSpaceDN w:val="0"/>
              <w:spacing w:line="276" w:lineRule="auto"/>
              <w:jc w:val="both"/>
              <w:rPr>
                <w:rFonts w:ascii="Verdana" w:eastAsia="Arial MT" w:hAnsi="Verdana" w:cs="Arial"/>
                <w:bCs/>
                <w:lang w:eastAsia="es-ES" w:bidi="es-ES"/>
              </w:rPr>
            </w:pPr>
            <w:r w:rsidRPr="002F6633">
              <w:rPr>
                <w:rFonts w:ascii="Verdana" w:eastAsia="Arial MT" w:hAnsi="Verdana" w:cs="Arial"/>
                <w:bCs/>
                <w:lang w:eastAsia="es-ES" w:bidi="es-ES"/>
              </w:rPr>
              <w:t xml:space="preserve">Decreto 1082 de 2015. Artículo 2.2.1.2.1.5.1. al 2.2.1.2.1.5.4 </w:t>
            </w:r>
          </w:p>
          <w:p w14:paraId="360A4E6F" w14:textId="77777777" w:rsidR="004A3648" w:rsidRPr="002F6633" w:rsidRDefault="004A3648" w:rsidP="004A3648">
            <w:pPr>
              <w:widowControl w:val="0"/>
              <w:numPr>
                <w:ilvl w:val="0"/>
                <w:numId w:val="17"/>
              </w:numPr>
              <w:autoSpaceDE w:val="0"/>
              <w:autoSpaceDN w:val="0"/>
              <w:spacing w:line="276" w:lineRule="auto"/>
              <w:jc w:val="both"/>
              <w:rPr>
                <w:rFonts w:ascii="Verdana" w:eastAsia="Arial MT" w:hAnsi="Verdana" w:cs="Arial"/>
                <w:bCs/>
                <w:lang w:eastAsia="es-ES" w:bidi="es-ES"/>
              </w:rPr>
            </w:pPr>
            <w:r w:rsidRPr="002F6633">
              <w:rPr>
                <w:rFonts w:ascii="Verdana" w:eastAsia="Arial MT" w:hAnsi="Verdana" w:cs="Arial"/>
                <w:bCs/>
                <w:lang w:eastAsia="es-ES" w:bidi="es-ES"/>
              </w:rPr>
              <w:t>Ley 2069 de 2020. Artículo 30</w:t>
            </w:r>
          </w:p>
          <w:p w14:paraId="446FCF77" w14:textId="77777777" w:rsidR="004A3648" w:rsidRPr="002F6633" w:rsidRDefault="004A3648" w:rsidP="004A3648">
            <w:pPr>
              <w:widowControl w:val="0"/>
              <w:numPr>
                <w:ilvl w:val="0"/>
                <w:numId w:val="17"/>
              </w:numPr>
              <w:autoSpaceDE w:val="0"/>
              <w:autoSpaceDN w:val="0"/>
              <w:spacing w:line="276" w:lineRule="auto"/>
              <w:jc w:val="both"/>
              <w:rPr>
                <w:rFonts w:ascii="Verdana" w:eastAsia="Arial MT" w:hAnsi="Verdana" w:cs="Arial"/>
                <w:bCs/>
                <w:lang w:eastAsia="es-ES" w:bidi="es-ES"/>
              </w:rPr>
            </w:pPr>
            <w:r w:rsidRPr="002F6633">
              <w:rPr>
                <w:rFonts w:ascii="Verdana" w:eastAsia="Arial MT" w:hAnsi="Verdana" w:cs="Arial"/>
                <w:bCs/>
                <w:lang w:eastAsia="es-ES" w:bidi="es-ES"/>
              </w:rPr>
              <w:t>Dávila Vinueza, Luis Guillermo. Régimen jurídico de la contratación estatal. 3ª ed. Bogotá: Legis, 2016. p. 463.</w:t>
            </w:r>
          </w:p>
          <w:p w14:paraId="1076EB97" w14:textId="77777777" w:rsidR="004A3648" w:rsidRPr="006B17A7" w:rsidRDefault="004A3648" w:rsidP="004A3648">
            <w:pPr>
              <w:pStyle w:val="Prrafodelista"/>
              <w:numPr>
                <w:ilvl w:val="0"/>
                <w:numId w:val="17"/>
              </w:numPr>
              <w:spacing w:after="120" w:line="276" w:lineRule="auto"/>
              <w:jc w:val="both"/>
              <w:rPr>
                <w:rFonts w:ascii="Verdana" w:eastAsia="Aptos" w:hAnsi="Verdana" w:cs="Arial"/>
              </w:rPr>
            </w:pPr>
            <w:r w:rsidRPr="002F6633">
              <w:rPr>
                <w:rFonts w:ascii="Verdana" w:eastAsia="Arial MT" w:hAnsi="Verdana" w:cs="Arial"/>
                <w:bCs/>
                <w:lang w:eastAsia="es-ES" w:bidi="es-ES"/>
              </w:rPr>
              <w:t xml:space="preserve">Agencia Nacional de Contratación Pública – Colombia Compra Eficiente. Manual de la Modalidad de Selección de Mínima Cuantía. </w:t>
            </w:r>
            <w:r w:rsidRPr="002F6633">
              <w:rPr>
                <w:rFonts w:ascii="Verdana" w:eastAsia="Arial MT" w:hAnsi="Verdana" w:cs="Arial"/>
                <w:bCs/>
                <w:lang w:eastAsia="es-ES" w:bidi="es-ES"/>
              </w:rPr>
              <w:lastRenderedPageBreak/>
              <w:t xml:space="preserve">Disponible aquí: </w:t>
            </w:r>
            <w:hyperlink r:id="rId12" w:history="1">
              <w:r w:rsidRPr="00E22731">
                <w:rPr>
                  <w:rStyle w:val="Hipervnculo"/>
                  <w:rFonts w:ascii="Verdana" w:eastAsia="Arial MT" w:hAnsi="Verdana" w:cs="Arial"/>
                  <w:bCs/>
                  <w:lang w:eastAsia="es-ES" w:bidi="es-ES"/>
                </w:rPr>
                <w:t>https://www.colombiacompra.gov.co/archivos/manual/manual-de-la-modalidad-de-seleccion-de-minima-cuantia</w:t>
              </w:r>
            </w:hyperlink>
            <w:r>
              <w:rPr>
                <w:rFonts w:ascii="Verdana" w:eastAsia="Arial MT" w:hAnsi="Verdana" w:cs="Arial"/>
                <w:bCs/>
                <w:color w:val="7030A0"/>
                <w:lang w:eastAsia="es-ES" w:bidi="es-ES"/>
              </w:rPr>
              <w:t xml:space="preserve"> </w:t>
            </w:r>
          </w:p>
        </w:tc>
      </w:tr>
    </w:tbl>
    <w:p w14:paraId="426FDF1F" w14:textId="77777777" w:rsidR="004A3648" w:rsidRPr="006B17A7" w:rsidRDefault="004A3648" w:rsidP="004A3648">
      <w:pPr>
        <w:widowControl w:val="0"/>
        <w:autoSpaceDE w:val="0"/>
        <w:autoSpaceDN w:val="0"/>
        <w:spacing w:after="0" w:line="276" w:lineRule="auto"/>
        <w:jc w:val="both"/>
        <w:rPr>
          <w:rFonts w:ascii="Verdana" w:eastAsia="Aptos" w:hAnsi="Verdana" w:cs="Arial"/>
        </w:rPr>
      </w:pPr>
    </w:p>
    <w:p w14:paraId="58CF7FB4" w14:textId="77777777" w:rsidR="004A3648" w:rsidRPr="006B17A7" w:rsidRDefault="004A3648" w:rsidP="004A3648">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2B62F542" w14:textId="77777777" w:rsidR="004A3648" w:rsidRPr="006B17A7" w:rsidRDefault="004A3648" w:rsidP="004A3648">
      <w:pPr>
        <w:widowControl w:val="0"/>
        <w:autoSpaceDE w:val="0"/>
        <w:autoSpaceDN w:val="0"/>
        <w:spacing w:after="0" w:line="276" w:lineRule="auto"/>
        <w:jc w:val="both"/>
        <w:rPr>
          <w:rFonts w:ascii="Verdana" w:eastAsia="Aptos" w:hAnsi="Verdana" w:cs="Arial"/>
        </w:rPr>
      </w:pPr>
    </w:p>
    <w:p w14:paraId="0E67A8CA" w14:textId="77777777" w:rsidR="004A3648" w:rsidRPr="00ED0098" w:rsidRDefault="004A3648" w:rsidP="004A3648">
      <w:pPr>
        <w:widowControl w:val="0"/>
        <w:autoSpaceDE w:val="0"/>
        <w:autoSpaceDN w:val="0"/>
        <w:spacing w:after="0" w:line="276" w:lineRule="auto"/>
        <w:jc w:val="both"/>
        <w:rPr>
          <w:rStyle w:val="normaltextrun"/>
          <w:rFonts w:ascii="Verdana" w:hAnsi="Verdana" w:cs="Arial"/>
          <w:shd w:val="clear" w:color="auto" w:fill="FFFFFF"/>
        </w:rPr>
      </w:pPr>
      <w:r w:rsidRPr="00C134D9">
        <w:rPr>
          <w:rFonts w:ascii="Verdana" w:eastAsia="Calibri" w:hAnsi="Verdana" w:cs="Arial"/>
          <w:lang w:val="es-ES"/>
        </w:rPr>
        <w:t xml:space="preserve">La Agencia Nacional de Contratación Pública – Colombia Compra Eficiente se ha referido </w:t>
      </w:r>
      <w:r w:rsidRPr="00C134D9">
        <w:rPr>
          <w:rFonts w:ascii="Verdana" w:hAnsi="Verdana" w:cs="Arial"/>
          <w:shd w:val="clear" w:color="auto" w:fill="FFFFFF"/>
          <w:lang w:val="es-ES"/>
        </w:rPr>
        <w:t xml:space="preserve">sobre </w:t>
      </w:r>
      <w:r w:rsidRPr="00C134D9">
        <w:rPr>
          <w:rFonts w:ascii="Verdana" w:hAnsi="Verdana" w:cs="Arial"/>
          <w:bCs/>
          <w:shd w:val="clear" w:color="auto" w:fill="FFFFFF"/>
          <w:lang w:val="es-ES_tradnl"/>
        </w:rPr>
        <w:t>particularidades de la modalidad de selección de mínima cuantía en los conceptos con radicado No. 2201913000006236 de 26 de agosto de 2019, C–108 del 3 de marzo de 2020, C–121 del 3 de marzo de 2020, C–122 del 25 de marzo de 2020 y C–160 del 3 de abril de 2020, C-465 del 27 de julio de 2020, C-557 del 21 de agosto de 2020, C-734 del 16 de diciembre de 2020, C-123 del 12 de mayo de 2023, C-069 del 26 de febrero de 2025, C-069 del 26 de febrero de 2025, C-945 del 23 de agosto de 2025, C-1183 del 19 de septiembre de 2025, C-003 del 12 de febrero de 2026, C-300 del 9 de abril de 2026, C-460 del 16 de abril de 2026,</w:t>
      </w:r>
      <w:r>
        <w:rPr>
          <w:rFonts w:ascii="Verdana" w:hAnsi="Verdana" w:cs="Arial"/>
          <w:bCs/>
          <w:shd w:val="clear" w:color="auto" w:fill="FFFFFF"/>
          <w:lang w:val="es-ES_tradnl"/>
        </w:rPr>
        <w:t xml:space="preserve"> Concepto C-632 del 29 de mayo de 2026</w:t>
      </w:r>
      <w:r w:rsidRPr="00C134D9">
        <w:rPr>
          <w:rFonts w:ascii="Verdana" w:hAnsi="Verdana" w:cs="Arial"/>
          <w:bCs/>
          <w:shd w:val="clear" w:color="auto" w:fill="FFFFFF"/>
          <w:lang w:val="es-ES_tradnl"/>
        </w:rPr>
        <w:t xml:space="preserve"> entre otros</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9C30F9F" w14:textId="77777777" w:rsidR="004A3648" w:rsidRPr="00115E3D" w:rsidRDefault="004A3648" w:rsidP="004A3648">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0B3B101F" w14:textId="77777777" w:rsidR="004A3648" w:rsidRPr="009A385A" w:rsidRDefault="004A3648" w:rsidP="004A3648">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73E62211" w14:textId="77777777" w:rsidR="004A3648" w:rsidRDefault="004A3648" w:rsidP="004A3648">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635F16">
        <w:rPr>
          <w:rFonts w:ascii="Verdana" w:hAnsi="Verdana"/>
        </w:rPr>
        <w:lastRenderedPageBreak/>
        <w:t xml:space="preserve">Consulta y descarga los documentos aquí: </w:t>
      </w:r>
      <w:hyperlink r:id="rId15" w:tgtFrame="_new" w:history="1">
        <w:r w:rsidRPr="00635F16">
          <w:rPr>
            <w:rStyle w:val="Hipervnculo"/>
            <w:rFonts w:ascii="Verdana" w:hAnsi="Verdana"/>
          </w:rPr>
          <w:t>https://www.colombiacompra.gov.co/normativa-y-relatoria/documentos-tipo</w:t>
        </w:r>
      </w:hyperlink>
    </w:p>
    <w:p w14:paraId="5EB5D7D7" w14:textId="77777777" w:rsidR="004A3648" w:rsidRPr="009A385A" w:rsidRDefault="004A3648" w:rsidP="004A3648">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1264214" w14:textId="77777777" w:rsidR="004A3648" w:rsidRPr="00115E3D" w:rsidRDefault="004A3648" w:rsidP="004A3648">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33C1AD1E" w14:textId="77777777" w:rsidR="004A3648" w:rsidRPr="00115E3D" w:rsidRDefault="004A3648" w:rsidP="004A3648">
      <w:pPr>
        <w:spacing w:after="0" w:line="240" w:lineRule="auto"/>
        <w:jc w:val="both"/>
        <w:rPr>
          <w:rFonts w:ascii="Verdana" w:hAnsi="Verdana"/>
          <w:color w:val="000000" w:themeColor="text1"/>
        </w:rPr>
      </w:pPr>
    </w:p>
    <w:p w14:paraId="281B260D" w14:textId="77777777" w:rsidR="004A3648" w:rsidRPr="00115E3D" w:rsidRDefault="004A3648" w:rsidP="004A3648">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348F9102" w14:textId="77777777" w:rsidR="004A3648" w:rsidRPr="00115E3D" w:rsidRDefault="004A3648" w:rsidP="004A3648">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02BAD87A" w14:textId="77777777" w:rsidR="004A3648" w:rsidRPr="00115E3D" w:rsidRDefault="004A3648" w:rsidP="004A3648">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550F7AE0" w14:textId="77777777" w:rsidR="004A3648" w:rsidRPr="00115E3D" w:rsidRDefault="004A3648" w:rsidP="004A3648">
      <w:pPr>
        <w:widowControl w:val="0"/>
        <w:autoSpaceDE w:val="0"/>
        <w:autoSpaceDN w:val="0"/>
        <w:spacing w:after="0" w:line="276" w:lineRule="auto"/>
        <w:jc w:val="both"/>
        <w:rPr>
          <w:rFonts w:ascii="Verdana" w:hAnsi="Verdana" w:cs="Arial"/>
          <w:color w:val="000000" w:themeColor="text1"/>
        </w:rPr>
      </w:pPr>
    </w:p>
    <w:p w14:paraId="4DE9CE90" w14:textId="77777777" w:rsidR="004A3648" w:rsidRPr="00115E3D" w:rsidRDefault="004A3648" w:rsidP="004A3648">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1DA641AE" w14:textId="77777777" w:rsidR="004A3648" w:rsidRDefault="004A3648" w:rsidP="004A3648">
      <w:pPr>
        <w:spacing w:after="0" w:line="240" w:lineRule="auto"/>
        <w:rPr>
          <w:rFonts w:ascii="Verdana" w:eastAsia="Times New Roman" w:hAnsi="Verdana" w:cs="Arial"/>
          <w:color w:val="000000" w:themeColor="text1"/>
          <w:lang w:eastAsia="es-CO"/>
        </w:rPr>
      </w:pPr>
    </w:p>
    <w:p w14:paraId="0E32821C" w14:textId="77777777" w:rsidR="004A3648" w:rsidRDefault="004A3648" w:rsidP="004A3648">
      <w:pPr>
        <w:spacing w:after="0" w:line="240" w:lineRule="auto"/>
        <w:rPr>
          <w:rFonts w:ascii="Verdana" w:eastAsia="Times New Roman" w:hAnsi="Verdana" w:cs="Arial"/>
          <w:color w:val="000000" w:themeColor="text1"/>
          <w:lang w:eastAsia="es-CO"/>
        </w:rPr>
      </w:pPr>
    </w:p>
    <w:p w14:paraId="42B6341A" w14:textId="77777777" w:rsidR="004A3648" w:rsidRPr="00115E3D" w:rsidRDefault="004A3648" w:rsidP="004A3648">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62F9B1AB" w14:textId="2D579463" w:rsidR="004A3648" w:rsidRDefault="00AA0BF8" w:rsidP="004A3648">
      <w:pPr>
        <w:spacing w:line="276" w:lineRule="auto"/>
        <w:jc w:val="center"/>
        <w:rPr>
          <w:noProof/>
          <w:color w:val="000000" w:themeColor="text1"/>
          <w:lang w:val="es-ES_tradnl" w:eastAsia="es-CO"/>
        </w:rPr>
      </w:pPr>
      <w:r>
        <w:rPr>
          <w:noProof/>
        </w:rPr>
        <w:drawing>
          <wp:inline distT="0" distB="0" distL="0" distR="0" wp14:anchorId="36623BF7" wp14:editId="40FA3B9A">
            <wp:extent cx="3316605" cy="1423761"/>
            <wp:effectExtent l="0" t="0" r="0" b="5080"/>
            <wp:docPr id="23103134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19270" cy="1424905"/>
                    </a:xfrm>
                    <a:prstGeom prst="rect">
                      <a:avLst/>
                    </a:prstGeom>
                    <a:noFill/>
                    <a:ln>
                      <a:noFill/>
                    </a:ln>
                  </pic:spPr>
                </pic:pic>
              </a:graphicData>
            </a:graphic>
          </wp:inline>
        </w:drawing>
      </w:r>
      <w:r w:rsidR="004A3648">
        <w:rPr>
          <w:noProof/>
          <w:color w:val="000000" w:themeColor="text1"/>
          <w:lang w:val="es-ES_tradnl" w:eastAsia="es-CO"/>
        </w:rPr>
        <w:t xml:space="preserve"> </w:t>
      </w:r>
    </w:p>
    <w:p w14:paraId="2021E05D" w14:textId="77777777" w:rsidR="004A3648" w:rsidRDefault="004A3648" w:rsidP="004A3648">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A3648" w:rsidRPr="00115E3D" w14:paraId="23B1E9A0" w14:textId="77777777" w:rsidTr="0076623F">
        <w:trPr>
          <w:trHeight w:val="315"/>
        </w:trPr>
        <w:tc>
          <w:tcPr>
            <w:tcW w:w="893" w:type="dxa"/>
            <w:vAlign w:val="center"/>
            <w:hideMark/>
          </w:tcPr>
          <w:p w14:paraId="4EA91132" w14:textId="77777777" w:rsidR="004A3648" w:rsidRPr="00115E3D" w:rsidRDefault="004A3648" w:rsidP="0076623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059AF5" w14:textId="77777777" w:rsidR="004A3648" w:rsidRPr="00115E3D" w:rsidRDefault="004A3648" w:rsidP="0076623F">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3D168325" w14:textId="77777777" w:rsidR="004A3648" w:rsidRPr="00115E3D" w:rsidRDefault="004A3648" w:rsidP="0076623F">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4A3648" w:rsidRPr="00115E3D" w14:paraId="5BB2C299" w14:textId="77777777" w:rsidTr="0076623F">
        <w:trPr>
          <w:trHeight w:val="330"/>
        </w:trPr>
        <w:tc>
          <w:tcPr>
            <w:tcW w:w="893" w:type="dxa"/>
            <w:vAlign w:val="center"/>
            <w:hideMark/>
          </w:tcPr>
          <w:p w14:paraId="7B5C6807" w14:textId="77777777" w:rsidR="004A3648" w:rsidRPr="00115E3D" w:rsidRDefault="004A3648" w:rsidP="0076623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0FCAA2" w14:textId="77777777" w:rsidR="004A3648" w:rsidRDefault="004A3648" w:rsidP="0076623F">
            <w:pPr>
              <w:pStyle w:val="paragraph"/>
              <w:spacing w:before="0" w:beforeAutospacing="0" w:after="0" w:afterAutospacing="0"/>
              <w:contextualSpacing/>
              <w:textAlignment w:val="baseline"/>
              <w:rPr>
                <w:rFonts w:ascii="Verdana" w:hAnsi="Verdana" w:cs="Segoe UI"/>
                <w:color w:val="000000" w:themeColor="text1"/>
                <w:sz w:val="16"/>
                <w:szCs w:val="16"/>
              </w:rPr>
            </w:pPr>
            <w:r w:rsidRPr="007879E1">
              <w:rPr>
                <w:rFonts w:ascii="Verdana" w:hAnsi="Verdana" w:cs="Segoe UI"/>
                <w:color w:val="000000" w:themeColor="text1"/>
                <w:sz w:val="16"/>
                <w:szCs w:val="16"/>
              </w:rPr>
              <w:t>Diana</w:t>
            </w:r>
            <w:r>
              <w:rPr>
                <w:rFonts w:ascii="Verdana" w:hAnsi="Verdana" w:cs="Segoe UI"/>
                <w:color w:val="000000" w:themeColor="text1"/>
                <w:sz w:val="16"/>
                <w:szCs w:val="16"/>
              </w:rPr>
              <w:t xml:space="preserve"> Lucía</w:t>
            </w:r>
            <w:r w:rsidRPr="007879E1">
              <w:rPr>
                <w:rFonts w:ascii="Verdana" w:hAnsi="Verdana" w:cs="Segoe UI"/>
                <w:color w:val="000000" w:themeColor="text1"/>
                <w:sz w:val="16"/>
                <w:szCs w:val="16"/>
              </w:rPr>
              <w:t xml:space="preserve"> Saavedra</w:t>
            </w:r>
          </w:p>
          <w:p w14:paraId="2FDD6685" w14:textId="77777777" w:rsidR="004A3648" w:rsidRPr="00115E3D" w:rsidRDefault="004A3648" w:rsidP="0076623F">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4A3648" w:rsidRPr="00115E3D" w14:paraId="4883AA1F" w14:textId="77777777" w:rsidTr="0076623F">
        <w:trPr>
          <w:trHeight w:val="300"/>
        </w:trPr>
        <w:tc>
          <w:tcPr>
            <w:tcW w:w="893" w:type="dxa"/>
            <w:vAlign w:val="center"/>
          </w:tcPr>
          <w:p w14:paraId="73E04FF4" w14:textId="77777777" w:rsidR="004A3648" w:rsidRPr="00115E3D" w:rsidRDefault="004A3648" w:rsidP="0076623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F6844D0" w14:textId="77777777" w:rsidR="004A3648" w:rsidRPr="00115E3D" w:rsidRDefault="004A3648" w:rsidP="0076623F">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5E24E575" w14:textId="77777777" w:rsidR="004A3648" w:rsidRPr="00115E3D" w:rsidRDefault="004A3648" w:rsidP="0076623F">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7E224152" w14:textId="77777777" w:rsidR="004A3648" w:rsidRDefault="004A3648" w:rsidP="004A3648"/>
    <w:p w14:paraId="1006A388" w14:textId="77777777" w:rsidR="00C15139" w:rsidRPr="004A3648" w:rsidRDefault="00C15139" w:rsidP="30821638">
      <w:pPr>
        <w:spacing w:after="0" w:line="240" w:lineRule="auto"/>
        <w:jc w:val="both"/>
        <w:textAlignment w:val="baseline"/>
        <w:rPr>
          <w:rFonts w:ascii="Verdana" w:eastAsia="Verdana" w:hAnsi="Verdana" w:cs="Verdana"/>
          <w:lang w:eastAsia="es-CO"/>
        </w:rPr>
      </w:pPr>
    </w:p>
    <w:p w14:paraId="69BC4D14" w14:textId="0F67AA7F"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68173D" w14:textId="77777777" w:rsidR="00C6084E" w:rsidRDefault="00C6084E" w:rsidP="004A1847">
      <w:pPr>
        <w:spacing w:after="0" w:line="240" w:lineRule="auto"/>
      </w:pPr>
      <w:r>
        <w:separator/>
      </w:r>
    </w:p>
  </w:endnote>
  <w:endnote w:type="continuationSeparator" w:id="0">
    <w:p w14:paraId="24F83A46" w14:textId="77777777" w:rsidR="00C6084E" w:rsidRDefault="00C6084E" w:rsidP="004A1847">
      <w:pPr>
        <w:spacing w:after="0" w:line="240" w:lineRule="auto"/>
      </w:pPr>
      <w:r>
        <w:continuationSeparator/>
      </w:r>
    </w:p>
  </w:endnote>
  <w:endnote w:type="continuationNotice" w:id="1">
    <w:p w14:paraId="7855F7B1" w14:textId="77777777" w:rsidR="00C6084E" w:rsidRDefault="00C608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Narrow"/>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2DE4E3" w14:textId="77777777" w:rsidR="00C6084E" w:rsidRDefault="00C6084E" w:rsidP="004A1847">
      <w:pPr>
        <w:spacing w:after="0" w:line="240" w:lineRule="auto"/>
      </w:pPr>
      <w:r>
        <w:separator/>
      </w:r>
    </w:p>
  </w:footnote>
  <w:footnote w:type="continuationSeparator" w:id="0">
    <w:p w14:paraId="766EA97A" w14:textId="77777777" w:rsidR="00C6084E" w:rsidRDefault="00C6084E" w:rsidP="004A1847">
      <w:pPr>
        <w:spacing w:after="0" w:line="240" w:lineRule="auto"/>
      </w:pPr>
      <w:r>
        <w:continuationSeparator/>
      </w:r>
    </w:p>
  </w:footnote>
  <w:footnote w:type="continuationNotice" w:id="1">
    <w:p w14:paraId="5CD94D43" w14:textId="77777777" w:rsidR="00C6084E" w:rsidRDefault="00C6084E">
      <w:pPr>
        <w:spacing w:after="0" w:line="240" w:lineRule="auto"/>
      </w:pPr>
    </w:p>
  </w:footnote>
  <w:footnote w:id="2">
    <w:p w14:paraId="7A0AA196" w14:textId="77777777" w:rsidR="004A3648" w:rsidRDefault="004A3648" w:rsidP="004A3648">
      <w:pPr>
        <w:pStyle w:val="Textonotapie"/>
        <w:ind w:firstLine="709"/>
        <w:jc w:val="both"/>
        <w:rPr>
          <w:rFonts w:ascii="Verdana" w:hAnsi="Verdana"/>
          <w:sz w:val="16"/>
          <w:szCs w:val="16"/>
          <w:lang w:val="es-ES_tradnl"/>
        </w:rPr>
      </w:pPr>
      <w:r w:rsidRPr="00085DA5">
        <w:rPr>
          <w:rStyle w:val="Refdenotaalpie"/>
          <w:rFonts w:ascii="Verdana" w:hAnsi="Verdana"/>
          <w:sz w:val="16"/>
          <w:szCs w:val="16"/>
        </w:rPr>
        <w:footnoteRef/>
      </w:r>
      <w:r w:rsidRPr="00085DA5">
        <w:rPr>
          <w:rFonts w:ascii="Verdana" w:hAnsi="Verdana"/>
          <w:sz w:val="16"/>
          <w:szCs w:val="16"/>
        </w:rPr>
        <w:t xml:space="preserve"> </w:t>
      </w:r>
      <w:r w:rsidRPr="00085DA5">
        <w:rPr>
          <w:rFonts w:ascii="Verdana" w:hAnsi="Verdana"/>
          <w:sz w:val="16"/>
          <w:szCs w:val="16"/>
          <w:lang w:val="es-ES_tradnl"/>
        </w:rPr>
        <w:t>Esto lo ratifica el artículo 2.2.1.2.1.5.2. del Decreto 1082 de 2015.</w:t>
      </w:r>
    </w:p>
    <w:p w14:paraId="04E5F1EB" w14:textId="77777777" w:rsidR="004A3648" w:rsidRPr="007E6C64" w:rsidRDefault="004A3648" w:rsidP="004A3648">
      <w:pPr>
        <w:pStyle w:val="Textonotapie"/>
        <w:ind w:firstLine="709"/>
        <w:jc w:val="both"/>
        <w:rPr>
          <w:rFonts w:ascii="Verdana" w:hAnsi="Verdana"/>
          <w:sz w:val="16"/>
          <w:szCs w:val="16"/>
          <w:lang w:val="es-ES_tradnl"/>
        </w:rPr>
      </w:pPr>
    </w:p>
  </w:footnote>
  <w:footnote w:id="3">
    <w:p w14:paraId="047E8770" w14:textId="77777777" w:rsidR="004A3648" w:rsidRPr="00085DA5" w:rsidRDefault="004A3648" w:rsidP="004A3648">
      <w:pPr>
        <w:pStyle w:val="Textonotapie"/>
        <w:ind w:firstLine="709"/>
        <w:jc w:val="both"/>
        <w:rPr>
          <w:rFonts w:ascii="Verdana" w:hAnsi="Verdana" w:cs="Arial"/>
          <w:color w:val="000000" w:themeColor="text1"/>
          <w:sz w:val="16"/>
          <w:szCs w:val="16"/>
          <w:lang w:val="es-ES_tradnl"/>
        </w:rPr>
      </w:pPr>
      <w:r w:rsidRPr="00085DA5">
        <w:rPr>
          <w:rStyle w:val="Refdenotaalpie"/>
          <w:rFonts w:ascii="Verdana" w:hAnsi="Verdana" w:cs="Arial"/>
          <w:color w:val="000000" w:themeColor="text1"/>
          <w:sz w:val="16"/>
          <w:szCs w:val="16"/>
          <w:lang w:val="es-ES_tradnl"/>
        </w:rPr>
        <w:footnoteRef/>
      </w:r>
      <w:r w:rsidRPr="00085DA5">
        <w:rPr>
          <w:rFonts w:ascii="Verdana" w:hAnsi="Verdana" w:cs="Arial"/>
          <w:color w:val="000000" w:themeColor="text1"/>
          <w:sz w:val="16"/>
          <w:szCs w:val="16"/>
          <w:lang w:val="es-ES_tradnl"/>
        </w:rPr>
        <w:t xml:space="preserve"> Dávila Vinueza, Luis Guillermo. Régimen jurídico de la contratación estatal. 3ª ed. Bogotá: Legis, 2016. p. 463.</w:t>
      </w:r>
    </w:p>
  </w:footnote>
  <w:footnote w:id="4">
    <w:p w14:paraId="051E769C" w14:textId="77777777" w:rsidR="004A3648" w:rsidRPr="00085DA5" w:rsidRDefault="004A3648" w:rsidP="004A3648">
      <w:pPr>
        <w:pStyle w:val="Textonotapie"/>
        <w:ind w:firstLine="709"/>
        <w:jc w:val="both"/>
        <w:rPr>
          <w:rFonts w:ascii="Verdana" w:hAnsi="Verdana" w:cs="Arial"/>
          <w:color w:val="000000" w:themeColor="text1"/>
          <w:sz w:val="16"/>
          <w:szCs w:val="16"/>
          <w:lang w:val="es-ES_tradnl"/>
        </w:rPr>
      </w:pPr>
      <w:r w:rsidRPr="00085DA5">
        <w:rPr>
          <w:rStyle w:val="Refdenotaalpie"/>
          <w:rFonts w:ascii="Verdana" w:hAnsi="Verdana" w:cs="Arial"/>
          <w:color w:val="000000" w:themeColor="text1"/>
          <w:sz w:val="16"/>
          <w:szCs w:val="16"/>
          <w:lang w:val="es-ES_tradnl"/>
        </w:rPr>
        <w:footnoteRef/>
      </w:r>
      <w:r w:rsidRPr="00085DA5">
        <w:rPr>
          <w:rFonts w:ascii="Verdana" w:hAnsi="Verdana" w:cs="Arial"/>
          <w:color w:val="000000" w:themeColor="text1"/>
          <w:sz w:val="16"/>
          <w:szCs w:val="16"/>
          <w:lang w:val="es-ES_tradnl"/>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p>
    <w:p w14:paraId="7CB8E482" w14:textId="77777777" w:rsidR="004A3648" w:rsidRPr="00085DA5" w:rsidRDefault="004A3648" w:rsidP="004A3648">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“Para las entidades que tengan un presupuesto anual superior o igual a 1.200.000 salarios mínimos legales mensuales, la menor cuantía será hasta 1.000 salarios mínimos legales mensuales.</w:t>
      </w:r>
    </w:p>
    <w:p w14:paraId="5C234503" w14:textId="77777777" w:rsidR="004A3648" w:rsidRPr="00085DA5" w:rsidRDefault="004A3648" w:rsidP="004A3648">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850.000 salarios mínimos legales mensuales e inferiores a 1.200.000 salarios mínimos legales mensuales, la menor cuantía será hasta 850 salarios mínimos legales mensuales.</w:t>
      </w:r>
    </w:p>
    <w:p w14:paraId="501B729C" w14:textId="77777777" w:rsidR="004A3648" w:rsidRPr="00085DA5" w:rsidRDefault="004A3648" w:rsidP="004A3648">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400.000 salarios mínimos legales mensuales e inferior a 850.000 salarios mínimos legales mensuales, la menor cuantía será hasta 650 salarios mínimos legales mensuales.</w:t>
      </w:r>
    </w:p>
    <w:p w14:paraId="4808A170" w14:textId="77777777" w:rsidR="004A3648" w:rsidRPr="00085DA5" w:rsidRDefault="004A3648" w:rsidP="004A3648">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120.000 salarios mínimos legales mensuales e inferior a 400.000 salarios mínimos legales mensuales, la menor cuantía será hasta 450 salarios mínimos legales mensuales.</w:t>
      </w:r>
    </w:p>
    <w:p w14:paraId="0E262C91" w14:textId="77777777" w:rsidR="004A3648" w:rsidRPr="00085DA5" w:rsidRDefault="004A3648" w:rsidP="004A3648">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inferior a 120.000 salarios mínimos legales mensuales, la menor cuantía será hasta 280 salarios mínimos legales mensuales”.</w:t>
      </w:r>
    </w:p>
  </w:footnote>
  <w:footnote w:id="5">
    <w:p w14:paraId="69887936" w14:textId="77777777" w:rsidR="004A3648" w:rsidRPr="007E6C64" w:rsidRDefault="004A3648" w:rsidP="004A3648">
      <w:pPr>
        <w:pStyle w:val="Textonotapie"/>
        <w:ind w:firstLine="709"/>
        <w:jc w:val="both"/>
        <w:rPr>
          <w:rFonts w:ascii="Verdana" w:hAnsi="Verdana"/>
          <w:sz w:val="16"/>
          <w:szCs w:val="16"/>
        </w:rPr>
      </w:pPr>
      <w:r w:rsidRPr="007E6C64">
        <w:rPr>
          <w:rStyle w:val="Refdenotaalpie"/>
          <w:rFonts w:ascii="Verdana" w:hAnsi="Verdana"/>
          <w:sz w:val="16"/>
          <w:szCs w:val="16"/>
        </w:rPr>
        <w:footnoteRef/>
      </w:r>
      <w:r w:rsidRPr="007E6C64">
        <w:rPr>
          <w:rFonts w:ascii="Verdana" w:hAnsi="Verdana"/>
          <w:sz w:val="16"/>
          <w:szCs w:val="16"/>
        </w:rPr>
        <w:t xml:space="preserve"> </w:t>
      </w:r>
      <w:r w:rsidRPr="007E6C64">
        <w:rPr>
          <w:rFonts w:ascii="Verdana" w:hAnsi="Verdana"/>
          <w:sz w:val="16"/>
          <w:szCs w:val="16"/>
          <w:lang w:val="es-CO"/>
        </w:rPr>
        <w:t xml:space="preserve">Este artículo fue modificado por el artículo 5 del Decreto 142 de 2023 en los siguientes términos: </w:t>
      </w:r>
      <w:r w:rsidRPr="007E6C64">
        <w:rPr>
          <w:rFonts w:ascii="Verdana" w:hAnsi="Verdana"/>
          <w:bCs/>
          <w:iCs/>
          <w:sz w:val="16"/>
          <w:szCs w:val="16"/>
        </w:rPr>
        <w:t>"Artículo 2.2.1.2.1.5.1. Estudios previos para la contratación de mínima cuantía.</w:t>
      </w:r>
      <w:r w:rsidRPr="007E6C64">
        <w:rPr>
          <w:rFonts w:ascii="Verdana" w:hAnsi="Verdana"/>
          <w:iCs/>
          <w:sz w:val="16"/>
          <w:szCs w:val="16"/>
        </w:rPr>
        <w:t> La Entidad Estatal debe elaborar unos estudios previos que deben contener, como mínimo, lo siguiente: </w:t>
      </w:r>
    </w:p>
    <w:p w14:paraId="339EF1D9" w14:textId="77777777" w:rsidR="004A3648" w:rsidRPr="007E6C64" w:rsidRDefault="004A3648" w:rsidP="004A3648">
      <w:pPr>
        <w:pStyle w:val="Textonotapie"/>
        <w:tabs>
          <w:tab w:val="left" w:pos="142"/>
        </w:tabs>
        <w:ind w:firstLine="709"/>
        <w:jc w:val="both"/>
        <w:rPr>
          <w:rFonts w:ascii="Verdana" w:hAnsi="Verdana"/>
          <w:iCs/>
          <w:sz w:val="16"/>
          <w:szCs w:val="16"/>
        </w:rPr>
      </w:pPr>
      <w:r w:rsidRPr="007E6C64">
        <w:rPr>
          <w:rFonts w:ascii="Verdana" w:hAnsi="Verdana"/>
          <w:iCs/>
          <w:sz w:val="16"/>
          <w:szCs w:val="16"/>
        </w:rPr>
        <w:t xml:space="preserve">1. La descripción de la necesidad que pretende satisfacer con la contratación.  </w:t>
      </w:r>
    </w:p>
    <w:p w14:paraId="73B0D484" w14:textId="77777777" w:rsidR="004A3648" w:rsidRPr="007E6C64" w:rsidRDefault="004A3648" w:rsidP="004A3648">
      <w:pPr>
        <w:pStyle w:val="Textonotapie"/>
        <w:tabs>
          <w:tab w:val="left" w:pos="142"/>
        </w:tabs>
        <w:ind w:firstLine="709"/>
        <w:jc w:val="both"/>
        <w:rPr>
          <w:rFonts w:ascii="Verdana" w:hAnsi="Verdana"/>
          <w:sz w:val="16"/>
          <w:szCs w:val="16"/>
        </w:rPr>
      </w:pPr>
      <w:r w:rsidRPr="007E6C64">
        <w:rPr>
          <w:rFonts w:ascii="Verdana" w:hAnsi="Verdana"/>
          <w:iCs/>
          <w:sz w:val="16"/>
          <w:szCs w:val="16"/>
        </w:rPr>
        <w:t>2. La descripción del objeto a contratar identificado con el cuarto nivel del Clasificador de Bienes y Servicios, de ser posible, o de lo contrario con el tercer nivel. </w:t>
      </w:r>
    </w:p>
    <w:p w14:paraId="61D5BF1E" w14:textId="77777777" w:rsidR="004A3648" w:rsidRPr="007E6C64" w:rsidRDefault="004A3648" w:rsidP="004A3648">
      <w:pPr>
        <w:pStyle w:val="Textonotapie"/>
        <w:tabs>
          <w:tab w:val="left" w:pos="142"/>
        </w:tabs>
        <w:ind w:firstLine="709"/>
        <w:jc w:val="both"/>
        <w:rPr>
          <w:rFonts w:ascii="Verdana" w:hAnsi="Verdana"/>
          <w:sz w:val="16"/>
          <w:szCs w:val="16"/>
        </w:rPr>
      </w:pPr>
      <w:r w:rsidRPr="007E6C64">
        <w:rPr>
          <w:rFonts w:ascii="Verdana" w:hAnsi="Verdana"/>
          <w:iCs/>
          <w:sz w:val="16"/>
          <w:szCs w:val="16"/>
        </w:rPr>
        <w:t>3. Las condiciones técnicas exigidas.</w:t>
      </w:r>
    </w:p>
    <w:p w14:paraId="6011C2C7" w14:textId="77777777" w:rsidR="004A3648" w:rsidRPr="007E6C64" w:rsidRDefault="004A3648" w:rsidP="004A3648">
      <w:pPr>
        <w:pStyle w:val="Textonotapie"/>
        <w:tabs>
          <w:tab w:val="left" w:pos="142"/>
        </w:tabs>
        <w:ind w:firstLine="709"/>
        <w:jc w:val="both"/>
        <w:rPr>
          <w:rFonts w:ascii="Verdana" w:hAnsi="Verdana"/>
          <w:sz w:val="16"/>
          <w:szCs w:val="16"/>
        </w:rPr>
      </w:pPr>
      <w:r w:rsidRPr="007E6C64">
        <w:rPr>
          <w:rFonts w:ascii="Verdana" w:hAnsi="Verdana"/>
          <w:iCs/>
          <w:sz w:val="16"/>
          <w:szCs w:val="16"/>
        </w:rPr>
        <w:t>4. El valor estimado del contrato y su justificación.</w:t>
      </w:r>
    </w:p>
    <w:p w14:paraId="246A472D" w14:textId="77777777" w:rsidR="004A3648" w:rsidRPr="007E6C64" w:rsidRDefault="004A3648" w:rsidP="004A3648">
      <w:pPr>
        <w:pStyle w:val="Textonotapie"/>
        <w:tabs>
          <w:tab w:val="left" w:pos="142"/>
        </w:tabs>
        <w:ind w:firstLine="709"/>
        <w:jc w:val="both"/>
        <w:rPr>
          <w:rFonts w:ascii="Verdana" w:hAnsi="Verdana"/>
          <w:sz w:val="16"/>
          <w:szCs w:val="16"/>
        </w:rPr>
      </w:pPr>
      <w:r w:rsidRPr="007E6C64">
        <w:rPr>
          <w:rFonts w:ascii="Verdana" w:hAnsi="Verdana"/>
          <w:iCs/>
          <w:sz w:val="16"/>
          <w:szCs w:val="16"/>
        </w:rPr>
        <w:t>5. El plazo de ejecución del contrato. </w:t>
      </w:r>
    </w:p>
    <w:p w14:paraId="1C395EFE" w14:textId="77777777" w:rsidR="004A3648" w:rsidRPr="007E6C64" w:rsidRDefault="004A3648" w:rsidP="004A3648">
      <w:pPr>
        <w:pStyle w:val="Textonotapie"/>
        <w:tabs>
          <w:tab w:val="left" w:pos="142"/>
        </w:tabs>
        <w:ind w:firstLine="709"/>
        <w:jc w:val="both"/>
        <w:rPr>
          <w:rFonts w:ascii="Verdana" w:hAnsi="Verdana"/>
          <w:sz w:val="16"/>
          <w:szCs w:val="16"/>
        </w:rPr>
      </w:pPr>
      <w:r w:rsidRPr="007E6C64">
        <w:rPr>
          <w:rFonts w:ascii="Verdana" w:hAnsi="Verdana"/>
          <w:iCs/>
          <w:sz w:val="16"/>
          <w:szCs w:val="16"/>
        </w:rPr>
        <w:t>6. El certificado de disponibilidad presupuesta! que respalda la contratación.</w:t>
      </w:r>
    </w:p>
    <w:p w14:paraId="5FFE015A" w14:textId="77777777" w:rsidR="004A3648" w:rsidRDefault="004A3648" w:rsidP="004A3648">
      <w:pPr>
        <w:pStyle w:val="Textonotapie"/>
        <w:ind w:firstLine="709"/>
        <w:jc w:val="both"/>
        <w:rPr>
          <w:rFonts w:ascii="Verdana" w:hAnsi="Verdana"/>
          <w:iCs/>
          <w:sz w:val="16"/>
          <w:szCs w:val="16"/>
        </w:rPr>
      </w:pPr>
      <w:r w:rsidRPr="007E6C64">
        <w:rPr>
          <w:rFonts w:ascii="Verdana" w:hAnsi="Verdana"/>
          <w:iCs/>
          <w:sz w:val="16"/>
          <w:szCs w:val="16"/>
        </w:rPr>
        <w:t>Parágrafo. Dentro de las condiciones técnicas exigidas se podrán incluir aspectos ambientales y sociales en los términos establecidos en el parágrafo del artículo 2.2.1.1.2.2.2. del presente Decreto."</w:t>
      </w:r>
    </w:p>
    <w:p w14:paraId="2E86B3B0" w14:textId="77777777" w:rsidR="004A3648" w:rsidRPr="007E6C64" w:rsidRDefault="004A3648" w:rsidP="004A3648">
      <w:pPr>
        <w:pStyle w:val="Textonotapie"/>
        <w:ind w:firstLine="709"/>
        <w:jc w:val="both"/>
        <w:rPr>
          <w:rFonts w:ascii="Verdana" w:hAnsi="Verdana"/>
          <w:sz w:val="16"/>
          <w:szCs w:val="16"/>
        </w:rPr>
      </w:pPr>
      <w:r w:rsidRPr="007E6C64">
        <w:rPr>
          <w:rFonts w:ascii="Verdana" w:hAnsi="Verdana"/>
          <w:iCs/>
          <w:sz w:val="16"/>
          <w:szCs w:val="16"/>
        </w:rPr>
        <w:t> </w:t>
      </w:r>
    </w:p>
  </w:footnote>
  <w:footnote w:id="6">
    <w:p w14:paraId="00A82030" w14:textId="77777777" w:rsidR="004A3648" w:rsidRPr="007F0BA4" w:rsidRDefault="004A3648" w:rsidP="004A3648">
      <w:pPr>
        <w:pStyle w:val="Textonotapie"/>
        <w:ind w:firstLine="708"/>
        <w:jc w:val="both"/>
        <w:rPr>
          <w:rFonts w:ascii="Verdana" w:hAnsi="Verdana" w:cs="Arial"/>
          <w:sz w:val="14"/>
          <w:szCs w:val="14"/>
        </w:rPr>
      </w:pPr>
      <w:r w:rsidRPr="007E6C64">
        <w:rPr>
          <w:rStyle w:val="Refdenotaalpie"/>
          <w:rFonts w:ascii="Verdana" w:hAnsi="Verdana" w:cs="Arial"/>
          <w:sz w:val="16"/>
          <w:szCs w:val="16"/>
        </w:rPr>
        <w:footnoteRef/>
      </w:r>
      <w:r w:rsidRPr="007E6C64">
        <w:rPr>
          <w:rFonts w:ascii="Verdana" w:hAnsi="Verdana" w:cs="Arial"/>
          <w:sz w:val="16"/>
          <w:szCs w:val="16"/>
        </w:rPr>
        <w:t xml:space="preserve"> PARÁGRAFO 1o. Las particularidades del procedimiento aquí previsto, así como la posibilidad que tengan las entidades de realizar estas adquisiciones a Mipymes o establecimientos que correspondan a la definición de "gran almacén" señalada por la Superintendencia de Industria y Comercio, se determinarán en el reglamento que para el efecto expida el Gobierno Nacional.</w:t>
      </w:r>
    </w:p>
  </w:footnote>
  <w:footnote w:id="7">
    <w:p w14:paraId="4CE77C39" w14:textId="77777777" w:rsidR="004A3648" w:rsidRDefault="004A3648" w:rsidP="004A3648">
      <w:pPr>
        <w:pStyle w:val="Textonotapie"/>
        <w:ind w:firstLine="709"/>
        <w:jc w:val="both"/>
        <w:rPr>
          <w:sz w:val="16"/>
          <w:szCs w:val="16"/>
        </w:rPr>
      </w:pPr>
      <w:r w:rsidRPr="00A5500E">
        <w:rPr>
          <w:rStyle w:val="Refdenotaalpie"/>
          <w:rFonts w:ascii="Verdana" w:hAnsi="Verdana" w:cs="Arial"/>
          <w:color w:val="000000"/>
          <w:sz w:val="16"/>
          <w:szCs w:val="16"/>
          <w:lang w:val="es-ES_tradnl"/>
        </w:rPr>
        <w:footnoteRef/>
      </w:r>
      <w:r w:rsidRPr="00A5500E">
        <w:rPr>
          <w:rFonts w:ascii="Verdana" w:hAnsi="Verdana" w:cs="Arial"/>
          <w:color w:val="000000"/>
          <w:sz w:val="16"/>
          <w:szCs w:val="16"/>
          <w:lang w:val="es-ES_tradnl"/>
        </w:rPr>
        <w:t xml:space="preserve"> Agencia Nacional de Contratación Pública – Colombia Compra Eficiente. Manual de la Modalidad de Selección de Mínima Cuantía En:</w:t>
      </w:r>
      <w:r w:rsidRPr="00A5500E">
        <w:rPr>
          <w:rFonts w:ascii="Verdana" w:hAnsi="Verdana"/>
          <w:sz w:val="16"/>
          <w:szCs w:val="16"/>
        </w:rPr>
        <w:t xml:space="preserve"> </w:t>
      </w:r>
      <w:hyperlink r:id="rId1" w:history="1">
        <w:r w:rsidRPr="00A5500E">
          <w:rPr>
            <w:rStyle w:val="Hipervnculo"/>
            <w:rFonts w:ascii="Verdana" w:hAnsi="Verdana" w:cs="Arial"/>
            <w:sz w:val="16"/>
            <w:szCs w:val="16"/>
            <w:lang w:val="es-ES_tradnl"/>
          </w:rPr>
          <w:t>https://www.colombiacompra.gov.co/manuales-guias-y-pliegos-tipo/manuales-y-guias</w:t>
        </w:r>
      </w:hyperlink>
    </w:p>
    <w:p w14:paraId="679565AE" w14:textId="77777777" w:rsidR="004A3648" w:rsidRPr="00A5500E" w:rsidRDefault="004A3648" w:rsidP="004A3648">
      <w:pPr>
        <w:pStyle w:val="Textonotapie"/>
        <w:ind w:firstLine="709"/>
        <w:jc w:val="both"/>
        <w:rPr>
          <w:rFonts w:ascii="Verdana" w:hAnsi="Verdana" w:cs="Arial"/>
          <w:color w:val="000000"/>
          <w:sz w:val="16"/>
          <w:szCs w:val="16"/>
          <w:lang w:val="es-ES_tradnl"/>
        </w:rPr>
      </w:pPr>
    </w:p>
  </w:footnote>
  <w:footnote w:id="8">
    <w:p w14:paraId="696ABABF" w14:textId="77777777" w:rsidR="004A3648" w:rsidRPr="007F0BA4" w:rsidRDefault="004A3648" w:rsidP="004A3648">
      <w:pPr>
        <w:pStyle w:val="Textonotapie"/>
        <w:ind w:firstLine="709"/>
        <w:jc w:val="both"/>
        <w:rPr>
          <w:rFonts w:ascii="Verdana" w:hAnsi="Verdana" w:cs="Arial"/>
          <w:i/>
          <w:iCs/>
          <w:color w:val="000000"/>
          <w:sz w:val="14"/>
          <w:szCs w:val="14"/>
          <w:lang w:val="es-ES_tradnl"/>
        </w:rPr>
      </w:pPr>
      <w:r w:rsidRPr="00A5500E">
        <w:rPr>
          <w:rStyle w:val="Refdenotaalpie"/>
          <w:rFonts w:ascii="Verdana" w:hAnsi="Verdana" w:cs="Arial"/>
          <w:color w:val="000000"/>
          <w:sz w:val="16"/>
          <w:szCs w:val="16"/>
          <w:lang w:val="es-ES_tradnl"/>
        </w:rPr>
        <w:footnoteRef/>
      </w:r>
      <w:r w:rsidRPr="00A5500E">
        <w:rPr>
          <w:rFonts w:ascii="Verdana" w:hAnsi="Verdana" w:cs="Arial"/>
          <w:color w:val="000000"/>
          <w:sz w:val="16"/>
          <w:szCs w:val="16"/>
          <w:lang w:val="es-ES_tradnl"/>
        </w:rPr>
        <w:t xml:space="preserve"> Como lo indica la doctrina, en la mínima cuantía “El precio es el factor de selección del proponente. Es decir, la entidad estatal debe adjudicar el proceso de contratación al oferente que cumpla con todas las condiciones exigidas por la entidad estatal en los documentos del proceso (estudios previos e invitación a participar), y que ofrezca el menor valor. No hay lugar a puntajes para evaluar las ofertas sobre las características del objeto a contratar, su calidad o condiciones” (Dávila, Op.cit., p. 515).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67" w:hanging="360"/>
      </w:pPr>
      <w:rPr>
        <w:b/>
        <w:color w:val="000000" w:themeColor="text1"/>
      </w:rPr>
    </w:lvl>
    <w:lvl w:ilvl="1">
      <w:start w:val="2"/>
      <w:numFmt w:val="decimal"/>
      <w:isLgl/>
      <w:lvlText w:val="%1.%2"/>
      <w:lvlJc w:val="left"/>
      <w:pPr>
        <w:ind w:left="6307" w:hanging="360"/>
      </w:pPr>
    </w:lvl>
    <w:lvl w:ilvl="2">
      <w:start w:val="1"/>
      <w:numFmt w:val="decimal"/>
      <w:isLgl/>
      <w:lvlText w:val="%1.%2.%3"/>
      <w:lvlJc w:val="left"/>
      <w:pPr>
        <w:ind w:left="7027" w:hanging="720"/>
      </w:pPr>
    </w:lvl>
    <w:lvl w:ilvl="3">
      <w:start w:val="1"/>
      <w:numFmt w:val="decimal"/>
      <w:isLgl/>
      <w:lvlText w:val="%1.%2.%3.%4"/>
      <w:lvlJc w:val="left"/>
      <w:pPr>
        <w:ind w:left="7027" w:hanging="720"/>
      </w:pPr>
    </w:lvl>
    <w:lvl w:ilvl="4">
      <w:start w:val="1"/>
      <w:numFmt w:val="decimal"/>
      <w:isLgl/>
      <w:lvlText w:val="%1.%2.%3.%4.%5"/>
      <w:lvlJc w:val="left"/>
      <w:pPr>
        <w:ind w:left="7387" w:hanging="1080"/>
      </w:pPr>
    </w:lvl>
    <w:lvl w:ilvl="5">
      <w:start w:val="1"/>
      <w:numFmt w:val="decimal"/>
      <w:isLgl/>
      <w:lvlText w:val="%1.%2.%3.%4.%5.%6"/>
      <w:lvlJc w:val="left"/>
      <w:pPr>
        <w:ind w:left="7387" w:hanging="1080"/>
      </w:pPr>
    </w:lvl>
    <w:lvl w:ilvl="6">
      <w:start w:val="1"/>
      <w:numFmt w:val="decimal"/>
      <w:isLgl/>
      <w:lvlText w:val="%1.%2.%3.%4.%5.%6.%7"/>
      <w:lvlJc w:val="left"/>
      <w:pPr>
        <w:ind w:left="7747" w:hanging="1440"/>
      </w:pPr>
    </w:lvl>
    <w:lvl w:ilvl="7">
      <w:start w:val="1"/>
      <w:numFmt w:val="decimal"/>
      <w:isLgl/>
      <w:lvlText w:val="%1.%2.%3.%4.%5.%6.%7.%8"/>
      <w:lvlJc w:val="left"/>
      <w:pPr>
        <w:ind w:left="7747" w:hanging="1440"/>
      </w:pPr>
    </w:lvl>
    <w:lvl w:ilvl="8">
      <w:start w:val="1"/>
      <w:numFmt w:val="decimal"/>
      <w:isLgl/>
      <w:lvlText w:val="%1.%2.%3.%4.%5.%6.%7.%8.%9"/>
      <w:lvlJc w:val="left"/>
      <w:pPr>
        <w:ind w:left="8107"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4D5A6A"/>
    <w:multiLevelType w:val="hybridMultilevel"/>
    <w:tmpl w:val="7B6A28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970356988">
    <w:abstractNumId w:val="0"/>
  </w:num>
  <w:num w:numId="17" w16cid:durableId="116219396">
    <w:abstractNumId w:val="10"/>
  </w:num>
  <w:num w:numId="18" w16cid:durableId="463382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7419"/>
    <w:rsid w:val="00082362"/>
    <w:rsid w:val="000A683E"/>
    <w:rsid w:val="000B19B9"/>
    <w:rsid w:val="000D0334"/>
    <w:rsid w:val="000D5DA7"/>
    <w:rsid w:val="000F6486"/>
    <w:rsid w:val="0010347C"/>
    <w:rsid w:val="00116940"/>
    <w:rsid w:val="00120120"/>
    <w:rsid w:val="00125105"/>
    <w:rsid w:val="00127233"/>
    <w:rsid w:val="0015699B"/>
    <w:rsid w:val="001A33BF"/>
    <w:rsid w:val="001E4177"/>
    <w:rsid w:val="001F0B24"/>
    <w:rsid w:val="001F7DC6"/>
    <w:rsid w:val="0022400B"/>
    <w:rsid w:val="002421BB"/>
    <w:rsid w:val="0024555F"/>
    <w:rsid w:val="0025796E"/>
    <w:rsid w:val="00263745"/>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4F7A"/>
    <w:rsid w:val="003D5B0D"/>
    <w:rsid w:val="003E0499"/>
    <w:rsid w:val="003E4F80"/>
    <w:rsid w:val="003E6439"/>
    <w:rsid w:val="003F3941"/>
    <w:rsid w:val="00406575"/>
    <w:rsid w:val="00414C74"/>
    <w:rsid w:val="0042722E"/>
    <w:rsid w:val="0044528D"/>
    <w:rsid w:val="00466E39"/>
    <w:rsid w:val="004A1847"/>
    <w:rsid w:val="004A305D"/>
    <w:rsid w:val="004A3648"/>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C54BF"/>
    <w:rsid w:val="006F3DCA"/>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C3925"/>
    <w:rsid w:val="008D180B"/>
    <w:rsid w:val="008F0EA7"/>
    <w:rsid w:val="009103C5"/>
    <w:rsid w:val="00923EEF"/>
    <w:rsid w:val="009419F9"/>
    <w:rsid w:val="009525B5"/>
    <w:rsid w:val="0095685E"/>
    <w:rsid w:val="00961B09"/>
    <w:rsid w:val="009624DB"/>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A0BF8"/>
    <w:rsid w:val="00AB0ADB"/>
    <w:rsid w:val="00AC3580"/>
    <w:rsid w:val="00AF7B31"/>
    <w:rsid w:val="00B00C0E"/>
    <w:rsid w:val="00B01B1A"/>
    <w:rsid w:val="00B0381D"/>
    <w:rsid w:val="00B15BC1"/>
    <w:rsid w:val="00B44A47"/>
    <w:rsid w:val="00B72CD3"/>
    <w:rsid w:val="00B72FFF"/>
    <w:rsid w:val="00BC3D36"/>
    <w:rsid w:val="00BC55B9"/>
    <w:rsid w:val="00BD54A6"/>
    <w:rsid w:val="00BD7F72"/>
    <w:rsid w:val="00BF7425"/>
    <w:rsid w:val="00C04FB3"/>
    <w:rsid w:val="00C11D8B"/>
    <w:rsid w:val="00C15139"/>
    <w:rsid w:val="00C330EB"/>
    <w:rsid w:val="00C50D69"/>
    <w:rsid w:val="00C5365C"/>
    <w:rsid w:val="00C6084E"/>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0AF0F4"/>
    <w:rsid w:val="0EFE6349"/>
    <w:rsid w:val="0FF4CCA8"/>
    <w:rsid w:val="13CFC91B"/>
    <w:rsid w:val="16855571"/>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4A364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A364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archivos/manual/manual-de-la-modalidad-de-seleccion-de-minima-cuantia" TargetMode="Externa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gamboal@dian.gov.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2E85CE3-1D7B-4A91-8287-FF1AE8DC68BF}"/>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15</Pages>
  <Words>4492</Words>
  <Characters>24708</Characters>
  <Application>Microsoft Office Word</Application>
  <DocSecurity>0</DocSecurity>
  <Lines>205</Lines>
  <Paragraphs>58</Paragraphs>
  <ScaleCrop>false</ScaleCrop>
  <Company/>
  <LinksUpToDate>false</LinksUpToDate>
  <CharactersWithSpaces>29142</CharactersWithSpaces>
  <SharedDoc>false</SharedDoc>
  <HLinks>
    <vt:vector size="42" baseType="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3342436</vt:i4>
      </vt:variant>
      <vt:variant>
        <vt:i4>3</vt:i4>
      </vt:variant>
      <vt:variant>
        <vt:i4>0</vt:i4>
      </vt:variant>
      <vt:variant>
        <vt:i4>5</vt:i4>
      </vt:variant>
      <vt:variant>
        <vt:lpwstr>https://www.colombiacompra.gov.co/archivos/manual/manual-de-la-modalidad-de-seleccion-de-minima-cuantia</vt:lpwstr>
      </vt:variant>
      <vt:variant>
        <vt:lpwstr/>
      </vt:variant>
      <vt:variant>
        <vt:i4>5308457</vt:i4>
      </vt:variant>
      <vt:variant>
        <vt:i4>0</vt:i4>
      </vt:variant>
      <vt:variant>
        <vt:i4>0</vt:i4>
      </vt:variant>
      <vt:variant>
        <vt:i4>5</vt:i4>
      </vt:variant>
      <vt:variant>
        <vt:lpwstr>mailto:dgamboal@dian.gov.co</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3</cp:revision>
  <cp:lastPrinted>2023-01-10T21:18:00Z</cp:lastPrinted>
  <dcterms:created xsi:type="dcterms:W3CDTF">2026-06-18T21:42:00Z</dcterms:created>
  <dcterms:modified xsi:type="dcterms:W3CDTF">2026-06-18T21:49:00Z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