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1E53F" w14:textId="77777777" w:rsidR="008E3CD5" w:rsidRPr="006C40C7" w:rsidRDefault="008E3CD5" w:rsidP="008E3CD5">
      <w:pPr>
        <w:spacing w:after="0" w:line="276" w:lineRule="auto"/>
        <w:jc w:val="both"/>
        <w:rPr>
          <w:rFonts w:ascii="Verdana" w:eastAsia="Calibri" w:hAnsi="Verdana" w:cs="Arial"/>
          <w:b/>
          <w:bCs/>
          <w:color w:val="000000" w:themeColor="text1"/>
          <w:lang w:val="es-ES_tradnl" w:eastAsia="es-MX"/>
        </w:rPr>
      </w:pPr>
      <w:bookmarkStart w:id="0" w:name="_Hlk143780582"/>
      <w:r w:rsidRPr="006C40C7">
        <w:rPr>
          <w:rFonts w:ascii="Verdana" w:eastAsia="Calibri" w:hAnsi="Verdana" w:cs="Arial"/>
          <w:b/>
          <w:bCs/>
          <w:color w:val="000000" w:themeColor="text1"/>
          <w:lang w:val="es-ES_tradnl" w:eastAsia="es-MX"/>
        </w:rPr>
        <w:t xml:space="preserve">DOCUMENTOS TIPO – Fundamento normativo – Obligatoriedad </w:t>
      </w:r>
    </w:p>
    <w:p w14:paraId="58C49D5E" w14:textId="77777777" w:rsidR="008E3CD5" w:rsidRPr="006C40C7" w:rsidRDefault="008E3CD5" w:rsidP="008E3CD5">
      <w:pPr>
        <w:spacing w:after="0" w:line="276" w:lineRule="auto"/>
        <w:jc w:val="both"/>
        <w:rPr>
          <w:rFonts w:ascii="Verdana" w:eastAsia="Calibri" w:hAnsi="Verdana" w:cs="Arial"/>
          <w:b/>
          <w:bCs/>
          <w:color w:val="000000" w:themeColor="text1"/>
          <w:sz w:val="20"/>
          <w:szCs w:val="20"/>
          <w:lang w:val="es-ES_tradnl" w:eastAsia="es-MX"/>
        </w:rPr>
      </w:pPr>
    </w:p>
    <w:p w14:paraId="09D6062E" w14:textId="77777777" w:rsidR="008E3CD5" w:rsidRPr="006C40C7" w:rsidRDefault="008E3CD5" w:rsidP="008E3CD5">
      <w:pPr>
        <w:tabs>
          <w:tab w:val="left" w:pos="709"/>
        </w:tabs>
        <w:spacing w:after="0" w:line="240" w:lineRule="auto"/>
        <w:jc w:val="both"/>
        <w:rPr>
          <w:rFonts w:ascii="Verdana" w:eastAsia="Calibri" w:hAnsi="Verdana" w:cs="Arial"/>
          <w:color w:val="000000" w:themeColor="text1"/>
          <w:sz w:val="20"/>
          <w:szCs w:val="20"/>
          <w:lang w:val="es-ES" w:eastAsia="es-MX"/>
        </w:rPr>
      </w:pPr>
      <w:r w:rsidRPr="006C40C7">
        <w:rPr>
          <w:rFonts w:ascii="Verdana" w:eastAsia="Calibri" w:hAnsi="Verdana" w:cs="Arial"/>
          <w:color w:val="000000" w:themeColor="text1"/>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72B7BCD1" w14:textId="77777777" w:rsidR="008E3CD5" w:rsidRPr="006C40C7" w:rsidRDefault="008E3CD5" w:rsidP="008E3CD5">
      <w:pPr>
        <w:spacing w:after="0" w:line="276" w:lineRule="auto"/>
        <w:jc w:val="both"/>
        <w:rPr>
          <w:rFonts w:ascii="Verdana" w:eastAsia="Calibri" w:hAnsi="Verdana" w:cs="Arial"/>
          <w:b/>
          <w:bCs/>
          <w:color w:val="000000" w:themeColor="text1"/>
          <w:lang w:val="es-ES_tradnl" w:eastAsia="es-MX"/>
        </w:rPr>
      </w:pPr>
    </w:p>
    <w:p w14:paraId="0DD3A147" w14:textId="77777777" w:rsidR="008E3CD5" w:rsidRPr="006C40C7" w:rsidRDefault="008E3CD5" w:rsidP="008E3CD5">
      <w:pPr>
        <w:widowControl w:val="0"/>
        <w:autoSpaceDE w:val="0"/>
        <w:autoSpaceDN w:val="0"/>
        <w:spacing w:after="0" w:line="276" w:lineRule="auto"/>
        <w:jc w:val="both"/>
        <w:rPr>
          <w:rFonts w:ascii="Verdana" w:eastAsia="Calibri" w:hAnsi="Verdana" w:cs="Times New Roman"/>
          <w:b/>
          <w:bCs/>
          <w:color w:val="000000" w:themeColor="text1"/>
          <w:lang w:val="es-ES" w:eastAsia="es-MX"/>
        </w:rPr>
      </w:pPr>
      <w:r w:rsidRPr="006C40C7">
        <w:rPr>
          <w:rFonts w:ascii="Verdana" w:eastAsia="Calibri" w:hAnsi="Verdana" w:cs="Arial"/>
          <w:b/>
          <w:bCs/>
          <w:color w:val="000000" w:themeColor="text1"/>
          <w:lang w:val="es-ES_tradnl" w:eastAsia="es-MX"/>
        </w:rPr>
        <w:t>SECTOR SOCIAL</w:t>
      </w:r>
      <w:r w:rsidRPr="006C40C7">
        <w:rPr>
          <w:rFonts w:ascii="Verdana" w:eastAsia="Calibri" w:hAnsi="Verdana" w:cs="Times New Roman"/>
          <w:color w:val="000000" w:themeColor="text1"/>
          <w:lang w:val="es-ES" w:eastAsia="es-MX"/>
        </w:rPr>
        <w:t xml:space="preserve"> </w:t>
      </w:r>
      <w:r w:rsidRPr="006C40C7">
        <w:rPr>
          <w:rFonts w:ascii="Verdana" w:eastAsia="Calibri" w:hAnsi="Verdana" w:cs="Times New Roman"/>
          <w:b/>
          <w:bCs/>
          <w:color w:val="000000" w:themeColor="text1"/>
          <w:lang w:val="es-ES" w:eastAsia="es-MX"/>
        </w:rPr>
        <w:t>– Documentos tipo – Vigentes</w:t>
      </w:r>
    </w:p>
    <w:p w14:paraId="0ADEE44F" w14:textId="77777777" w:rsidR="008E3CD5" w:rsidRPr="006C40C7" w:rsidRDefault="008E3CD5" w:rsidP="008E3CD5">
      <w:pPr>
        <w:widowControl w:val="0"/>
        <w:autoSpaceDE w:val="0"/>
        <w:autoSpaceDN w:val="0"/>
        <w:spacing w:after="0" w:line="276" w:lineRule="auto"/>
        <w:jc w:val="both"/>
        <w:rPr>
          <w:rFonts w:ascii="Verdana" w:eastAsia="Calibri" w:hAnsi="Verdana" w:cs="Times New Roman"/>
          <w:b/>
          <w:bCs/>
          <w:color w:val="000000" w:themeColor="text1"/>
          <w:lang w:val="es-ES" w:eastAsia="es-MX"/>
        </w:rPr>
      </w:pPr>
    </w:p>
    <w:p w14:paraId="23E95111" w14:textId="77777777" w:rsidR="008E3CD5" w:rsidRPr="006C40C7" w:rsidRDefault="008E3CD5" w:rsidP="008E3CD5">
      <w:pPr>
        <w:widowControl w:val="0"/>
        <w:autoSpaceDE w:val="0"/>
        <w:autoSpaceDN w:val="0"/>
        <w:spacing w:after="0" w:line="240" w:lineRule="auto"/>
        <w:jc w:val="both"/>
        <w:rPr>
          <w:rFonts w:ascii="Verdana" w:eastAsia="Calibri" w:hAnsi="Verdana" w:cs="Times New Roman"/>
          <w:b/>
          <w:bCs/>
          <w:color w:val="000000" w:themeColor="text1"/>
          <w:sz w:val="20"/>
          <w:szCs w:val="20"/>
          <w:lang w:val="es-ES" w:eastAsia="es-MX"/>
        </w:rPr>
      </w:pPr>
      <w:r w:rsidRPr="006C40C7">
        <w:rPr>
          <w:rFonts w:ascii="Verdana" w:eastAsia="Aptos" w:hAnsi="Verdana" w:cs="Times New Roman"/>
          <w:color w:val="000000" w:themeColor="text1"/>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48D7ACA7" w14:textId="77777777" w:rsidR="008E3CD5" w:rsidRPr="006C40C7" w:rsidRDefault="008E3CD5" w:rsidP="008E3CD5">
      <w:pPr>
        <w:spacing w:after="0"/>
        <w:rPr>
          <w:rFonts w:ascii="Verdana" w:hAnsi="Verdana"/>
          <w:color w:val="000000" w:themeColor="text1"/>
          <w:lang w:val="es-ES"/>
        </w:rPr>
      </w:pPr>
    </w:p>
    <w:p w14:paraId="15075458" w14:textId="77777777" w:rsidR="008E3CD5" w:rsidRPr="006C40C7" w:rsidRDefault="008E3CD5" w:rsidP="008E3CD5">
      <w:pPr>
        <w:spacing w:after="0" w:line="276" w:lineRule="auto"/>
        <w:jc w:val="both"/>
        <w:rPr>
          <w:rFonts w:ascii="Verdana" w:eastAsia="Calibri" w:hAnsi="Verdana" w:cs="Times New Roman"/>
          <w:color w:val="000000" w:themeColor="text1"/>
          <w:sz w:val="20"/>
          <w:szCs w:val="20"/>
          <w:lang w:val="es-ES" w:eastAsia="es-MX"/>
        </w:rPr>
      </w:pPr>
      <w:r w:rsidRPr="006C40C7">
        <w:rPr>
          <w:rFonts w:ascii="Verdana" w:eastAsia="Calibri" w:hAnsi="Verdana" w:cs="Times New Roman"/>
          <w:b/>
          <w:bCs/>
          <w:color w:val="000000" w:themeColor="text1"/>
          <w:lang w:val="es-ES" w:eastAsia="es-MX"/>
        </w:rPr>
        <w:t xml:space="preserve">DOCUMENTOS TIPO – Aplicación – Matriz de Experiencia </w:t>
      </w:r>
    </w:p>
    <w:p w14:paraId="553B66FE" w14:textId="77777777" w:rsidR="008E3CD5" w:rsidRPr="006C40C7" w:rsidRDefault="008E3CD5" w:rsidP="008E3CD5">
      <w:pPr>
        <w:spacing w:after="0" w:line="240" w:lineRule="auto"/>
        <w:rPr>
          <w:rFonts w:ascii="Verdana" w:eastAsia="Geomanist Light" w:hAnsi="Verdana" w:cs="Arial"/>
          <w:color w:val="000000" w:themeColor="text1"/>
          <w:lang w:val="es-MX" w:eastAsia="es-MX"/>
        </w:rPr>
      </w:pPr>
    </w:p>
    <w:p w14:paraId="62EB12DC" w14:textId="77777777" w:rsidR="008E3CD5" w:rsidRPr="006C40C7" w:rsidRDefault="008E3CD5" w:rsidP="008E3CD5">
      <w:pPr>
        <w:widowControl w:val="0"/>
        <w:autoSpaceDE w:val="0"/>
        <w:autoSpaceDN w:val="0"/>
        <w:spacing w:after="0" w:line="240" w:lineRule="auto"/>
        <w:jc w:val="both"/>
        <w:rPr>
          <w:rFonts w:ascii="Verdana" w:eastAsia="Calibri" w:hAnsi="Verdana" w:cs="Times New Roman"/>
          <w:color w:val="000000" w:themeColor="text1"/>
          <w:sz w:val="20"/>
          <w:szCs w:val="20"/>
          <w:lang w:val="es-ES" w:eastAsia="es-MX"/>
        </w:rPr>
      </w:pPr>
      <w:r w:rsidRPr="006C40C7">
        <w:rPr>
          <w:rFonts w:ascii="Verdana" w:eastAsia="Calibri" w:hAnsi="Verdana" w:cs="Times New Roman"/>
          <w:color w:val="000000" w:themeColor="text1"/>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F3F7409" w14:textId="77777777" w:rsidR="008E3CD5" w:rsidRPr="006C40C7" w:rsidRDefault="008E3CD5" w:rsidP="008E3CD5">
      <w:pPr>
        <w:widowControl w:val="0"/>
        <w:autoSpaceDE w:val="0"/>
        <w:autoSpaceDN w:val="0"/>
        <w:spacing w:after="0" w:line="240" w:lineRule="auto"/>
        <w:jc w:val="both"/>
        <w:rPr>
          <w:rFonts w:ascii="Verdana" w:eastAsia="Calibri" w:hAnsi="Verdana" w:cs="Times New Roman"/>
          <w:color w:val="000000" w:themeColor="text1"/>
          <w:sz w:val="20"/>
          <w:szCs w:val="20"/>
          <w:lang w:val="es-ES" w:eastAsia="es-MX"/>
        </w:rPr>
      </w:pPr>
    </w:p>
    <w:p w14:paraId="70536F9C" w14:textId="77777777" w:rsidR="008E3CD5" w:rsidRPr="006C40C7" w:rsidRDefault="008E3CD5" w:rsidP="008E3CD5">
      <w:pPr>
        <w:widowControl w:val="0"/>
        <w:autoSpaceDE w:val="0"/>
        <w:autoSpaceDN w:val="0"/>
        <w:spacing w:after="0" w:line="240" w:lineRule="auto"/>
        <w:jc w:val="both"/>
        <w:rPr>
          <w:rFonts w:ascii="Verdana" w:eastAsia="Calibri" w:hAnsi="Verdana" w:cs="Times New Roman"/>
          <w:color w:val="000000" w:themeColor="text1"/>
          <w:sz w:val="20"/>
          <w:szCs w:val="20"/>
          <w:lang w:val="es-ES" w:eastAsia="es-MX"/>
        </w:rPr>
      </w:pPr>
      <w:r w:rsidRPr="006C40C7">
        <w:rPr>
          <w:rFonts w:ascii="Verdana" w:eastAsia="Calibri" w:hAnsi="Verdana" w:cs="Times New Roman"/>
          <w:color w:val="000000" w:themeColor="text1"/>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BED948E" w14:textId="77777777" w:rsidR="008E3CD5" w:rsidRPr="0008354C" w:rsidRDefault="008E3CD5" w:rsidP="008E3CD5">
      <w:pPr>
        <w:widowControl w:val="0"/>
        <w:autoSpaceDE w:val="0"/>
        <w:autoSpaceDN w:val="0"/>
        <w:spacing w:after="0" w:line="240" w:lineRule="auto"/>
        <w:jc w:val="both"/>
        <w:rPr>
          <w:rFonts w:ascii="Verdana" w:eastAsia="Calibri" w:hAnsi="Verdana" w:cs="Times New Roman"/>
          <w:color w:val="000000" w:themeColor="text1"/>
          <w:sz w:val="20"/>
          <w:szCs w:val="20"/>
          <w:lang w:val="es-ES" w:eastAsia="es-MX"/>
        </w:rPr>
      </w:pPr>
    </w:p>
    <w:p w14:paraId="7468E02D" w14:textId="77777777" w:rsidR="008E3CD5" w:rsidRPr="0008354C" w:rsidRDefault="008E3CD5" w:rsidP="008E3CD5">
      <w:pPr>
        <w:spacing w:after="0"/>
        <w:jc w:val="both"/>
        <w:rPr>
          <w:rFonts w:ascii="Verdana" w:eastAsia="Calibri" w:hAnsi="Verdana" w:cs="Times New Roman"/>
          <w:b/>
          <w:bCs/>
          <w:color w:val="000000" w:themeColor="text1"/>
          <w:lang w:val="es-ES" w:eastAsia="es-MX"/>
        </w:rPr>
      </w:pPr>
      <w:r w:rsidRPr="0008354C">
        <w:rPr>
          <w:rFonts w:ascii="Verdana" w:eastAsia="Calibri" w:hAnsi="Verdana" w:cs="Times New Roman"/>
          <w:b/>
          <w:bCs/>
          <w:color w:val="000000" w:themeColor="text1"/>
          <w:lang w:val="es-ES" w:eastAsia="es-MX"/>
        </w:rPr>
        <w:t>CONTRATO DE OBRA PÚBLICA – Documentos tipo – Infraestructura social – Aplicación</w:t>
      </w:r>
    </w:p>
    <w:p w14:paraId="766D2152" w14:textId="77777777" w:rsidR="008E3CD5" w:rsidRPr="0008354C" w:rsidRDefault="008E3CD5" w:rsidP="008E3CD5">
      <w:pPr>
        <w:spacing w:after="0"/>
        <w:jc w:val="both"/>
        <w:rPr>
          <w:rFonts w:ascii="Verdana" w:eastAsia="Calibri" w:hAnsi="Verdana" w:cs="Times New Roman"/>
          <w:b/>
          <w:bCs/>
          <w:color w:val="000000" w:themeColor="text1"/>
          <w:lang w:val="es-ES" w:eastAsia="es-MX"/>
        </w:rPr>
      </w:pPr>
    </w:p>
    <w:p w14:paraId="53A4341C" w14:textId="77777777" w:rsidR="008E3CD5" w:rsidRPr="0008354C" w:rsidRDefault="008E3CD5" w:rsidP="008E3CD5">
      <w:pPr>
        <w:spacing w:after="0" w:line="240" w:lineRule="auto"/>
        <w:jc w:val="both"/>
        <w:rPr>
          <w:rFonts w:ascii="Verdana" w:eastAsia="Calibri" w:hAnsi="Verdana" w:cs="Times New Roman"/>
          <w:color w:val="000000" w:themeColor="text1"/>
          <w:sz w:val="20"/>
          <w:szCs w:val="20"/>
          <w:lang w:val="es-ES" w:eastAsia="es-MX"/>
        </w:rPr>
      </w:pPr>
      <w:r w:rsidRPr="0008354C">
        <w:rPr>
          <w:rFonts w:ascii="Verdana" w:eastAsia="Calibri" w:hAnsi="Verdana" w:cs="Times New Roman"/>
          <w:color w:val="000000" w:themeColor="text1"/>
          <w:sz w:val="20"/>
          <w:szCs w:val="20"/>
          <w:lang w:val="es-ES" w:eastAsia="es-MX"/>
        </w:rPr>
        <w:t>Los documentos tipo adoptados por la Agencia Nacional de Contratación Pública – Colombia Compra eficiente en el sector de infraestructura social, aplican para los procesos de “obra pública” en las modalidades de selección acogidas: licitación pública, selección abreviada de menor cuantía y mínima cuantía.</w:t>
      </w:r>
    </w:p>
    <w:p w14:paraId="5D6FF09C" w14:textId="77777777" w:rsidR="008E3CD5" w:rsidRPr="0008354C" w:rsidRDefault="008E3CD5" w:rsidP="008E3CD5">
      <w:pPr>
        <w:spacing w:after="0" w:line="240" w:lineRule="auto"/>
        <w:jc w:val="both"/>
        <w:rPr>
          <w:rFonts w:ascii="Verdana" w:eastAsia="Calibri" w:hAnsi="Verdana" w:cs="Times New Roman"/>
          <w:color w:val="000000" w:themeColor="text1"/>
          <w:sz w:val="20"/>
          <w:szCs w:val="20"/>
          <w:lang w:val="es-ES" w:eastAsia="es-MX"/>
        </w:rPr>
      </w:pPr>
    </w:p>
    <w:p w14:paraId="2A6E73BB" w14:textId="77777777" w:rsidR="008E3CD5" w:rsidRPr="0008354C" w:rsidRDefault="008E3CD5" w:rsidP="008E3CD5">
      <w:pPr>
        <w:spacing w:after="0"/>
        <w:jc w:val="both"/>
        <w:rPr>
          <w:rFonts w:ascii="Verdana" w:eastAsia="Calibri" w:hAnsi="Verdana" w:cs="Times New Roman"/>
          <w:b/>
          <w:bCs/>
          <w:color w:val="000000" w:themeColor="text1"/>
          <w:lang w:val="es-ES" w:eastAsia="es-MX"/>
        </w:rPr>
      </w:pPr>
      <w:r w:rsidRPr="0008354C">
        <w:rPr>
          <w:rFonts w:ascii="Verdana" w:eastAsia="Calibri" w:hAnsi="Verdana" w:cs="Times New Roman"/>
          <w:b/>
          <w:bCs/>
          <w:color w:val="000000" w:themeColor="text1"/>
          <w:lang w:val="es-ES" w:eastAsia="es-MX"/>
        </w:rPr>
        <w:t>CONTRATO DE OBRA PÚBLICA – Aplicación – Bienes inmuebles</w:t>
      </w:r>
    </w:p>
    <w:p w14:paraId="6A5A855A" w14:textId="77777777" w:rsidR="008E3CD5" w:rsidRPr="0008354C" w:rsidRDefault="008E3CD5" w:rsidP="008E3CD5">
      <w:pPr>
        <w:spacing w:after="0"/>
        <w:jc w:val="both"/>
        <w:rPr>
          <w:rFonts w:ascii="Verdana" w:eastAsia="Calibri" w:hAnsi="Verdana" w:cs="Times New Roman"/>
          <w:b/>
          <w:bCs/>
          <w:color w:val="000000" w:themeColor="text1"/>
          <w:lang w:val="es-ES" w:eastAsia="es-MX"/>
        </w:rPr>
      </w:pPr>
    </w:p>
    <w:p w14:paraId="2DBAC548" w14:textId="77777777" w:rsidR="008E3CD5" w:rsidRPr="0008354C" w:rsidRDefault="008E3CD5" w:rsidP="008E3CD5">
      <w:pPr>
        <w:spacing w:after="0"/>
        <w:jc w:val="both"/>
        <w:rPr>
          <w:rFonts w:ascii="Verdana" w:eastAsia="Calibri" w:hAnsi="Verdana" w:cs="Times New Roman"/>
          <w:color w:val="000000" w:themeColor="text1"/>
          <w:sz w:val="20"/>
          <w:szCs w:val="20"/>
          <w:lang w:val="es-ES" w:eastAsia="es-MX"/>
        </w:rPr>
      </w:pPr>
      <w:r w:rsidRPr="0008354C">
        <w:rPr>
          <w:rFonts w:ascii="Verdana" w:eastAsia="Calibri" w:hAnsi="Verdana" w:cs="Times New Roman"/>
          <w:color w:val="000000" w:themeColor="text1"/>
          <w:sz w:val="20"/>
          <w:szCs w:val="20"/>
          <w:lang w:val="es-ES" w:eastAsia="es-MX"/>
        </w:rPr>
        <w:t>(…) el numeral 1 del artículo 32 de la Ley 80 de 1993 opta por un sentido restringido,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p>
    <w:p w14:paraId="712F3119" w14:textId="77777777" w:rsidR="008E3CD5" w:rsidRPr="0008354C" w:rsidRDefault="008E3CD5" w:rsidP="008E3CD5">
      <w:pPr>
        <w:spacing w:after="0"/>
        <w:jc w:val="both"/>
        <w:rPr>
          <w:rFonts w:ascii="Verdana" w:eastAsia="Calibri" w:hAnsi="Verdana" w:cs="Times New Roman"/>
          <w:b/>
          <w:bCs/>
          <w:color w:val="000000" w:themeColor="text1"/>
          <w:lang w:val="es-ES" w:eastAsia="es-MX"/>
        </w:rPr>
      </w:pPr>
    </w:p>
    <w:p w14:paraId="3A7B7309" w14:textId="77777777" w:rsidR="008E3CD5" w:rsidRPr="0008354C" w:rsidRDefault="008E3CD5" w:rsidP="008E3CD5">
      <w:pPr>
        <w:spacing w:after="0"/>
        <w:jc w:val="both"/>
        <w:rPr>
          <w:rFonts w:ascii="Verdana" w:eastAsia="Calibri" w:hAnsi="Verdana" w:cs="Times New Roman"/>
          <w:b/>
          <w:bCs/>
          <w:color w:val="000000" w:themeColor="text1"/>
          <w:lang w:val="es-ES" w:eastAsia="es-MX"/>
        </w:rPr>
      </w:pPr>
      <w:r w:rsidRPr="0008354C">
        <w:rPr>
          <w:rFonts w:ascii="Verdana" w:eastAsia="Calibri" w:hAnsi="Verdana" w:cs="Times New Roman"/>
          <w:b/>
          <w:bCs/>
          <w:color w:val="000000" w:themeColor="text1"/>
          <w:lang w:val="es-ES" w:eastAsia="es-MX"/>
        </w:rPr>
        <w:t>CONTRATO DE OBRA PÚBLICA – Actividades – Construir – Mantener – Instalar</w:t>
      </w:r>
    </w:p>
    <w:p w14:paraId="2CF8E9C7" w14:textId="77777777" w:rsidR="008E3CD5" w:rsidRPr="0008354C" w:rsidRDefault="008E3CD5" w:rsidP="008E3CD5">
      <w:pPr>
        <w:spacing w:after="0"/>
        <w:jc w:val="both"/>
        <w:rPr>
          <w:rFonts w:ascii="Verdana" w:eastAsia="Calibri" w:hAnsi="Verdana" w:cs="Times New Roman"/>
          <w:b/>
          <w:bCs/>
          <w:color w:val="000000" w:themeColor="text1"/>
          <w:lang w:val="es-ES" w:eastAsia="es-MX"/>
        </w:rPr>
      </w:pPr>
    </w:p>
    <w:p w14:paraId="642D3209" w14:textId="77777777" w:rsidR="008E3CD5" w:rsidRPr="0008354C" w:rsidRDefault="008E3CD5" w:rsidP="008E3CD5">
      <w:pPr>
        <w:spacing w:after="0"/>
        <w:jc w:val="both"/>
        <w:rPr>
          <w:rFonts w:ascii="Verdana" w:eastAsia="Calibri" w:hAnsi="Verdana" w:cs="Times New Roman"/>
          <w:color w:val="000000" w:themeColor="text1"/>
          <w:sz w:val="20"/>
          <w:szCs w:val="20"/>
          <w:lang w:val="es-ES" w:eastAsia="es-MX"/>
        </w:rPr>
      </w:pPr>
      <w:r w:rsidRPr="0008354C">
        <w:rPr>
          <w:rFonts w:ascii="Verdana" w:eastAsia="Calibri" w:hAnsi="Verdana" w:cs="Times New Roman"/>
          <w:color w:val="000000" w:themeColor="text1"/>
          <w:sz w:val="20"/>
          <w:szCs w:val="20"/>
          <w:lang w:val="es-ES" w:eastAsia="es-MX"/>
        </w:rPr>
        <w:t>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 entre otros.</w:t>
      </w:r>
    </w:p>
    <w:p w14:paraId="34E56CB2" w14:textId="77777777" w:rsidR="008E3CD5" w:rsidRPr="0008354C" w:rsidRDefault="008E3CD5" w:rsidP="008E3CD5">
      <w:pPr>
        <w:spacing w:after="0"/>
        <w:jc w:val="both"/>
        <w:rPr>
          <w:rFonts w:ascii="Verdana" w:eastAsia="Calibri" w:hAnsi="Verdana" w:cs="Times New Roman"/>
          <w:b/>
          <w:bCs/>
          <w:color w:val="000000" w:themeColor="text1"/>
          <w:lang w:val="es-ES" w:eastAsia="es-MX"/>
        </w:rPr>
      </w:pPr>
    </w:p>
    <w:p w14:paraId="6087B1F1" w14:textId="77777777" w:rsidR="008E3CD5" w:rsidRPr="0008354C" w:rsidRDefault="008E3CD5" w:rsidP="008E3CD5">
      <w:pPr>
        <w:spacing w:after="0"/>
        <w:jc w:val="both"/>
        <w:rPr>
          <w:rFonts w:ascii="Verdana" w:eastAsia="Calibri" w:hAnsi="Verdana" w:cs="Times New Roman"/>
          <w:b/>
          <w:bCs/>
          <w:color w:val="000000" w:themeColor="text1"/>
          <w:lang w:val="es-ES" w:eastAsia="es-MX"/>
        </w:rPr>
      </w:pPr>
      <w:r w:rsidRPr="0008354C">
        <w:rPr>
          <w:rFonts w:ascii="Verdana" w:eastAsia="Calibri" w:hAnsi="Verdana" w:cs="Times New Roman"/>
          <w:b/>
          <w:bCs/>
          <w:color w:val="000000" w:themeColor="text1"/>
          <w:lang w:val="es-ES" w:eastAsia="es-MX"/>
        </w:rPr>
        <w:t>CONTRATO DE OBRA PÚBLICA – Aplicación – Inmuebles – Adhesión – Destinación</w:t>
      </w:r>
    </w:p>
    <w:p w14:paraId="50C25D1E" w14:textId="77777777" w:rsidR="008E3CD5" w:rsidRPr="0008354C" w:rsidRDefault="008E3CD5" w:rsidP="008E3CD5">
      <w:pPr>
        <w:spacing w:after="0"/>
        <w:jc w:val="both"/>
        <w:rPr>
          <w:rFonts w:ascii="Verdana" w:eastAsia="Calibri" w:hAnsi="Verdana" w:cs="Times New Roman"/>
          <w:b/>
          <w:bCs/>
          <w:color w:val="000000" w:themeColor="text1"/>
          <w:lang w:val="es-ES" w:eastAsia="es-MX"/>
        </w:rPr>
      </w:pPr>
    </w:p>
    <w:p w14:paraId="4B7B1752" w14:textId="77777777" w:rsidR="008E3CD5" w:rsidRPr="0008354C" w:rsidRDefault="008E3CD5" w:rsidP="008E3CD5">
      <w:pPr>
        <w:spacing w:after="0"/>
        <w:jc w:val="both"/>
        <w:rPr>
          <w:rFonts w:ascii="Verdana" w:eastAsia="Calibri" w:hAnsi="Verdana" w:cs="Times New Roman"/>
          <w:color w:val="000000" w:themeColor="text1"/>
          <w:sz w:val="20"/>
          <w:szCs w:val="20"/>
          <w:lang w:val="es-ES" w:eastAsia="es-MX"/>
        </w:rPr>
      </w:pPr>
      <w:r w:rsidRPr="0008354C">
        <w:rPr>
          <w:rFonts w:ascii="Verdana" w:eastAsia="Calibri" w:hAnsi="Verdana" w:cs="Times New Roman"/>
          <w:color w:val="000000" w:themeColor="text1"/>
          <w:sz w:val="20"/>
          <w:szCs w:val="20"/>
          <w:lang w:val="es-ES" w:eastAsia="es-MX"/>
        </w:rPr>
        <w:t>Respecto a la referencia a los bienes inmuebles, se debe considerar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w:t>
      </w:r>
    </w:p>
    <w:p w14:paraId="4C3A934F" w14:textId="77777777" w:rsidR="008E3CD5" w:rsidRPr="0008354C" w:rsidRDefault="008E3CD5" w:rsidP="008E3CD5">
      <w:pPr>
        <w:spacing w:after="0"/>
        <w:jc w:val="both"/>
        <w:rPr>
          <w:rFonts w:ascii="Verdana" w:eastAsia="Calibri" w:hAnsi="Verdana" w:cs="Times New Roman"/>
          <w:b/>
          <w:bCs/>
          <w:color w:val="000000" w:themeColor="text1"/>
          <w:lang w:val="es-ES" w:eastAsia="es-MX"/>
        </w:rPr>
      </w:pPr>
    </w:p>
    <w:p w14:paraId="7E321476" w14:textId="77777777" w:rsidR="008E3CD5" w:rsidRPr="0008354C" w:rsidRDefault="008E3CD5" w:rsidP="008E3CD5">
      <w:pPr>
        <w:spacing w:after="0"/>
        <w:jc w:val="both"/>
        <w:rPr>
          <w:rFonts w:ascii="Verdana" w:eastAsia="Calibri" w:hAnsi="Verdana" w:cs="Times New Roman"/>
          <w:b/>
          <w:bCs/>
          <w:color w:val="000000" w:themeColor="text1"/>
          <w:lang w:val="es-ES" w:eastAsia="es-MX"/>
        </w:rPr>
      </w:pPr>
      <w:r w:rsidRPr="0008354C">
        <w:rPr>
          <w:rFonts w:ascii="Verdana" w:eastAsia="Calibri" w:hAnsi="Verdana" w:cs="Times New Roman"/>
          <w:b/>
          <w:bCs/>
          <w:color w:val="000000" w:themeColor="text1"/>
          <w:lang w:val="es-ES" w:eastAsia="es-MX"/>
        </w:rPr>
        <w:t>CONTRATO DE OBRA PÚBLICA – Bienes muebles – Excluidos</w:t>
      </w:r>
    </w:p>
    <w:p w14:paraId="6248001B" w14:textId="77777777" w:rsidR="008E3CD5" w:rsidRPr="0008354C" w:rsidRDefault="008E3CD5" w:rsidP="008E3CD5">
      <w:pPr>
        <w:spacing w:after="0"/>
        <w:jc w:val="both"/>
        <w:rPr>
          <w:rFonts w:ascii="Verdana" w:eastAsia="Calibri" w:hAnsi="Verdana" w:cs="Times New Roman"/>
          <w:color w:val="000000" w:themeColor="text1"/>
          <w:sz w:val="20"/>
          <w:szCs w:val="20"/>
          <w:lang w:val="es-ES" w:eastAsia="es-MX"/>
        </w:rPr>
      </w:pPr>
    </w:p>
    <w:p w14:paraId="7F38F4C8" w14:textId="77777777" w:rsidR="008E3CD5" w:rsidRPr="0008354C" w:rsidRDefault="008E3CD5" w:rsidP="008E3CD5">
      <w:pPr>
        <w:spacing w:after="0"/>
        <w:jc w:val="both"/>
        <w:rPr>
          <w:rFonts w:ascii="Verdana" w:eastAsia="Calibri" w:hAnsi="Verdana" w:cs="Times New Roman"/>
          <w:color w:val="000000" w:themeColor="text1"/>
          <w:sz w:val="20"/>
          <w:szCs w:val="20"/>
          <w:lang w:val="es-ES" w:eastAsia="es-MX"/>
        </w:rPr>
      </w:pPr>
      <w:r w:rsidRPr="0008354C">
        <w:rPr>
          <w:rFonts w:ascii="Verdana" w:eastAsia="Calibri" w:hAnsi="Verdana" w:cs="Times New Roman"/>
          <w:color w:val="000000" w:themeColor="text1"/>
          <w:sz w:val="20"/>
          <w:szCs w:val="20"/>
          <w:lang w:val="es-ES" w:eastAsia="es-MX"/>
        </w:rPr>
        <w:t>En ese sentido, la naturaleza inmueble del bien –ya sea natural, por adhesión o destinación– sobre el que se realizan las actividades es determinante para saber si está ante un contrato de obra pública, ya que de este tipo contractual se encuentran excluidos trabajos materiales realizados sobre bienes muebles, por lo que estos corresponderían a un tipo contractual diferente. Esto supone que, en caso de que las prestaciones a realizarse impliquen el desarrollo de actividades materiales sobre bienes muebles, no resulta jurídicamente valido acudir al contrato de obra pública, debiendo la entidad acudir al régimen contractual de algún otro tipo contractual en el que se subsuma la actividad a contratar, como, por ejemplo, el contrato de prestación de servicios, o a cualquier otra modalidad típica o atípica, nominada o innominada que pueda celebrarse entre la entidad estatal y un contratista, en los términos de la autonomía de la voluntad de las partes, de acuerdo con lo previsto en los artículos 32 y 40 de la Ley 80 de 1993.</w:t>
      </w:r>
    </w:p>
    <w:p w14:paraId="471388DA" w14:textId="77777777" w:rsidR="008E3CD5" w:rsidRDefault="008E3CD5" w:rsidP="008E3CD5">
      <w:pPr>
        <w:spacing w:after="0"/>
        <w:rPr>
          <w:rFonts w:ascii="Verdana" w:eastAsia="Calibri" w:hAnsi="Verdana" w:cs="Times New Roman"/>
          <w:b/>
          <w:bCs/>
          <w:color w:val="99CCFF"/>
          <w:lang w:val="es-ES" w:eastAsia="es-MX"/>
        </w:rPr>
      </w:pPr>
    </w:p>
    <w:p w14:paraId="5375F81F" w14:textId="77777777" w:rsidR="008E3CD5" w:rsidRPr="008512AB" w:rsidRDefault="008E3CD5" w:rsidP="008E3CD5">
      <w:pPr>
        <w:pStyle w:val="NormalWeb"/>
        <w:shd w:val="clear" w:color="auto" w:fill="FFFFFF"/>
        <w:spacing w:before="0" w:beforeAutospacing="0" w:after="340" w:afterAutospacing="0"/>
        <w:jc w:val="both"/>
        <w:rPr>
          <w:rFonts w:ascii="Verdana" w:hAnsi="Verdana" w:cs="Segoe UI"/>
          <w:color w:val="000000" w:themeColor="text1"/>
          <w:sz w:val="22"/>
          <w:szCs w:val="22"/>
        </w:rPr>
      </w:pPr>
      <w:r w:rsidRPr="008512AB">
        <w:rPr>
          <w:rStyle w:val="Strong"/>
          <w:rFonts w:ascii="Verdana" w:hAnsi="Verdana" w:cs="Segoe UI"/>
          <w:color w:val="000000" w:themeColor="text1"/>
          <w:sz w:val="22"/>
          <w:szCs w:val="22"/>
        </w:rPr>
        <w:t>A.I.U – Documentos tipo – Infraestructura social – Licitación pública – Numeral 4.1.1 – Alcance – Obligatoriedad</w:t>
      </w:r>
    </w:p>
    <w:p w14:paraId="6FBCB0CC" w14:textId="77777777" w:rsidR="008E3CD5" w:rsidRPr="008512AB" w:rsidRDefault="008E3CD5" w:rsidP="008E3CD5">
      <w:pPr>
        <w:pStyle w:val="NormalWeb"/>
        <w:shd w:val="clear" w:color="auto" w:fill="FFFFFF"/>
        <w:spacing w:before="0" w:beforeAutospacing="0" w:after="340" w:afterAutospacing="0"/>
        <w:jc w:val="both"/>
        <w:rPr>
          <w:rFonts w:ascii="Verdana" w:hAnsi="Verdana" w:cs="Segoe UI"/>
          <w:color w:val="000000" w:themeColor="text1"/>
          <w:sz w:val="21"/>
          <w:szCs w:val="21"/>
        </w:rPr>
      </w:pPr>
      <w:r w:rsidRPr="008512AB">
        <w:rPr>
          <w:rFonts w:ascii="Verdana" w:hAnsi="Verdana" w:cs="Segoe UI"/>
          <w:color w:val="000000" w:themeColor="text1"/>
          <w:sz w:val="21"/>
          <w:szCs w:val="21"/>
        </w:rPr>
        <w:t>En los documentos tipo de licitación de obra pública de infraestructura social – versión 2, el numeral 4.1.1 “A.I.U.” establece la obligatoriedad de incluir el A.I.U cuando el proceso de contratación sea por precios unitarios. En este numeral se indica el deber del proponente de calcular todos los gastos en los que incurre para poder remunerar los costos de administración, los imprevistos y la utilidad o beneficio económico que pretende percibir por la ejecución del contrato. La instrucción prevista en el numeral 4.1.1 “AIU” está dada en términos de deber y obligación, por tanto, no existe la posibilidad de modificar el contenido del documento base previsto en el numeral “4.1.1 A.I.U.” siempre y cuando el proceso de contratación sea por precios unitarios. Ahora bien, considerando que ese numeral solo debe incorporarse cuando el proceso de contratación sea por precios unitarios, cuando este no suceda, es claro que la entidad que adelanta el proceso no debe incluirlo.</w:t>
      </w:r>
    </w:p>
    <w:p w14:paraId="34D785C2" w14:textId="77777777" w:rsidR="008E3CD5" w:rsidRDefault="008E3CD5" w:rsidP="008E3CD5">
      <w:pPr>
        <w:spacing w:after="0"/>
        <w:rPr>
          <w:rFonts w:ascii="Verdana" w:eastAsia="Calibri" w:hAnsi="Verdana" w:cs="Times New Roman"/>
          <w:b/>
          <w:bCs/>
          <w:color w:val="99CCFF"/>
          <w:lang w:val="es-ES" w:eastAsia="es-MX"/>
        </w:rPr>
      </w:pPr>
    </w:p>
    <w:p w14:paraId="4B3342DC" w14:textId="77777777" w:rsidR="008E3CD5" w:rsidRDefault="008E3CD5" w:rsidP="008E3CD5">
      <w:pPr>
        <w:spacing w:after="0"/>
        <w:rPr>
          <w:rFonts w:ascii="Verdana" w:eastAsia="Calibri" w:hAnsi="Verdana" w:cs="Times New Roman"/>
          <w:b/>
          <w:bCs/>
          <w:color w:val="99CCFF"/>
          <w:lang w:val="es-ES" w:eastAsia="es-MX"/>
        </w:rPr>
      </w:pPr>
    </w:p>
    <w:p w14:paraId="0898D488" w14:textId="77777777" w:rsidR="008E3CD5" w:rsidRDefault="008E3CD5" w:rsidP="008E3CD5">
      <w:pPr>
        <w:spacing w:after="0"/>
        <w:rPr>
          <w:rFonts w:ascii="Verdana" w:eastAsia="Calibri" w:hAnsi="Verdana" w:cs="Times New Roman"/>
          <w:color w:val="6699FF"/>
          <w:kern w:val="2"/>
          <w:sz w:val="20"/>
          <w:szCs w:val="20"/>
          <w14:ligatures w14:val="standardContextual"/>
        </w:rPr>
      </w:pPr>
    </w:p>
    <w:p w14:paraId="6A1E1A61" w14:textId="77777777" w:rsidR="008E3CD5" w:rsidRDefault="008E3CD5" w:rsidP="008E3CD5">
      <w:pPr>
        <w:spacing w:after="0"/>
        <w:rPr>
          <w:rFonts w:ascii="Verdana" w:eastAsia="Calibri" w:hAnsi="Verdana" w:cs="Times New Roman"/>
          <w:color w:val="6699FF"/>
          <w:kern w:val="2"/>
          <w:sz w:val="20"/>
          <w:szCs w:val="20"/>
          <w14:ligatures w14:val="standardContextual"/>
        </w:rPr>
      </w:pPr>
    </w:p>
    <w:p w14:paraId="1FE6E530" w14:textId="77777777" w:rsidR="008E3CD5" w:rsidRDefault="008E3CD5" w:rsidP="008E3CD5">
      <w:pPr>
        <w:spacing w:after="0"/>
        <w:rPr>
          <w:rFonts w:ascii="Verdana" w:eastAsia="Calibri" w:hAnsi="Verdana" w:cs="Times New Roman"/>
          <w:color w:val="6699FF"/>
          <w:kern w:val="2"/>
          <w:sz w:val="20"/>
          <w:szCs w:val="20"/>
          <w14:ligatures w14:val="standardContextual"/>
        </w:rPr>
      </w:pPr>
    </w:p>
    <w:p w14:paraId="77F33621" w14:textId="77777777" w:rsidR="008E3CD5" w:rsidRDefault="008E3CD5" w:rsidP="008E3CD5">
      <w:pPr>
        <w:spacing w:after="0"/>
        <w:rPr>
          <w:rFonts w:ascii="Verdana" w:eastAsia="Calibri" w:hAnsi="Verdana" w:cs="Times New Roman"/>
          <w:color w:val="6699FF"/>
          <w:kern w:val="2"/>
          <w:sz w:val="20"/>
          <w:szCs w:val="20"/>
          <w14:ligatures w14:val="standardContextual"/>
        </w:rPr>
      </w:pPr>
    </w:p>
    <w:p w14:paraId="48708C12" w14:textId="77777777" w:rsidR="008E3CD5" w:rsidRDefault="008E3CD5" w:rsidP="008E3CD5">
      <w:pPr>
        <w:spacing w:after="0"/>
        <w:rPr>
          <w:rFonts w:ascii="Verdana" w:eastAsia="Calibri" w:hAnsi="Verdana" w:cs="Times New Roman"/>
          <w:color w:val="6699FF"/>
          <w:kern w:val="2"/>
          <w:sz w:val="20"/>
          <w:szCs w:val="20"/>
          <w14:ligatures w14:val="standardContextual"/>
        </w:rPr>
      </w:pPr>
    </w:p>
    <w:p w14:paraId="20BA6096" w14:textId="77777777" w:rsidR="008E3CD5" w:rsidRDefault="008E3CD5" w:rsidP="008E3CD5">
      <w:pPr>
        <w:spacing w:after="0"/>
        <w:rPr>
          <w:rFonts w:ascii="Verdana" w:eastAsia="Calibri" w:hAnsi="Verdana" w:cs="Times New Roman"/>
          <w:color w:val="6699FF"/>
          <w:kern w:val="2"/>
          <w:sz w:val="20"/>
          <w:szCs w:val="20"/>
          <w14:ligatures w14:val="standardContextual"/>
        </w:rPr>
      </w:pPr>
    </w:p>
    <w:p w14:paraId="2918305D" w14:textId="77777777" w:rsidR="008E3CD5" w:rsidRDefault="008E3CD5" w:rsidP="008E3CD5">
      <w:pPr>
        <w:spacing w:after="0"/>
        <w:rPr>
          <w:rFonts w:ascii="Verdana" w:eastAsia="Calibri" w:hAnsi="Verdana" w:cs="Times New Roman"/>
          <w:color w:val="6699FF"/>
          <w:kern w:val="2"/>
          <w:sz w:val="20"/>
          <w:szCs w:val="20"/>
          <w14:ligatures w14:val="standardContextual"/>
        </w:rPr>
      </w:pPr>
    </w:p>
    <w:p w14:paraId="20041968" w14:textId="77777777" w:rsidR="008E3CD5" w:rsidRDefault="008E3CD5" w:rsidP="008E3CD5">
      <w:pPr>
        <w:spacing w:after="0"/>
        <w:rPr>
          <w:rFonts w:ascii="Verdana" w:eastAsia="Calibri" w:hAnsi="Verdana" w:cs="Times New Roman"/>
          <w:color w:val="6699FF"/>
          <w:kern w:val="2"/>
          <w:sz w:val="20"/>
          <w:szCs w:val="20"/>
          <w14:ligatures w14:val="standardContextual"/>
        </w:rPr>
      </w:pPr>
    </w:p>
    <w:p w14:paraId="584F7868" w14:textId="77777777" w:rsidR="008E3CD5" w:rsidRDefault="008E3CD5" w:rsidP="008E3CD5">
      <w:pPr>
        <w:spacing w:after="0"/>
        <w:rPr>
          <w:rFonts w:ascii="Verdana" w:eastAsia="Calibri" w:hAnsi="Verdana" w:cs="Times New Roman"/>
          <w:color w:val="6699FF"/>
          <w:kern w:val="2"/>
          <w:sz w:val="20"/>
          <w:szCs w:val="20"/>
          <w14:ligatures w14:val="standardContextual"/>
        </w:rPr>
      </w:pPr>
    </w:p>
    <w:p w14:paraId="22655D9D" w14:textId="77777777" w:rsidR="0042571C" w:rsidRDefault="0042571C" w:rsidP="008E3CD5">
      <w:pPr>
        <w:spacing w:after="0"/>
        <w:rPr>
          <w:rFonts w:ascii="Verdana" w:eastAsia="Calibri" w:hAnsi="Verdana" w:cs="Times New Roman"/>
          <w:color w:val="6699FF"/>
          <w:kern w:val="2"/>
          <w:sz w:val="20"/>
          <w:szCs w:val="20"/>
          <w14:ligatures w14:val="standardContextual"/>
        </w:rPr>
      </w:pPr>
    </w:p>
    <w:p w14:paraId="2A385246" w14:textId="244CBC5C" w:rsidR="0042571C" w:rsidRPr="00A11AA2" w:rsidRDefault="0042571C" w:rsidP="008E3CD5">
      <w:pPr>
        <w:spacing w:after="0"/>
        <w:rPr>
          <w:rFonts w:ascii="Verdana" w:hAnsi="Verdana"/>
        </w:rPr>
      </w:pPr>
      <w:r w:rsidRPr="00D21E17">
        <w:rPr>
          <w:rFonts w:ascii="Verdana" w:eastAsia="Calibri" w:hAnsi="Verdana" w:cs="Arial"/>
          <w:noProof/>
          <w:lang w:val="es-ES" w:eastAsia="es-ES"/>
        </w:rPr>
        <w:drawing>
          <wp:anchor distT="0" distB="0" distL="114300" distR="114300" simplePos="0" relativeHeight="251658240" behindDoc="0" locked="0" layoutInCell="1" allowOverlap="1" wp14:anchorId="21C7A584" wp14:editId="6973BEA9">
            <wp:simplePos x="0" y="0"/>
            <wp:positionH relativeFrom="margin">
              <wp:posOffset>3267539</wp:posOffset>
            </wp:positionH>
            <wp:positionV relativeFrom="margin">
              <wp:posOffset>155982</wp:posOffset>
            </wp:positionV>
            <wp:extent cx="2425700" cy="697230"/>
            <wp:effectExtent l="0" t="0" r="0" b="7620"/>
            <wp:wrapSquare wrapText="bothSides"/>
            <wp:docPr id="6259563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956339" name=""/>
                    <pic:cNvPicPr/>
                  </pic:nvPicPr>
                  <pic:blipFill>
                    <a:blip r:embed="rId10">
                      <a:extLst>
                        <a:ext uri="{28A0092B-C50C-407E-A947-70E740481C1C}">
                          <a14:useLocalDpi xmlns:a14="http://schemas.microsoft.com/office/drawing/2010/main" val="0"/>
                        </a:ext>
                      </a:extLst>
                    </a:blip>
                    <a:stretch>
                      <a:fillRect/>
                    </a:stretch>
                  </pic:blipFill>
                  <pic:spPr>
                    <a:xfrm>
                      <a:off x="0" y="0"/>
                      <a:ext cx="2425700" cy="697230"/>
                    </a:xfrm>
                    <a:prstGeom prst="rect">
                      <a:avLst/>
                    </a:prstGeom>
                  </pic:spPr>
                </pic:pic>
              </a:graphicData>
            </a:graphic>
          </wp:anchor>
        </w:drawing>
      </w:r>
      <w:r w:rsidRPr="0042571C">
        <w:rPr>
          <w:rFonts w:ascii="Verdana" w:hAnsi="Verdana"/>
        </w:rPr>
        <w:t>Bogotá D.C, 18 Junio 2026</w:t>
      </w:r>
    </w:p>
    <w:p w14:paraId="58CCF9A7" w14:textId="1ABEC9B4" w:rsidR="008E3CD5" w:rsidRPr="00A11AA2" w:rsidRDefault="008E3CD5" w:rsidP="008E3CD5">
      <w:pPr>
        <w:spacing w:after="0"/>
        <w:rPr>
          <w:rFonts w:ascii="Verdana" w:hAnsi="Verdana"/>
        </w:rPr>
      </w:pPr>
    </w:p>
    <w:p w14:paraId="4A926C5C" w14:textId="1FA5A8F9" w:rsidR="008E3CD5" w:rsidRPr="00A11AA2" w:rsidRDefault="008E3CD5" w:rsidP="008E3CD5">
      <w:pPr>
        <w:spacing w:after="0" w:line="276" w:lineRule="auto"/>
        <w:rPr>
          <w:rFonts w:ascii="Verdana" w:eastAsia="Calibri" w:hAnsi="Verdana" w:cs="Arial"/>
          <w:lang w:val="es-ES" w:eastAsia="es-ES"/>
        </w:rPr>
      </w:pPr>
      <w:r w:rsidRPr="00A11AA2">
        <w:rPr>
          <w:rFonts w:ascii="Verdana" w:eastAsia="Calibri" w:hAnsi="Verdana" w:cs="Arial"/>
          <w:lang w:val="es-ES" w:eastAsia="es-ES"/>
        </w:rPr>
        <w:t>Señora</w:t>
      </w:r>
    </w:p>
    <w:p w14:paraId="6E53E674" w14:textId="69FE0A01" w:rsidR="008E3CD5" w:rsidRDefault="008E3CD5" w:rsidP="008E3CD5">
      <w:pPr>
        <w:spacing w:after="0" w:line="276" w:lineRule="auto"/>
        <w:rPr>
          <w:rFonts w:ascii="Verdana" w:eastAsia="Calibri" w:hAnsi="Verdana" w:cs="Arial"/>
          <w:b/>
          <w:bCs/>
          <w:lang w:eastAsia="es-ES"/>
        </w:rPr>
      </w:pPr>
      <w:r w:rsidRPr="00C43870">
        <w:rPr>
          <w:rFonts w:ascii="Verdana" w:eastAsia="Calibri" w:hAnsi="Verdana" w:cs="Arial"/>
          <w:b/>
          <w:bCs/>
          <w:lang w:eastAsia="es-ES"/>
        </w:rPr>
        <w:t>Sandra Patricia Ferreira Pérez</w:t>
      </w:r>
    </w:p>
    <w:p w14:paraId="23BCD299" w14:textId="77777777" w:rsidR="008E3CD5" w:rsidRPr="00F128E6" w:rsidRDefault="008E3CD5" w:rsidP="008E3CD5">
      <w:pPr>
        <w:spacing w:after="0" w:line="276" w:lineRule="auto"/>
        <w:rPr>
          <w:rFonts w:ascii="Verdana" w:hAnsi="Verdana"/>
        </w:rPr>
      </w:pPr>
      <w:hyperlink r:id="rId11" w:history="1">
        <w:r w:rsidRPr="00F128E6">
          <w:rPr>
            <w:rStyle w:val="Hyperlink"/>
            <w:rFonts w:ascii="Verdana" w:hAnsi="Verdana"/>
          </w:rPr>
          <w:t>sandra.ferreira@medicinalegal.gov.co</w:t>
        </w:r>
      </w:hyperlink>
    </w:p>
    <w:p w14:paraId="1DE804FC" w14:textId="77777777" w:rsidR="008E3CD5" w:rsidRPr="00A11AA2" w:rsidRDefault="008E3CD5" w:rsidP="008E3CD5">
      <w:pPr>
        <w:spacing w:after="0" w:line="276" w:lineRule="auto"/>
        <w:rPr>
          <w:rFonts w:ascii="Verdana" w:hAnsi="Verdana"/>
        </w:rPr>
      </w:pPr>
      <w:r>
        <w:rPr>
          <w:rFonts w:ascii="Verdana" w:hAnsi="Verdana"/>
        </w:rPr>
        <w:t>Bogotá D.C.</w:t>
      </w:r>
    </w:p>
    <w:p w14:paraId="6914035F" w14:textId="77777777" w:rsidR="008E3CD5" w:rsidRPr="007E53B7" w:rsidRDefault="008E3CD5" w:rsidP="008E3CD5">
      <w:pPr>
        <w:spacing w:after="0" w:line="276" w:lineRule="auto"/>
        <w:rPr>
          <w:rFonts w:ascii="Verdana" w:eastAsia="Calibri" w:hAnsi="Verdana" w:cs="Arial"/>
          <w:b/>
          <w:bCs/>
          <w:color w:val="66CCFF"/>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972"/>
      </w:tblGrid>
      <w:tr w:rsidR="008E3CD5" w:rsidRPr="007E53B7" w14:paraId="2101549E" w14:textId="77777777" w:rsidTr="00463BE1">
        <w:trPr>
          <w:trHeight w:val="999"/>
        </w:trPr>
        <w:tc>
          <w:tcPr>
            <w:tcW w:w="3261" w:type="dxa"/>
          </w:tcPr>
          <w:p w14:paraId="3FD24CD2" w14:textId="77777777" w:rsidR="008E3CD5" w:rsidRPr="007E53B7" w:rsidRDefault="008E3CD5" w:rsidP="00463BE1">
            <w:pPr>
              <w:spacing w:line="276" w:lineRule="auto"/>
              <w:jc w:val="both"/>
              <w:rPr>
                <w:rFonts w:ascii="Verdana" w:eastAsia="Calibri" w:hAnsi="Verdana" w:cs="Arial"/>
                <w:b/>
                <w:bCs/>
                <w:color w:val="66CCFF"/>
                <w:lang w:val="es-ES_tradnl" w:eastAsia="es-ES_tradnl"/>
              </w:rPr>
            </w:pPr>
          </w:p>
        </w:tc>
        <w:tc>
          <w:tcPr>
            <w:tcW w:w="5972" w:type="dxa"/>
            <w:hideMark/>
          </w:tcPr>
          <w:p w14:paraId="01D9F10E" w14:textId="77777777" w:rsidR="008E3CD5" w:rsidRPr="00DF2EA7" w:rsidRDefault="008E3CD5" w:rsidP="00463BE1">
            <w:pPr>
              <w:spacing w:line="276" w:lineRule="auto"/>
              <w:jc w:val="both"/>
              <w:rPr>
                <w:rFonts w:ascii="Verdana" w:eastAsia="Calibri" w:hAnsi="Verdana" w:cs="Arial"/>
                <w:b/>
                <w:bCs/>
                <w:lang w:val="es-ES" w:eastAsia="es-ES"/>
              </w:rPr>
            </w:pPr>
            <w:r>
              <w:rPr>
                <w:rFonts w:ascii="Verdana" w:eastAsia="Calibri" w:hAnsi="Verdana" w:cs="Arial"/>
                <w:b/>
                <w:bCs/>
                <w:lang w:val="es-ES" w:eastAsia="es-ES"/>
              </w:rPr>
              <w:t>C</w:t>
            </w:r>
            <w:r w:rsidRPr="00DF2EA7">
              <w:rPr>
                <w:rFonts w:ascii="Verdana" w:eastAsia="Calibri" w:hAnsi="Verdana" w:cs="Arial"/>
                <w:b/>
                <w:bCs/>
                <w:lang w:val="es-ES" w:eastAsia="es-ES"/>
              </w:rPr>
              <w:t xml:space="preserve">oncepto C – </w:t>
            </w:r>
            <w:r>
              <w:rPr>
                <w:rFonts w:ascii="Verdana" w:eastAsia="Calibri" w:hAnsi="Verdana" w:cs="Arial"/>
                <w:b/>
                <w:bCs/>
                <w:lang w:val="es-ES" w:eastAsia="es-ES"/>
              </w:rPr>
              <w:t xml:space="preserve">771 </w:t>
            </w:r>
            <w:r w:rsidRPr="00DF2EA7">
              <w:rPr>
                <w:rFonts w:ascii="Verdana" w:eastAsia="Calibri" w:hAnsi="Verdana" w:cs="Arial"/>
                <w:b/>
                <w:bCs/>
                <w:lang w:val="es-ES" w:eastAsia="es-ES"/>
              </w:rPr>
              <w:t>de 2026</w:t>
            </w:r>
          </w:p>
        </w:tc>
      </w:tr>
      <w:tr w:rsidR="008E3CD5" w:rsidRPr="007E53B7" w14:paraId="44A24654" w14:textId="77777777" w:rsidTr="00463BE1">
        <w:trPr>
          <w:trHeight w:val="2385"/>
        </w:trPr>
        <w:tc>
          <w:tcPr>
            <w:tcW w:w="3261" w:type="dxa"/>
            <w:hideMark/>
          </w:tcPr>
          <w:p w14:paraId="4B180386" w14:textId="77777777" w:rsidR="008E3CD5" w:rsidRPr="00A11AA2" w:rsidRDefault="008E3CD5" w:rsidP="00463BE1">
            <w:pPr>
              <w:spacing w:line="276" w:lineRule="auto"/>
              <w:jc w:val="both"/>
              <w:rPr>
                <w:rFonts w:ascii="Verdana" w:eastAsia="Calibri" w:hAnsi="Verdana" w:cs="Arial"/>
                <w:color w:val="66CCFF"/>
                <w:lang w:val="es-ES_tradnl" w:eastAsia="es-ES_tradnl"/>
              </w:rPr>
            </w:pPr>
            <w:r w:rsidRPr="00A11AA2">
              <w:rPr>
                <w:rFonts w:ascii="Verdana" w:eastAsia="Calibri" w:hAnsi="Verdana" w:cs="Arial"/>
                <w:b/>
                <w:lang w:val="es-ES_tradnl" w:eastAsia="es-ES_tradnl"/>
              </w:rPr>
              <w:t>Temas:</w:t>
            </w:r>
            <w:r w:rsidRPr="00A11AA2">
              <w:rPr>
                <w:rFonts w:ascii="Verdana" w:eastAsia="Calibri" w:hAnsi="Verdana" w:cs="Arial"/>
                <w:lang w:val="es-ES_tradnl" w:eastAsia="es-ES_tradnl"/>
              </w:rPr>
              <w:t xml:space="preserve">                  </w:t>
            </w:r>
          </w:p>
        </w:tc>
        <w:tc>
          <w:tcPr>
            <w:tcW w:w="5972" w:type="dxa"/>
          </w:tcPr>
          <w:p w14:paraId="734BF927" w14:textId="77777777" w:rsidR="008E3CD5" w:rsidRPr="00D1166E" w:rsidRDefault="008E3CD5" w:rsidP="00463BE1">
            <w:pPr>
              <w:pStyle w:val="NormalWeb"/>
              <w:shd w:val="clear" w:color="auto" w:fill="FFFFFF"/>
              <w:spacing w:before="0" w:beforeAutospacing="0" w:after="340" w:afterAutospacing="0"/>
              <w:jc w:val="both"/>
              <w:rPr>
                <w:rFonts w:ascii="Verdana" w:hAnsi="Verdana" w:cs="Segoe UI"/>
                <w:b/>
                <w:bCs/>
                <w:color w:val="000000" w:themeColor="text1"/>
                <w:sz w:val="22"/>
                <w:szCs w:val="22"/>
              </w:rPr>
            </w:pPr>
            <w:r w:rsidRPr="00D1166E">
              <w:rPr>
                <w:rFonts w:ascii="Verdana" w:eastAsia="Calibri" w:hAnsi="Verdana" w:cs="Arial"/>
                <w:color w:val="000000" w:themeColor="text1"/>
                <w:lang w:val="es-ES_tradnl" w:eastAsia="es-MX"/>
              </w:rPr>
              <w:t>DOCUMENTOS TIPO – Fundamento normativo – Obligatoriedad / SECTOR SOCIAL</w:t>
            </w:r>
            <w:r w:rsidRPr="00D1166E">
              <w:rPr>
                <w:rFonts w:ascii="Verdana" w:eastAsia="Calibri" w:hAnsi="Verdana"/>
                <w:color w:val="000000" w:themeColor="text1"/>
                <w:lang w:val="es-ES" w:eastAsia="es-MX"/>
              </w:rPr>
              <w:t xml:space="preserve"> – Documentos tipo – Vigentes / DOCUMENTOS TIPO – Aplicación – Matriz de Experiencia / CONTRATO DE OBRA PÚBLICA – Documentos tipo – Infraestructura social – Aplicación / CONTRATO DE OBRA PÚBLICA – Aplicación – Bienes inmuebles / CONTRATO DE OBRA PÚBLICA – Actividades – Construir – Mantener – Instalar / CONTRATO DE OBRA PÚBLICA – Aplicación – Inmuebles – Adhesión – Destinación / CONTRATO DE OBRA PÚBLICA – Bienes muebles – Excluidos / </w:t>
            </w:r>
            <w:r w:rsidRPr="00D1166E">
              <w:rPr>
                <w:rStyle w:val="Strong"/>
                <w:rFonts w:ascii="Verdana" w:hAnsi="Verdana" w:cs="Segoe UI"/>
                <w:b w:val="0"/>
                <w:bCs w:val="0"/>
                <w:color w:val="000000" w:themeColor="text1"/>
                <w:sz w:val="22"/>
                <w:szCs w:val="22"/>
              </w:rPr>
              <w:t>A.I.U – Documentos tipo – Infraestructura social – Licitación pública – Numeral 4.1.1 – Alcance – Obligatoriedad</w:t>
            </w:r>
          </w:p>
        </w:tc>
      </w:tr>
      <w:tr w:rsidR="008E3CD5" w:rsidRPr="00724695" w14:paraId="4D93EDC6" w14:textId="77777777" w:rsidTr="00463BE1">
        <w:trPr>
          <w:trHeight w:val="597"/>
        </w:trPr>
        <w:tc>
          <w:tcPr>
            <w:tcW w:w="3261" w:type="dxa"/>
            <w:hideMark/>
          </w:tcPr>
          <w:p w14:paraId="2070D36B" w14:textId="77777777" w:rsidR="008E3CD5" w:rsidRPr="008C5E3B" w:rsidRDefault="008E3CD5" w:rsidP="00463BE1">
            <w:pPr>
              <w:spacing w:line="276" w:lineRule="auto"/>
              <w:jc w:val="both"/>
              <w:rPr>
                <w:rFonts w:ascii="Verdana" w:eastAsia="Calibri" w:hAnsi="Verdana" w:cs="Arial"/>
                <w:b/>
                <w:lang w:val="es-ES_tradnl" w:eastAsia="es-ES_tradnl"/>
              </w:rPr>
            </w:pPr>
            <w:r w:rsidRPr="008C5E3B">
              <w:rPr>
                <w:rFonts w:ascii="Verdana" w:eastAsia="Calibri" w:hAnsi="Verdana" w:cs="Arial"/>
                <w:b/>
                <w:lang w:val="es-ES_tradnl" w:eastAsia="es-ES_tradnl"/>
              </w:rPr>
              <w:t xml:space="preserve">Radicación:               </w:t>
            </w:r>
          </w:p>
        </w:tc>
        <w:tc>
          <w:tcPr>
            <w:tcW w:w="5972" w:type="dxa"/>
          </w:tcPr>
          <w:p w14:paraId="236B6D9D" w14:textId="77777777" w:rsidR="008E3CD5" w:rsidRPr="00724695" w:rsidRDefault="008E3CD5" w:rsidP="00463BE1">
            <w:pPr>
              <w:spacing w:line="276" w:lineRule="auto"/>
              <w:jc w:val="both"/>
              <w:rPr>
                <w:rFonts w:ascii="Verdana" w:eastAsia="Calibri" w:hAnsi="Verdana" w:cs="Arial"/>
                <w:bCs/>
                <w:lang w:eastAsia="es-ES_tradnl"/>
              </w:rPr>
            </w:pPr>
            <w:r w:rsidRPr="00724695">
              <w:rPr>
                <w:rFonts w:ascii="Verdana" w:eastAsia="Calibri" w:hAnsi="Verdana" w:cs="Arial"/>
                <w:bCs/>
                <w:lang w:val="es-ES_tradnl" w:eastAsia="es-ES_tradnl"/>
              </w:rPr>
              <w:t xml:space="preserve">Respuesta a consulta con radicado </w:t>
            </w:r>
            <w:r w:rsidRPr="00724695">
              <w:rPr>
                <w:rFonts w:ascii="Verdana" w:eastAsia="Calibri" w:hAnsi="Verdana" w:cs="Arial"/>
                <w:bCs/>
                <w:lang w:eastAsia="es-ES_tradnl"/>
              </w:rPr>
              <w:t xml:space="preserve">No. </w:t>
            </w:r>
            <w:r w:rsidRPr="00EA24FA">
              <w:rPr>
                <w:rFonts w:ascii="Verdana" w:eastAsia="Calibri" w:hAnsi="Verdana" w:cs="Arial"/>
                <w:bCs/>
                <w:lang w:eastAsia="es-ES_tradnl"/>
              </w:rPr>
              <w:t>1_2026_05_07_006229</w:t>
            </w:r>
          </w:p>
          <w:p w14:paraId="6B58ED49" w14:textId="77777777" w:rsidR="008E3CD5" w:rsidRPr="00724695" w:rsidRDefault="008E3CD5" w:rsidP="00463BE1">
            <w:pPr>
              <w:spacing w:line="276" w:lineRule="auto"/>
              <w:jc w:val="both"/>
              <w:rPr>
                <w:rFonts w:ascii="Verdana" w:eastAsia="Calibri" w:hAnsi="Verdana" w:cs="Arial"/>
                <w:bCs/>
                <w:lang w:val="es-ES_tradnl" w:eastAsia="es-ES_tradnl"/>
              </w:rPr>
            </w:pPr>
          </w:p>
        </w:tc>
      </w:tr>
    </w:tbl>
    <w:p w14:paraId="3F15A01E" w14:textId="77777777" w:rsidR="008E3CD5" w:rsidRPr="00AB5C52" w:rsidRDefault="008E3CD5" w:rsidP="008E3CD5">
      <w:pPr>
        <w:spacing w:after="0" w:line="276" w:lineRule="auto"/>
        <w:jc w:val="both"/>
        <w:rPr>
          <w:rFonts w:ascii="Verdana" w:eastAsia="Calibri" w:hAnsi="Verdana" w:cs="Arial"/>
          <w:bCs/>
          <w:lang w:val="es-ES_tradnl" w:eastAsia="es-ES_tradnl"/>
        </w:rPr>
      </w:pPr>
    </w:p>
    <w:p w14:paraId="3BAC7AE9" w14:textId="77777777" w:rsidR="008E3CD5" w:rsidRPr="00AB5C52" w:rsidRDefault="008E3CD5" w:rsidP="008E3CD5">
      <w:pPr>
        <w:spacing w:after="0" w:line="276" w:lineRule="auto"/>
        <w:jc w:val="both"/>
        <w:rPr>
          <w:rFonts w:ascii="Verdana" w:eastAsia="Calibri" w:hAnsi="Verdana" w:cs="Arial"/>
          <w:bCs/>
          <w:lang w:val="es-ES" w:eastAsia="es-ES"/>
        </w:rPr>
      </w:pPr>
      <w:r w:rsidRPr="00AB5C52">
        <w:rPr>
          <w:rFonts w:ascii="Verdana" w:eastAsia="Calibri" w:hAnsi="Verdana" w:cs="Arial"/>
          <w:bCs/>
          <w:lang w:val="es-ES" w:eastAsia="es-ES"/>
        </w:rPr>
        <w:t xml:space="preserve">Estimada señora </w:t>
      </w:r>
      <w:r>
        <w:rPr>
          <w:rFonts w:ascii="Verdana" w:eastAsia="Calibri" w:hAnsi="Verdana" w:cs="Arial"/>
          <w:bCs/>
          <w:lang w:eastAsia="es-ES"/>
        </w:rPr>
        <w:t>Sandra Patricia</w:t>
      </w:r>
      <w:r w:rsidRPr="00AB5C52">
        <w:rPr>
          <w:rFonts w:ascii="Verdana" w:eastAsia="Calibri" w:hAnsi="Verdana" w:cs="Arial"/>
          <w:bCs/>
          <w:lang w:val="es-ES" w:eastAsia="es-ES"/>
        </w:rPr>
        <w:t xml:space="preserve">:  </w:t>
      </w:r>
    </w:p>
    <w:p w14:paraId="62F41894" w14:textId="77777777" w:rsidR="008E3CD5" w:rsidRPr="00AB5C52" w:rsidRDefault="008E3CD5" w:rsidP="008E3CD5">
      <w:pPr>
        <w:tabs>
          <w:tab w:val="left" w:pos="3768"/>
        </w:tabs>
        <w:spacing w:after="0" w:line="276" w:lineRule="auto"/>
        <w:jc w:val="both"/>
        <w:rPr>
          <w:rFonts w:ascii="Verdana" w:eastAsia="Calibri" w:hAnsi="Verdana" w:cs="Arial"/>
          <w:bCs/>
          <w:lang w:val="es-ES" w:eastAsia="es-ES"/>
        </w:rPr>
      </w:pPr>
      <w:r w:rsidRPr="00AB5C52">
        <w:rPr>
          <w:rFonts w:ascii="Verdana" w:eastAsia="Calibri" w:hAnsi="Verdana" w:cs="Arial"/>
          <w:bCs/>
          <w:lang w:val="es-ES" w:eastAsia="es-ES"/>
        </w:rPr>
        <w:tab/>
      </w:r>
    </w:p>
    <w:p w14:paraId="495FE119" w14:textId="77777777" w:rsidR="008E3CD5" w:rsidRPr="003125D1" w:rsidRDefault="008E3CD5" w:rsidP="008E3CD5">
      <w:pPr>
        <w:spacing w:after="0" w:line="276" w:lineRule="auto"/>
        <w:jc w:val="both"/>
        <w:rPr>
          <w:rFonts w:ascii="Verdana" w:eastAsia="Calibri" w:hAnsi="Verdana" w:cs="Arial"/>
          <w:lang w:val="es-ES" w:eastAsia="es-ES"/>
        </w:rPr>
      </w:pPr>
      <w:r w:rsidRPr="003125D1">
        <w:rPr>
          <w:rFonts w:ascii="Verdana" w:eastAsia="Calibri" w:hAnsi="Verdana" w:cs="Arial"/>
          <w:lang w:val="es-ES" w:eastAsia="es-ES"/>
        </w:rPr>
        <w:t>En ejercicio de la competencia otorgada por los artículos 3, numeral 5º, y 11, numeral 8º, del Decreto Ley 4170 de 2011,</w:t>
      </w:r>
      <w:r w:rsidRPr="003125D1">
        <w:rPr>
          <w:rFonts w:ascii="Verdana" w:eastAsia="Arial MT" w:hAnsi="Verdana" w:cs="Arial MT"/>
          <w:lang w:val="es-ES" w:eastAsia="es-ES"/>
        </w:rPr>
        <w:t xml:space="preserve"> </w:t>
      </w:r>
      <w:r w:rsidRPr="003125D1">
        <w:rPr>
          <w:rFonts w:ascii="Verdana" w:eastAsia="Calibri" w:hAnsi="Verdana" w:cs="Arial"/>
        </w:rPr>
        <w:t xml:space="preserve">así como lo establecido en el artículo 4 de la Resolución 1707 de 2018 expedida por esta Entidad, </w:t>
      </w:r>
      <w:r w:rsidRPr="003125D1">
        <w:rPr>
          <w:rFonts w:ascii="Verdana" w:eastAsia="Calibri" w:hAnsi="Verdana" w:cs="Arial"/>
          <w:lang w:val="es-ES" w:eastAsia="es-ES"/>
        </w:rPr>
        <w:t xml:space="preserve">la Agencia Nacional de Contratación Pública –Colombia Compra Eficiente– responde su solicitud de consulta de fecha </w:t>
      </w:r>
      <w:r>
        <w:rPr>
          <w:rFonts w:ascii="Verdana" w:eastAsia="Calibri" w:hAnsi="Verdana" w:cs="Arial"/>
          <w:lang w:val="es-ES" w:eastAsia="es-ES"/>
        </w:rPr>
        <w:t>07 de mayo</w:t>
      </w:r>
      <w:r w:rsidRPr="003125D1">
        <w:rPr>
          <w:rFonts w:ascii="Verdana" w:eastAsia="Calibri" w:hAnsi="Verdana" w:cs="Arial"/>
          <w:lang w:val="es-ES" w:eastAsia="es-ES"/>
        </w:rPr>
        <w:t xml:space="preserve"> de 2026, en la cual manifiesta lo siguiente: </w:t>
      </w:r>
      <w:bookmarkStart w:id="1" w:name="_Hlk95313578"/>
    </w:p>
    <w:p w14:paraId="7E4B552B" w14:textId="77777777" w:rsidR="008E3CD5" w:rsidRPr="003125D1" w:rsidRDefault="008E3CD5" w:rsidP="008E3CD5">
      <w:pPr>
        <w:spacing w:after="0" w:line="276" w:lineRule="auto"/>
        <w:jc w:val="both"/>
        <w:rPr>
          <w:rFonts w:ascii="Verdana" w:eastAsia="Calibri" w:hAnsi="Verdana" w:cs="Arial"/>
          <w:bCs/>
          <w:lang w:val="es-ES" w:eastAsia="es-ES"/>
        </w:rPr>
      </w:pPr>
    </w:p>
    <w:bookmarkEnd w:id="1"/>
    <w:p w14:paraId="2B0F51B3" w14:textId="77777777" w:rsidR="008E3CD5" w:rsidRPr="008F18F2" w:rsidRDefault="008E3CD5" w:rsidP="008E3CD5">
      <w:pPr>
        <w:spacing w:after="0" w:line="240" w:lineRule="auto"/>
        <w:ind w:left="709" w:right="709"/>
        <w:jc w:val="both"/>
        <w:rPr>
          <w:rFonts w:ascii="Verdana" w:eastAsia="Calibri" w:hAnsi="Verdana" w:cs="Arial"/>
          <w:i/>
          <w:iCs/>
          <w:sz w:val="20"/>
          <w:szCs w:val="20"/>
          <w:lang w:val="es-ES" w:eastAsia="es-ES"/>
        </w:rPr>
      </w:pPr>
      <w:r w:rsidRPr="008F18F2">
        <w:rPr>
          <w:rFonts w:ascii="Verdana" w:eastAsia="Calibri" w:hAnsi="Verdana" w:cs="Arial"/>
          <w:i/>
          <w:iCs/>
          <w:sz w:val="20"/>
          <w:szCs w:val="20"/>
          <w:lang w:val="es-ES" w:eastAsia="es-ES"/>
        </w:rPr>
        <w:t>“(…)</w:t>
      </w:r>
    </w:p>
    <w:p w14:paraId="05BE1C45" w14:textId="77777777" w:rsidR="008E3CD5" w:rsidRPr="008F18F2" w:rsidRDefault="008E3CD5" w:rsidP="008E3CD5">
      <w:pPr>
        <w:spacing w:after="0" w:line="240" w:lineRule="auto"/>
        <w:ind w:left="709" w:right="709"/>
        <w:jc w:val="both"/>
        <w:rPr>
          <w:rFonts w:ascii="Verdana" w:eastAsia="Calibri" w:hAnsi="Verdana" w:cs="Arial"/>
          <w:i/>
          <w:iCs/>
          <w:sz w:val="20"/>
          <w:szCs w:val="20"/>
          <w:lang w:val="es-ES" w:eastAsia="es-ES"/>
        </w:rPr>
      </w:pPr>
    </w:p>
    <w:p w14:paraId="694F272E" w14:textId="77777777" w:rsidR="008E3CD5" w:rsidRPr="008F18F2" w:rsidRDefault="008E3CD5" w:rsidP="008E3CD5">
      <w:pPr>
        <w:spacing w:after="0" w:line="240" w:lineRule="auto"/>
        <w:ind w:left="709" w:right="709"/>
        <w:jc w:val="both"/>
        <w:rPr>
          <w:rFonts w:ascii="Verdana" w:eastAsia="Calibri" w:hAnsi="Verdana" w:cs="Arial"/>
          <w:i/>
          <w:iCs/>
          <w:sz w:val="20"/>
          <w:szCs w:val="20"/>
          <w:lang w:val="es-ES" w:eastAsia="es-ES"/>
        </w:rPr>
      </w:pPr>
      <w:r w:rsidRPr="00FC181B">
        <w:rPr>
          <w:rFonts w:ascii="Verdana" w:eastAsia="Calibri" w:hAnsi="Verdana" w:cs="Arial"/>
          <w:i/>
          <w:iCs/>
          <w:sz w:val="20"/>
          <w:szCs w:val="20"/>
          <w:lang w:eastAsia="es-ES"/>
        </w:rPr>
        <w:t>Tengo una inquietud concreta con la aplicabilidad de la documentación de documentos tipos para los siguientes objetos contractuales en líneas de plan de adquisiciones:</w:t>
      </w:r>
    </w:p>
    <w:p w14:paraId="1C9EFEAF" w14:textId="77777777" w:rsidR="008E3CD5" w:rsidRPr="008F18F2" w:rsidRDefault="008E3CD5" w:rsidP="008E3CD5">
      <w:pPr>
        <w:spacing w:after="0" w:line="240" w:lineRule="auto"/>
        <w:ind w:left="709" w:right="709"/>
        <w:jc w:val="both"/>
        <w:rPr>
          <w:rFonts w:ascii="Verdana" w:eastAsia="Calibri" w:hAnsi="Verdana" w:cs="Arial"/>
          <w:i/>
          <w:iCs/>
          <w:sz w:val="20"/>
          <w:szCs w:val="20"/>
          <w:lang w:val="es-ES" w:eastAsia="es-ES"/>
        </w:rPr>
      </w:pPr>
    </w:p>
    <w:p w14:paraId="1A9D336D" w14:textId="77777777" w:rsidR="008E3CD5" w:rsidRPr="008F18F2" w:rsidRDefault="008E3CD5" w:rsidP="008E3CD5">
      <w:pPr>
        <w:spacing w:after="0" w:line="240" w:lineRule="auto"/>
        <w:ind w:left="709" w:right="709"/>
        <w:jc w:val="both"/>
        <w:rPr>
          <w:rFonts w:ascii="Verdana" w:eastAsia="Calibri" w:hAnsi="Verdana" w:cs="Arial"/>
          <w:i/>
          <w:iCs/>
          <w:sz w:val="20"/>
          <w:szCs w:val="20"/>
          <w:lang w:eastAsia="es-ES"/>
        </w:rPr>
      </w:pPr>
      <w:r w:rsidRPr="00FC181B">
        <w:rPr>
          <w:rFonts w:ascii="Verdana" w:eastAsia="Calibri" w:hAnsi="Verdana" w:cs="Arial"/>
          <w:i/>
          <w:iCs/>
          <w:sz w:val="20"/>
          <w:szCs w:val="20"/>
          <w:lang w:eastAsia="es-ES"/>
        </w:rPr>
        <w:t>Objeto 1</w:t>
      </w:r>
    </w:p>
    <w:p w14:paraId="1BCAAAC0" w14:textId="77777777" w:rsidR="008E3CD5" w:rsidRPr="00FC181B" w:rsidRDefault="008E3CD5" w:rsidP="008E3CD5">
      <w:pPr>
        <w:spacing w:after="0" w:line="240" w:lineRule="auto"/>
        <w:ind w:left="709" w:right="709"/>
        <w:jc w:val="both"/>
        <w:rPr>
          <w:rFonts w:ascii="Verdana" w:eastAsia="Calibri" w:hAnsi="Verdana" w:cs="Arial"/>
          <w:i/>
          <w:iCs/>
          <w:sz w:val="20"/>
          <w:szCs w:val="20"/>
          <w:lang w:val="es-ES" w:eastAsia="es-ES"/>
        </w:rPr>
      </w:pPr>
      <w:r w:rsidRPr="00FC181B">
        <w:rPr>
          <w:rFonts w:ascii="Verdana" w:eastAsia="Calibri" w:hAnsi="Verdana" w:cs="Arial"/>
          <w:i/>
          <w:iCs/>
          <w:sz w:val="20"/>
          <w:szCs w:val="20"/>
          <w:lang w:eastAsia="es-ES"/>
        </w:rPr>
        <w:t>ADQUISICION DE AIRES ACONDICIONADOS REPUESTOS DE REFRIGERACION CUARTOS FRIOS Y NEVERAS PARA LA REGIONAL NORTE DEL INSTITUTO NACIONAL DE MEDICINA LEGAL Y CIENCIAS FORENSES</w:t>
      </w:r>
    </w:p>
    <w:p w14:paraId="49054C89" w14:textId="77777777" w:rsidR="008E3CD5" w:rsidRPr="00FC181B" w:rsidRDefault="008E3CD5" w:rsidP="008E3CD5">
      <w:pPr>
        <w:spacing w:after="0" w:line="240" w:lineRule="auto"/>
        <w:ind w:left="709" w:right="709"/>
        <w:jc w:val="both"/>
        <w:rPr>
          <w:rFonts w:ascii="Verdana" w:eastAsia="Calibri" w:hAnsi="Verdana" w:cs="Arial"/>
          <w:i/>
          <w:iCs/>
          <w:sz w:val="20"/>
          <w:szCs w:val="20"/>
          <w:lang w:val="es-ES" w:eastAsia="es-ES"/>
        </w:rPr>
      </w:pPr>
    </w:p>
    <w:p w14:paraId="6B55F3DE" w14:textId="77777777" w:rsidR="008E3CD5" w:rsidRPr="00FC181B" w:rsidRDefault="008E3CD5" w:rsidP="008E3CD5">
      <w:pPr>
        <w:spacing w:after="0" w:line="240" w:lineRule="auto"/>
        <w:ind w:left="709" w:right="709"/>
        <w:jc w:val="both"/>
        <w:rPr>
          <w:rFonts w:ascii="Verdana" w:eastAsia="Calibri" w:hAnsi="Verdana" w:cs="Arial"/>
          <w:i/>
          <w:iCs/>
          <w:sz w:val="20"/>
          <w:szCs w:val="20"/>
          <w:lang w:val="es-ES" w:eastAsia="es-ES"/>
        </w:rPr>
      </w:pPr>
      <w:r w:rsidRPr="00FC181B">
        <w:rPr>
          <w:rFonts w:ascii="Verdana" w:eastAsia="Calibri" w:hAnsi="Verdana" w:cs="Arial"/>
          <w:i/>
          <w:iCs/>
          <w:sz w:val="20"/>
          <w:szCs w:val="20"/>
          <w:lang w:eastAsia="es-ES"/>
        </w:rPr>
        <w:t>Consulta: en la matriz de experiencia en el numeral </w:t>
      </w:r>
    </w:p>
    <w:p w14:paraId="5B796C28" w14:textId="77777777" w:rsidR="008E3CD5" w:rsidRPr="00FC181B" w:rsidRDefault="008E3CD5" w:rsidP="008E3CD5">
      <w:pPr>
        <w:tabs>
          <w:tab w:val="left" w:pos="8080"/>
        </w:tabs>
        <w:spacing w:after="0" w:line="240" w:lineRule="auto"/>
        <w:ind w:right="709"/>
        <w:jc w:val="both"/>
        <w:rPr>
          <w:rFonts w:ascii="Verdana" w:eastAsia="Calibri" w:hAnsi="Verdana" w:cs="Arial"/>
          <w:i/>
          <w:iCs/>
          <w:sz w:val="20"/>
          <w:szCs w:val="20"/>
          <w:lang w:eastAsia="es-ES"/>
        </w:rPr>
      </w:pPr>
    </w:p>
    <w:tbl>
      <w:tblPr>
        <w:tblW w:w="4258" w:type="pct"/>
        <w:tblInd w:w="704" w:type="dxa"/>
        <w:shd w:val="clear" w:color="auto" w:fill="FFFFFF"/>
        <w:tblLayout w:type="fixed"/>
        <w:tblCellMar>
          <w:left w:w="0" w:type="dxa"/>
          <w:right w:w="0" w:type="dxa"/>
        </w:tblCellMar>
        <w:tblLook w:val="04A0" w:firstRow="1" w:lastRow="0" w:firstColumn="1" w:lastColumn="0" w:noHBand="0" w:noVBand="1"/>
      </w:tblPr>
      <w:tblGrid>
        <w:gridCol w:w="3545"/>
        <w:gridCol w:w="1401"/>
        <w:gridCol w:w="2568"/>
      </w:tblGrid>
      <w:tr w:rsidR="008E3CD5" w:rsidRPr="00FC181B" w14:paraId="1A505498" w14:textId="77777777" w:rsidTr="00463BE1">
        <w:trPr>
          <w:trHeight w:val="765"/>
        </w:trPr>
        <w:tc>
          <w:tcPr>
            <w:tcW w:w="2359" w:type="pct"/>
            <w:vMerge w:val="restart"/>
            <w:tcBorders>
              <w:top w:val="single" w:sz="4" w:space="0" w:color="000000"/>
              <w:left w:val="single" w:sz="4" w:space="0" w:color="000000"/>
              <w:bottom w:val="single" w:sz="8" w:space="0" w:color="000000"/>
              <w:right w:val="single" w:sz="4" w:space="0" w:color="000000"/>
            </w:tcBorders>
            <w:shd w:val="clear" w:color="auto" w:fill="FFFFFF"/>
            <w:tcMar>
              <w:top w:w="15" w:type="dxa"/>
              <w:left w:w="15" w:type="dxa"/>
              <w:bottom w:w="0" w:type="dxa"/>
              <w:right w:w="15" w:type="dxa"/>
            </w:tcMar>
            <w:vAlign w:val="center"/>
            <w:hideMark/>
          </w:tcPr>
          <w:p w14:paraId="5C371292" w14:textId="77777777" w:rsidR="008E3CD5" w:rsidRPr="00FC181B" w:rsidRDefault="008E3CD5" w:rsidP="00463BE1">
            <w:pPr>
              <w:spacing w:after="0" w:line="240" w:lineRule="auto"/>
              <w:ind w:right="123"/>
              <w:jc w:val="both"/>
              <w:rPr>
                <w:rFonts w:ascii="Verdana" w:eastAsia="Calibri" w:hAnsi="Verdana" w:cs="Arial"/>
                <w:i/>
                <w:iCs/>
                <w:sz w:val="16"/>
                <w:szCs w:val="16"/>
                <w:lang w:eastAsia="es-ES"/>
              </w:rPr>
            </w:pPr>
            <w:r w:rsidRPr="00FC181B">
              <w:rPr>
                <w:rFonts w:ascii="Verdana" w:eastAsia="Calibri" w:hAnsi="Verdana" w:cs="Arial"/>
                <w:b/>
                <w:bCs/>
                <w:i/>
                <w:iCs/>
                <w:sz w:val="16"/>
                <w:szCs w:val="16"/>
                <w:lang w:eastAsia="es-ES"/>
              </w:rPr>
              <w:t xml:space="preserve">2.14. SUMINISTRO Y/O INSTALACIÓN DE SISTEMAS DE AIRES ACONDICIONADOS O SISTEMAS DE VENTILACIÓN O SIMILARES </w:t>
            </w:r>
            <w:r w:rsidRPr="001423B1">
              <w:rPr>
                <w:rFonts w:ascii="Verdana" w:eastAsia="Calibri" w:hAnsi="Verdana" w:cs="Arial"/>
                <w:b/>
                <w:bCs/>
                <w:i/>
                <w:iCs/>
                <w:sz w:val="16"/>
                <w:szCs w:val="16"/>
                <w:lang w:eastAsia="es-ES"/>
              </w:rPr>
              <w:t>PARA INFRAESTRUCTURA</w:t>
            </w:r>
            <w:r w:rsidRPr="00FC181B">
              <w:rPr>
                <w:rFonts w:ascii="Verdana" w:eastAsia="Calibri" w:hAnsi="Verdana" w:cs="Arial"/>
                <w:b/>
                <w:bCs/>
                <w:i/>
                <w:iCs/>
                <w:sz w:val="16"/>
                <w:szCs w:val="16"/>
                <w:lang w:eastAsia="es-ES"/>
              </w:rPr>
              <w:t xml:space="preserve"> DE SERVICIO PUBLICO</w:t>
            </w:r>
          </w:p>
        </w:tc>
        <w:tc>
          <w:tcPr>
            <w:tcW w:w="932" w:type="pct"/>
            <w:tcBorders>
              <w:top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hideMark/>
          </w:tcPr>
          <w:p w14:paraId="47D0554A" w14:textId="77777777" w:rsidR="008E3CD5" w:rsidRPr="00FC181B" w:rsidRDefault="008E3CD5" w:rsidP="00463BE1">
            <w:pPr>
              <w:spacing w:after="0" w:line="240" w:lineRule="auto"/>
              <w:ind w:right="113"/>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GENERAL</w:t>
            </w:r>
          </w:p>
        </w:tc>
        <w:tc>
          <w:tcPr>
            <w:tcW w:w="1709" w:type="pct"/>
            <w:tcBorders>
              <w:top w:val="single" w:sz="4" w:space="0" w:color="000000"/>
              <w:bottom w:val="single" w:sz="4" w:space="0" w:color="000000"/>
              <w:right w:val="single" w:sz="8" w:space="0" w:color="000000"/>
            </w:tcBorders>
            <w:shd w:val="clear" w:color="auto" w:fill="FFFFFF"/>
            <w:tcMar>
              <w:top w:w="15" w:type="dxa"/>
              <w:left w:w="15" w:type="dxa"/>
              <w:bottom w:w="0" w:type="dxa"/>
              <w:right w:w="15" w:type="dxa"/>
            </w:tcMar>
            <w:vAlign w:val="center"/>
            <w:hideMark/>
          </w:tcPr>
          <w:p w14:paraId="1E64C117" w14:textId="77777777" w:rsidR="008E3CD5" w:rsidRPr="00FC181B" w:rsidRDefault="008E3CD5" w:rsidP="00463BE1">
            <w:pPr>
              <w:spacing w:after="0" w:line="240" w:lineRule="auto"/>
              <w:ind w:right="131"/>
              <w:jc w:val="both"/>
              <w:rPr>
                <w:rFonts w:ascii="Verdana" w:eastAsia="Calibri" w:hAnsi="Verdana" w:cs="Arial"/>
                <w:sz w:val="16"/>
                <w:szCs w:val="16"/>
                <w:lang w:eastAsia="es-ES"/>
              </w:rPr>
            </w:pPr>
            <w:r w:rsidRPr="00FC181B">
              <w:rPr>
                <w:rFonts w:ascii="Verdana" w:eastAsia="Calibri" w:hAnsi="Verdana" w:cs="Arial"/>
                <w:sz w:val="16"/>
                <w:szCs w:val="16"/>
                <w:lang w:eastAsia="es-ES"/>
              </w:rPr>
              <w:t xml:space="preserve">PROYECTOS QUE CORRESPONDAN Y/O CONTEMPLEN ACTIVIDADES DE: SUMINISTRO Y/O INSTALACIÓN DE SISTEMAS DE AIRES ACONDICIONADOS O SISTEMAS DE VENTILACIÓN O </w:t>
            </w:r>
            <w:r w:rsidRPr="001423B1">
              <w:rPr>
                <w:rFonts w:ascii="Verdana" w:eastAsia="Calibri" w:hAnsi="Verdana" w:cs="Arial"/>
                <w:sz w:val="16"/>
                <w:szCs w:val="16"/>
                <w:lang w:eastAsia="es-ES"/>
              </w:rPr>
              <w:t>SIMILARES PARA</w:t>
            </w:r>
            <w:r w:rsidRPr="00FC181B">
              <w:rPr>
                <w:rFonts w:ascii="Verdana" w:eastAsia="Calibri" w:hAnsi="Verdana" w:cs="Arial"/>
                <w:sz w:val="16"/>
                <w:szCs w:val="16"/>
                <w:lang w:eastAsia="es-ES"/>
              </w:rPr>
              <w:t xml:space="preserve"> EDIFICACIONES.</w:t>
            </w:r>
          </w:p>
        </w:tc>
      </w:tr>
      <w:tr w:rsidR="008E3CD5" w:rsidRPr="00FC181B" w14:paraId="46C5F40B" w14:textId="77777777" w:rsidTr="00463BE1">
        <w:trPr>
          <w:trHeight w:val="465"/>
        </w:trPr>
        <w:tc>
          <w:tcPr>
            <w:tcW w:w="2359" w:type="pct"/>
            <w:vMerge/>
            <w:tcBorders>
              <w:top w:val="single" w:sz="4" w:space="0" w:color="000000"/>
              <w:left w:val="single" w:sz="4" w:space="0" w:color="000000"/>
              <w:bottom w:val="single" w:sz="8" w:space="0" w:color="000000"/>
              <w:right w:val="single" w:sz="4" w:space="0" w:color="000000"/>
            </w:tcBorders>
            <w:shd w:val="clear" w:color="auto" w:fill="FFFFFF"/>
            <w:vAlign w:val="center"/>
            <w:hideMark/>
          </w:tcPr>
          <w:p w14:paraId="16C9F867" w14:textId="77777777" w:rsidR="008E3CD5" w:rsidRPr="00FC181B" w:rsidRDefault="008E3CD5" w:rsidP="00463BE1">
            <w:pPr>
              <w:spacing w:after="0" w:line="240" w:lineRule="auto"/>
              <w:ind w:left="709" w:right="709"/>
              <w:jc w:val="both"/>
              <w:rPr>
                <w:rFonts w:ascii="Verdana" w:eastAsia="Calibri" w:hAnsi="Verdana" w:cs="Arial"/>
                <w:i/>
                <w:iCs/>
                <w:sz w:val="16"/>
                <w:szCs w:val="16"/>
                <w:lang w:eastAsia="es-ES"/>
              </w:rPr>
            </w:pPr>
          </w:p>
        </w:tc>
        <w:tc>
          <w:tcPr>
            <w:tcW w:w="932" w:type="pct"/>
            <w:tcBorders>
              <w:top w:val="single" w:sz="4" w:space="0" w:color="000000"/>
              <w:bottom w:val="single" w:sz="8" w:space="0" w:color="000000"/>
              <w:right w:val="single" w:sz="4" w:space="0" w:color="000000"/>
            </w:tcBorders>
            <w:shd w:val="clear" w:color="auto" w:fill="FFFFFF"/>
            <w:tcMar>
              <w:top w:w="15" w:type="dxa"/>
              <w:left w:w="15" w:type="dxa"/>
              <w:bottom w:w="0" w:type="dxa"/>
              <w:right w:w="15" w:type="dxa"/>
            </w:tcMar>
            <w:vAlign w:val="center"/>
            <w:hideMark/>
          </w:tcPr>
          <w:p w14:paraId="5D4B4F33" w14:textId="77777777" w:rsidR="008E3CD5" w:rsidRPr="00FC181B" w:rsidRDefault="008E3CD5" w:rsidP="00463BE1">
            <w:pPr>
              <w:spacing w:after="0" w:line="240" w:lineRule="auto"/>
              <w:ind w:right="113"/>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ESPECIFICA</w:t>
            </w:r>
          </w:p>
        </w:tc>
        <w:tc>
          <w:tcPr>
            <w:tcW w:w="1709" w:type="pct"/>
            <w:tcBorders>
              <w:top w:val="single" w:sz="4"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2D2A31D1" w14:textId="77777777" w:rsidR="008E3CD5" w:rsidRPr="00FC181B" w:rsidRDefault="008E3CD5" w:rsidP="00463BE1">
            <w:pPr>
              <w:spacing w:after="0" w:line="240" w:lineRule="auto"/>
              <w:ind w:right="131"/>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Por lo menos uno (1) de los contratos válidos aportados como experiencia general debe corresponder mínimo al </w:t>
            </w:r>
            <w:r w:rsidRPr="00FC181B">
              <w:rPr>
                <w:rFonts w:ascii="Verdana" w:eastAsia="Calibri" w:hAnsi="Verdana" w:cs="Arial"/>
                <w:b/>
                <w:bCs/>
                <w:i/>
                <w:iCs/>
                <w:sz w:val="16"/>
                <w:szCs w:val="16"/>
                <w:lang w:eastAsia="es-ES"/>
              </w:rPr>
              <w:t>30% del presupuesto oficial</w:t>
            </w:r>
            <w:r w:rsidRPr="00FC181B">
              <w:rPr>
                <w:rFonts w:ascii="Verdana" w:eastAsia="Calibri" w:hAnsi="Verdana" w:cs="Arial"/>
                <w:i/>
                <w:iCs/>
                <w:sz w:val="16"/>
                <w:szCs w:val="16"/>
                <w:lang w:eastAsia="es-ES"/>
              </w:rPr>
              <w:t> del presente proceso de selección.</w:t>
            </w:r>
          </w:p>
        </w:tc>
      </w:tr>
    </w:tbl>
    <w:p w14:paraId="33303106" w14:textId="77777777" w:rsidR="008E3CD5" w:rsidRPr="00FC181B" w:rsidRDefault="008E3CD5" w:rsidP="008E3CD5">
      <w:pPr>
        <w:spacing w:after="0" w:line="240" w:lineRule="auto"/>
        <w:ind w:right="709"/>
        <w:jc w:val="both"/>
        <w:rPr>
          <w:rFonts w:ascii="Verdana" w:eastAsia="Calibri" w:hAnsi="Verdana" w:cs="Arial"/>
          <w:i/>
          <w:iCs/>
          <w:sz w:val="20"/>
          <w:szCs w:val="20"/>
          <w:lang w:eastAsia="es-ES"/>
        </w:rPr>
      </w:pPr>
    </w:p>
    <w:p w14:paraId="5AD583A7" w14:textId="77777777" w:rsidR="008E3CD5" w:rsidRPr="00FC181B" w:rsidRDefault="008E3CD5" w:rsidP="008E3CD5">
      <w:pPr>
        <w:spacing w:after="0" w:line="240" w:lineRule="auto"/>
        <w:ind w:left="709" w:right="709"/>
        <w:jc w:val="both"/>
        <w:rPr>
          <w:rFonts w:ascii="Verdana" w:eastAsia="Calibri" w:hAnsi="Verdana" w:cs="Arial"/>
          <w:i/>
          <w:iCs/>
          <w:sz w:val="20"/>
          <w:szCs w:val="20"/>
          <w:lang w:eastAsia="es-ES"/>
        </w:rPr>
      </w:pPr>
      <w:r w:rsidRPr="00FC181B">
        <w:rPr>
          <w:rFonts w:ascii="Verdana" w:eastAsia="Calibri" w:hAnsi="Verdana" w:cs="Arial"/>
          <w:i/>
          <w:iCs/>
          <w:sz w:val="20"/>
          <w:szCs w:val="20"/>
          <w:lang w:eastAsia="es-ES"/>
        </w:rPr>
        <w:t>En este orden de ideas, se requiere saber si se debe aplicar documentos tipo para el objeto 1, el cual no es obra, sólo son adquisición de aires acondicionados y repuestos.</w:t>
      </w:r>
    </w:p>
    <w:p w14:paraId="4C287AA7" w14:textId="77777777" w:rsidR="008E3CD5" w:rsidRPr="00FC181B" w:rsidRDefault="008E3CD5" w:rsidP="008E3CD5">
      <w:pPr>
        <w:spacing w:after="0" w:line="240" w:lineRule="auto"/>
        <w:ind w:left="709" w:right="709"/>
        <w:jc w:val="both"/>
        <w:rPr>
          <w:rFonts w:ascii="Verdana" w:eastAsia="Calibri" w:hAnsi="Verdana" w:cs="Arial"/>
          <w:i/>
          <w:iCs/>
          <w:sz w:val="20"/>
          <w:szCs w:val="20"/>
          <w:lang w:eastAsia="es-ES"/>
        </w:rPr>
      </w:pPr>
    </w:p>
    <w:p w14:paraId="47F64277" w14:textId="77777777" w:rsidR="008E3CD5" w:rsidRPr="00FC181B" w:rsidRDefault="008E3CD5" w:rsidP="008E3CD5">
      <w:pPr>
        <w:spacing w:after="0" w:line="240" w:lineRule="auto"/>
        <w:ind w:left="709" w:right="709"/>
        <w:jc w:val="both"/>
        <w:rPr>
          <w:rFonts w:ascii="Verdana" w:eastAsia="Calibri" w:hAnsi="Verdana" w:cs="Arial"/>
          <w:i/>
          <w:iCs/>
          <w:sz w:val="20"/>
          <w:szCs w:val="20"/>
          <w:lang w:eastAsia="es-ES"/>
        </w:rPr>
      </w:pPr>
      <w:r w:rsidRPr="00FC181B">
        <w:rPr>
          <w:rFonts w:ascii="Verdana" w:eastAsia="Calibri" w:hAnsi="Verdana" w:cs="Arial"/>
          <w:i/>
          <w:iCs/>
          <w:sz w:val="20"/>
          <w:szCs w:val="20"/>
          <w:lang w:eastAsia="es-ES"/>
        </w:rPr>
        <w:t>Objeto 2</w:t>
      </w:r>
    </w:p>
    <w:p w14:paraId="4D60BB5A" w14:textId="77777777" w:rsidR="008E3CD5" w:rsidRPr="00FC181B" w:rsidRDefault="008E3CD5" w:rsidP="008E3CD5">
      <w:pPr>
        <w:spacing w:after="0" w:line="240" w:lineRule="auto"/>
        <w:ind w:left="709" w:right="709"/>
        <w:jc w:val="both"/>
        <w:rPr>
          <w:rFonts w:ascii="Verdana" w:eastAsia="Calibri" w:hAnsi="Verdana" w:cs="Arial"/>
          <w:i/>
          <w:iCs/>
          <w:sz w:val="20"/>
          <w:szCs w:val="20"/>
          <w:lang w:eastAsia="es-ES"/>
        </w:rPr>
      </w:pPr>
    </w:p>
    <w:p w14:paraId="130049A9" w14:textId="77777777" w:rsidR="008E3CD5" w:rsidRPr="00FC181B" w:rsidRDefault="008E3CD5" w:rsidP="008E3CD5">
      <w:pPr>
        <w:spacing w:after="0" w:line="240" w:lineRule="auto"/>
        <w:ind w:left="709" w:right="709"/>
        <w:jc w:val="both"/>
        <w:rPr>
          <w:rFonts w:ascii="Verdana" w:eastAsia="Calibri" w:hAnsi="Verdana" w:cs="Arial"/>
          <w:i/>
          <w:iCs/>
          <w:sz w:val="20"/>
          <w:szCs w:val="20"/>
          <w:lang w:eastAsia="es-ES"/>
        </w:rPr>
      </w:pPr>
      <w:r w:rsidRPr="00FC181B">
        <w:rPr>
          <w:rFonts w:ascii="Verdana" w:eastAsia="Calibri" w:hAnsi="Verdana" w:cs="Arial"/>
          <w:i/>
          <w:iCs/>
          <w:sz w:val="20"/>
          <w:szCs w:val="20"/>
          <w:lang w:eastAsia="es-ES"/>
        </w:rPr>
        <w:t>PRESTAR EL SERVICIO DE MANTENIMIENTO Y VERIFICACION DE LA CENTRAL DE GASES Y REDES DE GASES DE LA DIRECCION REGIONAL NORTE DEL INSTITUTO NACIONAL DE MEDICINA LEGAL Y CIENCIAS FORENSES</w:t>
      </w:r>
    </w:p>
    <w:p w14:paraId="0D168355" w14:textId="77777777" w:rsidR="008E3CD5" w:rsidRPr="00FC181B" w:rsidRDefault="008E3CD5" w:rsidP="008E3CD5">
      <w:pPr>
        <w:spacing w:after="0" w:line="240" w:lineRule="auto"/>
        <w:ind w:left="709" w:right="709"/>
        <w:jc w:val="both"/>
        <w:rPr>
          <w:rFonts w:ascii="Verdana" w:eastAsia="Calibri" w:hAnsi="Verdana" w:cs="Arial"/>
          <w:i/>
          <w:iCs/>
          <w:sz w:val="20"/>
          <w:szCs w:val="20"/>
          <w:lang w:eastAsia="es-ES"/>
        </w:rPr>
      </w:pPr>
    </w:p>
    <w:p w14:paraId="33B90A6E" w14:textId="77777777" w:rsidR="008E3CD5" w:rsidRPr="00FC181B" w:rsidRDefault="008E3CD5" w:rsidP="008E3CD5">
      <w:pPr>
        <w:spacing w:after="0" w:line="240" w:lineRule="auto"/>
        <w:ind w:left="709" w:right="709"/>
        <w:jc w:val="both"/>
        <w:rPr>
          <w:rFonts w:ascii="Verdana" w:eastAsia="Calibri" w:hAnsi="Verdana" w:cs="Arial"/>
          <w:i/>
          <w:iCs/>
          <w:sz w:val="20"/>
          <w:szCs w:val="20"/>
          <w:lang w:eastAsia="es-ES"/>
        </w:rPr>
      </w:pPr>
      <w:r w:rsidRPr="00FC181B">
        <w:rPr>
          <w:rFonts w:ascii="Verdana" w:eastAsia="Calibri" w:hAnsi="Verdana" w:cs="Arial"/>
          <w:i/>
          <w:iCs/>
          <w:sz w:val="20"/>
          <w:szCs w:val="20"/>
          <w:lang w:eastAsia="es-ES"/>
        </w:rPr>
        <w:t>consulta : en la matriz de experiencia en el numeral :</w:t>
      </w:r>
    </w:p>
    <w:p w14:paraId="5CD1DA6D" w14:textId="77777777" w:rsidR="008E3CD5" w:rsidRPr="00FC181B" w:rsidRDefault="008E3CD5" w:rsidP="008E3CD5">
      <w:pPr>
        <w:spacing w:after="0" w:line="240" w:lineRule="auto"/>
        <w:ind w:right="709"/>
        <w:jc w:val="both"/>
        <w:rPr>
          <w:rFonts w:ascii="Verdana" w:eastAsia="Calibri" w:hAnsi="Verdana" w:cs="Arial"/>
          <w:i/>
          <w:iCs/>
          <w:sz w:val="20"/>
          <w:szCs w:val="20"/>
          <w:lang w:eastAsia="es-ES"/>
        </w:rPr>
      </w:pPr>
    </w:p>
    <w:tbl>
      <w:tblPr>
        <w:tblW w:w="4258" w:type="pct"/>
        <w:tblInd w:w="704" w:type="dxa"/>
        <w:shd w:val="clear" w:color="auto" w:fill="FFFFFF"/>
        <w:tblLayout w:type="fixed"/>
        <w:tblCellMar>
          <w:left w:w="0" w:type="dxa"/>
          <w:right w:w="0" w:type="dxa"/>
        </w:tblCellMar>
        <w:tblLook w:val="04A0" w:firstRow="1" w:lastRow="0" w:firstColumn="1" w:lastColumn="0" w:noHBand="0" w:noVBand="1"/>
      </w:tblPr>
      <w:tblGrid>
        <w:gridCol w:w="2552"/>
        <w:gridCol w:w="1865"/>
        <w:gridCol w:w="3097"/>
      </w:tblGrid>
      <w:tr w:rsidR="008E3CD5" w:rsidRPr="00FC181B" w14:paraId="49BFC61A" w14:textId="77777777" w:rsidTr="00463BE1">
        <w:trPr>
          <w:trHeight w:val="1530"/>
        </w:trPr>
        <w:tc>
          <w:tcPr>
            <w:tcW w:w="1698"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hideMark/>
          </w:tcPr>
          <w:p w14:paraId="79B577D6" w14:textId="77777777" w:rsidR="008E3CD5" w:rsidRDefault="008E3CD5" w:rsidP="00463BE1">
            <w:pPr>
              <w:spacing w:after="0" w:line="240" w:lineRule="auto"/>
              <w:ind w:right="228"/>
              <w:jc w:val="both"/>
              <w:rPr>
                <w:rFonts w:ascii="Verdana" w:eastAsia="Calibri" w:hAnsi="Verdana" w:cs="Arial"/>
                <w:b/>
                <w:bCs/>
                <w:i/>
                <w:iCs/>
                <w:sz w:val="16"/>
                <w:szCs w:val="16"/>
                <w:lang w:eastAsia="es-ES"/>
              </w:rPr>
            </w:pPr>
          </w:p>
          <w:p w14:paraId="41C350B1" w14:textId="77777777" w:rsidR="008E3CD5" w:rsidRDefault="008E3CD5" w:rsidP="00463BE1">
            <w:pPr>
              <w:spacing w:after="0" w:line="240" w:lineRule="auto"/>
              <w:ind w:right="228"/>
              <w:jc w:val="both"/>
              <w:rPr>
                <w:rFonts w:ascii="Verdana" w:eastAsia="Calibri" w:hAnsi="Verdana" w:cs="Arial"/>
                <w:b/>
                <w:bCs/>
                <w:i/>
                <w:iCs/>
                <w:sz w:val="16"/>
                <w:szCs w:val="16"/>
                <w:lang w:eastAsia="es-ES"/>
              </w:rPr>
            </w:pPr>
          </w:p>
          <w:p w14:paraId="7CFB6B31" w14:textId="77777777" w:rsidR="008E3CD5" w:rsidRDefault="008E3CD5" w:rsidP="00463BE1">
            <w:pPr>
              <w:spacing w:after="0" w:line="240" w:lineRule="auto"/>
              <w:ind w:right="228"/>
              <w:jc w:val="both"/>
              <w:rPr>
                <w:rFonts w:ascii="Verdana" w:eastAsia="Calibri" w:hAnsi="Verdana" w:cs="Arial"/>
                <w:b/>
                <w:bCs/>
                <w:i/>
                <w:iCs/>
                <w:sz w:val="16"/>
                <w:szCs w:val="16"/>
                <w:lang w:eastAsia="es-ES"/>
              </w:rPr>
            </w:pPr>
          </w:p>
          <w:p w14:paraId="544C2F49" w14:textId="77777777" w:rsidR="008E3CD5" w:rsidRDefault="008E3CD5" w:rsidP="00463BE1">
            <w:pPr>
              <w:spacing w:after="0" w:line="240" w:lineRule="auto"/>
              <w:ind w:right="228"/>
              <w:jc w:val="both"/>
              <w:rPr>
                <w:rFonts w:ascii="Verdana" w:eastAsia="Calibri" w:hAnsi="Verdana" w:cs="Arial"/>
                <w:b/>
                <w:bCs/>
                <w:i/>
                <w:iCs/>
                <w:sz w:val="16"/>
                <w:szCs w:val="16"/>
                <w:lang w:eastAsia="es-ES"/>
              </w:rPr>
            </w:pPr>
          </w:p>
          <w:p w14:paraId="09BEE05C" w14:textId="77777777" w:rsidR="008E3CD5" w:rsidRDefault="008E3CD5" w:rsidP="00463BE1">
            <w:pPr>
              <w:spacing w:after="0" w:line="240" w:lineRule="auto"/>
              <w:ind w:right="228"/>
              <w:jc w:val="both"/>
              <w:rPr>
                <w:rFonts w:ascii="Verdana" w:eastAsia="Calibri" w:hAnsi="Verdana" w:cs="Arial"/>
                <w:b/>
                <w:bCs/>
                <w:i/>
                <w:iCs/>
                <w:sz w:val="16"/>
                <w:szCs w:val="16"/>
                <w:lang w:eastAsia="es-ES"/>
              </w:rPr>
            </w:pPr>
          </w:p>
          <w:p w14:paraId="7AB1DEEB" w14:textId="77777777" w:rsidR="008E3CD5" w:rsidRDefault="008E3CD5" w:rsidP="00463BE1">
            <w:pPr>
              <w:spacing w:after="0" w:line="240" w:lineRule="auto"/>
              <w:ind w:right="228"/>
              <w:jc w:val="both"/>
              <w:rPr>
                <w:rFonts w:ascii="Verdana" w:eastAsia="Calibri" w:hAnsi="Verdana" w:cs="Arial"/>
                <w:b/>
                <w:bCs/>
                <w:i/>
                <w:iCs/>
                <w:sz w:val="16"/>
                <w:szCs w:val="16"/>
                <w:lang w:eastAsia="es-ES"/>
              </w:rPr>
            </w:pPr>
          </w:p>
          <w:p w14:paraId="14C1D1BD" w14:textId="77777777" w:rsidR="008E3CD5" w:rsidRDefault="008E3CD5" w:rsidP="00463BE1">
            <w:pPr>
              <w:spacing w:after="0" w:line="240" w:lineRule="auto"/>
              <w:ind w:right="228"/>
              <w:jc w:val="both"/>
              <w:rPr>
                <w:rFonts w:ascii="Verdana" w:eastAsia="Calibri" w:hAnsi="Verdana" w:cs="Arial"/>
                <w:b/>
                <w:bCs/>
                <w:i/>
                <w:iCs/>
                <w:sz w:val="16"/>
                <w:szCs w:val="16"/>
                <w:lang w:eastAsia="es-ES"/>
              </w:rPr>
            </w:pPr>
          </w:p>
          <w:p w14:paraId="6A97F695" w14:textId="77777777" w:rsidR="008E3CD5" w:rsidRDefault="008E3CD5" w:rsidP="00463BE1">
            <w:pPr>
              <w:spacing w:after="0" w:line="240" w:lineRule="auto"/>
              <w:ind w:right="228"/>
              <w:jc w:val="both"/>
              <w:rPr>
                <w:rFonts w:ascii="Verdana" w:eastAsia="Calibri" w:hAnsi="Verdana" w:cs="Arial"/>
                <w:b/>
                <w:bCs/>
                <w:i/>
                <w:iCs/>
                <w:sz w:val="16"/>
                <w:szCs w:val="16"/>
                <w:lang w:eastAsia="es-ES"/>
              </w:rPr>
            </w:pPr>
          </w:p>
          <w:p w14:paraId="62DB9170" w14:textId="77777777" w:rsidR="008E3CD5" w:rsidRDefault="008E3CD5" w:rsidP="00463BE1">
            <w:pPr>
              <w:spacing w:after="0" w:line="240" w:lineRule="auto"/>
              <w:ind w:right="228"/>
              <w:jc w:val="both"/>
              <w:rPr>
                <w:rFonts w:ascii="Verdana" w:eastAsia="Calibri" w:hAnsi="Verdana" w:cs="Arial"/>
                <w:b/>
                <w:bCs/>
                <w:i/>
                <w:iCs/>
                <w:sz w:val="16"/>
                <w:szCs w:val="16"/>
                <w:lang w:eastAsia="es-ES"/>
              </w:rPr>
            </w:pPr>
          </w:p>
          <w:p w14:paraId="1C675154" w14:textId="77777777" w:rsidR="008E3CD5" w:rsidRPr="00FC181B" w:rsidRDefault="008E3CD5" w:rsidP="00463BE1">
            <w:pPr>
              <w:spacing w:after="0" w:line="240" w:lineRule="auto"/>
              <w:ind w:right="228"/>
              <w:jc w:val="both"/>
              <w:rPr>
                <w:rFonts w:ascii="Verdana" w:eastAsia="Calibri" w:hAnsi="Verdana" w:cs="Arial"/>
                <w:i/>
                <w:iCs/>
                <w:sz w:val="16"/>
                <w:szCs w:val="16"/>
                <w:lang w:eastAsia="es-ES"/>
              </w:rPr>
            </w:pPr>
            <w:r w:rsidRPr="00FC181B">
              <w:rPr>
                <w:rFonts w:ascii="Verdana" w:eastAsia="Calibri" w:hAnsi="Verdana" w:cs="Arial"/>
                <w:b/>
                <w:bCs/>
                <w:i/>
                <w:iCs/>
                <w:sz w:val="16"/>
                <w:szCs w:val="16"/>
                <w:lang w:eastAsia="es-ES"/>
              </w:rPr>
              <w:t>2.13. PROYECTOS DE CONSTRUCCIÓN Y/O AMPLIACIÓN Y/O Y/O ADECUACIÓN Y/O CONSERVACIÓN</w:t>
            </w:r>
            <w:r w:rsidRPr="001423B1">
              <w:rPr>
                <w:rFonts w:ascii="Verdana" w:eastAsia="Calibri" w:hAnsi="Verdana" w:cs="Arial"/>
                <w:b/>
                <w:bCs/>
                <w:i/>
                <w:iCs/>
                <w:sz w:val="16"/>
                <w:szCs w:val="16"/>
                <w:lang w:eastAsia="es-ES"/>
              </w:rPr>
              <w:t xml:space="preserve"> </w:t>
            </w:r>
            <w:r w:rsidRPr="00FC181B">
              <w:rPr>
                <w:rFonts w:ascii="Verdana" w:eastAsia="Calibri" w:hAnsi="Verdana" w:cs="Arial"/>
                <w:b/>
                <w:bCs/>
                <w:i/>
                <w:iCs/>
                <w:sz w:val="16"/>
                <w:szCs w:val="16"/>
                <w:lang w:eastAsia="es-ES"/>
              </w:rPr>
              <w:t>Y/O INTERVENCIÓN Y/O INSTALACIÓN Y/O</w:t>
            </w:r>
            <w:r w:rsidRPr="001423B1">
              <w:rPr>
                <w:rFonts w:ascii="Verdana" w:eastAsia="Calibri" w:hAnsi="Verdana" w:cs="Arial"/>
                <w:b/>
                <w:bCs/>
                <w:i/>
                <w:iCs/>
                <w:sz w:val="16"/>
                <w:szCs w:val="16"/>
                <w:lang w:eastAsia="es-ES"/>
              </w:rPr>
              <w:t xml:space="preserve"> </w:t>
            </w:r>
            <w:r w:rsidRPr="00FC181B">
              <w:rPr>
                <w:rFonts w:ascii="Verdana" w:eastAsia="Calibri" w:hAnsi="Verdana" w:cs="Arial"/>
                <w:b/>
                <w:bCs/>
                <w:i/>
                <w:iCs/>
                <w:sz w:val="16"/>
                <w:szCs w:val="16"/>
                <w:lang w:eastAsia="es-ES"/>
              </w:rPr>
              <w:t>MANTENIMIENTO Y/O MEJORAMIENTO Y/O MODIFICACIÓN U OPTIMIZACIÓN Y/O REHABILITACIÓN Y/O REMODELACIÓN Y/O REPOSICIÓN Y/O REPARACIÓN LOCATIVA Y/O RESTAURACIÓN Y/O RESTITUCIÓN Y/O TERMINACIÓN DE REDES DE VAPOR Y/O REDES DE GASES Y/O REDES DE GAS NATURAL Y/O SISTEMAS DE COCCIÓN DE INFRAESTRUCTURA INSTITUCIONAL - SERVICIO PÚBLICO</w:t>
            </w:r>
          </w:p>
        </w:tc>
        <w:tc>
          <w:tcPr>
            <w:tcW w:w="1241" w:type="pct"/>
            <w:tcBorders>
              <w:top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hideMark/>
          </w:tcPr>
          <w:p w14:paraId="42A7BC9C"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GENERAL</w:t>
            </w:r>
          </w:p>
        </w:tc>
        <w:tc>
          <w:tcPr>
            <w:tcW w:w="2061" w:type="pct"/>
            <w:tcBorders>
              <w:bottom w:val="single" w:sz="4" w:space="0" w:color="000000"/>
              <w:right w:val="single" w:sz="8" w:space="0" w:color="000000"/>
            </w:tcBorders>
            <w:shd w:val="clear" w:color="auto" w:fill="FFFFFF"/>
            <w:tcMar>
              <w:top w:w="15" w:type="dxa"/>
              <w:left w:w="15" w:type="dxa"/>
              <w:bottom w:w="0" w:type="dxa"/>
              <w:right w:w="15" w:type="dxa"/>
            </w:tcMar>
            <w:vAlign w:val="center"/>
            <w:hideMark/>
          </w:tcPr>
          <w:p w14:paraId="37FB963F" w14:textId="77777777" w:rsidR="008E3CD5" w:rsidRPr="00FC181B" w:rsidRDefault="008E3CD5" w:rsidP="00463BE1">
            <w:pPr>
              <w:spacing w:after="0" w:line="240" w:lineRule="auto"/>
              <w:ind w:right="166"/>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PROYECTOS QUE CORRESPONDAN Y/O CONTEMPLEN ACTIVIDADES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DE VAPOR Y/O REDES DE GASES Y/O REDES DE GAS NATURAL Y/O SISTEMAS DE COCCIÓN O SIMILARES PARA EDIFICACIONES.</w:t>
            </w:r>
          </w:p>
        </w:tc>
      </w:tr>
      <w:tr w:rsidR="008E3CD5" w:rsidRPr="00FC181B" w14:paraId="7BEC92A2" w14:textId="77777777" w:rsidTr="00463BE1">
        <w:trPr>
          <w:trHeight w:val="1530"/>
        </w:trPr>
        <w:tc>
          <w:tcPr>
            <w:tcW w:w="1698" w:type="pct"/>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D1FBDC4"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p>
        </w:tc>
        <w:tc>
          <w:tcPr>
            <w:tcW w:w="1241"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hideMark/>
          </w:tcPr>
          <w:p w14:paraId="25BFFEBE"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ESPECIFICA</w:t>
            </w:r>
          </w:p>
        </w:tc>
        <w:tc>
          <w:tcPr>
            <w:tcW w:w="2061" w:type="pct"/>
            <w:tcBorders>
              <w:top w:val="single" w:sz="4" w:space="0" w:color="000000"/>
              <w:bottom w:val="single" w:sz="4" w:space="0" w:color="000000"/>
              <w:right w:val="single" w:sz="8" w:space="0" w:color="000000"/>
            </w:tcBorders>
            <w:shd w:val="clear" w:color="auto" w:fill="FFFFFF"/>
            <w:tcMar>
              <w:top w:w="15" w:type="dxa"/>
              <w:left w:w="15" w:type="dxa"/>
              <w:bottom w:w="0" w:type="dxa"/>
              <w:right w:w="15" w:type="dxa"/>
            </w:tcMar>
            <w:vAlign w:val="center"/>
            <w:hideMark/>
          </w:tcPr>
          <w:p w14:paraId="519C8023" w14:textId="77777777" w:rsidR="008E3CD5" w:rsidRPr="00FC181B" w:rsidRDefault="008E3CD5" w:rsidP="00463BE1">
            <w:pPr>
              <w:spacing w:after="0" w:line="240" w:lineRule="auto"/>
              <w:ind w:right="166"/>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Por lo menos uno (1) de los contratos válidos aportados como experiencia general debe corresponder mínimo al </w:t>
            </w:r>
            <w:r w:rsidRPr="00FC181B">
              <w:rPr>
                <w:rFonts w:ascii="Verdana" w:eastAsia="Calibri" w:hAnsi="Verdana" w:cs="Arial"/>
                <w:b/>
                <w:bCs/>
                <w:i/>
                <w:iCs/>
                <w:sz w:val="16"/>
                <w:szCs w:val="16"/>
                <w:lang w:eastAsia="es-ES"/>
              </w:rPr>
              <w:t>30% del presupuesto oficial</w:t>
            </w:r>
            <w:r w:rsidRPr="00FC181B">
              <w:rPr>
                <w:rFonts w:ascii="Verdana" w:eastAsia="Calibri" w:hAnsi="Verdana" w:cs="Arial"/>
                <w:i/>
                <w:iCs/>
                <w:sz w:val="16"/>
                <w:szCs w:val="16"/>
                <w:lang w:eastAsia="es-ES"/>
              </w:rPr>
              <w:t> del presente proceso de selección.</w:t>
            </w:r>
          </w:p>
        </w:tc>
      </w:tr>
      <w:tr w:rsidR="008E3CD5" w:rsidRPr="00FC181B" w14:paraId="0941F05F" w14:textId="77777777" w:rsidTr="00463BE1">
        <w:trPr>
          <w:trHeight w:val="3570"/>
        </w:trPr>
        <w:tc>
          <w:tcPr>
            <w:tcW w:w="1698" w:type="pct"/>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DC23B7A"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p>
        </w:tc>
        <w:tc>
          <w:tcPr>
            <w:tcW w:w="1241" w:type="pct"/>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F707D14"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p>
        </w:tc>
        <w:tc>
          <w:tcPr>
            <w:tcW w:w="2061" w:type="pct"/>
            <w:tcBorders>
              <w:bottom w:val="single" w:sz="4" w:space="0" w:color="000000"/>
              <w:right w:val="single" w:sz="8" w:space="0" w:color="000000"/>
            </w:tcBorders>
            <w:shd w:val="clear" w:color="auto" w:fill="FFFFFF"/>
            <w:tcMar>
              <w:top w:w="15" w:type="dxa"/>
              <w:left w:w="15" w:type="dxa"/>
              <w:bottom w:w="0" w:type="dxa"/>
              <w:right w:w="15" w:type="dxa"/>
            </w:tcMar>
            <w:vAlign w:val="center"/>
            <w:hideMark/>
          </w:tcPr>
          <w:p w14:paraId="797B4639" w14:textId="77777777" w:rsidR="008E3CD5" w:rsidRPr="00FC181B" w:rsidRDefault="008E3CD5" w:rsidP="00463BE1">
            <w:pPr>
              <w:spacing w:after="0" w:line="240" w:lineRule="auto"/>
              <w:ind w:right="166"/>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1- [En el caso que el proyecto de la entidad corresponda a un proyecto de redes de vapor o similares]: Por lo menos uno (1) de los contratos válidos aportados como experiencia general debe demostrar la intervención de redes de vapor o similares en edificaciones.</w:t>
            </w:r>
            <w:r w:rsidRPr="00FC181B">
              <w:rPr>
                <w:rFonts w:ascii="Verdana" w:eastAsia="Calibri" w:hAnsi="Verdana" w:cs="Arial"/>
                <w:i/>
                <w:iCs/>
                <w:sz w:val="16"/>
                <w:szCs w:val="16"/>
                <w:lang w:eastAsia="es-ES"/>
              </w:rPr>
              <w:br/>
              <w:t>2- [En el caso que el proyecto de la entidad corresponda a un proyecto de redes de gases o similares]: Por lo menos uno (1) de los contratos válidos aportados como experiencia general debe demostrar la intervención de redes de gases o similares en edificaciones.</w:t>
            </w:r>
            <w:r w:rsidRPr="00FC181B">
              <w:rPr>
                <w:rFonts w:ascii="Verdana" w:eastAsia="Calibri" w:hAnsi="Verdana" w:cs="Arial"/>
                <w:i/>
                <w:iCs/>
                <w:sz w:val="16"/>
                <w:szCs w:val="16"/>
                <w:lang w:eastAsia="es-ES"/>
              </w:rPr>
              <w:br/>
              <w:t>3- [En el caso que el proyecto de la entidad corresponda a un proyecto de redes de gas natural o similares]: Por lo menos uno (1) de los contratos válidos aportados como experiencia general debe demostrar la intervención de redes de gas o similares en edificaciones.</w:t>
            </w:r>
            <w:r w:rsidRPr="00FC181B">
              <w:rPr>
                <w:rFonts w:ascii="Verdana" w:eastAsia="Calibri" w:hAnsi="Verdana" w:cs="Arial"/>
                <w:i/>
                <w:iCs/>
                <w:sz w:val="16"/>
                <w:szCs w:val="16"/>
                <w:lang w:eastAsia="es-ES"/>
              </w:rPr>
              <w:br/>
              <w:t>4- [En el caso que el proyecto de la entidad corresponda a un proyecto de sistemas de cocción o similares]: Por lo menos uno (1) de los contratos válidos aportados como experiencia general debe demostrar la intervención de sistemas de cocción o similares en edificaciones.</w:t>
            </w:r>
            <w:r w:rsidRPr="00FC181B">
              <w:rPr>
                <w:rFonts w:ascii="Verdana" w:eastAsia="Calibri" w:hAnsi="Verdana" w:cs="Arial"/>
                <w:i/>
                <w:iCs/>
                <w:sz w:val="16"/>
                <w:szCs w:val="16"/>
                <w:lang w:eastAsia="es-ES"/>
              </w:rPr>
              <w:br/>
            </w:r>
            <w:r w:rsidRPr="00FC181B">
              <w:rPr>
                <w:rFonts w:ascii="Verdana" w:eastAsia="Calibri" w:hAnsi="Verdana" w:cs="Arial"/>
                <w:b/>
                <w:bCs/>
                <w:i/>
                <w:iCs/>
                <w:sz w:val="16"/>
                <w:szCs w:val="16"/>
                <w:lang w:eastAsia="es-ES"/>
              </w:rPr>
              <w:t>Nota:</w:t>
            </w:r>
            <w:r w:rsidRPr="00FC181B">
              <w:rPr>
                <w:rFonts w:ascii="Verdana" w:eastAsia="Calibri" w:hAnsi="Verdana" w:cs="Arial"/>
                <w:i/>
                <w:iCs/>
                <w:sz w:val="16"/>
                <w:szCs w:val="16"/>
                <w:lang w:eastAsia="es-ES"/>
              </w:rPr>
              <w:t> en caso de requerirse varias de estas intervenciones, la entidad podrá solicitar hasta (2) contratos aportados como válidos en la experiencia general, para que se acredite la experiencia especifica de mayor relevancia para la Entidad.</w:t>
            </w:r>
          </w:p>
        </w:tc>
      </w:tr>
    </w:tbl>
    <w:p w14:paraId="41AF2322" w14:textId="77777777" w:rsidR="008E3CD5" w:rsidRPr="00FC181B" w:rsidRDefault="008E3CD5" w:rsidP="008E3CD5">
      <w:pPr>
        <w:spacing w:after="0" w:line="240" w:lineRule="auto"/>
        <w:ind w:right="709"/>
        <w:jc w:val="both"/>
        <w:rPr>
          <w:rFonts w:ascii="Verdana" w:eastAsia="Calibri" w:hAnsi="Verdana" w:cs="Arial"/>
          <w:i/>
          <w:iCs/>
          <w:sz w:val="16"/>
          <w:szCs w:val="16"/>
          <w:lang w:eastAsia="es-ES"/>
        </w:rPr>
      </w:pPr>
    </w:p>
    <w:p w14:paraId="76E3B926" w14:textId="77777777" w:rsidR="008E3CD5" w:rsidRPr="00FC181B" w:rsidRDefault="008E3CD5" w:rsidP="008E3CD5">
      <w:pPr>
        <w:spacing w:after="0" w:line="240" w:lineRule="auto"/>
        <w:ind w:right="709"/>
        <w:jc w:val="both"/>
        <w:rPr>
          <w:rFonts w:ascii="Verdana" w:eastAsia="Calibri" w:hAnsi="Verdana" w:cs="Arial"/>
          <w:i/>
          <w:iCs/>
          <w:sz w:val="16"/>
          <w:szCs w:val="16"/>
          <w:lang w:eastAsia="es-ES"/>
        </w:rPr>
      </w:pPr>
    </w:p>
    <w:p w14:paraId="1942D2EE" w14:textId="77777777" w:rsidR="008E3CD5" w:rsidRPr="00FC181B" w:rsidRDefault="008E3CD5" w:rsidP="008E3CD5">
      <w:pPr>
        <w:spacing w:after="0" w:line="240" w:lineRule="auto"/>
        <w:ind w:left="851" w:right="900"/>
        <w:jc w:val="both"/>
        <w:rPr>
          <w:rFonts w:ascii="Verdana" w:eastAsia="Calibri" w:hAnsi="Verdana" w:cs="Arial"/>
          <w:i/>
          <w:iCs/>
          <w:sz w:val="20"/>
          <w:szCs w:val="20"/>
          <w:lang w:eastAsia="es-ES"/>
        </w:rPr>
      </w:pPr>
      <w:r w:rsidRPr="00FC181B">
        <w:rPr>
          <w:rFonts w:ascii="Verdana" w:eastAsia="Calibri" w:hAnsi="Verdana" w:cs="Arial"/>
          <w:i/>
          <w:iCs/>
          <w:sz w:val="20"/>
          <w:szCs w:val="20"/>
          <w:lang w:eastAsia="es-ES"/>
        </w:rPr>
        <w:t>En este orden de ideas, se requiere saber si se debe aplicar documentos tipo para el objeto 2, el alcance es el mantenimiento de red de gases</w:t>
      </w:r>
    </w:p>
    <w:p w14:paraId="33A2AC22" w14:textId="77777777" w:rsidR="008E3CD5" w:rsidRPr="002666CC" w:rsidRDefault="008E3CD5" w:rsidP="008E3CD5">
      <w:pPr>
        <w:spacing w:after="0" w:line="240" w:lineRule="auto"/>
        <w:ind w:left="851" w:right="900"/>
        <w:jc w:val="both"/>
        <w:rPr>
          <w:rFonts w:ascii="Verdana" w:eastAsia="Calibri" w:hAnsi="Verdana" w:cs="Arial"/>
          <w:i/>
          <w:iCs/>
          <w:sz w:val="20"/>
          <w:szCs w:val="20"/>
          <w:lang w:eastAsia="es-ES"/>
        </w:rPr>
      </w:pPr>
    </w:p>
    <w:p w14:paraId="02B26C9F" w14:textId="77777777" w:rsidR="008E3CD5" w:rsidRPr="005277C6" w:rsidRDefault="008E3CD5" w:rsidP="008E3CD5">
      <w:pPr>
        <w:spacing w:after="0" w:line="240" w:lineRule="auto"/>
        <w:ind w:left="851" w:right="900"/>
        <w:jc w:val="both"/>
        <w:rPr>
          <w:rFonts w:ascii="Verdana" w:eastAsia="Calibri" w:hAnsi="Verdana" w:cs="Arial"/>
          <w:i/>
          <w:iCs/>
          <w:sz w:val="20"/>
          <w:szCs w:val="20"/>
          <w:lang w:eastAsia="es-ES"/>
        </w:rPr>
      </w:pPr>
      <w:r w:rsidRPr="00FC181B">
        <w:rPr>
          <w:rFonts w:ascii="Verdana" w:eastAsia="Calibri" w:hAnsi="Verdana" w:cs="Arial"/>
          <w:i/>
          <w:iCs/>
          <w:sz w:val="20"/>
          <w:szCs w:val="20"/>
          <w:lang w:eastAsia="es-ES"/>
        </w:rPr>
        <w:t>Actividades principales:</w:t>
      </w:r>
    </w:p>
    <w:p w14:paraId="11FDC231" w14:textId="77777777" w:rsidR="008E3CD5" w:rsidRPr="00FC181B" w:rsidRDefault="008E3CD5" w:rsidP="008E3CD5">
      <w:pPr>
        <w:spacing w:after="0" w:line="240" w:lineRule="auto"/>
        <w:ind w:right="709"/>
        <w:jc w:val="both"/>
        <w:rPr>
          <w:rFonts w:ascii="Verdana" w:eastAsia="Calibri" w:hAnsi="Verdana" w:cs="Arial"/>
          <w:i/>
          <w:iCs/>
          <w:sz w:val="20"/>
          <w:szCs w:val="20"/>
          <w:lang w:eastAsia="es-ES"/>
        </w:rPr>
      </w:pPr>
    </w:p>
    <w:p w14:paraId="4F0F8EA5"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Mantenimiento y verificación de las URI en la central de gases para Nitrógeno, Aire, Hidrogeno y Helio donde incluye: Desmonte e instalación, prueba de estanqueidad por 24 horas, corrección de fugas y puesta en servicio.  En caso de requerirse reemplazo de pieza, consumibles o repuestos para que el sistema quede hermético, estos debe ser de mejor o igual nivel o estándar de calidad de las estaciones de trabajo iniciales (en acero inoxidable para tolerancia de 4000 psi con conexión CGA Pittail)</w:t>
      </w:r>
    </w:p>
    <w:p w14:paraId="22E02D4E"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p>
    <w:p w14:paraId="0D36C941"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Verificación y corrección de fugas en válvulas de alta presión, mangueras, tuberías, serpentines y tubo colector. Presurización de la unidad. Verificación conexión de serpentines. Verificación de anclajes y soportería, que en caso de requerirse deberán reemplazarse.</w:t>
      </w:r>
      <w:r w:rsidRPr="005277C6">
        <w:rPr>
          <w:rFonts w:ascii="Verdana" w:eastAsia="Calibri" w:hAnsi="Verdana" w:cs="Arial"/>
          <w:i/>
          <w:iCs/>
          <w:sz w:val="20"/>
          <w:szCs w:val="20"/>
          <w:lang w:eastAsia="es-ES"/>
        </w:rPr>
        <w:tab/>
      </w:r>
      <w:r w:rsidRPr="005277C6">
        <w:rPr>
          <w:rFonts w:ascii="Verdana" w:eastAsia="Calibri" w:hAnsi="Verdana" w:cs="Arial"/>
          <w:i/>
          <w:iCs/>
          <w:sz w:val="20"/>
          <w:szCs w:val="20"/>
          <w:lang w:eastAsia="es-ES"/>
        </w:rPr>
        <w:tab/>
      </w:r>
    </w:p>
    <w:p w14:paraId="09D373C5"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p>
    <w:p w14:paraId="100D060A"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2 Suministro e instalación en pared de soporte metálico en acero inoxidable para fijación de la válvula para venteo en las URIs</w:t>
      </w:r>
      <w:r w:rsidRPr="005277C6">
        <w:rPr>
          <w:rFonts w:ascii="Verdana" w:eastAsia="Calibri" w:hAnsi="Verdana" w:cs="Arial"/>
          <w:i/>
          <w:iCs/>
          <w:sz w:val="20"/>
          <w:szCs w:val="20"/>
          <w:lang w:eastAsia="es-ES"/>
        </w:rPr>
        <w:tab/>
      </w:r>
      <w:r w:rsidRPr="005277C6">
        <w:rPr>
          <w:rFonts w:ascii="Verdana" w:eastAsia="Calibri" w:hAnsi="Verdana" w:cs="Arial"/>
          <w:i/>
          <w:iCs/>
          <w:sz w:val="20"/>
          <w:szCs w:val="20"/>
          <w:lang w:eastAsia="es-ES"/>
        </w:rPr>
        <w:tab/>
      </w:r>
    </w:p>
    <w:p w14:paraId="5EAD6D52"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p>
    <w:p w14:paraId="3E47CBC4"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3 Reemplazo de las válvulas de aguja tanto de paso como de venteos en las URIs</w:t>
      </w:r>
      <w:r w:rsidRPr="005277C6">
        <w:rPr>
          <w:rFonts w:ascii="Verdana" w:eastAsia="Calibri" w:hAnsi="Verdana" w:cs="Arial"/>
          <w:i/>
          <w:iCs/>
          <w:sz w:val="20"/>
          <w:szCs w:val="20"/>
          <w:lang w:eastAsia="es-ES"/>
        </w:rPr>
        <w:tab/>
      </w:r>
      <w:r w:rsidRPr="005277C6">
        <w:rPr>
          <w:rFonts w:ascii="Verdana" w:eastAsia="Calibri" w:hAnsi="Verdana" w:cs="Arial"/>
          <w:i/>
          <w:iCs/>
          <w:sz w:val="20"/>
          <w:szCs w:val="20"/>
          <w:lang w:eastAsia="es-ES"/>
        </w:rPr>
        <w:tab/>
      </w:r>
    </w:p>
    <w:p w14:paraId="6360E409"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p>
    <w:p w14:paraId="17191233"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4 Reemplazo de la totalidad de racores previos a las URIs (4 uniones / 8 adaptadores NPT-OD, 4 Tees, junto a sus férulas y contra férulas)</w:t>
      </w:r>
      <w:r w:rsidRPr="005277C6">
        <w:rPr>
          <w:rFonts w:ascii="Verdana" w:eastAsia="Calibri" w:hAnsi="Verdana" w:cs="Arial"/>
          <w:i/>
          <w:iCs/>
          <w:sz w:val="20"/>
          <w:szCs w:val="20"/>
          <w:lang w:eastAsia="es-ES"/>
        </w:rPr>
        <w:tab/>
      </w:r>
    </w:p>
    <w:p w14:paraId="37DBFBB4"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ab/>
      </w:r>
    </w:p>
    <w:p w14:paraId="0D5405AE"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5 Reemplazo de los espirales en acero inoxidable en 1/4 junto a sus acoples para cada tipo de gas (N2, Aire, H2 y He) y acoples 1/4 OD</w:t>
      </w:r>
    </w:p>
    <w:p w14:paraId="6B6A9D27"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ab/>
      </w:r>
    </w:p>
    <w:p w14:paraId="741BE32A"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6 Mantenimiento Preventivo y verificación URPT en los Laboratorio de Estupefacientes (6 URPT) y toxicologia (8 URPT), incluye: Revisión, limpieza, prueba y corrección de fugas y puesta en servicio.</w:t>
      </w:r>
    </w:p>
    <w:p w14:paraId="6CE6C827"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 xml:space="preserve"> </w:t>
      </w:r>
      <w:r w:rsidRPr="005277C6">
        <w:rPr>
          <w:rFonts w:ascii="Verdana" w:eastAsia="Calibri" w:hAnsi="Verdana" w:cs="Arial"/>
          <w:i/>
          <w:iCs/>
          <w:sz w:val="20"/>
          <w:szCs w:val="20"/>
          <w:lang w:eastAsia="es-ES"/>
        </w:rPr>
        <w:tab/>
      </w:r>
      <w:r w:rsidRPr="005277C6">
        <w:rPr>
          <w:rFonts w:ascii="Verdana" w:eastAsia="Calibri" w:hAnsi="Verdana" w:cs="Arial"/>
          <w:i/>
          <w:iCs/>
          <w:sz w:val="20"/>
          <w:szCs w:val="20"/>
          <w:lang w:eastAsia="es-ES"/>
        </w:rPr>
        <w:tab/>
      </w:r>
    </w:p>
    <w:p w14:paraId="6C9970C8"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7 Calibración de Manómetros de las Unidades de Regulación inicial y puestos de trabajo con trazabilidad a la NIST y entrega de certificados de calibración.</w:t>
      </w:r>
      <w:r w:rsidRPr="005277C6">
        <w:rPr>
          <w:rFonts w:ascii="Verdana" w:eastAsia="Calibri" w:hAnsi="Verdana" w:cs="Arial"/>
          <w:i/>
          <w:iCs/>
          <w:sz w:val="20"/>
          <w:szCs w:val="20"/>
          <w:lang w:eastAsia="es-ES"/>
        </w:rPr>
        <w:tab/>
      </w:r>
    </w:p>
    <w:p w14:paraId="5588A928"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ab/>
      </w:r>
    </w:p>
    <w:p w14:paraId="76CE5126"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 xml:space="preserve">8 Suministro, instalación, calibración y puesta en servicio de unidades de regulación de puestos de trabajos (URPT) para las lineas de hidrógeno (1) y nitrógeno (1) en el laboratorio de toxicologia. </w:t>
      </w:r>
    </w:p>
    <w:p w14:paraId="640C150A"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p>
    <w:p w14:paraId="3E901299"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 xml:space="preserve">Las unidades de regulación deben ser cromados en acero inoxidable para tolerancia de 4000 psi con conexión CGA Pittail (Acero inoxidable). </w:t>
      </w:r>
    </w:p>
    <w:p w14:paraId="38265BFD"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p>
    <w:p w14:paraId="32A3BBAC"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Presurización de las unidades, verificación de las conexiones de las conexiones, suministro e intalación de soportes, anclajes y racores necesarios para la puesta en servicio de las estaciones de trabajo.</w:t>
      </w:r>
    </w:p>
    <w:p w14:paraId="4E638941"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 xml:space="preserve"> </w:t>
      </w:r>
      <w:r w:rsidRPr="005277C6">
        <w:rPr>
          <w:rFonts w:ascii="Verdana" w:eastAsia="Calibri" w:hAnsi="Verdana" w:cs="Arial"/>
          <w:i/>
          <w:iCs/>
          <w:sz w:val="20"/>
          <w:szCs w:val="20"/>
          <w:lang w:eastAsia="es-ES"/>
        </w:rPr>
        <w:tab/>
      </w:r>
      <w:r w:rsidRPr="005277C6">
        <w:rPr>
          <w:rFonts w:ascii="Verdana" w:eastAsia="Calibri" w:hAnsi="Verdana" w:cs="Arial"/>
          <w:i/>
          <w:iCs/>
          <w:sz w:val="20"/>
          <w:szCs w:val="20"/>
          <w:lang w:eastAsia="es-ES"/>
        </w:rPr>
        <w:tab/>
      </w:r>
    </w:p>
    <w:p w14:paraId="5B955F4C"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 xml:space="preserve">9 Suministro, instalación, calibración y puesta en servicio de unidades de regulación de inicial (URI) para la linea de gas Helio en el primer piso donde se encuentran ubicada la central de gases. La unidad de regulación inicial debe ser cromados en acero inoxidable, manometro de entrada para tolerancia de 0 -  4000 psi, manometro de salida de 0 - 600 psi, con conexión CGA Pittail (Acero inoxidable). </w:t>
      </w:r>
    </w:p>
    <w:p w14:paraId="0C75DAE7"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p>
    <w:p w14:paraId="205B7FCD"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Presurización de las unidades, verificación de las conexiones de las conexiones, suministro e instalación de soportes, anclajes y racores necesarios para la puesta en servicio de las estaciones de trabajo.</w:t>
      </w:r>
    </w:p>
    <w:p w14:paraId="71429191"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p>
    <w:p w14:paraId="21D76D6D"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5277C6">
        <w:rPr>
          <w:rFonts w:ascii="Verdana" w:eastAsia="Calibri" w:hAnsi="Verdana" w:cs="Arial"/>
          <w:i/>
          <w:iCs/>
          <w:sz w:val="20"/>
          <w:szCs w:val="20"/>
          <w:lang w:eastAsia="es-ES"/>
        </w:rPr>
        <w:t xml:space="preserve"> Suministro y verificación de mangueras, serpentines y tubo colector de la nueva URI necesaria para la correcta operación de</w:t>
      </w:r>
      <w:r w:rsidRPr="005277C6">
        <w:rPr>
          <w:rFonts w:ascii="Verdana" w:eastAsia="Calibri" w:hAnsi="Verdana" w:cs="Arial"/>
          <w:i/>
          <w:iCs/>
          <w:sz w:val="20"/>
          <w:szCs w:val="20"/>
          <w:lang w:eastAsia="es-ES"/>
        </w:rPr>
        <w:tab/>
      </w:r>
      <w:r w:rsidRPr="005277C6">
        <w:rPr>
          <w:rFonts w:ascii="Verdana" w:eastAsia="Calibri" w:hAnsi="Verdana" w:cs="Arial"/>
          <w:i/>
          <w:iCs/>
          <w:sz w:val="20"/>
          <w:szCs w:val="20"/>
          <w:lang w:eastAsia="es-ES"/>
        </w:rPr>
        <w:tab/>
      </w:r>
    </w:p>
    <w:p w14:paraId="608DAAEA"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p>
    <w:p w14:paraId="35E2B551" w14:textId="77777777" w:rsidR="008E3CD5" w:rsidRPr="00FC181B" w:rsidRDefault="008E3CD5" w:rsidP="008E3CD5">
      <w:pPr>
        <w:spacing w:after="0" w:line="240" w:lineRule="auto"/>
        <w:ind w:left="851" w:right="709"/>
        <w:jc w:val="both"/>
        <w:rPr>
          <w:rFonts w:ascii="Verdana" w:eastAsia="Calibri" w:hAnsi="Verdana" w:cs="Arial"/>
          <w:i/>
          <w:iCs/>
          <w:sz w:val="20"/>
          <w:szCs w:val="20"/>
          <w:lang w:eastAsia="es-ES"/>
        </w:rPr>
      </w:pPr>
      <w:r w:rsidRPr="00FC181B">
        <w:rPr>
          <w:rFonts w:ascii="Verdana" w:eastAsia="Calibri" w:hAnsi="Verdana" w:cs="Arial"/>
          <w:i/>
          <w:iCs/>
          <w:sz w:val="20"/>
          <w:szCs w:val="20"/>
          <w:lang w:eastAsia="es-ES"/>
        </w:rPr>
        <w:t>Objeto 3</w:t>
      </w:r>
    </w:p>
    <w:p w14:paraId="5552A3E4" w14:textId="77777777" w:rsidR="008E3CD5" w:rsidRPr="00FC181B" w:rsidRDefault="008E3CD5" w:rsidP="008E3CD5">
      <w:pPr>
        <w:spacing w:after="0" w:line="240" w:lineRule="auto"/>
        <w:ind w:right="709"/>
        <w:jc w:val="both"/>
        <w:rPr>
          <w:rFonts w:ascii="Verdana" w:eastAsia="Calibri" w:hAnsi="Verdana" w:cs="Arial"/>
          <w:i/>
          <w:iCs/>
          <w:sz w:val="20"/>
          <w:szCs w:val="20"/>
          <w:lang w:eastAsia="es-ES"/>
        </w:rPr>
      </w:pPr>
    </w:p>
    <w:p w14:paraId="5E6635E5" w14:textId="77777777" w:rsidR="008E3CD5" w:rsidRPr="00FC181B" w:rsidRDefault="008E3CD5" w:rsidP="008E3CD5">
      <w:pPr>
        <w:spacing w:after="0" w:line="240" w:lineRule="auto"/>
        <w:ind w:left="851" w:right="709"/>
        <w:jc w:val="both"/>
        <w:rPr>
          <w:rFonts w:ascii="Verdana" w:eastAsia="Calibri" w:hAnsi="Verdana" w:cs="Arial"/>
          <w:i/>
          <w:iCs/>
          <w:sz w:val="20"/>
          <w:szCs w:val="20"/>
          <w:lang w:eastAsia="es-ES"/>
        </w:rPr>
      </w:pPr>
      <w:r w:rsidRPr="00FC181B">
        <w:rPr>
          <w:rFonts w:ascii="Verdana" w:eastAsia="Calibri" w:hAnsi="Verdana" w:cs="Arial"/>
          <w:i/>
          <w:iCs/>
          <w:sz w:val="20"/>
          <w:szCs w:val="20"/>
          <w:lang w:eastAsia="es-ES"/>
        </w:rPr>
        <w:t>PRESTAR EL SERVICIO DE MANTENIMIENTO DE TANQUES PARA EL ALMACENAMIENTO DE AGUA POTABLE DE LA REGIONAL NORTE DEL INSTITUTO NACIONAL DE MEDICINA LEGAL Y CIENCIAS FORENSES</w:t>
      </w:r>
    </w:p>
    <w:p w14:paraId="122E8AC1" w14:textId="77777777" w:rsidR="008E3CD5" w:rsidRPr="00FC181B" w:rsidRDefault="008E3CD5" w:rsidP="008E3CD5">
      <w:pPr>
        <w:spacing w:after="0" w:line="240" w:lineRule="auto"/>
        <w:ind w:left="851" w:right="709"/>
        <w:jc w:val="both"/>
        <w:rPr>
          <w:rFonts w:ascii="Verdana" w:eastAsia="Calibri" w:hAnsi="Verdana" w:cs="Arial"/>
          <w:i/>
          <w:iCs/>
          <w:sz w:val="20"/>
          <w:szCs w:val="20"/>
          <w:lang w:eastAsia="es-ES"/>
        </w:rPr>
      </w:pPr>
    </w:p>
    <w:p w14:paraId="1E8DCB8F" w14:textId="77777777" w:rsidR="008E3CD5" w:rsidRPr="005277C6" w:rsidRDefault="008E3CD5" w:rsidP="008E3CD5">
      <w:pPr>
        <w:spacing w:after="0" w:line="240" w:lineRule="auto"/>
        <w:ind w:left="851" w:right="709"/>
        <w:jc w:val="both"/>
        <w:rPr>
          <w:rFonts w:ascii="Verdana" w:eastAsia="Calibri" w:hAnsi="Verdana" w:cs="Arial"/>
          <w:i/>
          <w:iCs/>
          <w:sz w:val="20"/>
          <w:szCs w:val="20"/>
          <w:lang w:eastAsia="es-ES"/>
        </w:rPr>
      </w:pPr>
      <w:r w:rsidRPr="00FC181B">
        <w:rPr>
          <w:rFonts w:ascii="Verdana" w:eastAsia="Calibri" w:hAnsi="Verdana" w:cs="Arial"/>
          <w:i/>
          <w:iCs/>
          <w:sz w:val="20"/>
          <w:szCs w:val="20"/>
          <w:lang w:eastAsia="es-ES"/>
        </w:rPr>
        <w:t>Consulta en la matriz de experiencia en el numeral:</w:t>
      </w:r>
    </w:p>
    <w:p w14:paraId="40C6DE54" w14:textId="77777777" w:rsidR="008E3CD5" w:rsidRPr="00FC181B" w:rsidRDefault="008E3CD5" w:rsidP="008E3CD5">
      <w:pPr>
        <w:spacing w:after="0" w:line="240" w:lineRule="auto"/>
        <w:ind w:left="851" w:right="709"/>
        <w:jc w:val="both"/>
        <w:rPr>
          <w:rFonts w:ascii="Verdana" w:eastAsia="Calibri" w:hAnsi="Verdana" w:cs="Arial"/>
          <w:i/>
          <w:iCs/>
          <w:sz w:val="20"/>
          <w:szCs w:val="20"/>
          <w:lang w:eastAsia="es-ES"/>
        </w:rPr>
      </w:pPr>
    </w:p>
    <w:tbl>
      <w:tblPr>
        <w:tblW w:w="4097" w:type="pct"/>
        <w:tblInd w:w="846" w:type="dxa"/>
        <w:shd w:val="clear" w:color="auto" w:fill="FFFFFF"/>
        <w:tblLayout w:type="fixed"/>
        <w:tblCellMar>
          <w:left w:w="0" w:type="dxa"/>
          <w:right w:w="0" w:type="dxa"/>
        </w:tblCellMar>
        <w:tblLook w:val="04A0" w:firstRow="1" w:lastRow="0" w:firstColumn="1" w:lastColumn="0" w:noHBand="0" w:noVBand="1"/>
      </w:tblPr>
      <w:tblGrid>
        <w:gridCol w:w="2410"/>
        <w:gridCol w:w="1718"/>
        <w:gridCol w:w="3102"/>
      </w:tblGrid>
      <w:tr w:rsidR="008E3CD5" w:rsidRPr="00FC181B" w14:paraId="4985D45B" w14:textId="77777777" w:rsidTr="00463BE1">
        <w:trPr>
          <w:trHeight w:val="1245"/>
        </w:trPr>
        <w:tc>
          <w:tcPr>
            <w:tcW w:w="1667"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hideMark/>
          </w:tcPr>
          <w:p w14:paraId="284C0AE4" w14:textId="77777777" w:rsidR="008E3CD5" w:rsidRPr="00FC181B" w:rsidRDefault="008E3CD5" w:rsidP="00463BE1">
            <w:pPr>
              <w:spacing w:after="0" w:line="240" w:lineRule="auto"/>
              <w:ind w:right="126"/>
              <w:jc w:val="both"/>
              <w:rPr>
                <w:rFonts w:ascii="Verdana" w:eastAsia="Calibri" w:hAnsi="Verdana" w:cs="Arial"/>
                <w:i/>
                <w:iCs/>
                <w:sz w:val="16"/>
                <w:szCs w:val="16"/>
                <w:lang w:eastAsia="es-ES"/>
              </w:rPr>
            </w:pPr>
            <w:r w:rsidRPr="00FC181B">
              <w:rPr>
                <w:rFonts w:ascii="Verdana" w:eastAsia="Calibri" w:hAnsi="Verdana" w:cs="Arial"/>
                <w:b/>
                <w:bCs/>
                <w:i/>
                <w:iCs/>
                <w:sz w:val="16"/>
                <w:szCs w:val="16"/>
                <w:lang w:eastAsia="es-ES"/>
              </w:rPr>
              <w:t>3.6.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BATERIAS SANITARIAS Y/O REDES HIDROSANITARIAS Y/O TANQUES DE ALMACENAMIENTO Y/O SISTEMAS DE BOMBEO Y/O REDES CONTRA INCENDIOS DE INFRAESTRUCTURA INSTITUCIONAL - SITIOS DE RECLUSIÓN</w:t>
            </w:r>
          </w:p>
        </w:tc>
        <w:tc>
          <w:tcPr>
            <w:tcW w:w="1188" w:type="pct"/>
            <w:tcBorders>
              <w:top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hideMark/>
          </w:tcPr>
          <w:p w14:paraId="084AA685" w14:textId="77777777" w:rsidR="008E3CD5" w:rsidRPr="00FC181B" w:rsidRDefault="008E3CD5" w:rsidP="00463BE1">
            <w:pPr>
              <w:spacing w:after="0" w:line="240" w:lineRule="auto"/>
              <w:ind w:right="287"/>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GENERAL</w:t>
            </w:r>
          </w:p>
        </w:tc>
        <w:tc>
          <w:tcPr>
            <w:tcW w:w="2145" w:type="pct"/>
            <w:tcBorders>
              <w:top w:val="single" w:sz="4" w:space="0" w:color="000000"/>
              <w:bottom w:val="single" w:sz="4" w:space="0" w:color="000000"/>
              <w:right w:val="single" w:sz="8" w:space="0" w:color="000000"/>
            </w:tcBorders>
            <w:shd w:val="clear" w:color="auto" w:fill="FFFFFF"/>
            <w:tcMar>
              <w:top w:w="15" w:type="dxa"/>
              <w:left w:w="15" w:type="dxa"/>
              <w:bottom w:w="0" w:type="dxa"/>
              <w:right w:w="15" w:type="dxa"/>
            </w:tcMar>
            <w:vAlign w:val="center"/>
            <w:hideMark/>
          </w:tcPr>
          <w:p w14:paraId="32E3000D" w14:textId="77777777" w:rsidR="008E3CD5" w:rsidRPr="00FC181B" w:rsidRDefault="008E3CD5" w:rsidP="00463BE1">
            <w:pPr>
              <w:spacing w:after="0" w:line="240" w:lineRule="auto"/>
              <w:ind w:right="24"/>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PROYECTOS QUE CORRESPONDAN Y/O CONTEMPLEN ACTIVIDADES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BATERIAS SANITARIAS Y/O REDES HIDROSANITARIAS Y/O TANQUES DE ALMACENAMIENTO Y/O SISTEMAS DE BOMBEO Y/O REDES CONTRA INCENDIOS DE EDIFICACIONES</w:t>
            </w:r>
          </w:p>
        </w:tc>
      </w:tr>
      <w:tr w:rsidR="008E3CD5" w:rsidRPr="00FC181B" w14:paraId="0735BEA4" w14:textId="77777777" w:rsidTr="00463BE1">
        <w:trPr>
          <w:trHeight w:val="525"/>
        </w:trPr>
        <w:tc>
          <w:tcPr>
            <w:tcW w:w="1667" w:type="pct"/>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E307489"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p>
        </w:tc>
        <w:tc>
          <w:tcPr>
            <w:tcW w:w="1188"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hideMark/>
          </w:tcPr>
          <w:p w14:paraId="13F37E91" w14:textId="77777777" w:rsidR="008E3CD5" w:rsidRPr="00FC181B" w:rsidRDefault="008E3CD5" w:rsidP="00463BE1">
            <w:pPr>
              <w:spacing w:after="0" w:line="240" w:lineRule="auto"/>
              <w:ind w:right="287"/>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ESPECIFICA</w:t>
            </w:r>
          </w:p>
        </w:tc>
        <w:tc>
          <w:tcPr>
            <w:tcW w:w="2145" w:type="pct"/>
            <w:tcBorders>
              <w:top w:val="single" w:sz="4" w:space="0" w:color="000000"/>
              <w:bottom w:val="single" w:sz="4" w:space="0" w:color="000000"/>
              <w:right w:val="single" w:sz="8" w:space="0" w:color="000000"/>
            </w:tcBorders>
            <w:shd w:val="clear" w:color="auto" w:fill="FFFFFF"/>
            <w:tcMar>
              <w:top w:w="15" w:type="dxa"/>
              <w:left w:w="15" w:type="dxa"/>
              <w:bottom w:w="0" w:type="dxa"/>
              <w:right w:w="15" w:type="dxa"/>
            </w:tcMar>
            <w:vAlign w:val="center"/>
            <w:hideMark/>
          </w:tcPr>
          <w:p w14:paraId="7F4B4F7F" w14:textId="77777777" w:rsidR="008E3CD5" w:rsidRPr="00FC181B" w:rsidRDefault="008E3CD5" w:rsidP="00463BE1">
            <w:pPr>
              <w:spacing w:after="0" w:line="240" w:lineRule="auto"/>
              <w:ind w:right="24"/>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Por lo menos uno (1) de los contratos válidos aportados como experiencia general debe corresponder mínimo al </w:t>
            </w:r>
            <w:r w:rsidRPr="00FC181B">
              <w:rPr>
                <w:rFonts w:ascii="Verdana" w:eastAsia="Calibri" w:hAnsi="Verdana" w:cs="Arial"/>
                <w:b/>
                <w:bCs/>
                <w:i/>
                <w:iCs/>
                <w:sz w:val="16"/>
                <w:szCs w:val="16"/>
                <w:lang w:eastAsia="es-ES"/>
              </w:rPr>
              <w:t>30% del presupuesto oficial</w:t>
            </w:r>
            <w:r w:rsidRPr="00FC181B">
              <w:rPr>
                <w:rFonts w:ascii="Verdana" w:eastAsia="Calibri" w:hAnsi="Verdana" w:cs="Arial"/>
                <w:i/>
                <w:iCs/>
                <w:sz w:val="16"/>
                <w:szCs w:val="16"/>
                <w:lang w:eastAsia="es-ES"/>
              </w:rPr>
              <w:t> del presente proceso de selección.</w:t>
            </w:r>
          </w:p>
        </w:tc>
      </w:tr>
      <w:tr w:rsidR="008E3CD5" w:rsidRPr="00FC181B" w14:paraId="06E3962B" w14:textId="77777777" w:rsidTr="00463BE1">
        <w:trPr>
          <w:trHeight w:val="2070"/>
        </w:trPr>
        <w:tc>
          <w:tcPr>
            <w:tcW w:w="1667" w:type="pct"/>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3DF44AA"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p>
        </w:tc>
        <w:tc>
          <w:tcPr>
            <w:tcW w:w="1188" w:type="pct"/>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759F23F"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p>
        </w:tc>
        <w:tc>
          <w:tcPr>
            <w:tcW w:w="2145" w:type="pct"/>
            <w:tcBorders>
              <w:bottom w:val="single" w:sz="4" w:space="0" w:color="000000"/>
              <w:right w:val="single" w:sz="8" w:space="0" w:color="000000"/>
            </w:tcBorders>
            <w:shd w:val="clear" w:color="auto" w:fill="FFFFFF"/>
            <w:tcMar>
              <w:top w:w="15" w:type="dxa"/>
              <w:left w:w="15" w:type="dxa"/>
              <w:bottom w:w="0" w:type="dxa"/>
              <w:right w:w="15" w:type="dxa"/>
            </w:tcMar>
            <w:vAlign w:val="center"/>
            <w:hideMark/>
          </w:tcPr>
          <w:p w14:paraId="70AF0F1C" w14:textId="77777777" w:rsidR="008E3CD5" w:rsidRPr="00FC181B" w:rsidRDefault="008E3CD5" w:rsidP="00463BE1">
            <w:pPr>
              <w:spacing w:after="0" w:line="240" w:lineRule="auto"/>
              <w:ind w:right="24"/>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[Para el caso de proyectos que correspondan y/o contemplen la intervención del sistema de almacenamiento y/o bombeo y/o redes contra incendio, se deberá incluir esta experiencia específica adicional:]</w:t>
            </w:r>
            <w:r w:rsidRPr="00FC181B">
              <w:rPr>
                <w:rFonts w:ascii="Verdana" w:eastAsia="Calibri" w:hAnsi="Verdana" w:cs="Arial"/>
                <w:i/>
                <w:iCs/>
                <w:sz w:val="16"/>
                <w:szCs w:val="16"/>
                <w:lang w:eastAsia="es-ES"/>
              </w:rPr>
              <w:br/>
              <w:t>Por lo menos uno (1) de los contratos válidos aportados como experiencia general debe contemplar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sistemas de almacenamiento de agua y/o sistema de bombas y/o sistemas de redes contraincendio. </w:t>
            </w:r>
          </w:p>
        </w:tc>
      </w:tr>
      <w:tr w:rsidR="008E3CD5" w:rsidRPr="00FC181B" w14:paraId="722D2A2A" w14:textId="77777777" w:rsidTr="00463BE1">
        <w:trPr>
          <w:trHeight w:val="1905"/>
        </w:trPr>
        <w:tc>
          <w:tcPr>
            <w:tcW w:w="1667" w:type="pct"/>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4049FCC"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p>
        </w:tc>
        <w:tc>
          <w:tcPr>
            <w:tcW w:w="1188" w:type="pct"/>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0734D72"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p>
        </w:tc>
        <w:tc>
          <w:tcPr>
            <w:tcW w:w="2145" w:type="pct"/>
            <w:tcBorders>
              <w:top w:val="single" w:sz="4" w:space="0" w:color="000000"/>
              <w:bottom w:val="single" w:sz="4" w:space="0" w:color="000000"/>
              <w:right w:val="single" w:sz="8" w:space="0" w:color="000000"/>
            </w:tcBorders>
            <w:shd w:val="clear" w:color="auto" w:fill="FFFFFF"/>
            <w:tcMar>
              <w:top w:w="15" w:type="dxa"/>
              <w:left w:w="15" w:type="dxa"/>
              <w:bottom w:w="0" w:type="dxa"/>
              <w:right w:w="15" w:type="dxa"/>
            </w:tcMar>
            <w:vAlign w:val="center"/>
            <w:hideMark/>
          </w:tcPr>
          <w:p w14:paraId="026EDD51" w14:textId="77777777" w:rsidR="008E3CD5" w:rsidRPr="00FC181B" w:rsidRDefault="008E3CD5" w:rsidP="00463BE1">
            <w:pPr>
              <w:spacing w:after="0" w:line="240" w:lineRule="auto"/>
              <w:ind w:right="166"/>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[En caso tal que la entidad considere y justifique la necesidad de exigir experiencia en una edificación o lugar de sitios de reclusión establecerá esta condición de experiencia específica adicional sin realizar modificaciones a lo indicado a continuación:]</w:t>
            </w:r>
            <w:r w:rsidRPr="00FC181B">
              <w:rPr>
                <w:rFonts w:ascii="Verdana" w:eastAsia="Calibri" w:hAnsi="Verdana" w:cs="Arial"/>
                <w:i/>
                <w:iCs/>
                <w:sz w:val="16"/>
                <w:szCs w:val="16"/>
                <w:lang w:eastAsia="es-ES"/>
              </w:rPr>
              <w:br/>
            </w:r>
            <w:r w:rsidRPr="00FC181B">
              <w:rPr>
                <w:rFonts w:ascii="Verdana" w:eastAsia="Calibri" w:hAnsi="Verdana" w:cs="Arial"/>
                <w:i/>
                <w:iCs/>
                <w:sz w:val="16"/>
                <w:szCs w:val="16"/>
                <w:lang w:eastAsia="es-ES"/>
              </w:rPr>
              <w:br/>
              <w:t>Por lo menos uno (1) de los contratos válidos aportados como experiencia general debe corresponder a edificación o lugar de sitios de reclusión igual o superior al </w:t>
            </w:r>
            <w:r w:rsidRPr="00FC181B">
              <w:rPr>
                <w:rFonts w:ascii="Verdana" w:eastAsia="Calibri" w:hAnsi="Verdana" w:cs="Arial"/>
                <w:b/>
                <w:bCs/>
                <w:i/>
                <w:iCs/>
                <w:sz w:val="16"/>
                <w:szCs w:val="16"/>
                <w:lang w:eastAsia="es-ES"/>
              </w:rPr>
              <w:t>(F%) </w:t>
            </w:r>
            <w:r w:rsidRPr="00FC181B">
              <w:rPr>
                <w:rFonts w:ascii="Verdana" w:eastAsia="Calibri" w:hAnsi="Verdana" w:cs="Arial"/>
                <w:i/>
                <w:iCs/>
                <w:sz w:val="16"/>
                <w:szCs w:val="16"/>
                <w:lang w:eastAsia="es-ES"/>
              </w:rPr>
              <w:t>del total de metros cuadrados del proceso de selección, el cual corresponde a [la entidad indicará los metros cuadrados para el proceso de selección].</w:t>
            </w:r>
          </w:p>
        </w:tc>
      </w:tr>
      <w:tr w:rsidR="008E3CD5" w:rsidRPr="00FC181B" w14:paraId="61E58946" w14:textId="77777777" w:rsidTr="00463BE1">
        <w:trPr>
          <w:trHeight w:val="300"/>
        </w:trPr>
        <w:tc>
          <w:tcPr>
            <w:tcW w:w="1667" w:type="pct"/>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B780E0"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p>
        </w:tc>
        <w:tc>
          <w:tcPr>
            <w:tcW w:w="1188" w:type="pct"/>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hideMark/>
          </w:tcPr>
          <w:p w14:paraId="1FD7E645" w14:textId="77777777" w:rsidR="008E3CD5" w:rsidRPr="00FC181B" w:rsidRDefault="008E3CD5" w:rsidP="00463BE1">
            <w:pPr>
              <w:spacing w:after="0" w:line="240" w:lineRule="auto"/>
              <w:ind w:right="3"/>
              <w:jc w:val="both"/>
              <w:rPr>
                <w:rFonts w:ascii="Verdana" w:eastAsia="Calibri" w:hAnsi="Verdana" w:cs="Arial"/>
                <w:i/>
                <w:iCs/>
                <w:sz w:val="16"/>
                <w:szCs w:val="16"/>
                <w:lang w:eastAsia="es-ES"/>
              </w:rPr>
            </w:pPr>
            <w:r w:rsidRPr="00FC181B">
              <w:rPr>
                <w:rFonts w:ascii="Verdana" w:eastAsia="Calibri" w:hAnsi="Verdana" w:cs="Arial"/>
                <w:i/>
                <w:iCs/>
                <w:sz w:val="16"/>
                <w:szCs w:val="16"/>
                <w:lang w:eastAsia="es-ES"/>
              </w:rPr>
              <w:t> % DE DIMENSIONAMIENTO (Según la magnitud requerida en el proceso de contratación)</w:t>
            </w:r>
          </w:p>
        </w:tc>
        <w:tc>
          <w:tcPr>
            <w:tcW w:w="2145" w:type="pct"/>
            <w:tcBorders>
              <w:top w:val="single" w:sz="4" w:space="0" w:color="000000"/>
              <w:bottom w:val="single" w:sz="4" w:space="0" w:color="000000"/>
              <w:right w:val="single" w:sz="8" w:space="0" w:color="000000"/>
            </w:tcBorders>
            <w:shd w:val="clear" w:color="auto" w:fill="FFFFFF"/>
            <w:tcMar>
              <w:top w:w="15" w:type="dxa"/>
              <w:left w:w="15" w:type="dxa"/>
              <w:bottom w:w="0" w:type="dxa"/>
              <w:right w:w="15" w:type="dxa"/>
            </w:tcMar>
            <w:vAlign w:val="center"/>
            <w:hideMark/>
          </w:tcPr>
          <w:p w14:paraId="38A9B730"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r w:rsidRPr="00FC181B">
              <w:rPr>
                <w:rFonts w:ascii="Verdana" w:eastAsia="Calibri" w:hAnsi="Verdana" w:cs="Arial"/>
                <w:b/>
                <w:bCs/>
                <w:i/>
                <w:iCs/>
                <w:sz w:val="16"/>
                <w:szCs w:val="16"/>
                <w:lang w:eastAsia="es-ES"/>
              </w:rPr>
              <w:t>Valor de F%</w:t>
            </w:r>
          </w:p>
        </w:tc>
      </w:tr>
      <w:tr w:rsidR="008E3CD5" w:rsidRPr="00FC181B" w14:paraId="033F266D" w14:textId="77777777" w:rsidTr="00463BE1">
        <w:trPr>
          <w:trHeight w:val="555"/>
        </w:trPr>
        <w:tc>
          <w:tcPr>
            <w:tcW w:w="1667" w:type="pct"/>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DD01E4B"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p>
        </w:tc>
        <w:tc>
          <w:tcPr>
            <w:tcW w:w="1188" w:type="pct"/>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426F13E"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p>
        </w:tc>
        <w:tc>
          <w:tcPr>
            <w:tcW w:w="2145" w:type="pct"/>
            <w:tcBorders>
              <w:top w:val="single" w:sz="4" w:space="0" w:color="000000"/>
              <w:bottom w:val="single" w:sz="4" w:space="0" w:color="000000"/>
              <w:right w:val="single" w:sz="8" w:space="0" w:color="000000"/>
            </w:tcBorders>
            <w:shd w:val="clear" w:color="auto" w:fill="FFFFFF"/>
            <w:tcMar>
              <w:top w:w="15" w:type="dxa"/>
              <w:left w:w="15" w:type="dxa"/>
              <w:bottom w:w="0" w:type="dxa"/>
              <w:right w:w="15" w:type="dxa"/>
            </w:tcMar>
            <w:vAlign w:val="center"/>
            <w:hideMark/>
          </w:tcPr>
          <w:p w14:paraId="1501DB1A" w14:textId="77777777" w:rsidR="008E3CD5" w:rsidRPr="00FC181B" w:rsidRDefault="008E3CD5" w:rsidP="00463BE1">
            <w:pPr>
              <w:spacing w:after="0" w:line="240" w:lineRule="auto"/>
              <w:ind w:right="709"/>
              <w:jc w:val="both"/>
              <w:rPr>
                <w:rFonts w:ascii="Verdana" w:eastAsia="Calibri" w:hAnsi="Verdana" w:cs="Arial"/>
                <w:i/>
                <w:iCs/>
                <w:sz w:val="16"/>
                <w:szCs w:val="16"/>
                <w:lang w:eastAsia="es-ES"/>
              </w:rPr>
            </w:pPr>
            <w:r w:rsidRPr="00FC181B">
              <w:rPr>
                <w:rFonts w:ascii="Verdana" w:eastAsia="Calibri" w:hAnsi="Verdana" w:cs="Arial"/>
                <w:b/>
                <w:bCs/>
                <w:i/>
                <w:iCs/>
                <w:sz w:val="16"/>
                <w:szCs w:val="16"/>
                <w:lang w:eastAsia="es-ES"/>
              </w:rPr>
              <w:t>30%</w:t>
            </w:r>
          </w:p>
        </w:tc>
      </w:tr>
    </w:tbl>
    <w:p w14:paraId="28B1DCFF" w14:textId="77777777" w:rsidR="008E3CD5" w:rsidRPr="00FC181B" w:rsidRDefault="008E3CD5" w:rsidP="008E3CD5">
      <w:pPr>
        <w:spacing w:after="0" w:line="240" w:lineRule="auto"/>
        <w:ind w:right="709"/>
        <w:jc w:val="both"/>
        <w:rPr>
          <w:rFonts w:ascii="Verdana" w:eastAsia="Calibri" w:hAnsi="Verdana" w:cs="Arial"/>
          <w:i/>
          <w:iCs/>
          <w:sz w:val="20"/>
          <w:szCs w:val="20"/>
          <w:lang w:eastAsia="es-ES"/>
        </w:rPr>
      </w:pPr>
    </w:p>
    <w:p w14:paraId="4A77DB5C" w14:textId="77777777" w:rsidR="008E3CD5" w:rsidRPr="00FC181B" w:rsidRDefault="008E3CD5" w:rsidP="008E3CD5">
      <w:pPr>
        <w:spacing w:after="0" w:line="240" w:lineRule="auto"/>
        <w:ind w:left="709" w:right="709"/>
        <w:jc w:val="both"/>
        <w:rPr>
          <w:rFonts w:ascii="Verdana" w:eastAsia="Calibri" w:hAnsi="Verdana" w:cs="Arial"/>
          <w:i/>
          <w:iCs/>
          <w:sz w:val="20"/>
          <w:szCs w:val="20"/>
          <w:lang w:eastAsia="es-ES"/>
        </w:rPr>
      </w:pPr>
      <w:r w:rsidRPr="00FC181B">
        <w:rPr>
          <w:rFonts w:ascii="Verdana" w:eastAsia="Calibri" w:hAnsi="Verdana" w:cs="Arial"/>
          <w:i/>
          <w:iCs/>
          <w:sz w:val="20"/>
          <w:szCs w:val="20"/>
          <w:lang w:eastAsia="es-ES"/>
        </w:rPr>
        <w:t>En este orden de ideas, se requiere saber si se debe aplicar documentos tipo para el objeto 3, el alcance es el mantenimiento de los tanques, lavado y desinfección, no es obra.</w:t>
      </w:r>
    </w:p>
    <w:p w14:paraId="73273628" w14:textId="77777777" w:rsidR="008E3CD5" w:rsidRPr="00FC181B" w:rsidRDefault="008E3CD5" w:rsidP="008E3CD5">
      <w:pPr>
        <w:spacing w:after="0" w:line="240" w:lineRule="auto"/>
        <w:ind w:left="709" w:right="709"/>
        <w:jc w:val="both"/>
        <w:rPr>
          <w:rFonts w:ascii="Verdana" w:eastAsia="Calibri" w:hAnsi="Verdana" w:cs="Arial"/>
          <w:i/>
          <w:iCs/>
          <w:sz w:val="20"/>
          <w:szCs w:val="20"/>
          <w:lang w:eastAsia="es-ES"/>
        </w:rPr>
      </w:pPr>
    </w:p>
    <w:p w14:paraId="42557F49" w14:textId="77777777" w:rsidR="008E3CD5" w:rsidRPr="00FC181B" w:rsidRDefault="008E3CD5" w:rsidP="008E3CD5">
      <w:pPr>
        <w:spacing w:after="0" w:line="240" w:lineRule="auto"/>
        <w:ind w:left="709" w:right="709"/>
        <w:jc w:val="both"/>
        <w:rPr>
          <w:rFonts w:ascii="Verdana" w:eastAsia="Calibri" w:hAnsi="Verdana" w:cs="Arial"/>
          <w:i/>
          <w:iCs/>
          <w:sz w:val="20"/>
          <w:szCs w:val="20"/>
          <w:lang w:eastAsia="es-ES"/>
        </w:rPr>
      </w:pPr>
      <w:r w:rsidRPr="00FC181B">
        <w:rPr>
          <w:rFonts w:ascii="Verdana" w:eastAsia="Calibri" w:hAnsi="Verdana" w:cs="Arial"/>
          <w:i/>
          <w:iCs/>
          <w:sz w:val="20"/>
          <w:szCs w:val="20"/>
          <w:lang w:eastAsia="es-ES"/>
        </w:rPr>
        <w:t>En este orden de ideas si aplica, cómo se diligencia el espacio de presupuesto, toda vez que no se maneja AIU, y que otra consideración se hace necesaria para diligenciamiento de forma práctica.</w:t>
      </w:r>
    </w:p>
    <w:p w14:paraId="6500FCCB" w14:textId="77777777" w:rsidR="008E3CD5" w:rsidRPr="005277C6" w:rsidRDefault="008E3CD5" w:rsidP="008E3CD5">
      <w:pPr>
        <w:spacing w:after="0" w:line="240" w:lineRule="auto"/>
        <w:ind w:right="709"/>
        <w:jc w:val="both"/>
        <w:rPr>
          <w:rFonts w:ascii="Verdana" w:eastAsia="Calibri" w:hAnsi="Verdana" w:cs="Arial"/>
          <w:i/>
          <w:iCs/>
          <w:sz w:val="20"/>
          <w:szCs w:val="20"/>
          <w:lang w:eastAsia="es-ES"/>
        </w:rPr>
      </w:pPr>
    </w:p>
    <w:p w14:paraId="71EED973" w14:textId="77777777" w:rsidR="008E3CD5" w:rsidRPr="005277C6" w:rsidRDefault="008E3CD5" w:rsidP="008E3CD5">
      <w:pPr>
        <w:spacing w:after="0" w:line="240" w:lineRule="auto"/>
        <w:ind w:left="709" w:right="709"/>
        <w:jc w:val="both"/>
        <w:rPr>
          <w:rFonts w:ascii="Verdana" w:eastAsia="Calibri" w:hAnsi="Verdana" w:cs="Arial"/>
          <w:i/>
          <w:iCs/>
          <w:sz w:val="20"/>
          <w:szCs w:val="20"/>
          <w:lang w:val="es-ES" w:eastAsia="es-ES"/>
        </w:rPr>
      </w:pPr>
      <w:r w:rsidRPr="005277C6">
        <w:rPr>
          <w:rFonts w:ascii="Verdana" w:eastAsia="Calibri" w:hAnsi="Verdana" w:cs="Arial"/>
          <w:i/>
          <w:iCs/>
          <w:sz w:val="20"/>
          <w:szCs w:val="20"/>
          <w:lang w:val="es-ES" w:eastAsia="es-ES"/>
        </w:rPr>
        <w:t>(…)</w:t>
      </w:r>
      <w:r w:rsidRPr="005277C6">
        <w:rPr>
          <w:rFonts w:ascii="Verdana" w:eastAsia="Calibri" w:hAnsi="Verdana" w:cs="Arial"/>
          <w:i/>
          <w:iCs/>
          <w:sz w:val="20"/>
          <w:szCs w:val="20"/>
          <w:lang w:eastAsia="es-ES"/>
        </w:rPr>
        <w:t>”</w:t>
      </w:r>
    </w:p>
    <w:p w14:paraId="73190B95" w14:textId="77777777" w:rsidR="008E3CD5" w:rsidRPr="00FC181B" w:rsidRDefault="008E3CD5" w:rsidP="008E3CD5">
      <w:pPr>
        <w:spacing w:after="0" w:line="276" w:lineRule="auto"/>
        <w:ind w:left="709" w:right="709"/>
        <w:jc w:val="both"/>
        <w:rPr>
          <w:rFonts w:ascii="Verdana" w:eastAsia="Times New Roman" w:hAnsi="Verdana" w:cs="Times New Roman"/>
          <w:sz w:val="20"/>
          <w:szCs w:val="20"/>
          <w:lang w:eastAsia="es-CO"/>
        </w:rPr>
      </w:pPr>
    </w:p>
    <w:p w14:paraId="22DE483E" w14:textId="77777777" w:rsidR="008E3CD5" w:rsidRPr="003125D1" w:rsidRDefault="008E3CD5" w:rsidP="008E3CD5">
      <w:pPr>
        <w:spacing w:after="120" w:line="276" w:lineRule="auto"/>
        <w:ind w:firstLine="709"/>
        <w:jc w:val="both"/>
        <w:rPr>
          <w:rFonts w:ascii="Verdana" w:eastAsia="Calibri" w:hAnsi="Verdana" w:cs="Arial"/>
          <w:lang w:val="es-ES_tradnl" w:eastAsia="es-ES_tradnl"/>
        </w:rPr>
      </w:pPr>
      <w:r w:rsidRPr="003125D1">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125D1">
        <w:rPr>
          <w:rFonts w:ascii="Verdana" w:eastAsia="Calibri" w:hAnsi="Verdana" w:cs="Arial"/>
          <w:lang w:val="es-ES_tradnl" w:eastAsia="es-ES_tradnl"/>
        </w:rPr>
        <w:tab/>
      </w:r>
    </w:p>
    <w:p w14:paraId="448648C4" w14:textId="77777777" w:rsidR="008E3CD5" w:rsidRPr="003125D1" w:rsidRDefault="008E3CD5" w:rsidP="008E3CD5">
      <w:pPr>
        <w:spacing w:after="0" w:line="276" w:lineRule="auto"/>
        <w:ind w:firstLine="708"/>
        <w:jc w:val="both"/>
        <w:rPr>
          <w:rFonts w:ascii="Verdana" w:eastAsia="Calibri" w:hAnsi="Verdana" w:cs="Arial"/>
          <w:lang w:val="es-ES" w:eastAsia="es-ES"/>
        </w:rPr>
      </w:pPr>
      <w:r w:rsidRPr="003125D1">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6EA263AA" w14:textId="77777777" w:rsidR="008E3CD5" w:rsidRPr="003125D1" w:rsidRDefault="008E3CD5" w:rsidP="008E3CD5">
      <w:pPr>
        <w:spacing w:after="0" w:line="276" w:lineRule="auto"/>
        <w:ind w:firstLine="709"/>
        <w:jc w:val="both"/>
        <w:rPr>
          <w:rFonts w:ascii="Verdana" w:eastAsia="Calibri" w:hAnsi="Verdana" w:cs="Arial"/>
          <w:lang w:val="es-ES" w:eastAsia="es-ES"/>
        </w:rPr>
      </w:pPr>
    </w:p>
    <w:p w14:paraId="66D65024" w14:textId="77777777" w:rsidR="008E3CD5" w:rsidRPr="003125D1" w:rsidRDefault="008E3CD5" w:rsidP="008E3CD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3125D1">
        <w:rPr>
          <w:rFonts w:ascii="Verdana" w:eastAsia="Century Gothic" w:hAnsi="Verdana" w:cs="Century Gothic"/>
          <w:b/>
          <w:bCs/>
          <w:lang w:val="es-ES"/>
        </w:rPr>
        <w:t>Problema planteado:</w:t>
      </w:r>
    </w:p>
    <w:p w14:paraId="46CD57C2" w14:textId="77777777" w:rsidR="008E3CD5" w:rsidRPr="003125D1" w:rsidRDefault="008E3CD5" w:rsidP="008E3CD5">
      <w:pPr>
        <w:tabs>
          <w:tab w:val="left" w:pos="426"/>
        </w:tabs>
        <w:spacing w:after="0" w:line="276" w:lineRule="auto"/>
        <w:jc w:val="both"/>
        <w:rPr>
          <w:rFonts w:ascii="Verdana" w:eastAsia="Century Gothic" w:hAnsi="Verdana" w:cs="Century Gothic"/>
          <w:lang w:val="es-ES"/>
        </w:rPr>
      </w:pPr>
    </w:p>
    <w:p w14:paraId="4EAC8FC8" w14:textId="77777777" w:rsidR="008E3CD5" w:rsidRPr="003125D1" w:rsidRDefault="008E3CD5" w:rsidP="008E3CD5">
      <w:pPr>
        <w:spacing w:line="276" w:lineRule="auto"/>
        <w:jc w:val="both"/>
        <w:rPr>
          <w:rFonts w:ascii="Verdana" w:eastAsia="Century Gothic" w:hAnsi="Verdana" w:cs="Century Gothic"/>
        </w:rPr>
      </w:pPr>
      <w:r w:rsidRPr="003125D1">
        <w:rPr>
          <w:rFonts w:ascii="Verdana" w:eastAsia="Century Gothic" w:hAnsi="Verdana" w:cs="Century Gothic"/>
        </w:rPr>
        <w:t>De acuerdo con el contenido de su solicitud, esta Agencia resolverá el siguiente problema jurídico:</w:t>
      </w:r>
    </w:p>
    <w:p w14:paraId="4D14D17C" w14:textId="77777777" w:rsidR="008E3CD5" w:rsidRDefault="008E3CD5" w:rsidP="008E3CD5">
      <w:pPr>
        <w:pStyle w:val="ListParagraph"/>
        <w:numPr>
          <w:ilvl w:val="0"/>
          <w:numId w:val="19"/>
        </w:numPr>
        <w:spacing w:line="276" w:lineRule="auto"/>
        <w:jc w:val="both"/>
        <w:rPr>
          <w:rFonts w:ascii="Verdana" w:eastAsia="Century Gothic" w:hAnsi="Verdana" w:cs="Century Gothic"/>
        </w:rPr>
      </w:pPr>
      <w:r>
        <w:rPr>
          <w:rFonts w:ascii="Verdana" w:eastAsia="Century Gothic" w:hAnsi="Verdana" w:cs="Century Gothic"/>
        </w:rPr>
        <w:t>¿</w:t>
      </w:r>
      <w:r w:rsidRPr="00723D62">
        <w:rPr>
          <w:rFonts w:ascii="Verdana" w:eastAsia="Century Gothic" w:hAnsi="Verdana" w:cs="Century Gothic"/>
        </w:rPr>
        <w:t>Resulta obligatoria la aplicación de los Documentos Tipo para procesos contractuales cuyo objeto corresponde exclusivamente al suministro o adquisición de bienes relacionados con sistemas de aire acondicionado, ventilación o refrigeración, sin que se contemplen actividades de obra, instalación o intervención sobre infraestructura?</w:t>
      </w:r>
    </w:p>
    <w:p w14:paraId="32B5561E" w14:textId="77777777" w:rsidR="008E3CD5" w:rsidRPr="000514CC" w:rsidRDefault="008E3CD5" w:rsidP="008E3CD5">
      <w:pPr>
        <w:pStyle w:val="ListParagraph"/>
        <w:numPr>
          <w:ilvl w:val="0"/>
          <w:numId w:val="19"/>
        </w:numPr>
        <w:spacing w:line="276" w:lineRule="auto"/>
        <w:jc w:val="both"/>
        <w:rPr>
          <w:rFonts w:ascii="Verdana" w:eastAsia="Century Gothic" w:hAnsi="Verdana" w:cs="Century Gothic"/>
        </w:rPr>
      </w:pPr>
      <w:r w:rsidRPr="000514CC">
        <w:rPr>
          <w:rFonts w:ascii="Verdana" w:eastAsia="Century Gothic" w:hAnsi="Verdana" w:cs="Century Gothic"/>
          <w:lang w:val="es-CO"/>
        </w:rPr>
        <w:t>¿Resultan aplicables los Documentos Tipo para procesos de contratación cuyo objeto consiste en la prestación de servicios de mantenimiento, verificación, calibración, reparación, suministro e instalación de componentes de redes de gases existentes en una edificación institucional, cuando las actividades se desarrollan sobre una infraestructura ya construida y no corresponden a un proyecto de obra pública de construcción, ampliación, adecuación o intervención integral de red</w:t>
      </w:r>
      <w:r>
        <w:rPr>
          <w:rFonts w:ascii="Verdana" w:eastAsia="Century Gothic" w:hAnsi="Verdana" w:cs="Century Gothic"/>
          <w:lang w:val="es-CO"/>
        </w:rPr>
        <w:t>?</w:t>
      </w:r>
    </w:p>
    <w:p w14:paraId="71B58F18" w14:textId="77777777" w:rsidR="008E3CD5" w:rsidRPr="00725945" w:rsidRDefault="008E3CD5" w:rsidP="008E3CD5">
      <w:pPr>
        <w:pStyle w:val="ListParagraph"/>
        <w:numPr>
          <w:ilvl w:val="0"/>
          <w:numId w:val="19"/>
        </w:numPr>
        <w:spacing w:line="276" w:lineRule="auto"/>
        <w:jc w:val="both"/>
        <w:rPr>
          <w:rFonts w:ascii="Verdana" w:eastAsia="Century Gothic" w:hAnsi="Verdana" w:cs="Century Gothic"/>
        </w:rPr>
      </w:pPr>
      <w:r w:rsidRPr="00A467DD">
        <w:rPr>
          <w:rFonts w:ascii="Verdana" w:eastAsia="Century Gothic" w:hAnsi="Verdana" w:cs="Century Gothic"/>
          <w:lang w:val="es-CO"/>
        </w:rPr>
        <w:t>¿Resultan aplicables los Documentos Tipo para procesos de contratación cuyo objeto consiste exclusivamente en la prestación de servicios de mantenimiento de tanques de almacenamiento de agua potable existentes, incluyendo actividades de lavado, limpieza, desinfección, inspección y mantenimiento preventivo o correctivo, sin que se ejecuten obras de construcción, ampliación, adecuación, reposición o intervención física de la infraestructura; o la obligatoriedad de los Documentos Tipo debe determinarse a partir de la naturaleza y alcance efectivo de las actividades contratadas?</w:t>
      </w:r>
    </w:p>
    <w:p w14:paraId="5D3F6F86" w14:textId="77777777" w:rsidR="008E3CD5" w:rsidRPr="00756BA9" w:rsidRDefault="008E3CD5" w:rsidP="008E3CD5">
      <w:pPr>
        <w:pStyle w:val="ListParagraph"/>
        <w:numPr>
          <w:ilvl w:val="0"/>
          <w:numId w:val="19"/>
        </w:numPr>
        <w:spacing w:line="276" w:lineRule="auto"/>
        <w:jc w:val="both"/>
        <w:rPr>
          <w:rFonts w:ascii="Verdana" w:eastAsia="Century Gothic" w:hAnsi="Verdana" w:cs="Century Gothic"/>
          <w:color w:val="000000" w:themeColor="text1"/>
        </w:rPr>
      </w:pPr>
      <w:r w:rsidRPr="00756BA9">
        <w:rPr>
          <w:rFonts w:ascii="Verdana" w:eastAsia="Century Gothic" w:hAnsi="Verdana" w:cs="Century Gothic"/>
          <w:color w:val="000000" w:themeColor="text1"/>
        </w:rPr>
        <w:t>¿Cómo debe diligenciarse el componente presupuestal cuando no se contempla la aplicación de AIU, y qué criterios o consideraciones generales deben tenerse en cuenta para el adecuado diligenciamiento de los documentos del proceso conforme a la naturaleza del contrato?</w:t>
      </w:r>
    </w:p>
    <w:p w14:paraId="35DBE09C" w14:textId="3CF556D9" w:rsidR="008E3CD5" w:rsidRDefault="008E3CD5" w:rsidP="008E3CD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3125D1">
        <w:rPr>
          <w:rFonts w:ascii="Verdana" w:eastAsia="Century Gothic" w:hAnsi="Verdana" w:cs="Century Gothic"/>
          <w:b/>
          <w:bCs/>
          <w:lang w:val="es-ES"/>
        </w:rPr>
        <w:t>Respuesta:</w:t>
      </w:r>
    </w:p>
    <w:p w14:paraId="5E74DB7D" w14:textId="77777777" w:rsidR="00AC6D18" w:rsidRPr="00AC6D18" w:rsidRDefault="00AC6D18" w:rsidP="00AC6D18">
      <w:pPr>
        <w:tabs>
          <w:tab w:val="left" w:pos="142"/>
          <w:tab w:val="left" w:pos="284"/>
        </w:tabs>
        <w:spacing w:after="0" w:line="276" w:lineRule="auto"/>
        <w:ind w:left="360"/>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E3CD5" w:rsidRPr="00AB496C" w14:paraId="7AD7E8CF" w14:textId="77777777" w:rsidTr="00463BE1">
        <w:trPr>
          <w:trHeight w:val="1057"/>
        </w:trPr>
        <w:tc>
          <w:tcPr>
            <w:tcW w:w="8828" w:type="dxa"/>
            <w:tcBorders>
              <w:top w:val="dotted" w:sz="4" w:space="0" w:color="auto"/>
              <w:left w:val="dotted" w:sz="4" w:space="0" w:color="auto"/>
              <w:bottom w:val="dotted" w:sz="4" w:space="0" w:color="auto"/>
              <w:right w:val="dotted" w:sz="4" w:space="0" w:color="auto"/>
            </w:tcBorders>
          </w:tcPr>
          <w:p w14:paraId="4F449A5C" w14:textId="77777777" w:rsidR="008E3CD5" w:rsidRPr="00333209" w:rsidRDefault="008E3CD5" w:rsidP="00463BE1">
            <w:pPr>
              <w:tabs>
                <w:tab w:val="left" w:pos="2657"/>
              </w:tabs>
              <w:spacing w:after="120" w:line="276" w:lineRule="auto"/>
              <w:jc w:val="both"/>
              <w:rPr>
                <w:rFonts w:ascii="Verdana" w:eastAsia="Calibri" w:hAnsi="Verdana" w:cs="Arial"/>
                <w:shd w:val="clear" w:color="auto" w:fill="FFFFFF"/>
                <w:lang w:val="es-ES"/>
              </w:rPr>
            </w:pPr>
            <w:r>
              <w:rPr>
                <w:rFonts w:ascii="Verdana" w:eastAsia="Calibri" w:hAnsi="Verdana" w:cs="Arial"/>
                <w:shd w:val="clear" w:color="auto" w:fill="FFFFFF"/>
              </w:rPr>
              <w:t>I). En relación con el primer interrogante planteado, es pertinente señalar que c</w:t>
            </w:r>
            <w:r w:rsidRPr="00333209">
              <w:rPr>
                <w:rFonts w:ascii="Verdana" w:eastAsia="Calibri" w:hAnsi="Verdana" w:cs="Arial"/>
                <w:shd w:val="clear" w:color="auto" w:fill="FFFFFF"/>
                <w:lang w:val="es-ES"/>
              </w:rPr>
              <w:t>uando el objeto contractual consiste exclusivamente en el suministro o adquisición de bienes, sin que comprenda actividades de instalación o cualquier otra intervención material sobre bienes inmuebles, no resulta obligatoria la aplicación de los Documentos Tipo del Sector Institucional por la sola circunstancia de que dichos bienes correspondan a sistemas de aire acondicionado, ventilación o refrigeración.</w:t>
            </w:r>
          </w:p>
          <w:p w14:paraId="15E2A586" w14:textId="77777777" w:rsidR="008E3CD5" w:rsidRPr="00333209" w:rsidRDefault="008E3CD5" w:rsidP="00463BE1">
            <w:pPr>
              <w:tabs>
                <w:tab w:val="left" w:pos="2657"/>
              </w:tabs>
              <w:spacing w:after="120" w:line="276" w:lineRule="auto"/>
              <w:ind w:firstLine="709"/>
              <w:jc w:val="both"/>
              <w:rPr>
                <w:rFonts w:ascii="Verdana" w:eastAsia="Calibri" w:hAnsi="Verdana" w:cs="Arial"/>
                <w:shd w:val="clear" w:color="auto" w:fill="FFFFFF"/>
                <w:lang w:val="es-ES"/>
              </w:rPr>
            </w:pPr>
            <w:r w:rsidRPr="00333209">
              <w:rPr>
                <w:rFonts w:ascii="Verdana" w:eastAsia="Calibri" w:hAnsi="Verdana" w:cs="Arial"/>
                <w:shd w:val="clear" w:color="auto" w:fill="FFFFFF"/>
                <w:lang w:val="es-ES"/>
              </w:rPr>
              <w:t>Lo anterior, por cuanto la obligatoriedad de los Documentos Tipo no depende de la denominación de los bienes objeto de adquisición, sino de que el objeto contractual se subsuma materialmente en alguna de las actividades previstas en la Matriz 1 – Experiencia. En este caso, las actividades 2.13 y 2.14 se encuentran referidas al suministro e instalación de redes de gases, sistemas de cocción, sistemas de aire acondicionado o sistemas de ventilación sobre infraestructura institucional de servicio público, de manera que el suministro constituye un componente accesorio de una actividad más amplia que involucra la ejecución de trabajos materiales sobre bienes inmuebles.</w:t>
            </w:r>
          </w:p>
          <w:p w14:paraId="32F4C0F3" w14:textId="77777777" w:rsidR="008E3CD5" w:rsidRPr="00333209" w:rsidRDefault="008E3CD5" w:rsidP="00463BE1">
            <w:pPr>
              <w:tabs>
                <w:tab w:val="left" w:pos="2657"/>
              </w:tabs>
              <w:spacing w:after="120" w:line="276" w:lineRule="auto"/>
              <w:ind w:firstLine="709"/>
              <w:jc w:val="both"/>
              <w:rPr>
                <w:rFonts w:ascii="Verdana" w:eastAsia="Calibri" w:hAnsi="Verdana" w:cs="Arial"/>
                <w:shd w:val="clear" w:color="auto" w:fill="FFFFFF"/>
                <w:lang w:val="es-ES"/>
              </w:rPr>
            </w:pPr>
            <w:r w:rsidRPr="00333209">
              <w:rPr>
                <w:rFonts w:ascii="Verdana" w:eastAsia="Calibri" w:hAnsi="Verdana" w:cs="Arial"/>
                <w:shd w:val="clear" w:color="auto" w:fill="FFFFFF"/>
                <w:lang w:val="es-ES"/>
              </w:rPr>
              <w:t>En este sentido, tal como se expuso en el presente concepto, el numeral 1 del artículo 32 de la Ley 80 de 1993 vincula la noción de obra pública a la construcción, mantenimiento, instalación y, en general, a la realización de trabajos materiales sobre bienes inmuebles. Por ello, cuando el proceso contractual se limita a la adquisición o provisión de equipos, sin que se contemple su instalación o intervención sobre la infraestructura existente, no se configura una actividad que corresponda materialmente a las previstas en la Matriz 1 – Experiencia de los Documentos Tipo del Sector Institucional.</w:t>
            </w:r>
          </w:p>
          <w:p w14:paraId="729AF7C0" w14:textId="77777777" w:rsidR="008E3CD5" w:rsidRDefault="008E3CD5" w:rsidP="00463BE1">
            <w:pPr>
              <w:tabs>
                <w:tab w:val="left" w:pos="2657"/>
              </w:tabs>
              <w:spacing w:after="120" w:line="276" w:lineRule="auto"/>
              <w:ind w:firstLine="709"/>
              <w:jc w:val="both"/>
              <w:rPr>
                <w:rFonts w:ascii="Verdana" w:eastAsia="Calibri" w:hAnsi="Verdana" w:cs="Arial"/>
                <w:shd w:val="clear" w:color="auto" w:fill="FFFFFF"/>
                <w:lang w:val="es-ES"/>
              </w:rPr>
            </w:pPr>
            <w:r w:rsidRPr="00333209">
              <w:rPr>
                <w:rFonts w:ascii="Verdana" w:eastAsia="Calibri" w:hAnsi="Verdana" w:cs="Arial"/>
                <w:shd w:val="clear" w:color="auto" w:fill="FFFFFF"/>
                <w:lang w:val="es-ES"/>
              </w:rPr>
              <w:t>En consecuencia, la sola adquisición o suministro de estos bienes no determina la aplicación obligatoria de los Documentos Tipo. No obstante, si el objeto contractual incluye actividades de instalación o cualquier otra intervención material sobre bienes inmuebles que permita encuadrarlo en las actividades previstas en la matriz correspondiente, la entidad deberá evaluar la procedencia de aplicar los Documentos Tipo del Sector Institucional, atendiendo al alcance real de las obligaciones contractuales y no únicamente a la denominación del contrato.</w:t>
            </w:r>
          </w:p>
          <w:p w14:paraId="3E1F79E9" w14:textId="77777777" w:rsidR="008E3CD5" w:rsidRPr="00B55167" w:rsidRDefault="008E3CD5" w:rsidP="00463BE1">
            <w:pPr>
              <w:tabs>
                <w:tab w:val="left" w:pos="2657"/>
              </w:tabs>
              <w:spacing w:after="120" w:line="276" w:lineRule="auto"/>
              <w:jc w:val="both"/>
              <w:rPr>
                <w:rFonts w:ascii="Verdana" w:eastAsia="Calibri" w:hAnsi="Verdana" w:cs="Arial"/>
                <w:shd w:val="clear" w:color="auto" w:fill="FFFFFF"/>
                <w:lang w:val="es-ES"/>
              </w:rPr>
            </w:pPr>
            <w:r>
              <w:rPr>
                <w:rFonts w:ascii="Verdana" w:eastAsia="Calibri" w:hAnsi="Verdana" w:cs="Arial"/>
                <w:shd w:val="clear" w:color="auto" w:fill="FFFFFF"/>
                <w:lang w:val="es-ES"/>
              </w:rPr>
              <w:t xml:space="preserve">II). </w:t>
            </w:r>
            <w:r w:rsidRPr="00B55167">
              <w:rPr>
                <w:rFonts w:ascii="Verdana" w:eastAsia="Calibri" w:hAnsi="Verdana" w:cs="Arial"/>
                <w:shd w:val="clear" w:color="auto" w:fill="FFFFFF"/>
                <w:lang w:val="es-ES"/>
              </w:rPr>
              <w:t>La aplicabilidad de los Documentos Tipo del Sector Institucional no puede determinarse únicamente a partir de la denominación del objeto contractual ni del hecho de que las actividades se desarrollen sobre una infraestructura previamente construida. Conforme a lo expuesto en el presente concepto, dicha determinación exige verificar si el alcance material de las actividades contratadas se subsume en alguna de las actividades previstas en la Matriz 1 – Experiencia de los Documentos Tipo del Sector Institucional.</w:t>
            </w:r>
          </w:p>
          <w:p w14:paraId="5894AE8B" w14:textId="77777777" w:rsidR="008E3CD5" w:rsidRPr="00B55167" w:rsidRDefault="008E3CD5" w:rsidP="00463BE1">
            <w:pPr>
              <w:tabs>
                <w:tab w:val="left" w:pos="2657"/>
              </w:tabs>
              <w:spacing w:after="120" w:line="276" w:lineRule="auto"/>
              <w:ind w:firstLine="709"/>
              <w:jc w:val="both"/>
              <w:rPr>
                <w:rFonts w:ascii="Verdana" w:eastAsia="Calibri" w:hAnsi="Verdana" w:cs="Arial"/>
                <w:shd w:val="clear" w:color="auto" w:fill="FFFFFF"/>
                <w:lang w:val="es-ES"/>
              </w:rPr>
            </w:pPr>
            <w:r w:rsidRPr="00B55167">
              <w:rPr>
                <w:rFonts w:ascii="Verdana" w:eastAsia="Calibri" w:hAnsi="Verdana" w:cs="Arial"/>
                <w:shd w:val="clear" w:color="auto" w:fill="FFFFFF"/>
                <w:lang w:val="es-ES"/>
              </w:rPr>
              <w:t>En este sentido, la actividad 2.13 de la referida matriz comprende expresamente proyectos de construcción, ampliación, reconstrucción, adecuación, conservación, intervención, instalación, mantenimiento, mejoramiento, modificación, rehabilitación, remodelación, reposición, reparación locativa, restauración, restitución y terminación de redes de vapor, redes de gases, redes de gas natural y sistemas de cocción de infraestructura institucional de servicio público. Por tanto, el ámbito de aplicación de dicha actividad no se limita a proyectos de construcción de nuevas redes o a intervenciones integrales sobre estas, sino que puede comprender otras actuaciones realizadas sobre redes existentes, incluyendo actividades de mantenimiento e instalación.</w:t>
            </w:r>
          </w:p>
          <w:p w14:paraId="5AF8EE99" w14:textId="77777777" w:rsidR="008E3CD5" w:rsidRPr="00B55167" w:rsidRDefault="008E3CD5" w:rsidP="00463BE1">
            <w:pPr>
              <w:tabs>
                <w:tab w:val="left" w:pos="2657"/>
              </w:tabs>
              <w:spacing w:after="120" w:line="276" w:lineRule="auto"/>
              <w:ind w:firstLine="709"/>
              <w:jc w:val="both"/>
              <w:rPr>
                <w:rFonts w:ascii="Verdana" w:eastAsia="Calibri" w:hAnsi="Verdana" w:cs="Arial"/>
                <w:shd w:val="clear" w:color="auto" w:fill="FFFFFF"/>
                <w:lang w:val="es-ES"/>
              </w:rPr>
            </w:pPr>
            <w:r w:rsidRPr="00B55167">
              <w:rPr>
                <w:rFonts w:ascii="Verdana" w:eastAsia="Calibri" w:hAnsi="Verdana" w:cs="Arial"/>
                <w:shd w:val="clear" w:color="auto" w:fill="FFFFFF"/>
                <w:lang w:val="es-ES"/>
              </w:rPr>
              <w:t>Ahora bien, corresponde a la entidad analizar de manera integral el alcance técnico del contrato, las obligaciones a cargo del contratista y las características específicas de las actividades de mantenimiento, verificación, calibración, reparación, suministro e instalación previstas en el proceso de contratación. Lo anterior, con el fin de determinar si tales actividades constituyen materialmente intervenciones sobre redes de gases de infraestructura institucional de servicio público y, en consecuencia, si se enmarcan dentro de la actividad 2.13 de la Matriz 1 – Experiencia.</w:t>
            </w:r>
          </w:p>
          <w:p w14:paraId="1AE65733" w14:textId="77777777" w:rsidR="008E3CD5" w:rsidRPr="00B55167" w:rsidRDefault="008E3CD5" w:rsidP="00463BE1">
            <w:pPr>
              <w:tabs>
                <w:tab w:val="left" w:pos="2657"/>
              </w:tabs>
              <w:spacing w:after="120" w:line="276" w:lineRule="auto"/>
              <w:ind w:firstLine="709"/>
              <w:jc w:val="both"/>
              <w:rPr>
                <w:rFonts w:ascii="Verdana" w:eastAsia="Calibri" w:hAnsi="Verdana" w:cs="Arial"/>
                <w:shd w:val="clear" w:color="auto" w:fill="FFFFFF"/>
                <w:lang w:val="es-ES"/>
              </w:rPr>
            </w:pPr>
            <w:r w:rsidRPr="00B55167">
              <w:rPr>
                <w:rFonts w:ascii="Verdana" w:eastAsia="Calibri" w:hAnsi="Verdana" w:cs="Arial"/>
                <w:shd w:val="clear" w:color="auto" w:fill="FFFFFF"/>
                <w:lang w:val="es-ES"/>
              </w:rPr>
              <w:t>En consecuencia, la obligatoriedad de aplicar los Documentos Tipo del Sector Institucional deberá definirse en cada caso concreto a partir del alcance efectivo de las actividades contratadas y de su correspondencia con las actividades previstas en la Matriz 1 – Experiencia, y no exclusivamente con fundamento en la denominación del contrato o en que la infraestructura objeto de intervención ya se encuentre construida.</w:t>
            </w:r>
          </w:p>
          <w:p w14:paraId="11ABFD6C" w14:textId="77777777" w:rsidR="008E3CD5" w:rsidRPr="0016734B" w:rsidRDefault="008E3CD5" w:rsidP="00463BE1">
            <w:pPr>
              <w:tabs>
                <w:tab w:val="left" w:pos="2657"/>
              </w:tabs>
              <w:spacing w:after="120" w:line="276" w:lineRule="auto"/>
              <w:jc w:val="both"/>
              <w:rPr>
                <w:rFonts w:ascii="Verdana" w:eastAsia="Calibri" w:hAnsi="Verdana" w:cs="Arial"/>
                <w:shd w:val="clear" w:color="auto" w:fill="FFFFFF"/>
                <w:lang w:val="es-ES"/>
              </w:rPr>
            </w:pPr>
            <w:r>
              <w:rPr>
                <w:rFonts w:ascii="Verdana" w:eastAsia="Calibri" w:hAnsi="Verdana" w:cs="Arial"/>
                <w:shd w:val="clear" w:color="auto" w:fill="FFFFFF"/>
                <w:lang w:val="es-ES"/>
              </w:rPr>
              <w:t xml:space="preserve">III). </w:t>
            </w:r>
            <w:r w:rsidRPr="0016734B">
              <w:rPr>
                <w:rFonts w:ascii="Verdana" w:eastAsia="Calibri" w:hAnsi="Verdana" w:cs="Arial"/>
                <w:shd w:val="clear" w:color="auto" w:fill="FFFFFF"/>
                <w:lang w:val="es-ES"/>
              </w:rPr>
              <w:t>La obligatoriedad de aplicar los Documentos Tipo del Sector Institucional debe determinarse a partir de la naturaleza y alcance efectivo de las actividades contratadas y de su correspondencia con las actividades previstas en la Matriz 1 – Experiencia, y no exclusivamente a partir de la denominación del contrato o de la caracterización que la entidad efectúe del objeto contractual.</w:t>
            </w:r>
          </w:p>
          <w:p w14:paraId="0E25CD10" w14:textId="77777777" w:rsidR="008E3CD5" w:rsidRPr="0016734B" w:rsidRDefault="008E3CD5" w:rsidP="00463BE1">
            <w:pPr>
              <w:tabs>
                <w:tab w:val="left" w:pos="2657"/>
              </w:tabs>
              <w:spacing w:after="120" w:line="276" w:lineRule="auto"/>
              <w:ind w:firstLine="709"/>
              <w:jc w:val="both"/>
              <w:rPr>
                <w:rFonts w:ascii="Verdana" w:eastAsia="Calibri" w:hAnsi="Verdana" w:cs="Arial"/>
                <w:shd w:val="clear" w:color="auto" w:fill="FFFFFF"/>
                <w:lang w:val="es-ES"/>
              </w:rPr>
            </w:pPr>
            <w:r w:rsidRPr="0016734B">
              <w:rPr>
                <w:rFonts w:ascii="Verdana" w:eastAsia="Calibri" w:hAnsi="Verdana" w:cs="Arial"/>
                <w:shd w:val="clear" w:color="auto" w:fill="FFFFFF"/>
                <w:lang w:val="es-ES"/>
              </w:rPr>
              <w:t>En este sentido, la actividad 2.6 de la Matriz 1 – Experiencia contempla expresamente proyectos de construcción, ampliación, reconstrucción, adecuación, conservación, intervención, instalación, mantenimiento, mejoramiento, modificación, rehabilitación, remodelación, reposición, reparación locativa, restauración, restitución y terminación de baterías sanitarias, redes hidrosanitarias, tanques de almacenamiento, sistemas de bombeo y redes contra incendios de infraestructura de servicio público. Por tanto, el ámbito de aplicación de esta actividad no se restringe a la construcción de nueva infraestructura o a intervenciones de gran magnitud, sino que comprende también actividades de mantenimiento sobre los elementos expresamente señalados en la matriz.</w:t>
            </w:r>
          </w:p>
          <w:p w14:paraId="5B389476" w14:textId="77777777" w:rsidR="008E3CD5" w:rsidRPr="0016734B" w:rsidRDefault="008E3CD5" w:rsidP="00463BE1">
            <w:pPr>
              <w:tabs>
                <w:tab w:val="left" w:pos="2657"/>
              </w:tabs>
              <w:spacing w:after="120" w:line="276" w:lineRule="auto"/>
              <w:ind w:firstLine="709"/>
              <w:jc w:val="both"/>
              <w:rPr>
                <w:rFonts w:ascii="Verdana" w:eastAsia="Calibri" w:hAnsi="Verdana" w:cs="Arial"/>
                <w:shd w:val="clear" w:color="auto" w:fill="FFFFFF"/>
                <w:lang w:val="es-ES"/>
              </w:rPr>
            </w:pPr>
            <w:r w:rsidRPr="0016734B">
              <w:rPr>
                <w:rFonts w:ascii="Verdana" w:eastAsia="Calibri" w:hAnsi="Verdana" w:cs="Arial"/>
                <w:shd w:val="clear" w:color="auto" w:fill="FFFFFF"/>
                <w:lang w:val="es-ES"/>
              </w:rPr>
              <w:t>Ahora bien, corresponde a la entidad verificar si las actividades de lavado, limpieza, desinfección, inspección y mantenimiento preventivo o correctivo previstas en el proceso contractual constituyen materialmente actividades de mantenimiento en los términos definidos en el Anexo 5 – Glosario de los Documentos Tipo y si estas recaen sobre los tanques de almacenamiento que hacen parte de la infraestructura institucional de servicio público. Para tal efecto, deberá analizarse integralmente el alcance técnico del contrato, las obligaciones a cargo del contratista y los estudios y documentos previos que soportan la necesidad de contratación.</w:t>
            </w:r>
          </w:p>
          <w:p w14:paraId="24A44ECE" w14:textId="77777777" w:rsidR="008E3CD5" w:rsidRPr="0016734B" w:rsidRDefault="008E3CD5" w:rsidP="00463BE1">
            <w:pPr>
              <w:tabs>
                <w:tab w:val="left" w:pos="2657"/>
              </w:tabs>
              <w:spacing w:after="120" w:line="276" w:lineRule="auto"/>
              <w:ind w:firstLine="709"/>
              <w:jc w:val="both"/>
              <w:rPr>
                <w:rFonts w:ascii="Verdana" w:eastAsia="Calibri" w:hAnsi="Verdana" w:cs="Arial"/>
                <w:shd w:val="clear" w:color="auto" w:fill="FFFFFF"/>
                <w:lang w:val="es-ES"/>
              </w:rPr>
            </w:pPr>
            <w:r w:rsidRPr="0016734B">
              <w:rPr>
                <w:rFonts w:ascii="Verdana" w:eastAsia="Calibri" w:hAnsi="Verdana" w:cs="Arial"/>
                <w:shd w:val="clear" w:color="auto" w:fill="FFFFFF"/>
                <w:lang w:val="es-ES"/>
              </w:rPr>
              <w:t>En consecuencia, no es posible concluir de manera general que este tipo de procesos se encuentre siempre excluido de la aplicación de los Documentos Tipo por el solo hecho de que no contemple actividades de construcción, ampliación o adecuación. La entidad deberá determinar en cada caso concreto si las actividades contratadas se subsumen materialmente en la actividad 2.6 de la Matriz 1 – Experiencia y, por tanto, si resulta obligatoria la aplicación de los Documentos Tipo del Sector Institucional.</w:t>
            </w:r>
          </w:p>
          <w:p w14:paraId="4E7009CE" w14:textId="77777777" w:rsidR="008E3CD5" w:rsidRPr="004E49FA" w:rsidRDefault="008E3CD5" w:rsidP="00463BE1">
            <w:pPr>
              <w:tabs>
                <w:tab w:val="left" w:pos="2657"/>
              </w:tabs>
              <w:spacing w:after="120" w:line="276" w:lineRule="auto"/>
              <w:jc w:val="both"/>
              <w:rPr>
                <w:rFonts w:ascii="Verdana" w:eastAsia="Calibri" w:hAnsi="Verdana" w:cs="Arial"/>
                <w:shd w:val="clear" w:color="auto" w:fill="FFFFFF"/>
                <w:lang w:val="es-ES"/>
              </w:rPr>
            </w:pPr>
            <w:r>
              <w:rPr>
                <w:rFonts w:ascii="Verdana" w:eastAsia="Calibri" w:hAnsi="Verdana" w:cs="Arial"/>
                <w:shd w:val="clear" w:color="auto" w:fill="FFFFFF"/>
                <w:lang w:val="es-ES"/>
              </w:rPr>
              <w:t xml:space="preserve">IV). </w:t>
            </w:r>
            <w:r w:rsidRPr="004E49FA">
              <w:rPr>
                <w:rFonts w:ascii="Verdana" w:eastAsia="Calibri" w:hAnsi="Verdana" w:cs="Arial"/>
                <w:shd w:val="clear" w:color="auto" w:fill="FFFFFF"/>
                <w:lang w:val="es-ES"/>
              </w:rPr>
              <w:t>De conformidad con los Documentos Tipo de obra pública de infraestructura social – versión 2, la inclusión del componente de Administración, Imprevistos y Utilidad (AIU) es obligatoria cuando el proceso de contratación se estructura bajo la modalidad de precios unitarios. En consecuencia, cuando el proceso no se configure bajo dicha modalidad, la entidad no está obligada a incorporar el numeral 4.1.1 “AIU” ni a diligenciar las casillas correspondientes en el Formulario 1 – Formulario de Presupuesto Oficial.</w:t>
            </w:r>
          </w:p>
          <w:p w14:paraId="3B34FCED" w14:textId="77777777" w:rsidR="008E3CD5" w:rsidRPr="00756BA9" w:rsidRDefault="008E3CD5" w:rsidP="00463BE1">
            <w:pPr>
              <w:tabs>
                <w:tab w:val="left" w:pos="2657"/>
              </w:tabs>
              <w:spacing w:after="120" w:line="276" w:lineRule="auto"/>
              <w:ind w:firstLine="709"/>
              <w:jc w:val="both"/>
              <w:rPr>
                <w:rFonts w:ascii="Verdana" w:eastAsia="Calibri" w:hAnsi="Verdana" w:cs="Arial"/>
                <w:shd w:val="clear" w:color="auto" w:fill="FFFFFF"/>
                <w:lang w:val="es-ES"/>
              </w:rPr>
            </w:pPr>
            <w:r w:rsidRPr="004E49FA">
              <w:rPr>
                <w:rFonts w:ascii="Verdana" w:eastAsia="Calibri" w:hAnsi="Verdana" w:cs="Arial"/>
                <w:shd w:val="clear" w:color="auto" w:fill="FFFFFF"/>
                <w:lang w:val="es-ES"/>
              </w:rPr>
              <w:t>En todo caso, la entidad deberá definir la modalidad de pago que resulte adecuada para el objeto contractual, justificarla en los estudios previos y garantizar la coherencia entre dicha modalidad, el Anexo Técnico y el Formulario de Presupuesto Oficial, observando los principios de planeación, transparencia y responsabilidad que rigen la contratación estatal.</w:t>
            </w:r>
          </w:p>
        </w:tc>
      </w:tr>
    </w:tbl>
    <w:p w14:paraId="480B4FCD" w14:textId="77777777" w:rsidR="008E3CD5" w:rsidRPr="0010023F" w:rsidRDefault="008E3CD5" w:rsidP="008E3CD5">
      <w:pPr>
        <w:tabs>
          <w:tab w:val="left" w:pos="142"/>
          <w:tab w:val="left" w:pos="284"/>
        </w:tabs>
        <w:spacing w:after="0" w:line="276" w:lineRule="auto"/>
        <w:ind w:left="142" w:hanging="142"/>
        <w:jc w:val="both"/>
        <w:rPr>
          <w:rFonts w:ascii="Verdana" w:eastAsia="Century Gothic" w:hAnsi="Verdana" w:cs="Century Gothic"/>
          <w:b/>
          <w:bCs/>
          <w:lang w:val="es-ES"/>
        </w:rPr>
      </w:pPr>
    </w:p>
    <w:p w14:paraId="75013606" w14:textId="77777777" w:rsidR="008E3CD5" w:rsidRPr="0010023F" w:rsidRDefault="008E3CD5" w:rsidP="008E3CD5">
      <w:pPr>
        <w:numPr>
          <w:ilvl w:val="0"/>
          <w:numId w:val="16"/>
        </w:numPr>
        <w:tabs>
          <w:tab w:val="left" w:pos="142"/>
          <w:tab w:val="left" w:pos="284"/>
        </w:tabs>
        <w:spacing w:after="0" w:line="276" w:lineRule="auto"/>
        <w:contextualSpacing/>
        <w:jc w:val="both"/>
        <w:rPr>
          <w:rFonts w:ascii="Verdana" w:eastAsia="Calibri" w:hAnsi="Verdana" w:cs="Arial"/>
          <w:lang w:val="es-ES" w:eastAsia="es-MX"/>
        </w:rPr>
      </w:pPr>
      <w:r w:rsidRPr="0010023F">
        <w:rPr>
          <w:rFonts w:ascii="Verdana" w:eastAsia="Century Gothic" w:hAnsi="Verdana" w:cs="Century Gothic"/>
          <w:b/>
          <w:bCs/>
          <w:lang w:val="es-ES"/>
        </w:rPr>
        <w:t>Razones de la respuesta:</w:t>
      </w:r>
    </w:p>
    <w:p w14:paraId="4A827A1E" w14:textId="77777777" w:rsidR="008E3CD5" w:rsidRPr="0010023F" w:rsidRDefault="008E3CD5" w:rsidP="008E3CD5">
      <w:pPr>
        <w:tabs>
          <w:tab w:val="left" w:pos="142"/>
          <w:tab w:val="left" w:pos="284"/>
        </w:tabs>
        <w:spacing w:after="0" w:line="276" w:lineRule="auto"/>
        <w:contextualSpacing/>
        <w:jc w:val="both"/>
        <w:rPr>
          <w:rFonts w:ascii="Verdana" w:eastAsia="Century Gothic" w:hAnsi="Verdana" w:cs="Century Gothic"/>
          <w:b/>
          <w:bCs/>
          <w:lang w:val="es-ES"/>
        </w:rPr>
      </w:pPr>
    </w:p>
    <w:p w14:paraId="0A93A6FF" w14:textId="77777777" w:rsidR="008E3CD5" w:rsidRPr="0010023F" w:rsidRDefault="008E3CD5" w:rsidP="008E3CD5">
      <w:pPr>
        <w:tabs>
          <w:tab w:val="left" w:pos="142"/>
          <w:tab w:val="left" w:pos="284"/>
        </w:tabs>
        <w:spacing w:after="0" w:line="276" w:lineRule="auto"/>
        <w:contextualSpacing/>
        <w:jc w:val="both"/>
        <w:rPr>
          <w:rFonts w:ascii="Verdana" w:eastAsia="Calibri" w:hAnsi="Verdana" w:cs="Arial"/>
          <w:lang w:val="es-ES" w:eastAsia="es-MX"/>
        </w:rPr>
      </w:pPr>
      <w:r w:rsidRPr="0010023F">
        <w:rPr>
          <w:rFonts w:ascii="Verdana" w:eastAsia="Calibri" w:hAnsi="Verdana" w:cs="Arial"/>
          <w:lang w:val="es-ES" w:eastAsia="es-MX"/>
        </w:rPr>
        <w:t xml:space="preserve">Lo anterior se sustenta en las siguientes consideraciones: </w:t>
      </w:r>
    </w:p>
    <w:p w14:paraId="5D7A2CCC" w14:textId="77777777" w:rsidR="008E3CD5" w:rsidRPr="0010023F" w:rsidRDefault="008E3CD5" w:rsidP="008E3CD5">
      <w:pPr>
        <w:spacing w:after="0" w:line="276" w:lineRule="auto"/>
        <w:jc w:val="both"/>
        <w:rPr>
          <w:rFonts w:ascii="Verdana" w:eastAsia="Calibri" w:hAnsi="Verdana" w:cs="Arial"/>
          <w:lang w:val="es-ES" w:eastAsia="es-MX"/>
        </w:rPr>
      </w:pPr>
    </w:p>
    <w:p w14:paraId="331575BC" w14:textId="77777777" w:rsidR="008E3CD5" w:rsidRPr="0010023F" w:rsidRDefault="008E3CD5" w:rsidP="008E3CD5">
      <w:pPr>
        <w:spacing w:after="120" w:line="276" w:lineRule="auto"/>
        <w:jc w:val="both"/>
        <w:rPr>
          <w:rFonts w:ascii="Verdana" w:eastAsia="Aptos" w:hAnsi="Verdana" w:cs="Arial"/>
          <w:lang w:eastAsia="es-MX"/>
        </w:rPr>
      </w:pPr>
      <w:r w:rsidRPr="0010023F">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59528F27" w14:textId="77777777" w:rsidR="008E3CD5" w:rsidRPr="0010023F" w:rsidRDefault="008E3CD5" w:rsidP="008E3CD5">
      <w:pPr>
        <w:spacing w:after="120" w:line="276" w:lineRule="auto"/>
        <w:ind w:firstLine="708"/>
        <w:jc w:val="both"/>
        <w:rPr>
          <w:rFonts w:ascii="Verdana" w:eastAsia="Aptos" w:hAnsi="Verdana" w:cs="Arial"/>
          <w:lang w:eastAsia="es-MX"/>
        </w:rPr>
      </w:pPr>
      <w:r w:rsidRPr="0010023F">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F4AAD8C" w14:textId="77777777" w:rsidR="008E3CD5" w:rsidRPr="0010023F" w:rsidRDefault="008E3CD5" w:rsidP="008E3CD5">
      <w:pPr>
        <w:spacing w:after="120" w:line="276" w:lineRule="auto"/>
        <w:ind w:firstLine="708"/>
        <w:jc w:val="both"/>
        <w:rPr>
          <w:rFonts w:ascii="Verdana" w:eastAsia="Times New Roman" w:hAnsi="Verdana" w:cs="Times New Roman"/>
          <w:lang w:eastAsia="es-CO"/>
        </w:rPr>
      </w:pPr>
      <w:r w:rsidRPr="0010023F">
        <w:rPr>
          <w:rFonts w:ascii="Verdana" w:eastAsia="Aptos" w:hAnsi="Verdana" w:cs="Arial"/>
          <w:lang w:eastAsia="es-MX"/>
        </w:rPr>
        <w:t xml:space="preserve">En el sector social, </w:t>
      </w:r>
      <w:r w:rsidRPr="0010023F">
        <w:rPr>
          <w:rFonts w:ascii="Verdana" w:eastAsia="Calibri" w:hAnsi="Verdana" w:cs="Arial"/>
          <w:lang w:val="es-MX" w:eastAsia="es-MX"/>
        </w:rPr>
        <w:t xml:space="preserve">la Agencia Nacional de Contratación Pública – Colombia Compra </w:t>
      </w:r>
      <w:r w:rsidRPr="0010023F">
        <w:rPr>
          <w:rFonts w:ascii="Verdana" w:eastAsia="Calibri" w:hAnsi="Verdana" w:cs="Arial"/>
          <w:lang w:eastAsia="es-MX"/>
        </w:rPr>
        <w:t xml:space="preserve">Eficiente </w:t>
      </w:r>
      <w:r w:rsidRPr="0010023F">
        <w:rPr>
          <w:rFonts w:ascii="Verdana" w:eastAsia="Times New Roman" w:hAnsi="Verdana" w:cs="Times New Roman"/>
          <w:lang w:eastAsia="es-CO"/>
        </w:rPr>
        <w:t>en el segundo semestre del año 2025 adoptó las siguientes Resoluciones para contratar obra pública y concurso de méritos:</w:t>
      </w:r>
    </w:p>
    <w:p w14:paraId="7EF0C0A7" w14:textId="77777777" w:rsidR="008E3CD5" w:rsidRPr="0010023F" w:rsidRDefault="008E3CD5" w:rsidP="008E3CD5">
      <w:pPr>
        <w:spacing w:after="120" w:line="276" w:lineRule="auto"/>
        <w:ind w:firstLine="708"/>
        <w:jc w:val="both"/>
        <w:rPr>
          <w:rFonts w:ascii="Verdana" w:eastAsia="Times New Roman" w:hAnsi="Verdana" w:cs="Times New Roman"/>
          <w:lang w:eastAsia="es-CO"/>
        </w:rPr>
      </w:pPr>
      <w:r w:rsidRPr="0010023F">
        <w:rPr>
          <w:rFonts w:ascii="Verdana" w:eastAsia="Times New Roman" w:hAnsi="Verdana" w:cs="Times New Roman"/>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51BBCFA" w14:textId="77777777" w:rsidR="008E3CD5" w:rsidRPr="0010023F" w:rsidRDefault="008E3CD5" w:rsidP="008E3CD5">
      <w:pPr>
        <w:spacing w:after="120" w:line="276" w:lineRule="auto"/>
        <w:ind w:firstLine="708"/>
        <w:jc w:val="both"/>
        <w:rPr>
          <w:rFonts w:ascii="Verdana" w:eastAsia="Times New Roman" w:hAnsi="Verdana" w:cs="Times New Roman"/>
          <w:lang w:eastAsia="es-CO"/>
        </w:rPr>
      </w:pPr>
      <w:r w:rsidRPr="0010023F">
        <w:rPr>
          <w:rFonts w:ascii="Verdana" w:eastAsia="Times New Roman" w:hAnsi="Verdana" w:cs="Times New Roman"/>
          <w:lang w:eastAsia="es-CO"/>
        </w:rPr>
        <w:t xml:space="preserve"> ii)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442DBBD4" w14:textId="77777777" w:rsidR="008E3CD5" w:rsidRPr="0010023F" w:rsidRDefault="008E3CD5" w:rsidP="008E3CD5">
      <w:pPr>
        <w:spacing w:after="120" w:line="276" w:lineRule="auto"/>
        <w:ind w:firstLine="708"/>
        <w:jc w:val="both"/>
        <w:rPr>
          <w:rFonts w:ascii="Verdana" w:eastAsia="Times New Roman" w:hAnsi="Verdana" w:cs="Times New Roman"/>
          <w:lang w:eastAsia="es-CO"/>
        </w:rPr>
      </w:pPr>
      <w:r w:rsidRPr="0010023F">
        <w:rPr>
          <w:rFonts w:ascii="Verdana" w:eastAsia="Times New Roman" w:hAnsi="Verdana" w:cs="Times New Roman"/>
          <w:lang w:eastAsia="es-CO"/>
        </w:rPr>
        <w:t xml:space="preserve">iii)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98B9B58" w14:textId="77777777" w:rsidR="008E3CD5" w:rsidRPr="0010023F" w:rsidRDefault="008E3CD5" w:rsidP="008E3CD5">
      <w:pPr>
        <w:spacing w:after="120" w:line="276" w:lineRule="auto"/>
        <w:ind w:firstLine="708"/>
        <w:jc w:val="both"/>
        <w:rPr>
          <w:rFonts w:ascii="Verdana" w:eastAsia="Times New Roman" w:hAnsi="Verdana" w:cs="Times New Roman"/>
          <w:lang w:eastAsia="es-CO"/>
        </w:rPr>
      </w:pPr>
      <w:r w:rsidRPr="0010023F">
        <w:rPr>
          <w:rFonts w:ascii="Verdana" w:eastAsia="Times New Roman" w:hAnsi="Verdana" w:cs="Times New Roman"/>
          <w:lang w:eastAsia="es-CO"/>
        </w:rPr>
        <w:t>iv)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6BD344F3" w14:textId="77777777" w:rsidR="008E3CD5" w:rsidRPr="0010023F" w:rsidRDefault="008E3CD5" w:rsidP="008E3CD5">
      <w:pPr>
        <w:spacing w:after="120" w:line="276" w:lineRule="auto"/>
        <w:ind w:firstLine="708"/>
        <w:jc w:val="both"/>
        <w:rPr>
          <w:rFonts w:ascii="Verdana" w:eastAsia="Times New Roman" w:hAnsi="Verdana" w:cs="Times New Roman"/>
          <w:lang w:eastAsia="es-CO"/>
        </w:rPr>
      </w:pPr>
      <w:r w:rsidRPr="0010023F">
        <w:rPr>
          <w:rFonts w:ascii="Verdana" w:eastAsia="Times New Roman" w:hAnsi="Verdana" w:cs="Times New Roman"/>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10023F">
        <w:rPr>
          <w:rFonts w:ascii="Verdana" w:eastAsia="Aptos" w:hAnsi="Verdana" w:cs="Times New Roman"/>
          <w:lang w:eastAsia="es-MX"/>
        </w:rPr>
        <w:t xml:space="preserve"> </w:t>
      </w:r>
    </w:p>
    <w:p w14:paraId="23091125" w14:textId="77777777" w:rsidR="008E3CD5" w:rsidRPr="0010023F" w:rsidRDefault="008E3CD5" w:rsidP="008E3CD5">
      <w:pPr>
        <w:spacing w:after="120" w:line="276" w:lineRule="auto"/>
        <w:ind w:firstLine="708"/>
        <w:jc w:val="both"/>
        <w:textAlignment w:val="baseline"/>
        <w:rPr>
          <w:rFonts w:ascii="Verdana" w:eastAsia="Calibri" w:hAnsi="Verdana" w:cs="Arial"/>
          <w:lang w:eastAsia="es-MX"/>
        </w:rPr>
      </w:pPr>
      <w:r w:rsidRPr="0010023F">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10023F">
        <w:rPr>
          <w:rFonts w:ascii="Verdana" w:eastAsia="Calibri" w:hAnsi="Verdana" w:cs="Arial"/>
          <w:vertAlign w:val="superscript"/>
          <w:lang w:eastAsia="es-MX"/>
        </w:rPr>
        <w:footnoteReference w:id="1"/>
      </w:r>
      <w:r w:rsidRPr="0010023F">
        <w:rPr>
          <w:rFonts w:ascii="Verdana" w:eastAsia="Calibri" w:hAnsi="Verdana" w:cs="Arial"/>
          <w:lang w:eastAsia="es-MX"/>
        </w:rPr>
        <w:t>.</w:t>
      </w:r>
    </w:p>
    <w:p w14:paraId="2DE37D74" w14:textId="77777777" w:rsidR="008E3CD5" w:rsidRPr="0010023F" w:rsidRDefault="008E3CD5" w:rsidP="008E3CD5">
      <w:pPr>
        <w:widowControl w:val="0"/>
        <w:autoSpaceDE w:val="0"/>
        <w:autoSpaceDN w:val="0"/>
        <w:spacing w:after="120" w:line="276" w:lineRule="auto"/>
        <w:ind w:firstLine="708"/>
        <w:jc w:val="both"/>
        <w:rPr>
          <w:rFonts w:ascii="Verdana" w:eastAsia="Calibri" w:hAnsi="Verdana" w:cs="Arial"/>
          <w:kern w:val="2"/>
          <w14:ligatures w14:val="standardContextual"/>
        </w:rPr>
      </w:pPr>
      <w:r w:rsidRPr="0010023F">
        <w:rPr>
          <w:rFonts w:ascii="Verdana" w:eastAsia="Calibri" w:hAnsi="Verdana" w:cs="Arial"/>
          <w:kern w:val="2"/>
          <w14:ligatures w14:val="standardContextual"/>
        </w:rPr>
        <w:t xml:space="preserve">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 </w:t>
      </w:r>
    </w:p>
    <w:p w14:paraId="0B5089C9" w14:textId="77777777" w:rsidR="008E3CD5" w:rsidRPr="0010023F" w:rsidRDefault="008E3CD5" w:rsidP="008E3CD5">
      <w:pPr>
        <w:widowControl w:val="0"/>
        <w:autoSpaceDE w:val="0"/>
        <w:autoSpaceDN w:val="0"/>
        <w:spacing w:after="120" w:line="276" w:lineRule="auto"/>
        <w:ind w:firstLine="708"/>
        <w:jc w:val="both"/>
        <w:rPr>
          <w:rFonts w:ascii="Verdana" w:eastAsia="Calibri" w:hAnsi="Verdana" w:cs="Arial"/>
          <w:kern w:val="2"/>
          <w14:ligatures w14:val="standardContextual"/>
        </w:rPr>
      </w:pPr>
      <w:r w:rsidRPr="0010023F">
        <w:rPr>
          <w:rFonts w:ascii="Verdana" w:eastAsia="Calibri" w:hAnsi="Verdana" w:cs="Arial"/>
          <w:kern w:val="2"/>
          <w14:ligatures w14:val="standardContextual"/>
        </w:rPr>
        <w:t xml:space="preserve">En consecuencia, los obligados a su aplicación, al adelantar sus procedimientos de selección, solo podrán modificarlos en los aspectos que los Documentos Tipo lo permitan. </w:t>
      </w:r>
      <w:r w:rsidRPr="0010023F">
        <w:rPr>
          <w:rFonts w:ascii="Verdana" w:eastAsia="Calibri" w:hAnsi="Verdana" w:cs="Times New Roman"/>
          <w:kern w:val="2"/>
          <w:lang w:val="es-ES"/>
          <w14:ligatures w14:val="standardContextual"/>
        </w:rPr>
        <w:t xml:space="preserve">Esto corresponde a aquellos aspectos que se encuentran entre corchetes y resaltados en gris </w:t>
      </w:r>
      <w:r w:rsidRPr="0010023F">
        <w:rPr>
          <w:rFonts w:ascii="Verdana" w:eastAsia="Calibri" w:hAnsi="Verdana" w:cs="Times New Roman"/>
          <w:kern w:val="2"/>
          <w:shd w:val="clear" w:color="auto" w:fill="E8E8E8"/>
          <w:lang w:val="es-ES"/>
          <w14:ligatures w14:val="standardContextual"/>
        </w:rPr>
        <w:t>–[texto]–,</w:t>
      </w:r>
      <w:r w:rsidRPr="0010023F">
        <w:rPr>
          <w:rFonts w:ascii="Verdana" w:eastAsia="Calibri" w:hAnsi="Verdana" w:cs="Times New Roman"/>
          <w:kern w:val="2"/>
          <w:lang w:val="es-ES"/>
          <w14:ligatures w14:val="standardContextual"/>
        </w:rPr>
        <w:t xml:space="preserve"> para lo cual deberán observarse las instrucciones contenidas en los mismos para su diligenciamiento.</w:t>
      </w:r>
    </w:p>
    <w:p w14:paraId="2BC291CD" w14:textId="77777777" w:rsidR="008E3CD5" w:rsidRPr="0010023F" w:rsidRDefault="008E3CD5" w:rsidP="008E3CD5">
      <w:pPr>
        <w:widowControl w:val="0"/>
        <w:autoSpaceDE w:val="0"/>
        <w:autoSpaceDN w:val="0"/>
        <w:spacing w:after="120" w:line="276" w:lineRule="auto"/>
        <w:ind w:firstLine="708"/>
        <w:jc w:val="both"/>
        <w:rPr>
          <w:rFonts w:ascii="Verdana" w:eastAsia="Calibri" w:hAnsi="Verdana" w:cs="Times New Roman"/>
          <w:lang w:val="es-ES" w:eastAsia="es-MX"/>
        </w:rPr>
      </w:pPr>
      <w:r w:rsidRPr="00070FDD">
        <w:rPr>
          <w:rFonts w:ascii="Verdana" w:eastAsia="Calibri" w:hAnsi="Verdana" w:cs="Times New Roman"/>
          <w:lang w:val="es-ES" w:eastAsia="es-MX"/>
        </w:rPr>
        <w:t>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r w:rsidRPr="0010023F">
        <w:rPr>
          <w:rFonts w:ascii="Verdana" w:eastAsia="Calibri" w:hAnsi="Verdana" w:cs="Times New Roman"/>
          <w:lang w:val="es-ES" w:eastAsia="es-MX"/>
        </w:rPr>
        <w:t xml:space="preserve"> </w:t>
      </w:r>
    </w:p>
    <w:p w14:paraId="62603EA3" w14:textId="77777777" w:rsidR="008E3CD5" w:rsidRPr="0010023F" w:rsidRDefault="008E3CD5" w:rsidP="008E3CD5">
      <w:pPr>
        <w:widowControl w:val="0"/>
        <w:autoSpaceDE w:val="0"/>
        <w:autoSpaceDN w:val="0"/>
        <w:spacing w:after="120" w:line="276" w:lineRule="auto"/>
        <w:ind w:firstLine="708"/>
        <w:jc w:val="both"/>
        <w:rPr>
          <w:rFonts w:ascii="Verdana" w:eastAsia="Calibri" w:hAnsi="Verdana" w:cs="Times New Roman"/>
          <w:lang w:val="es-ES" w:eastAsia="es-MX"/>
        </w:rPr>
      </w:pPr>
      <w:r w:rsidRPr="0010023F">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14FD2E7" w14:textId="77777777" w:rsidR="008E3CD5" w:rsidRPr="0010023F" w:rsidRDefault="008E3CD5" w:rsidP="008E3CD5">
      <w:pPr>
        <w:widowControl w:val="0"/>
        <w:autoSpaceDE w:val="0"/>
        <w:autoSpaceDN w:val="0"/>
        <w:spacing w:after="120" w:line="276" w:lineRule="auto"/>
        <w:ind w:firstLine="708"/>
        <w:jc w:val="both"/>
        <w:rPr>
          <w:rFonts w:ascii="Verdana" w:eastAsia="Calibri" w:hAnsi="Verdana" w:cs="Times New Roman"/>
          <w:lang w:val="es-ES" w:eastAsia="es-MX"/>
        </w:rPr>
      </w:pPr>
      <w:r w:rsidRPr="0010023F">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0E5A99AC" w14:textId="77777777" w:rsidR="008E3CD5" w:rsidRPr="0010023F" w:rsidRDefault="008E3CD5" w:rsidP="008E3CD5">
      <w:pPr>
        <w:widowControl w:val="0"/>
        <w:autoSpaceDE w:val="0"/>
        <w:autoSpaceDN w:val="0"/>
        <w:spacing w:after="120" w:line="276" w:lineRule="auto"/>
        <w:ind w:firstLine="708"/>
        <w:jc w:val="both"/>
        <w:rPr>
          <w:rFonts w:ascii="Verdana" w:eastAsia="Calibri" w:hAnsi="Verdana" w:cs="Times New Roman"/>
          <w:lang w:val="es-ES" w:eastAsia="es-MX"/>
        </w:rPr>
      </w:pPr>
      <w:r w:rsidRPr="0010023F">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44C62656" w14:textId="77777777" w:rsidR="008E3CD5" w:rsidRPr="0010023F" w:rsidRDefault="008E3CD5" w:rsidP="008E3CD5">
      <w:pPr>
        <w:widowControl w:val="0"/>
        <w:autoSpaceDE w:val="0"/>
        <w:autoSpaceDN w:val="0"/>
        <w:spacing w:after="0" w:line="276" w:lineRule="auto"/>
        <w:ind w:firstLine="708"/>
        <w:jc w:val="both"/>
        <w:rPr>
          <w:rFonts w:ascii="Verdana" w:eastAsia="Calibri" w:hAnsi="Verdana" w:cs="Times New Roman"/>
          <w:lang w:val="es-ES" w:eastAsia="es-MX"/>
        </w:rPr>
      </w:pPr>
      <w:r w:rsidRPr="0010023F">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00B99CB2" w14:textId="77777777" w:rsidR="008E3CD5" w:rsidRPr="00070FDD" w:rsidRDefault="008E3CD5" w:rsidP="008E3CD5">
      <w:pPr>
        <w:widowControl w:val="0"/>
        <w:autoSpaceDE w:val="0"/>
        <w:autoSpaceDN w:val="0"/>
        <w:spacing w:after="0" w:line="276" w:lineRule="auto"/>
        <w:ind w:firstLine="708"/>
        <w:jc w:val="both"/>
        <w:rPr>
          <w:rFonts w:ascii="Verdana" w:eastAsia="Calibri" w:hAnsi="Verdana" w:cs="Times New Roman"/>
          <w:color w:val="000000" w:themeColor="text1"/>
          <w:lang w:val="es-ES" w:eastAsia="es-MX"/>
        </w:rPr>
      </w:pPr>
    </w:p>
    <w:p w14:paraId="6BBCF7E8" w14:textId="77777777" w:rsidR="008E3CD5" w:rsidRPr="00EC5368" w:rsidRDefault="008E3CD5" w:rsidP="008E3CD5">
      <w:pPr>
        <w:widowControl w:val="0"/>
        <w:autoSpaceDE w:val="0"/>
        <w:autoSpaceDN w:val="0"/>
        <w:spacing w:line="276" w:lineRule="auto"/>
        <w:jc w:val="both"/>
        <w:rPr>
          <w:rFonts w:ascii="Verdana" w:eastAsia="Calibri" w:hAnsi="Verdana" w:cs="Arial"/>
          <w:color w:val="000000"/>
          <w:lang w:val="es-ES_tradnl" w:eastAsia="es-ES" w:bidi="es-ES"/>
        </w:rPr>
      </w:pPr>
      <w:r w:rsidRPr="00C75248">
        <w:rPr>
          <w:rFonts w:ascii="Verdana" w:eastAsia="Calibri" w:hAnsi="Verdana" w:cs="Times New Roman"/>
          <w:color w:val="000000" w:themeColor="text1"/>
          <w:lang w:val="es-ES" w:eastAsia="es-MX"/>
        </w:rPr>
        <w:t xml:space="preserve">II).  En primer lugar, es pertinente </w:t>
      </w:r>
      <w:r>
        <w:rPr>
          <w:rFonts w:ascii="Verdana" w:eastAsia="Calibri" w:hAnsi="Verdana" w:cs="Times New Roman"/>
          <w:color w:val="000000" w:themeColor="text1"/>
          <w:lang w:val="es-ES" w:eastAsia="es-MX"/>
        </w:rPr>
        <w:t>precisar</w:t>
      </w:r>
      <w:r>
        <w:rPr>
          <w:rFonts w:ascii="Verdana" w:hAnsi="Verdana" w:cstheme="minorHAnsi"/>
        </w:rPr>
        <w:t xml:space="preserve"> la</w:t>
      </w:r>
      <w:r w:rsidRPr="00EC5368">
        <w:rPr>
          <w:rFonts w:ascii="Verdana" w:eastAsia="Calibri" w:hAnsi="Verdana" w:cs="Arial"/>
          <w:color w:val="000000"/>
          <w:lang w:val="es-ES_tradnl" w:eastAsia="es-ES" w:bidi="es-ES"/>
        </w:rPr>
        <w:t xml:space="preserve"> obra pública es una tipología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4B7F75AB" w14:textId="77777777" w:rsidR="008E3CD5" w:rsidRPr="00EC5368" w:rsidRDefault="008E3CD5" w:rsidP="008E3CD5">
      <w:pPr>
        <w:widowControl w:val="0"/>
        <w:autoSpaceDE w:val="0"/>
        <w:autoSpaceDN w:val="0"/>
        <w:spacing w:before="120" w:after="0" w:line="276" w:lineRule="auto"/>
        <w:ind w:firstLine="708"/>
        <w:jc w:val="both"/>
        <w:rPr>
          <w:rFonts w:ascii="Verdana" w:eastAsia="Calibri" w:hAnsi="Verdana" w:cs="Arial"/>
          <w:color w:val="000000"/>
          <w:lang w:val="es-ES" w:eastAsia="es-ES" w:bidi="es-ES"/>
        </w:rPr>
      </w:pPr>
      <w:r w:rsidRPr="418CF8A0">
        <w:rPr>
          <w:rFonts w:ascii="Verdana" w:eastAsia="Calibri" w:hAnsi="Verdana" w:cs="Arial"/>
          <w:color w:val="000000" w:themeColor="text1"/>
          <w:lang w:val="es-ES" w:eastAsia="es-ES" w:bidi="es-ES"/>
        </w:rPr>
        <w:t xml:space="preserve">En efecto, </w:t>
      </w:r>
      <w:bookmarkStart w:id="2" w:name="_Hlk81432298"/>
      <w:r w:rsidRPr="418CF8A0">
        <w:rPr>
          <w:rFonts w:ascii="Verdana" w:eastAsia="Calibri" w:hAnsi="Verdana" w:cs="Arial"/>
          <w:color w:val="000000" w:themeColor="text1"/>
          <w:lang w:val="es-ES" w:eastAsia="es-ES" w:bidi="es-ES"/>
        </w:rPr>
        <w:t xml:space="preserve">en el derecho privado brilla por la ausencia una definición del contrato de obra. El artículo 2053 del Código Civil lo tipifica como una de las clases de arrendamiento, y establece reglas para diferenciarlo de la 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2060 y 2061 del Código disponen reglas especiales para los contratos de construcción y de arquitectura, es claro que la realización de trabajos materiales recae tanto sobre bienes muebles como inmuebles. </w:t>
      </w:r>
      <w:bookmarkEnd w:id="2"/>
      <w:r w:rsidRPr="418CF8A0">
        <w:rPr>
          <w:rFonts w:ascii="Verdana" w:eastAsia="Calibri" w:hAnsi="Verdana" w:cs="Arial"/>
          <w:color w:val="000000" w:themeColor="text1"/>
          <w:lang w:val="es-ES" w:eastAsia="es-ES" w:bidi="es-ES"/>
        </w:rPr>
        <w:t>Así, la doctrina considera que:</w:t>
      </w:r>
    </w:p>
    <w:p w14:paraId="73D20632" w14:textId="77777777" w:rsidR="008E3CD5" w:rsidRPr="00EC5368" w:rsidRDefault="008E3CD5" w:rsidP="008E3CD5">
      <w:pPr>
        <w:widowControl w:val="0"/>
        <w:autoSpaceDE w:val="0"/>
        <w:autoSpaceDN w:val="0"/>
        <w:spacing w:after="0" w:line="276" w:lineRule="auto"/>
        <w:ind w:firstLine="708"/>
        <w:jc w:val="both"/>
        <w:rPr>
          <w:rFonts w:ascii="Verdana" w:eastAsia="Calibri" w:hAnsi="Verdana" w:cs="Arial"/>
          <w:color w:val="000000"/>
          <w:lang w:val="es-ES_tradnl" w:eastAsia="es-ES" w:bidi="es-ES"/>
        </w:rPr>
      </w:pPr>
    </w:p>
    <w:p w14:paraId="5B44ADA4" w14:textId="77777777" w:rsidR="008E3CD5" w:rsidRPr="00EC5368" w:rsidRDefault="008E3CD5" w:rsidP="008E3CD5">
      <w:pPr>
        <w:widowControl w:val="0"/>
        <w:autoSpaceDE w:val="0"/>
        <w:autoSpaceDN w:val="0"/>
        <w:spacing w:after="12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p>
    <w:p w14:paraId="74C6419E" w14:textId="77777777" w:rsidR="008E3CD5" w:rsidRPr="00EC5368" w:rsidRDefault="008E3CD5" w:rsidP="008E3CD5">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sidRPr="00EC5368">
        <w:rPr>
          <w:rFonts w:ascii="Verdana" w:eastAsia="Calibri" w:hAnsi="Verdana" w:cs="Arial"/>
          <w:color w:val="000000"/>
          <w:sz w:val="21"/>
          <w:szCs w:val="21"/>
          <w:vertAlign w:val="superscript"/>
          <w:lang w:val="es-ES_tradnl" w:eastAsia="es-ES" w:bidi="es-ES"/>
        </w:rPr>
        <w:footnoteReference w:id="2"/>
      </w:r>
      <w:r w:rsidRPr="00EC5368">
        <w:rPr>
          <w:rFonts w:ascii="Verdana" w:eastAsia="Calibri" w:hAnsi="Verdana" w:cs="Arial"/>
          <w:color w:val="000000"/>
          <w:sz w:val="21"/>
          <w:szCs w:val="21"/>
          <w:lang w:val="es-ES_tradnl" w:eastAsia="es-ES" w:bidi="es-ES"/>
        </w:rPr>
        <w:t xml:space="preserve">.  </w:t>
      </w:r>
    </w:p>
    <w:p w14:paraId="74D050D1" w14:textId="77777777" w:rsidR="008E3CD5" w:rsidRPr="00EC5368" w:rsidRDefault="008E3CD5" w:rsidP="008E3CD5">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r w:rsidRPr="00EC5368">
        <w:rPr>
          <w:rFonts w:ascii="Verdana" w:eastAsia="Calibri" w:hAnsi="Verdana" w:cs="Arial"/>
          <w:color w:val="000000"/>
          <w:sz w:val="21"/>
          <w:szCs w:val="21"/>
          <w:lang w:val="es-ES_tradnl" w:eastAsia="es-ES" w:bidi="es-ES"/>
        </w:rPr>
        <w:t xml:space="preserve">    </w:t>
      </w:r>
    </w:p>
    <w:p w14:paraId="76B95CE1" w14:textId="77777777" w:rsidR="008E3CD5" w:rsidRDefault="008E3CD5" w:rsidP="008E3CD5">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bookmarkStart w:id="3" w:name="_Hlk35420344"/>
      <w:r w:rsidRPr="00EC5368">
        <w:rPr>
          <w:rFonts w:ascii="Verdana" w:eastAsia="Calibri" w:hAnsi="Verdana" w:cs="Arial"/>
          <w:color w:val="000000"/>
          <w:lang w:val="es-ES_tradnl" w:eastAsia="es-ES" w:bidi="es-ES"/>
        </w:rPr>
        <w:t xml:space="preserve">En </w:t>
      </w:r>
      <w:r w:rsidRPr="00EC5368">
        <w:rPr>
          <w:rFonts w:ascii="Verdana" w:eastAsia="Calibri" w:hAnsi="Verdana" w:cs="Arial"/>
          <w:i/>
          <w:iCs/>
          <w:color w:val="000000"/>
          <w:lang w:val="es-ES_tradnl" w:eastAsia="es-ES" w:bidi="es-ES"/>
        </w:rPr>
        <w:t>sentido amplio</w:t>
      </w:r>
      <w:r w:rsidRPr="00EC5368">
        <w:rPr>
          <w:rFonts w:ascii="Verdana" w:eastAsia="Calibri" w:hAnsi="Verdana" w:cs="Arial"/>
          <w:color w:val="000000"/>
          <w:lang w:val="es-ES_tradnl" w:eastAsia="es-ES" w:bidi="es-ES"/>
        </w:rPr>
        <w:t xml:space="preserve">, dado que la “obra” es un bien que crea la actividad humana, el hecho de que sea “pública” significa que es todo trabajo material en cuya creación o realización interviene el Estado. No obstante, </w:t>
      </w:r>
      <w:bookmarkStart w:id="4" w:name="_Hlk81428563"/>
      <w:r w:rsidRPr="00EC5368">
        <w:rPr>
          <w:rFonts w:ascii="Verdana" w:eastAsia="Calibri" w:hAnsi="Verdana" w:cs="Arial"/>
          <w:color w:val="000000"/>
          <w:lang w:val="es-ES_tradnl" w:eastAsia="es-ES" w:bidi="es-ES"/>
        </w:rPr>
        <w:t xml:space="preserve">el numeral 1 del artículo 32 de la Ley 80 de 1993 opta por un </w:t>
      </w:r>
      <w:r w:rsidRPr="00EC5368">
        <w:rPr>
          <w:rFonts w:ascii="Verdana" w:eastAsia="Calibri" w:hAnsi="Verdana" w:cs="Arial"/>
          <w:i/>
          <w:iCs/>
          <w:color w:val="000000"/>
          <w:lang w:val="es-ES_tradnl" w:eastAsia="es-ES" w:bidi="es-ES"/>
        </w:rPr>
        <w:t>sentido restringido</w:t>
      </w:r>
      <w:r w:rsidRPr="00EC5368">
        <w:rPr>
          <w:rFonts w:ascii="Verdana" w:eastAsia="Calibri" w:hAnsi="Verdana" w:cs="Arial"/>
          <w:color w:val="000000"/>
          <w:lang w:val="es-ES_tradnl" w:eastAsia="es-ES" w:bidi="es-ES"/>
        </w:rPr>
        <w:t xml:space="preserve">, al disponer que “Son contratos de obra los que celebren las entidades estatales para la </w:t>
      </w:r>
      <w:bookmarkStart w:id="5" w:name="_Hlk171668266"/>
      <w:r w:rsidRPr="00EC5368">
        <w:rPr>
          <w:rFonts w:ascii="Verdana" w:eastAsia="Calibri" w:hAnsi="Verdana" w:cs="Arial"/>
          <w:color w:val="000000"/>
          <w:lang w:val="es-ES_tradnl" w:eastAsia="es-ES" w:bidi="es-ES"/>
        </w:rPr>
        <w:t>construcción, mantenimiento, instalación</w:t>
      </w:r>
      <w:bookmarkEnd w:id="5"/>
      <w:r w:rsidRPr="00EC5368">
        <w:rPr>
          <w:rFonts w:ascii="Verdana" w:eastAsia="Calibri" w:hAnsi="Verdana" w:cs="Arial"/>
          <w:color w:val="000000"/>
          <w:lang w:val="es-ES_tradnl" w:eastAsia="es-ES" w:bidi="es-ES"/>
        </w:rPr>
        <w:t xml:space="preserve"> y, en general, para la realización de cualquier otro trabajo material sobre bienes inmuebles, </w:t>
      </w:r>
      <w:bookmarkStart w:id="6" w:name="_Hlk171667437"/>
      <w:r w:rsidRPr="00EC5368">
        <w:rPr>
          <w:rFonts w:ascii="Verdana" w:eastAsia="Calibri" w:hAnsi="Verdana" w:cs="Arial"/>
          <w:color w:val="000000"/>
          <w:lang w:val="es-ES_tradnl" w:eastAsia="es-ES" w:bidi="es-ES"/>
        </w:rPr>
        <w:t>cualquiera que sea la modalidad de ejecución y pago</w:t>
      </w:r>
      <w:bookmarkEnd w:id="6"/>
      <w:r w:rsidRPr="00EC5368">
        <w:rPr>
          <w:rFonts w:ascii="Verdana" w:eastAsia="Calibri" w:hAnsi="Verdana" w:cs="Arial"/>
          <w:color w:val="000000"/>
          <w:lang w:val="es-ES_tradnl" w:eastAsia="es-ES" w:bidi="es-ES"/>
        </w:rPr>
        <w:t>”, de manera que este tipo de contrato no aplica a los trabajos materiales realizados sobre bienes muebles</w:t>
      </w:r>
      <w:r w:rsidRPr="00EC5368">
        <w:rPr>
          <w:rStyle w:val="FootnoteReference"/>
          <w:rFonts w:ascii="Verdana" w:eastAsia="Calibri" w:hAnsi="Verdana" w:cs="Arial"/>
          <w:color w:val="000000"/>
          <w:lang w:val="es-ES_tradnl" w:eastAsia="es-ES" w:bidi="es-ES"/>
        </w:rPr>
        <w:footnoteReference w:id="3"/>
      </w:r>
      <w:r w:rsidRPr="00EC5368">
        <w:rPr>
          <w:rFonts w:ascii="Verdana" w:eastAsia="Calibri" w:hAnsi="Verdana" w:cs="Arial"/>
          <w:color w:val="000000"/>
          <w:lang w:val="es-ES_tradnl" w:eastAsia="es-ES" w:bidi="es-ES"/>
        </w:rPr>
        <w:t xml:space="preserve">. </w:t>
      </w:r>
    </w:p>
    <w:p w14:paraId="402D26CA" w14:textId="77777777" w:rsidR="008E3CD5" w:rsidRPr="00EC5368" w:rsidRDefault="008E3CD5" w:rsidP="008E3CD5">
      <w:pPr>
        <w:widowControl w:val="0"/>
        <w:autoSpaceDE w:val="0"/>
        <w:autoSpaceDN w:val="0"/>
        <w:spacing w:after="0" w:line="276" w:lineRule="auto"/>
        <w:ind w:firstLine="708"/>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bookmarkEnd w:id="3"/>
      <w:bookmarkEnd w:id="4"/>
      <w:r w:rsidRPr="00EC5368">
        <w:rPr>
          <w:rFonts w:ascii="Verdana" w:eastAsia="Calibri" w:hAnsi="Verdana" w:cs="Arial"/>
          <w:color w:val="000000"/>
          <w:vertAlign w:val="superscript"/>
          <w:lang w:val="es-ES_tradnl" w:eastAsia="es-ES" w:bidi="es-ES"/>
        </w:rPr>
        <w:footnoteReference w:id="4"/>
      </w:r>
      <w:r w:rsidRPr="00EC5368">
        <w:rPr>
          <w:rFonts w:ascii="Verdana" w:eastAsia="Calibri" w:hAnsi="Verdana" w:cs="Arial"/>
          <w:color w:val="000000"/>
          <w:lang w:val="es-ES_tradnl" w:eastAsia="es-ES" w:bidi="es-ES"/>
        </w:rPr>
        <w:t>. De esta manera:</w:t>
      </w:r>
    </w:p>
    <w:p w14:paraId="1F35E163" w14:textId="77777777" w:rsidR="008E3CD5" w:rsidRPr="00EC5368" w:rsidRDefault="008E3CD5" w:rsidP="008E3CD5">
      <w:pPr>
        <w:widowControl w:val="0"/>
        <w:autoSpaceDE w:val="0"/>
        <w:autoSpaceDN w:val="0"/>
        <w:spacing w:after="0" w:line="276" w:lineRule="auto"/>
        <w:ind w:firstLine="709"/>
        <w:jc w:val="both"/>
        <w:rPr>
          <w:rFonts w:ascii="Verdana" w:eastAsia="Calibri" w:hAnsi="Verdana" w:cs="Arial"/>
          <w:color w:val="000000"/>
          <w:lang w:val="es-ES_tradnl" w:eastAsia="es-ES" w:bidi="es-ES"/>
        </w:rPr>
      </w:pPr>
    </w:p>
    <w:p w14:paraId="711449CF" w14:textId="77777777" w:rsidR="008E3CD5" w:rsidRPr="00EC5368" w:rsidRDefault="008E3CD5" w:rsidP="008E3CD5">
      <w:pPr>
        <w:widowControl w:val="0"/>
        <w:autoSpaceDE w:val="0"/>
        <w:autoSpaceDN w:val="0"/>
        <w:spacing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p>
    <w:p w14:paraId="326088E7" w14:textId="77777777" w:rsidR="008E3CD5" w:rsidRPr="00EC5368" w:rsidRDefault="008E3CD5" w:rsidP="008E3CD5">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EC5368">
        <w:rPr>
          <w:rFonts w:ascii="Verdana" w:eastAsia="Calibri" w:hAnsi="Verdana" w:cs="Arial"/>
          <w:color w:val="000000"/>
          <w:sz w:val="21"/>
          <w:szCs w:val="21"/>
          <w:vertAlign w:val="superscript"/>
          <w:lang w:val="es-ES_tradnl" w:eastAsia="es-ES" w:bidi="es-ES"/>
        </w:rPr>
        <w:footnoteReference w:id="5"/>
      </w:r>
      <w:r w:rsidRPr="00EC5368">
        <w:rPr>
          <w:rFonts w:ascii="Verdana" w:eastAsia="Calibri" w:hAnsi="Verdana" w:cs="Arial"/>
          <w:color w:val="000000"/>
          <w:sz w:val="21"/>
          <w:szCs w:val="21"/>
          <w:lang w:val="es-ES_tradnl" w:eastAsia="es-ES" w:bidi="es-ES"/>
        </w:rPr>
        <w:t>.</w:t>
      </w:r>
    </w:p>
    <w:p w14:paraId="3C70E5C0" w14:textId="77777777" w:rsidR="008E3CD5" w:rsidRPr="00EC5368" w:rsidRDefault="008E3CD5" w:rsidP="008E3CD5">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p>
    <w:p w14:paraId="522ADCCD" w14:textId="77777777" w:rsidR="008E3CD5" w:rsidRDefault="008E3CD5" w:rsidP="008E3CD5">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w:t>
      </w:r>
    </w:p>
    <w:p w14:paraId="51658D72" w14:textId="77777777" w:rsidR="008E3CD5" w:rsidRPr="00B54C0B" w:rsidRDefault="008E3CD5" w:rsidP="008E3CD5">
      <w:pPr>
        <w:widowControl w:val="0"/>
        <w:autoSpaceDE w:val="0"/>
        <w:autoSpaceDN w:val="0"/>
        <w:spacing w:after="0" w:line="276" w:lineRule="auto"/>
        <w:ind w:firstLine="708"/>
        <w:jc w:val="both"/>
        <w:rPr>
          <w:rFonts w:ascii="Verdana" w:eastAsia="Calibri" w:hAnsi="Verdana" w:cs="Arial"/>
          <w:color w:val="000000"/>
          <w:lang w:val="es-ES" w:eastAsia="es-ES" w:bidi="es-ES"/>
        </w:rPr>
      </w:pPr>
      <w:r w:rsidRPr="418CF8A0">
        <w:rPr>
          <w:rFonts w:ascii="Verdana" w:eastAsia="Calibri" w:hAnsi="Verdana" w:cs="Arial"/>
          <w:color w:val="000000" w:themeColor="text1"/>
          <w:lang w:val="es-ES" w:eastAsia="es-ES" w:bidi="es-ES"/>
        </w:rPr>
        <w:t xml:space="preserve">En consecuencia, como la obra pública existe con independencia de la modalidad de ejecución o de pago, sea que el objeto se ejecute a través de administración delegada o por administración de recursos, ambas categorías pertenecen a la tipología contractual del numeral 1 del artículo 32 de la Ley 80 de 1993. Es decir, al margen de la nominación asignada por las partes, cualquier negocio jurídico que implique un trabajo material sobre bienes inmuebles a favor de una entidad pública, tiene la naturaleza jurídica de una obra pública. Como este contrato tiene carácter bilateral y oneroso, en los términos del inciso primero del artículo 41 del EGCAP, las obligaciones básicas dependen del acuerdo sobre el inmueble objeto de construcción, mantenimiento, instalación, reforma o demolición, por un lado, y la remuneración del contratista de acuerdo con la forma de ejecución, por el otro. </w:t>
      </w:r>
    </w:p>
    <w:p w14:paraId="3FF03A9C" w14:textId="77777777" w:rsidR="008E3CD5" w:rsidRDefault="008E3CD5" w:rsidP="008E3CD5">
      <w:pPr>
        <w:spacing w:after="120" w:line="276" w:lineRule="auto"/>
        <w:jc w:val="both"/>
        <w:rPr>
          <w:rFonts w:ascii="Verdana" w:eastAsia="Calibri" w:hAnsi="Verdana" w:cs="Times New Roman"/>
          <w:color w:val="000000" w:themeColor="text1"/>
          <w:lang w:val="es-ES" w:eastAsia="es-MX"/>
        </w:rPr>
      </w:pPr>
    </w:p>
    <w:p w14:paraId="7E055799" w14:textId="197F9D23" w:rsidR="008E3CD5" w:rsidRPr="0034022B" w:rsidRDefault="008E3CD5" w:rsidP="008E3CD5">
      <w:pPr>
        <w:spacing w:after="120" w:line="276" w:lineRule="auto"/>
        <w:jc w:val="both"/>
        <w:rPr>
          <w:rFonts w:ascii="Verdana" w:eastAsia="Calibri" w:hAnsi="Verdana" w:cs="Times New Roman"/>
          <w:color w:val="000000" w:themeColor="text1"/>
          <w:lang w:val="es-ES" w:eastAsia="es-MX"/>
        </w:rPr>
      </w:pPr>
      <w:r>
        <w:rPr>
          <w:rFonts w:ascii="Verdana" w:eastAsia="Calibri" w:hAnsi="Verdana" w:cs="Times New Roman"/>
          <w:color w:val="000000" w:themeColor="text1"/>
          <w:lang w:val="es-ES" w:eastAsia="es-MX"/>
        </w:rPr>
        <w:t xml:space="preserve">III). </w:t>
      </w:r>
      <w:r w:rsidRPr="00070FDD">
        <w:rPr>
          <w:rFonts w:ascii="Verdana" w:eastAsia="Calibri" w:hAnsi="Verdana" w:cs="Times New Roman"/>
          <w:color w:val="000000" w:themeColor="text1"/>
          <w:lang w:val="es-ES" w:eastAsia="es-MX"/>
        </w:rPr>
        <w:t>Teniendo en</w:t>
      </w:r>
      <w:r>
        <w:rPr>
          <w:rFonts w:ascii="Verdana" w:eastAsia="Calibri" w:hAnsi="Verdana" w:cs="Times New Roman"/>
          <w:color w:val="000000" w:themeColor="text1"/>
          <w:lang w:val="es-ES" w:eastAsia="es-MX"/>
        </w:rPr>
        <w:t xml:space="preserve"> consideración lo anterior</w:t>
      </w:r>
      <w:r w:rsidRPr="00070FDD">
        <w:rPr>
          <w:rFonts w:ascii="Verdana" w:eastAsia="Calibri" w:hAnsi="Verdana" w:cs="Times New Roman"/>
          <w:color w:val="000000" w:themeColor="text1"/>
          <w:lang w:val="es-ES" w:eastAsia="es-MX"/>
        </w:rPr>
        <w:t>, resulta pertinente precisar que los artículos</w:t>
      </w:r>
      <w:r w:rsidR="001D42AC">
        <w:rPr>
          <w:rFonts w:ascii="Verdana" w:eastAsia="Calibri" w:hAnsi="Verdana" w:cs="Times New Roman"/>
          <w:color w:val="000000" w:themeColor="text1"/>
          <w:lang w:val="es-ES" w:eastAsia="es-MX"/>
        </w:rPr>
        <w:t xml:space="preserve"> 17, 18 y 19</w:t>
      </w:r>
      <w:r w:rsidR="00CC0492">
        <w:rPr>
          <w:rFonts w:ascii="Verdana" w:eastAsia="Calibri" w:hAnsi="Verdana" w:cs="Times New Roman"/>
          <w:color w:val="000000" w:themeColor="text1"/>
          <w:lang w:val="es-ES" w:eastAsia="es-MX"/>
        </w:rPr>
        <w:t xml:space="preserve"> de la Resolución 539 de 2025</w:t>
      </w:r>
      <w:r w:rsidR="00CC0492" w:rsidRPr="00542DBB">
        <w:rPr>
          <w:rFonts w:ascii="Verdana" w:eastAsia="Calibri" w:hAnsi="Verdana" w:cs="Times New Roman"/>
          <w:color w:val="000000" w:themeColor="text1"/>
          <w:lang w:val="es-ES" w:eastAsia="es-MX"/>
        </w:rPr>
        <w:t xml:space="preserve">, </w:t>
      </w:r>
      <w:r w:rsidRPr="00542DBB">
        <w:rPr>
          <w:rFonts w:ascii="Verdana" w:eastAsia="Calibri" w:hAnsi="Verdana" w:cs="Times New Roman"/>
          <w:color w:val="000000" w:themeColor="text1"/>
          <w:lang w:val="es-ES" w:eastAsia="es-MX"/>
        </w:rPr>
        <w:t xml:space="preserve"> 16, 17 y 18 de la</w:t>
      </w:r>
      <w:r w:rsidR="008E45AD">
        <w:rPr>
          <w:rFonts w:ascii="Verdana" w:eastAsia="Calibri" w:hAnsi="Verdana" w:cs="Times New Roman"/>
          <w:color w:val="000000" w:themeColor="text1"/>
          <w:lang w:val="es-ES" w:eastAsia="es-MX"/>
        </w:rPr>
        <w:t>s</w:t>
      </w:r>
      <w:r w:rsidRPr="00542DBB">
        <w:rPr>
          <w:rFonts w:ascii="Verdana" w:eastAsia="Calibri" w:hAnsi="Verdana" w:cs="Times New Roman"/>
          <w:color w:val="000000" w:themeColor="text1"/>
          <w:lang w:val="es-ES" w:eastAsia="es-MX"/>
        </w:rPr>
        <w:t xml:space="preserve"> </w:t>
      </w:r>
      <w:r w:rsidR="008E45AD" w:rsidRPr="008E45AD">
        <w:rPr>
          <w:rFonts w:ascii="Verdana" w:eastAsia="Calibri" w:hAnsi="Verdana" w:cs="Times New Roman"/>
          <w:color w:val="000000" w:themeColor="text1"/>
          <w:lang w:val="es-ES" w:eastAsia="es-MX"/>
        </w:rPr>
        <w:t>Resoluciones 540, 541, 952 y 953 de 2025</w:t>
      </w:r>
      <w:r w:rsidR="00373C59">
        <w:rPr>
          <w:rFonts w:ascii="Verdana" w:eastAsia="Calibri" w:hAnsi="Verdana" w:cs="Times New Roman"/>
          <w:color w:val="000000" w:themeColor="text1"/>
          <w:lang w:val="es-ES" w:eastAsia="es-MX"/>
        </w:rPr>
        <w:t>,</w:t>
      </w:r>
      <w:r w:rsidRPr="00070FDD">
        <w:rPr>
          <w:rFonts w:ascii="Verdana" w:eastAsia="Calibri" w:hAnsi="Verdana" w:cs="Times New Roman"/>
          <w:color w:val="000000" w:themeColor="text1"/>
          <w:lang w:val="es-ES" w:eastAsia="es-MX"/>
        </w:rPr>
        <w:t xml:space="preserve"> adoptan los Documentos Tipo complementarios para los procesos de contratación de infraestructura social correspondientes al Sector Institucional</w:t>
      </w:r>
      <w:r w:rsidRPr="00070FDD">
        <w:rPr>
          <w:rFonts w:ascii="Verdana" w:eastAsia="Calibri" w:hAnsi="Verdana" w:cs="Times New Roman"/>
          <w:color w:val="000000" w:themeColor="text1"/>
          <w:kern w:val="2"/>
          <w:lang w:val="es-ES"/>
          <w14:ligatures w14:val="standardContextual"/>
        </w:rPr>
        <w:t xml:space="preserve">, estos documentos aplican a los procesos contractuales que correspondan a las actividades definidas en la Matriz 1 – Experiencia del Sector institucional. </w:t>
      </w:r>
    </w:p>
    <w:p w14:paraId="2DFE7C1F" w14:textId="77777777" w:rsidR="008E3CD5" w:rsidRDefault="008E3CD5" w:rsidP="008E3CD5">
      <w:pPr>
        <w:spacing w:after="120" w:line="276" w:lineRule="auto"/>
        <w:ind w:firstLine="708"/>
        <w:jc w:val="both"/>
        <w:rPr>
          <w:rFonts w:ascii="Verdana" w:eastAsia="Calibri" w:hAnsi="Verdana" w:cs="Times New Roman"/>
          <w:color w:val="000000" w:themeColor="text1"/>
          <w:kern w:val="2"/>
          <w14:ligatures w14:val="standardContextual"/>
        </w:rPr>
      </w:pPr>
      <w:r w:rsidRPr="000E5873">
        <w:rPr>
          <w:rFonts w:ascii="Verdana" w:eastAsia="Calibri" w:hAnsi="Verdana" w:cs="Times New Roman"/>
          <w:color w:val="000000" w:themeColor="text1"/>
          <w:kern w:val="2"/>
          <w14:ligatures w14:val="standardContextual"/>
        </w:rPr>
        <w:t xml:space="preserve">En los Documentos Tipo complementarios del sector institucional, aplicables a las modalidades de licitación pública, selección abreviada de menor cuantía y mínima cuantía, se establece en la Matriz 1 – Experiencia del sector institucional (versión 1 del 21 de agosto de 2025), un conjunto de actividades que, atendiendo al objeto de la presente petición, resultan relevantes para su análisis. En particular, se encuentran las actividades 2.13 y 2.14 del capítulo 2. Obras en proyectos de infraestructura institucional de servicio público, referidas al suministro e instalación de redes de vapor, redes de gases, redes de gas natural y sistemas de cocción, así como a sistemas de aire acondicionado o sistemas de ventilación, respectivamente. </w:t>
      </w:r>
    </w:p>
    <w:p w14:paraId="16EC8E8D" w14:textId="77777777" w:rsidR="008E3CD5" w:rsidRDefault="008E3CD5" w:rsidP="008E3CD5">
      <w:pPr>
        <w:spacing w:after="120" w:line="276" w:lineRule="auto"/>
        <w:ind w:firstLine="708"/>
        <w:jc w:val="both"/>
        <w:rPr>
          <w:rFonts w:ascii="Verdana" w:hAnsi="Verdana" w:cstheme="minorHAnsi"/>
        </w:rPr>
      </w:pPr>
      <w:r w:rsidRPr="00F10A8E">
        <w:rPr>
          <w:rFonts w:ascii="Verdana" w:hAnsi="Verdana" w:cstheme="minorHAnsi"/>
        </w:rPr>
        <w:t>De esta forma, en los casos en los que la actividad de suministro está ligada a la actividad de instalación de los muebles mencionados que se encuentran en edificaciones que hacen parte de la infraestructura Institucional de servicio público. Así, por sí sola, la actividad de suministro no requiere la aplicación de los documentos tipo expedidos por esta Agencia en el Sector Institucional . Es decir que, si una entidad pretende adelantar un proceso que tenga por objeto el suministro de aire acondicionado, o similares, y el suministro de redes de vapor y/o redes de gases y/o redes de gas natural y/o sistemas de cocción u otros tipos de equipos sobre infraestructura institucional, no tendrá que aplicar los documentos tipo expedidos por esta Agencia en este sector.</w:t>
      </w:r>
    </w:p>
    <w:p w14:paraId="0C25702C" w14:textId="77777777" w:rsidR="008E3CD5" w:rsidRDefault="008E3CD5" w:rsidP="008E3CD5">
      <w:pPr>
        <w:spacing w:after="120" w:line="276" w:lineRule="auto"/>
        <w:ind w:firstLine="708"/>
        <w:jc w:val="both"/>
        <w:rPr>
          <w:rFonts w:ascii="Verdana" w:hAnsi="Verdana" w:cstheme="minorHAnsi"/>
          <w:color w:val="000000" w:themeColor="text1"/>
        </w:rPr>
      </w:pPr>
      <w:r w:rsidRPr="003054AD">
        <w:rPr>
          <w:rFonts w:ascii="Verdana" w:eastAsia="Calibri" w:hAnsi="Verdana" w:cs="Times New Roman"/>
          <w:color w:val="000000" w:themeColor="text1"/>
          <w:kern w:val="2"/>
          <w14:ligatures w14:val="standardContextual"/>
        </w:rPr>
        <w:t>Ahora bien, si el objeto del proceso de selección implica la instalación de sistemas de aire acondicionado, sistemas de ventilación o similares, y la instalación de redes de vapor y/o redes de gases y/o redes de gas natural y/o sistemas de cocción u otros tipos de equipos sobre infraestructura institucional, se deberán aplicar los documentos tipo del sector institucional expedidos por esta Agencia. En estos casos, la entidad que adelante el proceso también deberá contratar el suministro utilizando los documentos tipo referidos, ya que, como se indicó, las actividades 2.13 y 2.14 contenidas en dichos documentos aplican para el suministro e instalación de las redes y los equipos mencionados.</w:t>
      </w:r>
    </w:p>
    <w:p w14:paraId="134CFD43" w14:textId="77777777" w:rsidR="008E3CD5" w:rsidRDefault="008E3CD5" w:rsidP="008E3CD5">
      <w:pPr>
        <w:spacing w:after="120" w:line="276" w:lineRule="auto"/>
        <w:ind w:firstLine="708"/>
        <w:jc w:val="both"/>
        <w:rPr>
          <w:rFonts w:ascii="Verdana" w:hAnsi="Verdana" w:cstheme="minorHAnsi"/>
          <w:color w:val="000000" w:themeColor="text1"/>
        </w:rPr>
      </w:pPr>
      <w:r w:rsidRPr="004102A2">
        <w:rPr>
          <w:rFonts w:ascii="Verdana" w:hAnsi="Verdana" w:cstheme="minorHAnsi"/>
        </w:rPr>
        <w:t xml:space="preserve">El argumento expuesto en los párrafos precedentes es acorde con los documentos tipo adoptados mediante las Resoluciones 539, 540 y 541 de 2025. En el artículo 1 de cada una de estas resoluciones se establece que estos aplican a “(…) </w:t>
      </w:r>
      <w:r w:rsidRPr="004102A2">
        <w:rPr>
          <w:rFonts w:ascii="Verdana" w:hAnsi="Verdana" w:cstheme="minorHAnsi"/>
          <w:i/>
          <w:iCs/>
        </w:rPr>
        <w:t>los procesos de obra pública de infraestructura social” que se adelanten en cada una de las modalidades que estas acogen. Es decir, que los documentos tipo señalados aplica, para los contratos</w:t>
      </w:r>
      <w:r w:rsidRPr="004102A2">
        <w:rPr>
          <w:rFonts w:ascii="Verdana" w:hAnsi="Verdana" w:cstheme="minorHAnsi"/>
        </w:rPr>
        <w:t xml:space="preserve"> “(…) que celebren las entidades estatales para la construcción, mantenimiento, instalación y, en general, para la realización de cualquier otro trabajo material sobre bienes inmuebles, cualquiera que sea la modalidad de ejecución y pago” . </w:t>
      </w:r>
    </w:p>
    <w:p w14:paraId="0B9CAC70" w14:textId="77777777" w:rsidR="008E3CD5" w:rsidRPr="0049751E" w:rsidRDefault="008E3CD5" w:rsidP="008E3CD5">
      <w:pPr>
        <w:spacing w:after="120" w:line="276" w:lineRule="auto"/>
        <w:ind w:firstLine="708"/>
        <w:jc w:val="both"/>
        <w:rPr>
          <w:rFonts w:ascii="Verdana" w:hAnsi="Verdana" w:cstheme="minorHAnsi"/>
          <w:color w:val="000000" w:themeColor="text1"/>
        </w:rPr>
      </w:pPr>
      <w:r w:rsidRPr="0049751E">
        <w:rPr>
          <w:rFonts w:ascii="Verdana" w:hAnsi="Verdana" w:cstheme="minorHAnsi"/>
        </w:rPr>
        <w:t xml:space="preserve">Las actividades 2.13 y 2.14 contenidas en la Matriz 1 – Experiencia de los Documentos Tipo del Sector Institucional, incluyen la instalación, la cual, como se indicó, es constitutiva del objeto de contrato de obra pública. </w:t>
      </w:r>
    </w:p>
    <w:p w14:paraId="149007E7" w14:textId="77777777" w:rsidR="008E3CD5" w:rsidRDefault="008E3CD5" w:rsidP="008E3CD5">
      <w:pPr>
        <w:spacing w:after="120" w:line="276" w:lineRule="auto"/>
        <w:ind w:firstLine="708"/>
        <w:jc w:val="both"/>
        <w:rPr>
          <w:rFonts w:ascii="Verdana" w:hAnsi="Verdana" w:cstheme="minorHAnsi"/>
          <w:color w:val="000000" w:themeColor="text1"/>
        </w:rPr>
      </w:pPr>
      <w:r w:rsidRPr="0049751E">
        <w:rPr>
          <w:rFonts w:ascii="Verdana" w:hAnsi="Verdana" w:cstheme="minorHAnsi"/>
        </w:rPr>
        <w:t>En este contexto, a juicio de esta Agencia, es importante que la entidad realice una valoración integral de las actividades y obligaciones del contrato teniendo en cuenta los distintos criterios expuestos para para determinar el régimen contractual aplicable al contrato, y por ende, si deben aplicarse o no los Documentos Tipo del Sector Institucional expedidos por esta Agencia.</w:t>
      </w:r>
    </w:p>
    <w:p w14:paraId="748BD9C5" w14:textId="77777777" w:rsidR="008E3CD5" w:rsidRPr="00164930" w:rsidRDefault="008E3CD5" w:rsidP="008E3CD5">
      <w:pPr>
        <w:spacing w:after="120" w:line="276" w:lineRule="auto"/>
        <w:ind w:firstLine="708"/>
        <w:jc w:val="both"/>
        <w:rPr>
          <w:rFonts w:ascii="Verdana" w:eastAsia="Calibri" w:hAnsi="Verdana" w:cs="Times New Roman"/>
          <w:color w:val="000000" w:themeColor="text1"/>
          <w:kern w:val="2"/>
          <w14:ligatures w14:val="standardContextual"/>
        </w:rPr>
      </w:pPr>
      <w:r w:rsidRPr="00164930">
        <w:rPr>
          <w:rFonts w:ascii="Verdana" w:eastAsia="Calibri" w:hAnsi="Verdana" w:cs="Times New Roman"/>
          <w:color w:val="000000" w:themeColor="text1"/>
          <w:kern w:val="2"/>
          <w14:ligatures w14:val="standardContextual"/>
        </w:rPr>
        <w:t xml:space="preserve">En relación con el objeto contractual, referido al mantenimiento y la verificación de la central de gases y de las redes de gases, es necesario identificar cuáles actividades previstas en la matriz de los Documentos Tipo del sector Institucional recaen sobre este objeto y si resultan adecuadas para adelantar el proceso que requiere la entidad. Al revisar la Matriz 1 – Experiencia de los Documentos Tipo del sector institucional, se advierte que la actividad que podría corresponder a este objeto contractual es la siguiente (2.13) relacionada con el mantenimiento de redes de gases. </w:t>
      </w:r>
    </w:p>
    <w:p w14:paraId="342E44E4" w14:textId="77777777" w:rsidR="008E3CD5" w:rsidRPr="00234739" w:rsidRDefault="008E3CD5" w:rsidP="008E3CD5">
      <w:pPr>
        <w:spacing w:after="120" w:line="276" w:lineRule="auto"/>
        <w:ind w:firstLine="708"/>
        <w:jc w:val="both"/>
        <w:rPr>
          <w:rFonts w:ascii="Verdana" w:eastAsia="Calibri" w:hAnsi="Verdana" w:cs="Times New Roman"/>
          <w:color w:val="000000" w:themeColor="text1"/>
          <w:kern w:val="2"/>
          <w14:ligatures w14:val="standardContextual"/>
        </w:rPr>
      </w:pPr>
    </w:p>
    <w:p w14:paraId="6E15AF13" w14:textId="77777777" w:rsidR="008E3CD5" w:rsidRPr="00234739" w:rsidRDefault="008E3CD5" w:rsidP="008E3CD5">
      <w:pPr>
        <w:spacing w:after="120" w:line="276" w:lineRule="auto"/>
        <w:ind w:firstLine="708"/>
        <w:jc w:val="both"/>
        <w:rPr>
          <w:rFonts w:ascii="Verdana" w:eastAsia="Calibri" w:hAnsi="Verdana" w:cs="Times New Roman"/>
          <w:color w:val="000000" w:themeColor="text1"/>
          <w:kern w:val="2"/>
          <w14:ligatures w14:val="standardContextual"/>
        </w:rPr>
      </w:pPr>
      <w:r w:rsidRPr="00234739">
        <w:rPr>
          <w:rFonts w:ascii="Verdana" w:eastAsia="Calibri" w:hAnsi="Verdana" w:cs="Times New Roman"/>
          <w:color w:val="000000" w:themeColor="text1"/>
          <w:kern w:val="2"/>
          <w14:ligatures w14:val="standardContextual"/>
        </w:rPr>
        <w:t>“(…)</w:t>
      </w:r>
    </w:p>
    <w:p w14:paraId="50EA5A59" w14:textId="77777777" w:rsidR="008E3CD5" w:rsidRPr="00234739" w:rsidRDefault="008E3CD5" w:rsidP="008E3CD5">
      <w:pPr>
        <w:spacing w:after="120" w:line="276" w:lineRule="auto"/>
        <w:ind w:left="709" w:right="709"/>
        <w:jc w:val="both"/>
        <w:rPr>
          <w:rFonts w:ascii="Verdana" w:eastAsia="Calibri" w:hAnsi="Verdana" w:cs="Times New Roman"/>
          <w:color w:val="000000" w:themeColor="text1"/>
          <w:kern w:val="2"/>
          <w14:ligatures w14:val="standardContextual"/>
        </w:rPr>
      </w:pPr>
      <w:r w:rsidRPr="00234739">
        <w:rPr>
          <w:rFonts w:ascii="Verdana" w:eastAsia="Calibri" w:hAnsi="Verdana" w:cs="Arial"/>
          <w:color w:val="000000" w:themeColor="text1"/>
          <w:sz w:val="20"/>
          <w:szCs w:val="20"/>
          <w:shd w:val="clear" w:color="auto" w:fill="FFFFFF"/>
        </w:rPr>
        <w:t xml:space="preserve">2.13. PROYECTOS DE CONSTRUCCIÓN Y/O AMPLIACIÓN Y/O RECONSTRUCCIÓN Y/O ADECUACIÓN Y/O CONSERVACIÓN Y/O INTERVENCIÓN Y/O INSTALACIÓN Y/O </w:t>
      </w:r>
      <w:r w:rsidRPr="000F2CD3">
        <w:rPr>
          <w:rFonts w:ascii="Verdana" w:eastAsia="Calibri" w:hAnsi="Verdana" w:cs="Arial"/>
          <w:b/>
          <w:bCs/>
          <w:color w:val="000000" w:themeColor="text1"/>
          <w:sz w:val="20"/>
          <w:szCs w:val="20"/>
          <w:u w:val="single"/>
          <w:shd w:val="clear" w:color="auto" w:fill="FFFFFF"/>
        </w:rPr>
        <w:t>MANTENIMIENTO</w:t>
      </w:r>
      <w:r w:rsidRPr="00234739">
        <w:rPr>
          <w:rFonts w:ascii="Verdana" w:eastAsia="Calibri" w:hAnsi="Verdana" w:cs="Arial"/>
          <w:color w:val="000000" w:themeColor="text1"/>
          <w:sz w:val="20"/>
          <w:szCs w:val="20"/>
          <w:shd w:val="clear" w:color="auto" w:fill="FFFFFF"/>
        </w:rPr>
        <w:t xml:space="preserve"> Y/O MEJORAMIENTO Y/O MODIFICACIÓN U OPTIMIZACIÓN Y/O REHABILITACIÓN Y/O REMODELACIÓN Y/O REPOSICIÓN Y/O REPARACIÓN LOCATIVA Y/O RESTAURACIÓN Y/O RESTITUCIÓN Y/O TERMINACIÓN DE REDES DE VAPOR Y/O </w:t>
      </w:r>
      <w:r w:rsidRPr="000F2CD3">
        <w:rPr>
          <w:rFonts w:ascii="Verdana" w:eastAsia="Calibri" w:hAnsi="Verdana" w:cs="Arial"/>
          <w:b/>
          <w:bCs/>
          <w:color w:val="000000" w:themeColor="text1"/>
          <w:sz w:val="20"/>
          <w:szCs w:val="20"/>
          <w:u w:val="single"/>
          <w:shd w:val="clear" w:color="auto" w:fill="FFFFFF"/>
        </w:rPr>
        <w:t>REDES DE GASES</w:t>
      </w:r>
      <w:r w:rsidRPr="00234739">
        <w:rPr>
          <w:rFonts w:ascii="Verdana" w:eastAsia="Calibri" w:hAnsi="Verdana" w:cs="Arial"/>
          <w:color w:val="000000" w:themeColor="text1"/>
          <w:sz w:val="20"/>
          <w:szCs w:val="20"/>
          <w:shd w:val="clear" w:color="auto" w:fill="FFFFFF"/>
        </w:rPr>
        <w:t xml:space="preserve"> Y/O REDES DE GAS NATURAL Y/O SISTEMAS DE COCCIÓN DE INFRAESTRUCTURA INSTITUCIONAL - SERVICIO PÚBLICO. (subrayado fuera de texto)</w:t>
      </w:r>
      <w:r>
        <w:rPr>
          <w:rFonts w:ascii="Verdana" w:eastAsia="Calibri" w:hAnsi="Verdana" w:cs="Arial"/>
          <w:color w:val="000000" w:themeColor="text1"/>
          <w:sz w:val="20"/>
          <w:szCs w:val="20"/>
          <w:shd w:val="clear" w:color="auto" w:fill="FFFFFF"/>
        </w:rPr>
        <w:t>”</w:t>
      </w:r>
    </w:p>
    <w:p w14:paraId="4998D821" w14:textId="77777777" w:rsidR="008E3CD5" w:rsidRPr="005A2F79" w:rsidRDefault="008E3CD5" w:rsidP="008E3CD5">
      <w:pPr>
        <w:spacing w:after="120" w:line="276" w:lineRule="auto"/>
        <w:ind w:right="191" w:firstLine="708"/>
        <w:jc w:val="both"/>
        <w:rPr>
          <w:rFonts w:ascii="Verdana" w:eastAsia="Calibri" w:hAnsi="Verdana" w:cs="Times New Roman"/>
          <w:color w:val="000000" w:themeColor="text1"/>
          <w:kern w:val="2"/>
          <w14:ligatures w14:val="standardContextual"/>
        </w:rPr>
      </w:pPr>
      <w:r w:rsidRPr="005A2F79">
        <w:rPr>
          <w:rFonts w:ascii="Verdana" w:eastAsia="Calibri" w:hAnsi="Verdana" w:cs="Times New Roman"/>
          <w:color w:val="000000" w:themeColor="text1"/>
          <w:kern w:val="2"/>
          <w14:ligatures w14:val="standardContextual"/>
        </w:rPr>
        <w:t xml:space="preserve">Esta actividad, aplica para los procesos que adelanten las entidades obligadas a utilizar los documentos tipo, cuando correspondan a la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de vapor y/o redes de gases y/o redes de gas natural y/o sistemas de cocción de infraestructura institucional - servicio público. </w:t>
      </w:r>
    </w:p>
    <w:p w14:paraId="07A854FD" w14:textId="77777777" w:rsidR="008E3CD5" w:rsidRDefault="008E3CD5" w:rsidP="008E3CD5">
      <w:pPr>
        <w:spacing w:after="120" w:line="276" w:lineRule="auto"/>
        <w:ind w:right="191" w:firstLine="708"/>
        <w:jc w:val="both"/>
        <w:rPr>
          <w:rFonts w:ascii="Verdana" w:eastAsia="Calibri" w:hAnsi="Verdana" w:cs="Times New Roman"/>
          <w:color w:val="000000" w:themeColor="text1"/>
          <w:kern w:val="2"/>
          <w14:ligatures w14:val="standardContextual"/>
        </w:rPr>
      </w:pPr>
      <w:r w:rsidRPr="005A2F79">
        <w:rPr>
          <w:rFonts w:ascii="Verdana" w:eastAsia="Calibri" w:hAnsi="Verdana" w:cs="Times New Roman"/>
          <w:color w:val="000000" w:themeColor="text1"/>
          <w:kern w:val="2"/>
          <w14:ligatures w14:val="standardContextual"/>
        </w:rPr>
        <w:t>De otro lado, hay que mencionar que el Anexo 5 – Glosario establece las siguientes  definiciones 2.133 a la 2.138, relacionadas con actividades de mantenimiento, de manera que la entidad revise el alcance en la actividad prevista:</w:t>
      </w:r>
    </w:p>
    <w:p w14:paraId="5FD13012" w14:textId="77777777" w:rsidR="008E3CD5" w:rsidRPr="005B0C59" w:rsidRDefault="008E3CD5" w:rsidP="008E3CD5">
      <w:pPr>
        <w:spacing w:after="120" w:line="276" w:lineRule="auto"/>
        <w:ind w:left="709" w:right="709"/>
        <w:jc w:val="both"/>
        <w:rPr>
          <w:rFonts w:ascii="Verdana" w:eastAsia="Calibri" w:hAnsi="Verdana" w:cs="Times New Roman"/>
          <w:color w:val="000000" w:themeColor="text1"/>
          <w:kern w:val="2"/>
          <w:sz w:val="21"/>
          <w:szCs w:val="21"/>
          <w14:ligatures w14:val="standardContextual"/>
        </w:rPr>
      </w:pPr>
      <w:r w:rsidRPr="005B0C59">
        <w:rPr>
          <w:rFonts w:ascii="Verdana" w:eastAsia="Calibri" w:hAnsi="Verdana" w:cs="Times New Roman"/>
          <w:color w:val="000000" w:themeColor="text1"/>
          <w:kern w:val="2"/>
          <w:sz w:val="21"/>
          <w:szCs w:val="21"/>
          <w14:ligatures w14:val="standardContextual"/>
        </w:rPr>
        <w:t>“</w:t>
      </w:r>
      <w:r w:rsidRPr="005B0C59">
        <w:rPr>
          <w:rFonts w:ascii="Verdana" w:eastAsia="Calibri" w:hAnsi="Verdana" w:cs="Times New Roman"/>
          <w:b/>
          <w:bCs/>
          <w:i/>
          <w:iCs/>
          <w:color w:val="000000" w:themeColor="text1"/>
          <w:kern w:val="2"/>
          <w:sz w:val="21"/>
          <w:szCs w:val="21"/>
          <w14:ligatures w14:val="standardContextual"/>
        </w:rPr>
        <w:t>Mantenimiento:</w:t>
      </w:r>
      <w:r w:rsidRPr="005B0C59">
        <w:rPr>
          <w:rFonts w:ascii="Verdana" w:eastAsia="Calibri" w:hAnsi="Verdana" w:cs="Times New Roman"/>
          <w:color w:val="000000" w:themeColor="text1"/>
          <w:kern w:val="2"/>
          <w:sz w:val="21"/>
          <w:szCs w:val="21"/>
          <w14:ligatures w14:val="standardContextual"/>
        </w:rPr>
        <w:t xml:space="preserve"> Actividades cuyo objetivo es mantener las condiciones de la infraestructura con el mismo nivel de servicio para el que fue diseñada y construida. El mantenimiento puede ser rutinario, si se realiza en intervalos de tiempo menores de un año; periódico, si corresponde a intervalos variables para recuperar el deterioro causado por su uso; o de emergencia, si tiene que ver con las intervenciones originadas por daños, bloqueos o desastres de origen natural o antrópico. </w:t>
      </w:r>
    </w:p>
    <w:p w14:paraId="772E0B49" w14:textId="77777777" w:rsidR="008E3CD5" w:rsidRPr="005B0C59" w:rsidRDefault="008E3CD5" w:rsidP="008E3CD5">
      <w:pPr>
        <w:spacing w:after="120" w:line="276" w:lineRule="auto"/>
        <w:ind w:left="709" w:right="709"/>
        <w:jc w:val="both"/>
        <w:rPr>
          <w:rFonts w:ascii="Verdana" w:eastAsia="Calibri" w:hAnsi="Verdana" w:cs="Times New Roman"/>
          <w:color w:val="000000" w:themeColor="text1"/>
          <w:kern w:val="2"/>
          <w:sz w:val="21"/>
          <w:szCs w:val="21"/>
          <w14:ligatures w14:val="standardContextual"/>
        </w:rPr>
      </w:pPr>
      <w:r w:rsidRPr="005B0C59">
        <w:rPr>
          <w:rFonts w:ascii="Verdana" w:eastAsia="Calibri" w:hAnsi="Verdana" w:cs="Times New Roman"/>
          <w:b/>
          <w:bCs/>
          <w:i/>
          <w:iCs/>
          <w:color w:val="000000" w:themeColor="text1"/>
          <w:kern w:val="2"/>
          <w:sz w:val="21"/>
          <w:szCs w:val="21"/>
          <w14:ligatures w14:val="standardContextual"/>
        </w:rPr>
        <w:t>Mantenimiento correctivo:</w:t>
      </w:r>
      <w:r w:rsidRPr="005B0C59">
        <w:rPr>
          <w:rFonts w:ascii="Verdana" w:eastAsia="Calibri" w:hAnsi="Verdana" w:cs="Times New Roman"/>
          <w:color w:val="000000" w:themeColor="text1"/>
          <w:kern w:val="2"/>
          <w:sz w:val="21"/>
          <w:szCs w:val="21"/>
          <w14:ligatures w14:val="standardContextual"/>
        </w:rPr>
        <w:t xml:space="preserve"> comprende intervenciones, reparaciones o cambios que se llevan a cabo para la sustitución definitiva de una o más piezas de un sistema, en el momento en que dejan de funcionar o empiezan a fallar, ya sea por desgaste normal o incidente. </w:t>
      </w:r>
    </w:p>
    <w:p w14:paraId="3C73ED2D" w14:textId="77777777" w:rsidR="008E3CD5" w:rsidRPr="005B0C59" w:rsidRDefault="008E3CD5" w:rsidP="008E3CD5">
      <w:pPr>
        <w:spacing w:after="120" w:line="276" w:lineRule="auto"/>
        <w:ind w:left="709" w:right="709"/>
        <w:jc w:val="both"/>
        <w:rPr>
          <w:rFonts w:ascii="Verdana" w:eastAsia="Calibri" w:hAnsi="Verdana" w:cs="Times New Roman"/>
          <w:color w:val="000000" w:themeColor="text1"/>
          <w:kern w:val="2"/>
          <w:sz w:val="21"/>
          <w:szCs w:val="21"/>
          <w14:ligatures w14:val="standardContextual"/>
        </w:rPr>
      </w:pPr>
      <w:r w:rsidRPr="005B0C59">
        <w:rPr>
          <w:rFonts w:ascii="Verdana" w:eastAsia="Calibri" w:hAnsi="Verdana" w:cs="Times New Roman"/>
          <w:b/>
          <w:bCs/>
          <w:i/>
          <w:iCs/>
          <w:color w:val="000000" w:themeColor="text1"/>
          <w:kern w:val="2"/>
          <w:sz w:val="21"/>
          <w:szCs w:val="21"/>
          <w14:ligatures w14:val="standardContextual"/>
        </w:rPr>
        <w:t>Mantenimiento de Emergencia:</w:t>
      </w:r>
      <w:r w:rsidRPr="005B0C59">
        <w:rPr>
          <w:rFonts w:ascii="Verdana" w:eastAsia="Calibri" w:hAnsi="Verdana" w:cs="Times New Roman"/>
          <w:color w:val="000000" w:themeColor="text1"/>
          <w:kern w:val="2"/>
          <w:sz w:val="21"/>
          <w:szCs w:val="21"/>
          <w14:ligatures w14:val="standardContextual"/>
        </w:rPr>
        <w:t xml:space="preserve"> Intervenciones en la infraestructura derivada de sucesos que tengan como origen emergencias climáticas, telúricas, terrorismo, entre otros, que a la luz de la legislación vigente puedan considerarse eventos de fuerza mayor o caso fortuito (artículo 12 de la Ley 1682 de 2013). </w:t>
      </w:r>
    </w:p>
    <w:p w14:paraId="465EA25A" w14:textId="77777777" w:rsidR="008E3CD5" w:rsidRPr="005B0C59" w:rsidRDefault="008E3CD5" w:rsidP="008E3CD5">
      <w:pPr>
        <w:spacing w:after="120" w:line="276" w:lineRule="auto"/>
        <w:ind w:left="709" w:right="709"/>
        <w:jc w:val="both"/>
        <w:rPr>
          <w:rFonts w:ascii="Verdana" w:eastAsia="Calibri" w:hAnsi="Verdana" w:cs="Times New Roman"/>
          <w:color w:val="000000" w:themeColor="text1"/>
          <w:kern w:val="2"/>
          <w:sz w:val="21"/>
          <w:szCs w:val="21"/>
          <w14:ligatures w14:val="standardContextual"/>
        </w:rPr>
      </w:pPr>
      <w:r w:rsidRPr="005B0C59">
        <w:rPr>
          <w:rFonts w:ascii="Verdana" w:eastAsia="Calibri" w:hAnsi="Verdana" w:cs="Times New Roman"/>
          <w:b/>
          <w:bCs/>
          <w:i/>
          <w:iCs/>
          <w:color w:val="000000" w:themeColor="text1"/>
          <w:kern w:val="2"/>
          <w:sz w:val="21"/>
          <w:szCs w:val="21"/>
          <w14:ligatures w14:val="standardContextual"/>
        </w:rPr>
        <w:t>Mantenimiento Integral:</w:t>
      </w:r>
      <w:r w:rsidRPr="005B0C59">
        <w:rPr>
          <w:rFonts w:ascii="Verdana" w:eastAsia="Calibri" w:hAnsi="Verdana" w:cs="Times New Roman"/>
          <w:color w:val="000000" w:themeColor="text1"/>
          <w:kern w:val="2"/>
          <w:sz w:val="21"/>
          <w:szCs w:val="21"/>
          <w14:ligatures w14:val="standardContextual"/>
        </w:rPr>
        <w:t xml:space="preserve"> Conjunto de acciones tendientes a restablecer, extender y mantener la capacidad estructural y las condiciones superficiales de una estructura, con el fin de que sigan prestando de manera efectiva el servicio para el cual fueron construidos o dispuestos. </w:t>
      </w:r>
    </w:p>
    <w:p w14:paraId="378729B7" w14:textId="77777777" w:rsidR="008E3CD5" w:rsidRPr="005B0C59" w:rsidRDefault="008E3CD5" w:rsidP="008E3CD5">
      <w:pPr>
        <w:spacing w:after="120" w:line="276" w:lineRule="auto"/>
        <w:ind w:left="709" w:right="709"/>
        <w:jc w:val="both"/>
        <w:rPr>
          <w:rFonts w:ascii="Verdana" w:eastAsia="Calibri" w:hAnsi="Verdana" w:cs="Times New Roman"/>
          <w:color w:val="000000" w:themeColor="text1"/>
          <w:kern w:val="2"/>
          <w:sz w:val="21"/>
          <w:szCs w:val="21"/>
          <w14:ligatures w14:val="standardContextual"/>
        </w:rPr>
      </w:pPr>
      <w:r w:rsidRPr="005B0C59">
        <w:rPr>
          <w:rFonts w:ascii="Verdana" w:eastAsia="Calibri" w:hAnsi="Verdana" w:cs="Times New Roman"/>
          <w:b/>
          <w:bCs/>
          <w:i/>
          <w:iCs/>
          <w:color w:val="000000" w:themeColor="text1"/>
          <w:kern w:val="2"/>
          <w:sz w:val="21"/>
          <w:szCs w:val="21"/>
          <w14:ligatures w14:val="standardContextual"/>
        </w:rPr>
        <w:t>Mantenimiento Periódico:</w:t>
      </w:r>
      <w:r w:rsidRPr="005B0C59">
        <w:rPr>
          <w:rFonts w:ascii="Verdana" w:eastAsia="Calibri" w:hAnsi="Verdana" w:cs="Times New Roman"/>
          <w:color w:val="000000" w:themeColor="text1"/>
          <w:kern w:val="2"/>
          <w:sz w:val="21"/>
          <w:szCs w:val="21"/>
          <w14:ligatures w14:val="standardContextual"/>
        </w:rPr>
        <w:t xml:space="preserve"> Actividades de conservación a intervalos variables, destinados primordialmente a recuperar los deterioros ocasionados por el uso o por fenómenos naturales o agentes externos.</w:t>
      </w:r>
    </w:p>
    <w:p w14:paraId="57583535" w14:textId="77777777" w:rsidR="008E3CD5" w:rsidRPr="005B0C59" w:rsidRDefault="008E3CD5" w:rsidP="008E3CD5">
      <w:pPr>
        <w:spacing w:after="120" w:line="276" w:lineRule="auto"/>
        <w:ind w:left="709" w:right="709"/>
        <w:jc w:val="both"/>
        <w:rPr>
          <w:rFonts w:ascii="Verdana" w:eastAsia="Calibri" w:hAnsi="Verdana" w:cs="Times New Roman"/>
          <w:color w:val="000000" w:themeColor="text1"/>
          <w:kern w:val="2"/>
          <w:sz w:val="21"/>
          <w:szCs w:val="21"/>
          <w14:ligatures w14:val="standardContextual"/>
        </w:rPr>
      </w:pPr>
      <w:r w:rsidRPr="005B0C59">
        <w:rPr>
          <w:rFonts w:ascii="Verdana" w:eastAsia="Calibri" w:hAnsi="Verdana" w:cs="Times New Roman"/>
          <w:b/>
          <w:bCs/>
          <w:i/>
          <w:iCs/>
          <w:color w:val="000000" w:themeColor="text1"/>
          <w:kern w:val="2"/>
          <w:sz w:val="21"/>
          <w:szCs w:val="21"/>
          <w14:ligatures w14:val="standardContextual"/>
        </w:rPr>
        <w:t xml:space="preserve">Mantenimiento Rutinario. </w:t>
      </w:r>
      <w:r w:rsidRPr="005B0C59">
        <w:rPr>
          <w:rFonts w:ascii="Verdana" w:eastAsia="Calibri" w:hAnsi="Verdana" w:cs="Times New Roman"/>
          <w:color w:val="000000" w:themeColor="text1"/>
          <w:kern w:val="2"/>
          <w:sz w:val="21"/>
          <w:szCs w:val="21"/>
          <w14:ligatures w14:val="standardContextual"/>
        </w:rPr>
        <w:t>Conservación continua (a intervalos menores de un año) con el fin de mantener las condiciones óptimas de la infraestructura”.</w:t>
      </w:r>
    </w:p>
    <w:p w14:paraId="6DFE2963" w14:textId="77777777" w:rsidR="008E3CD5" w:rsidRDefault="008E3CD5" w:rsidP="008E3CD5">
      <w:pPr>
        <w:ind w:firstLine="708"/>
        <w:jc w:val="both"/>
        <w:rPr>
          <w:rFonts w:ascii="Verdana" w:eastAsia="Calibri" w:hAnsi="Verdana" w:cs="Times New Roman"/>
          <w:color w:val="000000" w:themeColor="text1"/>
          <w:kern w:val="2"/>
          <w14:ligatures w14:val="standardContextual"/>
        </w:rPr>
      </w:pPr>
      <w:r w:rsidRPr="00A46D2C">
        <w:rPr>
          <w:rFonts w:ascii="Verdana" w:eastAsia="Calibri" w:hAnsi="Verdana" w:cs="Times New Roman"/>
          <w:color w:val="000000" w:themeColor="text1"/>
          <w:kern w:val="2"/>
          <w14:ligatures w14:val="standardContextual"/>
        </w:rPr>
        <w:t xml:space="preserve">En consecuencia, frente al objeto contractual </w:t>
      </w:r>
      <w:r>
        <w:rPr>
          <w:rFonts w:ascii="Verdana" w:eastAsia="Calibri" w:hAnsi="Verdana" w:cs="Times New Roman"/>
          <w:color w:val="000000" w:themeColor="text1"/>
          <w:kern w:val="2"/>
          <w14:ligatures w14:val="standardContextual"/>
        </w:rPr>
        <w:t>en mención</w:t>
      </w:r>
      <w:r w:rsidRPr="00A46D2C">
        <w:rPr>
          <w:rFonts w:ascii="Verdana" w:eastAsia="Calibri" w:hAnsi="Verdana" w:cs="Times New Roman"/>
          <w:color w:val="000000" w:themeColor="text1"/>
          <w:kern w:val="2"/>
          <w14:ligatures w14:val="standardContextual"/>
        </w:rPr>
        <w:t xml:space="preserve">, la entidad debe determinar si las actividades de mantenimiento y verificación de la central de gases y mantenimiento de las redes de gases corresponden materialmente a intervenciones en los términos previstos en la actividad 2.13 de la Matriz 1 – Experiencia de los Documentos Tipo del Sector Institucional. Para este efecto, no basta con la denominación del objeto contractual, sino que resulta necesario examinar de manera integral su alcance técnico, los estudios previos y demás documentos de planeación. </w:t>
      </w:r>
    </w:p>
    <w:p w14:paraId="4A86B3D3" w14:textId="77777777" w:rsidR="008E3CD5" w:rsidRDefault="008E3CD5" w:rsidP="008E3CD5">
      <w:pPr>
        <w:ind w:firstLine="708"/>
        <w:jc w:val="both"/>
        <w:rPr>
          <w:rFonts w:ascii="Verdana" w:eastAsia="Calibri" w:hAnsi="Verdana" w:cs="Times New Roman"/>
          <w:color w:val="000000" w:themeColor="text1"/>
          <w:kern w:val="2"/>
          <w14:ligatures w14:val="standardContextual"/>
        </w:rPr>
      </w:pPr>
      <w:r w:rsidRPr="00D85777">
        <w:rPr>
          <w:rFonts w:ascii="Verdana" w:hAnsi="Verdana" w:cs="Calibri"/>
        </w:rPr>
        <w:t>En cuanto al objeto contractual, referido al mantenimiento de tanques para el almacenamiento de agua potable, incluido su lavado y desinfección, es preciso señalar que estas intervenciones hacen parte de las actividades contenidas en la matriz de infraestructura institucional de servicio público. En ese sentido, dicho objeto puede enmarcarse puntualmente en la actividad 2.6 y, al igual que en el objeto contractual anterior, el alcance de las intervenciones de mantenimiento puede verificarse en el Anexo 5 – Glosario.</w:t>
      </w:r>
    </w:p>
    <w:p w14:paraId="2CAD7F0B" w14:textId="77777777" w:rsidR="008E3CD5" w:rsidRPr="00C16DB8" w:rsidRDefault="008E3CD5" w:rsidP="008E3CD5">
      <w:pPr>
        <w:spacing w:after="120" w:line="276" w:lineRule="auto"/>
        <w:ind w:left="709" w:right="709"/>
        <w:jc w:val="both"/>
        <w:rPr>
          <w:rFonts w:ascii="Verdana" w:eastAsia="Calibri" w:hAnsi="Verdana" w:cs="Arial"/>
          <w:color w:val="000000" w:themeColor="text1"/>
          <w:sz w:val="20"/>
          <w:szCs w:val="20"/>
          <w:shd w:val="clear" w:color="auto" w:fill="FFFFFF"/>
        </w:rPr>
      </w:pPr>
      <w:r w:rsidRPr="00C16DB8">
        <w:rPr>
          <w:rFonts w:ascii="Verdana" w:eastAsia="Calibri" w:hAnsi="Verdana" w:cs="Arial"/>
          <w:color w:val="000000" w:themeColor="text1"/>
          <w:sz w:val="20"/>
          <w:szCs w:val="20"/>
          <w:shd w:val="clear" w:color="auto" w:fill="FFFFFF"/>
        </w:rPr>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PUBLICO.”</w:t>
      </w:r>
    </w:p>
    <w:p w14:paraId="16EF9739" w14:textId="77777777" w:rsidR="008E3CD5" w:rsidRPr="003B3BF3" w:rsidRDefault="008E3CD5" w:rsidP="008E3CD5">
      <w:pPr>
        <w:spacing w:after="120" w:line="276" w:lineRule="auto"/>
        <w:ind w:firstLine="709"/>
        <w:jc w:val="both"/>
        <w:rPr>
          <w:rFonts w:ascii="Verdana" w:eastAsia="Calibri" w:hAnsi="Verdana" w:cs="Arial"/>
          <w:color w:val="000000" w:themeColor="text1"/>
          <w:sz w:val="20"/>
          <w:szCs w:val="20"/>
          <w:shd w:val="clear" w:color="auto" w:fill="FFFFFF"/>
        </w:rPr>
      </w:pPr>
      <w:r w:rsidRPr="003B3BF3">
        <w:rPr>
          <w:rFonts w:ascii="Verdana" w:eastAsia="Calibri" w:hAnsi="Verdana" w:cs="Arial"/>
          <w:color w:val="000000" w:themeColor="text1"/>
          <w:sz w:val="20"/>
          <w:szCs w:val="20"/>
          <w:shd w:val="clear" w:color="auto" w:fill="FFFFFF"/>
        </w:rPr>
        <w:t>En relación con la afirmación según la cual este objeto contractual no constituye obra, es preciso señalar que su calificación jurídica no depende de la denominación que se le atribuya, sino de la naturaleza material de las actividades que lo integran. En ese sentido, tal como se expuso en el numeral II de este concepto, aunque en un sentido amplio la obra pública comprende todo trabajo material en cuya creación o realización interviene el Estado, el numeral 1 del artículo 32 de la Ley 80 de 1993 adoptó un criterio restringido para la tipificación del contrato de obra, al disponer que este recae sobre la construcción, mantenimiento, instalación y, en general, cualquier otro trabajo material realizado sobre bienes inmuebles.</w:t>
      </w:r>
    </w:p>
    <w:p w14:paraId="00893177" w14:textId="77777777" w:rsidR="008E3CD5" w:rsidRPr="005C2320" w:rsidRDefault="008E3CD5" w:rsidP="008E3CD5">
      <w:pPr>
        <w:spacing w:after="120" w:line="276" w:lineRule="auto"/>
        <w:ind w:firstLine="709"/>
        <w:jc w:val="both"/>
        <w:rPr>
          <w:rFonts w:ascii="Verdana" w:eastAsia="Calibri" w:hAnsi="Verdana" w:cs="Arial"/>
          <w:color w:val="000000" w:themeColor="text1"/>
          <w:sz w:val="20"/>
          <w:szCs w:val="20"/>
          <w:shd w:val="clear" w:color="auto" w:fill="FFFFFF"/>
          <w:lang w:val="es-ES"/>
        </w:rPr>
      </w:pPr>
      <w:r w:rsidRPr="005C2320">
        <w:rPr>
          <w:rFonts w:ascii="Verdana" w:eastAsia="Calibri" w:hAnsi="Verdana" w:cs="Arial"/>
          <w:color w:val="000000" w:themeColor="text1"/>
          <w:sz w:val="20"/>
          <w:szCs w:val="20"/>
          <w:shd w:val="clear" w:color="auto" w:fill="FFFFFF"/>
          <w:lang w:val="es-ES"/>
        </w:rPr>
        <w:t>De esta manera, el elemento determinante para establecer si un negocio jurídico corresponde a un contrato de obra pública no es la denominación que las partes le otorguen, sino la verificación de que las actividades contratadas impliquen la ejecución de trabajos materiales sobre bienes inmuebles, incluidos aquellos que por adhesión o por destinación adquieren dicha naturaleza. Como se indicó previamente, el legislador vinculó la tipificación del contrato de obra pública a la realización de actividades encaminadas a crear, construir, conservar, instalar, mantener, reparar, reformar o demoler bienes inmuebles, con independencia de la modalidad de ejecución o de pago acordada.</w:t>
      </w:r>
    </w:p>
    <w:p w14:paraId="2A3B47D9" w14:textId="77777777" w:rsidR="008E3CD5" w:rsidRDefault="008E3CD5" w:rsidP="008E3CD5">
      <w:pPr>
        <w:spacing w:after="120" w:line="276" w:lineRule="auto"/>
        <w:ind w:firstLine="709"/>
        <w:jc w:val="both"/>
        <w:rPr>
          <w:rFonts w:ascii="Verdana" w:eastAsia="Calibri" w:hAnsi="Verdana" w:cs="Arial"/>
          <w:color w:val="000000" w:themeColor="text1"/>
          <w:sz w:val="20"/>
          <w:szCs w:val="20"/>
          <w:shd w:val="clear" w:color="auto" w:fill="FFFFFF"/>
          <w:lang w:val="es-ES"/>
        </w:rPr>
      </w:pPr>
      <w:r w:rsidRPr="005C2320">
        <w:rPr>
          <w:rFonts w:ascii="Verdana" w:eastAsia="Calibri" w:hAnsi="Verdana" w:cs="Arial"/>
          <w:color w:val="000000" w:themeColor="text1"/>
          <w:sz w:val="20"/>
          <w:szCs w:val="20"/>
          <w:shd w:val="clear" w:color="auto" w:fill="FFFFFF"/>
          <w:lang w:val="es-ES"/>
        </w:rPr>
        <w:t>Por consiguiente, corresponde a la entidad efectuar un análisis integral del alcance técnico del contrato, de las obligaciones asumidas por el contratista y de la naturaleza de las intervenciones requeridas, con el fin de determinar si estas recaen materialmente sobre bienes inmuebles. De ser así, y con independencia de la denominación asignada al negocio jurídico, el objeto contractual podría encuadrarse en la tipología de contrato de obra pública prevista en el numeral 1 del artículo 32 de la Ley 80 de 1993.</w:t>
      </w:r>
    </w:p>
    <w:p w14:paraId="3F400A5A" w14:textId="77777777" w:rsidR="008E3CD5" w:rsidRPr="00346274" w:rsidRDefault="008E3CD5" w:rsidP="008E3CD5">
      <w:pPr>
        <w:spacing w:after="120" w:line="276" w:lineRule="auto"/>
        <w:jc w:val="both"/>
        <w:rPr>
          <w:rFonts w:ascii="Verdana" w:eastAsia="Calibri" w:hAnsi="Verdana" w:cs="Arial"/>
          <w:bCs/>
          <w:color w:val="000000"/>
        </w:rPr>
      </w:pPr>
      <w:r>
        <w:rPr>
          <w:rFonts w:ascii="Verdana" w:eastAsia="Calibri" w:hAnsi="Verdana" w:cs="Arial"/>
          <w:color w:val="000000" w:themeColor="text1"/>
          <w:sz w:val="20"/>
          <w:szCs w:val="20"/>
          <w:shd w:val="clear" w:color="auto" w:fill="FFFFFF"/>
        </w:rPr>
        <w:t xml:space="preserve">IV). </w:t>
      </w:r>
      <w:r w:rsidRPr="00346274">
        <w:rPr>
          <w:rFonts w:ascii="Verdana" w:eastAsia="Calibri" w:hAnsi="Verdana" w:cs="Arial"/>
          <w:bCs/>
          <w:color w:val="000000"/>
          <w:lang w:eastAsia="es-MX"/>
        </w:rPr>
        <w:t>Durante la etapa de planeación como resultado del estudio del sector y del análisis de riesgo, la entidad debe establecer las condiciones necesarias para garantizar la ejecución del contrato, teniendo en cuenta la necesidad que pretende satisfacer, el objeto, alcance, especificaciones técnicas, forma de pago y demás aspectos inherentes al proyecto. De allí que estas condiciones, al ser fijadas por parte de la entidad, pueden implicar modificaciones a los documentos tipo, las cuales deben ser adecuadas, proporcionales y consecuentes con su contenido, respetando el pr</w:t>
      </w:r>
      <w:r w:rsidRPr="00346274">
        <w:rPr>
          <w:rFonts w:ascii="Verdana" w:eastAsia="Calibri" w:hAnsi="Verdana" w:cs="Arial"/>
          <w:lang w:eastAsia="es-MX"/>
        </w:rPr>
        <w:t>incipio de inalterabilidad.</w:t>
      </w:r>
    </w:p>
    <w:p w14:paraId="16D9FEB8" w14:textId="77777777" w:rsidR="008E3CD5" w:rsidRPr="00346274" w:rsidRDefault="008E3CD5" w:rsidP="008E3CD5">
      <w:pPr>
        <w:spacing w:after="0" w:line="276" w:lineRule="auto"/>
        <w:ind w:firstLine="708"/>
        <w:jc w:val="both"/>
        <w:rPr>
          <w:rFonts w:ascii="Verdana" w:eastAsia="Calibri" w:hAnsi="Verdana" w:cs="Arial"/>
          <w:kern w:val="2"/>
          <w:lang w:val="es-ES_tradnl"/>
          <w14:ligatures w14:val="standardContextual"/>
        </w:rPr>
      </w:pPr>
      <w:r w:rsidRPr="00346274">
        <w:rPr>
          <w:rFonts w:ascii="Verdana" w:eastAsia="Calibri" w:hAnsi="Verdana" w:cs="Arial"/>
          <w:lang w:eastAsia="es-MX"/>
        </w:rPr>
        <w:t xml:space="preserve">El numeral 4.1 del Documento </w:t>
      </w:r>
      <w:r w:rsidRPr="00346274">
        <w:rPr>
          <w:rFonts w:ascii="Verdana" w:eastAsia="Calibri" w:hAnsi="Verdana" w:cs="Arial"/>
          <w:kern w:val="2"/>
          <w:lang w:val="es-ES_tradnl"/>
          <w14:ligatures w14:val="standardContextual"/>
        </w:rPr>
        <w:t>base de los documentos tipo de licitación de obra pública de infraestructura social – versión 2 establece lo siguiente en relación con la oferta económica:</w:t>
      </w:r>
    </w:p>
    <w:p w14:paraId="440D96CF" w14:textId="77777777" w:rsidR="008E3CD5" w:rsidRPr="00346274" w:rsidRDefault="008E3CD5" w:rsidP="008E3CD5">
      <w:pPr>
        <w:spacing w:after="0" w:line="276" w:lineRule="auto"/>
        <w:jc w:val="both"/>
        <w:rPr>
          <w:rFonts w:ascii="Arial" w:eastAsia="Calibri" w:hAnsi="Arial" w:cs="Arial"/>
          <w:kern w:val="2"/>
          <w:sz w:val="24"/>
          <w:szCs w:val="24"/>
          <w:lang w:val="es-ES_tradnl"/>
          <w14:ligatures w14:val="standardContextual"/>
        </w:rPr>
      </w:pPr>
    </w:p>
    <w:p w14:paraId="585F655B" w14:textId="77777777" w:rsidR="008E3CD5" w:rsidRPr="00346274" w:rsidRDefault="008E3CD5" w:rsidP="008E3CD5">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346274">
        <w:rPr>
          <w:rFonts w:ascii="Verdana" w:eastAsia="Arial" w:hAnsi="Verdana" w:cs="Arial"/>
          <w:kern w:val="2"/>
          <w:sz w:val="21"/>
          <w:szCs w:val="21"/>
          <w:lang w:val="es-MX"/>
          <w14:ligatures w14:val="standardContextual"/>
        </w:rPr>
        <w:t>“[</w:t>
      </w:r>
      <w:r w:rsidRPr="00346274">
        <w:rPr>
          <w:rFonts w:ascii="Verdana" w:eastAsia="Arial" w:hAnsi="Verdana" w:cs="Arial"/>
          <w:kern w:val="2"/>
          <w:sz w:val="21"/>
          <w:szCs w:val="21"/>
          <w:highlight w:val="lightGray"/>
          <w:lang w:val="es-MX"/>
          <w14:ligatures w14:val="standardContextual"/>
        </w:rPr>
        <w:t>La Entidad debe indicar si la forma de pago es por precio global, llave en mano, precios unitarios, administración delegada, reembolso de gastos o la que determine.</w:t>
      </w:r>
      <w:r w:rsidRPr="00346274">
        <w:rPr>
          <w:rFonts w:ascii="Verdana" w:eastAsia="Aptos" w:hAnsi="Verdana" w:cs="Times New Roman"/>
          <w:kern w:val="2"/>
          <w:sz w:val="21"/>
          <w:szCs w:val="21"/>
          <w:highlight w:val="lightGray"/>
          <w:lang w:val="es-MX"/>
          <w14:ligatures w14:val="standardContextual"/>
        </w:rPr>
        <w:t xml:space="preserve"> El Anexo 1 – Anexo Técnico y el Formulario 1– Formulario de </w:t>
      </w:r>
      <w:r w:rsidRPr="00346274">
        <w:rPr>
          <w:rFonts w:ascii="Verdana" w:eastAsia="Aptos" w:hAnsi="Verdana" w:cs="Times New Roman"/>
          <w:kern w:val="2"/>
          <w:sz w:val="20"/>
          <w:szCs w:val="20"/>
          <w:highlight w:val="lightGray"/>
          <w14:ligatures w14:val="standardContextual"/>
        </w:rPr>
        <w:t>Presupuesto Oficial debe ser concordante con la modalidad de pago seleccionada]</w:t>
      </w:r>
    </w:p>
    <w:p w14:paraId="5EC02BF3" w14:textId="77777777" w:rsidR="008E3CD5" w:rsidRPr="00346274" w:rsidRDefault="008E3CD5" w:rsidP="008E3CD5">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346274">
        <w:rPr>
          <w:rFonts w:ascii="Verdana" w:eastAsia="Aptos" w:hAnsi="Verdana" w:cs="Times New Roman"/>
          <w:kern w:val="2"/>
          <w:sz w:val="20"/>
          <w:szCs w:val="20"/>
          <w:highlight w:val="lightGray"/>
          <w14:ligatures w14:val="standardContextual"/>
        </w:rPr>
        <w:t xml:space="preserve">[Cuando el presupuesto del Proceso de Contratación es estructurado por Precios Unitarios, la </w:t>
      </w:r>
      <w:r w:rsidRPr="00346274" w:rsidDel="1355DA3D">
        <w:rPr>
          <w:rFonts w:ascii="Verdana" w:eastAsia="Aptos" w:hAnsi="Verdana" w:cs="Times New Roman"/>
          <w:kern w:val="2"/>
          <w:sz w:val="20"/>
          <w:szCs w:val="20"/>
          <w:highlight w:val="lightGray"/>
          <w14:ligatures w14:val="standardContextual"/>
        </w:rPr>
        <w:t>E</w:t>
      </w:r>
      <w:r w:rsidRPr="00346274">
        <w:rPr>
          <w:rFonts w:ascii="Verdana" w:eastAsia="Aptos" w:hAnsi="Verdana" w:cs="Times New Roman"/>
          <w:kern w:val="2"/>
          <w:sz w:val="20"/>
          <w:szCs w:val="20"/>
          <w:highlight w:val="lightGray"/>
          <w14:ligatures w14:val="standardContextual"/>
        </w:rPr>
        <w:t>ntidad debe aplicar las notas señaladas en el Formulario 1 – Formulario de Presupuesto oficial.]</w:t>
      </w:r>
    </w:p>
    <w:p w14:paraId="0D62E598" w14:textId="77777777" w:rsidR="008E3CD5" w:rsidRPr="00346274" w:rsidRDefault="008E3CD5" w:rsidP="008E3CD5">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346274">
        <w:rPr>
          <w:rFonts w:ascii="Verdana" w:eastAsia="Aptos" w:hAnsi="Verdana" w:cs="Times New Roman"/>
          <w:kern w:val="2"/>
          <w:sz w:val="20"/>
          <w:szCs w:val="20"/>
          <w14:ligatures w14:val="standardContextual"/>
        </w:rPr>
        <w:t>Para calificar este factor se tendrá en cuenta el valor total indicado en la propuesta económica o el obtenido de la corrección aritmética. La propuesta económica deberá ser allegada en el Sobre No. 2.</w:t>
      </w:r>
    </w:p>
    <w:p w14:paraId="260EA34E" w14:textId="77777777" w:rsidR="008E3CD5" w:rsidRPr="00346274" w:rsidRDefault="008E3CD5" w:rsidP="008E3CD5">
      <w:pPr>
        <w:shd w:val="clear" w:color="auto" w:fill="FFFFFF"/>
        <w:spacing w:after="120" w:line="240" w:lineRule="auto"/>
        <w:ind w:left="709" w:right="709"/>
        <w:jc w:val="both"/>
        <w:rPr>
          <w:rFonts w:ascii="Verdana" w:eastAsia="Aptos" w:hAnsi="Verdana" w:cs="Times New Roman"/>
          <w:kern w:val="2"/>
          <w:sz w:val="20"/>
          <w:szCs w:val="20"/>
          <w:highlight w:val="lightGray"/>
          <w14:ligatures w14:val="standardContextual"/>
        </w:rPr>
      </w:pPr>
      <w:r w:rsidRPr="00346274">
        <w:rPr>
          <w:rFonts w:ascii="Verdana" w:eastAsia="Aptos" w:hAnsi="Verdana" w:cs="Times New Roman"/>
          <w:kern w:val="2"/>
          <w:sz w:val="20"/>
          <w:szCs w:val="20"/>
          <w:highlight w:val="lightGray"/>
          <w14:ligatures w14:val="standardContextual"/>
        </w:rPr>
        <w:t xml:space="preserve">[La </w:t>
      </w:r>
      <w:r w:rsidRPr="00346274" w:rsidDel="57F4FB36">
        <w:rPr>
          <w:rFonts w:ascii="Verdana" w:eastAsia="Aptos" w:hAnsi="Verdana" w:cs="Times New Roman"/>
          <w:kern w:val="2"/>
          <w:sz w:val="20"/>
          <w:szCs w:val="20"/>
          <w:highlight w:val="lightGray"/>
          <w14:ligatures w14:val="standardContextual"/>
        </w:rPr>
        <w:t>E</w:t>
      </w:r>
      <w:r w:rsidRPr="00346274">
        <w:rPr>
          <w:rFonts w:ascii="Verdana" w:eastAsia="Aptos" w:hAnsi="Verdana" w:cs="Times New Roman"/>
          <w:kern w:val="2"/>
          <w:sz w:val="20"/>
          <w:szCs w:val="20"/>
          <w:highlight w:val="lightGray"/>
          <w14:ligatures w14:val="standardContextual"/>
        </w:rPr>
        <w:t xml:space="preserve">ntidad debe configurar el </w:t>
      </w:r>
      <w:r w:rsidRPr="00346274" w:rsidDel="57F4FB36">
        <w:rPr>
          <w:rFonts w:ascii="Verdana" w:eastAsia="Aptos" w:hAnsi="Verdana" w:cs="Times New Roman"/>
          <w:kern w:val="2"/>
          <w:sz w:val="20"/>
          <w:szCs w:val="20"/>
          <w:highlight w:val="lightGray"/>
          <w14:ligatures w14:val="standardContextual"/>
        </w:rPr>
        <w:t>F</w:t>
      </w:r>
      <w:r w:rsidRPr="00346274">
        <w:rPr>
          <w:rFonts w:ascii="Verdana" w:eastAsia="Aptos" w:hAnsi="Verdana" w:cs="Times New Roman"/>
          <w:kern w:val="2"/>
          <w:sz w:val="20"/>
          <w:szCs w:val="20"/>
          <w:highlight w:val="lightGray"/>
          <w14:ligatures w14:val="standardContextual"/>
        </w:rPr>
        <w:t xml:space="preserve">ormato de oferta económica que se encuentra en el Formulario 1 – Formulario de Presupuesto Oficial, para que sea diligenciado por los </w:t>
      </w:r>
      <w:r w:rsidRPr="00346274" w:rsidDel="57F4FB36">
        <w:rPr>
          <w:rFonts w:ascii="Verdana" w:eastAsia="Aptos" w:hAnsi="Verdana" w:cs="Times New Roman"/>
          <w:kern w:val="2"/>
          <w:sz w:val="20"/>
          <w:szCs w:val="20"/>
          <w:highlight w:val="lightGray"/>
          <w14:ligatures w14:val="standardContextual"/>
        </w:rPr>
        <w:t>P</w:t>
      </w:r>
      <w:r w:rsidRPr="00346274">
        <w:rPr>
          <w:rFonts w:ascii="Verdana" w:eastAsia="Aptos" w:hAnsi="Verdana" w:cs="Times New Roman"/>
          <w:kern w:val="2"/>
          <w:sz w:val="20"/>
          <w:szCs w:val="20"/>
          <w:highlight w:val="lightGray"/>
          <w14:ligatures w14:val="standardContextual"/>
        </w:rPr>
        <w:t xml:space="preserve">roponentes. </w:t>
      </w:r>
    </w:p>
    <w:p w14:paraId="1A9BABD3" w14:textId="77777777" w:rsidR="008E3CD5" w:rsidRPr="00346274" w:rsidRDefault="008E3CD5" w:rsidP="008E3CD5">
      <w:pPr>
        <w:shd w:val="clear" w:color="auto" w:fill="FFFFFF"/>
        <w:spacing w:after="12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0"/>
          <w:szCs w:val="20"/>
          <w:highlight w:val="lightGray"/>
          <w14:ligatures w14:val="standardContextual"/>
        </w:rPr>
        <w:t xml:space="preserve">[La </w:t>
      </w:r>
      <w:r w:rsidRPr="00346274" w:rsidDel="00DD3F5A">
        <w:rPr>
          <w:rFonts w:ascii="Verdana" w:eastAsia="Aptos" w:hAnsi="Verdana" w:cs="Times New Roman"/>
          <w:kern w:val="2"/>
          <w:sz w:val="20"/>
          <w:szCs w:val="20"/>
          <w:highlight w:val="lightGray"/>
          <w14:ligatures w14:val="standardContextual"/>
        </w:rPr>
        <w:t>E</w:t>
      </w:r>
      <w:r w:rsidRPr="00346274">
        <w:rPr>
          <w:rFonts w:ascii="Verdana" w:eastAsia="Aptos" w:hAnsi="Verdana" w:cs="Times New Roman"/>
          <w:kern w:val="2"/>
          <w:sz w:val="20"/>
          <w:szCs w:val="20"/>
          <w:highlight w:val="lightGray"/>
          <w14:ligatures w14:val="standardContextual"/>
        </w:rPr>
        <w:t>ntidad debe incluir el Formulario</w:t>
      </w:r>
      <w:r w:rsidRPr="00346274">
        <w:rPr>
          <w:rFonts w:ascii="Verdana" w:eastAsia="Aptos" w:hAnsi="Verdana" w:cs="Times New Roman"/>
          <w:kern w:val="2"/>
          <w:sz w:val="21"/>
          <w:szCs w:val="21"/>
          <w:highlight w:val="lightGray"/>
          <w:lang w:val="es-MX"/>
          <w14:ligatures w14:val="standardContextual"/>
        </w:rPr>
        <w:t xml:space="preserve"> 1 – Formulario de Presupuesto Oficial y la oferta económica en formato Excel. En ningún caso la Entidad podrá incluir causales de rechazo o reglas que diferentes a las establecidas en el presente documento]</w:t>
      </w:r>
      <w:r w:rsidRPr="00346274">
        <w:rPr>
          <w:rFonts w:ascii="Verdana" w:eastAsia="Aptos" w:hAnsi="Verdana" w:cs="Times New Roman"/>
          <w:kern w:val="2"/>
          <w:sz w:val="21"/>
          <w:szCs w:val="21"/>
          <w:lang w:val="es-MX"/>
          <w14:ligatures w14:val="standardContextual"/>
        </w:rPr>
        <w:t xml:space="preserve"> </w:t>
      </w:r>
    </w:p>
    <w:p w14:paraId="611B71E0" w14:textId="77777777" w:rsidR="008E3CD5" w:rsidRPr="00346274" w:rsidRDefault="008E3CD5" w:rsidP="008E3CD5">
      <w:pPr>
        <w:shd w:val="clear" w:color="auto" w:fill="FFFFFF"/>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t xml:space="preserve">(…)”. </w:t>
      </w:r>
    </w:p>
    <w:p w14:paraId="74EC8F5D" w14:textId="77777777" w:rsidR="008E3CD5" w:rsidRPr="00346274" w:rsidRDefault="008E3CD5" w:rsidP="008E3CD5">
      <w:pPr>
        <w:shd w:val="clear" w:color="auto" w:fill="FFFFFF"/>
        <w:spacing w:after="0" w:line="240" w:lineRule="auto"/>
        <w:ind w:left="709" w:right="709"/>
        <w:jc w:val="both"/>
        <w:rPr>
          <w:rFonts w:ascii="Verdana" w:eastAsia="Aptos" w:hAnsi="Verdana" w:cs="Times New Roman"/>
          <w:kern w:val="2"/>
          <w:sz w:val="21"/>
          <w:szCs w:val="21"/>
          <w:lang w:val="es-MX"/>
          <w14:ligatures w14:val="standardContextual"/>
        </w:rPr>
      </w:pPr>
    </w:p>
    <w:p w14:paraId="3244DFB1" w14:textId="77777777" w:rsidR="008E3CD5" w:rsidRPr="00346274" w:rsidRDefault="008E3CD5" w:rsidP="008E3CD5">
      <w:pPr>
        <w:spacing w:before="120" w:after="120" w:line="276" w:lineRule="auto"/>
        <w:jc w:val="both"/>
        <w:rPr>
          <w:rFonts w:ascii="Verdana" w:eastAsia="Calibri" w:hAnsi="Verdana" w:cs="Arial"/>
          <w:bCs/>
          <w:color w:val="000000"/>
          <w:lang w:eastAsia="es-MX"/>
        </w:rPr>
      </w:pPr>
      <w:r w:rsidRPr="00346274">
        <w:rPr>
          <w:rFonts w:ascii="Arial" w:eastAsia="Calibri" w:hAnsi="Arial" w:cs="Arial"/>
          <w:kern w:val="2"/>
          <w:sz w:val="24"/>
          <w:szCs w:val="24"/>
          <w:lang w:val="es-MX"/>
          <w14:ligatures w14:val="standardContextual"/>
        </w:rPr>
        <w:tab/>
      </w:r>
      <w:r w:rsidRPr="00346274">
        <w:rPr>
          <w:rFonts w:ascii="Verdana" w:eastAsia="Calibri" w:hAnsi="Verdana" w:cs="Arial"/>
          <w:kern w:val="2"/>
          <w:lang w:val="es-ES_tradnl"/>
          <w14:ligatures w14:val="standardContextual"/>
        </w:rPr>
        <w:t>Los párrafos que están en corchetes son notas aclaratorias o instrucciones para la entidad contratante, que deben ser seguidas sin vulnerar el carácter obligatorio y la regla</w:t>
      </w:r>
      <w:r w:rsidRPr="00346274">
        <w:rPr>
          <w:rFonts w:ascii="Arial" w:eastAsia="Calibri" w:hAnsi="Arial" w:cs="Arial"/>
          <w:kern w:val="2"/>
          <w:sz w:val="24"/>
          <w:szCs w:val="24"/>
          <w:lang w:val="es-ES_tradnl"/>
          <w14:ligatures w14:val="standardContextual"/>
        </w:rPr>
        <w:t xml:space="preserve"> </w:t>
      </w:r>
      <w:r w:rsidRPr="00346274">
        <w:rPr>
          <w:rFonts w:ascii="Verdana" w:eastAsia="Calibri" w:hAnsi="Verdana" w:cs="Arial"/>
          <w:kern w:val="2"/>
          <w:lang w:val="es-ES_tradnl"/>
          <w14:ligatures w14:val="standardContextual"/>
        </w:rPr>
        <w:t xml:space="preserve">de inalterabilidad de los documentos tipo. En específico, el primer inciso del numeral 4.1 dispone que la entidad debe establecer si la forma de pago corresponde a precio global, llave en mano, precios unitarios, administración delegada, reembolso de gastos o la que determine. Así, el documento base, en relación con la forma de pago, contempla diversas alternativas que pueden ser adoptadas por la entidad; no obstante, estas no tienen carácter taxativo, en la medida en que se prevé expresamente la posibilidad </w:t>
      </w:r>
      <w:r w:rsidRPr="00346274">
        <w:rPr>
          <w:rFonts w:ascii="Verdana" w:eastAsia="Calibri" w:hAnsi="Verdana" w:cs="Arial"/>
          <w:bCs/>
          <w:color w:val="000000"/>
          <w:lang w:eastAsia="es-MX"/>
        </w:rPr>
        <w:t xml:space="preserve">de que la entidad defina una modalidad distinta bajo la expresión “o la que determine”. </w:t>
      </w:r>
    </w:p>
    <w:p w14:paraId="17465B5A" w14:textId="77777777" w:rsidR="008E3CD5" w:rsidRPr="00346274" w:rsidRDefault="008E3CD5" w:rsidP="008E3CD5">
      <w:pPr>
        <w:spacing w:before="120" w:after="120" w:line="276" w:lineRule="auto"/>
        <w:ind w:firstLine="708"/>
        <w:jc w:val="both"/>
        <w:rPr>
          <w:rFonts w:ascii="Verdana" w:eastAsia="Calibri" w:hAnsi="Verdana" w:cs="Arial"/>
          <w:kern w:val="2"/>
          <w:lang w:val="es-ES_tradnl"/>
          <w14:ligatures w14:val="standardContextual"/>
        </w:rPr>
      </w:pPr>
      <w:r w:rsidRPr="00346274">
        <w:rPr>
          <w:rFonts w:ascii="Verdana" w:eastAsia="Calibri" w:hAnsi="Verdana" w:cs="Arial"/>
          <w:bCs/>
          <w:color w:val="000000"/>
          <w:lang w:eastAsia="es-MX"/>
        </w:rPr>
        <w:t>En todo</w:t>
      </w:r>
      <w:r w:rsidRPr="00346274">
        <w:rPr>
          <w:rFonts w:ascii="Verdana" w:eastAsia="Calibri" w:hAnsi="Verdana" w:cs="Arial"/>
          <w:kern w:val="2"/>
          <w:lang w:val="es-ES_tradnl"/>
          <w14:ligatures w14:val="standardContextual"/>
        </w:rPr>
        <w:t xml:space="preserve"> caso, la opción que se adopte deberá estar debidamente justificada en los estudios y documentos previos, guardar coherencia con la naturaleza y alcance del objeto contractual y asegurar la debida correspondencia con el Anexo 1 – Anexo Técnico y el Formulario 1 – Formulario de Presupuesto Oficial, en cumplimiento de los principios de planeación, transparencia y responsabilidad que rigen la contratación estatal. </w:t>
      </w:r>
    </w:p>
    <w:p w14:paraId="012B3B34" w14:textId="77777777" w:rsidR="008E3CD5" w:rsidRPr="0010521B" w:rsidRDefault="008E3CD5" w:rsidP="008E3CD5">
      <w:pPr>
        <w:spacing w:after="120" w:line="276" w:lineRule="auto"/>
        <w:ind w:firstLine="708"/>
        <w:jc w:val="both"/>
        <w:rPr>
          <w:rFonts w:ascii="Verdana" w:eastAsia="Calibri" w:hAnsi="Verdana" w:cs="Arial"/>
          <w:bCs/>
          <w:color w:val="000000"/>
          <w:shd w:val="clear" w:color="auto" w:fill="FFFFFF"/>
          <w:lang w:val="es-ES_tradnl"/>
        </w:rPr>
      </w:pPr>
      <w:r w:rsidRPr="00346274">
        <w:rPr>
          <w:rFonts w:ascii="Verdana" w:eastAsia="Calibri" w:hAnsi="Verdana" w:cs="Arial"/>
          <w:lang w:val="es-ES"/>
        </w:rPr>
        <w:t>En los documentos tipo de licitación de obra pública de infraestructura social – versión 2, el numeral 4.1.1 “A.I.U.” establece la obligatoriedad de incluir el A.I.U cuando el proceso de contratación sea por precios unitarios. En este numeral se indica el deber del proponente de calcular todos los gastos en los que incurre para poder remunerar los costos de administración, los imprevistos y la utilidad o beneficio económico que pretende percibir por la ejecución del contrato. La instrucción prevista en el numeral 4.1.1 “AIU” está dada en términos de deber y obligación, por tanto, no existe la posibilidad de modificar el contenido del documento base previsto en el numeral “4.1.1 A.I.U.” siempre y cuando el proceso de contratación sea por precios unitarios</w:t>
      </w:r>
      <w:bookmarkStart w:id="7" w:name="_Hlk62829022"/>
      <w:r w:rsidRPr="00346274">
        <w:rPr>
          <w:rFonts w:ascii="Verdana" w:eastAsia="Calibri" w:hAnsi="Verdana" w:cs="Arial"/>
          <w:lang w:val="es-ES"/>
        </w:rPr>
        <w:t xml:space="preserve">. Ahora bien, considerando que ese numeral solo debe incorporarse cuando el proceso de contratación sea por precios unitarios, cuando este no suceda, es claro que la </w:t>
      </w:r>
      <w:r w:rsidRPr="0010521B">
        <w:rPr>
          <w:rFonts w:ascii="Verdana" w:eastAsia="Calibri" w:hAnsi="Verdana" w:cs="Arial"/>
          <w:lang w:val="es-ES"/>
        </w:rPr>
        <w:t xml:space="preserve">entidad que adelanta el proceso no debe incluirlo. </w:t>
      </w:r>
    </w:p>
    <w:bookmarkEnd w:id="7"/>
    <w:p w14:paraId="728AF382" w14:textId="77777777" w:rsidR="008E3CD5" w:rsidRPr="0010521B" w:rsidRDefault="008E3CD5" w:rsidP="008E3CD5">
      <w:pPr>
        <w:spacing w:before="120" w:after="120" w:line="276" w:lineRule="auto"/>
        <w:ind w:firstLine="708"/>
        <w:jc w:val="both"/>
        <w:rPr>
          <w:rFonts w:ascii="Verdana" w:eastAsia="Arial" w:hAnsi="Verdana" w:cs="Arial"/>
          <w:lang w:val="es-ES" w:eastAsia="es-ES" w:bidi="es-ES"/>
        </w:rPr>
      </w:pPr>
      <w:r w:rsidRPr="0010521B">
        <w:rPr>
          <w:rFonts w:ascii="Verdana" w:eastAsia="Calibri" w:hAnsi="Verdana" w:cs="Arial"/>
          <w:bCs/>
          <w:lang w:val="es-ES_tradnl"/>
        </w:rPr>
        <w:t xml:space="preserve">Por su parte, en </w:t>
      </w:r>
      <w:r w:rsidRPr="0010521B">
        <w:rPr>
          <w:rFonts w:ascii="Verdana" w:eastAsia="Calibri" w:hAnsi="Verdana" w:cs="Arial"/>
          <w:iCs/>
          <w:color w:val="000000"/>
          <w:lang w:val="es-ES"/>
        </w:rPr>
        <w:t>el “Formulario 1 – Formulario del Presupuesto Oficial</w:t>
      </w:r>
      <w:bookmarkStart w:id="8" w:name="_Hlk210138186"/>
      <w:r w:rsidRPr="0010521B">
        <w:rPr>
          <w:rFonts w:ascii="Verdana" w:eastAsia="Calibri" w:hAnsi="Verdana" w:cs="Arial"/>
          <w:iCs/>
          <w:color w:val="000000"/>
          <w:lang w:val="es-ES"/>
        </w:rPr>
        <w:t>”</w:t>
      </w:r>
      <w:r w:rsidRPr="0010521B">
        <w:rPr>
          <w:rFonts w:ascii="Verdana" w:eastAsia="Arial" w:hAnsi="Verdana" w:cs="Arial"/>
          <w:lang w:val="es-ES" w:eastAsia="es-ES" w:bidi="es-ES"/>
        </w:rPr>
        <w:t>, de los documentos tipo de licitación de obra pública de infraestructura social – versión 2,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ii) imprevistos y iii) utilidad, cuando el proceso de contratación sea por precios unitarios.</w:t>
      </w:r>
    </w:p>
    <w:bookmarkEnd w:id="8"/>
    <w:p w14:paraId="57ACB637" w14:textId="77777777" w:rsidR="008E3CD5" w:rsidRPr="0010521B" w:rsidRDefault="008E3CD5" w:rsidP="008E3CD5">
      <w:pPr>
        <w:widowControl w:val="0"/>
        <w:autoSpaceDE w:val="0"/>
        <w:autoSpaceDN w:val="0"/>
        <w:spacing w:after="0" w:line="276" w:lineRule="auto"/>
        <w:ind w:firstLine="709"/>
        <w:jc w:val="both"/>
        <w:rPr>
          <w:rFonts w:ascii="Verdana" w:eastAsia="Arial" w:hAnsi="Verdana" w:cs="Arial"/>
          <w:lang w:val="es-ES" w:eastAsia="es-ES" w:bidi="es-ES"/>
        </w:rPr>
      </w:pPr>
      <w:r w:rsidRPr="0010521B">
        <w:rPr>
          <w:rFonts w:ascii="Verdana" w:eastAsia="Arial" w:hAnsi="Verdana" w:cs="Arial"/>
          <w:lang w:val="es-ES" w:eastAsia="es-ES" w:bidi="es-ES"/>
        </w:rPr>
        <w:t xml:space="preserve">De esta forma, para efectos de la aplicación de los documentos tipo de licitación de obra pública de infraestructura de social – versión 2, las entidades estatales incluirán de manera obligatoria en el Formulario 1 – Formulario del presupuesto oficial el porcentaje del A.I.U, cuando el proceso de contratación sea por precios unitarios. No obstante, dicha obligación no implica si el proceso de contratación no se estructura bajo esta modalidad. </w:t>
      </w:r>
    </w:p>
    <w:p w14:paraId="17D74841" w14:textId="77777777" w:rsidR="008E3CD5" w:rsidRPr="0010521B" w:rsidRDefault="008E3CD5" w:rsidP="008E3CD5">
      <w:pPr>
        <w:spacing w:after="0" w:line="276" w:lineRule="auto"/>
        <w:jc w:val="both"/>
        <w:rPr>
          <w:rFonts w:ascii="Verdana" w:eastAsia="Calibri" w:hAnsi="Verdana" w:cs="Arial"/>
          <w:bCs/>
          <w:color w:val="000000"/>
          <w:kern w:val="2"/>
          <w14:ligatures w14:val="standardContextual"/>
        </w:rPr>
      </w:pPr>
    </w:p>
    <w:p w14:paraId="38FBAB26" w14:textId="77777777" w:rsidR="008E3CD5" w:rsidRPr="0010521B" w:rsidRDefault="008E3CD5" w:rsidP="008E3CD5">
      <w:pPr>
        <w:spacing w:after="120" w:line="276" w:lineRule="auto"/>
        <w:jc w:val="both"/>
        <w:rPr>
          <w:rFonts w:ascii="Verdana" w:eastAsia="Calibri" w:hAnsi="Verdana" w:cs="Arial"/>
          <w:lang w:eastAsia="es-ES_tradnl"/>
        </w:rPr>
      </w:pPr>
      <w:r w:rsidRPr="0010521B">
        <w:rPr>
          <w:rFonts w:ascii="Verdana" w:eastAsia="Calibri" w:hAnsi="Verdana" w:cs="Arial"/>
          <w:bCs/>
          <w:color w:val="000000"/>
          <w:kern w:val="2"/>
          <w14:ligatures w14:val="standardContextual"/>
        </w:rPr>
        <w:t>V)</w:t>
      </w:r>
      <w:r w:rsidRPr="0010521B">
        <w:rPr>
          <w:rFonts w:ascii="Verdana" w:eastAsia="Calibri" w:hAnsi="Verdana" w:cs="Arial"/>
          <w:lang w:eastAsia="es-ES_tradnl"/>
        </w:rPr>
        <w:t xml:space="preserve">. </w:t>
      </w:r>
      <w:r w:rsidRPr="0010521B">
        <w:rPr>
          <w:rFonts w:ascii="Verdana" w:eastAsia="Calibri" w:hAnsi="Verdana" w:cs="Arial"/>
          <w:color w:val="000000" w:themeColor="text1"/>
          <w:shd w:val="clear" w:color="auto" w:fill="FFFFFF"/>
        </w:rPr>
        <w:t>Finalmente, resulta necesario señalar que la aplicabilidad de los Documentos Tipo depende de que el objeto del proceso de selección se subsuma en alguna de las actividades previstas en la Matriz 1 – Experiencia del documento tipo aplicable, que para este caso corresponde al sector institucional.</w:t>
      </w:r>
    </w:p>
    <w:p w14:paraId="29E199DD" w14:textId="77777777" w:rsidR="008E3CD5" w:rsidRPr="0010521B" w:rsidRDefault="008E3CD5" w:rsidP="008E3CD5">
      <w:pPr>
        <w:spacing w:after="120" w:line="276" w:lineRule="auto"/>
        <w:ind w:firstLine="709"/>
        <w:jc w:val="both"/>
        <w:rPr>
          <w:rFonts w:ascii="Verdana" w:eastAsia="Calibri" w:hAnsi="Verdana" w:cs="Arial"/>
          <w:color w:val="000000" w:themeColor="text1"/>
          <w:shd w:val="clear" w:color="auto" w:fill="FFFFFF"/>
        </w:rPr>
      </w:pPr>
      <w:r w:rsidRPr="0010521B">
        <w:rPr>
          <w:rFonts w:ascii="Verdana" w:eastAsia="Calibri" w:hAnsi="Verdana" w:cs="Arial"/>
          <w:color w:val="000000" w:themeColor="text1"/>
          <w:shd w:val="clear" w:color="auto" w:fill="FFFFFF"/>
        </w:rPr>
        <w:t>Para establecer si un objeto contractual se encuentra cobijado por los Documentos Tipo, la entidad debe verificar si este se enmarca en los tipos de infraestructura, en la modalidad de selección correspondiente y en las actividades estandarizadas en la respectiva matriz de experiencia. En esa medida, la aplicación de un documento tipo solo será obligatoria cuando se determine que el objeto contractual y la modalidad de selección se encuentran dentro del ámbito de aplicación definido en las resoluciones expedidas por esta Agencia.</w:t>
      </w:r>
    </w:p>
    <w:p w14:paraId="4ED86A95" w14:textId="77777777" w:rsidR="008E3CD5" w:rsidRPr="0010521B" w:rsidRDefault="008E3CD5" w:rsidP="008E3CD5">
      <w:pPr>
        <w:spacing w:after="120" w:line="276" w:lineRule="auto"/>
        <w:ind w:firstLine="709"/>
        <w:jc w:val="both"/>
        <w:rPr>
          <w:rFonts w:ascii="Verdana" w:eastAsia="Calibri" w:hAnsi="Verdana" w:cs="Arial"/>
          <w:color w:val="000000" w:themeColor="text1"/>
          <w:shd w:val="clear" w:color="auto" w:fill="FFFFFF"/>
        </w:rPr>
      </w:pPr>
      <w:r w:rsidRPr="0010521B">
        <w:rPr>
          <w:rFonts w:ascii="Verdana" w:eastAsia="Calibri" w:hAnsi="Verdana" w:cs="Arial"/>
          <w:color w:val="000000" w:themeColor="text1"/>
          <w:shd w:val="clear" w:color="auto" w:fill="FFFFFF"/>
        </w:rPr>
        <w:t xml:space="preserve">En conclusión, la determinación sobre la aplicabilidad de los Documentos Tipo del Sector Institucional no depende exclusivamente de la denominación que la entidad asigne al objeto contractual, sino del análisis material de su alcance, y de su correspondencia con las actividades previstas en la Matriz 1 – Experiencia, es decir que este objeto se encaje o enmarque en alguna de las actividades previstas en dicha matriz. </w:t>
      </w:r>
    </w:p>
    <w:p w14:paraId="5F7DB1EA" w14:textId="77777777" w:rsidR="008E3CD5" w:rsidRPr="0010521B" w:rsidRDefault="008E3CD5" w:rsidP="008E3CD5">
      <w:pPr>
        <w:spacing w:after="120" w:line="276" w:lineRule="auto"/>
        <w:ind w:firstLine="709"/>
        <w:jc w:val="both"/>
        <w:rPr>
          <w:rFonts w:ascii="Verdana" w:eastAsia="Calibri" w:hAnsi="Verdana" w:cs="Arial"/>
          <w:color w:val="000000" w:themeColor="text1"/>
          <w:shd w:val="clear" w:color="auto" w:fill="FFFFFF"/>
        </w:rPr>
      </w:pPr>
      <w:r w:rsidRPr="0010521B">
        <w:rPr>
          <w:rFonts w:ascii="Verdana" w:eastAsia="Calibri" w:hAnsi="Verdana" w:cs="Arial"/>
          <w:color w:val="000000" w:themeColor="text1"/>
          <w:shd w:val="clear" w:color="auto" w:fill="FFFFFF"/>
        </w:rPr>
        <w:t>En ese sentido, cuando el objeto contractual comprenda trabajos de suministro e instalación o que contengan intervenciones de mantenimiento que recaigan sobre bienes inmuebles —incluidos aquellos por adhesión o por destinación— y se subsuman en las actividades definidas en dicha matriz, la entidad deberá sujetarse a los Documentos Tipo expedidos por esta Agencia. Por el contrario, cuando se trate exclusivamente del suministro de bienes o de elementos o equipos que no comporten intervenciones materiales sobre inmuebles, corresponderá a la entidad, en ejercicio de su deber de planeación, determinar el régimen contractual aplicable con fundamento en el alcance técnico, los estudios previos y las características concretas de la necesidad a satisfacer.</w:t>
      </w:r>
    </w:p>
    <w:p w14:paraId="741F4B66" w14:textId="77777777" w:rsidR="008E3CD5" w:rsidRPr="0010521B" w:rsidRDefault="008E3CD5" w:rsidP="008E3CD5">
      <w:pPr>
        <w:spacing w:after="120" w:line="276" w:lineRule="auto"/>
        <w:jc w:val="both"/>
        <w:rPr>
          <w:rFonts w:ascii="Verdana" w:eastAsia="Aptos" w:hAnsi="Verdana" w:cs="Times New Roman"/>
          <w:kern w:val="2"/>
          <w14:ligatures w14:val="standardContextual"/>
        </w:rPr>
      </w:pPr>
      <w:r w:rsidRPr="0010521B">
        <w:rPr>
          <w:rFonts w:ascii="Verdana" w:eastAsia="Calibri" w:hAnsi="Verdana" w:cs="Arial"/>
          <w:color w:val="000000" w:themeColor="text1"/>
          <w:shd w:val="clear" w:color="auto" w:fill="FFFFFF"/>
          <w:lang w:val="es-ES"/>
        </w:rPr>
        <w:t xml:space="preserve">VI). </w:t>
      </w:r>
      <w:r w:rsidRPr="0010521B">
        <w:rPr>
          <w:rFonts w:ascii="Verdana" w:eastAsia="Calibri" w:hAnsi="Verdana" w:cs="Arial"/>
          <w:bCs/>
          <w:color w:val="000000"/>
          <w:kern w:val="2"/>
          <w14:ligatures w14:val="standardContextua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F9C8FBF" w14:textId="77777777" w:rsidR="008E3CD5" w:rsidRPr="0010521B" w:rsidRDefault="008E3CD5" w:rsidP="008E3CD5">
      <w:pPr>
        <w:spacing w:after="0" w:line="276" w:lineRule="auto"/>
        <w:ind w:firstLine="708"/>
        <w:jc w:val="both"/>
        <w:rPr>
          <w:rFonts w:ascii="Verdana" w:eastAsia="Calibri" w:hAnsi="Verdana" w:cs="Arial"/>
          <w:bCs/>
          <w:color w:val="000000"/>
          <w:kern w:val="2"/>
          <w14:ligatures w14:val="standardContextual"/>
        </w:rPr>
      </w:pPr>
      <w:r w:rsidRPr="0010521B">
        <w:rPr>
          <w:rFonts w:ascii="Verdana" w:eastAsia="Calibri" w:hAnsi="Verdana" w:cs="Arial"/>
          <w:bCs/>
          <w:color w:val="000000"/>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44390CA" w14:textId="77777777" w:rsidR="008E3CD5" w:rsidRPr="005C2320" w:rsidRDefault="008E3CD5" w:rsidP="008E3CD5">
      <w:pPr>
        <w:spacing w:after="120" w:line="276" w:lineRule="auto"/>
        <w:ind w:right="49"/>
        <w:jc w:val="both"/>
        <w:rPr>
          <w:rFonts w:ascii="Verdana" w:eastAsia="Calibri" w:hAnsi="Verdana" w:cs="Arial"/>
          <w:color w:val="01AEFC"/>
          <w:sz w:val="20"/>
          <w:szCs w:val="20"/>
          <w:shd w:val="clear" w:color="auto" w:fill="FFFFFF"/>
          <w:lang w:val="es-ES"/>
        </w:rPr>
      </w:pPr>
    </w:p>
    <w:p w14:paraId="0F167FB6" w14:textId="77777777" w:rsidR="008E3CD5" w:rsidRPr="004D7523" w:rsidRDefault="008E3CD5" w:rsidP="008E3CD5">
      <w:pPr>
        <w:numPr>
          <w:ilvl w:val="0"/>
          <w:numId w:val="18"/>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D7523">
        <w:rPr>
          <w:rFonts w:ascii="Verdana" w:eastAsia="Century Gothic" w:hAnsi="Verdana" w:cs="Century Gothic"/>
          <w:b/>
          <w:bCs/>
          <w:lang w:val="es-ES_tradnl"/>
        </w:rPr>
        <w:t>Referencias normativas, jurisprudenciales y otras fuentes:</w:t>
      </w:r>
    </w:p>
    <w:p w14:paraId="6D2E12ED" w14:textId="77777777" w:rsidR="008E3CD5" w:rsidRPr="004D7523" w:rsidRDefault="008E3CD5" w:rsidP="008E3CD5">
      <w:pPr>
        <w:tabs>
          <w:tab w:val="left" w:pos="970"/>
        </w:tabs>
        <w:spacing w:after="0" w:line="276" w:lineRule="auto"/>
        <w:ind w:left="-15840"/>
        <w:jc w:val="both"/>
        <w:rPr>
          <w:rFonts w:ascii="Verdana" w:eastAsia="Calibri" w:hAnsi="Verdana" w:cs="Arial"/>
          <w:b/>
          <w:bCs/>
        </w:rPr>
      </w:pPr>
      <w:r w:rsidRPr="004D7523">
        <w:rPr>
          <w:rFonts w:ascii="Verdana" w:eastAsia="Calibri" w:hAnsi="Verdana" w:cs="Arial"/>
          <w:b/>
          <w:bCs/>
        </w:rPr>
        <w:t>4. Referencias normativas, jurisprudenciales y otras fuentes:</w:t>
      </w:r>
      <w:r w:rsidRPr="004D7523">
        <w:rPr>
          <w:rFonts w:ascii="Verdana" w:eastAsia="Calibri" w:hAnsi="Verdana" w:cs="Arial"/>
          <w:b/>
          <w:bCs/>
        </w:rPr>
        <w:tab/>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E3CD5" w:rsidRPr="00D56B2A" w14:paraId="48B35688" w14:textId="77777777" w:rsidTr="00463BE1">
        <w:trPr>
          <w:trHeight w:val="242"/>
        </w:trPr>
        <w:tc>
          <w:tcPr>
            <w:tcW w:w="8647" w:type="dxa"/>
            <w:tcBorders>
              <w:top w:val="dotted" w:sz="4" w:space="0" w:color="auto"/>
              <w:left w:val="dotted" w:sz="4" w:space="0" w:color="auto"/>
              <w:bottom w:val="dotted" w:sz="4" w:space="0" w:color="auto"/>
              <w:right w:val="dotted" w:sz="4" w:space="0" w:color="auto"/>
            </w:tcBorders>
          </w:tcPr>
          <w:p w14:paraId="1B98F594" w14:textId="77777777" w:rsidR="008E3CD5" w:rsidRPr="00D56B2A" w:rsidRDefault="008E3CD5" w:rsidP="00463BE1">
            <w:pPr>
              <w:widowControl w:val="0"/>
              <w:autoSpaceDE w:val="0"/>
              <w:autoSpaceDN w:val="0"/>
              <w:snapToGrid w:val="0"/>
              <w:spacing w:after="120" w:line="276" w:lineRule="auto"/>
              <w:ind w:left="714"/>
              <w:jc w:val="both"/>
              <w:rPr>
                <w:rFonts w:ascii="Verdana" w:eastAsia="Calibri" w:hAnsi="Verdana" w:cs="Arial"/>
                <w:color w:val="3399FF"/>
                <w:lang w:val="es-ES_tradnl"/>
              </w:rPr>
            </w:pPr>
          </w:p>
          <w:p w14:paraId="5611DC65" w14:textId="77777777" w:rsidR="008E3CD5" w:rsidRPr="00DA2A79" w:rsidRDefault="008E3CD5" w:rsidP="00463BE1">
            <w:pPr>
              <w:widowControl w:val="0"/>
              <w:numPr>
                <w:ilvl w:val="0"/>
                <w:numId w:val="17"/>
              </w:numPr>
              <w:autoSpaceDE w:val="0"/>
              <w:autoSpaceDN w:val="0"/>
              <w:spacing w:after="160" w:line="276" w:lineRule="auto"/>
              <w:ind w:left="714" w:hanging="357"/>
              <w:jc w:val="both"/>
              <w:rPr>
                <w:rFonts w:ascii="Verdana" w:eastAsia="Calibri" w:hAnsi="Verdana" w:cs="Arial"/>
                <w:lang w:val="es-ES_tradnl" w:eastAsia="es-MX"/>
              </w:rPr>
            </w:pPr>
            <w:r w:rsidRPr="00DA2A79">
              <w:rPr>
                <w:rFonts w:ascii="Verdana" w:eastAsia="Calibri" w:hAnsi="Verdana" w:cs="Arial"/>
                <w:lang w:val="es-ES_tradnl" w:eastAsia="es-MX"/>
              </w:rPr>
              <w:t xml:space="preserve">Ley 2022 de 2020, artículo 1. </w:t>
            </w:r>
          </w:p>
          <w:p w14:paraId="06410049" w14:textId="77777777" w:rsidR="008E3CD5" w:rsidRPr="00DA2A79" w:rsidRDefault="008E3CD5" w:rsidP="00463BE1">
            <w:pPr>
              <w:widowControl w:val="0"/>
              <w:numPr>
                <w:ilvl w:val="0"/>
                <w:numId w:val="17"/>
              </w:numPr>
              <w:autoSpaceDE w:val="0"/>
              <w:autoSpaceDN w:val="0"/>
              <w:spacing w:after="160" w:line="276" w:lineRule="auto"/>
              <w:jc w:val="both"/>
              <w:rPr>
                <w:rFonts w:ascii="Verdana" w:eastAsia="Calibri" w:hAnsi="Verdana" w:cs="Arial"/>
                <w:lang w:eastAsia="es-MX"/>
              </w:rPr>
            </w:pPr>
            <w:r w:rsidRPr="00DA2A79">
              <w:rPr>
                <w:rFonts w:ascii="Verdana" w:eastAsia="Calibri" w:hAnsi="Verdana" w:cs="Arial"/>
                <w:lang w:eastAsia="es-MX"/>
              </w:rPr>
              <w:t>Ley 1150 de 2007, artículo 2.</w:t>
            </w:r>
          </w:p>
          <w:p w14:paraId="06B4B216" w14:textId="77777777" w:rsidR="008E3CD5" w:rsidRPr="00D56B2A" w:rsidRDefault="008E3CD5" w:rsidP="00463BE1">
            <w:pPr>
              <w:widowControl w:val="0"/>
              <w:numPr>
                <w:ilvl w:val="0"/>
                <w:numId w:val="17"/>
              </w:numPr>
              <w:autoSpaceDE w:val="0"/>
              <w:autoSpaceDN w:val="0"/>
              <w:spacing w:after="120" w:line="276" w:lineRule="auto"/>
              <w:jc w:val="both"/>
              <w:rPr>
                <w:rFonts w:ascii="Verdana" w:hAnsi="Verdana" w:cs="Arial"/>
                <w:color w:val="3399FF"/>
              </w:rPr>
            </w:pPr>
            <w:r w:rsidRPr="00DA2A79">
              <w:rPr>
                <w:rFonts w:ascii="Verdana" w:eastAsia="Calibri" w:hAnsi="Verdana" w:cs="Arial"/>
                <w:lang w:val="es-ES_tradnl" w:eastAsia="es-MX"/>
              </w:rPr>
              <w:t xml:space="preserve">Documentos Tipo. Disponibles en: </w:t>
            </w:r>
            <w:hyperlink r:id="rId12" w:history="1">
              <w:r w:rsidRPr="00DA2A79">
                <w:rPr>
                  <w:rFonts w:ascii="Verdana" w:eastAsia="Calibri" w:hAnsi="Verdana" w:cs="Arial"/>
                  <w:color w:val="0000FF"/>
                  <w:u w:val="single"/>
                  <w:lang w:val="es-ES_tradnl" w:eastAsia="es-MX"/>
                </w:rPr>
                <w:t>https://www.colombiacompra.gov.co/documentos-tipo/documentos-tipo</w:t>
              </w:r>
            </w:hyperlink>
            <w:r w:rsidRPr="00DA2A79">
              <w:rPr>
                <w:rFonts w:ascii="Verdana" w:eastAsia="Calibri" w:hAnsi="Verdana" w:cs="Arial"/>
                <w:lang w:val="es-ES_tradnl" w:eastAsia="es-MX"/>
              </w:rPr>
              <w:t>.</w:t>
            </w:r>
          </w:p>
          <w:p w14:paraId="5D20A6FE" w14:textId="77777777" w:rsidR="008E3CD5" w:rsidRPr="00D56B2A" w:rsidRDefault="008E3CD5" w:rsidP="00463BE1">
            <w:pPr>
              <w:widowControl w:val="0"/>
              <w:autoSpaceDE w:val="0"/>
              <w:autoSpaceDN w:val="0"/>
              <w:spacing w:after="120" w:line="276" w:lineRule="auto"/>
              <w:ind w:left="720"/>
              <w:jc w:val="both"/>
              <w:rPr>
                <w:rFonts w:ascii="Verdana" w:hAnsi="Verdana" w:cs="Arial"/>
                <w:color w:val="3399FF"/>
              </w:rPr>
            </w:pPr>
          </w:p>
        </w:tc>
      </w:tr>
    </w:tbl>
    <w:p w14:paraId="230B8DB4" w14:textId="77777777" w:rsidR="008E3CD5" w:rsidRPr="00155CC1" w:rsidRDefault="008E3CD5" w:rsidP="008E3CD5">
      <w:pPr>
        <w:tabs>
          <w:tab w:val="left" w:pos="142"/>
          <w:tab w:val="left" w:pos="284"/>
        </w:tabs>
        <w:spacing w:after="0" w:line="276" w:lineRule="auto"/>
        <w:jc w:val="both"/>
        <w:rPr>
          <w:rFonts w:ascii="Verdana" w:eastAsia="Calibri" w:hAnsi="Verdana" w:cs="Arial"/>
          <w:color w:val="6699FF"/>
        </w:rPr>
      </w:pPr>
    </w:p>
    <w:p w14:paraId="0D47F442" w14:textId="77777777" w:rsidR="008E3CD5" w:rsidRPr="0026211F" w:rsidRDefault="008E3CD5" w:rsidP="008E3CD5">
      <w:pPr>
        <w:tabs>
          <w:tab w:val="left" w:pos="142"/>
          <w:tab w:val="left" w:pos="284"/>
        </w:tabs>
        <w:spacing w:after="0" w:line="276" w:lineRule="auto"/>
        <w:jc w:val="both"/>
        <w:rPr>
          <w:rFonts w:ascii="Verdana" w:eastAsia="Century Gothic" w:hAnsi="Verdana" w:cs="Century Gothic"/>
          <w:b/>
          <w:bCs/>
          <w:lang w:val="es-ES"/>
        </w:rPr>
      </w:pPr>
      <w:r w:rsidRPr="0026211F">
        <w:rPr>
          <w:rFonts w:ascii="Verdana" w:eastAsia="Calibri" w:hAnsi="Verdana" w:cs="Arial"/>
          <w:b/>
          <w:bCs/>
        </w:rPr>
        <w:t>5</w:t>
      </w:r>
      <w:r w:rsidRPr="0026211F">
        <w:rPr>
          <w:rFonts w:ascii="Verdana" w:eastAsia="Calibri" w:hAnsi="Verdana" w:cs="Arial"/>
        </w:rPr>
        <w:t>.</w:t>
      </w:r>
      <w:r w:rsidRPr="0026211F">
        <w:rPr>
          <w:rFonts w:ascii="Verdana" w:eastAsia="Century Gothic" w:hAnsi="Verdana" w:cs="Century Gothic"/>
          <w:b/>
          <w:bCs/>
          <w:lang w:val="es-ES"/>
        </w:rPr>
        <w:t>Doctrina de la Agencia Nacional de Contratación Pública:</w:t>
      </w:r>
    </w:p>
    <w:p w14:paraId="1C722E7E" w14:textId="77777777" w:rsidR="008E3CD5" w:rsidRPr="00DA2A79" w:rsidRDefault="008E3CD5" w:rsidP="008E3CD5">
      <w:pPr>
        <w:widowControl w:val="0"/>
        <w:autoSpaceDE w:val="0"/>
        <w:autoSpaceDN w:val="0"/>
        <w:spacing w:after="0" w:line="276" w:lineRule="auto"/>
        <w:jc w:val="both"/>
        <w:rPr>
          <w:rFonts w:ascii="Verdana" w:eastAsia="Calibri" w:hAnsi="Verdana" w:cs="Arial"/>
          <w:lang w:eastAsia="es-MX"/>
        </w:rPr>
      </w:pPr>
    </w:p>
    <w:p w14:paraId="636E592F" w14:textId="77777777" w:rsidR="008E3CD5" w:rsidRPr="00C15B51" w:rsidRDefault="008E3CD5" w:rsidP="008E3CD5">
      <w:pPr>
        <w:spacing w:after="0" w:line="276" w:lineRule="auto"/>
        <w:jc w:val="both"/>
        <w:rPr>
          <w:rFonts w:ascii="Verdana" w:eastAsia="Calibri" w:hAnsi="Verdana" w:cs="Arial"/>
          <w:shd w:val="clear" w:color="auto" w:fill="FFFFFF"/>
          <w:lang w:val="es-ES" w:eastAsia="es-MX"/>
        </w:rPr>
      </w:pPr>
      <w:r w:rsidRPr="00C15B51">
        <w:rPr>
          <w:rFonts w:ascii="Verdana" w:eastAsia="Calibri" w:hAnsi="Verdana" w:cs="Arial"/>
          <w:shd w:val="clear" w:color="auto" w:fill="FFFFFF"/>
          <w:lang w:val="es-ES" w:eastAsia="es-MX"/>
        </w:rPr>
        <w:t>La Agencia Nacional de Contratación Pública – Colombia Compra Eficiente se pronunció</w:t>
      </w:r>
      <w:r w:rsidRPr="00C15B51">
        <w:rPr>
          <w:rFonts w:ascii="Verdana" w:eastAsia="Calibri" w:hAnsi="Verdana" w:cs="Times New Roman"/>
          <w:lang w:eastAsia="es-MX"/>
        </w:rPr>
        <w:t xml:space="preserve"> </w:t>
      </w:r>
      <w:r w:rsidRPr="00C15B51">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C15B51">
        <w:rPr>
          <w:rFonts w:ascii="Verdana" w:eastAsia="Calibri" w:hAnsi="Verdana" w:cs="Arial"/>
          <w:shd w:val="clear" w:color="auto" w:fill="FFFFFF"/>
          <w:lang w:val="es-ES" w:eastAsia="es-MX"/>
        </w:rPr>
        <w:tab/>
        <w:t xml:space="preserve">C-636 del 1 de noviembre de 2024, C-777 del 9 de diciembre de 2024, C-971 del 21 de enero de 2025, C-1813 del 31 de diciembre de 2025, C-182 del 19 de marzo de 2026, C-246 del 12 de marzo de 2026, C-258 del 19 de marzo de 2026, C-385 del </w:t>
      </w:r>
      <w:r w:rsidRPr="00C15B51">
        <w:rPr>
          <w:rFonts w:ascii="Verdana" w:eastAsia="Aptos" w:hAnsi="Verdana" w:cs="Times New Roman"/>
          <w:kern w:val="2"/>
          <w14:ligatures w14:val="standardContextual"/>
        </w:rPr>
        <w:t>15 de abril del 2025</w:t>
      </w:r>
      <w:r>
        <w:rPr>
          <w:rFonts w:ascii="Verdana" w:eastAsia="Aptos" w:hAnsi="Verdana" w:cs="Times New Roman"/>
          <w:kern w:val="2"/>
          <w14:ligatures w14:val="standardContextual"/>
        </w:rPr>
        <w:t xml:space="preserve">, C-453 del 04 de mayo de 2025, C-452 del 04 de mayo de 2025, </w:t>
      </w:r>
      <w:r w:rsidRPr="00C15B51">
        <w:rPr>
          <w:rFonts w:ascii="Verdana" w:eastAsia="Calibri" w:hAnsi="Verdana" w:cs="Arial"/>
          <w:shd w:val="clear" w:color="auto" w:fill="FFFFFF"/>
          <w:lang w:val="es-ES" w:eastAsia="es-MX"/>
        </w:rPr>
        <w:t xml:space="preserve">entre otros. </w:t>
      </w:r>
    </w:p>
    <w:p w14:paraId="1B604FDF" w14:textId="77777777" w:rsidR="008E3CD5" w:rsidRDefault="008E3CD5" w:rsidP="008E3CD5">
      <w:pPr>
        <w:spacing w:after="0" w:line="276" w:lineRule="auto"/>
        <w:jc w:val="both"/>
        <w:rPr>
          <w:rFonts w:ascii="Verdana" w:eastAsia="Calibri" w:hAnsi="Verdana" w:cs="Arial"/>
          <w:lang w:val="es-ES"/>
        </w:rPr>
      </w:pPr>
    </w:p>
    <w:p w14:paraId="58E4D1C9" w14:textId="77777777" w:rsidR="008E3CD5" w:rsidRPr="003C2A6A" w:rsidRDefault="008E3CD5" w:rsidP="008E3CD5">
      <w:pPr>
        <w:spacing w:after="0" w:line="276" w:lineRule="auto"/>
        <w:jc w:val="both"/>
        <w:rPr>
          <w:rFonts w:ascii="Verdana" w:eastAsia="Calibri" w:hAnsi="Verdana" w:cs="Arial"/>
        </w:rPr>
      </w:pPr>
      <w:r w:rsidRPr="00240C45">
        <w:rPr>
          <w:rFonts w:ascii="Verdana" w:eastAsia="Calibri" w:hAnsi="Verdana" w:cs="Arial"/>
        </w:rPr>
        <w:t xml:space="preserve">Estos y otros conceptos se encuentran disponibles para consulta en el Sistema de relatoría de la Agencia, al cual se puede acceder a través del siguiente enlace: </w:t>
      </w:r>
      <w:hyperlink r:id="rId13" w:history="1">
        <w:r w:rsidRPr="00DE636B">
          <w:rPr>
            <w:rStyle w:val="Hyperlink"/>
            <w:rFonts w:ascii="Verdana" w:eastAsia="Calibri" w:hAnsi="Verdana" w:cs="Arial"/>
          </w:rPr>
          <w:t>https://relatoria.colombiacompra.gov.co/busqueda/conceptos</w:t>
        </w:r>
      </w:hyperlink>
      <w:r w:rsidRPr="00240C45">
        <w:rPr>
          <w:rFonts w:ascii="Verdana" w:eastAsia="Calibri" w:hAnsi="Verdana" w:cs="Arial"/>
        </w:rPr>
        <w:t>.</w:t>
      </w:r>
    </w:p>
    <w:p w14:paraId="5D50F990" w14:textId="77777777" w:rsidR="008E3CD5" w:rsidRPr="00EF54B1" w:rsidRDefault="008E3CD5" w:rsidP="008E3CD5">
      <w:pPr>
        <w:spacing w:after="0" w:line="240" w:lineRule="auto"/>
        <w:jc w:val="both"/>
        <w:rPr>
          <w:rFonts w:ascii="Verdana" w:eastAsia="Calibri" w:hAnsi="Verdana" w:cs="Arial"/>
          <w:color w:val="000000" w:themeColor="text1"/>
          <w:shd w:val="clear" w:color="auto" w:fill="FFFFFF"/>
        </w:rPr>
      </w:pPr>
    </w:p>
    <w:p w14:paraId="0682F896" w14:textId="77777777" w:rsidR="008E3CD5" w:rsidRDefault="008E3CD5" w:rsidP="008E3CD5">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r w:rsidRPr="00EF54B1">
        <w:rPr>
          <w:rFonts w:ascii="Verdana" w:eastAsia="Calibri" w:hAnsi="Verdana" w:cs="Arial"/>
          <w:color w:val="000000" w:themeColor="text1"/>
          <w:kern w:val="2"/>
          <w:shd w:val="clear" w:color="auto" w:fill="FFFFFF"/>
          <w:lang w:val="es-ES_tradnl"/>
          <w14:ligatures w14:val="standardContextual"/>
        </w:rPr>
        <w:t>La</w:t>
      </w:r>
      <w:r w:rsidRPr="00EF54B1">
        <w:rPr>
          <w:rFonts w:ascii="Verdana" w:eastAsia="Calibri" w:hAnsi="Verdana" w:cs="Arial"/>
          <w:b/>
          <w:bCs/>
          <w:color w:val="000000" w:themeColor="text1"/>
          <w:kern w:val="2"/>
          <w:shd w:val="clear" w:color="auto" w:fill="FFFFFF"/>
          <w:lang w:val="es-ES_tradnl"/>
          <w14:ligatures w14:val="standardContextual"/>
        </w:rPr>
        <w:t xml:space="preserve"> Agencia Nacional de Contratación Pública - Colombia Compra Eficiente</w:t>
      </w:r>
      <w:r w:rsidRPr="00EF54B1">
        <w:rPr>
          <w:rFonts w:ascii="Verdana" w:eastAsia="Calibri" w:hAnsi="Verdana" w:cs="Arial"/>
          <w:color w:val="000000" w:themeColor="text1"/>
          <w:kern w:val="2"/>
          <w:shd w:val="clear" w:color="auto" w:fill="FFFFFF"/>
          <w:lang w:val="es-ES_tradnl"/>
          <w14:ligatures w14:val="standardContextual"/>
        </w:rPr>
        <w:t> recomienda a todas las entidades públicas, independientemente de su naturaleza, que gestionan recursos públicos, la aplicación de los </w:t>
      </w:r>
      <w:r w:rsidRPr="00EF54B1">
        <w:rPr>
          <w:rFonts w:ascii="Verdana" w:eastAsia="Calibri" w:hAnsi="Verdana" w:cs="Arial"/>
          <w:b/>
          <w:bCs/>
          <w:color w:val="000000" w:themeColor="text1"/>
          <w:kern w:val="2"/>
          <w:shd w:val="clear" w:color="auto" w:fill="FFFFFF"/>
          <w:lang w:val="es-ES_tradnl"/>
          <w14:ligatures w14:val="standardContextual"/>
        </w:rPr>
        <w:t>Documentos Tipo</w:t>
      </w:r>
      <w:r w:rsidRPr="00EF54B1">
        <w:rPr>
          <w:rFonts w:ascii="Verdana" w:eastAsia="Calibri" w:hAnsi="Verdana" w:cs="Arial"/>
          <w:color w:val="000000" w:themeColor="text1"/>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54B1">
        <w:rPr>
          <w:rFonts w:ascii="Verdana" w:eastAsia="Calibri" w:hAnsi="Verdana" w:cs="Arial"/>
          <w:b/>
          <w:bCs/>
          <w:color w:val="000000" w:themeColor="text1"/>
          <w:kern w:val="2"/>
          <w:shd w:val="clear" w:color="auto" w:fill="FFFFFF"/>
          <w:lang w:val="es-ES_tradnl"/>
          <w14:ligatures w14:val="standardContextual"/>
        </w:rPr>
        <w:t>transparencia</w:t>
      </w:r>
      <w:r w:rsidRPr="00EF54B1">
        <w:rPr>
          <w:rFonts w:ascii="Verdana" w:eastAsia="Calibri" w:hAnsi="Verdana" w:cs="Arial"/>
          <w:color w:val="000000" w:themeColor="text1"/>
          <w:kern w:val="2"/>
          <w:shd w:val="clear" w:color="auto" w:fill="FFFFFF"/>
          <w:lang w:val="es-ES_tradnl"/>
          <w14:ligatures w14:val="standardContextual"/>
        </w:rPr>
        <w:t> y promover un proceso de </w:t>
      </w:r>
      <w:r w:rsidRPr="00EF54B1">
        <w:rPr>
          <w:rFonts w:ascii="Verdana" w:eastAsia="Calibri" w:hAnsi="Verdana" w:cs="Arial"/>
          <w:b/>
          <w:bCs/>
          <w:color w:val="000000" w:themeColor="text1"/>
          <w:kern w:val="2"/>
          <w:shd w:val="clear" w:color="auto" w:fill="FFFFFF"/>
          <w:lang w:val="es-ES_tradnl"/>
          <w14:ligatures w14:val="standardContextual"/>
        </w:rPr>
        <w:t>selección objetiva</w:t>
      </w:r>
      <w:r w:rsidRPr="00EF54B1">
        <w:rPr>
          <w:rFonts w:ascii="Verdana" w:eastAsia="Calibri" w:hAnsi="Verdana" w:cs="Arial"/>
          <w:color w:val="000000" w:themeColor="text1"/>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69873BDA" w14:textId="77777777" w:rsidR="008E3CD5" w:rsidRDefault="008E3CD5" w:rsidP="008E3CD5">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040FFE3B" w14:textId="77777777" w:rsidR="008E3CD5" w:rsidRPr="00B774CC" w:rsidRDefault="008E3CD5" w:rsidP="008E3CD5">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La sostenibilidad no es una opción, es una obligación. Por ello, la Agencia Nacional de Contratación Pública –Colombia Compra Eficiente– te invita a realizar el </w:t>
      </w:r>
      <w:r w:rsidRPr="00B774CC">
        <w:rPr>
          <w:rFonts w:ascii="Verdana" w:eastAsia="Calibri" w:hAnsi="Verdana" w:cs="Arial"/>
          <w:b/>
          <w:bCs/>
          <w:color w:val="000000" w:themeColor="text1"/>
          <w:kern w:val="2"/>
          <w:shd w:val="clear" w:color="auto" w:fill="FFFFFF"/>
          <w14:ligatures w14:val="standardContextual"/>
        </w:rPr>
        <w:t>Curso de Contratación Pública Sostenible y Socialmente Responsable</w:t>
      </w:r>
      <w:r w:rsidRPr="00B774CC">
        <w:rPr>
          <w:rFonts w:ascii="Verdana" w:eastAsia="Calibri" w:hAnsi="Verdana" w:cs="Arial"/>
          <w:color w:val="000000" w:themeColor="text1"/>
          <w:kern w:val="2"/>
          <w:shd w:val="clear" w:color="auto" w:fill="FFFFFF"/>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 </w:t>
      </w:r>
      <w:r w:rsidRPr="00B774CC">
        <w:rPr>
          <w:rFonts w:ascii="Verdana" w:eastAsia="Calibri" w:hAnsi="Verdana" w:cs="Arial"/>
          <w:color w:val="000000" w:themeColor="text1"/>
          <w:kern w:val="2"/>
          <w:shd w:val="clear" w:color="auto" w:fill="FFFFFF"/>
          <w14:ligatures w14:val="standardContextual"/>
        </w:rPr>
        <w:br/>
      </w:r>
      <w:hyperlink r:id="rId14" w:tgtFrame="_blank" w:history="1">
        <w:r w:rsidRPr="00B774CC">
          <w:rPr>
            <w:rStyle w:val="Hyperlink"/>
            <w:rFonts w:ascii="Verdana" w:eastAsia="Calibri" w:hAnsi="Verdana" w:cs="Arial"/>
            <w:kern w:val="2"/>
            <w:shd w:val="clear" w:color="auto" w:fill="FFFFFF"/>
            <w14:ligatures w14:val="standardContextual"/>
          </w:rPr>
          <w:t>https://formacionvirtual.colombiacompra.gov.co/mod/page/view.php?id=3718</w:t>
        </w:r>
      </w:hyperlink>
      <w:r w:rsidRPr="00B774CC">
        <w:rPr>
          <w:rFonts w:ascii="Verdana" w:eastAsia="Calibri" w:hAnsi="Verdana" w:cs="Arial"/>
          <w:color w:val="000000" w:themeColor="text1"/>
          <w:kern w:val="2"/>
          <w:shd w:val="clear" w:color="auto" w:fill="FFFFFF"/>
          <w14:ligatures w14:val="standardContextual"/>
        </w:rPr>
        <w:t> </w:t>
      </w:r>
    </w:p>
    <w:p w14:paraId="7498BD5A" w14:textId="77777777" w:rsidR="008E3CD5" w:rsidRPr="00B774CC" w:rsidRDefault="008E3CD5" w:rsidP="008E3CD5">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 </w:t>
      </w:r>
    </w:p>
    <w:p w14:paraId="22A50E13" w14:textId="77777777" w:rsidR="008E3CD5" w:rsidRPr="00B774CC" w:rsidRDefault="008E3CD5" w:rsidP="008E3CD5">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De otro lado, te contamos que esta Agencia ha da un paso decisivo en la estandarización y modernización del </w:t>
      </w:r>
      <w:r w:rsidRPr="00B774CC">
        <w:rPr>
          <w:rFonts w:ascii="Verdana" w:eastAsia="Calibri" w:hAnsi="Verdana" w:cs="Arial"/>
          <w:b/>
          <w:bCs/>
          <w:color w:val="000000" w:themeColor="text1"/>
          <w:kern w:val="2"/>
          <w:shd w:val="clear" w:color="auto" w:fill="FFFFFF"/>
          <w14:ligatures w14:val="standardContextual"/>
        </w:rPr>
        <w:t>sector  social</w:t>
      </w:r>
      <w:r w:rsidRPr="00B774CC">
        <w:rPr>
          <w:rFonts w:ascii="Verdana" w:eastAsia="Calibri" w:hAnsi="Verdana" w:cs="Arial"/>
          <w:color w:val="000000" w:themeColor="text1"/>
          <w:kern w:val="2"/>
          <w:shd w:val="clear" w:color="auto" w:fill="FFFFFF"/>
          <w14:ligatures w14:val="standardContextual"/>
        </w:rPr>
        <w:t> con la expedición de las </w:t>
      </w:r>
      <w:r w:rsidRPr="00B774CC">
        <w:rPr>
          <w:rFonts w:ascii="Verdana" w:eastAsia="Calibri" w:hAnsi="Verdana" w:cs="Arial"/>
          <w:b/>
          <w:bCs/>
          <w:color w:val="000000" w:themeColor="text1"/>
          <w:kern w:val="2"/>
          <w:shd w:val="clear" w:color="auto" w:fill="FFFFFF"/>
          <w14:ligatures w14:val="standardContextual"/>
        </w:rPr>
        <w:t>Resoluciones 539, 540, 541, 952 y 953 de 2025</w:t>
      </w:r>
      <w:r w:rsidRPr="00B774CC">
        <w:rPr>
          <w:rFonts w:ascii="Verdana" w:eastAsia="Calibri" w:hAnsi="Verdana" w:cs="Arial"/>
          <w:color w:val="000000" w:themeColor="text1"/>
          <w:kern w:val="2"/>
          <w:shd w:val="clear" w:color="auto" w:fill="FFFFFF"/>
          <w14:ligatures w14:val="standardContextual"/>
        </w:rPr>
        <w:t>, </w:t>
      </w:r>
      <w:r w:rsidRPr="00B774CC">
        <w:rPr>
          <w:rFonts w:ascii="Verdana" w:eastAsia="Calibri" w:hAnsi="Verdana" w:cs="Arial"/>
          <w:b/>
          <w:bCs/>
          <w:color w:val="000000" w:themeColor="text1"/>
          <w:kern w:val="2"/>
          <w:shd w:val="clear" w:color="auto" w:fill="FFFFFF"/>
          <w14:ligatures w14:val="standardContextual"/>
        </w:rPr>
        <w:t>mediante las cuales adoptó Documentos Tipo</w:t>
      </w:r>
      <w:r w:rsidRPr="00B774CC">
        <w:rPr>
          <w:rFonts w:ascii="Verdana" w:eastAsia="Calibri" w:hAnsi="Verdana" w:cs="Arial"/>
          <w:color w:val="000000" w:themeColor="text1"/>
          <w:kern w:val="2"/>
          <w:shd w:val="clear" w:color="auto" w:fill="FFFFFF"/>
          <w14:ligatures w14:val="standardContextual"/>
        </w:rPr>
        <w:t> para las modalidades de selección de</w:t>
      </w:r>
      <w:r w:rsidRPr="00B774CC">
        <w:rPr>
          <w:rFonts w:ascii="Verdana" w:eastAsia="Calibri" w:hAnsi="Verdana" w:cs="Arial"/>
          <w:b/>
          <w:bCs/>
          <w:color w:val="000000" w:themeColor="text1"/>
          <w:kern w:val="2"/>
          <w:shd w:val="clear" w:color="auto" w:fill="FFFFFF"/>
          <w14:ligatures w14:val="standardContextual"/>
        </w:rPr>
        <w:t> licitación pública (versión 2), selección abreviada de menor cuantía, mínima cuantía, consultoría e interventoría</w:t>
      </w:r>
      <w:r w:rsidRPr="00B774CC">
        <w:rPr>
          <w:rFonts w:ascii="Verdana" w:eastAsia="Calibri" w:hAnsi="Verdana" w:cs="Arial"/>
          <w:color w:val="000000" w:themeColor="text1"/>
          <w:kern w:val="2"/>
          <w:shd w:val="clear" w:color="auto" w:fill="FFFFFF"/>
          <w14:ligatures w14:val="standardContextual"/>
        </w:rPr>
        <w:t>, promoviendo procesos más transparentes, eficientes  competitivos y sostenibles en sectores estratégicos como educación, salud, cultura, recreación, deporte, institucional y vivienda. Consulta y descarga los documentos aquí: </w:t>
      </w:r>
      <w:hyperlink r:id="rId15" w:tgtFrame="_blank" w:history="1">
        <w:r w:rsidRPr="00B774CC">
          <w:rPr>
            <w:rStyle w:val="Hyperlink"/>
            <w:rFonts w:ascii="Verdana" w:eastAsia="Calibri" w:hAnsi="Verdana" w:cs="Arial"/>
            <w:kern w:val="2"/>
            <w:shd w:val="clear" w:color="auto" w:fill="FFFFFF"/>
            <w14:ligatures w14:val="standardContextual"/>
          </w:rPr>
          <w:t>https://www.colombiacompra.gov.co/normativa-y-relatoria/documentos-tipo</w:t>
        </w:r>
      </w:hyperlink>
      <w:r w:rsidRPr="00B774CC">
        <w:rPr>
          <w:rFonts w:ascii="Verdana" w:eastAsia="Calibri" w:hAnsi="Verdana" w:cs="Arial"/>
          <w:color w:val="000000" w:themeColor="text1"/>
          <w:kern w:val="2"/>
          <w:shd w:val="clear" w:color="auto" w:fill="FFFFFF"/>
          <w14:ligatures w14:val="standardContextual"/>
        </w:rPr>
        <w:t> </w:t>
      </w:r>
    </w:p>
    <w:p w14:paraId="3119A36E" w14:textId="77777777" w:rsidR="008E3CD5" w:rsidRPr="00B774CC" w:rsidRDefault="008E3CD5" w:rsidP="008E3CD5">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 </w:t>
      </w:r>
    </w:p>
    <w:p w14:paraId="3F9F731A" w14:textId="77777777" w:rsidR="008E3CD5" w:rsidRPr="00B774CC" w:rsidRDefault="008E3CD5" w:rsidP="008E3CD5">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Si quieres conocer más sobre la aplicación de Documentos Tipo puedes consultar la última versión de la </w:t>
      </w:r>
      <w:r w:rsidRPr="00B774CC">
        <w:rPr>
          <w:rFonts w:ascii="Verdana" w:eastAsia="Calibri" w:hAnsi="Verdana" w:cs="Arial"/>
          <w:b/>
          <w:bCs/>
          <w:color w:val="000000" w:themeColor="text1"/>
          <w:kern w:val="2"/>
          <w:shd w:val="clear" w:color="auto" w:fill="FFFFFF"/>
          <w14:ligatures w14:val="standardContextual"/>
        </w:rPr>
        <w:t>Guía para la comprensión e implementación de los Documentos Tipo de obra pública de infraestructura de transporte</w:t>
      </w:r>
      <w:r w:rsidRPr="00B774CC">
        <w:rPr>
          <w:rFonts w:ascii="Verdana" w:eastAsia="Calibri" w:hAnsi="Verdana" w:cs="Arial"/>
          <w:color w:val="000000" w:themeColor="text1"/>
          <w:kern w:val="2"/>
          <w:shd w:val="clear" w:color="auto" w:fill="FFFFFF"/>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w:t>
      </w:r>
      <w:r w:rsidRPr="00B774CC">
        <w:rPr>
          <w:rFonts w:ascii="Verdana" w:eastAsia="Calibri" w:hAnsi="Verdana" w:cs="Arial"/>
          <w:color w:val="000000" w:themeColor="text1"/>
          <w:kern w:val="2"/>
          <w:shd w:val="clear" w:color="auto" w:fill="FFFFFF"/>
          <w14:ligatures w14:val="standardContextual"/>
        </w:rPr>
        <w:br/>
      </w:r>
      <w:hyperlink r:id="rId16" w:tgtFrame="_blank" w:history="1">
        <w:r w:rsidRPr="00B774CC">
          <w:rPr>
            <w:rStyle w:val="Hyperlink"/>
            <w:rFonts w:ascii="Verdana" w:eastAsia="Calibri" w:hAnsi="Verdana" w:cs="Arial"/>
            <w:kern w:val="2"/>
            <w:shd w:val="clear" w:color="auto" w:fill="FFFFFF"/>
            <w14:ligatures w14:val="standardContextual"/>
          </w:rPr>
          <w:t>https://www.colombiacompra.gov.co/archivos/manual/guia-para-la-comprension-e-implementacion-de-los-documentos-tipo-de-obra-publica-de-infraestructura-de-transporte-bajo-las-diferentes-modalidades-de-contratacion-vigentes</w:t>
        </w:r>
      </w:hyperlink>
      <w:r w:rsidRPr="00B774CC">
        <w:rPr>
          <w:rFonts w:ascii="Verdana" w:eastAsia="Calibri" w:hAnsi="Verdana" w:cs="Arial"/>
          <w:color w:val="000000" w:themeColor="text1"/>
          <w:kern w:val="2"/>
          <w:shd w:val="clear" w:color="auto" w:fill="FFFFFF"/>
          <w14:ligatures w14:val="standardContextual"/>
        </w:rPr>
        <w:t> </w:t>
      </w:r>
    </w:p>
    <w:p w14:paraId="630F7280" w14:textId="77777777" w:rsidR="008E3CD5" w:rsidRPr="00EF54B1" w:rsidRDefault="008E3CD5" w:rsidP="008E3CD5">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62A89255" w14:textId="77777777" w:rsidR="008E3CD5" w:rsidRPr="009552C8" w:rsidRDefault="008E3CD5" w:rsidP="008E3CD5">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7802AE0D" w14:textId="77777777" w:rsidR="008E3CD5" w:rsidRPr="009552C8" w:rsidRDefault="008E3CD5" w:rsidP="008E3CD5">
      <w:pPr>
        <w:spacing w:after="0" w:line="240" w:lineRule="auto"/>
        <w:jc w:val="both"/>
        <w:rPr>
          <w:rFonts w:ascii="Verdana" w:eastAsia="Aptos" w:hAnsi="Verdana" w:cs="Times New Roman"/>
          <w:kern w:val="2"/>
          <w14:ligatures w14:val="standardContextual"/>
        </w:rPr>
      </w:pPr>
    </w:p>
    <w:p w14:paraId="19DC2D80" w14:textId="77777777" w:rsidR="008E3CD5" w:rsidRPr="009552C8" w:rsidRDefault="008E3CD5" w:rsidP="008E3CD5">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Twitter: </w:t>
      </w:r>
      <w:r w:rsidRPr="007603CE">
        <w:rPr>
          <w:rFonts w:ascii="Verdana" w:eastAsia="Calibri" w:hAnsi="Verdana" w:cs="Times New Roman"/>
          <w:color w:val="0000FF"/>
          <w:kern w:val="2"/>
          <w:u w:val="single"/>
          <w14:ligatures w14:val="standardContextual"/>
        </w:rPr>
        <w:t>@colombiacompra</w:t>
      </w:r>
      <w:r w:rsidRPr="007603CE">
        <w:rPr>
          <w:rFonts w:ascii="Verdana" w:eastAsia="Calibri" w:hAnsi="Verdana" w:cs="Times New Roman"/>
          <w:color w:val="0000FF"/>
          <w:kern w:val="2"/>
          <w14:ligatures w14:val="standardContextual"/>
        </w:rPr>
        <w:t xml:space="preserve"> </w:t>
      </w:r>
    </w:p>
    <w:p w14:paraId="2ECA35E2" w14:textId="77777777" w:rsidR="008E3CD5" w:rsidRPr="009552C8" w:rsidRDefault="008E3CD5" w:rsidP="008E3CD5">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Facebook: </w:t>
      </w:r>
      <w:r w:rsidRPr="007603CE">
        <w:rPr>
          <w:rFonts w:ascii="Verdana" w:eastAsia="Calibri" w:hAnsi="Verdana" w:cs="Times New Roman"/>
          <w:color w:val="0000FF"/>
          <w:kern w:val="2"/>
          <w:u w:val="single"/>
          <w14:ligatures w14:val="standardContextual"/>
        </w:rPr>
        <w:t>ColombiaCompraEficiente</w:t>
      </w:r>
    </w:p>
    <w:p w14:paraId="1E81E34A" w14:textId="77777777" w:rsidR="008E3CD5" w:rsidRPr="009552C8" w:rsidRDefault="008E3CD5" w:rsidP="008E3CD5">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LinkedIn: </w:t>
      </w:r>
      <w:r w:rsidRPr="007603CE">
        <w:rPr>
          <w:rFonts w:ascii="Verdana" w:eastAsia="Calibri" w:hAnsi="Verdana" w:cs="Times New Roman"/>
          <w:color w:val="0000FF"/>
          <w:kern w:val="2"/>
          <w:u w:val="single"/>
          <w14:ligatures w14:val="standardContextual"/>
        </w:rPr>
        <w:t>Agencia Nacional de Contratación Pública - Colombia Compra Eficiente</w:t>
      </w:r>
      <w:r w:rsidRPr="007603CE">
        <w:rPr>
          <w:rFonts w:ascii="Verdana" w:eastAsia="Calibri" w:hAnsi="Verdana" w:cs="Times New Roman"/>
          <w:color w:val="0000FF"/>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7603CE">
        <w:rPr>
          <w:rFonts w:ascii="Verdana" w:eastAsia="Calibri" w:hAnsi="Verdana" w:cs="Times New Roman"/>
          <w:color w:val="0000FF"/>
          <w:kern w:val="2"/>
          <w:u w:val="single"/>
          <w14:ligatures w14:val="standardContextual"/>
        </w:rPr>
        <w:t>@colombiacompraeficiente_cce</w:t>
      </w:r>
    </w:p>
    <w:p w14:paraId="77F94C98" w14:textId="77777777" w:rsidR="008E3CD5" w:rsidRPr="005D21BF" w:rsidRDefault="008E3CD5" w:rsidP="008E3CD5">
      <w:pPr>
        <w:widowControl w:val="0"/>
        <w:autoSpaceDE w:val="0"/>
        <w:autoSpaceDN w:val="0"/>
        <w:spacing w:after="0" w:line="276" w:lineRule="auto"/>
        <w:jc w:val="both"/>
        <w:rPr>
          <w:rFonts w:ascii="Verdana" w:eastAsia="Calibri" w:hAnsi="Verdana" w:cs="Arial"/>
          <w:color w:val="000000" w:themeColor="text1"/>
          <w:kern w:val="2"/>
          <w14:ligatures w14:val="standardContextual"/>
        </w:rPr>
      </w:pPr>
    </w:p>
    <w:p w14:paraId="31FC64B2" w14:textId="77777777" w:rsidR="008E3CD5" w:rsidRDefault="008E3CD5" w:rsidP="008E3CD5">
      <w:pPr>
        <w:widowControl w:val="0"/>
        <w:autoSpaceDE w:val="0"/>
        <w:autoSpaceDN w:val="0"/>
        <w:spacing w:after="0" w:line="276" w:lineRule="auto"/>
        <w:jc w:val="both"/>
        <w:rPr>
          <w:rFonts w:ascii="Verdana" w:eastAsia="Calibri" w:hAnsi="Verdana" w:cs="Arial"/>
          <w:color w:val="000000" w:themeColor="text1"/>
          <w:kern w:val="2"/>
          <w:lang w:val="es-ES_tradnl"/>
          <w14:ligatures w14:val="standardContextual"/>
        </w:rPr>
      </w:pPr>
      <w:r w:rsidRPr="00EF54B1">
        <w:rPr>
          <w:rFonts w:ascii="Verdana" w:eastAsia="Calibri" w:hAnsi="Verdana" w:cs="Arial"/>
          <w:color w:val="000000" w:themeColor="text1"/>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AAFD5B5" w14:textId="77777777" w:rsidR="008E3CD5" w:rsidRPr="00EF54B1" w:rsidRDefault="008E3CD5" w:rsidP="008E3CD5">
      <w:pPr>
        <w:widowControl w:val="0"/>
        <w:autoSpaceDE w:val="0"/>
        <w:autoSpaceDN w:val="0"/>
        <w:spacing w:after="0" w:line="276" w:lineRule="auto"/>
        <w:jc w:val="both"/>
        <w:rPr>
          <w:rFonts w:ascii="Verdana" w:eastAsia="Calibri" w:hAnsi="Verdana" w:cs="Arial"/>
          <w:color w:val="000000" w:themeColor="text1"/>
        </w:rPr>
      </w:pPr>
    </w:p>
    <w:p w14:paraId="37DCE028" w14:textId="77478BE6" w:rsidR="005163B6" w:rsidRPr="005163B6" w:rsidRDefault="008E3CD5" w:rsidP="005163B6">
      <w:pPr>
        <w:spacing w:after="0" w:line="240" w:lineRule="auto"/>
        <w:rPr>
          <w:rFonts w:ascii="Verdana" w:eastAsia="Calibri" w:hAnsi="Verdana" w:cs="Arial"/>
          <w:color w:val="000000" w:themeColor="text1"/>
          <w:lang w:eastAsia="es-CO"/>
        </w:rPr>
      </w:pPr>
      <w:r w:rsidRPr="00EF54B1">
        <w:rPr>
          <w:rFonts w:ascii="Verdana" w:eastAsia="Times New Roman" w:hAnsi="Verdana" w:cs="Arial"/>
          <w:color w:val="000000" w:themeColor="text1"/>
          <w:lang w:eastAsia="es-CO"/>
        </w:rPr>
        <w:t>Atentamente,</w:t>
      </w:r>
      <w:r w:rsidRPr="00EF54B1">
        <w:rPr>
          <w:rFonts w:ascii="Verdana" w:eastAsia="Calibri" w:hAnsi="Verdana" w:cs="Arial"/>
          <w:color w:val="000000" w:themeColor="text1"/>
          <w:lang w:eastAsia="es-CO"/>
        </w:rPr>
        <w:t xml:space="preserve"> </w:t>
      </w:r>
    </w:p>
    <w:p w14:paraId="4B39C166" w14:textId="1CCCF848" w:rsidR="005163B6" w:rsidRPr="008E3CD5" w:rsidRDefault="005163B6" w:rsidP="005163B6">
      <w:pPr>
        <w:tabs>
          <w:tab w:val="left" w:pos="1320"/>
        </w:tabs>
        <w:jc w:val="center"/>
        <w:rPr>
          <w:noProof/>
        </w:rPr>
      </w:pPr>
      <w:r>
        <w:rPr>
          <w:noProof/>
        </w:rPr>
        <w:drawing>
          <wp:inline distT="0" distB="0" distL="0" distR="0" wp14:anchorId="30756DC4" wp14:editId="2400C468">
            <wp:extent cx="3493311" cy="1298561"/>
            <wp:effectExtent l="0" t="0" r="0" b="0"/>
            <wp:docPr id="4334414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441492" name="Imagen 433441492"/>
                    <pic:cNvPicPr/>
                  </pic:nvPicPr>
                  <pic:blipFill>
                    <a:blip r:embed="rId17">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tbl>
      <w:tblPr>
        <w:tblStyle w:val="TableGrid"/>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85"/>
        <w:gridCol w:w="5925"/>
      </w:tblGrid>
      <w:tr w:rsidR="008E3CD5" w14:paraId="405F18CA" w14:textId="77777777" w:rsidTr="00463BE1">
        <w:trPr>
          <w:trHeight w:val="315"/>
        </w:trPr>
        <w:tc>
          <w:tcPr>
            <w:tcW w:w="1185" w:type="dxa"/>
            <w:tcBorders>
              <w:top w:val="nil"/>
              <w:left w:val="nil"/>
              <w:bottom w:val="nil"/>
              <w:right w:val="nil"/>
            </w:tcBorders>
            <w:tcMar>
              <w:left w:w="105" w:type="dxa"/>
              <w:right w:w="105" w:type="dxa"/>
            </w:tcMar>
            <w:vAlign w:val="center"/>
          </w:tcPr>
          <w:p w14:paraId="01BD406C" w14:textId="77777777" w:rsidR="008E3CD5" w:rsidRDefault="008E3CD5" w:rsidP="00463BE1">
            <w:pPr>
              <w:rPr>
                <w:rFonts w:ascii="Verdana" w:eastAsia="Verdana" w:hAnsi="Verdana" w:cs="Verdana"/>
                <w:sz w:val="16"/>
                <w:szCs w:val="16"/>
              </w:rPr>
            </w:pPr>
            <w:r w:rsidRPr="3F869DD7">
              <w:rPr>
                <w:rFonts w:ascii="Verdana" w:eastAsia="Verdana" w:hAnsi="Verdana" w:cs="Verdana"/>
                <w:sz w:val="16"/>
                <w:szCs w:val="16"/>
              </w:rPr>
              <w:t>Elabor</w:t>
            </w:r>
            <w:r>
              <w:rPr>
                <w:rFonts w:ascii="Verdana" w:eastAsia="Verdana" w:hAnsi="Verdana" w:cs="Verdana"/>
                <w:sz w:val="16"/>
                <w:szCs w:val="16"/>
              </w:rPr>
              <w:t>o</w:t>
            </w:r>
            <w:r w:rsidRPr="3F869DD7">
              <w:rPr>
                <w:rFonts w:ascii="Verdana" w:eastAsia="Verdana" w:hAnsi="Verdana" w:cs="Verdana"/>
                <w:sz w:val="16"/>
                <w:szCs w:val="16"/>
              </w:rPr>
              <w:t>:</w:t>
            </w:r>
          </w:p>
        </w:tc>
        <w:tc>
          <w:tcPr>
            <w:tcW w:w="5925" w:type="dxa"/>
            <w:tcBorders>
              <w:top w:val="nil"/>
              <w:left w:val="nil"/>
              <w:bottom w:val="dotted" w:sz="4" w:space="0" w:color="7F7F7F" w:themeColor="text1" w:themeTint="80"/>
              <w:right w:val="nil"/>
            </w:tcBorders>
            <w:tcMar>
              <w:left w:w="105" w:type="dxa"/>
              <w:right w:w="105" w:type="dxa"/>
            </w:tcMar>
            <w:vAlign w:val="center"/>
          </w:tcPr>
          <w:p w14:paraId="545D24F5" w14:textId="77777777" w:rsidR="008E3CD5" w:rsidRDefault="008E3CD5" w:rsidP="00463BE1">
            <w:pPr>
              <w:rPr>
                <w:rFonts w:ascii="Verdana" w:eastAsia="Times New Roman" w:hAnsi="Verdana" w:cs="Segoe UI"/>
                <w:color w:val="000000" w:themeColor="text1"/>
                <w:sz w:val="16"/>
                <w:szCs w:val="16"/>
                <w:lang w:eastAsia="es-ES"/>
              </w:rPr>
            </w:pPr>
            <w:r w:rsidRPr="3F869DD7">
              <w:rPr>
                <w:rFonts w:ascii="Verdana" w:eastAsia="Arial" w:hAnsi="Verdana" w:cs="Arial"/>
                <w:color w:val="000000" w:themeColor="text1"/>
                <w:sz w:val="16"/>
                <w:szCs w:val="16"/>
                <w:lang w:val="es-ES"/>
              </w:rPr>
              <w:t>Denis Andrea Cárdenas Hernández</w:t>
            </w:r>
          </w:p>
          <w:p w14:paraId="145FADEA" w14:textId="77777777" w:rsidR="008E3CD5" w:rsidRDefault="008E3CD5" w:rsidP="00463BE1">
            <w:pPr>
              <w:rPr>
                <w:rFonts w:ascii="Verdana" w:eastAsia="Arial" w:hAnsi="Verdana" w:cs="Arial"/>
                <w:color w:val="000000" w:themeColor="text1"/>
                <w:sz w:val="16"/>
                <w:szCs w:val="16"/>
                <w:lang w:val="es-ES"/>
              </w:rPr>
            </w:pPr>
            <w:r w:rsidRPr="3F869DD7">
              <w:rPr>
                <w:rFonts w:ascii="Verdana" w:eastAsia="Arial" w:hAnsi="Verdana" w:cs="Arial"/>
                <w:color w:val="000000" w:themeColor="text1"/>
                <w:sz w:val="16"/>
                <w:szCs w:val="16"/>
                <w:lang w:val="es-ES"/>
              </w:rPr>
              <w:t>Analista T2-01 de la Subdirección de Gestión Contractual</w:t>
            </w:r>
          </w:p>
          <w:p w14:paraId="359FAB7F" w14:textId="77777777" w:rsidR="008E3CD5" w:rsidRPr="00346274" w:rsidRDefault="008E3CD5" w:rsidP="00463BE1">
            <w:pPr>
              <w:rPr>
                <w:rFonts w:ascii="Verdana" w:eastAsia="Arial" w:hAnsi="Verdana" w:cs="Arial"/>
                <w:sz w:val="16"/>
                <w:szCs w:val="16"/>
                <w:lang w:val="es-ES"/>
              </w:rPr>
            </w:pPr>
            <w:r w:rsidRPr="00346274">
              <w:rPr>
                <w:rFonts w:ascii="Verdana" w:eastAsia="Arial" w:hAnsi="Verdana" w:cs="Arial"/>
                <w:sz w:val="16"/>
                <w:szCs w:val="16"/>
                <w:lang w:val="es-ES"/>
              </w:rPr>
              <w:t>Lida Milena Guanumen Pacheco</w:t>
            </w:r>
          </w:p>
          <w:p w14:paraId="4982F789" w14:textId="77777777" w:rsidR="008E3CD5" w:rsidRPr="007F21AC" w:rsidRDefault="008E3CD5" w:rsidP="00463BE1">
            <w:pPr>
              <w:rPr>
                <w:rFonts w:ascii="Verdana" w:eastAsia="Arial" w:hAnsi="Verdana" w:cs="Arial"/>
                <w:sz w:val="16"/>
                <w:szCs w:val="16"/>
                <w:lang w:val="es-ES_tradnl"/>
              </w:rPr>
            </w:pPr>
            <w:r w:rsidRPr="00346274">
              <w:rPr>
                <w:rFonts w:ascii="Verdana" w:eastAsia="Arial" w:hAnsi="Verdana" w:cs="Arial"/>
                <w:sz w:val="16"/>
                <w:szCs w:val="16"/>
                <w:lang w:val="es-ES_tradnl"/>
              </w:rPr>
              <w:t>Contratista de la Subdirección de Gestión Contractual</w:t>
            </w:r>
          </w:p>
        </w:tc>
      </w:tr>
      <w:tr w:rsidR="008E3CD5" w14:paraId="21F2863E" w14:textId="77777777" w:rsidTr="00463BE1">
        <w:trPr>
          <w:trHeight w:val="315"/>
        </w:trPr>
        <w:tc>
          <w:tcPr>
            <w:tcW w:w="1185" w:type="dxa"/>
            <w:tcBorders>
              <w:top w:val="nil"/>
              <w:left w:val="nil"/>
              <w:bottom w:val="nil"/>
              <w:right w:val="nil"/>
            </w:tcBorders>
            <w:tcMar>
              <w:left w:w="105" w:type="dxa"/>
              <w:right w:w="105" w:type="dxa"/>
            </w:tcMar>
            <w:vAlign w:val="center"/>
          </w:tcPr>
          <w:p w14:paraId="1B46C4F1" w14:textId="77777777" w:rsidR="008E3CD5" w:rsidRDefault="008E3CD5" w:rsidP="00463BE1">
            <w:pPr>
              <w:rPr>
                <w:rFonts w:ascii="Verdana" w:eastAsia="Verdana" w:hAnsi="Verdana" w:cs="Verdana"/>
                <w:sz w:val="16"/>
                <w:szCs w:val="16"/>
              </w:rPr>
            </w:pPr>
            <w:r w:rsidRPr="3F869DD7">
              <w:rPr>
                <w:rFonts w:ascii="Verdana" w:eastAsia="Verdana" w:hAnsi="Verdana" w:cs="Verdana"/>
                <w:sz w:val="16"/>
                <w:szCs w:val="16"/>
              </w:rPr>
              <w:t>Revisó: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04FE16F0" w14:textId="77777777" w:rsidR="008E3CD5" w:rsidRDefault="008E3CD5" w:rsidP="00463BE1">
            <w:pPr>
              <w:rPr>
                <w:rFonts w:ascii="Verdana" w:eastAsia="Verdana" w:hAnsi="Verdana" w:cs="Verdana"/>
                <w:sz w:val="16"/>
                <w:szCs w:val="16"/>
              </w:rPr>
            </w:pPr>
            <w:r w:rsidRPr="3F869DD7">
              <w:rPr>
                <w:rFonts w:ascii="Verdana" w:eastAsia="Verdana" w:hAnsi="Verdana" w:cs="Verdana"/>
                <w:sz w:val="16"/>
                <w:szCs w:val="16"/>
              </w:rPr>
              <w:t xml:space="preserve">Juan David Cárdenas Cabeza </w:t>
            </w:r>
          </w:p>
          <w:p w14:paraId="22C2B04F" w14:textId="77777777" w:rsidR="008E3CD5" w:rsidRDefault="008E3CD5" w:rsidP="00463BE1">
            <w:pPr>
              <w:rPr>
                <w:rFonts w:ascii="Verdana" w:eastAsia="Verdana" w:hAnsi="Verdana" w:cs="Verdana"/>
                <w:sz w:val="16"/>
                <w:szCs w:val="16"/>
              </w:rPr>
            </w:pPr>
            <w:r w:rsidRPr="3F869DD7">
              <w:rPr>
                <w:rFonts w:ascii="Verdana" w:eastAsia="Verdana" w:hAnsi="Verdana" w:cs="Verdana"/>
                <w:sz w:val="16"/>
                <w:szCs w:val="16"/>
              </w:rPr>
              <w:t>Contratista de la Subdirección de Gestión Contractual</w:t>
            </w:r>
          </w:p>
        </w:tc>
      </w:tr>
      <w:tr w:rsidR="008E3CD5" w14:paraId="25B99AD9" w14:textId="77777777" w:rsidTr="00463BE1">
        <w:trPr>
          <w:trHeight w:val="300"/>
        </w:trPr>
        <w:tc>
          <w:tcPr>
            <w:tcW w:w="1185" w:type="dxa"/>
            <w:tcBorders>
              <w:top w:val="nil"/>
              <w:left w:val="nil"/>
              <w:bottom w:val="nil"/>
              <w:right w:val="nil"/>
            </w:tcBorders>
            <w:tcMar>
              <w:left w:w="105" w:type="dxa"/>
              <w:right w:w="105" w:type="dxa"/>
            </w:tcMar>
            <w:vAlign w:val="center"/>
          </w:tcPr>
          <w:p w14:paraId="7014AD32" w14:textId="77777777" w:rsidR="008E3CD5" w:rsidRDefault="008E3CD5" w:rsidP="00463BE1">
            <w:pPr>
              <w:rPr>
                <w:rFonts w:ascii="Verdana" w:eastAsia="Verdana" w:hAnsi="Verdana" w:cs="Verdana"/>
                <w:sz w:val="16"/>
                <w:szCs w:val="16"/>
              </w:rPr>
            </w:pPr>
            <w:r w:rsidRPr="3F869DD7">
              <w:rPr>
                <w:rFonts w:ascii="Verdana" w:eastAsia="Verdana" w:hAnsi="Verdana" w:cs="Verdana"/>
                <w:sz w:val="16"/>
                <w:szCs w:val="16"/>
              </w:rPr>
              <w:t>Aprobó: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64454B9A" w14:textId="77777777" w:rsidR="008E3CD5" w:rsidRDefault="008E3CD5" w:rsidP="00463BE1">
            <w:pPr>
              <w:rPr>
                <w:rFonts w:ascii="Verdana" w:eastAsia="Verdana" w:hAnsi="Verdana" w:cs="Verdana"/>
                <w:sz w:val="16"/>
                <w:szCs w:val="16"/>
              </w:rPr>
            </w:pPr>
            <w:r w:rsidRPr="3F869DD7">
              <w:rPr>
                <w:rFonts w:ascii="Verdana" w:eastAsia="Verdana" w:hAnsi="Verdana" w:cs="Verdana"/>
                <w:sz w:val="16"/>
                <w:szCs w:val="16"/>
              </w:rPr>
              <w:t>Carolina Quintero Gacharná</w:t>
            </w:r>
          </w:p>
          <w:p w14:paraId="51723720" w14:textId="77777777" w:rsidR="008E3CD5" w:rsidRDefault="008E3CD5" w:rsidP="00463BE1">
            <w:pPr>
              <w:rPr>
                <w:rFonts w:ascii="Verdana" w:eastAsia="Verdana" w:hAnsi="Verdana" w:cs="Verdana"/>
                <w:sz w:val="16"/>
                <w:szCs w:val="16"/>
              </w:rPr>
            </w:pPr>
            <w:r w:rsidRPr="3F869DD7">
              <w:rPr>
                <w:rFonts w:ascii="Verdana" w:eastAsia="Verdana" w:hAnsi="Verdana" w:cs="Verdana"/>
                <w:sz w:val="16"/>
                <w:szCs w:val="16"/>
              </w:rPr>
              <w:t>Subdirectora de Gestión Contractual ANCP – CCE</w:t>
            </w:r>
          </w:p>
        </w:tc>
      </w:tr>
    </w:tbl>
    <w:p w14:paraId="5C76309A" w14:textId="77777777" w:rsidR="008E3CD5" w:rsidRPr="000E2B93" w:rsidRDefault="008E3CD5" w:rsidP="008E3CD5">
      <w:pPr>
        <w:spacing w:after="0" w:line="240" w:lineRule="auto"/>
        <w:jc w:val="both"/>
        <w:textAlignment w:val="baseline"/>
        <w:rPr>
          <w:rFonts w:ascii="Verdana" w:eastAsia="Verdana" w:hAnsi="Verdana" w:cs="Verdana"/>
          <w:lang w:eastAsia="es-CO"/>
        </w:rPr>
      </w:pPr>
    </w:p>
    <w:p w14:paraId="0F293BF4" w14:textId="2AA953EB" w:rsidR="00127233" w:rsidRPr="0015699B" w:rsidRDefault="008E3CD5" w:rsidP="008E3CD5">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0272B9" w14:textId="77777777" w:rsidR="00030CF9" w:rsidRDefault="00030CF9" w:rsidP="004A1847">
      <w:pPr>
        <w:spacing w:after="0" w:line="240" w:lineRule="auto"/>
      </w:pPr>
      <w:r>
        <w:separator/>
      </w:r>
    </w:p>
  </w:endnote>
  <w:endnote w:type="continuationSeparator" w:id="0">
    <w:p w14:paraId="1D82D4BE" w14:textId="77777777" w:rsidR="00030CF9" w:rsidRDefault="00030CF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35EAB" w14:textId="77777777" w:rsidR="00030CF9" w:rsidRDefault="00030CF9" w:rsidP="004A1847">
      <w:pPr>
        <w:spacing w:after="0" w:line="240" w:lineRule="auto"/>
      </w:pPr>
      <w:r>
        <w:separator/>
      </w:r>
    </w:p>
  </w:footnote>
  <w:footnote w:type="continuationSeparator" w:id="0">
    <w:p w14:paraId="6861D49B" w14:textId="77777777" w:rsidR="00030CF9" w:rsidRDefault="00030CF9" w:rsidP="004A1847">
      <w:pPr>
        <w:spacing w:after="0" w:line="240" w:lineRule="auto"/>
      </w:pPr>
      <w:r>
        <w:continuationSeparator/>
      </w:r>
    </w:p>
  </w:footnote>
  <w:footnote w:id="1">
    <w:p w14:paraId="079766F0" w14:textId="77777777" w:rsidR="008E3CD5" w:rsidRPr="00EB1E25" w:rsidRDefault="008E3CD5" w:rsidP="008E3CD5">
      <w:pPr>
        <w:pStyle w:val="FootnoteText"/>
        <w:ind w:firstLine="708"/>
        <w:jc w:val="both"/>
        <w:rPr>
          <w:rFonts w:ascii="Verdana" w:hAnsi="Verdana"/>
          <w:sz w:val="18"/>
          <w:szCs w:val="18"/>
        </w:rPr>
      </w:pPr>
      <w:r w:rsidRPr="00EB1E25">
        <w:rPr>
          <w:rStyle w:val="FootnoteReference"/>
          <w:rFonts w:ascii="Verdana" w:hAnsi="Verdana"/>
          <w:sz w:val="18"/>
          <w:szCs w:val="18"/>
        </w:rPr>
        <w:footnoteRef/>
      </w:r>
      <w:r w:rsidRPr="00EB1E25">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5654C46D" w14:textId="77777777" w:rsidR="008E3CD5" w:rsidRPr="00EB1E25" w:rsidRDefault="008E3CD5" w:rsidP="008E3CD5">
      <w:pPr>
        <w:pStyle w:val="FootnoteText"/>
        <w:ind w:firstLine="708"/>
        <w:jc w:val="both"/>
        <w:rPr>
          <w:rFonts w:ascii="Verdana" w:hAnsi="Verdana"/>
          <w:sz w:val="18"/>
          <w:szCs w:val="18"/>
        </w:rPr>
      </w:pPr>
    </w:p>
    <w:p w14:paraId="0D006F21" w14:textId="77777777" w:rsidR="008E3CD5" w:rsidRPr="00EB1E25" w:rsidRDefault="008E3CD5" w:rsidP="008E3CD5">
      <w:pPr>
        <w:pStyle w:val="FootnoteText"/>
        <w:ind w:firstLine="708"/>
        <w:jc w:val="both"/>
        <w:rPr>
          <w:rFonts w:ascii="Verdana" w:hAnsi="Verdana"/>
          <w:sz w:val="18"/>
          <w:szCs w:val="18"/>
        </w:rPr>
      </w:pPr>
      <w:r w:rsidRPr="00EB1E25">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64B3FD2F" w14:textId="77777777" w:rsidR="008E3CD5" w:rsidRPr="00EB1E25" w:rsidRDefault="008E3CD5" w:rsidP="008E3CD5">
      <w:pPr>
        <w:pStyle w:val="FootnoteText"/>
        <w:ind w:firstLine="708"/>
        <w:jc w:val="both"/>
        <w:rPr>
          <w:rFonts w:ascii="Verdana" w:hAnsi="Verdana"/>
          <w:sz w:val="18"/>
          <w:szCs w:val="18"/>
        </w:rPr>
      </w:pPr>
    </w:p>
    <w:p w14:paraId="6804D6C1" w14:textId="77777777" w:rsidR="008E3CD5" w:rsidRPr="00EB1E25" w:rsidRDefault="008E3CD5" w:rsidP="008E3CD5">
      <w:pPr>
        <w:pStyle w:val="FootnoteText"/>
        <w:ind w:firstLine="708"/>
        <w:jc w:val="both"/>
        <w:rPr>
          <w:rFonts w:ascii="Verdana" w:hAnsi="Verdana"/>
          <w:sz w:val="18"/>
          <w:szCs w:val="18"/>
        </w:rPr>
      </w:pPr>
      <w:r w:rsidRPr="00EB1E25">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1CAF8C6C" w14:textId="77777777" w:rsidR="008E3CD5" w:rsidRPr="00EB1E25" w:rsidRDefault="008E3CD5" w:rsidP="008E3CD5">
      <w:pPr>
        <w:pStyle w:val="FootnoteText"/>
        <w:ind w:firstLine="708"/>
        <w:jc w:val="both"/>
        <w:rPr>
          <w:rFonts w:ascii="Verdana" w:hAnsi="Verdana"/>
          <w:sz w:val="18"/>
          <w:szCs w:val="18"/>
        </w:rPr>
      </w:pPr>
    </w:p>
    <w:p w14:paraId="15AACAB4" w14:textId="77777777" w:rsidR="008E3CD5" w:rsidRPr="00EB1E25" w:rsidRDefault="008E3CD5" w:rsidP="008E3CD5">
      <w:pPr>
        <w:pStyle w:val="FootnoteText"/>
        <w:ind w:firstLine="708"/>
        <w:jc w:val="both"/>
        <w:rPr>
          <w:rFonts w:ascii="Verdana" w:hAnsi="Verdana"/>
          <w:sz w:val="18"/>
          <w:szCs w:val="18"/>
        </w:rPr>
      </w:pPr>
      <w:r w:rsidRPr="00EB1E25">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542F0919" w14:textId="77777777" w:rsidR="008E3CD5" w:rsidRPr="00EB1E25" w:rsidRDefault="008E3CD5" w:rsidP="008E3CD5">
      <w:pPr>
        <w:pStyle w:val="FootnoteText"/>
        <w:ind w:firstLine="708"/>
        <w:jc w:val="both"/>
        <w:rPr>
          <w:rFonts w:ascii="Verdana" w:hAnsi="Verdana"/>
          <w:sz w:val="18"/>
          <w:szCs w:val="18"/>
        </w:rPr>
      </w:pPr>
    </w:p>
    <w:p w14:paraId="2B7CD648" w14:textId="77777777" w:rsidR="008E3CD5" w:rsidRPr="00EB1E25" w:rsidRDefault="008E3CD5" w:rsidP="008E3CD5">
      <w:pPr>
        <w:pStyle w:val="FootnoteText"/>
        <w:ind w:firstLine="708"/>
        <w:jc w:val="both"/>
        <w:rPr>
          <w:rFonts w:ascii="Verdana" w:hAnsi="Verdana"/>
          <w:sz w:val="18"/>
          <w:szCs w:val="18"/>
        </w:rPr>
      </w:pPr>
      <w:r w:rsidRPr="00EB1E25">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
    <w:p w14:paraId="6F354598" w14:textId="77777777" w:rsidR="008E3CD5" w:rsidRPr="00B324A4" w:rsidRDefault="008E3CD5" w:rsidP="008E3CD5">
      <w:pPr>
        <w:pStyle w:val="FootnoteText"/>
        <w:ind w:firstLine="709"/>
        <w:jc w:val="both"/>
        <w:rPr>
          <w:rFonts w:ascii="Verdana" w:hAnsi="Verdana" w:cs="Arial"/>
          <w:color w:val="000000"/>
          <w:sz w:val="16"/>
          <w:szCs w:val="16"/>
        </w:rPr>
      </w:pPr>
      <w:r w:rsidRPr="00B324A4">
        <w:rPr>
          <w:rStyle w:val="FootnoteReference"/>
          <w:rFonts w:ascii="Verdana" w:hAnsi="Verdana" w:cs="Arial"/>
          <w:color w:val="000000"/>
          <w:sz w:val="16"/>
          <w:szCs w:val="16"/>
        </w:rPr>
        <w:footnoteRef/>
      </w:r>
      <w:r w:rsidRPr="00B324A4">
        <w:rPr>
          <w:rFonts w:ascii="Verdana" w:hAnsi="Verdana" w:cs="Arial"/>
          <w:color w:val="000000"/>
          <w:sz w:val="16"/>
          <w:szCs w:val="16"/>
        </w:rPr>
        <w:t xml:space="preserve"> ALESSANDRI RODRÍGUEZ, Arturo. De los contratos. Santiago de Chile: Editorial Jurídica EDIAR-CONOCSUR LTDA, 1988. p. 182. </w:t>
      </w:r>
    </w:p>
  </w:footnote>
  <w:footnote w:id="3">
    <w:p w14:paraId="69BBD652" w14:textId="77777777" w:rsidR="008E3CD5" w:rsidRDefault="008E3CD5" w:rsidP="008E3CD5">
      <w:pPr>
        <w:pStyle w:val="FootnoteText"/>
        <w:ind w:firstLine="708"/>
        <w:jc w:val="both"/>
        <w:rPr>
          <w:rFonts w:ascii="Verdana" w:hAnsi="Verdana" w:cs="Arial"/>
          <w:sz w:val="16"/>
          <w:szCs w:val="16"/>
          <w:lang w:val="es-ES_tradnl"/>
        </w:rPr>
      </w:pPr>
      <w:r w:rsidRPr="00B324A4">
        <w:rPr>
          <w:rStyle w:val="FootnoteReference"/>
          <w:rFonts w:ascii="Verdana" w:hAnsi="Verdana" w:cs="Arial"/>
          <w:sz w:val="16"/>
          <w:szCs w:val="16"/>
        </w:rPr>
        <w:footnoteRef/>
      </w:r>
      <w:r w:rsidRPr="00B324A4">
        <w:rPr>
          <w:rFonts w:ascii="Verdana" w:hAnsi="Verdana" w:cs="Arial"/>
          <w:sz w:val="16"/>
          <w:szCs w:val="16"/>
        </w:rPr>
        <w:t xml:space="preserve"> </w:t>
      </w:r>
      <w:r w:rsidRPr="00B324A4">
        <w:rPr>
          <w:rFonts w:ascii="Verdana" w:hAnsi="Verdana" w:cs="Arial"/>
          <w:sz w:val="16"/>
          <w:szCs w:val="16"/>
          <w:lang w:val="es-ES_tradnl"/>
        </w:rPr>
        <w:t xml:space="preserve">Respecto a la referencia a los bienes inmuebles, debe considerarse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p w14:paraId="6619FC9A" w14:textId="77777777" w:rsidR="008E3CD5" w:rsidRPr="00B324A4" w:rsidRDefault="008E3CD5" w:rsidP="008E3CD5">
      <w:pPr>
        <w:pStyle w:val="FootnoteText"/>
        <w:ind w:firstLine="708"/>
        <w:jc w:val="both"/>
        <w:rPr>
          <w:rFonts w:ascii="Verdana" w:hAnsi="Verdana" w:cs="Arial"/>
          <w:sz w:val="16"/>
          <w:szCs w:val="16"/>
          <w:lang w:val="es-ES_tradnl"/>
        </w:rPr>
      </w:pPr>
    </w:p>
  </w:footnote>
  <w:footnote w:id="4">
    <w:p w14:paraId="0DFC809B" w14:textId="77777777" w:rsidR="008E3CD5" w:rsidRDefault="008E3CD5" w:rsidP="008E3CD5">
      <w:pPr>
        <w:pStyle w:val="FootnoteText"/>
        <w:ind w:firstLine="709"/>
        <w:jc w:val="both"/>
        <w:rPr>
          <w:rFonts w:ascii="Verdana" w:hAnsi="Verdana" w:cs="Arial"/>
          <w:color w:val="000000"/>
          <w:sz w:val="16"/>
          <w:szCs w:val="16"/>
        </w:rPr>
      </w:pPr>
      <w:r w:rsidRPr="00B324A4">
        <w:rPr>
          <w:rStyle w:val="FootnoteReference"/>
          <w:rFonts w:ascii="Verdana" w:hAnsi="Verdana" w:cs="Arial"/>
          <w:color w:val="000000"/>
          <w:sz w:val="16"/>
          <w:szCs w:val="16"/>
        </w:rPr>
        <w:footnoteRef/>
      </w:r>
      <w:r w:rsidRPr="00B324A4">
        <w:rPr>
          <w:rFonts w:ascii="Verdana" w:hAnsi="Verdana" w:cs="Arial"/>
          <w:color w:val="000000"/>
          <w:sz w:val="16"/>
          <w:szCs w:val="16"/>
        </w:rPr>
        <w:t xml:space="preserve"> OSPINA MENA, Jesús Marino. Régimen de la Contratación Estatal. Un salto a la contratación liquida. Bogotá: Dike, 2020. p. 168.</w:t>
      </w:r>
    </w:p>
    <w:p w14:paraId="2ADE79ED" w14:textId="77777777" w:rsidR="008E3CD5" w:rsidRPr="00B324A4" w:rsidRDefault="008E3CD5" w:rsidP="008E3CD5">
      <w:pPr>
        <w:pStyle w:val="FootnoteText"/>
        <w:ind w:firstLine="709"/>
        <w:jc w:val="both"/>
        <w:rPr>
          <w:rFonts w:ascii="Verdana" w:hAnsi="Verdana" w:cs="Arial"/>
          <w:color w:val="000000"/>
          <w:sz w:val="16"/>
          <w:szCs w:val="16"/>
        </w:rPr>
      </w:pPr>
    </w:p>
  </w:footnote>
  <w:footnote w:id="5">
    <w:p w14:paraId="33F834BE" w14:textId="77777777" w:rsidR="008E3CD5" w:rsidRPr="00B324A4" w:rsidRDefault="008E3CD5" w:rsidP="008E3CD5">
      <w:pPr>
        <w:pStyle w:val="FootnoteText"/>
        <w:ind w:firstLine="709"/>
        <w:jc w:val="both"/>
        <w:rPr>
          <w:rFonts w:ascii="Verdana" w:hAnsi="Verdana" w:cs="Arial"/>
          <w:color w:val="000000"/>
          <w:sz w:val="16"/>
          <w:szCs w:val="16"/>
        </w:rPr>
      </w:pPr>
      <w:r w:rsidRPr="00B324A4">
        <w:rPr>
          <w:rStyle w:val="FootnoteReference"/>
          <w:rFonts w:ascii="Verdana" w:hAnsi="Verdana" w:cs="Arial"/>
          <w:color w:val="000000"/>
          <w:sz w:val="16"/>
          <w:szCs w:val="16"/>
        </w:rPr>
        <w:footnoteRef/>
      </w:r>
      <w:r w:rsidRPr="00B324A4">
        <w:rPr>
          <w:rFonts w:ascii="Verdana" w:hAnsi="Verdana" w:cs="Arial"/>
          <w:color w:val="000000"/>
          <w:sz w:val="16"/>
          <w:szCs w:val="16"/>
        </w:rPr>
        <w:t xml:space="preserve"> CONSEJO DE ESTADO. Sala de Consulta y Servicio Civil. Concepto del 5 de septiembre de 2018. Rad. 2.386. C.P. Edgar González López.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9B2EAF2E"/>
    <w:lvl w:ilvl="0">
      <w:start w:val="1"/>
      <w:numFmt w:val="decimal"/>
      <w:lvlText w:val="%1."/>
      <w:lvlJc w:val="left"/>
      <w:pPr>
        <w:ind w:left="360" w:hanging="360"/>
      </w:pPr>
      <w:rPr>
        <w:b/>
        <w:color w:val="auto"/>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EE8E77B4"/>
    <w:lvl w:ilvl="0" w:tplc="C1D210D2">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3AD5452C"/>
    <w:multiLevelType w:val="hybridMultilevel"/>
    <w:tmpl w:val="08EA66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14847841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CF9"/>
    <w:rsid w:val="00036CCB"/>
    <w:rsid w:val="00046945"/>
    <w:rsid w:val="00061B2A"/>
    <w:rsid w:val="00082362"/>
    <w:rsid w:val="000A683E"/>
    <w:rsid w:val="000B19B9"/>
    <w:rsid w:val="000D0334"/>
    <w:rsid w:val="000D5DA7"/>
    <w:rsid w:val="000F6486"/>
    <w:rsid w:val="00116940"/>
    <w:rsid w:val="00125105"/>
    <w:rsid w:val="00127233"/>
    <w:rsid w:val="0014440E"/>
    <w:rsid w:val="0015699B"/>
    <w:rsid w:val="001A33BF"/>
    <w:rsid w:val="001D42AC"/>
    <w:rsid w:val="001E4177"/>
    <w:rsid w:val="001E5993"/>
    <w:rsid w:val="001F0B24"/>
    <w:rsid w:val="001F7DC6"/>
    <w:rsid w:val="0022400B"/>
    <w:rsid w:val="002421BB"/>
    <w:rsid w:val="0025796E"/>
    <w:rsid w:val="002707A2"/>
    <w:rsid w:val="00280784"/>
    <w:rsid w:val="002951A0"/>
    <w:rsid w:val="002962BC"/>
    <w:rsid w:val="002A093D"/>
    <w:rsid w:val="002A0DD0"/>
    <w:rsid w:val="002A49AC"/>
    <w:rsid w:val="002A64FD"/>
    <w:rsid w:val="002C7A84"/>
    <w:rsid w:val="002E2BF8"/>
    <w:rsid w:val="002E4FD9"/>
    <w:rsid w:val="00301FC6"/>
    <w:rsid w:val="0030657A"/>
    <w:rsid w:val="00322A85"/>
    <w:rsid w:val="00324168"/>
    <w:rsid w:val="00330834"/>
    <w:rsid w:val="00342FA7"/>
    <w:rsid w:val="003448F4"/>
    <w:rsid w:val="00355920"/>
    <w:rsid w:val="00371C75"/>
    <w:rsid w:val="00373C59"/>
    <w:rsid w:val="00374F5E"/>
    <w:rsid w:val="00377E3E"/>
    <w:rsid w:val="003845E1"/>
    <w:rsid w:val="003A779E"/>
    <w:rsid w:val="003B2A72"/>
    <w:rsid w:val="003C7646"/>
    <w:rsid w:val="003D0F4D"/>
    <w:rsid w:val="003D5B0D"/>
    <w:rsid w:val="003E0499"/>
    <w:rsid w:val="003E4F80"/>
    <w:rsid w:val="003E6439"/>
    <w:rsid w:val="003F3941"/>
    <w:rsid w:val="00406575"/>
    <w:rsid w:val="00414C74"/>
    <w:rsid w:val="0042571C"/>
    <w:rsid w:val="0042722E"/>
    <w:rsid w:val="0044528D"/>
    <w:rsid w:val="00463BE1"/>
    <w:rsid w:val="00466E39"/>
    <w:rsid w:val="004A1847"/>
    <w:rsid w:val="004A305D"/>
    <w:rsid w:val="004F21C4"/>
    <w:rsid w:val="004F685F"/>
    <w:rsid w:val="005163B6"/>
    <w:rsid w:val="00542DBB"/>
    <w:rsid w:val="005566E8"/>
    <w:rsid w:val="00574867"/>
    <w:rsid w:val="00591460"/>
    <w:rsid w:val="005A39C6"/>
    <w:rsid w:val="005A65E0"/>
    <w:rsid w:val="005A672F"/>
    <w:rsid w:val="005B7064"/>
    <w:rsid w:val="005C3777"/>
    <w:rsid w:val="005C5CDC"/>
    <w:rsid w:val="005D476C"/>
    <w:rsid w:val="005E7A7A"/>
    <w:rsid w:val="00607926"/>
    <w:rsid w:val="006200BF"/>
    <w:rsid w:val="006219F8"/>
    <w:rsid w:val="006302F7"/>
    <w:rsid w:val="00646B9F"/>
    <w:rsid w:val="00646E5C"/>
    <w:rsid w:val="00665D70"/>
    <w:rsid w:val="006900D9"/>
    <w:rsid w:val="006A27AD"/>
    <w:rsid w:val="006D4237"/>
    <w:rsid w:val="00706C16"/>
    <w:rsid w:val="007215A1"/>
    <w:rsid w:val="007340C3"/>
    <w:rsid w:val="0075235A"/>
    <w:rsid w:val="00756841"/>
    <w:rsid w:val="007649AB"/>
    <w:rsid w:val="00771D0C"/>
    <w:rsid w:val="007833AC"/>
    <w:rsid w:val="007836AA"/>
    <w:rsid w:val="007A611C"/>
    <w:rsid w:val="007B268C"/>
    <w:rsid w:val="007B5324"/>
    <w:rsid w:val="007B7171"/>
    <w:rsid w:val="007C0C0F"/>
    <w:rsid w:val="007C3DC2"/>
    <w:rsid w:val="007E5497"/>
    <w:rsid w:val="007F4427"/>
    <w:rsid w:val="008049F2"/>
    <w:rsid w:val="008051AF"/>
    <w:rsid w:val="00806F5F"/>
    <w:rsid w:val="00815D91"/>
    <w:rsid w:val="00820278"/>
    <w:rsid w:val="008258C9"/>
    <w:rsid w:val="00844AE9"/>
    <w:rsid w:val="008541D0"/>
    <w:rsid w:val="00867F95"/>
    <w:rsid w:val="008704BC"/>
    <w:rsid w:val="008843B6"/>
    <w:rsid w:val="00891928"/>
    <w:rsid w:val="008A446D"/>
    <w:rsid w:val="008B25F1"/>
    <w:rsid w:val="008D180B"/>
    <w:rsid w:val="008E3CD5"/>
    <w:rsid w:val="008E45AD"/>
    <w:rsid w:val="008F0EA7"/>
    <w:rsid w:val="008F202A"/>
    <w:rsid w:val="00923EEF"/>
    <w:rsid w:val="009419F9"/>
    <w:rsid w:val="0095685E"/>
    <w:rsid w:val="00961B09"/>
    <w:rsid w:val="00965334"/>
    <w:rsid w:val="0097093E"/>
    <w:rsid w:val="0098153F"/>
    <w:rsid w:val="00997D0B"/>
    <w:rsid w:val="009A0DFA"/>
    <w:rsid w:val="009A1C6F"/>
    <w:rsid w:val="009B2D26"/>
    <w:rsid w:val="009C5EA6"/>
    <w:rsid w:val="009C71FA"/>
    <w:rsid w:val="009C72E7"/>
    <w:rsid w:val="009C7F7E"/>
    <w:rsid w:val="009D3058"/>
    <w:rsid w:val="009F3A13"/>
    <w:rsid w:val="00A0103A"/>
    <w:rsid w:val="00A122D3"/>
    <w:rsid w:val="00A14468"/>
    <w:rsid w:val="00A17F13"/>
    <w:rsid w:val="00A20739"/>
    <w:rsid w:val="00A23AF9"/>
    <w:rsid w:val="00A33C78"/>
    <w:rsid w:val="00A67560"/>
    <w:rsid w:val="00A83A9A"/>
    <w:rsid w:val="00A8763B"/>
    <w:rsid w:val="00A95494"/>
    <w:rsid w:val="00AA5AA3"/>
    <w:rsid w:val="00AB0ADB"/>
    <w:rsid w:val="00AB5E42"/>
    <w:rsid w:val="00AC6D18"/>
    <w:rsid w:val="00B00C0E"/>
    <w:rsid w:val="00B01B1A"/>
    <w:rsid w:val="00B0381D"/>
    <w:rsid w:val="00B44A47"/>
    <w:rsid w:val="00B72CD3"/>
    <w:rsid w:val="00B72FFF"/>
    <w:rsid w:val="00B860A9"/>
    <w:rsid w:val="00BA456E"/>
    <w:rsid w:val="00BC3D36"/>
    <w:rsid w:val="00BD2632"/>
    <w:rsid w:val="00BD54A6"/>
    <w:rsid w:val="00BD7F72"/>
    <w:rsid w:val="00BF7425"/>
    <w:rsid w:val="00C04FB3"/>
    <w:rsid w:val="00C11D8B"/>
    <w:rsid w:val="00C15139"/>
    <w:rsid w:val="00C330EB"/>
    <w:rsid w:val="00C50D69"/>
    <w:rsid w:val="00C5365C"/>
    <w:rsid w:val="00C754BE"/>
    <w:rsid w:val="00C7550A"/>
    <w:rsid w:val="00C76B1C"/>
    <w:rsid w:val="00C925AC"/>
    <w:rsid w:val="00CB6357"/>
    <w:rsid w:val="00CC0492"/>
    <w:rsid w:val="00CC1B26"/>
    <w:rsid w:val="00D21E17"/>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5BEA"/>
    <w:rsid w:val="00EA0E3D"/>
    <w:rsid w:val="00EC38A7"/>
    <w:rsid w:val="00EE1AA8"/>
    <w:rsid w:val="00F05266"/>
    <w:rsid w:val="00F23FEA"/>
    <w:rsid w:val="00F31EDC"/>
    <w:rsid w:val="00F462B3"/>
    <w:rsid w:val="00F5664F"/>
    <w:rsid w:val="00F666C4"/>
    <w:rsid w:val="00F76AFC"/>
    <w:rsid w:val="00FA4268"/>
    <w:rsid w:val="00FA47C0"/>
    <w:rsid w:val="00FB5DD1"/>
    <w:rsid w:val="00FC2B5D"/>
    <w:rsid w:val="00FF1449"/>
    <w:rsid w:val="00FF7963"/>
    <w:rsid w:val="01F07532"/>
    <w:rsid w:val="071B8F93"/>
    <w:rsid w:val="0755DD38"/>
    <w:rsid w:val="07C73DD1"/>
    <w:rsid w:val="09908A09"/>
    <w:rsid w:val="0E0AF0F4"/>
    <w:rsid w:val="0EFE6349"/>
    <w:rsid w:val="0FF4CCA8"/>
    <w:rsid w:val="13CFC91B"/>
    <w:rsid w:val="19A2EC2C"/>
    <w:rsid w:val="1CA7AA22"/>
    <w:rsid w:val="21779BE6"/>
    <w:rsid w:val="2859CA1B"/>
    <w:rsid w:val="2C4D2425"/>
    <w:rsid w:val="2EE1E026"/>
    <w:rsid w:val="2F44F38F"/>
    <w:rsid w:val="30821638"/>
    <w:rsid w:val="32A4F9CF"/>
    <w:rsid w:val="33A1FF93"/>
    <w:rsid w:val="356CEDFD"/>
    <w:rsid w:val="3C591AFD"/>
    <w:rsid w:val="42183F0A"/>
    <w:rsid w:val="545B112A"/>
    <w:rsid w:val="5BEB1497"/>
    <w:rsid w:val="69614A15"/>
    <w:rsid w:val="6A3B65B3"/>
    <w:rsid w:val="74BA017B"/>
    <w:rsid w:val="74CAD075"/>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E71BACF-CD58-4C3F-A0FE-6CBE9C904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table" w:customStyle="1" w:styleId="Tablaconcuadrcula1">
    <w:name w:val="Tabla con cuadrícula1"/>
    <w:basedOn w:val="TableNormal"/>
    <w:next w:val="TableGrid"/>
    <w:uiPriority w:val="39"/>
    <w:qFormat/>
    <w:rsid w:val="008E3C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FootnoteReference"/>
    <w:uiPriority w:val="99"/>
    <w:rsid w:val="008E3CD5"/>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8E3CD5"/>
    <w:rPr>
      <w:rFonts w:ascii="Geomanist Light" w:hAnsi="Geomanist Light"/>
      <w:lang w:val="es-ES"/>
    </w:rPr>
  </w:style>
  <w:style w:type="character" w:styleId="Strong">
    <w:name w:val="Strong"/>
    <w:basedOn w:val="DefaultParagraphFont"/>
    <w:uiPriority w:val="22"/>
    <w:qFormat/>
    <w:rsid w:val="008E3C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ndra.ferreira@medicinalegal.gov.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D31D85C-4AB8-4CAB-85A6-24616098F0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Pages>
  <Words>10279</Words>
  <Characters>58594</Characters>
  <Application>Microsoft Office Word</Application>
  <DocSecurity>4</DocSecurity>
  <Lines>488</Lines>
  <Paragraphs>137</Paragraphs>
  <ScaleCrop>false</ScaleCrop>
  <Company/>
  <LinksUpToDate>false</LinksUpToDate>
  <CharactersWithSpaces>68736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9</cp:revision>
  <cp:lastPrinted>2023-01-11T00:18:00Z</cp:lastPrinted>
  <dcterms:created xsi:type="dcterms:W3CDTF">2026-06-19T16:17:00Z</dcterms:created>
  <dcterms:modified xsi:type="dcterms:W3CDTF">2026-06-19T14:27:00Z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