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6F9E6" w14:textId="77777777" w:rsidR="004E6EE2" w:rsidRDefault="004E6EE2" w:rsidP="004E6EE2">
      <w:pPr>
        <w:rPr>
          <w:rFonts w:ascii="Verdana" w:hAnsi="Verdana" w:cs="Arial"/>
          <w:b/>
          <w:color w:val="000000" w:themeColor="text1"/>
          <w:lang w:val="es-ES_tradnl"/>
        </w:rPr>
      </w:pPr>
      <w:bookmarkStart w:id="0" w:name="_Hlk143780582"/>
      <w:r w:rsidRPr="009F7B50">
        <w:rPr>
          <w:rFonts w:ascii="Verdana" w:hAnsi="Verdana" w:cs="Arial"/>
          <w:b/>
          <w:color w:val="000000" w:themeColor="text1"/>
          <w:lang w:val="es-ES_tradnl"/>
        </w:rPr>
        <w:t>LEY DE GARANTÍAS ELECTORALES ‒ Finalidad</w:t>
      </w:r>
    </w:p>
    <w:p w14:paraId="1C6DDF33" w14:textId="50634C3D" w:rsidR="004E6EE2" w:rsidRDefault="004E6EE2" w:rsidP="004E6EE2">
      <w:pPr>
        <w:spacing w:line="240" w:lineRule="auto"/>
        <w:jc w:val="both"/>
        <w:rPr>
          <w:rFonts w:ascii="Verdana" w:eastAsia="Times New Roman" w:hAnsi="Verdana" w:cs="Arial"/>
          <w:sz w:val="20"/>
          <w:szCs w:val="20"/>
          <w:lang w:val="es-MX" w:eastAsia="es-CO"/>
        </w:rPr>
      </w:pPr>
      <w:r w:rsidRPr="00885B6A">
        <w:rPr>
          <w:rFonts w:ascii="Verdana" w:eastAsia="Times New Roman" w:hAnsi="Verdana" w:cs="Arial"/>
          <w:sz w:val="20"/>
          <w:szCs w:val="20"/>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885B6A">
        <w:rPr>
          <w:rFonts w:ascii="Verdana" w:eastAsia="Times New Roman" w:hAnsi="Verdana" w:cs="Arial"/>
          <w:sz w:val="20"/>
          <w:szCs w:val="20"/>
          <w:vertAlign w:val="superscript"/>
          <w:lang w:val="es-MX" w:eastAsia="es-CO"/>
        </w:rPr>
        <w:footnoteReference w:id="1"/>
      </w:r>
      <w:r w:rsidRPr="00885B6A">
        <w:rPr>
          <w:rFonts w:ascii="Verdana" w:eastAsia="Times New Roman" w:hAnsi="Verdana" w:cs="Arial"/>
          <w:sz w:val="20"/>
          <w:szCs w:val="20"/>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009805C6">
        <w:rPr>
          <w:rFonts w:ascii="Verdana" w:eastAsia="Times New Roman" w:hAnsi="Verdana" w:cs="Arial"/>
          <w:sz w:val="20"/>
          <w:szCs w:val="20"/>
          <w:lang w:val="es-MX" w:eastAsia="es-CO"/>
        </w:rPr>
        <w:t>.</w:t>
      </w:r>
    </w:p>
    <w:p w14:paraId="5A4BDB94" w14:textId="77777777" w:rsidR="009805C6" w:rsidRDefault="009805C6" w:rsidP="004E6EE2">
      <w:pPr>
        <w:spacing w:line="240" w:lineRule="auto"/>
        <w:jc w:val="both"/>
        <w:rPr>
          <w:rFonts w:ascii="Verdana" w:eastAsia="Times New Roman" w:hAnsi="Verdana" w:cs="Arial"/>
          <w:sz w:val="20"/>
          <w:szCs w:val="20"/>
          <w:lang w:val="es-MX" w:eastAsia="es-CO"/>
        </w:rPr>
      </w:pPr>
    </w:p>
    <w:p w14:paraId="7FA3F35B" w14:textId="39A460E1" w:rsidR="00B831D2" w:rsidRDefault="004E6EE2" w:rsidP="00B831D2">
      <w:pPr>
        <w:jc w:val="both"/>
        <w:rPr>
          <w:rFonts w:ascii="Verdana" w:hAnsi="Verdana" w:cs="Arial"/>
          <w:b/>
          <w:color w:val="000000" w:themeColor="text1"/>
        </w:rPr>
      </w:pPr>
      <w:r w:rsidRPr="009F7B50">
        <w:rPr>
          <w:rFonts w:ascii="Verdana" w:hAnsi="Verdana" w:cs="Arial"/>
          <w:b/>
          <w:color w:val="000000" w:themeColor="text1"/>
          <w:lang w:val="es-ES_tradnl"/>
        </w:rPr>
        <w:t xml:space="preserve">LEY DE GARANTÍAS ELECTORALES ‒ </w:t>
      </w:r>
      <w:r w:rsidR="00C76236">
        <w:rPr>
          <w:rFonts w:ascii="Verdana" w:hAnsi="Verdana" w:cs="Arial"/>
          <w:b/>
          <w:color w:val="000000" w:themeColor="text1"/>
          <w:lang w:val="es-ES_tradnl"/>
        </w:rPr>
        <w:t xml:space="preserve">Ley 996 de 2005 - </w:t>
      </w:r>
      <w:r w:rsidR="00A11F8E" w:rsidRPr="009F7B50">
        <w:rPr>
          <w:rFonts w:ascii="Verdana" w:hAnsi="Verdana" w:cs="Arial"/>
          <w:b/>
          <w:color w:val="000000" w:themeColor="text1"/>
          <w:lang w:val="es-ES_tradnl"/>
        </w:rPr>
        <w:t xml:space="preserve">Articulo </w:t>
      </w:r>
      <w:r w:rsidR="00C426A8">
        <w:rPr>
          <w:rFonts w:ascii="Verdana" w:hAnsi="Verdana" w:cs="Arial"/>
          <w:b/>
          <w:color w:val="000000" w:themeColor="text1"/>
          <w:lang w:val="es-ES_tradnl"/>
        </w:rPr>
        <w:t>33 -</w:t>
      </w:r>
      <w:r w:rsidR="00A11F8E">
        <w:rPr>
          <w:rFonts w:ascii="Verdana" w:hAnsi="Verdana" w:cs="Arial"/>
          <w:b/>
          <w:color w:val="000000" w:themeColor="text1"/>
          <w:lang w:val="es-ES_tradnl"/>
        </w:rPr>
        <w:t xml:space="preserve"> R</w:t>
      </w:r>
      <w:r w:rsidRPr="009F7B50">
        <w:rPr>
          <w:rFonts w:ascii="Verdana" w:hAnsi="Verdana" w:cs="Arial"/>
          <w:b/>
          <w:color w:val="000000" w:themeColor="text1"/>
          <w:lang w:val="es-ES_tradnl"/>
        </w:rPr>
        <w:t xml:space="preserve">estricciones </w:t>
      </w:r>
      <w:r w:rsidR="00B831D2" w:rsidRPr="009F7B50">
        <w:rPr>
          <w:rFonts w:ascii="Verdana" w:hAnsi="Verdana" w:cs="Arial"/>
          <w:b/>
          <w:color w:val="000000" w:themeColor="text1"/>
          <w:lang w:val="es-ES_tradnl"/>
        </w:rPr>
        <w:t>–</w:t>
      </w:r>
      <w:r w:rsidR="00B831D2">
        <w:rPr>
          <w:rFonts w:ascii="Verdana" w:hAnsi="Verdana" w:cs="Arial"/>
          <w:b/>
          <w:color w:val="000000" w:themeColor="text1"/>
          <w:lang w:val="es-ES_tradnl"/>
        </w:rPr>
        <w:t xml:space="preserve"> </w:t>
      </w:r>
      <w:r w:rsidR="00B831D2" w:rsidRPr="00B831D2">
        <w:rPr>
          <w:rFonts w:ascii="Verdana" w:hAnsi="Verdana" w:cs="Arial"/>
          <w:b/>
          <w:color w:val="000000" w:themeColor="text1"/>
        </w:rPr>
        <w:t>Elecciones</w:t>
      </w:r>
      <w:r w:rsidR="00B831D2" w:rsidRPr="00B831D2">
        <w:rPr>
          <w:rFonts w:ascii="Verdana" w:hAnsi="Verdana" w:cs="Arial"/>
          <w:b/>
          <w:color w:val="000000" w:themeColor="text1"/>
        </w:rPr>
        <w:t xml:space="preserve"> presidenciales </w:t>
      </w:r>
    </w:p>
    <w:p w14:paraId="46E98CBA" w14:textId="0CD5C2EF" w:rsidR="004E6EE2" w:rsidRDefault="004E6EE2" w:rsidP="00B831D2">
      <w:pPr>
        <w:jc w:val="both"/>
        <w:rPr>
          <w:rFonts w:ascii="Verdana" w:hAnsi="Verdana"/>
          <w:sz w:val="20"/>
          <w:szCs w:val="20"/>
        </w:rPr>
      </w:pPr>
      <w:r>
        <w:rPr>
          <w:rFonts w:ascii="Verdana" w:hAnsi="Verdana"/>
          <w:sz w:val="20"/>
          <w:szCs w:val="20"/>
        </w:rPr>
        <w:t xml:space="preserve">[…] </w:t>
      </w:r>
      <w:r w:rsidRPr="002B64B1">
        <w:rPr>
          <w:rFonts w:ascii="Verdana" w:hAnsi="Verdana"/>
          <w:sz w:val="20"/>
          <w:szCs w:val="20"/>
        </w:rPr>
        <w:t>Como se puede observar, el artículo 33 de la Ley 996 de 2005 prohíbe la contratación directa por parte de todos los entes estatales durante los cuatro (4) meses anteriores a las elecciones presidenciales y dispone las excepciones a dicha prohibición. Así, su ámbito de prohibición está delimitado por la expresión “queda prohibida la contratación directa” y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885B6A">
        <w:rPr>
          <w:rFonts w:ascii="Verdana" w:hAnsi="Verdana"/>
          <w:sz w:val="20"/>
          <w:szCs w:val="20"/>
        </w:rPr>
        <w:t>.</w:t>
      </w:r>
      <w:r>
        <w:rPr>
          <w:rFonts w:ascii="Verdana" w:hAnsi="Verdana"/>
          <w:sz w:val="20"/>
          <w:szCs w:val="20"/>
        </w:rPr>
        <w:t xml:space="preserve"> […]</w:t>
      </w:r>
    </w:p>
    <w:p w14:paraId="48D096D4" w14:textId="77777777" w:rsidR="00710E63" w:rsidRDefault="00710E63" w:rsidP="00B831D2">
      <w:pPr>
        <w:jc w:val="both"/>
        <w:rPr>
          <w:rFonts w:ascii="Verdana" w:hAnsi="Verdana"/>
          <w:sz w:val="20"/>
          <w:szCs w:val="20"/>
        </w:rPr>
      </w:pPr>
    </w:p>
    <w:p w14:paraId="37AE3AFF" w14:textId="77777777" w:rsidR="00B831D2" w:rsidRDefault="00B831D2" w:rsidP="004E6EE2">
      <w:pPr>
        <w:widowControl w:val="0"/>
        <w:autoSpaceDE w:val="0"/>
        <w:autoSpaceDN w:val="0"/>
        <w:spacing w:line="240" w:lineRule="auto"/>
        <w:ind w:right="176"/>
        <w:jc w:val="both"/>
        <w:rPr>
          <w:rFonts w:ascii="Verdana" w:hAnsi="Verdana"/>
          <w:b/>
          <w:bCs/>
          <w:sz w:val="20"/>
          <w:szCs w:val="20"/>
        </w:rPr>
      </w:pPr>
      <w:r w:rsidRPr="00B831D2">
        <w:rPr>
          <w:rFonts w:ascii="Verdana" w:hAnsi="Verdana"/>
          <w:b/>
          <w:bCs/>
          <w:sz w:val="20"/>
          <w:szCs w:val="20"/>
        </w:rPr>
        <w:t xml:space="preserve">LEY DE GARANTÍAS ELECTORALES – Ley 996 de 2005 – Destinatarios – Lista de precalificados / </w:t>
      </w:r>
    </w:p>
    <w:p w14:paraId="2C0CBFB5" w14:textId="77777777" w:rsidR="006817CE" w:rsidRPr="006817CE" w:rsidRDefault="006817CE" w:rsidP="006817CE">
      <w:pPr>
        <w:pStyle w:val="Default"/>
        <w:jc w:val="both"/>
        <w:rPr>
          <w:rFonts w:ascii="Verdana" w:hAnsi="Verdana" w:cstheme="minorBidi"/>
          <w:color w:val="auto"/>
          <w:sz w:val="20"/>
          <w:szCs w:val="20"/>
          <w14:ligatures w14:val="none"/>
        </w:rPr>
      </w:pPr>
      <w:r w:rsidRPr="006817CE">
        <w:rPr>
          <w:rFonts w:ascii="Verdana" w:hAnsi="Verdana" w:cstheme="minorBidi"/>
          <w:color w:val="auto"/>
          <w:sz w:val="20"/>
          <w:szCs w:val="20"/>
          <w14:ligatures w14:val="none"/>
        </w:rPr>
        <w:t xml:space="preserve">Por tanto, frente a la consulta planteada, es preciso señalar que para determinar la aplicación de la restricción prevista en el artículo 33 de la Ley de Garantías Electorales en aquellos sistemas de contratación en los cuales se invita a presentar propuesta a proveedores seleccionados de un banco de proveedores, resulta fundamental que se cumplan los dos criterios señalados. De un lado, es indispensable que tanto la inscripción en la lista de precalificados o en el banco de proveedores como el acceso a la etapa de presentación de ofertas se encuentren precedidos de mecanismos de convocatoria pública que garanticen la participación real de una pluralidad de oferentes, en condiciones de igualdad y transparencia. De otro lado, la selección del contratista debe estar sometida a criterios objetivos de tal manera que la escogencia del contratista sea el resultado de un ejercicio de comparación de propuestas en competencia y no de decisiones discrecionales de la entidad. </w:t>
      </w:r>
    </w:p>
    <w:p w14:paraId="2DCF2955" w14:textId="77777777" w:rsidR="00B831D2" w:rsidRDefault="00B831D2" w:rsidP="004E6EE2">
      <w:pPr>
        <w:widowControl w:val="0"/>
        <w:autoSpaceDE w:val="0"/>
        <w:autoSpaceDN w:val="0"/>
        <w:spacing w:line="240" w:lineRule="auto"/>
        <w:ind w:right="176"/>
        <w:jc w:val="both"/>
        <w:rPr>
          <w:rFonts w:ascii="Verdana" w:hAnsi="Verdana"/>
          <w:b/>
          <w:bCs/>
          <w:sz w:val="20"/>
          <w:szCs w:val="20"/>
        </w:rPr>
      </w:pPr>
    </w:p>
    <w:p w14:paraId="76CA4B1A" w14:textId="321A161D" w:rsidR="00B831D2" w:rsidRDefault="00B831D2" w:rsidP="004E6EE2">
      <w:pPr>
        <w:widowControl w:val="0"/>
        <w:autoSpaceDE w:val="0"/>
        <w:autoSpaceDN w:val="0"/>
        <w:spacing w:line="240" w:lineRule="auto"/>
        <w:ind w:right="176"/>
        <w:jc w:val="both"/>
        <w:rPr>
          <w:rFonts w:ascii="Verdana" w:hAnsi="Verdana"/>
          <w:b/>
          <w:bCs/>
          <w:sz w:val="20"/>
          <w:szCs w:val="20"/>
        </w:rPr>
      </w:pPr>
      <w:r w:rsidRPr="00B831D2">
        <w:rPr>
          <w:rFonts w:ascii="Verdana" w:hAnsi="Verdana"/>
          <w:b/>
          <w:bCs/>
          <w:sz w:val="20"/>
          <w:szCs w:val="20"/>
        </w:rPr>
        <w:lastRenderedPageBreak/>
        <w:t>LEY DE GARANTÍAS ELECTORALES – Artículo 33 - Patrimonios autónomos</w:t>
      </w:r>
    </w:p>
    <w:p w14:paraId="4F700A75" w14:textId="2F6B1132" w:rsidR="00990800" w:rsidRDefault="00990800" w:rsidP="004E6EE2">
      <w:pPr>
        <w:widowControl w:val="0"/>
        <w:autoSpaceDE w:val="0"/>
        <w:autoSpaceDN w:val="0"/>
        <w:spacing w:line="240" w:lineRule="auto"/>
        <w:ind w:right="176"/>
        <w:jc w:val="both"/>
        <w:rPr>
          <w:rFonts w:ascii="Verdana" w:hAnsi="Verdana"/>
          <w:sz w:val="20"/>
          <w:szCs w:val="20"/>
        </w:rPr>
      </w:pPr>
      <w:r w:rsidRPr="00990800">
        <w:rPr>
          <w:rFonts w:ascii="Verdana" w:hAnsi="Verdana"/>
          <w:sz w:val="20"/>
          <w:szCs w:val="20"/>
        </w:rPr>
        <w:t>A pesar de que el patrimonio autónomo no es una entidad estatal, ello no justifica por sí solo inaplicar la prohibición del artículo 33 de la Ley de Garantías. Entender lo contrario implicaría que, con el objetivo de eludir la restricción, sería posible celebrar negocios fiduciarios para que el representante del patrimonio autónomo suscribiera los contratos que no pueda adelantar por sí misma la entidad fideicomitente.</w:t>
      </w:r>
    </w:p>
    <w:p w14:paraId="60171E16"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3E1C164A"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689E19B5"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6EBC4648"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21F7A451"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7E6E923C"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079E391A"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39A12233"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0EE72AF2"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755EF3FF"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2207D227"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5EA6419E"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75D8F10E"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2C9221CF"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795D0967"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5B766299"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1B01A8BA"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45575CFF"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23A67BFB"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2142B784"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31075BDB"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135E347D"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2FC6DA6E" w14:textId="77777777" w:rsidR="006817CE" w:rsidRDefault="006817CE" w:rsidP="004E6EE2">
      <w:pPr>
        <w:widowControl w:val="0"/>
        <w:autoSpaceDE w:val="0"/>
        <w:autoSpaceDN w:val="0"/>
        <w:spacing w:line="240" w:lineRule="auto"/>
        <w:ind w:right="176"/>
        <w:jc w:val="both"/>
        <w:rPr>
          <w:rFonts w:ascii="Verdana" w:hAnsi="Verdana"/>
          <w:sz w:val="20"/>
          <w:szCs w:val="20"/>
        </w:rPr>
      </w:pPr>
    </w:p>
    <w:p w14:paraId="107501B4" w14:textId="26A9A091" w:rsidR="004E6EE2" w:rsidRPr="00D86189" w:rsidRDefault="004E6EE2" w:rsidP="004E6EE2">
      <w:pPr>
        <w:spacing w:line="240" w:lineRule="auto"/>
        <w:rPr>
          <w:rFonts w:ascii="Verdana" w:eastAsia="Times New Roman" w:hAnsi="Verdana" w:cs="Arial"/>
          <w:lang w:eastAsia="es-ES"/>
        </w:rPr>
      </w:pPr>
      <w:r w:rsidRPr="006249C6">
        <w:rPr>
          <w:rFonts w:ascii="Verdana" w:eastAsia="Times New Roman" w:hAnsi="Verdana" w:cs="Arial"/>
          <w:lang w:eastAsia="es-ES_tradnl"/>
        </w:rPr>
        <w:lastRenderedPageBreak/>
        <w:t>Bogotá D.C.,</w:t>
      </w:r>
      <w:r w:rsidRPr="00C6143F">
        <w:rPr>
          <w:rFonts w:ascii="Verdana" w:hAnsi="Verdana" w:cs="Arial"/>
          <w:color w:val="000000"/>
          <w:sz w:val="27"/>
          <w:szCs w:val="27"/>
        </w:rPr>
        <w:t xml:space="preserve"> </w:t>
      </w:r>
      <w:r w:rsidR="006817CE">
        <w:rPr>
          <w:rFonts w:ascii="Verdana" w:eastAsia="Times New Roman" w:hAnsi="Verdana" w:cs="Arial"/>
          <w:lang w:eastAsia="es-ES_tradnl"/>
        </w:rPr>
        <w:t>22 junio 2026</w:t>
      </w:r>
    </w:p>
    <w:p w14:paraId="73CEFD47" w14:textId="77777777" w:rsidR="004E6EE2" w:rsidRPr="00D86189" w:rsidRDefault="004E6EE2" w:rsidP="004E6EE2">
      <w:pPr>
        <w:spacing w:after="0" w:line="240" w:lineRule="auto"/>
        <w:ind w:left="5664"/>
        <w:rPr>
          <w:rFonts w:ascii="Verdana" w:hAnsi="Verdana" w:cs="Arial"/>
        </w:rPr>
      </w:pPr>
    </w:p>
    <w:p w14:paraId="66D7710C" w14:textId="77777777" w:rsidR="004E6EE2" w:rsidRPr="006249C6" w:rsidRDefault="004E6EE2" w:rsidP="004E6EE2">
      <w:pPr>
        <w:spacing w:after="0" w:line="240" w:lineRule="auto"/>
        <w:jc w:val="both"/>
        <w:rPr>
          <w:rFonts w:ascii="Verdana" w:eastAsia="Calibri" w:hAnsi="Verdana" w:cs="Arial"/>
          <w:lang w:eastAsia="es-ES"/>
        </w:rPr>
      </w:pPr>
      <w:r>
        <w:rPr>
          <w:rFonts w:ascii="Verdana" w:eastAsia="Calibri" w:hAnsi="Verdana" w:cs="Arial"/>
          <w:lang w:eastAsia="es-ES"/>
        </w:rPr>
        <w:t>Doctor</w:t>
      </w:r>
    </w:p>
    <w:p w14:paraId="7218B4B2" w14:textId="2236FCA7" w:rsidR="004E6EE2" w:rsidRDefault="002F2032" w:rsidP="004E6EE2">
      <w:pPr>
        <w:spacing w:after="0" w:line="240" w:lineRule="auto"/>
        <w:rPr>
          <w:rFonts w:ascii="Verdana" w:eastAsia="Calibri" w:hAnsi="Verdana" w:cs="Arial"/>
          <w:b/>
          <w:bCs/>
          <w:lang w:eastAsia="es-ES"/>
        </w:rPr>
      </w:pPr>
      <w:r w:rsidRPr="002F2032">
        <w:rPr>
          <w:noProof/>
        </w:rPr>
        <w:drawing>
          <wp:anchor distT="0" distB="0" distL="114300" distR="114300" simplePos="0" relativeHeight="251658240" behindDoc="1" locked="0" layoutInCell="1" allowOverlap="1" wp14:anchorId="3B943B7A" wp14:editId="185CC9F3">
            <wp:simplePos x="0" y="0"/>
            <wp:positionH relativeFrom="margin">
              <wp:align>right</wp:align>
            </wp:positionH>
            <wp:positionV relativeFrom="paragraph">
              <wp:posOffset>65764</wp:posOffset>
            </wp:positionV>
            <wp:extent cx="2357755" cy="651510"/>
            <wp:effectExtent l="0" t="0" r="4445" b="0"/>
            <wp:wrapTight wrapText="bothSides">
              <wp:wrapPolygon edited="0">
                <wp:start x="0" y="0"/>
                <wp:lineTo x="0" y="20842"/>
                <wp:lineTo x="21466" y="20842"/>
                <wp:lineTo x="21466" y="0"/>
                <wp:lineTo x="0" y="0"/>
              </wp:wrapPolygon>
            </wp:wrapTight>
            <wp:docPr id="385273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7755" cy="651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EE2">
        <w:rPr>
          <w:rFonts w:ascii="Verdana" w:eastAsia="Calibri" w:hAnsi="Verdana" w:cs="Arial"/>
          <w:b/>
          <w:bCs/>
          <w:lang w:eastAsia="es-ES"/>
        </w:rPr>
        <w:t>SANTIAGO SALINAS MIRANDA</w:t>
      </w:r>
    </w:p>
    <w:p w14:paraId="38D8FA9D" w14:textId="5A70F232" w:rsidR="004E6EE2" w:rsidRDefault="004E6EE2" w:rsidP="004E6EE2">
      <w:pPr>
        <w:spacing w:after="0" w:line="240" w:lineRule="auto"/>
        <w:rPr>
          <w:rFonts w:ascii="Verdana" w:eastAsia="Calibri" w:hAnsi="Verdana" w:cs="Arial"/>
          <w:lang w:eastAsia="es-ES"/>
        </w:rPr>
      </w:pPr>
      <w:r w:rsidRPr="003F16AB">
        <w:rPr>
          <w:rFonts w:ascii="Verdana" w:eastAsia="Calibri" w:hAnsi="Verdana" w:cs="Arial"/>
          <w:lang w:eastAsia="es-ES"/>
        </w:rPr>
        <w:t>Director</w:t>
      </w:r>
      <w:r>
        <w:rPr>
          <w:rFonts w:ascii="Verdana" w:eastAsia="Calibri" w:hAnsi="Verdana" w:cs="Arial"/>
          <w:lang w:eastAsia="es-ES"/>
        </w:rPr>
        <w:t xml:space="preserve"> para la Igualdad y Equidad del Campesinado</w:t>
      </w:r>
    </w:p>
    <w:p w14:paraId="77132CE0" w14:textId="1F391703" w:rsidR="004E6EE2" w:rsidRPr="003F16AB" w:rsidRDefault="004E6EE2" w:rsidP="004E6EE2">
      <w:pPr>
        <w:spacing w:after="0" w:line="240" w:lineRule="auto"/>
        <w:rPr>
          <w:rFonts w:ascii="Verdana" w:eastAsia="Calibri" w:hAnsi="Verdana" w:cs="Arial"/>
          <w:lang w:eastAsia="es-ES"/>
        </w:rPr>
      </w:pPr>
      <w:r>
        <w:rPr>
          <w:rFonts w:ascii="Verdana" w:eastAsia="Calibri" w:hAnsi="Verdana" w:cs="Arial"/>
          <w:lang w:eastAsia="es-ES"/>
        </w:rPr>
        <w:t>Ministerio de la Igualdad</w:t>
      </w:r>
    </w:p>
    <w:p w14:paraId="35AD9765" w14:textId="321D1EE5" w:rsidR="004E6EE2" w:rsidRPr="00D86189" w:rsidRDefault="004E6EE2" w:rsidP="004E6EE2">
      <w:pPr>
        <w:spacing w:after="0" w:line="240" w:lineRule="auto"/>
        <w:rPr>
          <w:rFonts w:ascii="Verdana" w:hAnsi="Verdana" w:cs="Arial"/>
        </w:rPr>
      </w:pPr>
      <w:hyperlink r:id="rId8" w:history="1">
        <w:r w:rsidRPr="00D86189">
          <w:rPr>
            <w:rStyle w:val="Hipervnculo"/>
            <w:rFonts w:ascii="Verdana" w:hAnsi="Verdana" w:cs="Arial"/>
          </w:rPr>
          <w:t>secmesepp@minigualdad.gov.co</w:t>
        </w:r>
      </w:hyperlink>
      <w:r w:rsidR="002F2032" w:rsidRPr="002F2032">
        <w:t xml:space="preserve"> </w:t>
      </w:r>
    </w:p>
    <w:p w14:paraId="5F95C7A5" w14:textId="77777777" w:rsidR="004E6EE2" w:rsidRPr="00D86189" w:rsidRDefault="004E6EE2" w:rsidP="004E6EE2">
      <w:pPr>
        <w:spacing w:after="0" w:line="240" w:lineRule="auto"/>
        <w:rPr>
          <w:rFonts w:ascii="Verdana" w:hAnsi="Verdana" w:cs="Arial"/>
          <w:lang w:val="pt-PT"/>
        </w:rPr>
      </w:pPr>
      <w:r>
        <w:rPr>
          <w:rFonts w:ascii="Verdana" w:eastAsia="Calibri" w:hAnsi="Verdana" w:cs="Arial"/>
          <w:lang w:val="pt-PT" w:eastAsia="es-ES"/>
        </w:rPr>
        <w:t>Bogotá D.C.</w:t>
      </w:r>
    </w:p>
    <w:p w14:paraId="1018E980" w14:textId="77777777" w:rsidR="004E6EE2" w:rsidRPr="006249C6" w:rsidRDefault="004E6EE2" w:rsidP="004E6EE2">
      <w:pPr>
        <w:spacing w:after="0" w:line="240" w:lineRule="auto"/>
        <w:rPr>
          <w:rFonts w:ascii="Verdana" w:eastAsia="Calibri" w:hAnsi="Verdana" w:cs="Arial"/>
          <w:b/>
          <w:bCs/>
          <w:color w:val="000000"/>
          <w:lang w:val="pt-PT"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75"/>
        <w:gridCol w:w="6614"/>
      </w:tblGrid>
      <w:tr w:rsidR="004E6EE2" w:rsidRPr="006249C6" w14:paraId="51C85FAE" w14:textId="77777777" w:rsidTr="00C6143F">
        <w:trPr>
          <w:trHeight w:val="218"/>
        </w:trPr>
        <w:tc>
          <w:tcPr>
            <w:tcW w:w="2175" w:type="dxa"/>
          </w:tcPr>
          <w:p w14:paraId="26C27DD6" w14:textId="77777777" w:rsidR="004E6EE2" w:rsidRPr="006249C6" w:rsidRDefault="004E6EE2" w:rsidP="00C6143F">
            <w:pPr>
              <w:jc w:val="both"/>
              <w:rPr>
                <w:rFonts w:ascii="Verdana" w:eastAsia="Calibri" w:hAnsi="Verdana" w:cs="Arial"/>
                <w:b/>
                <w:bCs/>
                <w:color w:val="7030A0"/>
                <w:lang w:val="pt-PT" w:eastAsia="es-ES_tradnl"/>
              </w:rPr>
            </w:pPr>
          </w:p>
        </w:tc>
        <w:tc>
          <w:tcPr>
            <w:tcW w:w="6614" w:type="dxa"/>
            <w:hideMark/>
          </w:tcPr>
          <w:p w14:paraId="0E624646" w14:textId="77777777" w:rsidR="004E6EE2" w:rsidRPr="006249C6" w:rsidRDefault="004E6EE2" w:rsidP="00C6143F">
            <w:pPr>
              <w:jc w:val="both"/>
              <w:rPr>
                <w:rFonts w:ascii="Verdana" w:eastAsia="Calibri" w:hAnsi="Verdana" w:cs="Arial"/>
                <w:b/>
                <w:bCs/>
                <w:lang w:val="es-ES" w:eastAsia="es-ES"/>
              </w:rPr>
            </w:pPr>
          </w:p>
          <w:p w14:paraId="6B2EA280" w14:textId="77777777" w:rsidR="004E6EE2" w:rsidRDefault="004E6EE2" w:rsidP="00C6143F">
            <w:pPr>
              <w:jc w:val="both"/>
              <w:rPr>
                <w:rFonts w:ascii="Verdana" w:eastAsia="Calibri" w:hAnsi="Verdana" w:cs="Arial"/>
                <w:b/>
                <w:bCs/>
                <w:lang w:val="es-ES" w:eastAsia="es-ES"/>
              </w:rPr>
            </w:pPr>
            <w:r w:rsidRPr="006249C6">
              <w:rPr>
                <w:rFonts w:ascii="Verdana" w:eastAsia="Calibri" w:hAnsi="Verdana" w:cs="Arial"/>
                <w:b/>
                <w:bCs/>
                <w:lang w:val="es-ES" w:eastAsia="es-ES"/>
              </w:rPr>
              <w:t xml:space="preserve">Concepto C- </w:t>
            </w:r>
            <w:r>
              <w:rPr>
                <w:rFonts w:ascii="Verdana" w:eastAsia="Calibri" w:hAnsi="Verdana" w:cs="Arial"/>
                <w:b/>
                <w:bCs/>
                <w:lang w:val="es-ES" w:eastAsia="es-ES"/>
              </w:rPr>
              <w:t>772</w:t>
            </w:r>
            <w:r w:rsidRPr="006249C6">
              <w:rPr>
                <w:rFonts w:ascii="Verdana" w:eastAsia="Calibri" w:hAnsi="Verdana" w:cs="Arial"/>
                <w:b/>
                <w:bCs/>
                <w:lang w:val="es-ES" w:eastAsia="es-ES"/>
              </w:rPr>
              <w:t xml:space="preserve"> de 202</w:t>
            </w:r>
            <w:r>
              <w:rPr>
                <w:rFonts w:ascii="Verdana" w:eastAsia="Calibri" w:hAnsi="Verdana" w:cs="Arial"/>
                <w:b/>
                <w:bCs/>
                <w:lang w:val="es-ES" w:eastAsia="es-ES"/>
              </w:rPr>
              <w:t>6</w:t>
            </w:r>
          </w:p>
          <w:p w14:paraId="771CF5BE" w14:textId="77777777" w:rsidR="004E6EE2" w:rsidRPr="006249C6" w:rsidRDefault="004E6EE2" w:rsidP="00C6143F">
            <w:pPr>
              <w:jc w:val="both"/>
              <w:rPr>
                <w:rFonts w:ascii="Verdana" w:eastAsia="Calibri" w:hAnsi="Verdana" w:cs="Arial"/>
                <w:b/>
                <w:bCs/>
                <w:lang w:val="es-ES" w:eastAsia="es-ES"/>
              </w:rPr>
            </w:pPr>
          </w:p>
          <w:p w14:paraId="2D0C73EF" w14:textId="77777777" w:rsidR="004E6EE2" w:rsidRPr="006249C6" w:rsidRDefault="004E6EE2" w:rsidP="00C6143F">
            <w:pPr>
              <w:jc w:val="both"/>
              <w:rPr>
                <w:rFonts w:ascii="Verdana" w:eastAsia="Calibri" w:hAnsi="Verdana" w:cs="Arial"/>
                <w:b/>
                <w:bCs/>
                <w:lang w:val="es-ES" w:eastAsia="es-ES"/>
              </w:rPr>
            </w:pPr>
          </w:p>
        </w:tc>
      </w:tr>
      <w:tr w:rsidR="004E6EE2" w:rsidRPr="006249C6" w14:paraId="53134DD7" w14:textId="77777777" w:rsidTr="00C6143F">
        <w:trPr>
          <w:trHeight w:val="884"/>
        </w:trPr>
        <w:tc>
          <w:tcPr>
            <w:tcW w:w="2175" w:type="dxa"/>
            <w:hideMark/>
          </w:tcPr>
          <w:p w14:paraId="0F0B7779" w14:textId="77777777" w:rsidR="004E6EE2" w:rsidRPr="006249C6" w:rsidRDefault="004E6EE2" w:rsidP="00C6143F">
            <w:pPr>
              <w:jc w:val="both"/>
              <w:rPr>
                <w:rFonts w:ascii="Verdana" w:eastAsia="Calibri" w:hAnsi="Verdana" w:cs="Arial"/>
                <w:color w:val="000000"/>
                <w:lang w:val="es-ES_tradnl" w:eastAsia="es-ES_tradnl"/>
              </w:rPr>
            </w:pPr>
            <w:r w:rsidRPr="006249C6">
              <w:rPr>
                <w:rFonts w:ascii="Verdana" w:eastAsia="Calibri" w:hAnsi="Verdana" w:cs="Arial"/>
                <w:b/>
                <w:color w:val="000000"/>
                <w:lang w:val="es-ES_tradnl" w:eastAsia="es-ES_tradnl"/>
              </w:rPr>
              <w:t>Temas:</w:t>
            </w:r>
            <w:r w:rsidRPr="006249C6">
              <w:rPr>
                <w:rFonts w:ascii="Verdana" w:eastAsia="Calibri" w:hAnsi="Verdana" w:cs="Arial"/>
                <w:color w:val="000000"/>
                <w:lang w:val="es-ES_tradnl" w:eastAsia="es-ES_tradnl"/>
              </w:rPr>
              <w:t xml:space="preserve">                   </w:t>
            </w:r>
          </w:p>
        </w:tc>
        <w:tc>
          <w:tcPr>
            <w:tcW w:w="6614" w:type="dxa"/>
            <w:hideMark/>
          </w:tcPr>
          <w:p w14:paraId="45F30797" w14:textId="77777777" w:rsidR="004E6EE2" w:rsidRPr="00D86189" w:rsidRDefault="004E6EE2" w:rsidP="00C6143F">
            <w:pPr>
              <w:spacing w:line="276" w:lineRule="auto"/>
              <w:jc w:val="both"/>
              <w:rPr>
                <w:rFonts w:ascii="Verdana" w:eastAsia="Calibri" w:hAnsi="Verdana" w:cs="Arial"/>
                <w:lang w:val="es-ES" w:eastAsia="es-ES"/>
              </w:rPr>
            </w:pPr>
            <w:r w:rsidRPr="00E82788">
              <w:rPr>
                <w:rFonts w:ascii="Verdana" w:eastAsia="Calibri" w:hAnsi="Verdana" w:cs="Arial"/>
                <w:lang w:val="es-ES" w:eastAsia="es-ES"/>
              </w:rPr>
              <w:t xml:space="preserve">LEY DE GARANTÍAS ELECTORALES ‒ Finalidad / LEY DE GARANTÍAS ELECTORALES – Ley 996 de 2005 – Articulo 33 – Restricciones – Elecciones presidenciales / LEY DE GARANTÍAS ELECTORALES – Ley 996 de 2005 – Destinatarios – Lista de precalificados / LEY DE GARANTÍAS ELECTORALES – Artículo 33 - Patrimonios autónomos                     </w:t>
            </w:r>
          </w:p>
          <w:p w14:paraId="17771342" w14:textId="77777777" w:rsidR="004E6EE2" w:rsidRPr="006249C6" w:rsidRDefault="004E6EE2" w:rsidP="00C6143F">
            <w:pPr>
              <w:jc w:val="both"/>
              <w:rPr>
                <w:rFonts w:ascii="Verdana" w:hAnsi="Verdana" w:cs="Arial"/>
                <w:bCs/>
                <w:color w:val="000000" w:themeColor="text1"/>
                <w:lang w:val="es-ES_tradnl"/>
              </w:rPr>
            </w:pPr>
          </w:p>
          <w:p w14:paraId="4E2A97ED" w14:textId="77777777" w:rsidR="004E6EE2" w:rsidRPr="006249C6" w:rsidRDefault="004E6EE2" w:rsidP="00C6143F">
            <w:pPr>
              <w:jc w:val="both"/>
              <w:rPr>
                <w:rFonts w:ascii="Verdana" w:eastAsia="Calibri" w:hAnsi="Verdana" w:cs="Arial"/>
                <w:lang w:val="es-ES" w:eastAsia="es-ES"/>
              </w:rPr>
            </w:pPr>
          </w:p>
        </w:tc>
      </w:tr>
      <w:tr w:rsidR="004E6EE2" w:rsidRPr="006249C6" w14:paraId="7E391295" w14:textId="77777777" w:rsidTr="00C6143F">
        <w:tc>
          <w:tcPr>
            <w:tcW w:w="2175" w:type="dxa"/>
            <w:hideMark/>
          </w:tcPr>
          <w:p w14:paraId="269E1CC8" w14:textId="77777777" w:rsidR="004E6EE2" w:rsidRPr="006249C6" w:rsidRDefault="004E6EE2" w:rsidP="00C6143F">
            <w:pPr>
              <w:jc w:val="both"/>
              <w:rPr>
                <w:rFonts w:ascii="Verdana" w:eastAsia="Calibri" w:hAnsi="Verdana" w:cs="Arial"/>
                <w:b/>
                <w:color w:val="7030A0"/>
                <w:lang w:val="es-ES_tradnl" w:eastAsia="es-ES_tradnl"/>
              </w:rPr>
            </w:pPr>
            <w:r w:rsidRPr="006249C6">
              <w:rPr>
                <w:rFonts w:ascii="Verdana" w:eastAsia="Calibri" w:hAnsi="Verdana" w:cs="Arial"/>
                <w:b/>
                <w:lang w:val="es-ES_tradnl" w:eastAsia="es-ES_tradnl"/>
              </w:rPr>
              <w:t>Radicación:</w:t>
            </w:r>
            <w:r w:rsidRPr="006249C6">
              <w:rPr>
                <w:rFonts w:ascii="Verdana" w:eastAsia="Calibri" w:hAnsi="Verdana" w:cs="Arial"/>
                <w:lang w:val="es-ES_tradnl" w:eastAsia="es-ES_tradnl"/>
              </w:rPr>
              <w:t xml:space="preserve">               </w:t>
            </w:r>
          </w:p>
        </w:tc>
        <w:tc>
          <w:tcPr>
            <w:tcW w:w="6614" w:type="dxa"/>
          </w:tcPr>
          <w:p w14:paraId="1AC2D8CF" w14:textId="77777777" w:rsidR="004E6EE2" w:rsidRPr="006249C6" w:rsidRDefault="004E6EE2" w:rsidP="00C6143F">
            <w:pPr>
              <w:jc w:val="both"/>
              <w:rPr>
                <w:rFonts w:ascii="Verdana" w:eastAsia="Calibri" w:hAnsi="Verdana" w:cs="Arial"/>
                <w:lang w:val="es-ES_tradnl" w:eastAsia="es-ES_tradnl"/>
              </w:rPr>
            </w:pPr>
            <w:r w:rsidRPr="006249C6">
              <w:rPr>
                <w:rFonts w:ascii="Verdana" w:eastAsia="Calibri" w:hAnsi="Verdana" w:cs="Arial"/>
                <w:lang w:val="es-ES_tradnl" w:eastAsia="es-ES_tradnl"/>
              </w:rPr>
              <w:t xml:space="preserve">Respuesta a consulta con radicado No. </w:t>
            </w:r>
            <w:r w:rsidRPr="003F16AB">
              <w:rPr>
                <w:rFonts w:ascii="Verdana" w:eastAsia="Calibri" w:hAnsi="Verdana" w:cs="Arial"/>
                <w:lang w:val="es-ES_tradnl" w:eastAsia="es-ES_tradnl"/>
              </w:rPr>
              <w:t>1_2026_05_07_006234</w:t>
            </w:r>
            <w:r>
              <w:rPr>
                <w:rFonts w:ascii="Verdana" w:eastAsia="Calibri" w:hAnsi="Verdana" w:cs="Arial"/>
                <w:lang w:val="es-ES_tradnl" w:eastAsia="es-ES_tradnl"/>
              </w:rPr>
              <w:t xml:space="preserve"> acumulado con el radicado No. </w:t>
            </w:r>
            <w:r w:rsidRPr="003F16AB">
              <w:rPr>
                <w:rFonts w:ascii="Verdana" w:eastAsia="Calibri" w:hAnsi="Verdana" w:cs="Arial"/>
                <w:lang w:val="es-ES_tradnl" w:eastAsia="es-ES_tradnl"/>
              </w:rPr>
              <w:t>1_2026_05_07_006245</w:t>
            </w:r>
            <w:r w:rsidRPr="006249C6">
              <w:rPr>
                <w:rFonts w:ascii="Verdana" w:eastAsia="Calibri" w:hAnsi="Verdana" w:cs="Arial"/>
                <w:lang w:val="es-ES_tradnl" w:eastAsia="es-ES_tradnl"/>
              </w:rPr>
              <w:t>.</w:t>
            </w:r>
          </w:p>
          <w:p w14:paraId="400440DC" w14:textId="77777777" w:rsidR="004E6EE2" w:rsidRPr="006249C6" w:rsidRDefault="004E6EE2" w:rsidP="00C6143F">
            <w:pPr>
              <w:jc w:val="both"/>
              <w:rPr>
                <w:rFonts w:ascii="Verdana" w:eastAsia="Calibri" w:hAnsi="Verdana" w:cs="Arial"/>
                <w:lang w:val="es-ES_tradnl" w:eastAsia="es-ES_tradnl"/>
              </w:rPr>
            </w:pPr>
          </w:p>
        </w:tc>
      </w:tr>
    </w:tbl>
    <w:p w14:paraId="6E8AD616" w14:textId="77777777" w:rsidR="004E6EE2" w:rsidRPr="006249C6" w:rsidRDefault="004E6EE2" w:rsidP="004E6EE2">
      <w:pPr>
        <w:spacing w:after="0" w:line="240" w:lineRule="auto"/>
        <w:jc w:val="both"/>
        <w:rPr>
          <w:rFonts w:ascii="Verdana" w:eastAsia="Calibri" w:hAnsi="Verdana" w:cs="Arial"/>
          <w:color w:val="000000" w:themeColor="text1"/>
          <w:lang w:val="es-ES" w:eastAsia="es-ES"/>
        </w:rPr>
      </w:pPr>
    </w:p>
    <w:p w14:paraId="5F4402DA" w14:textId="77777777" w:rsidR="004E6EE2" w:rsidRDefault="004E6EE2" w:rsidP="004E6EE2">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 xml:space="preserve">Estimado </w:t>
      </w:r>
      <w:proofErr w:type="gramStart"/>
      <w:r>
        <w:rPr>
          <w:rFonts w:ascii="Verdana" w:eastAsia="Calibri" w:hAnsi="Verdana" w:cs="Arial"/>
          <w:color w:val="000000" w:themeColor="text1"/>
          <w:lang w:val="es-ES" w:eastAsia="es-ES"/>
        </w:rPr>
        <w:t>Director</w:t>
      </w:r>
      <w:proofErr w:type="gramEnd"/>
      <w:r>
        <w:rPr>
          <w:rFonts w:ascii="Verdana" w:eastAsia="Calibri" w:hAnsi="Verdana" w:cs="Arial"/>
          <w:color w:val="000000" w:themeColor="text1"/>
          <w:lang w:val="es-ES" w:eastAsia="es-ES"/>
        </w:rPr>
        <w:t>,</w:t>
      </w:r>
    </w:p>
    <w:p w14:paraId="4F2E3E96" w14:textId="77777777" w:rsidR="004E6EE2" w:rsidRDefault="004E6EE2" w:rsidP="004E6EE2">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C23CEB8" w14:textId="77777777" w:rsidR="004E6EE2" w:rsidRDefault="004E6EE2" w:rsidP="004E6EE2">
      <w:pPr>
        <w:spacing w:after="0" w:line="276" w:lineRule="auto"/>
        <w:jc w:val="both"/>
        <w:rPr>
          <w:rFonts w:ascii="Verdana" w:eastAsia="Calibri" w:hAnsi="Verdana" w:cs="Arial"/>
          <w:lang w:val="es-ES" w:eastAsia="es-ES"/>
        </w:rPr>
      </w:pPr>
      <w:r>
        <w:rPr>
          <w:rFonts w:ascii="Verdana" w:eastAsia="Calibri" w:hAnsi="Verdana" w:cs="Arial"/>
          <w:color w:val="000000" w:themeColor="text1"/>
          <w:lang w:val="es-ES" w:eastAsia="es-ES"/>
        </w:rPr>
        <w:t>En ejercicio de la competencia otorgada por los artículos 3, numeral 5º, y 11, numeral 8º, del Decreto Ley 4170 de 2011,</w:t>
      </w:r>
      <w:r w:rsidRPr="00D86189">
        <w:rPr>
          <w:rFonts w:ascii="Verdana" w:eastAsia="Arial MT" w:hAnsi="Verdana" w:cs="Arial"/>
          <w:lang w:val="es-ES" w:eastAsia="es-ES"/>
        </w:rPr>
        <w:t xml:space="preserve"> </w:t>
      </w:r>
      <w:r>
        <w:rPr>
          <w:rFonts w:ascii="Verdana" w:hAnsi="Verdana" w:cs="Arial"/>
        </w:rPr>
        <w:t xml:space="preserve">así como lo establecido en el artículo 4 de la Resolución 1707 de 2018 expedida por esta Entidad, </w:t>
      </w:r>
      <w:r>
        <w:rPr>
          <w:rFonts w:ascii="Verdana" w:eastAsia="Calibri" w:hAnsi="Verdana" w:cs="Arial"/>
          <w:lang w:val="es-ES" w:eastAsia="es-ES"/>
        </w:rPr>
        <w:t xml:space="preserve">la Agencia Nacional de Contratación Pública – Colombia Compra Eficiente– responde su solicitud de consulta del 6 de mayo de 2026, en la cual manifiesta lo siguiente: </w:t>
      </w:r>
    </w:p>
    <w:p w14:paraId="44BE3499" w14:textId="77777777" w:rsidR="004E6EE2" w:rsidRPr="004A2E18" w:rsidRDefault="004E6EE2" w:rsidP="004E6EE2">
      <w:pPr>
        <w:spacing w:after="0" w:line="276" w:lineRule="auto"/>
        <w:jc w:val="both"/>
        <w:rPr>
          <w:rFonts w:ascii="Verdana" w:eastAsia="Calibri" w:hAnsi="Verdana" w:cs="Arial"/>
          <w:i/>
          <w:iCs/>
          <w:sz w:val="21"/>
          <w:szCs w:val="21"/>
          <w:lang w:val="es-ES" w:eastAsia="es-ES"/>
        </w:rPr>
      </w:pPr>
    </w:p>
    <w:p w14:paraId="4FF49D8F" w14:textId="77777777" w:rsidR="004E6EE2" w:rsidRDefault="004E6EE2" w:rsidP="004E6EE2">
      <w:pPr>
        <w:spacing w:after="0" w:line="240" w:lineRule="auto"/>
        <w:ind w:left="709" w:right="709"/>
        <w:contextualSpacing/>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 xml:space="preserve">“[…] </w:t>
      </w:r>
      <w:r w:rsidRPr="006C6685">
        <w:rPr>
          <w:rFonts w:ascii="Verdana" w:eastAsia="Times New Roman" w:hAnsi="Verdana" w:cs="Arial"/>
          <w:sz w:val="20"/>
          <w:szCs w:val="20"/>
          <w:lang w:eastAsia="es-ES_tradnl"/>
        </w:rPr>
        <w:t xml:space="preserve">A partir del contexto descrito, este Ministerio requiere orientación institucional sobre el siguiente problema jurídico: </w:t>
      </w:r>
    </w:p>
    <w:p w14:paraId="764D57D4" w14:textId="77777777" w:rsidR="004E6EE2" w:rsidRPr="006C6685" w:rsidRDefault="004E6EE2" w:rsidP="004E6EE2">
      <w:pPr>
        <w:spacing w:after="0" w:line="240" w:lineRule="auto"/>
        <w:ind w:left="709" w:right="709"/>
        <w:contextualSpacing/>
        <w:jc w:val="both"/>
        <w:rPr>
          <w:rFonts w:ascii="Verdana" w:eastAsia="Times New Roman" w:hAnsi="Verdana" w:cs="Arial"/>
          <w:sz w:val="20"/>
          <w:szCs w:val="20"/>
          <w:lang w:eastAsia="es-ES_tradnl"/>
        </w:rPr>
      </w:pPr>
    </w:p>
    <w:p w14:paraId="102F5AE7" w14:textId="77777777" w:rsidR="004E6EE2" w:rsidRPr="006C6685" w:rsidRDefault="004E6EE2" w:rsidP="004E6EE2">
      <w:pPr>
        <w:spacing w:after="0" w:line="240" w:lineRule="auto"/>
        <w:ind w:left="709" w:right="709"/>
        <w:contextualSpacing/>
        <w:jc w:val="both"/>
        <w:rPr>
          <w:rFonts w:ascii="Verdana" w:eastAsia="Times New Roman" w:hAnsi="Verdana" w:cs="Arial"/>
          <w:sz w:val="20"/>
          <w:szCs w:val="20"/>
          <w:lang w:eastAsia="es-ES_tradnl"/>
        </w:rPr>
      </w:pPr>
      <w:r w:rsidRPr="006C6685">
        <w:rPr>
          <w:rFonts w:ascii="Verdana" w:eastAsia="Times New Roman" w:hAnsi="Verdana" w:cs="Arial"/>
          <w:sz w:val="20"/>
          <w:szCs w:val="20"/>
          <w:lang w:eastAsia="es-ES_tradnl"/>
        </w:rPr>
        <w:t xml:space="preserve">¿Es jurídicamente viable, durante la vigencia de la restricción prevista en el artículo 33 de la Ley 996 de 2005, adelantar un procedimiento de invitación cerrada a través de </w:t>
      </w:r>
      <w:proofErr w:type="spellStart"/>
      <w:r w:rsidRPr="006C6685">
        <w:rPr>
          <w:rFonts w:ascii="Verdana" w:eastAsia="Times New Roman" w:hAnsi="Verdana" w:cs="Arial"/>
          <w:sz w:val="20"/>
          <w:szCs w:val="20"/>
          <w:lang w:eastAsia="es-ES_tradnl"/>
        </w:rPr>
        <w:t>Fiduagraria</w:t>
      </w:r>
      <w:proofErr w:type="spellEnd"/>
      <w:r w:rsidRPr="006C6685">
        <w:rPr>
          <w:rFonts w:ascii="Verdana" w:eastAsia="Times New Roman" w:hAnsi="Verdana" w:cs="Arial"/>
          <w:sz w:val="20"/>
          <w:szCs w:val="20"/>
          <w:lang w:eastAsia="es-ES_tradnl"/>
        </w:rPr>
        <w:t xml:space="preserve"> S.A., en calidad de vocera y </w:t>
      </w:r>
      <w:r w:rsidRPr="006C6685">
        <w:rPr>
          <w:rFonts w:ascii="Verdana" w:eastAsia="Times New Roman" w:hAnsi="Verdana" w:cs="Arial"/>
          <w:sz w:val="20"/>
          <w:szCs w:val="20"/>
          <w:lang w:eastAsia="es-ES_tradnl"/>
        </w:rPr>
        <w:lastRenderedPageBreak/>
        <w:t xml:space="preserve">administradora de un patrimonio autónomo constituido con recursos públicos del Ministerio de la Igualdad y la Equidad, sin que ello configure contratación directa prohibida para efectos de la Ley de Garantías Electorales? </w:t>
      </w:r>
    </w:p>
    <w:p w14:paraId="03BEFF34" w14:textId="77777777" w:rsidR="004E6EE2" w:rsidRPr="006C6685" w:rsidRDefault="004E6EE2" w:rsidP="004E6EE2">
      <w:pPr>
        <w:spacing w:after="0" w:line="240" w:lineRule="auto"/>
        <w:ind w:left="709" w:right="709"/>
        <w:contextualSpacing/>
        <w:jc w:val="both"/>
        <w:rPr>
          <w:rFonts w:ascii="Verdana" w:eastAsia="Times New Roman" w:hAnsi="Verdana" w:cs="Arial"/>
          <w:sz w:val="20"/>
          <w:szCs w:val="20"/>
          <w:lang w:eastAsia="es-ES_tradnl"/>
        </w:rPr>
      </w:pPr>
    </w:p>
    <w:p w14:paraId="5151129B" w14:textId="77777777" w:rsidR="004E6EE2" w:rsidRPr="00FB1C17" w:rsidRDefault="004E6EE2" w:rsidP="004E6EE2">
      <w:pPr>
        <w:spacing w:after="0" w:line="240" w:lineRule="auto"/>
        <w:ind w:left="709" w:right="709"/>
        <w:contextualSpacing/>
        <w:jc w:val="both"/>
        <w:rPr>
          <w:rFonts w:ascii="Verdana" w:eastAsia="Times New Roman" w:hAnsi="Verdana" w:cs="Arial"/>
          <w:sz w:val="20"/>
          <w:szCs w:val="20"/>
          <w:lang w:eastAsia="es-ES_tradnl"/>
        </w:rPr>
      </w:pPr>
      <w:r w:rsidRPr="006C6685">
        <w:rPr>
          <w:rFonts w:ascii="Verdana" w:eastAsia="Times New Roman" w:hAnsi="Verdana" w:cs="Arial"/>
          <w:sz w:val="20"/>
          <w:szCs w:val="20"/>
          <w:lang w:eastAsia="es-ES_tradnl"/>
        </w:rPr>
        <w:t>De manera complementaria, se solicita precisar si la respuesta varía en función de que dicha invitación cerrada esté o no precedida por una convocatoria pública previa para conformar una lista de interesados o precalificados, y de que el</w:t>
      </w:r>
      <w:r>
        <w:rPr>
          <w:rFonts w:ascii="Verdana" w:eastAsia="Times New Roman" w:hAnsi="Verdana" w:cs="Arial"/>
          <w:sz w:val="20"/>
          <w:szCs w:val="20"/>
          <w:lang w:eastAsia="es-ES_tradnl"/>
        </w:rPr>
        <w:t xml:space="preserve"> </w:t>
      </w:r>
      <w:r w:rsidRPr="005E6410">
        <w:rPr>
          <w:rFonts w:ascii="Verdana" w:eastAsia="Times New Roman" w:hAnsi="Verdana" w:cs="Arial"/>
          <w:sz w:val="20"/>
          <w:szCs w:val="20"/>
          <w:lang w:eastAsia="es-ES_tradnl"/>
        </w:rPr>
        <w:t>procedimiento preserve o no condiciones materiales de competencia y pluralidad de oferentes</w:t>
      </w:r>
      <w:r>
        <w:rPr>
          <w:rFonts w:ascii="Verdana" w:eastAsia="Times New Roman" w:hAnsi="Verdana" w:cs="Arial"/>
          <w:sz w:val="20"/>
          <w:szCs w:val="20"/>
          <w:lang w:eastAsia="es-ES_tradnl"/>
        </w:rPr>
        <w:t xml:space="preserve"> […]</w:t>
      </w:r>
      <w:r w:rsidRPr="00FB1C17">
        <w:rPr>
          <w:rFonts w:ascii="Verdana" w:eastAsia="Times New Roman" w:hAnsi="Verdana" w:cs="Arial"/>
          <w:sz w:val="20"/>
          <w:szCs w:val="20"/>
          <w:lang w:eastAsia="es-ES_tradnl"/>
        </w:rPr>
        <w:t xml:space="preserve">” </w:t>
      </w:r>
    </w:p>
    <w:p w14:paraId="2E439E4D" w14:textId="77777777" w:rsidR="004E6EE2" w:rsidRDefault="004E6EE2" w:rsidP="004E6EE2">
      <w:pPr>
        <w:spacing w:after="0" w:line="276" w:lineRule="auto"/>
        <w:jc w:val="both"/>
        <w:rPr>
          <w:rFonts w:ascii="Verdana" w:eastAsia="Calibri" w:hAnsi="Verdana" w:cs="Arial"/>
          <w:color w:val="000000"/>
          <w:lang w:val="es-ES" w:eastAsia="es-ES"/>
        </w:rPr>
      </w:pPr>
    </w:p>
    <w:p w14:paraId="731CA937" w14:textId="77777777" w:rsidR="004E6EE2" w:rsidRDefault="004E6EE2" w:rsidP="004E6EE2">
      <w:pPr>
        <w:spacing w:after="120" w:line="276" w:lineRule="auto"/>
        <w:jc w:val="both"/>
        <w:rPr>
          <w:rFonts w:ascii="Verdana" w:eastAsia="Calibri" w:hAnsi="Verdana" w:cs="Arial"/>
          <w:color w:val="000000"/>
          <w:szCs w:val="24"/>
          <w:lang w:val="es-ES_tradnl" w:eastAsia="es-ES_tradnl"/>
        </w:rPr>
      </w:pPr>
      <w:r>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Pr>
          <w:rFonts w:ascii="Verdana" w:eastAsia="Calibri" w:hAnsi="Verdana" w:cs="Arial"/>
          <w:color w:val="000000"/>
          <w:szCs w:val="24"/>
          <w:lang w:val="es-ES_tradnl" w:eastAsia="es-ES_tradnl"/>
        </w:rPr>
        <w:tab/>
      </w:r>
    </w:p>
    <w:p w14:paraId="2D949A7E" w14:textId="77777777" w:rsidR="004E6EE2" w:rsidRDefault="004E6EE2" w:rsidP="004E6EE2">
      <w:pPr>
        <w:spacing w:after="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unas consideraciones sobre las normas generales relacionadas con el</w:t>
      </w:r>
      <w:r>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Pr>
          <w:rFonts w:ascii="Verdana" w:eastAsia="Calibri" w:hAnsi="Verdana" w:cs="Arial"/>
          <w:color w:val="7030A0"/>
          <w:lang w:val="es-ES" w:eastAsia="es-ES"/>
        </w:rPr>
        <w:t xml:space="preserve"> </w:t>
      </w:r>
      <w:r>
        <w:rPr>
          <w:rFonts w:ascii="Verdana" w:eastAsia="Calibri" w:hAnsi="Verdana" w:cs="Arial"/>
          <w:color w:val="000000"/>
          <w:lang w:val="es-ES" w:eastAsia="es-ES"/>
        </w:rPr>
        <w:t xml:space="preserve">de su consulta. </w:t>
      </w:r>
    </w:p>
    <w:p w14:paraId="38F7A2D3" w14:textId="77777777" w:rsidR="004E6EE2" w:rsidRDefault="004E6EE2" w:rsidP="004E6EE2">
      <w:pPr>
        <w:spacing w:after="0" w:line="276" w:lineRule="auto"/>
        <w:ind w:firstLine="709"/>
        <w:jc w:val="both"/>
        <w:rPr>
          <w:rFonts w:ascii="Verdana" w:eastAsia="Calibri" w:hAnsi="Verdana" w:cs="Arial"/>
          <w:color w:val="000000"/>
          <w:lang w:val="es-ES" w:eastAsia="es-ES"/>
        </w:rPr>
      </w:pPr>
    </w:p>
    <w:p w14:paraId="0F2E4455" w14:textId="77777777" w:rsidR="004E6EE2" w:rsidRDefault="004E6EE2" w:rsidP="004E6EE2">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Problema planteado:</w:t>
      </w:r>
    </w:p>
    <w:p w14:paraId="7D0035E2" w14:textId="77777777" w:rsidR="004E6EE2" w:rsidRDefault="004E6EE2" w:rsidP="004E6EE2">
      <w:pPr>
        <w:tabs>
          <w:tab w:val="left" w:pos="426"/>
        </w:tabs>
        <w:spacing w:after="0" w:line="276" w:lineRule="auto"/>
        <w:jc w:val="both"/>
        <w:rPr>
          <w:rFonts w:ascii="Verdana" w:eastAsia="Century Gothic" w:hAnsi="Verdana" w:cs="Century Gothic"/>
          <w:lang w:val="es-ES"/>
        </w:rPr>
      </w:pPr>
    </w:p>
    <w:p w14:paraId="0C202A79" w14:textId="77777777" w:rsidR="004E6EE2" w:rsidRPr="008B4B83" w:rsidRDefault="004E6EE2" w:rsidP="004E6EE2">
      <w:pPr>
        <w:spacing w:after="0" w:line="276" w:lineRule="auto"/>
        <w:jc w:val="both"/>
        <w:rPr>
          <w:rFonts w:ascii="Verdana" w:eastAsia="Century Gothic" w:hAnsi="Verdana" w:cs="Century Gothic"/>
        </w:rPr>
      </w:pPr>
      <w:r>
        <w:rPr>
          <w:rFonts w:ascii="Verdana" w:eastAsia="Century Gothic" w:hAnsi="Verdana" w:cs="Century Gothic"/>
        </w:rPr>
        <w:t xml:space="preserve">De acuerdo con el contenido de su solicitud, esta Agencia resolverá los siguientes problemas jurídicos: </w:t>
      </w:r>
      <w:r w:rsidRPr="006F42F9">
        <w:rPr>
          <w:rFonts w:ascii="Verdana" w:eastAsia="Century Gothic" w:hAnsi="Verdana" w:cs="Century Gothic"/>
        </w:rPr>
        <w:t xml:space="preserve">i) ¿cuál es el ámbito de aplicación del artículo 33 de la Ley de Garantías?, </w:t>
      </w:r>
      <w:proofErr w:type="spellStart"/>
      <w:r w:rsidRPr="006F42F9">
        <w:rPr>
          <w:rFonts w:ascii="Verdana" w:eastAsia="Century Gothic" w:hAnsi="Verdana" w:cs="Century Gothic"/>
        </w:rPr>
        <w:t>ii</w:t>
      </w:r>
      <w:proofErr w:type="spellEnd"/>
      <w:r w:rsidRPr="006F42F9">
        <w:rPr>
          <w:rFonts w:ascii="Verdana" w:eastAsia="Century Gothic" w:hAnsi="Verdana" w:cs="Century Gothic"/>
        </w:rPr>
        <w:t>) ¿dicha prohibición se extiende a los patrimonios autónomos</w:t>
      </w:r>
      <w:r>
        <w:rPr>
          <w:rFonts w:ascii="Verdana" w:eastAsia="Century Gothic" w:hAnsi="Verdana" w:cs="Century Gothic"/>
        </w:rPr>
        <w:t xml:space="preserve"> o </w:t>
      </w:r>
      <w:r w:rsidRPr="006F42F9">
        <w:rPr>
          <w:rFonts w:ascii="Verdana" w:eastAsia="Century Gothic" w:hAnsi="Verdana" w:cs="Century Gothic"/>
        </w:rPr>
        <w:t xml:space="preserve"> constituidos por entidades estatales</w:t>
      </w:r>
      <w:r>
        <w:rPr>
          <w:rFonts w:ascii="Verdana" w:eastAsia="Century Gothic" w:hAnsi="Verdana" w:cs="Century Gothic"/>
        </w:rPr>
        <w:t xml:space="preserve"> o las fiducias públicas</w:t>
      </w:r>
      <w:r w:rsidRPr="006F42F9">
        <w:rPr>
          <w:rFonts w:ascii="Verdana" w:eastAsia="Century Gothic" w:hAnsi="Verdana" w:cs="Century Gothic"/>
        </w:rPr>
        <w:t xml:space="preserve">?, y </w:t>
      </w:r>
      <w:proofErr w:type="spellStart"/>
      <w:r w:rsidRPr="006F42F9">
        <w:rPr>
          <w:rFonts w:ascii="Verdana" w:eastAsia="Century Gothic" w:hAnsi="Verdana" w:cs="Century Gothic"/>
        </w:rPr>
        <w:t>iii</w:t>
      </w:r>
      <w:proofErr w:type="spellEnd"/>
      <w:r w:rsidRPr="006F42F9">
        <w:rPr>
          <w:rFonts w:ascii="Verdana" w:eastAsia="Century Gothic" w:hAnsi="Verdana" w:cs="Century Gothic"/>
        </w:rPr>
        <w:t xml:space="preserve">) ¿dicha prohibición aplica para las convocatorias que se realizan con base en una lista de precalificados o de simples interesados, o en un determinado registro o banco de datos de proveedores?          </w:t>
      </w:r>
      <w:r w:rsidRPr="006F42F9">
        <w:rPr>
          <w:rFonts w:ascii="Verdana" w:eastAsia="Century Gothic" w:hAnsi="Verdana" w:cs="Century Gothic"/>
          <w:color w:val="7030A0"/>
        </w:rPr>
        <w:t xml:space="preserve"> </w:t>
      </w:r>
    </w:p>
    <w:p w14:paraId="490A11BD" w14:textId="77777777" w:rsidR="004E6EE2" w:rsidRDefault="004E6EE2" w:rsidP="004E6EE2">
      <w:pPr>
        <w:spacing w:after="0" w:line="276" w:lineRule="auto"/>
        <w:jc w:val="both"/>
        <w:rPr>
          <w:rFonts w:ascii="Verdana" w:eastAsia="Calibri" w:hAnsi="Verdana" w:cs="Arial"/>
          <w:color w:val="7030A0"/>
          <w:lang w:val="es-ES"/>
        </w:rPr>
      </w:pPr>
    </w:p>
    <w:p w14:paraId="225758D4" w14:textId="77777777" w:rsidR="004E6EE2" w:rsidRDefault="004E6EE2" w:rsidP="004E6EE2">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lastRenderedPageBreak/>
        <w:t>Respuesta:</w:t>
      </w:r>
    </w:p>
    <w:p w14:paraId="0BF77657" w14:textId="77777777" w:rsidR="004E6EE2" w:rsidRDefault="004E6EE2" w:rsidP="004E6EE2">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E6EE2" w:rsidRPr="00DE5508" w14:paraId="663F7BA9" w14:textId="77777777" w:rsidTr="00C6143F">
        <w:tc>
          <w:tcPr>
            <w:tcW w:w="8828" w:type="dxa"/>
            <w:tcBorders>
              <w:top w:val="dotted" w:sz="4" w:space="0" w:color="auto"/>
              <w:left w:val="dotted" w:sz="4" w:space="0" w:color="auto"/>
              <w:bottom w:val="dotted" w:sz="4" w:space="0" w:color="auto"/>
              <w:right w:val="dotted" w:sz="4" w:space="0" w:color="auto"/>
            </w:tcBorders>
          </w:tcPr>
          <w:p w14:paraId="2F83995C" w14:textId="77777777" w:rsidR="004E6EE2" w:rsidRDefault="004E6EE2" w:rsidP="00C6143F">
            <w:pPr>
              <w:spacing w:line="276" w:lineRule="auto"/>
              <w:jc w:val="both"/>
              <w:rPr>
                <w:rFonts w:ascii="Verdana" w:eastAsia="Arial" w:hAnsi="Verdana" w:cs="Arial"/>
                <w:lang w:val="es-MX" w:eastAsia="es-ES" w:bidi="es-ES"/>
              </w:rPr>
            </w:pPr>
            <w:r>
              <w:rPr>
                <w:rFonts w:ascii="Verdana" w:eastAsia="Calibri" w:hAnsi="Verdana" w:cs="Arial"/>
                <w:bCs/>
                <w:color w:val="000000" w:themeColor="text1"/>
              </w:rPr>
              <w:t xml:space="preserve">i) </w:t>
            </w:r>
            <w:r w:rsidRPr="00C6143F">
              <w:rPr>
                <w:rFonts w:ascii="Verdana" w:eastAsia="Calibri" w:hAnsi="Verdana" w:cs="Arial"/>
                <w:bCs/>
                <w:color w:val="000000" w:themeColor="text1"/>
              </w:rPr>
              <w:t>Conforme a la interpretación general de las normas del sistema de compras públicas</w:t>
            </w:r>
            <w:r w:rsidRPr="00C6143F">
              <w:rPr>
                <w:rFonts w:ascii="Verdana" w:eastAsia="Arial" w:hAnsi="Verdana" w:cs="Arial"/>
                <w:lang w:val="es-MX" w:eastAsia="es-ES" w:bidi="es-ES"/>
              </w:rPr>
              <w:t xml:space="preserve">, el artículo 33 de la Ley 996 de 2005 señala expresamente a los destinatarios de la prohibición, en el sentido de que son “todos los entes del Estado”,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669F2946" w14:textId="77777777" w:rsidR="004E6EE2" w:rsidRPr="00C6143F" w:rsidRDefault="004E6EE2" w:rsidP="00C6143F">
            <w:pPr>
              <w:spacing w:line="276" w:lineRule="auto"/>
              <w:jc w:val="both"/>
              <w:rPr>
                <w:rFonts w:ascii="Verdana" w:eastAsia="Arial" w:hAnsi="Verdana" w:cs="Arial"/>
                <w:lang w:val="es-MX" w:eastAsia="es-ES" w:bidi="es-ES"/>
              </w:rPr>
            </w:pPr>
          </w:p>
          <w:p w14:paraId="02FF4DE2" w14:textId="77777777" w:rsidR="004E6EE2" w:rsidRDefault="004E6EE2" w:rsidP="00C6143F">
            <w:pPr>
              <w:spacing w:line="276" w:lineRule="auto"/>
              <w:jc w:val="both"/>
              <w:rPr>
                <w:rFonts w:ascii="Verdana" w:eastAsia="Arial" w:hAnsi="Verdana" w:cs="Arial"/>
                <w:lang w:val="es-MX" w:eastAsia="es-ES" w:bidi="es-ES"/>
              </w:rPr>
            </w:pPr>
            <w:proofErr w:type="spellStart"/>
            <w:r w:rsidRPr="006F42F9">
              <w:rPr>
                <w:rFonts w:ascii="Verdana" w:eastAsia="Arial" w:hAnsi="Verdana" w:cs="Arial"/>
                <w:lang w:val="es-MX" w:eastAsia="es-ES" w:bidi="es-ES"/>
              </w:rPr>
              <w:t>ii</w:t>
            </w:r>
            <w:proofErr w:type="spellEnd"/>
            <w:r w:rsidRPr="006F42F9">
              <w:rPr>
                <w:rFonts w:ascii="Verdana" w:eastAsia="Arial" w:hAnsi="Verdana" w:cs="Arial"/>
                <w:lang w:val="es-MX" w:eastAsia="es-ES" w:bidi="es-ES"/>
              </w:rPr>
              <w:t xml:space="preserve">. La restricción prevista en la Ley 996 de 2005, teniendo en cuenta la finalidad de la ley de garantías electorales, cobija a cualquier ente público que pueda a través de la contratación directa romper el equilibrio entre los candidatos en desarrollo de las elecciones presidenciales. Tampoco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 Incluso, de acuerdo el artículo 32.5, inciso quinto, de la Ley 80 de 1993 y el artículo 2.5.2.1.1 del Decreto 2555 de 2010, la prohibición también se extiende a las sociedades fiduciarias, frente a los actos y contratos que realicen en desarrollo del negocio fiduciario, con independencia del régimen jurídico de la entidad fideicomitente, razón por la cual no se podría inaplicar la prohibición establecida en el artículo 33 de la Ley de Garantías Electorales, con la constitución de patrimonios autónomos. </w:t>
            </w:r>
            <w:bookmarkStart w:id="1" w:name="_Hlk219840731"/>
          </w:p>
          <w:p w14:paraId="175B7659" w14:textId="77777777" w:rsidR="004E6EE2" w:rsidRPr="006F42F9" w:rsidRDefault="004E6EE2" w:rsidP="00C6143F">
            <w:pPr>
              <w:spacing w:line="276" w:lineRule="auto"/>
              <w:jc w:val="both"/>
              <w:rPr>
                <w:rFonts w:ascii="Verdana" w:eastAsia="Arial" w:hAnsi="Verdana" w:cs="Arial"/>
                <w:lang w:val="es-MX" w:eastAsia="es-ES" w:bidi="es-ES"/>
              </w:rPr>
            </w:pPr>
          </w:p>
          <w:bookmarkEnd w:id="1"/>
          <w:p w14:paraId="2AD8045C" w14:textId="77777777" w:rsidR="004E6EE2" w:rsidRPr="006F42F9" w:rsidRDefault="004E6EE2" w:rsidP="00C6143F">
            <w:pPr>
              <w:spacing w:after="120" w:line="276" w:lineRule="auto"/>
              <w:jc w:val="both"/>
              <w:rPr>
                <w:rFonts w:ascii="Verdana" w:hAnsi="Verdana" w:cs="Arial"/>
                <w:lang w:eastAsia="x-none"/>
              </w:rPr>
            </w:pPr>
            <w:proofErr w:type="spellStart"/>
            <w:r w:rsidRPr="006F42F9">
              <w:rPr>
                <w:rFonts w:ascii="Verdana" w:eastAsia="Calibri" w:hAnsi="Verdana" w:cs="Arial"/>
                <w:bCs/>
                <w:color w:val="000000" w:themeColor="text1"/>
              </w:rPr>
              <w:t>iii</w:t>
            </w:r>
            <w:proofErr w:type="spellEnd"/>
            <w:r w:rsidRPr="006F42F9">
              <w:rPr>
                <w:rFonts w:ascii="Verdana" w:eastAsia="Calibri" w:hAnsi="Verdana" w:cs="Arial"/>
                <w:bCs/>
                <w:color w:val="000000" w:themeColor="text1"/>
              </w:rPr>
              <w:t>. E</w:t>
            </w:r>
            <w:r w:rsidRPr="006F42F9">
              <w:rPr>
                <w:rFonts w:ascii="Verdana" w:hAnsi="Verdana" w:cs="Arial"/>
                <w:lang w:eastAsia="x-none"/>
              </w:rPr>
              <w:t xml:space="preserv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w:t>
            </w:r>
            <w:r w:rsidRPr="006F42F9">
              <w:rPr>
                <w:rFonts w:ascii="Verdana" w:hAnsi="Verdana" w:cs="Arial"/>
                <w:lang w:eastAsia="x-none"/>
              </w:rPr>
              <w:lastRenderedPageBreak/>
              <w:t>determinante para considerar que dicho sistema no constituye “contratación directa”, es que la convocatoria para inscribirse en forma previa se haga de manera pública, y que se permita la participación de una pluralidad de oferente</w:t>
            </w:r>
            <w:r>
              <w:rPr>
                <w:rFonts w:ascii="Verdana" w:hAnsi="Verdana" w:cs="Arial"/>
                <w:lang w:eastAsia="x-none"/>
              </w:rPr>
              <w:t>s</w:t>
            </w:r>
            <w:r w:rsidRPr="006F42F9">
              <w:rPr>
                <w:rFonts w:ascii="Verdana" w:hAnsi="Verdana" w:cs="Arial"/>
                <w:lang w:eastAsia="x-none"/>
              </w:rPr>
              <w:t xml:space="preserve">. </w:t>
            </w:r>
          </w:p>
          <w:p w14:paraId="3C2C079A" w14:textId="77777777" w:rsidR="004E6EE2" w:rsidRPr="006F42F9" w:rsidRDefault="004E6EE2" w:rsidP="00C6143F">
            <w:pPr>
              <w:spacing w:after="120" w:line="276" w:lineRule="auto"/>
              <w:ind w:firstLine="708"/>
              <w:jc w:val="both"/>
              <w:rPr>
                <w:rFonts w:ascii="Verdana" w:eastAsia="Times New Roman" w:hAnsi="Verdana" w:cs="Arial"/>
                <w:bCs/>
                <w:lang w:eastAsia="x-none"/>
              </w:rPr>
            </w:pPr>
            <w:r w:rsidRPr="006F42F9">
              <w:rPr>
                <w:rFonts w:ascii="Verdana" w:hAnsi="Verdana" w:cs="Arial"/>
                <w:bCs/>
                <w:lang w:val="es-MX" w:eastAsia="es-CO"/>
              </w:rPr>
              <w:t>Sobre el particular, la</w:t>
            </w:r>
            <w:r w:rsidRPr="006F42F9">
              <w:rPr>
                <w:rFonts w:ascii="Verdana" w:eastAsia="Times New Roman" w:hAnsi="Verdana" w:cs="Arial"/>
                <w:bCs/>
                <w:lang w:val="es-MX" w:eastAsia="x-none"/>
              </w:rPr>
              <w:t xml:space="preserve"> Circular Externa No. 006 de 2025 expedida por la ANCP – CCE, señaló en el literal </w:t>
            </w:r>
            <w:proofErr w:type="spellStart"/>
            <w:r w:rsidRPr="006F42F9">
              <w:rPr>
                <w:rFonts w:ascii="Verdana" w:eastAsia="Times New Roman" w:hAnsi="Verdana" w:cs="Arial"/>
                <w:bCs/>
                <w:lang w:val="es-MX" w:eastAsia="x-none"/>
              </w:rPr>
              <w:t>ii</w:t>
            </w:r>
            <w:proofErr w:type="spellEnd"/>
            <w:r w:rsidRPr="006F42F9">
              <w:rPr>
                <w:rFonts w:ascii="Verdana" w:eastAsia="Times New Roman" w:hAnsi="Verdana" w:cs="Arial"/>
                <w:bCs/>
                <w:lang w:val="es-MX" w:eastAsia="x-none"/>
              </w:rPr>
              <w:t>) del numeral 1 que “</w:t>
            </w:r>
            <w:r w:rsidRPr="006F42F9">
              <w:rPr>
                <w:rFonts w:ascii="Verdana" w:eastAsia="Times New Roman" w:hAnsi="Verdana" w:cs="Arial"/>
                <w:bCs/>
                <w:lang w:eastAsia="x-none"/>
              </w:rPr>
              <w:t>Esta circunstancia no se extiende a la contratación directa aplicable en algunos regímenes especiales con listas de precalificados, ya que a efecto de que no se configure la contratación directa, la selección del futuro contratista debe darse en términos de competencia”.</w:t>
            </w:r>
          </w:p>
          <w:p w14:paraId="002C720C" w14:textId="77777777" w:rsidR="004E6EE2" w:rsidRPr="006F42F9" w:rsidRDefault="004E6EE2" w:rsidP="00C6143F">
            <w:pPr>
              <w:spacing w:after="120" w:line="276" w:lineRule="auto"/>
              <w:ind w:firstLine="708"/>
              <w:jc w:val="both"/>
              <w:rPr>
                <w:rFonts w:ascii="Verdana" w:eastAsia="Times New Roman" w:hAnsi="Verdana" w:cs="Arial"/>
                <w:bCs/>
                <w:lang w:eastAsia="x-none"/>
              </w:rPr>
            </w:pPr>
            <w:r w:rsidRPr="006F42F9">
              <w:rPr>
                <w:rFonts w:ascii="Verdana" w:eastAsia="Times New Roman" w:hAnsi="Verdana" w:cs="Arial"/>
                <w:bCs/>
                <w:lang w:eastAsia="x-none"/>
              </w:rPr>
              <w:t>Lo anterior implica que, en este tipo de sistemas, lo relevante para poder determinar que no se está frente a una contratación directa radica en que la conformación de la lista de precalificados o del registro de banco de proveedores se haya efectuado mediante una convocatoria pública, que garantice la participación de pluralidad de oferentes,</w:t>
            </w:r>
            <w:r w:rsidRPr="006F42F9">
              <w:t xml:space="preserve"> </w:t>
            </w:r>
            <w:r w:rsidRPr="006F42F9">
              <w:rPr>
                <w:rFonts w:ascii="Verdana" w:eastAsia="Times New Roman" w:hAnsi="Verdana" w:cs="Arial"/>
                <w:bCs/>
                <w:lang w:eastAsia="x-none"/>
              </w:rPr>
              <w:t>evitando así decisiones discrecionales. Asimismo, resulta indispensable que la selección del contratista se encuentre sometida a criterios objetivos, previamente definidos, que permitan identificar la oferta más favorable a partir de un escenario de competencia real.</w:t>
            </w:r>
          </w:p>
          <w:p w14:paraId="441FD455" w14:textId="77777777" w:rsidR="004E6EE2" w:rsidRDefault="004E6EE2" w:rsidP="00C6143F">
            <w:pPr>
              <w:spacing w:after="120" w:line="276" w:lineRule="auto"/>
              <w:ind w:firstLine="709"/>
              <w:jc w:val="both"/>
              <w:rPr>
                <w:rFonts w:ascii="Verdana" w:eastAsia="Times New Roman" w:hAnsi="Verdana" w:cs="Arial"/>
                <w:bCs/>
                <w:lang w:eastAsia="x-none"/>
              </w:rPr>
            </w:pPr>
            <w:r w:rsidRPr="006F42F9">
              <w:rPr>
                <w:rFonts w:ascii="Verdana" w:eastAsia="Times New Roman" w:hAnsi="Verdana" w:cs="Arial"/>
                <w:bCs/>
                <w:lang w:eastAsia="x-none"/>
              </w:rPr>
              <w:t xml:space="preserve">Por tanto, frente a la consulta planteada, es preciso señalar que para determinar la aplicación de la restricción prevista en el artículo 33 de la Ley de Garantías Electorales en aquellos sistemas de contratación en los cuales se invita a presentar propuesta a proveedores seleccionados de un banco de proveedores, resulta fundamental que se cumplan los dos criterios señalados. De un lado, es indispensable que tanto la inscripción en la lista de precalificados o en el banco de proveedores como el acceso a la etapa de presentación de ofertas se encuentren precedidos de mecanismos de convocatoria pública que garanticen la participación real de una pluralidad de oferentes, en condiciones de igualdad y transparencia. De otro lado, la selección del contratista debe estar sometida a criterios objetivos de tal manera que la escogencia del contratista sea el resultado de un ejercicio de comparación de propuestas en competencia y no de decisiones discrecionales de la entidad. </w:t>
            </w:r>
          </w:p>
          <w:p w14:paraId="14218D89" w14:textId="77777777" w:rsidR="004E6EE2" w:rsidRPr="00987A47" w:rsidRDefault="004E6EE2" w:rsidP="00C6143F">
            <w:pPr>
              <w:spacing w:line="276" w:lineRule="auto"/>
              <w:ind w:firstLine="709"/>
              <w:jc w:val="both"/>
            </w:pPr>
            <w:r w:rsidRPr="006F42F9">
              <w:rPr>
                <w:rFonts w:ascii="Verdana" w:eastAsia="Times New Roman" w:hAnsi="Verdana" w:cs="Arial"/>
                <w:bCs/>
                <w:lang w:eastAsia="x-none"/>
              </w:rPr>
              <w:t xml:space="preserve">En todo caso, las entidades sometidas a regímenes especiales o al derecho privado son responsables de evaluar, en cada caso concreto, si la </w:t>
            </w:r>
            <w:r w:rsidRPr="006F42F9">
              <w:rPr>
                <w:rFonts w:ascii="Verdana" w:eastAsia="Times New Roman" w:hAnsi="Verdana" w:cs="Arial"/>
                <w:bCs/>
                <w:lang w:eastAsia="x-none"/>
              </w:rPr>
              <w:lastRenderedPageBreak/>
              <w:t xml:space="preserve">implementación de sistemas como listas de precalificados, bancos de proveedores o esquemas de invitación cerrada comporta efectivamente la realización de una convocatoria pública y asegura la participación real de una pluralidad de oferentes. Dicha valoración debe efectuarse a la luz de las reglas previstas en sus respectivos manuales de contratación, lo cual exige un análisis del procedimiento adoptado, de manera que se garantice que la selección del contratista se derive de un escenario de competencia efectiva y no de mecanismos que, bajo una apariencia de pluralidad de oferentes, habiliten contrataciones que se encuentra bajo el ámbito de aplicación del artículo 33 de la Ley de Garantías Electorales.  </w:t>
            </w:r>
          </w:p>
        </w:tc>
      </w:tr>
    </w:tbl>
    <w:p w14:paraId="2C77F9C2" w14:textId="77777777" w:rsidR="004E6EE2" w:rsidRDefault="004E6EE2" w:rsidP="004E6EE2">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11B54884" w14:textId="77777777" w:rsidR="004E6EE2" w:rsidRDefault="004E6EE2" w:rsidP="004E6EE2">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Razones de la respuesta:</w:t>
      </w:r>
    </w:p>
    <w:p w14:paraId="72ABBCE7" w14:textId="77777777" w:rsidR="004E6EE2" w:rsidRDefault="004E6EE2" w:rsidP="004E6EE2">
      <w:pPr>
        <w:spacing w:after="0" w:line="276" w:lineRule="auto"/>
        <w:jc w:val="both"/>
        <w:rPr>
          <w:rFonts w:ascii="Verdana" w:eastAsia="Calibri" w:hAnsi="Verdana" w:cs="Arial"/>
          <w:color w:val="7030A0"/>
          <w:lang w:val="es-ES"/>
        </w:rPr>
      </w:pPr>
    </w:p>
    <w:p w14:paraId="417AD8AA" w14:textId="77777777" w:rsidR="004E6EE2" w:rsidRDefault="004E6EE2" w:rsidP="004E6EE2">
      <w:pPr>
        <w:spacing w:after="0" w:line="276" w:lineRule="auto"/>
        <w:jc w:val="both"/>
        <w:rPr>
          <w:rFonts w:ascii="Verdana" w:eastAsia="Calibri" w:hAnsi="Verdana" w:cs="Arial"/>
          <w:lang w:val="es-ES"/>
        </w:rPr>
      </w:pPr>
      <w:r>
        <w:rPr>
          <w:rFonts w:ascii="Verdana" w:eastAsia="Calibri" w:hAnsi="Verdana" w:cs="Arial"/>
          <w:lang w:val="es-ES"/>
        </w:rPr>
        <w:t xml:space="preserve">Lo anterior se sustenta en las siguientes consideraciones: </w:t>
      </w:r>
    </w:p>
    <w:p w14:paraId="20D6B738" w14:textId="77777777" w:rsidR="004E6EE2" w:rsidRDefault="004E6EE2" w:rsidP="004E6EE2">
      <w:pPr>
        <w:widowControl w:val="0"/>
        <w:autoSpaceDE w:val="0"/>
        <w:autoSpaceDN w:val="0"/>
        <w:spacing w:after="0" w:line="276" w:lineRule="auto"/>
        <w:ind w:right="176"/>
        <w:jc w:val="both"/>
        <w:rPr>
          <w:rFonts w:ascii="Verdana" w:eastAsia="Calibri" w:hAnsi="Verdana" w:cs="Arial"/>
          <w:lang w:val="es-ES"/>
        </w:rPr>
      </w:pPr>
    </w:p>
    <w:p w14:paraId="683FA16E" w14:textId="77777777" w:rsidR="004E6EE2" w:rsidRDefault="004E6EE2" w:rsidP="004E6EE2">
      <w:pPr>
        <w:autoSpaceDE w:val="0"/>
        <w:autoSpaceDN w:val="0"/>
        <w:adjustRightInd w:val="0"/>
        <w:spacing w:after="120" w:line="276" w:lineRule="auto"/>
        <w:jc w:val="both"/>
        <w:rPr>
          <w:rFonts w:ascii="Verdana" w:eastAsia="Calibri" w:hAnsi="Verdana" w:cs="Arial"/>
          <w:lang w:val="es-ES_tradnl"/>
        </w:rPr>
      </w:pPr>
      <w:r w:rsidRPr="00C40D52">
        <w:rPr>
          <w:rFonts w:ascii="Verdana" w:hAnsi="Verdana" w:cs="Arial"/>
          <w:color w:val="000000" w:themeColor="text1"/>
          <w:lang w:val="es-ES_tradnl"/>
        </w:rPr>
        <w:t xml:space="preserve">i) </w:t>
      </w:r>
      <w:r>
        <w:rPr>
          <w:rFonts w:ascii="Verdana" w:eastAsia="Times New Roman" w:hAnsi="Verdana" w:cs="Arial"/>
          <w:lang w:val="es-MX" w:eastAsia="es-CO"/>
        </w:rPr>
        <w:t>L</w:t>
      </w:r>
      <w:r w:rsidRPr="00E2397D">
        <w:rPr>
          <w:rFonts w:ascii="Verdana" w:eastAsia="Times New Roman" w:hAnsi="Verdana" w:cs="Arial"/>
          <w:lang w:val="es-MX" w:eastAsia="es-CO"/>
        </w:rPr>
        <w:t>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E2397D">
        <w:rPr>
          <w:rFonts w:ascii="Verdana" w:eastAsia="Times New Roman" w:hAnsi="Verdana" w:cs="Arial"/>
          <w:vertAlign w:val="superscript"/>
          <w:lang w:val="es-MX" w:eastAsia="es-CO"/>
        </w:rPr>
        <w:footnoteReference w:id="2"/>
      </w:r>
      <w:r w:rsidRPr="00E2397D">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E2397D">
        <w:rPr>
          <w:rFonts w:ascii="Verdana" w:eastAsia="Calibri" w:hAnsi="Verdana" w:cs="Arial"/>
          <w:lang w:val="es-ES_tradnl"/>
        </w:rPr>
        <w:t xml:space="preserve"> </w:t>
      </w:r>
    </w:p>
    <w:p w14:paraId="6C20DABD" w14:textId="77777777" w:rsidR="004E6EE2" w:rsidRPr="006B14B5" w:rsidRDefault="004E6EE2" w:rsidP="004E6EE2">
      <w:pPr>
        <w:tabs>
          <w:tab w:val="left" w:pos="426"/>
        </w:tabs>
        <w:spacing w:after="0" w:line="276" w:lineRule="auto"/>
        <w:ind w:firstLine="709"/>
        <w:jc w:val="both"/>
        <w:rPr>
          <w:rFonts w:ascii="Verdana" w:eastAsia="Calibri" w:hAnsi="Verdana" w:cs="Arial"/>
          <w:lang w:val="es-ES_tradnl"/>
        </w:rPr>
      </w:pPr>
      <w:r w:rsidRPr="00E2397D">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43748670" w14:textId="77777777" w:rsidR="004E6EE2" w:rsidRPr="00E2397D" w:rsidRDefault="004E6EE2" w:rsidP="004E6EE2">
      <w:pPr>
        <w:spacing w:after="0" w:line="276" w:lineRule="auto"/>
        <w:ind w:right="709"/>
        <w:contextualSpacing/>
        <w:jc w:val="both"/>
        <w:rPr>
          <w:rFonts w:ascii="Verdana" w:eastAsia="Times New Roman" w:hAnsi="Verdana" w:cs="Arial"/>
          <w:lang w:val="es-ES" w:eastAsia="es-CO"/>
        </w:rPr>
      </w:pPr>
    </w:p>
    <w:p w14:paraId="6856413D" w14:textId="77777777" w:rsidR="004E6EE2" w:rsidRPr="00E2397D" w:rsidRDefault="004E6EE2" w:rsidP="004E6EE2">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ES" w:eastAsia="es-CO"/>
        </w:rPr>
        <w:t xml:space="preserve">“[…] </w:t>
      </w:r>
      <w:r w:rsidRPr="00E2397D">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5011B719" w14:textId="77777777" w:rsidR="004E6EE2" w:rsidRPr="00E2397D" w:rsidRDefault="004E6EE2" w:rsidP="004E6EE2">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52AA102C" w14:textId="77777777" w:rsidR="004E6EE2" w:rsidRPr="00E2397D" w:rsidRDefault="004E6EE2" w:rsidP="004E6EE2">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 xml:space="preserve">Una ley de garantías electorales es una guía para el ejercicio equitativo y transparente de la democracia representativa. Un estatuto diseñado para </w:t>
      </w:r>
      <w:r w:rsidRPr="00E2397D">
        <w:rPr>
          <w:rFonts w:ascii="Verdana" w:eastAsia="Times New Roman" w:hAnsi="Verdana" w:cs="Arial"/>
          <w:sz w:val="20"/>
          <w:szCs w:val="20"/>
          <w:lang w:val="es-MX" w:eastAsia="es-CO"/>
        </w:rPr>
        <w:lastRenderedPageBreak/>
        <w:t>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E2397D">
        <w:rPr>
          <w:rFonts w:ascii="Verdana" w:eastAsia="Calibri" w:hAnsi="Verdana" w:cs="Arial"/>
          <w:sz w:val="20"/>
          <w:szCs w:val="20"/>
          <w:vertAlign w:val="superscript"/>
          <w:lang w:val="es-MX"/>
        </w:rPr>
        <w:footnoteReference w:id="3"/>
      </w:r>
    </w:p>
    <w:p w14:paraId="613B5CDF" w14:textId="77777777" w:rsidR="004E6EE2" w:rsidRPr="00E2397D" w:rsidRDefault="004E6EE2" w:rsidP="004E6EE2">
      <w:pPr>
        <w:spacing w:after="0" w:line="276" w:lineRule="auto"/>
        <w:ind w:firstLine="709"/>
        <w:jc w:val="both"/>
        <w:rPr>
          <w:rFonts w:ascii="Verdana" w:eastAsia="Times New Roman" w:hAnsi="Verdana" w:cs="Arial"/>
          <w:lang w:val="es-MX" w:eastAsia="es-CO"/>
        </w:rPr>
      </w:pPr>
    </w:p>
    <w:p w14:paraId="3D66BEA3" w14:textId="77777777" w:rsidR="004E6EE2" w:rsidRPr="00E2397D" w:rsidRDefault="004E6EE2" w:rsidP="004E6EE2">
      <w:pPr>
        <w:spacing w:after="0" w:line="276" w:lineRule="auto"/>
        <w:ind w:firstLine="709"/>
        <w:jc w:val="both"/>
        <w:rPr>
          <w:rFonts w:ascii="Verdana" w:eastAsia="Times New Roman" w:hAnsi="Verdana" w:cs="Arial"/>
          <w:lang w:val="es-MX" w:eastAsia="es-CO"/>
        </w:rPr>
      </w:pPr>
      <w:r w:rsidRPr="00E2397D">
        <w:rPr>
          <w:rFonts w:ascii="Verdana" w:eastAsia="Times New Roman" w:hAnsi="Verdana" w:cs="Arial"/>
          <w:lang w:val="es-MX" w:eastAsia="es-CO"/>
        </w:rPr>
        <w:t>En este contexto, la Ley de Garantías Electorales establece el marco jurídico para el desarrollo de las elecciones, procurando condiciones de igualdad y transparencia para los aspirantes. Paralelamente,</w:t>
      </w:r>
      <w:r>
        <w:rPr>
          <w:rFonts w:ascii="Verdana" w:eastAsia="Times New Roman" w:hAnsi="Verdana" w:cs="Arial"/>
          <w:lang w:val="es-MX" w:eastAsia="es-CO"/>
        </w:rPr>
        <w:t xml:space="preserve"> se incluyen restricciones en las actuaciones</w:t>
      </w:r>
      <w:r w:rsidRPr="00E2397D">
        <w:rPr>
          <w:rFonts w:ascii="Verdana" w:eastAsia="Times New Roman" w:hAnsi="Verdana" w:cs="Arial"/>
          <w:lang w:val="es-MX" w:eastAsia="es-CO"/>
        </w:rPr>
        <w:t xml:space="preserve">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En efecto, la Sala de Consulta y Servicio Civil del Consejo de Estado, pre</w:t>
      </w:r>
      <w:r>
        <w:rPr>
          <w:rFonts w:ascii="Verdana" w:eastAsia="Times New Roman" w:hAnsi="Verdana" w:cs="Arial"/>
          <w:lang w:val="es-MX" w:eastAsia="es-CO"/>
        </w:rPr>
        <w:t>cisó</w:t>
      </w:r>
      <w:r w:rsidRPr="00E2397D">
        <w:rPr>
          <w:rFonts w:ascii="Verdana" w:eastAsia="Times New Roman" w:hAnsi="Verdana" w:cs="Arial"/>
          <w:lang w:val="es-MX" w:eastAsia="es-CO"/>
        </w:rPr>
        <w:t>:</w:t>
      </w:r>
    </w:p>
    <w:p w14:paraId="29AC5513" w14:textId="77777777" w:rsidR="004E6EE2" w:rsidRPr="00886C02" w:rsidRDefault="004E6EE2" w:rsidP="004E6EE2">
      <w:pPr>
        <w:spacing w:after="0" w:line="276" w:lineRule="auto"/>
        <w:ind w:firstLine="709"/>
        <w:jc w:val="both"/>
        <w:rPr>
          <w:rFonts w:ascii="Verdana" w:eastAsia="Times New Roman" w:hAnsi="Verdana" w:cs="Arial"/>
          <w:lang w:val="es-MX" w:eastAsia="es-CO"/>
        </w:rPr>
      </w:pPr>
    </w:p>
    <w:p w14:paraId="534875EB" w14:textId="77777777" w:rsidR="004E6EE2" w:rsidRPr="00E2397D" w:rsidRDefault="004E6EE2" w:rsidP="004E6EE2">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E2397D">
        <w:rPr>
          <w:rFonts w:ascii="Verdana" w:eastAsia="Times New Roman" w:hAnsi="Verdana" w:cs="Arial"/>
          <w:sz w:val="20"/>
          <w:szCs w:val="20"/>
          <w:lang w:val="es-MX" w:eastAsia="es-CO"/>
        </w:rPr>
        <w:t>legis</w:t>
      </w:r>
      <w:proofErr w:type="spellEnd"/>
      <w:r w:rsidRPr="00E2397D">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1DE0A52B" w14:textId="77777777" w:rsidR="004E6EE2" w:rsidRPr="00E2397D" w:rsidRDefault="004E6EE2" w:rsidP="004E6EE2">
      <w:pPr>
        <w:spacing w:after="0" w:line="240" w:lineRule="auto"/>
        <w:ind w:left="709" w:right="709"/>
        <w:contextualSpacing/>
        <w:jc w:val="both"/>
        <w:rPr>
          <w:rFonts w:ascii="Verdana" w:eastAsia="Times New Roman" w:hAnsi="Verdana" w:cs="Arial"/>
          <w:lang w:val="es-MX" w:eastAsia="es-CO"/>
        </w:rPr>
      </w:pPr>
    </w:p>
    <w:p w14:paraId="4E2D3292" w14:textId="77777777" w:rsidR="004E6EE2" w:rsidRPr="00E2397D" w:rsidRDefault="004E6EE2" w:rsidP="004E6EE2">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La jurisprudencia de la Corte Constitucional</w:t>
      </w:r>
      <w:r w:rsidRPr="00E2397D">
        <w:rPr>
          <w:rFonts w:ascii="Verdana" w:eastAsia="Times New Roman" w:hAnsi="Verdana" w:cs="Arial"/>
          <w:sz w:val="20"/>
          <w:szCs w:val="20"/>
          <w:vertAlign w:val="superscript"/>
          <w:lang w:val="es-MX" w:eastAsia="es-CO"/>
        </w:rPr>
        <w:footnoteReference w:id="4"/>
      </w:r>
      <w:r w:rsidRPr="00E2397D">
        <w:rPr>
          <w:rFonts w:ascii="Verdana" w:eastAsia="Times New Roman" w:hAnsi="Verdana" w:cs="Arial"/>
          <w:sz w:val="20"/>
          <w:szCs w:val="20"/>
          <w:lang w:val="es-MX" w:eastAsia="es-CO"/>
        </w:rPr>
        <w:t> y del Consejo de Estado</w:t>
      </w:r>
      <w:r w:rsidRPr="00E2397D">
        <w:rPr>
          <w:rFonts w:ascii="Verdana" w:eastAsia="Times New Roman" w:hAnsi="Verdana" w:cs="Arial"/>
          <w:sz w:val="20"/>
          <w:szCs w:val="20"/>
          <w:vertAlign w:val="superscript"/>
          <w:lang w:val="es-MX" w:eastAsia="es-CO"/>
        </w:rPr>
        <w:footnoteReference w:id="5"/>
      </w:r>
      <w:r w:rsidRPr="00E2397D">
        <w:rPr>
          <w:rFonts w:ascii="Verdana" w:eastAsia="Times New Roman" w:hAnsi="Verdana" w:cs="Arial"/>
          <w:sz w:val="20"/>
          <w:szCs w:val="20"/>
          <w:lang w:val="es-MX" w:eastAsia="es-CO"/>
        </w:rPr>
        <w:t xml:space="preserve">,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w:t>
      </w:r>
      <w:r w:rsidRPr="00E2397D">
        <w:rPr>
          <w:rFonts w:ascii="Verdana" w:eastAsia="Times New Roman" w:hAnsi="Verdana" w:cs="Arial"/>
          <w:sz w:val="20"/>
          <w:szCs w:val="20"/>
          <w:lang w:val="es-MX" w:eastAsia="es-CO"/>
        </w:rPr>
        <w:lastRenderedPageBreak/>
        <w:t>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E2397D">
        <w:rPr>
          <w:rFonts w:ascii="Verdana" w:eastAsia="Times New Roman" w:hAnsi="Verdana" w:cs="Arial"/>
          <w:sz w:val="20"/>
          <w:szCs w:val="20"/>
          <w:vertAlign w:val="superscript"/>
          <w:lang w:val="es-MX" w:eastAsia="es-CO"/>
        </w:rPr>
        <w:footnoteReference w:id="6"/>
      </w:r>
      <w:r w:rsidRPr="00E2397D">
        <w:rPr>
          <w:rFonts w:ascii="Verdana" w:eastAsia="Times New Roman" w:hAnsi="Verdana" w:cs="Arial"/>
          <w:sz w:val="20"/>
          <w:szCs w:val="20"/>
          <w:lang w:val="es-MX" w:eastAsia="es-CO"/>
        </w:rPr>
        <w:t>.</w:t>
      </w:r>
    </w:p>
    <w:p w14:paraId="36F9DD9C" w14:textId="77777777" w:rsidR="004E6EE2" w:rsidRPr="00E2397D" w:rsidRDefault="004E6EE2" w:rsidP="004E6EE2">
      <w:pPr>
        <w:spacing w:after="0" w:line="276" w:lineRule="auto"/>
        <w:jc w:val="both"/>
        <w:rPr>
          <w:rFonts w:ascii="Verdana" w:eastAsia="Calibri" w:hAnsi="Verdana" w:cs="Arial"/>
          <w:bCs/>
          <w:lang w:val="es-ES_tradnl"/>
        </w:rPr>
      </w:pPr>
    </w:p>
    <w:p w14:paraId="2AB789F5" w14:textId="77777777" w:rsidR="004E6EE2" w:rsidRPr="00B3605D" w:rsidRDefault="004E6EE2" w:rsidP="004E6EE2">
      <w:pPr>
        <w:spacing w:after="120" w:line="276" w:lineRule="auto"/>
        <w:ind w:firstLine="709"/>
        <w:jc w:val="both"/>
        <w:rPr>
          <w:rFonts w:ascii="Verdana" w:eastAsia="Arial" w:hAnsi="Verdana" w:cs="Arial"/>
          <w:lang w:val="es-ES" w:eastAsia="es-ES" w:bidi="es-ES"/>
        </w:rPr>
      </w:pPr>
      <w:r w:rsidRPr="00B3605D">
        <w:rPr>
          <w:rFonts w:ascii="Verdana" w:eastAsia="Times New Roman" w:hAnsi="Verdana" w:cs="Arial"/>
          <w:lang w:val="es-MX" w:eastAsia="es-CO"/>
        </w:rPr>
        <w:t>De</w:t>
      </w:r>
      <w:r w:rsidRPr="00B3605D">
        <w:rPr>
          <w:rFonts w:ascii="Verdana" w:eastAsia="Arial" w:hAnsi="Verdana" w:cs="Arial"/>
          <w:lang w:val="es-ES" w:eastAsia="es-ES" w:bidi="es-ES"/>
        </w:rPr>
        <w:t xml:space="preserve"> conformidad con lo anterior, 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5E343F23" w14:textId="77777777" w:rsidR="004E6EE2" w:rsidRDefault="004E6EE2" w:rsidP="004E6EE2">
      <w:pPr>
        <w:spacing w:after="0" w:line="276" w:lineRule="auto"/>
        <w:ind w:firstLine="709"/>
        <w:jc w:val="both"/>
        <w:rPr>
          <w:rFonts w:ascii="Verdana" w:eastAsia="Arial" w:hAnsi="Verdana" w:cs="Arial"/>
          <w:i/>
          <w:iCs/>
          <w:lang w:eastAsia="es-ES" w:bidi="es-ES"/>
        </w:rPr>
      </w:pPr>
      <w:r w:rsidRPr="00B3605D">
        <w:rPr>
          <w:rFonts w:ascii="Verdana" w:eastAsia="Calibri" w:hAnsi="Verdana" w:cs="Arial"/>
          <w:lang w:val="es-ES"/>
        </w:rPr>
        <w:t xml:space="preserve">Las restricciones consagradas en la mencionada Ley se dirigen a dos tipos de campañas electorales: </w:t>
      </w:r>
      <w:r w:rsidRPr="00B3605D">
        <w:rPr>
          <w:rFonts w:ascii="Verdana" w:eastAsia="Arial" w:hAnsi="Verdana" w:cs="Arial"/>
          <w:lang w:val="es-ES" w:eastAsia="es-ES" w:bidi="es-ES"/>
        </w:rPr>
        <w:t>las presidenciales y las demás que se adelanten para la elección de los demás cargos de elección popular, tanto a nivel nacional como territorial</w:t>
      </w:r>
      <w:r>
        <w:rPr>
          <w:rFonts w:ascii="Verdana" w:eastAsia="Arial" w:hAnsi="Verdana" w:cs="Arial"/>
          <w:lang w:val="es-ES" w:eastAsia="es-ES" w:bidi="es-ES"/>
        </w:rPr>
        <w:t xml:space="preserve">. </w:t>
      </w:r>
    </w:p>
    <w:p w14:paraId="15671854" w14:textId="77777777" w:rsidR="004E6EE2" w:rsidRDefault="004E6EE2" w:rsidP="004E6EE2">
      <w:pPr>
        <w:spacing w:after="0" w:line="276" w:lineRule="auto"/>
        <w:jc w:val="both"/>
        <w:rPr>
          <w:rFonts w:ascii="Verdana" w:eastAsia="Arial" w:hAnsi="Verdana" w:cs="Arial"/>
          <w:lang w:val="es-ES" w:eastAsia="es-ES" w:bidi="es-ES"/>
        </w:rPr>
      </w:pPr>
    </w:p>
    <w:p w14:paraId="2F1D1699" w14:textId="77777777" w:rsidR="004E6EE2" w:rsidRDefault="004E6EE2" w:rsidP="004E6EE2">
      <w:pPr>
        <w:spacing w:after="0" w:line="276" w:lineRule="auto"/>
        <w:jc w:val="both"/>
        <w:rPr>
          <w:rFonts w:ascii="Verdana" w:eastAsia="Arial" w:hAnsi="Verdana" w:cs="Arial"/>
          <w:lang w:val="es-ES" w:eastAsia="es-ES" w:bidi="es-ES"/>
        </w:rPr>
      </w:pPr>
      <w:proofErr w:type="spellStart"/>
      <w:r>
        <w:rPr>
          <w:rFonts w:ascii="Verdana" w:eastAsia="Arial" w:hAnsi="Verdana" w:cs="Arial"/>
          <w:lang w:val="es-ES" w:eastAsia="es-ES" w:bidi="es-ES"/>
        </w:rPr>
        <w:t>ii</w:t>
      </w:r>
      <w:proofErr w:type="spellEnd"/>
      <w:r>
        <w:rPr>
          <w:rFonts w:ascii="Verdana" w:eastAsia="Arial" w:hAnsi="Verdana" w:cs="Arial"/>
          <w:lang w:val="es-ES" w:eastAsia="es-ES" w:bidi="es-ES"/>
        </w:rPr>
        <w:t xml:space="preserve">) Frente a la prohibición establecido en el artículo 33 de la Ley 996 de 2005, es necesario señalar que este prescribe: </w:t>
      </w:r>
    </w:p>
    <w:p w14:paraId="09F8BB62" w14:textId="77777777" w:rsidR="004E6EE2" w:rsidRPr="00F77D4B" w:rsidRDefault="004E6EE2" w:rsidP="004E6EE2">
      <w:pPr>
        <w:spacing w:after="0" w:line="276" w:lineRule="auto"/>
        <w:ind w:firstLine="709"/>
        <w:jc w:val="both"/>
        <w:rPr>
          <w:lang w:eastAsia="es-ES" w:bidi="es-ES"/>
        </w:rPr>
      </w:pPr>
    </w:p>
    <w:p w14:paraId="2639633D" w14:textId="77777777" w:rsidR="004E6EE2" w:rsidRPr="00FC54ED" w:rsidRDefault="004E6EE2" w:rsidP="004E6EE2">
      <w:pPr>
        <w:spacing w:after="0" w:line="240" w:lineRule="auto"/>
        <w:ind w:left="708" w:right="703"/>
        <w:jc w:val="both"/>
        <w:rPr>
          <w:rFonts w:ascii="Verdana" w:eastAsia="Times New Roman" w:hAnsi="Verdana" w:cs="Open Sans"/>
          <w:sz w:val="20"/>
          <w:szCs w:val="20"/>
          <w:lang w:eastAsia="es-CO"/>
        </w:rPr>
      </w:pPr>
      <w:bookmarkStart w:id="2" w:name="33"/>
      <w:r w:rsidRPr="00F77D4B">
        <w:rPr>
          <w:rFonts w:ascii="Verdana" w:eastAsia="Times New Roman" w:hAnsi="Verdana" w:cs="Open Sans"/>
          <w:sz w:val="20"/>
          <w:szCs w:val="20"/>
          <w:lang w:eastAsia="es-CO"/>
        </w:rPr>
        <w:t>“ARTÍCULO 33. RESTRICCIONES A LA CONTRATACIÓN PÚBLICA.</w:t>
      </w:r>
      <w:bookmarkEnd w:id="2"/>
      <w:r w:rsidRPr="00F77D4B">
        <w:rPr>
          <w:rFonts w:ascii="Verdana" w:eastAsia="Times New Roman" w:hAnsi="Verdana" w:cs="Open Sans"/>
          <w:sz w:val="20"/>
          <w:szCs w:val="20"/>
          <w:lang w:eastAsia="es-CO"/>
        </w:rPr>
        <w:t>  Durante los cuatro (4) meses anteriores a la elección presidencial y hasta la realización</w:t>
      </w:r>
      <w:r w:rsidRPr="00FC54ED">
        <w:rPr>
          <w:rFonts w:ascii="Verdana" w:eastAsia="Times New Roman" w:hAnsi="Verdana" w:cs="Open Sans"/>
          <w:sz w:val="20"/>
          <w:szCs w:val="20"/>
          <w:lang w:eastAsia="es-CO"/>
        </w:rPr>
        <w:t xml:space="preserve"> de la elección en la segunda vuelta, si fuere el caso, queda prohibida la contratación directa por parte de todos los entes del Estado.</w:t>
      </w:r>
    </w:p>
    <w:p w14:paraId="02A0DD53" w14:textId="77777777" w:rsidR="004E6EE2" w:rsidRPr="00FC54ED" w:rsidRDefault="004E6EE2" w:rsidP="004E6EE2">
      <w:pPr>
        <w:spacing w:after="0" w:line="240" w:lineRule="auto"/>
        <w:ind w:left="708" w:right="703"/>
        <w:jc w:val="both"/>
        <w:rPr>
          <w:rFonts w:ascii="Verdana" w:eastAsia="Times New Roman" w:hAnsi="Verdana" w:cs="Open Sans"/>
          <w:sz w:val="20"/>
          <w:szCs w:val="20"/>
          <w:lang w:eastAsia="es-CO"/>
        </w:rPr>
      </w:pPr>
    </w:p>
    <w:p w14:paraId="70577B89" w14:textId="77777777" w:rsidR="004E6EE2" w:rsidRPr="00B3605D" w:rsidRDefault="004E6EE2" w:rsidP="004E6EE2">
      <w:pPr>
        <w:spacing w:after="0" w:line="240" w:lineRule="auto"/>
        <w:ind w:left="708" w:right="703"/>
        <w:jc w:val="both"/>
        <w:rPr>
          <w:rFonts w:ascii="Verdana" w:eastAsia="Times New Roman" w:hAnsi="Verdana" w:cs="Open Sans"/>
          <w:sz w:val="20"/>
          <w:szCs w:val="20"/>
          <w:lang w:eastAsia="es-CO"/>
        </w:rPr>
      </w:pPr>
      <w:r w:rsidRPr="00FC54ED">
        <w:rPr>
          <w:rFonts w:ascii="Verdana" w:eastAsia="Times New Roman" w:hAnsi="Verdana" w:cs="Open Sans"/>
          <w:sz w:val="20"/>
          <w:szCs w:val="20"/>
          <w:lang w:eastAsia="es-CO"/>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Pr>
          <w:rFonts w:ascii="Verdana" w:eastAsia="Times New Roman" w:hAnsi="Verdana" w:cs="Open Sans"/>
          <w:sz w:val="20"/>
          <w:szCs w:val="20"/>
          <w:lang w:eastAsia="es-CO"/>
        </w:rPr>
        <w:t>”</w:t>
      </w:r>
      <w:r w:rsidRPr="00FC54ED">
        <w:rPr>
          <w:rFonts w:ascii="Verdana" w:eastAsia="Times New Roman" w:hAnsi="Verdana" w:cs="Open Sans"/>
          <w:sz w:val="20"/>
          <w:szCs w:val="20"/>
          <w:lang w:eastAsia="es-CO"/>
        </w:rPr>
        <w:t>.</w:t>
      </w:r>
    </w:p>
    <w:p w14:paraId="672B346D" w14:textId="77777777" w:rsidR="004E6EE2" w:rsidRDefault="004E6EE2" w:rsidP="004E6EE2">
      <w:pPr>
        <w:spacing w:after="0" w:line="276" w:lineRule="auto"/>
        <w:ind w:right="618" w:firstLine="708"/>
        <w:jc w:val="both"/>
        <w:rPr>
          <w:rFonts w:ascii="Verdana" w:eastAsia="Times New Roman" w:hAnsi="Verdana" w:cs="Open Sans"/>
          <w:lang w:eastAsia="es-CO"/>
        </w:rPr>
      </w:pPr>
    </w:p>
    <w:p w14:paraId="7F871B86" w14:textId="77777777" w:rsidR="004E6EE2" w:rsidRDefault="004E6EE2" w:rsidP="004E6EE2">
      <w:pPr>
        <w:spacing w:after="120" w:line="276" w:lineRule="auto"/>
        <w:ind w:firstLine="708"/>
        <w:jc w:val="both"/>
        <w:rPr>
          <w:rFonts w:ascii="Verdana" w:eastAsia="Times New Roman" w:hAnsi="Verdana" w:cs="Open Sans"/>
          <w:lang w:eastAsia="es-CO"/>
        </w:rPr>
      </w:pPr>
      <w:r w:rsidRPr="00B3605D">
        <w:rPr>
          <w:rFonts w:ascii="Verdana" w:eastAsia="Times New Roman" w:hAnsi="Verdana" w:cs="Open Sans"/>
          <w:lang w:eastAsia="es-CO"/>
        </w:rPr>
        <w:t xml:space="preserve">Como se puede observar, el artículo 33 de la Ley 996 de 2005 prohíbe la contratación directa por parte de todos los entes estatales durante los cuatro </w:t>
      </w:r>
      <w:r>
        <w:rPr>
          <w:rFonts w:ascii="Verdana" w:eastAsia="Times New Roman" w:hAnsi="Verdana" w:cs="Open Sans"/>
          <w:lang w:eastAsia="es-CO"/>
        </w:rPr>
        <w:t>(4)</w:t>
      </w:r>
      <w:r w:rsidRPr="00B3605D">
        <w:rPr>
          <w:rFonts w:ascii="Verdana" w:eastAsia="Times New Roman" w:hAnsi="Verdana" w:cs="Open Sans"/>
          <w:lang w:eastAsia="es-CO"/>
        </w:rPr>
        <w:t xml:space="preserve"> meses anteriores a las elecciones presidenciales y dispone las excepciones a dicha prohibición. </w:t>
      </w:r>
      <w:r>
        <w:rPr>
          <w:rFonts w:ascii="Verdana" w:eastAsia="Times New Roman" w:hAnsi="Verdana" w:cs="Open Sans"/>
          <w:lang w:eastAsia="es-CO"/>
        </w:rPr>
        <w:t xml:space="preserve">Así, su ámbito de prohibición está delimitado por la expresión </w:t>
      </w:r>
      <w:r>
        <w:rPr>
          <w:rFonts w:ascii="Verdana" w:eastAsia="Times New Roman" w:hAnsi="Verdana" w:cs="Open Sans"/>
          <w:lang w:eastAsia="es-CO"/>
        </w:rPr>
        <w:lastRenderedPageBreak/>
        <w:t>“</w:t>
      </w:r>
      <w:r w:rsidRPr="006A640E">
        <w:rPr>
          <w:rFonts w:ascii="Verdana" w:eastAsia="Times New Roman" w:hAnsi="Verdana" w:cs="Open Sans"/>
          <w:lang w:eastAsia="es-CO"/>
        </w:rPr>
        <w:t>queda prohibida la contratación directa</w:t>
      </w:r>
      <w:r>
        <w:rPr>
          <w:rFonts w:ascii="Verdana" w:eastAsia="Times New Roman" w:hAnsi="Verdana" w:cs="Open Sans"/>
          <w:lang w:eastAsia="es-CO"/>
        </w:rPr>
        <w:t xml:space="preserve">” y </w:t>
      </w:r>
      <w:r w:rsidRPr="006A640E">
        <w:rPr>
          <w:rFonts w:ascii="Verdana" w:eastAsia="Times New Roman" w:hAnsi="Verdana" w:cs="Open Sans"/>
          <w:lang w:eastAsia="es-CO"/>
        </w:rPr>
        <w:t>para los efectos de la Ley de Garantías</w:t>
      </w:r>
      <w:r>
        <w:rPr>
          <w:rFonts w:ascii="Verdana" w:eastAsia="Times New Roman" w:hAnsi="Verdana" w:cs="Open Sans"/>
          <w:lang w:eastAsia="es-CO"/>
        </w:rPr>
        <w:t xml:space="preserve"> </w:t>
      </w:r>
      <w:r w:rsidRPr="006A640E">
        <w:rPr>
          <w:rFonts w:ascii="Verdana" w:eastAsia="Times New Roman" w:hAnsi="Verdana" w:cs="Open Sans"/>
          <w:lang w:eastAsia="es-CO"/>
        </w:rPr>
        <w:t>Electorales y, en particular, para la prohibición o restricción temporal contenida en su</w:t>
      </w:r>
      <w:r>
        <w:rPr>
          <w:rFonts w:ascii="Verdana" w:eastAsia="Times New Roman" w:hAnsi="Verdana" w:cs="Open Sans"/>
          <w:lang w:eastAsia="es-CO"/>
        </w:rPr>
        <w:t xml:space="preserve"> </w:t>
      </w:r>
      <w:r w:rsidRPr="006A640E">
        <w:rPr>
          <w:rFonts w:ascii="Verdana" w:eastAsia="Times New Roman" w:hAnsi="Verdana" w:cs="Open Sans"/>
          <w:lang w:eastAsia="es-CO"/>
        </w:rPr>
        <w:t xml:space="preserve">artículo 33, </w:t>
      </w:r>
      <w:r>
        <w:rPr>
          <w:rFonts w:ascii="Verdana" w:eastAsia="Times New Roman" w:hAnsi="Verdana" w:cs="Open Sans"/>
          <w:lang w:eastAsia="es-CO"/>
        </w:rPr>
        <w:t>“</w:t>
      </w:r>
      <w:r w:rsidRPr="006A640E">
        <w:rPr>
          <w:rFonts w:ascii="Verdana" w:eastAsia="Times New Roman" w:hAnsi="Verdana" w:cs="Open Sans"/>
          <w:lang w:eastAsia="es-CO"/>
        </w:rPr>
        <w:t>contratación directa</w:t>
      </w:r>
      <w:r>
        <w:rPr>
          <w:rFonts w:ascii="Verdana" w:eastAsia="Times New Roman" w:hAnsi="Verdana" w:cs="Open Sans"/>
          <w:lang w:eastAsia="es-CO"/>
        </w:rPr>
        <w:t>”</w:t>
      </w:r>
      <w:r w:rsidRPr="006A640E">
        <w:rPr>
          <w:rFonts w:ascii="Verdana" w:eastAsia="Times New Roman" w:hAnsi="Verdana" w:cs="Open Sans"/>
          <w:lang w:eastAsia="es-CO"/>
        </w:rPr>
        <w:t xml:space="preserve"> es cualquier sistema de selección o procedimiento</w:t>
      </w:r>
      <w:r>
        <w:rPr>
          <w:rFonts w:ascii="Verdana" w:eastAsia="Times New Roman" w:hAnsi="Verdana" w:cs="Open Sans"/>
          <w:lang w:eastAsia="es-CO"/>
        </w:rPr>
        <w:t xml:space="preserve"> </w:t>
      </w:r>
      <w:r w:rsidRPr="006A640E">
        <w:rPr>
          <w:rFonts w:ascii="Verdana" w:eastAsia="Times New Roman" w:hAnsi="Verdana" w:cs="Open Sans"/>
          <w:lang w:eastAsia="es-CO"/>
        </w:rPr>
        <w:t>de contratación utilizado por las entidades estatales que no incluya la convocatoria</w:t>
      </w:r>
      <w:r>
        <w:rPr>
          <w:rFonts w:ascii="Verdana" w:eastAsia="Times New Roman" w:hAnsi="Verdana" w:cs="Open Sans"/>
          <w:lang w:eastAsia="es-CO"/>
        </w:rPr>
        <w:t xml:space="preserve"> </w:t>
      </w:r>
      <w:r w:rsidRPr="006A640E">
        <w:rPr>
          <w:rFonts w:ascii="Verdana" w:eastAsia="Times New Roman" w:hAnsi="Verdana" w:cs="Open Sans"/>
          <w:lang w:eastAsia="es-CO"/>
        </w:rPr>
        <w:t>pública en alguna de sus etapas, ni permita la participación de una pluralidad de</w:t>
      </w:r>
      <w:r>
        <w:rPr>
          <w:rFonts w:ascii="Verdana" w:eastAsia="Times New Roman" w:hAnsi="Verdana" w:cs="Open Sans"/>
          <w:lang w:eastAsia="es-CO"/>
        </w:rPr>
        <w:t xml:space="preserve"> </w:t>
      </w:r>
      <w:r w:rsidRPr="006A640E">
        <w:rPr>
          <w:rFonts w:ascii="Verdana" w:eastAsia="Times New Roman" w:hAnsi="Verdana" w:cs="Open Sans"/>
          <w:lang w:eastAsia="es-CO"/>
        </w:rPr>
        <w:t>oferentes</w:t>
      </w:r>
      <w:r>
        <w:rPr>
          <w:rStyle w:val="Refdenotaalpie"/>
          <w:rFonts w:ascii="Verdana" w:eastAsia="Times New Roman" w:hAnsi="Verdana" w:cs="Open Sans"/>
          <w:lang w:eastAsia="es-CO"/>
        </w:rPr>
        <w:footnoteReference w:id="7"/>
      </w:r>
      <w:r>
        <w:rPr>
          <w:rFonts w:ascii="Verdana" w:eastAsia="Times New Roman" w:hAnsi="Verdana" w:cs="Open Sans"/>
          <w:lang w:eastAsia="es-CO"/>
        </w:rPr>
        <w:t>.</w:t>
      </w:r>
    </w:p>
    <w:p w14:paraId="7D37F364" w14:textId="77777777" w:rsidR="004E6EE2" w:rsidRDefault="004E6EE2" w:rsidP="004E6EE2">
      <w:pPr>
        <w:spacing w:after="120" w:line="276" w:lineRule="auto"/>
        <w:ind w:firstLine="708"/>
        <w:jc w:val="both"/>
        <w:rPr>
          <w:rFonts w:ascii="Verdana" w:hAnsi="Verdana"/>
        </w:rPr>
      </w:pPr>
      <w:r>
        <w:rPr>
          <w:rFonts w:ascii="Verdana" w:eastAsia="Times New Roman" w:hAnsi="Verdana" w:cs="Open Sans"/>
          <w:lang w:eastAsia="es-CO"/>
        </w:rPr>
        <w:t>Por s</w:t>
      </w:r>
      <w:r w:rsidRPr="00D44FF2">
        <w:rPr>
          <w:rFonts w:ascii="Verdana" w:eastAsia="Times New Roman" w:hAnsi="Verdana" w:cs="Open Sans"/>
          <w:lang w:eastAsia="es-CO"/>
        </w:rPr>
        <w:t xml:space="preserve">u parte, </w:t>
      </w:r>
      <w:r w:rsidRPr="00D44FF2">
        <w:rPr>
          <w:rFonts w:ascii="Verdana" w:hAnsi="Verdana"/>
        </w:rPr>
        <w:t xml:space="preserve">los destinatarios de la prohibición están expresamente señalados como </w:t>
      </w:r>
      <w:r>
        <w:rPr>
          <w:rFonts w:ascii="Verdana" w:hAnsi="Verdana"/>
        </w:rPr>
        <w:t>“</w:t>
      </w:r>
      <w:r w:rsidRPr="00D44FF2">
        <w:rPr>
          <w:rFonts w:ascii="Verdana" w:hAnsi="Verdana"/>
        </w:rPr>
        <w:t>todos los entes del Estado</w:t>
      </w:r>
      <w:r>
        <w:rPr>
          <w:rFonts w:ascii="Verdana" w:hAnsi="Verdana"/>
        </w:rPr>
        <w:t>”</w:t>
      </w:r>
      <w:r w:rsidRPr="00D44FF2">
        <w:rPr>
          <w:rFonts w:ascii="Verdana" w:hAnsi="Verdana"/>
        </w:rPr>
        <w:t xml:space="preserve">, expresión que contempla a los diferentes organismos o entidades autorizadas por la ley para suscribir contratos. En efecto, tal como lo ha sostenido el Consejo de Estado, el vocablo </w:t>
      </w:r>
      <w:r>
        <w:rPr>
          <w:rFonts w:ascii="Verdana" w:hAnsi="Verdana"/>
        </w:rPr>
        <w:t>“</w:t>
      </w:r>
      <w:r w:rsidRPr="00D44FF2">
        <w:rPr>
          <w:rFonts w:ascii="Verdana" w:hAnsi="Verdana"/>
        </w:rPr>
        <w:t>todos</w:t>
      </w:r>
      <w:r>
        <w:rPr>
          <w:rFonts w:ascii="Verdana" w:hAnsi="Verdana"/>
        </w:rPr>
        <w:t>”</w:t>
      </w:r>
      <w:r w:rsidRPr="00D44FF2">
        <w:rPr>
          <w:rFonts w:ascii="Verdana" w:hAnsi="Verdana"/>
        </w:rPr>
        <w:t xml:space="preserve">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w:t>
      </w:r>
    </w:p>
    <w:p w14:paraId="66812C27" w14:textId="77777777" w:rsidR="004E6EE2" w:rsidRPr="006F42F9" w:rsidRDefault="004E6EE2" w:rsidP="004E6EE2">
      <w:pPr>
        <w:spacing w:after="0" w:line="276" w:lineRule="auto"/>
        <w:ind w:firstLine="708"/>
        <w:jc w:val="both"/>
        <w:rPr>
          <w:rFonts w:ascii="Verdana" w:hAnsi="Verdana" w:cs="Arial"/>
          <w:bCs/>
          <w:lang w:val="es-MX" w:eastAsia="x-none"/>
        </w:rPr>
      </w:pPr>
      <w:r>
        <w:rPr>
          <w:rFonts w:ascii="Verdana" w:hAnsi="Verdana" w:cs="Arial"/>
          <w:bCs/>
          <w:lang w:val="es-MX" w:eastAsia="x-none"/>
        </w:rPr>
        <w:t>Al respecto, e</w:t>
      </w:r>
      <w:r w:rsidRPr="006F42F9">
        <w:rPr>
          <w:rFonts w:ascii="Verdana" w:hAnsi="Verdana" w:cs="Arial"/>
          <w:bCs/>
          <w:lang w:val="es-MX" w:eastAsia="x-none"/>
        </w:rPr>
        <w:t xml:space="preserve">l Consejo de Estado, en Concepto con radicado 1727 de fecha 20 de febrero de 2006, consideró que: </w:t>
      </w:r>
    </w:p>
    <w:p w14:paraId="0487B282" w14:textId="77777777" w:rsidR="004E6EE2" w:rsidRPr="006F42F9" w:rsidRDefault="004E6EE2" w:rsidP="004E6EE2">
      <w:pPr>
        <w:spacing w:after="0" w:line="276" w:lineRule="auto"/>
        <w:ind w:firstLine="708"/>
        <w:jc w:val="both"/>
        <w:rPr>
          <w:rFonts w:ascii="Verdana" w:hAnsi="Verdana" w:cs="Arial"/>
          <w:bCs/>
          <w:lang w:val="es-MX" w:eastAsia="x-none"/>
        </w:rPr>
      </w:pPr>
    </w:p>
    <w:p w14:paraId="64D7CCA3" w14:textId="77777777" w:rsidR="004E6EE2" w:rsidRPr="006F42F9" w:rsidRDefault="004E6EE2" w:rsidP="004E6EE2">
      <w:pPr>
        <w:spacing w:after="0" w:line="240" w:lineRule="auto"/>
        <w:ind w:left="708" w:right="709"/>
        <w:jc w:val="both"/>
        <w:rPr>
          <w:rFonts w:ascii="Verdana" w:hAnsi="Verdana" w:cs="Arial"/>
          <w:bCs/>
          <w:sz w:val="20"/>
          <w:szCs w:val="20"/>
          <w:lang w:val="es-MX" w:eastAsia="es-CO"/>
        </w:rPr>
      </w:pPr>
      <w:r w:rsidRPr="006F42F9">
        <w:rPr>
          <w:rFonts w:ascii="Verdana" w:hAnsi="Verdana" w:cs="Arial"/>
          <w:bCs/>
          <w:sz w:val="20"/>
          <w:szCs w:val="20"/>
          <w:lang w:val="es-MX" w:eastAsia="x-none"/>
        </w:rPr>
        <w:t xml:space="preserve">“El artículo 33 de la ley 996 de 2005, </w:t>
      </w:r>
      <w:bookmarkStart w:id="3" w:name="_Hlk75787147"/>
      <w:r w:rsidRPr="006F42F9">
        <w:rPr>
          <w:rFonts w:ascii="Verdana" w:hAnsi="Verdana" w:cs="Arial"/>
          <w:bCs/>
          <w:sz w:val="20"/>
          <w:szCs w:val="20"/>
          <w:lang w:val="es-MX" w:eastAsia="x-none"/>
        </w:rPr>
        <w:t>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006F42F9">
        <w:rPr>
          <w:rFonts w:ascii="Verdana" w:hAnsi="Verdana" w:cs="Arial"/>
          <w:bCs/>
          <w:sz w:val="20"/>
          <w:szCs w:val="20"/>
          <w:vertAlign w:val="superscript"/>
          <w:lang w:val="es-MX" w:eastAsia="x-none"/>
        </w:rPr>
        <w:footnoteReference w:id="8"/>
      </w:r>
      <w:r w:rsidRPr="006F42F9">
        <w:rPr>
          <w:rFonts w:ascii="Verdana" w:hAnsi="Verdana" w:cs="Arial"/>
          <w:bCs/>
          <w:sz w:val="20"/>
          <w:szCs w:val="20"/>
          <w:lang w:val="es-MX" w:eastAsia="x-none"/>
        </w:rPr>
        <w:t>.</w:t>
      </w:r>
      <w:r w:rsidRPr="006F42F9">
        <w:rPr>
          <w:rFonts w:ascii="Verdana" w:hAnsi="Verdana" w:cs="Arial"/>
          <w:bCs/>
          <w:sz w:val="20"/>
          <w:szCs w:val="20"/>
          <w:lang w:val="es-MX" w:eastAsia="es-CO"/>
        </w:rPr>
        <w:t xml:space="preserve"> </w:t>
      </w:r>
    </w:p>
    <w:p w14:paraId="45D277E2" w14:textId="77777777" w:rsidR="004E6EE2" w:rsidRPr="006F42F9" w:rsidRDefault="004E6EE2" w:rsidP="004E6EE2">
      <w:pPr>
        <w:spacing w:after="0" w:line="276" w:lineRule="auto"/>
        <w:ind w:firstLine="708"/>
        <w:jc w:val="both"/>
        <w:rPr>
          <w:rFonts w:ascii="Verdana" w:hAnsi="Verdana" w:cs="Arial"/>
          <w:bCs/>
          <w:lang w:val="es-MX" w:eastAsia="es-CO"/>
        </w:rPr>
      </w:pPr>
    </w:p>
    <w:p w14:paraId="364DFDCE" w14:textId="77777777" w:rsidR="004E6EE2" w:rsidRPr="006F42F9" w:rsidRDefault="004E6EE2" w:rsidP="004E6EE2">
      <w:pPr>
        <w:spacing w:after="0" w:line="276" w:lineRule="auto"/>
        <w:ind w:firstLine="708"/>
        <w:jc w:val="both"/>
        <w:rPr>
          <w:rFonts w:ascii="Verdana" w:hAnsi="Verdana" w:cs="Arial"/>
          <w:lang w:val="es-MX"/>
        </w:rPr>
      </w:pPr>
      <w:r w:rsidRPr="006F42F9">
        <w:rPr>
          <w:rFonts w:ascii="Verdana" w:hAnsi="Verdana" w:cs="Arial"/>
          <w:bCs/>
          <w:lang w:val="es-MX" w:eastAsia="x-none"/>
        </w:rPr>
        <w:t xml:space="preserve">De igual forma, en Concepto con radicado 1738 de 6 de abril de 2006, esa misma Corporación manifestó que “Las restricciones de la Ley de Garantías en </w:t>
      </w:r>
      <w:r w:rsidRPr="006F42F9">
        <w:rPr>
          <w:rFonts w:ascii="Verdana" w:hAnsi="Verdana" w:cs="Arial"/>
          <w:bCs/>
          <w:lang w:val="es-MX" w:eastAsia="x-none"/>
        </w:rPr>
        <w:lastRenderedPageBreak/>
        <w:t>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bookmarkStart w:id="4" w:name="_Hlk75758868"/>
      <w:bookmarkStart w:id="5" w:name="_Hlk75741220"/>
      <w:r w:rsidRPr="006F42F9">
        <w:rPr>
          <w:rFonts w:ascii="Verdana" w:hAnsi="Verdana" w:cs="Arial"/>
          <w:vertAlign w:val="superscript"/>
          <w:lang w:val="es-MX"/>
        </w:rPr>
        <w:footnoteReference w:id="9"/>
      </w:r>
      <w:bookmarkEnd w:id="4"/>
      <w:bookmarkEnd w:id="5"/>
      <w:r w:rsidRPr="006F42F9">
        <w:rPr>
          <w:rFonts w:ascii="Verdana" w:hAnsi="Verdana" w:cs="Arial"/>
          <w:bCs/>
          <w:lang w:val="es-MX" w:eastAsia="x-none"/>
        </w:rPr>
        <w:t>.</w:t>
      </w:r>
      <w:r w:rsidRPr="006F42F9">
        <w:rPr>
          <w:rFonts w:ascii="Verdana" w:hAnsi="Verdana" w:cs="Arial"/>
          <w:lang w:val="es-MX"/>
        </w:rPr>
        <w:t xml:space="preserve"> Sin embargo, debe precisarse el siguiente aspecto que distinguió la Sala de Consulta y Servicio Civil:</w:t>
      </w:r>
    </w:p>
    <w:p w14:paraId="690EA678" w14:textId="77777777" w:rsidR="004E6EE2" w:rsidRPr="006F42F9" w:rsidRDefault="004E6EE2" w:rsidP="004E6EE2">
      <w:pPr>
        <w:spacing w:after="0" w:line="276" w:lineRule="auto"/>
        <w:jc w:val="both"/>
        <w:rPr>
          <w:rFonts w:ascii="Verdana" w:hAnsi="Verdana" w:cs="Arial"/>
          <w:lang w:val="es-MX"/>
        </w:rPr>
      </w:pPr>
    </w:p>
    <w:p w14:paraId="7215333D" w14:textId="77777777" w:rsidR="004E6EE2" w:rsidRPr="006F42F9" w:rsidRDefault="004E6EE2" w:rsidP="004E6EE2">
      <w:pPr>
        <w:spacing w:after="0" w:line="240" w:lineRule="auto"/>
        <w:ind w:left="708" w:right="709"/>
        <w:jc w:val="both"/>
        <w:rPr>
          <w:rFonts w:ascii="Verdana" w:hAnsi="Verdana" w:cs="Arial"/>
          <w:sz w:val="20"/>
          <w:szCs w:val="20"/>
          <w:lang w:val="es-MX"/>
        </w:rPr>
      </w:pPr>
      <w:bookmarkStart w:id="7" w:name="_Hlk75811446"/>
      <w:r w:rsidRPr="006F42F9">
        <w:rPr>
          <w:rFonts w:ascii="Verdana" w:hAnsi="Verdana" w:cs="Arial"/>
          <w:sz w:val="20"/>
          <w:szCs w:val="20"/>
          <w:lang w:val="es-MX"/>
        </w:rPr>
        <w:t>“En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bookmarkEnd w:id="7"/>
    </w:p>
    <w:p w14:paraId="325BAFB6" w14:textId="77777777" w:rsidR="004E6EE2" w:rsidRPr="006F42F9" w:rsidRDefault="004E6EE2" w:rsidP="004E6EE2">
      <w:pPr>
        <w:spacing w:after="0" w:line="240" w:lineRule="auto"/>
        <w:ind w:left="708" w:right="709"/>
        <w:jc w:val="both"/>
        <w:rPr>
          <w:rFonts w:ascii="Verdana" w:hAnsi="Verdana" w:cs="Arial"/>
          <w:sz w:val="20"/>
          <w:szCs w:val="20"/>
          <w:lang w:val="es-MX"/>
        </w:rPr>
      </w:pPr>
    </w:p>
    <w:p w14:paraId="02709909" w14:textId="77777777" w:rsidR="004E6EE2" w:rsidRPr="006F42F9" w:rsidRDefault="004E6EE2" w:rsidP="004E6EE2">
      <w:pPr>
        <w:spacing w:after="0" w:line="240" w:lineRule="auto"/>
        <w:ind w:left="708" w:right="709"/>
        <w:jc w:val="both"/>
        <w:rPr>
          <w:rFonts w:ascii="Verdana" w:eastAsia="Calibri" w:hAnsi="Verdana" w:cs="Arial"/>
          <w:sz w:val="20"/>
          <w:szCs w:val="20"/>
          <w:lang w:val="es-MX"/>
        </w:rPr>
      </w:pPr>
      <w:r w:rsidRPr="006F42F9">
        <w:rPr>
          <w:rFonts w:ascii="Verdana" w:eastAsia="Times New Roman" w:hAnsi="Verdana" w:cs="Arial"/>
          <w:bCs/>
          <w:sz w:val="20"/>
          <w:szCs w:val="20"/>
          <w:lang w:val="es-MX" w:eastAsia="x-none"/>
        </w:rPr>
        <w:t>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significaría la parálisis de tal actividad de interés público, lo que de ninguna manera es lo querido por la ley 996 de 2005</w:t>
      </w:r>
      <w:r w:rsidRPr="006F42F9">
        <w:rPr>
          <w:rFonts w:ascii="Verdana" w:eastAsia="Calibri" w:hAnsi="Verdana" w:cs="Arial"/>
          <w:sz w:val="20"/>
          <w:szCs w:val="20"/>
          <w:vertAlign w:val="superscript"/>
          <w:lang w:val="es-MX"/>
        </w:rPr>
        <w:footnoteReference w:id="10"/>
      </w:r>
      <w:r w:rsidRPr="006F42F9">
        <w:rPr>
          <w:rFonts w:ascii="Verdana" w:eastAsia="Times New Roman" w:hAnsi="Verdana" w:cs="Arial"/>
          <w:bCs/>
          <w:sz w:val="20"/>
          <w:szCs w:val="20"/>
          <w:lang w:val="es-MX" w:eastAsia="x-none"/>
        </w:rPr>
        <w:t>.</w:t>
      </w:r>
    </w:p>
    <w:p w14:paraId="34AB9F6C" w14:textId="77777777" w:rsidR="004E6EE2" w:rsidRPr="006F42F9" w:rsidRDefault="004E6EE2" w:rsidP="004E6EE2">
      <w:pPr>
        <w:spacing w:after="0" w:line="276" w:lineRule="auto"/>
        <w:ind w:firstLine="709"/>
        <w:jc w:val="both"/>
        <w:rPr>
          <w:rFonts w:ascii="Verdana" w:hAnsi="Verdana" w:cs="Arial"/>
          <w:lang w:val="es-MX"/>
        </w:rPr>
      </w:pPr>
    </w:p>
    <w:p w14:paraId="370FD212" w14:textId="77777777" w:rsidR="004E6EE2" w:rsidRPr="006F42F9" w:rsidRDefault="004E6EE2" w:rsidP="004E6EE2">
      <w:pPr>
        <w:spacing w:after="120" w:line="276" w:lineRule="auto"/>
        <w:ind w:firstLine="709"/>
        <w:jc w:val="both"/>
        <w:rPr>
          <w:rFonts w:ascii="Verdana" w:eastAsia="Times New Roman" w:hAnsi="Verdana" w:cs="Arial"/>
          <w:lang w:eastAsia="es-CO"/>
        </w:rPr>
      </w:pPr>
      <w:r w:rsidRPr="006F42F9">
        <w:rPr>
          <w:rFonts w:ascii="Verdana" w:eastAsia="Calibri" w:hAnsi="Verdana" w:cs="Arial"/>
          <w:lang w:val="es-MX"/>
        </w:rPr>
        <w:t xml:space="preserve">De acuerdo con estos pronunciamientos de la Sala de Consulta y Servicio Civil del Consejo de Estado, la prohibición de la contratación directa también </w:t>
      </w:r>
      <w:r w:rsidRPr="006F42F9">
        <w:rPr>
          <w:rFonts w:ascii="Verdana" w:eastAsia="Calibri" w:hAnsi="Verdana" w:cs="Arial"/>
          <w:lang w:val="es-MX"/>
        </w:rPr>
        <w:lastRenderedPageBreak/>
        <w:t xml:space="preserve">aplica frente a las entidades exceptuadas de la aplicación del EGCAP y que se rigen en materia contractual por el derecho privado. Sin embargo, señaló que algunas de estas entidades, como sucede con las empresas de servicios públicos domiciliarios, los </w:t>
      </w:r>
      <w:r w:rsidRPr="006F42F9">
        <w:rPr>
          <w:rFonts w:ascii="Verdana" w:eastAsia="Times New Roman" w:hAnsi="Verdana" w:cs="Arial"/>
          <w:bCs/>
          <w:lang w:val="es-MX" w:eastAsia="x-none"/>
        </w:rPr>
        <w:t>establecimientos de crédito, las sociedades de servicios financieros y las entidades aseguradoras</w:t>
      </w:r>
      <w:r w:rsidRPr="006F42F9">
        <w:rPr>
          <w:rFonts w:ascii="Verdana" w:eastAsia="Calibri" w:hAnsi="Verdana" w:cs="Arial"/>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sidRPr="006F42F9">
        <w:rPr>
          <w:rFonts w:ascii="Verdana" w:eastAsia="Calibri" w:hAnsi="Verdana" w:cs="Arial"/>
          <w:vertAlign w:val="superscript"/>
          <w:lang w:val="es-MX"/>
        </w:rPr>
        <w:footnoteReference w:id="11"/>
      </w:r>
      <w:r w:rsidRPr="006F42F9">
        <w:rPr>
          <w:rFonts w:ascii="Verdana" w:eastAsia="Calibri" w:hAnsi="Verdana" w:cs="Arial"/>
          <w:lang w:val="es-MX"/>
        </w:rPr>
        <w:t>.</w:t>
      </w:r>
      <w:r w:rsidRPr="006F42F9">
        <w:rPr>
          <w:rFonts w:ascii="Verdana" w:eastAsia="Times New Roman" w:hAnsi="Verdana" w:cs="Arial"/>
          <w:lang w:eastAsia="es-CO"/>
        </w:rPr>
        <w:t xml:space="preserve"> </w:t>
      </w:r>
    </w:p>
    <w:p w14:paraId="74FAD33A" w14:textId="77777777" w:rsidR="004E6EE2" w:rsidRPr="006F42F9" w:rsidRDefault="004E6EE2" w:rsidP="004E6EE2">
      <w:pPr>
        <w:spacing w:after="120" w:line="276" w:lineRule="auto"/>
        <w:ind w:firstLine="709"/>
        <w:jc w:val="both"/>
        <w:rPr>
          <w:rFonts w:ascii="Verdana" w:eastAsia="Times New Roman" w:hAnsi="Verdana" w:cs="Arial"/>
          <w:bCs/>
          <w:lang w:eastAsia="x-none"/>
        </w:rPr>
      </w:pPr>
      <w:r w:rsidRPr="006F42F9">
        <w:rPr>
          <w:rFonts w:ascii="Verdana" w:eastAsia="Times New Roman" w:hAnsi="Verdana" w:cs="Arial"/>
          <w:bCs/>
          <w:lang w:val="es-MX" w:eastAsia="x-none"/>
        </w:rPr>
        <w:t xml:space="preserve">Así las cosas, como lo señala la Circular Externa No. 006 de 2025 en el literal i) del numeral 1, </w:t>
      </w:r>
      <w:bookmarkEnd w:id="3"/>
      <w:r w:rsidRPr="006F42F9">
        <w:rPr>
          <w:rFonts w:ascii="Verdana" w:eastAsia="Times New Roman" w:hAnsi="Verdana" w:cs="Arial"/>
          <w:bCs/>
          <w:lang w:eastAsia="x-none"/>
        </w:rPr>
        <w:t>algunos ejemplos de los sujetos que tienen prohibido contratar directamente durante el periodo señalado en el artículo 33 son: las Entidades Estatales establecidas en el artículo 2 de la Ley 80 de 1993; las entidades descentralizadas indirectas, es decir, las que surgen por la voluntad asociativa de los entes públicos entre sí o con la intervención de particulares, como las derivadas de los artículos 95 y 96 de la Ley 489 de 1998; las empresas industriales y comerciales del Estado y las Sociedades de Economía Mixta, salvo cuando la celebración de un convenio interadministrativo sea ordenada, para ambas partes, por el Legislador; las Empresas de Servicios Públicos oficiales y mixtas; las Empresas Sociales del Estado; los entes universitarios autónomos, entre otros.</w:t>
      </w:r>
    </w:p>
    <w:p w14:paraId="55865E57" w14:textId="77777777" w:rsidR="004E6EE2" w:rsidRPr="006F42F9" w:rsidRDefault="004E6EE2" w:rsidP="004E6EE2">
      <w:pPr>
        <w:spacing w:after="120" w:line="276" w:lineRule="auto"/>
        <w:ind w:firstLine="708"/>
        <w:jc w:val="both"/>
        <w:rPr>
          <w:rFonts w:ascii="Verdana" w:hAnsi="Verdana" w:cs="Arial"/>
        </w:rPr>
      </w:pPr>
      <w:r w:rsidRPr="006F42F9">
        <w:rPr>
          <w:rFonts w:ascii="Verdana" w:hAnsi="Verdana" w:cs="Arial"/>
        </w:rPr>
        <w:t xml:space="preserve">Tratándose de los patrimonios autónomos constituidos por entidades estatales, es necesario tener en cuenta que la naturaleza jurídica del fideicomitente no se traslada </w:t>
      </w:r>
      <w:r w:rsidRPr="006F42F9">
        <w:rPr>
          <w:rFonts w:ascii="Verdana" w:hAnsi="Verdana" w:cs="Arial"/>
          <w:i/>
          <w:iCs/>
        </w:rPr>
        <w:t>ipso iure</w:t>
      </w:r>
      <w:r w:rsidRPr="006F42F9">
        <w:rPr>
          <w:rFonts w:ascii="Verdana" w:hAnsi="Verdana" w:cs="Arial"/>
        </w:rPr>
        <w:t xml:space="preserve"> a los bienes fideicomitidos que administra la sociedad fiduciaria. Por ello, el inciso primero del artículo 2.5.2.1.1 del Decreto 2555 de 2010 dispone que “[…] aun cuando no son personas jurídicas, se constituyen en receptores de los derechos y obligaciones legales y convencionalmente derivados de los actos y contratos celebrados y ejecutados por el fiduciario en cumplimiento del contrato de fiducia”.</w:t>
      </w:r>
    </w:p>
    <w:p w14:paraId="1EDE1CA1" w14:textId="77777777" w:rsidR="004E6EE2" w:rsidRPr="006F42F9" w:rsidRDefault="004E6EE2" w:rsidP="004E6EE2">
      <w:pPr>
        <w:spacing w:after="0" w:line="276" w:lineRule="auto"/>
        <w:ind w:firstLine="709"/>
        <w:jc w:val="both"/>
        <w:rPr>
          <w:rFonts w:ascii="Verdana" w:hAnsi="Verdana" w:cs="Arial"/>
        </w:rPr>
      </w:pPr>
      <w:r w:rsidRPr="006F42F9">
        <w:rPr>
          <w:rFonts w:ascii="Verdana" w:hAnsi="Verdana" w:cs="Arial"/>
        </w:rPr>
        <w:t xml:space="preserve">En esta medida, conforme a los artículos 1226 y 1233 del Código de Comercio, el patrimonio autónomo es un centro de imputación de derechos y </w:t>
      </w:r>
      <w:r w:rsidRPr="006F42F9">
        <w:rPr>
          <w:rFonts w:ascii="Verdana" w:hAnsi="Verdana" w:cs="Arial"/>
        </w:rPr>
        <w:lastRenderedPageBreak/>
        <w:t>obligaciones afecto a la finalidad contemplada en el acto constitutivo, de carácter temporal y totalmente diferente a la persona que lo origina –fiduciante, fideicomitente o constituyente–, quien lo administra –fiduciario– y quien habrá de recibirlo –fideicomisario o beneficiario–. Al respecto, la Superintendencia Financiera considera que:</w:t>
      </w:r>
    </w:p>
    <w:p w14:paraId="49FD0AFA" w14:textId="77777777" w:rsidR="004E6EE2" w:rsidRPr="006F42F9" w:rsidRDefault="004E6EE2" w:rsidP="004E6EE2">
      <w:pPr>
        <w:spacing w:after="0" w:line="276" w:lineRule="auto"/>
        <w:ind w:firstLine="709"/>
        <w:jc w:val="both"/>
        <w:rPr>
          <w:rFonts w:ascii="Verdana" w:hAnsi="Verdana" w:cs="Arial"/>
        </w:rPr>
      </w:pPr>
    </w:p>
    <w:p w14:paraId="0B9B0565" w14:textId="77777777" w:rsidR="004E6EE2" w:rsidRPr="006F42F9" w:rsidRDefault="004E6EE2" w:rsidP="004E6EE2">
      <w:pPr>
        <w:spacing w:after="120" w:line="240" w:lineRule="auto"/>
        <w:ind w:left="709" w:right="709"/>
        <w:jc w:val="both"/>
        <w:rPr>
          <w:rFonts w:ascii="Verdana" w:hAnsi="Verdana" w:cs="Arial"/>
          <w:sz w:val="20"/>
          <w:szCs w:val="20"/>
        </w:rPr>
      </w:pPr>
      <w:r w:rsidRPr="006F42F9">
        <w:rPr>
          <w:rFonts w:ascii="Verdana" w:hAnsi="Verdana" w:cs="Arial"/>
          <w:sz w:val="20"/>
          <w:szCs w:val="20"/>
        </w:rPr>
        <w:t xml:space="preserve">“[…] el negocio fiduciario […] supone una transferencia de bienes por parte de un constituyente para que con ellos se cumpla una finalidad. Ese conjunto de bienes transferidos a una fiduciaria es lo que conforma o se denomina patrimonio autónomo. Dichos bienes salen real y jurídicamente del patrimonio del fideicomitente (titular del dominio) y están afectos al cumplimiento de las finalidades señaladas en el acto constitutivo. (artículos 1226 a 1244 del C. Co). </w:t>
      </w:r>
    </w:p>
    <w:p w14:paraId="552AAEBC" w14:textId="77777777" w:rsidR="004E6EE2" w:rsidRPr="006F42F9" w:rsidRDefault="004E6EE2" w:rsidP="004E6EE2">
      <w:pPr>
        <w:spacing w:after="0" w:line="240" w:lineRule="auto"/>
        <w:ind w:left="709" w:right="709"/>
        <w:jc w:val="both"/>
        <w:rPr>
          <w:rFonts w:ascii="Verdana" w:hAnsi="Verdana" w:cs="Arial"/>
          <w:sz w:val="21"/>
          <w:szCs w:val="21"/>
        </w:rPr>
      </w:pPr>
      <w:r w:rsidRPr="006F42F9">
        <w:rPr>
          <w:rFonts w:ascii="Verdana" w:hAnsi="Verdana" w:cs="Arial"/>
          <w:sz w:val="20"/>
          <w:szCs w:val="20"/>
        </w:rPr>
        <w:t>Los bienes recibidos en fideicomiso, es decir que conforman el patrimonio autónomo no pueden confundirse con los bienes del fiduciario, luego deben estar separados de los que integran los activos de la fiduciaria, son excluidos de la garantía general de los acreedores del fiduciario y fideicomitente y garantizan las obligaciones que contraiga el patrimonio autónomo en el logro de la finalidad de la fiducia”</w:t>
      </w:r>
      <w:r w:rsidRPr="006F42F9">
        <w:rPr>
          <w:rFonts w:ascii="Verdana" w:hAnsi="Verdana" w:cs="Arial"/>
          <w:sz w:val="20"/>
          <w:szCs w:val="20"/>
          <w:vertAlign w:val="superscript"/>
        </w:rPr>
        <w:footnoteReference w:id="12"/>
      </w:r>
      <w:r w:rsidRPr="006F42F9">
        <w:rPr>
          <w:rFonts w:ascii="Verdana" w:hAnsi="Verdana" w:cs="Arial"/>
          <w:sz w:val="20"/>
          <w:szCs w:val="20"/>
        </w:rPr>
        <w:t>.</w:t>
      </w:r>
      <w:r w:rsidRPr="006F42F9">
        <w:rPr>
          <w:rFonts w:ascii="Verdana" w:hAnsi="Verdana" w:cs="Arial"/>
          <w:sz w:val="21"/>
          <w:szCs w:val="21"/>
        </w:rPr>
        <w:t xml:space="preserve"> </w:t>
      </w:r>
    </w:p>
    <w:p w14:paraId="617E413B" w14:textId="77777777" w:rsidR="004E6EE2" w:rsidRPr="006F42F9" w:rsidRDefault="004E6EE2" w:rsidP="004E6EE2">
      <w:pPr>
        <w:spacing w:after="0" w:line="276" w:lineRule="auto"/>
        <w:ind w:left="709" w:right="709"/>
        <w:jc w:val="both"/>
        <w:rPr>
          <w:rFonts w:ascii="Verdana" w:hAnsi="Verdana" w:cs="Arial"/>
        </w:rPr>
      </w:pPr>
      <w:r w:rsidRPr="006F42F9">
        <w:rPr>
          <w:rFonts w:ascii="Verdana" w:hAnsi="Verdana" w:cs="Arial"/>
        </w:rPr>
        <w:t xml:space="preserve">   </w:t>
      </w:r>
    </w:p>
    <w:p w14:paraId="43995398" w14:textId="77777777" w:rsidR="004E6EE2" w:rsidRPr="006F42F9" w:rsidRDefault="004E6EE2" w:rsidP="004E6EE2">
      <w:pPr>
        <w:spacing w:after="120" w:line="276" w:lineRule="auto"/>
        <w:ind w:firstLine="708"/>
        <w:jc w:val="both"/>
        <w:rPr>
          <w:rFonts w:ascii="Verdana" w:hAnsi="Verdana" w:cs="Arial"/>
        </w:rPr>
      </w:pPr>
      <w:r w:rsidRPr="006F42F9">
        <w:rPr>
          <w:rFonts w:ascii="Verdana" w:hAnsi="Verdana" w:cs="Arial"/>
        </w:rPr>
        <w:t>De acuerdo con lo anterior, es importante separar los patrimonios del fiduciante y la fiduciaria del patrimonio autónomo constituido con ocasión del contrato de fiducia, puesto que cada uno de ellos deberá responder por sus propias obligaciones. Por tanto, el patrimonio autónomo solo será responsable por las obligaciones que se contraigan por el logro de la finalidad para la cual fue entregado en administración y nunca por las obligaciones derivadas del cumplimiento del objeto social de la entidad fiduciaria ni por las que haya adquirido el fiduciante. En esta medida, los patrimonios autónomos no pueden considerarse como entidades del Estado, pues derivan de negocios fiduciarios conformados por un conjunto de bienes para el cumplimiento de un objetivo específico que se expresa en el acto de constitución.</w:t>
      </w:r>
    </w:p>
    <w:p w14:paraId="6C28BBEB" w14:textId="77777777" w:rsidR="004E6EE2" w:rsidRPr="006F42F9" w:rsidRDefault="004E6EE2" w:rsidP="004E6EE2">
      <w:pPr>
        <w:spacing w:after="0" w:line="276" w:lineRule="auto"/>
        <w:ind w:firstLine="708"/>
        <w:jc w:val="both"/>
        <w:rPr>
          <w:rFonts w:ascii="Verdana" w:hAnsi="Verdana" w:cs="Arial"/>
        </w:rPr>
      </w:pPr>
      <w:r w:rsidRPr="006F42F9">
        <w:rPr>
          <w:rFonts w:ascii="Verdana" w:hAnsi="Verdana" w:cs="Arial"/>
        </w:rPr>
        <w:t xml:space="preserve">A pesar de que el patrimonio autónomo no es una entidad estatal, ello no justifica por sí solo inaplicar la prohibición del artículo 33 de la Ley de Garantías. Entender lo contrario implicaría que, con el objetivo de eludir la restricción, sería posible celebrar negocios fiduciarios para que el representante del patrimonio autónomo suscribiera los contratos que no pueda adelantar por sí misma la </w:t>
      </w:r>
      <w:r w:rsidRPr="006F42F9">
        <w:rPr>
          <w:rFonts w:ascii="Verdana" w:hAnsi="Verdana" w:cs="Arial"/>
        </w:rPr>
        <w:lastRenderedPageBreak/>
        <w:t>entidad fideicomitente. Esta consecuencia es inaceptable, pues es contraria la finalidad de la Ley de Garantías, razón por la cual la Agencia –en el Concepto 4201713000006681 de 2018– consideró que:</w:t>
      </w:r>
    </w:p>
    <w:p w14:paraId="71BE0E12" w14:textId="77777777" w:rsidR="004E6EE2" w:rsidRPr="006F42F9" w:rsidRDefault="004E6EE2" w:rsidP="004E6EE2">
      <w:pPr>
        <w:spacing w:after="0" w:line="276" w:lineRule="auto"/>
        <w:ind w:firstLine="708"/>
        <w:jc w:val="both"/>
        <w:rPr>
          <w:rFonts w:ascii="Verdana" w:hAnsi="Verdana" w:cs="Arial"/>
        </w:rPr>
      </w:pPr>
    </w:p>
    <w:p w14:paraId="232EB15E" w14:textId="77777777" w:rsidR="004E6EE2" w:rsidRPr="006F42F9" w:rsidRDefault="004E6EE2" w:rsidP="004E6EE2">
      <w:pPr>
        <w:spacing w:after="0" w:line="240" w:lineRule="auto"/>
        <w:ind w:left="709" w:right="709"/>
        <w:jc w:val="both"/>
        <w:rPr>
          <w:rFonts w:ascii="Verdana" w:hAnsi="Verdana" w:cs="Arial"/>
          <w:sz w:val="20"/>
          <w:szCs w:val="20"/>
        </w:rPr>
      </w:pPr>
      <w:r w:rsidRPr="006F42F9">
        <w:rPr>
          <w:rFonts w:ascii="Verdana" w:hAnsi="Verdana" w:cs="Arial"/>
          <w:sz w:val="20"/>
          <w:szCs w:val="20"/>
        </w:rPr>
        <w:t>“La constitución de patrimonios autónomos en virtud de una fiducia mercantil no podrá transgredir preceptos legales ni podrán ser instrumentos con los cuales se omitan las restricciones para celebrar contratos a las que se encuentren sujetas las Entidades fideicomitentes, ya que con su constitución no se desnaturalizan los recursos con los cuales se conforma el patrimonio autónomo ni se desvincula el poder de direccionamiento y decisión que podría ejercer el Ente del Estado en la contratación derivada de dicho patrimonio, capaz de influir en la voluntad del electorado […]”.</w:t>
      </w:r>
    </w:p>
    <w:p w14:paraId="51571B1F" w14:textId="77777777" w:rsidR="004E6EE2" w:rsidRPr="006F42F9" w:rsidRDefault="004E6EE2" w:rsidP="004E6EE2">
      <w:pPr>
        <w:spacing w:after="0" w:line="276" w:lineRule="auto"/>
        <w:jc w:val="both"/>
        <w:rPr>
          <w:rFonts w:ascii="Verdana" w:hAnsi="Verdana" w:cs="Arial"/>
        </w:rPr>
      </w:pPr>
    </w:p>
    <w:p w14:paraId="15B8420A" w14:textId="77777777" w:rsidR="004E6EE2" w:rsidRPr="006F42F9" w:rsidRDefault="004E6EE2" w:rsidP="004E6EE2">
      <w:pPr>
        <w:spacing w:after="120" w:line="276" w:lineRule="auto"/>
        <w:ind w:firstLine="708"/>
        <w:jc w:val="both"/>
        <w:rPr>
          <w:rFonts w:ascii="Verdana" w:hAnsi="Verdana" w:cs="Arial"/>
        </w:rPr>
      </w:pPr>
      <w:r w:rsidRPr="006F42F9">
        <w:rPr>
          <w:rFonts w:ascii="Verdana" w:hAnsi="Verdana" w:cs="Arial"/>
        </w:rPr>
        <w:t xml:space="preserve">Así, considerando que las restricciones de la Ley de Garantías son de interpretación estricta, la aplicación a otro tipo de sujetos –como las entidades fiduciarias que administran recursos públicos de entidades estatales– debe fundamentarse en las disposiciones que conforman el bloque de legalidad. Esto en la medida que, conforme a las exigencias del debido proceso, no puede existir prohibición sin norma previa.  </w:t>
      </w:r>
    </w:p>
    <w:p w14:paraId="58CA41F0" w14:textId="77777777" w:rsidR="004E6EE2" w:rsidRPr="006F42F9" w:rsidRDefault="004E6EE2" w:rsidP="004E6EE2">
      <w:pPr>
        <w:spacing w:after="120" w:line="276" w:lineRule="auto"/>
        <w:ind w:firstLine="708"/>
        <w:jc w:val="both"/>
        <w:rPr>
          <w:rFonts w:ascii="Verdana" w:hAnsi="Verdana" w:cs="Arial"/>
        </w:rPr>
      </w:pPr>
      <w:r w:rsidRPr="006F42F9">
        <w:rPr>
          <w:rFonts w:ascii="Verdana" w:hAnsi="Verdana" w:cs="Arial"/>
        </w:rPr>
        <w:t xml:space="preserve">Para estos efectos, tratándose de las entidades sometidas al Estatuto General de Contratación de la Administración Pública, el artículo 32.5, inciso octavo, de la Ley 80 de 1993 dispone lo siguiente: “La fiducia que se autoriza para el sector público en esta ley, nunca implicará transferencia de dominio sobre bienes o recursos estatales, ni constituirá patrimonio autónomo del propio de la respectiva entidad oficial, sin perjuicio de las responsabilidades propias del ordenador del gasto”. Dado que los bienes fideicomitidos no salen del patrimonio de la entidad estatal, la ley exige que la fiduciaria los administre bajo el mismo régimen jurídico del constituyente. </w:t>
      </w:r>
    </w:p>
    <w:p w14:paraId="625078E4" w14:textId="77777777" w:rsidR="004E6EE2" w:rsidRPr="006F42F9" w:rsidRDefault="004E6EE2" w:rsidP="004E6EE2">
      <w:pPr>
        <w:spacing w:after="120" w:line="276" w:lineRule="auto"/>
        <w:ind w:firstLine="708"/>
        <w:jc w:val="both"/>
        <w:rPr>
          <w:rFonts w:ascii="Verdana" w:hAnsi="Verdana" w:cs="Arial"/>
        </w:rPr>
      </w:pPr>
      <w:r w:rsidRPr="006F42F9">
        <w:rPr>
          <w:rFonts w:ascii="Verdana" w:hAnsi="Verdana" w:cs="Arial"/>
        </w:rPr>
        <w:t xml:space="preserve">Por ello, el inciso quinto </w:t>
      </w:r>
      <w:r w:rsidRPr="006F42F9">
        <w:rPr>
          <w:rFonts w:ascii="Verdana" w:hAnsi="Verdana" w:cs="Arial"/>
          <w:i/>
          <w:iCs/>
        </w:rPr>
        <w:t>ibidem</w:t>
      </w:r>
      <w:r w:rsidRPr="006F42F9">
        <w:rPr>
          <w:rFonts w:ascii="Verdana" w:hAnsi="Verdana" w:cs="Arial"/>
        </w:rPr>
        <w:t xml:space="preserve"> también prescribe que “Los actos y contratos que se realicen en desarrollo de un contrato de fiducia pública o encargo fiduciario cumplirán estrictamente con las normas previstas en este estatuto, así como con las disposiciones fiscales, presupuestales, de interventoría y de control a las cuales esté sujeta la entidad estatal fideicomitente”. De esta manera, teniendo en cuenta que la prohibición establecida en el artículo 33 de la Ley de Garantías es una norma a la cual están sujetos los contratos que puede celebrar la entidad fideicomitente, la restricción </w:t>
      </w:r>
      <w:r w:rsidRPr="006F42F9">
        <w:rPr>
          <w:rFonts w:ascii="Verdana" w:hAnsi="Verdana" w:cs="Arial"/>
        </w:rPr>
        <w:lastRenderedPageBreak/>
        <w:t xml:space="preserve">también se extendería a la sociedad fiduciaria en virtud de la disposición indicada, que precisamente extiende distintas disposiciones jurídicas para que resulten aplicables a los actos y contratos que se realicen en desarrollo del contrato de fiducia pública o encargo fiduciario, sin que esta extensión del régimen jurídico se limite a las normas previstas en el EGCAP, sino a las demás señaladas en el inciso citado.  </w:t>
      </w:r>
    </w:p>
    <w:p w14:paraId="443AA176" w14:textId="77777777" w:rsidR="004E6EE2" w:rsidRPr="006F42F9" w:rsidRDefault="004E6EE2" w:rsidP="004E6EE2">
      <w:pPr>
        <w:spacing w:after="120" w:line="276" w:lineRule="auto"/>
        <w:ind w:firstLine="708"/>
        <w:jc w:val="both"/>
        <w:rPr>
          <w:rFonts w:ascii="Verdana" w:hAnsi="Verdana" w:cs="Arial"/>
        </w:rPr>
      </w:pPr>
      <w:r w:rsidRPr="006F42F9">
        <w:rPr>
          <w:rFonts w:ascii="Verdana" w:hAnsi="Verdana" w:cs="Arial"/>
        </w:rPr>
        <w:t>Lo anterior no significa que los patrimonios autónomos constituidos a través de contratos de fiducia mercantil no se rijan por la misma prohibición. En estos casos, especialmente para las entidades exceptuadas de la aplicación del EGCAP que actúen en calidad de constituyentes, es necesario tener en cuenta que el parágrafo d</w:t>
      </w:r>
      <w:bookmarkStart w:id="8" w:name="_Hlk86322055"/>
      <w:r w:rsidRPr="006F42F9">
        <w:rPr>
          <w:rFonts w:ascii="Verdana" w:hAnsi="Verdana" w:cs="Arial"/>
        </w:rPr>
        <w:t>el artículo 2.5.2.1.1 del Decreto 2555 de 2010</w:t>
      </w:r>
      <w:bookmarkEnd w:id="8"/>
      <w:r w:rsidRPr="006F42F9">
        <w:rPr>
          <w:rFonts w:ascii="Verdana" w:hAnsi="Verdana" w:cs="Arial"/>
        </w:rPr>
        <w:t>, “Por el cual se recogen y reexpiden las normas en materia del sector financiero, asegurador y del mercado de valores y se dictan otras disposiciones”, establece que “El negocio fiduciario no podrá servir de instrumento para realizar actos o contratos que no pueda celebrar directamente el fideicomitente de acuerdo con las disposiciones legales”. Como se deduce del apartado normativo, esta disposición regula el régimen aplicable a las sociedades fiduciarias, especialmente, los derechos y obligaciones de los actos y contratos celebrados y ejecutados por el fiduciario, por lo que es transversal al ordenamiento jurídico, es decir, aplica en todos los contratos de fiducia con independencia de que el constituyente sea o no una entidad sometida a la Ley 80 de 1993.</w:t>
      </w:r>
    </w:p>
    <w:p w14:paraId="18511585" w14:textId="77777777" w:rsidR="004E6EE2" w:rsidRPr="006F42F9" w:rsidRDefault="004E6EE2" w:rsidP="004E6EE2">
      <w:pPr>
        <w:spacing w:after="120" w:line="276" w:lineRule="auto"/>
        <w:ind w:firstLine="708"/>
        <w:jc w:val="both"/>
        <w:rPr>
          <w:rFonts w:ascii="Verdana" w:hAnsi="Verdana" w:cs="Arial"/>
        </w:rPr>
      </w:pPr>
      <w:r w:rsidRPr="006F42F9">
        <w:rPr>
          <w:rFonts w:ascii="Verdana" w:hAnsi="Verdana" w:cs="Arial"/>
        </w:rPr>
        <w:t xml:space="preserve">Esto último se confirma en el inciso noveno del artículo 32.5 de la Ley 80 de 1993, ya que “A la fiducia pública le serán aplicables las normas del Código de Comercio sobre fiducia mercantil, en cuanto sean compatibles con lo dispuesto en esta ley”. Por lo demás, aunque los encargos fiduciarios no den lugar a un patrimonio autónomo, el citado artículo 2.5.2.1.1 del Decreto 2555 de 2010 también regula esta clase de negocios, pues –conforme al artículo 146.1 del Estatuto Orgánico del Sistema Financiero– “[…] En relación con los encargos fiduciarios  se aplicarán las disposiciones que regulan el contrato de fiducia mercantil, y subsidiariamente las disposiciones del Código de Comercio que regulan el contrato de mandato, en cuanto unas y otras sean compatibles con la naturaleza propia de estos negocios y no se opongan a las reglas especiales previstas en el presente Estatuto”. </w:t>
      </w:r>
    </w:p>
    <w:p w14:paraId="79B34723" w14:textId="77777777" w:rsidR="004E6EE2" w:rsidRPr="006F42F9" w:rsidRDefault="004E6EE2" w:rsidP="004E6EE2">
      <w:pPr>
        <w:spacing w:after="0" w:line="276" w:lineRule="auto"/>
        <w:ind w:firstLine="708"/>
        <w:jc w:val="both"/>
        <w:rPr>
          <w:rFonts w:ascii="Verdana" w:hAnsi="Verdana" w:cs="Arial"/>
        </w:rPr>
      </w:pPr>
      <w:r w:rsidRPr="006F42F9">
        <w:rPr>
          <w:rFonts w:ascii="Verdana" w:hAnsi="Verdana" w:cs="Arial"/>
        </w:rPr>
        <w:t xml:space="preserve">De esta manera, el artículo 33 de la Ley de Garantías se extiende a las sociedades fiduciarias en virtud del artículo 32.5, inciso quinto, de la Ley 80 de </w:t>
      </w:r>
      <w:r w:rsidRPr="006F42F9">
        <w:rPr>
          <w:rFonts w:ascii="Verdana" w:hAnsi="Verdana" w:cs="Arial"/>
        </w:rPr>
        <w:lastRenderedPageBreak/>
        <w:t xml:space="preserve">1993. Con las diferencias en el alcance, de acuerdo con el inciso noveno </w:t>
      </w:r>
      <w:r w:rsidRPr="006F42F9">
        <w:rPr>
          <w:rFonts w:ascii="Verdana" w:hAnsi="Verdana" w:cs="Arial"/>
          <w:i/>
          <w:iCs/>
        </w:rPr>
        <w:t>ibidem</w:t>
      </w:r>
      <w:r w:rsidRPr="006F42F9">
        <w:rPr>
          <w:rFonts w:ascii="Verdana" w:hAnsi="Verdana" w:cs="Arial"/>
        </w:rPr>
        <w:t>, la misma es congruente con el artículo 2.5.2.1.1 del Decreto 2555 de 2010, el cual rige también en los negocios fiduciarios de las entidades exceptuadas de la aplicación del EGCAP. Por tanto, con independencia del régimen jurídico de la entidad fideicomitente, la prohibición de contratación directa durante la vigencia de la Ley de Garantías también les aplica a las fiduciarias que administran los recursos públicos de los entes del Estado. En este contexto, se reitera que las sociedades fiduciarias no pueden celebrar los contratos en los que las entidades constituyentes tengan alguna restricción, por lo que no son un instrumento para eludir el artículo 33 de la Ley de Garantías. Como explica la doctrina, dado que están prohibidos los negocios fiduciarios realizados en fraude a la ley, la libertad para suscribirlos:</w:t>
      </w:r>
    </w:p>
    <w:p w14:paraId="6DBCEFEA" w14:textId="77777777" w:rsidR="004E6EE2" w:rsidRPr="006F42F9" w:rsidRDefault="004E6EE2" w:rsidP="004E6EE2">
      <w:pPr>
        <w:spacing w:after="0" w:line="276" w:lineRule="auto"/>
        <w:ind w:firstLine="708"/>
        <w:jc w:val="both"/>
        <w:rPr>
          <w:rFonts w:ascii="Verdana" w:hAnsi="Verdana" w:cs="Arial"/>
        </w:rPr>
      </w:pPr>
      <w:r w:rsidRPr="006F42F9">
        <w:rPr>
          <w:rFonts w:ascii="Verdana" w:hAnsi="Verdana" w:cs="Arial"/>
        </w:rPr>
        <w:t xml:space="preserve"> </w:t>
      </w:r>
    </w:p>
    <w:p w14:paraId="044CDAEC" w14:textId="77777777" w:rsidR="004E6EE2" w:rsidRPr="006F42F9" w:rsidRDefault="004E6EE2" w:rsidP="004E6EE2">
      <w:pPr>
        <w:spacing w:after="0" w:line="240" w:lineRule="auto"/>
        <w:ind w:left="709" w:right="709"/>
        <w:jc w:val="both"/>
        <w:rPr>
          <w:rFonts w:ascii="Verdana" w:hAnsi="Verdana" w:cs="Arial"/>
          <w:sz w:val="20"/>
          <w:szCs w:val="20"/>
        </w:rPr>
      </w:pPr>
      <w:r w:rsidRPr="006F42F9">
        <w:rPr>
          <w:rFonts w:ascii="Verdana" w:hAnsi="Verdana" w:cs="Arial"/>
          <w:sz w:val="20"/>
          <w:szCs w:val="20"/>
        </w:rPr>
        <w:t>“[…] debe entenderse limitada, de manera natural, por la imposibilidad de buscar a través de un mecanismo oblicuo, la obtención de una finalidad que no sería lícito obtener al fideicomitente, si actuara en forma directa. Y naturalmente, ello implica un análisis teleológico del contrato para saber qué es lo que realmente se busca con él, si la obtención de la finalidad económica que aparentemente se establece como objeto de contrato y carga para el fiduciario o la eliminación, por esa vía, de restricciones o requisitos que vinculados al cumplimiento de normas de tipo imperativo, en las cuales se encuentren ínsitas el orden público o las buenas costumbres, podrían conducir a la celebración de un contrato nulo por objeto ilícito”</w:t>
      </w:r>
      <w:r w:rsidRPr="006F42F9">
        <w:rPr>
          <w:rFonts w:ascii="Verdana" w:hAnsi="Verdana" w:cs="Arial"/>
          <w:sz w:val="20"/>
          <w:szCs w:val="20"/>
          <w:vertAlign w:val="superscript"/>
        </w:rPr>
        <w:footnoteReference w:id="13"/>
      </w:r>
      <w:r w:rsidRPr="006F42F9">
        <w:rPr>
          <w:rFonts w:ascii="Verdana" w:hAnsi="Verdana" w:cs="Arial"/>
          <w:sz w:val="20"/>
          <w:szCs w:val="20"/>
        </w:rPr>
        <w:t xml:space="preserve">.  </w:t>
      </w:r>
    </w:p>
    <w:p w14:paraId="13774D67" w14:textId="77777777" w:rsidR="004E6EE2" w:rsidRPr="006F42F9" w:rsidRDefault="004E6EE2" w:rsidP="004E6EE2">
      <w:pPr>
        <w:spacing w:after="0" w:line="276" w:lineRule="auto"/>
        <w:jc w:val="both"/>
        <w:rPr>
          <w:rFonts w:ascii="Verdana" w:hAnsi="Verdana" w:cs="Arial"/>
        </w:rPr>
      </w:pPr>
    </w:p>
    <w:p w14:paraId="62E12EB3" w14:textId="77777777" w:rsidR="004E6EE2" w:rsidRDefault="004E6EE2" w:rsidP="004E6EE2">
      <w:pPr>
        <w:spacing w:after="120" w:line="276" w:lineRule="auto"/>
        <w:ind w:firstLine="708"/>
        <w:jc w:val="both"/>
        <w:rPr>
          <w:rFonts w:ascii="Verdana" w:hAnsi="Verdana" w:cs="Arial"/>
          <w:bCs/>
          <w:lang w:eastAsia="x-none"/>
        </w:rPr>
      </w:pPr>
      <w:bookmarkStart w:id="9" w:name="_Hlk77237229"/>
      <w:r w:rsidRPr="006F42F9">
        <w:rPr>
          <w:rFonts w:ascii="Verdana" w:hAnsi="Verdana" w:cs="Arial"/>
        </w:rPr>
        <w:t>En resumen, la restricción prevista en la Ley 996 de 200</w:t>
      </w:r>
      <w:bookmarkStart w:id="10" w:name="_Hlk75741539"/>
      <w:r w:rsidRPr="006F42F9">
        <w:rPr>
          <w:rFonts w:ascii="Verdana" w:hAnsi="Verdana" w:cs="Arial"/>
        </w:rPr>
        <w:t xml:space="preserve">5, </w:t>
      </w:r>
      <w:r w:rsidRPr="006F42F9">
        <w:rPr>
          <w:rFonts w:ascii="Verdana" w:hAnsi="Verdana" w:cs="Arial"/>
          <w:bCs/>
          <w:lang w:eastAsia="x-none"/>
        </w:rPr>
        <w:t>teniendo en cuenta la finalidad de la Ley de Garantías Electorales, cobija a cualquier ente del Estado que, a través de la contratación directa, pueda romper el equilibrio entre los candidatos en desarrollo de las elecciones presidenciales. Tampoco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w:t>
      </w:r>
      <w:bookmarkEnd w:id="9"/>
      <w:bookmarkEnd w:id="10"/>
      <w:r w:rsidRPr="006F42F9">
        <w:rPr>
          <w:rFonts w:ascii="Verdana" w:hAnsi="Verdana" w:cs="Arial"/>
          <w:bCs/>
          <w:lang w:eastAsia="x-none"/>
        </w:rPr>
        <w:t xml:space="preserve"> </w:t>
      </w:r>
    </w:p>
    <w:p w14:paraId="73C97166" w14:textId="77777777" w:rsidR="004E6EE2" w:rsidRPr="006F42F9" w:rsidRDefault="004E6EE2" w:rsidP="004E6EE2">
      <w:pPr>
        <w:spacing w:after="0" w:line="276" w:lineRule="auto"/>
        <w:ind w:firstLine="708"/>
        <w:jc w:val="both"/>
        <w:rPr>
          <w:rFonts w:ascii="Verdana" w:hAnsi="Verdana" w:cs="Arial"/>
        </w:rPr>
      </w:pPr>
      <w:r w:rsidRPr="006F42F9">
        <w:rPr>
          <w:rFonts w:ascii="Verdana" w:hAnsi="Verdana" w:cs="Arial"/>
          <w:bCs/>
          <w:lang w:eastAsia="x-none"/>
        </w:rPr>
        <w:lastRenderedPageBreak/>
        <w:t xml:space="preserve">Incluso, de acuerdo con </w:t>
      </w:r>
      <w:r w:rsidRPr="006F42F9">
        <w:rPr>
          <w:rFonts w:ascii="Verdana" w:hAnsi="Verdana" w:cs="Arial"/>
        </w:rPr>
        <w:t xml:space="preserve">el artículo 32.5, </w:t>
      </w:r>
      <w:proofErr w:type="spellStart"/>
      <w:r w:rsidRPr="006F42F9">
        <w:rPr>
          <w:rFonts w:ascii="Verdana" w:hAnsi="Verdana" w:cs="Arial"/>
        </w:rPr>
        <w:t>incno</w:t>
      </w:r>
      <w:proofErr w:type="spellEnd"/>
      <w:r w:rsidRPr="006F42F9">
        <w:rPr>
          <w:rFonts w:ascii="Verdana" w:hAnsi="Verdana" w:cs="Arial"/>
        </w:rPr>
        <w:t xml:space="preserve"> podría, de la Ley 80 de 1993 y el artículo 2.5.2.1.1 del Decreto 2555 de 2010, la prohibición también se extiende a las sociedades fiduciarias, frente a los actos y contratos que realicen en desarrollo del negocio fiduciario, con independencia del régimen jurídico de la entidad fideicomitente, razón por la cual no  podría </w:t>
      </w:r>
      <w:proofErr w:type="spellStart"/>
      <w:r w:rsidRPr="006F42F9">
        <w:rPr>
          <w:rFonts w:ascii="Verdana" w:hAnsi="Verdana" w:cs="Arial"/>
        </w:rPr>
        <w:t>inaplicarse</w:t>
      </w:r>
      <w:proofErr w:type="spellEnd"/>
      <w:r w:rsidRPr="006F42F9">
        <w:rPr>
          <w:rFonts w:ascii="Verdana" w:hAnsi="Verdana" w:cs="Arial"/>
        </w:rPr>
        <w:t xml:space="preserve"> la prohibición establecida en el artículo 33 de la Ley de Garantías Electorales, con la constitución de patrimonios autónomos. Esto último rige para el contrato de fiducia que suscriba el Ministerio de Igualdad y Equidad con una Sociedad Fiduciaria Pública, en los términos del artículo 72 de la Ley 2294 de 2023</w:t>
      </w:r>
      <w:r w:rsidRPr="006F42F9">
        <w:rPr>
          <w:rFonts w:ascii="Verdana" w:hAnsi="Verdana" w:cs="Arial"/>
          <w:vertAlign w:val="superscript"/>
        </w:rPr>
        <w:footnoteReference w:id="14"/>
      </w:r>
      <w:r w:rsidRPr="006F42F9">
        <w:rPr>
          <w:rFonts w:ascii="Verdana" w:hAnsi="Verdana" w:cs="Arial"/>
        </w:rPr>
        <w:t>.</w:t>
      </w:r>
    </w:p>
    <w:p w14:paraId="1210573C" w14:textId="77777777" w:rsidR="004E6EE2" w:rsidRDefault="004E6EE2" w:rsidP="004E6EE2">
      <w:pPr>
        <w:spacing w:after="0" w:line="276" w:lineRule="auto"/>
        <w:jc w:val="both"/>
        <w:rPr>
          <w:rFonts w:ascii="Verdana" w:hAnsi="Verdana" w:cs="Arial"/>
          <w:bCs/>
          <w:lang w:val="es-MX" w:eastAsia="x-none"/>
        </w:rPr>
      </w:pPr>
    </w:p>
    <w:p w14:paraId="17EF51F8" w14:textId="77777777" w:rsidR="004E6EE2" w:rsidRPr="006F42F9" w:rsidRDefault="004E6EE2" w:rsidP="004E6EE2">
      <w:pPr>
        <w:spacing w:after="0" w:line="276" w:lineRule="auto"/>
        <w:jc w:val="both"/>
        <w:rPr>
          <w:rFonts w:ascii="Verdana" w:hAnsi="Verdana" w:cs="Arial"/>
          <w:bCs/>
          <w:lang w:val="es-MX" w:eastAsia="es-CO"/>
        </w:rPr>
      </w:pPr>
      <w:proofErr w:type="spellStart"/>
      <w:r>
        <w:rPr>
          <w:rFonts w:ascii="Verdana" w:hAnsi="Verdana" w:cs="Arial"/>
          <w:bCs/>
          <w:lang w:val="es-MX" w:eastAsia="x-none"/>
        </w:rPr>
        <w:t>iii</w:t>
      </w:r>
      <w:proofErr w:type="spellEnd"/>
      <w:r>
        <w:rPr>
          <w:rFonts w:ascii="Verdana" w:hAnsi="Verdana" w:cs="Arial"/>
          <w:bCs/>
          <w:lang w:val="es-MX" w:eastAsia="x-none"/>
        </w:rPr>
        <w:t xml:space="preserve">) </w:t>
      </w:r>
      <w:r w:rsidRPr="006F42F9">
        <w:rPr>
          <w:rFonts w:ascii="Verdana" w:hAnsi="Verdana" w:cs="Arial"/>
          <w:bCs/>
          <w:lang w:val="es-MX" w:eastAsia="x-none"/>
        </w:rPr>
        <w:t xml:space="preserve">El ámbito material de la prohibición contenida en el artículo 33 de la ley 996 de 2005 está delimitado por la expresión </w:t>
      </w:r>
      <w:r w:rsidRPr="006F42F9">
        <w:rPr>
          <w:rFonts w:ascii="Verdana" w:eastAsia="Calibri" w:hAnsi="Verdana" w:cs="Arial"/>
          <w:bCs/>
          <w:sz w:val="20"/>
          <w:szCs w:val="20"/>
          <w:lang w:val="es-MX"/>
        </w:rPr>
        <w:t>“</w:t>
      </w:r>
      <w:r w:rsidRPr="006F42F9">
        <w:rPr>
          <w:rFonts w:ascii="Verdana" w:hAnsi="Verdana" w:cs="Arial"/>
          <w:bCs/>
          <w:lang w:val="es-MX" w:eastAsia="x-none"/>
        </w:rPr>
        <w:t>queda prohibida la contratación directa</w:t>
      </w:r>
      <w:r w:rsidRPr="006F42F9">
        <w:rPr>
          <w:rFonts w:ascii="Verdana" w:hAnsi="Verdana" w:cs="Arial"/>
          <w:sz w:val="20"/>
          <w:szCs w:val="20"/>
          <w:lang w:val="es-MX"/>
        </w:rPr>
        <w:t>”</w:t>
      </w:r>
      <w:r w:rsidRPr="006F42F9">
        <w:rPr>
          <w:rFonts w:ascii="Verdana" w:hAnsi="Verdana" w:cs="Arial"/>
          <w:bCs/>
          <w:lang w:val="es-MX" w:eastAsia="x-none"/>
        </w:rPr>
        <w:t xml:space="preserve">. </w:t>
      </w:r>
      <w:r w:rsidRPr="006F42F9">
        <w:rPr>
          <w:rFonts w:ascii="Verdana" w:hAnsi="Verdana" w:cs="Arial"/>
          <w:lang w:val="es-MX" w:eastAsia="es-CO"/>
        </w:rPr>
        <w:t xml:space="preserve"> A propósito de </w:t>
      </w:r>
      <w:r w:rsidRPr="006F42F9">
        <w:rPr>
          <w:rFonts w:ascii="Verdana" w:hAnsi="Verdana" w:cs="Arial"/>
          <w:lang w:eastAsia="es-CO"/>
        </w:rPr>
        <w:t>esta restricción de la Ley de Garantías Electorales, la Sala de Consulta y Servicio Civil del Consejo de Estado ha considerado que:</w:t>
      </w:r>
    </w:p>
    <w:p w14:paraId="53286146" w14:textId="77777777" w:rsidR="004E6EE2" w:rsidRPr="006F42F9" w:rsidRDefault="004E6EE2" w:rsidP="004E6EE2">
      <w:pPr>
        <w:spacing w:after="0" w:line="276" w:lineRule="auto"/>
        <w:ind w:left="708" w:right="709"/>
        <w:jc w:val="both"/>
        <w:rPr>
          <w:rFonts w:ascii="Verdana" w:hAnsi="Verdana" w:cs="Arial"/>
          <w:lang w:val="es-MX"/>
        </w:rPr>
      </w:pPr>
    </w:p>
    <w:p w14:paraId="4F288D86" w14:textId="77777777" w:rsidR="004E6EE2" w:rsidRPr="006F42F9" w:rsidRDefault="004E6EE2" w:rsidP="004E6EE2">
      <w:pPr>
        <w:spacing w:after="120"/>
        <w:ind w:left="709" w:right="709"/>
        <w:jc w:val="both"/>
        <w:rPr>
          <w:rFonts w:ascii="Verdana" w:hAnsi="Verdana" w:cs="Arial"/>
          <w:sz w:val="20"/>
          <w:szCs w:val="20"/>
          <w:lang w:val="es-MX"/>
        </w:rPr>
      </w:pPr>
      <w:r w:rsidRPr="006F42F9">
        <w:rPr>
          <w:rFonts w:ascii="Verdana" w:hAnsi="Verdana" w:cs="Arial"/>
          <w:sz w:val="18"/>
          <w:szCs w:val="18"/>
          <w:lang w:val="es-MX"/>
        </w:rPr>
        <w:t>“</w:t>
      </w:r>
      <w:r w:rsidRPr="006F42F9">
        <w:rPr>
          <w:rFonts w:ascii="Verdana"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6F42F9">
        <w:rPr>
          <w:rFonts w:ascii="Verdana" w:hAnsi="Verdana" w:cs="Arial"/>
          <w:sz w:val="20"/>
          <w:szCs w:val="20"/>
          <w:vertAlign w:val="superscript"/>
          <w:lang w:eastAsia="es-CO"/>
        </w:rPr>
        <w:footnoteReference w:id="15"/>
      </w:r>
      <w:r w:rsidRPr="006F42F9">
        <w:rPr>
          <w:rFonts w:ascii="Verdana" w:hAnsi="Verdana" w:cs="Arial"/>
          <w:sz w:val="20"/>
          <w:szCs w:val="20"/>
          <w:lang w:val="es-MX"/>
        </w:rPr>
        <w:t>.</w:t>
      </w:r>
    </w:p>
    <w:p w14:paraId="61CA3860" w14:textId="77777777" w:rsidR="004E6EE2" w:rsidRPr="006F42F9" w:rsidRDefault="004E6EE2" w:rsidP="004E6EE2">
      <w:pPr>
        <w:spacing w:after="0"/>
        <w:ind w:left="708" w:right="709"/>
        <w:jc w:val="both"/>
        <w:rPr>
          <w:rFonts w:ascii="Verdana" w:hAnsi="Verdana" w:cs="Arial"/>
          <w:sz w:val="20"/>
          <w:szCs w:val="20"/>
          <w:lang w:val="es-MX"/>
        </w:rPr>
      </w:pPr>
      <w:r w:rsidRPr="006F42F9">
        <w:rPr>
          <w:rFonts w:ascii="Verdana" w:hAnsi="Verdana" w:cs="Arial"/>
          <w:sz w:val="20"/>
          <w:szCs w:val="20"/>
          <w:lang w:val="es-MX"/>
        </w:rPr>
        <w:t xml:space="preserve">Esta Sala ha entendido </w:t>
      </w:r>
      <w:proofErr w:type="gramStart"/>
      <w:r w:rsidRPr="006F42F9">
        <w:rPr>
          <w:rFonts w:ascii="Verdana" w:hAnsi="Verdana" w:cs="Arial"/>
          <w:sz w:val="20"/>
          <w:szCs w:val="20"/>
          <w:lang w:val="es-MX"/>
        </w:rPr>
        <w:t>que</w:t>
      </w:r>
      <w:proofErr w:type="gramEnd"/>
      <w:r w:rsidRPr="006F42F9">
        <w:rPr>
          <w:rFonts w:ascii="Verdana" w:hAnsi="Verdana" w:cs="Arial"/>
          <w:sz w:val="20"/>
          <w:szCs w:val="20"/>
          <w:lang w:val="es-MX"/>
        </w:rPr>
        <w:t xml:space="preserv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6F42F9">
        <w:rPr>
          <w:rFonts w:ascii="Verdana" w:hAnsi="Verdana" w:cs="Arial"/>
          <w:sz w:val="20"/>
          <w:szCs w:val="20"/>
          <w:vertAlign w:val="superscript"/>
          <w:lang w:val="es-MX"/>
        </w:rPr>
        <w:footnoteReference w:id="16"/>
      </w:r>
      <w:r w:rsidRPr="006F42F9">
        <w:rPr>
          <w:rFonts w:ascii="Verdana" w:hAnsi="Verdana" w:cs="Arial"/>
          <w:sz w:val="20"/>
          <w:szCs w:val="20"/>
          <w:vertAlign w:val="superscript"/>
          <w:lang w:val="es-MX"/>
        </w:rPr>
        <w:t>.</w:t>
      </w:r>
      <w:r w:rsidRPr="006F42F9">
        <w:rPr>
          <w:rFonts w:ascii="Verdana"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w:t>
      </w:r>
      <w:r w:rsidRPr="006F42F9">
        <w:rPr>
          <w:rFonts w:ascii="Verdana" w:hAnsi="Verdana" w:cs="Arial"/>
          <w:sz w:val="20"/>
          <w:szCs w:val="20"/>
          <w:lang w:val="es-MX"/>
        </w:rPr>
        <w:lastRenderedPageBreak/>
        <w:t>por la cual en ese periodo preelectoral de que trata la disposición pueden las entidades públicas seguir contratando bajo estos sistemas [...]”</w:t>
      </w:r>
      <w:r w:rsidRPr="006F42F9">
        <w:rPr>
          <w:rFonts w:ascii="Verdana" w:hAnsi="Verdana" w:cs="Arial"/>
          <w:sz w:val="20"/>
          <w:szCs w:val="20"/>
          <w:vertAlign w:val="superscript"/>
          <w:lang w:eastAsia="es-CO"/>
        </w:rPr>
        <w:footnoteReference w:id="17"/>
      </w:r>
      <w:r w:rsidRPr="006F42F9">
        <w:rPr>
          <w:rFonts w:ascii="Verdana" w:hAnsi="Verdana" w:cs="Arial"/>
          <w:sz w:val="20"/>
          <w:szCs w:val="20"/>
          <w:lang w:val="es-MX"/>
        </w:rPr>
        <w:t>.</w:t>
      </w:r>
    </w:p>
    <w:p w14:paraId="25E1ADE4" w14:textId="77777777" w:rsidR="004E6EE2" w:rsidRPr="006F42F9" w:rsidRDefault="004E6EE2" w:rsidP="004E6EE2">
      <w:pPr>
        <w:shd w:val="clear" w:color="auto" w:fill="FFFFFF"/>
        <w:spacing w:after="0" w:line="276" w:lineRule="auto"/>
        <w:ind w:firstLine="709"/>
        <w:jc w:val="both"/>
        <w:rPr>
          <w:rFonts w:ascii="Verdana" w:hAnsi="Verdana" w:cs="Arial"/>
          <w:lang w:eastAsia="x-none"/>
        </w:rPr>
      </w:pPr>
    </w:p>
    <w:p w14:paraId="5DD8D6B3" w14:textId="77777777" w:rsidR="004E6EE2" w:rsidRPr="006F42F9" w:rsidRDefault="004E6EE2" w:rsidP="004E6EE2">
      <w:pPr>
        <w:spacing w:after="120" w:line="276" w:lineRule="auto"/>
        <w:ind w:firstLine="708"/>
        <w:jc w:val="both"/>
        <w:rPr>
          <w:rFonts w:ascii="Verdana" w:hAnsi="Verdana" w:cs="Arial"/>
          <w:bCs/>
          <w:lang w:eastAsia="x-none"/>
        </w:rPr>
      </w:pPr>
      <w:r w:rsidRPr="006F42F9">
        <w:rPr>
          <w:rFonts w:ascii="Verdana" w:hAnsi="Verdana" w:cs="Arial"/>
          <w:lang w:eastAsia="x-none"/>
        </w:rPr>
        <w:t xml:space="preserve">De acuerdo con el citado concepto, la prohibición del artículo 33 de la Ley de Garantías Electorales se refiere a </w:t>
      </w:r>
      <w:r w:rsidRPr="006F42F9">
        <w:rPr>
          <w:rFonts w:ascii="Verdana" w:hAnsi="Verdana" w:cs="Arial"/>
          <w:sz w:val="19"/>
          <w:szCs w:val="19"/>
          <w:lang w:eastAsia="en-GB"/>
        </w:rPr>
        <w:t>“</w:t>
      </w:r>
      <w:r w:rsidRPr="006F42F9">
        <w:rPr>
          <w:rFonts w:ascii="Verdana" w:hAnsi="Verdana" w:cs="Arial"/>
          <w:lang w:eastAsia="x-none"/>
        </w:rPr>
        <w:t>cualquier sistema que no implique convocatoria pública y posibilidad de pluralidad de oferentes</w:t>
      </w:r>
      <w:r w:rsidRPr="006F42F9">
        <w:rPr>
          <w:rFonts w:ascii="Verdana" w:hAnsi="Verdana" w:cs="Arial"/>
          <w:lang w:eastAsia="en-GB"/>
        </w:rPr>
        <w:t>”</w:t>
      </w:r>
      <w:r w:rsidRPr="006F42F9">
        <w:rPr>
          <w:rFonts w:ascii="Verdana" w:hAnsi="Verdana" w:cs="Arial"/>
          <w:lang w:eastAsia="x-none"/>
        </w:rPr>
        <w:t>, por lo que excluye las demás modalidades de contratación previstas en la Ley 1150 de 2007, es decir, la licitación pública, la selección abreviada y el concurso de méritos u otros previstos en normas especiales. Esta posición es congruente con la expedición de la Ley 1150 de 2007 que, entre otras reformas, introdujo la selección abreviada, rediseñó el concurso de méritos</w:t>
      </w:r>
      <w:r w:rsidRPr="006F42F9">
        <w:rPr>
          <w:rFonts w:ascii="Verdana" w:hAnsi="Verdana" w:cs="Arial"/>
          <w:vertAlign w:val="superscript"/>
          <w:lang w:val="en-GB" w:eastAsia="x-none"/>
        </w:rPr>
        <w:footnoteReference w:id="18"/>
      </w:r>
      <w:r w:rsidRPr="006F42F9">
        <w:rPr>
          <w:rFonts w:ascii="Verdana" w:hAnsi="Verdana" w:cs="Arial"/>
          <w:lang w:eastAsia="x-none"/>
        </w:rPr>
        <w:t xml:space="preserve"> y sistematizó las causales de contratación directa</w:t>
      </w:r>
      <w:r w:rsidRPr="006F42F9">
        <w:rPr>
          <w:rFonts w:ascii="Verdana" w:hAnsi="Verdana" w:cs="Arial"/>
          <w:vertAlign w:val="superscript"/>
          <w:lang w:val="en-GB" w:eastAsia="x-none"/>
        </w:rPr>
        <w:footnoteReference w:id="19"/>
      </w:r>
      <w:r w:rsidRPr="006F42F9">
        <w:rPr>
          <w:rFonts w:ascii="Verdana" w:hAnsi="Verdana" w:cs="Arial"/>
          <w:lang w:eastAsia="x-none"/>
        </w:rPr>
        <w:t xml:space="preserve">. </w:t>
      </w:r>
    </w:p>
    <w:p w14:paraId="62B166D2" w14:textId="77777777" w:rsidR="004E6EE2" w:rsidRPr="006F42F9" w:rsidRDefault="004E6EE2" w:rsidP="004E6EE2">
      <w:pPr>
        <w:spacing w:after="120" w:line="276" w:lineRule="auto"/>
        <w:ind w:firstLine="708"/>
        <w:jc w:val="both"/>
        <w:rPr>
          <w:rFonts w:ascii="Verdana" w:hAnsi="Verdana" w:cs="Arial"/>
          <w:lang w:val="es-MX" w:eastAsia="x-none"/>
        </w:rPr>
      </w:pPr>
      <w:r w:rsidRPr="006F42F9">
        <w:rPr>
          <w:rFonts w:ascii="Verdana" w:hAnsi="Verdana" w:cs="Arial"/>
          <w:lang w:eastAsia="x-none"/>
        </w:rPr>
        <w:t xml:space="preserve">De esta forma, con fundamento en la evolución de la normativa sobre la contratación pública, se ha depurado la noción de </w:t>
      </w:r>
      <w:r w:rsidRPr="006F42F9">
        <w:rPr>
          <w:rFonts w:ascii="Verdana" w:hAnsi="Verdana" w:cs="Arial"/>
          <w:sz w:val="19"/>
          <w:szCs w:val="19"/>
          <w:lang w:eastAsia="en-GB"/>
        </w:rPr>
        <w:t>“</w:t>
      </w:r>
      <w:r w:rsidRPr="006F42F9">
        <w:rPr>
          <w:rFonts w:ascii="Verdana" w:hAnsi="Verdana" w:cs="Arial"/>
          <w:lang w:eastAsia="x-none"/>
        </w:rPr>
        <w:t>contratación directa</w:t>
      </w:r>
      <w:r w:rsidRPr="006F42F9">
        <w:rPr>
          <w:rFonts w:ascii="Verdana" w:hAnsi="Verdana" w:cs="Arial"/>
          <w:lang w:eastAsia="en-GB"/>
        </w:rPr>
        <w:t>”</w:t>
      </w:r>
      <w:r w:rsidRPr="006F42F9">
        <w:rPr>
          <w:rFonts w:ascii="Verdana" w:hAnsi="Verdana" w:cs="Arial"/>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6F42F9">
        <w:rPr>
          <w:rFonts w:ascii="Verdana" w:hAnsi="Verdana" w:cs="Arial"/>
          <w:vertAlign w:val="superscript"/>
          <w:lang w:val="en-GB" w:eastAsia="x-none"/>
        </w:rPr>
        <w:footnoteReference w:id="20"/>
      </w:r>
      <w:r w:rsidRPr="006F42F9">
        <w:rPr>
          <w:rFonts w:ascii="Verdana" w:hAnsi="Verdana" w:cs="Arial"/>
          <w:lang w:eastAsia="x-none"/>
        </w:rPr>
        <w:t>, han establecido sistemas de contratación que implican convocatoria pública y participación de varios oferentes</w:t>
      </w:r>
      <w:r w:rsidRPr="006F42F9">
        <w:rPr>
          <w:rFonts w:ascii="Verdana" w:hAnsi="Verdana" w:cs="Arial"/>
          <w:lang w:eastAsia="en-GB"/>
        </w:rPr>
        <w:t>”</w:t>
      </w:r>
      <w:r w:rsidRPr="006F42F9">
        <w:rPr>
          <w:rFonts w:ascii="Verdana" w:hAnsi="Verdana" w:cs="Arial"/>
          <w:lang w:eastAsia="x-none"/>
        </w:rPr>
        <w:t xml:space="preserve">. </w:t>
      </w:r>
    </w:p>
    <w:p w14:paraId="4AC25F4E" w14:textId="77777777" w:rsidR="004E6EE2" w:rsidRPr="006F42F9" w:rsidRDefault="004E6EE2" w:rsidP="004E6EE2">
      <w:pPr>
        <w:spacing w:after="120" w:line="276" w:lineRule="auto"/>
        <w:ind w:firstLine="708"/>
        <w:jc w:val="both"/>
        <w:rPr>
          <w:rFonts w:ascii="Verdana" w:hAnsi="Verdana" w:cs="Arial"/>
          <w:lang w:eastAsia="x-none"/>
        </w:rPr>
      </w:pPr>
      <w:r w:rsidRPr="006F42F9">
        <w:rPr>
          <w:rFonts w:ascii="Verdana" w:hAnsi="Verdana" w:cs="Arial"/>
          <w:bCs/>
          <w:lang w:val="es-MX" w:eastAsia="x-none"/>
        </w:rPr>
        <w:t>E</w:t>
      </w:r>
      <w:r w:rsidRPr="006F42F9">
        <w:rPr>
          <w:rFonts w:ascii="Verdana" w:hAnsi="Verdana" w:cs="Arial"/>
          <w:lang w:eastAsia="x-none"/>
        </w:rPr>
        <w:t xml:space="preserv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w:t>
      </w:r>
      <w:r w:rsidRPr="006F42F9">
        <w:rPr>
          <w:rFonts w:ascii="Verdana" w:hAnsi="Verdana" w:cs="Arial"/>
          <w:lang w:eastAsia="x-none"/>
        </w:rPr>
        <w:lastRenderedPageBreak/>
        <w:t>inscribirse en forma previa se haga de manera pública, y que se permita la participación de una pluralidad de oferentes</w:t>
      </w:r>
      <w:r w:rsidRPr="006F42F9">
        <w:rPr>
          <w:rFonts w:ascii="Verdana" w:hAnsi="Verdana" w:cs="Arial"/>
          <w:vertAlign w:val="superscript"/>
          <w:lang w:eastAsia="x-none"/>
        </w:rPr>
        <w:footnoteReference w:id="21"/>
      </w:r>
      <w:r w:rsidRPr="006F42F9">
        <w:rPr>
          <w:rFonts w:ascii="Verdana" w:hAnsi="Verdana" w:cs="Arial"/>
          <w:lang w:eastAsia="x-none"/>
        </w:rPr>
        <w:t xml:space="preserve">. </w:t>
      </w:r>
    </w:p>
    <w:p w14:paraId="1DCF0516" w14:textId="77777777" w:rsidR="004E6EE2" w:rsidRPr="006F42F9" w:rsidRDefault="004E6EE2" w:rsidP="004E6EE2">
      <w:pPr>
        <w:spacing w:after="120" w:line="276" w:lineRule="auto"/>
        <w:ind w:firstLine="708"/>
        <w:jc w:val="both"/>
        <w:rPr>
          <w:rFonts w:ascii="Verdana" w:eastAsia="Times New Roman" w:hAnsi="Verdana" w:cs="Arial"/>
          <w:bCs/>
          <w:lang w:eastAsia="x-none"/>
        </w:rPr>
      </w:pPr>
      <w:r w:rsidRPr="006F42F9">
        <w:rPr>
          <w:rFonts w:ascii="Verdana" w:hAnsi="Verdana" w:cs="Arial"/>
          <w:bCs/>
          <w:lang w:val="es-MX" w:eastAsia="es-CO"/>
        </w:rPr>
        <w:t>Sobre el particular, la</w:t>
      </w:r>
      <w:r w:rsidRPr="006F42F9">
        <w:rPr>
          <w:rFonts w:ascii="Verdana" w:eastAsia="Times New Roman" w:hAnsi="Verdana" w:cs="Arial"/>
          <w:bCs/>
          <w:lang w:val="es-MX" w:eastAsia="x-none"/>
        </w:rPr>
        <w:t xml:space="preserve"> Circular Externa No. 006 de 2025 expedida por la ANCP – CCE, señaló en el literal </w:t>
      </w:r>
      <w:proofErr w:type="spellStart"/>
      <w:r w:rsidRPr="006F42F9">
        <w:rPr>
          <w:rFonts w:ascii="Verdana" w:eastAsia="Times New Roman" w:hAnsi="Verdana" w:cs="Arial"/>
          <w:bCs/>
          <w:lang w:val="es-MX" w:eastAsia="x-none"/>
        </w:rPr>
        <w:t>ii</w:t>
      </w:r>
      <w:proofErr w:type="spellEnd"/>
      <w:r w:rsidRPr="006F42F9">
        <w:rPr>
          <w:rFonts w:ascii="Verdana" w:eastAsia="Times New Roman" w:hAnsi="Verdana" w:cs="Arial"/>
          <w:bCs/>
          <w:lang w:val="es-MX" w:eastAsia="x-none"/>
        </w:rPr>
        <w:t>) del numeral 1 que “</w:t>
      </w:r>
      <w:r w:rsidRPr="006F42F9">
        <w:rPr>
          <w:rFonts w:ascii="Verdana" w:eastAsia="Times New Roman" w:hAnsi="Verdana" w:cs="Arial"/>
          <w:bCs/>
          <w:lang w:eastAsia="x-none"/>
        </w:rPr>
        <w:t>Esta circunstancia no se extiende a la contratación directa aplicable en algunos regímenes especiales con listas de precalificados, ya que a efecto de que no se configure la contratación directa, la selección del futuro contratista debe darse en términos de competencia”.</w:t>
      </w:r>
    </w:p>
    <w:p w14:paraId="2A02D6FD" w14:textId="77777777" w:rsidR="004E6EE2" w:rsidRPr="006F42F9" w:rsidRDefault="004E6EE2" w:rsidP="004E6EE2">
      <w:pPr>
        <w:spacing w:after="120" w:line="276" w:lineRule="auto"/>
        <w:ind w:firstLine="708"/>
        <w:jc w:val="both"/>
        <w:rPr>
          <w:rFonts w:ascii="Verdana" w:eastAsia="Times New Roman" w:hAnsi="Verdana" w:cs="Arial"/>
          <w:bCs/>
          <w:lang w:eastAsia="x-none"/>
        </w:rPr>
      </w:pPr>
      <w:r w:rsidRPr="006F42F9">
        <w:rPr>
          <w:rFonts w:ascii="Verdana" w:eastAsia="Times New Roman" w:hAnsi="Verdana" w:cs="Arial"/>
          <w:bCs/>
          <w:lang w:eastAsia="x-none"/>
        </w:rPr>
        <w:t>Lo anterior implica que, en este tipo de sistemas, lo relevante para poder determinar que no se está frente a una contratación directa radica en que la conformación de la lista de precalificados o del registro de banco de proveedores se haya efectuado mediante una convocatoria pública, que garantice la participación de pluralidad de oferentes,</w:t>
      </w:r>
      <w:r w:rsidRPr="006F42F9">
        <w:t xml:space="preserve"> </w:t>
      </w:r>
      <w:r w:rsidRPr="006F42F9">
        <w:rPr>
          <w:rFonts w:ascii="Verdana" w:eastAsia="Times New Roman" w:hAnsi="Verdana" w:cs="Arial"/>
          <w:bCs/>
          <w:lang w:eastAsia="x-none"/>
        </w:rPr>
        <w:t>evitando así decisiones discrecionales. Asimismo, resulta indispensable que la selección del contratista se encuentre sometida a criterios objetivos, previamente definidos, que permitan identificar la oferta más favorable a partir de un escenario de competencia real.</w:t>
      </w:r>
    </w:p>
    <w:p w14:paraId="49FE7204" w14:textId="77777777" w:rsidR="004E6EE2" w:rsidRPr="006F42F9" w:rsidRDefault="004E6EE2" w:rsidP="004E6EE2">
      <w:pPr>
        <w:spacing w:after="120" w:line="276" w:lineRule="auto"/>
        <w:ind w:firstLine="708"/>
        <w:jc w:val="both"/>
        <w:rPr>
          <w:rFonts w:ascii="Verdana" w:eastAsia="Times New Roman" w:hAnsi="Verdana" w:cs="Arial"/>
          <w:bCs/>
          <w:lang w:eastAsia="x-none"/>
        </w:rPr>
      </w:pPr>
      <w:r w:rsidRPr="006F42F9">
        <w:rPr>
          <w:rFonts w:ascii="Verdana" w:eastAsia="Times New Roman" w:hAnsi="Verdana" w:cs="Arial"/>
          <w:bCs/>
          <w:lang w:eastAsia="x-none"/>
        </w:rPr>
        <w:t xml:space="preserve">Por tanto, frente a la consulta planteada, es preciso señalar que para determinar la aplicación de la restricción prevista en el artículo 33 de la Ley de Garantías Electorales en aquellos sistemas de contratación en los cuales se invita a presentar propuesta a proveedores seleccionados de un banco de proveedores, resulta fundamental que se cumplan los dos criterios señalados. De un lado, es indispensable que tanto la inscripción en la lista de precalificados o en el banco de proveedores como el acceso a la etapa de presentación de ofertas se encuentren precedidos de mecanismos de convocatoria pública que garanticen la participación real de una pluralidad de oferentes, en condiciones de igualdad y transparencia. De otro lado, la selección del contratista debe estar sometida a criterios objetivos de tal manera que la escogencia del contratista sea el resultado de un ejercicio de comparación de propuestas en competencia y no de decisiones discrecionales de la entidad. </w:t>
      </w:r>
    </w:p>
    <w:p w14:paraId="4168CF95" w14:textId="77777777" w:rsidR="004E6EE2" w:rsidRPr="006F42F9" w:rsidRDefault="004E6EE2" w:rsidP="004E6EE2">
      <w:pPr>
        <w:spacing w:after="120" w:line="276" w:lineRule="auto"/>
        <w:ind w:firstLine="708"/>
        <w:jc w:val="both"/>
        <w:rPr>
          <w:rFonts w:ascii="Verdana" w:eastAsia="Times New Roman" w:hAnsi="Verdana" w:cs="Arial"/>
          <w:bCs/>
          <w:lang w:eastAsia="x-none"/>
        </w:rPr>
      </w:pPr>
      <w:r w:rsidRPr="006F42F9">
        <w:rPr>
          <w:rFonts w:ascii="Verdana" w:eastAsia="Times New Roman" w:hAnsi="Verdana" w:cs="Arial"/>
          <w:bCs/>
          <w:lang w:eastAsia="x-none"/>
        </w:rPr>
        <w:t xml:space="preserve">Bajo este contexto, cuando los sistemas de listas de precalificados, bancos de proveedores o invitaciones cerradas no cumplan con los criterios señalados, resulta aplicable la restricción prevista en el artículo 33 </w:t>
      </w:r>
      <w:r w:rsidRPr="006F42F9">
        <w:rPr>
          <w:rFonts w:ascii="Verdana" w:eastAsia="Times New Roman" w:hAnsi="Verdana" w:cs="Arial"/>
          <w:bCs/>
          <w:i/>
          <w:iCs/>
          <w:lang w:eastAsia="x-none"/>
        </w:rPr>
        <w:t>ibidem</w:t>
      </w:r>
      <w:r w:rsidRPr="006F42F9">
        <w:rPr>
          <w:rFonts w:ascii="Verdana" w:eastAsia="Times New Roman" w:hAnsi="Verdana" w:cs="Arial"/>
          <w:bCs/>
          <w:lang w:eastAsia="x-none"/>
        </w:rPr>
        <w:t xml:space="preserve">, en la medida en </w:t>
      </w:r>
      <w:r w:rsidRPr="006F42F9">
        <w:rPr>
          <w:rFonts w:ascii="Verdana" w:eastAsia="Times New Roman" w:hAnsi="Verdana" w:cs="Arial"/>
          <w:bCs/>
          <w:lang w:eastAsia="x-none"/>
        </w:rPr>
        <w:lastRenderedPageBreak/>
        <w:t xml:space="preserve">que tales esquemas se asimilan materialmente a eventos de contratación directa. Ello, por cuanto permiten la escogencia del contratista de manera directa y discrecional por parte de la entidad estatal, sin una convocatoria pública que garantice la participación de otros oferentes ni un escenario de competencia que asegure la selección objetiva, bajo el aparente cumplimiento del requisito de pluralidad derivado exclusivamente de la existencia de una lista de precalificados. Esta interpretación resulta coherente con la finalidad de la Ley que tiene como </w:t>
      </w:r>
      <w:r w:rsidRPr="006F42F9">
        <w:rPr>
          <w:rFonts w:ascii="Verdana" w:eastAsia="Times New Roman" w:hAnsi="Verdana" w:cs="Arial"/>
          <w:lang w:val="es-MX" w:eastAsia="es-CO"/>
        </w:rPr>
        <w:t>propósito evitar cualquier tipo de arbitrariedad de los recursos del Estado que pueda incidir en el desarrollo de las campañas o afectar las garantías en la elección presidencial, en la medida en que este tipo de procedimientos contractuales pueden ser instrumentalizados para obtener ventajas indebidas en los procesos electorales.</w:t>
      </w:r>
    </w:p>
    <w:p w14:paraId="6CF04F95" w14:textId="77777777" w:rsidR="004E6EE2" w:rsidRPr="006F42F9" w:rsidRDefault="004E6EE2" w:rsidP="004E6EE2">
      <w:pPr>
        <w:spacing w:after="120" w:line="276" w:lineRule="auto"/>
        <w:ind w:firstLine="708"/>
        <w:jc w:val="both"/>
        <w:rPr>
          <w:rFonts w:ascii="Verdana" w:eastAsia="Times New Roman" w:hAnsi="Verdana" w:cs="Arial"/>
          <w:bCs/>
          <w:lang w:eastAsia="x-none"/>
        </w:rPr>
      </w:pPr>
      <w:r w:rsidRPr="006F42F9">
        <w:rPr>
          <w:rFonts w:ascii="Verdana" w:eastAsia="Times New Roman" w:hAnsi="Verdana" w:cs="Arial"/>
          <w:bCs/>
          <w:lang w:eastAsia="x-none"/>
        </w:rPr>
        <w:t xml:space="preserve">En todo caso, las entidades sometidas a regímenes especiales o al derecho privado son responsables de evaluar, en cada caso concreto, si la implementación de sistemas como listas de precalificados, bancos de proveedores o esquemas de invitación cerrada comporta efectivamente la realización de una convocatoria pública y asegura la participación real de una pluralidad de oferentes. Dicha valoración debe efectuarse a la luz de las reglas previstas en sus respectivos manuales de contratación, lo cual exige un análisis del procedimiento adoptado, de manera que se garantice que la selección del contratista se derive de un escenario de competencia efectiva y no de mecanismos que, bajo una apariencia de pluralidad de oferentes, habiliten contrataciones que se encuentra bajo el ámbito de aplicación del artículo 33 de la Ley de Garantías Electorales.  </w:t>
      </w:r>
    </w:p>
    <w:p w14:paraId="5A29F9C5" w14:textId="77777777" w:rsidR="004E6EE2" w:rsidRPr="006F42F9" w:rsidRDefault="004E6EE2" w:rsidP="004E6EE2">
      <w:pPr>
        <w:spacing w:after="120" w:line="276" w:lineRule="auto"/>
        <w:ind w:firstLine="708"/>
        <w:jc w:val="both"/>
        <w:rPr>
          <w:rFonts w:ascii="Verdana" w:hAnsi="Verdana" w:cs="Arial"/>
          <w:bCs/>
          <w:lang w:val="es-MX" w:eastAsia="x-none"/>
        </w:rPr>
      </w:pPr>
      <w:proofErr w:type="spellStart"/>
      <w:r w:rsidRPr="006F42F9">
        <w:rPr>
          <w:rFonts w:ascii="Verdana" w:hAnsi="Verdana" w:cs="Arial"/>
          <w:bCs/>
          <w:lang w:val="es-MX" w:eastAsia="es-CO"/>
        </w:rPr>
        <w:t>Asi</w:t>
      </w:r>
      <w:proofErr w:type="spellEnd"/>
      <w:r w:rsidRPr="006F42F9">
        <w:rPr>
          <w:rFonts w:ascii="Verdana" w:hAnsi="Verdana" w:cs="Arial"/>
          <w:bCs/>
          <w:lang w:val="es-MX" w:eastAsia="es-CO"/>
        </w:rPr>
        <w:t xml:space="preserve"> las cosas, conforme a lo expuesto por el Consejo de Estado, </w:t>
      </w:r>
      <w:r w:rsidRPr="006F42F9">
        <w:rPr>
          <w:rFonts w:ascii="Verdana" w:hAnsi="Verdana" w:cs="Arial"/>
          <w:bCs/>
          <w:lang w:val="es-MX" w:eastAsia="x-none"/>
        </w:rPr>
        <w:t>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6F42F9">
        <w:rPr>
          <w:rFonts w:ascii="Verdana" w:hAnsi="Verdana" w:cs="Arial"/>
          <w:vertAlign w:val="superscript"/>
          <w:lang w:eastAsia="x-none"/>
        </w:rPr>
        <w:footnoteReference w:id="22"/>
      </w:r>
      <w:r w:rsidRPr="006F42F9">
        <w:rPr>
          <w:rFonts w:ascii="Verdana" w:hAnsi="Verdana" w:cs="Arial"/>
          <w:bCs/>
          <w:lang w:val="es-MX" w:eastAsia="x-none"/>
        </w:rPr>
        <w:t>.</w:t>
      </w:r>
      <w:r w:rsidRPr="006F42F9">
        <w:rPr>
          <w:rFonts w:ascii="Verdana" w:hAnsi="Verdana" w:cs="Arial"/>
          <w:vertAlign w:val="superscript"/>
          <w:lang w:eastAsia="x-none"/>
        </w:rPr>
        <w:t xml:space="preserve"> </w:t>
      </w:r>
    </w:p>
    <w:p w14:paraId="175FD11D" w14:textId="77777777" w:rsidR="004E6EE2" w:rsidRDefault="004E6EE2" w:rsidP="004E6EE2">
      <w:pPr>
        <w:spacing w:after="120" w:line="276" w:lineRule="auto"/>
        <w:ind w:firstLine="708"/>
        <w:jc w:val="both"/>
        <w:rPr>
          <w:rFonts w:ascii="Verdana" w:eastAsia="Times New Roman" w:hAnsi="Verdana" w:cs="Open Sans"/>
          <w:lang w:eastAsia="es-CO"/>
        </w:rPr>
      </w:pPr>
      <w:r w:rsidRPr="00A545DE">
        <w:rPr>
          <w:rFonts w:ascii="Verdana" w:eastAsia="Times New Roman" w:hAnsi="Verdana" w:cs="Open Sans"/>
          <w:lang w:eastAsia="es-CO"/>
        </w:rPr>
        <w:t>De lo anterior se desprende que la restricción aplica, sin perjuicio de las excepciones establecidas en la misma ley, para celebrar cualquier contrato de</w:t>
      </w:r>
      <w:r w:rsidRPr="006A640E">
        <w:rPr>
          <w:rFonts w:ascii="Verdana" w:eastAsia="Times New Roman" w:hAnsi="Verdana" w:cs="Open Sans"/>
          <w:lang w:eastAsia="es-CO"/>
        </w:rPr>
        <w:t xml:space="preserve"> </w:t>
      </w:r>
      <w:r w:rsidRPr="006A640E">
        <w:rPr>
          <w:rFonts w:ascii="Verdana" w:eastAsia="Times New Roman" w:hAnsi="Verdana" w:cs="Open Sans"/>
          <w:lang w:eastAsia="es-CO"/>
        </w:rPr>
        <w:lastRenderedPageBreak/>
        <w:t>forma</w:t>
      </w:r>
      <w:r>
        <w:rPr>
          <w:rFonts w:ascii="Verdana" w:eastAsia="Times New Roman" w:hAnsi="Verdana" w:cs="Open Sans"/>
          <w:lang w:eastAsia="es-CO"/>
        </w:rPr>
        <w:t xml:space="preserve"> </w:t>
      </w:r>
      <w:r w:rsidRPr="006A640E">
        <w:rPr>
          <w:rFonts w:ascii="Verdana" w:eastAsia="Times New Roman" w:hAnsi="Verdana" w:cs="Open Sans"/>
          <w:lang w:eastAsia="es-CO"/>
        </w:rPr>
        <w:t>directa</w:t>
      </w:r>
      <w:r>
        <w:rPr>
          <w:rFonts w:ascii="Verdana" w:eastAsia="Times New Roman" w:hAnsi="Verdana" w:cs="Open Sans"/>
          <w:lang w:eastAsia="es-CO"/>
        </w:rPr>
        <w:t xml:space="preserve">, esto es, </w:t>
      </w:r>
      <w:r w:rsidRPr="006A640E">
        <w:rPr>
          <w:rFonts w:ascii="Verdana" w:eastAsia="Times New Roman" w:hAnsi="Verdana" w:cs="Open Sans"/>
          <w:lang w:eastAsia="es-CO"/>
        </w:rPr>
        <w:t>sin que exista un proceso abierto y competitivo. Por tanto, no son</w:t>
      </w:r>
      <w:r>
        <w:rPr>
          <w:rFonts w:ascii="Verdana" w:eastAsia="Times New Roman" w:hAnsi="Verdana" w:cs="Open Sans"/>
          <w:lang w:eastAsia="es-CO"/>
        </w:rPr>
        <w:t xml:space="preserve"> </w:t>
      </w:r>
      <w:r w:rsidRPr="006A640E">
        <w:rPr>
          <w:rFonts w:ascii="Verdana" w:eastAsia="Times New Roman" w:hAnsi="Verdana" w:cs="Open Sans"/>
          <w:lang w:eastAsia="es-CO"/>
        </w:rPr>
        <w:t>materia de la prohibición las demás modalidades de selección previstas en la Ley</w:t>
      </w:r>
      <w:r>
        <w:rPr>
          <w:rFonts w:ascii="Verdana" w:eastAsia="Times New Roman" w:hAnsi="Verdana" w:cs="Open Sans"/>
          <w:lang w:eastAsia="es-CO"/>
        </w:rPr>
        <w:t xml:space="preserve"> </w:t>
      </w:r>
      <w:r w:rsidRPr="006A640E">
        <w:rPr>
          <w:rFonts w:ascii="Verdana" w:eastAsia="Times New Roman" w:hAnsi="Verdana" w:cs="Open Sans"/>
          <w:lang w:eastAsia="es-CO"/>
        </w:rPr>
        <w:t>1150 de 2007, es decir, la licitación pública, el concurso de méritos, la selección</w:t>
      </w:r>
      <w:r>
        <w:rPr>
          <w:rFonts w:ascii="Verdana" w:eastAsia="Times New Roman" w:hAnsi="Verdana" w:cs="Open Sans"/>
          <w:lang w:eastAsia="es-CO"/>
        </w:rPr>
        <w:t xml:space="preserve"> </w:t>
      </w:r>
      <w:r w:rsidRPr="006A640E">
        <w:rPr>
          <w:rFonts w:ascii="Verdana" w:eastAsia="Times New Roman" w:hAnsi="Verdana" w:cs="Open Sans"/>
          <w:lang w:eastAsia="es-CO"/>
        </w:rPr>
        <w:t>abreviada y la contratación de mínima cuantía, razón por la cual en el período</w:t>
      </w:r>
      <w:r>
        <w:rPr>
          <w:rFonts w:ascii="Verdana" w:eastAsia="Times New Roman" w:hAnsi="Verdana" w:cs="Open Sans"/>
          <w:lang w:eastAsia="es-CO"/>
        </w:rPr>
        <w:t xml:space="preserve"> </w:t>
      </w:r>
      <w:r w:rsidRPr="006A640E">
        <w:rPr>
          <w:rFonts w:ascii="Verdana" w:eastAsia="Times New Roman" w:hAnsi="Verdana" w:cs="Open Sans"/>
          <w:lang w:eastAsia="es-CO"/>
        </w:rPr>
        <w:t>preelectoral de que trata la disposición las entidades públicas pueden seguir</w:t>
      </w:r>
      <w:r>
        <w:rPr>
          <w:rFonts w:ascii="Verdana" w:eastAsia="Times New Roman" w:hAnsi="Verdana" w:cs="Open Sans"/>
          <w:lang w:eastAsia="es-CO"/>
        </w:rPr>
        <w:t xml:space="preserve"> </w:t>
      </w:r>
      <w:r w:rsidRPr="006A640E">
        <w:rPr>
          <w:rFonts w:ascii="Verdana" w:eastAsia="Times New Roman" w:hAnsi="Verdana" w:cs="Open Sans"/>
          <w:lang w:eastAsia="es-CO"/>
        </w:rPr>
        <w:t>contratando bajo estos sistemas.</w:t>
      </w:r>
    </w:p>
    <w:p w14:paraId="51E5F125" w14:textId="77777777" w:rsidR="004E6EE2" w:rsidRDefault="004E6EE2" w:rsidP="004E6EE2">
      <w:pPr>
        <w:spacing w:after="0" w:line="276" w:lineRule="auto"/>
        <w:ind w:firstLine="708"/>
        <w:jc w:val="both"/>
        <w:rPr>
          <w:rFonts w:ascii="Verdana" w:hAnsi="Verdana"/>
        </w:rPr>
      </w:pPr>
      <w:r w:rsidRPr="006A640E">
        <w:rPr>
          <w:rFonts w:ascii="Verdana" w:hAnsi="Verdana"/>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de manera taxativa en el inciso final del citado artículo 33 de la Ley 996 de 2005 en lo referente a: i) la defensa y seguridad del Estado; </w:t>
      </w:r>
      <w:proofErr w:type="spellStart"/>
      <w:r w:rsidRPr="006A640E">
        <w:rPr>
          <w:rFonts w:ascii="Verdana" w:hAnsi="Verdana"/>
        </w:rPr>
        <w:t>ii</w:t>
      </w:r>
      <w:proofErr w:type="spellEnd"/>
      <w:r w:rsidRPr="006A640E">
        <w:rPr>
          <w:rFonts w:ascii="Verdana" w:hAnsi="Verdana"/>
        </w:rPr>
        <w:t xml:space="preserve">) los contratos de crédito público; </w:t>
      </w:r>
      <w:proofErr w:type="spellStart"/>
      <w:r w:rsidRPr="006A640E">
        <w:rPr>
          <w:rFonts w:ascii="Verdana" w:hAnsi="Verdana"/>
        </w:rPr>
        <w:t>iii</w:t>
      </w:r>
      <w:proofErr w:type="spellEnd"/>
      <w:r w:rsidRPr="006A640E">
        <w:rPr>
          <w:rFonts w:ascii="Verdana" w:hAnsi="Verdana"/>
        </w:rPr>
        <w:t xml:space="preserve">) los requeridos para cubrir las emergencias educativas, sanitarias y desastres; </w:t>
      </w:r>
      <w:proofErr w:type="spellStart"/>
      <w:r w:rsidRPr="006A640E">
        <w:rPr>
          <w:rFonts w:ascii="Verdana" w:hAnsi="Verdana"/>
        </w:rPr>
        <w:t>iv</w:t>
      </w:r>
      <w:proofErr w:type="spellEnd"/>
      <w:r w:rsidRPr="006A640E">
        <w:rPr>
          <w:rFonts w:ascii="Verdana" w:hAnsi="Verdana"/>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7D60E756" w14:textId="77777777" w:rsidR="004E6EE2" w:rsidRDefault="004E6EE2" w:rsidP="004E6EE2">
      <w:pPr>
        <w:spacing w:after="0" w:line="270" w:lineRule="atLeast"/>
        <w:jc w:val="both"/>
        <w:rPr>
          <w:rFonts w:ascii="Verdana" w:hAnsi="Verdana" w:cs="Arial"/>
          <w:lang w:val="es-ES" w:eastAsia="es-CO"/>
        </w:rPr>
      </w:pPr>
      <w:r>
        <w:rPr>
          <w:rFonts w:ascii="Verdana" w:hAnsi="Verdana"/>
        </w:rPr>
        <w:tab/>
      </w:r>
    </w:p>
    <w:p w14:paraId="0997D8B7" w14:textId="77777777" w:rsidR="004E6EE2" w:rsidRDefault="004E6EE2" w:rsidP="004E6EE2">
      <w:pPr>
        <w:spacing w:after="120" w:line="276" w:lineRule="auto"/>
        <w:jc w:val="both"/>
        <w:rPr>
          <w:rFonts w:ascii="Verdana" w:eastAsia="Times New Roman" w:hAnsi="Verdana" w:cs="Arial"/>
          <w:lang w:eastAsia="es-CO"/>
        </w:rPr>
      </w:pPr>
      <w:proofErr w:type="spellStart"/>
      <w:r>
        <w:rPr>
          <w:rFonts w:ascii="Verdana" w:eastAsia="Times New Roman" w:hAnsi="Verdana" w:cs="Open Sans"/>
          <w:lang w:eastAsia="es-CO"/>
        </w:rPr>
        <w:t>iv</w:t>
      </w:r>
      <w:proofErr w:type="spellEnd"/>
      <w:r>
        <w:rPr>
          <w:rFonts w:ascii="Verdana" w:eastAsia="Times New Roman" w:hAnsi="Verdana" w:cs="Open Sans"/>
          <w:lang w:eastAsia="es-CO"/>
        </w:rPr>
        <w:t xml:space="preserve">) </w:t>
      </w:r>
      <w:r w:rsidRPr="19B6A718">
        <w:rPr>
          <w:rFonts w:ascii="Verdana" w:hAnsi="Verdana" w:cs="Arial"/>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1618B5F" w14:textId="77777777" w:rsidR="004E6EE2" w:rsidRDefault="004E6EE2" w:rsidP="004E6EE2">
      <w:pPr>
        <w:spacing w:after="0" w:line="276" w:lineRule="auto"/>
        <w:ind w:firstLine="709"/>
        <w:jc w:val="both"/>
        <w:rPr>
          <w:rFonts w:ascii="Verdana" w:hAnsi="Verdana" w:cs="Arial"/>
          <w:color w:val="000000" w:themeColor="text1"/>
        </w:rPr>
      </w:pPr>
      <w:r w:rsidRPr="001450CA">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w:t>
      </w:r>
      <w:r w:rsidRPr="001450CA">
        <w:rPr>
          <w:rFonts w:ascii="Verdana" w:hAnsi="Verdana" w:cs="Arial"/>
          <w:bCs/>
          <w:color w:val="000000" w:themeColor="text1"/>
        </w:rPr>
        <w:lastRenderedPageBreak/>
        <w:t xml:space="preserve">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62C7967" w14:textId="77777777" w:rsidR="004E6EE2" w:rsidRDefault="004E6EE2" w:rsidP="004E6EE2">
      <w:pPr>
        <w:autoSpaceDE w:val="0"/>
        <w:autoSpaceDN w:val="0"/>
        <w:adjustRightInd w:val="0"/>
        <w:spacing w:after="0" w:line="240" w:lineRule="auto"/>
        <w:jc w:val="both"/>
        <w:rPr>
          <w:rFonts w:ascii="Verdana" w:hAnsi="Verdana" w:cs="Arial"/>
        </w:rPr>
      </w:pPr>
    </w:p>
    <w:p w14:paraId="633A3F9B" w14:textId="77777777" w:rsidR="004E6EE2" w:rsidRDefault="004E6EE2" w:rsidP="004E6EE2">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Referencias normativas, jurisprudenciales y otras fuentes:</w:t>
      </w:r>
    </w:p>
    <w:p w14:paraId="4CA6F952" w14:textId="77777777" w:rsidR="004E6EE2" w:rsidRDefault="004E6EE2" w:rsidP="004E6EE2">
      <w:pPr>
        <w:widowControl w:val="0"/>
        <w:autoSpaceDE w:val="0"/>
        <w:autoSpaceDN w:val="0"/>
        <w:spacing w:after="0" w:line="276" w:lineRule="auto"/>
        <w:jc w:val="both"/>
        <w:rPr>
          <w:rFonts w:ascii="Verdana" w:hAnsi="Verdana" w:cs="Arial"/>
        </w:rPr>
      </w:pPr>
    </w:p>
    <w:tbl>
      <w:tblPr>
        <w:tblStyle w:val="Tablaconcuadrcula"/>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4E6EE2" w14:paraId="53ADC44B" w14:textId="77777777" w:rsidTr="00C6143F">
        <w:trPr>
          <w:trHeight w:val="870"/>
        </w:trPr>
        <w:tc>
          <w:tcPr>
            <w:tcW w:w="8647" w:type="dxa"/>
            <w:tcBorders>
              <w:top w:val="dotted" w:sz="4" w:space="0" w:color="auto"/>
              <w:left w:val="dotted" w:sz="4" w:space="0" w:color="auto"/>
              <w:bottom w:val="dotted" w:sz="4" w:space="0" w:color="auto"/>
              <w:right w:val="dotted" w:sz="4" w:space="0" w:color="auto"/>
            </w:tcBorders>
            <w:hideMark/>
          </w:tcPr>
          <w:p w14:paraId="3CB79ABA" w14:textId="77777777" w:rsidR="004E6EE2" w:rsidRDefault="004E6EE2" w:rsidP="004E6EE2">
            <w:pPr>
              <w:widowControl w:val="0"/>
              <w:numPr>
                <w:ilvl w:val="0"/>
                <w:numId w:val="2"/>
              </w:numPr>
              <w:autoSpaceDE w:val="0"/>
              <w:autoSpaceDN w:val="0"/>
              <w:spacing w:line="276" w:lineRule="auto"/>
              <w:jc w:val="both"/>
              <w:rPr>
                <w:rFonts w:ascii="Verdana" w:eastAsia="Calibri" w:hAnsi="Verdana" w:cs="Arial"/>
                <w:lang w:val="es-ES"/>
              </w:rPr>
            </w:pPr>
            <w:r w:rsidRPr="19B6A718">
              <w:rPr>
                <w:rFonts w:ascii="Verdana" w:eastAsia="Calibri" w:hAnsi="Verdana" w:cs="Arial"/>
                <w:lang w:val="es-ES"/>
              </w:rPr>
              <w:t>Ley 80 de 1993, artículos 13, 32 y 40.</w:t>
            </w:r>
          </w:p>
          <w:p w14:paraId="6AB7A689" w14:textId="77777777" w:rsidR="004E6EE2" w:rsidRPr="002329D6" w:rsidRDefault="004E6EE2" w:rsidP="004E6EE2">
            <w:pPr>
              <w:widowControl w:val="0"/>
              <w:numPr>
                <w:ilvl w:val="0"/>
                <w:numId w:val="2"/>
              </w:numPr>
              <w:autoSpaceDE w:val="0"/>
              <w:autoSpaceDN w:val="0"/>
              <w:spacing w:line="276" w:lineRule="auto"/>
              <w:jc w:val="both"/>
              <w:rPr>
                <w:rFonts w:ascii="Verdana" w:eastAsia="Arial MT" w:hAnsi="Verdana" w:cs="Arial"/>
                <w:lang w:val="es-ES" w:eastAsia="es-ES" w:bidi="es-ES"/>
              </w:rPr>
            </w:pPr>
            <w:r w:rsidRPr="19B6A718">
              <w:rPr>
                <w:rFonts w:ascii="Verdana" w:eastAsia="Arial MT" w:hAnsi="Verdana" w:cs="Arial"/>
                <w:lang w:val="es-ES" w:eastAsia="es-ES" w:bidi="es-ES"/>
              </w:rPr>
              <w:t>Ley 489 de 1998, artículo 97.</w:t>
            </w:r>
          </w:p>
          <w:p w14:paraId="227CD53A" w14:textId="77777777" w:rsidR="004E6EE2" w:rsidRDefault="004E6EE2" w:rsidP="004E6EE2">
            <w:pPr>
              <w:widowControl w:val="0"/>
              <w:numPr>
                <w:ilvl w:val="0"/>
                <w:numId w:val="2"/>
              </w:numPr>
              <w:autoSpaceDE w:val="0"/>
              <w:autoSpaceDN w:val="0"/>
              <w:spacing w:line="276" w:lineRule="auto"/>
              <w:jc w:val="both"/>
              <w:rPr>
                <w:rFonts w:ascii="Verdana" w:eastAsia="Calibri" w:hAnsi="Verdana" w:cs="Arial"/>
                <w:lang w:val="es-ES"/>
              </w:rPr>
            </w:pPr>
            <w:r w:rsidRPr="19B6A718">
              <w:rPr>
                <w:rFonts w:ascii="Verdana" w:eastAsia="Calibri" w:hAnsi="Verdana" w:cs="Arial"/>
                <w:lang w:val="es-ES"/>
              </w:rPr>
              <w:t>Ley 996 de 2005, artículos 33 y 38.</w:t>
            </w:r>
          </w:p>
          <w:p w14:paraId="2A0CC46C" w14:textId="77777777" w:rsidR="004E6EE2" w:rsidRPr="000B16C5" w:rsidRDefault="004E6EE2" w:rsidP="004E6EE2">
            <w:pPr>
              <w:widowControl w:val="0"/>
              <w:numPr>
                <w:ilvl w:val="0"/>
                <w:numId w:val="2"/>
              </w:numPr>
              <w:autoSpaceDE w:val="0"/>
              <w:autoSpaceDN w:val="0"/>
              <w:spacing w:line="276" w:lineRule="auto"/>
              <w:jc w:val="both"/>
              <w:rPr>
                <w:rFonts w:ascii="Verdana" w:eastAsia="Calibri" w:hAnsi="Verdana" w:cs="Arial"/>
                <w:lang w:val="es-ES"/>
              </w:rPr>
            </w:pPr>
            <w:r w:rsidRPr="19B6A718">
              <w:rPr>
                <w:rFonts w:ascii="Verdana" w:eastAsia="Calibri" w:hAnsi="Verdana" w:cs="Arial"/>
                <w:lang w:val="pt-BR"/>
              </w:rPr>
              <w:t xml:space="preserve">Corte Constitucional. Sentencia C -1153 de 2005. </w:t>
            </w:r>
            <w:r w:rsidRPr="19B6A718">
              <w:rPr>
                <w:rFonts w:ascii="Verdana" w:eastAsia="Calibri" w:hAnsi="Verdana" w:cs="Arial"/>
                <w:lang w:val="es-ES"/>
              </w:rPr>
              <w:t xml:space="preserve">M.P. Marco Gerardo Monroy Cabra. </w:t>
            </w:r>
          </w:p>
          <w:p w14:paraId="46D83F79" w14:textId="77777777" w:rsidR="004E6EE2" w:rsidRDefault="004E6EE2" w:rsidP="004E6EE2">
            <w:pPr>
              <w:numPr>
                <w:ilvl w:val="0"/>
                <w:numId w:val="2"/>
              </w:numPr>
              <w:spacing w:line="276" w:lineRule="auto"/>
              <w:jc w:val="both"/>
              <w:rPr>
                <w:rFonts w:ascii="Verdana" w:eastAsia="Calibri" w:hAnsi="Verdana" w:cs="Arial"/>
                <w:lang w:val="es-MX" w:bidi="es-ES"/>
              </w:rPr>
            </w:pPr>
            <w:r w:rsidRPr="19B6A718">
              <w:rPr>
                <w:rFonts w:ascii="Verdana" w:eastAsia="Calibri" w:hAnsi="Verdana" w:cs="Arial"/>
                <w:lang w:val="es-MX"/>
              </w:rPr>
              <w:t xml:space="preserve">Consejo de Estado. Sala de Consulta y del Servicio Civil. Concepto del 9 de octubre de 2014. </w:t>
            </w:r>
          </w:p>
          <w:p w14:paraId="7107CF6F" w14:textId="77777777" w:rsidR="004E6EE2" w:rsidRPr="006A640E" w:rsidRDefault="004E6EE2" w:rsidP="004E6EE2">
            <w:pPr>
              <w:widowControl w:val="0"/>
              <w:numPr>
                <w:ilvl w:val="0"/>
                <w:numId w:val="2"/>
              </w:numPr>
              <w:autoSpaceDE w:val="0"/>
              <w:autoSpaceDN w:val="0"/>
              <w:spacing w:line="276" w:lineRule="auto"/>
              <w:jc w:val="both"/>
              <w:rPr>
                <w:rFonts w:ascii="Verdana" w:eastAsia="Arial MT" w:hAnsi="Verdana" w:cs="Arial"/>
                <w:lang w:val="es-ES" w:eastAsia="es-ES" w:bidi="es-ES"/>
              </w:rPr>
            </w:pPr>
            <w:r w:rsidRPr="19B6A718">
              <w:rPr>
                <w:rFonts w:ascii="Verdana" w:eastAsia="Arial MT" w:hAnsi="Verdana" w:cs="Arial"/>
                <w:lang w:eastAsia="es-ES" w:bidi="es-ES"/>
              </w:rPr>
              <w:t>Consejo de Estado. Sala de Consulta y del Servicio Civil. Concepto del 9 de octubre de 2014: podría servir si trata específicamente restricciones electorales o contratación en vigencia de Ley de Garantías.</w:t>
            </w:r>
          </w:p>
        </w:tc>
      </w:tr>
    </w:tbl>
    <w:p w14:paraId="4C504B89" w14:textId="77777777" w:rsidR="004E6EE2" w:rsidRDefault="004E6EE2" w:rsidP="004E6EE2">
      <w:pPr>
        <w:widowControl w:val="0"/>
        <w:autoSpaceDE w:val="0"/>
        <w:autoSpaceDN w:val="0"/>
        <w:spacing w:after="0" w:line="276" w:lineRule="auto"/>
        <w:jc w:val="both"/>
        <w:rPr>
          <w:rFonts w:ascii="Verdana" w:hAnsi="Verdana" w:cs="Arial"/>
        </w:rPr>
      </w:pPr>
    </w:p>
    <w:p w14:paraId="3F6E9BE3" w14:textId="77777777" w:rsidR="004E6EE2" w:rsidRDefault="004E6EE2" w:rsidP="004E6EE2">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p>
    <w:p w14:paraId="115F3A7F" w14:textId="77777777" w:rsidR="004E6EE2" w:rsidRDefault="004E6EE2" w:rsidP="004E6EE2">
      <w:pPr>
        <w:widowControl w:val="0"/>
        <w:autoSpaceDE w:val="0"/>
        <w:autoSpaceDN w:val="0"/>
        <w:spacing w:after="0" w:line="276" w:lineRule="auto"/>
        <w:jc w:val="both"/>
        <w:rPr>
          <w:rFonts w:ascii="Verdana" w:hAnsi="Verdana" w:cs="Arial"/>
        </w:rPr>
      </w:pPr>
    </w:p>
    <w:p w14:paraId="0D53C440" w14:textId="77777777" w:rsidR="004E6EE2" w:rsidRDefault="004E6EE2" w:rsidP="004E6EE2">
      <w:pPr>
        <w:spacing w:after="0" w:line="276" w:lineRule="auto"/>
        <w:jc w:val="both"/>
        <w:rPr>
          <w:rFonts w:ascii="Verdana" w:eastAsia="Aptos" w:hAnsi="Verdana" w:cs="Arial"/>
          <w:shd w:val="clear" w:color="auto" w:fill="FFFFFF"/>
          <w:lang w:val="es-ES"/>
        </w:rPr>
      </w:pPr>
      <w:r w:rsidRPr="19B6A718">
        <w:rPr>
          <w:rFonts w:ascii="Verdana" w:hAnsi="Verdana" w:cs="Arial"/>
          <w:shd w:val="clear" w:color="auto" w:fill="FFFFFF"/>
        </w:rPr>
        <w:t xml:space="preserve">La Agencia Nacional de Contratación Pública – Colombia Compra Eficiente ha expedido </w:t>
      </w:r>
      <w:r w:rsidRPr="19B6A718">
        <w:rPr>
          <w:rFonts w:ascii="Verdana" w:eastAsia="Calibri" w:hAnsi="Verdana" w:cs="Arial"/>
          <w:lang w:val="es-ES"/>
        </w:rPr>
        <w:t>conceptos sobre</w:t>
      </w:r>
      <w:r w:rsidRPr="000B16C5">
        <w:rPr>
          <w:rFonts w:ascii="Verdana" w:eastAsia="Aptos" w:hAnsi="Verdana" w:cs="Arial"/>
          <w:shd w:val="clear" w:color="auto" w:fill="FFFFFF"/>
        </w:rPr>
        <w:t xml:space="preserve"> </w:t>
      </w:r>
      <w:r w:rsidRPr="000B16C5">
        <w:rPr>
          <w:rFonts w:ascii="Verdana" w:eastAsia="Calibri" w:hAnsi="Verdana" w:cs="Arial"/>
          <w:shd w:val="clear" w:color="auto" w:fill="FFFFFF"/>
        </w:rPr>
        <w:t xml:space="preserve"> la finalidad y propósito de la Ley de Garantías Electorales en los Conceptos 4201913000004536 de 17 de julio de 2019, 4201912000005556 del 12 de septiembre de 2019, 4201913000005175 del 13 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C-317 del 25 de abril de 2025, C-510 del 4 de junio de 2025, 646 del 26 de junio de 2025, C-957 del 23 de agosto de 2025, C-975 del 28 de agosto de 2025, C-1015 del 4 de </w:t>
      </w:r>
      <w:r w:rsidRPr="000B16C5">
        <w:rPr>
          <w:rFonts w:ascii="Verdana" w:eastAsia="Calibri" w:hAnsi="Verdana" w:cs="Arial"/>
          <w:shd w:val="clear" w:color="auto" w:fill="FFFFFF"/>
        </w:rPr>
        <w:lastRenderedPageBreak/>
        <w:t xml:space="preserve">septiembre de 2025, C-1096 del 28 de agosto de 2025, C-1174 del 29 de septiembre de 2025, C- 1170 del 16 de septiembre de 2025, C-1194 del 3 de octubre de 2025, C-1343 del 20 de octubre de 2025, C-1350 del 1˚ de octubre de 2025, C-1512 del 27 de octubre de 2025, C-1488 del 30 de octubre de 2025, C-1596 del 6 de noviembre de 2025, </w:t>
      </w:r>
      <w:r>
        <w:rPr>
          <w:rFonts w:ascii="Verdana" w:eastAsia="Calibri" w:hAnsi="Verdana" w:cs="Arial"/>
          <w:shd w:val="clear" w:color="auto" w:fill="FFFFFF"/>
        </w:rPr>
        <w:t xml:space="preserve">y C-239 del 30 de marzo de 2026, </w:t>
      </w:r>
      <w:r w:rsidRPr="000B16C5">
        <w:rPr>
          <w:rFonts w:ascii="Verdana" w:eastAsia="Calibri" w:hAnsi="Verdana" w:cs="Arial"/>
          <w:shd w:val="clear" w:color="auto" w:fill="FFFFFF"/>
        </w:rPr>
        <w:t>entre otros</w:t>
      </w:r>
      <w:r w:rsidRPr="000B16C5">
        <w:rPr>
          <w:rFonts w:ascii="Verdana" w:eastAsia="Aptos" w:hAnsi="Verdana" w:cs="Arial"/>
          <w:shd w:val="clear" w:color="auto" w:fill="FFFFFF"/>
          <w:lang w:val="es-ES"/>
        </w:rPr>
        <w:t xml:space="preserve">. </w:t>
      </w:r>
    </w:p>
    <w:p w14:paraId="619C81DF" w14:textId="77777777" w:rsidR="004E6EE2" w:rsidRPr="000B16C5" w:rsidRDefault="004E6EE2" w:rsidP="004E6EE2">
      <w:pPr>
        <w:spacing w:after="0" w:line="276" w:lineRule="auto"/>
        <w:jc w:val="both"/>
        <w:rPr>
          <w:rFonts w:ascii="Verdana" w:eastAsia="Aptos" w:hAnsi="Verdana" w:cs="Arial"/>
          <w:shd w:val="clear" w:color="auto" w:fill="FFFFFF"/>
        </w:rPr>
      </w:pPr>
    </w:p>
    <w:p w14:paraId="4C2F31CF" w14:textId="77777777" w:rsidR="004E6EE2" w:rsidRPr="000B16C5" w:rsidRDefault="004E6EE2" w:rsidP="004E6EE2">
      <w:pPr>
        <w:spacing w:after="0" w:line="276" w:lineRule="auto"/>
        <w:jc w:val="both"/>
        <w:rPr>
          <w:rFonts w:ascii="Verdana" w:hAnsi="Verdana"/>
          <w:lang w:val="es-ES"/>
        </w:rPr>
      </w:pPr>
      <w:r w:rsidRPr="000B16C5">
        <w:rPr>
          <w:rFonts w:ascii="Verdana" w:hAnsi="Verdana" w:cs="Arial"/>
          <w:shd w:val="clear" w:color="auto" w:fill="FFFFFF"/>
          <w:lang w:val="es-ES"/>
        </w:rPr>
        <w:t>Estos</w:t>
      </w:r>
      <w:r w:rsidRPr="000B16C5">
        <w:rPr>
          <w:rFonts w:ascii="Verdana" w:hAnsi="Verdana"/>
          <w:lang w:val="es-ES"/>
        </w:rPr>
        <w:t xml:space="preserve"> y otros se encuentran disponibles para consulta en el Sistema de relatoría de la Agencia, al cual se puede acceder a través del siguiente enlace:</w:t>
      </w:r>
      <w:r w:rsidRPr="000B16C5">
        <w:rPr>
          <w:rFonts w:ascii="Verdana" w:hAnsi="Verdana" w:cs="Arial"/>
          <w:shd w:val="clear" w:color="auto" w:fill="FFFFFF"/>
          <w:lang w:val="es-ES"/>
        </w:rPr>
        <w:t xml:space="preserve"> </w:t>
      </w:r>
      <w:hyperlink r:id="rId9" w:history="1">
        <w:r w:rsidRPr="000B16C5">
          <w:rPr>
            <w:rStyle w:val="Hipervnculo"/>
            <w:rFonts w:ascii="Verdana" w:hAnsi="Verdana" w:cs="Arial"/>
            <w:shd w:val="clear" w:color="auto" w:fill="FFFFFF"/>
            <w:lang w:val="es-ES"/>
          </w:rPr>
          <w:t>https://relatoria.colombiacompra.gov.co/busqueda/conceptos</w:t>
        </w:r>
      </w:hyperlink>
    </w:p>
    <w:p w14:paraId="4996BE52" w14:textId="77777777" w:rsidR="004E6EE2" w:rsidRPr="000B16C5" w:rsidRDefault="004E6EE2" w:rsidP="004E6EE2">
      <w:pPr>
        <w:spacing w:after="0" w:line="276" w:lineRule="auto"/>
        <w:jc w:val="both"/>
        <w:rPr>
          <w:rFonts w:ascii="Verdana" w:hAnsi="Verdana" w:cs="Arial"/>
          <w:shd w:val="clear" w:color="auto" w:fill="FFFFFF"/>
          <w:lang w:val="es-ES"/>
        </w:rPr>
      </w:pPr>
    </w:p>
    <w:p w14:paraId="37102DC0" w14:textId="77777777" w:rsidR="004E6EE2" w:rsidRPr="000B16C5" w:rsidRDefault="004E6EE2" w:rsidP="004E6EE2">
      <w:pPr>
        <w:spacing w:after="0" w:line="276" w:lineRule="auto"/>
        <w:jc w:val="both"/>
        <w:rPr>
          <w:rFonts w:ascii="Verdana" w:eastAsia="Calibri" w:hAnsi="Verdana" w:cs="Arial"/>
        </w:rPr>
      </w:pPr>
      <w:r w:rsidRPr="000B16C5">
        <w:rPr>
          <w:rFonts w:ascii="Verdana" w:eastAsia="Calibri" w:hAnsi="Verdana" w:cs="Arial"/>
        </w:rPr>
        <w:t xml:space="preserve">La sostenibilidad no es una opción, es una obligación. Por ello, la Agencia Nacional de Contratación Pública –Colombia Compra Eficiente– te invita a realizar el </w:t>
      </w:r>
      <w:r w:rsidRPr="000B16C5">
        <w:rPr>
          <w:rFonts w:ascii="Verdana" w:eastAsia="Calibri" w:hAnsi="Verdana" w:cs="Arial"/>
          <w:b/>
          <w:bCs/>
        </w:rPr>
        <w:t>Curso de Contratación Pública Sostenible y Socialmente Responsable</w:t>
      </w:r>
      <w:r w:rsidRPr="000B16C5">
        <w:rPr>
          <w:rFonts w:ascii="Verdana" w:eastAsia="Calibri"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0B16C5">
        <w:rPr>
          <w:rFonts w:ascii="Verdana" w:eastAsia="Calibri" w:hAnsi="Verdana" w:cs="Arial"/>
        </w:rPr>
        <w:br/>
      </w:r>
      <w:hyperlink r:id="rId10" w:tgtFrame="_new" w:history="1">
        <w:r w:rsidRPr="000B16C5">
          <w:rPr>
            <w:rFonts w:ascii="Verdana" w:eastAsia="Calibri" w:hAnsi="Verdana" w:cs="Arial"/>
            <w:color w:val="0000FF"/>
            <w:u w:val="single"/>
          </w:rPr>
          <w:t>https://formacionvirtual.colombiacompra.gov.co/mod/page/view.php?id=3718</w:t>
        </w:r>
      </w:hyperlink>
    </w:p>
    <w:p w14:paraId="02B7F00D" w14:textId="77777777" w:rsidR="004E6EE2" w:rsidRPr="000B16C5" w:rsidRDefault="004E6EE2" w:rsidP="004E6EE2">
      <w:pPr>
        <w:spacing w:after="0" w:line="276" w:lineRule="auto"/>
        <w:jc w:val="both"/>
        <w:rPr>
          <w:rFonts w:ascii="Verdana" w:eastAsia="Calibri" w:hAnsi="Verdana" w:cs="Arial"/>
        </w:rPr>
      </w:pPr>
    </w:p>
    <w:p w14:paraId="6580D945" w14:textId="77777777" w:rsidR="004E6EE2" w:rsidRPr="000B16C5" w:rsidRDefault="004E6EE2" w:rsidP="004E6EE2">
      <w:pPr>
        <w:spacing w:after="0" w:line="276" w:lineRule="auto"/>
        <w:jc w:val="both"/>
        <w:rPr>
          <w:rFonts w:ascii="Verdana" w:eastAsia="Calibri" w:hAnsi="Verdana" w:cs="Arial"/>
        </w:rPr>
      </w:pPr>
      <w:r w:rsidRPr="000B16C5">
        <w:rPr>
          <w:rFonts w:ascii="Verdana" w:eastAsia="Calibri" w:hAnsi="Verdana" w:cs="Arial"/>
        </w:rPr>
        <w:t xml:space="preserve">De otro lado, te contamos que esta Agencia ha da un paso decisivo en la estandarización y modernización del </w:t>
      </w:r>
      <w:r w:rsidRPr="000B16C5">
        <w:rPr>
          <w:rFonts w:ascii="Verdana" w:eastAsia="Calibri" w:hAnsi="Verdana" w:cs="Arial"/>
          <w:b/>
          <w:bCs/>
        </w:rPr>
        <w:t>sector  social</w:t>
      </w:r>
      <w:r w:rsidRPr="000B16C5">
        <w:rPr>
          <w:rFonts w:ascii="Verdana" w:eastAsia="Calibri" w:hAnsi="Verdana" w:cs="Arial"/>
        </w:rPr>
        <w:t xml:space="preserve"> con la expedición de las </w:t>
      </w:r>
      <w:r w:rsidRPr="000B16C5">
        <w:rPr>
          <w:rFonts w:ascii="Verdana" w:eastAsia="Calibri" w:hAnsi="Verdana" w:cs="Arial"/>
          <w:b/>
          <w:bCs/>
        </w:rPr>
        <w:t>Resoluciones 539, 540, 541, 952 y 953 de 2025</w:t>
      </w:r>
      <w:r w:rsidRPr="000B16C5">
        <w:rPr>
          <w:rFonts w:ascii="Verdana" w:eastAsia="Calibri" w:hAnsi="Verdana" w:cs="Arial"/>
        </w:rPr>
        <w:t xml:space="preserve">, </w:t>
      </w:r>
      <w:r w:rsidRPr="000B16C5">
        <w:rPr>
          <w:rFonts w:ascii="Verdana" w:eastAsia="Calibri" w:hAnsi="Verdana" w:cs="Arial"/>
          <w:b/>
          <w:bCs/>
        </w:rPr>
        <w:t>mediante las cuales adoptó Documentos Tipo</w:t>
      </w:r>
      <w:r w:rsidRPr="000B16C5">
        <w:rPr>
          <w:rFonts w:ascii="Verdana" w:eastAsia="Calibri" w:hAnsi="Verdana" w:cs="Arial"/>
        </w:rPr>
        <w:t xml:space="preserve"> para las modalidades de selección de</w:t>
      </w:r>
      <w:r w:rsidRPr="000B16C5">
        <w:rPr>
          <w:rFonts w:ascii="Verdana" w:eastAsia="Calibri" w:hAnsi="Verdana" w:cs="Arial"/>
          <w:b/>
          <w:bCs/>
        </w:rPr>
        <w:t xml:space="preserve"> licitación pública (versión 2), selección abreviada de menor cuantía, mínima cuantía, consultoría e interventoría</w:t>
      </w:r>
      <w:r w:rsidRPr="000B16C5">
        <w:rPr>
          <w:rFonts w:ascii="Verdana" w:eastAsia="Calibri"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1" w:tgtFrame="_new" w:history="1">
        <w:r w:rsidRPr="000B16C5">
          <w:rPr>
            <w:rFonts w:ascii="Verdana" w:eastAsia="Calibri" w:hAnsi="Verdana" w:cs="Arial"/>
            <w:color w:val="0000FF"/>
            <w:u w:val="single"/>
          </w:rPr>
          <w:t>https://www.colombiacompra.gov.co/normativa-y-relatoria/documentos-tipo</w:t>
        </w:r>
      </w:hyperlink>
    </w:p>
    <w:p w14:paraId="1B1C0EE7" w14:textId="77777777" w:rsidR="004E6EE2" w:rsidRPr="000B16C5" w:rsidRDefault="004E6EE2" w:rsidP="004E6EE2">
      <w:pPr>
        <w:spacing w:after="0" w:line="276" w:lineRule="auto"/>
        <w:jc w:val="both"/>
        <w:rPr>
          <w:rFonts w:ascii="Verdana" w:eastAsia="Calibri" w:hAnsi="Verdana" w:cs="Arial"/>
        </w:rPr>
      </w:pPr>
    </w:p>
    <w:p w14:paraId="1E746E70" w14:textId="77777777" w:rsidR="004E6EE2" w:rsidRDefault="004E6EE2" w:rsidP="004E6EE2">
      <w:pPr>
        <w:spacing w:after="0" w:line="276" w:lineRule="auto"/>
        <w:jc w:val="both"/>
        <w:rPr>
          <w:rFonts w:ascii="Verdana" w:hAnsi="Verdana"/>
        </w:rPr>
      </w:pPr>
      <w:r w:rsidRPr="000B16C5">
        <w:rPr>
          <w:rFonts w:ascii="Verdana" w:eastAsia="Calibri" w:hAnsi="Verdana" w:cs="Arial"/>
        </w:rPr>
        <w:t xml:space="preserve">Si quieres conocer más sobre la aplicación de Documentos Tipo puedes consultar la última versión de la </w:t>
      </w:r>
      <w:r w:rsidRPr="000B16C5">
        <w:rPr>
          <w:rFonts w:ascii="Verdana" w:eastAsia="Calibri" w:hAnsi="Verdana" w:cs="Arial"/>
          <w:b/>
          <w:bCs/>
        </w:rPr>
        <w:t>Guía para la comprensión e implementación de los Documentos Tipo de obra pública de infraestructura de transporte</w:t>
      </w:r>
      <w:r w:rsidRPr="000B16C5">
        <w:rPr>
          <w:rFonts w:ascii="Verdana" w:eastAsia="Calibri" w:hAnsi="Verdana" w:cs="Arial"/>
        </w:rPr>
        <w:t xml:space="preserve">. En esta actualización se incorporaron orientaciones prácticas dirigidas a entidades públicas, proveedores, organismos de control y demás interesados, con el </w:t>
      </w:r>
      <w:r w:rsidRPr="000B16C5">
        <w:rPr>
          <w:rFonts w:ascii="Verdana" w:eastAsia="Calibri" w:hAnsi="Verdana" w:cs="Arial"/>
        </w:rPr>
        <w:lastRenderedPageBreak/>
        <w:t>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0B16C5">
        <w:rPr>
          <w:rFonts w:ascii="Verdana" w:eastAsia="Calibri" w:hAnsi="Verdana" w:cs="Arial"/>
        </w:rPr>
        <w:br/>
      </w:r>
      <w:hyperlink r:id="rId12" w:tgtFrame="_new" w:history="1">
        <w:r w:rsidRPr="000B16C5">
          <w:rPr>
            <w:rFonts w:ascii="Verdana" w:eastAsia="Calibri" w:hAnsi="Verdana" w:cs="Arial"/>
            <w:color w:val="0000FF"/>
            <w:u w:val="single"/>
          </w:rPr>
          <w:t>https://www.colombiacompra.gov.co/archivos/manual/guia-para-la-comprension-e-implementacion-de-los-documentos-tipo-de-obra-publica-de-infraestructura-de-transporte-bajo-las-diferentes-modalidades-de-contratacion-vigentes</w:t>
        </w:r>
      </w:hyperlink>
    </w:p>
    <w:p w14:paraId="73BD9334" w14:textId="77777777" w:rsidR="004E6EE2" w:rsidRPr="000B16C5" w:rsidRDefault="004E6EE2" w:rsidP="004E6EE2">
      <w:pPr>
        <w:spacing w:after="0" w:line="276" w:lineRule="auto"/>
        <w:jc w:val="both"/>
        <w:rPr>
          <w:rFonts w:ascii="Verdana" w:eastAsia="Calibri" w:hAnsi="Verdana" w:cs="Arial"/>
        </w:rPr>
      </w:pPr>
    </w:p>
    <w:p w14:paraId="4AC52DE6" w14:textId="77777777" w:rsidR="004E6EE2" w:rsidRPr="000B16C5" w:rsidRDefault="004E6EE2" w:rsidP="004E6EE2">
      <w:pPr>
        <w:spacing w:after="0" w:line="276" w:lineRule="auto"/>
        <w:jc w:val="both"/>
        <w:rPr>
          <w:rFonts w:ascii="Verdana" w:eastAsia="Calibri" w:hAnsi="Verdana" w:cs="Arial"/>
        </w:rPr>
      </w:pPr>
      <w:r w:rsidRPr="000B16C5">
        <w:rPr>
          <w:rFonts w:ascii="Verdana" w:eastAsia="Calibri" w:hAnsi="Verdana" w:cs="Arial"/>
          <w:shd w:val="clear" w:color="auto" w:fill="FFFFFF"/>
        </w:rPr>
        <w:t xml:space="preserve">Por último, lo invitamos a seguirnos en las redes sociales en las cuales se difunde información institucional: </w:t>
      </w:r>
    </w:p>
    <w:p w14:paraId="097E9BB6" w14:textId="77777777" w:rsidR="004E6EE2" w:rsidRPr="000B16C5" w:rsidRDefault="004E6EE2" w:rsidP="004E6EE2">
      <w:pPr>
        <w:spacing w:after="0" w:line="276" w:lineRule="auto"/>
        <w:jc w:val="both"/>
        <w:rPr>
          <w:rFonts w:ascii="Verdana" w:eastAsia="Calibri" w:hAnsi="Verdana" w:cs="Arial"/>
          <w:shd w:val="clear" w:color="auto" w:fill="FFFFFF"/>
        </w:rPr>
      </w:pPr>
    </w:p>
    <w:p w14:paraId="59284FB6" w14:textId="77777777" w:rsidR="004E6EE2" w:rsidRPr="000B16C5" w:rsidRDefault="004E6EE2" w:rsidP="004E6EE2">
      <w:pPr>
        <w:spacing w:after="0" w:line="276" w:lineRule="auto"/>
        <w:jc w:val="both"/>
        <w:rPr>
          <w:rFonts w:ascii="Verdana" w:eastAsia="Calibri" w:hAnsi="Verdana" w:cs="Arial"/>
          <w:shd w:val="clear" w:color="auto" w:fill="FFFFFF"/>
        </w:rPr>
      </w:pPr>
      <w:r w:rsidRPr="000B16C5">
        <w:rPr>
          <w:rFonts w:ascii="Verdana" w:eastAsia="Calibri" w:hAnsi="Verdana" w:cs="Arial"/>
          <w:shd w:val="clear" w:color="auto" w:fill="FFFFFF"/>
        </w:rPr>
        <w:t xml:space="preserve">Twitter: </w:t>
      </w:r>
      <w:r w:rsidRPr="000B16C5">
        <w:rPr>
          <w:rFonts w:ascii="Verdana" w:eastAsia="Calibri" w:hAnsi="Verdana" w:cs="Arial"/>
          <w:color w:val="0000FF"/>
          <w:u w:val="single"/>
          <w:lang w:val="es-ES"/>
        </w:rPr>
        <w:t xml:space="preserve">@colombiacompra </w:t>
      </w:r>
    </w:p>
    <w:p w14:paraId="7A86D49A" w14:textId="77777777" w:rsidR="004E6EE2" w:rsidRPr="000B16C5" w:rsidRDefault="004E6EE2" w:rsidP="004E6EE2">
      <w:pPr>
        <w:spacing w:after="0" w:line="276" w:lineRule="auto"/>
        <w:jc w:val="both"/>
        <w:rPr>
          <w:rFonts w:ascii="Verdana" w:eastAsia="Calibri" w:hAnsi="Verdana" w:cs="Arial"/>
          <w:shd w:val="clear" w:color="auto" w:fill="FFFFFF"/>
        </w:rPr>
      </w:pPr>
      <w:r w:rsidRPr="000B16C5">
        <w:rPr>
          <w:rFonts w:ascii="Verdana" w:eastAsia="Calibri" w:hAnsi="Verdana" w:cs="Arial"/>
          <w:shd w:val="clear" w:color="auto" w:fill="FFFFFF"/>
        </w:rPr>
        <w:t>Facebook:</w:t>
      </w:r>
      <w:r w:rsidRPr="000B16C5">
        <w:rPr>
          <w:rFonts w:ascii="Verdana" w:eastAsia="Calibri" w:hAnsi="Verdana" w:cs="Arial"/>
          <w:color w:val="0000FF"/>
          <w:u w:val="single"/>
          <w:lang w:val="es-ES"/>
        </w:rPr>
        <w:t xml:space="preserve"> </w:t>
      </w:r>
      <w:proofErr w:type="spellStart"/>
      <w:r w:rsidRPr="000B16C5">
        <w:rPr>
          <w:rFonts w:ascii="Verdana" w:eastAsia="Calibri" w:hAnsi="Verdana" w:cs="Arial"/>
          <w:color w:val="0000FF"/>
          <w:u w:val="single"/>
          <w:lang w:val="es-ES"/>
        </w:rPr>
        <w:t>ColombiaCompraEficiente</w:t>
      </w:r>
      <w:proofErr w:type="spellEnd"/>
    </w:p>
    <w:p w14:paraId="21970FD5" w14:textId="77777777" w:rsidR="004E6EE2" w:rsidRPr="000B16C5" w:rsidRDefault="004E6EE2" w:rsidP="004E6EE2">
      <w:pPr>
        <w:spacing w:after="0" w:line="276" w:lineRule="auto"/>
        <w:jc w:val="both"/>
        <w:rPr>
          <w:rFonts w:ascii="Verdana" w:eastAsia="Calibri" w:hAnsi="Verdana" w:cs="Arial"/>
          <w:color w:val="0000FF"/>
          <w:shd w:val="clear" w:color="auto" w:fill="FFFFFF"/>
        </w:rPr>
      </w:pPr>
      <w:r w:rsidRPr="000B16C5">
        <w:rPr>
          <w:rFonts w:ascii="Verdana" w:eastAsia="Calibri" w:hAnsi="Verdana" w:cs="Arial"/>
          <w:shd w:val="clear" w:color="auto" w:fill="FFFFFF"/>
        </w:rPr>
        <w:t xml:space="preserve">LinkedIn: </w:t>
      </w:r>
      <w:r w:rsidRPr="000B16C5">
        <w:rPr>
          <w:rFonts w:ascii="Verdana" w:eastAsia="Calibri" w:hAnsi="Verdana" w:cs="Arial"/>
          <w:color w:val="0000FF"/>
          <w:u w:val="single"/>
          <w:lang w:val="es-ES"/>
        </w:rPr>
        <w:t>Agencia Nacional de Contratación Pública - Colombia Compra Eficiente</w:t>
      </w:r>
      <w:r w:rsidRPr="000B16C5">
        <w:rPr>
          <w:rFonts w:ascii="Verdana" w:eastAsia="Calibri" w:hAnsi="Verdana" w:cs="Arial"/>
          <w:color w:val="0000FF"/>
          <w:shd w:val="clear" w:color="auto" w:fill="FFFFFF"/>
        </w:rPr>
        <w:t xml:space="preserve"> </w:t>
      </w:r>
    </w:p>
    <w:p w14:paraId="3B4729D5" w14:textId="77777777" w:rsidR="004E6EE2" w:rsidRPr="000B16C5" w:rsidRDefault="004E6EE2" w:rsidP="004E6EE2">
      <w:pPr>
        <w:spacing w:after="0" w:line="276" w:lineRule="auto"/>
        <w:jc w:val="both"/>
        <w:rPr>
          <w:rFonts w:ascii="Verdana" w:eastAsia="Calibri" w:hAnsi="Verdana" w:cs="Arial"/>
          <w:shd w:val="clear" w:color="auto" w:fill="FFFFFF"/>
        </w:rPr>
      </w:pPr>
      <w:r w:rsidRPr="000B16C5">
        <w:rPr>
          <w:rFonts w:ascii="Verdana" w:eastAsia="Calibri" w:hAnsi="Verdana" w:cs="Arial"/>
          <w:shd w:val="clear" w:color="auto" w:fill="FFFFFF"/>
        </w:rPr>
        <w:t xml:space="preserve">Instagram: </w:t>
      </w:r>
      <w:r w:rsidRPr="000B16C5">
        <w:rPr>
          <w:rFonts w:ascii="Verdana" w:eastAsia="Calibri" w:hAnsi="Verdana" w:cs="Arial"/>
          <w:color w:val="0000FF"/>
          <w:u w:val="single"/>
          <w:lang w:val="es-ES"/>
        </w:rPr>
        <w:t>@colombiacompraeficiente_cce</w:t>
      </w:r>
    </w:p>
    <w:p w14:paraId="341CA6D9" w14:textId="77777777" w:rsidR="004E6EE2" w:rsidRPr="000B16C5" w:rsidRDefault="004E6EE2" w:rsidP="004E6EE2">
      <w:pPr>
        <w:widowControl w:val="0"/>
        <w:autoSpaceDE w:val="0"/>
        <w:autoSpaceDN w:val="0"/>
        <w:spacing w:after="0" w:line="276" w:lineRule="auto"/>
        <w:jc w:val="both"/>
        <w:rPr>
          <w:rFonts w:ascii="Verdana" w:eastAsia="Calibri" w:hAnsi="Verdana" w:cs="Arial"/>
          <w:lang w:val="es-ES"/>
        </w:rPr>
      </w:pPr>
    </w:p>
    <w:p w14:paraId="4A399DD6" w14:textId="77777777" w:rsidR="004E6EE2" w:rsidRPr="000B16C5" w:rsidRDefault="004E6EE2" w:rsidP="004E6EE2">
      <w:pPr>
        <w:widowControl w:val="0"/>
        <w:autoSpaceDE w:val="0"/>
        <w:autoSpaceDN w:val="0"/>
        <w:spacing w:after="0" w:line="276" w:lineRule="auto"/>
        <w:jc w:val="both"/>
        <w:rPr>
          <w:rFonts w:ascii="Verdana" w:eastAsia="Calibri" w:hAnsi="Verdana" w:cs="Arial"/>
          <w:lang w:val="es-ES"/>
        </w:rPr>
      </w:pPr>
      <w:r w:rsidRPr="19B6A718">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F68EDC4" w14:textId="77777777" w:rsidR="004E6EE2" w:rsidRPr="000B16C5" w:rsidRDefault="004E6EE2" w:rsidP="004E6EE2">
      <w:pPr>
        <w:spacing w:after="0" w:line="276" w:lineRule="auto"/>
        <w:jc w:val="both"/>
        <w:rPr>
          <w:rFonts w:ascii="Verdana" w:eastAsia="Verdana" w:hAnsi="Verdana" w:cs="Verdana"/>
        </w:rPr>
      </w:pPr>
    </w:p>
    <w:p w14:paraId="17763592" w14:textId="77777777" w:rsidR="004E6EE2" w:rsidRPr="000B16C5" w:rsidRDefault="004E6EE2" w:rsidP="004E6EE2">
      <w:pPr>
        <w:spacing w:after="0" w:line="276" w:lineRule="auto"/>
        <w:jc w:val="both"/>
        <w:rPr>
          <w:rFonts w:ascii="Verdana" w:eastAsia="Verdana" w:hAnsi="Verdana" w:cs="Verdana"/>
        </w:rPr>
      </w:pPr>
      <w:r w:rsidRPr="000B16C5">
        <w:rPr>
          <w:rFonts w:ascii="Verdana" w:eastAsia="Verdana" w:hAnsi="Verdana" w:cs="Verdana"/>
        </w:rPr>
        <w:t xml:space="preserve">Evalúa el servicio que ofrece la Agencia por el canal de atención de PQRSD en el siguiente enlace: </w:t>
      </w:r>
      <w:hyperlink r:id="rId13" w:history="1">
        <w:r w:rsidRPr="000B16C5">
          <w:rPr>
            <w:rFonts w:ascii="Verdana" w:eastAsia="Verdana" w:hAnsi="Verdana" w:cs="Verdana"/>
            <w:color w:val="0000FF"/>
            <w:u w:val="single"/>
          </w:rPr>
          <w:t>https://forms.office.com/r/pPHyWVs2SZ</w:t>
        </w:r>
      </w:hyperlink>
      <w:r w:rsidRPr="000B16C5">
        <w:rPr>
          <w:rFonts w:ascii="Verdana" w:eastAsia="Verdana" w:hAnsi="Verdana" w:cs="Verdana"/>
        </w:rPr>
        <w:t xml:space="preserve"> .¡Ayúdanos a mejorar porque el compromiso es de todos!</w:t>
      </w:r>
    </w:p>
    <w:p w14:paraId="2CF1F2D0" w14:textId="77777777" w:rsidR="004E6EE2" w:rsidRDefault="004E6EE2" w:rsidP="004E6EE2">
      <w:pPr>
        <w:widowControl w:val="0"/>
        <w:autoSpaceDE w:val="0"/>
        <w:autoSpaceDN w:val="0"/>
        <w:spacing w:after="0" w:line="276" w:lineRule="auto"/>
        <w:jc w:val="both"/>
        <w:rPr>
          <w:rFonts w:ascii="Verdana" w:hAnsi="Verdana" w:cs="Arial"/>
        </w:rPr>
      </w:pPr>
    </w:p>
    <w:p w14:paraId="58FCE80F" w14:textId="77777777" w:rsidR="004E6EE2" w:rsidRDefault="004E6EE2" w:rsidP="004E6EE2">
      <w:pPr>
        <w:spacing w:after="0" w:line="276" w:lineRule="auto"/>
        <w:jc w:val="both"/>
        <w:rPr>
          <w:rFonts w:ascii="Verdana" w:eastAsia="Calibri" w:hAnsi="Verdana" w:cs="Arial"/>
          <w:color w:val="7030A0"/>
          <w:lang w:val="es-ES"/>
        </w:rPr>
      </w:pPr>
      <w:r>
        <w:rPr>
          <w:rFonts w:ascii="Verdana" w:eastAsia="Times New Roman" w:hAnsi="Verdana" w:cs="Arial"/>
          <w:lang w:eastAsia="es-CO"/>
        </w:rPr>
        <w:t>Atentamente,</w:t>
      </w:r>
    </w:p>
    <w:p w14:paraId="69C4656B" w14:textId="293B99D7" w:rsidR="00364A6B" w:rsidRPr="00364A6B" w:rsidRDefault="00364A6B" w:rsidP="00364A6B">
      <w:pPr>
        <w:spacing w:after="0" w:line="276" w:lineRule="auto"/>
        <w:jc w:val="center"/>
        <w:rPr>
          <w:rFonts w:ascii="Verdana" w:hAnsi="Verdana"/>
        </w:rPr>
      </w:pPr>
      <w:r w:rsidRPr="00364A6B">
        <w:rPr>
          <w:rFonts w:ascii="Verdana" w:hAnsi="Verdana"/>
        </w:rPr>
        <w:drawing>
          <wp:inline distT="0" distB="0" distL="0" distR="0" wp14:anchorId="4EB3FB81" wp14:editId="1DADA264">
            <wp:extent cx="3771900" cy="1403350"/>
            <wp:effectExtent l="0" t="0" r="0" b="6350"/>
            <wp:docPr id="5447909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1403350"/>
                    </a:xfrm>
                    <a:prstGeom prst="rect">
                      <a:avLst/>
                    </a:prstGeom>
                    <a:noFill/>
                    <a:ln>
                      <a:noFill/>
                    </a:ln>
                  </pic:spPr>
                </pic:pic>
              </a:graphicData>
            </a:graphic>
          </wp:inline>
        </w:drawing>
      </w:r>
    </w:p>
    <w:p w14:paraId="795F60C3" w14:textId="61797629" w:rsidR="004E6EE2" w:rsidRDefault="004E6EE2" w:rsidP="004E6EE2">
      <w:pPr>
        <w:spacing w:after="0" w:line="276" w:lineRule="auto"/>
        <w:jc w:val="center"/>
        <w:rPr>
          <w:rFonts w:ascii="Verdana" w:hAnsi="Verdana"/>
          <w:lang w:val="es-ES_tradnl"/>
        </w:rPr>
      </w:pPr>
    </w:p>
    <w:p w14:paraId="2E742896" w14:textId="77777777" w:rsidR="00364A6B" w:rsidRPr="00D53651" w:rsidRDefault="00364A6B" w:rsidP="004E6EE2">
      <w:pPr>
        <w:spacing w:after="0" w:line="276" w:lineRule="auto"/>
        <w:jc w:val="center"/>
        <w:rPr>
          <w:rFonts w:ascii="Verdana" w:hAnsi="Verdana"/>
          <w:lang w:val="es-ES_tradnl"/>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E6EE2" w14:paraId="1578086C" w14:textId="77777777" w:rsidTr="00C6143F">
        <w:trPr>
          <w:trHeight w:val="315"/>
        </w:trPr>
        <w:tc>
          <w:tcPr>
            <w:tcW w:w="893" w:type="dxa"/>
            <w:vAlign w:val="center"/>
            <w:hideMark/>
          </w:tcPr>
          <w:p w14:paraId="5B100675" w14:textId="77777777" w:rsidR="004E6EE2" w:rsidRDefault="004E6EE2" w:rsidP="00C6143F">
            <w:pPr>
              <w:spacing w:after="255"/>
              <w:contextualSpacing/>
              <w:rPr>
                <w:rFonts w:ascii="Verdana" w:hAnsi="Verdana" w:cs="Arial"/>
                <w:sz w:val="16"/>
                <w:szCs w:val="16"/>
                <w:lang w:val="es-ES" w:eastAsia="es-ES"/>
              </w:rPr>
            </w:pPr>
            <w:r>
              <w:rPr>
                <w:rFonts w:ascii="Verdana" w:hAnsi="Verdana" w:cs="Arial"/>
                <w:sz w:val="16"/>
                <w:szCs w:val="16"/>
                <w:lang w:val="es-ES"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10D4ACD2" w14:textId="77777777" w:rsidR="004E6EE2" w:rsidRPr="00D53651" w:rsidRDefault="004E6EE2" w:rsidP="00C6143F">
            <w:pPr>
              <w:spacing w:line="276" w:lineRule="auto"/>
              <w:jc w:val="both"/>
              <w:rPr>
                <w:rFonts w:ascii="Verdana" w:hAnsi="Verdana"/>
                <w:sz w:val="16"/>
                <w:szCs w:val="16"/>
              </w:rPr>
            </w:pPr>
            <w:r>
              <w:rPr>
                <w:rFonts w:ascii="Verdana" w:hAnsi="Verdana"/>
                <w:sz w:val="16"/>
                <w:szCs w:val="16"/>
              </w:rPr>
              <w:t>Natalia Montoya Jiménez</w:t>
            </w:r>
          </w:p>
          <w:p w14:paraId="49F6A07F" w14:textId="77777777" w:rsidR="004E6EE2" w:rsidRDefault="004E6EE2" w:rsidP="00C6143F">
            <w:pPr>
              <w:spacing w:after="255"/>
              <w:contextualSpacing/>
              <w:rPr>
                <w:rFonts w:ascii="Verdana" w:eastAsia="Arial" w:hAnsi="Verdana" w:cs="Arial"/>
                <w:sz w:val="16"/>
                <w:szCs w:val="16"/>
              </w:rPr>
            </w:pPr>
            <w:r>
              <w:rPr>
                <w:rStyle w:val="normaltextrun"/>
                <w:rFonts w:ascii="Verdana" w:eastAsia="Arial" w:hAnsi="Verdana" w:cs="Arial"/>
                <w:sz w:val="16"/>
                <w:szCs w:val="16"/>
              </w:rPr>
              <w:t>C</w:t>
            </w:r>
            <w:r>
              <w:rPr>
                <w:rStyle w:val="normaltextrun"/>
                <w:rFonts w:ascii="Verdana" w:eastAsia="Arial" w:hAnsi="Verdana"/>
                <w:sz w:val="16"/>
                <w:szCs w:val="16"/>
              </w:rPr>
              <w:t>ontratista d</w:t>
            </w:r>
            <w:r>
              <w:rPr>
                <w:rStyle w:val="normaltextrun"/>
                <w:rFonts w:ascii="Verdana" w:eastAsia="Arial" w:hAnsi="Verdana" w:cs="Arial"/>
                <w:sz w:val="16"/>
                <w:szCs w:val="16"/>
              </w:rPr>
              <w:t>e la Subdirección de Gestión Contractual</w:t>
            </w:r>
          </w:p>
        </w:tc>
      </w:tr>
      <w:tr w:rsidR="004E6EE2" w14:paraId="5661DB88" w14:textId="77777777" w:rsidTr="00C6143F">
        <w:trPr>
          <w:trHeight w:val="330"/>
        </w:trPr>
        <w:tc>
          <w:tcPr>
            <w:tcW w:w="893" w:type="dxa"/>
            <w:vAlign w:val="center"/>
            <w:hideMark/>
          </w:tcPr>
          <w:p w14:paraId="38E7DA5F" w14:textId="77777777" w:rsidR="004E6EE2" w:rsidRDefault="004E6EE2" w:rsidP="00C6143F">
            <w:pPr>
              <w:spacing w:after="255"/>
              <w:contextualSpacing/>
              <w:rPr>
                <w:rFonts w:ascii="Verdana" w:hAnsi="Verdana" w:cs="Arial"/>
                <w:sz w:val="16"/>
                <w:szCs w:val="16"/>
                <w:lang w:val="es-ES" w:eastAsia="es-ES"/>
              </w:rPr>
            </w:pPr>
            <w:r>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1B13EC3" w14:textId="77777777" w:rsidR="004E6EE2" w:rsidRDefault="004E6EE2" w:rsidP="00C6143F">
            <w:pPr>
              <w:pStyle w:val="paragraph"/>
              <w:spacing w:before="0" w:beforeAutospacing="0" w:after="0" w:afterAutospacing="0"/>
              <w:contextualSpacing/>
              <w:textAlignment w:val="baseline"/>
              <w:rPr>
                <w:rFonts w:ascii="Verdana" w:hAnsi="Verdana" w:cs="Segoe UI"/>
                <w:sz w:val="16"/>
                <w:szCs w:val="16"/>
                <w:lang w:eastAsia="es-ES_tradnl"/>
              </w:rPr>
            </w:pPr>
            <w:r>
              <w:rPr>
                <w:rFonts w:ascii="Verdana" w:hAnsi="Verdana" w:cs="Segoe UI"/>
                <w:sz w:val="16"/>
                <w:szCs w:val="16"/>
              </w:rPr>
              <w:t>Diana Lucia Saavedra Castañeda</w:t>
            </w:r>
          </w:p>
          <w:p w14:paraId="77C186EB" w14:textId="77777777" w:rsidR="004E6EE2" w:rsidRDefault="004E6EE2" w:rsidP="00C6143F">
            <w:pPr>
              <w:pStyle w:val="paragraph"/>
              <w:spacing w:before="0" w:beforeAutospacing="0" w:after="0" w:afterAutospacing="0"/>
              <w:contextualSpacing/>
              <w:textAlignment w:val="baseline"/>
              <w:rPr>
                <w:rFonts w:ascii="Verdana" w:hAnsi="Verdana" w:cs="Segoe UI"/>
                <w:sz w:val="16"/>
                <w:szCs w:val="16"/>
              </w:rPr>
            </w:pPr>
            <w:r>
              <w:rPr>
                <w:rStyle w:val="normaltextrun"/>
                <w:rFonts w:ascii="Verdana" w:hAnsi="Verdana" w:cs="Arial"/>
                <w:sz w:val="16"/>
                <w:szCs w:val="16"/>
                <w:lang w:val="es-ES"/>
              </w:rPr>
              <w:t>Contratista de la Subdirección de Gestión Contractual</w:t>
            </w:r>
            <w:r>
              <w:rPr>
                <w:rStyle w:val="eop"/>
                <w:rFonts w:ascii="Verdana" w:hAnsi="Verdana" w:cs="Arial"/>
                <w:sz w:val="16"/>
                <w:szCs w:val="16"/>
              </w:rPr>
              <w:t> </w:t>
            </w:r>
          </w:p>
        </w:tc>
      </w:tr>
      <w:tr w:rsidR="004E6EE2" w14:paraId="589A8C78" w14:textId="77777777" w:rsidTr="00C6143F">
        <w:trPr>
          <w:trHeight w:val="300"/>
        </w:trPr>
        <w:tc>
          <w:tcPr>
            <w:tcW w:w="893" w:type="dxa"/>
            <w:vAlign w:val="center"/>
            <w:hideMark/>
          </w:tcPr>
          <w:p w14:paraId="032FDB7C" w14:textId="77777777" w:rsidR="004E6EE2" w:rsidRDefault="004E6EE2" w:rsidP="00C6143F">
            <w:pPr>
              <w:spacing w:after="255"/>
              <w:contextualSpacing/>
              <w:rPr>
                <w:rFonts w:ascii="Verdana" w:hAnsi="Verdana" w:cs="Arial"/>
                <w:sz w:val="16"/>
                <w:szCs w:val="16"/>
                <w:lang w:val="es-ES" w:eastAsia="es-ES"/>
              </w:rPr>
            </w:pPr>
            <w:r>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E03C6D0" w14:textId="77777777" w:rsidR="004E6EE2" w:rsidRDefault="004E6EE2" w:rsidP="00C6143F">
            <w:pPr>
              <w:spacing w:after="255"/>
              <w:contextualSpacing/>
              <w:rPr>
                <w:rFonts w:ascii="Verdana" w:eastAsia="Calibri" w:hAnsi="Verdana" w:cs="Arial"/>
                <w:sz w:val="16"/>
                <w:szCs w:val="16"/>
                <w:lang w:val="pt-BR" w:eastAsia="es-ES"/>
              </w:rPr>
            </w:pPr>
            <w:r>
              <w:rPr>
                <w:rFonts w:ascii="Verdana" w:eastAsia="Calibri" w:hAnsi="Verdana" w:cs="Arial"/>
                <w:sz w:val="16"/>
                <w:szCs w:val="16"/>
                <w:lang w:val="pt-BR" w:eastAsia="es-ES"/>
              </w:rPr>
              <w:t>Carolina Quintero Gacharná</w:t>
            </w:r>
          </w:p>
          <w:p w14:paraId="51EEFE31" w14:textId="77777777" w:rsidR="004E6EE2" w:rsidRDefault="004E6EE2" w:rsidP="00C6143F">
            <w:pPr>
              <w:spacing w:after="255"/>
              <w:contextualSpacing/>
              <w:rPr>
                <w:rFonts w:ascii="Verdana" w:eastAsia="Calibri" w:hAnsi="Verdana" w:cs="Arial"/>
                <w:sz w:val="16"/>
                <w:szCs w:val="16"/>
                <w:lang w:val="pt-BR" w:eastAsia="es-ES"/>
              </w:rPr>
            </w:pPr>
            <w:r>
              <w:rPr>
                <w:rFonts w:ascii="Verdana" w:eastAsia="Calibri" w:hAnsi="Verdana" w:cs="Arial"/>
                <w:sz w:val="16"/>
                <w:szCs w:val="16"/>
                <w:lang w:eastAsia="es-ES"/>
              </w:rPr>
              <w:t>Subdirectora</w:t>
            </w:r>
            <w:r>
              <w:rPr>
                <w:rFonts w:ascii="Verdana" w:eastAsia="Calibri" w:hAnsi="Verdana" w:cs="Arial"/>
                <w:sz w:val="16"/>
                <w:szCs w:val="16"/>
                <w:lang w:val="pt-BR" w:eastAsia="es-ES"/>
              </w:rPr>
              <w:t xml:space="preserve"> de Gestión </w:t>
            </w:r>
            <w:proofErr w:type="spellStart"/>
            <w:r>
              <w:rPr>
                <w:rFonts w:ascii="Verdana" w:eastAsia="Calibri" w:hAnsi="Verdana" w:cs="Arial"/>
                <w:sz w:val="16"/>
                <w:szCs w:val="16"/>
                <w:lang w:val="pt-BR" w:eastAsia="es-ES"/>
              </w:rPr>
              <w:t>Contractual</w:t>
            </w:r>
            <w:proofErr w:type="spellEnd"/>
            <w:r>
              <w:rPr>
                <w:rFonts w:ascii="Verdana" w:eastAsia="Calibri" w:hAnsi="Verdana" w:cs="Arial"/>
                <w:sz w:val="16"/>
                <w:szCs w:val="16"/>
                <w:lang w:val="pt-BR" w:eastAsia="es-ES"/>
              </w:rPr>
              <w:t xml:space="preserve"> ANCP – CCE</w:t>
            </w:r>
          </w:p>
        </w:tc>
      </w:tr>
      <w:bookmarkEnd w:id="0"/>
    </w:tbl>
    <w:p w14:paraId="3C0BBC4C" w14:textId="77777777" w:rsidR="004E6EE2" w:rsidRPr="006926DC" w:rsidRDefault="004E6EE2" w:rsidP="004E6EE2">
      <w:pPr>
        <w:spacing w:after="0" w:line="240" w:lineRule="auto"/>
        <w:textAlignment w:val="baseline"/>
        <w:rPr>
          <w:rFonts w:ascii="Verdana" w:eastAsia="Times New Roman" w:hAnsi="Verdana" w:cs="Segoe UI"/>
          <w:sz w:val="18"/>
          <w:szCs w:val="18"/>
          <w:lang w:eastAsia="es-CO"/>
        </w:rPr>
      </w:pPr>
    </w:p>
    <w:p w14:paraId="29438E3F" w14:textId="3ABC363C" w:rsidR="004E6EE2" w:rsidRDefault="004E6EE2" w:rsidP="004E6EE2"/>
    <w:p w14:paraId="1FB4CA2D" w14:textId="77777777" w:rsidR="004E6EE2" w:rsidRPr="000E16D9" w:rsidRDefault="004E6EE2" w:rsidP="004E6EE2"/>
    <w:p w14:paraId="3DF54726" w14:textId="77777777" w:rsidR="004E6EE2" w:rsidRDefault="004E6EE2"/>
    <w:sectPr w:rsidR="004E6EE2" w:rsidSect="004E6EE2">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6F67" w14:textId="77777777" w:rsidR="00594587" w:rsidRDefault="00594587" w:rsidP="004E6EE2">
      <w:pPr>
        <w:spacing w:after="0" w:line="240" w:lineRule="auto"/>
      </w:pPr>
      <w:r>
        <w:separator/>
      </w:r>
    </w:p>
  </w:endnote>
  <w:endnote w:type="continuationSeparator" w:id="0">
    <w:p w14:paraId="10A3428F" w14:textId="77777777" w:rsidR="00594587" w:rsidRDefault="00594587" w:rsidP="004E6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CDGEE+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0957" w14:textId="77777777" w:rsidR="004E6EE2" w:rsidRDefault="004E6EE2">
    <w:pPr>
      <w:pStyle w:val="Piedepgina"/>
    </w:pPr>
  </w:p>
  <w:p w14:paraId="09461F9B" w14:textId="77777777" w:rsidR="004E6EE2" w:rsidRPr="00174B77" w:rsidRDefault="004E6EE2"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62373E58" w14:textId="77777777" w:rsidR="004E6EE2" w:rsidRDefault="004E6EE2"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7C5FA948" w14:textId="77777777" w:rsidR="004E6EE2" w:rsidRPr="00E41027" w:rsidRDefault="004E6EE2"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CEE1DE6" w14:textId="77777777" w:rsidR="004E6EE2" w:rsidRDefault="004E6EE2"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77BCF" w14:textId="77777777" w:rsidR="00594587" w:rsidRDefault="00594587" w:rsidP="004E6EE2">
      <w:pPr>
        <w:spacing w:after="0" w:line="240" w:lineRule="auto"/>
      </w:pPr>
      <w:r>
        <w:separator/>
      </w:r>
    </w:p>
  </w:footnote>
  <w:footnote w:type="continuationSeparator" w:id="0">
    <w:p w14:paraId="3AF04E2A" w14:textId="77777777" w:rsidR="00594587" w:rsidRDefault="00594587" w:rsidP="004E6EE2">
      <w:pPr>
        <w:spacing w:after="0" w:line="240" w:lineRule="auto"/>
      </w:pPr>
      <w:r>
        <w:continuationSeparator/>
      </w:r>
    </w:p>
  </w:footnote>
  <w:footnote w:id="1">
    <w:p w14:paraId="6507EE5C" w14:textId="77777777" w:rsidR="004E6EE2" w:rsidRPr="00C05384" w:rsidRDefault="004E6EE2" w:rsidP="004E6EE2">
      <w:pPr>
        <w:pStyle w:val="Textonotapie"/>
        <w:ind w:firstLine="709"/>
        <w:jc w:val="both"/>
        <w:rPr>
          <w:rFonts w:ascii="Verdana" w:hAnsi="Verdana" w:cs="Arial"/>
          <w:sz w:val="16"/>
          <w:szCs w:val="16"/>
        </w:rPr>
      </w:pPr>
    </w:p>
  </w:footnote>
  <w:footnote w:id="2">
    <w:p w14:paraId="7C502BEA" w14:textId="77777777" w:rsidR="004E6EE2" w:rsidRPr="00C05384" w:rsidRDefault="004E6EE2" w:rsidP="004E6EE2">
      <w:pPr>
        <w:pStyle w:val="Textonotapie"/>
        <w:ind w:firstLine="709"/>
        <w:jc w:val="both"/>
        <w:rPr>
          <w:rFonts w:ascii="Verdana" w:hAnsi="Verdana" w:cs="Arial"/>
          <w:sz w:val="16"/>
          <w:szCs w:val="16"/>
        </w:rPr>
      </w:pPr>
    </w:p>
    <w:p w14:paraId="2AB1B0D0" w14:textId="77777777" w:rsidR="004E6EE2" w:rsidRPr="00C05384" w:rsidRDefault="004E6EE2" w:rsidP="004E6EE2">
      <w:pPr>
        <w:pStyle w:val="Textonotapie"/>
        <w:ind w:firstLine="709"/>
        <w:jc w:val="both"/>
        <w:rPr>
          <w:rFonts w:ascii="Verdana" w:hAnsi="Verdana" w:cs="Arial"/>
          <w:sz w:val="16"/>
          <w:szCs w:val="16"/>
        </w:rPr>
      </w:pPr>
      <w:r w:rsidRPr="00C05384">
        <w:rPr>
          <w:rStyle w:val="Refdenotaalpie"/>
          <w:rFonts w:ascii="Verdana" w:hAnsi="Verdana" w:cs="Arial"/>
          <w:sz w:val="16"/>
          <w:szCs w:val="16"/>
        </w:rPr>
        <w:footnoteRef/>
      </w:r>
      <w:r w:rsidRPr="00C05384">
        <w:rPr>
          <w:rFonts w:ascii="Verdana" w:hAnsi="Verdana" w:cs="Arial"/>
          <w:sz w:val="16"/>
          <w:szCs w:val="16"/>
        </w:rPr>
        <w:t xml:space="preserve"> Gaceta del Congreso de la República No. 71 del 2005.</w:t>
      </w:r>
    </w:p>
    <w:p w14:paraId="7DD8D853" w14:textId="77777777" w:rsidR="004E6EE2" w:rsidRPr="00C05384" w:rsidRDefault="004E6EE2" w:rsidP="004E6EE2">
      <w:pPr>
        <w:pStyle w:val="Textonotapie"/>
        <w:ind w:firstLine="709"/>
        <w:jc w:val="both"/>
        <w:rPr>
          <w:rFonts w:ascii="Verdana" w:hAnsi="Verdana" w:cs="Arial"/>
          <w:sz w:val="16"/>
          <w:szCs w:val="16"/>
        </w:rPr>
      </w:pPr>
    </w:p>
  </w:footnote>
  <w:footnote w:id="3">
    <w:p w14:paraId="02EFF446" w14:textId="77777777" w:rsidR="004E6EE2" w:rsidRPr="00C05384" w:rsidRDefault="004E6EE2" w:rsidP="004E6EE2">
      <w:pPr>
        <w:pStyle w:val="Textonotapie"/>
        <w:ind w:firstLine="709"/>
        <w:jc w:val="both"/>
        <w:rPr>
          <w:rFonts w:ascii="Verdana" w:hAnsi="Verdana" w:cs="Arial"/>
          <w:sz w:val="16"/>
          <w:szCs w:val="16"/>
          <w:lang w:val="pt-BR"/>
        </w:rPr>
      </w:pPr>
      <w:r w:rsidRPr="00C05384">
        <w:rPr>
          <w:rStyle w:val="Refdenotaalpie"/>
          <w:rFonts w:ascii="Verdana" w:hAnsi="Verdana" w:cs="Arial"/>
          <w:sz w:val="16"/>
          <w:szCs w:val="16"/>
        </w:rPr>
        <w:footnoteRef/>
      </w:r>
      <w:r w:rsidRPr="00C05384">
        <w:rPr>
          <w:rFonts w:ascii="Verdana" w:hAnsi="Verdana" w:cs="Arial"/>
          <w:sz w:val="16"/>
          <w:szCs w:val="16"/>
          <w:lang w:val="pt-BR"/>
        </w:rPr>
        <w:t xml:space="preserve"> Corte Constitucional, Sentencia C- 1153 de 2005, M.P. Marco Gerardo </w:t>
      </w:r>
      <w:proofErr w:type="spellStart"/>
      <w:r w:rsidRPr="00C05384">
        <w:rPr>
          <w:rFonts w:ascii="Verdana" w:hAnsi="Verdana" w:cs="Arial"/>
          <w:sz w:val="16"/>
          <w:szCs w:val="16"/>
          <w:lang w:val="pt-BR"/>
        </w:rPr>
        <w:t>Monroy</w:t>
      </w:r>
      <w:proofErr w:type="spellEnd"/>
      <w:r w:rsidRPr="00C05384">
        <w:rPr>
          <w:rFonts w:ascii="Verdana" w:hAnsi="Verdana" w:cs="Arial"/>
          <w:sz w:val="16"/>
          <w:szCs w:val="16"/>
          <w:lang w:val="pt-BR"/>
        </w:rPr>
        <w:t xml:space="preserve"> Cabra.</w:t>
      </w:r>
    </w:p>
  </w:footnote>
  <w:footnote w:id="4">
    <w:p w14:paraId="4A7AC851" w14:textId="77777777" w:rsidR="004E6EE2" w:rsidRPr="00C05384" w:rsidRDefault="004E6EE2" w:rsidP="004E6EE2">
      <w:pPr>
        <w:pStyle w:val="Textonotapie"/>
        <w:ind w:firstLine="709"/>
        <w:jc w:val="both"/>
        <w:rPr>
          <w:rFonts w:ascii="Verdana" w:hAnsi="Verdana" w:cs="Arial"/>
          <w:sz w:val="16"/>
          <w:szCs w:val="16"/>
          <w:lang w:val="pt-BR"/>
        </w:rPr>
      </w:pPr>
      <w:r w:rsidRPr="00C05384">
        <w:rPr>
          <w:rStyle w:val="Refdenotaalpie"/>
          <w:rFonts w:ascii="Verdana" w:hAnsi="Verdana" w:cs="Arial"/>
          <w:sz w:val="16"/>
          <w:szCs w:val="16"/>
        </w:rPr>
        <w:footnoteRef/>
      </w:r>
      <w:r w:rsidRPr="00C05384">
        <w:rPr>
          <w:rFonts w:ascii="Verdana" w:hAnsi="Verdana" w:cs="Arial"/>
          <w:sz w:val="16"/>
          <w:szCs w:val="16"/>
          <w:lang w:val="pt-BR"/>
        </w:rPr>
        <w:t xml:space="preserve"> Corte Constitucional. Sentencias: C-233 de 4 de abril de 2002, expediente: D-3704; C-551 de 9 de </w:t>
      </w:r>
      <w:proofErr w:type="spellStart"/>
      <w:r w:rsidRPr="00C05384">
        <w:rPr>
          <w:rFonts w:ascii="Verdana" w:hAnsi="Verdana" w:cs="Arial"/>
          <w:sz w:val="16"/>
          <w:szCs w:val="16"/>
          <w:lang w:val="pt-BR"/>
        </w:rPr>
        <w:t>julio</w:t>
      </w:r>
      <w:proofErr w:type="spellEnd"/>
      <w:r w:rsidRPr="00C05384">
        <w:rPr>
          <w:rFonts w:ascii="Verdana" w:hAnsi="Verdana" w:cs="Arial"/>
          <w:sz w:val="16"/>
          <w:szCs w:val="16"/>
          <w:lang w:val="pt-BR"/>
        </w:rPr>
        <w:t xml:space="preserve"> de 2003, expediente: CRF-001 de 9 de </w:t>
      </w:r>
      <w:proofErr w:type="spellStart"/>
      <w:r w:rsidRPr="00C05384">
        <w:rPr>
          <w:rFonts w:ascii="Verdana" w:hAnsi="Verdana" w:cs="Arial"/>
          <w:sz w:val="16"/>
          <w:szCs w:val="16"/>
          <w:lang w:val="pt-BR"/>
        </w:rPr>
        <w:t>julio</w:t>
      </w:r>
      <w:proofErr w:type="spellEnd"/>
      <w:r w:rsidRPr="00C05384">
        <w:rPr>
          <w:rFonts w:ascii="Verdana" w:hAnsi="Verdana" w:cs="Arial"/>
          <w:sz w:val="16"/>
          <w:szCs w:val="16"/>
          <w:lang w:val="pt-BR"/>
        </w:rPr>
        <w:t xml:space="preserve"> de 2003; C-652 de 5 de agosto de 2003, expediente: D-4330; C-353 de 20 de </w:t>
      </w:r>
      <w:proofErr w:type="spellStart"/>
      <w:r w:rsidRPr="00C05384">
        <w:rPr>
          <w:rFonts w:ascii="Verdana" w:hAnsi="Verdana" w:cs="Arial"/>
          <w:sz w:val="16"/>
          <w:szCs w:val="16"/>
          <w:lang w:val="pt-BR"/>
        </w:rPr>
        <w:t>mayo</w:t>
      </w:r>
      <w:proofErr w:type="spellEnd"/>
      <w:r w:rsidRPr="00C05384">
        <w:rPr>
          <w:rFonts w:ascii="Verdana" w:hAnsi="Verdana" w:cs="Arial"/>
          <w:sz w:val="16"/>
          <w:szCs w:val="16"/>
          <w:lang w:val="pt-BR"/>
        </w:rPr>
        <w:t xml:space="preserve"> de 2009, expediente: D-7518, C-541 de 30 de </w:t>
      </w:r>
      <w:proofErr w:type="spellStart"/>
      <w:r w:rsidRPr="00C05384">
        <w:rPr>
          <w:rFonts w:ascii="Verdana" w:hAnsi="Verdana" w:cs="Arial"/>
          <w:sz w:val="16"/>
          <w:szCs w:val="16"/>
          <w:lang w:val="pt-BR"/>
        </w:rPr>
        <w:t>junio</w:t>
      </w:r>
      <w:proofErr w:type="spellEnd"/>
      <w:r w:rsidRPr="00C05384">
        <w:rPr>
          <w:rFonts w:ascii="Verdana" w:hAnsi="Verdana" w:cs="Arial"/>
          <w:sz w:val="16"/>
          <w:szCs w:val="16"/>
          <w:lang w:val="pt-BR"/>
        </w:rPr>
        <w:t xml:space="preserve"> de 2010, expediente: DD7966; entre </w:t>
      </w:r>
      <w:proofErr w:type="spellStart"/>
      <w:r w:rsidRPr="00C05384">
        <w:rPr>
          <w:rFonts w:ascii="Verdana" w:hAnsi="Verdana" w:cs="Arial"/>
          <w:sz w:val="16"/>
          <w:szCs w:val="16"/>
          <w:lang w:val="pt-BR"/>
        </w:rPr>
        <w:t>otras</w:t>
      </w:r>
      <w:proofErr w:type="spellEnd"/>
      <w:r w:rsidRPr="00C05384">
        <w:rPr>
          <w:rFonts w:ascii="Verdana" w:hAnsi="Verdana" w:cs="Arial"/>
          <w:sz w:val="16"/>
          <w:szCs w:val="16"/>
          <w:lang w:val="pt-BR"/>
        </w:rPr>
        <w:t>.</w:t>
      </w:r>
    </w:p>
  </w:footnote>
  <w:footnote w:id="5">
    <w:p w14:paraId="6363AFAE" w14:textId="77777777" w:rsidR="004E6EE2" w:rsidRPr="00C05384" w:rsidRDefault="004E6EE2" w:rsidP="004E6EE2">
      <w:pPr>
        <w:pStyle w:val="Textonotapie"/>
        <w:ind w:firstLine="709"/>
        <w:jc w:val="both"/>
        <w:rPr>
          <w:rFonts w:ascii="Verdana" w:hAnsi="Verdana" w:cs="Arial"/>
          <w:sz w:val="16"/>
          <w:szCs w:val="16"/>
          <w:lang w:val="es-CO"/>
        </w:rPr>
      </w:pPr>
      <w:r w:rsidRPr="00C05384">
        <w:rPr>
          <w:rStyle w:val="Refdenotaalpie"/>
          <w:rFonts w:ascii="Verdana" w:hAnsi="Verdana" w:cs="Arial"/>
          <w:sz w:val="16"/>
          <w:szCs w:val="16"/>
        </w:rPr>
        <w:footnoteRef/>
      </w:r>
      <w:r w:rsidRPr="00C05384">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6">
    <w:p w14:paraId="02579868" w14:textId="77777777" w:rsidR="004E6EE2" w:rsidRPr="00C05384" w:rsidRDefault="004E6EE2" w:rsidP="004E6EE2">
      <w:pPr>
        <w:pStyle w:val="Textonotapie"/>
        <w:ind w:firstLine="709"/>
        <w:jc w:val="both"/>
        <w:rPr>
          <w:rFonts w:ascii="Verdana" w:hAnsi="Verdana" w:cs="Arial"/>
          <w:sz w:val="16"/>
          <w:szCs w:val="16"/>
        </w:rPr>
      </w:pPr>
      <w:r w:rsidRPr="00C05384">
        <w:rPr>
          <w:rStyle w:val="Refdenotaalpie"/>
          <w:rFonts w:ascii="Verdana" w:hAnsi="Verdana" w:cs="Arial"/>
          <w:sz w:val="16"/>
          <w:szCs w:val="16"/>
        </w:rPr>
        <w:footnoteRef/>
      </w:r>
      <w:r w:rsidRPr="00C05384">
        <w:rPr>
          <w:rFonts w:ascii="Verdana" w:hAnsi="Verdana" w:cs="Arial"/>
          <w:sz w:val="16"/>
          <w:szCs w:val="16"/>
        </w:rPr>
        <w:t xml:space="preserve"> Consejo de Estado, Sala de Consulta y Servicio Civil de fecha 24 de julio de 2013, Rad. 2166, C. P. Álvaro Namén Vargas.  </w:t>
      </w:r>
    </w:p>
  </w:footnote>
  <w:footnote w:id="7">
    <w:p w14:paraId="757E7A5C" w14:textId="77777777" w:rsidR="004E6EE2" w:rsidRPr="00C05384" w:rsidRDefault="004E6EE2" w:rsidP="004E6EE2">
      <w:pPr>
        <w:pStyle w:val="Textonotapie"/>
        <w:ind w:firstLine="709"/>
        <w:jc w:val="both"/>
        <w:rPr>
          <w:rFonts w:ascii="Verdana" w:hAnsi="Verdana"/>
          <w:sz w:val="16"/>
          <w:szCs w:val="16"/>
          <w:lang w:val="es-ES"/>
        </w:rPr>
      </w:pPr>
      <w:r w:rsidRPr="00C05384">
        <w:rPr>
          <w:rStyle w:val="Refdenotaalpie"/>
          <w:rFonts w:ascii="Verdana" w:hAnsi="Verdana"/>
          <w:sz w:val="16"/>
          <w:szCs w:val="16"/>
        </w:rPr>
        <w:footnoteRef/>
      </w:r>
      <w:r w:rsidRPr="00C05384">
        <w:rPr>
          <w:rFonts w:ascii="Verdana" w:hAnsi="Verdana"/>
          <w:sz w:val="16"/>
          <w:szCs w:val="16"/>
        </w:rPr>
        <w:t xml:space="preserve"> Consejo de Estado. Sala de Consulta y Servicio Civil. Concepto del 08 de mayo de 2018. </w:t>
      </w:r>
      <w:proofErr w:type="spellStart"/>
      <w:r w:rsidRPr="00C05384">
        <w:rPr>
          <w:rFonts w:ascii="Verdana" w:hAnsi="Verdana"/>
          <w:sz w:val="16"/>
          <w:szCs w:val="16"/>
        </w:rPr>
        <w:t>Exp</w:t>
      </w:r>
      <w:proofErr w:type="spellEnd"/>
      <w:r w:rsidRPr="00C05384">
        <w:rPr>
          <w:rFonts w:ascii="Verdana" w:hAnsi="Verdana"/>
          <w:sz w:val="16"/>
          <w:szCs w:val="16"/>
        </w:rPr>
        <w:t>. 2.382. C.P. Álvaro Namén Vargas.</w:t>
      </w:r>
    </w:p>
  </w:footnote>
  <w:footnote w:id="8">
    <w:p w14:paraId="10291E8D" w14:textId="77777777" w:rsidR="004E6EE2" w:rsidRPr="00B05796" w:rsidRDefault="004E6EE2" w:rsidP="004E6EE2">
      <w:pPr>
        <w:spacing w:after="0"/>
        <w:ind w:firstLine="709"/>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Consejo de Estado. Sala de Consulta y Servicio Civil. Concepto de 20 de febrero de 2006. Radicación Número: 11001-03-06-000-2006-00026-00(1727). Consejero Ponente: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9">
    <w:p w14:paraId="1485CCD6" w14:textId="77777777" w:rsidR="004E6EE2" w:rsidRPr="00B05796" w:rsidRDefault="004E6EE2" w:rsidP="004E6EE2">
      <w:pPr>
        <w:pStyle w:val="Textonotapie"/>
        <w:ind w:right="51" w:firstLine="709"/>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w:t>
      </w:r>
      <w:bookmarkStart w:id="6" w:name="_Hlk75633115"/>
      <w:r w:rsidRPr="00B05796">
        <w:rPr>
          <w:rFonts w:ascii="Verdana" w:hAnsi="Verdana" w:cs="Arial"/>
          <w:sz w:val="16"/>
          <w:szCs w:val="16"/>
        </w:rPr>
        <w:t xml:space="preserve">Consejo de Estado. Sala de Consulta y Servicio Civil. Concepto </w:t>
      </w:r>
      <w:bookmarkEnd w:id="6"/>
      <w:r w:rsidRPr="00B05796">
        <w:rPr>
          <w:rFonts w:ascii="Verdana" w:hAnsi="Verdana" w:cs="Arial"/>
          <w:sz w:val="16"/>
          <w:szCs w:val="16"/>
        </w:rPr>
        <w:t>de 6 de abril de 2006. Radicación Número: 11001-03-06-000-2006-00038-00(1738). Consejero Ponente: Enrique José Arboleda Perdomo:</w:t>
      </w:r>
      <w:r w:rsidRPr="00B05796">
        <w:rPr>
          <w:rFonts w:ascii="Verdana" w:eastAsia="Times New Roman" w:hAnsi="Verdana" w:cs="Arial"/>
          <w:bCs/>
          <w:sz w:val="16"/>
          <w:szCs w:val="16"/>
          <w:lang w:eastAsia="x-none"/>
        </w:rPr>
        <w:t xml:space="preserve"> “</w:t>
      </w:r>
      <w:r w:rsidRPr="00B05796">
        <w:rPr>
          <w:rFonts w:ascii="Verdana" w:hAnsi="Verdana" w:cs="Arial"/>
          <w:sz w:val="16"/>
          <w:szCs w:val="16"/>
        </w:rPr>
        <w:t>Si bien en el tema del concepto del que se extractaron 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B05796">
        <w:rPr>
          <w:rFonts w:ascii="Verdana" w:eastAsia="Times New Roman" w:hAnsi="Verdana" w:cs="Arial"/>
          <w:bCs/>
          <w:sz w:val="16"/>
          <w:szCs w:val="16"/>
          <w:lang w:eastAsia="x-none"/>
        </w:rPr>
        <w:t>”.</w:t>
      </w:r>
    </w:p>
  </w:footnote>
  <w:footnote w:id="10">
    <w:p w14:paraId="6C0FD766" w14:textId="77777777" w:rsidR="004E6EE2" w:rsidRPr="00F95083" w:rsidRDefault="004E6EE2" w:rsidP="004E6EE2">
      <w:pPr>
        <w:spacing w:after="0" w:line="240" w:lineRule="auto"/>
        <w:ind w:firstLine="708"/>
        <w:jc w:val="both"/>
        <w:rPr>
          <w:rFonts w:ascii="Verdana" w:hAnsi="Verdana" w:cs="Arial"/>
          <w:sz w:val="15"/>
          <w:szCs w:val="15"/>
        </w:rPr>
      </w:pPr>
      <w:r w:rsidRPr="00F95083">
        <w:rPr>
          <w:rStyle w:val="Refdenotaalpie"/>
          <w:rFonts w:ascii="Verdana" w:hAnsi="Verdana" w:cs="Arial"/>
          <w:sz w:val="15"/>
          <w:szCs w:val="15"/>
        </w:rPr>
        <w:footnoteRef/>
      </w:r>
      <w:r w:rsidRPr="00F95083">
        <w:rPr>
          <w:rFonts w:ascii="Verdana" w:hAnsi="Verdana" w:cs="Arial"/>
          <w:sz w:val="15"/>
          <w:szCs w:val="15"/>
        </w:rPr>
        <w:t xml:space="preserve"> Consejo de Estado. Sala de Consulta y Servicio Civil. Concepto de 6 de abril de 2006. Radicación Número: 11001-03-06-000-2006-00038-00(1738). Consejero Ponente: Enrique José Arboleda Perdomo. </w:t>
      </w:r>
    </w:p>
  </w:footnote>
  <w:footnote w:id="11">
    <w:p w14:paraId="36C763F5" w14:textId="77777777" w:rsidR="004E6EE2" w:rsidRPr="00F95083" w:rsidRDefault="004E6EE2" w:rsidP="004E6EE2">
      <w:pPr>
        <w:pStyle w:val="Textonotapie"/>
        <w:ind w:right="51" w:firstLine="709"/>
        <w:jc w:val="both"/>
        <w:rPr>
          <w:rFonts w:ascii="Verdana" w:hAnsi="Verdana" w:cs="Arial"/>
          <w:sz w:val="15"/>
          <w:szCs w:val="15"/>
        </w:rPr>
      </w:pPr>
      <w:r w:rsidRPr="00F95083">
        <w:rPr>
          <w:rStyle w:val="Refdenotaalpie"/>
          <w:rFonts w:ascii="Verdana" w:hAnsi="Verdana" w:cs="Arial"/>
          <w:sz w:val="15"/>
          <w:szCs w:val="15"/>
        </w:rPr>
        <w:footnoteRef/>
      </w:r>
      <w:r w:rsidRPr="00F95083">
        <w:rPr>
          <w:rFonts w:ascii="Verdana" w:hAnsi="Verdana" w:cs="Arial"/>
          <w:sz w:val="15"/>
          <w:szCs w:val="15"/>
        </w:rPr>
        <w:t xml:space="preserve"> Consejo de Estado. Sala de Consulta y Servicio Civil, ídem.</w:t>
      </w:r>
    </w:p>
  </w:footnote>
  <w:footnote w:id="12">
    <w:p w14:paraId="1A528A3E" w14:textId="77777777" w:rsidR="004E6EE2" w:rsidRPr="00B05796" w:rsidRDefault="004E6EE2" w:rsidP="004E6EE2">
      <w:pPr>
        <w:pStyle w:val="Textonotapie"/>
        <w:ind w:firstLine="708"/>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Concepto 2013010362-001 del 18 de marzo de 2013. </w:t>
      </w:r>
      <w:hyperlink r:id="rId1" w:history="1">
        <w:r w:rsidRPr="00B05796">
          <w:rPr>
            <w:rStyle w:val="Hipervnculo"/>
            <w:rFonts w:ascii="Verdana" w:hAnsi="Verdana" w:cs="Arial"/>
            <w:color w:val="0E2841" w:themeColor="text2"/>
            <w:sz w:val="16"/>
            <w:szCs w:val="16"/>
          </w:rPr>
          <w:t>https://actualicese.com/concepto-2013010362-001-de-18-03-2013</w:t>
        </w:r>
        <w:r w:rsidRPr="00B05796">
          <w:rPr>
            <w:rStyle w:val="Hipervnculo"/>
            <w:rFonts w:ascii="Verdana" w:hAnsi="Verdana" w:cs="Arial"/>
            <w:sz w:val="16"/>
            <w:szCs w:val="16"/>
          </w:rPr>
          <w:t>/</w:t>
        </w:r>
      </w:hyperlink>
      <w:r w:rsidRPr="00B05796">
        <w:rPr>
          <w:rFonts w:ascii="Verdana" w:hAnsi="Verdana" w:cs="Arial"/>
          <w:sz w:val="16"/>
          <w:szCs w:val="16"/>
        </w:rPr>
        <w:t xml:space="preserve">. </w:t>
      </w:r>
    </w:p>
  </w:footnote>
  <w:footnote w:id="13">
    <w:p w14:paraId="6B8E3700" w14:textId="77777777" w:rsidR="004E6EE2" w:rsidRPr="00B05796" w:rsidRDefault="004E6EE2" w:rsidP="004E6EE2">
      <w:pPr>
        <w:pStyle w:val="Textonotapie"/>
        <w:ind w:firstLine="708"/>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RODRÍGUEZ AZUERO, Sergio. Negocios fiduciarios: su significación en América Latina. Segunda edición. Bogotá: Legis, 2017. p. 227.</w:t>
      </w:r>
    </w:p>
  </w:footnote>
  <w:footnote w:id="14">
    <w:p w14:paraId="49E0E9F8" w14:textId="77777777" w:rsidR="004E6EE2" w:rsidRPr="00472BB2" w:rsidRDefault="004E6EE2" w:rsidP="004E6EE2">
      <w:pPr>
        <w:pStyle w:val="Textonotapie"/>
        <w:ind w:firstLine="708"/>
        <w:jc w:val="both"/>
        <w:rPr>
          <w:rFonts w:ascii="Verdana" w:hAnsi="Verdana"/>
          <w:sz w:val="16"/>
          <w:szCs w:val="16"/>
          <w:lang w:val="es-CO"/>
        </w:rPr>
      </w:pPr>
      <w:r w:rsidRPr="00472BB2">
        <w:rPr>
          <w:rStyle w:val="Refdenotaalpie"/>
          <w:rFonts w:ascii="Verdana" w:hAnsi="Verdana"/>
          <w:sz w:val="16"/>
          <w:szCs w:val="16"/>
        </w:rPr>
        <w:footnoteRef/>
      </w:r>
      <w:r w:rsidRPr="00472BB2">
        <w:rPr>
          <w:rFonts w:ascii="Verdana" w:hAnsi="Verdana"/>
          <w:sz w:val="16"/>
          <w:szCs w:val="16"/>
        </w:rPr>
        <w:t xml:space="preserve"> </w:t>
      </w:r>
      <w:r>
        <w:rPr>
          <w:rFonts w:ascii="Verdana" w:hAnsi="Verdana"/>
          <w:sz w:val="16"/>
          <w:szCs w:val="16"/>
        </w:rPr>
        <w:t>En lo pertinente, la norma dispone que “</w:t>
      </w:r>
      <w:r w:rsidRPr="00162E9F">
        <w:rPr>
          <w:rFonts w:ascii="Verdana" w:hAnsi="Verdana"/>
          <w:sz w:val="16"/>
          <w:szCs w:val="16"/>
          <w:lang w:val="es-CO"/>
        </w:rPr>
        <w:t xml:space="preserve">Créese el Fondo para la Superación de Brechas de Desigualdad Poblacional e Inequidad Territorial como un patrimonio autónomo constituido mediante la celebración de un contrato de fiducia mercantil entre el Ministerio de Igualdad y Equidad y una sociedad fiduciaria pública. </w:t>
      </w:r>
      <w:r>
        <w:rPr>
          <w:rFonts w:ascii="Verdana" w:hAnsi="Verdana"/>
          <w:sz w:val="16"/>
          <w:szCs w:val="16"/>
        </w:rPr>
        <w:t>[…]”.</w:t>
      </w:r>
    </w:p>
  </w:footnote>
  <w:footnote w:id="15">
    <w:p w14:paraId="547CA962" w14:textId="77777777" w:rsidR="004E6EE2" w:rsidRPr="00B05796" w:rsidRDefault="004E6EE2" w:rsidP="004E6EE2">
      <w:pPr>
        <w:pStyle w:val="Textonotapie"/>
        <w:ind w:right="51" w:firstLine="709"/>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w:t>
      </w:r>
      <w:r w:rsidRPr="00B05796">
        <w:rPr>
          <w:rFonts w:ascii="Verdana" w:hAnsi="Verdana" w:cs="Arial"/>
          <w:sz w:val="16"/>
          <w:szCs w:val="16"/>
          <w:lang w:val="es-ES"/>
        </w:rPr>
        <w:t xml:space="preserve">[25] </w:t>
      </w:r>
      <w:r w:rsidRPr="00B05796">
        <w:rPr>
          <w:rFonts w:ascii="Verdana" w:hAnsi="Verdana" w:cs="Arial"/>
          <w:sz w:val="16"/>
          <w:szCs w:val="16"/>
        </w:rPr>
        <w:t>Cfr. Consejo de Estado. Sección Tercera. Sentencia de 3 de diciembre de 2007. Radicados: 24.715, 25.206, 25.409, 24.524, 27.834, 25.410, 26.105, 28.244, 31.447 -acumulados-”.</w:t>
      </w:r>
    </w:p>
  </w:footnote>
  <w:footnote w:id="16">
    <w:p w14:paraId="4D7AE9B8" w14:textId="77777777" w:rsidR="004E6EE2" w:rsidRPr="00B05796" w:rsidRDefault="004E6EE2" w:rsidP="004E6EE2">
      <w:pPr>
        <w:pStyle w:val="Textonotapie"/>
        <w:ind w:right="51" w:firstLine="709"/>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w:t>
      </w:r>
      <w:r w:rsidRPr="00B05796">
        <w:rPr>
          <w:rFonts w:ascii="Verdana" w:hAnsi="Verdana" w:cs="Arial"/>
          <w:sz w:val="16"/>
          <w:szCs w:val="16"/>
          <w:lang w:val="es-ES"/>
        </w:rPr>
        <w:t xml:space="preserve">[26] </w:t>
      </w:r>
      <w:r w:rsidRPr="00B05796">
        <w:rPr>
          <w:rFonts w:ascii="Verdana" w:hAnsi="Verdana" w:cs="Arial"/>
          <w:sz w:val="16"/>
          <w:szCs w:val="16"/>
        </w:rPr>
        <w:t>Al respecto ver el concepto 1712 de 2 de febrero de 2006. Consejo de Estado Sala de Consulta y Servicio Civil”.</w:t>
      </w:r>
    </w:p>
  </w:footnote>
  <w:footnote w:id="17">
    <w:p w14:paraId="7F651EDE" w14:textId="77777777" w:rsidR="004E6EE2" w:rsidRPr="00B05796" w:rsidRDefault="004E6EE2" w:rsidP="004E6EE2">
      <w:pPr>
        <w:pStyle w:val="Textonotapie"/>
        <w:ind w:firstLine="709"/>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footnote>
  <w:footnote w:id="18">
    <w:p w14:paraId="655E217C" w14:textId="77777777" w:rsidR="004E6EE2" w:rsidRPr="00B05796" w:rsidRDefault="004E6EE2" w:rsidP="004E6EE2">
      <w:pPr>
        <w:pStyle w:val="Textonotapie"/>
        <w:ind w:firstLine="709"/>
        <w:jc w:val="both"/>
        <w:rPr>
          <w:rFonts w:ascii="Verdana" w:hAnsi="Verdana" w:cs="Arial"/>
          <w:sz w:val="16"/>
          <w:szCs w:val="16"/>
          <w:lang w:val="es-ES"/>
        </w:rPr>
      </w:pPr>
      <w:r w:rsidRPr="00B05796">
        <w:rPr>
          <w:rStyle w:val="Refdenotaalpie"/>
          <w:rFonts w:ascii="Verdana" w:hAnsi="Verdana" w:cs="Arial"/>
          <w:sz w:val="16"/>
          <w:szCs w:val="16"/>
        </w:rPr>
        <w:footnoteRef/>
      </w:r>
      <w:r w:rsidRPr="00B05796">
        <w:rPr>
          <w:rFonts w:ascii="Verdana" w:hAnsi="Verdana" w:cs="Arial"/>
          <w:sz w:val="16"/>
          <w:szCs w:val="16"/>
        </w:rPr>
        <w:t xml:space="preserve"> </w:t>
      </w:r>
      <w:r w:rsidRPr="00B05796">
        <w:rPr>
          <w:rFonts w:ascii="Verdana" w:hAnsi="Verdana" w:cs="Arial"/>
          <w:sz w:val="16"/>
          <w:szCs w:val="16"/>
          <w:lang w:val="es-ES"/>
        </w:rPr>
        <w:t xml:space="preserve">Artículo 2. </w:t>
      </w:r>
    </w:p>
  </w:footnote>
  <w:footnote w:id="19">
    <w:p w14:paraId="67376F2E" w14:textId="77777777" w:rsidR="004E6EE2" w:rsidRPr="00B05796" w:rsidRDefault="004E6EE2" w:rsidP="004E6EE2">
      <w:pPr>
        <w:pStyle w:val="Textonotapie"/>
        <w:ind w:firstLine="709"/>
        <w:jc w:val="both"/>
        <w:rPr>
          <w:rFonts w:ascii="Verdana" w:hAnsi="Verdana" w:cs="Arial"/>
          <w:sz w:val="16"/>
          <w:szCs w:val="16"/>
          <w:lang w:val="es-ES"/>
        </w:rPr>
      </w:pPr>
      <w:r w:rsidRPr="00B05796">
        <w:rPr>
          <w:rStyle w:val="Refdenotaalpie"/>
          <w:rFonts w:ascii="Verdana" w:hAnsi="Verdana" w:cs="Arial"/>
          <w:sz w:val="16"/>
          <w:szCs w:val="16"/>
        </w:rPr>
        <w:footnoteRef/>
      </w:r>
      <w:r w:rsidRPr="00B05796">
        <w:rPr>
          <w:rFonts w:ascii="Verdana" w:hAnsi="Verdana" w:cs="Arial"/>
          <w:sz w:val="16"/>
          <w:szCs w:val="16"/>
        </w:rPr>
        <w:t xml:space="preserve"> </w:t>
      </w:r>
      <w:r w:rsidRPr="00B05796">
        <w:rPr>
          <w:rFonts w:ascii="Verdana" w:hAnsi="Verdana" w:cs="Arial"/>
          <w:i/>
          <w:sz w:val="16"/>
          <w:szCs w:val="16"/>
          <w:lang w:val="es-ES"/>
        </w:rPr>
        <w:t>Ibidem</w:t>
      </w:r>
      <w:r w:rsidRPr="00B05796">
        <w:rPr>
          <w:rFonts w:ascii="Verdana" w:hAnsi="Verdana" w:cs="Arial"/>
          <w:sz w:val="16"/>
          <w:szCs w:val="16"/>
          <w:lang w:val="es-ES"/>
        </w:rPr>
        <w:t>.</w:t>
      </w:r>
    </w:p>
  </w:footnote>
  <w:footnote w:id="20">
    <w:p w14:paraId="54B12F72" w14:textId="77777777" w:rsidR="004E6EE2" w:rsidRPr="00B05796" w:rsidRDefault="004E6EE2" w:rsidP="004E6EE2">
      <w:pPr>
        <w:pStyle w:val="Textonotapie"/>
        <w:ind w:firstLine="709"/>
        <w:jc w:val="both"/>
        <w:rPr>
          <w:rFonts w:ascii="Verdana" w:hAnsi="Verdana" w:cs="Arial"/>
          <w:sz w:val="16"/>
          <w:szCs w:val="16"/>
          <w:lang w:val="es-ES"/>
        </w:rPr>
      </w:pPr>
      <w:r w:rsidRPr="00B05796">
        <w:rPr>
          <w:rStyle w:val="Refdenotaalpie"/>
          <w:rFonts w:ascii="Verdana" w:hAnsi="Verdana" w:cs="Arial"/>
          <w:sz w:val="16"/>
          <w:szCs w:val="16"/>
        </w:rPr>
        <w:footnoteRef/>
      </w:r>
      <w:r w:rsidRPr="00B05796">
        <w:rPr>
          <w:rStyle w:val="Refdenotaalpie"/>
          <w:rFonts w:ascii="Verdana" w:hAnsi="Verdana" w:cs="Arial"/>
          <w:sz w:val="16"/>
          <w:szCs w:val="16"/>
        </w:rPr>
        <w:t xml:space="preserve"> </w:t>
      </w:r>
      <w:r w:rsidRPr="00B05796">
        <w:rPr>
          <w:rFonts w:ascii="Verdana" w:hAnsi="Verdana" w:cs="Arial"/>
          <w:sz w:val="16"/>
          <w:szCs w:val="16"/>
          <w:lang w:val="es-ES"/>
        </w:rPr>
        <w:t xml:space="preserve">“[…] A este respecto, cabe recordar que el artículo 860 del Código de Comercio regula la licitación en el derecho privado”. </w:t>
      </w:r>
    </w:p>
  </w:footnote>
  <w:footnote w:id="21">
    <w:p w14:paraId="2C760C4C" w14:textId="77777777" w:rsidR="004E6EE2" w:rsidRPr="00B05796" w:rsidRDefault="004E6EE2" w:rsidP="004E6EE2">
      <w:pPr>
        <w:shd w:val="clear" w:color="auto" w:fill="FFFFFF"/>
        <w:spacing w:after="0"/>
        <w:ind w:firstLine="709"/>
        <w:jc w:val="both"/>
        <w:rPr>
          <w:rFonts w:ascii="Verdana" w:hAnsi="Verdana" w:cs="Arial"/>
          <w:sz w:val="16"/>
          <w:szCs w:val="16"/>
          <w:lang w:val="es-ES"/>
        </w:rPr>
      </w:pPr>
      <w:r w:rsidRPr="00B05796">
        <w:rPr>
          <w:rStyle w:val="Refdenotaalpie"/>
          <w:rFonts w:ascii="Verdana" w:hAnsi="Verdana" w:cs="Arial"/>
          <w:sz w:val="16"/>
          <w:szCs w:val="16"/>
        </w:rPr>
        <w:footnoteRef/>
      </w:r>
      <w:r w:rsidRPr="00B05796">
        <w:rPr>
          <w:rStyle w:val="Refdenotaalpie"/>
          <w:rFonts w:ascii="Verdana" w:hAnsi="Verdana" w:cs="Arial"/>
          <w:sz w:val="16"/>
          <w:szCs w:val="16"/>
        </w:rPr>
        <w:t xml:space="preserve"> </w:t>
      </w:r>
      <w:r w:rsidRPr="00B05796">
        <w:rPr>
          <w:rFonts w:ascii="Verdana" w:hAnsi="Verdana" w:cs="Arial"/>
          <w:sz w:val="16"/>
          <w:szCs w:val="16"/>
          <w:lang w:val="es-ES"/>
        </w:rPr>
        <w:t>Consejo de Estado. Sala de Consulta y Servicio Civil, Concepto de 8 de mayo de 2018. Radicación Número: 11001-03-06-000-2018-00095-00(2382). Consejero Ponente: Álvaro Namén Vargas.</w:t>
      </w:r>
    </w:p>
  </w:footnote>
  <w:footnote w:id="22">
    <w:p w14:paraId="47C277F5" w14:textId="77777777" w:rsidR="004E6EE2" w:rsidRPr="00B05796" w:rsidRDefault="004E6EE2" w:rsidP="004E6EE2">
      <w:pPr>
        <w:pStyle w:val="Textonotapie"/>
        <w:ind w:firstLine="709"/>
        <w:jc w:val="both"/>
        <w:rPr>
          <w:rFonts w:ascii="Verdana" w:hAnsi="Verdana" w:cs="Arial"/>
          <w:sz w:val="16"/>
          <w:szCs w:val="16"/>
        </w:rPr>
      </w:pPr>
      <w:r w:rsidRPr="00B05796">
        <w:rPr>
          <w:rStyle w:val="Refdenotaalpie"/>
          <w:rFonts w:ascii="Verdana" w:hAnsi="Verdana" w:cs="Arial"/>
          <w:sz w:val="16"/>
          <w:szCs w:val="16"/>
        </w:rPr>
        <w:footnoteRef/>
      </w:r>
      <w:r w:rsidRPr="00B05796">
        <w:rPr>
          <w:rFonts w:ascii="Verdana" w:hAnsi="Verdana" w:cs="Arial"/>
          <w:sz w:val="16"/>
          <w:szCs w:val="16"/>
        </w:rPr>
        <w:t xml:space="preserve"> Consejo de Estado. Sala de Consulta y Servicio Civil. Concepto del 08 de mayo de 2018. </w:t>
      </w:r>
      <w:proofErr w:type="spellStart"/>
      <w:r w:rsidRPr="00B05796">
        <w:rPr>
          <w:rFonts w:ascii="Verdana" w:hAnsi="Verdana" w:cs="Arial"/>
          <w:sz w:val="16"/>
          <w:szCs w:val="16"/>
        </w:rPr>
        <w:t>Exp</w:t>
      </w:r>
      <w:proofErr w:type="spellEnd"/>
      <w:r w:rsidRPr="00B05796">
        <w:rPr>
          <w:rFonts w:ascii="Verdana" w:hAnsi="Verdana" w:cs="Arial"/>
          <w:sz w:val="16"/>
          <w:szCs w:val="16"/>
        </w:rPr>
        <w:t>. 2.382. C.P. Álvaro Namén Vargas.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BC43" w14:textId="77777777" w:rsidR="004E6EE2" w:rsidRDefault="004E6EE2"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7CAC0E1E" wp14:editId="6FA68151">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61BBFA55" wp14:editId="037F7D1A">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07C30A0B" w14:textId="77777777" w:rsidR="004E6EE2" w:rsidRDefault="004E6EE2">
    <w:pPr>
      <w:pStyle w:val="Encabezado"/>
    </w:pPr>
  </w:p>
  <w:p w14:paraId="60650835" w14:textId="77777777" w:rsidR="004E6EE2" w:rsidRPr="004A305D" w:rsidRDefault="004E6EE2" w:rsidP="00B01B1A">
    <w:pPr>
      <w:spacing w:after="0" w:line="120" w:lineRule="auto"/>
      <w:rPr>
        <w:rFonts w:ascii="Century Gothic" w:eastAsia="Geo" w:hAnsi="Century Gothic" w:cs="Geo"/>
        <w:sz w:val="16"/>
        <w:szCs w:val="16"/>
        <w:lang w:eastAsia="es-CO"/>
      </w:rPr>
    </w:pPr>
  </w:p>
  <w:p w14:paraId="1EF8CCA5" w14:textId="77777777" w:rsidR="004E6EE2" w:rsidRDefault="004E6EE2" w:rsidP="00844AE9">
    <w:pPr>
      <w:spacing w:after="0" w:line="240" w:lineRule="auto"/>
      <w:rPr>
        <w:rFonts w:ascii="Verdana" w:hAnsi="Verdana"/>
        <w:sz w:val="24"/>
        <w:szCs w:val="24"/>
      </w:rPr>
    </w:pPr>
  </w:p>
  <w:p w14:paraId="49CFA54A" w14:textId="77777777" w:rsidR="004E6EE2" w:rsidRPr="00C925AC" w:rsidRDefault="004E6EE2" w:rsidP="00844AE9">
    <w:pPr>
      <w:spacing w:after="0" w:line="240" w:lineRule="auto"/>
      <w:rPr>
        <w:rFonts w:ascii="Verdana" w:hAnsi="Verdana"/>
        <w:sz w:val="24"/>
        <w:szCs w:val="24"/>
      </w:rPr>
    </w:pPr>
  </w:p>
  <w:p w14:paraId="3E04EF6F" w14:textId="77777777" w:rsidR="004E6EE2" w:rsidRPr="00C925AC" w:rsidRDefault="004E6EE2"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117A1800"/>
    <w:multiLevelType w:val="hybridMultilevel"/>
    <w:tmpl w:val="9C3292AA"/>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num w:numId="1" w16cid:durableId="73158827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3043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EE2"/>
    <w:rsid w:val="001F4B4D"/>
    <w:rsid w:val="002F2032"/>
    <w:rsid w:val="00364A6B"/>
    <w:rsid w:val="00442155"/>
    <w:rsid w:val="004E6EE2"/>
    <w:rsid w:val="00594587"/>
    <w:rsid w:val="0061294F"/>
    <w:rsid w:val="006817CE"/>
    <w:rsid w:val="00710E63"/>
    <w:rsid w:val="009805C6"/>
    <w:rsid w:val="00990800"/>
    <w:rsid w:val="00A11F8E"/>
    <w:rsid w:val="00B831D2"/>
    <w:rsid w:val="00C426A8"/>
    <w:rsid w:val="00C762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D0D7C"/>
  <w15:chartTrackingRefBased/>
  <w15:docId w15:val="{26B2B72B-031F-41AB-9C0F-1A88BBDF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E2"/>
    <w:pPr>
      <w:spacing w:line="259" w:lineRule="auto"/>
    </w:pPr>
    <w:rPr>
      <w:kern w:val="0"/>
      <w:sz w:val="22"/>
      <w:szCs w:val="22"/>
      <w14:ligatures w14:val="none"/>
    </w:rPr>
  </w:style>
  <w:style w:type="paragraph" w:styleId="Ttulo1">
    <w:name w:val="heading 1"/>
    <w:basedOn w:val="Normal"/>
    <w:next w:val="Normal"/>
    <w:link w:val="Ttulo1Car"/>
    <w:uiPriority w:val="9"/>
    <w:qFormat/>
    <w:rsid w:val="004E6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E6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E6E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E6E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E6E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E6E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6E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6E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6EE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6EE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E6EE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E6EE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E6EE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E6EE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E6E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6E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6E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6EE2"/>
    <w:rPr>
      <w:rFonts w:eastAsiaTheme="majorEastAsia" w:cstheme="majorBidi"/>
      <w:color w:val="272727" w:themeColor="text1" w:themeTint="D8"/>
    </w:rPr>
  </w:style>
  <w:style w:type="paragraph" w:styleId="Ttulo">
    <w:name w:val="Title"/>
    <w:basedOn w:val="Normal"/>
    <w:next w:val="Normal"/>
    <w:link w:val="TtuloCar"/>
    <w:uiPriority w:val="10"/>
    <w:qFormat/>
    <w:rsid w:val="004E6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6E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6EE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6E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6EE2"/>
    <w:pPr>
      <w:spacing w:before="160"/>
      <w:jc w:val="center"/>
    </w:pPr>
    <w:rPr>
      <w:i/>
      <w:iCs/>
      <w:color w:val="404040" w:themeColor="text1" w:themeTint="BF"/>
    </w:rPr>
  </w:style>
  <w:style w:type="character" w:customStyle="1" w:styleId="CitaCar">
    <w:name w:val="Cita Car"/>
    <w:basedOn w:val="Fuentedeprrafopredeter"/>
    <w:link w:val="Cita"/>
    <w:uiPriority w:val="29"/>
    <w:rsid w:val="004E6EE2"/>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4E6EE2"/>
    <w:pPr>
      <w:ind w:left="720"/>
      <w:contextualSpacing/>
    </w:pPr>
  </w:style>
  <w:style w:type="character" w:styleId="nfasisintenso">
    <w:name w:val="Intense Emphasis"/>
    <w:basedOn w:val="Fuentedeprrafopredeter"/>
    <w:uiPriority w:val="21"/>
    <w:qFormat/>
    <w:rsid w:val="004E6EE2"/>
    <w:rPr>
      <w:i/>
      <w:iCs/>
      <w:color w:val="0F4761" w:themeColor="accent1" w:themeShade="BF"/>
    </w:rPr>
  </w:style>
  <w:style w:type="paragraph" w:styleId="Citadestacada">
    <w:name w:val="Intense Quote"/>
    <w:basedOn w:val="Normal"/>
    <w:next w:val="Normal"/>
    <w:link w:val="CitadestacadaCar"/>
    <w:uiPriority w:val="30"/>
    <w:qFormat/>
    <w:rsid w:val="004E6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E6EE2"/>
    <w:rPr>
      <w:i/>
      <w:iCs/>
      <w:color w:val="0F4761" w:themeColor="accent1" w:themeShade="BF"/>
    </w:rPr>
  </w:style>
  <w:style w:type="character" w:styleId="Referenciaintensa">
    <w:name w:val="Intense Reference"/>
    <w:basedOn w:val="Fuentedeprrafopredeter"/>
    <w:uiPriority w:val="32"/>
    <w:qFormat/>
    <w:rsid w:val="004E6EE2"/>
    <w:rPr>
      <w:b/>
      <w:bCs/>
      <w:smallCaps/>
      <w:color w:val="0F4761" w:themeColor="accent1" w:themeShade="BF"/>
      <w:spacing w:val="5"/>
    </w:rPr>
  </w:style>
  <w:style w:type="paragraph" w:styleId="Encabezado">
    <w:name w:val="header"/>
    <w:basedOn w:val="Normal"/>
    <w:link w:val="EncabezadoCar"/>
    <w:uiPriority w:val="99"/>
    <w:unhideWhenUsed/>
    <w:rsid w:val="004E6E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6EE2"/>
    <w:rPr>
      <w:kern w:val="0"/>
      <w:sz w:val="22"/>
      <w:szCs w:val="22"/>
      <w14:ligatures w14:val="none"/>
    </w:rPr>
  </w:style>
  <w:style w:type="paragraph" w:styleId="Piedepgina">
    <w:name w:val="footer"/>
    <w:basedOn w:val="Normal"/>
    <w:link w:val="PiedepginaCar"/>
    <w:uiPriority w:val="99"/>
    <w:unhideWhenUsed/>
    <w:rsid w:val="004E6E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6EE2"/>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4E6EE2"/>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4E6EE2"/>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4E6EE2"/>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4E6EE2"/>
    <w:rPr>
      <w:vertAlign w:val="superscript"/>
    </w:rPr>
  </w:style>
  <w:style w:type="character" w:customStyle="1" w:styleId="normaltextrun">
    <w:name w:val="normaltextrun"/>
    <w:basedOn w:val="Fuentedeprrafopredeter"/>
    <w:rsid w:val="004E6EE2"/>
  </w:style>
  <w:style w:type="table" w:styleId="Tablaconcuadrcula">
    <w:name w:val="Table Grid"/>
    <w:basedOn w:val="Tablanormal"/>
    <w:uiPriority w:val="39"/>
    <w:qFormat/>
    <w:rsid w:val="004E6E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E6EE2"/>
    <w:rPr>
      <w:color w:val="0000FF"/>
      <w:u w:val="single"/>
    </w:rPr>
  </w:style>
  <w:style w:type="paragraph" w:customStyle="1" w:styleId="paragraph">
    <w:name w:val="paragraph"/>
    <w:basedOn w:val="Normal"/>
    <w:rsid w:val="004E6EE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eop">
    <w:name w:val="eop"/>
    <w:basedOn w:val="Fuentedeprrafopredeter"/>
    <w:rsid w:val="004E6EE2"/>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E6EE2"/>
  </w:style>
  <w:style w:type="paragraph" w:customStyle="1" w:styleId="Appelnotedebasde">
    <w:name w:val="Appel note de bas de..."/>
    <w:basedOn w:val="Normal"/>
    <w:link w:val="Refdenotaalpie"/>
    <w:uiPriority w:val="99"/>
    <w:rsid w:val="004E6EE2"/>
    <w:pPr>
      <w:spacing w:line="240" w:lineRule="exact"/>
    </w:pPr>
    <w:rPr>
      <w:kern w:val="2"/>
      <w:sz w:val="24"/>
      <w:szCs w:val="24"/>
      <w:vertAlign w:val="superscript"/>
      <w14:ligatures w14:val="standardContextual"/>
    </w:rPr>
  </w:style>
  <w:style w:type="paragraph" w:customStyle="1" w:styleId="Default">
    <w:name w:val="Default"/>
    <w:rsid w:val="006817CE"/>
    <w:pPr>
      <w:autoSpaceDE w:val="0"/>
      <w:autoSpaceDN w:val="0"/>
      <w:adjustRightInd w:val="0"/>
      <w:spacing w:after="0" w:line="240" w:lineRule="auto"/>
    </w:pPr>
    <w:rPr>
      <w:rFonts w:ascii="BCDGEE+Verdana" w:hAnsi="BCDGEE+Verdana" w:cs="BCDGEE+Verdan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mesepp@minigualdad.gov.co" TargetMode="External"/><Relationship Id="rId13" Type="http://schemas.openxmlformats.org/officeDocument/2006/relationships/hyperlink" Target="https://forms.office.com/r/pPHyWVs2SZ"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mbiacompra.gov.co/normativa-y-relatoria/documentos-tip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formacionvirtual.colombiacompra.gov.co/mod/page/view.php?id=3718"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relatoria.colombiacompra.gov.co/busqueda/conceptos" TargetMode="Externa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actualicese.com/concepto-2013010362-001-de-18-03-201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223013-4BA1-40CF-ABEA-F7B566F1469B}"/>
</file>

<file path=customXml/itemProps2.xml><?xml version="1.0" encoding="utf-8"?>
<ds:datastoreItem xmlns:ds="http://schemas.openxmlformats.org/officeDocument/2006/customXml" ds:itemID="{D3140908-8A21-4C6D-8C31-8DB6E04CE404}"/>
</file>

<file path=customXml/itemProps3.xml><?xml version="1.0" encoding="utf-8"?>
<ds:datastoreItem xmlns:ds="http://schemas.openxmlformats.org/officeDocument/2006/customXml" ds:itemID="{283FF23A-2320-40DD-A68B-974DB4111016}"/>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41</TotalTime>
  <Pages>25</Pages>
  <Words>8142</Words>
  <Characters>44785</Characters>
  <Application>Microsoft Office Word</Application>
  <DocSecurity>0</DocSecurity>
  <Lines>373</Lines>
  <Paragraphs>105</Paragraphs>
  <ScaleCrop>false</ScaleCrop>
  <Company/>
  <LinksUpToDate>false</LinksUpToDate>
  <CharactersWithSpaces>52822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Natalia Montoya Jiménez</cp:lastModifiedBy>
  <cp:revision>11</cp:revision>
  <dcterms:created xsi:type="dcterms:W3CDTF">2026-06-22T20:58:00Z</dcterms:created>
  <dcterms:modified xsi:type="dcterms:W3CDTF">2026-06-23T15:49:00Z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