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513EC" w14:textId="77777777" w:rsidR="00C75ABA" w:rsidRPr="00C83A2A" w:rsidRDefault="00C75ABA" w:rsidP="00C75ABA">
      <w:pPr>
        <w:spacing w:after="0" w:line="240" w:lineRule="auto"/>
        <w:jc w:val="both"/>
        <w:rPr>
          <w:rFonts w:ascii="Verdana" w:eastAsia="Times New Roman" w:hAnsi="Verdana" w:cs="Arial"/>
          <w:b/>
          <w:lang w:val="es-ES" w:eastAsia="es-CO"/>
        </w:rPr>
      </w:pPr>
      <w:bookmarkStart w:id="0" w:name="_Hlk143780582"/>
      <w:r w:rsidRPr="00C83A2A">
        <w:rPr>
          <w:rFonts w:ascii="Verdana" w:eastAsia="Times New Roman" w:hAnsi="Verdana" w:cs="Arial"/>
          <w:b/>
          <w:lang w:val="es-ES" w:eastAsia="es-CO"/>
        </w:rPr>
        <w:t>APROBACIÓN DE LAS GARANTÍAS – Requisito de ejecución</w:t>
      </w:r>
      <w:r>
        <w:rPr>
          <w:rFonts w:ascii="Verdana" w:eastAsia="Times New Roman" w:hAnsi="Verdana" w:cs="Arial"/>
          <w:b/>
          <w:lang w:val="es-ES" w:eastAsia="es-CO"/>
        </w:rPr>
        <w:t xml:space="preserve"> - Finalidad</w:t>
      </w:r>
    </w:p>
    <w:p w14:paraId="0F2A2219" w14:textId="77777777" w:rsidR="00C75ABA" w:rsidRDefault="00C75ABA" w:rsidP="00C75ABA">
      <w:pPr>
        <w:spacing w:after="0" w:line="240" w:lineRule="auto"/>
        <w:jc w:val="both"/>
        <w:rPr>
          <w:rFonts w:ascii="Verdana" w:eastAsia="Times New Roman" w:hAnsi="Verdana" w:cs="Arial"/>
          <w:bCs/>
          <w:sz w:val="20"/>
          <w:szCs w:val="20"/>
          <w:lang w:val="es-ES" w:eastAsia="es-CO"/>
        </w:rPr>
      </w:pPr>
    </w:p>
    <w:p w14:paraId="5E6AD8FF" w14:textId="77777777" w:rsidR="00C75ABA" w:rsidRDefault="00C75ABA" w:rsidP="00C75ABA">
      <w:pPr>
        <w:spacing w:after="0" w:line="240" w:lineRule="auto"/>
        <w:jc w:val="both"/>
        <w:rPr>
          <w:rFonts w:ascii="Verdana" w:eastAsia="Times New Roman" w:hAnsi="Verdana" w:cs="Arial"/>
          <w:bCs/>
          <w:sz w:val="20"/>
          <w:szCs w:val="20"/>
          <w:lang w:val="es-ES" w:eastAsia="es-CO"/>
        </w:rPr>
      </w:pPr>
      <w:r>
        <w:rPr>
          <w:rFonts w:ascii="Verdana" w:eastAsia="Times New Roman" w:hAnsi="Verdana" w:cs="Arial"/>
          <w:bCs/>
          <w:sz w:val="20"/>
          <w:szCs w:val="20"/>
          <w:lang w:val="es-ES" w:eastAsia="es-CO"/>
        </w:rPr>
        <w:t>P</w:t>
      </w:r>
      <w:r w:rsidRPr="00C83A2A">
        <w:rPr>
          <w:rFonts w:ascii="Verdana" w:eastAsia="Times New Roman" w:hAnsi="Verdana" w:cs="Arial"/>
          <w:bCs/>
          <w:sz w:val="20"/>
          <w:szCs w:val="20"/>
          <w:lang w:val="es-ES" w:eastAsia="es-CO"/>
        </w:rPr>
        <w:t>ara proceder con la ejecución del contrato, el contratista debe cumplir con la obligación de constituir las garantías, para lo cual deberá presentar el respectivo instrumento para la verificación por parte de la entidad estatal, quien procederá a su aprobación siempre que se cumplan con las condiciones pactadas en el contrato. Cabe aclarar que las garantías que debe presentar el contratista para aprobación de la entidad en el marco del artículo 41 de la ley 80 de 1993, corresponden a las garantías contractuales que cubren los riesgos asociados al contrato celebrado y a las obligaciones posteriores a su ejecución, esto es, la garantía única de cumplimiento –con sus respectivos amparos– y la garantía de responsabilidad civil extracontractual.</w:t>
      </w:r>
    </w:p>
    <w:p w14:paraId="44138627" w14:textId="77777777" w:rsidR="00C75ABA" w:rsidRPr="00C83A2A" w:rsidRDefault="00C75ABA" w:rsidP="00C75ABA">
      <w:pPr>
        <w:spacing w:after="0" w:line="240" w:lineRule="auto"/>
        <w:jc w:val="both"/>
        <w:rPr>
          <w:rFonts w:ascii="Verdana" w:eastAsia="Times New Roman" w:hAnsi="Verdana" w:cs="Arial"/>
          <w:bCs/>
          <w:sz w:val="20"/>
          <w:szCs w:val="20"/>
          <w:lang w:val="es-ES" w:eastAsia="es-CO"/>
        </w:rPr>
      </w:pPr>
    </w:p>
    <w:p w14:paraId="3C0E6600" w14:textId="77777777" w:rsidR="00C75ABA" w:rsidRPr="00647611" w:rsidRDefault="00C75ABA" w:rsidP="00C75ABA">
      <w:pPr>
        <w:spacing w:after="0" w:line="240" w:lineRule="auto"/>
        <w:jc w:val="both"/>
        <w:rPr>
          <w:rFonts w:ascii="Verdana" w:eastAsia="Times New Roman" w:hAnsi="Verdana" w:cs="Arial"/>
          <w:bCs/>
          <w:sz w:val="20"/>
          <w:szCs w:val="20"/>
          <w:lang w:val="es-ES" w:eastAsia="es-CO"/>
        </w:rPr>
      </w:pPr>
      <w:r w:rsidRPr="00C83A2A">
        <w:rPr>
          <w:rFonts w:ascii="Verdana" w:eastAsia="Times New Roman" w:hAnsi="Verdana" w:cs="Arial"/>
          <w:bCs/>
          <w:sz w:val="20"/>
          <w:szCs w:val="20"/>
          <w:lang w:val="es-ES" w:eastAsia="es-CO"/>
        </w:rPr>
        <w:t>En este contexto, la obligación de constituir las garantías contractuales y su aprobación tiene como propósito cumplir con el requisito de ejecución del contrato, pues estas se erigen como un “instrumento para salvaguardar intereses de carácter general, garantizar el adecuado cumplimiento del objeto contractual y proteger el patrimonio público de los detrimentos que se puedan causar con ocasión de eventuales incumplimientos en que incurra el contratista”. En este sentido, previo a la aprobación de las garantías pactadas en el contrato, la entidad debe realizar la respectiva verificación de los amparos y suficiencia de las garantías exigidas, con la finalidad de asegurar que estas protejan el patrimonio del Estado de los perjuicios que eventualmente se derivarían de la materialización de los riesgos amparados.</w:t>
      </w:r>
    </w:p>
    <w:p w14:paraId="0F6BF40E" w14:textId="77777777" w:rsidR="00C75ABA" w:rsidRDefault="00C75ABA" w:rsidP="00C75ABA">
      <w:pPr>
        <w:spacing w:after="0" w:line="240" w:lineRule="auto"/>
        <w:jc w:val="both"/>
        <w:rPr>
          <w:rFonts w:ascii="Verdana" w:hAnsi="Verdana" w:cs="Arial"/>
          <w:b/>
          <w:sz w:val="20"/>
          <w:szCs w:val="20"/>
          <w:lang w:val="es-MX" w:eastAsia="es-ES_tradnl"/>
        </w:rPr>
      </w:pPr>
    </w:p>
    <w:p w14:paraId="3B7E7FB3" w14:textId="77777777" w:rsidR="00C75ABA" w:rsidRPr="00647611" w:rsidRDefault="00C75ABA" w:rsidP="00C75ABA">
      <w:pPr>
        <w:spacing w:after="0" w:line="240" w:lineRule="auto"/>
        <w:jc w:val="both"/>
        <w:rPr>
          <w:rFonts w:ascii="Verdana" w:hAnsi="Verdana" w:cs="Arial"/>
          <w:b/>
          <w:sz w:val="20"/>
          <w:szCs w:val="20"/>
          <w:lang w:val="es-MX" w:eastAsia="es-ES_tradnl"/>
        </w:rPr>
      </w:pPr>
      <w:r>
        <w:rPr>
          <w:rFonts w:ascii="Verdana" w:hAnsi="Verdana" w:cs="Arial"/>
          <w:b/>
          <w:sz w:val="20"/>
          <w:szCs w:val="20"/>
          <w:lang w:val="es-MX" w:eastAsia="es-ES_tradnl"/>
        </w:rPr>
        <w:t xml:space="preserve">FALTA DE APROBACIÓN DE GARANTÍAS – </w:t>
      </w:r>
      <w:proofErr w:type="spellStart"/>
      <w:r>
        <w:rPr>
          <w:rFonts w:ascii="Verdana" w:hAnsi="Verdana" w:cs="Arial"/>
          <w:b/>
          <w:sz w:val="20"/>
          <w:szCs w:val="20"/>
          <w:lang w:val="es-MX" w:eastAsia="es-ES_tradnl"/>
        </w:rPr>
        <w:t>Secop</w:t>
      </w:r>
      <w:proofErr w:type="spellEnd"/>
      <w:r>
        <w:rPr>
          <w:rFonts w:ascii="Verdana" w:hAnsi="Verdana" w:cs="Arial"/>
          <w:b/>
          <w:sz w:val="20"/>
          <w:szCs w:val="20"/>
          <w:lang w:val="es-MX" w:eastAsia="es-ES_tradnl"/>
        </w:rPr>
        <w:t xml:space="preserve"> </w:t>
      </w:r>
      <w:proofErr w:type="spellStart"/>
      <w:r>
        <w:rPr>
          <w:rFonts w:ascii="Verdana" w:hAnsi="Verdana" w:cs="Arial"/>
          <w:b/>
          <w:sz w:val="20"/>
          <w:szCs w:val="20"/>
          <w:lang w:val="es-MX" w:eastAsia="es-ES_tradnl"/>
        </w:rPr>
        <w:t>ii</w:t>
      </w:r>
      <w:proofErr w:type="spellEnd"/>
      <w:r>
        <w:rPr>
          <w:rFonts w:ascii="Verdana" w:hAnsi="Verdana" w:cs="Arial"/>
          <w:b/>
          <w:sz w:val="20"/>
          <w:szCs w:val="20"/>
          <w:lang w:val="es-MX" w:eastAsia="es-ES_tradnl"/>
        </w:rPr>
        <w:t xml:space="preserve"> - Consecuencias</w:t>
      </w:r>
    </w:p>
    <w:p w14:paraId="7EF5BBDB" w14:textId="77777777" w:rsidR="00C75ABA" w:rsidRPr="00323333" w:rsidRDefault="00C75ABA" w:rsidP="00C75ABA">
      <w:pPr>
        <w:spacing w:after="0" w:line="240" w:lineRule="auto"/>
        <w:rPr>
          <w:rFonts w:ascii="Verdana" w:eastAsia="Aptos" w:hAnsi="Verdana" w:cs="Times New Roman"/>
          <w:sz w:val="20"/>
          <w:szCs w:val="20"/>
        </w:rPr>
      </w:pPr>
    </w:p>
    <w:p w14:paraId="3434CBDA" w14:textId="77777777" w:rsidR="00C75ABA" w:rsidRPr="00323333" w:rsidRDefault="00C75ABA" w:rsidP="00C75ABA">
      <w:pPr>
        <w:spacing w:after="0" w:line="240" w:lineRule="auto"/>
        <w:jc w:val="both"/>
        <w:rPr>
          <w:rFonts w:ascii="Verdana" w:eastAsia="Aptos" w:hAnsi="Verdana" w:cs="Times New Roman"/>
          <w:sz w:val="20"/>
          <w:szCs w:val="20"/>
        </w:rPr>
      </w:pPr>
      <w:r>
        <w:rPr>
          <w:rFonts w:ascii="Verdana" w:eastAsia="Aptos" w:hAnsi="Verdana" w:cs="Times New Roman"/>
          <w:sz w:val="20"/>
          <w:szCs w:val="20"/>
        </w:rPr>
        <w:t xml:space="preserve">[…] </w:t>
      </w:r>
      <w:r w:rsidRPr="00546AFB">
        <w:rPr>
          <w:rFonts w:ascii="Verdana" w:eastAsia="Aptos" w:hAnsi="Verdana" w:cs="Times New Roman"/>
          <w:sz w:val="20"/>
          <w:szCs w:val="20"/>
        </w:rPr>
        <w:t>con la aprobación de las garantías la entidad estatal estará acreditando el cumplimiento de la obligación del artículo 7 de la Ley 1150 de 2007, y entonces el contrato podrá ejecutarse, siempre que se cumplan los demás requisitos que establece el artículo 41 de la Ley 80 de 1993. Sin embargo, en caso de que la entidad no realice la aprobación de las garantías en el SECOP II, debe aclararse que este no habilitará el módulo “ejecución del contrato” lo cual impedirá la recepción de informes</w:t>
      </w:r>
      <w:r>
        <w:rPr>
          <w:rFonts w:ascii="Verdana" w:eastAsia="Aptos" w:hAnsi="Verdana" w:cs="Times New Roman"/>
          <w:sz w:val="20"/>
          <w:szCs w:val="20"/>
        </w:rPr>
        <w:t xml:space="preserve"> y </w:t>
      </w:r>
      <w:r w:rsidRPr="00546AFB">
        <w:rPr>
          <w:rFonts w:ascii="Verdana" w:eastAsia="Aptos" w:hAnsi="Verdana" w:cs="Times New Roman"/>
          <w:sz w:val="20"/>
          <w:szCs w:val="20"/>
        </w:rPr>
        <w:t>la gestión de cuentas de cobro. Por tanto, los pagos autorizados sin la aprobación de las garantías o sin los requisitos de cobertura y suficiencia comprometen la responsabilidad de los servidores públicos implicados en la gestión contractual de la entidad estatal.</w:t>
      </w:r>
    </w:p>
    <w:p w14:paraId="687D3772" w14:textId="77777777" w:rsidR="00C75ABA" w:rsidRPr="00323333" w:rsidRDefault="00C75ABA" w:rsidP="00C75ABA">
      <w:pPr>
        <w:spacing w:after="0" w:line="240" w:lineRule="auto"/>
        <w:rPr>
          <w:rFonts w:ascii="Verdana" w:eastAsia="Aptos" w:hAnsi="Verdana" w:cs="Times New Roman"/>
          <w:sz w:val="20"/>
          <w:szCs w:val="20"/>
        </w:rPr>
      </w:pPr>
    </w:p>
    <w:p w14:paraId="26C4F4AC" w14:textId="77777777" w:rsidR="00C75ABA" w:rsidRDefault="00C75ABA" w:rsidP="00C75ABA">
      <w:pPr>
        <w:spacing w:after="0"/>
        <w:jc w:val="both"/>
        <w:rPr>
          <w:rFonts w:ascii="Verdana" w:hAnsi="Verdana" w:cs="Arial"/>
          <w:bCs/>
          <w:lang w:val="es-MX" w:eastAsia="es-ES"/>
        </w:rPr>
      </w:pPr>
      <w:r w:rsidRPr="00A6092D">
        <w:rPr>
          <w:rFonts w:ascii="Verdana" w:hAnsi="Verdana" w:cs="Arial"/>
          <w:b/>
          <w:bCs/>
          <w:lang w:val="es-MX" w:eastAsia="es-ES"/>
        </w:rPr>
        <w:t xml:space="preserve">CIERRE DEL EXPEDIENTE CONTRACTUAL – Procedimiento – </w:t>
      </w:r>
      <w:proofErr w:type="spellStart"/>
      <w:r>
        <w:rPr>
          <w:rFonts w:ascii="Verdana" w:hAnsi="Verdana" w:cs="Arial"/>
          <w:b/>
          <w:bCs/>
          <w:lang w:val="es-MX" w:eastAsia="es-ES"/>
        </w:rPr>
        <w:t>Secop</w:t>
      </w:r>
      <w:proofErr w:type="spellEnd"/>
      <w:r>
        <w:rPr>
          <w:rFonts w:ascii="Verdana" w:hAnsi="Verdana" w:cs="Arial"/>
          <w:b/>
          <w:bCs/>
          <w:lang w:val="es-MX" w:eastAsia="es-ES"/>
        </w:rPr>
        <w:t xml:space="preserve"> </w:t>
      </w:r>
      <w:proofErr w:type="spellStart"/>
      <w:r>
        <w:rPr>
          <w:rFonts w:ascii="Verdana" w:hAnsi="Verdana" w:cs="Arial"/>
          <w:b/>
          <w:bCs/>
          <w:lang w:val="es-MX" w:eastAsia="es-ES"/>
        </w:rPr>
        <w:t>ii</w:t>
      </w:r>
      <w:proofErr w:type="spellEnd"/>
    </w:p>
    <w:p w14:paraId="6CEB1F4E" w14:textId="77777777" w:rsidR="00C75ABA" w:rsidRPr="00A6092D" w:rsidRDefault="00C75ABA" w:rsidP="00C75ABA">
      <w:pPr>
        <w:spacing w:after="0" w:line="240" w:lineRule="auto"/>
        <w:jc w:val="both"/>
        <w:rPr>
          <w:rFonts w:ascii="Verdana" w:hAnsi="Verdana" w:cs="Arial"/>
          <w:bCs/>
          <w:sz w:val="20"/>
          <w:lang w:val="es-MX" w:eastAsia="es-ES"/>
        </w:rPr>
      </w:pPr>
    </w:p>
    <w:p w14:paraId="131CF5B7" w14:textId="77777777" w:rsidR="00C75ABA" w:rsidRPr="00A6092D" w:rsidRDefault="00C75ABA" w:rsidP="00C75ABA">
      <w:pPr>
        <w:spacing w:after="0" w:line="240" w:lineRule="auto"/>
        <w:jc w:val="both"/>
        <w:rPr>
          <w:rFonts w:ascii="Verdana" w:hAnsi="Verdana" w:cs="Arial"/>
          <w:bCs/>
          <w:sz w:val="20"/>
          <w:lang w:eastAsia="es-ES"/>
        </w:rPr>
      </w:pPr>
      <w:r w:rsidRPr="00A6092D">
        <w:rPr>
          <w:rFonts w:ascii="Verdana" w:hAnsi="Verdana" w:cs="Arial"/>
          <w:bCs/>
          <w:sz w:val="20"/>
          <w:lang w:eastAsia="es-ES"/>
        </w:rPr>
        <w:t xml:space="preserve">De acuerdo con lo anterior, para cerrar el contrato en SECOP II, la Agencia ha señalado en el Anexo 1 de la Circular 05 del 30 de noviembre de 2024 este procedimiento, en el que debe crearse la modificación </w:t>
      </w:r>
      <w:r w:rsidRPr="00A6092D">
        <w:rPr>
          <w:rFonts w:ascii="Verdana" w:hAnsi="Verdana" w:cs="Arial"/>
          <w:bCs/>
          <w:i/>
          <w:iCs/>
          <w:sz w:val="20"/>
          <w:lang w:eastAsia="es-ES"/>
        </w:rPr>
        <w:t>“Cerrar el contrato”</w:t>
      </w:r>
      <w:r w:rsidRPr="00A6092D">
        <w:rPr>
          <w:rFonts w:ascii="Verdana" w:hAnsi="Verdana" w:cs="Arial"/>
          <w:bCs/>
          <w:sz w:val="20"/>
          <w:lang w:eastAsia="es-ES"/>
        </w:rPr>
        <w:t xml:space="preserve">. Al seleccionar dicha modificación se muestra un mensaje con la pregunta </w:t>
      </w:r>
      <w:r w:rsidRPr="00A6092D">
        <w:rPr>
          <w:rFonts w:ascii="Verdana" w:hAnsi="Verdana" w:cs="Arial"/>
          <w:bCs/>
          <w:i/>
          <w:iCs/>
          <w:sz w:val="20"/>
          <w:lang w:eastAsia="es-ES"/>
        </w:rPr>
        <w:t>“¿Requiere reconocimiento del proveedor?”</w:t>
      </w:r>
      <w:r w:rsidRPr="00A6092D">
        <w:rPr>
          <w:rFonts w:ascii="Verdana" w:hAnsi="Verdana" w:cs="Arial"/>
          <w:bCs/>
          <w:sz w:val="20"/>
          <w:lang w:eastAsia="es-ES"/>
        </w:rPr>
        <w:t xml:space="preserve">. Por defecto la casilla viene seleccionada, es decir, que la modificación requiere aprobación del Proveedor. Sin embargo, al ser el cierre del contrato una actuación propia de la administración, las Entidades Estatales deben quitar la selección de la casilla. Posterior a la selección de modificación que va a efectuar, el SECOP II muestra la referencia </w:t>
      </w:r>
      <w:r w:rsidRPr="00A6092D">
        <w:rPr>
          <w:rFonts w:ascii="Verdana" w:hAnsi="Verdana" w:cs="Arial"/>
          <w:bCs/>
          <w:sz w:val="20"/>
          <w:lang w:eastAsia="es-ES"/>
        </w:rPr>
        <w:lastRenderedPageBreak/>
        <w:t xml:space="preserve">interna de la modificación y habilita las siguientes funcionalidades: i) Finalizar modificación; </w:t>
      </w:r>
      <w:proofErr w:type="spellStart"/>
      <w:r w:rsidRPr="00A6092D">
        <w:rPr>
          <w:rFonts w:ascii="Verdana" w:hAnsi="Verdana" w:cs="Arial"/>
          <w:bCs/>
          <w:sz w:val="20"/>
          <w:lang w:eastAsia="es-ES"/>
        </w:rPr>
        <w:t>ii</w:t>
      </w:r>
      <w:proofErr w:type="spellEnd"/>
      <w:r w:rsidRPr="00A6092D">
        <w:rPr>
          <w:rFonts w:ascii="Verdana" w:hAnsi="Verdana" w:cs="Arial"/>
          <w:bCs/>
          <w:sz w:val="20"/>
          <w:lang w:eastAsia="es-ES"/>
        </w:rPr>
        <w:t xml:space="preserve">) Cancelar modificación; </w:t>
      </w:r>
      <w:proofErr w:type="spellStart"/>
      <w:r w:rsidRPr="00A6092D">
        <w:rPr>
          <w:rFonts w:ascii="Verdana" w:hAnsi="Verdana" w:cs="Arial"/>
          <w:bCs/>
          <w:sz w:val="20"/>
          <w:lang w:eastAsia="es-ES"/>
        </w:rPr>
        <w:t>iii</w:t>
      </w:r>
      <w:proofErr w:type="spellEnd"/>
      <w:r w:rsidRPr="00A6092D">
        <w:rPr>
          <w:rFonts w:ascii="Verdana" w:hAnsi="Verdana" w:cs="Arial"/>
          <w:bCs/>
          <w:sz w:val="20"/>
          <w:lang w:eastAsia="es-ES"/>
        </w:rPr>
        <w:t xml:space="preserve">) Guardar modificación; </w:t>
      </w:r>
      <w:proofErr w:type="spellStart"/>
      <w:r w:rsidRPr="00A6092D">
        <w:rPr>
          <w:rFonts w:ascii="Verdana" w:hAnsi="Verdana" w:cs="Arial"/>
          <w:bCs/>
          <w:sz w:val="20"/>
          <w:lang w:eastAsia="es-ES"/>
        </w:rPr>
        <w:t>iv</w:t>
      </w:r>
      <w:proofErr w:type="spellEnd"/>
      <w:r w:rsidRPr="00A6092D">
        <w:rPr>
          <w:rFonts w:ascii="Verdana" w:hAnsi="Verdana" w:cs="Arial"/>
          <w:bCs/>
          <w:sz w:val="20"/>
          <w:lang w:eastAsia="es-ES"/>
        </w:rPr>
        <w:t xml:space="preserve">) Ver modificación. </w:t>
      </w:r>
    </w:p>
    <w:p w14:paraId="590B230E" w14:textId="77777777" w:rsidR="00C75ABA" w:rsidRDefault="00C75ABA" w:rsidP="00C75ABA">
      <w:pPr>
        <w:spacing w:after="0" w:line="240" w:lineRule="auto"/>
        <w:jc w:val="both"/>
        <w:rPr>
          <w:rFonts w:ascii="Verdana" w:hAnsi="Verdana" w:cs="Arial"/>
          <w:bCs/>
          <w:sz w:val="20"/>
          <w:lang w:eastAsia="es-ES"/>
        </w:rPr>
      </w:pPr>
    </w:p>
    <w:p w14:paraId="1B4CA50F" w14:textId="77777777" w:rsidR="00C75ABA" w:rsidRPr="00A6092D" w:rsidRDefault="00C75ABA" w:rsidP="00C75ABA">
      <w:pPr>
        <w:spacing w:after="0" w:line="240" w:lineRule="auto"/>
        <w:jc w:val="both"/>
        <w:rPr>
          <w:rFonts w:ascii="Verdana" w:hAnsi="Verdana" w:cs="Arial"/>
          <w:bCs/>
          <w:sz w:val="20"/>
          <w:lang w:eastAsia="es-ES"/>
        </w:rPr>
      </w:pPr>
      <w:r w:rsidRPr="00A6092D">
        <w:rPr>
          <w:rFonts w:ascii="Verdana" w:hAnsi="Verdana" w:cs="Arial"/>
          <w:bCs/>
          <w:sz w:val="20"/>
          <w:lang w:eastAsia="es-ES"/>
        </w:rPr>
        <w:t>Después de crear la modificación y adjuntar los documentos soporte de la misma, las Entidades Estatales deben diligenciar la justificación respectiva; posteriormente deberán “Finalizar la modificación”. La aprobación final de las modificaciones la debe efectuar el Ordenador del Gasto o Representante Legal de la Entidad Estatal, ya que estas reemplazan el acuerdo inicial. Una vez aprobada la modificación, deben proceder con la publicación, para que los cambios se reflejan en la nueva versión del contrato. Las Entidades Estatales deben tener en cuenta, que una vez realizada esta modificación el contrato se cierra, en consecuencia, la plataforma bloqueará el cargue posterior de cualquier documento o actualización adicional en el contrato electrónico.</w:t>
      </w:r>
    </w:p>
    <w:p w14:paraId="6664E32C" w14:textId="77777777" w:rsidR="00C75ABA" w:rsidRPr="00323333" w:rsidRDefault="00C75ABA" w:rsidP="00C75ABA">
      <w:pPr>
        <w:spacing w:after="0" w:line="240" w:lineRule="auto"/>
        <w:rPr>
          <w:rFonts w:ascii="Verdana" w:eastAsia="Aptos" w:hAnsi="Verdana" w:cs="Times New Roman"/>
          <w:sz w:val="20"/>
          <w:szCs w:val="20"/>
        </w:rPr>
      </w:pPr>
    </w:p>
    <w:p w14:paraId="476C0E10" w14:textId="77777777" w:rsidR="00C75ABA" w:rsidRPr="00323333" w:rsidRDefault="00C75ABA" w:rsidP="00C75ABA">
      <w:pPr>
        <w:spacing w:after="0" w:line="240" w:lineRule="auto"/>
        <w:rPr>
          <w:rFonts w:ascii="Verdana" w:eastAsia="Aptos" w:hAnsi="Verdana" w:cs="Times New Roman"/>
          <w:sz w:val="20"/>
          <w:szCs w:val="20"/>
        </w:rPr>
      </w:pPr>
    </w:p>
    <w:p w14:paraId="1764580D" w14:textId="77777777" w:rsidR="00C75ABA" w:rsidRPr="00323333" w:rsidRDefault="00C75ABA" w:rsidP="00C75ABA">
      <w:pPr>
        <w:spacing w:after="0" w:line="240" w:lineRule="auto"/>
        <w:rPr>
          <w:rFonts w:ascii="Verdana" w:eastAsia="Aptos" w:hAnsi="Verdana" w:cs="Times New Roman"/>
          <w:sz w:val="20"/>
          <w:szCs w:val="20"/>
        </w:rPr>
      </w:pPr>
    </w:p>
    <w:p w14:paraId="7F92B533" w14:textId="77777777" w:rsidR="00C75ABA" w:rsidRDefault="00C75ABA" w:rsidP="00C75ABA">
      <w:pPr>
        <w:spacing w:after="0" w:line="240" w:lineRule="auto"/>
        <w:rPr>
          <w:rFonts w:ascii="Verdana" w:eastAsia="Aptos" w:hAnsi="Verdana" w:cs="Times New Roman"/>
          <w:sz w:val="20"/>
          <w:szCs w:val="20"/>
        </w:rPr>
      </w:pPr>
    </w:p>
    <w:p w14:paraId="3A3E547F" w14:textId="77777777" w:rsidR="00C75ABA" w:rsidRDefault="00C75ABA" w:rsidP="00C75ABA">
      <w:pPr>
        <w:spacing w:after="0" w:line="240" w:lineRule="auto"/>
        <w:rPr>
          <w:rFonts w:ascii="Verdana" w:eastAsia="Aptos" w:hAnsi="Verdana" w:cs="Times New Roman"/>
          <w:sz w:val="20"/>
          <w:szCs w:val="20"/>
        </w:rPr>
      </w:pPr>
    </w:p>
    <w:p w14:paraId="043C666E" w14:textId="77777777" w:rsidR="00C75ABA" w:rsidRDefault="00C75ABA" w:rsidP="00C75ABA">
      <w:pPr>
        <w:spacing w:after="0" w:line="240" w:lineRule="auto"/>
        <w:rPr>
          <w:rFonts w:ascii="Verdana" w:eastAsia="Aptos" w:hAnsi="Verdana" w:cs="Times New Roman"/>
          <w:sz w:val="20"/>
          <w:szCs w:val="20"/>
        </w:rPr>
      </w:pPr>
    </w:p>
    <w:p w14:paraId="1C3238B8" w14:textId="77777777" w:rsidR="00C75ABA" w:rsidRDefault="00C75ABA" w:rsidP="00C75ABA">
      <w:pPr>
        <w:spacing w:after="0" w:line="240" w:lineRule="auto"/>
        <w:rPr>
          <w:rFonts w:ascii="Verdana" w:eastAsia="Aptos" w:hAnsi="Verdana" w:cs="Times New Roman"/>
          <w:sz w:val="20"/>
          <w:szCs w:val="20"/>
        </w:rPr>
      </w:pPr>
    </w:p>
    <w:p w14:paraId="4DB6AB82" w14:textId="77777777" w:rsidR="00C75ABA" w:rsidRDefault="00C75ABA" w:rsidP="00C75ABA">
      <w:pPr>
        <w:spacing w:after="0" w:line="240" w:lineRule="auto"/>
        <w:rPr>
          <w:rFonts w:ascii="Verdana" w:eastAsia="Aptos" w:hAnsi="Verdana" w:cs="Times New Roman"/>
          <w:sz w:val="20"/>
          <w:szCs w:val="20"/>
        </w:rPr>
      </w:pPr>
    </w:p>
    <w:p w14:paraId="73DE6AB2" w14:textId="77777777" w:rsidR="00C75ABA" w:rsidRDefault="00C75ABA" w:rsidP="00C75ABA">
      <w:pPr>
        <w:spacing w:after="0" w:line="240" w:lineRule="auto"/>
        <w:rPr>
          <w:rFonts w:ascii="Verdana" w:eastAsia="Aptos" w:hAnsi="Verdana" w:cs="Times New Roman"/>
          <w:sz w:val="20"/>
          <w:szCs w:val="20"/>
        </w:rPr>
      </w:pPr>
    </w:p>
    <w:p w14:paraId="36B03204" w14:textId="77777777" w:rsidR="00C75ABA" w:rsidRDefault="00C75ABA" w:rsidP="00C75ABA">
      <w:pPr>
        <w:spacing w:after="0" w:line="240" w:lineRule="auto"/>
        <w:rPr>
          <w:rFonts w:ascii="Verdana" w:eastAsia="Aptos" w:hAnsi="Verdana" w:cs="Times New Roman"/>
          <w:sz w:val="20"/>
          <w:szCs w:val="20"/>
        </w:rPr>
      </w:pPr>
    </w:p>
    <w:p w14:paraId="207B86F7" w14:textId="77777777" w:rsidR="00C75ABA" w:rsidRDefault="00C75ABA" w:rsidP="00C75ABA">
      <w:pPr>
        <w:spacing w:after="0" w:line="240" w:lineRule="auto"/>
        <w:rPr>
          <w:rFonts w:ascii="Verdana" w:eastAsia="Aptos" w:hAnsi="Verdana" w:cs="Times New Roman"/>
          <w:sz w:val="20"/>
          <w:szCs w:val="20"/>
        </w:rPr>
      </w:pPr>
    </w:p>
    <w:p w14:paraId="3DF57E75" w14:textId="77777777" w:rsidR="00C75ABA" w:rsidRDefault="00C75ABA" w:rsidP="00C75ABA">
      <w:pPr>
        <w:spacing w:after="0" w:line="240" w:lineRule="auto"/>
        <w:rPr>
          <w:rFonts w:ascii="Verdana" w:eastAsia="Aptos" w:hAnsi="Verdana" w:cs="Times New Roman"/>
          <w:sz w:val="20"/>
          <w:szCs w:val="20"/>
        </w:rPr>
      </w:pPr>
    </w:p>
    <w:p w14:paraId="0E012859" w14:textId="77777777" w:rsidR="00C75ABA" w:rsidRDefault="00C75ABA" w:rsidP="00C75ABA">
      <w:pPr>
        <w:spacing w:after="0" w:line="240" w:lineRule="auto"/>
        <w:rPr>
          <w:rFonts w:ascii="Verdana" w:eastAsia="Aptos" w:hAnsi="Verdana" w:cs="Times New Roman"/>
          <w:sz w:val="20"/>
          <w:szCs w:val="20"/>
        </w:rPr>
      </w:pPr>
    </w:p>
    <w:p w14:paraId="5D7589A4" w14:textId="77777777" w:rsidR="00C75ABA" w:rsidRDefault="00C75ABA" w:rsidP="00C75ABA">
      <w:pPr>
        <w:spacing w:after="0" w:line="240" w:lineRule="auto"/>
        <w:rPr>
          <w:rFonts w:ascii="Verdana" w:eastAsia="Aptos" w:hAnsi="Verdana" w:cs="Times New Roman"/>
          <w:sz w:val="20"/>
          <w:szCs w:val="20"/>
        </w:rPr>
      </w:pPr>
    </w:p>
    <w:p w14:paraId="012E31F9" w14:textId="77777777" w:rsidR="00C75ABA" w:rsidRDefault="00C75ABA" w:rsidP="00C75ABA">
      <w:pPr>
        <w:spacing w:after="0" w:line="240" w:lineRule="auto"/>
        <w:rPr>
          <w:rFonts w:ascii="Verdana" w:eastAsia="Aptos" w:hAnsi="Verdana" w:cs="Times New Roman"/>
          <w:sz w:val="20"/>
          <w:szCs w:val="20"/>
        </w:rPr>
      </w:pPr>
    </w:p>
    <w:p w14:paraId="643FC551" w14:textId="77777777" w:rsidR="00C75ABA" w:rsidRDefault="00C75ABA" w:rsidP="00C75ABA">
      <w:pPr>
        <w:spacing w:after="0" w:line="240" w:lineRule="auto"/>
        <w:rPr>
          <w:rFonts w:ascii="Verdana" w:eastAsia="Aptos" w:hAnsi="Verdana" w:cs="Times New Roman"/>
          <w:sz w:val="20"/>
          <w:szCs w:val="20"/>
        </w:rPr>
      </w:pPr>
    </w:p>
    <w:p w14:paraId="7D81A68A" w14:textId="77777777" w:rsidR="00C75ABA" w:rsidRDefault="00C75ABA" w:rsidP="00C75ABA">
      <w:pPr>
        <w:spacing w:after="0" w:line="240" w:lineRule="auto"/>
        <w:rPr>
          <w:rFonts w:ascii="Verdana" w:eastAsia="Aptos" w:hAnsi="Verdana" w:cs="Times New Roman"/>
          <w:sz w:val="20"/>
          <w:szCs w:val="20"/>
        </w:rPr>
      </w:pPr>
    </w:p>
    <w:p w14:paraId="71DEF9EF" w14:textId="77777777" w:rsidR="00C75ABA" w:rsidRDefault="00C75ABA" w:rsidP="00C75ABA">
      <w:pPr>
        <w:spacing w:after="0" w:line="240" w:lineRule="auto"/>
        <w:rPr>
          <w:rFonts w:ascii="Verdana" w:eastAsia="Aptos" w:hAnsi="Verdana" w:cs="Times New Roman"/>
          <w:sz w:val="20"/>
          <w:szCs w:val="20"/>
        </w:rPr>
      </w:pPr>
    </w:p>
    <w:p w14:paraId="12274521" w14:textId="77777777" w:rsidR="00C75ABA" w:rsidRDefault="00C75ABA" w:rsidP="00C75ABA">
      <w:pPr>
        <w:spacing w:after="0" w:line="240" w:lineRule="auto"/>
        <w:rPr>
          <w:rFonts w:ascii="Verdana" w:eastAsia="Aptos" w:hAnsi="Verdana" w:cs="Times New Roman"/>
          <w:sz w:val="20"/>
          <w:szCs w:val="20"/>
        </w:rPr>
      </w:pPr>
    </w:p>
    <w:p w14:paraId="0793CDD8" w14:textId="77777777" w:rsidR="00C75ABA" w:rsidRDefault="00C75ABA" w:rsidP="00C75ABA">
      <w:pPr>
        <w:spacing w:after="0" w:line="240" w:lineRule="auto"/>
        <w:rPr>
          <w:rFonts w:ascii="Verdana" w:eastAsia="Aptos" w:hAnsi="Verdana" w:cs="Times New Roman"/>
          <w:sz w:val="20"/>
          <w:szCs w:val="20"/>
        </w:rPr>
      </w:pPr>
    </w:p>
    <w:p w14:paraId="4C4C9C8D" w14:textId="77777777" w:rsidR="00C75ABA" w:rsidRDefault="00C75ABA" w:rsidP="00C75ABA">
      <w:pPr>
        <w:spacing w:after="0" w:line="240" w:lineRule="auto"/>
        <w:rPr>
          <w:rFonts w:ascii="Verdana" w:eastAsia="Aptos" w:hAnsi="Verdana" w:cs="Times New Roman"/>
          <w:sz w:val="20"/>
          <w:szCs w:val="20"/>
        </w:rPr>
      </w:pPr>
    </w:p>
    <w:p w14:paraId="321EB932" w14:textId="77777777" w:rsidR="00C75ABA" w:rsidRDefault="00C75ABA" w:rsidP="00C75ABA">
      <w:pPr>
        <w:spacing w:after="0" w:line="240" w:lineRule="auto"/>
        <w:rPr>
          <w:rFonts w:ascii="Verdana" w:eastAsia="Aptos" w:hAnsi="Verdana" w:cs="Times New Roman"/>
          <w:sz w:val="20"/>
          <w:szCs w:val="20"/>
        </w:rPr>
      </w:pPr>
    </w:p>
    <w:p w14:paraId="5FB38330" w14:textId="77777777" w:rsidR="00C75ABA" w:rsidRDefault="00C75ABA" w:rsidP="00C75ABA">
      <w:pPr>
        <w:spacing w:after="0" w:line="240" w:lineRule="auto"/>
        <w:rPr>
          <w:rFonts w:ascii="Verdana" w:eastAsia="Aptos" w:hAnsi="Verdana" w:cs="Times New Roman"/>
          <w:sz w:val="20"/>
          <w:szCs w:val="20"/>
        </w:rPr>
      </w:pPr>
    </w:p>
    <w:p w14:paraId="04BCA1FB" w14:textId="77777777" w:rsidR="00C75ABA" w:rsidRDefault="00C75ABA" w:rsidP="00C75ABA">
      <w:pPr>
        <w:spacing w:after="0" w:line="240" w:lineRule="auto"/>
        <w:rPr>
          <w:rFonts w:ascii="Verdana" w:eastAsia="Aptos" w:hAnsi="Verdana" w:cs="Times New Roman"/>
          <w:sz w:val="20"/>
          <w:szCs w:val="20"/>
        </w:rPr>
      </w:pPr>
    </w:p>
    <w:p w14:paraId="539ECFFB" w14:textId="77777777" w:rsidR="00C75ABA" w:rsidRDefault="00C75ABA" w:rsidP="00C75ABA">
      <w:pPr>
        <w:spacing w:after="0" w:line="240" w:lineRule="auto"/>
        <w:rPr>
          <w:rFonts w:ascii="Verdana" w:eastAsia="Aptos" w:hAnsi="Verdana" w:cs="Times New Roman"/>
          <w:sz w:val="20"/>
          <w:szCs w:val="20"/>
        </w:rPr>
      </w:pPr>
    </w:p>
    <w:p w14:paraId="0E9DBA10" w14:textId="77777777" w:rsidR="00C75ABA" w:rsidRDefault="00C75ABA" w:rsidP="00C75ABA">
      <w:pPr>
        <w:spacing w:after="0" w:line="240" w:lineRule="auto"/>
        <w:rPr>
          <w:rFonts w:ascii="Verdana" w:eastAsia="Aptos" w:hAnsi="Verdana" w:cs="Times New Roman"/>
          <w:sz w:val="20"/>
          <w:szCs w:val="20"/>
        </w:rPr>
      </w:pPr>
    </w:p>
    <w:p w14:paraId="53F79E2D" w14:textId="77777777" w:rsidR="00C75ABA" w:rsidRDefault="00C75ABA" w:rsidP="00C75ABA">
      <w:pPr>
        <w:spacing w:after="0" w:line="240" w:lineRule="auto"/>
        <w:rPr>
          <w:rFonts w:ascii="Verdana" w:eastAsia="Aptos" w:hAnsi="Verdana" w:cs="Times New Roman"/>
          <w:sz w:val="20"/>
          <w:szCs w:val="20"/>
        </w:rPr>
      </w:pPr>
    </w:p>
    <w:p w14:paraId="5D7BFE2F" w14:textId="77777777" w:rsidR="00C75ABA" w:rsidRDefault="00C75ABA" w:rsidP="00C75ABA">
      <w:pPr>
        <w:spacing w:after="0" w:line="240" w:lineRule="auto"/>
        <w:rPr>
          <w:rFonts w:ascii="Verdana" w:eastAsia="Aptos" w:hAnsi="Verdana" w:cs="Times New Roman"/>
          <w:sz w:val="20"/>
          <w:szCs w:val="20"/>
        </w:rPr>
      </w:pPr>
    </w:p>
    <w:p w14:paraId="78D3491B" w14:textId="77777777" w:rsidR="00C75ABA" w:rsidRDefault="00C75ABA" w:rsidP="00C75ABA">
      <w:pPr>
        <w:spacing w:after="0" w:line="240" w:lineRule="auto"/>
        <w:rPr>
          <w:rFonts w:ascii="Verdana" w:eastAsia="Aptos" w:hAnsi="Verdana" w:cs="Times New Roman"/>
          <w:sz w:val="20"/>
          <w:szCs w:val="20"/>
        </w:rPr>
      </w:pPr>
    </w:p>
    <w:p w14:paraId="5CA8908F" w14:textId="77777777" w:rsidR="00C75ABA" w:rsidRDefault="00C75ABA" w:rsidP="00C75ABA">
      <w:pPr>
        <w:spacing w:after="0" w:line="240" w:lineRule="auto"/>
        <w:rPr>
          <w:rFonts w:ascii="Verdana" w:eastAsia="Aptos" w:hAnsi="Verdana" w:cs="Times New Roman"/>
          <w:sz w:val="20"/>
          <w:szCs w:val="20"/>
        </w:rPr>
      </w:pPr>
    </w:p>
    <w:p w14:paraId="49BEB29D" w14:textId="77777777" w:rsidR="00C75ABA" w:rsidRDefault="00C75ABA" w:rsidP="00C75ABA">
      <w:pPr>
        <w:spacing w:after="0" w:line="240" w:lineRule="auto"/>
        <w:rPr>
          <w:rFonts w:ascii="Verdana" w:eastAsia="Aptos" w:hAnsi="Verdana" w:cs="Times New Roman"/>
          <w:sz w:val="20"/>
          <w:szCs w:val="20"/>
        </w:rPr>
      </w:pPr>
    </w:p>
    <w:p w14:paraId="33D703C2" w14:textId="77777777" w:rsidR="00C75ABA" w:rsidRDefault="00C75ABA" w:rsidP="00C75ABA">
      <w:pPr>
        <w:spacing w:after="0" w:line="240" w:lineRule="auto"/>
        <w:rPr>
          <w:rFonts w:ascii="Verdana" w:eastAsia="Aptos" w:hAnsi="Verdana" w:cs="Times New Roman"/>
          <w:sz w:val="20"/>
          <w:szCs w:val="20"/>
        </w:rPr>
      </w:pPr>
    </w:p>
    <w:p w14:paraId="5AB7F155" w14:textId="77777777" w:rsidR="00C75ABA" w:rsidRDefault="00C75ABA" w:rsidP="00C75ABA">
      <w:pPr>
        <w:spacing w:after="0" w:line="240" w:lineRule="auto"/>
        <w:rPr>
          <w:rFonts w:ascii="Verdana" w:eastAsia="Aptos" w:hAnsi="Verdana" w:cs="Times New Roman"/>
          <w:sz w:val="20"/>
          <w:szCs w:val="20"/>
        </w:rPr>
      </w:pPr>
    </w:p>
    <w:p w14:paraId="5DB22B22" w14:textId="77777777" w:rsidR="00C75ABA" w:rsidRDefault="00C75ABA" w:rsidP="00C75ABA">
      <w:pPr>
        <w:spacing w:after="0" w:line="240" w:lineRule="auto"/>
        <w:rPr>
          <w:rFonts w:ascii="Verdana" w:eastAsia="Aptos" w:hAnsi="Verdana" w:cs="Times New Roman"/>
          <w:sz w:val="20"/>
          <w:szCs w:val="20"/>
        </w:rPr>
      </w:pPr>
    </w:p>
    <w:p w14:paraId="172DAEB7" w14:textId="27F75ED9" w:rsidR="00C75ABA" w:rsidRPr="00323333" w:rsidRDefault="00C75ABA" w:rsidP="00C75ABA">
      <w:pPr>
        <w:spacing w:after="0" w:line="240" w:lineRule="auto"/>
        <w:jc w:val="both"/>
        <w:rPr>
          <w:rFonts w:ascii="Verdana" w:eastAsia="Calibri" w:hAnsi="Verdana" w:cs="Arial"/>
          <w:lang w:val="es-ES"/>
        </w:rPr>
      </w:pPr>
      <w:r w:rsidRPr="00323333">
        <w:rPr>
          <w:rFonts w:ascii="Verdana" w:eastAsia="Geomanist Light" w:hAnsi="Verdana" w:cs="Arial"/>
          <w:lang w:val="es-MX"/>
        </w:rPr>
        <w:lastRenderedPageBreak/>
        <w:t>Bogotá D.C., </w:t>
      </w:r>
      <w:r w:rsidR="00D66F73">
        <w:rPr>
          <w:rFonts w:ascii="Verdana" w:eastAsia="Geomanist Light" w:hAnsi="Verdana" w:cs="Arial"/>
          <w:lang w:val="es-MX"/>
        </w:rPr>
        <w:t xml:space="preserve">18 </w:t>
      </w:r>
      <w:r w:rsidR="00471A10">
        <w:rPr>
          <w:rFonts w:ascii="Verdana" w:eastAsia="Geomanist Light" w:hAnsi="Verdana" w:cs="Arial"/>
          <w:lang w:val="es-MX"/>
        </w:rPr>
        <w:t>de junio de 2026</w:t>
      </w:r>
    </w:p>
    <w:p w14:paraId="4E946385" w14:textId="77777777" w:rsidR="00C75ABA" w:rsidRPr="00323333" w:rsidRDefault="00C75ABA" w:rsidP="00C75ABA">
      <w:pPr>
        <w:spacing w:after="0" w:line="240" w:lineRule="auto"/>
        <w:jc w:val="both"/>
        <w:rPr>
          <w:rFonts w:ascii="Verdana" w:eastAsia="Calibri" w:hAnsi="Verdana" w:cs="Arial"/>
          <w:lang w:val="es-ES"/>
        </w:rPr>
      </w:pPr>
    </w:p>
    <w:p w14:paraId="2DBAB245" w14:textId="77F301BC" w:rsidR="00C75ABA" w:rsidRPr="00323333" w:rsidRDefault="00CB22F9" w:rsidP="00C75ABA">
      <w:pPr>
        <w:spacing w:after="0" w:line="240" w:lineRule="auto"/>
        <w:jc w:val="right"/>
        <w:rPr>
          <w:rFonts w:ascii="Verdana" w:eastAsia="Calibri" w:hAnsi="Verdana" w:cs="Arial"/>
          <w:lang w:val="es-ES"/>
        </w:rPr>
      </w:pPr>
      <w:r w:rsidRPr="00CB22F9">
        <w:rPr>
          <w:rFonts w:ascii="Verdana" w:eastAsia="Calibri" w:hAnsi="Verdana" w:cs="Arial"/>
          <w:lang w:val="es-ES"/>
        </w:rPr>
        <w:drawing>
          <wp:inline distT="0" distB="0" distL="0" distR="0" wp14:anchorId="4096739F" wp14:editId="66DE6B02">
            <wp:extent cx="1667108" cy="504895"/>
            <wp:effectExtent l="0" t="0" r="9525" b="0"/>
            <wp:docPr id="20366559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655990" name=""/>
                    <pic:cNvPicPr/>
                  </pic:nvPicPr>
                  <pic:blipFill>
                    <a:blip r:embed="rId10"/>
                    <a:stretch>
                      <a:fillRect/>
                    </a:stretch>
                  </pic:blipFill>
                  <pic:spPr>
                    <a:xfrm>
                      <a:off x="0" y="0"/>
                      <a:ext cx="1667108" cy="504895"/>
                    </a:xfrm>
                    <a:prstGeom prst="rect">
                      <a:avLst/>
                    </a:prstGeom>
                  </pic:spPr>
                </pic:pic>
              </a:graphicData>
            </a:graphic>
          </wp:inline>
        </w:drawing>
      </w:r>
    </w:p>
    <w:p w14:paraId="6E55C972" w14:textId="77777777" w:rsidR="00C75ABA" w:rsidRPr="00323333" w:rsidRDefault="00C75ABA" w:rsidP="00C75ABA">
      <w:pPr>
        <w:spacing w:after="0" w:line="240" w:lineRule="auto"/>
        <w:jc w:val="both"/>
        <w:rPr>
          <w:rFonts w:ascii="Verdana" w:eastAsia="Calibri" w:hAnsi="Verdana" w:cs="Arial"/>
          <w:lang w:val="es-ES" w:eastAsia="es-ES"/>
        </w:rPr>
      </w:pPr>
      <w:r w:rsidRPr="00323333">
        <w:rPr>
          <w:rFonts w:ascii="Verdana" w:eastAsia="Calibri" w:hAnsi="Verdana" w:cs="Arial"/>
          <w:lang w:val="es-ES" w:eastAsia="es-ES"/>
        </w:rPr>
        <w:t>Señora</w:t>
      </w:r>
    </w:p>
    <w:p w14:paraId="6C1E0615" w14:textId="77777777" w:rsidR="00C75ABA" w:rsidRPr="00323333" w:rsidRDefault="00C75ABA" w:rsidP="00C75ABA">
      <w:pPr>
        <w:spacing w:after="0" w:line="240" w:lineRule="auto"/>
        <w:rPr>
          <w:rFonts w:ascii="Verdana" w:eastAsia="Calibri" w:hAnsi="Verdana" w:cs="Arial"/>
          <w:b/>
          <w:lang w:val="es-ES" w:eastAsia="es-ES"/>
        </w:rPr>
      </w:pPr>
      <w:r w:rsidRPr="00323333">
        <w:rPr>
          <w:rFonts w:ascii="Verdana" w:eastAsia="Calibri" w:hAnsi="Verdana" w:cs="Arial"/>
          <w:b/>
          <w:lang w:val="es-ES" w:eastAsia="es-ES"/>
        </w:rPr>
        <w:t>Isabella María Bocanegra Carbonell</w:t>
      </w:r>
    </w:p>
    <w:p w14:paraId="56DC5494" w14:textId="77777777" w:rsidR="00C75ABA" w:rsidRPr="00323333" w:rsidRDefault="00C75ABA" w:rsidP="00C75ABA">
      <w:pPr>
        <w:spacing w:after="0" w:line="240" w:lineRule="auto"/>
        <w:rPr>
          <w:rFonts w:ascii="Verdana" w:hAnsi="Verdana"/>
        </w:rPr>
      </w:pPr>
      <w:hyperlink r:id="rId11" w:history="1">
        <w:r w:rsidRPr="00323333">
          <w:rPr>
            <w:rStyle w:val="Hipervnculo"/>
            <w:rFonts w:ascii="Verdana" w:hAnsi="Verdana"/>
          </w:rPr>
          <w:t>imbocanegrac@dane.gov.co</w:t>
        </w:r>
      </w:hyperlink>
    </w:p>
    <w:p w14:paraId="5DA5A2D5" w14:textId="77777777" w:rsidR="00C75ABA" w:rsidRPr="00323333" w:rsidRDefault="00C75ABA" w:rsidP="00C75ABA">
      <w:pPr>
        <w:spacing w:after="0" w:line="240" w:lineRule="auto"/>
        <w:rPr>
          <w:rFonts w:ascii="Verdana" w:eastAsia="Calibri" w:hAnsi="Verdana" w:cs="Arial"/>
          <w:b/>
          <w:bCs/>
          <w:lang w:val="es-ES" w:eastAsia="es-ES"/>
        </w:rPr>
      </w:pPr>
      <w:r w:rsidRPr="00323333">
        <w:rPr>
          <w:rFonts w:ascii="Verdana" w:eastAsia="Calibri" w:hAnsi="Verdana" w:cs="Arial"/>
          <w:lang w:val="es-ES" w:eastAsia="es-ES"/>
        </w:rPr>
        <w:t>Ciudad</w:t>
      </w:r>
    </w:p>
    <w:p w14:paraId="3664A2E4" w14:textId="77777777" w:rsidR="00C75ABA" w:rsidRPr="00323333" w:rsidRDefault="00C75ABA" w:rsidP="00C75ABA">
      <w:pPr>
        <w:spacing w:after="0" w:line="240" w:lineRule="auto"/>
        <w:rPr>
          <w:rFonts w:ascii="Verdana" w:eastAsia="Calibri" w:hAnsi="Verdana" w:cs="Arial"/>
          <w:b/>
          <w:bCs/>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C75ABA" w:rsidRPr="00323333" w14:paraId="0C530C80" w14:textId="77777777" w:rsidTr="00D40B2C">
        <w:trPr>
          <w:trHeight w:val="308"/>
        </w:trPr>
        <w:tc>
          <w:tcPr>
            <w:tcW w:w="2689" w:type="dxa"/>
          </w:tcPr>
          <w:p w14:paraId="4DC9D2AE" w14:textId="77777777" w:rsidR="00C75ABA" w:rsidRPr="00323333" w:rsidRDefault="00C75ABA" w:rsidP="00D40B2C">
            <w:pPr>
              <w:jc w:val="both"/>
              <w:rPr>
                <w:rFonts w:ascii="Verdana" w:eastAsia="Calibri" w:hAnsi="Verdana" w:cs="Arial"/>
                <w:b/>
                <w:bCs/>
                <w:lang w:val="es-ES_tradnl" w:eastAsia="es-ES_tradnl"/>
              </w:rPr>
            </w:pPr>
          </w:p>
        </w:tc>
        <w:tc>
          <w:tcPr>
            <w:tcW w:w="6100" w:type="dxa"/>
          </w:tcPr>
          <w:p w14:paraId="52A42C7C" w14:textId="77777777" w:rsidR="00C75ABA" w:rsidRPr="00323333" w:rsidRDefault="00C75ABA" w:rsidP="00D40B2C">
            <w:pPr>
              <w:jc w:val="both"/>
              <w:rPr>
                <w:rFonts w:ascii="Verdana" w:eastAsia="Calibri" w:hAnsi="Verdana" w:cs="Arial"/>
                <w:b/>
                <w:bCs/>
                <w:lang w:val="es-ES" w:eastAsia="es-ES"/>
              </w:rPr>
            </w:pPr>
            <w:r w:rsidRPr="00323333">
              <w:rPr>
                <w:rFonts w:ascii="Verdana" w:eastAsia="Calibri" w:hAnsi="Verdana" w:cs="Arial"/>
                <w:b/>
                <w:bCs/>
                <w:lang w:val="es-ES" w:eastAsia="es-ES"/>
              </w:rPr>
              <w:t>Concepto C-773 de 2026</w:t>
            </w:r>
          </w:p>
          <w:p w14:paraId="7F4B71A0" w14:textId="77777777" w:rsidR="00C75ABA" w:rsidRPr="00323333" w:rsidRDefault="00C75ABA" w:rsidP="00D40B2C">
            <w:pPr>
              <w:jc w:val="both"/>
              <w:rPr>
                <w:rFonts w:ascii="Verdana" w:eastAsia="Calibri" w:hAnsi="Verdana" w:cs="Arial"/>
                <w:b/>
                <w:bCs/>
                <w:lang w:val="es-ES" w:eastAsia="es-ES"/>
              </w:rPr>
            </w:pPr>
          </w:p>
        </w:tc>
      </w:tr>
      <w:tr w:rsidR="00C75ABA" w:rsidRPr="00323333" w14:paraId="4F539E3B" w14:textId="77777777" w:rsidTr="00D40B2C">
        <w:trPr>
          <w:trHeight w:val="884"/>
        </w:trPr>
        <w:tc>
          <w:tcPr>
            <w:tcW w:w="2689" w:type="dxa"/>
          </w:tcPr>
          <w:p w14:paraId="69134A43" w14:textId="77777777" w:rsidR="00C75ABA" w:rsidRPr="00323333" w:rsidRDefault="00C75ABA" w:rsidP="00D40B2C">
            <w:pPr>
              <w:jc w:val="both"/>
              <w:rPr>
                <w:rFonts w:ascii="Verdana" w:eastAsia="Calibri" w:hAnsi="Verdana" w:cs="Arial"/>
                <w:lang w:val="es-ES_tradnl" w:eastAsia="es-ES_tradnl"/>
              </w:rPr>
            </w:pPr>
            <w:r w:rsidRPr="00323333">
              <w:rPr>
                <w:rFonts w:ascii="Verdana" w:eastAsia="Calibri" w:hAnsi="Verdana" w:cs="Arial"/>
                <w:b/>
                <w:lang w:val="es-ES_tradnl" w:eastAsia="es-ES_tradnl"/>
              </w:rPr>
              <w:t>Temas:</w:t>
            </w:r>
            <w:r w:rsidRPr="00323333">
              <w:rPr>
                <w:rFonts w:ascii="Verdana" w:eastAsia="Calibri" w:hAnsi="Verdana" w:cs="Arial"/>
                <w:lang w:val="es-ES_tradnl" w:eastAsia="es-ES_tradnl"/>
              </w:rPr>
              <w:t xml:space="preserve">                   </w:t>
            </w:r>
          </w:p>
        </w:tc>
        <w:tc>
          <w:tcPr>
            <w:tcW w:w="6100" w:type="dxa"/>
          </w:tcPr>
          <w:p w14:paraId="2414DC49" w14:textId="77777777" w:rsidR="00C75ABA" w:rsidRPr="00323333" w:rsidRDefault="00C75ABA" w:rsidP="00D40B2C">
            <w:pPr>
              <w:spacing w:line="276" w:lineRule="auto"/>
              <w:jc w:val="both"/>
              <w:rPr>
                <w:rFonts w:ascii="Verdana" w:eastAsia="Calibri" w:hAnsi="Verdana" w:cs="Arial"/>
                <w:lang w:val="es-ES" w:eastAsia="es-ES"/>
              </w:rPr>
            </w:pPr>
            <w:r w:rsidRPr="009A071D">
              <w:rPr>
                <w:rFonts w:ascii="Verdana" w:eastAsia="Calibri" w:hAnsi="Verdana" w:cs="Arial"/>
                <w:lang w:val="es-ES" w:eastAsia="es-ES"/>
              </w:rPr>
              <w:t xml:space="preserve">APROBACIÓN DE LAS GARANTÍAS – Requisito de ejecución - Finalidad </w:t>
            </w:r>
            <w:r w:rsidRPr="00323333">
              <w:rPr>
                <w:rFonts w:ascii="Verdana" w:eastAsia="Calibri" w:hAnsi="Verdana" w:cs="Arial"/>
                <w:lang w:val="es-ES" w:eastAsia="es-ES"/>
              </w:rPr>
              <w:t>/</w:t>
            </w:r>
            <w:r w:rsidRPr="00323333">
              <w:rPr>
                <w:rFonts w:ascii="Verdana" w:hAnsi="Verdana"/>
              </w:rPr>
              <w:t xml:space="preserve"> </w:t>
            </w:r>
            <w:r w:rsidRPr="000415DD">
              <w:rPr>
                <w:rFonts w:ascii="Verdana" w:eastAsia="Calibri" w:hAnsi="Verdana" w:cs="Arial"/>
                <w:lang w:val="es-ES" w:eastAsia="es-ES"/>
              </w:rPr>
              <w:t xml:space="preserve">FALTA DE APROBACIÓN DE GARANTÍAS – </w:t>
            </w:r>
            <w:proofErr w:type="spellStart"/>
            <w:r w:rsidRPr="000415DD">
              <w:rPr>
                <w:rFonts w:ascii="Verdana" w:eastAsia="Calibri" w:hAnsi="Verdana" w:cs="Arial"/>
                <w:lang w:val="es-ES" w:eastAsia="es-ES"/>
              </w:rPr>
              <w:t>Secop</w:t>
            </w:r>
            <w:proofErr w:type="spellEnd"/>
            <w:r w:rsidRPr="000415DD">
              <w:rPr>
                <w:rFonts w:ascii="Verdana" w:eastAsia="Calibri" w:hAnsi="Verdana" w:cs="Arial"/>
                <w:lang w:val="es-ES" w:eastAsia="es-ES"/>
              </w:rPr>
              <w:t xml:space="preserve"> </w:t>
            </w:r>
            <w:proofErr w:type="spellStart"/>
            <w:r w:rsidRPr="000415DD">
              <w:rPr>
                <w:rFonts w:ascii="Verdana" w:eastAsia="Calibri" w:hAnsi="Verdana" w:cs="Arial"/>
                <w:lang w:val="es-ES" w:eastAsia="es-ES"/>
              </w:rPr>
              <w:t>ii</w:t>
            </w:r>
            <w:proofErr w:type="spellEnd"/>
            <w:r w:rsidRPr="000415DD">
              <w:rPr>
                <w:rFonts w:ascii="Verdana" w:eastAsia="Calibri" w:hAnsi="Verdana" w:cs="Arial"/>
                <w:lang w:val="es-ES" w:eastAsia="es-ES"/>
              </w:rPr>
              <w:t xml:space="preserve"> </w:t>
            </w:r>
            <w:r>
              <w:rPr>
                <w:rFonts w:ascii="Verdana" w:eastAsia="Calibri" w:hAnsi="Verdana" w:cs="Arial"/>
                <w:lang w:val="es-ES" w:eastAsia="es-ES"/>
              </w:rPr>
              <w:t>–</w:t>
            </w:r>
            <w:r w:rsidRPr="000415DD">
              <w:rPr>
                <w:rFonts w:ascii="Verdana" w:eastAsia="Calibri" w:hAnsi="Verdana" w:cs="Arial"/>
                <w:lang w:val="es-ES" w:eastAsia="es-ES"/>
              </w:rPr>
              <w:t xml:space="preserve"> Consecuencias</w:t>
            </w:r>
            <w:r>
              <w:rPr>
                <w:rFonts w:ascii="Verdana" w:eastAsia="Calibri" w:hAnsi="Verdana" w:cs="Arial"/>
                <w:lang w:val="es-ES" w:eastAsia="es-ES"/>
              </w:rPr>
              <w:t xml:space="preserve"> /</w:t>
            </w:r>
            <w:r>
              <w:t xml:space="preserve"> </w:t>
            </w:r>
            <w:r w:rsidRPr="00905B2E">
              <w:rPr>
                <w:rFonts w:ascii="Verdana" w:eastAsia="Calibri" w:hAnsi="Verdana" w:cs="Arial"/>
                <w:lang w:val="es-ES" w:eastAsia="es-ES"/>
              </w:rPr>
              <w:t xml:space="preserve">CIERRE DEL EXPEDIENTE CONTRACTUAL – Procedimiento – </w:t>
            </w:r>
            <w:proofErr w:type="spellStart"/>
            <w:r w:rsidRPr="00905B2E">
              <w:rPr>
                <w:rFonts w:ascii="Verdana" w:eastAsia="Calibri" w:hAnsi="Verdana" w:cs="Arial"/>
                <w:lang w:val="es-ES" w:eastAsia="es-ES"/>
              </w:rPr>
              <w:t>Secop</w:t>
            </w:r>
            <w:proofErr w:type="spellEnd"/>
            <w:r w:rsidRPr="00905B2E">
              <w:rPr>
                <w:rFonts w:ascii="Verdana" w:eastAsia="Calibri" w:hAnsi="Verdana" w:cs="Arial"/>
                <w:lang w:val="es-ES" w:eastAsia="es-ES"/>
              </w:rPr>
              <w:t xml:space="preserve"> </w:t>
            </w:r>
            <w:proofErr w:type="spellStart"/>
            <w:r w:rsidRPr="00905B2E">
              <w:rPr>
                <w:rFonts w:ascii="Verdana" w:eastAsia="Calibri" w:hAnsi="Verdana" w:cs="Arial"/>
                <w:lang w:val="es-ES" w:eastAsia="es-ES"/>
              </w:rPr>
              <w:t>ii</w:t>
            </w:r>
            <w:proofErr w:type="spellEnd"/>
          </w:p>
        </w:tc>
      </w:tr>
    </w:tbl>
    <w:p w14:paraId="55EA22BC" w14:textId="77777777" w:rsidR="00C75ABA" w:rsidRPr="00323333" w:rsidRDefault="00C75ABA" w:rsidP="00C75ABA">
      <w:pPr>
        <w:spacing w:after="0" w:line="240" w:lineRule="auto"/>
        <w:rPr>
          <w:rFonts w:ascii="Verdana" w:eastAsia="Calibri" w:hAnsi="Verdana" w:cs="Arial"/>
          <w:b/>
          <w:bCs/>
          <w:lang w:val="es-ES_tradnl" w:eastAsia="es-ES_tradnl"/>
        </w:rPr>
      </w:pPr>
    </w:p>
    <w:tbl>
      <w:tblPr>
        <w:tblStyle w:val="Tablaconcuadrcula"/>
        <w:tblW w:w="878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C75ABA" w:rsidRPr="00323333" w14:paraId="553C4EFD" w14:textId="77777777" w:rsidTr="00D40B2C">
        <w:tc>
          <w:tcPr>
            <w:tcW w:w="2689" w:type="dxa"/>
          </w:tcPr>
          <w:p w14:paraId="12437651" w14:textId="77777777" w:rsidR="00C75ABA" w:rsidRPr="00323333" w:rsidRDefault="00C75ABA" w:rsidP="00D40B2C">
            <w:pPr>
              <w:jc w:val="both"/>
              <w:rPr>
                <w:rFonts w:ascii="Verdana" w:eastAsia="Calibri" w:hAnsi="Verdana" w:cs="Arial"/>
                <w:b/>
                <w:lang w:val="es-ES_tradnl" w:eastAsia="es-ES_tradnl"/>
              </w:rPr>
            </w:pPr>
            <w:r w:rsidRPr="00323333">
              <w:rPr>
                <w:rFonts w:ascii="Verdana" w:eastAsia="Calibri" w:hAnsi="Verdana" w:cs="Arial"/>
                <w:b/>
                <w:lang w:val="es-ES_tradnl" w:eastAsia="es-ES_tradnl"/>
              </w:rPr>
              <w:t>Radicación:</w:t>
            </w:r>
            <w:r w:rsidRPr="00323333">
              <w:rPr>
                <w:rFonts w:ascii="Verdana" w:eastAsia="Calibri" w:hAnsi="Verdana" w:cs="Arial"/>
                <w:lang w:val="es-ES_tradnl" w:eastAsia="es-ES_tradnl"/>
              </w:rPr>
              <w:t xml:space="preserve">               </w:t>
            </w:r>
          </w:p>
        </w:tc>
        <w:tc>
          <w:tcPr>
            <w:tcW w:w="6100" w:type="dxa"/>
          </w:tcPr>
          <w:p w14:paraId="411ECA1B" w14:textId="77777777" w:rsidR="00C75ABA" w:rsidRPr="00323333" w:rsidRDefault="00C75ABA" w:rsidP="00D40B2C">
            <w:pPr>
              <w:jc w:val="both"/>
              <w:rPr>
                <w:rFonts w:ascii="Verdana" w:eastAsia="Calibri" w:hAnsi="Verdana" w:cs="Arial"/>
                <w:lang w:val="es-ES_tradnl" w:eastAsia="es-ES_tradnl"/>
              </w:rPr>
            </w:pPr>
            <w:r w:rsidRPr="00323333">
              <w:rPr>
                <w:rFonts w:ascii="Verdana" w:eastAsia="Calibri" w:hAnsi="Verdana" w:cs="Arial"/>
                <w:lang w:val="es-ES_tradnl" w:eastAsia="es-ES_tradnl"/>
              </w:rPr>
              <w:t>Respuesta a consulta con radicado No. 1_2026_05_07_006233</w:t>
            </w:r>
          </w:p>
        </w:tc>
      </w:tr>
    </w:tbl>
    <w:p w14:paraId="05AF304E" w14:textId="77777777" w:rsidR="00C75ABA" w:rsidRPr="00323333" w:rsidRDefault="00C75ABA" w:rsidP="00C75ABA">
      <w:pPr>
        <w:spacing w:after="0" w:line="240" w:lineRule="auto"/>
        <w:jc w:val="both"/>
        <w:rPr>
          <w:rFonts w:ascii="Verdana" w:eastAsia="Calibri" w:hAnsi="Verdana" w:cs="Arial"/>
          <w:lang w:val="es-ES_tradnl" w:eastAsia="es-ES_tradnl"/>
        </w:rPr>
      </w:pPr>
    </w:p>
    <w:p w14:paraId="2CDCE57F" w14:textId="77777777" w:rsidR="00C75ABA" w:rsidRPr="00323333" w:rsidRDefault="00C75ABA" w:rsidP="00C75ABA">
      <w:pPr>
        <w:spacing w:after="0" w:line="240" w:lineRule="auto"/>
        <w:jc w:val="both"/>
        <w:rPr>
          <w:rFonts w:ascii="Verdana" w:eastAsia="Calibri" w:hAnsi="Verdana" w:cs="Arial"/>
          <w:lang w:val="es-ES_tradnl" w:eastAsia="es-ES_tradnl"/>
        </w:rPr>
      </w:pPr>
    </w:p>
    <w:p w14:paraId="315D05B7" w14:textId="77777777" w:rsidR="00C75ABA" w:rsidRPr="00323333" w:rsidRDefault="00C75ABA" w:rsidP="00C75ABA">
      <w:pPr>
        <w:spacing w:after="0" w:line="276" w:lineRule="auto"/>
        <w:jc w:val="both"/>
        <w:rPr>
          <w:rFonts w:ascii="Verdana" w:eastAsia="Calibri" w:hAnsi="Verdana" w:cs="Arial"/>
          <w:lang w:val="es-ES" w:eastAsia="es-ES"/>
        </w:rPr>
      </w:pPr>
      <w:r w:rsidRPr="00323333">
        <w:rPr>
          <w:rFonts w:ascii="Verdana" w:eastAsia="Calibri" w:hAnsi="Verdana" w:cs="Arial"/>
          <w:lang w:val="es-ES" w:eastAsia="es-ES"/>
        </w:rPr>
        <w:t xml:space="preserve">Estimada Señora Bocanegra: </w:t>
      </w:r>
    </w:p>
    <w:p w14:paraId="58B10962" w14:textId="77777777" w:rsidR="00C75ABA" w:rsidRPr="00323333" w:rsidRDefault="00C75ABA" w:rsidP="00C75ABA">
      <w:pPr>
        <w:tabs>
          <w:tab w:val="left" w:pos="3768"/>
        </w:tabs>
        <w:spacing w:after="0" w:line="276" w:lineRule="auto"/>
        <w:jc w:val="both"/>
        <w:rPr>
          <w:rFonts w:ascii="Verdana" w:eastAsia="Calibri" w:hAnsi="Verdana" w:cs="Arial"/>
          <w:lang w:val="es-ES" w:eastAsia="es-ES"/>
        </w:rPr>
      </w:pPr>
    </w:p>
    <w:p w14:paraId="1AC1CE85" w14:textId="77777777" w:rsidR="00C75ABA" w:rsidRPr="00323333" w:rsidRDefault="00C75ABA" w:rsidP="00C75ABA">
      <w:pPr>
        <w:spacing w:after="0" w:line="276" w:lineRule="auto"/>
        <w:jc w:val="both"/>
        <w:rPr>
          <w:rFonts w:ascii="Verdana" w:eastAsia="Calibri" w:hAnsi="Verdana" w:cs="Arial"/>
          <w:lang w:val="es-ES" w:eastAsia="es-ES"/>
        </w:rPr>
      </w:pPr>
      <w:r w:rsidRPr="00323333">
        <w:rPr>
          <w:rFonts w:ascii="Verdana" w:eastAsia="Calibri" w:hAnsi="Verdana" w:cs="Arial"/>
          <w:lang w:val="es-ES" w:eastAsia="es-ES"/>
        </w:rPr>
        <w:t>En ejercicio de la competencia otorgada por los artículos 3, numeral 5º, y 11, numeral 8º, del Decreto Ley 4170 de 2011,</w:t>
      </w:r>
      <w:r w:rsidRPr="00323333">
        <w:rPr>
          <w:rFonts w:ascii="Verdana" w:eastAsia="Arial MT" w:hAnsi="Verdana" w:cs="Arial MT"/>
          <w:lang w:val="es-ES" w:eastAsia="es-ES"/>
        </w:rPr>
        <w:t xml:space="preserve"> </w:t>
      </w:r>
      <w:r w:rsidRPr="00323333">
        <w:rPr>
          <w:rFonts w:ascii="Verdana" w:eastAsia="Aptos" w:hAnsi="Verdana" w:cs="Arial"/>
        </w:rPr>
        <w:t xml:space="preserve">así como lo establecido en el artículo 4 de la Resolución 1707 de 2018 expedida por esta Entidad, </w:t>
      </w:r>
      <w:r w:rsidRPr="00323333">
        <w:rPr>
          <w:rFonts w:ascii="Verdana" w:eastAsia="Calibri" w:hAnsi="Verdana" w:cs="Arial"/>
          <w:lang w:val="es-ES" w:eastAsia="es-ES"/>
        </w:rPr>
        <w:t xml:space="preserve">la Agencia Nacional de Contratación Pública – Colombia Compra Eficiente– responde su petición del 07 de mayo de 2026, en la que realiza la siguiente consulta: </w:t>
      </w:r>
    </w:p>
    <w:p w14:paraId="181C7699" w14:textId="77777777" w:rsidR="00C75ABA" w:rsidRPr="00323333" w:rsidRDefault="00C75ABA" w:rsidP="00C75ABA">
      <w:pPr>
        <w:spacing w:after="0" w:line="276" w:lineRule="auto"/>
        <w:jc w:val="both"/>
        <w:rPr>
          <w:rFonts w:ascii="Verdana" w:eastAsia="Calibri" w:hAnsi="Verdana" w:cs="Arial"/>
          <w:lang w:val="es-ES" w:eastAsia="es-ES"/>
        </w:rPr>
      </w:pPr>
    </w:p>
    <w:p w14:paraId="16FE7A7D" w14:textId="77777777" w:rsidR="00C75ABA" w:rsidRPr="00323333" w:rsidRDefault="00C75ABA" w:rsidP="00C75ABA">
      <w:pPr>
        <w:spacing w:after="0" w:line="240" w:lineRule="auto"/>
        <w:ind w:left="709" w:right="709"/>
        <w:jc w:val="both"/>
        <w:rPr>
          <w:rFonts w:ascii="Verdana" w:eastAsia="Calibri" w:hAnsi="Verdana" w:cs="Arial"/>
          <w:sz w:val="20"/>
          <w:szCs w:val="20"/>
          <w:lang w:val="es-MX"/>
        </w:rPr>
      </w:pPr>
      <w:r w:rsidRPr="00323333">
        <w:rPr>
          <w:rFonts w:ascii="Verdana" w:eastAsia="Calibri" w:hAnsi="Verdana" w:cs="Arial"/>
          <w:sz w:val="20"/>
          <w:szCs w:val="20"/>
          <w:lang w:val="es-MX"/>
        </w:rPr>
        <w:t>“[…]</w:t>
      </w:r>
    </w:p>
    <w:p w14:paraId="3BADDC03" w14:textId="77777777" w:rsidR="00C75ABA" w:rsidRPr="00323333" w:rsidRDefault="00C75ABA" w:rsidP="00C75ABA">
      <w:pPr>
        <w:pStyle w:val="Prrafodelista"/>
        <w:numPr>
          <w:ilvl w:val="0"/>
          <w:numId w:val="1"/>
        </w:numPr>
        <w:spacing w:after="0" w:line="240" w:lineRule="auto"/>
        <w:ind w:right="709"/>
        <w:jc w:val="both"/>
        <w:rPr>
          <w:rFonts w:ascii="Verdana" w:eastAsia="Calibri" w:hAnsi="Verdana" w:cs="Arial"/>
          <w:sz w:val="20"/>
          <w:szCs w:val="20"/>
          <w:lang w:val="es-MX"/>
        </w:rPr>
      </w:pPr>
      <w:r w:rsidRPr="00323333">
        <w:rPr>
          <w:rFonts w:ascii="Verdana" w:eastAsia="Calibri" w:hAnsi="Verdana" w:cs="Arial"/>
          <w:sz w:val="20"/>
          <w:szCs w:val="20"/>
          <w:lang w:val="es-MX"/>
        </w:rPr>
        <w:t>[…] ¿Es legalmente procedente aprobar hoy garantías de contratos cuya ejecución pudo haber finalizado, considerando que la aprobación es un requisito de ejecución?</w:t>
      </w:r>
    </w:p>
    <w:p w14:paraId="17DE2753" w14:textId="77777777" w:rsidR="00C75ABA" w:rsidRPr="00323333" w:rsidRDefault="00C75ABA" w:rsidP="00C75ABA">
      <w:pPr>
        <w:pStyle w:val="Prrafodelista"/>
        <w:numPr>
          <w:ilvl w:val="0"/>
          <w:numId w:val="1"/>
        </w:numPr>
        <w:spacing w:after="0" w:line="240" w:lineRule="auto"/>
        <w:ind w:right="709"/>
        <w:jc w:val="both"/>
        <w:rPr>
          <w:rFonts w:ascii="Verdana" w:eastAsia="Calibri" w:hAnsi="Verdana" w:cs="Arial"/>
          <w:sz w:val="20"/>
          <w:szCs w:val="20"/>
          <w:lang w:val="es-MX"/>
        </w:rPr>
      </w:pPr>
      <w:r w:rsidRPr="00323333">
        <w:rPr>
          <w:rFonts w:ascii="Verdana" w:eastAsia="Calibri" w:hAnsi="Verdana" w:cs="Arial"/>
          <w:sz w:val="20"/>
          <w:szCs w:val="20"/>
          <w:lang w:val="es-MX"/>
        </w:rPr>
        <w:t>[…] En caso de que la aprobación extemporánea se considere una irregularidad, ¿cuáles serían las posibles consecuencias disciplinarias o sancionatorias para los funcionarios que omitieron en su momento y para quienes realicen la aprobación actual?</w:t>
      </w:r>
    </w:p>
    <w:p w14:paraId="40975286" w14:textId="77777777" w:rsidR="00C75ABA" w:rsidRPr="00323333" w:rsidRDefault="00C75ABA" w:rsidP="00C75ABA">
      <w:pPr>
        <w:pStyle w:val="Prrafodelista"/>
        <w:numPr>
          <w:ilvl w:val="0"/>
          <w:numId w:val="1"/>
        </w:numPr>
        <w:spacing w:after="0" w:line="240" w:lineRule="auto"/>
        <w:ind w:right="709"/>
        <w:jc w:val="both"/>
        <w:rPr>
          <w:rFonts w:ascii="Verdana" w:eastAsia="Calibri" w:hAnsi="Verdana" w:cs="Arial"/>
          <w:sz w:val="20"/>
          <w:szCs w:val="20"/>
          <w:lang w:val="es-MX"/>
        </w:rPr>
      </w:pPr>
      <w:r w:rsidRPr="00323333">
        <w:rPr>
          <w:rFonts w:ascii="Verdana" w:eastAsia="Calibri" w:hAnsi="Verdana" w:cs="Arial"/>
          <w:sz w:val="20"/>
          <w:szCs w:val="20"/>
          <w:lang w:val="es-MX"/>
        </w:rPr>
        <w:t xml:space="preserve">[…] Dado que el SECOP II exige que las garantías estén en estado “aprobado” para permitir el cierre del expediente, ¿qué alternativa procedimental existe para aquellos contratos que no puedan cerrarse </w:t>
      </w:r>
      <w:r w:rsidRPr="00323333">
        <w:rPr>
          <w:rFonts w:ascii="Verdana" w:eastAsia="Calibri" w:hAnsi="Verdana" w:cs="Arial"/>
          <w:sz w:val="20"/>
          <w:szCs w:val="20"/>
          <w:lang w:val="es-MX"/>
        </w:rPr>
        <w:lastRenderedPageBreak/>
        <w:t>electrónicamente sin incurrir en una falsedad o falta administrativa?” [sic]</w:t>
      </w:r>
    </w:p>
    <w:p w14:paraId="0845C170" w14:textId="77777777" w:rsidR="00C75ABA" w:rsidRPr="00323333" w:rsidRDefault="00C75ABA" w:rsidP="00C75ABA">
      <w:pPr>
        <w:spacing w:after="0" w:line="276" w:lineRule="auto"/>
        <w:jc w:val="both"/>
        <w:rPr>
          <w:rFonts w:ascii="Verdana" w:eastAsia="Calibri" w:hAnsi="Verdana" w:cs="Arial"/>
          <w:lang w:val="es-ES" w:eastAsia="es-ES"/>
        </w:rPr>
      </w:pPr>
    </w:p>
    <w:p w14:paraId="771AA898" w14:textId="77777777" w:rsidR="00C75ABA" w:rsidRPr="00323333" w:rsidRDefault="00C75ABA" w:rsidP="00C75ABA">
      <w:pPr>
        <w:spacing w:after="120" w:line="276" w:lineRule="auto"/>
        <w:jc w:val="both"/>
        <w:rPr>
          <w:rFonts w:ascii="Verdana" w:eastAsia="Calibri" w:hAnsi="Verdana" w:cs="Arial"/>
          <w:lang w:val="es-ES" w:eastAsia="es-ES"/>
        </w:rPr>
      </w:pPr>
      <w:r w:rsidRPr="00323333">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y Contratación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54C2D74A" w14:textId="77777777" w:rsidR="00C75ABA" w:rsidRPr="00323333" w:rsidRDefault="00C75ABA" w:rsidP="00C75ABA">
      <w:pPr>
        <w:spacing w:after="0" w:line="276" w:lineRule="auto"/>
        <w:ind w:firstLine="709"/>
        <w:jc w:val="both"/>
        <w:rPr>
          <w:rFonts w:ascii="Verdana" w:eastAsia="Calibri" w:hAnsi="Verdana" w:cs="Arial"/>
          <w:lang w:val="es-ES" w:eastAsia="es-ES"/>
        </w:rPr>
      </w:pPr>
      <w:r w:rsidRPr="00323333">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los problemas jurídicos de su consulta. </w:t>
      </w:r>
    </w:p>
    <w:p w14:paraId="51CA0654" w14:textId="77777777" w:rsidR="00C75ABA" w:rsidRPr="00323333" w:rsidRDefault="00C75ABA" w:rsidP="00C75ABA">
      <w:pPr>
        <w:spacing w:after="0" w:line="276" w:lineRule="auto"/>
        <w:ind w:firstLine="709"/>
        <w:jc w:val="both"/>
        <w:rPr>
          <w:rFonts w:ascii="Verdana" w:eastAsia="Calibri" w:hAnsi="Verdana" w:cs="Arial"/>
          <w:lang w:val="es-ES" w:eastAsia="es-ES"/>
        </w:rPr>
      </w:pPr>
    </w:p>
    <w:p w14:paraId="4E619331" w14:textId="77777777" w:rsidR="00C75ABA" w:rsidRPr="00323333" w:rsidRDefault="00C75ABA" w:rsidP="00C75ABA">
      <w:pPr>
        <w:widowControl w:val="0"/>
        <w:autoSpaceDE w:val="0"/>
        <w:autoSpaceDN w:val="0"/>
        <w:spacing w:before="1" w:after="0" w:line="240" w:lineRule="auto"/>
        <w:ind w:left="360" w:hanging="360"/>
        <w:jc w:val="both"/>
        <w:outlineLvl w:val="0"/>
        <w:rPr>
          <w:rFonts w:ascii="Verdana" w:eastAsia="Arial" w:hAnsi="Verdana" w:cs="Arial"/>
          <w:b/>
          <w:bCs/>
          <w:lang w:val="es-ES"/>
        </w:rPr>
      </w:pPr>
      <w:r w:rsidRPr="00323333">
        <w:rPr>
          <w:rFonts w:ascii="Verdana" w:eastAsia="Arial" w:hAnsi="Verdana" w:cs="Arial"/>
          <w:b/>
          <w:bCs/>
          <w:lang w:val="es-ES"/>
        </w:rPr>
        <w:t>1. Problema planteado:</w:t>
      </w:r>
    </w:p>
    <w:p w14:paraId="10588E01" w14:textId="77777777" w:rsidR="00C75ABA" w:rsidRPr="00323333" w:rsidRDefault="00C75ABA" w:rsidP="00C75ABA">
      <w:pPr>
        <w:tabs>
          <w:tab w:val="left" w:pos="426"/>
        </w:tabs>
        <w:spacing w:after="0" w:line="276" w:lineRule="auto"/>
        <w:jc w:val="both"/>
        <w:rPr>
          <w:rFonts w:ascii="Verdana" w:eastAsia="Century Gothic" w:hAnsi="Verdana" w:cs="Century Gothic"/>
          <w:lang w:val="es-ES"/>
        </w:rPr>
      </w:pPr>
    </w:p>
    <w:p w14:paraId="304C6F9E" w14:textId="77777777" w:rsidR="00C75ABA" w:rsidRPr="00323333" w:rsidRDefault="00C75ABA" w:rsidP="00C75ABA">
      <w:pPr>
        <w:spacing w:after="0"/>
        <w:jc w:val="both"/>
        <w:rPr>
          <w:rFonts w:ascii="Verdana" w:eastAsia="Calibri" w:hAnsi="Verdana" w:cs="Arial"/>
          <w:bCs/>
          <w:lang w:val="es-MX" w:eastAsia="es-ES_tradnl"/>
        </w:rPr>
      </w:pPr>
      <w:r w:rsidRPr="00323333">
        <w:rPr>
          <w:rFonts w:ascii="Verdana" w:eastAsia="Century Gothic" w:hAnsi="Verdana" w:cs="Century Gothic"/>
        </w:rPr>
        <w:t xml:space="preserve">De acuerdo con el contenido de su solicitud, le informamos que la misma se resolverá desde los siguientes </w:t>
      </w:r>
      <w:bookmarkStart w:id="1" w:name="_Hlk171070029"/>
      <w:r w:rsidRPr="00323333">
        <w:rPr>
          <w:rFonts w:ascii="Verdana" w:eastAsia="Century Gothic" w:hAnsi="Verdana" w:cs="Century Gothic"/>
        </w:rPr>
        <w:t xml:space="preserve">interrogantes: i) </w:t>
      </w:r>
      <w:r w:rsidRPr="00323333">
        <w:rPr>
          <w:rFonts w:ascii="Verdana" w:eastAsia="Calibri" w:hAnsi="Verdana" w:cs="Arial"/>
          <w:bCs/>
          <w:lang w:val="es-MX" w:eastAsia="es-ES_tradnl"/>
        </w:rPr>
        <w:t xml:space="preserve">¿Cuál es el propósito de la constitución y aprobación de las garantías contractuales?; </w:t>
      </w:r>
      <w:proofErr w:type="spellStart"/>
      <w:r w:rsidRPr="00323333">
        <w:rPr>
          <w:rFonts w:ascii="Verdana" w:eastAsia="Calibri" w:hAnsi="Verdana" w:cs="Arial"/>
          <w:bCs/>
          <w:lang w:val="es-MX" w:eastAsia="es-ES_tradnl"/>
        </w:rPr>
        <w:t>ii</w:t>
      </w:r>
      <w:proofErr w:type="spellEnd"/>
      <w:r w:rsidRPr="00323333">
        <w:rPr>
          <w:rFonts w:ascii="Verdana" w:eastAsia="Calibri" w:hAnsi="Verdana" w:cs="Arial"/>
          <w:bCs/>
          <w:lang w:val="es-MX" w:eastAsia="es-ES_tradnl"/>
        </w:rPr>
        <w:t>) ¿</w:t>
      </w:r>
      <w:r>
        <w:rPr>
          <w:rFonts w:ascii="Verdana" w:eastAsia="Calibri" w:hAnsi="Verdana" w:cs="Arial"/>
          <w:bCs/>
          <w:lang w:val="es-MX" w:eastAsia="es-ES_tradnl"/>
        </w:rPr>
        <w:t>Cuáles son las consecuencias</w:t>
      </w:r>
      <w:r w:rsidRPr="00323333">
        <w:rPr>
          <w:rFonts w:ascii="Verdana" w:eastAsia="Calibri" w:hAnsi="Verdana" w:cs="Arial"/>
          <w:bCs/>
          <w:lang w:val="es-MX" w:eastAsia="es-ES_tradnl"/>
        </w:rPr>
        <w:t xml:space="preserve"> </w:t>
      </w:r>
      <w:r>
        <w:rPr>
          <w:rFonts w:ascii="Verdana" w:eastAsia="Calibri" w:hAnsi="Verdana" w:cs="Arial"/>
          <w:bCs/>
          <w:lang w:val="es-MX" w:eastAsia="es-ES_tradnl"/>
        </w:rPr>
        <w:t>de</w:t>
      </w:r>
      <w:r w:rsidRPr="00323333">
        <w:rPr>
          <w:rFonts w:ascii="Verdana" w:eastAsia="Calibri" w:hAnsi="Verdana" w:cs="Arial"/>
          <w:bCs/>
          <w:lang w:val="es-MX" w:eastAsia="es-ES_tradnl"/>
        </w:rPr>
        <w:t xml:space="preserve"> la no aprobación de las garantías en el SECOP II?</w:t>
      </w:r>
      <w:r>
        <w:rPr>
          <w:rFonts w:ascii="Verdana" w:eastAsia="Calibri" w:hAnsi="Verdana" w:cs="Arial"/>
          <w:bCs/>
          <w:lang w:val="es-MX" w:eastAsia="es-ES_tradnl"/>
        </w:rPr>
        <w:t xml:space="preserve">; y </w:t>
      </w:r>
      <w:proofErr w:type="spellStart"/>
      <w:r>
        <w:rPr>
          <w:rFonts w:ascii="Verdana" w:eastAsia="Calibri" w:hAnsi="Verdana" w:cs="Arial"/>
          <w:bCs/>
          <w:lang w:val="es-MX" w:eastAsia="es-ES_tradnl"/>
        </w:rPr>
        <w:t>iii</w:t>
      </w:r>
      <w:proofErr w:type="spellEnd"/>
      <w:r>
        <w:rPr>
          <w:rFonts w:ascii="Verdana" w:eastAsia="Calibri" w:hAnsi="Verdana" w:cs="Arial"/>
          <w:bCs/>
          <w:lang w:val="es-MX" w:eastAsia="es-ES_tradnl"/>
        </w:rPr>
        <w:t>) ¿Qué criterios deben tener en cuenta las Entidades Estatales para realizar el cierre de expedientes contractuales en SECOP II?</w:t>
      </w:r>
    </w:p>
    <w:p w14:paraId="7F62BD29" w14:textId="77777777" w:rsidR="00C75ABA" w:rsidRPr="00323333" w:rsidRDefault="00C75ABA" w:rsidP="00C75ABA">
      <w:pPr>
        <w:spacing w:after="0"/>
        <w:jc w:val="both"/>
        <w:rPr>
          <w:rFonts w:ascii="Verdana" w:hAnsi="Verdana"/>
        </w:rPr>
      </w:pPr>
    </w:p>
    <w:bookmarkEnd w:id="1"/>
    <w:p w14:paraId="09FFDA04" w14:textId="77777777" w:rsidR="00C75ABA" w:rsidRPr="00323333" w:rsidRDefault="00C75ABA" w:rsidP="00C75ABA">
      <w:pPr>
        <w:widowControl w:val="0"/>
        <w:autoSpaceDE w:val="0"/>
        <w:autoSpaceDN w:val="0"/>
        <w:spacing w:before="1" w:after="0" w:line="240" w:lineRule="auto"/>
        <w:jc w:val="both"/>
        <w:outlineLvl w:val="0"/>
        <w:rPr>
          <w:rFonts w:ascii="Verdana" w:eastAsia="Arial" w:hAnsi="Verdana" w:cs="Arial"/>
          <w:b/>
          <w:bCs/>
          <w:lang w:val="es-ES"/>
        </w:rPr>
      </w:pPr>
      <w:r w:rsidRPr="00323333">
        <w:rPr>
          <w:rFonts w:ascii="Verdana" w:eastAsia="Arial" w:hAnsi="Verdana" w:cs="Arial"/>
          <w:b/>
          <w:bCs/>
          <w:lang w:val="es-ES"/>
        </w:rPr>
        <w:t>2. Respuesta:</w:t>
      </w:r>
    </w:p>
    <w:p w14:paraId="375B7257" w14:textId="77777777" w:rsidR="00C75ABA" w:rsidRPr="00323333" w:rsidRDefault="00C75ABA" w:rsidP="00C75ABA">
      <w:pPr>
        <w:spacing w:after="0"/>
        <w:rPr>
          <w:rFonts w:ascii="Verdana" w:eastAsia="Aptos" w:hAnsi="Verdana" w:cs="Times New Roman"/>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C75ABA" w:rsidRPr="00323333" w14:paraId="57EEEF00" w14:textId="77777777" w:rsidTr="00D40B2C">
        <w:tc>
          <w:tcPr>
            <w:tcW w:w="8828" w:type="dxa"/>
          </w:tcPr>
          <w:p w14:paraId="4A3E57DC" w14:textId="77777777" w:rsidR="00C75ABA" w:rsidRPr="00323333" w:rsidRDefault="00C75ABA" w:rsidP="00D40B2C">
            <w:pPr>
              <w:spacing w:before="120" w:line="276" w:lineRule="auto"/>
              <w:jc w:val="both"/>
              <w:rPr>
                <w:rFonts w:ascii="Verdana" w:hAnsi="Verdana" w:cs="Arial"/>
                <w:color w:val="000000" w:themeColor="text1"/>
                <w:lang w:val="es-ES"/>
              </w:rPr>
            </w:pPr>
            <w:bookmarkStart w:id="2" w:name="_Hlk171067516"/>
            <w:r>
              <w:rPr>
                <w:rFonts w:ascii="Verdana" w:eastAsia="Calibri" w:hAnsi="Verdana" w:cs="Arial"/>
                <w:color w:val="000000"/>
                <w:lang w:eastAsia="en-GB"/>
              </w:rPr>
              <w:t xml:space="preserve">i) </w:t>
            </w:r>
            <w:r w:rsidRPr="00323333">
              <w:rPr>
                <w:rFonts w:ascii="Verdana" w:eastAsia="Calibri" w:hAnsi="Verdana" w:cs="Arial"/>
                <w:color w:val="000000"/>
                <w:lang w:eastAsia="en-GB"/>
              </w:rPr>
              <w:t xml:space="preserve">La obligación de constituir las garantías contractuales y su aprobación tiene como propósito cumplir con el requisito de ejecución del contrato, pues estas </w:t>
            </w:r>
            <w:r w:rsidRPr="00323333">
              <w:rPr>
                <w:rFonts w:ascii="Verdana" w:eastAsia="Calibri" w:hAnsi="Verdana" w:cs="Arial"/>
                <w:color w:val="000000"/>
                <w:lang w:eastAsia="en-GB"/>
              </w:rPr>
              <w:lastRenderedPageBreak/>
              <w:t xml:space="preserve">se erigen como un </w:t>
            </w:r>
            <w:r w:rsidRPr="00323333">
              <w:rPr>
                <w:rFonts w:ascii="Verdana" w:hAnsi="Verdana" w:cs="Arial"/>
                <w:color w:val="000000" w:themeColor="text1"/>
                <w:lang w:val="es-MX"/>
              </w:rPr>
              <w:t>“</w:t>
            </w:r>
            <w:r w:rsidRPr="00323333">
              <w:rPr>
                <w:rFonts w:ascii="Verdana" w:eastAsia="Calibri" w:hAnsi="Verdana" w:cs="Arial"/>
                <w:color w:val="000000"/>
                <w:lang w:eastAsia="en-GB"/>
              </w:rPr>
              <w:t>instrumento para salvaguardar intereses de carácter general, garantizar el adecuado cumplimiento del objeto contractual y proteger el patrimonio público de los detrimentos que se puedan causar con ocasión de eventuales incumplimientos en que incurra el contratista”</w:t>
            </w:r>
            <w:r w:rsidRPr="00323333">
              <w:rPr>
                <w:rFonts w:ascii="Verdana" w:hAnsi="Verdana" w:cs="Arial"/>
                <w:color w:val="000000" w:themeColor="text1"/>
                <w:lang w:eastAsia="es-CO"/>
              </w:rPr>
              <w:t>.</w:t>
            </w:r>
            <w:r w:rsidRPr="00323333">
              <w:rPr>
                <w:rFonts w:ascii="Verdana" w:hAnsi="Verdana" w:cs="Arial"/>
                <w:color w:val="000000" w:themeColor="text1"/>
                <w:lang w:val="es-MX"/>
              </w:rPr>
              <w:t xml:space="preserve"> En este sentido, previo a l</w:t>
            </w:r>
            <w:r w:rsidRPr="00323333">
              <w:rPr>
                <w:rFonts w:ascii="Verdana" w:hAnsi="Verdana" w:cs="Arial"/>
                <w:color w:val="000000" w:themeColor="text1"/>
                <w:lang w:val="es-ES_tradnl"/>
              </w:rPr>
              <w:t>a aprobación de las garantías pactadas en el contrato, la entidad debe realizar la respectiva verificación de los amparos y suficiencia de las garantías exigidas, con la finalidad de</w:t>
            </w:r>
            <w:r w:rsidRPr="00323333">
              <w:rPr>
                <w:rFonts w:ascii="Verdana" w:hAnsi="Verdana" w:cs="Arial"/>
                <w:color w:val="000000" w:themeColor="text1"/>
              </w:rPr>
              <w:t xml:space="preserve"> asegurar que estas </w:t>
            </w:r>
            <w:r w:rsidRPr="00323333">
              <w:rPr>
                <w:rFonts w:ascii="Verdana" w:hAnsi="Verdana" w:cs="Arial"/>
                <w:color w:val="000000" w:themeColor="text1"/>
                <w:lang w:val="es-ES"/>
              </w:rPr>
              <w:t xml:space="preserve">protejan el patrimonio del Estado de los perjuicios que eventualmente se derivarían de la materialización de los riesgos amparados. </w:t>
            </w:r>
          </w:p>
          <w:p w14:paraId="54BD6E1C" w14:textId="77777777" w:rsidR="00C75ABA" w:rsidRPr="00323333" w:rsidRDefault="00C75ABA" w:rsidP="00D40B2C">
            <w:pPr>
              <w:spacing w:before="120" w:line="276" w:lineRule="auto"/>
              <w:ind w:firstLine="709"/>
              <w:jc w:val="both"/>
              <w:rPr>
                <w:rFonts w:ascii="Verdana" w:hAnsi="Verdana" w:cs="Arial"/>
                <w:bCs/>
                <w:lang w:val="es-MX" w:eastAsia="es-ES_tradnl"/>
              </w:rPr>
            </w:pPr>
            <w:r w:rsidRPr="00323333">
              <w:rPr>
                <w:rFonts w:ascii="Verdana" w:hAnsi="Verdana" w:cs="Arial"/>
                <w:color w:val="000000" w:themeColor="text1"/>
                <w:lang w:val="es-ES_tradnl"/>
              </w:rPr>
              <w:t xml:space="preserve">Esta labor de verificación por parte de la entidad implica validar el origen de las garantías y revisar </w:t>
            </w:r>
            <w:r w:rsidRPr="00323333">
              <w:rPr>
                <w:rFonts w:ascii="Verdana" w:hAnsi="Verdana" w:cs="Arial"/>
                <w:color w:val="000000" w:themeColor="text1"/>
                <w:lang w:val="es-MX"/>
              </w:rPr>
              <w:t>“</w:t>
            </w:r>
            <w:r w:rsidRPr="00323333">
              <w:rPr>
                <w:rFonts w:ascii="Verdana" w:eastAsia="Calibri" w:hAnsi="Verdana" w:cs="Arial"/>
              </w:rPr>
              <w:t>que los valores asegurados coincidan con los que se exigieron en el contrato, así como su vigencia; verificar que estén identificados plenamente el tomador y el beneficiario, y que vengan adjuntas las condiciones generales de la póliza. Sólo con la certeza que brinda este análisis, se puede tener la seguridad que no se causarán perjuicios al ente estatal. De tal manera, una vez revisada la póliza, sus anexos (condiciones generales) y su contenido y si está de acuerdo con lo exigido, se impartirá la aprobación correspondiente”</w:t>
            </w:r>
            <w:r w:rsidRPr="00323333">
              <w:rPr>
                <w:rFonts w:ascii="Verdana" w:hAnsi="Verdana" w:cs="Arial"/>
                <w:color w:val="000000" w:themeColor="text1"/>
                <w:lang w:val="es-MX"/>
              </w:rPr>
              <w:t>.</w:t>
            </w:r>
            <w:r w:rsidRPr="00323333">
              <w:rPr>
                <w:rFonts w:ascii="Verdana" w:hAnsi="Verdana" w:cs="Arial"/>
                <w:color w:val="000000" w:themeColor="text1"/>
                <w:lang w:val="es-ES"/>
              </w:rPr>
              <w:t xml:space="preserve"> En ese sentido, resulta a bien precisar que el proceso de aprobación de las garantías debe desarrollarse de manera integral en el SECOP II, esto, de acuerdo con el deber de publicidad de su gestión contractual que les asiste a las Entidades Estatales a luz de lo dispuesto en el artículo 13 de la Ley 1150 de 2007.</w:t>
            </w:r>
            <w:r w:rsidRPr="00323333">
              <w:rPr>
                <w:rFonts w:ascii="Verdana" w:hAnsi="Verdana" w:cs="Arial"/>
                <w:bCs/>
                <w:lang w:val="es-MX" w:eastAsia="es-ES_tradnl"/>
              </w:rPr>
              <w:t xml:space="preserve"> </w:t>
            </w:r>
          </w:p>
          <w:p w14:paraId="02360430" w14:textId="77777777" w:rsidR="00C75ABA" w:rsidRPr="00323333" w:rsidRDefault="00C75ABA" w:rsidP="00D40B2C">
            <w:pPr>
              <w:spacing w:line="276" w:lineRule="auto"/>
              <w:jc w:val="both"/>
              <w:rPr>
                <w:rFonts w:ascii="Verdana" w:hAnsi="Verdana" w:cs="Arial"/>
                <w:bCs/>
                <w:lang w:val="es-MX" w:eastAsia="es-ES_tradnl"/>
              </w:rPr>
            </w:pPr>
          </w:p>
          <w:p w14:paraId="6D4B5B02" w14:textId="77777777" w:rsidR="00C75ABA" w:rsidRDefault="00C75ABA" w:rsidP="00D40B2C">
            <w:pPr>
              <w:spacing w:line="276" w:lineRule="auto"/>
              <w:jc w:val="both"/>
              <w:rPr>
                <w:rFonts w:ascii="Verdana" w:hAnsi="Verdana" w:cs="Arial"/>
                <w:bCs/>
                <w:lang w:val="es-MX" w:eastAsia="es-ES_tradnl"/>
              </w:rPr>
            </w:pPr>
            <w:proofErr w:type="spellStart"/>
            <w:r w:rsidRPr="00323333">
              <w:rPr>
                <w:rFonts w:ascii="Verdana" w:hAnsi="Verdana" w:cs="Arial"/>
                <w:bCs/>
                <w:lang w:val="es-MX" w:eastAsia="es-ES_tradnl"/>
              </w:rPr>
              <w:t>ii</w:t>
            </w:r>
            <w:proofErr w:type="spellEnd"/>
            <w:r w:rsidRPr="00323333">
              <w:rPr>
                <w:rFonts w:ascii="Verdana" w:hAnsi="Verdana" w:cs="Arial"/>
                <w:bCs/>
                <w:lang w:val="es-MX" w:eastAsia="es-ES_tradnl"/>
              </w:rPr>
              <w:t>) Sobre el particular debe precisar que, con la aprobación de las garantías la entidad estatal estará acreditando el cumplimiento de la obligación del artículo 7 de la Ley 1150 de 2007, y entonces el contrato podrá ejecutarse, siempre que se cumplan los demás requisitos que establece el artículo 41 de la Ley 80 de 1993. Sin embargo, en caso de que la entidad no realice la aprobación de las garantías en el SECOP II, debe aclararse que este no habilitará el módulo “ejecución del contrato” lo cual impedirá la recepción de informes</w:t>
            </w:r>
            <w:r>
              <w:rPr>
                <w:rFonts w:ascii="Verdana" w:hAnsi="Verdana" w:cs="Arial"/>
                <w:bCs/>
                <w:lang w:val="es-MX" w:eastAsia="es-ES_tradnl"/>
              </w:rPr>
              <w:t xml:space="preserve"> y</w:t>
            </w:r>
            <w:r w:rsidRPr="00323333">
              <w:rPr>
                <w:rFonts w:ascii="Verdana" w:hAnsi="Verdana" w:cs="Arial"/>
                <w:bCs/>
                <w:lang w:val="es-MX" w:eastAsia="es-ES_tradnl"/>
              </w:rPr>
              <w:t xml:space="preserve"> la gestión de cuentas de cobro. Por tanto, los pagos autorizados sin la aprobación de las garantías o sin los requisitos de cobertura y suficiencia comprometen la responsabilidad de los servidores públicos implicados en la gestión contractual de la entidad estatal.</w:t>
            </w:r>
          </w:p>
          <w:p w14:paraId="7EEF570F" w14:textId="77777777" w:rsidR="00C75ABA" w:rsidRDefault="00C75ABA" w:rsidP="00D40B2C">
            <w:pPr>
              <w:spacing w:line="276" w:lineRule="auto"/>
              <w:jc w:val="both"/>
              <w:rPr>
                <w:rFonts w:ascii="Verdana" w:hAnsi="Verdana" w:cs="Arial"/>
                <w:bCs/>
                <w:lang w:val="es-MX" w:eastAsia="es-ES_tradnl"/>
              </w:rPr>
            </w:pPr>
          </w:p>
          <w:p w14:paraId="3EEBCA9E" w14:textId="77777777" w:rsidR="00C75ABA" w:rsidRDefault="00C75ABA" w:rsidP="00D40B2C">
            <w:pPr>
              <w:spacing w:line="276" w:lineRule="auto"/>
              <w:jc w:val="both"/>
              <w:rPr>
                <w:rFonts w:ascii="Verdana" w:eastAsia="Times New Roman" w:hAnsi="Verdana" w:cs="Arial"/>
                <w:color w:val="000000"/>
                <w:lang w:val="es-ES"/>
              </w:rPr>
            </w:pPr>
            <w:proofErr w:type="spellStart"/>
            <w:r>
              <w:rPr>
                <w:rFonts w:ascii="Verdana" w:hAnsi="Verdana" w:cs="Arial"/>
                <w:bCs/>
                <w:lang w:val="es-MX" w:eastAsia="es-ES_tradnl"/>
              </w:rPr>
              <w:lastRenderedPageBreak/>
              <w:t>iii</w:t>
            </w:r>
            <w:proofErr w:type="spellEnd"/>
            <w:r>
              <w:rPr>
                <w:rFonts w:ascii="Verdana" w:hAnsi="Verdana" w:cs="Arial"/>
                <w:bCs/>
                <w:lang w:val="es-MX" w:eastAsia="es-ES_tradnl"/>
              </w:rPr>
              <w:t xml:space="preserve">) De </w:t>
            </w:r>
            <w:r>
              <w:rPr>
                <w:rFonts w:ascii="Verdana" w:eastAsia="Times New Roman" w:hAnsi="Verdana" w:cs="Arial"/>
                <w:color w:val="000000"/>
              </w:rPr>
              <w:t xml:space="preserve">acuerdo con </w:t>
            </w:r>
            <w:r w:rsidRPr="0071235D">
              <w:rPr>
                <w:rFonts w:ascii="Verdana" w:eastAsia="Times New Roman" w:hAnsi="Verdana" w:cs="Arial"/>
                <w:color w:val="000000"/>
              </w:rPr>
              <w:t xml:space="preserve">el artículo 2.2.1.1.2.4.3 del Decreto 1082 de 2015, el </w:t>
            </w:r>
            <w:r w:rsidRPr="0071235D">
              <w:rPr>
                <w:rFonts w:ascii="Verdana" w:eastAsia="Times New Roman" w:hAnsi="Verdana" w:cs="Arial"/>
                <w:i/>
                <w:iCs/>
                <w:color w:val="000000"/>
              </w:rPr>
              <w:t>cierre del expediente</w:t>
            </w:r>
            <w:r w:rsidRPr="0071235D">
              <w:rPr>
                <w:rFonts w:ascii="Verdana" w:eastAsia="Times New Roman" w:hAnsi="Verdana" w:cs="Arial"/>
                <w:color w:val="000000"/>
              </w:rPr>
              <w:t xml:space="preserve"> es un acto de trámite que realiza la entidad estatal cuando han vencido, por un lado, las garantías de calidad, estabilidad y mantenimiento, o por el otro, cuando se establecieron condiciones de disposición final o recuperación ambiental de las obras o bienes. Se trata de una constancia administrativa que culmina las actuaciones contractuales</w:t>
            </w:r>
            <w:r w:rsidRPr="0071235D">
              <w:rPr>
                <w:rFonts w:ascii="Verdana" w:eastAsia="Times New Roman" w:hAnsi="Verdana" w:cs="Arial"/>
                <w:color w:val="000000"/>
                <w:vertAlign w:val="superscript"/>
              </w:rPr>
              <w:footnoteReference w:id="1"/>
            </w:r>
            <w:r w:rsidRPr="0071235D">
              <w:rPr>
                <w:rFonts w:ascii="Verdana" w:eastAsia="Times New Roman" w:hAnsi="Verdana" w:cs="Arial"/>
                <w:color w:val="000000"/>
              </w:rPr>
              <w:t xml:space="preserve">. </w:t>
            </w:r>
            <w:r>
              <w:rPr>
                <w:rFonts w:ascii="Verdana" w:eastAsia="Times New Roman" w:hAnsi="Verdana" w:cs="Arial"/>
                <w:color w:val="000000"/>
                <w:lang w:val="es-ES"/>
              </w:rPr>
              <w:t xml:space="preserve">en el caso del cierre del expediente contractual, es importante tener presente que </w:t>
            </w:r>
            <w:r w:rsidRPr="00CA3F96">
              <w:rPr>
                <w:rFonts w:ascii="Verdana" w:eastAsia="Times New Roman" w:hAnsi="Verdana" w:cs="Arial"/>
                <w:color w:val="000000"/>
                <w:lang w:val="es-ES"/>
              </w:rPr>
              <w:t xml:space="preserve">es un documento administrativo que busca cerrar el expediente contractual electrónico de un proceso de contratación. </w:t>
            </w:r>
          </w:p>
          <w:p w14:paraId="76C8E616" w14:textId="77777777" w:rsidR="00C75ABA" w:rsidRPr="00F76699" w:rsidRDefault="00C75ABA" w:rsidP="00D40B2C">
            <w:pPr>
              <w:spacing w:before="120" w:line="276" w:lineRule="auto"/>
              <w:ind w:firstLine="708"/>
              <w:jc w:val="both"/>
              <w:rPr>
                <w:rFonts w:ascii="Verdana" w:eastAsia="Calibri" w:hAnsi="Verdana" w:cs="Arial"/>
              </w:rPr>
            </w:pPr>
            <w:r>
              <w:rPr>
                <w:rFonts w:ascii="Verdana" w:eastAsia="Times New Roman" w:hAnsi="Verdana" w:cs="Arial"/>
                <w:color w:val="000000"/>
                <w:lang w:val="es-ES"/>
              </w:rPr>
              <w:t xml:space="preserve">Para que proceda el cierre del expediente contractual </w:t>
            </w:r>
            <w:r w:rsidRPr="000A201B">
              <w:rPr>
                <w:rFonts w:ascii="Verdana" w:eastAsia="Calibri" w:hAnsi="Verdana" w:cs="Arial"/>
              </w:rPr>
              <w:t xml:space="preserve">en la plataforma SECOP II de los procesos </w:t>
            </w:r>
            <w:r>
              <w:rPr>
                <w:rFonts w:ascii="Verdana" w:eastAsia="Calibri" w:hAnsi="Verdana" w:cs="Arial"/>
              </w:rPr>
              <w:t xml:space="preserve">es necesario </w:t>
            </w:r>
            <w:r w:rsidRPr="000A201B">
              <w:rPr>
                <w:rFonts w:ascii="Verdana" w:eastAsia="Calibri" w:hAnsi="Verdana" w:cs="Arial"/>
              </w:rPr>
              <w:t xml:space="preserve">que </w:t>
            </w:r>
            <w:r>
              <w:rPr>
                <w:rFonts w:ascii="Verdana" w:eastAsia="Calibri" w:hAnsi="Verdana" w:cs="Arial"/>
              </w:rPr>
              <w:t xml:space="preserve">se </w:t>
            </w:r>
            <w:r w:rsidRPr="000A201B">
              <w:rPr>
                <w:rFonts w:ascii="Verdana" w:eastAsia="Calibri" w:hAnsi="Verdana" w:cs="Arial"/>
              </w:rPr>
              <w:t xml:space="preserve">hayan cumplido con las obligaciones </w:t>
            </w:r>
            <w:proofErr w:type="spellStart"/>
            <w:r w:rsidRPr="000A201B">
              <w:rPr>
                <w:rFonts w:ascii="Verdana" w:eastAsia="Calibri" w:hAnsi="Verdana" w:cs="Arial"/>
              </w:rPr>
              <w:t>post-contractuales</w:t>
            </w:r>
            <w:proofErr w:type="spellEnd"/>
            <w:r w:rsidRPr="000A201B">
              <w:rPr>
                <w:rFonts w:ascii="Verdana" w:eastAsia="Calibri" w:hAnsi="Verdana" w:cs="Arial"/>
              </w:rPr>
              <w:t xml:space="preserve"> y de los contratos cuyo plazo de ejecución haya finalizado y no requiera de liquidación o no se encuentren obligaciones </w:t>
            </w:r>
            <w:proofErr w:type="spellStart"/>
            <w:r w:rsidRPr="000A201B">
              <w:rPr>
                <w:rFonts w:ascii="Verdana" w:eastAsia="Calibri" w:hAnsi="Verdana" w:cs="Arial"/>
              </w:rPr>
              <w:t>postcontractuales</w:t>
            </w:r>
            <w:proofErr w:type="spellEnd"/>
            <w:r w:rsidRPr="000A201B">
              <w:rPr>
                <w:rFonts w:ascii="Verdana" w:eastAsia="Calibri" w:hAnsi="Verdana" w:cs="Arial"/>
              </w:rPr>
              <w:t xml:space="preserve"> pendientes, por lo que el cierre del proceso dependerá la causal de terminación y de las disposiciones específicas del contrato</w:t>
            </w:r>
            <w:r>
              <w:rPr>
                <w:rFonts w:ascii="Verdana" w:eastAsia="Calibri" w:hAnsi="Verdana" w:cs="Arial"/>
              </w:rPr>
              <w:t>. De esta forma</w:t>
            </w:r>
            <w:r w:rsidRPr="00EB074D">
              <w:rPr>
                <w:rFonts w:ascii="Verdana" w:eastAsia="Calibri" w:hAnsi="Verdana" w:cs="Arial"/>
              </w:rPr>
              <w:t>, para cerrar el contrato en SECOP II,</w:t>
            </w:r>
            <w:r>
              <w:rPr>
                <w:rFonts w:ascii="Verdana" w:eastAsia="Calibri" w:hAnsi="Verdana" w:cs="Arial"/>
              </w:rPr>
              <w:t xml:space="preserve"> la Agencia ha señalado en el Anexo 1 de la Circular 05 del 30 de noviembre de 2024 este procedimiento, en el que </w:t>
            </w:r>
            <w:r w:rsidRPr="00EB074D">
              <w:rPr>
                <w:rFonts w:ascii="Verdana" w:eastAsia="Calibri" w:hAnsi="Verdana" w:cs="Arial"/>
              </w:rPr>
              <w:t>debe crear</w:t>
            </w:r>
            <w:r>
              <w:rPr>
                <w:rFonts w:ascii="Verdana" w:eastAsia="Calibri" w:hAnsi="Verdana" w:cs="Arial"/>
              </w:rPr>
              <w:t>se</w:t>
            </w:r>
            <w:r w:rsidRPr="00EB074D">
              <w:rPr>
                <w:rFonts w:ascii="Verdana" w:eastAsia="Calibri" w:hAnsi="Verdana" w:cs="Arial"/>
              </w:rPr>
              <w:t xml:space="preserve"> la modificación </w:t>
            </w:r>
            <w:r w:rsidRPr="00EB074D">
              <w:rPr>
                <w:rFonts w:ascii="Verdana" w:eastAsia="Calibri" w:hAnsi="Verdana" w:cs="Arial"/>
                <w:i/>
                <w:iCs/>
              </w:rPr>
              <w:t>“Cerrar el contrato”</w:t>
            </w:r>
            <w:r w:rsidRPr="00EB074D">
              <w:rPr>
                <w:rFonts w:ascii="Verdana" w:eastAsia="Calibri" w:hAnsi="Verdana" w:cs="Arial"/>
              </w:rPr>
              <w:t>.</w:t>
            </w:r>
            <w:r>
              <w:rPr>
                <w:rFonts w:ascii="Verdana" w:eastAsia="Calibri" w:hAnsi="Verdana" w:cs="Arial"/>
              </w:rPr>
              <w:t xml:space="preserve"> Al seleccionar dicha modificación se muestra un mensaje con la pregunta</w:t>
            </w:r>
            <w:r w:rsidRPr="00EB074D">
              <w:rPr>
                <w:rFonts w:ascii="Verdana" w:eastAsia="Calibri" w:hAnsi="Verdana" w:cs="Arial"/>
              </w:rPr>
              <w:t xml:space="preserve"> </w:t>
            </w:r>
            <w:r w:rsidRPr="00EB074D">
              <w:rPr>
                <w:rFonts w:ascii="Verdana" w:eastAsia="Calibri" w:hAnsi="Verdana" w:cs="Arial"/>
                <w:i/>
                <w:iCs/>
              </w:rPr>
              <w:t>“¿Requiere reconocimiento del proveedor?”</w:t>
            </w:r>
            <w:r w:rsidRPr="00EB074D">
              <w:rPr>
                <w:rFonts w:ascii="Verdana" w:eastAsia="Calibri" w:hAnsi="Verdana" w:cs="Arial"/>
              </w:rPr>
              <w:t>. Por defecto la casilla viene seleccionada, es decir</w:t>
            </w:r>
            <w:r>
              <w:rPr>
                <w:rFonts w:ascii="Verdana" w:eastAsia="Calibri" w:hAnsi="Verdana" w:cs="Arial"/>
              </w:rPr>
              <w:t>,</w:t>
            </w:r>
            <w:r w:rsidRPr="00EB074D">
              <w:rPr>
                <w:rFonts w:ascii="Verdana" w:eastAsia="Calibri" w:hAnsi="Verdana" w:cs="Arial"/>
              </w:rPr>
              <w:t xml:space="preserve"> que la modificación requiere aprobación del Proveedor. Sin embargo, al ser el cierre del contrato una actuación propia de la administración</w:t>
            </w:r>
            <w:r>
              <w:rPr>
                <w:rFonts w:ascii="Verdana" w:eastAsia="Calibri" w:hAnsi="Verdana" w:cs="Arial"/>
              </w:rPr>
              <w:t>, las Entidades Estatales debe</w:t>
            </w:r>
            <w:r w:rsidRPr="00EB074D">
              <w:rPr>
                <w:rFonts w:ascii="Verdana" w:eastAsia="Calibri" w:hAnsi="Verdana" w:cs="Arial"/>
              </w:rPr>
              <w:t>n quitar la selección de la casilla.</w:t>
            </w:r>
            <w:r>
              <w:rPr>
                <w:rFonts w:ascii="Verdana" w:eastAsia="Calibri" w:hAnsi="Verdana" w:cs="Arial"/>
              </w:rPr>
              <w:t xml:space="preserve"> Posterior a la selección de modificación que va a efectuar, el SECOP II muestra </w:t>
            </w:r>
            <w:r w:rsidRPr="00EB074D">
              <w:rPr>
                <w:rFonts w:ascii="Verdana" w:eastAsia="Calibri" w:hAnsi="Verdana" w:cs="Arial"/>
              </w:rPr>
              <w:t xml:space="preserve">la referencia interna de la </w:t>
            </w:r>
            <w:r>
              <w:rPr>
                <w:rFonts w:ascii="Verdana" w:eastAsia="Calibri" w:hAnsi="Verdana" w:cs="Arial"/>
              </w:rPr>
              <w:t>modificación y habilita</w:t>
            </w:r>
            <w:r w:rsidRPr="00EB074D">
              <w:rPr>
                <w:rFonts w:ascii="Verdana" w:eastAsia="Calibri" w:hAnsi="Verdana" w:cs="Arial"/>
              </w:rPr>
              <w:t xml:space="preserve"> las siguientes funcionalidades: </w:t>
            </w:r>
            <w:r>
              <w:rPr>
                <w:rFonts w:ascii="Verdana" w:eastAsia="Calibri" w:hAnsi="Verdana" w:cs="Arial"/>
              </w:rPr>
              <w:t xml:space="preserve">i) </w:t>
            </w:r>
            <w:r w:rsidRPr="00F76699">
              <w:rPr>
                <w:rFonts w:ascii="Verdana" w:eastAsia="Calibri" w:hAnsi="Verdana" w:cs="Arial"/>
              </w:rPr>
              <w:t>Finalizar modificación</w:t>
            </w:r>
            <w:r>
              <w:rPr>
                <w:rFonts w:ascii="Verdana" w:eastAsia="Calibri" w:hAnsi="Verdana" w:cs="Arial"/>
              </w:rPr>
              <w:t xml:space="preserve">; </w:t>
            </w:r>
            <w:proofErr w:type="spellStart"/>
            <w:r>
              <w:rPr>
                <w:rFonts w:ascii="Verdana" w:eastAsia="Calibri" w:hAnsi="Verdana" w:cs="Arial"/>
              </w:rPr>
              <w:t>ii</w:t>
            </w:r>
            <w:proofErr w:type="spellEnd"/>
            <w:r>
              <w:rPr>
                <w:rFonts w:ascii="Verdana" w:eastAsia="Calibri" w:hAnsi="Verdana" w:cs="Arial"/>
              </w:rPr>
              <w:t xml:space="preserve">) </w:t>
            </w:r>
            <w:r w:rsidRPr="00F76699">
              <w:rPr>
                <w:rFonts w:ascii="Verdana" w:eastAsia="Calibri" w:hAnsi="Verdana" w:cs="Arial"/>
              </w:rPr>
              <w:t>Cancelar modificació</w:t>
            </w:r>
            <w:r>
              <w:rPr>
                <w:rFonts w:ascii="Verdana" w:eastAsia="Calibri" w:hAnsi="Verdana" w:cs="Arial"/>
              </w:rPr>
              <w:t xml:space="preserve">n; </w:t>
            </w:r>
            <w:proofErr w:type="spellStart"/>
            <w:r>
              <w:rPr>
                <w:rFonts w:ascii="Verdana" w:eastAsia="Calibri" w:hAnsi="Verdana" w:cs="Arial"/>
              </w:rPr>
              <w:t>iii</w:t>
            </w:r>
            <w:proofErr w:type="spellEnd"/>
            <w:r>
              <w:rPr>
                <w:rFonts w:ascii="Verdana" w:eastAsia="Calibri" w:hAnsi="Verdana" w:cs="Arial"/>
              </w:rPr>
              <w:t>)</w:t>
            </w:r>
            <w:r w:rsidRPr="00F76699">
              <w:rPr>
                <w:rFonts w:ascii="Verdana" w:eastAsia="Calibri" w:hAnsi="Verdana" w:cs="Arial"/>
              </w:rPr>
              <w:t xml:space="preserve"> Guardar modificación</w:t>
            </w:r>
            <w:r>
              <w:rPr>
                <w:rFonts w:ascii="Verdana" w:eastAsia="Calibri" w:hAnsi="Verdana" w:cs="Arial"/>
              </w:rPr>
              <w:t xml:space="preserve">; </w:t>
            </w:r>
            <w:proofErr w:type="spellStart"/>
            <w:r>
              <w:rPr>
                <w:rFonts w:ascii="Verdana" w:eastAsia="Calibri" w:hAnsi="Verdana" w:cs="Arial"/>
              </w:rPr>
              <w:t>iv</w:t>
            </w:r>
            <w:proofErr w:type="spellEnd"/>
            <w:r>
              <w:rPr>
                <w:rFonts w:ascii="Verdana" w:eastAsia="Calibri" w:hAnsi="Verdana" w:cs="Arial"/>
              </w:rPr>
              <w:t xml:space="preserve">) </w:t>
            </w:r>
            <w:r w:rsidRPr="00F76699">
              <w:rPr>
                <w:rFonts w:ascii="Verdana" w:eastAsia="Calibri" w:hAnsi="Verdana" w:cs="Arial"/>
              </w:rPr>
              <w:t>Ver modificación</w:t>
            </w:r>
            <w:r>
              <w:rPr>
                <w:rFonts w:ascii="Verdana" w:eastAsia="Calibri" w:hAnsi="Verdana" w:cs="Arial"/>
              </w:rPr>
              <w:t>.</w:t>
            </w:r>
            <w:r w:rsidRPr="00F76699">
              <w:rPr>
                <w:rFonts w:ascii="Verdana" w:eastAsia="Calibri" w:hAnsi="Verdana" w:cs="Arial"/>
              </w:rPr>
              <w:t xml:space="preserve"> </w:t>
            </w:r>
          </w:p>
          <w:p w14:paraId="142FE044" w14:textId="77777777" w:rsidR="00C75ABA" w:rsidRPr="00EB074D" w:rsidRDefault="00C75ABA" w:rsidP="00D40B2C">
            <w:pPr>
              <w:spacing w:before="120" w:after="120" w:line="276" w:lineRule="auto"/>
              <w:ind w:firstLine="709"/>
              <w:jc w:val="both"/>
              <w:rPr>
                <w:rFonts w:ascii="Verdana" w:eastAsia="Calibri" w:hAnsi="Verdana" w:cs="Arial"/>
              </w:rPr>
            </w:pPr>
            <w:r w:rsidRPr="00EB074D">
              <w:rPr>
                <w:rFonts w:ascii="Verdana" w:eastAsia="Calibri" w:hAnsi="Verdana" w:cs="Arial"/>
              </w:rPr>
              <w:t xml:space="preserve">Después de crear la modificación y adjuntar los documentos soporte de la misma, las Entidades Estatales deben diligenciar la justificación respectiva; posteriormente deberán “Finalizar la modificación”. La aprobación final de las modificaciones </w:t>
            </w:r>
            <w:r>
              <w:rPr>
                <w:rFonts w:ascii="Verdana" w:eastAsia="Calibri" w:hAnsi="Verdana" w:cs="Arial"/>
              </w:rPr>
              <w:t xml:space="preserve">la debe efectuar </w:t>
            </w:r>
            <w:r w:rsidRPr="00EB074D">
              <w:rPr>
                <w:rFonts w:ascii="Verdana" w:eastAsia="Calibri" w:hAnsi="Verdana" w:cs="Arial"/>
              </w:rPr>
              <w:t xml:space="preserve">el Ordenador del Gasto o Representante Legal </w:t>
            </w:r>
            <w:r w:rsidRPr="00EB074D">
              <w:rPr>
                <w:rFonts w:ascii="Verdana" w:eastAsia="Calibri" w:hAnsi="Verdana" w:cs="Arial"/>
              </w:rPr>
              <w:lastRenderedPageBreak/>
              <w:t>de la Entidad Estatal, ya que estas re</w:t>
            </w:r>
            <w:r>
              <w:rPr>
                <w:rFonts w:ascii="Verdana" w:eastAsia="Calibri" w:hAnsi="Verdana" w:cs="Arial"/>
              </w:rPr>
              <w:t>e</w:t>
            </w:r>
            <w:r w:rsidRPr="00EB074D">
              <w:rPr>
                <w:rFonts w:ascii="Verdana" w:eastAsia="Calibri" w:hAnsi="Verdana" w:cs="Arial"/>
              </w:rPr>
              <w:t xml:space="preserve">mplazan el acuerdo inicial. Una vez aprobada la modificación, deben proceder con la publicación, para que los cambios se </w:t>
            </w:r>
            <w:r>
              <w:rPr>
                <w:rFonts w:ascii="Verdana" w:eastAsia="Calibri" w:hAnsi="Verdana" w:cs="Arial"/>
              </w:rPr>
              <w:t xml:space="preserve">reflejan </w:t>
            </w:r>
            <w:r w:rsidRPr="00EB074D">
              <w:rPr>
                <w:rFonts w:ascii="Verdana" w:eastAsia="Calibri" w:hAnsi="Verdana" w:cs="Arial"/>
              </w:rPr>
              <w:t>en la nueva versión del contrato.</w:t>
            </w:r>
            <w:r>
              <w:rPr>
                <w:rFonts w:ascii="Verdana" w:eastAsia="Calibri" w:hAnsi="Verdana" w:cs="Arial"/>
              </w:rPr>
              <w:t xml:space="preserve"> </w:t>
            </w:r>
            <w:r w:rsidRPr="00EB074D">
              <w:rPr>
                <w:rFonts w:ascii="Verdana" w:eastAsia="Calibri" w:hAnsi="Verdana" w:cs="Arial"/>
              </w:rPr>
              <w:t>Las Entidades Estatales deben tener en cuenta, que una vez realizada esta modificación el contrato se cierra, en consecuencia, la plataforma bloqueará el cargue posterior de cualquier documento o actualización adicional en el contrato electrónico.</w:t>
            </w:r>
          </w:p>
          <w:p w14:paraId="0BBB575D" w14:textId="77777777" w:rsidR="00C75ABA" w:rsidRPr="00323333" w:rsidRDefault="00C75ABA" w:rsidP="00D40B2C">
            <w:pPr>
              <w:spacing w:before="120" w:after="120" w:line="276" w:lineRule="auto"/>
              <w:ind w:firstLine="708"/>
              <w:jc w:val="both"/>
              <w:rPr>
                <w:rFonts w:ascii="Verdana" w:eastAsia="Calibri" w:hAnsi="Verdana" w:cs="Arial"/>
                <w:bCs/>
                <w:color w:val="000000" w:themeColor="text1"/>
              </w:rPr>
            </w:pPr>
            <w:r w:rsidRPr="00323333">
              <w:rPr>
                <w:rFonts w:ascii="Verdana" w:hAnsi="Verdana" w:cs="Arial"/>
                <w:bCs/>
                <w:lang w:val="es-MX" w:eastAsia="es-ES_tradnl"/>
              </w:rPr>
              <w:t xml:space="preserve">Finalmente, </w:t>
            </w:r>
            <w:r w:rsidRPr="00323333">
              <w:rPr>
                <w:rFonts w:ascii="Verdana" w:eastAsia="Calibri" w:hAnsi="Verdana" w:cs="Arial"/>
                <w:bCs/>
                <w:color w:val="000000" w:themeColor="text1"/>
              </w:rPr>
              <w:t>debe advertirse que el análisis requerido para resolver problemas específicos en torno a la gestión contractual de las entidades estatales debe ser realizado por quienes tengan interés en ello, de acuerdo con lo explicado en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2D134947" w14:textId="77777777" w:rsidR="00C75ABA" w:rsidRPr="00323333" w:rsidRDefault="00C75ABA" w:rsidP="00D40B2C">
            <w:pPr>
              <w:snapToGrid w:val="0"/>
              <w:spacing w:line="276" w:lineRule="auto"/>
              <w:ind w:firstLine="709"/>
              <w:contextualSpacing/>
              <w:jc w:val="both"/>
              <w:rPr>
                <w:rFonts w:ascii="Verdana" w:eastAsia="Geomanist Light" w:hAnsi="Verdana" w:cs="Arial"/>
                <w:color w:val="000000"/>
                <w:lang w:val="es-MX"/>
              </w:rPr>
            </w:pPr>
          </w:p>
        </w:tc>
      </w:tr>
      <w:bookmarkEnd w:id="2"/>
    </w:tbl>
    <w:p w14:paraId="0453B469" w14:textId="77777777" w:rsidR="00C75ABA" w:rsidRPr="00323333" w:rsidRDefault="00C75ABA" w:rsidP="00C75ABA">
      <w:pPr>
        <w:widowControl w:val="0"/>
        <w:autoSpaceDE w:val="0"/>
        <w:autoSpaceDN w:val="0"/>
        <w:spacing w:before="1" w:after="0" w:line="240" w:lineRule="auto"/>
        <w:ind w:left="360" w:hanging="360"/>
        <w:outlineLvl w:val="0"/>
        <w:rPr>
          <w:rFonts w:ascii="Verdana" w:eastAsia="Arial" w:hAnsi="Verdana" w:cs="Arial"/>
          <w:b/>
        </w:rPr>
      </w:pPr>
    </w:p>
    <w:p w14:paraId="1A3CD8B8" w14:textId="77777777" w:rsidR="00C75ABA" w:rsidRPr="00323333" w:rsidRDefault="00C75ABA" w:rsidP="00C75ABA">
      <w:pPr>
        <w:widowControl w:val="0"/>
        <w:autoSpaceDE w:val="0"/>
        <w:autoSpaceDN w:val="0"/>
        <w:spacing w:before="1" w:after="0" w:line="240" w:lineRule="auto"/>
        <w:ind w:left="360" w:hanging="360"/>
        <w:outlineLvl w:val="0"/>
        <w:rPr>
          <w:rFonts w:ascii="Verdana" w:eastAsia="Arial" w:hAnsi="Verdana" w:cs="Arial"/>
          <w:b/>
          <w:bCs/>
          <w:lang w:val="es-ES"/>
        </w:rPr>
      </w:pPr>
      <w:r w:rsidRPr="00323333">
        <w:rPr>
          <w:rFonts w:ascii="Verdana" w:eastAsia="Arial" w:hAnsi="Verdana" w:cs="Arial"/>
          <w:b/>
          <w:bCs/>
          <w:lang w:val="es-ES"/>
        </w:rPr>
        <w:t>3. Razones de la respuesta</w:t>
      </w:r>
    </w:p>
    <w:p w14:paraId="2B52C3A4" w14:textId="77777777" w:rsidR="00C75ABA" w:rsidRPr="00323333" w:rsidRDefault="00C75ABA" w:rsidP="00C75ABA">
      <w:pPr>
        <w:spacing w:after="0" w:line="276" w:lineRule="auto"/>
        <w:jc w:val="both"/>
        <w:rPr>
          <w:rFonts w:ascii="Verdana" w:eastAsia="Calibri" w:hAnsi="Verdana" w:cs="Arial"/>
          <w:lang w:val="es-ES"/>
        </w:rPr>
      </w:pPr>
    </w:p>
    <w:p w14:paraId="21283848" w14:textId="77777777" w:rsidR="00C75ABA" w:rsidRPr="00323333" w:rsidRDefault="00C75ABA" w:rsidP="00C75ABA">
      <w:pPr>
        <w:spacing w:after="0" w:line="276" w:lineRule="auto"/>
        <w:jc w:val="both"/>
        <w:rPr>
          <w:rFonts w:ascii="Verdana" w:eastAsia="Calibri" w:hAnsi="Verdana" w:cs="Arial"/>
          <w:lang w:val="es-ES"/>
        </w:rPr>
      </w:pPr>
      <w:r w:rsidRPr="00323333">
        <w:rPr>
          <w:rFonts w:ascii="Verdana" w:eastAsia="Calibri" w:hAnsi="Verdana" w:cs="Arial"/>
          <w:lang w:val="es-ES"/>
        </w:rPr>
        <w:t xml:space="preserve">Las respuestas anteriores se sustentan en las siguientes consideraciones: </w:t>
      </w:r>
    </w:p>
    <w:p w14:paraId="1F03E37F" w14:textId="77777777" w:rsidR="00C75ABA" w:rsidRPr="00323333" w:rsidRDefault="00C75ABA" w:rsidP="00C75ABA">
      <w:pPr>
        <w:spacing w:after="0" w:line="276" w:lineRule="auto"/>
        <w:jc w:val="both"/>
        <w:rPr>
          <w:rFonts w:ascii="Verdana" w:eastAsia="Calibri" w:hAnsi="Verdana" w:cs="Arial"/>
          <w:lang w:val="es-ES"/>
        </w:rPr>
      </w:pPr>
    </w:p>
    <w:p w14:paraId="733B4198" w14:textId="77777777" w:rsidR="00C75ABA" w:rsidRPr="00323333" w:rsidRDefault="00C75ABA" w:rsidP="00C75ABA">
      <w:pPr>
        <w:spacing w:after="0" w:line="276" w:lineRule="auto"/>
        <w:jc w:val="both"/>
        <w:rPr>
          <w:rFonts w:ascii="Verdana" w:eastAsia="Calibri" w:hAnsi="Verdana" w:cs="Arial"/>
          <w:color w:val="000000" w:themeColor="text1"/>
          <w:lang w:val="es-ES_tradnl"/>
        </w:rPr>
      </w:pPr>
      <w:r>
        <w:rPr>
          <w:rFonts w:ascii="Verdana" w:eastAsia="Calibri" w:hAnsi="Verdana" w:cs="Arial"/>
          <w:lang w:val="es-ES"/>
        </w:rPr>
        <w:t xml:space="preserve">i) </w:t>
      </w:r>
      <w:r w:rsidRPr="00323333">
        <w:rPr>
          <w:rFonts w:ascii="Verdana" w:eastAsia="Calibri" w:hAnsi="Verdana" w:cs="Arial"/>
          <w:lang w:val="es-ES"/>
        </w:rPr>
        <w:t xml:space="preserve">De </w:t>
      </w:r>
      <w:r w:rsidRPr="00323333">
        <w:rPr>
          <w:rFonts w:ascii="Verdana" w:eastAsia="Calibri" w:hAnsi="Verdana" w:cs="Arial"/>
          <w:color w:val="000000"/>
          <w:lang w:val="es-ES_tradnl"/>
        </w:rPr>
        <w:t>acuerdo con el Estatuto General de Contratación de la Administración Pública, p</w:t>
      </w:r>
      <w:r w:rsidRPr="00323333">
        <w:rPr>
          <w:rFonts w:ascii="Verdana" w:eastAsia="Calibri" w:hAnsi="Verdana" w:cs="Arial"/>
          <w:color w:val="000000" w:themeColor="text1"/>
          <w:lang w:val="es-ES_tradnl"/>
        </w:rPr>
        <w:t xml:space="preserve">or regla general, </w:t>
      </w:r>
      <w:r w:rsidRPr="00323333">
        <w:rPr>
          <w:rFonts w:ascii="Verdana" w:eastAsia="Calibri" w:hAnsi="Verdana" w:cs="Arial"/>
          <w:color w:val="000000" w:themeColor="text1"/>
          <w:lang w:val="es-ES"/>
        </w:rPr>
        <w:t>para seleccionar los contratistas y para ejecutar los contratos se requiere la constitución de garantías</w:t>
      </w:r>
      <w:r w:rsidRPr="00323333">
        <w:rPr>
          <w:rFonts w:ascii="Verdana" w:eastAsia="Calibri" w:hAnsi="Verdana" w:cs="Arial"/>
          <w:color w:val="000000" w:themeColor="text1"/>
          <w:lang w:val="es-ES_tradnl"/>
        </w:rPr>
        <w:t>. Por ello, el artículo 7 de la Ley 1150 de 2007 dispone que los contratistas tienen la obligación de constituir garantías para el cumplimiento de las obligaciones surgidas del contrato, y los proponentes por el ofrecimiento realizado, pudiendo consistir en pólizas expedidas por compañías aseguradoras, garantías bancarias u otros mecanismos permitidos por la ley y el reglamento. Esta norma dispone lo siguiente:</w:t>
      </w:r>
    </w:p>
    <w:p w14:paraId="435068D8" w14:textId="77777777" w:rsidR="00C75ABA" w:rsidRPr="00323333" w:rsidRDefault="00C75ABA" w:rsidP="00C75ABA">
      <w:pPr>
        <w:spacing w:after="0" w:line="276" w:lineRule="auto"/>
        <w:ind w:firstLine="708"/>
        <w:jc w:val="both"/>
        <w:rPr>
          <w:rFonts w:ascii="Verdana" w:hAnsi="Verdana" w:cs="Arial"/>
          <w:color w:val="000000" w:themeColor="text1"/>
          <w:lang w:eastAsia="es-CO"/>
        </w:rPr>
      </w:pPr>
    </w:p>
    <w:p w14:paraId="7ED2ED6C" w14:textId="77777777" w:rsidR="00C75ABA" w:rsidRPr="00323333" w:rsidRDefault="00C75ABA" w:rsidP="00C75ABA">
      <w:pPr>
        <w:spacing w:after="120" w:line="240" w:lineRule="auto"/>
        <w:ind w:left="709" w:right="709"/>
        <w:jc w:val="both"/>
        <w:rPr>
          <w:rFonts w:ascii="Verdana" w:hAnsi="Verdana" w:cs="Arial"/>
          <w:color w:val="000000" w:themeColor="text1"/>
          <w:sz w:val="20"/>
          <w:szCs w:val="20"/>
          <w:lang w:eastAsia="es-CO"/>
        </w:rPr>
      </w:pPr>
      <w:r w:rsidRPr="00323333">
        <w:rPr>
          <w:rFonts w:ascii="Verdana" w:hAnsi="Verdana" w:cs="Arial"/>
          <w:color w:val="000000" w:themeColor="text1"/>
          <w:sz w:val="20"/>
          <w:szCs w:val="20"/>
          <w:lang w:eastAsia="es-CO"/>
        </w:rPr>
        <w:t>“Los contratistas prestarán garantía única para el cumplimiento de las obligaciones surgidas del contrato. Los proponentes prestarán garantía de seriedad de los ofrecimientos hechos. </w:t>
      </w:r>
    </w:p>
    <w:p w14:paraId="7CEB48F5" w14:textId="77777777" w:rsidR="00C75ABA" w:rsidRPr="00323333" w:rsidRDefault="00C75ABA" w:rsidP="00C75ABA">
      <w:pPr>
        <w:spacing w:after="120" w:line="240" w:lineRule="auto"/>
        <w:ind w:left="709" w:right="709"/>
        <w:jc w:val="both"/>
        <w:rPr>
          <w:rFonts w:ascii="Verdana" w:hAnsi="Verdana" w:cs="Arial"/>
          <w:color w:val="000000" w:themeColor="text1"/>
          <w:sz w:val="20"/>
          <w:szCs w:val="20"/>
          <w:lang w:eastAsia="es-CO"/>
        </w:rPr>
      </w:pPr>
      <w:r w:rsidRPr="00323333">
        <w:rPr>
          <w:rFonts w:ascii="Verdana" w:hAnsi="Verdana" w:cs="Arial"/>
          <w:color w:val="000000" w:themeColor="text1"/>
          <w:sz w:val="20"/>
          <w:szCs w:val="20"/>
          <w:lang w:eastAsia="es-CO"/>
        </w:rPr>
        <w:lastRenderedPageBreak/>
        <w:t>Las garantías consistirán en pólizas expedidas por compañías de seguros legalmente autorizadas para funcionar en Colombia, en garantías bancarias y en general, en los demás mecanismos de cobertura del riesgo autorizados por el reglamento para el efecto. Tratándose de pólizas, las mismas no expirarán por falta de pago de la prima o por revocatoria unilateral. El Gobierno Nacional señalará las condiciones generales que deberán ser incluidas en las pólizas de cumplimiento de los contratos estatales. </w:t>
      </w:r>
    </w:p>
    <w:p w14:paraId="695AE19A" w14:textId="77777777" w:rsidR="00C75ABA" w:rsidRPr="00323333" w:rsidRDefault="00C75ABA" w:rsidP="00C75ABA">
      <w:pPr>
        <w:spacing w:after="120" w:line="240" w:lineRule="auto"/>
        <w:ind w:left="709" w:right="709"/>
        <w:jc w:val="both"/>
        <w:rPr>
          <w:rFonts w:ascii="Verdana" w:hAnsi="Verdana" w:cs="Arial"/>
          <w:color w:val="000000" w:themeColor="text1"/>
          <w:sz w:val="20"/>
          <w:szCs w:val="20"/>
          <w:lang w:eastAsia="es-CO"/>
        </w:rPr>
      </w:pPr>
      <w:r w:rsidRPr="00323333">
        <w:rPr>
          <w:rFonts w:ascii="Verdana" w:hAnsi="Verdana" w:cs="Arial"/>
          <w:color w:val="000000" w:themeColor="text1"/>
          <w:sz w:val="20"/>
          <w:szCs w:val="20"/>
          <w:lang w:eastAsia="es-CO"/>
        </w:rPr>
        <w:t>El Gobierno Nacional señalará los criterios que seguirán las entidades para la exigencia de garantías, las clases y niveles de amparo de los riesgos de los contratos, así como los casos en que por las características y complejidad del contrato a celebrar, la garantía pueda ser dividida teniendo en cuenta las etapas o riesgos relativos a la ejecución del respectivo contrato. </w:t>
      </w:r>
    </w:p>
    <w:p w14:paraId="5E8DC1DC" w14:textId="77777777" w:rsidR="00C75ABA" w:rsidRPr="00323333" w:rsidRDefault="00C75ABA" w:rsidP="00C75ABA">
      <w:pPr>
        <w:spacing w:after="120" w:line="240" w:lineRule="auto"/>
        <w:ind w:left="709" w:right="709"/>
        <w:jc w:val="both"/>
        <w:rPr>
          <w:rFonts w:ascii="Verdana" w:hAnsi="Verdana" w:cs="Arial"/>
          <w:color w:val="000000" w:themeColor="text1"/>
          <w:sz w:val="20"/>
          <w:szCs w:val="20"/>
          <w:lang w:eastAsia="es-CO"/>
        </w:rPr>
      </w:pPr>
      <w:r w:rsidRPr="00323333">
        <w:rPr>
          <w:rFonts w:ascii="Verdana" w:hAnsi="Verdana" w:cs="Arial"/>
          <w:color w:val="000000" w:themeColor="text1"/>
          <w:sz w:val="20"/>
          <w:szCs w:val="20"/>
          <w:lang w:eastAsia="es-CO"/>
        </w:rPr>
        <w:t>El acaecimiento del siniestro que amparan las garantías será comunicado por la entidad pública al respectivo asegurador mediante la notificación del acto administrativo que así lo declare. </w:t>
      </w:r>
    </w:p>
    <w:p w14:paraId="7F530ADB" w14:textId="77777777" w:rsidR="00C75ABA" w:rsidRPr="00323333" w:rsidRDefault="00C75ABA" w:rsidP="00C75ABA">
      <w:pPr>
        <w:spacing w:after="0" w:line="240" w:lineRule="auto"/>
        <w:ind w:left="709" w:right="709"/>
        <w:jc w:val="both"/>
        <w:rPr>
          <w:rFonts w:ascii="Verdana" w:hAnsi="Verdana" w:cs="Arial"/>
          <w:color w:val="000000" w:themeColor="text1"/>
          <w:sz w:val="20"/>
          <w:szCs w:val="20"/>
          <w:lang w:eastAsia="es-CO"/>
        </w:rPr>
      </w:pPr>
      <w:r w:rsidRPr="00323333">
        <w:rPr>
          <w:rFonts w:ascii="Verdana" w:hAnsi="Verdana" w:cs="Arial"/>
          <w:color w:val="000000" w:themeColor="text1"/>
          <w:sz w:val="20"/>
          <w:szCs w:val="20"/>
          <w:lang w:eastAsia="es-CO"/>
        </w:rPr>
        <w:t>Las garantías no serán obligatorias en los contratos de empréstito, en los interadministrativos, en los de seguro y en los contratos cuyo valor sea inferior al 10% de la menor cuantía a que se refiere esta ley, caso en el cual corresponderá a la entidad determinar la necesidad de exigirla, atendiendo a la naturaleza del objeto del contrato y a la forma de pago, así como en los demás que señale el reglamento”.</w:t>
      </w:r>
    </w:p>
    <w:p w14:paraId="2FD47004" w14:textId="77777777" w:rsidR="00C75ABA" w:rsidRPr="00323333" w:rsidRDefault="00C75ABA" w:rsidP="00C75ABA">
      <w:pPr>
        <w:spacing w:after="0" w:line="276" w:lineRule="auto"/>
        <w:ind w:left="709" w:right="709"/>
        <w:jc w:val="both"/>
        <w:rPr>
          <w:rFonts w:ascii="Verdana" w:hAnsi="Verdana" w:cs="Arial"/>
          <w:color w:val="000000" w:themeColor="text1"/>
          <w:lang w:eastAsia="es-CO"/>
        </w:rPr>
      </w:pPr>
    </w:p>
    <w:p w14:paraId="03DA180F" w14:textId="77777777" w:rsidR="00C75ABA" w:rsidRPr="00323333" w:rsidRDefault="00C75ABA" w:rsidP="00C75ABA">
      <w:pPr>
        <w:spacing w:line="276" w:lineRule="auto"/>
        <w:ind w:firstLine="708"/>
        <w:jc w:val="both"/>
        <w:rPr>
          <w:rFonts w:ascii="Verdana" w:hAnsi="Verdana" w:cs="Arial"/>
          <w:color w:val="000000" w:themeColor="text1"/>
          <w:lang w:val="es-MX"/>
        </w:rPr>
      </w:pPr>
      <w:r w:rsidRPr="00323333">
        <w:rPr>
          <w:rFonts w:ascii="Verdana" w:hAnsi="Verdana" w:cs="Arial"/>
          <w:color w:val="000000" w:themeColor="text1"/>
          <w:lang w:val="es-MX"/>
        </w:rPr>
        <w:t xml:space="preserve">Las condiciones en las que debe cumplirse esta obligación fueron reglamentadas por el Decreto 1082 de 2015, el cual entre sus artículos 2.2.1.2.3.1.1. y 2.2.1.2.3.1.19 se refiere a asuntos como las clases de garantías permitidas, su indivisibilidad, los diferentes riesgos que deben ser objeto de garantía, la vigencia y valores mínimos que deben cubrir los amparos, entre otros aspectos que debe cumplir las garantías constituidas por los contratistas ya sea a través de pólizas de seguro, garantías bancarías o patrimonios autónomos. </w:t>
      </w:r>
    </w:p>
    <w:p w14:paraId="60D99951" w14:textId="77777777" w:rsidR="00C75ABA" w:rsidRPr="00323333" w:rsidRDefault="00C75ABA" w:rsidP="00C75ABA">
      <w:pPr>
        <w:spacing w:before="120" w:line="276" w:lineRule="auto"/>
        <w:ind w:firstLine="708"/>
        <w:jc w:val="both"/>
        <w:rPr>
          <w:rFonts w:ascii="Verdana" w:hAnsi="Verdana" w:cs="Arial"/>
          <w:color w:val="000000" w:themeColor="text1"/>
          <w:lang w:eastAsia="es-CO"/>
        </w:rPr>
      </w:pPr>
      <w:r w:rsidRPr="00323333">
        <w:rPr>
          <w:rFonts w:ascii="Verdana" w:hAnsi="Verdana" w:cs="Arial"/>
          <w:color w:val="000000" w:themeColor="text1"/>
          <w:lang w:val="es-MX"/>
        </w:rPr>
        <w:t>El artículo 2.2.1.2.3.1.3</w:t>
      </w:r>
      <w:r>
        <w:rPr>
          <w:rFonts w:ascii="Verdana" w:hAnsi="Verdana" w:cs="Arial"/>
          <w:color w:val="000000" w:themeColor="text1"/>
          <w:lang w:val="es-MX"/>
        </w:rPr>
        <w:t xml:space="preserve"> del referido decreto</w:t>
      </w:r>
      <w:r w:rsidRPr="00323333">
        <w:rPr>
          <w:rFonts w:ascii="Verdana" w:hAnsi="Verdana" w:cs="Arial"/>
          <w:color w:val="000000" w:themeColor="text1"/>
          <w:lang w:val="es-MX"/>
        </w:rPr>
        <w:t xml:space="preserve">, por ejemplo, establece que la “garantía de cobertura del Riesgo es indivisible”, además de la obligación de los contratantes de establecer en los pliegos de condiciones las garantías exigidas para cada periodo contractual. Seguidamente el artículo 2.2.1.3.1.7 </w:t>
      </w:r>
      <w:r>
        <w:rPr>
          <w:rFonts w:ascii="Verdana" w:hAnsi="Verdana" w:cs="Arial"/>
          <w:color w:val="000000" w:themeColor="text1"/>
          <w:lang w:val="es-MX"/>
        </w:rPr>
        <w:t xml:space="preserve">ibidem </w:t>
      </w:r>
      <w:r w:rsidRPr="00323333">
        <w:rPr>
          <w:rFonts w:ascii="Verdana" w:hAnsi="Verdana" w:cs="Arial"/>
          <w:color w:val="000000" w:themeColor="text1"/>
          <w:lang w:val="es-MX"/>
        </w:rPr>
        <w:t xml:space="preserve">prescribe que la garantía de cumplimiento debe cubrir: i) el buen manejo y correcta inversión del anticipo; </w:t>
      </w:r>
      <w:proofErr w:type="spellStart"/>
      <w:r w:rsidRPr="00323333">
        <w:rPr>
          <w:rFonts w:ascii="Verdana" w:hAnsi="Verdana" w:cs="Arial"/>
          <w:color w:val="000000" w:themeColor="text1"/>
          <w:lang w:val="es-MX"/>
        </w:rPr>
        <w:t>ii</w:t>
      </w:r>
      <w:proofErr w:type="spellEnd"/>
      <w:r w:rsidRPr="00323333">
        <w:rPr>
          <w:rFonts w:ascii="Verdana" w:hAnsi="Verdana" w:cs="Arial"/>
          <w:color w:val="000000" w:themeColor="text1"/>
          <w:lang w:val="es-MX"/>
        </w:rPr>
        <w:t xml:space="preserve">) la devolución del pago anticipado; </w:t>
      </w:r>
      <w:proofErr w:type="spellStart"/>
      <w:r w:rsidRPr="00323333">
        <w:rPr>
          <w:rFonts w:ascii="Verdana" w:hAnsi="Verdana" w:cs="Arial"/>
          <w:color w:val="000000" w:themeColor="text1"/>
          <w:lang w:val="es-MX"/>
        </w:rPr>
        <w:t>iii</w:t>
      </w:r>
      <w:proofErr w:type="spellEnd"/>
      <w:r w:rsidRPr="00323333">
        <w:rPr>
          <w:rFonts w:ascii="Verdana" w:hAnsi="Verdana" w:cs="Arial"/>
          <w:color w:val="000000" w:themeColor="text1"/>
          <w:lang w:val="es-MX"/>
        </w:rPr>
        <w:t xml:space="preserve">) cumplimiento del contrato; </w:t>
      </w:r>
      <w:proofErr w:type="spellStart"/>
      <w:r w:rsidRPr="00323333">
        <w:rPr>
          <w:rFonts w:ascii="Verdana" w:hAnsi="Verdana" w:cs="Arial"/>
          <w:color w:val="000000" w:themeColor="text1"/>
          <w:lang w:val="es-MX"/>
        </w:rPr>
        <w:t>iv</w:t>
      </w:r>
      <w:proofErr w:type="spellEnd"/>
      <w:r w:rsidRPr="00323333">
        <w:rPr>
          <w:rFonts w:ascii="Verdana" w:hAnsi="Verdana" w:cs="Arial"/>
          <w:color w:val="000000" w:themeColor="text1"/>
          <w:lang w:val="es-MX"/>
        </w:rPr>
        <w:t xml:space="preserve">) pago de salarios, prestaciones sociales legales e </w:t>
      </w:r>
      <w:r w:rsidRPr="00323333">
        <w:rPr>
          <w:rFonts w:ascii="Verdana" w:hAnsi="Verdana" w:cs="Arial"/>
          <w:color w:val="000000" w:themeColor="text1"/>
          <w:lang w:val="es-MX"/>
        </w:rPr>
        <w:lastRenderedPageBreak/>
        <w:t xml:space="preserve">indemnizaciones laborales; v) estabilidad y calidad de la obra; vi) </w:t>
      </w:r>
      <w:r w:rsidRPr="00323333">
        <w:rPr>
          <w:rFonts w:ascii="Verdana" w:hAnsi="Verdana" w:cs="Arial"/>
          <w:color w:val="000000" w:themeColor="text1"/>
          <w:lang w:eastAsia="es-CO"/>
        </w:rPr>
        <w:t xml:space="preserve">calidad del servicio; </w:t>
      </w:r>
      <w:proofErr w:type="spellStart"/>
      <w:r w:rsidRPr="00323333">
        <w:rPr>
          <w:rFonts w:ascii="Verdana" w:hAnsi="Verdana" w:cs="Arial"/>
          <w:color w:val="000000" w:themeColor="text1"/>
          <w:lang w:eastAsia="es-CO"/>
        </w:rPr>
        <w:t>vii</w:t>
      </w:r>
      <w:proofErr w:type="spellEnd"/>
      <w:r w:rsidRPr="00323333">
        <w:rPr>
          <w:rFonts w:ascii="Verdana" w:hAnsi="Verdana" w:cs="Arial"/>
          <w:color w:val="000000" w:themeColor="text1"/>
          <w:lang w:eastAsia="es-CO"/>
        </w:rPr>
        <w:t xml:space="preserve">) calidad y correcto funcionamiento de los bienes; y </w:t>
      </w:r>
      <w:proofErr w:type="spellStart"/>
      <w:r w:rsidRPr="00323333">
        <w:rPr>
          <w:rFonts w:ascii="Verdana" w:hAnsi="Verdana" w:cs="Arial"/>
          <w:color w:val="000000" w:themeColor="text1"/>
          <w:lang w:eastAsia="es-CO"/>
        </w:rPr>
        <w:t>viii</w:t>
      </w:r>
      <w:proofErr w:type="spellEnd"/>
      <w:r w:rsidRPr="00323333">
        <w:rPr>
          <w:rFonts w:ascii="Verdana" w:hAnsi="Verdana" w:cs="Arial"/>
          <w:color w:val="000000" w:themeColor="text1"/>
          <w:lang w:eastAsia="es-CO"/>
        </w:rPr>
        <w:t>) los demás incumplimientos de las obligaciones que la entidad estatal considere deben ser amparados. Por su parte, el artículo 2.2.1.2.3.1.12</w:t>
      </w:r>
      <w:r>
        <w:rPr>
          <w:rFonts w:ascii="Verdana" w:hAnsi="Verdana" w:cs="Arial"/>
          <w:color w:val="000000" w:themeColor="text1"/>
          <w:lang w:eastAsia="es-CO"/>
        </w:rPr>
        <w:t xml:space="preserve"> del referido decreto</w:t>
      </w:r>
      <w:r w:rsidRPr="00323333">
        <w:rPr>
          <w:rFonts w:ascii="Verdana" w:hAnsi="Verdana" w:cs="Arial"/>
          <w:color w:val="000000" w:themeColor="text1"/>
          <w:lang w:eastAsia="es-CO"/>
        </w:rPr>
        <w:t xml:space="preserve"> regula la suficiencia del amparo de cumplimiento, al determinar que esta debe tener una vigencia mínima hasta la liquidación del contrato y un valor de por lo menos el diez por ciento (10%) del total del contrato, siempre que este sea inferior a un millón (1.000.000) de S.M.M.L.V., estableciendo otros mínimos para el valor de las pólizas en contratos con montos superiores</w:t>
      </w:r>
      <w:r w:rsidRPr="00323333">
        <w:rPr>
          <w:rFonts w:ascii="Verdana" w:hAnsi="Verdana" w:cs="Arial"/>
          <w:color w:val="000000" w:themeColor="text1"/>
          <w:vertAlign w:val="superscript"/>
          <w:lang w:eastAsia="es-CO"/>
        </w:rPr>
        <w:footnoteReference w:id="2"/>
      </w:r>
      <w:r w:rsidRPr="00323333">
        <w:rPr>
          <w:rFonts w:ascii="Verdana" w:hAnsi="Verdana" w:cs="Arial"/>
          <w:color w:val="000000" w:themeColor="text1"/>
          <w:lang w:eastAsia="es-CO"/>
        </w:rPr>
        <w:t xml:space="preserve">.   </w:t>
      </w:r>
    </w:p>
    <w:p w14:paraId="16DB962A" w14:textId="77777777" w:rsidR="00C75ABA" w:rsidRPr="00323333" w:rsidRDefault="00C75ABA" w:rsidP="00C75ABA">
      <w:pPr>
        <w:spacing w:before="120" w:line="276" w:lineRule="auto"/>
        <w:ind w:firstLine="708"/>
        <w:jc w:val="both"/>
        <w:rPr>
          <w:rFonts w:ascii="Verdana" w:hAnsi="Verdana" w:cs="Arial"/>
          <w:color w:val="000000" w:themeColor="text1"/>
        </w:rPr>
      </w:pPr>
      <w:r w:rsidRPr="00323333">
        <w:rPr>
          <w:rFonts w:ascii="Verdana" w:hAnsi="Verdana" w:cs="Arial"/>
          <w:color w:val="000000" w:themeColor="text1"/>
          <w:lang w:val="es-MX"/>
        </w:rPr>
        <w:t>Los anteriores y otros aspectos desarrollados por el Decreto 1082 de 2015 deben ser verificados por las entidades estatales, para determinar si los amparos constituidos por sus contratistas en cumplimiento de la obligación derivada del artículo 7 de la Ley 1150 de 2007 se ajustan o no a lo exigido por el reglamento respecto del objeto y valor del contrato.</w:t>
      </w:r>
      <w:r w:rsidRPr="00323333">
        <w:rPr>
          <w:rFonts w:ascii="Verdana" w:hAnsi="Verdana" w:cs="Arial"/>
          <w:color w:val="000000" w:themeColor="text1"/>
        </w:rPr>
        <w:t xml:space="preserve"> Lo expuesto resulta de especial relevancia, teniendo en cuenta que el cumplimiento de la obligación de los contratistas de constituir las correspondientes garantías, y el deber de las entidades estatales de aprobarlas, una vez verificados los requisitos mínimos exigidos, son presupuestos para la ejecución del contrato, de conformidad con el artículo 41 de la Ley 80 de 1993</w:t>
      </w:r>
      <w:r w:rsidRPr="00323333">
        <w:rPr>
          <w:rFonts w:ascii="Verdana" w:eastAsia="Calibri" w:hAnsi="Verdana" w:cs="Arial"/>
        </w:rPr>
        <w:t xml:space="preserve">. </w:t>
      </w:r>
    </w:p>
    <w:p w14:paraId="011C85A7" w14:textId="77777777" w:rsidR="00C75ABA" w:rsidRPr="00323333" w:rsidRDefault="00C75ABA" w:rsidP="00C75ABA">
      <w:pPr>
        <w:spacing w:before="120" w:line="276" w:lineRule="auto"/>
        <w:ind w:firstLine="708"/>
        <w:jc w:val="both"/>
        <w:rPr>
          <w:rFonts w:ascii="Verdana" w:hAnsi="Verdana" w:cs="Arial"/>
          <w:color w:val="000000" w:themeColor="text1"/>
          <w:lang w:val="es-ES_tradnl"/>
        </w:rPr>
      </w:pPr>
      <w:r w:rsidRPr="00323333">
        <w:rPr>
          <w:rFonts w:ascii="Verdana" w:eastAsia="Calibri" w:hAnsi="Verdana" w:cs="Arial"/>
        </w:rPr>
        <w:t xml:space="preserve">En efecto, </w:t>
      </w:r>
      <w:r w:rsidRPr="00323333">
        <w:rPr>
          <w:rFonts w:ascii="Verdana" w:hAnsi="Verdana" w:cs="Arial"/>
          <w:color w:val="000000" w:themeColor="text1"/>
          <w:lang w:val="es-MX"/>
        </w:rPr>
        <w:t>el referido artículo establece en su inciso primero que los contratos estatales se perfeccionan “</w:t>
      </w:r>
      <w:r w:rsidRPr="00323333">
        <w:rPr>
          <w:rFonts w:ascii="Verdana" w:hAnsi="Verdana" w:cs="Arial"/>
          <w:color w:val="000000" w:themeColor="text1"/>
          <w:lang w:eastAsia="es-CO"/>
        </w:rPr>
        <w:t>cuando se logre acuerdo sobre el objeto y la contraprestación y éste se eleve a escrito</w:t>
      </w:r>
      <w:r w:rsidRPr="00323333">
        <w:rPr>
          <w:rFonts w:ascii="Verdana" w:hAnsi="Verdana" w:cs="Arial"/>
          <w:color w:val="000000" w:themeColor="text1"/>
          <w:lang w:val="es-MX"/>
        </w:rPr>
        <w:t>”. Por su parte el inciso segundo establece que “P</w:t>
      </w:r>
      <w:r w:rsidRPr="00323333">
        <w:rPr>
          <w:rFonts w:ascii="Verdana" w:hAnsi="Verdana" w:cs="Arial"/>
          <w:color w:val="000000" w:themeColor="text1"/>
          <w:lang w:eastAsia="es-CO"/>
        </w:rPr>
        <w:t xml:space="preserve">ara la ejecución se requerirá de la aprobación de la garantía”, lo que se traduce en que, sin perjuicio del perfeccionamiento del contrato, no </w:t>
      </w:r>
      <w:r w:rsidRPr="00323333">
        <w:rPr>
          <w:rFonts w:ascii="Verdana" w:hAnsi="Verdana" w:cs="Arial"/>
          <w:color w:val="000000" w:themeColor="text1"/>
          <w:lang w:eastAsia="es-CO"/>
        </w:rPr>
        <w:lastRenderedPageBreak/>
        <w:t>podrá ejecutarse sin que se hayan aprobado las garantías por parte de la entidad estatal contratante.</w:t>
      </w:r>
    </w:p>
    <w:p w14:paraId="3E401A94" w14:textId="77777777" w:rsidR="00C75ABA" w:rsidRPr="00323333" w:rsidRDefault="00C75ABA" w:rsidP="00C75ABA">
      <w:pPr>
        <w:spacing w:before="120" w:after="0" w:line="276" w:lineRule="auto"/>
        <w:ind w:firstLine="708"/>
        <w:jc w:val="both"/>
        <w:rPr>
          <w:rFonts w:ascii="Verdana" w:hAnsi="Verdana" w:cs="Arial"/>
          <w:color w:val="000000" w:themeColor="text1"/>
          <w:lang w:val="es-MX"/>
        </w:rPr>
      </w:pPr>
      <w:r w:rsidRPr="00323333">
        <w:rPr>
          <w:rFonts w:ascii="Verdana" w:hAnsi="Verdana" w:cs="Arial"/>
          <w:color w:val="000000" w:themeColor="text1"/>
          <w:lang w:eastAsia="es-CO"/>
        </w:rPr>
        <w:t xml:space="preserve">Al interpretar la regulación del precitado artículo, el Consejo de Estado ha diferenciado los requisitos de perfeccionamiento del contrato de los concernientes a la ejecución, al entender que el acuerdo de voluntades elevado a escrito suscrito por las partes perfecciona el contrato estatal, mientras que la aprobación de las garantías es un requisito para su ejecución, el cual no está sometido al libre arbitrio del contratante, en la medida que tal aprobación consiste </w:t>
      </w:r>
      <w:r w:rsidRPr="00323333">
        <w:rPr>
          <w:rFonts w:ascii="Verdana" w:hAnsi="Verdana" w:cs="Arial"/>
          <w:color w:val="000000" w:themeColor="text1"/>
          <w:lang w:val="es-MX"/>
        </w:rPr>
        <w:t>en un reconocimiento por parte de la Administración de que el contratista ha cumplido con la obligación de la garantía requerida por la ley y que esta se ajuste a lo pactado en el contrato.  Así lo expresó la Sección Tercera del Consejo de Estado en Sentencia del 28 de junio de 2012:</w:t>
      </w:r>
    </w:p>
    <w:p w14:paraId="3C488179" w14:textId="77777777" w:rsidR="00C75ABA" w:rsidRPr="00323333" w:rsidRDefault="00C75ABA" w:rsidP="00C75ABA">
      <w:pPr>
        <w:spacing w:after="0" w:line="276" w:lineRule="auto"/>
        <w:ind w:firstLine="709"/>
        <w:jc w:val="both"/>
        <w:rPr>
          <w:rFonts w:ascii="Verdana" w:hAnsi="Verdana" w:cs="Arial"/>
          <w:color w:val="000000" w:themeColor="text1"/>
          <w:lang w:eastAsia="es-CO"/>
        </w:rPr>
      </w:pPr>
    </w:p>
    <w:p w14:paraId="449BDEDE" w14:textId="77777777" w:rsidR="00C75ABA" w:rsidRPr="00323333" w:rsidRDefault="00C75ABA" w:rsidP="00C75ABA">
      <w:pPr>
        <w:spacing w:after="120" w:line="240" w:lineRule="auto"/>
        <w:ind w:left="709" w:right="709"/>
        <w:jc w:val="both"/>
        <w:rPr>
          <w:rFonts w:ascii="Verdana" w:hAnsi="Verdana" w:cs="Arial"/>
          <w:color w:val="000000" w:themeColor="text1"/>
          <w:sz w:val="20"/>
          <w:szCs w:val="20"/>
          <w:lang w:val="es-MX"/>
        </w:rPr>
      </w:pPr>
      <w:r w:rsidRPr="00323333">
        <w:rPr>
          <w:rFonts w:ascii="Verdana" w:hAnsi="Verdana" w:cs="Arial"/>
          <w:color w:val="000000" w:themeColor="text1"/>
          <w:sz w:val="20"/>
          <w:szCs w:val="20"/>
          <w:lang w:val="es-MX"/>
        </w:rPr>
        <w:t xml:space="preserve">“[…] Por virtud de lo dispuesto en la Ley 80 de 1993, el contrato estatal existe cuando el acuerdo sobre el objeto y la contraprestación se eleva a escrito </w:t>
      </w:r>
      <w:r w:rsidRPr="00323333">
        <w:rPr>
          <w:rFonts w:ascii="Verdana" w:hAnsi="Verdana" w:cs="Arial"/>
          <w:i/>
          <w:iCs/>
          <w:color w:val="000000" w:themeColor="text1"/>
          <w:sz w:val="20"/>
          <w:szCs w:val="20"/>
          <w:u w:val="single"/>
          <w:lang w:val="es-MX"/>
        </w:rPr>
        <w:t>y, es ejecutable, cuando se cumplen las condiciones previstas en el inciso segundo del artículo 41 de la ley, en concordancia con lo dispuesto en el artículo 49 de la Ley 179 de 1994, compilado en el artículo 71 del Estatuto Orgánico de Presupuesto -Decreto ley 111 de 1996-, esto es, cuando además de la aprobación de la garantía, se cuenta con las disponibilidades presupuestales correspondientes</w:t>
      </w:r>
      <w:r w:rsidRPr="00323333">
        <w:rPr>
          <w:rFonts w:ascii="Verdana" w:hAnsi="Verdana" w:cs="Arial"/>
          <w:color w:val="000000" w:themeColor="text1"/>
          <w:sz w:val="20"/>
          <w:szCs w:val="20"/>
          <w:lang w:val="es-MX"/>
        </w:rPr>
        <w:t xml:space="preserve">, salvo que se trate de contratación con recursos de vigencias futuras, de conformidad con lo previsto en la ley orgánica del presupuesto.  </w:t>
      </w:r>
    </w:p>
    <w:p w14:paraId="2AC1B14F" w14:textId="77777777" w:rsidR="00C75ABA" w:rsidRPr="00323333" w:rsidRDefault="00C75ABA" w:rsidP="00C75ABA">
      <w:pPr>
        <w:spacing w:after="120" w:line="240" w:lineRule="auto"/>
        <w:ind w:left="709" w:right="709"/>
        <w:jc w:val="both"/>
        <w:rPr>
          <w:rFonts w:ascii="Verdana" w:hAnsi="Verdana" w:cs="Arial"/>
          <w:color w:val="000000" w:themeColor="text1"/>
          <w:sz w:val="20"/>
          <w:szCs w:val="20"/>
          <w:lang w:val="es-MX"/>
        </w:rPr>
      </w:pPr>
      <w:r w:rsidRPr="00323333">
        <w:rPr>
          <w:rFonts w:ascii="Verdana" w:hAnsi="Verdana" w:cs="Arial"/>
          <w:i/>
          <w:iCs/>
          <w:color w:val="000000" w:themeColor="text1"/>
          <w:sz w:val="20"/>
          <w:szCs w:val="20"/>
          <w:u w:val="single"/>
          <w:lang w:val="es-MX"/>
        </w:rPr>
        <w:t>Ello significa que, una vez elevado a escrito, lo cual supone su suscripción por ambas partes, el contrato estatal existe y requiere del registro presupuestal, al igual que de la aprobación</w:t>
      </w:r>
      <w:r w:rsidRPr="00323333">
        <w:rPr>
          <w:rFonts w:ascii="Verdana" w:hAnsi="Verdana" w:cs="Arial"/>
          <w:color w:val="000000" w:themeColor="text1"/>
          <w:sz w:val="20"/>
          <w:szCs w:val="20"/>
          <w:lang w:val="es-MX"/>
        </w:rPr>
        <w:t xml:space="preserve"> de la garantía para su ejecución, condiciones que cumplidas le otorgan eficacia. La aprobación de la póliza entonces, no tiene alcance diferente al reconocimiento de parte de la administración sobre que el contratista cumplió con la obligación de la garantía en orden a la ejecución del contrato y el registro presupuestal comporta que la contratante hizo lo propio. </w:t>
      </w:r>
    </w:p>
    <w:p w14:paraId="63BBE230" w14:textId="77777777" w:rsidR="00C75ABA" w:rsidRPr="00323333" w:rsidRDefault="00C75ABA" w:rsidP="00C75ABA">
      <w:pPr>
        <w:spacing w:after="0" w:line="240" w:lineRule="auto"/>
        <w:ind w:left="709" w:right="709"/>
        <w:jc w:val="both"/>
        <w:rPr>
          <w:rFonts w:ascii="Verdana" w:hAnsi="Verdana" w:cs="Arial"/>
          <w:color w:val="000000" w:themeColor="text1"/>
          <w:sz w:val="20"/>
          <w:szCs w:val="20"/>
          <w:lang w:val="es-MX"/>
        </w:rPr>
      </w:pPr>
      <w:r w:rsidRPr="00323333">
        <w:rPr>
          <w:rFonts w:ascii="Verdana" w:hAnsi="Verdana" w:cs="Arial"/>
          <w:color w:val="000000" w:themeColor="text1"/>
          <w:sz w:val="20"/>
          <w:szCs w:val="20"/>
          <w:lang w:val="es-MX"/>
        </w:rPr>
        <w:t xml:space="preserve">En ese orden de ideas, </w:t>
      </w:r>
      <w:r w:rsidRPr="00323333">
        <w:rPr>
          <w:rFonts w:ascii="Verdana" w:hAnsi="Verdana" w:cs="Arial"/>
          <w:i/>
          <w:iCs/>
          <w:color w:val="000000" w:themeColor="text1"/>
          <w:sz w:val="20"/>
          <w:szCs w:val="20"/>
          <w:u w:val="single"/>
          <w:lang w:val="es-MX"/>
        </w:rPr>
        <w:t>si bien la aprobación de la garantía, condicionan la iniciación del contrato, su ejecución, vigencia y plazo, se sujeta a que la póliza cumpla con los requisitos legales y que la administración los avale, sin que le esté dado a la entidad hacer gala de su mera liberalidad para demorar su aprobación o negarla, porque, de no ser ello así, de nada serviría la previsión legal, pues lo sujeto a la potestad unilateral nada condiciona</w:t>
      </w:r>
      <w:r w:rsidRPr="00323333">
        <w:rPr>
          <w:rFonts w:ascii="Verdana" w:hAnsi="Verdana" w:cs="Arial"/>
          <w:color w:val="000000" w:themeColor="text1"/>
          <w:sz w:val="20"/>
          <w:szCs w:val="20"/>
          <w:lang w:val="es-MX"/>
        </w:rPr>
        <w:t>”</w:t>
      </w:r>
      <w:r w:rsidRPr="00323333">
        <w:rPr>
          <w:rFonts w:ascii="Verdana" w:hAnsi="Verdana" w:cs="Arial"/>
          <w:color w:val="000000" w:themeColor="text1"/>
          <w:sz w:val="20"/>
          <w:szCs w:val="20"/>
          <w:vertAlign w:val="superscript"/>
          <w:lang w:val="es-MX"/>
        </w:rPr>
        <w:footnoteReference w:id="3"/>
      </w:r>
      <w:r w:rsidRPr="00323333">
        <w:rPr>
          <w:rFonts w:ascii="Verdana" w:hAnsi="Verdana" w:cs="Arial"/>
          <w:color w:val="000000" w:themeColor="text1"/>
          <w:sz w:val="20"/>
          <w:szCs w:val="20"/>
          <w:lang w:val="es-MX"/>
        </w:rPr>
        <w:t>. [Énfasis fuera de texto]</w:t>
      </w:r>
    </w:p>
    <w:p w14:paraId="39E13802" w14:textId="77777777" w:rsidR="00C75ABA" w:rsidRPr="00323333" w:rsidRDefault="00C75ABA" w:rsidP="00C75ABA">
      <w:pPr>
        <w:spacing w:after="0" w:line="276" w:lineRule="auto"/>
        <w:ind w:firstLine="708"/>
        <w:jc w:val="both"/>
        <w:rPr>
          <w:rFonts w:ascii="Verdana" w:hAnsi="Verdana" w:cs="Arial"/>
          <w:color w:val="000000" w:themeColor="text1"/>
          <w:lang w:eastAsia="es-CO"/>
        </w:rPr>
      </w:pPr>
    </w:p>
    <w:p w14:paraId="102E8623" w14:textId="77777777" w:rsidR="00C75ABA" w:rsidRPr="00323333" w:rsidRDefault="00C75ABA" w:rsidP="00C75ABA">
      <w:pPr>
        <w:spacing w:line="276" w:lineRule="auto"/>
        <w:ind w:firstLine="709"/>
        <w:jc w:val="both"/>
        <w:rPr>
          <w:rFonts w:ascii="Verdana" w:hAnsi="Verdana" w:cs="Arial"/>
          <w:color w:val="000000" w:themeColor="text1"/>
          <w:lang w:eastAsia="es-CO"/>
        </w:rPr>
      </w:pPr>
      <w:r w:rsidRPr="00323333">
        <w:rPr>
          <w:rFonts w:ascii="Verdana" w:hAnsi="Verdana" w:cs="Arial"/>
          <w:color w:val="000000" w:themeColor="text1"/>
          <w:lang w:eastAsia="es-CO"/>
        </w:rPr>
        <w:t xml:space="preserve">De esta manera, para proceder con la ejecución del contrato, el contratista debe cumplir con la obligación de constituir las garantías, para lo cual deberá presentar el respectivo instrumento para la verificación por parte de la entidad estatal, quien procederá a su aprobación siempre que se cumplan con las condiciones pactadas en el contrato. Cabe aclarar que las garantías que debe presentar el contratista para aprobación de la entidad en el marco del artículo 41 de la ley 80 de 1993, corresponden a las garantías contractuales </w:t>
      </w:r>
      <w:r w:rsidRPr="00323333">
        <w:rPr>
          <w:rFonts w:ascii="Verdana" w:hAnsi="Verdana" w:cs="Arial"/>
          <w:color w:val="000000" w:themeColor="text1"/>
          <w:lang w:val="es-ES_tradnl" w:eastAsia="es-CO"/>
        </w:rPr>
        <w:t>que cubren los riesgos asociados al contrato celebrado y a las obligaciones posteriores a su ejecución, esto es, la garantía única de cumplimiento –con sus respectivos amparos– y la garantía de responsabilidad civil extracontractual</w:t>
      </w:r>
      <w:r w:rsidRPr="00323333">
        <w:rPr>
          <w:rStyle w:val="Refdenotaalpie"/>
          <w:rFonts w:ascii="Verdana" w:hAnsi="Verdana" w:cs="Arial"/>
          <w:color w:val="000000" w:themeColor="text1"/>
          <w:lang w:val="es-ES_tradnl" w:eastAsia="es-CO"/>
        </w:rPr>
        <w:footnoteReference w:id="4"/>
      </w:r>
      <w:r w:rsidRPr="00323333">
        <w:rPr>
          <w:rFonts w:ascii="Verdana" w:hAnsi="Verdana" w:cs="Arial"/>
          <w:color w:val="000000" w:themeColor="text1"/>
          <w:lang w:val="es-ES_tradnl" w:eastAsia="es-CO"/>
        </w:rPr>
        <w:t>.</w:t>
      </w:r>
    </w:p>
    <w:p w14:paraId="63DCA549" w14:textId="77777777" w:rsidR="00C75ABA" w:rsidRPr="00323333" w:rsidRDefault="00C75ABA" w:rsidP="00C75ABA">
      <w:pPr>
        <w:spacing w:before="120" w:line="276" w:lineRule="auto"/>
        <w:ind w:firstLine="709"/>
        <w:jc w:val="both"/>
        <w:rPr>
          <w:rFonts w:ascii="Verdana" w:hAnsi="Verdana" w:cs="Arial"/>
          <w:color w:val="000000" w:themeColor="text1"/>
          <w:lang w:val="es-ES"/>
        </w:rPr>
      </w:pPr>
      <w:r w:rsidRPr="00323333">
        <w:rPr>
          <w:rFonts w:ascii="Verdana" w:eastAsia="Calibri" w:hAnsi="Verdana" w:cs="Arial"/>
          <w:color w:val="000000"/>
          <w:lang w:eastAsia="en-GB"/>
        </w:rPr>
        <w:t xml:space="preserve">En este contexto, la obligación de constituir las garantías contractuales y su aprobación tiene como propósito cumplir con el requisito de ejecución del contrato, pues estas se erigen como un </w:t>
      </w:r>
      <w:r w:rsidRPr="00323333">
        <w:rPr>
          <w:rFonts w:ascii="Verdana" w:hAnsi="Verdana" w:cs="Arial"/>
          <w:color w:val="000000" w:themeColor="text1"/>
          <w:lang w:val="es-MX"/>
        </w:rPr>
        <w:t>“</w:t>
      </w:r>
      <w:r w:rsidRPr="00323333">
        <w:rPr>
          <w:rFonts w:ascii="Verdana" w:eastAsia="Calibri" w:hAnsi="Verdana" w:cs="Arial"/>
          <w:color w:val="000000"/>
          <w:lang w:eastAsia="en-GB"/>
        </w:rPr>
        <w:t>instrumento para salvaguardar intereses de carácter general, garantizar el adecuado cumplimiento del objeto contractual y proteger el patrimonio público de los detrimentos que se puedan causar con ocasión de eventuales incumplimientos en que incurra el contratista”</w:t>
      </w:r>
      <w:r w:rsidRPr="00323333">
        <w:rPr>
          <w:rStyle w:val="Refdenotaalpie"/>
          <w:rFonts w:ascii="Verdana" w:eastAsia="Calibri" w:hAnsi="Verdana" w:cs="Arial"/>
          <w:color w:val="000000"/>
          <w:lang w:eastAsia="en-GB"/>
        </w:rPr>
        <w:footnoteReference w:id="5"/>
      </w:r>
      <w:r w:rsidRPr="00323333">
        <w:rPr>
          <w:rFonts w:ascii="Verdana" w:hAnsi="Verdana" w:cs="Arial"/>
          <w:color w:val="000000" w:themeColor="text1"/>
          <w:lang w:eastAsia="es-CO"/>
        </w:rPr>
        <w:t>.</w:t>
      </w:r>
      <w:r w:rsidRPr="00323333">
        <w:rPr>
          <w:rFonts w:ascii="Verdana" w:hAnsi="Verdana" w:cs="Arial"/>
          <w:color w:val="000000" w:themeColor="text1"/>
          <w:lang w:val="es-MX"/>
        </w:rPr>
        <w:t xml:space="preserve"> En este sentido, previo a l</w:t>
      </w:r>
      <w:r w:rsidRPr="00323333">
        <w:rPr>
          <w:rFonts w:ascii="Verdana" w:hAnsi="Verdana" w:cs="Arial"/>
          <w:color w:val="000000" w:themeColor="text1"/>
          <w:lang w:val="es-ES_tradnl"/>
        </w:rPr>
        <w:t>a aprobación de las garantías pactadas en el contrato, la entidad debe realizar la respectiva verificación de los amparos y suficiencia de las garantías exigidas, con la finalidad de</w:t>
      </w:r>
      <w:r w:rsidRPr="00323333">
        <w:rPr>
          <w:rFonts w:ascii="Verdana" w:hAnsi="Verdana" w:cs="Arial"/>
          <w:color w:val="000000" w:themeColor="text1"/>
        </w:rPr>
        <w:t xml:space="preserve"> asegurar que estas </w:t>
      </w:r>
      <w:r w:rsidRPr="00323333">
        <w:rPr>
          <w:rFonts w:ascii="Verdana" w:hAnsi="Verdana" w:cs="Arial"/>
          <w:color w:val="000000" w:themeColor="text1"/>
          <w:lang w:val="es-ES"/>
        </w:rPr>
        <w:t xml:space="preserve">protejan el patrimonio del Estado de los perjuicios que eventualmente se derivarían de la materialización de los riesgos amparados. </w:t>
      </w:r>
    </w:p>
    <w:p w14:paraId="22BDC0AE" w14:textId="77777777" w:rsidR="00C75ABA" w:rsidRPr="00323333" w:rsidRDefault="00C75ABA" w:rsidP="00C75ABA">
      <w:pPr>
        <w:spacing w:after="0" w:line="276" w:lineRule="auto"/>
        <w:ind w:firstLine="709"/>
        <w:jc w:val="both"/>
        <w:rPr>
          <w:rFonts w:ascii="Verdana" w:hAnsi="Verdana" w:cs="Arial"/>
          <w:color w:val="000000" w:themeColor="text1"/>
          <w:lang w:val="es-ES"/>
        </w:rPr>
      </w:pPr>
      <w:r w:rsidRPr="00323333">
        <w:rPr>
          <w:rFonts w:ascii="Verdana" w:hAnsi="Verdana" w:cs="Arial"/>
          <w:color w:val="000000" w:themeColor="text1"/>
          <w:lang w:val="es-ES_tradnl"/>
        </w:rPr>
        <w:t xml:space="preserve">Esta labor de verificación por parte de la entidad implica validar el origen de las garantías y revisar </w:t>
      </w:r>
      <w:r w:rsidRPr="00323333">
        <w:rPr>
          <w:rFonts w:ascii="Verdana" w:hAnsi="Verdana" w:cs="Arial"/>
          <w:color w:val="000000" w:themeColor="text1"/>
          <w:lang w:val="es-MX"/>
        </w:rPr>
        <w:t>“</w:t>
      </w:r>
      <w:r w:rsidRPr="00323333">
        <w:rPr>
          <w:rFonts w:ascii="Verdana" w:eastAsia="Calibri" w:hAnsi="Verdana" w:cs="Arial"/>
        </w:rPr>
        <w:t>que los valores asegurados coincidan con los que se exigieron en el contrato, así como su vigencia; verificar que estén identificados plenamente el tomador y el beneficiario, y que vengan adjuntas las condiciones generales de la póliza. Sólo con la certeza que brinda este análisis, se puede tener la seguridad que no se causarán perjuicios al ente estatal. De tal manera, una vez revisada la póliza, sus anexos (condiciones generales) y su contenido y si está de acuerdo con lo exigido, se impartirá la aprobación correspondiente”</w:t>
      </w:r>
      <w:r w:rsidRPr="00323333">
        <w:rPr>
          <w:rStyle w:val="Refdenotaalpie"/>
          <w:rFonts w:ascii="Verdana" w:eastAsia="Calibri" w:hAnsi="Verdana" w:cs="Arial"/>
        </w:rPr>
        <w:footnoteReference w:id="6"/>
      </w:r>
      <w:r w:rsidRPr="00323333">
        <w:rPr>
          <w:rFonts w:ascii="Verdana" w:hAnsi="Verdana" w:cs="Arial"/>
          <w:color w:val="000000" w:themeColor="text1"/>
          <w:lang w:val="es-MX"/>
        </w:rPr>
        <w:t>.</w:t>
      </w:r>
      <w:r w:rsidRPr="00323333">
        <w:rPr>
          <w:rFonts w:ascii="Verdana" w:hAnsi="Verdana" w:cs="Arial"/>
          <w:color w:val="000000" w:themeColor="text1"/>
          <w:lang w:val="es-ES"/>
        </w:rPr>
        <w:t xml:space="preserve"> </w:t>
      </w:r>
    </w:p>
    <w:p w14:paraId="6495A0E9" w14:textId="77777777" w:rsidR="00C75ABA" w:rsidRPr="00323333" w:rsidRDefault="00C75ABA" w:rsidP="00C75ABA">
      <w:pPr>
        <w:pStyle w:val="Sinespaciado"/>
        <w:spacing w:before="120" w:line="276" w:lineRule="auto"/>
        <w:ind w:firstLine="709"/>
        <w:jc w:val="both"/>
        <w:rPr>
          <w:rFonts w:ascii="Verdana" w:eastAsia="Calibri" w:hAnsi="Verdana" w:cs="Arial"/>
          <w:lang w:val="es-ES"/>
        </w:rPr>
      </w:pPr>
      <w:r w:rsidRPr="00323333">
        <w:rPr>
          <w:rFonts w:ascii="Verdana" w:hAnsi="Verdana" w:cs="Arial"/>
          <w:color w:val="000000" w:themeColor="text1"/>
          <w:lang w:val="es-ES"/>
        </w:rPr>
        <w:lastRenderedPageBreak/>
        <w:t xml:space="preserve">En ese sentido, resulta a bien precisar que el proceso de aprobación de las garantías debe desarrollarse de manera integral en el SECOP II, esto, de acuerdo con el deber de publicidad de su gestión contractual que les asiste a las Entidades Estatales a luz de lo dispuesto en el artículo 13 de la Ley 1150 de 2007. Por su parte, la </w:t>
      </w:r>
      <w:r w:rsidRPr="00323333">
        <w:rPr>
          <w:rFonts w:ascii="Verdana" w:eastAsia="Calibri" w:hAnsi="Verdana" w:cs="Arial"/>
          <w:lang w:val="es-ES"/>
        </w:rPr>
        <w:t>“Guía SECOP II – Gestión Contractual para Entidades Estatales” explica que:</w:t>
      </w:r>
    </w:p>
    <w:p w14:paraId="5B4AF258" w14:textId="77777777" w:rsidR="00C75ABA" w:rsidRPr="00323333" w:rsidRDefault="00C75ABA" w:rsidP="00C75ABA">
      <w:pPr>
        <w:spacing w:after="0" w:line="240" w:lineRule="auto"/>
        <w:ind w:left="709" w:right="709"/>
        <w:jc w:val="both"/>
        <w:rPr>
          <w:rFonts w:ascii="Verdana" w:eastAsia="Calibri" w:hAnsi="Verdana" w:cs="Arial"/>
          <w:bCs/>
          <w:color w:val="000000"/>
          <w:sz w:val="20"/>
          <w:szCs w:val="20"/>
          <w:lang w:val="es-ES_tradnl"/>
        </w:rPr>
      </w:pPr>
    </w:p>
    <w:p w14:paraId="654002CB" w14:textId="77777777" w:rsidR="00C75ABA" w:rsidRPr="00323333" w:rsidRDefault="00C75ABA" w:rsidP="00C75ABA">
      <w:pPr>
        <w:spacing w:after="0" w:line="240" w:lineRule="auto"/>
        <w:ind w:left="709" w:right="709"/>
        <w:jc w:val="both"/>
        <w:rPr>
          <w:rFonts w:ascii="Verdana" w:eastAsia="Calibri" w:hAnsi="Verdana" w:cs="Arial"/>
          <w:bCs/>
          <w:color w:val="000000"/>
          <w:sz w:val="20"/>
          <w:szCs w:val="20"/>
          <w:lang w:val="es-ES_tradnl"/>
        </w:rPr>
      </w:pPr>
      <w:r w:rsidRPr="00323333">
        <w:rPr>
          <w:rFonts w:ascii="Verdana" w:eastAsia="Calibri" w:hAnsi="Verdana" w:cs="Arial"/>
          <w:bCs/>
          <w:color w:val="000000"/>
          <w:sz w:val="20"/>
          <w:szCs w:val="20"/>
          <w:lang w:val="es-ES_tradnl"/>
        </w:rPr>
        <w:t>“El SECOP II habilitará una ventana emergente con los datos de la garantía y el documento anexo. Tenga en cuenta que, la información relacionada por el Proveedor en la plataforma deberá ser igual a la contenida en el documento.</w:t>
      </w:r>
    </w:p>
    <w:p w14:paraId="63B80401" w14:textId="77777777" w:rsidR="00C75ABA" w:rsidRPr="00323333" w:rsidRDefault="00C75ABA" w:rsidP="00C75ABA">
      <w:pPr>
        <w:spacing w:before="120" w:after="120" w:line="240" w:lineRule="auto"/>
        <w:ind w:left="709" w:right="709"/>
        <w:jc w:val="both"/>
        <w:rPr>
          <w:rFonts w:ascii="Verdana" w:eastAsia="Calibri" w:hAnsi="Verdana" w:cs="Arial"/>
          <w:bCs/>
          <w:color w:val="000000"/>
          <w:sz w:val="20"/>
          <w:szCs w:val="20"/>
          <w:lang w:val="es-ES_tradnl"/>
        </w:rPr>
      </w:pPr>
      <w:r w:rsidRPr="00323333">
        <w:rPr>
          <w:rFonts w:ascii="Verdana" w:eastAsia="Calibri" w:hAnsi="Verdana" w:cs="Arial"/>
          <w:bCs/>
          <w:color w:val="000000"/>
          <w:sz w:val="20"/>
          <w:szCs w:val="20"/>
          <w:lang w:val="es-ES_tradnl"/>
        </w:rPr>
        <w:t>Para aprobar o rechazar la garantía enviada por el Proveedor haga clic en ‘Enviar para aprobación’ si el Usuario Administrador configuró Flujos de Aprobación para la validación de garantías. En caso contrario haga clic en ‘Confirmar’.</w:t>
      </w:r>
    </w:p>
    <w:p w14:paraId="257E8789" w14:textId="77777777" w:rsidR="00C75ABA" w:rsidRPr="00323333" w:rsidRDefault="00C75ABA" w:rsidP="00C75ABA">
      <w:pPr>
        <w:spacing w:after="120" w:line="240" w:lineRule="auto"/>
        <w:ind w:left="709" w:right="709"/>
        <w:jc w:val="center"/>
        <w:rPr>
          <w:rFonts w:ascii="Verdana" w:eastAsia="Calibri" w:hAnsi="Verdana" w:cs="Arial"/>
          <w:bCs/>
          <w:color w:val="000000"/>
          <w:sz w:val="20"/>
          <w:szCs w:val="20"/>
          <w:lang w:val="es-ES_tradnl"/>
        </w:rPr>
      </w:pPr>
      <w:r w:rsidRPr="00323333">
        <w:rPr>
          <w:rFonts w:ascii="Verdana" w:eastAsia="Calibri" w:hAnsi="Verdana" w:cs="Arial"/>
          <w:bCs/>
          <w:noProof/>
          <w:color w:val="000000"/>
          <w:sz w:val="20"/>
          <w:szCs w:val="20"/>
          <w:lang w:val="es-ES_tradnl"/>
        </w:rPr>
        <w:drawing>
          <wp:inline distT="0" distB="0" distL="0" distR="0" wp14:anchorId="25D96219" wp14:editId="1F95310D">
            <wp:extent cx="3276600" cy="2485071"/>
            <wp:effectExtent l="0" t="0" r="0" b="0"/>
            <wp:docPr id="943708760" name="Imagen 1" descr="Imagen que contiene 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708760" name="Imagen 1" descr="Imagen que contiene Interfaz de usuario gráfica&#10;&#10;El contenido generado por IA puede ser incorrecto."/>
                    <pic:cNvPicPr/>
                  </pic:nvPicPr>
                  <pic:blipFill>
                    <a:blip r:embed="rId12"/>
                    <a:stretch>
                      <a:fillRect/>
                    </a:stretch>
                  </pic:blipFill>
                  <pic:spPr>
                    <a:xfrm>
                      <a:off x="0" y="0"/>
                      <a:ext cx="3483127" cy="2641707"/>
                    </a:xfrm>
                    <a:prstGeom prst="rect">
                      <a:avLst/>
                    </a:prstGeom>
                  </pic:spPr>
                </pic:pic>
              </a:graphicData>
            </a:graphic>
          </wp:inline>
        </w:drawing>
      </w:r>
    </w:p>
    <w:p w14:paraId="02225F33" w14:textId="77777777" w:rsidR="00C75ABA" w:rsidRPr="00323333" w:rsidRDefault="00C75ABA" w:rsidP="00C75ABA">
      <w:pPr>
        <w:spacing w:after="120" w:line="240" w:lineRule="auto"/>
        <w:ind w:left="709" w:right="709"/>
        <w:jc w:val="both"/>
        <w:rPr>
          <w:rFonts w:ascii="Verdana" w:eastAsia="Calibri" w:hAnsi="Verdana" w:cs="Arial"/>
          <w:bCs/>
          <w:color w:val="000000"/>
          <w:sz w:val="20"/>
          <w:szCs w:val="20"/>
          <w:lang w:val="es-ES_tradnl"/>
        </w:rPr>
      </w:pPr>
      <w:r w:rsidRPr="00323333">
        <w:rPr>
          <w:rFonts w:ascii="Verdana" w:eastAsia="Calibri" w:hAnsi="Verdana" w:cs="Arial"/>
          <w:bCs/>
          <w:color w:val="000000"/>
          <w:sz w:val="20"/>
          <w:szCs w:val="20"/>
          <w:lang w:val="es-ES_tradnl"/>
        </w:rPr>
        <w:t xml:space="preserve">Si el Usuario Administrador configuró Flujos de Aprobación para la validación de las garantías deberá confirmar el o los usuarios que deben realizar la aprobación y deberá esperar a que el o los usuarios realicen la respectiva aprobación. Si requiere rechazar la garantía la plataforma le permitirá incluir una justificación en el recuadro del lado derecho de la pantalla en la opción de ‘Comentarios’. En </w:t>
      </w:r>
      <w:r w:rsidRPr="00323333">
        <w:rPr>
          <w:rFonts w:ascii="Verdana" w:eastAsia="Calibri" w:hAnsi="Verdana" w:cs="Arial"/>
          <w:color w:val="000000"/>
          <w:sz w:val="20"/>
          <w:szCs w:val="20"/>
          <w:lang w:val="es-ES"/>
        </w:rPr>
        <w:t>caso contrario el SECOP II habilitará de forma automática la opción de ‘Aprobar’ o ‘Rechazar’.</w:t>
      </w:r>
    </w:p>
    <w:p w14:paraId="7BAAE57D" w14:textId="77777777" w:rsidR="00C75ABA" w:rsidRPr="00323333" w:rsidRDefault="00C75ABA" w:rsidP="00C75ABA">
      <w:pPr>
        <w:spacing w:after="120" w:line="240" w:lineRule="auto"/>
        <w:ind w:left="709" w:right="709"/>
        <w:jc w:val="center"/>
        <w:rPr>
          <w:rFonts w:ascii="Verdana" w:eastAsia="Calibri" w:hAnsi="Verdana" w:cs="Arial"/>
          <w:bCs/>
          <w:color w:val="000000"/>
          <w:sz w:val="20"/>
          <w:szCs w:val="20"/>
          <w:lang w:val="es-ES_tradnl"/>
        </w:rPr>
      </w:pPr>
      <w:r w:rsidRPr="00323333">
        <w:rPr>
          <w:rFonts w:ascii="Verdana" w:eastAsia="Calibri" w:hAnsi="Verdana" w:cs="Arial"/>
          <w:bCs/>
          <w:noProof/>
          <w:color w:val="000000"/>
          <w:sz w:val="20"/>
          <w:szCs w:val="20"/>
          <w:lang w:val="es-ES_tradnl"/>
        </w:rPr>
        <w:lastRenderedPageBreak/>
        <w:drawing>
          <wp:inline distT="0" distB="0" distL="0" distR="0" wp14:anchorId="39877CA4" wp14:editId="1DC56CE8">
            <wp:extent cx="3419475" cy="2612003"/>
            <wp:effectExtent l="0" t="0" r="0" b="0"/>
            <wp:docPr id="779133771"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133771" name="Imagen 1" descr="Interfaz de usuario gráfica, Texto, Aplicación&#10;&#10;El contenido generado por IA puede ser incorrecto."/>
                    <pic:cNvPicPr/>
                  </pic:nvPicPr>
                  <pic:blipFill>
                    <a:blip r:embed="rId13"/>
                    <a:stretch>
                      <a:fillRect/>
                    </a:stretch>
                  </pic:blipFill>
                  <pic:spPr>
                    <a:xfrm>
                      <a:off x="0" y="0"/>
                      <a:ext cx="3497786" cy="2671822"/>
                    </a:xfrm>
                    <a:prstGeom prst="rect">
                      <a:avLst/>
                    </a:prstGeom>
                  </pic:spPr>
                </pic:pic>
              </a:graphicData>
            </a:graphic>
          </wp:inline>
        </w:drawing>
      </w:r>
    </w:p>
    <w:p w14:paraId="6632F4EE" w14:textId="77777777" w:rsidR="00C75ABA" w:rsidRPr="00323333" w:rsidRDefault="00C75ABA" w:rsidP="00C75ABA">
      <w:pPr>
        <w:spacing w:after="0" w:line="240" w:lineRule="auto"/>
        <w:ind w:left="709" w:right="709"/>
        <w:jc w:val="both"/>
        <w:rPr>
          <w:rFonts w:ascii="Verdana" w:eastAsia="Calibri" w:hAnsi="Verdana" w:cs="Arial"/>
          <w:color w:val="000000"/>
          <w:sz w:val="20"/>
          <w:szCs w:val="20"/>
          <w:lang w:val="es-ES_tradnl" w:eastAsia="es-CO"/>
        </w:rPr>
      </w:pPr>
      <w:r w:rsidRPr="00323333">
        <w:rPr>
          <w:rFonts w:ascii="Verdana" w:eastAsia="Calibri" w:hAnsi="Verdana" w:cs="Arial"/>
          <w:color w:val="000000"/>
          <w:sz w:val="20"/>
          <w:szCs w:val="20"/>
          <w:lang w:val="es-ES_tradnl" w:eastAsia="es-CO"/>
        </w:rPr>
        <w:t>Finalmente, verifique el estado de la garantía. Repita este procedimiento en el caso en que el Proveedor haya relacionado las garantías de forma independiente, por ejemplo, garantías de cumplimiento y garantía de Responsabilidad Civil Extracontractual. Tenga en cuenta que, la garantía será publica para consulta de cualquier interesado sólo hasta que se cumpla esta aprobación”</w:t>
      </w:r>
      <w:r w:rsidRPr="00323333">
        <w:rPr>
          <w:rFonts w:ascii="Verdana" w:eastAsia="Calibri" w:hAnsi="Verdana" w:cs="Arial"/>
          <w:color w:val="000000"/>
          <w:sz w:val="20"/>
          <w:szCs w:val="20"/>
          <w:vertAlign w:val="superscript"/>
          <w:lang w:val="es-ES_tradnl" w:eastAsia="es-CO"/>
        </w:rPr>
        <w:footnoteReference w:id="7"/>
      </w:r>
      <w:r w:rsidRPr="00323333">
        <w:rPr>
          <w:rFonts w:ascii="Verdana" w:eastAsia="Calibri" w:hAnsi="Verdana" w:cs="Arial"/>
          <w:color w:val="000000"/>
          <w:sz w:val="20"/>
          <w:szCs w:val="20"/>
          <w:lang w:val="es-ES_tradnl" w:eastAsia="es-CO"/>
        </w:rPr>
        <w:t>.</w:t>
      </w:r>
    </w:p>
    <w:p w14:paraId="4BEB3D6E" w14:textId="77777777" w:rsidR="00C75ABA" w:rsidRPr="00323333" w:rsidRDefault="00C75ABA" w:rsidP="00C75ABA">
      <w:pPr>
        <w:spacing w:after="0" w:line="276" w:lineRule="auto"/>
        <w:ind w:firstLine="709"/>
        <w:jc w:val="both"/>
        <w:rPr>
          <w:rFonts w:ascii="Verdana" w:hAnsi="Verdana" w:cs="Arial"/>
          <w:color w:val="000000" w:themeColor="text1"/>
          <w:lang w:val="es-MX"/>
        </w:rPr>
      </w:pPr>
    </w:p>
    <w:p w14:paraId="1AA07F2D" w14:textId="77777777" w:rsidR="00C75ABA" w:rsidRDefault="00C75ABA" w:rsidP="00C75ABA">
      <w:pPr>
        <w:spacing w:after="0" w:line="276" w:lineRule="auto"/>
        <w:ind w:firstLine="709"/>
        <w:jc w:val="both"/>
        <w:rPr>
          <w:rFonts w:ascii="Verdana" w:hAnsi="Verdana" w:cs="Arial"/>
          <w:color w:val="000000" w:themeColor="text1"/>
          <w:lang w:val="es-ES_tradnl"/>
        </w:rPr>
      </w:pPr>
      <w:r w:rsidRPr="00323333">
        <w:rPr>
          <w:rFonts w:ascii="Verdana" w:hAnsi="Verdana" w:cs="Arial"/>
          <w:color w:val="000000" w:themeColor="text1"/>
          <w:lang w:val="es-MX"/>
        </w:rPr>
        <w:t xml:space="preserve">De este modo, </w:t>
      </w:r>
      <w:r w:rsidRPr="00323333">
        <w:rPr>
          <w:rFonts w:ascii="Verdana" w:hAnsi="Verdana" w:cs="Arial"/>
          <w:color w:val="000000" w:themeColor="text1"/>
          <w:lang w:val="es-ES_tradnl"/>
        </w:rPr>
        <w:t xml:space="preserve">con la aprobación de las garantías la entidad estatal </w:t>
      </w:r>
      <w:r w:rsidRPr="00323333">
        <w:rPr>
          <w:rFonts w:ascii="Verdana" w:hAnsi="Verdana" w:cs="Arial"/>
          <w:color w:val="000000" w:themeColor="text1"/>
          <w:lang w:eastAsia="es-CO"/>
        </w:rPr>
        <w:t xml:space="preserve">estará acreditando el cumplimiento de la obligación del artículo 7 de la Ley 1150 de 2007, </w:t>
      </w:r>
      <w:r w:rsidRPr="00323333">
        <w:rPr>
          <w:rFonts w:ascii="Verdana" w:hAnsi="Verdana" w:cs="Arial"/>
          <w:color w:val="000000" w:themeColor="text1"/>
          <w:lang w:val="es-ES_tradnl"/>
        </w:rPr>
        <w:t xml:space="preserve">y entonces el contrato podrá ejecutarse, siempre que se cumplan los demás requisitos que establece el artículo 41 de la Ley 80 de 1993. Sin embargo, en caso de que la entidad no realice la aprobación de las garantías en el SECOP II, debe aclararse que este no habilitará el módulo “ejecución del contrato” lo cual impedirá </w:t>
      </w:r>
      <w:r w:rsidRPr="00323333">
        <w:rPr>
          <w:rFonts w:ascii="Verdana" w:eastAsia="Calibri" w:hAnsi="Verdana" w:cs="Arial"/>
          <w:lang w:val="es-ES"/>
        </w:rPr>
        <w:t>la recepción de informes</w:t>
      </w:r>
      <w:r>
        <w:rPr>
          <w:rFonts w:ascii="Verdana" w:eastAsia="Calibri" w:hAnsi="Verdana" w:cs="Arial"/>
          <w:lang w:val="es-ES"/>
        </w:rPr>
        <w:t xml:space="preserve"> y</w:t>
      </w:r>
      <w:r w:rsidRPr="00323333">
        <w:rPr>
          <w:rFonts w:ascii="Verdana" w:eastAsia="Calibri" w:hAnsi="Verdana" w:cs="Arial"/>
          <w:lang w:val="es-ES"/>
        </w:rPr>
        <w:t xml:space="preserve"> la gestión de cuentas de cobro</w:t>
      </w:r>
      <w:r>
        <w:rPr>
          <w:rFonts w:ascii="Verdana" w:eastAsia="Calibri" w:hAnsi="Verdana" w:cs="Arial"/>
          <w:lang w:val="es-ES"/>
        </w:rPr>
        <w:t xml:space="preserve">. </w:t>
      </w:r>
      <w:r w:rsidRPr="00323333">
        <w:rPr>
          <w:rFonts w:ascii="Verdana" w:hAnsi="Verdana" w:cs="Arial"/>
          <w:color w:val="000000" w:themeColor="text1"/>
          <w:lang w:val="es-ES_tradnl"/>
        </w:rPr>
        <w:t>Por tanto, los pagos autorizados sin la aprobación de las garantías o sin los requisitos de cobertura y suficiencia comprometen la responsabilidad de los servidores públicos implicados en la gestión contractual de la entidad estatal.</w:t>
      </w:r>
    </w:p>
    <w:p w14:paraId="1A3BAF80" w14:textId="77777777" w:rsidR="00C75ABA" w:rsidRPr="000A201B" w:rsidRDefault="00C75ABA" w:rsidP="00C75ABA">
      <w:pPr>
        <w:spacing w:before="120" w:after="120" w:line="276" w:lineRule="auto"/>
        <w:jc w:val="both"/>
        <w:rPr>
          <w:rFonts w:ascii="Verdana" w:hAnsi="Verdana" w:cs="Arial"/>
          <w:color w:val="000000" w:themeColor="text1"/>
        </w:rPr>
      </w:pPr>
      <w:proofErr w:type="spellStart"/>
      <w:r>
        <w:rPr>
          <w:rFonts w:ascii="Verdana" w:hAnsi="Verdana" w:cs="Arial"/>
          <w:color w:val="000000" w:themeColor="text1"/>
          <w:lang w:val="es-ES_tradnl"/>
        </w:rPr>
        <w:t>ii</w:t>
      </w:r>
      <w:proofErr w:type="spellEnd"/>
      <w:r>
        <w:rPr>
          <w:rFonts w:ascii="Verdana" w:hAnsi="Verdana" w:cs="Arial"/>
          <w:color w:val="000000" w:themeColor="text1"/>
          <w:lang w:val="es-ES_tradnl"/>
        </w:rPr>
        <w:t xml:space="preserve">) Por otra parte, resulta pertinente señalar que después </w:t>
      </w:r>
      <w:r w:rsidRPr="000A201B">
        <w:rPr>
          <w:rFonts w:ascii="Verdana" w:hAnsi="Verdana" w:cs="Arial"/>
          <w:color w:val="000000" w:themeColor="text1"/>
        </w:rPr>
        <w:t xml:space="preserve">de la terminación del contrato estatal se presentan ciertas actuaciones que la entidad debe realizar por mandato legal, o que deben realizar las partes en virtud del acuerdo de </w:t>
      </w:r>
      <w:r w:rsidRPr="000A201B">
        <w:rPr>
          <w:rFonts w:ascii="Verdana" w:hAnsi="Verdana" w:cs="Arial"/>
          <w:color w:val="000000" w:themeColor="text1"/>
        </w:rPr>
        <w:lastRenderedPageBreak/>
        <w:t>voluntades.</w:t>
      </w:r>
      <w:r w:rsidRPr="000A201B">
        <w:rPr>
          <w:rFonts w:ascii="Verdana" w:hAnsi="Verdana"/>
          <w:color w:val="000000" w:themeColor="text1"/>
        </w:rPr>
        <w:t xml:space="preserve"> </w:t>
      </w:r>
      <w:r w:rsidRPr="000A201B">
        <w:rPr>
          <w:rFonts w:ascii="Verdana" w:hAnsi="Verdana" w:cs="Arial"/>
          <w:color w:val="000000" w:themeColor="text1"/>
        </w:rPr>
        <w:t>Por regla general, estas actuaciones están contenidas en documentos, como, por ejemplo: i) el acta de recibo final</w:t>
      </w:r>
      <w:r>
        <w:rPr>
          <w:rFonts w:ascii="Verdana" w:hAnsi="Verdana" w:cs="Arial"/>
          <w:color w:val="000000" w:themeColor="text1"/>
        </w:rPr>
        <w:t xml:space="preserve"> o de satisfacción</w:t>
      </w:r>
      <w:r w:rsidRPr="000A201B">
        <w:rPr>
          <w:rFonts w:ascii="Verdana" w:hAnsi="Verdana" w:cs="Arial"/>
          <w:color w:val="000000" w:themeColor="text1"/>
        </w:rPr>
        <w:t xml:space="preserve"> del contrato, </w:t>
      </w:r>
      <w:proofErr w:type="spellStart"/>
      <w:r w:rsidRPr="000A201B">
        <w:rPr>
          <w:rFonts w:ascii="Verdana" w:hAnsi="Verdana" w:cs="Arial"/>
          <w:color w:val="000000" w:themeColor="text1"/>
        </w:rPr>
        <w:t>ii</w:t>
      </w:r>
      <w:proofErr w:type="spellEnd"/>
      <w:r w:rsidRPr="000A201B">
        <w:rPr>
          <w:rFonts w:ascii="Verdana" w:hAnsi="Verdana" w:cs="Arial"/>
          <w:color w:val="000000" w:themeColor="text1"/>
        </w:rPr>
        <w:t xml:space="preserve">) </w:t>
      </w:r>
      <w:r>
        <w:rPr>
          <w:rFonts w:ascii="Verdana" w:hAnsi="Verdana" w:cs="Arial"/>
          <w:color w:val="000000" w:themeColor="text1"/>
        </w:rPr>
        <w:t xml:space="preserve">la </w:t>
      </w:r>
      <w:r w:rsidRPr="000A201B">
        <w:rPr>
          <w:rFonts w:ascii="Verdana" w:hAnsi="Verdana" w:cs="Arial"/>
          <w:color w:val="000000" w:themeColor="text1"/>
        </w:rPr>
        <w:t xml:space="preserve">liquidación, y </w:t>
      </w:r>
      <w:proofErr w:type="spellStart"/>
      <w:r w:rsidRPr="000A201B">
        <w:rPr>
          <w:rFonts w:ascii="Verdana" w:hAnsi="Verdana" w:cs="Arial"/>
          <w:color w:val="000000" w:themeColor="text1"/>
        </w:rPr>
        <w:t>iii</w:t>
      </w:r>
      <w:proofErr w:type="spellEnd"/>
      <w:r w:rsidRPr="000A201B">
        <w:rPr>
          <w:rFonts w:ascii="Verdana" w:hAnsi="Verdana" w:cs="Arial"/>
          <w:color w:val="000000" w:themeColor="text1"/>
        </w:rPr>
        <w:t xml:space="preserve">) la constancia de cierre del expediente. </w:t>
      </w:r>
    </w:p>
    <w:p w14:paraId="7EC88648" w14:textId="77777777" w:rsidR="00C75ABA" w:rsidRPr="000A201B" w:rsidRDefault="00C75ABA" w:rsidP="00C75ABA">
      <w:pPr>
        <w:spacing w:before="120" w:after="0" w:line="276" w:lineRule="auto"/>
        <w:ind w:firstLine="709"/>
        <w:jc w:val="both"/>
        <w:rPr>
          <w:rFonts w:ascii="Verdana" w:hAnsi="Verdana" w:cs="Arial"/>
          <w:color w:val="000000" w:themeColor="text1"/>
        </w:rPr>
      </w:pPr>
      <w:r w:rsidRPr="000A201B">
        <w:rPr>
          <w:rFonts w:ascii="Verdana" w:hAnsi="Verdana" w:cs="Arial"/>
          <w:color w:val="000000" w:themeColor="text1"/>
        </w:rPr>
        <w:t>El acta de recibo final del objeto del contrato no está regulada por las normas de contratación pública. Sin embargo, en virtud de la autonomía de la voluntad, la entidad y el contratista pueden acordar su suscripción, con el objeto de facilitar la verificación de la ejecución de las obligaciones a cargo de aquel. Este documento también es útil para liquidar el contrato</w:t>
      </w:r>
      <w:r>
        <w:rPr>
          <w:rFonts w:ascii="Verdana" w:hAnsi="Verdana" w:cs="Arial"/>
          <w:color w:val="000000" w:themeColor="text1"/>
        </w:rPr>
        <w:t>, así como para determinar el inicio de la cobertura del amparo de calidad y estabilidad de la obra</w:t>
      </w:r>
      <w:r w:rsidRPr="000A201B">
        <w:rPr>
          <w:rFonts w:ascii="Verdana" w:hAnsi="Verdana" w:cs="Arial"/>
          <w:color w:val="000000" w:themeColor="text1"/>
        </w:rPr>
        <w:t>. La Sección Tercer</w:t>
      </w:r>
      <w:r>
        <w:rPr>
          <w:rFonts w:ascii="Verdana" w:hAnsi="Verdana" w:cs="Arial"/>
          <w:color w:val="000000" w:themeColor="text1"/>
        </w:rPr>
        <w:t>a del Consejo de Estado, en S</w:t>
      </w:r>
      <w:r w:rsidRPr="000A201B">
        <w:rPr>
          <w:rFonts w:ascii="Verdana" w:hAnsi="Verdana" w:cs="Arial"/>
          <w:color w:val="000000" w:themeColor="text1"/>
        </w:rPr>
        <w:t>entencia del 28 de febrero de 2013</w:t>
      </w:r>
      <w:r w:rsidRPr="000A201B">
        <w:rPr>
          <w:rStyle w:val="Refdenotaalpie"/>
          <w:rFonts w:ascii="Verdana" w:hAnsi="Verdana" w:cs="Arial"/>
          <w:color w:val="000000" w:themeColor="text1"/>
        </w:rPr>
        <w:footnoteReference w:id="8"/>
      </w:r>
      <w:r w:rsidRPr="000A201B">
        <w:rPr>
          <w:rFonts w:ascii="Verdana" w:hAnsi="Verdana" w:cs="Arial"/>
          <w:color w:val="000000" w:themeColor="text1"/>
        </w:rPr>
        <w:t>, indicó:</w:t>
      </w:r>
    </w:p>
    <w:p w14:paraId="6DD46E9E" w14:textId="77777777" w:rsidR="00C75ABA" w:rsidRDefault="00C75ABA" w:rsidP="00C75ABA">
      <w:pPr>
        <w:tabs>
          <w:tab w:val="left" w:pos="8080"/>
        </w:tabs>
        <w:spacing w:after="0"/>
        <w:ind w:left="708" w:right="709"/>
        <w:jc w:val="both"/>
        <w:rPr>
          <w:rFonts w:ascii="Verdana" w:hAnsi="Verdana" w:cs="Arial"/>
          <w:color w:val="000000" w:themeColor="text1"/>
        </w:rPr>
      </w:pPr>
    </w:p>
    <w:p w14:paraId="09A483FC" w14:textId="77777777" w:rsidR="00C75ABA" w:rsidRPr="000A201B" w:rsidRDefault="00C75ABA" w:rsidP="00C75ABA">
      <w:pPr>
        <w:tabs>
          <w:tab w:val="left" w:pos="8080"/>
        </w:tabs>
        <w:spacing w:after="0" w:line="240" w:lineRule="auto"/>
        <w:ind w:left="709" w:right="709"/>
        <w:jc w:val="both"/>
        <w:rPr>
          <w:rFonts w:ascii="Verdana" w:hAnsi="Verdana" w:cs="Arial"/>
          <w:color w:val="000000" w:themeColor="text1"/>
          <w:sz w:val="21"/>
          <w:szCs w:val="21"/>
        </w:rPr>
      </w:pPr>
      <w:r>
        <w:rPr>
          <w:rFonts w:ascii="Verdana" w:hAnsi="Verdana" w:cs="Arial"/>
          <w:color w:val="000000" w:themeColor="text1"/>
          <w:sz w:val="21"/>
          <w:szCs w:val="21"/>
        </w:rPr>
        <w:t>“</w:t>
      </w:r>
      <w:r w:rsidRPr="000A201B">
        <w:rPr>
          <w:rFonts w:ascii="Verdana" w:hAnsi="Verdana" w:cs="Arial"/>
          <w:color w:val="000000" w:themeColor="text1"/>
          <w:sz w:val="21"/>
          <w:szCs w:val="21"/>
        </w:rPr>
        <w:t>Es decir que dicha acta de recibo final es concebida como un medio de verificación de la ejecución del objeto contractual, para determinar si el mismo se efectuó cabalmente y de acuerdo con las especificaciones pactadas en el contrato, lo que significa que dicha acta constituye un elemento anterior y útil para la liquidación de los contratos, puesto que a través de ella se constata cualitativa y cuantitativamente el cumplimiento de las prestaciones a cargo del contratista como paso previo para efectuar el respectivo corte de cuentas que implica la liquidación del contrato aunque en algunas ocasiones, las partes de hecho liquidan el contrato en la que denominan acta de recibo final</w:t>
      </w:r>
      <w:r>
        <w:rPr>
          <w:rFonts w:ascii="Verdana" w:hAnsi="Verdana" w:cs="Arial"/>
          <w:color w:val="000000" w:themeColor="text1"/>
          <w:sz w:val="21"/>
          <w:szCs w:val="21"/>
        </w:rPr>
        <w:t>”</w:t>
      </w:r>
      <w:r w:rsidRPr="000A201B">
        <w:rPr>
          <w:rFonts w:ascii="Verdana" w:hAnsi="Verdana" w:cs="Arial"/>
          <w:color w:val="000000" w:themeColor="text1"/>
          <w:sz w:val="21"/>
          <w:szCs w:val="21"/>
        </w:rPr>
        <w:t>.</w:t>
      </w:r>
    </w:p>
    <w:p w14:paraId="07681345" w14:textId="77777777" w:rsidR="00C75ABA" w:rsidRDefault="00C75ABA" w:rsidP="00C75ABA">
      <w:pPr>
        <w:spacing w:after="0" w:line="276" w:lineRule="auto"/>
        <w:ind w:firstLine="709"/>
        <w:jc w:val="both"/>
        <w:rPr>
          <w:rFonts w:ascii="Verdana" w:hAnsi="Verdana" w:cs="Arial"/>
          <w:color w:val="000000" w:themeColor="text1"/>
        </w:rPr>
      </w:pPr>
    </w:p>
    <w:p w14:paraId="3EB804CD" w14:textId="77777777" w:rsidR="00C75ABA" w:rsidRDefault="00C75ABA" w:rsidP="00C75ABA">
      <w:pPr>
        <w:spacing w:after="0" w:line="276" w:lineRule="auto"/>
        <w:ind w:firstLine="709"/>
        <w:jc w:val="both"/>
        <w:rPr>
          <w:rFonts w:ascii="Verdana" w:hAnsi="Verdana" w:cs="Arial"/>
          <w:color w:val="000000" w:themeColor="text1"/>
        </w:rPr>
      </w:pPr>
      <w:r w:rsidRPr="000A201B">
        <w:rPr>
          <w:rFonts w:ascii="Verdana" w:hAnsi="Verdana" w:cs="Arial"/>
          <w:color w:val="000000" w:themeColor="text1"/>
        </w:rPr>
        <w:t>El acta de recibo final es un elemento accidental del contrato estatal</w:t>
      </w:r>
      <w:r w:rsidRPr="000A201B">
        <w:rPr>
          <w:rStyle w:val="Refdenotaalpie"/>
          <w:rFonts w:ascii="Verdana" w:hAnsi="Verdana" w:cs="Arial"/>
          <w:color w:val="000000" w:themeColor="text1"/>
        </w:rPr>
        <w:footnoteReference w:id="9"/>
      </w:r>
      <w:r w:rsidRPr="000A201B">
        <w:rPr>
          <w:rFonts w:ascii="Verdana" w:hAnsi="Verdana" w:cs="Arial"/>
          <w:color w:val="000000" w:themeColor="text1"/>
        </w:rPr>
        <w:t>, pues, de acuerdo con las cláusulas pactadas en el mismo, las partes la utilizan dentro del negocio jurídico, por un lado, para verificar la ejecución del contrato cualitativa y cuantitativamente y, por el otro, como insumo para definir las prestaciones a cargo de cada una de ellas.</w:t>
      </w:r>
      <w:r>
        <w:rPr>
          <w:rFonts w:ascii="Verdana" w:hAnsi="Verdana" w:cs="Arial"/>
          <w:color w:val="000000" w:themeColor="text1"/>
        </w:rPr>
        <w:t xml:space="preserve"> </w:t>
      </w:r>
    </w:p>
    <w:p w14:paraId="349CF1EF" w14:textId="77777777" w:rsidR="00C75ABA" w:rsidRDefault="00C75ABA" w:rsidP="00C75ABA">
      <w:pPr>
        <w:spacing w:before="120" w:line="276" w:lineRule="auto"/>
        <w:ind w:firstLine="708"/>
        <w:jc w:val="both"/>
        <w:rPr>
          <w:rFonts w:ascii="Verdana" w:hAnsi="Verdana" w:cs="Arial"/>
          <w:color w:val="000000" w:themeColor="text1"/>
        </w:rPr>
      </w:pPr>
      <w:r>
        <w:rPr>
          <w:rFonts w:ascii="Verdana" w:eastAsia="Times New Roman" w:hAnsi="Verdana" w:cs="Arial"/>
          <w:color w:val="000000"/>
        </w:rPr>
        <w:t>Por otro lado, la</w:t>
      </w:r>
      <w:r w:rsidRPr="00303985">
        <w:rPr>
          <w:rFonts w:ascii="Verdana" w:eastAsia="Times New Roman" w:hAnsi="Verdana" w:cs="Arial"/>
          <w:color w:val="000000"/>
          <w:lang w:val="es-ES"/>
        </w:rPr>
        <w:t xml:space="preserve"> liquidación es el momento en el cual, una vez concluido el contrato estatal, las partes cruzan cuentas respecto de sus obligaciones. Por tanto, su objetivo es determinar si pueden declararse a paz y salvo mutuo o si, </w:t>
      </w:r>
      <w:r w:rsidRPr="00303985">
        <w:rPr>
          <w:rFonts w:ascii="Verdana" w:eastAsia="Times New Roman" w:hAnsi="Verdana" w:cs="Arial"/>
          <w:color w:val="000000"/>
          <w:lang w:val="es-ES"/>
        </w:rPr>
        <w:lastRenderedPageBreak/>
        <w:t>por el contrario, existen aún obligaciones por cumplir, para acordar la forma en que deben ser finalizadas</w:t>
      </w:r>
      <w:r w:rsidRPr="00303985">
        <w:rPr>
          <w:rFonts w:ascii="Verdana" w:eastAsia="Times New Roman" w:hAnsi="Verdana" w:cs="Arial"/>
          <w:color w:val="000000"/>
          <w:vertAlign w:val="superscript"/>
          <w:lang w:val="es-ES"/>
        </w:rPr>
        <w:footnoteReference w:id="10"/>
      </w:r>
      <w:r w:rsidRPr="00303985">
        <w:rPr>
          <w:rFonts w:ascii="Verdana" w:eastAsia="Times New Roman" w:hAnsi="Verdana" w:cs="Arial"/>
          <w:color w:val="000000"/>
          <w:lang w:val="es-ES"/>
        </w:rPr>
        <w:t xml:space="preserve">. </w:t>
      </w:r>
      <w:r w:rsidRPr="00303985">
        <w:rPr>
          <w:rFonts w:ascii="Verdana" w:eastAsia="Times New Roman" w:hAnsi="Verdana" w:cs="Arial"/>
          <w:color w:val="000000"/>
          <w:szCs w:val="24"/>
          <w:lang w:val="es-ES_tradnl" w:eastAsia="es-ES_tradnl"/>
        </w:rPr>
        <w:t>Según l</w:t>
      </w:r>
      <w:r>
        <w:rPr>
          <w:rFonts w:ascii="Verdana" w:eastAsia="Times New Roman" w:hAnsi="Verdana" w:cs="Arial"/>
          <w:color w:val="000000"/>
          <w:szCs w:val="24"/>
          <w:lang w:val="es-ES_tradnl" w:eastAsia="es-ES_tradnl"/>
        </w:rPr>
        <w:t>o expuesto</w:t>
      </w:r>
      <w:r w:rsidRPr="00303985">
        <w:rPr>
          <w:rFonts w:ascii="Verdana" w:eastAsia="Times New Roman" w:hAnsi="Verdana" w:cs="Arial"/>
          <w:color w:val="000000"/>
          <w:szCs w:val="24"/>
          <w:lang w:val="es-ES_tradnl" w:eastAsia="es-ES_tradnl"/>
        </w:rPr>
        <w:t xml:space="preserve">, la liquidación es el ajuste de cuentas donde las partes hacen un balance económico, técnico y jurídico del cumplimiento de las obligaciones que tienen a su cargo. Así lo manifestó el Consejo de Estado en la Sentencia del 20 de octubre de 2014, en la que consideró, por un lado, que </w:t>
      </w:r>
      <w:r w:rsidRPr="00303985">
        <w:rPr>
          <w:rFonts w:ascii="Verdana" w:eastAsia="Times New Roman" w:hAnsi="Verdana" w:cs="Arial"/>
          <w:i/>
          <w:iCs/>
          <w:color w:val="000000"/>
          <w:szCs w:val="24"/>
          <w:lang w:val="es-ES_tradnl" w:eastAsia="es-ES_tradnl"/>
        </w:rPr>
        <w:t>liquidar</w:t>
      </w:r>
      <w:r w:rsidRPr="00303985">
        <w:rPr>
          <w:rFonts w:ascii="Verdana" w:eastAsia="Times New Roman" w:hAnsi="Verdana" w:cs="Arial"/>
          <w:color w:val="000000"/>
          <w:szCs w:val="24"/>
          <w:lang w:val="es-ES_tradnl" w:eastAsia="es-ES_tradnl"/>
        </w:rPr>
        <w:t xml:space="preserve"> supone un ajuste en relación con las cuentas y el estado de cumplimiento del contrato estatal y, por el otro, que la </w:t>
      </w:r>
      <w:r w:rsidRPr="00303985">
        <w:rPr>
          <w:rFonts w:ascii="Verdana" w:eastAsia="Times New Roman" w:hAnsi="Verdana" w:cs="Arial"/>
          <w:i/>
          <w:iCs/>
          <w:color w:val="000000"/>
          <w:szCs w:val="24"/>
          <w:lang w:val="es-ES_tradnl" w:eastAsia="es-ES_tradnl"/>
        </w:rPr>
        <w:t>liquidación</w:t>
      </w:r>
      <w:r w:rsidRPr="00303985">
        <w:rPr>
          <w:rFonts w:ascii="Verdana" w:eastAsia="Times New Roman" w:hAnsi="Verdana" w:cs="Arial"/>
          <w:color w:val="000000"/>
          <w:szCs w:val="24"/>
          <w:lang w:val="es-ES_tradnl" w:eastAsia="es-ES_tradnl"/>
        </w:rPr>
        <w:t xml:space="preserve"> debe incluir el análisis de las condiciones de calidad y oportunidad en la entrega de los bienes, obras o servicios, así como el balance económico y el comportamiento financiero del negocio</w:t>
      </w:r>
      <w:r w:rsidRPr="00303985">
        <w:rPr>
          <w:rFonts w:ascii="Verdana" w:eastAsia="Times New Roman" w:hAnsi="Verdana" w:cs="Arial"/>
          <w:color w:val="000000"/>
          <w:szCs w:val="24"/>
          <w:vertAlign w:val="superscript"/>
          <w:lang w:val="es-ES_tradnl" w:eastAsia="es-ES_tradnl"/>
        </w:rPr>
        <w:footnoteReference w:id="11"/>
      </w:r>
      <w:r w:rsidRPr="00303985">
        <w:rPr>
          <w:rFonts w:ascii="Verdana" w:eastAsia="Times New Roman" w:hAnsi="Verdana" w:cs="Arial"/>
          <w:color w:val="000000"/>
          <w:szCs w:val="24"/>
          <w:lang w:val="es-ES_tradnl" w:eastAsia="es-ES_tradnl"/>
        </w:rPr>
        <w:t xml:space="preserve">. </w:t>
      </w:r>
    </w:p>
    <w:p w14:paraId="03FA1FEA" w14:textId="77777777" w:rsidR="00C75ABA" w:rsidRPr="00EB074D" w:rsidRDefault="00C75ABA" w:rsidP="00C75ABA">
      <w:pPr>
        <w:spacing w:line="276" w:lineRule="auto"/>
        <w:ind w:firstLine="708"/>
        <w:jc w:val="both"/>
        <w:rPr>
          <w:rFonts w:ascii="Verdana" w:eastAsia="Calibri" w:hAnsi="Verdana" w:cs="Arial"/>
        </w:rPr>
      </w:pPr>
      <w:r>
        <w:rPr>
          <w:rFonts w:ascii="Verdana" w:hAnsi="Verdana" w:cs="Arial"/>
          <w:color w:val="000000" w:themeColor="text1"/>
        </w:rPr>
        <w:t xml:space="preserve">Teniendo en cuenta lo que implica la liquidación dentro </w:t>
      </w:r>
      <w:r>
        <w:rPr>
          <w:rFonts w:ascii="Verdana" w:eastAsia="Calibri" w:hAnsi="Verdana" w:cs="Arial"/>
          <w:lang w:val="es-ES"/>
        </w:rPr>
        <w:t>de la etapa de la contratación estatal la Agencia ha expresado en diferentes documentos</w:t>
      </w:r>
      <w:r>
        <w:rPr>
          <w:rStyle w:val="Refdenotaalpie"/>
          <w:rFonts w:ascii="Verdana" w:eastAsia="Calibri" w:hAnsi="Verdana" w:cs="Arial"/>
          <w:lang w:val="es-ES"/>
        </w:rPr>
        <w:footnoteReference w:id="12"/>
      </w:r>
      <w:r>
        <w:rPr>
          <w:rFonts w:ascii="Verdana" w:eastAsia="Calibri" w:hAnsi="Verdana" w:cs="Arial"/>
          <w:lang w:val="es-ES"/>
        </w:rPr>
        <w:t xml:space="preserve"> que corresponde a </w:t>
      </w:r>
      <w:r w:rsidRPr="00EB074D">
        <w:rPr>
          <w:rFonts w:ascii="Verdana" w:eastAsia="Calibri" w:hAnsi="Verdana" w:cs="Arial"/>
        </w:rPr>
        <w:t xml:space="preserve">la Entidad Estatal </w:t>
      </w:r>
      <w:r>
        <w:rPr>
          <w:rFonts w:ascii="Verdana" w:eastAsia="Calibri" w:hAnsi="Verdana" w:cs="Arial"/>
        </w:rPr>
        <w:t xml:space="preserve">realizar </w:t>
      </w:r>
      <w:r w:rsidRPr="00EB074D">
        <w:rPr>
          <w:rFonts w:ascii="Verdana" w:eastAsia="Calibri" w:hAnsi="Verdana" w:cs="Arial"/>
        </w:rPr>
        <w:t>esta</w:t>
      </w:r>
      <w:r>
        <w:rPr>
          <w:rFonts w:ascii="Verdana" w:eastAsia="Calibri" w:hAnsi="Verdana" w:cs="Arial"/>
        </w:rPr>
        <w:t xml:space="preserve">s </w:t>
      </w:r>
      <w:r w:rsidRPr="00EB074D">
        <w:rPr>
          <w:rFonts w:ascii="Verdana" w:eastAsia="Calibri" w:hAnsi="Verdana" w:cs="Arial"/>
        </w:rPr>
        <w:t xml:space="preserve">modificaciones en </w:t>
      </w:r>
      <w:r>
        <w:rPr>
          <w:rFonts w:ascii="Verdana" w:eastAsia="Calibri" w:hAnsi="Verdana" w:cs="Arial"/>
        </w:rPr>
        <w:t>SECOP II</w:t>
      </w:r>
      <w:r w:rsidRPr="00EB074D">
        <w:rPr>
          <w:rFonts w:ascii="Verdana" w:eastAsia="Calibri" w:hAnsi="Verdana" w:cs="Arial"/>
        </w:rPr>
        <w:t>,</w:t>
      </w:r>
      <w:r>
        <w:rPr>
          <w:rFonts w:ascii="Verdana" w:eastAsia="Calibri" w:hAnsi="Verdana" w:cs="Arial"/>
        </w:rPr>
        <w:t xml:space="preserve"> que implica</w:t>
      </w:r>
      <w:r w:rsidRPr="00EB074D">
        <w:rPr>
          <w:rFonts w:ascii="Verdana" w:eastAsia="Calibri" w:hAnsi="Verdana" w:cs="Arial"/>
        </w:rPr>
        <w:t xml:space="preserve"> cambiar el estado del contrato a “Terminado” y si</w:t>
      </w:r>
      <w:r>
        <w:rPr>
          <w:rFonts w:ascii="Verdana" w:eastAsia="Calibri" w:hAnsi="Verdana" w:cs="Arial"/>
        </w:rPr>
        <w:t xml:space="preserve"> </w:t>
      </w:r>
      <w:r w:rsidRPr="00EB074D">
        <w:rPr>
          <w:rFonts w:ascii="Verdana" w:eastAsia="Calibri" w:hAnsi="Verdana" w:cs="Arial"/>
        </w:rPr>
        <w:t>tiene disponibles los documentos relacionados con la terminación o con la liquidación, si aplica.</w:t>
      </w:r>
      <w:r>
        <w:rPr>
          <w:rFonts w:ascii="Verdana" w:eastAsia="Calibri" w:hAnsi="Verdana" w:cs="Arial"/>
        </w:rPr>
        <w:t xml:space="preserve"> </w:t>
      </w:r>
      <w:r w:rsidRPr="00EB074D">
        <w:rPr>
          <w:rFonts w:ascii="Verdana" w:eastAsia="Calibri" w:hAnsi="Verdana" w:cs="Arial"/>
        </w:rPr>
        <w:t>Lo anterior</w:t>
      </w:r>
      <w:r>
        <w:rPr>
          <w:rFonts w:ascii="Verdana" w:eastAsia="Calibri" w:hAnsi="Verdana" w:cs="Arial"/>
        </w:rPr>
        <w:t xml:space="preserve">, </w:t>
      </w:r>
      <w:r w:rsidRPr="00EB074D">
        <w:rPr>
          <w:rFonts w:ascii="Verdana" w:eastAsia="Calibri" w:hAnsi="Verdana" w:cs="Arial"/>
        </w:rPr>
        <w:t>teniendo en cuenta que esta modificación bloqueará cualquier</w:t>
      </w:r>
      <w:r>
        <w:rPr>
          <w:rFonts w:ascii="Verdana" w:eastAsia="Calibri" w:hAnsi="Verdana" w:cs="Arial"/>
        </w:rPr>
        <w:t xml:space="preserve"> </w:t>
      </w:r>
      <w:r w:rsidRPr="00EB074D">
        <w:rPr>
          <w:rFonts w:ascii="Verdana" w:eastAsia="Calibri" w:hAnsi="Verdana" w:cs="Arial"/>
        </w:rPr>
        <w:t>cambio al contrato electrónico solo tendrás habilitada la sección de “Ejecución</w:t>
      </w:r>
      <w:r>
        <w:rPr>
          <w:rFonts w:ascii="Verdana" w:eastAsia="Calibri" w:hAnsi="Verdana" w:cs="Arial"/>
        </w:rPr>
        <w:t xml:space="preserve"> </w:t>
      </w:r>
      <w:r w:rsidRPr="00EB074D">
        <w:rPr>
          <w:rFonts w:ascii="Verdana" w:eastAsia="Calibri" w:hAnsi="Verdana" w:cs="Arial"/>
        </w:rPr>
        <w:t>del contrato” para gestionar las solicitudes de pago pendientes en el “Plan de</w:t>
      </w:r>
      <w:r>
        <w:rPr>
          <w:rFonts w:ascii="Verdana" w:eastAsia="Calibri" w:hAnsi="Verdana" w:cs="Arial"/>
        </w:rPr>
        <w:t xml:space="preserve"> </w:t>
      </w:r>
      <w:r w:rsidRPr="00EB074D">
        <w:rPr>
          <w:rFonts w:ascii="Verdana" w:eastAsia="Calibri" w:hAnsi="Verdana" w:cs="Arial"/>
        </w:rPr>
        <w:t>pagos” o la opción de anexar documentos adicionales, del cumplimiento de</w:t>
      </w:r>
      <w:r>
        <w:rPr>
          <w:rFonts w:ascii="Verdana" w:eastAsia="Calibri" w:hAnsi="Verdana" w:cs="Arial"/>
        </w:rPr>
        <w:t xml:space="preserve"> </w:t>
      </w:r>
      <w:r w:rsidRPr="00EB074D">
        <w:rPr>
          <w:rFonts w:ascii="Verdana" w:eastAsia="Calibri" w:hAnsi="Verdana" w:cs="Arial"/>
        </w:rPr>
        <w:t xml:space="preserve">las obligaciones </w:t>
      </w:r>
      <w:proofErr w:type="spellStart"/>
      <w:r w:rsidRPr="00EB074D">
        <w:rPr>
          <w:rFonts w:ascii="Verdana" w:eastAsia="Calibri" w:hAnsi="Verdana" w:cs="Arial"/>
        </w:rPr>
        <w:t>poscontractuales</w:t>
      </w:r>
      <w:proofErr w:type="spellEnd"/>
      <w:r w:rsidRPr="00EB074D">
        <w:rPr>
          <w:rFonts w:ascii="Verdana" w:eastAsia="Calibri" w:hAnsi="Verdana" w:cs="Arial"/>
        </w:rPr>
        <w:t xml:space="preserve"> en “Documentos de la ejecución”.</w:t>
      </w:r>
    </w:p>
    <w:p w14:paraId="2DA70F6D" w14:textId="77777777" w:rsidR="00C75ABA" w:rsidRPr="00CD3934" w:rsidRDefault="00C75ABA" w:rsidP="00C75ABA">
      <w:pPr>
        <w:spacing w:after="0" w:line="276" w:lineRule="auto"/>
        <w:ind w:firstLine="708"/>
        <w:jc w:val="both"/>
        <w:rPr>
          <w:rFonts w:ascii="Verdana" w:eastAsia="Calibri" w:hAnsi="Verdana" w:cs="Arial"/>
          <w:color w:val="000000" w:themeColor="text1"/>
        </w:rPr>
      </w:pPr>
      <w:r>
        <w:rPr>
          <w:rFonts w:ascii="Verdana" w:eastAsia="Calibri" w:hAnsi="Verdana" w:cs="Arial"/>
        </w:rPr>
        <w:t xml:space="preserve">En tal sentido, con el usuario </w:t>
      </w:r>
      <w:r w:rsidRPr="00EB074D">
        <w:rPr>
          <w:rFonts w:ascii="Verdana" w:eastAsia="Calibri" w:hAnsi="Verdana" w:cs="Arial"/>
        </w:rPr>
        <w:t>de la Entidad Estatal podrá gestionar</w:t>
      </w:r>
      <w:r>
        <w:rPr>
          <w:rFonts w:ascii="Verdana" w:eastAsia="Calibri" w:hAnsi="Verdana" w:cs="Arial"/>
        </w:rPr>
        <w:t>se</w:t>
      </w:r>
      <w:r w:rsidRPr="00EB074D">
        <w:rPr>
          <w:rFonts w:ascii="Verdana" w:eastAsia="Calibri" w:hAnsi="Verdana" w:cs="Arial"/>
        </w:rPr>
        <w:t xml:space="preserve"> la terminación, liquidación y cierre del contrato</w:t>
      </w:r>
      <w:r>
        <w:rPr>
          <w:rFonts w:ascii="Verdana" w:eastAsia="Calibri" w:hAnsi="Verdana" w:cs="Arial"/>
        </w:rPr>
        <w:t xml:space="preserve"> </w:t>
      </w:r>
      <w:r w:rsidRPr="00EB074D">
        <w:rPr>
          <w:rFonts w:ascii="Verdana" w:eastAsia="Calibri" w:hAnsi="Verdana" w:cs="Arial"/>
        </w:rPr>
        <w:t>en el SECOP II así:</w:t>
      </w:r>
      <w:r>
        <w:rPr>
          <w:rFonts w:ascii="Verdana" w:eastAsia="Calibri" w:hAnsi="Verdana" w:cs="Arial"/>
        </w:rPr>
        <w:t xml:space="preserve"> a</w:t>
      </w:r>
      <w:r w:rsidRPr="00EB074D">
        <w:rPr>
          <w:rFonts w:ascii="Verdana" w:eastAsia="Calibri" w:hAnsi="Verdana" w:cs="Arial"/>
        </w:rPr>
        <w:t>l seleccionar esta modificación, el SECOP II m</w:t>
      </w:r>
      <w:r>
        <w:rPr>
          <w:rFonts w:ascii="Verdana" w:eastAsia="Calibri" w:hAnsi="Verdana" w:cs="Arial"/>
        </w:rPr>
        <w:t>uestra un</w:t>
      </w:r>
      <w:r w:rsidRPr="00EB074D">
        <w:rPr>
          <w:rFonts w:ascii="Verdana" w:eastAsia="Calibri" w:hAnsi="Verdana" w:cs="Arial"/>
        </w:rPr>
        <w:t xml:space="preserve"> mensaje con la pregunta “¿Requiere </w:t>
      </w:r>
      <w:r w:rsidRPr="00EB074D">
        <w:rPr>
          <w:rFonts w:ascii="Verdana" w:eastAsia="Calibri" w:hAnsi="Verdana" w:cs="Arial"/>
        </w:rPr>
        <w:lastRenderedPageBreak/>
        <w:t>reconocimiento</w:t>
      </w:r>
      <w:r>
        <w:rPr>
          <w:rFonts w:ascii="Verdana" w:eastAsia="Calibri" w:hAnsi="Verdana" w:cs="Arial"/>
        </w:rPr>
        <w:t xml:space="preserve"> </w:t>
      </w:r>
      <w:r w:rsidRPr="00EB074D">
        <w:rPr>
          <w:rFonts w:ascii="Verdana" w:eastAsia="Calibri" w:hAnsi="Verdana" w:cs="Arial"/>
        </w:rPr>
        <w:t>del proveedor?”. Por defecto, esta opción viene seleccionada, lo cual, indica que la modificación requiere</w:t>
      </w:r>
      <w:r>
        <w:rPr>
          <w:rFonts w:ascii="Verdana" w:eastAsia="Calibri" w:hAnsi="Verdana" w:cs="Arial"/>
        </w:rPr>
        <w:t xml:space="preserve"> </w:t>
      </w:r>
      <w:r w:rsidRPr="00EB074D">
        <w:rPr>
          <w:rFonts w:ascii="Verdana" w:eastAsia="Calibri" w:hAnsi="Verdana" w:cs="Arial"/>
        </w:rPr>
        <w:t xml:space="preserve">aprobación del Proveedor. Si </w:t>
      </w:r>
      <w:r>
        <w:rPr>
          <w:rFonts w:ascii="Verdana" w:eastAsia="Calibri" w:hAnsi="Verdana" w:cs="Arial"/>
        </w:rPr>
        <w:t xml:space="preserve">va a efectuar </w:t>
      </w:r>
      <w:r w:rsidRPr="00EB074D">
        <w:rPr>
          <w:rFonts w:ascii="Verdana" w:eastAsia="Calibri" w:hAnsi="Verdana" w:cs="Arial"/>
        </w:rPr>
        <w:t xml:space="preserve">una </w:t>
      </w:r>
      <w:proofErr w:type="gramStart"/>
      <w:r w:rsidRPr="00EB074D">
        <w:rPr>
          <w:rFonts w:ascii="Verdana" w:eastAsia="Calibri" w:hAnsi="Verdana" w:cs="Arial"/>
        </w:rPr>
        <w:t xml:space="preserve">terminación bilateral </w:t>
      </w:r>
      <w:r>
        <w:rPr>
          <w:rFonts w:ascii="Verdana" w:eastAsia="Calibri" w:hAnsi="Verdana" w:cs="Arial"/>
        </w:rPr>
        <w:t>o una liquidación bilateral</w:t>
      </w:r>
      <w:proofErr w:type="gramEnd"/>
      <w:r>
        <w:rPr>
          <w:rFonts w:ascii="Verdana" w:eastAsia="Calibri" w:hAnsi="Verdana" w:cs="Arial"/>
        </w:rPr>
        <w:t xml:space="preserve"> del contrato debe</w:t>
      </w:r>
      <w:r w:rsidRPr="00EB074D">
        <w:rPr>
          <w:rFonts w:ascii="Verdana" w:eastAsia="Calibri" w:hAnsi="Verdana" w:cs="Arial"/>
        </w:rPr>
        <w:t xml:space="preserve"> </w:t>
      </w:r>
      <w:r>
        <w:rPr>
          <w:rFonts w:ascii="Verdana" w:eastAsia="Calibri" w:hAnsi="Verdana" w:cs="Arial"/>
        </w:rPr>
        <w:t xml:space="preserve">seleccionar </w:t>
      </w:r>
      <w:r w:rsidRPr="00EB074D">
        <w:rPr>
          <w:rFonts w:ascii="Verdana" w:eastAsia="Calibri" w:hAnsi="Verdana" w:cs="Arial"/>
        </w:rPr>
        <w:t>esta opción</w:t>
      </w:r>
      <w:r>
        <w:rPr>
          <w:rFonts w:ascii="Verdana" w:eastAsia="Calibri" w:hAnsi="Verdana" w:cs="Arial"/>
        </w:rPr>
        <w:t xml:space="preserve">, esto es, que requiera la aprobación del proveedor, teniendo en cuenta que el SECOP II como plataforma transaccional, es donde ambas partes –entidad estatal y proveedor- aprueban los documentos. Por tanto, no se aceptan que las actas de liquidación sean subidas en documentos de ejecución, pues no corresponden a esta etapa de la contratación estatal, salvo que por problemas técnicos en la plataforma no pueda aprobarse la liquidación. </w:t>
      </w:r>
      <w:r w:rsidRPr="00EB074D">
        <w:rPr>
          <w:rFonts w:ascii="Verdana" w:eastAsia="Calibri" w:hAnsi="Verdana" w:cs="Arial"/>
        </w:rPr>
        <w:t>Para el caso de una terminación unilateral o caducar el contrato, deja esta opción sin marcar</w:t>
      </w:r>
      <w:r>
        <w:rPr>
          <w:rFonts w:ascii="Verdana" w:eastAsia="Calibri" w:hAnsi="Verdana" w:cs="Arial"/>
        </w:rPr>
        <w:t>.</w:t>
      </w:r>
    </w:p>
    <w:p w14:paraId="7D07A402" w14:textId="77777777" w:rsidR="00C75ABA" w:rsidRDefault="00C75ABA" w:rsidP="00C75ABA">
      <w:pPr>
        <w:spacing w:before="120" w:line="276" w:lineRule="auto"/>
        <w:ind w:firstLine="708"/>
        <w:jc w:val="both"/>
        <w:rPr>
          <w:rFonts w:ascii="Verdana" w:eastAsia="Times New Roman" w:hAnsi="Verdana" w:cs="Arial"/>
          <w:color w:val="000000"/>
          <w:lang w:val="es-ES"/>
        </w:rPr>
      </w:pPr>
      <w:r w:rsidRPr="0071235D">
        <w:rPr>
          <w:rFonts w:ascii="Verdana" w:eastAsia="Times New Roman" w:hAnsi="Verdana" w:cs="Arial"/>
          <w:color w:val="000000"/>
        </w:rPr>
        <w:t xml:space="preserve">Por su parte, </w:t>
      </w:r>
      <w:r>
        <w:rPr>
          <w:rFonts w:ascii="Verdana" w:eastAsia="Times New Roman" w:hAnsi="Verdana" w:cs="Arial"/>
          <w:color w:val="000000"/>
        </w:rPr>
        <w:t xml:space="preserve">de acuerdo con </w:t>
      </w:r>
      <w:r w:rsidRPr="0071235D">
        <w:rPr>
          <w:rFonts w:ascii="Verdana" w:eastAsia="Times New Roman" w:hAnsi="Verdana" w:cs="Arial"/>
          <w:color w:val="000000"/>
        </w:rPr>
        <w:t xml:space="preserve">el artículo 2.2.1.1.2.4.3 del Decreto 1082 de 2015, el </w:t>
      </w:r>
      <w:r w:rsidRPr="0071235D">
        <w:rPr>
          <w:rFonts w:ascii="Verdana" w:eastAsia="Times New Roman" w:hAnsi="Verdana" w:cs="Arial"/>
          <w:i/>
          <w:iCs/>
          <w:color w:val="000000"/>
        </w:rPr>
        <w:t>cierre del expediente</w:t>
      </w:r>
      <w:r w:rsidRPr="0071235D">
        <w:rPr>
          <w:rFonts w:ascii="Verdana" w:eastAsia="Times New Roman" w:hAnsi="Verdana" w:cs="Arial"/>
          <w:color w:val="000000"/>
        </w:rPr>
        <w:t xml:space="preserve"> es un acto de trámite que realiza la entidad estatal cuando han vencido, por un lado, las garantías de calidad, estabilidad y mantenimiento, o por el otro, cuando se establecieron condiciones de disposición final o recuperación ambiental de las obras o bienes. Se trata de una constancia administrativa que culmina las actuaciones contractuales</w:t>
      </w:r>
      <w:r w:rsidRPr="0071235D">
        <w:rPr>
          <w:rFonts w:ascii="Verdana" w:eastAsia="Times New Roman" w:hAnsi="Verdana" w:cs="Arial"/>
          <w:color w:val="000000"/>
          <w:vertAlign w:val="superscript"/>
        </w:rPr>
        <w:footnoteReference w:id="13"/>
      </w:r>
      <w:r w:rsidRPr="0071235D">
        <w:rPr>
          <w:rFonts w:ascii="Verdana" w:eastAsia="Times New Roman" w:hAnsi="Verdana" w:cs="Arial"/>
          <w:color w:val="000000"/>
        </w:rPr>
        <w:t xml:space="preserve">. </w:t>
      </w:r>
      <w:r>
        <w:rPr>
          <w:rFonts w:ascii="Verdana" w:eastAsia="Times New Roman" w:hAnsi="Verdana" w:cs="Arial"/>
          <w:color w:val="000000"/>
          <w:lang w:val="es-ES"/>
        </w:rPr>
        <w:t xml:space="preserve">en el caso del cierre del expediente contractual, es importante tener presente que </w:t>
      </w:r>
      <w:r w:rsidRPr="00CA3F96">
        <w:rPr>
          <w:rFonts w:ascii="Verdana" w:eastAsia="Times New Roman" w:hAnsi="Verdana" w:cs="Arial"/>
          <w:color w:val="000000"/>
          <w:lang w:val="es-ES"/>
        </w:rPr>
        <w:t xml:space="preserve">es un documento administrativo que busca cerrar el expediente contractual electrónico de un proceso de contratación. </w:t>
      </w:r>
    </w:p>
    <w:p w14:paraId="292BD1A5" w14:textId="77777777" w:rsidR="00C75ABA" w:rsidRPr="00A82C03" w:rsidRDefault="00C75ABA" w:rsidP="00C75ABA">
      <w:pPr>
        <w:spacing w:before="120" w:line="276" w:lineRule="auto"/>
        <w:ind w:firstLine="708"/>
        <w:jc w:val="both"/>
        <w:rPr>
          <w:rFonts w:ascii="Verdana" w:eastAsia="Calibri" w:hAnsi="Verdana" w:cs="Arial"/>
        </w:rPr>
      </w:pPr>
      <w:r>
        <w:rPr>
          <w:rFonts w:ascii="Verdana" w:eastAsia="Times New Roman" w:hAnsi="Verdana" w:cs="Arial"/>
          <w:color w:val="000000"/>
          <w:lang w:val="es-ES"/>
        </w:rPr>
        <w:t xml:space="preserve">Para que proceda el cierre del expediente contractual </w:t>
      </w:r>
      <w:r w:rsidRPr="000A201B">
        <w:rPr>
          <w:rFonts w:ascii="Verdana" w:eastAsia="Calibri" w:hAnsi="Verdana" w:cs="Arial"/>
        </w:rPr>
        <w:t xml:space="preserve">en la plataforma SECOP II de los procesos </w:t>
      </w:r>
      <w:r>
        <w:rPr>
          <w:rFonts w:ascii="Verdana" w:eastAsia="Calibri" w:hAnsi="Verdana" w:cs="Arial"/>
        </w:rPr>
        <w:t xml:space="preserve">es necesario </w:t>
      </w:r>
      <w:r w:rsidRPr="000A201B">
        <w:rPr>
          <w:rFonts w:ascii="Verdana" w:eastAsia="Calibri" w:hAnsi="Verdana" w:cs="Arial"/>
        </w:rPr>
        <w:t xml:space="preserve">que </w:t>
      </w:r>
      <w:r>
        <w:rPr>
          <w:rFonts w:ascii="Verdana" w:eastAsia="Calibri" w:hAnsi="Verdana" w:cs="Arial"/>
        </w:rPr>
        <w:t xml:space="preserve">se </w:t>
      </w:r>
      <w:r w:rsidRPr="000A201B">
        <w:rPr>
          <w:rFonts w:ascii="Verdana" w:eastAsia="Calibri" w:hAnsi="Verdana" w:cs="Arial"/>
        </w:rPr>
        <w:t xml:space="preserve">hayan cumplido con las obligaciones </w:t>
      </w:r>
      <w:proofErr w:type="spellStart"/>
      <w:r w:rsidRPr="000A201B">
        <w:rPr>
          <w:rFonts w:ascii="Verdana" w:eastAsia="Calibri" w:hAnsi="Verdana" w:cs="Arial"/>
        </w:rPr>
        <w:t>post-contractuales</w:t>
      </w:r>
      <w:proofErr w:type="spellEnd"/>
      <w:r w:rsidRPr="000A201B">
        <w:rPr>
          <w:rFonts w:ascii="Verdana" w:eastAsia="Calibri" w:hAnsi="Verdana" w:cs="Arial"/>
        </w:rPr>
        <w:t xml:space="preserve"> y de los contratos cuyo plazo de ejecución haya finalizado y no requiera de liquidación o no se encuentren obligaciones </w:t>
      </w:r>
      <w:proofErr w:type="spellStart"/>
      <w:r w:rsidRPr="000A201B">
        <w:rPr>
          <w:rFonts w:ascii="Verdana" w:eastAsia="Calibri" w:hAnsi="Verdana" w:cs="Arial"/>
        </w:rPr>
        <w:t>postcontractuales</w:t>
      </w:r>
      <w:proofErr w:type="spellEnd"/>
      <w:r w:rsidRPr="000A201B">
        <w:rPr>
          <w:rFonts w:ascii="Verdana" w:eastAsia="Calibri" w:hAnsi="Verdana" w:cs="Arial"/>
        </w:rPr>
        <w:t xml:space="preserve"> pendientes, por lo que el cierre del proceso dependerá la causal de terminación y de las disposiciones específicas del contrato</w:t>
      </w:r>
      <w:r>
        <w:rPr>
          <w:rFonts w:ascii="Verdana" w:eastAsia="Calibri" w:hAnsi="Verdana" w:cs="Arial"/>
        </w:rPr>
        <w:t>. En esta línea, la Circular Externa 05 del 1 de noviembre de 2024 expresó que el cierre del contrato puede aplicar en los siguientes supuestos:</w:t>
      </w:r>
      <w:r w:rsidRPr="00931E75">
        <w:t xml:space="preserve"> </w:t>
      </w:r>
      <w:r>
        <w:rPr>
          <w:rFonts w:ascii="Verdana" w:eastAsia="Calibri" w:hAnsi="Verdana" w:cs="Arial"/>
        </w:rPr>
        <w:t>a)</w:t>
      </w:r>
      <w:r w:rsidRPr="00931E75">
        <w:rPr>
          <w:rFonts w:ascii="Verdana" w:eastAsia="Calibri" w:hAnsi="Verdana" w:cs="Arial"/>
        </w:rPr>
        <w:t xml:space="preserve"> </w:t>
      </w:r>
      <w:r w:rsidRPr="00A82C03">
        <w:rPr>
          <w:rFonts w:ascii="Verdana" w:eastAsia="Calibri" w:hAnsi="Verdana" w:cs="Arial"/>
        </w:rPr>
        <w:t xml:space="preserve">Cerrar los expedientes electrónicos de los contratos que hayan cumplido con las </w:t>
      </w:r>
      <w:r>
        <w:rPr>
          <w:rFonts w:ascii="Verdana" w:eastAsia="Calibri" w:hAnsi="Verdana" w:cs="Arial"/>
        </w:rPr>
        <w:t xml:space="preserve">obligaciones </w:t>
      </w:r>
      <w:proofErr w:type="spellStart"/>
      <w:r>
        <w:rPr>
          <w:rFonts w:ascii="Verdana" w:eastAsia="Calibri" w:hAnsi="Verdana" w:cs="Arial"/>
        </w:rPr>
        <w:t>post-contractuales</w:t>
      </w:r>
      <w:proofErr w:type="spellEnd"/>
      <w:r>
        <w:rPr>
          <w:rFonts w:ascii="Verdana" w:eastAsia="Calibri" w:hAnsi="Verdana" w:cs="Arial"/>
        </w:rPr>
        <w:t xml:space="preserve">, a las que prescribe el artículo </w:t>
      </w:r>
      <w:r w:rsidRPr="00A82C03">
        <w:rPr>
          <w:rFonts w:ascii="Verdana" w:eastAsia="Calibri" w:hAnsi="Verdana" w:cs="Arial"/>
        </w:rPr>
        <w:t>2.2.1.1.2</w:t>
      </w:r>
      <w:r>
        <w:rPr>
          <w:rFonts w:ascii="Verdana" w:eastAsia="Calibri" w:hAnsi="Verdana" w:cs="Arial"/>
        </w:rPr>
        <w:t>.4.3 del Decreto 1082 de 2015; b)</w:t>
      </w:r>
      <w:r w:rsidRPr="00A82C03">
        <w:rPr>
          <w:rFonts w:ascii="Verdana" w:eastAsia="Calibri" w:hAnsi="Verdana" w:cs="Arial"/>
        </w:rPr>
        <w:t xml:space="preserve"> Cerrar los expedientes electrónicos de los contratos cuyo plazo de </w:t>
      </w:r>
      <w:r w:rsidRPr="00A82C03">
        <w:rPr>
          <w:rFonts w:ascii="Verdana" w:eastAsia="Calibri" w:hAnsi="Verdana" w:cs="Arial"/>
        </w:rPr>
        <w:lastRenderedPageBreak/>
        <w:t xml:space="preserve">ejecución y término para liquidar hayan finalizado, </w:t>
      </w:r>
      <w:r>
        <w:rPr>
          <w:rFonts w:ascii="Verdana" w:eastAsia="Calibri" w:hAnsi="Verdana" w:cs="Arial"/>
        </w:rPr>
        <w:t xml:space="preserve">que no </w:t>
      </w:r>
      <w:r w:rsidRPr="00A82C03">
        <w:rPr>
          <w:rFonts w:ascii="Verdana" w:eastAsia="Calibri" w:hAnsi="Verdana" w:cs="Arial"/>
        </w:rPr>
        <w:t>se hayan incluido garantías de calidad, estabilidad y mantenimiento, ni o</w:t>
      </w:r>
      <w:r>
        <w:rPr>
          <w:rFonts w:ascii="Verdana" w:eastAsia="Calibri" w:hAnsi="Verdana" w:cs="Arial"/>
        </w:rPr>
        <w:t xml:space="preserve">bligaciones </w:t>
      </w:r>
      <w:proofErr w:type="spellStart"/>
      <w:r>
        <w:rPr>
          <w:rFonts w:ascii="Verdana" w:eastAsia="Calibri" w:hAnsi="Verdana" w:cs="Arial"/>
        </w:rPr>
        <w:t>postcontractuales</w:t>
      </w:r>
      <w:proofErr w:type="spellEnd"/>
      <w:r>
        <w:rPr>
          <w:rFonts w:ascii="Verdana" w:eastAsia="Calibri" w:hAnsi="Verdana" w:cs="Arial"/>
        </w:rPr>
        <w:t>; c)</w:t>
      </w:r>
      <w:r w:rsidRPr="00A82C03">
        <w:rPr>
          <w:rFonts w:ascii="Verdana" w:eastAsia="Calibri" w:hAnsi="Verdana" w:cs="Arial"/>
        </w:rPr>
        <w:t xml:space="preserve"> Cerrar el expediente electrónico de los contratos cuyo plazo de ejecución haya finalizado, que no requieran de liquidación o no se encuentren pendientes obligaciones </w:t>
      </w:r>
      <w:proofErr w:type="spellStart"/>
      <w:r w:rsidRPr="00A82C03">
        <w:rPr>
          <w:rFonts w:ascii="Verdana" w:eastAsia="Calibri" w:hAnsi="Verdana" w:cs="Arial"/>
        </w:rPr>
        <w:t>postcontractuales</w:t>
      </w:r>
      <w:proofErr w:type="spellEnd"/>
      <w:r w:rsidRPr="00A82C03">
        <w:rPr>
          <w:rFonts w:ascii="Verdana" w:eastAsia="Calibri" w:hAnsi="Verdana" w:cs="Arial"/>
        </w:rPr>
        <w:t xml:space="preserve"> p</w:t>
      </w:r>
      <w:r>
        <w:rPr>
          <w:rFonts w:ascii="Verdana" w:eastAsia="Calibri" w:hAnsi="Verdana" w:cs="Arial"/>
        </w:rPr>
        <w:t>endientes por cumplir</w:t>
      </w:r>
      <w:r>
        <w:rPr>
          <w:rStyle w:val="Refdenotaalpie"/>
          <w:rFonts w:ascii="Verdana" w:eastAsia="Calibri" w:hAnsi="Verdana" w:cs="Arial"/>
        </w:rPr>
        <w:footnoteReference w:id="14"/>
      </w:r>
      <w:r w:rsidRPr="00A82C03">
        <w:rPr>
          <w:rFonts w:ascii="Verdana" w:eastAsia="Calibri" w:hAnsi="Verdana" w:cs="Arial"/>
        </w:rPr>
        <w:t>.</w:t>
      </w:r>
      <w:r>
        <w:rPr>
          <w:rFonts w:ascii="Verdana" w:eastAsia="Calibri" w:hAnsi="Verdana" w:cs="Arial"/>
        </w:rPr>
        <w:t xml:space="preserve"> Esto, sin perjuicio de otros supuestos que impliquen el cierre del contrato. </w:t>
      </w:r>
    </w:p>
    <w:p w14:paraId="11167698" w14:textId="77777777" w:rsidR="00C75ABA" w:rsidRPr="00EB074D" w:rsidRDefault="00C75ABA" w:rsidP="00C75ABA">
      <w:pPr>
        <w:spacing w:after="120" w:line="276" w:lineRule="auto"/>
        <w:ind w:firstLine="708"/>
        <w:jc w:val="both"/>
        <w:rPr>
          <w:rFonts w:ascii="Verdana" w:eastAsia="Calibri" w:hAnsi="Verdana" w:cs="Arial"/>
        </w:rPr>
      </w:pPr>
      <w:r w:rsidRPr="00EB074D">
        <w:rPr>
          <w:rFonts w:ascii="Verdana" w:eastAsia="Calibri" w:hAnsi="Verdana" w:cs="Arial"/>
        </w:rPr>
        <w:t xml:space="preserve">Una vez se cumplan todas las obligaciones </w:t>
      </w:r>
      <w:proofErr w:type="spellStart"/>
      <w:r w:rsidRPr="00EB074D">
        <w:rPr>
          <w:rFonts w:ascii="Verdana" w:eastAsia="Calibri" w:hAnsi="Verdana" w:cs="Arial"/>
        </w:rPr>
        <w:t>post-contractuales</w:t>
      </w:r>
      <w:proofErr w:type="spellEnd"/>
      <w:r w:rsidRPr="00EB074D">
        <w:rPr>
          <w:rFonts w:ascii="Verdana" w:eastAsia="Calibri" w:hAnsi="Verdana" w:cs="Arial"/>
        </w:rPr>
        <w:t>, independientemente del tipo de contrato celebrado por las Entidades</w:t>
      </w:r>
      <w:r>
        <w:rPr>
          <w:rFonts w:ascii="Verdana" w:eastAsia="Calibri" w:hAnsi="Verdana" w:cs="Arial"/>
        </w:rPr>
        <w:t xml:space="preserve"> Estatales, las mismas procede</w:t>
      </w:r>
      <w:r w:rsidRPr="00EB074D">
        <w:rPr>
          <w:rFonts w:ascii="Verdana" w:eastAsia="Calibri" w:hAnsi="Verdana" w:cs="Arial"/>
        </w:rPr>
        <w:t>n con el cierre del contrato en la plataforma. En el caso de que no se hayan cumplido todas las fechas asociadas al contrato, las Entidades como responsables de su actividad contractual y conforme al régimen jurídico de contratación que les resulta aplicable, les corresponde adoptar las decisiones y adelantar las actuaciones que estimen pertinentes para desarrollar y materializar dicha actividad. En ese sentido, si como resultado del análisis requieren aplicar el cierre de</w:t>
      </w:r>
      <w:r>
        <w:rPr>
          <w:rFonts w:ascii="Verdana" w:eastAsia="Calibri" w:hAnsi="Verdana" w:cs="Arial"/>
        </w:rPr>
        <w:t>l contrato, las Entidades deben efectuar</w:t>
      </w:r>
      <w:r w:rsidRPr="00EB074D">
        <w:rPr>
          <w:rFonts w:ascii="Verdana" w:eastAsia="Calibri" w:hAnsi="Verdana" w:cs="Arial"/>
        </w:rPr>
        <w:t xml:space="preserve"> una modificación ajustando las fechas, y posteriormente</w:t>
      </w:r>
      <w:r>
        <w:rPr>
          <w:rFonts w:ascii="Verdana" w:eastAsia="Calibri" w:hAnsi="Verdana" w:cs="Arial"/>
        </w:rPr>
        <w:t xml:space="preserve">, proceder con el </w:t>
      </w:r>
      <w:r w:rsidRPr="00EB074D">
        <w:rPr>
          <w:rFonts w:ascii="Verdana" w:eastAsia="Calibri" w:hAnsi="Verdana" w:cs="Arial"/>
        </w:rPr>
        <w:t xml:space="preserve">cierre del expediente del contrato. </w:t>
      </w:r>
    </w:p>
    <w:p w14:paraId="25D05BEB" w14:textId="77777777" w:rsidR="00C75ABA" w:rsidRPr="00F76699" w:rsidRDefault="00C75ABA" w:rsidP="00C75ABA">
      <w:pPr>
        <w:spacing w:after="120" w:line="276" w:lineRule="auto"/>
        <w:ind w:firstLine="708"/>
        <w:jc w:val="both"/>
        <w:rPr>
          <w:rFonts w:ascii="Verdana" w:eastAsia="Calibri" w:hAnsi="Verdana" w:cs="Arial"/>
        </w:rPr>
      </w:pPr>
      <w:r w:rsidRPr="00EB074D">
        <w:rPr>
          <w:rFonts w:ascii="Verdana" w:eastAsia="Calibri" w:hAnsi="Verdana" w:cs="Arial"/>
        </w:rPr>
        <w:t>De acuerdo con lo anterior, para cerrar el contrato en SECOP II,</w:t>
      </w:r>
      <w:r>
        <w:rPr>
          <w:rFonts w:ascii="Verdana" w:eastAsia="Calibri" w:hAnsi="Verdana" w:cs="Arial"/>
        </w:rPr>
        <w:t xml:space="preserve"> la Agencia ha señalado en el Anexo 1 de la Circular 05 del 30 de noviembre de 2024 este procedimiento, en el que </w:t>
      </w:r>
      <w:r w:rsidRPr="00EB074D">
        <w:rPr>
          <w:rFonts w:ascii="Verdana" w:eastAsia="Calibri" w:hAnsi="Verdana" w:cs="Arial"/>
        </w:rPr>
        <w:t>debe crear</w:t>
      </w:r>
      <w:r>
        <w:rPr>
          <w:rFonts w:ascii="Verdana" w:eastAsia="Calibri" w:hAnsi="Verdana" w:cs="Arial"/>
        </w:rPr>
        <w:t>se</w:t>
      </w:r>
      <w:r w:rsidRPr="00EB074D">
        <w:rPr>
          <w:rFonts w:ascii="Verdana" w:eastAsia="Calibri" w:hAnsi="Verdana" w:cs="Arial"/>
        </w:rPr>
        <w:t xml:space="preserve"> la modificación </w:t>
      </w:r>
      <w:r w:rsidRPr="00EB074D">
        <w:rPr>
          <w:rFonts w:ascii="Verdana" w:eastAsia="Calibri" w:hAnsi="Verdana" w:cs="Arial"/>
          <w:i/>
          <w:iCs/>
        </w:rPr>
        <w:t>“Cerrar el contrato”</w:t>
      </w:r>
      <w:r w:rsidRPr="00EB074D">
        <w:rPr>
          <w:rFonts w:ascii="Verdana" w:eastAsia="Calibri" w:hAnsi="Verdana" w:cs="Arial"/>
        </w:rPr>
        <w:t>.</w:t>
      </w:r>
      <w:r>
        <w:rPr>
          <w:rFonts w:ascii="Verdana" w:eastAsia="Calibri" w:hAnsi="Verdana" w:cs="Arial"/>
        </w:rPr>
        <w:t xml:space="preserve"> Al seleccionar dicha modificación se muestra un mensaje con la pregunta</w:t>
      </w:r>
      <w:r w:rsidRPr="00EB074D">
        <w:rPr>
          <w:rFonts w:ascii="Verdana" w:eastAsia="Calibri" w:hAnsi="Verdana" w:cs="Arial"/>
        </w:rPr>
        <w:t xml:space="preserve"> </w:t>
      </w:r>
      <w:r w:rsidRPr="00EB074D">
        <w:rPr>
          <w:rFonts w:ascii="Verdana" w:eastAsia="Calibri" w:hAnsi="Verdana" w:cs="Arial"/>
          <w:i/>
          <w:iCs/>
        </w:rPr>
        <w:t>“¿Requiere reconocimiento del proveedor?”</w:t>
      </w:r>
      <w:r w:rsidRPr="00EB074D">
        <w:rPr>
          <w:rFonts w:ascii="Verdana" w:eastAsia="Calibri" w:hAnsi="Verdana" w:cs="Arial"/>
        </w:rPr>
        <w:t>. Por defecto la casilla viene seleccionada, es decir</w:t>
      </w:r>
      <w:r>
        <w:rPr>
          <w:rFonts w:ascii="Verdana" w:eastAsia="Calibri" w:hAnsi="Verdana" w:cs="Arial"/>
        </w:rPr>
        <w:t>,</w:t>
      </w:r>
      <w:r w:rsidRPr="00EB074D">
        <w:rPr>
          <w:rFonts w:ascii="Verdana" w:eastAsia="Calibri" w:hAnsi="Verdana" w:cs="Arial"/>
        </w:rPr>
        <w:t xml:space="preserve"> que la modificación requiere aprobación del Proveedor. Sin embargo, al ser el cierre del contrato una actuación propia de la administración</w:t>
      </w:r>
      <w:r>
        <w:rPr>
          <w:rFonts w:ascii="Verdana" w:eastAsia="Calibri" w:hAnsi="Verdana" w:cs="Arial"/>
        </w:rPr>
        <w:t>, las Entidades Estatales debe</w:t>
      </w:r>
      <w:r w:rsidRPr="00EB074D">
        <w:rPr>
          <w:rFonts w:ascii="Verdana" w:eastAsia="Calibri" w:hAnsi="Verdana" w:cs="Arial"/>
        </w:rPr>
        <w:t>n quitar la selección de la casilla.</w:t>
      </w:r>
      <w:r>
        <w:rPr>
          <w:rFonts w:ascii="Verdana" w:eastAsia="Calibri" w:hAnsi="Verdana" w:cs="Arial"/>
        </w:rPr>
        <w:t xml:space="preserve"> Posterior a la selección de modificación que va a efectuar, el SECOP II muestra </w:t>
      </w:r>
      <w:r w:rsidRPr="00EB074D">
        <w:rPr>
          <w:rFonts w:ascii="Verdana" w:eastAsia="Calibri" w:hAnsi="Verdana" w:cs="Arial"/>
        </w:rPr>
        <w:t xml:space="preserve">la referencia interna de la </w:t>
      </w:r>
      <w:r>
        <w:rPr>
          <w:rFonts w:ascii="Verdana" w:eastAsia="Calibri" w:hAnsi="Verdana" w:cs="Arial"/>
        </w:rPr>
        <w:t>modificación y habilita</w:t>
      </w:r>
      <w:r w:rsidRPr="00EB074D">
        <w:rPr>
          <w:rFonts w:ascii="Verdana" w:eastAsia="Calibri" w:hAnsi="Verdana" w:cs="Arial"/>
        </w:rPr>
        <w:t xml:space="preserve"> las siguientes funcionalidades: </w:t>
      </w:r>
      <w:r>
        <w:rPr>
          <w:rFonts w:ascii="Verdana" w:eastAsia="Calibri" w:hAnsi="Verdana" w:cs="Arial"/>
        </w:rPr>
        <w:t xml:space="preserve">i) </w:t>
      </w:r>
      <w:r w:rsidRPr="00F76699">
        <w:rPr>
          <w:rFonts w:ascii="Verdana" w:eastAsia="Calibri" w:hAnsi="Verdana" w:cs="Arial"/>
        </w:rPr>
        <w:t>Finalizar modificación</w:t>
      </w:r>
      <w:r>
        <w:rPr>
          <w:rFonts w:ascii="Verdana" w:eastAsia="Calibri" w:hAnsi="Verdana" w:cs="Arial"/>
        </w:rPr>
        <w:t xml:space="preserve">; </w:t>
      </w:r>
      <w:proofErr w:type="spellStart"/>
      <w:r>
        <w:rPr>
          <w:rFonts w:ascii="Verdana" w:eastAsia="Calibri" w:hAnsi="Verdana" w:cs="Arial"/>
        </w:rPr>
        <w:t>ii</w:t>
      </w:r>
      <w:proofErr w:type="spellEnd"/>
      <w:r>
        <w:rPr>
          <w:rFonts w:ascii="Verdana" w:eastAsia="Calibri" w:hAnsi="Verdana" w:cs="Arial"/>
        </w:rPr>
        <w:t xml:space="preserve">) </w:t>
      </w:r>
      <w:r w:rsidRPr="00F76699">
        <w:rPr>
          <w:rFonts w:ascii="Verdana" w:eastAsia="Calibri" w:hAnsi="Verdana" w:cs="Arial"/>
        </w:rPr>
        <w:t>Cancelar modificació</w:t>
      </w:r>
      <w:r>
        <w:rPr>
          <w:rFonts w:ascii="Verdana" w:eastAsia="Calibri" w:hAnsi="Verdana" w:cs="Arial"/>
        </w:rPr>
        <w:t xml:space="preserve">n; </w:t>
      </w:r>
      <w:proofErr w:type="spellStart"/>
      <w:r>
        <w:rPr>
          <w:rFonts w:ascii="Verdana" w:eastAsia="Calibri" w:hAnsi="Verdana" w:cs="Arial"/>
        </w:rPr>
        <w:t>iii</w:t>
      </w:r>
      <w:proofErr w:type="spellEnd"/>
      <w:r>
        <w:rPr>
          <w:rFonts w:ascii="Verdana" w:eastAsia="Calibri" w:hAnsi="Verdana" w:cs="Arial"/>
        </w:rPr>
        <w:t>)</w:t>
      </w:r>
      <w:r w:rsidRPr="00F76699">
        <w:rPr>
          <w:rFonts w:ascii="Verdana" w:eastAsia="Calibri" w:hAnsi="Verdana" w:cs="Arial"/>
        </w:rPr>
        <w:t xml:space="preserve"> Guardar modificación</w:t>
      </w:r>
      <w:r>
        <w:rPr>
          <w:rFonts w:ascii="Verdana" w:eastAsia="Calibri" w:hAnsi="Verdana" w:cs="Arial"/>
        </w:rPr>
        <w:t xml:space="preserve">; </w:t>
      </w:r>
      <w:proofErr w:type="spellStart"/>
      <w:r>
        <w:rPr>
          <w:rFonts w:ascii="Verdana" w:eastAsia="Calibri" w:hAnsi="Verdana" w:cs="Arial"/>
        </w:rPr>
        <w:t>iv</w:t>
      </w:r>
      <w:proofErr w:type="spellEnd"/>
      <w:r>
        <w:rPr>
          <w:rFonts w:ascii="Verdana" w:eastAsia="Calibri" w:hAnsi="Verdana" w:cs="Arial"/>
        </w:rPr>
        <w:t xml:space="preserve">) </w:t>
      </w:r>
      <w:r w:rsidRPr="00F76699">
        <w:rPr>
          <w:rFonts w:ascii="Verdana" w:eastAsia="Calibri" w:hAnsi="Verdana" w:cs="Arial"/>
        </w:rPr>
        <w:t>Ver modificación</w:t>
      </w:r>
      <w:r>
        <w:rPr>
          <w:rFonts w:ascii="Verdana" w:eastAsia="Calibri" w:hAnsi="Verdana" w:cs="Arial"/>
        </w:rPr>
        <w:t>.</w:t>
      </w:r>
      <w:r w:rsidRPr="00F76699">
        <w:rPr>
          <w:rFonts w:ascii="Verdana" w:eastAsia="Calibri" w:hAnsi="Verdana" w:cs="Arial"/>
        </w:rPr>
        <w:t xml:space="preserve"> </w:t>
      </w:r>
    </w:p>
    <w:p w14:paraId="456310C6" w14:textId="77777777" w:rsidR="00C75ABA" w:rsidRPr="00EB074D" w:rsidRDefault="00C75ABA" w:rsidP="00C75ABA">
      <w:pPr>
        <w:spacing w:after="120" w:line="276" w:lineRule="auto"/>
        <w:ind w:firstLine="708"/>
        <w:jc w:val="both"/>
        <w:rPr>
          <w:rFonts w:ascii="Verdana" w:eastAsia="Calibri" w:hAnsi="Verdana" w:cs="Arial"/>
        </w:rPr>
      </w:pPr>
      <w:r w:rsidRPr="00EB074D">
        <w:rPr>
          <w:rFonts w:ascii="Verdana" w:eastAsia="Calibri" w:hAnsi="Verdana" w:cs="Arial"/>
        </w:rPr>
        <w:t xml:space="preserve">Después de crear la modificación y adjuntar los documentos soporte de la misma, las Entidades Estatales deben diligenciar la justificación respectiva; posteriormente deberán “Finalizar la modificación”. La aprobación final de las </w:t>
      </w:r>
      <w:r w:rsidRPr="00EB074D">
        <w:rPr>
          <w:rFonts w:ascii="Verdana" w:eastAsia="Calibri" w:hAnsi="Verdana" w:cs="Arial"/>
        </w:rPr>
        <w:lastRenderedPageBreak/>
        <w:t xml:space="preserve">modificaciones </w:t>
      </w:r>
      <w:r>
        <w:rPr>
          <w:rFonts w:ascii="Verdana" w:eastAsia="Calibri" w:hAnsi="Verdana" w:cs="Arial"/>
        </w:rPr>
        <w:t xml:space="preserve">la debe efectuar </w:t>
      </w:r>
      <w:r w:rsidRPr="00EB074D">
        <w:rPr>
          <w:rFonts w:ascii="Verdana" w:eastAsia="Calibri" w:hAnsi="Verdana" w:cs="Arial"/>
        </w:rPr>
        <w:t>el Ordenador del Gasto o Representante Legal de la Entidad Estatal, ya que estas re</w:t>
      </w:r>
      <w:r>
        <w:rPr>
          <w:rFonts w:ascii="Verdana" w:eastAsia="Calibri" w:hAnsi="Verdana" w:cs="Arial"/>
        </w:rPr>
        <w:t>e</w:t>
      </w:r>
      <w:r w:rsidRPr="00EB074D">
        <w:rPr>
          <w:rFonts w:ascii="Verdana" w:eastAsia="Calibri" w:hAnsi="Verdana" w:cs="Arial"/>
        </w:rPr>
        <w:t xml:space="preserve">mplazan el acuerdo inicial. Una vez aprobada la modificación, deben proceder con la publicación, para que los cambios se </w:t>
      </w:r>
      <w:r>
        <w:rPr>
          <w:rFonts w:ascii="Verdana" w:eastAsia="Calibri" w:hAnsi="Verdana" w:cs="Arial"/>
        </w:rPr>
        <w:t xml:space="preserve">reflejan </w:t>
      </w:r>
      <w:r w:rsidRPr="00EB074D">
        <w:rPr>
          <w:rFonts w:ascii="Verdana" w:eastAsia="Calibri" w:hAnsi="Verdana" w:cs="Arial"/>
        </w:rPr>
        <w:t>en la nueva versión del contrato.</w:t>
      </w:r>
      <w:r>
        <w:rPr>
          <w:rFonts w:ascii="Verdana" w:eastAsia="Calibri" w:hAnsi="Verdana" w:cs="Arial"/>
        </w:rPr>
        <w:t xml:space="preserve"> </w:t>
      </w:r>
      <w:r w:rsidRPr="00EB074D">
        <w:rPr>
          <w:rFonts w:ascii="Verdana" w:eastAsia="Calibri" w:hAnsi="Verdana" w:cs="Arial"/>
        </w:rPr>
        <w:t>Las Entidades Estatales deben tener en cuenta, que una vez realizada esta modificación el contrato se cierra, en consecuencia, la plataforma bloqueará el cargue posterior de cualquier documento o actualización adicional en el contrato electrónico.</w:t>
      </w:r>
    </w:p>
    <w:p w14:paraId="048763EF" w14:textId="77777777" w:rsidR="00C75ABA" w:rsidRPr="00323333" w:rsidRDefault="00C75ABA" w:rsidP="00C75ABA">
      <w:pPr>
        <w:spacing w:before="120" w:after="120" w:line="276" w:lineRule="auto"/>
        <w:ind w:firstLine="708"/>
        <w:jc w:val="both"/>
        <w:rPr>
          <w:rFonts w:ascii="Verdana" w:eastAsia="Calibri" w:hAnsi="Verdana" w:cs="Arial"/>
          <w:bCs/>
          <w:color w:val="000000" w:themeColor="text1"/>
        </w:rPr>
      </w:pPr>
      <w:r w:rsidRPr="00323333">
        <w:rPr>
          <w:rFonts w:ascii="Verdana" w:eastAsia="Calibri" w:hAnsi="Verdana" w:cs="Arial"/>
          <w:bCs/>
          <w:color w:val="000000" w:themeColor="text1"/>
        </w:rPr>
        <w:t>Al margen de la explicación precedente, debe advertirse que el análisis requerido para resolver problemas específicos en torno a la gestión contractual de las entidades estatales debe ser realizado por quienes tengan interés en ello, de acuerdo con lo explicado en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59117FCB" w14:textId="77777777" w:rsidR="00C75ABA" w:rsidRPr="00323333" w:rsidRDefault="00C75ABA" w:rsidP="00C75ABA">
      <w:pPr>
        <w:spacing w:after="0" w:line="276" w:lineRule="auto"/>
        <w:ind w:firstLine="708"/>
        <w:jc w:val="both"/>
        <w:rPr>
          <w:rFonts w:ascii="Verdana" w:eastAsia="Calibri" w:hAnsi="Verdana" w:cs="Arial"/>
          <w:bCs/>
          <w:color w:val="000000" w:themeColor="text1"/>
        </w:rPr>
      </w:pPr>
      <w:r w:rsidRPr="00323333">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0F6082E3" w14:textId="77777777" w:rsidR="00C75ABA" w:rsidRPr="00323333" w:rsidRDefault="00C75ABA" w:rsidP="00C75ABA">
      <w:pPr>
        <w:spacing w:after="0" w:line="276" w:lineRule="auto"/>
        <w:jc w:val="both"/>
        <w:rPr>
          <w:rFonts w:ascii="Verdana" w:eastAsia="Calibri" w:hAnsi="Verdana" w:cs="Arial"/>
          <w:lang w:val="es-ES" w:eastAsia="es-CO"/>
        </w:rPr>
      </w:pPr>
    </w:p>
    <w:p w14:paraId="048A06C6" w14:textId="77777777" w:rsidR="00C75ABA" w:rsidRPr="00323333" w:rsidRDefault="00C75ABA" w:rsidP="00C75ABA">
      <w:pPr>
        <w:widowControl w:val="0"/>
        <w:autoSpaceDE w:val="0"/>
        <w:autoSpaceDN w:val="0"/>
        <w:spacing w:before="1" w:after="0" w:line="240" w:lineRule="auto"/>
        <w:outlineLvl w:val="0"/>
        <w:rPr>
          <w:rFonts w:ascii="Verdana" w:eastAsia="Arial" w:hAnsi="Verdana" w:cs="Arial"/>
          <w:b/>
          <w:bCs/>
          <w:lang w:val="es-ES"/>
        </w:rPr>
      </w:pPr>
      <w:r w:rsidRPr="00323333">
        <w:rPr>
          <w:rFonts w:ascii="Verdana" w:eastAsia="Arial" w:hAnsi="Verdana" w:cs="Arial"/>
          <w:b/>
          <w:bCs/>
          <w:lang w:val="es-ES"/>
        </w:rPr>
        <w:t>4.Referencias normativas, jurisprudenciales y otras fuentes:</w:t>
      </w:r>
    </w:p>
    <w:p w14:paraId="3E329845" w14:textId="77777777" w:rsidR="00C75ABA" w:rsidRPr="00323333" w:rsidRDefault="00C75ABA" w:rsidP="00C75ABA">
      <w:pPr>
        <w:widowControl w:val="0"/>
        <w:autoSpaceDE w:val="0"/>
        <w:autoSpaceDN w:val="0"/>
        <w:spacing w:after="0" w:line="276" w:lineRule="auto"/>
        <w:jc w:val="both"/>
        <w:rPr>
          <w:rFonts w:ascii="Verdana" w:eastAsia="Aptos" w:hAnsi="Verdana" w:cs="Aria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C75ABA" w:rsidRPr="00323333" w14:paraId="478C72E2" w14:textId="77777777" w:rsidTr="00D40B2C">
        <w:trPr>
          <w:trHeight w:val="870"/>
        </w:trPr>
        <w:tc>
          <w:tcPr>
            <w:tcW w:w="8647" w:type="dxa"/>
          </w:tcPr>
          <w:p w14:paraId="36086DB4" w14:textId="77777777" w:rsidR="00C75ABA" w:rsidRPr="00FF5E6E" w:rsidRDefault="00C75ABA" w:rsidP="00C75ABA">
            <w:pPr>
              <w:pStyle w:val="Prrafodelista"/>
              <w:numPr>
                <w:ilvl w:val="0"/>
                <w:numId w:val="2"/>
              </w:numPr>
              <w:jc w:val="both"/>
              <w:rPr>
                <w:rFonts w:ascii="Verdana" w:hAnsi="Verdana" w:cs="Arial"/>
                <w:bCs/>
                <w:lang w:val="es-MX" w:eastAsia="es-ES_tradnl"/>
              </w:rPr>
            </w:pPr>
            <w:r w:rsidRPr="00FF5E6E">
              <w:rPr>
                <w:rFonts w:ascii="Verdana" w:hAnsi="Verdana" w:cs="Arial"/>
                <w:bCs/>
                <w:lang w:val="es-MX" w:eastAsia="es-ES_tradnl"/>
              </w:rPr>
              <w:t>Ley 80 de 1993. Artículo 41</w:t>
            </w:r>
          </w:p>
          <w:p w14:paraId="7C6555AC" w14:textId="77777777" w:rsidR="00C75ABA" w:rsidRPr="00FF5E6E" w:rsidRDefault="00C75ABA" w:rsidP="00C75ABA">
            <w:pPr>
              <w:pStyle w:val="Prrafodelista"/>
              <w:numPr>
                <w:ilvl w:val="0"/>
                <w:numId w:val="2"/>
              </w:numPr>
              <w:jc w:val="both"/>
              <w:rPr>
                <w:rFonts w:ascii="Verdana" w:hAnsi="Verdana" w:cs="Arial"/>
                <w:bCs/>
                <w:lang w:val="es-MX" w:eastAsia="es-ES_tradnl"/>
              </w:rPr>
            </w:pPr>
            <w:r w:rsidRPr="00FF5E6E">
              <w:rPr>
                <w:rFonts w:ascii="Verdana" w:hAnsi="Verdana" w:cs="Arial"/>
                <w:bCs/>
                <w:lang w:val="es-MX" w:eastAsia="es-ES_tradnl"/>
              </w:rPr>
              <w:t>Ley 1150 de 2007. Artículo 7</w:t>
            </w:r>
          </w:p>
          <w:p w14:paraId="5694AC08" w14:textId="77777777" w:rsidR="00C75ABA" w:rsidRPr="00FF5E6E" w:rsidRDefault="00C75ABA" w:rsidP="00C75ABA">
            <w:pPr>
              <w:pStyle w:val="Prrafodelista"/>
              <w:numPr>
                <w:ilvl w:val="0"/>
                <w:numId w:val="2"/>
              </w:numPr>
              <w:jc w:val="both"/>
              <w:rPr>
                <w:rFonts w:ascii="Verdana" w:hAnsi="Verdana" w:cs="Arial"/>
                <w:bCs/>
                <w:lang w:val="es-MX" w:eastAsia="es-ES_tradnl"/>
              </w:rPr>
            </w:pPr>
            <w:r w:rsidRPr="00FF5E6E">
              <w:rPr>
                <w:rFonts w:ascii="Verdana" w:hAnsi="Verdana" w:cs="Arial"/>
                <w:bCs/>
                <w:lang w:val="es-MX" w:eastAsia="es-ES_tradnl"/>
              </w:rPr>
              <w:t>Decreto 1082 de 2015. Artículo 2.2.1.2.3.1.1. y 2.2.1.2.3.1.19</w:t>
            </w:r>
          </w:p>
          <w:p w14:paraId="20989530" w14:textId="77777777" w:rsidR="00C75ABA" w:rsidRPr="00FF5E6E" w:rsidRDefault="00C75ABA" w:rsidP="00C75ABA">
            <w:pPr>
              <w:pStyle w:val="Prrafodelista"/>
              <w:numPr>
                <w:ilvl w:val="0"/>
                <w:numId w:val="2"/>
              </w:numPr>
              <w:jc w:val="both"/>
              <w:rPr>
                <w:rFonts w:ascii="Verdana" w:hAnsi="Verdana" w:cs="Arial"/>
              </w:rPr>
            </w:pPr>
            <w:r w:rsidRPr="00FF5E6E">
              <w:rPr>
                <w:rFonts w:ascii="Verdana" w:hAnsi="Verdana" w:cs="Arial"/>
              </w:rPr>
              <w:t>Consejo de Estado, Sección Tercera, Subsección A. Sentencia del 14 de junio del 2019. Radicación número: 11001 03 26 000 2009 00047 00 (36860). C.P: Carlos Alberto Zambrano Barrera.</w:t>
            </w:r>
          </w:p>
          <w:p w14:paraId="18A00398" w14:textId="77777777" w:rsidR="00C75ABA" w:rsidRPr="00FF5E6E" w:rsidRDefault="00C75ABA" w:rsidP="00C75ABA">
            <w:pPr>
              <w:pStyle w:val="Prrafodelista"/>
              <w:numPr>
                <w:ilvl w:val="0"/>
                <w:numId w:val="2"/>
              </w:numPr>
              <w:jc w:val="both"/>
              <w:rPr>
                <w:rFonts w:ascii="Verdana" w:hAnsi="Verdana" w:cs="Arial"/>
              </w:rPr>
            </w:pPr>
            <w:r w:rsidRPr="00FF5E6E">
              <w:rPr>
                <w:rFonts w:ascii="Verdana" w:hAnsi="Verdana" w:cs="Arial"/>
              </w:rPr>
              <w:lastRenderedPageBreak/>
              <w:t>Consejo de Estado, Sección Segunda, Subsección A. Sentencia del 25 de enero del 2018. Radicación número: 11001-03-25-000-2011-00489-00(1924-11). C.P: Gabriel Valbuena Hernández.</w:t>
            </w:r>
          </w:p>
          <w:p w14:paraId="4DB697B0" w14:textId="77777777" w:rsidR="00C75ABA" w:rsidRPr="00FF5E6E" w:rsidRDefault="00C75ABA" w:rsidP="00C75ABA">
            <w:pPr>
              <w:pStyle w:val="Prrafodelista"/>
              <w:numPr>
                <w:ilvl w:val="0"/>
                <w:numId w:val="2"/>
              </w:numPr>
              <w:jc w:val="both"/>
              <w:rPr>
                <w:rFonts w:ascii="Verdana" w:hAnsi="Verdana" w:cs="Arial"/>
                <w:bCs/>
                <w:lang w:val="es-MX" w:eastAsia="es-ES_tradnl"/>
              </w:rPr>
            </w:pPr>
            <w:r w:rsidRPr="00FF5E6E">
              <w:rPr>
                <w:rFonts w:ascii="Verdana" w:hAnsi="Verdana" w:cs="Arial"/>
              </w:rPr>
              <w:t xml:space="preserve">Agencia Nacional de Contratación Pública – Colombia Compra Eficiente. </w:t>
            </w:r>
            <w:r w:rsidRPr="00FF5E6E">
              <w:rPr>
                <w:rFonts w:ascii="Verdana" w:eastAsia="Calibri" w:hAnsi="Verdana" w:cs="Arial"/>
              </w:rPr>
              <w:t>Guía SECOP II – Gestión Contractual para Entidades Estatales”</w:t>
            </w:r>
            <w:r>
              <w:rPr>
                <w:rFonts w:ascii="Verdana" w:eastAsia="Calibri" w:hAnsi="Verdana" w:cs="Arial"/>
              </w:rPr>
              <w:t>.</w:t>
            </w:r>
          </w:p>
          <w:p w14:paraId="70E620FD" w14:textId="77777777" w:rsidR="00C75ABA" w:rsidRPr="001560B7" w:rsidRDefault="00C75ABA" w:rsidP="00D40B2C">
            <w:pPr>
              <w:ind w:left="360"/>
              <w:jc w:val="both"/>
              <w:rPr>
                <w:rFonts w:ascii="Verdana" w:eastAsia="Geomanist Light" w:hAnsi="Verdana" w:cs="Arial"/>
                <w:color w:val="000000" w:themeColor="text1"/>
                <w:lang w:val="es-MX"/>
              </w:rPr>
            </w:pPr>
          </w:p>
        </w:tc>
      </w:tr>
    </w:tbl>
    <w:p w14:paraId="7220345F" w14:textId="77777777" w:rsidR="00C75ABA" w:rsidRPr="00323333" w:rsidRDefault="00C75ABA" w:rsidP="00C75ABA">
      <w:pPr>
        <w:widowControl w:val="0"/>
        <w:autoSpaceDE w:val="0"/>
        <w:autoSpaceDN w:val="0"/>
        <w:spacing w:after="0" w:line="276" w:lineRule="auto"/>
        <w:jc w:val="both"/>
        <w:rPr>
          <w:rFonts w:ascii="Verdana" w:eastAsia="Aptos" w:hAnsi="Verdana" w:cs="Arial"/>
        </w:rPr>
      </w:pPr>
    </w:p>
    <w:p w14:paraId="58860C68" w14:textId="77777777" w:rsidR="00C75ABA" w:rsidRPr="00323333" w:rsidRDefault="00C75ABA" w:rsidP="00C75ABA">
      <w:pPr>
        <w:widowControl w:val="0"/>
        <w:autoSpaceDE w:val="0"/>
        <w:autoSpaceDN w:val="0"/>
        <w:spacing w:before="1" w:after="0" w:line="276" w:lineRule="auto"/>
        <w:outlineLvl w:val="0"/>
        <w:rPr>
          <w:rFonts w:ascii="Verdana" w:eastAsia="Arial" w:hAnsi="Verdana" w:cs="Arial"/>
          <w:b/>
          <w:bCs/>
          <w:lang w:val="es-ES"/>
        </w:rPr>
      </w:pPr>
      <w:r w:rsidRPr="00323333">
        <w:rPr>
          <w:rFonts w:ascii="Verdana" w:eastAsia="Arial" w:hAnsi="Verdana" w:cs="Arial"/>
          <w:b/>
          <w:bCs/>
          <w:lang w:val="es-ES"/>
        </w:rPr>
        <w:t>5. Doctrina de la Agencia Nacional de Contratación Pública:</w:t>
      </w:r>
    </w:p>
    <w:p w14:paraId="2996E134" w14:textId="77777777" w:rsidR="00C75ABA" w:rsidRPr="00323333" w:rsidRDefault="00C75ABA" w:rsidP="00C75ABA">
      <w:pPr>
        <w:widowControl w:val="0"/>
        <w:autoSpaceDE w:val="0"/>
        <w:autoSpaceDN w:val="0"/>
        <w:spacing w:after="0" w:line="276" w:lineRule="auto"/>
        <w:jc w:val="both"/>
        <w:rPr>
          <w:rFonts w:ascii="Verdana" w:eastAsia="Aptos" w:hAnsi="Verdana" w:cs="Arial"/>
        </w:rPr>
      </w:pPr>
    </w:p>
    <w:p w14:paraId="1C4A3F31" w14:textId="77777777" w:rsidR="00C75ABA" w:rsidRPr="00323333" w:rsidRDefault="00C75ABA" w:rsidP="00C75ABA">
      <w:pPr>
        <w:jc w:val="both"/>
        <w:rPr>
          <w:rFonts w:ascii="Verdana" w:hAnsi="Verdana" w:cs="Arial"/>
          <w:shd w:val="clear" w:color="auto" w:fill="FFFFFF"/>
          <w:lang w:val="es-ES"/>
        </w:rPr>
      </w:pPr>
      <w:r w:rsidRPr="00323333">
        <w:rPr>
          <w:rStyle w:val="normaltextrun"/>
          <w:rFonts w:ascii="Verdana" w:hAnsi="Verdana" w:cs="Arial"/>
          <w:color w:val="000000" w:themeColor="text1"/>
          <w:shd w:val="clear" w:color="auto" w:fill="FFFFFF"/>
          <w:lang w:val="es-ES"/>
        </w:rPr>
        <w:t xml:space="preserve">La Agencia Nacional de Contratación Pública – Colombia Compra Eficiente </w:t>
      </w:r>
      <w:r w:rsidRPr="00323333">
        <w:rPr>
          <w:rFonts w:ascii="Verdana" w:eastAsia="Calibri" w:hAnsi="Verdana" w:cs="Arial"/>
          <w:lang w:val="es-ES_tradnl" w:eastAsia="es-ES_tradnl"/>
        </w:rPr>
        <w:t xml:space="preserve">se ha pronunciado sobre </w:t>
      </w:r>
      <w:r w:rsidRPr="00323333">
        <w:rPr>
          <w:rFonts w:ascii="Verdana" w:eastAsia="Calibri" w:hAnsi="Verdana" w:cs="Arial"/>
          <w:color w:val="000000" w:themeColor="text1"/>
          <w:lang w:eastAsia="es-ES_tradnl"/>
        </w:rPr>
        <w:t>sobre el carácter transaccional de la plataforma SECOP II en los conceptos C-913 del 19 de agosto de 2025, C-963 del 28 de julio de 2025, C-1055 del 10 de septiembre de 2025, y sobre la aprobación de garantías en el concepto C-1333 de 2025, C-1582 del 04 de diciembre de 2025, C-169 del 23 de febrero de 2026</w:t>
      </w:r>
      <w:r w:rsidRPr="00323333">
        <w:rPr>
          <w:rFonts w:ascii="Verdana" w:hAnsi="Verdana" w:cs="Arial"/>
        </w:rPr>
        <w:t xml:space="preserve">. </w:t>
      </w:r>
      <w:r w:rsidRPr="00323333">
        <w:rPr>
          <w:rFonts w:ascii="Verdana" w:eastAsia="Calibri" w:hAnsi="Verdana" w:cs="Arial"/>
          <w:bCs/>
          <w:shd w:val="clear" w:color="auto" w:fill="FFFFFF"/>
          <w:lang w:val="es-ES"/>
        </w:rPr>
        <w:t xml:space="preserve">En tal sentido, recoge los conceptos expuestos, sin perjuicio de otras consideraciones. </w:t>
      </w:r>
      <w:r w:rsidRPr="00323333">
        <w:rPr>
          <w:rFonts w:ascii="Verdana" w:eastAsia="Aptos" w:hAnsi="Verdana" w:cs="Arial"/>
          <w:shd w:val="clear" w:color="auto" w:fill="FFFFFF"/>
          <w:lang w:val="es-ES"/>
        </w:rPr>
        <w:t xml:space="preserve">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 </w:t>
      </w:r>
      <w:hyperlink r:id="rId14" w:history="1">
        <w:r w:rsidRPr="00323333">
          <w:rPr>
            <w:rFonts w:ascii="Verdana" w:eastAsia="Aptos" w:hAnsi="Verdana" w:cs="Arial"/>
            <w:u w:val="single"/>
            <w:shd w:val="clear" w:color="auto" w:fill="FFFFFF"/>
            <w:lang w:val="es-ES"/>
          </w:rPr>
          <w:t>https://relatoria.colombiacompra.gov.co/</w:t>
        </w:r>
      </w:hyperlink>
      <w:r w:rsidRPr="00323333">
        <w:rPr>
          <w:rFonts w:ascii="Verdana" w:eastAsia="Aptos" w:hAnsi="Verdana" w:cs="Arial"/>
          <w:shd w:val="clear" w:color="auto" w:fill="FFFFFF"/>
          <w:lang w:val="es-ES"/>
        </w:rPr>
        <w:t xml:space="preserve">. </w:t>
      </w:r>
    </w:p>
    <w:p w14:paraId="6766F039" w14:textId="77777777" w:rsidR="00C75ABA" w:rsidRPr="00323333" w:rsidRDefault="00C75ABA" w:rsidP="00C75ABA">
      <w:pPr>
        <w:spacing w:before="120" w:after="120" w:line="276" w:lineRule="auto"/>
        <w:ind w:firstLine="709"/>
        <w:jc w:val="both"/>
        <w:rPr>
          <w:rFonts w:ascii="Verdana" w:eastAsia="Aptos" w:hAnsi="Verdana" w:cs="Times New Roman"/>
        </w:rPr>
      </w:pPr>
      <w:r w:rsidRPr="00323333">
        <w:rPr>
          <w:rFonts w:ascii="Verdana" w:eastAsia="Aptos" w:hAnsi="Verdana" w:cs="Times New Roman"/>
        </w:rPr>
        <w:t xml:space="preserve">La sostenibilidad no es una opción, es una obligación. Por ello, la Agencia Nacional de Contratación Pública –Colombia Compra Eficiente– te invita a realizar el </w:t>
      </w:r>
      <w:r w:rsidRPr="00323333">
        <w:rPr>
          <w:rFonts w:ascii="Verdana" w:eastAsia="Aptos" w:hAnsi="Verdana" w:cs="Times New Roman"/>
          <w:b/>
          <w:bCs/>
        </w:rPr>
        <w:t>Curso de Contratación Pública Sostenible y Socialmente Responsable</w:t>
      </w:r>
      <w:r w:rsidRPr="00323333">
        <w:rPr>
          <w:rFonts w:ascii="Verdana" w:eastAsia="Aptos" w:hAnsi="Verdana" w:cs="Times New Roman"/>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Pr="00323333">
        <w:rPr>
          <w:rFonts w:ascii="Verdana" w:eastAsia="Aptos" w:hAnsi="Verdana" w:cs="Times New Roman"/>
        </w:rPr>
        <w:br/>
      </w:r>
      <w:hyperlink r:id="rId15" w:tgtFrame="_new" w:history="1">
        <w:r w:rsidRPr="00323333">
          <w:rPr>
            <w:rFonts w:ascii="Verdana" w:eastAsia="Aptos" w:hAnsi="Verdana" w:cs="Times New Roman"/>
            <w:u w:val="single"/>
          </w:rPr>
          <w:t>https://formacionvirtual.colombiacompra.gov.co/mod/page/view.php?id=3718</w:t>
        </w:r>
      </w:hyperlink>
    </w:p>
    <w:p w14:paraId="731AA819" w14:textId="77777777" w:rsidR="00C75ABA" w:rsidRPr="00323333" w:rsidRDefault="00C75ABA" w:rsidP="00C75ABA">
      <w:pPr>
        <w:spacing w:line="276" w:lineRule="auto"/>
        <w:ind w:firstLine="708"/>
        <w:jc w:val="both"/>
        <w:rPr>
          <w:rFonts w:ascii="Verdana" w:eastAsia="Aptos" w:hAnsi="Verdana" w:cs="Times New Roman"/>
        </w:rPr>
      </w:pPr>
      <w:r w:rsidRPr="00323333">
        <w:rPr>
          <w:rFonts w:ascii="Verdana" w:eastAsia="Aptos" w:hAnsi="Verdana" w:cs="Times New Roman"/>
        </w:rPr>
        <w:t xml:space="preserve">De otro lado, te contamos que esta Agencia ha da un paso decisivo en la estandarización y modernización del </w:t>
      </w:r>
      <w:r w:rsidRPr="00323333">
        <w:rPr>
          <w:rFonts w:ascii="Verdana" w:eastAsia="Aptos" w:hAnsi="Verdana" w:cs="Times New Roman"/>
          <w:b/>
          <w:bCs/>
        </w:rPr>
        <w:t>sector  social</w:t>
      </w:r>
      <w:r w:rsidRPr="00323333">
        <w:rPr>
          <w:rFonts w:ascii="Verdana" w:eastAsia="Aptos" w:hAnsi="Verdana" w:cs="Times New Roman"/>
        </w:rPr>
        <w:t xml:space="preserve"> con la expedición de las </w:t>
      </w:r>
      <w:r w:rsidRPr="00323333">
        <w:rPr>
          <w:rFonts w:ascii="Verdana" w:eastAsia="Aptos" w:hAnsi="Verdana" w:cs="Times New Roman"/>
          <w:b/>
          <w:bCs/>
        </w:rPr>
        <w:t>Resoluciones 539, 540, 541, 952 y 953 de 2025</w:t>
      </w:r>
      <w:r w:rsidRPr="00323333">
        <w:rPr>
          <w:rFonts w:ascii="Verdana" w:eastAsia="Aptos" w:hAnsi="Verdana" w:cs="Times New Roman"/>
        </w:rPr>
        <w:t xml:space="preserve">, </w:t>
      </w:r>
      <w:r w:rsidRPr="00323333">
        <w:rPr>
          <w:rFonts w:ascii="Verdana" w:eastAsia="Aptos" w:hAnsi="Verdana" w:cs="Times New Roman"/>
          <w:b/>
          <w:bCs/>
        </w:rPr>
        <w:t>mediante las cuales adoptó Documentos Tipo</w:t>
      </w:r>
      <w:r w:rsidRPr="00323333">
        <w:rPr>
          <w:rFonts w:ascii="Verdana" w:eastAsia="Aptos" w:hAnsi="Verdana" w:cs="Times New Roman"/>
        </w:rPr>
        <w:t xml:space="preserve"> para las modalidades de selección de</w:t>
      </w:r>
      <w:r w:rsidRPr="00323333">
        <w:rPr>
          <w:rFonts w:ascii="Verdana" w:eastAsia="Aptos" w:hAnsi="Verdana" w:cs="Times New Roman"/>
          <w:b/>
          <w:bCs/>
        </w:rPr>
        <w:t xml:space="preserve"> licitación pública (versión 2), selección abreviada de menor cuantía, mínima cuantía, consultoría e interventoría</w:t>
      </w:r>
      <w:r w:rsidRPr="00323333">
        <w:rPr>
          <w:rFonts w:ascii="Verdana" w:eastAsia="Aptos" w:hAnsi="Verdana" w:cs="Times New Roman"/>
        </w:rPr>
        <w:t xml:space="preserve">, promoviendo procesos más transparentes, eficientes  competitivos y sostenibles en sectores estratégicos </w:t>
      </w:r>
      <w:r w:rsidRPr="00323333">
        <w:rPr>
          <w:rFonts w:ascii="Verdana" w:eastAsia="Aptos" w:hAnsi="Verdana" w:cs="Times New Roman"/>
        </w:rPr>
        <w:lastRenderedPageBreak/>
        <w:t xml:space="preserve">como educación, salud, cultura, recreación, deporte, institucional y vivienda. Consulta y descarga los documentos aquí: </w:t>
      </w:r>
      <w:hyperlink r:id="rId16" w:tgtFrame="_new" w:history="1">
        <w:r w:rsidRPr="00323333">
          <w:rPr>
            <w:rFonts w:ascii="Verdana" w:eastAsia="Aptos" w:hAnsi="Verdana" w:cs="Times New Roman"/>
            <w:u w:val="single"/>
          </w:rPr>
          <w:t>https://www.colombiacompra.gov.co/normativa-y-relatoria/documentos-tipo</w:t>
        </w:r>
      </w:hyperlink>
    </w:p>
    <w:p w14:paraId="60AFCEC7" w14:textId="77777777" w:rsidR="00C75ABA" w:rsidRPr="00323333" w:rsidRDefault="00C75ABA" w:rsidP="00C75ABA">
      <w:pPr>
        <w:spacing w:after="0" w:line="276" w:lineRule="auto"/>
        <w:ind w:firstLine="708"/>
        <w:jc w:val="both"/>
        <w:rPr>
          <w:rFonts w:ascii="Verdana" w:eastAsia="Aptos" w:hAnsi="Verdana" w:cs="Times New Roman"/>
        </w:rPr>
      </w:pPr>
      <w:r w:rsidRPr="00323333">
        <w:rPr>
          <w:rFonts w:ascii="Verdana" w:eastAsia="Aptos" w:hAnsi="Verdana" w:cs="Times New Roman"/>
        </w:rPr>
        <w:t xml:space="preserve">Si quieres conocer más sobre la aplicación de Documentos Tipo puedes consultar la última versión de la </w:t>
      </w:r>
      <w:r w:rsidRPr="00323333">
        <w:rPr>
          <w:rFonts w:ascii="Verdana" w:eastAsia="Aptos" w:hAnsi="Verdana" w:cs="Times New Roman"/>
          <w:b/>
          <w:bCs/>
        </w:rPr>
        <w:t>Guía para la comprensión e implementación de los Documentos Tipo de obra pública de infraestructura de transporte</w:t>
      </w:r>
      <w:r w:rsidRPr="00323333">
        <w:rPr>
          <w:rFonts w:ascii="Verdana" w:eastAsia="Aptos" w:hAnsi="Verdana" w:cs="Times New Roman"/>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323333">
        <w:rPr>
          <w:rFonts w:ascii="Verdana" w:eastAsia="Aptos" w:hAnsi="Verdana" w:cs="Times New Roman"/>
        </w:rPr>
        <w:br/>
      </w:r>
      <w:hyperlink r:id="rId17" w:tgtFrame="_new" w:history="1">
        <w:r w:rsidRPr="00323333">
          <w:rPr>
            <w:rFonts w:ascii="Verdana" w:eastAsia="Aptos" w:hAnsi="Verdana" w:cs="Times New Roman"/>
            <w:u w:val="single"/>
          </w:rPr>
          <w:t>https://www.colombiacompra.gov.co/archivos/manual/guia-para-la-comprension-e-implementacion-de-los-documentos-tipo-de-obra-publica-de-infraestructura-de-transporte-bajo-las-diferentes-modalidades-de-contratacion-vigentes</w:t>
        </w:r>
      </w:hyperlink>
    </w:p>
    <w:p w14:paraId="539C8055" w14:textId="77777777" w:rsidR="00C75ABA" w:rsidRPr="00323333" w:rsidRDefault="00C75ABA" w:rsidP="00C75ABA">
      <w:pPr>
        <w:spacing w:before="120" w:after="0" w:line="276" w:lineRule="auto"/>
        <w:ind w:firstLine="708"/>
        <w:jc w:val="both"/>
        <w:rPr>
          <w:rFonts w:ascii="Verdana" w:eastAsia="Aptos" w:hAnsi="Verdana" w:cs="Times New Roman"/>
        </w:rPr>
      </w:pPr>
      <w:r w:rsidRPr="00323333">
        <w:rPr>
          <w:rFonts w:ascii="Verdana" w:eastAsia="Aptos" w:hAnsi="Verdana" w:cs="Times New Roman"/>
        </w:rPr>
        <w:t xml:space="preserve">Por último, lo invitamos a seguirnos en las redes sociales en las cuales se difunde información institucional: </w:t>
      </w:r>
    </w:p>
    <w:p w14:paraId="35F42721" w14:textId="77777777" w:rsidR="00C75ABA" w:rsidRPr="00323333" w:rsidRDefault="00C75ABA" w:rsidP="00C75ABA">
      <w:pPr>
        <w:spacing w:after="0" w:line="276" w:lineRule="auto"/>
        <w:jc w:val="both"/>
        <w:rPr>
          <w:rFonts w:ascii="Verdana" w:eastAsia="Aptos" w:hAnsi="Verdana" w:cs="Times New Roman"/>
        </w:rPr>
      </w:pPr>
    </w:p>
    <w:p w14:paraId="728DE631" w14:textId="77777777" w:rsidR="00C75ABA" w:rsidRPr="00323333" w:rsidRDefault="00C75ABA" w:rsidP="00C75ABA">
      <w:pPr>
        <w:spacing w:after="0" w:line="276" w:lineRule="auto"/>
        <w:jc w:val="both"/>
        <w:rPr>
          <w:rFonts w:ascii="Verdana" w:eastAsia="Aptos" w:hAnsi="Verdana" w:cs="Times New Roman"/>
        </w:rPr>
      </w:pPr>
      <w:r w:rsidRPr="00323333">
        <w:rPr>
          <w:rFonts w:ascii="Verdana" w:eastAsia="Aptos" w:hAnsi="Verdana" w:cs="Times New Roman"/>
        </w:rPr>
        <w:t xml:space="preserve">Twitter: </w:t>
      </w:r>
      <w:r w:rsidRPr="00323333">
        <w:rPr>
          <w:rFonts w:ascii="Verdana" w:eastAsia="Aptos" w:hAnsi="Verdana" w:cs="Arial"/>
          <w:u w:val="single"/>
          <w:shd w:val="clear" w:color="auto" w:fill="FFFFFF"/>
          <w:lang w:val="es-ES"/>
        </w:rPr>
        <w:t>@colombiacompra</w:t>
      </w:r>
      <w:r w:rsidRPr="00323333">
        <w:rPr>
          <w:rFonts w:ascii="Verdana" w:eastAsia="Aptos" w:hAnsi="Verdana" w:cs="Times New Roman"/>
        </w:rPr>
        <w:t xml:space="preserve"> </w:t>
      </w:r>
    </w:p>
    <w:p w14:paraId="48C4D166" w14:textId="77777777" w:rsidR="00C75ABA" w:rsidRPr="00323333" w:rsidRDefault="00C75ABA" w:rsidP="00C75ABA">
      <w:pPr>
        <w:spacing w:after="0" w:line="276" w:lineRule="auto"/>
        <w:jc w:val="both"/>
        <w:rPr>
          <w:rFonts w:ascii="Verdana" w:eastAsia="Aptos" w:hAnsi="Verdana" w:cs="Times New Roman"/>
        </w:rPr>
      </w:pPr>
      <w:r w:rsidRPr="00323333">
        <w:rPr>
          <w:rFonts w:ascii="Verdana" w:eastAsia="Aptos" w:hAnsi="Verdana" w:cs="Times New Roman"/>
        </w:rPr>
        <w:t xml:space="preserve">Facebook: </w:t>
      </w:r>
      <w:proofErr w:type="spellStart"/>
      <w:r w:rsidRPr="00323333">
        <w:rPr>
          <w:rFonts w:ascii="Verdana" w:eastAsia="Aptos" w:hAnsi="Verdana" w:cs="Arial"/>
          <w:u w:val="single"/>
          <w:shd w:val="clear" w:color="auto" w:fill="FFFFFF"/>
          <w:lang w:val="es-ES"/>
        </w:rPr>
        <w:t>ColombiaCompraEficiente</w:t>
      </w:r>
      <w:proofErr w:type="spellEnd"/>
    </w:p>
    <w:p w14:paraId="41A2099A" w14:textId="77777777" w:rsidR="00C75ABA" w:rsidRPr="00323333" w:rsidRDefault="00C75ABA" w:rsidP="00C75ABA">
      <w:pPr>
        <w:spacing w:after="0" w:line="276" w:lineRule="auto"/>
        <w:jc w:val="both"/>
        <w:rPr>
          <w:rFonts w:ascii="Verdana" w:eastAsia="Aptos" w:hAnsi="Verdana" w:cs="Times New Roman"/>
        </w:rPr>
      </w:pPr>
      <w:r w:rsidRPr="00323333">
        <w:rPr>
          <w:rFonts w:ascii="Verdana" w:eastAsia="Aptos" w:hAnsi="Verdana" w:cs="Times New Roman"/>
        </w:rPr>
        <w:t xml:space="preserve">LinkedIn: </w:t>
      </w:r>
      <w:r w:rsidRPr="00323333">
        <w:rPr>
          <w:rFonts w:ascii="Verdana" w:eastAsia="Aptos" w:hAnsi="Verdana" w:cs="Arial"/>
          <w:u w:val="single"/>
          <w:shd w:val="clear" w:color="auto" w:fill="FFFFFF"/>
          <w:lang w:val="es-ES"/>
        </w:rPr>
        <w:t>Agencia Nacional de Contratación Pública - Colombia Compra Eficiente</w:t>
      </w:r>
      <w:r w:rsidRPr="00323333">
        <w:rPr>
          <w:rFonts w:ascii="Verdana" w:eastAsia="Aptos" w:hAnsi="Verdana" w:cs="Times New Roman"/>
        </w:rPr>
        <w:t xml:space="preserve"> Instagram: </w:t>
      </w:r>
      <w:r w:rsidRPr="00323333">
        <w:rPr>
          <w:rFonts w:ascii="Verdana" w:eastAsia="Aptos" w:hAnsi="Verdana" w:cs="Arial"/>
          <w:u w:val="single"/>
          <w:shd w:val="clear" w:color="auto" w:fill="FFFFFF"/>
          <w:lang w:val="es-ES"/>
        </w:rPr>
        <w:t>@colombiacompraeficiente_cce</w:t>
      </w:r>
    </w:p>
    <w:p w14:paraId="005720BB" w14:textId="77777777" w:rsidR="00C75ABA" w:rsidRPr="00323333" w:rsidRDefault="00C75ABA" w:rsidP="00C75ABA">
      <w:pPr>
        <w:widowControl w:val="0"/>
        <w:autoSpaceDE w:val="0"/>
        <w:autoSpaceDN w:val="0"/>
        <w:spacing w:after="0" w:line="276" w:lineRule="auto"/>
        <w:jc w:val="both"/>
        <w:rPr>
          <w:rFonts w:ascii="Verdana" w:eastAsia="Aptos" w:hAnsi="Verdana" w:cs="Arial"/>
        </w:rPr>
      </w:pPr>
    </w:p>
    <w:p w14:paraId="298F59DC" w14:textId="77777777" w:rsidR="00C75ABA" w:rsidRPr="00323333" w:rsidRDefault="00C75ABA" w:rsidP="00C75ABA">
      <w:pPr>
        <w:widowControl w:val="0"/>
        <w:autoSpaceDE w:val="0"/>
        <w:autoSpaceDN w:val="0"/>
        <w:spacing w:after="0" w:line="276" w:lineRule="auto"/>
        <w:jc w:val="both"/>
        <w:rPr>
          <w:rFonts w:ascii="Verdana" w:eastAsia="Aptos" w:hAnsi="Verdana" w:cs="Arial"/>
          <w:lang w:val="es-ES_tradnl"/>
        </w:rPr>
      </w:pPr>
      <w:r w:rsidRPr="00323333">
        <w:rPr>
          <w:rFonts w:ascii="Verdana" w:eastAsia="Aptos" w:hAnsi="Verdana" w:cs="Arial"/>
        </w:rPr>
        <w:t xml:space="preserve">Este concepto tiene el alcance previsto en el artículo 28 del Código de Procedimiento Administrativo y de lo Contencioso Administrativo </w:t>
      </w:r>
      <w:r w:rsidRPr="00323333">
        <w:rPr>
          <w:rFonts w:ascii="Verdana" w:eastAsia="Aptos" w:hAnsi="Verdana" w:cs="Arial"/>
          <w:lang w:val="es-ES_tradnl"/>
        </w:rPr>
        <w:t>y las expresiones aquí utilizadas con mayúscula inicial deben ser entendidas con el significado que les otorga el artículo 2.2.1.1.1.3.1. del Decreto 1082 de 2015.</w:t>
      </w:r>
    </w:p>
    <w:p w14:paraId="7B77220A" w14:textId="77777777" w:rsidR="00C75ABA" w:rsidRPr="00323333" w:rsidRDefault="00C75ABA" w:rsidP="00C75ABA">
      <w:pPr>
        <w:widowControl w:val="0"/>
        <w:autoSpaceDE w:val="0"/>
        <w:autoSpaceDN w:val="0"/>
        <w:spacing w:after="0" w:line="276" w:lineRule="auto"/>
        <w:jc w:val="both"/>
        <w:rPr>
          <w:rFonts w:ascii="Verdana" w:eastAsia="Aptos" w:hAnsi="Verdana" w:cs="Arial"/>
        </w:rPr>
      </w:pPr>
    </w:p>
    <w:p w14:paraId="2461CF0C" w14:textId="77777777" w:rsidR="00C75ABA" w:rsidRPr="00323333" w:rsidRDefault="00C75ABA" w:rsidP="00C75ABA">
      <w:pPr>
        <w:spacing w:after="0" w:line="276" w:lineRule="auto"/>
        <w:rPr>
          <w:rFonts w:ascii="Verdana" w:eastAsia="Aptos" w:hAnsi="Verdana" w:cs="Arial"/>
          <w:lang w:eastAsia="es-CO"/>
        </w:rPr>
      </w:pPr>
      <w:r w:rsidRPr="00323333">
        <w:rPr>
          <w:rFonts w:ascii="Verdana" w:eastAsia="Times New Roman" w:hAnsi="Verdana" w:cs="Arial"/>
          <w:lang w:eastAsia="es-CO"/>
        </w:rPr>
        <w:t>Atentamente,</w:t>
      </w:r>
      <w:r w:rsidRPr="00323333">
        <w:rPr>
          <w:rFonts w:ascii="Verdana" w:eastAsia="Aptos" w:hAnsi="Verdana" w:cs="Arial"/>
          <w:lang w:eastAsia="es-CO"/>
        </w:rPr>
        <w:t xml:space="preserve"> </w:t>
      </w:r>
    </w:p>
    <w:p w14:paraId="518CE383" w14:textId="77947EC0" w:rsidR="00C75ABA" w:rsidRPr="00323333" w:rsidRDefault="00B447D2" w:rsidP="00C75ABA">
      <w:pPr>
        <w:spacing w:after="0" w:line="276" w:lineRule="auto"/>
        <w:jc w:val="center"/>
        <w:rPr>
          <w:rFonts w:ascii="Verdana" w:eastAsia="Aptos" w:hAnsi="Verdana" w:cs="Arial"/>
          <w:lang w:val="es-ES_tradnl" w:eastAsia="es-CO"/>
        </w:rPr>
      </w:pPr>
      <w:r>
        <w:rPr>
          <w:noProof/>
        </w:rPr>
        <w:lastRenderedPageBreak/>
        <w:drawing>
          <wp:inline distT="0" distB="0" distL="0" distR="0" wp14:anchorId="0353A412" wp14:editId="147F6D65">
            <wp:extent cx="3771900" cy="1409700"/>
            <wp:effectExtent l="0" t="0" r="0" b="0"/>
            <wp:docPr id="955294136"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o&#10;&#10;Descripción generada automáticament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71900" cy="1409700"/>
                    </a:xfrm>
                    <a:prstGeom prst="rect">
                      <a:avLst/>
                    </a:prstGeom>
                    <a:noFill/>
                    <a:ln>
                      <a:noFill/>
                    </a:ln>
                  </pic:spPr>
                </pic:pic>
              </a:graphicData>
            </a:graphic>
          </wp:inline>
        </w:drawing>
      </w:r>
    </w:p>
    <w:tbl>
      <w:tblPr>
        <w:tblStyle w:val="Tablaconcuadrcula11"/>
        <w:tblpPr w:leftFromText="141" w:rightFromText="141" w:vertAnchor="text" w:horzAnchor="margin"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
        <w:gridCol w:w="4344"/>
      </w:tblGrid>
      <w:tr w:rsidR="00C75ABA" w:rsidRPr="00323333" w14:paraId="7B475ACE" w14:textId="77777777" w:rsidTr="00D40B2C">
        <w:trPr>
          <w:trHeight w:val="286"/>
        </w:trPr>
        <w:tc>
          <w:tcPr>
            <w:tcW w:w="901" w:type="dxa"/>
            <w:vAlign w:val="center"/>
            <w:hideMark/>
          </w:tcPr>
          <w:p w14:paraId="2500F979" w14:textId="77777777" w:rsidR="00C75ABA" w:rsidRPr="00323333" w:rsidRDefault="00C75ABA" w:rsidP="00D40B2C">
            <w:pPr>
              <w:rPr>
                <w:rFonts w:ascii="Verdana" w:eastAsia="Aptos" w:hAnsi="Verdana" w:cs="Arial"/>
                <w:sz w:val="14"/>
                <w:szCs w:val="14"/>
                <w:lang w:eastAsia="es-ES"/>
              </w:rPr>
            </w:pPr>
            <w:r w:rsidRPr="00323333">
              <w:rPr>
                <w:rFonts w:ascii="Verdana" w:eastAsia="Aptos" w:hAnsi="Verdana" w:cs="Arial"/>
                <w:sz w:val="14"/>
                <w:szCs w:val="14"/>
                <w:lang w:eastAsia="es-ES"/>
              </w:rPr>
              <w:t>Elaboró:</w:t>
            </w:r>
          </w:p>
        </w:tc>
        <w:tc>
          <w:tcPr>
            <w:tcW w:w="4344" w:type="dxa"/>
            <w:tcBorders>
              <w:top w:val="nil"/>
              <w:left w:val="nil"/>
              <w:bottom w:val="dotted" w:sz="4" w:space="0" w:color="7F7F7F"/>
              <w:right w:val="nil"/>
            </w:tcBorders>
            <w:vAlign w:val="center"/>
            <w:hideMark/>
          </w:tcPr>
          <w:p w14:paraId="316F6B7A" w14:textId="77777777" w:rsidR="00C75ABA" w:rsidRPr="00323333" w:rsidRDefault="00C75ABA" w:rsidP="00D40B2C">
            <w:pPr>
              <w:rPr>
                <w:rFonts w:ascii="Verdana" w:eastAsia="Aptos" w:hAnsi="Verdana" w:cs="Arial"/>
                <w:sz w:val="14"/>
                <w:szCs w:val="14"/>
                <w:lang w:eastAsia="es-ES"/>
              </w:rPr>
            </w:pPr>
            <w:r w:rsidRPr="00323333">
              <w:rPr>
                <w:rFonts w:ascii="Verdana" w:eastAsia="Aptos" w:hAnsi="Verdana" w:cs="Arial"/>
                <w:sz w:val="14"/>
                <w:szCs w:val="14"/>
                <w:lang w:eastAsia="es-ES"/>
              </w:rPr>
              <w:t>Nasly Yeana Mosquera Rivas</w:t>
            </w:r>
          </w:p>
          <w:p w14:paraId="1A7AFCF7" w14:textId="77777777" w:rsidR="00C75ABA" w:rsidRPr="00323333" w:rsidRDefault="00C75ABA" w:rsidP="00D40B2C">
            <w:pPr>
              <w:rPr>
                <w:rFonts w:ascii="Verdana" w:eastAsia="Aptos" w:hAnsi="Verdana" w:cs="Arial"/>
                <w:sz w:val="14"/>
                <w:szCs w:val="14"/>
                <w:lang w:eastAsia="es-ES"/>
              </w:rPr>
            </w:pPr>
            <w:r w:rsidRPr="00323333">
              <w:rPr>
                <w:rFonts w:ascii="Verdana" w:eastAsia="Aptos" w:hAnsi="Verdana" w:cs="Arial"/>
                <w:sz w:val="14"/>
                <w:szCs w:val="14"/>
                <w:lang w:eastAsia="es-ES"/>
              </w:rPr>
              <w:t>Analista T2–06 de la Subdirección de Gestión Contractual</w:t>
            </w:r>
          </w:p>
        </w:tc>
      </w:tr>
      <w:tr w:rsidR="00C75ABA" w:rsidRPr="00323333" w14:paraId="00DECAF7" w14:textId="77777777" w:rsidTr="00D40B2C">
        <w:trPr>
          <w:trHeight w:val="299"/>
        </w:trPr>
        <w:tc>
          <w:tcPr>
            <w:tcW w:w="901" w:type="dxa"/>
            <w:vAlign w:val="center"/>
          </w:tcPr>
          <w:p w14:paraId="7B73912F" w14:textId="77777777" w:rsidR="00C75ABA" w:rsidRPr="00323333" w:rsidRDefault="00C75ABA" w:rsidP="00D40B2C">
            <w:pPr>
              <w:rPr>
                <w:rFonts w:ascii="Verdana" w:eastAsia="Aptos" w:hAnsi="Verdana" w:cs="Arial"/>
                <w:sz w:val="14"/>
                <w:szCs w:val="14"/>
                <w:lang w:eastAsia="es-ES"/>
              </w:rPr>
            </w:pPr>
            <w:r w:rsidRPr="00323333">
              <w:rPr>
                <w:rFonts w:ascii="Verdana" w:eastAsia="Aptos" w:hAnsi="Verdana" w:cs="Arial"/>
                <w:sz w:val="14"/>
                <w:szCs w:val="14"/>
                <w:lang w:eastAsia="es-ES"/>
              </w:rPr>
              <w:t>Revisó:</w:t>
            </w:r>
          </w:p>
        </w:tc>
        <w:tc>
          <w:tcPr>
            <w:tcW w:w="4344" w:type="dxa"/>
            <w:tcBorders>
              <w:top w:val="dotted" w:sz="4" w:space="0" w:color="7F7F7F"/>
              <w:left w:val="nil"/>
              <w:bottom w:val="dotted" w:sz="4" w:space="0" w:color="7F7F7F"/>
              <w:right w:val="nil"/>
            </w:tcBorders>
            <w:vAlign w:val="center"/>
          </w:tcPr>
          <w:p w14:paraId="1B95BE20" w14:textId="77777777" w:rsidR="00C75ABA" w:rsidRPr="00323333" w:rsidRDefault="00C75ABA" w:rsidP="00D40B2C">
            <w:pPr>
              <w:rPr>
                <w:rFonts w:ascii="Verdana" w:eastAsia="Aptos" w:hAnsi="Verdana" w:cs="Arial"/>
                <w:sz w:val="14"/>
                <w:szCs w:val="14"/>
                <w:lang w:eastAsia="es-ES"/>
              </w:rPr>
            </w:pPr>
            <w:r w:rsidRPr="00323333">
              <w:rPr>
                <w:rFonts w:ascii="Verdana" w:eastAsia="Aptos" w:hAnsi="Verdana" w:cs="Arial"/>
                <w:sz w:val="14"/>
                <w:szCs w:val="14"/>
                <w:lang w:eastAsia="es-ES"/>
              </w:rPr>
              <w:t>Adriana Katherine López Rodríguez</w:t>
            </w:r>
          </w:p>
          <w:p w14:paraId="5AAB8373" w14:textId="77777777" w:rsidR="00C75ABA" w:rsidRPr="00323333" w:rsidRDefault="00C75ABA" w:rsidP="00D40B2C">
            <w:pPr>
              <w:rPr>
                <w:rFonts w:ascii="Verdana" w:eastAsia="Aptos" w:hAnsi="Verdana" w:cs="Arial"/>
                <w:sz w:val="14"/>
                <w:szCs w:val="14"/>
                <w:lang w:eastAsia="es-ES"/>
              </w:rPr>
            </w:pPr>
            <w:r w:rsidRPr="00323333">
              <w:rPr>
                <w:rFonts w:ascii="Verdana" w:eastAsia="Aptos" w:hAnsi="Verdana" w:cs="Arial"/>
                <w:sz w:val="14"/>
                <w:szCs w:val="14"/>
                <w:lang w:eastAsia="es-ES"/>
              </w:rPr>
              <w:t>Contratista de la Subdirección de Gestión Contractual</w:t>
            </w:r>
          </w:p>
        </w:tc>
      </w:tr>
      <w:tr w:rsidR="00C75ABA" w:rsidRPr="00323333" w14:paraId="1E823238" w14:textId="77777777" w:rsidTr="00D40B2C">
        <w:trPr>
          <w:trHeight w:val="272"/>
        </w:trPr>
        <w:tc>
          <w:tcPr>
            <w:tcW w:w="901" w:type="dxa"/>
            <w:vAlign w:val="center"/>
            <w:hideMark/>
          </w:tcPr>
          <w:p w14:paraId="7E1D26B1" w14:textId="77777777" w:rsidR="00C75ABA" w:rsidRPr="00323333" w:rsidRDefault="00C75ABA" w:rsidP="00D40B2C">
            <w:pPr>
              <w:rPr>
                <w:rFonts w:ascii="Verdana" w:eastAsia="Aptos" w:hAnsi="Verdana" w:cs="Arial"/>
                <w:sz w:val="14"/>
                <w:szCs w:val="14"/>
                <w:lang w:eastAsia="es-ES"/>
              </w:rPr>
            </w:pPr>
            <w:r w:rsidRPr="00323333">
              <w:rPr>
                <w:rFonts w:ascii="Verdana" w:eastAsia="Aptos" w:hAnsi="Verdana" w:cs="Arial"/>
                <w:sz w:val="14"/>
                <w:szCs w:val="14"/>
                <w:lang w:eastAsia="es-ES"/>
              </w:rPr>
              <w:t>Aprobó:</w:t>
            </w:r>
          </w:p>
        </w:tc>
        <w:tc>
          <w:tcPr>
            <w:tcW w:w="4344" w:type="dxa"/>
            <w:tcBorders>
              <w:top w:val="dotted" w:sz="4" w:space="0" w:color="7F7F7F"/>
              <w:left w:val="nil"/>
              <w:bottom w:val="dotted" w:sz="4" w:space="0" w:color="7F7F7F"/>
              <w:right w:val="nil"/>
            </w:tcBorders>
            <w:vAlign w:val="center"/>
            <w:hideMark/>
          </w:tcPr>
          <w:p w14:paraId="3F6240A6" w14:textId="77777777" w:rsidR="00C75ABA" w:rsidRPr="00323333" w:rsidRDefault="00C75ABA" w:rsidP="00D40B2C">
            <w:pPr>
              <w:rPr>
                <w:rFonts w:ascii="Verdana" w:eastAsia="Aptos" w:hAnsi="Verdana" w:cs="Arial"/>
                <w:sz w:val="14"/>
                <w:szCs w:val="14"/>
                <w:lang w:eastAsia="es-ES"/>
              </w:rPr>
            </w:pPr>
            <w:r w:rsidRPr="00323333">
              <w:rPr>
                <w:rFonts w:ascii="Verdana" w:eastAsia="Aptos" w:hAnsi="Verdana" w:cs="Arial"/>
                <w:sz w:val="14"/>
                <w:szCs w:val="14"/>
                <w:lang w:eastAsia="es-ES"/>
              </w:rPr>
              <w:t>Carolina Quintero Gacharná</w:t>
            </w:r>
          </w:p>
          <w:p w14:paraId="3756F859" w14:textId="77777777" w:rsidR="00C75ABA" w:rsidRPr="00323333" w:rsidRDefault="00C75ABA" w:rsidP="00D40B2C">
            <w:pPr>
              <w:rPr>
                <w:rFonts w:ascii="Verdana" w:eastAsia="Aptos" w:hAnsi="Verdana" w:cs="Arial"/>
                <w:sz w:val="14"/>
                <w:szCs w:val="14"/>
                <w:lang w:eastAsia="es-ES"/>
              </w:rPr>
            </w:pPr>
            <w:r w:rsidRPr="00323333">
              <w:rPr>
                <w:rFonts w:ascii="Verdana" w:eastAsia="Aptos" w:hAnsi="Verdana" w:cs="Arial"/>
                <w:sz w:val="14"/>
                <w:szCs w:val="14"/>
                <w:lang w:eastAsia="es-ES"/>
              </w:rPr>
              <w:t>Subdirectora de Gestión Contractual ANCP – CCE</w:t>
            </w:r>
          </w:p>
        </w:tc>
      </w:tr>
    </w:tbl>
    <w:p w14:paraId="03CD578D" w14:textId="77777777" w:rsidR="00C75ABA" w:rsidRPr="00323333" w:rsidRDefault="00C75ABA" w:rsidP="00C75ABA">
      <w:pPr>
        <w:spacing w:after="0" w:line="240" w:lineRule="auto"/>
        <w:rPr>
          <w:rFonts w:ascii="Verdana" w:eastAsia="Times New Roman" w:hAnsi="Verdana" w:cs="Arial"/>
          <w:sz w:val="24"/>
          <w:szCs w:val="24"/>
          <w:lang w:eastAsia="es-ES"/>
        </w:rPr>
      </w:pPr>
    </w:p>
    <w:p w14:paraId="77A48174" w14:textId="77777777" w:rsidR="00C75ABA" w:rsidRPr="00323333" w:rsidRDefault="00C75ABA" w:rsidP="00C75ABA">
      <w:pPr>
        <w:rPr>
          <w:rFonts w:ascii="Verdana" w:eastAsia="Aptos" w:hAnsi="Verdana" w:cs="Times New Roman"/>
        </w:rPr>
      </w:pPr>
    </w:p>
    <w:p w14:paraId="7D07390C" w14:textId="77777777" w:rsidR="00C75ABA" w:rsidRPr="00323333" w:rsidRDefault="00C75ABA" w:rsidP="00C75ABA">
      <w:pPr>
        <w:rPr>
          <w:rFonts w:ascii="Verdana" w:hAnsi="Verdana"/>
        </w:rPr>
      </w:pPr>
    </w:p>
    <w:p w14:paraId="19246F95" w14:textId="31DC937C" w:rsidR="00C75ABA" w:rsidRPr="000E2B93" w:rsidRDefault="00C75ABA" w:rsidP="00C75ABA">
      <w:pPr>
        <w:spacing w:after="0" w:line="240" w:lineRule="auto"/>
        <w:textAlignment w:val="baseline"/>
        <w:rPr>
          <w:rFonts w:ascii="Verdana" w:eastAsia="Verdana" w:hAnsi="Verdana" w:cs="Verdana"/>
          <w:lang w:eastAsia="es-CO"/>
        </w:rPr>
      </w:pPr>
      <w:r w:rsidRPr="00323333">
        <w:rPr>
          <w:rFonts w:ascii="Verdana" w:eastAsia="Verdana" w:hAnsi="Verdana" w:cs="Verdana"/>
          <w:lang w:eastAsia="es-CO"/>
        </w:rPr>
        <w:t> </w:t>
      </w:r>
      <w:r w:rsidRPr="30821638">
        <w:rPr>
          <w:rFonts w:ascii="Verdana" w:eastAsia="Verdana" w:hAnsi="Verdana" w:cs="Verdana"/>
          <w:lang w:eastAsia="es-CO"/>
        </w:rPr>
        <w:t> </w:t>
      </w:r>
      <w:bookmarkEnd w:id="0"/>
    </w:p>
    <w:p w14:paraId="171F1B28" w14:textId="77777777" w:rsidR="008E5C2E" w:rsidRDefault="008E5C2E"/>
    <w:sectPr w:rsidR="008E5C2E" w:rsidSect="00C75ABA">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2FA55" w14:textId="77777777" w:rsidR="00BE2AEF" w:rsidRDefault="00BE2AEF" w:rsidP="00C75ABA">
      <w:pPr>
        <w:spacing w:after="0" w:line="240" w:lineRule="auto"/>
      </w:pPr>
      <w:r>
        <w:separator/>
      </w:r>
    </w:p>
  </w:endnote>
  <w:endnote w:type="continuationSeparator" w:id="0">
    <w:p w14:paraId="4E062E79" w14:textId="77777777" w:rsidR="00BE2AEF" w:rsidRDefault="00BE2AEF" w:rsidP="00C75A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Geomanist Light">
    <w:altName w:val="Calibri"/>
    <w:panose1 w:val="00000000000000000000"/>
    <w:charset w:val="00"/>
    <w:family w:val="modern"/>
    <w:notTrueType/>
    <w:pitch w:val="variable"/>
    <w:sig w:usb0="A000002F" w:usb1="1000004A" w:usb2="00000000" w:usb3="00000000" w:csb0="00000193"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3C3EE" w14:textId="77777777" w:rsidR="00C75ABA" w:rsidRDefault="00C75ABA">
    <w:pPr>
      <w:pStyle w:val="Piedepgina"/>
    </w:pPr>
  </w:p>
  <w:p w14:paraId="61504904" w14:textId="77777777" w:rsidR="00C75ABA" w:rsidRPr="00174B77" w:rsidRDefault="00C75ABA"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Pr="07C73DD1">
      <w:rPr>
        <w:rFonts w:ascii="Verdana" w:eastAsia="Verdana" w:hAnsi="Verdana" w:cs="Verdana"/>
        <w:b/>
        <w:bCs/>
        <w:sz w:val="18"/>
        <w:szCs w:val="18"/>
      </w:rPr>
      <w:fldChar w:fldCharType="begin"/>
    </w:r>
    <w:r w:rsidRPr="07C73DD1">
      <w:rPr>
        <w:rFonts w:ascii="Verdana" w:hAnsi="Verdana"/>
        <w:b/>
        <w:bCs/>
        <w:sz w:val="16"/>
        <w:szCs w:val="16"/>
      </w:rPr>
      <w:instrText>PAGE    \* MERGEFORMAT</w:instrText>
    </w:r>
    <w:r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600E0A33" w14:textId="77777777" w:rsidR="00C75ABA" w:rsidRDefault="00C75ABA"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15AA2803" w14:textId="77777777" w:rsidR="00C75ABA" w:rsidRPr="00E41027" w:rsidRDefault="00C75ABA"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3BCDBAA1" w14:textId="77777777" w:rsidR="00C75ABA" w:rsidRDefault="00C75ABA"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E80F8" w14:textId="77777777" w:rsidR="00BE2AEF" w:rsidRDefault="00BE2AEF" w:rsidP="00C75ABA">
      <w:pPr>
        <w:spacing w:after="0" w:line="240" w:lineRule="auto"/>
      </w:pPr>
      <w:r>
        <w:separator/>
      </w:r>
    </w:p>
  </w:footnote>
  <w:footnote w:type="continuationSeparator" w:id="0">
    <w:p w14:paraId="2ACE6D57" w14:textId="77777777" w:rsidR="00BE2AEF" w:rsidRDefault="00BE2AEF" w:rsidP="00C75ABA">
      <w:pPr>
        <w:spacing w:after="0" w:line="240" w:lineRule="auto"/>
      </w:pPr>
      <w:r>
        <w:continuationSeparator/>
      </w:r>
    </w:p>
  </w:footnote>
  <w:footnote w:id="1">
    <w:p w14:paraId="695C4BAF" w14:textId="77777777" w:rsidR="00C75ABA" w:rsidRPr="005867CF" w:rsidRDefault="00C75ABA" w:rsidP="00C75ABA">
      <w:pPr>
        <w:spacing w:after="0" w:line="240" w:lineRule="auto"/>
        <w:ind w:firstLine="709"/>
        <w:jc w:val="both"/>
        <w:rPr>
          <w:rFonts w:ascii="Verdana" w:hAnsi="Verdana" w:cs="Arial"/>
          <w:color w:val="000000" w:themeColor="text1"/>
          <w:sz w:val="15"/>
          <w:szCs w:val="15"/>
        </w:rPr>
      </w:pPr>
      <w:r w:rsidRPr="005867CF">
        <w:rPr>
          <w:rFonts w:ascii="Verdana" w:hAnsi="Verdana" w:cs="Arial"/>
          <w:color w:val="000000" w:themeColor="text1"/>
          <w:sz w:val="15"/>
          <w:szCs w:val="15"/>
          <w:vertAlign w:val="superscript"/>
        </w:rPr>
        <w:footnoteRef/>
      </w:r>
      <w:r w:rsidRPr="005867CF">
        <w:rPr>
          <w:rFonts w:ascii="Verdana" w:hAnsi="Verdana" w:cs="Arial"/>
          <w:color w:val="000000" w:themeColor="text1"/>
          <w:sz w:val="15"/>
          <w:szCs w:val="15"/>
        </w:rPr>
        <w:t xml:space="preserve"> La Sala de Consulta y Servicio Civil del Consejo de Estado, en concepto del 8 de marzo de 2017, radicado No. 2298, y con ponencia del Consejero Édgar González, manifestó respecto del trámite del cierre del expediente del Proceso de Contratación que: “[…] procede cuando se ha efectuado la liquidación del contrato, a efectos de dejar las constancias sobre el vencimiento de las garantías y la condición de los bienes y obras desde la perspectiva ambiental, y también en los casos en los cuales no se haya efectuado dicha liquidación, a efectos de dejar constancia sobre el punto final de la actuación contractual”.</w:t>
      </w:r>
    </w:p>
  </w:footnote>
  <w:footnote w:id="2">
    <w:p w14:paraId="14D079FA" w14:textId="77777777" w:rsidR="00C75ABA" w:rsidRPr="00CD5960" w:rsidRDefault="00C75ABA" w:rsidP="00C75ABA">
      <w:pPr>
        <w:pStyle w:val="Textonotapie"/>
        <w:ind w:firstLine="708"/>
        <w:jc w:val="both"/>
        <w:rPr>
          <w:rFonts w:ascii="Verdana" w:hAnsi="Verdana" w:cs="Arial"/>
          <w:sz w:val="16"/>
          <w:szCs w:val="16"/>
        </w:rPr>
      </w:pPr>
      <w:r w:rsidRPr="00CD5960">
        <w:rPr>
          <w:rStyle w:val="Refdenotaalpie"/>
          <w:rFonts w:ascii="Verdana" w:hAnsi="Verdana" w:cs="Arial"/>
          <w:sz w:val="16"/>
          <w:szCs w:val="16"/>
        </w:rPr>
        <w:footnoteRef/>
      </w:r>
      <w:r w:rsidRPr="00CD5960">
        <w:rPr>
          <w:rFonts w:ascii="Verdana" w:hAnsi="Verdana" w:cs="Arial"/>
          <w:sz w:val="16"/>
          <w:szCs w:val="16"/>
        </w:rPr>
        <w:t xml:space="preserve"> “Artículo 2.2.1.2.3.1.12. Suficiencia de la garantía de cumplimiento. La garantía de cumplimiento del contrato debe tener una vigencia mínima hasta la liquidación del contrato. El valor de esta garantía debe ser de por lo menos el diez por ciento (10%) del valor del contrato a menos que el valor del contrato sea superior a un millón (1.000.000) de smmlv, caso en el cual la Entidad Estatal aplicará las siguientes reglas: </w:t>
      </w:r>
    </w:p>
    <w:p w14:paraId="1CE439E6" w14:textId="77777777" w:rsidR="00C75ABA" w:rsidRPr="00CD5960" w:rsidRDefault="00C75ABA" w:rsidP="00C75ABA">
      <w:pPr>
        <w:pStyle w:val="Textonotapie"/>
        <w:ind w:firstLine="708"/>
        <w:jc w:val="both"/>
        <w:rPr>
          <w:rFonts w:ascii="Verdana" w:hAnsi="Verdana" w:cs="Arial"/>
          <w:sz w:val="16"/>
          <w:szCs w:val="16"/>
        </w:rPr>
      </w:pPr>
      <w:r w:rsidRPr="00CD5960">
        <w:rPr>
          <w:rFonts w:ascii="Verdana" w:hAnsi="Verdana" w:cs="Arial"/>
          <w:sz w:val="16"/>
          <w:szCs w:val="16"/>
        </w:rPr>
        <w:t xml:space="preserve">1. Si el valor del contrato es superior a un millón (1.000.000) de smmlv y hasta cinco millones (5.000.000) de smmlv, la Entidad Estatal puede aceptar garantías que cubran al menos el dos punto cinco por ciento (2,5%) del valor del contrato. </w:t>
      </w:r>
    </w:p>
    <w:p w14:paraId="7A8DEA5E" w14:textId="77777777" w:rsidR="00C75ABA" w:rsidRPr="00CD5960" w:rsidRDefault="00C75ABA" w:rsidP="00C75ABA">
      <w:pPr>
        <w:pStyle w:val="Textonotapie"/>
        <w:ind w:firstLine="708"/>
        <w:jc w:val="both"/>
        <w:rPr>
          <w:rFonts w:ascii="Verdana" w:hAnsi="Verdana" w:cs="Arial"/>
          <w:sz w:val="16"/>
          <w:szCs w:val="16"/>
        </w:rPr>
      </w:pPr>
      <w:r w:rsidRPr="00CD5960">
        <w:rPr>
          <w:rFonts w:ascii="Verdana" w:hAnsi="Verdana" w:cs="Arial"/>
          <w:sz w:val="16"/>
          <w:szCs w:val="16"/>
        </w:rPr>
        <w:t xml:space="preserve">2. Si el valor del contrato es superior a cinco millones (5.000.000) de smmlv y hasta diez millones (10.000.000) de smmlv, la Entidad Estatal puede aceptar garantías que cubran al menos el uno por ciento (1%) del valor del contrato. </w:t>
      </w:r>
    </w:p>
    <w:p w14:paraId="316512BB" w14:textId="77777777" w:rsidR="00C75ABA" w:rsidRPr="00CD5960" w:rsidRDefault="00C75ABA" w:rsidP="00C75ABA">
      <w:pPr>
        <w:pStyle w:val="Textonotapie"/>
        <w:ind w:firstLine="708"/>
        <w:jc w:val="both"/>
        <w:rPr>
          <w:rFonts w:ascii="Verdana" w:hAnsi="Verdana" w:cs="Arial"/>
          <w:sz w:val="16"/>
          <w:szCs w:val="16"/>
        </w:rPr>
      </w:pPr>
      <w:r w:rsidRPr="00CD5960">
        <w:rPr>
          <w:rFonts w:ascii="Verdana" w:hAnsi="Verdana" w:cs="Arial"/>
          <w:sz w:val="16"/>
          <w:szCs w:val="16"/>
        </w:rPr>
        <w:t>3. Si el valor del contrato es superior a diez millones (10.000.000) de smmlv, la Entidad Estatal puede aceptar garantías que cubran al menos el cero punto cinco por ciento (0,5%) del valor del contrato.</w:t>
      </w:r>
    </w:p>
    <w:p w14:paraId="0D8C7012" w14:textId="77777777" w:rsidR="00C75ABA" w:rsidRPr="00CD5960" w:rsidRDefault="00C75ABA" w:rsidP="00C75ABA">
      <w:pPr>
        <w:pStyle w:val="Textonotapie"/>
        <w:ind w:firstLine="708"/>
        <w:jc w:val="both"/>
        <w:rPr>
          <w:rFonts w:ascii="Verdana" w:hAnsi="Verdana" w:cs="Arial"/>
          <w:sz w:val="16"/>
          <w:szCs w:val="16"/>
          <w:lang w:val="es-CO"/>
        </w:rPr>
      </w:pPr>
      <w:r w:rsidRPr="00CD5960">
        <w:rPr>
          <w:rFonts w:ascii="Verdana" w:hAnsi="Verdana" w:cs="Arial"/>
          <w:sz w:val="16"/>
          <w:szCs w:val="16"/>
        </w:rPr>
        <w:t>4. Colombia Compra Eficiente debe determinar el valor de la garantía única de cumplimiento del Acuerdo Marco de Precios de acuerdo con el objeto, el valor, la naturaleza y las obligaciones contenidas en este”.</w:t>
      </w:r>
    </w:p>
  </w:footnote>
  <w:footnote w:id="3">
    <w:p w14:paraId="5FB417BD" w14:textId="77777777" w:rsidR="00C75ABA" w:rsidRPr="00CD5960" w:rsidRDefault="00C75ABA" w:rsidP="00C75ABA">
      <w:pPr>
        <w:pStyle w:val="Textonotapie"/>
        <w:ind w:firstLine="708"/>
        <w:jc w:val="both"/>
        <w:rPr>
          <w:rFonts w:ascii="Verdana" w:hAnsi="Verdana" w:cs="Arial"/>
          <w:sz w:val="16"/>
          <w:szCs w:val="16"/>
        </w:rPr>
      </w:pPr>
      <w:r w:rsidRPr="00CD5960">
        <w:rPr>
          <w:rStyle w:val="Refdenotaalpie"/>
          <w:rFonts w:ascii="Verdana" w:hAnsi="Verdana" w:cs="Arial"/>
          <w:sz w:val="16"/>
          <w:szCs w:val="16"/>
        </w:rPr>
        <w:footnoteRef/>
      </w:r>
      <w:r w:rsidRPr="00CD5960">
        <w:rPr>
          <w:rFonts w:ascii="Verdana" w:hAnsi="Verdana" w:cs="Arial"/>
          <w:sz w:val="16"/>
          <w:szCs w:val="16"/>
        </w:rPr>
        <w:t xml:space="preserve"> Consejo de Estado, Sección Tercera, Subsección B. Sentencia de 28 de junio de 2012. Radicación número: 25000-23-26-000-1997-05346-01(23966). C.P: Stella Conto Diaz Del Castillo.</w:t>
      </w:r>
    </w:p>
  </w:footnote>
  <w:footnote w:id="4">
    <w:p w14:paraId="1AFF8627" w14:textId="77777777" w:rsidR="00C75ABA" w:rsidRPr="00CD5960" w:rsidRDefault="00C75ABA" w:rsidP="00C75ABA">
      <w:pPr>
        <w:pStyle w:val="Textonotapie"/>
        <w:ind w:firstLine="708"/>
        <w:jc w:val="both"/>
        <w:rPr>
          <w:rFonts w:ascii="Verdana" w:hAnsi="Verdana" w:cs="Arial"/>
          <w:sz w:val="16"/>
          <w:szCs w:val="16"/>
          <w:shd w:val="clear" w:color="auto" w:fill="FFFFFF"/>
        </w:rPr>
      </w:pPr>
      <w:r w:rsidRPr="00CD5960">
        <w:rPr>
          <w:rStyle w:val="Refdenotaalpie"/>
          <w:rFonts w:ascii="Verdana" w:hAnsi="Verdana" w:cs="Arial"/>
          <w:sz w:val="16"/>
          <w:szCs w:val="16"/>
        </w:rPr>
        <w:footnoteRef/>
      </w:r>
      <w:r w:rsidRPr="00CD5960">
        <w:rPr>
          <w:rFonts w:ascii="Verdana" w:hAnsi="Verdana" w:cs="Arial"/>
          <w:sz w:val="16"/>
          <w:szCs w:val="16"/>
        </w:rPr>
        <w:t xml:space="preserve"> De conformidad con el artículo </w:t>
      </w:r>
      <w:r w:rsidRPr="00CD5960">
        <w:rPr>
          <w:rStyle w:val="Fuerte"/>
          <w:rFonts w:ascii="Verdana" w:hAnsi="Verdana" w:cs="Arial"/>
          <w:sz w:val="16"/>
          <w:szCs w:val="16"/>
          <w:shd w:val="clear" w:color="auto" w:fill="FFFFFF"/>
        </w:rPr>
        <w:t>2.2.1.2.3.1.5</w:t>
      </w:r>
      <w:r w:rsidRPr="00CD5960">
        <w:rPr>
          <w:rFonts w:ascii="Verdana" w:hAnsi="Verdana" w:cs="Arial"/>
          <w:sz w:val="16"/>
          <w:szCs w:val="16"/>
          <w:shd w:val="clear" w:color="auto" w:fill="FFFFFF"/>
        </w:rPr>
        <w:t xml:space="preserve"> del Decreto 1082 de 2015, </w:t>
      </w:r>
      <w:r w:rsidRPr="00CD5960">
        <w:rPr>
          <w:rFonts w:ascii="Verdana" w:hAnsi="Verdana" w:cs="Arial"/>
          <w:sz w:val="16"/>
          <w:szCs w:val="16"/>
        </w:rPr>
        <w:t>“</w:t>
      </w:r>
      <w:r w:rsidRPr="00CD5960">
        <w:rPr>
          <w:rFonts w:ascii="Verdana" w:hAnsi="Verdana" w:cs="Arial"/>
          <w:sz w:val="16"/>
          <w:szCs w:val="16"/>
          <w:shd w:val="clear" w:color="auto" w:fill="FFFFFF"/>
        </w:rPr>
        <w:t>La responsabilidad extracontractual de la administración derivada de las actuaciones, hechos u omisiones de sus contratistas o subcontratistas solamente puede ser amparada con un contrato de seguro</w:t>
      </w:r>
      <w:r w:rsidRPr="00CD5960">
        <w:rPr>
          <w:rFonts w:ascii="Verdana" w:hAnsi="Verdana" w:cs="Arial"/>
          <w:sz w:val="16"/>
          <w:szCs w:val="16"/>
        </w:rPr>
        <w:t>”</w:t>
      </w:r>
      <w:r w:rsidRPr="00CD5960">
        <w:rPr>
          <w:rFonts w:ascii="Verdana" w:hAnsi="Verdana" w:cs="Arial"/>
          <w:sz w:val="16"/>
          <w:szCs w:val="16"/>
          <w:shd w:val="clear" w:color="auto" w:fill="FFFFFF"/>
        </w:rPr>
        <w:t>.</w:t>
      </w:r>
    </w:p>
  </w:footnote>
  <w:footnote w:id="5">
    <w:p w14:paraId="57CA4D80" w14:textId="77777777" w:rsidR="00C75ABA" w:rsidRDefault="00C75ABA" w:rsidP="00C75ABA">
      <w:pPr>
        <w:pStyle w:val="Textonotapie"/>
        <w:ind w:firstLine="709"/>
        <w:jc w:val="both"/>
        <w:rPr>
          <w:rFonts w:ascii="Verdana" w:hAnsi="Verdana" w:cs="Arial"/>
          <w:sz w:val="16"/>
          <w:szCs w:val="16"/>
        </w:rPr>
      </w:pPr>
    </w:p>
    <w:p w14:paraId="070BFE58" w14:textId="77777777" w:rsidR="00C75ABA" w:rsidRPr="00CD5960" w:rsidRDefault="00C75ABA" w:rsidP="00C75ABA">
      <w:pPr>
        <w:pStyle w:val="Textonotapie"/>
        <w:ind w:firstLine="709"/>
        <w:jc w:val="both"/>
        <w:rPr>
          <w:rFonts w:ascii="Verdana" w:hAnsi="Verdana" w:cs="Arial"/>
          <w:sz w:val="16"/>
          <w:szCs w:val="16"/>
        </w:rPr>
      </w:pPr>
      <w:r w:rsidRPr="00CD5960">
        <w:rPr>
          <w:rStyle w:val="Refdenotaalpie"/>
          <w:rFonts w:ascii="Verdana" w:hAnsi="Verdana" w:cs="Arial"/>
          <w:sz w:val="16"/>
          <w:szCs w:val="16"/>
        </w:rPr>
        <w:footnoteRef/>
      </w:r>
      <w:r w:rsidRPr="00CD5960">
        <w:rPr>
          <w:rFonts w:ascii="Verdana" w:hAnsi="Verdana" w:cs="Arial"/>
          <w:sz w:val="16"/>
          <w:szCs w:val="16"/>
        </w:rPr>
        <w:t xml:space="preserve"> Consejo de Estado, Sección Tercera, Subsección A. Sentencia del 14 de junio del 2019. Radicación número: 11001 03 26 000 2009 00047 00 (36860)</w:t>
      </w:r>
      <w:r w:rsidRPr="00CD5960">
        <w:rPr>
          <w:rFonts w:ascii="Verdana" w:hAnsi="Verdana" w:cs="Arial"/>
          <w:sz w:val="16"/>
          <w:szCs w:val="16"/>
          <w:lang w:val="es-CO"/>
        </w:rPr>
        <w:t xml:space="preserve">. </w:t>
      </w:r>
      <w:r w:rsidRPr="00CD5960">
        <w:rPr>
          <w:rFonts w:ascii="Verdana" w:hAnsi="Verdana" w:cs="Arial"/>
          <w:sz w:val="16"/>
          <w:szCs w:val="16"/>
        </w:rPr>
        <w:t>C.P: Carlos Alberto Zambrano Barrera.</w:t>
      </w:r>
    </w:p>
  </w:footnote>
  <w:footnote w:id="6">
    <w:p w14:paraId="72293D73" w14:textId="77777777" w:rsidR="00C75ABA" w:rsidRDefault="00C75ABA" w:rsidP="00C75ABA">
      <w:pPr>
        <w:pStyle w:val="Textonotapie"/>
        <w:ind w:firstLine="709"/>
        <w:jc w:val="both"/>
        <w:rPr>
          <w:rFonts w:ascii="Verdana" w:hAnsi="Verdana" w:cs="Arial"/>
          <w:sz w:val="16"/>
          <w:szCs w:val="16"/>
        </w:rPr>
      </w:pPr>
    </w:p>
    <w:p w14:paraId="3327498F" w14:textId="77777777" w:rsidR="00C75ABA" w:rsidRPr="00CD5960" w:rsidRDefault="00C75ABA" w:rsidP="00C75ABA">
      <w:pPr>
        <w:pStyle w:val="Textonotapie"/>
        <w:ind w:firstLine="709"/>
        <w:jc w:val="both"/>
        <w:rPr>
          <w:rFonts w:ascii="Verdana" w:hAnsi="Verdana" w:cs="Arial"/>
          <w:sz w:val="16"/>
          <w:szCs w:val="16"/>
          <w:lang w:val="es-CO"/>
        </w:rPr>
      </w:pPr>
      <w:r w:rsidRPr="00CD5960">
        <w:rPr>
          <w:rStyle w:val="Refdenotaalpie"/>
          <w:rFonts w:ascii="Verdana" w:hAnsi="Verdana" w:cs="Arial"/>
          <w:sz w:val="16"/>
          <w:szCs w:val="16"/>
        </w:rPr>
        <w:footnoteRef/>
      </w:r>
      <w:r w:rsidRPr="00CD5960">
        <w:rPr>
          <w:rFonts w:ascii="Verdana" w:hAnsi="Verdana" w:cs="Arial"/>
          <w:sz w:val="16"/>
          <w:szCs w:val="16"/>
        </w:rPr>
        <w:t xml:space="preserve"> Consejo de Estado, Sección Segunda, Subsección A. Sentencia del 25 de enero del 2018. Radicación número: </w:t>
      </w:r>
      <w:r w:rsidRPr="00CD5960">
        <w:rPr>
          <w:rFonts w:ascii="Verdana" w:hAnsi="Verdana" w:cs="Arial"/>
          <w:sz w:val="16"/>
          <w:szCs w:val="16"/>
          <w:lang w:val="es-CO"/>
        </w:rPr>
        <w:t xml:space="preserve">11001-03-25-000-2011-00489-00(1924-11). </w:t>
      </w:r>
      <w:r w:rsidRPr="00CD5960">
        <w:rPr>
          <w:rFonts w:ascii="Verdana" w:hAnsi="Verdana" w:cs="Arial"/>
          <w:sz w:val="16"/>
          <w:szCs w:val="16"/>
        </w:rPr>
        <w:t>C.P: Gabriel Valbuena Hernández.</w:t>
      </w:r>
    </w:p>
  </w:footnote>
  <w:footnote w:id="7">
    <w:p w14:paraId="053DB244" w14:textId="77777777" w:rsidR="00C75ABA" w:rsidRPr="008D6244" w:rsidRDefault="00C75ABA" w:rsidP="00C75ABA">
      <w:pPr>
        <w:pStyle w:val="Textonotapie"/>
        <w:ind w:firstLine="708"/>
        <w:jc w:val="both"/>
        <w:rPr>
          <w:rFonts w:ascii="Verdana" w:hAnsi="Verdana"/>
          <w:sz w:val="16"/>
          <w:szCs w:val="16"/>
          <w:lang w:val="es-CO"/>
        </w:rPr>
      </w:pPr>
      <w:r w:rsidRPr="008D6244">
        <w:rPr>
          <w:rStyle w:val="Refdenotaalpie"/>
          <w:rFonts w:ascii="Verdana" w:hAnsi="Verdana"/>
          <w:sz w:val="16"/>
          <w:szCs w:val="16"/>
        </w:rPr>
        <w:footnoteRef/>
      </w:r>
      <w:r w:rsidRPr="008D6244">
        <w:rPr>
          <w:rFonts w:ascii="Verdana" w:hAnsi="Verdana"/>
          <w:sz w:val="16"/>
          <w:szCs w:val="16"/>
        </w:rPr>
        <w:t xml:space="preserve"> </w:t>
      </w:r>
      <w:r>
        <w:rPr>
          <w:rFonts w:ascii="Verdana" w:hAnsi="Verdana"/>
          <w:sz w:val="16"/>
          <w:szCs w:val="16"/>
        </w:rPr>
        <w:t xml:space="preserve">AGENCIA NACIONAL DE CONTRATACIÓN PÚBLICA – COLOMBIA COMPRA EFICIENTE. </w:t>
      </w:r>
      <w:r w:rsidRPr="003B04AD">
        <w:rPr>
          <w:rFonts w:ascii="Verdana" w:hAnsi="Verdana"/>
          <w:sz w:val="16"/>
          <w:szCs w:val="16"/>
        </w:rPr>
        <w:t xml:space="preserve">Guía SECOP II – Gestión Contractual para Entidades Estatales </w:t>
      </w:r>
      <w:r>
        <w:rPr>
          <w:rFonts w:ascii="Verdana" w:hAnsi="Verdana"/>
          <w:sz w:val="16"/>
          <w:szCs w:val="16"/>
        </w:rPr>
        <w:t xml:space="preserve">Consultado en la página </w:t>
      </w:r>
      <w:hyperlink r:id="rId1" w:history="1">
        <w:r w:rsidRPr="00587DDD">
          <w:rPr>
            <w:rStyle w:val="Hipervnculo"/>
            <w:rFonts w:ascii="Verdana" w:hAnsi="Verdana"/>
            <w:sz w:val="16"/>
            <w:szCs w:val="16"/>
          </w:rPr>
          <w:t>https://formacionvirtual.colombiacompra.gov.co/pluginfile.php/9193/mod_folder/content/0/Módulo%20VI/Guía%20-%20Gestión%20Contractual.pdf</w:t>
        </w:r>
      </w:hyperlink>
      <w:r>
        <w:rPr>
          <w:rFonts w:ascii="Verdana" w:hAnsi="Verdana"/>
          <w:sz w:val="16"/>
          <w:szCs w:val="16"/>
        </w:rPr>
        <w:t xml:space="preserve">. </w:t>
      </w:r>
    </w:p>
  </w:footnote>
  <w:footnote w:id="8">
    <w:p w14:paraId="2AECA0D6" w14:textId="77777777" w:rsidR="00C75ABA" w:rsidRPr="005867CF" w:rsidRDefault="00C75ABA" w:rsidP="00C75ABA">
      <w:pPr>
        <w:pStyle w:val="Textonotapie"/>
        <w:ind w:firstLine="708"/>
        <w:jc w:val="both"/>
        <w:rPr>
          <w:rFonts w:ascii="Verdana" w:hAnsi="Verdana" w:cs="Arial"/>
          <w:color w:val="000000" w:themeColor="text1"/>
          <w:sz w:val="15"/>
          <w:szCs w:val="15"/>
        </w:rPr>
      </w:pPr>
      <w:r w:rsidRPr="005867CF">
        <w:rPr>
          <w:rStyle w:val="Refdenotaalpie"/>
          <w:rFonts w:ascii="Verdana" w:hAnsi="Verdana" w:cs="Arial"/>
          <w:color w:val="000000" w:themeColor="text1"/>
          <w:sz w:val="15"/>
          <w:szCs w:val="15"/>
        </w:rPr>
        <w:footnoteRef/>
      </w:r>
      <w:r w:rsidRPr="005867CF">
        <w:rPr>
          <w:rFonts w:ascii="Verdana" w:hAnsi="Verdana" w:cs="Arial"/>
          <w:color w:val="000000" w:themeColor="text1"/>
          <w:sz w:val="15"/>
          <w:szCs w:val="15"/>
        </w:rPr>
        <w:t xml:space="preserve"> CONSEJO DE ESTADO. Sección Tercera. Subsección B. Sentencia del 28 de febrero de 2013. C.P. Danilo Rojas Betancourth. Exp. </w:t>
      </w:r>
      <w:r w:rsidRPr="005867CF">
        <w:rPr>
          <w:rFonts w:ascii="Verdana" w:hAnsi="Verdana" w:cs="Arial"/>
          <w:color w:val="000000" w:themeColor="text1"/>
          <w:sz w:val="15"/>
          <w:szCs w:val="15"/>
          <w:lang w:val="es-CO"/>
        </w:rPr>
        <w:t xml:space="preserve">25199. </w:t>
      </w:r>
    </w:p>
    <w:p w14:paraId="52E30C2E" w14:textId="77777777" w:rsidR="00C75ABA" w:rsidRPr="005867CF" w:rsidRDefault="00C75ABA" w:rsidP="00C75ABA">
      <w:pPr>
        <w:pStyle w:val="Textonotapie"/>
        <w:ind w:firstLine="708"/>
        <w:jc w:val="both"/>
        <w:rPr>
          <w:rFonts w:ascii="Verdana" w:hAnsi="Verdana" w:cs="Arial"/>
          <w:color w:val="000000" w:themeColor="text1"/>
          <w:sz w:val="15"/>
          <w:szCs w:val="15"/>
          <w:lang w:val="es-ES"/>
        </w:rPr>
      </w:pPr>
    </w:p>
  </w:footnote>
  <w:footnote w:id="9">
    <w:p w14:paraId="6B5723C4" w14:textId="77777777" w:rsidR="00C75ABA" w:rsidRPr="005867CF" w:rsidRDefault="00C75ABA" w:rsidP="00C75ABA">
      <w:pPr>
        <w:pStyle w:val="Textonotapie"/>
        <w:ind w:firstLine="708"/>
        <w:jc w:val="both"/>
        <w:rPr>
          <w:rFonts w:ascii="Verdana" w:hAnsi="Verdana" w:cs="Arial"/>
          <w:color w:val="000000" w:themeColor="text1"/>
          <w:sz w:val="15"/>
          <w:szCs w:val="15"/>
        </w:rPr>
      </w:pPr>
      <w:r w:rsidRPr="005867CF">
        <w:rPr>
          <w:rStyle w:val="Refdenotaalpie"/>
          <w:rFonts w:ascii="Verdana" w:hAnsi="Verdana" w:cs="Arial"/>
          <w:color w:val="000000" w:themeColor="text1"/>
          <w:sz w:val="15"/>
          <w:szCs w:val="15"/>
        </w:rPr>
        <w:footnoteRef/>
      </w:r>
      <w:r w:rsidRPr="005867CF">
        <w:rPr>
          <w:rStyle w:val="Refdenotaalpie"/>
          <w:rFonts w:ascii="Verdana" w:hAnsi="Verdana" w:cs="Arial"/>
          <w:color w:val="000000" w:themeColor="text1"/>
          <w:sz w:val="15"/>
          <w:szCs w:val="15"/>
        </w:rPr>
        <w:t xml:space="preserve"> </w:t>
      </w:r>
      <w:r w:rsidRPr="005867CF">
        <w:rPr>
          <w:rFonts w:ascii="Verdana" w:hAnsi="Verdana" w:cs="Arial"/>
          <w:color w:val="000000" w:themeColor="text1"/>
          <w:sz w:val="15"/>
          <w:szCs w:val="15"/>
        </w:rPr>
        <w:t>Código Civil, artículo 1501: «Se distinguen en cada contrato las cosas que son de su esencia, las que son de su naturaleza, y las puramente accidentales. Son de la esencia de un contrato aquellas cosas sin las cuales, o no produce efecto alguno, o degeneran en otro contrato diferente; son de la naturaleza de un contrato las que no siendo esenciales en él, se entienden pertenecerle, sin necesidad de una cláusula especial; y son accidentales a un contrato aquellas que ni esencial ni naturalmente le pertenecen, y que se le agregan por medio de cláusulas especiales”.</w:t>
      </w:r>
    </w:p>
  </w:footnote>
  <w:footnote w:id="10">
    <w:p w14:paraId="0903F4FE" w14:textId="77777777" w:rsidR="00C75ABA" w:rsidRPr="005867CF" w:rsidRDefault="00C75ABA" w:rsidP="00C75ABA">
      <w:pPr>
        <w:pStyle w:val="Textonotapie"/>
        <w:ind w:firstLine="708"/>
        <w:jc w:val="both"/>
        <w:rPr>
          <w:rFonts w:ascii="Verdana" w:hAnsi="Verdana" w:cs="Arial"/>
          <w:color w:val="000000"/>
          <w:sz w:val="15"/>
          <w:szCs w:val="15"/>
        </w:rPr>
      </w:pPr>
      <w:r w:rsidRPr="005867CF">
        <w:rPr>
          <w:rFonts w:ascii="Verdana" w:hAnsi="Verdana" w:cs="Arial"/>
          <w:color w:val="000000"/>
          <w:sz w:val="15"/>
          <w:szCs w:val="15"/>
          <w:vertAlign w:val="superscript"/>
        </w:rPr>
        <w:footnoteRef/>
      </w:r>
      <w:r w:rsidRPr="005867CF">
        <w:rPr>
          <w:rFonts w:ascii="Verdana" w:hAnsi="Verdana" w:cs="Arial"/>
          <w:color w:val="000000"/>
          <w:sz w:val="15"/>
          <w:szCs w:val="15"/>
        </w:rPr>
        <w:t xml:space="preserve"> “La última formalidad que deben cumplir los contratos de la Administración dentro del marco jurídico de la contratación estatal se refiere a la liquidación, definida, en principio, como un negocio jurídico bilateral cuyo objeto es la realización del corte de cuentas entre las partes contratantes, en el cual queda establecida la relación directa entre las prestaciones ejecutaras, el valor cobrado por las mismas y su cancelación por parte del deudor de estas, sin perjuicio de los descuentos económicos a que haya lugar con motivo de la aplicación de estipulaciones contractuales específicas</w:t>
      </w:r>
      <w:r w:rsidRPr="005867CF">
        <w:rPr>
          <w:rFonts w:ascii="Verdana" w:hAnsi="Verdana" w:cs="Arial"/>
          <w:color w:val="000000"/>
          <w:sz w:val="15"/>
          <w:szCs w:val="15"/>
          <w:shd w:val="clear" w:color="auto" w:fill="FFFFFF"/>
        </w:rPr>
        <w:t>” (</w:t>
      </w:r>
      <w:r w:rsidRPr="005867CF">
        <w:rPr>
          <w:rFonts w:ascii="Verdana" w:hAnsi="Verdana" w:cs="Arial"/>
          <w:color w:val="000000"/>
          <w:sz w:val="15"/>
          <w:szCs w:val="15"/>
        </w:rPr>
        <w:t>EXPOSITO, Juan Carlos. Forma y contenido del contrato estatal. Bogotá: Universidad Externado de Colombia, 2013. pp. 89 -90).</w:t>
      </w:r>
    </w:p>
  </w:footnote>
  <w:footnote w:id="11">
    <w:p w14:paraId="77DA5F34" w14:textId="77777777" w:rsidR="00C75ABA" w:rsidRPr="005867CF" w:rsidRDefault="00C75ABA" w:rsidP="00C75ABA">
      <w:pPr>
        <w:spacing w:after="0" w:line="240" w:lineRule="auto"/>
        <w:ind w:firstLine="708"/>
        <w:jc w:val="both"/>
        <w:rPr>
          <w:rFonts w:ascii="Verdana" w:hAnsi="Verdana" w:cs="Arial"/>
          <w:color w:val="000000"/>
          <w:sz w:val="15"/>
          <w:szCs w:val="15"/>
        </w:rPr>
      </w:pPr>
      <w:r w:rsidRPr="005867CF">
        <w:rPr>
          <w:rFonts w:ascii="Verdana" w:hAnsi="Verdana" w:cs="Arial"/>
          <w:color w:val="000000"/>
          <w:sz w:val="15"/>
          <w:szCs w:val="15"/>
          <w:vertAlign w:val="superscript"/>
        </w:rPr>
        <w:footnoteRef/>
      </w:r>
      <w:r w:rsidRPr="005867CF">
        <w:rPr>
          <w:rFonts w:ascii="Verdana" w:hAnsi="Verdana" w:cs="Arial"/>
          <w:color w:val="000000"/>
          <w:sz w:val="15"/>
          <w:szCs w:val="15"/>
        </w:rPr>
        <w:t xml:space="preserve"> CONSEJO DE ESTADO. Sección Tercera. Subsección C. Sentencia del 20 de octubre de 2014, C.P: Enrique Gil Botero.</w:t>
      </w:r>
      <w:r w:rsidRPr="005867CF">
        <w:rPr>
          <w:rFonts w:ascii="Verdana" w:hAnsi="Verdana"/>
          <w:sz w:val="15"/>
          <w:szCs w:val="15"/>
        </w:rPr>
        <w:t xml:space="preserve"> Exp. </w:t>
      </w:r>
      <w:r w:rsidRPr="005867CF">
        <w:rPr>
          <w:rFonts w:ascii="Verdana" w:hAnsi="Verdana" w:cs="Arial"/>
          <w:color w:val="000000"/>
          <w:sz w:val="15"/>
          <w:szCs w:val="15"/>
        </w:rPr>
        <w:t>27.777. Allí se dijo: “[…] liquidar supone un ajuste expreso y claro sobre las cuentas y el estado de cumplimiento de un contrato, de tal manera que conste el balance tanto técnico como económico de las obligaciones que estuvieron a cargo de las partes. En cuanto a lo primero, la liquidación debe incluir un análisis detallado de las condiciones de calidad y oportunidad en la entrega de los bienes, obras o servicios, y el balance económico dará cuenta del comportamiento financiero del negocio: recursos recibidos, pagos efectuados, estado del crédito o de la deuda de cada parte, entre otros detalles mínimos y necesarios para finiquitar una relación jurídica contractual”.</w:t>
      </w:r>
    </w:p>
  </w:footnote>
  <w:footnote w:id="12">
    <w:p w14:paraId="0F83512B" w14:textId="77777777" w:rsidR="00C75ABA" w:rsidRPr="005867CF" w:rsidRDefault="00C75ABA" w:rsidP="00C75ABA">
      <w:pPr>
        <w:pStyle w:val="Textonotapie"/>
        <w:ind w:firstLine="708"/>
        <w:rPr>
          <w:rFonts w:ascii="Verdana" w:hAnsi="Verdana"/>
          <w:sz w:val="15"/>
          <w:szCs w:val="15"/>
        </w:rPr>
      </w:pPr>
      <w:r w:rsidRPr="005867CF">
        <w:rPr>
          <w:rStyle w:val="Refdenotaalpie"/>
          <w:rFonts w:ascii="Verdana" w:hAnsi="Verdana"/>
          <w:sz w:val="15"/>
          <w:szCs w:val="15"/>
        </w:rPr>
        <w:footnoteRef/>
      </w:r>
      <w:r w:rsidRPr="005867CF">
        <w:rPr>
          <w:rFonts w:ascii="Verdana" w:hAnsi="Verdana"/>
          <w:sz w:val="15"/>
          <w:szCs w:val="15"/>
        </w:rPr>
        <w:t xml:space="preserve"> AGENCIA NACIONAL DE CONTRATACIÓN PÚBLICA – COLOMBIA COMPRA EFICIENTE. SECOP II – Gestión Contractual para entidades estatales. Disponible en línea: </w:t>
      </w:r>
      <w:hyperlink r:id="rId2" w:history="1">
        <w:r w:rsidRPr="005867CF">
          <w:rPr>
            <w:rStyle w:val="Hipervnculo"/>
            <w:rFonts w:ascii="Verdana" w:hAnsi="Verdana"/>
            <w:sz w:val="15"/>
            <w:szCs w:val="15"/>
          </w:rPr>
          <w:t>https://formacionvirtual.colombiacompra.gov.co/pluginfile.php/9193/mod_folder/content/0/M%C3%B3dulo%20VI/Gu%C3%ADa%20-%20Gesti%C3%B3n%20Contractual.pdf</w:t>
        </w:r>
      </w:hyperlink>
      <w:r w:rsidRPr="005867CF">
        <w:rPr>
          <w:rFonts w:ascii="Verdana" w:hAnsi="Verdana"/>
          <w:sz w:val="15"/>
          <w:szCs w:val="15"/>
        </w:rPr>
        <w:t xml:space="preserve"> . p. 64. </w:t>
      </w:r>
    </w:p>
    <w:p w14:paraId="3BCD9B17" w14:textId="77777777" w:rsidR="00C75ABA" w:rsidRPr="005867CF" w:rsidRDefault="00C75ABA" w:rsidP="00C75ABA">
      <w:pPr>
        <w:pStyle w:val="Textonotapie"/>
        <w:ind w:firstLine="708"/>
        <w:rPr>
          <w:rFonts w:ascii="Verdana" w:hAnsi="Verdana"/>
          <w:sz w:val="15"/>
          <w:szCs w:val="15"/>
        </w:rPr>
      </w:pPr>
    </w:p>
  </w:footnote>
  <w:footnote w:id="13">
    <w:p w14:paraId="59C38B3C" w14:textId="77777777" w:rsidR="00C75ABA" w:rsidRPr="005867CF" w:rsidRDefault="00C75ABA" w:rsidP="00C75ABA">
      <w:pPr>
        <w:spacing w:after="0" w:line="240" w:lineRule="auto"/>
        <w:ind w:firstLine="709"/>
        <w:jc w:val="both"/>
        <w:rPr>
          <w:rFonts w:ascii="Verdana" w:hAnsi="Verdana" w:cs="Arial"/>
          <w:color w:val="000000" w:themeColor="text1"/>
          <w:sz w:val="15"/>
          <w:szCs w:val="15"/>
        </w:rPr>
      </w:pPr>
      <w:r w:rsidRPr="005867CF">
        <w:rPr>
          <w:rFonts w:ascii="Verdana" w:hAnsi="Verdana" w:cs="Arial"/>
          <w:color w:val="000000" w:themeColor="text1"/>
          <w:sz w:val="15"/>
          <w:szCs w:val="15"/>
          <w:vertAlign w:val="superscript"/>
        </w:rPr>
        <w:footnoteRef/>
      </w:r>
      <w:r w:rsidRPr="005867CF">
        <w:rPr>
          <w:rFonts w:ascii="Verdana" w:hAnsi="Verdana" w:cs="Arial"/>
          <w:color w:val="000000" w:themeColor="text1"/>
          <w:sz w:val="15"/>
          <w:szCs w:val="15"/>
        </w:rPr>
        <w:t xml:space="preserve"> La Sala de Consulta y Servicio Civil del Consejo de Estado, en concepto del 8 de marzo de 2017, radicado No. 2298, y con ponencia del Consejero Édgar González, manifestó respecto del trámite del cierre del expediente del Proceso de Contratación que: “[…] procede cuando se ha efectuado la liquidación del contrato, a efectos de dejar las constancias sobre el vencimiento de las garantías y la condición de los bienes y obras desde la perspectiva ambiental, y también en los casos en los cuales no se haya efectuado dicha liquidación, a efectos de dejar constancia sobre el punto final de la actuación contractual”.</w:t>
      </w:r>
    </w:p>
  </w:footnote>
  <w:footnote w:id="14">
    <w:p w14:paraId="3DC15A62" w14:textId="77777777" w:rsidR="00C75ABA" w:rsidRPr="005867CF" w:rsidRDefault="00C75ABA" w:rsidP="00C75ABA">
      <w:pPr>
        <w:pStyle w:val="Textonotapie"/>
        <w:ind w:firstLine="709"/>
        <w:rPr>
          <w:rFonts w:ascii="Verdana" w:hAnsi="Verdana"/>
          <w:sz w:val="15"/>
          <w:szCs w:val="15"/>
        </w:rPr>
      </w:pPr>
      <w:r w:rsidRPr="005867CF">
        <w:rPr>
          <w:rStyle w:val="Refdenotaalpie"/>
          <w:rFonts w:ascii="Verdana" w:hAnsi="Verdana"/>
          <w:sz w:val="15"/>
          <w:szCs w:val="15"/>
        </w:rPr>
        <w:footnoteRef/>
      </w:r>
      <w:r w:rsidRPr="005867CF">
        <w:rPr>
          <w:rFonts w:ascii="Verdana" w:hAnsi="Verdana"/>
          <w:sz w:val="15"/>
          <w:szCs w:val="15"/>
        </w:rPr>
        <w:t xml:space="preserve"> AGENCIA NACIONAL DE CONTRATACIÓN PÚBLICA – COLOMBIA COMPRA EFICIENTE. Circular Externa 05 del 1 de noviembre de 2024. Disponible en línea: </w:t>
      </w:r>
      <w:hyperlink r:id="rId3" w:history="1">
        <w:r w:rsidRPr="005867CF">
          <w:rPr>
            <w:rStyle w:val="Hipervnculo"/>
            <w:rFonts w:ascii="Verdana" w:hAnsi="Verdana"/>
            <w:sz w:val="15"/>
            <w:szCs w:val="15"/>
          </w:rPr>
          <w:t>https://www.colombiacompra.gov.co/archivos/circular/circular-externa-no-005-de-2024</w:t>
        </w:r>
      </w:hyperlink>
      <w:r w:rsidRPr="005867CF">
        <w:rPr>
          <w:rFonts w:ascii="Verdana" w:hAnsi="Verdana"/>
          <w:sz w:val="15"/>
          <w:szCs w:val="15"/>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5366C" w14:textId="77777777" w:rsidR="00C75ABA" w:rsidRDefault="00C75ABA"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0288" behindDoc="1" locked="0" layoutInCell="1" allowOverlap="1" wp14:anchorId="10D03970" wp14:editId="1F3849BE">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rPr>
      <w:drawing>
        <wp:anchor distT="0" distB="0" distL="114300" distR="114300" simplePos="0" relativeHeight="251659264" behindDoc="0" locked="0" layoutInCell="1" allowOverlap="1" wp14:anchorId="4D71BF83" wp14:editId="1FCCD4FD">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6BF59863" w14:textId="77777777" w:rsidR="00C75ABA" w:rsidRDefault="00C75ABA">
    <w:pPr>
      <w:pStyle w:val="Encabezado"/>
    </w:pPr>
  </w:p>
  <w:p w14:paraId="47E3EEEC" w14:textId="77777777" w:rsidR="00C75ABA" w:rsidRPr="004A305D" w:rsidRDefault="00C75ABA" w:rsidP="00B01B1A">
    <w:pPr>
      <w:spacing w:after="0" w:line="120" w:lineRule="auto"/>
      <w:rPr>
        <w:rFonts w:ascii="Century Gothic" w:eastAsia="Geo" w:hAnsi="Century Gothic" w:cs="Geo"/>
        <w:sz w:val="16"/>
        <w:szCs w:val="16"/>
        <w:lang w:eastAsia="es-CO"/>
      </w:rPr>
    </w:pPr>
  </w:p>
  <w:p w14:paraId="0E51AF60" w14:textId="77777777" w:rsidR="00C75ABA" w:rsidRDefault="00C75ABA" w:rsidP="00844AE9">
    <w:pPr>
      <w:spacing w:after="0" w:line="240" w:lineRule="auto"/>
      <w:rPr>
        <w:rFonts w:ascii="Verdana" w:hAnsi="Verdana"/>
        <w:sz w:val="24"/>
        <w:szCs w:val="24"/>
      </w:rPr>
    </w:pPr>
  </w:p>
  <w:p w14:paraId="6EC1AEF8" w14:textId="77777777" w:rsidR="00C75ABA" w:rsidRPr="00C925AC" w:rsidRDefault="00C75ABA" w:rsidP="00844AE9">
    <w:pPr>
      <w:spacing w:after="0" w:line="240" w:lineRule="auto"/>
      <w:rPr>
        <w:rFonts w:ascii="Verdana" w:hAnsi="Verdana"/>
        <w:sz w:val="24"/>
        <w:szCs w:val="24"/>
      </w:rPr>
    </w:pPr>
  </w:p>
  <w:p w14:paraId="176249AC" w14:textId="77777777" w:rsidR="00C75ABA" w:rsidRPr="00C925AC" w:rsidRDefault="00C75ABA" w:rsidP="000D5DA7">
    <w:pPr>
      <w:spacing w:after="0" w:line="480" w:lineRule="auto"/>
      <w:rPr>
        <w:rFonts w:ascii="Verdana" w:hAnsi="Verdana"/>
        <w:b/>
        <w:bCs/>
        <w:sz w:val="24"/>
        <w:szCs w:val="24"/>
      </w:rPr>
    </w:pPr>
    <w:r w:rsidRPr="00C925AC">
      <w:rPr>
        <w:rFonts w:ascii="Verdana" w:hAnsi="Verdana"/>
        <w:b/>
        <w:bCs/>
        <w:sz w:val="24"/>
        <w:szCs w:val="24"/>
      </w:rPr>
      <w:t>FORMATO</w:t>
    </w:r>
    <w:r>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905490"/>
    <w:multiLevelType w:val="hybridMultilevel"/>
    <w:tmpl w:val="0FB29364"/>
    <w:lvl w:ilvl="0" w:tplc="50764EF8">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 w15:restartNumberingAfterBreak="0">
    <w:nsid w:val="755A5331"/>
    <w:multiLevelType w:val="hybridMultilevel"/>
    <w:tmpl w:val="B06ED8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808859530">
    <w:abstractNumId w:val="0"/>
  </w:num>
  <w:num w:numId="2" w16cid:durableId="8986384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ABA"/>
    <w:rsid w:val="00471A10"/>
    <w:rsid w:val="005727E1"/>
    <w:rsid w:val="005818E2"/>
    <w:rsid w:val="005864B6"/>
    <w:rsid w:val="008E5C2E"/>
    <w:rsid w:val="00B447D2"/>
    <w:rsid w:val="00BE2AEF"/>
    <w:rsid w:val="00C75ABA"/>
    <w:rsid w:val="00CB22F9"/>
    <w:rsid w:val="00D66F73"/>
    <w:rsid w:val="00E215C1"/>
    <w:rsid w:val="00EA3533"/>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1F04B"/>
  <w15:chartTrackingRefBased/>
  <w15:docId w15:val="{6EB780D6-67F1-4B74-A771-4BFB2B23E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ABA"/>
    <w:rPr>
      <w:kern w:val="0"/>
      <w14:ligatures w14:val="none"/>
    </w:rPr>
  </w:style>
  <w:style w:type="paragraph" w:styleId="Ttulo1">
    <w:name w:val="heading 1"/>
    <w:basedOn w:val="Normal"/>
    <w:next w:val="Normal"/>
    <w:link w:val="Ttulo1Car"/>
    <w:uiPriority w:val="9"/>
    <w:qFormat/>
    <w:rsid w:val="00C75A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75A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75AB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75AB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75AB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75AB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75AB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75AB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75AB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75AB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75AB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75AB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75AB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75AB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75AB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75AB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75AB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75ABA"/>
    <w:rPr>
      <w:rFonts w:eastAsiaTheme="majorEastAsia" w:cstheme="majorBidi"/>
      <w:color w:val="272727" w:themeColor="text1" w:themeTint="D8"/>
    </w:rPr>
  </w:style>
  <w:style w:type="paragraph" w:styleId="Ttulo">
    <w:name w:val="Title"/>
    <w:basedOn w:val="Normal"/>
    <w:next w:val="Normal"/>
    <w:link w:val="TtuloCar"/>
    <w:uiPriority w:val="10"/>
    <w:qFormat/>
    <w:rsid w:val="00C75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75AB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75AB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75AB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75ABA"/>
    <w:pPr>
      <w:spacing w:before="160"/>
      <w:jc w:val="center"/>
    </w:pPr>
    <w:rPr>
      <w:i/>
      <w:iCs/>
      <w:color w:val="404040" w:themeColor="text1" w:themeTint="BF"/>
    </w:rPr>
  </w:style>
  <w:style w:type="character" w:customStyle="1" w:styleId="CitaCar">
    <w:name w:val="Cita Car"/>
    <w:basedOn w:val="Fuentedeprrafopredeter"/>
    <w:link w:val="Cita"/>
    <w:uiPriority w:val="29"/>
    <w:rsid w:val="00C75ABA"/>
    <w:rPr>
      <w:i/>
      <w:iCs/>
      <w:color w:val="404040" w:themeColor="text1" w:themeTint="BF"/>
    </w:r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C75ABA"/>
    <w:pPr>
      <w:ind w:left="720"/>
      <w:contextualSpacing/>
    </w:pPr>
  </w:style>
  <w:style w:type="character" w:styleId="nfasisintenso">
    <w:name w:val="Intense Emphasis"/>
    <w:basedOn w:val="Fuentedeprrafopredeter"/>
    <w:uiPriority w:val="21"/>
    <w:qFormat/>
    <w:rsid w:val="00C75ABA"/>
    <w:rPr>
      <w:i/>
      <w:iCs/>
      <w:color w:val="0F4761" w:themeColor="accent1" w:themeShade="BF"/>
    </w:rPr>
  </w:style>
  <w:style w:type="paragraph" w:styleId="Citadestacada">
    <w:name w:val="Intense Quote"/>
    <w:basedOn w:val="Normal"/>
    <w:next w:val="Normal"/>
    <w:link w:val="CitadestacadaCar"/>
    <w:uiPriority w:val="30"/>
    <w:qFormat/>
    <w:rsid w:val="00C75A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75ABA"/>
    <w:rPr>
      <w:i/>
      <w:iCs/>
      <w:color w:val="0F4761" w:themeColor="accent1" w:themeShade="BF"/>
    </w:rPr>
  </w:style>
  <w:style w:type="character" w:styleId="Referenciaintensa">
    <w:name w:val="Intense Reference"/>
    <w:basedOn w:val="Fuentedeprrafopredeter"/>
    <w:uiPriority w:val="32"/>
    <w:qFormat/>
    <w:rsid w:val="00C75ABA"/>
    <w:rPr>
      <w:b/>
      <w:bCs/>
      <w:smallCaps/>
      <w:color w:val="0F4761" w:themeColor="accent1" w:themeShade="BF"/>
      <w:spacing w:val="5"/>
    </w:rPr>
  </w:style>
  <w:style w:type="paragraph" w:styleId="Encabezado">
    <w:name w:val="header"/>
    <w:basedOn w:val="Normal"/>
    <w:link w:val="EncabezadoCar"/>
    <w:uiPriority w:val="99"/>
    <w:unhideWhenUsed/>
    <w:rsid w:val="00C75AB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75ABA"/>
    <w:rPr>
      <w:kern w:val="0"/>
      <w14:ligatures w14:val="none"/>
    </w:rPr>
  </w:style>
  <w:style w:type="paragraph" w:styleId="Piedepgina">
    <w:name w:val="footer"/>
    <w:basedOn w:val="Normal"/>
    <w:link w:val="PiedepginaCar"/>
    <w:uiPriority w:val="99"/>
    <w:unhideWhenUsed/>
    <w:rsid w:val="00C75AB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75ABA"/>
    <w:rPr>
      <w:kern w:val="0"/>
      <w14:ligatures w14:val="none"/>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qFormat/>
    <w:locked/>
    <w:rsid w:val="00C75ABA"/>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nhideWhenUsed/>
    <w:qFormat/>
    <w:rsid w:val="00C75ABA"/>
    <w:pPr>
      <w:spacing w:after="0" w:line="240" w:lineRule="auto"/>
    </w:pPr>
    <w:rPr>
      <w:kern w:val="2"/>
      <w:sz w:val="20"/>
      <w:szCs w:val="20"/>
      <w:lang w:val="es-MX"/>
      <w14:ligatures w14:val="standardContextual"/>
    </w:rPr>
  </w:style>
  <w:style w:type="character" w:customStyle="1" w:styleId="TextonotapieCar1">
    <w:name w:val="Texto nota pie Car1"/>
    <w:basedOn w:val="Fuentedeprrafopredeter"/>
    <w:uiPriority w:val="99"/>
    <w:semiHidden/>
    <w:rsid w:val="00C75ABA"/>
    <w:rPr>
      <w:kern w:val="0"/>
      <w:sz w:val="20"/>
      <w:szCs w:val="20"/>
      <w14:ligatures w14:val="none"/>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C75ABA"/>
    <w:rPr>
      <w:vertAlign w:val="superscript"/>
    </w:rPr>
  </w:style>
  <w:style w:type="character" w:customStyle="1" w:styleId="normaltextrun">
    <w:name w:val="normaltextrun"/>
    <w:basedOn w:val="Fuentedeprrafopredeter"/>
    <w:rsid w:val="00C75ABA"/>
  </w:style>
  <w:style w:type="table" w:styleId="Tablaconcuadrcula">
    <w:name w:val="Table Grid"/>
    <w:basedOn w:val="Tablanormal"/>
    <w:uiPriority w:val="39"/>
    <w:qFormat/>
    <w:rsid w:val="00C75AB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C75ABA"/>
    <w:rPr>
      <w:color w:val="0000FF"/>
      <w:u w:val="single"/>
    </w:rPr>
  </w:style>
  <w:style w:type="paragraph" w:customStyle="1" w:styleId="Appelnotedebasde">
    <w:name w:val="Appel note de bas de..."/>
    <w:basedOn w:val="Normal"/>
    <w:link w:val="Refdenotaalpie"/>
    <w:uiPriority w:val="99"/>
    <w:rsid w:val="00C75ABA"/>
    <w:pPr>
      <w:spacing w:line="240" w:lineRule="exact"/>
    </w:pPr>
    <w:rPr>
      <w:kern w:val="2"/>
      <w:vertAlign w:val="superscript"/>
      <w14:ligatures w14:val="standardContextual"/>
    </w:rPr>
  </w:style>
  <w:style w:type="table" w:customStyle="1" w:styleId="Tablaconcuadrcula11">
    <w:name w:val="Tabla con cuadrícula11"/>
    <w:basedOn w:val="Tablanormal"/>
    <w:next w:val="Tablaconcuadrcula"/>
    <w:uiPriority w:val="59"/>
    <w:qFormat/>
    <w:rsid w:val="00C75AB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C75ABA"/>
    <w:rPr>
      <w:b/>
      <w:bCs/>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C75ABA"/>
  </w:style>
  <w:style w:type="paragraph" w:styleId="Sinespaciado">
    <w:name w:val="No Spacing"/>
    <w:uiPriority w:val="1"/>
    <w:qFormat/>
    <w:rsid w:val="00C75ABA"/>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 Type="http://schemas.openxmlformats.org/officeDocument/2006/relationships/customXml" Target="../customXml/item2.xml"/><Relationship Id="rId16" Type="http://schemas.openxmlformats.org/officeDocument/2006/relationships/hyperlink" Target="https://www.colombiacompra.gov.co/normativa-y-relatoria/documentos-tip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mbocanegrac@dane.gov.co" TargetMode="External"/><Relationship Id="rId5" Type="http://schemas.openxmlformats.org/officeDocument/2006/relationships/styles" Target="styles.xml"/><Relationship Id="rId15" Type="http://schemas.openxmlformats.org/officeDocument/2006/relationships/hyperlink" Target="https://formacionvirtual.colombiacompra.gov.co/mod/page/view.php?id=3718" TargetMode="Externa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latoria.colombiacompra.gov.co/"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colombiacompra.gov.co/archivos/circular/circular-externa-no-005-de-2024" TargetMode="External"/><Relationship Id="rId2" Type="http://schemas.openxmlformats.org/officeDocument/2006/relationships/hyperlink" Target="https://formacionvirtual.colombiacompra.gov.co/pluginfile.php/9193/mod_folder/content/0/M%C3%B3dulo%20VI/Gu%C3%ADa%20-%20Gesti%C3%B3n%20Contractual.pdf" TargetMode="External"/><Relationship Id="rId1" Type="http://schemas.openxmlformats.org/officeDocument/2006/relationships/hyperlink" Target="https://formacionvirtual.colombiacompra.gov.co/pluginfile.php/9193/mod_folder/content/0/M&#243;dulo%20VI/Gu&#237;a%20-%20Gesti&#243;n%20Contractual.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3AC864A-7918-4655-81C0-E700D03EC4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160541-51D7-4DDA-B323-7BD9E0CA8501}">
  <ds:schemaRefs>
    <ds:schemaRef ds:uri="http://schemas.microsoft.com/sharepoint/v3/contenttype/forms"/>
  </ds:schemaRefs>
</ds:datastoreItem>
</file>

<file path=customXml/itemProps3.xml><?xml version="1.0" encoding="utf-8"?>
<ds:datastoreItem xmlns:ds="http://schemas.openxmlformats.org/officeDocument/2006/customXml" ds:itemID="{E150BCDE-C44E-4F13-AA6F-5ACEA73733F3}">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6460</Words>
  <Characters>35535</Characters>
  <Application>Microsoft Office Word</Application>
  <DocSecurity>0</DocSecurity>
  <Lines>296</Lines>
  <Paragraphs>83</Paragraphs>
  <ScaleCrop>false</ScaleCrop>
  <Company/>
  <LinksUpToDate>false</LinksUpToDate>
  <CharactersWithSpaces>41912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Nasly Yeana Mosquera Rivas</dc:creator>
  <cp:keywords/>
  <dc:description/>
  <cp:lastModifiedBy>Nasly Yeana Mosquera Rivas</cp:lastModifiedBy>
  <cp:revision>2</cp:revision>
  <dcterms:created xsi:type="dcterms:W3CDTF">2026-06-18T19:39:00Z</dcterms:created>
  <dcterms:modified xsi:type="dcterms:W3CDTF">2026-06-18T19:39:00Z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