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544B9" w14:textId="77777777" w:rsidR="009D767D" w:rsidRDefault="009D767D" w:rsidP="009D767D">
      <w:pPr>
        <w:snapToGrid w:val="0"/>
        <w:jc w:val="both"/>
        <w:rPr>
          <w:rFonts w:ascii="Verdana" w:eastAsia="Calibri" w:hAnsi="Verdana" w:cs="Arial"/>
          <w:b/>
          <w:bCs/>
          <w:lang w:val="es-ES" w:eastAsia="es-ES"/>
        </w:rPr>
      </w:pPr>
      <w:bookmarkStart w:id="0" w:name="_Hlk143780582"/>
      <w:r w:rsidRPr="00B605D6">
        <w:rPr>
          <w:rFonts w:ascii="Verdana" w:eastAsia="Calibri" w:hAnsi="Verdana" w:cs="Arial"/>
          <w:b/>
          <w:bCs/>
          <w:lang w:val="es-ES" w:eastAsia="es-ES"/>
        </w:rPr>
        <w:t xml:space="preserve">REFORMAS SOCIETARIAS – Tipos – Transformación – Escisión – Fusión </w:t>
      </w:r>
    </w:p>
    <w:p w14:paraId="45CA1BAA" w14:textId="77777777" w:rsidR="009D767D" w:rsidRDefault="009D767D" w:rsidP="009D767D">
      <w:pPr>
        <w:pStyle w:val="Textoindependiente"/>
        <w:spacing w:after="0" w:line="240" w:lineRule="auto"/>
        <w:ind w:right="51"/>
        <w:jc w:val="both"/>
        <w:rPr>
          <w:rFonts w:ascii="Verdana" w:hAnsi="Verdana"/>
          <w:sz w:val="20"/>
          <w:szCs w:val="20"/>
        </w:rPr>
      </w:pPr>
      <w:r w:rsidRPr="005164EE">
        <w:rPr>
          <w:rFonts w:ascii="Verdana" w:hAnsi="Verdana"/>
          <w:sz w:val="20"/>
          <w:szCs w:val="20"/>
        </w:rPr>
        <w:t>Frente</w:t>
      </w:r>
      <w:r w:rsidRPr="005164EE">
        <w:rPr>
          <w:rFonts w:ascii="Verdana" w:hAnsi="Verdana"/>
          <w:spacing w:val="-14"/>
          <w:sz w:val="20"/>
          <w:szCs w:val="20"/>
        </w:rPr>
        <w:t xml:space="preserve"> </w:t>
      </w:r>
      <w:r w:rsidRPr="005164EE">
        <w:rPr>
          <w:rFonts w:ascii="Verdana" w:hAnsi="Verdana"/>
          <w:sz w:val="20"/>
          <w:szCs w:val="20"/>
        </w:rPr>
        <w:t>a</w:t>
      </w:r>
      <w:r w:rsidRPr="005164EE">
        <w:rPr>
          <w:rFonts w:ascii="Verdana" w:hAnsi="Verdana"/>
          <w:spacing w:val="-15"/>
          <w:sz w:val="20"/>
          <w:szCs w:val="20"/>
        </w:rPr>
        <w:t xml:space="preserve"> </w:t>
      </w:r>
      <w:r w:rsidRPr="005164EE">
        <w:rPr>
          <w:rFonts w:ascii="Verdana" w:hAnsi="Verdana"/>
          <w:sz w:val="20"/>
          <w:szCs w:val="20"/>
        </w:rPr>
        <w:t>las</w:t>
      </w:r>
      <w:r w:rsidRPr="005164EE">
        <w:rPr>
          <w:rFonts w:ascii="Verdana" w:hAnsi="Verdana"/>
          <w:spacing w:val="-15"/>
          <w:sz w:val="20"/>
          <w:szCs w:val="20"/>
        </w:rPr>
        <w:t xml:space="preserve"> </w:t>
      </w:r>
      <w:r w:rsidRPr="005164EE">
        <w:rPr>
          <w:rFonts w:ascii="Verdana" w:hAnsi="Verdana"/>
          <w:sz w:val="20"/>
          <w:szCs w:val="20"/>
        </w:rPr>
        <w:t>figuras</w:t>
      </w:r>
      <w:r w:rsidRPr="005164EE">
        <w:rPr>
          <w:rFonts w:ascii="Verdana" w:hAnsi="Verdana"/>
          <w:spacing w:val="-14"/>
          <w:sz w:val="20"/>
          <w:szCs w:val="20"/>
        </w:rPr>
        <w:t xml:space="preserve"> </w:t>
      </w:r>
      <w:r w:rsidRPr="005164EE">
        <w:rPr>
          <w:rFonts w:ascii="Verdana" w:hAnsi="Verdana"/>
          <w:sz w:val="20"/>
          <w:szCs w:val="20"/>
        </w:rPr>
        <w:t>y</w:t>
      </w:r>
      <w:r w:rsidRPr="005164EE">
        <w:rPr>
          <w:rFonts w:ascii="Verdana" w:hAnsi="Verdana"/>
          <w:spacing w:val="-15"/>
          <w:sz w:val="20"/>
          <w:szCs w:val="20"/>
        </w:rPr>
        <w:t xml:space="preserve"> </w:t>
      </w:r>
      <w:r w:rsidRPr="005164EE">
        <w:rPr>
          <w:rFonts w:ascii="Verdana" w:hAnsi="Verdana"/>
          <w:sz w:val="20"/>
          <w:szCs w:val="20"/>
        </w:rPr>
        <w:t>reformas</w:t>
      </w:r>
      <w:r w:rsidRPr="005164EE">
        <w:rPr>
          <w:rFonts w:ascii="Verdana" w:hAnsi="Verdana"/>
          <w:spacing w:val="-14"/>
          <w:sz w:val="20"/>
          <w:szCs w:val="20"/>
        </w:rPr>
        <w:t xml:space="preserve"> </w:t>
      </w:r>
      <w:r w:rsidRPr="005164EE">
        <w:rPr>
          <w:rFonts w:ascii="Verdana" w:hAnsi="Verdana"/>
          <w:sz w:val="20"/>
          <w:szCs w:val="20"/>
        </w:rPr>
        <w:t>estatutarias</w:t>
      </w:r>
      <w:r w:rsidRPr="005164EE">
        <w:rPr>
          <w:rFonts w:ascii="Verdana" w:hAnsi="Verdana"/>
          <w:spacing w:val="-14"/>
          <w:sz w:val="20"/>
          <w:szCs w:val="20"/>
        </w:rPr>
        <w:t xml:space="preserve"> </w:t>
      </w:r>
      <w:r w:rsidRPr="005164EE">
        <w:rPr>
          <w:rFonts w:ascii="Verdana" w:hAnsi="Verdana"/>
          <w:sz w:val="20"/>
          <w:szCs w:val="20"/>
        </w:rPr>
        <w:t>de</w:t>
      </w:r>
      <w:r w:rsidRPr="005164EE">
        <w:rPr>
          <w:rFonts w:ascii="Verdana" w:hAnsi="Verdana"/>
          <w:spacing w:val="-15"/>
          <w:sz w:val="20"/>
          <w:szCs w:val="20"/>
        </w:rPr>
        <w:t xml:space="preserve"> </w:t>
      </w:r>
      <w:r w:rsidRPr="005164EE">
        <w:rPr>
          <w:rFonts w:ascii="Verdana" w:hAnsi="Verdana"/>
          <w:sz w:val="20"/>
          <w:szCs w:val="20"/>
        </w:rPr>
        <w:t>las</w:t>
      </w:r>
      <w:r w:rsidRPr="005164EE">
        <w:rPr>
          <w:rFonts w:ascii="Verdana" w:hAnsi="Verdana"/>
          <w:spacing w:val="-15"/>
          <w:sz w:val="20"/>
          <w:szCs w:val="20"/>
        </w:rPr>
        <w:t xml:space="preserve"> </w:t>
      </w:r>
      <w:r w:rsidRPr="005164EE">
        <w:rPr>
          <w:rFonts w:ascii="Verdana" w:hAnsi="Verdana"/>
          <w:sz w:val="20"/>
          <w:szCs w:val="20"/>
        </w:rPr>
        <w:t>personas</w:t>
      </w:r>
      <w:r w:rsidRPr="005164EE">
        <w:rPr>
          <w:rFonts w:ascii="Verdana" w:hAnsi="Verdana"/>
          <w:spacing w:val="-15"/>
          <w:sz w:val="20"/>
          <w:szCs w:val="20"/>
        </w:rPr>
        <w:t xml:space="preserve"> </w:t>
      </w:r>
      <w:r w:rsidRPr="005164EE">
        <w:rPr>
          <w:rFonts w:ascii="Verdana" w:hAnsi="Verdana"/>
          <w:sz w:val="20"/>
          <w:szCs w:val="20"/>
        </w:rPr>
        <w:t>jurídicas,</w:t>
      </w:r>
      <w:r w:rsidRPr="005164EE">
        <w:rPr>
          <w:rFonts w:ascii="Verdana" w:hAnsi="Verdana"/>
          <w:spacing w:val="-12"/>
          <w:sz w:val="20"/>
          <w:szCs w:val="20"/>
        </w:rPr>
        <w:t xml:space="preserve"> </w:t>
      </w:r>
      <w:r w:rsidRPr="005164EE">
        <w:rPr>
          <w:rFonts w:ascii="Verdana" w:hAnsi="Verdana"/>
          <w:sz w:val="20"/>
          <w:szCs w:val="20"/>
        </w:rPr>
        <w:t>es</w:t>
      </w:r>
      <w:r w:rsidRPr="005164EE">
        <w:rPr>
          <w:rFonts w:ascii="Verdana" w:hAnsi="Verdana"/>
          <w:spacing w:val="-15"/>
          <w:sz w:val="20"/>
          <w:szCs w:val="20"/>
        </w:rPr>
        <w:t xml:space="preserve"> </w:t>
      </w:r>
      <w:r w:rsidRPr="005164EE">
        <w:rPr>
          <w:rFonts w:ascii="Verdana" w:hAnsi="Verdana"/>
          <w:sz w:val="20"/>
          <w:szCs w:val="20"/>
        </w:rPr>
        <w:t>importante</w:t>
      </w:r>
      <w:r w:rsidRPr="005164EE">
        <w:rPr>
          <w:rFonts w:ascii="Verdana" w:hAnsi="Verdana"/>
          <w:spacing w:val="-13"/>
          <w:sz w:val="20"/>
          <w:szCs w:val="20"/>
        </w:rPr>
        <w:t xml:space="preserve"> </w:t>
      </w:r>
      <w:r w:rsidRPr="005164EE">
        <w:rPr>
          <w:rFonts w:ascii="Verdana" w:hAnsi="Verdana"/>
          <w:sz w:val="20"/>
          <w:szCs w:val="20"/>
        </w:rPr>
        <w:t xml:space="preserve">precisar el alcance de la </w:t>
      </w:r>
      <w:r w:rsidRPr="005164EE">
        <w:rPr>
          <w:rFonts w:ascii="Verdana" w:hAnsi="Verdana"/>
          <w:i/>
          <w:sz w:val="20"/>
          <w:szCs w:val="20"/>
        </w:rPr>
        <w:t xml:space="preserve">transformación, escisión y fusión, </w:t>
      </w:r>
      <w:r w:rsidRPr="005164EE">
        <w:rPr>
          <w:rFonts w:ascii="Verdana" w:hAnsi="Verdana"/>
          <w:sz w:val="20"/>
          <w:szCs w:val="20"/>
        </w:rPr>
        <w:t xml:space="preserve">de acuerdo con lo establecido en la normatividad comercial, de la siguiente manera: a) </w:t>
      </w:r>
      <w:r w:rsidRPr="005164EE">
        <w:rPr>
          <w:rFonts w:ascii="Verdana" w:hAnsi="Verdana"/>
          <w:i/>
          <w:iCs/>
          <w:sz w:val="20"/>
          <w:szCs w:val="20"/>
        </w:rPr>
        <w:t>Transformación:</w:t>
      </w:r>
      <w:r w:rsidRPr="005164EE">
        <w:rPr>
          <w:rFonts w:ascii="Verdana" w:hAnsi="Verdana"/>
          <w:spacing w:val="-4"/>
          <w:sz w:val="20"/>
          <w:szCs w:val="20"/>
        </w:rPr>
        <w:t xml:space="preserve"> </w:t>
      </w:r>
      <w:r w:rsidRPr="005164EE">
        <w:rPr>
          <w:rFonts w:ascii="Verdana" w:hAnsi="Verdana"/>
          <w:sz w:val="20"/>
          <w:szCs w:val="20"/>
        </w:rPr>
        <w:t>Es</w:t>
      </w:r>
      <w:r w:rsidRPr="005164EE">
        <w:rPr>
          <w:rFonts w:ascii="Verdana" w:hAnsi="Verdana"/>
          <w:spacing w:val="-7"/>
          <w:sz w:val="20"/>
          <w:szCs w:val="20"/>
        </w:rPr>
        <w:t xml:space="preserve"> </w:t>
      </w:r>
      <w:r w:rsidRPr="005164EE">
        <w:rPr>
          <w:rFonts w:ascii="Verdana" w:hAnsi="Verdana"/>
          <w:sz w:val="20"/>
          <w:szCs w:val="20"/>
        </w:rPr>
        <w:t>una</w:t>
      </w:r>
      <w:r w:rsidRPr="005164EE">
        <w:rPr>
          <w:rFonts w:ascii="Verdana" w:hAnsi="Verdana"/>
          <w:spacing w:val="-7"/>
          <w:sz w:val="20"/>
          <w:szCs w:val="20"/>
        </w:rPr>
        <w:t xml:space="preserve"> </w:t>
      </w:r>
      <w:r w:rsidRPr="005164EE">
        <w:rPr>
          <w:rFonts w:ascii="Verdana" w:hAnsi="Verdana"/>
          <w:sz w:val="20"/>
          <w:szCs w:val="20"/>
        </w:rPr>
        <w:t>reforma</w:t>
      </w:r>
      <w:r w:rsidRPr="005164EE">
        <w:rPr>
          <w:rFonts w:ascii="Verdana" w:hAnsi="Verdana"/>
          <w:spacing w:val="-7"/>
          <w:sz w:val="20"/>
          <w:szCs w:val="20"/>
        </w:rPr>
        <w:t xml:space="preserve"> </w:t>
      </w:r>
      <w:r w:rsidRPr="005164EE">
        <w:rPr>
          <w:rFonts w:ascii="Verdana" w:hAnsi="Verdana"/>
          <w:sz w:val="20"/>
          <w:szCs w:val="20"/>
        </w:rPr>
        <w:t>a</w:t>
      </w:r>
      <w:r w:rsidRPr="005164EE">
        <w:rPr>
          <w:rFonts w:ascii="Verdana" w:hAnsi="Verdana"/>
          <w:spacing w:val="-7"/>
          <w:sz w:val="20"/>
          <w:szCs w:val="20"/>
        </w:rPr>
        <w:t xml:space="preserve"> </w:t>
      </w:r>
      <w:r w:rsidRPr="005164EE">
        <w:rPr>
          <w:rFonts w:ascii="Verdana" w:hAnsi="Verdana"/>
          <w:sz w:val="20"/>
          <w:szCs w:val="20"/>
        </w:rPr>
        <w:t>los</w:t>
      </w:r>
      <w:r w:rsidRPr="005164EE">
        <w:rPr>
          <w:rFonts w:ascii="Verdana" w:hAnsi="Verdana"/>
          <w:spacing w:val="-7"/>
          <w:sz w:val="20"/>
          <w:szCs w:val="20"/>
        </w:rPr>
        <w:t xml:space="preserve"> </w:t>
      </w:r>
      <w:r w:rsidRPr="005164EE">
        <w:rPr>
          <w:rFonts w:ascii="Verdana" w:hAnsi="Verdana"/>
          <w:sz w:val="20"/>
          <w:szCs w:val="20"/>
        </w:rPr>
        <w:t>estatutos</w:t>
      </w:r>
      <w:r w:rsidRPr="005164EE">
        <w:rPr>
          <w:rFonts w:ascii="Verdana" w:hAnsi="Verdana"/>
          <w:spacing w:val="-6"/>
          <w:sz w:val="20"/>
          <w:szCs w:val="20"/>
        </w:rPr>
        <w:t xml:space="preserve"> </w:t>
      </w:r>
      <w:r w:rsidRPr="005164EE">
        <w:rPr>
          <w:rFonts w:ascii="Verdana" w:hAnsi="Verdana"/>
          <w:sz w:val="20"/>
          <w:szCs w:val="20"/>
        </w:rPr>
        <w:t>de</w:t>
      </w:r>
      <w:r w:rsidRPr="005164EE">
        <w:rPr>
          <w:rFonts w:ascii="Verdana" w:hAnsi="Verdana"/>
          <w:spacing w:val="-7"/>
          <w:sz w:val="20"/>
          <w:szCs w:val="20"/>
        </w:rPr>
        <w:t xml:space="preserve"> </w:t>
      </w:r>
      <w:r w:rsidRPr="005164EE">
        <w:rPr>
          <w:rFonts w:ascii="Verdana" w:hAnsi="Verdana"/>
          <w:sz w:val="20"/>
          <w:szCs w:val="20"/>
        </w:rPr>
        <w:t>una</w:t>
      </w:r>
      <w:r w:rsidRPr="005164EE">
        <w:rPr>
          <w:rFonts w:ascii="Verdana" w:hAnsi="Verdana"/>
          <w:spacing w:val="-7"/>
          <w:sz w:val="20"/>
          <w:szCs w:val="20"/>
        </w:rPr>
        <w:t xml:space="preserve"> </w:t>
      </w:r>
      <w:r w:rsidRPr="005164EE">
        <w:rPr>
          <w:rFonts w:ascii="Verdana" w:hAnsi="Verdana"/>
          <w:sz w:val="20"/>
          <w:szCs w:val="20"/>
        </w:rPr>
        <w:t>sociedad</w:t>
      </w:r>
      <w:r w:rsidRPr="005164EE">
        <w:rPr>
          <w:rFonts w:ascii="Verdana" w:hAnsi="Verdana"/>
          <w:spacing w:val="-6"/>
          <w:sz w:val="20"/>
          <w:szCs w:val="20"/>
        </w:rPr>
        <w:t xml:space="preserve"> </w:t>
      </w:r>
      <w:r w:rsidRPr="005164EE">
        <w:rPr>
          <w:rFonts w:ascii="Verdana" w:hAnsi="Verdana"/>
          <w:sz w:val="20"/>
          <w:szCs w:val="20"/>
        </w:rPr>
        <w:t>comercial,</w:t>
      </w:r>
      <w:r w:rsidRPr="005164EE">
        <w:rPr>
          <w:rFonts w:ascii="Verdana" w:hAnsi="Verdana"/>
          <w:spacing w:val="-5"/>
          <w:sz w:val="20"/>
          <w:szCs w:val="20"/>
        </w:rPr>
        <w:t xml:space="preserve"> </w:t>
      </w:r>
      <w:r w:rsidRPr="005164EE">
        <w:rPr>
          <w:rFonts w:ascii="Verdana" w:hAnsi="Verdana"/>
          <w:sz w:val="20"/>
          <w:szCs w:val="20"/>
        </w:rPr>
        <w:t>en</w:t>
      </w:r>
      <w:r w:rsidRPr="005164EE">
        <w:rPr>
          <w:rFonts w:ascii="Verdana" w:hAnsi="Verdana"/>
          <w:spacing w:val="-7"/>
          <w:sz w:val="20"/>
          <w:szCs w:val="20"/>
        </w:rPr>
        <w:t xml:space="preserve"> </w:t>
      </w:r>
      <w:r w:rsidRPr="005164EE">
        <w:rPr>
          <w:rFonts w:ascii="Verdana" w:hAnsi="Verdana"/>
          <w:sz w:val="20"/>
          <w:szCs w:val="20"/>
        </w:rPr>
        <w:t xml:space="preserve">la cual se detalla la naturaleza jurídica, composición, estructura, capital, entre otros, con el propósito de transformar o cambiar la forma o tipo societario que adoptó, como sociedad anónima, limitada, en comandita, etc. </w:t>
      </w:r>
      <w:r w:rsidRPr="005164EE">
        <w:rPr>
          <w:rFonts w:ascii="Verdana" w:eastAsia="Geomanist Light" w:hAnsi="Verdana" w:cs="Arial"/>
          <w:color w:val="201F1E"/>
          <w:sz w:val="20"/>
          <w:szCs w:val="20"/>
        </w:rPr>
        <w:t xml:space="preserve">[…] b) </w:t>
      </w:r>
      <w:r w:rsidRPr="005164EE">
        <w:rPr>
          <w:rFonts w:ascii="Verdana" w:hAnsi="Verdana"/>
          <w:i/>
          <w:sz w:val="20"/>
          <w:szCs w:val="20"/>
        </w:rPr>
        <w:t xml:space="preserve">Escisión: </w:t>
      </w:r>
      <w:r w:rsidRPr="005164EE">
        <w:rPr>
          <w:rFonts w:ascii="Verdana" w:hAnsi="Verdana"/>
          <w:sz w:val="20"/>
          <w:szCs w:val="20"/>
        </w:rPr>
        <w:t>Es</w:t>
      </w:r>
      <w:r w:rsidRPr="005164EE">
        <w:rPr>
          <w:rFonts w:ascii="Verdana" w:hAnsi="Verdana"/>
          <w:spacing w:val="-2"/>
          <w:sz w:val="20"/>
          <w:szCs w:val="20"/>
        </w:rPr>
        <w:t xml:space="preserve"> </w:t>
      </w:r>
      <w:r w:rsidRPr="005164EE">
        <w:rPr>
          <w:rFonts w:ascii="Verdana" w:hAnsi="Verdana"/>
          <w:sz w:val="20"/>
          <w:szCs w:val="20"/>
        </w:rPr>
        <w:t>una</w:t>
      </w:r>
      <w:r w:rsidRPr="005164EE">
        <w:rPr>
          <w:rFonts w:ascii="Verdana" w:hAnsi="Verdana"/>
          <w:spacing w:val="-3"/>
          <w:sz w:val="20"/>
          <w:szCs w:val="20"/>
        </w:rPr>
        <w:t xml:space="preserve"> </w:t>
      </w:r>
      <w:r w:rsidRPr="005164EE">
        <w:rPr>
          <w:rFonts w:ascii="Verdana" w:hAnsi="Verdana"/>
          <w:sz w:val="20"/>
          <w:szCs w:val="20"/>
        </w:rPr>
        <w:t>figura</w:t>
      </w:r>
      <w:r w:rsidRPr="005164EE">
        <w:rPr>
          <w:rFonts w:ascii="Verdana" w:hAnsi="Verdana"/>
          <w:spacing w:val="-2"/>
          <w:sz w:val="20"/>
          <w:szCs w:val="20"/>
        </w:rPr>
        <w:t xml:space="preserve"> </w:t>
      </w:r>
      <w:r w:rsidRPr="005164EE">
        <w:rPr>
          <w:rFonts w:ascii="Verdana" w:hAnsi="Verdana"/>
          <w:sz w:val="20"/>
          <w:szCs w:val="20"/>
        </w:rPr>
        <w:t>con</w:t>
      </w:r>
      <w:r w:rsidRPr="005164EE">
        <w:rPr>
          <w:rFonts w:ascii="Verdana" w:hAnsi="Verdana"/>
          <w:spacing w:val="-3"/>
          <w:sz w:val="20"/>
          <w:szCs w:val="20"/>
        </w:rPr>
        <w:t xml:space="preserve"> </w:t>
      </w:r>
      <w:r w:rsidRPr="005164EE">
        <w:rPr>
          <w:rFonts w:ascii="Verdana" w:hAnsi="Verdana"/>
          <w:sz w:val="20"/>
          <w:szCs w:val="20"/>
        </w:rPr>
        <w:t>dos</w:t>
      </w:r>
      <w:r w:rsidRPr="005164EE">
        <w:rPr>
          <w:rFonts w:ascii="Verdana" w:hAnsi="Verdana"/>
          <w:spacing w:val="-3"/>
          <w:sz w:val="20"/>
          <w:szCs w:val="20"/>
        </w:rPr>
        <w:t xml:space="preserve"> </w:t>
      </w:r>
      <w:r w:rsidRPr="005164EE">
        <w:rPr>
          <w:rFonts w:ascii="Verdana" w:hAnsi="Verdana"/>
          <w:sz w:val="20"/>
          <w:szCs w:val="20"/>
        </w:rPr>
        <w:t>modalidades</w:t>
      </w:r>
      <w:r w:rsidRPr="005164EE">
        <w:rPr>
          <w:rFonts w:ascii="Verdana" w:hAnsi="Verdana"/>
          <w:spacing w:val="-2"/>
          <w:sz w:val="20"/>
          <w:szCs w:val="20"/>
        </w:rPr>
        <w:t xml:space="preserve"> </w:t>
      </w:r>
      <w:r w:rsidRPr="005164EE">
        <w:rPr>
          <w:rFonts w:ascii="Verdana" w:hAnsi="Verdana"/>
          <w:sz w:val="20"/>
          <w:szCs w:val="20"/>
        </w:rPr>
        <w:t>reguladas</w:t>
      </w:r>
      <w:r w:rsidRPr="005164EE">
        <w:rPr>
          <w:rFonts w:ascii="Verdana" w:hAnsi="Verdana"/>
          <w:spacing w:val="-2"/>
          <w:sz w:val="20"/>
          <w:szCs w:val="20"/>
        </w:rPr>
        <w:t xml:space="preserve"> </w:t>
      </w:r>
      <w:r w:rsidRPr="005164EE">
        <w:rPr>
          <w:rFonts w:ascii="Verdana" w:hAnsi="Verdana"/>
          <w:sz w:val="20"/>
          <w:szCs w:val="20"/>
        </w:rPr>
        <w:t>entre</w:t>
      </w:r>
      <w:r w:rsidRPr="005164EE">
        <w:rPr>
          <w:rFonts w:ascii="Verdana" w:hAnsi="Verdana"/>
          <w:spacing w:val="-2"/>
          <w:sz w:val="20"/>
          <w:szCs w:val="20"/>
        </w:rPr>
        <w:t xml:space="preserve"> </w:t>
      </w:r>
      <w:r w:rsidRPr="005164EE">
        <w:rPr>
          <w:rFonts w:ascii="Verdana" w:hAnsi="Verdana"/>
          <w:sz w:val="20"/>
          <w:szCs w:val="20"/>
        </w:rPr>
        <w:t>los</w:t>
      </w:r>
      <w:r w:rsidRPr="005164EE">
        <w:rPr>
          <w:rFonts w:ascii="Verdana" w:hAnsi="Verdana"/>
          <w:spacing w:val="-3"/>
          <w:sz w:val="20"/>
          <w:szCs w:val="20"/>
        </w:rPr>
        <w:t xml:space="preserve"> </w:t>
      </w:r>
      <w:r w:rsidRPr="005164EE">
        <w:rPr>
          <w:rFonts w:ascii="Verdana" w:hAnsi="Verdana"/>
          <w:sz w:val="20"/>
          <w:szCs w:val="20"/>
        </w:rPr>
        <w:t>artículos</w:t>
      </w:r>
      <w:r w:rsidRPr="005164EE">
        <w:rPr>
          <w:rFonts w:ascii="Verdana" w:hAnsi="Verdana"/>
          <w:spacing w:val="-2"/>
          <w:sz w:val="20"/>
          <w:szCs w:val="20"/>
        </w:rPr>
        <w:t xml:space="preserve"> </w:t>
      </w:r>
      <w:r w:rsidRPr="005164EE">
        <w:rPr>
          <w:rFonts w:ascii="Verdana" w:hAnsi="Verdana"/>
          <w:sz w:val="20"/>
          <w:szCs w:val="20"/>
        </w:rPr>
        <w:t>3</w:t>
      </w:r>
      <w:r w:rsidRPr="005164EE">
        <w:rPr>
          <w:rFonts w:ascii="Verdana" w:hAnsi="Verdana"/>
          <w:spacing w:val="-3"/>
          <w:sz w:val="20"/>
          <w:szCs w:val="20"/>
        </w:rPr>
        <w:t xml:space="preserve"> </w:t>
      </w:r>
      <w:r w:rsidRPr="005164EE">
        <w:rPr>
          <w:rFonts w:ascii="Verdana" w:hAnsi="Verdana"/>
          <w:sz w:val="20"/>
          <w:szCs w:val="20"/>
        </w:rPr>
        <w:t>y</w:t>
      </w:r>
      <w:r w:rsidRPr="005164EE">
        <w:rPr>
          <w:rFonts w:ascii="Verdana" w:hAnsi="Verdana"/>
          <w:spacing w:val="-3"/>
          <w:sz w:val="20"/>
          <w:szCs w:val="20"/>
        </w:rPr>
        <w:t xml:space="preserve"> </w:t>
      </w:r>
      <w:r w:rsidRPr="005164EE">
        <w:rPr>
          <w:rFonts w:ascii="Verdana" w:hAnsi="Verdana"/>
          <w:sz w:val="20"/>
          <w:szCs w:val="20"/>
        </w:rPr>
        <w:t>11 de</w:t>
      </w:r>
      <w:r w:rsidRPr="005164EE">
        <w:rPr>
          <w:rFonts w:ascii="Verdana" w:hAnsi="Verdana"/>
          <w:spacing w:val="-7"/>
          <w:sz w:val="20"/>
          <w:szCs w:val="20"/>
        </w:rPr>
        <w:t xml:space="preserve"> </w:t>
      </w:r>
      <w:r w:rsidRPr="005164EE">
        <w:rPr>
          <w:rFonts w:ascii="Verdana" w:hAnsi="Verdana"/>
          <w:sz w:val="20"/>
          <w:szCs w:val="20"/>
        </w:rPr>
        <w:t>la</w:t>
      </w:r>
      <w:r w:rsidRPr="005164EE">
        <w:rPr>
          <w:rFonts w:ascii="Verdana" w:hAnsi="Verdana"/>
          <w:spacing w:val="-7"/>
          <w:sz w:val="20"/>
          <w:szCs w:val="20"/>
        </w:rPr>
        <w:t xml:space="preserve"> </w:t>
      </w:r>
      <w:r w:rsidRPr="005164EE">
        <w:rPr>
          <w:rFonts w:ascii="Verdana" w:hAnsi="Verdana"/>
          <w:sz w:val="20"/>
          <w:szCs w:val="20"/>
        </w:rPr>
        <w:t>Ley</w:t>
      </w:r>
      <w:r w:rsidRPr="005164EE">
        <w:rPr>
          <w:rFonts w:ascii="Verdana" w:hAnsi="Verdana"/>
          <w:spacing w:val="-7"/>
          <w:sz w:val="20"/>
          <w:szCs w:val="20"/>
        </w:rPr>
        <w:t xml:space="preserve"> </w:t>
      </w:r>
      <w:r w:rsidRPr="005164EE">
        <w:rPr>
          <w:rFonts w:ascii="Verdana" w:hAnsi="Verdana"/>
          <w:sz w:val="20"/>
          <w:szCs w:val="20"/>
        </w:rPr>
        <w:t>222</w:t>
      </w:r>
      <w:r w:rsidRPr="005164EE">
        <w:rPr>
          <w:rFonts w:ascii="Verdana" w:hAnsi="Verdana"/>
          <w:spacing w:val="-7"/>
          <w:sz w:val="20"/>
          <w:szCs w:val="20"/>
        </w:rPr>
        <w:t xml:space="preserve"> </w:t>
      </w:r>
      <w:r w:rsidRPr="005164EE">
        <w:rPr>
          <w:rFonts w:ascii="Verdana" w:hAnsi="Verdana"/>
          <w:sz w:val="20"/>
          <w:szCs w:val="20"/>
        </w:rPr>
        <w:t>de</w:t>
      </w:r>
      <w:r w:rsidRPr="005164EE">
        <w:rPr>
          <w:rFonts w:ascii="Verdana" w:hAnsi="Verdana"/>
          <w:spacing w:val="-7"/>
          <w:sz w:val="20"/>
          <w:szCs w:val="20"/>
        </w:rPr>
        <w:t xml:space="preserve"> </w:t>
      </w:r>
      <w:r w:rsidRPr="005164EE">
        <w:rPr>
          <w:rFonts w:ascii="Verdana" w:hAnsi="Verdana"/>
          <w:sz w:val="20"/>
          <w:szCs w:val="20"/>
        </w:rPr>
        <w:t>1995.</w:t>
      </w:r>
      <w:r w:rsidRPr="005164EE">
        <w:rPr>
          <w:rFonts w:ascii="Verdana" w:hAnsi="Verdana"/>
          <w:spacing w:val="-6"/>
          <w:sz w:val="20"/>
          <w:szCs w:val="20"/>
        </w:rPr>
        <w:t xml:space="preserve"> </w:t>
      </w:r>
      <w:r w:rsidRPr="005164EE">
        <w:rPr>
          <w:rFonts w:ascii="Verdana" w:hAnsi="Verdana"/>
          <w:sz w:val="20"/>
          <w:szCs w:val="20"/>
        </w:rPr>
        <w:t>La</w:t>
      </w:r>
      <w:r w:rsidRPr="005164EE">
        <w:rPr>
          <w:rFonts w:ascii="Verdana" w:hAnsi="Verdana"/>
          <w:spacing w:val="-7"/>
          <w:sz w:val="20"/>
          <w:szCs w:val="20"/>
        </w:rPr>
        <w:t xml:space="preserve"> </w:t>
      </w:r>
      <w:r w:rsidRPr="005164EE">
        <w:rPr>
          <w:rFonts w:ascii="Verdana" w:hAnsi="Verdana"/>
          <w:sz w:val="20"/>
          <w:szCs w:val="20"/>
        </w:rPr>
        <w:t>primera</w:t>
      </w:r>
      <w:r w:rsidRPr="005164EE">
        <w:rPr>
          <w:rFonts w:ascii="Verdana" w:hAnsi="Verdana"/>
          <w:spacing w:val="-6"/>
          <w:sz w:val="20"/>
          <w:szCs w:val="20"/>
        </w:rPr>
        <w:t xml:space="preserve"> </w:t>
      </w:r>
      <w:r w:rsidRPr="005164EE">
        <w:rPr>
          <w:rFonts w:ascii="Verdana" w:hAnsi="Verdana"/>
          <w:sz w:val="20"/>
          <w:szCs w:val="20"/>
        </w:rPr>
        <w:t>modalidad</w:t>
      </w:r>
      <w:r w:rsidRPr="005164EE">
        <w:rPr>
          <w:rFonts w:ascii="Verdana" w:hAnsi="Verdana"/>
          <w:spacing w:val="-5"/>
          <w:sz w:val="20"/>
          <w:szCs w:val="20"/>
        </w:rPr>
        <w:t xml:space="preserve"> </w:t>
      </w:r>
      <w:r w:rsidRPr="005164EE">
        <w:rPr>
          <w:rFonts w:ascii="Verdana" w:hAnsi="Verdana"/>
          <w:sz w:val="20"/>
          <w:szCs w:val="20"/>
        </w:rPr>
        <w:t>conocida</w:t>
      </w:r>
      <w:r w:rsidRPr="005164EE">
        <w:rPr>
          <w:rFonts w:ascii="Verdana" w:hAnsi="Verdana"/>
          <w:spacing w:val="-7"/>
          <w:sz w:val="20"/>
          <w:szCs w:val="20"/>
        </w:rPr>
        <w:t xml:space="preserve"> </w:t>
      </w:r>
      <w:r w:rsidRPr="005164EE">
        <w:rPr>
          <w:rFonts w:ascii="Verdana" w:hAnsi="Verdana"/>
          <w:sz w:val="20"/>
          <w:szCs w:val="20"/>
        </w:rPr>
        <w:t>como</w:t>
      </w:r>
      <w:r w:rsidRPr="005164EE">
        <w:rPr>
          <w:rFonts w:ascii="Verdana" w:hAnsi="Verdana"/>
          <w:spacing w:val="-7"/>
          <w:sz w:val="20"/>
          <w:szCs w:val="20"/>
        </w:rPr>
        <w:t xml:space="preserve"> </w:t>
      </w:r>
      <w:r w:rsidRPr="005164EE">
        <w:rPr>
          <w:rFonts w:ascii="Verdana" w:hAnsi="Verdana"/>
          <w:i/>
          <w:sz w:val="20"/>
          <w:szCs w:val="20"/>
        </w:rPr>
        <w:t>escisión</w:t>
      </w:r>
      <w:r w:rsidRPr="005164EE">
        <w:rPr>
          <w:rFonts w:ascii="Verdana" w:hAnsi="Verdana"/>
          <w:i/>
          <w:spacing w:val="-6"/>
          <w:sz w:val="20"/>
          <w:szCs w:val="20"/>
        </w:rPr>
        <w:t xml:space="preserve"> </w:t>
      </w:r>
      <w:r w:rsidRPr="005164EE">
        <w:rPr>
          <w:rFonts w:ascii="Verdana" w:hAnsi="Verdana"/>
          <w:i/>
          <w:sz w:val="20"/>
          <w:szCs w:val="20"/>
        </w:rPr>
        <w:t>parcial</w:t>
      </w:r>
      <w:r w:rsidRPr="005164EE">
        <w:rPr>
          <w:rFonts w:ascii="Verdana" w:hAnsi="Verdana"/>
          <w:sz w:val="20"/>
          <w:szCs w:val="20"/>
        </w:rPr>
        <w:t>,</w:t>
      </w:r>
      <w:r w:rsidRPr="005164EE">
        <w:rPr>
          <w:rFonts w:ascii="Verdana" w:hAnsi="Verdana"/>
          <w:spacing w:val="-7"/>
          <w:sz w:val="20"/>
          <w:szCs w:val="20"/>
        </w:rPr>
        <w:t xml:space="preserve"> </w:t>
      </w:r>
      <w:r w:rsidRPr="005164EE">
        <w:rPr>
          <w:rFonts w:ascii="Verdana" w:hAnsi="Verdana"/>
          <w:sz w:val="20"/>
          <w:szCs w:val="20"/>
        </w:rPr>
        <w:t>regulada</w:t>
      </w:r>
      <w:r w:rsidRPr="005164EE">
        <w:rPr>
          <w:rFonts w:ascii="Verdana" w:hAnsi="Verdana"/>
          <w:spacing w:val="-6"/>
          <w:sz w:val="20"/>
          <w:szCs w:val="20"/>
        </w:rPr>
        <w:t xml:space="preserve"> </w:t>
      </w:r>
      <w:r w:rsidRPr="005164EE">
        <w:rPr>
          <w:rFonts w:ascii="Verdana" w:hAnsi="Verdana"/>
          <w:sz w:val="20"/>
          <w:szCs w:val="20"/>
        </w:rPr>
        <w:t xml:space="preserve">por el numeral 1 del artículo 3 de la referida ley, se refiere acuerdos en el marco de los cuales la sociedad escindente no se </w:t>
      </w:r>
      <w:r w:rsidRPr="005164EE">
        <w:rPr>
          <w:rFonts w:ascii="Verdana" w:hAnsi="Verdana"/>
          <w:i/>
          <w:sz w:val="20"/>
          <w:szCs w:val="20"/>
        </w:rPr>
        <w:t xml:space="preserve">“disuelve” </w:t>
      </w:r>
      <w:r w:rsidRPr="005164EE">
        <w:rPr>
          <w:rFonts w:ascii="Verdana" w:hAnsi="Verdana"/>
          <w:sz w:val="20"/>
          <w:szCs w:val="20"/>
        </w:rPr>
        <w:t xml:space="preserve">ni se </w:t>
      </w:r>
      <w:r w:rsidRPr="005164EE">
        <w:rPr>
          <w:rFonts w:ascii="Verdana" w:hAnsi="Verdana"/>
          <w:i/>
          <w:sz w:val="20"/>
          <w:szCs w:val="20"/>
        </w:rPr>
        <w:t>“liquida”</w:t>
      </w:r>
      <w:r w:rsidRPr="005164EE">
        <w:rPr>
          <w:rFonts w:ascii="Verdana" w:hAnsi="Verdana"/>
          <w:sz w:val="20"/>
          <w:szCs w:val="20"/>
        </w:rPr>
        <w:t>, es decir, permanece sin modificaciones</w:t>
      </w:r>
      <w:r w:rsidRPr="005164EE">
        <w:rPr>
          <w:rFonts w:ascii="Verdana" w:hAnsi="Verdana"/>
          <w:spacing w:val="-12"/>
          <w:sz w:val="20"/>
          <w:szCs w:val="20"/>
        </w:rPr>
        <w:t xml:space="preserve"> </w:t>
      </w:r>
      <w:r w:rsidRPr="005164EE">
        <w:rPr>
          <w:rFonts w:ascii="Verdana" w:hAnsi="Verdana"/>
          <w:sz w:val="20"/>
          <w:szCs w:val="20"/>
        </w:rPr>
        <w:t>ni</w:t>
      </w:r>
      <w:r w:rsidRPr="005164EE">
        <w:rPr>
          <w:rFonts w:ascii="Verdana" w:hAnsi="Verdana"/>
          <w:spacing w:val="-13"/>
          <w:sz w:val="20"/>
          <w:szCs w:val="20"/>
        </w:rPr>
        <w:t xml:space="preserve"> </w:t>
      </w:r>
      <w:r w:rsidRPr="005164EE">
        <w:rPr>
          <w:rFonts w:ascii="Verdana" w:hAnsi="Verdana"/>
          <w:sz w:val="20"/>
          <w:szCs w:val="20"/>
        </w:rPr>
        <w:t>reformas,</w:t>
      </w:r>
      <w:r w:rsidRPr="005164EE">
        <w:rPr>
          <w:rFonts w:ascii="Verdana" w:hAnsi="Verdana"/>
          <w:spacing w:val="-10"/>
          <w:sz w:val="20"/>
          <w:szCs w:val="20"/>
        </w:rPr>
        <w:t xml:space="preserve"> </w:t>
      </w:r>
      <w:r w:rsidRPr="005164EE">
        <w:rPr>
          <w:rFonts w:ascii="Verdana" w:hAnsi="Verdana"/>
          <w:sz w:val="20"/>
          <w:szCs w:val="20"/>
        </w:rPr>
        <w:t>pero</w:t>
      </w:r>
      <w:r w:rsidRPr="005164EE">
        <w:rPr>
          <w:rFonts w:ascii="Verdana" w:hAnsi="Verdana"/>
          <w:spacing w:val="-12"/>
          <w:sz w:val="20"/>
          <w:szCs w:val="20"/>
        </w:rPr>
        <w:t xml:space="preserve"> </w:t>
      </w:r>
      <w:r w:rsidRPr="005164EE">
        <w:rPr>
          <w:rFonts w:ascii="Verdana" w:hAnsi="Verdana"/>
          <w:sz w:val="20"/>
          <w:szCs w:val="20"/>
        </w:rPr>
        <w:t>fracciona</w:t>
      </w:r>
      <w:r w:rsidRPr="005164EE">
        <w:rPr>
          <w:rFonts w:ascii="Verdana" w:hAnsi="Verdana"/>
          <w:spacing w:val="-12"/>
          <w:sz w:val="20"/>
          <w:szCs w:val="20"/>
        </w:rPr>
        <w:t xml:space="preserve"> </w:t>
      </w:r>
      <w:r w:rsidRPr="005164EE">
        <w:rPr>
          <w:rFonts w:ascii="Verdana" w:hAnsi="Verdana"/>
          <w:sz w:val="20"/>
          <w:szCs w:val="20"/>
        </w:rPr>
        <w:t>su</w:t>
      </w:r>
      <w:r w:rsidRPr="005164EE">
        <w:rPr>
          <w:rFonts w:ascii="Verdana" w:hAnsi="Verdana"/>
          <w:spacing w:val="-13"/>
          <w:sz w:val="20"/>
          <w:szCs w:val="20"/>
        </w:rPr>
        <w:t xml:space="preserve"> </w:t>
      </w:r>
      <w:r w:rsidRPr="005164EE">
        <w:rPr>
          <w:rFonts w:ascii="Verdana" w:hAnsi="Verdana"/>
          <w:sz w:val="20"/>
          <w:szCs w:val="20"/>
        </w:rPr>
        <w:t>patrimonio</w:t>
      </w:r>
      <w:r w:rsidRPr="005164EE">
        <w:rPr>
          <w:rFonts w:ascii="Verdana" w:hAnsi="Verdana"/>
          <w:spacing w:val="-11"/>
          <w:sz w:val="20"/>
          <w:szCs w:val="20"/>
        </w:rPr>
        <w:t xml:space="preserve"> </w:t>
      </w:r>
      <w:r w:rsidRPr="005164EE">
        <w:rPr>
          <w:rFonts w:ascii="Verdana" w:hAnsi="Verdana"/>
          <w:sz w:val="20"/>
          <w:szCs w:val="20"/>
        </w:rPr>
        <w:t>para</w:t>
      </w:r>
      <w:r w:rsidRPr="005164EE">
        <w:rPr>
          <w:rFonts w:ascii="Verdana" w:hAnsi="Verdana"/>
          <w:spacing w:val="-13"/>
          <w:sz w:val="20"/>
          <w:szCs w:val="20"/>
        </w:rPr>
        <w:t xml:space="preserve"> </w:t>
      </w:r>
      <w:r w:rsidRPr="005164EE">
        <w:rPr>
          <w:rFonts w:ascii="Verdana" w:hAnsi="Verdana"/>
          <w:sz w:val="20"/>
          <w:szCs w:val="20"/>
        </w:rPr>
        <w:t>transferir</w:t>
      </w:r>
      <w:r w:rsidRPr="005164EE">
        <w:rPr>
          <w:rFonts w:ascii="Verdana" w:hAnsi="Verdana"/>
          <w:spacing w:val="-11"/>
          <w:sz w:val="20"/>
          <w:szCs w:val="20"/>
        </w:rPr>
        <w:t xml:space="preserve"> </w:t>
      </w:r>
      <w:r w:rsidRPr="005164EE">
        <w:rPr>
          <w:rFonts w:ascii="Verdana" w:hAnsi="Verdana"/>
          <w:sz w:val="20"/>
          <w:szCs w:val="20"/>
        </w:rPr>
        <w:t>una</w:t>
      </w:r>
      <w:r w:rsidRPr="005164EE">
        <w:rPr>
          <w:rFonts w:ascii="Verdana" w:hAnsi="Verdana"/>
          <w:spacing w:val="-13"/>
          <w:sz w:val="20"/>
          <w:szCs w:val="20"/>
        </w:rPr>
        <w:t xml:space="preserve"> </w:t>
      </w:r>
      <w:r w:rsidRPr="005164EE">
        <w:rPr>
          <w:rFonts w:ascii="Verdana" w:hAnsi="Verdana"/>
          <w:sz w:val="20"/>
          <w:szCs w:val="20"/>
        </w:rPr>
        <w:t>o</w:t>
      </w:r>
      <w:r w:rsidRPr="005164EE">
        <w:rPr>
          <w:rFonts w:ascii="Verdana" w:hAnsi="Verdana"/>
          <w:spacing w:val="-13"/>
          <w:sz w:val="20"/>
          <w:szCs w:val="20"/>
        </w:rPr>
        <w:t xml:space="preserve"> </w:t>
      </w:r>
      <w:r w:rsidRPr="005164EE">
        <w:rPr>
          <w:rFonts w:ascii="Verdana" w:hAnsi="Verdana"/>
          <w:sz w:val="20"/>
          <w:szCs w:val="20"/>
        </w:rPr>
        <w:t>varias</w:t>
      </w:r>
      <w:r w:rsidRPr="005164EE">
        <w:rPr>
          <w:rFonts w:ascii="Verdana" w:hAnsi="Verdana"/>
          <w:spacing w:val="-13"/>
          <w:sz w:val="20"/>
          <w:szCs w:val="20"/>
        </w:rPr>
        <w:t xml:space="preserve"> </w:t>
      </w:r>
      <w:r w:rsidRPr="005164EE">
        <w:rPr>
          <w:rFonts w:ascii="Verdana" w:hAnsi="Verdana"/>
          <w:sz w:val="20"/>
          <w:szCs w:val="20"/>
        </w:rPr>
        <w:t xml:space="preserve">partes, a una o varias sociedades existentes o por crearse. </w:t>
      </w:r>
      <w:r w:rsidRPr="005164EE">
        <w:rPr>
          <w:rFonts w:ascii="Verdana" w:eastAsia="Geomanist Light" w:hAnsi="Verdana" w:cs="Arial"/>
          <w:color w:val="201F1E"/>
          <w:sz w:val="20"/>
          <w:szCs w:val="20"/>
        </w:rPr>
        <w:t>[…]</w:t>
      </w:r>
      <w:r w:rsidRPr="005164EE">
        <w:rPr>
          <w:rFonts w:ascii="Verdana" w:hAnsi="Verdana"/>
          <w:sz w:val="20"/>
          <w:szCs w:val="20"/>
        </w:rPr>
        <w:t xml:space="preserve">La segunda modalidad, estipulada en el numeral 2 del artículo 3 de la Ley 222 de 1995, conocida como </w:t>
      </w:r>
      <w:r w:rsidRPr="005164EE">
        <w:rPr>
          <w:rFonts w:ascii="Verdana" w:hAnsi="Verdana"/>
          <w:i/>
          <w:sz w:val="20"/>
          <w:szCs w:val="20"/>
        </w:rPr>
        <w:t xml:space="preserve">escisión total </w:t>
      </w:r>
      <w:r w:rsidRPr="005164EE">
        <w:rPr>
          <w:rFonts w:ascii="Verdana" w:hAnsi="Verdana"/>
          <w:sz w:val="20"/>
          <w:szCs w:val="20"/>
        </w:rPr>
        <w:t>se refiere a un acuerdo en el marco del cual una sociedad</w:t>
      </w:r>
      <w:r w:rsidRPr="005164EE">
        <w:rPr>
          <w:rFonts w:ascii="Verdana" w:hAnsi="Verdana"/>
          <w:spacing w:val="-4"/>
          <w:sz w:val="20"/>
          <w:szCs w:val="20"/>
        </w:rPr>
        <w:t xml:space="preserve"> </w:t>
      </w:r>
      <w:r w:rsidRPr="005164EE">
        <w:rPr>
          <w:rFonts w:ascii="Verdana" w:hAnsi="Verdana"/>
          <w:sz w:val="20"/>
          <w:szCs w:val="20"/>
        </w:rPr>
        <w:t>se</w:t>
      </w:r>
      <w:r w:rsidRPr="005164EE">
        <w:rPr>
          <w:rFonts w:ascii="Verdana" w:hAnsi="Verdana"/>
          <w:spacing w:val="-5"/>
          <w:sz w:val="20"/>
          <w:szCs w:val="20"/>
        </w:rPr>
        <w:t xml:space="preserve"> </w:t>
      </w:r>
      <w:r w:rsidRPr="005164EE">
        <w:rPr>
          <w:rFonts w:ascii="Verdana" w:hAnsi="Verdana"/>
          <w:i/>
          <w:sz w:val="20"/>
          <w:szCs w:val="20"/>
        </w:rPr>
        <w:t>“disuelve”</w:t>
      </w:r>
      <w:r w:rsidRPr="005164EE">
        <w:rPr>
          <w:rFonts w:ascii="Verdana" w:hAnsi="Verdana"/>
          <w:i/>
          <w:spacing w:val="-5"/>
          <w:sz w:val="20"/>
          <w:szCs w:val="20"/>
        </w:rPr>
        <w:t xml:space="preserve"> </w:t>
      </w:r>
      <w:r w:rsidRPr="005164EE">
        <w:rPr>
          <w:rFonts w:ascii="Verdana" w:hAnsi="Verdana"/>
          <w:sz w:val="20"/>
          <w:szCs w:val="20"/>
        </w:rPr>
        <w:t>sin</w:t>
      </w:r>
      <w:r w:rsidRPr="005164EE">
        <w:rPr>
          <w:rFonts w:ascii="Verdana" w:hAnsi="Verdana"/>
          <w:spacing w:val="-5"/>
          <w:sz w:val="20"/>
          <w:szCs w:val="20"/>
        </w:rPr>
        <w:t xml:space="preserve"> </w:t>
      </w:r>
      <w:r w:rsidRPr="005164EE">
        <w:rPr>
          <w:rFonts w:ascii="Verdana" w:hAnsi="Verdana"/>
          <w:i/>
          <w:sz w:val="20"/>
          <w:szCs w:val="20"/>
        </w:rPr>
        <w:t>“liquidarse”</w:t>
      </w:r>
      <w:r w:rsidRPr="005164EE">
        <w:rPr>
          <w:rFonts w:ascii="Verdana" w:hAnsi="Verdana"/>
          <w:sz w:val="20"/>
          <w:szCs w:val="20"/>
        </w:rPr>
        <w:t>,</w:t>
      </w:r>
      <w:r w:rsidRPr="005164EE">
        <w:rPr>
          <w:rFonts w:ascii="Verdana" w:hAnsi="Verdana"/>
          <w:spacing w:val="-5"/>
          <w:sz w:val="20"/>
          <w:szCs w:val="20"/>
        </w:rPr>
        <w:t xml:space="preserve"> </w:t>
      </w:r>
      <w:r w:rsidRPr="005164EE">
        <w:rPr>
          <w:rFonts w:ascii="Verdana" w:hAnsi="Verdana"/>
          <w:sz w:val="20"/>
          <w:szCs w:val="20"/>
        </w:rPr>
        <w:t>lo</w:t>
      </w:r>
      <w:r w:rsidRPr="005164EE">
        <w:rPr>
          <w:rFonts w:ascii="Verdana" w:hAnsi="Verdana"/>
          <w:spacing w:val="-5"/>
          <w:sz w:val="20"/>
          <w:szCs w:val="20"/>
        </w:rPr>
        <w:t xml:space="preserve"> </w:t>
      </w:r>
      <w:r w:rsidRPr="005164EE">
        <w:rPr>
          <w:rFonts w:ascii="Verdana" w:hAnsi="Verdana"/>
          <w:sz w:val="20"/>
          <w:szCs w:val="20"/>
        </w:rPr>
        <w:t>que</w:t>
      </w:r>
      <w:r w:rsidRPr="005164EE">
        <w:rPr>
          <w:rFonts w:ascii="Verdana" w:hAnsi="Verdana"/>
          <w:spacing w:val="-5"/>
          <w:sz w:val="20"/>
          <w:szCs w:val="20"/>
        </w:rPr>
        <w:t xml:space="preserve"> </w:t>
      </w:r>
      <w:r w:rsidRPr="005164EE">
        <w:rPr>
          <w:rFonts w:ascii="Verdana" w:hAnsi="Verdana"/>
          <w:sz w:val="20"/>
          <w:szCs w:val="20"/>
        </w:rPr>
        <w:t>supone</w:t>
      </w:r>
      <w:r w:rsidRPr="005164EE">
        <w:rPr>
          <w:rFonts w:ascii="Verdana" w:hAnsi="Verdana"/>
          <w:spacing w:val="-4"/>
          <w:sz w:val="20"/>
          <w:szCs w:val="20"/>
        </w:rPr>
        <w:t xml:space="preserve"> </w:t>
      </w:r>
      <w:r w:rsidRPr="005164EE">
        <w:rPr>
          <w:rFonts w:ascii="Verdana" w:hAnsi="Verdana"/>
          <w:sz w:val="20"/>
          <w:szCs w:val="20"/>
        </w:rPr>
        <w:t>una</w:t>
      </w:r>
      <w:r w:rsidRPr="005164EE">
        <w:rPr>
          <w:rFonts w:ascii="Verdana" w:hAnsi="Verdana"/>
          <w:spacing w:val="-5"/>
          <w:sz w:val="20"/>
          <w:szCs w:val="20"/>
        </w:rPr>
        <w:t xml:space="preserve"> </w:t>
      </w:r>
      <w:r w:rsidRPr="005164EE">
        <w:rPr>
          <w:rFonts w:ascii="Verdana" w:hAnsi="Verdana"/>
          <w:sz w:val="20"/>
          <w:szCs w:val="20"/>
        </w:rPr>
        <w:t>reforma</w:t>
      </w:r>
      <w:r w:rsidRPr="005164EE">
        <w:rPr>
          <w:rFonts w:ascii="Verdana" w:hAnsi="Verdana"/>
          <w:spacing w:val="-5"/>
          <w:sz w:val="20"/>
          <w:szCs w:val="20"/>
        </w:rPr>
        <w:t xml:space="preserve"> </w:t>
      </w:r>
      <w:r w:rsidRPr="005164EE">
        <w:rPr>
          <w:rFonts w:ascii="Verdana" w:hAnsi="Verdana"/>
          <w:sz w:val="20"/>
          <w:szCs w:val="20"/>
        </w:rPr>
        <w:t>social</w:t>
      </w:r>
      <w:r w:rsidRPr="005164EE">
        <w:rPr>
          <w:rFonts w:ascii="Verdana" w:hAnsi="Verdana"/>
          <w:spacing w:val="-4"/>
          <w:sz w:val="20"/>
          <w:szCs w:val="20"/>
        </w:rPr>
        <w:t xml:space="preserve"> </w:t>
      </w:r>
      <w:r w:rsidRPr="005164EE">
        <w:rPr>
          <w:rFonts w:ascii="Verdana" w:hAnsi="Verdana"/>
          <w:sz w:val="20"/>
          <w:szCs w:val="20"/>
        </w:rPr>
        <w:t>–lo</w:t>
      </w:r>
      <w:r w:rsidRPr="005164EE">
        <w:rPr>
          <w:rFonts w:ascii="Verdana" w:hAnsi="Verdana"/>
          <w:spacing w:val="-5"/>
          <w:sz w:val="20"/>
          <w:szCs w:val="20"/>
        </w:rPr>
        <w:t xml:space="preserve"> </w:t>
      </w:r>
      <w:r w:rsidRPr="005164EE">
        <w:rPr>
          <w:rFonts w:ascii="Verdana" w:hAnsi="Verdana"/>
          <w:sz w:val="20"/>
          <w:szCs w:val="20"/>
        </w:rPr>
        <w:t>cual</w:t>
      </w:r>
      <w:r w:rsidRPr="005164EE">
        <w:rPr>
          <w:rFonts w:ascii="Verdana" w:hAnsi="Verdana"/>
          <w:spacing w:val="-5"/>
          <w:sz w:val="20"/>
          <w:szCs w:val="20"/>
        </w:rPr>
        <w:t xml:space="preserve"> </w:t>
      </w:r>
      <w:r w:rsidRPr="005164EE">
        <w:rPr>
          <w:rFonts w:ascii="Verdana" w:hAnsi="Verdana"/>
          <w:sz w:val="20"/>
          <w:szCs w:val="20"/>
        </w:rPr>
        <w:t>no</w:t>
      </w:r>
      <w:r w:rsidRPr="005164EE">
        <w:rPr>
          <w:rFonts w:ascii="Verdana" w:hAnsi="Verdana"/>
          <w:spacing w:val="-5"/>
          <w:sz w:val="20"/>
          <w:szCs w:val="20"/>
        </w:rPr>
        <w:t xml:space="preserve"> </w:t>
      </w:r>
      <w:r w:rsidRPr="005164EE">
        <w:rPr>
          <w:rFonts w:ascii="Verdana" w:hAnsi="Verdana"/>
          <w:sz w:val="20"/>
          <w:szCs w:val="20"/>
        </w:rPr>
        <w:t>ocurre con</w:t>
      </w:r>
      <w:r w:rsidRPr="005164EE">
        <w:rPr>
          <w:rFonts w:ascii="Verdana" w:hAnsi="Verdana"/>
          <w:spacing w:val="-4"/>
          <w:sz w:val="20"/>
          <w:szCs w:val="20"/>
        </w:rPr>
        <w:t xml:space="preserve"> </w:t>
      </w:r>
      <w:r w:rsidRPr="005164EE">
        <w:rPr>
          <w:rFonts w:ascii="Verdana" w:hAnsi="Verdana"/>
          <w:sz w:val="20"/>
          <w:szCs w:val="20"/>
        </w:rPr>
        <w:t>la</w:t>
      </w:r>
      <w:r w:rsidRPr="005164EE">
        <w:rPr>
          <w:rFonts w:ascii="Verdana" w:hAnsi="Verdana"/>
          <w:spacing w:val="-4"/>
          <w:sz w:val="20"/>
          <w:szCs w:val="20"/>
        </w:rPr>
        <w:t xml:space="preserve"> </w:t>
      </w:r>
      <w:r w:rsidRPr="005164EE">
        <w:rPr>
          <w:rFonts w:ascii="Verdana" w:hAnsi="Verdana"/>
          <w:sz w:val="20"/>
          <w:szCs w:val="20"/>
        </w:rPr>
        <w:t>primera</w:t>
      </w:r>
      <w:r w:rsidRPr="005164EE">
        <w:rPr>
          <w:rFonts w:ascii="Verdana" w:hAnsi="Verdana"/>
          <w:spacing w:val="-4"/>
          <w:sz w:val="20"/>
          <w:szCs w:val="20"/>
        </w:rPr>
        <w:t xml:space="preserve"> </w:t>
      </w:r>
      <w:r w:rsidRPr="005164EE">
        <w:rPr>
          <w:rFonts w:ascii="Verdana" w:hAnsi="Verdana"/>
          <w:sz w:val="20"/>
          <w:szCs w:val="20"/>
        </w:rPr>
        <w:t>modalidad–,</w:t>
      </w:r>
      <w:r w:rsidRPr="005164EE">
        <w:rPr>
          <w:rFonts w:ascii="Verdana" w:hAnsi="Verdana"/>
          <w:spacing w:val="-4"/>
          <w:sz w:val="20"/>
          <w:szCs w:val="20"/>
        </w:rPr>
        <w:t xml:space="preserve"> </w:t>
      </w:r>
      <w:r w:rsidRPr="005164EE">
        <w:rPr>
          <w:rFonts w:ascii="Verdana" w:hAnsi="Verdana"/>
          <w:sz w:val="20"/>
          <w:szCs w:val="20"/>
        </w:rPr>
        <w:t>que</w:t>
      </w:r>
      <w:r w:rsidRPr="005164EE">
        <w:rPr>
          <w:rFonts w:ascii="Verdana" w:hAnsi="Verdana"/>
          <w:spacing w:val="-4"/>
          <w:sz w:val="20"/>
          <w:szCs w:val="20"/>
        </w:rPr>
        <w:t xml:space="preserve"> </w:t>
      </w:r>
      <w:r w:rsidRPr="005164EE">
        <w:rPr>
          <w:rFonts w:ascii="Verdana" w:hAnsi="Verdana"/>
          <w:sz w:val="20"/>
          <w:szCs w:val="20"/>
        </w:rPr>
        <w:t>implica</w:t>
      </w:r>
      <w:r w:rsidRPr="005164EE">
        <w:rPr>
          <w:rFonts w:ascii="Verdana" w:hAnsi="Verdana"/>
          <w:spacing w:val="-4"/>
          <w:sz w:val="20"/>
          <w:szCs w:val="20"/>
        </w:rPr>
        <w:t xml:space="preserve"> </w:t>
      </w:r>
      <w:r w:rsidRPr="005164EE">
        <w:rPr>
          <w:rFonts w:ascii="Verdana" w:hAnsi="Verdana"/>
          <w:sz w:val="20"/>
          <w:szCs w:val="20"/>
        </w:rPr>
        <w:t>un</w:t>
      </w:r>
      <w:r w:rsidRPr="005164EE">
        <w:rPr>
          <w:rFonts w:ascii="Verdana" w:hAnsi="Verdana"/>
          <w:spacing w:val="-4"/>
          <w:sz w:val="20"/>
          <w:szCs w:val="20"/>
        </w:rPr>
        <w:t xml:space="preserve"> </w:t>
      </w:r>
      <w:r w:rsidRPr="005164EE">
        <w:rPr>
          <w:rFonts w:ascii="Verdana" w:hAnsi="Verdana"/>
          <w:sz w:val="20"/>
          <w:szCs w:val="20"/>
        </w:rPr>
        <w:t>fraccionamiento</w:t>
      </w:r>
      <w:r w:rsidRPr="005164EE">
        <w:rPr>
          <w:rFonts w:ascii="Verdana" w:hAnsi="Verdana"/>
          <w:spacing w:val="-1"/>
          <w:sz w:val="20"/>
          <w:szCs w:val="20"/>
        </w:rPr>
        <w:t xml:space="preserve"> </w:t>
      </w:r>
      <w:r w:rsidRPr="005164EE">
        <w:rPr>
          <w:rFonts w:ascii="Verdana" w:hAnsi="Verdana"/>
          <w:sz w:val="20"/>
          <w:szCs w:val="20"/>
        </w:rPr>
        <w:t>del</w:t>
      </w:r>
      <w:r w:rsidRPr="005164EE">
        <w:rPr>
          <w:rFonts w:ascii="Verdana" w:hAnsi="Verdana"/>
          <w:spacing w:val="-4"/>
          <w:sz w:val="20"/>
          <w:szCs w:val="20"/>
        </w:rPr>
        <w:t xml:space="preserve"> </w:t>
      </w:r>
      <w:r w:rsidRPr="005164EE">
        <w:rPr>
          <w:rFonts w:ascii="Verdana" w:hAnsi="Verdana"/>
          <w:sz w:val="20"/>
          <w:szCs w:val="20"/>
        </w:rPr>
        <w:t>patrimonio</w:t>
      </w:r>
      <w:r w:rsidRPr="005164EE">
        <w:rPr>
          <w:rFonts w:ascii="Verdana" w:hAnsi="Verdana"/>
          <w:spacing w:val="-2"/>
          <w:sz w:val="20"/>
          <w:szCs w:val="20"/>
        </w:rPr>
        <w:t xml:space="preserve"> </w:t>
      </w:r>
      <w:r w:rsidRPr="005164EE">
        <w:rPr>
          <w:rFonts w:ascii="Verdana" w:hAnsi="Verdana"/>
          <w:sz w:val="20"/>
          <w:szCs w:val="20"/>
        </w:rPr>
        <w:t>con</w:t>
      </w:r>
      <w:r w:rsidRPr="005164EE">
        <w:rPr>
          <w:rFonts w:ascii="Verdana" w:hAnsi="Verdana"/>
          <w:spacing w:val="-4"/>
          <w:sz w:val="20"/>
          <w:szCs w:val="20"/>
        </w:rPr>
        <w:t xml:space="preserve"> </w:t>
      </w:r>
      <w:r w:rsidRPr="005164EE">
        <w:rPr>
          <w:rFonts w:ascii="Verdana" w:hAnsi="Verdana"/>
          <w:sz w:val="20"/>
          <w:szCs w:val="20"/>
        </w:rPr>
        <w:t>el</w:t>
      </w:r>
      <w:r w:rsidRPr="005164EE">
        <w:rPr>
          <w:rFonts w:ascii="Verdana" w:hAnsi="Verdana"/>
          <w:spacing w:val="-4"/>
          <w:sz w:val="20"/>
          <w:szCs w:val="20"/>
        </w:rPr>
        <w:t xml:space="preserve"> </w:t>
      </w:r>
      <w:r w:rsidRPr="005164EE">
        <w:rPr>
          <w:rFonts w:ascii="Verdana" w:hAnsi="Verdana"/>
          <w:sz w:val="20"/>
          <w:szCs w:val="20"/>
        </w:rPr>
        <w:t>mismo</w:t>
      </w:r>
      <w:r w:rsidRPr="005164EE">
        <w:rPr>
          <w:rFonts w:ascii="Verdana" w:hAnsi="Verdana"/>
          <w:spacing w:val="-3"/>
          <w:sz w:val="20"/>
          <w:szCs w:val="20"/>
        </w:rPr>
        <w:t xml:space="preserve"> </w:t>
      </w:r>
      <w:r w:rsidRPr="005164EE">
        <w:rPr>
          <w:rFonts w:ascii="Verdana" w:hAnsi="Verdana"/>
          <w:sz w:val="20"/>
          <w:szCs w:val="20"/>
        </w:rPr>
        <w:t xml:space="preserve">fin. c) </w:t>
      </w:r>
      <w:r w:rsidRPr="005164EE">
        <w:rPr>
          <w:rFonts w:ascii="Verdana" w:hAnsi="Verdana"/>
          <w:i/>
          <w:sz w:val="20"/>
          <w:szCs w:val="20"/>
        </w:rPr>
        <w:t>Fusión:</w:t>
      </w:r>
      <w:r w:rsidRPr="005164EE">
        <w:rPr>
          <w:rFonts w:ascii="Verdana" w:hAnsi="Verdana"/>
          <w:i/>
          <w:spacing w:val="-1"/>
          <w:sz w:val="20"/>
          <w:szCs w:val="20"/>
        </w:rPr>
        <w:t xml:space="preserve"> </w:t>
      </w:r>
      <w:r w:rsidRPr="005164EE">
        <w:rPr>
          <w:rFonts w:ascii="Verdana" w:hAnsi="Verdana"/>
          <w:sz w:val="20"/>
          <w:szCs w:val="20"/>
        </w:rPr>
        <w:t>Es</w:t>
      </w:r>
      <w:r w:rsidRPr="005164EE">
        <w:rPr>
          <w:rFonts w:ascii="Verdana" w:hAnsi="Verdana"/>
          <w:spacing w:val="-2"/>
          <w:sz w:val="20"/>
          <w:szCs w:val="20"/>
        </w:rPr>
        <w:t xml:space="preserve"> </w:t>
      </w:r>
      <w:r w:rsidRPr="005164EE">
        <w:rPr>
          <w:rFonts w:ascii="Verdana" w:hAnsi="Verdana"/>
          <w:sz w:val="20"/>
          <w:szCs w:val="20"/>
        </w:rPr>
        <w:t>una</w:t>
      </w:r>
      <w:r w:rsidRPr="005164EE">
        <w:rPr>
          <w:rFonts w:ascii="Verdana" w:hAnsi="Verdana"/>
          <w:spacing w:val="-3"/>
          <w:sz w:val="20"/>
          <w:szCs w:val="20"/>
        </w:rPr>
        <w:t xml:space="preserve"> </w:t>
      </w:r>
      <w:r w:rsidRPr="005164EE">
        <w:rPr>
          <w:rFonts w:ascii="Verdana" w:hAnsi="Verdana"/>
          <w:sz w:val="20"/>
          <w:szCs w:val="20"/>
        </w:rPr>
        <w:t>figura</w:t>
      </w:r>
      <w:r w:rsidRPr="005164EE">
        <w:rPr>
          <w:rFonts w:ascii="Verdana" w:hAnsi="Verdana"/>
          <w:spacing w:val="-2"/>
          <w:sz w:val="20"/>
          <w:szCs w:val="20"/>
        </w:rPr>
        <w:t xml:space="preserve"> </w:t>
      </w:r>
      <w:r w:rsidRPr="005164EE">
        <w:rPr>
          <w:rFonts w:ascii="Verdana" w:hAnsi="Verdana"/>
          <w:sz w:val="20"/>
          <w:szCs w:val="20"/>
        </w:rPr>
        <w:t>tiene</w:t>
      </w:r>
      <w:r w:rsidRPr="005164EE">
        <w:rPr>
          <w:rFonts w:ascii="Verdana" w:hAnsi="Verdana"/>
          <w:spacing w:val="-2"/>
          <w:sz w:val="20"/>
          <w:szCs w:val="20"/>
        </w:rPr>
        <w:t xml:space="preserve"> </w:t>
      </w:r>
      <w:r w:rsidRPr="005164EE">
        <w:rPr>
          <w:rFonts w:ascii="Verdana" w:hAnsi="Verdana"/>
          <w:sz w:val="20"/>
          <w:szCs w:val="20"/>
        </w:rPr>
        <w:t>cuatro</w:t>
      </w:r>
      <w:r w:rsidRPr="005164EE">
        <w:rPr>
          <w:rFonts w:ascii="Verdana" w:hAnsi="Verdana"/>
          <w:spacing w:val="-2"/>
          <w:sz w:val="20"/>
          <w:szCs w:val="20"/>
        </w:rPr>
        <w:t xml:space="preserve"> </w:t>
      </w:r>
      <w:r w:rsidRPr="005164EE">
        <w:rPr>
          <w:rFonts w:ascii="Verdana" w:hAnsi="Verdana"/>
          <w:sz w:val="20"/>
          <w:szCs w:val="20"/>
        </w:rPr>
        <w:t>tipologías</w:t>
      </w:r>
      <w:r w:rsidRPr="005164EE">
        <w:rPr>
          <w:rFonts w:ascii="Verdana" w:hAnsi="Verdana"/>
          <w:spacing w:val="-2"/>
          <w:sz w:val="20"/>
          <w:szCs w:val="20"/>
        </w:rPr>
        <w:t xml:space="preserve"> </w:t>
      </w:r>
      <w:r w:rsidRPr="005164EE">
        <w:rPr>
          <w:rFonts w:ascii="Verdana" w:hAnsi="Verdana"/>
          <w:sz w:val="20"/>
          <w:szCs w:val="20"/>
        </w:rPr>
        <w:t>a</w:t>
      </w:r>
      <w:r w:rsidRPr="005164EE">
        <w:rPr>
          <w:rFonts w:ascii="Verdana" w:hAnsi="Verdana"/>
          <w:spacing w:val="-3"/>
          <w:sz w:val="20"/>
          <w:szCs w:val="20"/>
        </w:rPr>
        <w:t xml:space="preserve"> </w:t>
      </w:r>
      <w:r w:rsidRPr="005164EE">
        <w:rPr>
          <w:rFonts w:ascii="Verdana" w:hAnsi="Verdana"/>
          <w:sz w:val="20"/>
          <w:szCs w:val="20"/>
        </w:rPr>
        <w:t>saber:</w:t>
      </w:r>
      <w:r w:rsidRPr="005164EE">
        <w:rPr>
          <w:rFonts w:ascii="Verdana" w:hAnsi="Verdana"/>
          <w:spacing w:val="-1"/>
          <w:sz w:val="20"/>
          <w:szCs w:val="20"/>
        </w:rPr>
        <w:t xml:space="preserve"> </w:t>
      </w:r>
      <w:r w:rsidRPr="005164EE">
        <w:rPr>
          <w:rFonts w:ascii="Verdana" w:hAnsi="Verdana"/>
          <w:sz w:val="20"/>
          <w:szCs w:val="20"/>
        </w:rPr>
        <w:t>i)</w:t>
      </w:r>
      <w:r w:rsidRPr="005164EE">
        <w:rPr>
          <w:rFonts w:ascii="Verdana" w:hAnsi="Verdana"/>
          <w:spacing w:val="-2"/>
          <w:sz w:val="20"/>
          <w:szCs w:val="20"/>
        </w:rPr>
        <w:t xml:space="preserve"> </w:t>
      </w:r>
      <w:r w:rsidRPr="005164EE">
        <w:rPr>
          <w:rFonts w:ascii="Verdana" w:hAnsi="Verdana"/>
          <w:sz w:val="20"/>
          <w:szCs w:val="20"/>
        </w:rPr>
        <w:t>por</w:t>
      </w:r>
      <w:r w:rsidRPr="005164EE">
        <w:rPr>
          <w:rFonts w:ascii="Verdana" w:hAnsi="Verdana"/>
          <w:spacing w:val="-2"/>
          <w:sz w:val="20"/>
          <w:szCs w:val="20"/>
        </w:rPr>
        <w:t xml:space="preserve"> </w:t>
      </w:r>
      <w:r w:rsidRPr="005164EE">
        <w:rPr>
          <w:rFonts w:ascii="Verdana" w:hAnsi="Verdana"/>
          <w:sz w:val="20"/>
          <w:szCs w:val="20"/>
        </w:rPr>
        <w:t>absorción: una</w:t>
      </w:r>
      <w:r w:rsidRPr="005164EE">
        <w:rPr>
          <w:rFonts w:ascii="Verdana" w:hAnsi="Verdana"/>
          <w:spacing w:val="-3"/>
          <w:sz w:val="20"/>
          <w:szCs w:val="20"/>
        </w:rPr>
        <w:t xml:space="preserve"> </w:t>
      </w:r>
      <w:r w:rsidRPr="005164EE">
        <w:rPr>
          <w:rFonts w:ascii="Verdana" w:hAnsi="Verdana"/>
          <w:sz w:val="20"/>
          <w:szCs w:val="20"/>
        </w:rPr>
        <w:t>o</w:t>
      </w:r>
      <w:r w:rsidRPr="005164EE">
        <w:rPr>
          <w:rFonts w:ascii="Verdana" w:hAnsi="Verdana"/>
          <w:spacing w:val="-3"/>
          <w:sz w:val="20"/>
          <w:szCs w:val="20"/>
        </w:rPr>
        <w:t xml:space="preserve"> </w:t>
      </w:r>
      <w:r w:rsidRPr="005164EE">
        <w:rPr>
          <w:rFonts w:ascii="Verdana" w:hAnsi="Verdana"/>
          <w:sz w:val="20"/>
          <w:szCs w:val="20"/>
        </w:rPr>
        <w:t xml:space="preserve">más sociedades se “disuelven” sin “liquidarse” para ser absorbidas por otra existente; </w:t>
      </w:r>
      <w:proofErr w:type="spellStart"/>
      <w:r w:rsidRPr="005164EE">
        <w:rPr>
          <w:rFonts w:ascii="Verdana" w:hAnsi="Verdana"/>
          <w:sz w:val="20"/>
          <w:szCs w:val="20"/>
        </w:rPr>
        <w:t>ii</w:t>
      </w:r>
      <w:proofErr w:type="spellEnd"/>
      <w:r w:rsidRPr="005164EE">
        <w:rPr>
          <w:rFonts w:ascii="Verdana" w:hAnsi="Verdana"/>
          <w:sz w:val="20"/>
          <w:szCs w:val="20"/>
        </w:rPr>
        <w:t>) por creación:</w:t>
      </w:r>
      <w:r w:rsidRPr="005164EE">
        <w:rPr>
          <w:rFonts w:ascii="Verdana" w:hAnsi="Verdana"/>
          <w:spacing w:val="-7"/>
          <w:sz w:val="20"/>
          <w:szCs w:val="20"/>
        </w:rPr>
        <w:t xml:space="preserve"> </w:t>
      </w:r>
      <w:r w:rsidRPr="005164EE">
        <w:rPr>
          <w:rFonts w:ascii="Verdana" w:hAnsi="Verdana"/>
          <w:sz w:val="20"/>
          <w:szCs w:val="20"/>
        </w:rPr>
        <w:t>una</w:t>
      </w:r>
      <w:r w:rsidRPr="005164EE">
        <w:rPr>
          <w:rFonts w:ascii="Verdana" w:hAnsi="Verdana"/>
          <w:spacing w:val="-8"/>
          <w:sz w:val="20"/>
          <w:szCs w:val="20"/>
        </w:rPr>
        <w:t xml:space="preserve"> </w:t>
      </w:r>
      <w:r w:rsidRPr="005164EE">
        <w:rPr>
          <w:rFonts w:ascii="Verdana" w:hAnsi="Verdana"/>
          <w:sz w:val="20"/>
          <w:szCs w:val="20"/>
        </w:rPr>
        <w:t>o</w:t>
      </w:r>
      <w:r w:rsidRPr="005164EE">
        <w:rPr>
          <w:rFonts w:ascii="Verdana" w:hAnsi="Verdana"/>
          <w:spacing w:val="-8"/>
          <w:sz w:val="20"/>
          <w:szCs w:val="20"/>
        </w:rPr>
        <w:t xml:space="preserve"> </w:t>
      </w:r>
      <w:r w:rsidRPr="005164EE">
        <w:rPr>
          <w:rFonts w:ascii="Verdana" w:hAnsi="Verdana"/>
          <w:sz w:val="20"/>
          <w:szCs w:val="20"/>
        </w:rPr>
        <w:t>más</w:t>
      </w:r>
      <w:r w:rsidRPr="005164EE">
        <w:rPr>
          <w:rFonts w:ascii="Verdana" w:hAnsi="Verdana"/>
          <w:spacing w:val="-8"/>
          <w:sz w:val="20"/>
          <w:szCs w:val="20"/>
        </w:rPr>
        <w:t xml:space="preserve"> </w:t>
      </w:r>
      <w:r w:rsidRPr="005164EE">
        <w:rPr>
          <w:rFonts w:ascii="Verdana" w:hAnsi="Verdana"/>
          <w:sz w:val="20"/>
          <w:szCs w:val="20"/>
        </w:rPr>
        <w:t>sociedades</w:t>
      </w:r>
      <w:r w:rsidRPr="005164EE">
        <w:rPr>
          <w:rFonts w:ascii="Verdana" w:hAnsi="Verdana"/>
          <w:spacing w:val="-8"/>
          <w:sz w:val="20"/>
          <w:szCs w:val="20"/>
        </w:rPr>
        <w:t xml:space="preserve"> </w:t>
      </w:r>
      <w:r w:rsidRPr="005164EE">
        <w:rPr>
          <w:rFonts w:ascii="Verdana" w:hAnsi="Verdana"/>
          <w:sz w:val="20"/>
          <w:szCs w:val="20"/>
        </w:rPr>
        <w:t>se</w:t>
      </w:r>
      <w:r w:rsidRPr="005164EE">
        <w:rPr>
          <w:rFonts w:ascii="Verdana" w:hAnsi="Verdana"/>
          <w:spacing w:val="-8"/>
          <w:sz w:val="20"/>
          <w:szCs w:val="20"/>
        </w:rPr>
        <w:t xml:space="preserve"> </w:t>
      </w:r>
      <w:r w:rsidRPr="005164EE">
        <w:rPr>
          <w:rFonts w:ascii="Verdana" w:hAnsi="Verdana"/>
          <w:sz w:val="20"/>
          <w:szCs w:val="20"/>
        </w:rPr>
        <w:t>“disuelven”</w:t>
      </w:r>
      <w:r w:rsidRPr="005164EE">
        <w:rPr>
          <w:rFonts w:ascii="Verdana" w:hAnsi="Verdana"/>
          <w:spacing w:val="-8"/>
          <w:sz w:val="20"/>
          <w:szCs w:val="20"/>
        </w:rPr>
        <w:t xml:space="preserve"> </w:t>
      </w:r>
      <w:r w:rsidRPr="005164EE">
        <w:rPr>
          <w:rFonts w:ascii="Verdana" w:hAnsi="Verdana"/>
          <w:sz w:val="20"/>
          <w:szCs w:val="20"/>
        </w:rPr>
        <w:t>sin</w:t>
      </w:r>
      <w:r w:rsidRPr="005164EE">
        <w:rPr>
          <w:rFonts w:ascii="Verdana" w:hAnsi="Verdana"/>
          <w:spacing w:val="-8"/>
          <w:sz w:val="20"/>
          <w:szCs w:val="20"/>
        </w:rPr>
        <w:t xml:space="preserve"> </w:t>
      </w:r>
      <w:r w:rsidRPr="005164EE">
        <w:rPr>
          <w:rFonts w:ascii="Verdana" w:hAnsi="Verdana"/>
          <w:sz w:val="20"/>
          <w:szCs w:val="20"/>
        </w:rPr>
        <w:t>“liquidarse”</w:t>
      </w:r>
      <w:r w:rsidRPr="005164EE">
        <w:rPr>
          <w:rFonts w:ascii="Verdana" w:hAnsi="Verdana"/>
          <w:spacing w:val="-8"/>
          <w:sz w:val="20"/>
          <w:szCs w:val="20"/>
        </w:rPr>
        <w:t xml:space="preserve"> </w:t>
      </w:r>
      <w:r w:rsidRPr="005164EE">
        <w:rPr>
          <w:rFonts w:ascii="Verdana" w:hAnsi="Verdana"/>
          <w:sz w:val="20"/>
          <w:szCs w:val="20"/>
        </w:rPr>
        <w:t>para</w:t>
      </w:r>
      <w:r w:rsidRPr="005164EE">
        <w:rPr>
          <w:rFonts w:ascii="Verdana" w:hAnsi="Verdana"/>
          <w:spacing w:val="-8"/>
          <w:sz w:val="20"/>
          <w:szCs w:val="20"/>
        </w:rPr>
        <w:t xml:space="preserve"> </w:t>
      </w:r>
      <w:r w:rsidRPr="005164EE">
        <w:rPr>
          <w:rFonts w:ascii="Verdana" w:hAnsi="Verdana"/>
          <w:sz w:val="20"/>
          <w:szCs w:val="20"/>
        </w:rPr>
        <w:t>ser</w:t>
      </w:r>
      <w:r w:rsidRPr="005164EE">
        <w:rPr>
          <w:rFonts w:ascii="Verdana" w:hAnsi="Verdana"/>
          <w:spacing w:val="-8"/>
          <w:sz w:val="20"/>
          <w:szCs w:val="20"/>
        </w:rPr>
        <w:t xml:space="preserve"> </w:t>
      </w:r>
      <w:r w:rsidRPr="005164EE">
        <w:rPr>
          <w:rFonts w:ascii="Verdana" w:hAnsi="Verdana"/>
          <w:sz w:val="20"/>
          <w:szCs w:val="20"/>
        </w:rPr>
        <w:t>absorbidas</w:t>
      </w:r>
      <w:r w:rsidRPr="005164EE">
        <w:rPr>
          <w:rFonts w:ascii="Verdana" w:hAnsi="Verdana"/>
          <w:spacing w:val="-8"/>
          <w:sz w:val="20"/>
          <w:szCs w:val="20"/>
        </w:rPr>
        <w:t xml:space="preserve"> </w:t>
      </w:r>
      <w:r w:rsidRPr="005164EE">
        <w:rPr>
          <w:rFonts w:ascii="Verdana" w:hAnsi="Verdana"/>
          <w:sz w:val="20"/>
          <w:szCs w:val="20"/>
        </w:rPr>
        <w:t>por</w:t>
      </w:r>
      <w:r w:rsidRPr="005164EE">
        <w:rPr>
          <w:rFonts w:ascii="Verdana" w:hAnsi="Verdana"/>
          <w:spacing w:val="-8"/>
          <w:sz w:val="20"/>
          <w:szCs w:val="20"/>
        </w:rPr>
        <w:t xml:space="preserve"> </w:t>
      </w:r>
      <w:r w:rsidRPr="005164EE">
        <w:rPr>
          <w:rFonts w:ascii="Verdana" w:hAnsi="Verdana"/>
          <w:sz w:val="20"/>
          <w:szCs w:val="20"/>
        </w:rPr>
        <w:t>otra nueva;</w:t>
      </w:r>
      <w:r w:rsidRPr="005164EE">
        <w:rPr>
          <w:rFonts w:ascii="Verdana" w:hAnsi="Verdana"/>
          <w:spacing w:val="-3"/>
          <w:sz w:val="20"/>
          <w:szCs w:val="20"/>
        </w:rPr>
        <w:t xml:space="preserve"> </w:t>
      </w:r>
      <w:proofErr w:type="spellStart"/>
      <w:r w:rsidRPr="005164EE">
        <w:rPr>
          <w:rFonts w:ascii="Verdana" w:hAnsi="Verdana"/>
          <w:sz w:val="20"/>
          <w:szCs w:val="20"/>
        </w:rPr>
        <w:t>iii</w:t>
      </w:r>
      <w:proofErr w:type="spellEnd"/>
      <w:r w:rsidRPr="005164EE">
        <w:rPr>
          <w:rFonts w:ascii="Verdana" w:hAnsi="Verdana"/>
          <w:sz w:val="20"/>
          <w:szCs w:val="20"/>
        </w:rPr>
        <w:t>)</w:t>
      </w:r>
      <w:r w:rsidRPr="005164EE">
        <w:rPr>
          <w:rFonts w:ascii="Verdana" w:hAnsi="Verdana"/>
          <w:spacing w:val="-3"/>
          <w:sz w:val="20"/>
          <w:szCs w:val="20"/>
        </w:rPr>
        <w:t xml:space="preserve"> </w:t>
      </w:r>
      <w:r w:rsidRPr="005164EE">
        <w:rPr>
          <w:rFonts w:ascii="Verdana" w:hAnsi="Verdana"/>
          <w:sz w:val="20"/>
          <w:szCs w:val="20"/>
        </w:rPr>
        <w:t>impropia:</w:t>
      </w:r>
      <w:r w:rsidRPr="005164EE">
        <w:rPr>
          <w:rFonts w:ascii="Verdana" w:hAnsi="Verdana"/>
          <w:spacing w:val="-1"/>
          <w:sz w:val="20"/>
          <w:szCs w:val="20"/>
        </w:rPr>
        <w:t xml:space="preserve"> </w:t>
      </w:r>
      <w:r w:rsidRPr="005164EE">
        <w:rPr>
          <w:rFonts w:ascii="Verdana" w:hAnsi="Verdana"/>
          <w:sz w:val="20"/>
          <w:szCs w:val="20"/>
        </w:rPr>
        <w:t>una</w:t>
      </w:r>
      <w:r w:rsidRPr="005164EE">
        <w:rPr>
          <w:rFonts w:ascii="Verdana" w:hAnsi="Verdana"/>
          <w:spacing w:val="-3"/>
          <w:sz w:val="20"/>
          <w:szCs w:val="20"/>
        </w:rPr>
        <w:t xml:space="preserve"> </w:t>
      </w:r>
      <w:r w:rsidRPr="005164EE">
        <w:rPr>
          <w:rFonts w:ascii="Verdana" w:hAnsi="Verdana"/>
          <w:sz w:val="20"/>
          <w:szCs w:val="20"/>
        </w:rPr>
        <w:t>sociedad</w:t>
      </w:r>
      <w:r w:rsidRPr="005164EE">
        <w:rPr>
          <w:rFonts w:ascii="Verdana" w:hAnsi="Verdana"/>
          <w:spacing w:val="-2"/>
          <w:sz w:val="20"/>
          <w:szCs w:val="20"/>
        </w:rPr>
        <w:t xml:space="preserve"> </w:t>
      </w:r>
      <w:r w:rsidRPr="005164EE">
        <w:rPr>
          <w:rFonts w:ascii="Verdana" w:hAnsi="Verdana"/>
          <w:sz w:val="20"/>
          <w:szCs w:val="20"/>
        </w:rPr>
        <w:t>se</w:t>
      </w:r>
      <w:r w:rsidRPr="005164EE">
        <w:rPr>
          <w:rFonts w:ascii="Verdana" w:hAnsi="Verdana"/>
          <w:spacing w:val="-3"/>
          <w:sz w:val="20"/>
          <w:szCs w:val="20"/>
        </w:rPr>
        <w:t xml:space="preserve"> </w:t>
      </w:r>
      <w:r w:rsidRPr="005164EE">
        <w:rPr>
          <w:rFonts w:ascii="Verdana" w:hAnsi="Verdana"/>
          <w:sz w:val="20"/>
          <w:szCs w:val="20"/>
        </w:rPr>
        <w:t>“disuelve”</w:t>
      </w:r>
      <w:r w:rsidRPr="005164EE">
        <w:rPr>
          <w:rFonts w:ascii="Verdana" w:hAnsi="Verdana"/>
          <w:spacing w:val="-3"/>
          <w:sz w:val="20"/>
          <w:szCs w:val="20"/>
        </w:rPr>
        <w:t xml:space="preserve"> </w:t>
      </w:r>
      <w:r w:rsidRPr="005164EE">
        <w:rPr>
          <w:rFonts w:ascii="Verdana" w:hAnsi="Verdana"/>
          <w:sz w:val="20"/>
          <w:szCs w:val="20"/>
        </w:rPr>
        <w:t>sin</w:t>
      </w:r>
      <w:r w:rsidRPr="005164EE">
        <w:rPr>
          <w:rFonts w:ascii="Verdana" w:hAnsi="Verdana"/>
          <w:spacing w:val="-3"/>
          <w:sz w:val="20"/>
          <w:szCs w:val="20"/>
        </w:rPr>
        <w:t xml:space="preserve"> </w:t>
      </w:r>
      <w:r w:rsidRPr="005164EE">
        <w:rPr>
          <w:rFonts w:ascii="Verdana" w:hAnsi="Verdana"/>
          <w:sz w:val="20"/>
          <w:szCs w:val="20"/>
        </w:rPr>
        <w:t>el</w:t>
      </w:r>
      <w:r w:rsidRPr="005164EE">
        <w:rPr>
          <w:rFonts w:ascii="Verdana" w:hAnsi="Verdana"/>
          <w:spacing w:val="-3"/>
          <w:sz w:val="20"/>
          <w:szCs w:val="20"/>
        </w:rPr>
        <w:t xml:space="preserve"> </w:t>
      </w:r>
      <w:r w:rsidRPr="005164EE">
        <w:rPr>
          <w:rFonts w:ascii="Verdana" w:hAnsi="Verdana"/>
          <w:sz w:val="20"/>
          <w:szCs w:val="20"/>
        </w:rPr>
        <w:t>propósito</w:t>
      </w:r>
      <w:r w:rsidRPr="005164EE">
        <w:rPr>
          <w:rFonts w:ascii="Verdana" w:hAnsi="Verdana"/>
          <w:spacing w:val="-1"/>
          <w:sz w:val="20"/>
          <w:szCs w:val="20"/>
        </w:rPr>
        <w:t xml:space="preserve"> </w:t>
      </w:r>
      <w:r w:rsidRPr="005164EE">
        <w:rPr>
          <w:rFonts w:ascii="Verdana" w:hAnsi="Verdana"/>
          <w:sz w:val="20"/>
          <w:szCs w:val="20"/>
        </w:rPr>
        <w:t>de</w:t>
      </w:r>
      <w:r w:rsidRPr="005164EE">
        <w:rPr>
          <w:rFonts w:ascii="Verdana" w:hAnsi="Verdana"/>
          <w:spacing w:val="-3"/>
          <w:sz w:val="20"/>
          <w:szCs w:val="20"/>
        </w:rPr>
        <w:t xml:space="preserve"> </w:t>
      </w:r>
      <w:r w:rsidRPr="005164EE">
        <w:rPr>
          <w:rFonts w:ascii="Verdana" w:hAnsi="Verdana"/>
          <w:sz w:val="20"/>
          <w:szCs w:val="20"/>
        </w:rPr>
        <w:t>realizar</w:t>
      </w:r>
      <w:r w:rsidRPr="005164EE">
        <w:rPr>
          <w:rFonts w:ascii="Verdana" w:hAnsi="Verdana"/>
          <w:spacing w:val="-2"/>
          <w:sz w:val="20"/>
          <w:szCs w:val="20"/>
        </w:rPr>
        <w:t xml:space="preserve"> </w:t>
      </w:r>
      <w:r w:rsidRPr="005164EE">
        <w:rPr>
          <w:rFonts w:ascii="Verdana" w:hAnsi="Verdana"/>
          <w:sz w:val="20"/>
          <w:szCs w:val="20"/>
        </w:rPr>
        <w:t>una</w:t>
      </w:r>
      <w:r w:rsidRPr="005164EE">
        <w:rPr>
          <w:rFonts w:ascii="Verdana" w:hAnsi="Verdana"/>
          <w:spacing w:val="-3"/>
          <w:sz w:val="20"/>
          <w:szCs w:val="20"/>
        </w:rPr>
        <w:t xml:space="preserve"> </w:t>
      </w:r>
      <w:r w:rsidRPr="005164EE">
        <w:rPr>
          <w:rFonts w:ascii="Verdana" w:hAnsi="Verdana"/>
          <w:sz w:val="20"/>
          <w:szCs w:val="20"/>
        </w:rPr>
        <w:t>fusión</w:t>
      </w:r>
      <w:r w:rsidRPr="005164EE">
        <w:rPr>
          <w:rFonts w:ascii="Verdana" w:hAnsi="Verdana"/>
          <w:spacing w:val="-3"/>
          <w:sz w:val="20"/>
          <w:szCs w:val="20"/>
        </w:rPr>
        <w:t xml:space="preserve"> </w:t>
      </w:r>
      <w:r w:rsidRPr="005164EE">
        <w:rPr>
          <w:rFonts w:ascii="Verdana" w:hAnsi="Verdana"/>
          <w:sz w:val="20"/>
          <w:szCs w:val="20"/>
        </w:rPr>
        <w:t xml:space="preserve">sino de “liquidarse” y antes de la liquidación se toma la decisión de crear una sociedad; </w:t>
      </w:r>
      <w:proofErr w:type="spellStart"/>
      <w:r w:rsidRPr="005164EE">
        <w:rPr>
          <w:rFonts w:ascii="Verdana" w:hAnsi="Verdana"/>
          <w:sz w:val="20"/>
          <w:szCs w:val="20"/>
        </w:rPr>
        <w:t>iv</w:t>
      </w:r>
      <w:proofErr w:type="spellEnd"/>
      <w:r w:rsidRPr="005164EE">
        <w:rPr>
          <w:rFonts w:ascii="Verdana" w:hAnsi="Verdana"/>
          <w:sz w:val="20"/>
          <w:szCs w:val="20"/>
        </w:rPr>
        <w:t>) abreviada: solo aplica cuando una Sociedad por Acciones Simplificada (S.A.S.) pertenece a</w:t>
      </w:r>
      <w:r w:rsidRPr="005164EE">
        <w:rPr>
          <w:rFonts w:ascii="Verdana" w:hAnsi="Verdana"/>
          <w:spacing w:val="-14"/>
          <w:sz w:val="20"/>
          <w:szCs w:val="20"/>
        </w:rPr>
        <w:t xml:space="preserve"> </w:t>
      </w:r>
      <w:r w:rsidRPr="005164EE">
        <w:rPr>
          <w:rFonts w:ascii="Verdana" w:hAnsi="Verdana"/>
          <w:sz w:val="20"/>
          <w:szCs w:val="20"/>
        </w:rPr>
        <w:t>otra</w:t>
      </w:r>
      <w:r w:rsidRPr="005164EE">
        <w:rPr>
          <w:rFonts w:ascii="Verdana" w:hAnsi="Verdana"/>
          <w:spacing w:val="-13"/>
          <w:sz w:val="20"/>
          <w:szCs w:val="20"/>
        </w:rPr>
        <w:t xml:space="preserve"> </w:t>
      </w:r>
      <w:r w:rsidRPr="005164EE">
        <w:rPr>
          <w:rFonts w:ascii="Verdana" w:hAnsi="Verdana"/>
          <w:sz w:val="20"/>
          <w:szCs w:val="20"/>
        </w:rPr>
        <w:t>sociedad</w:t>
      </w:r>
      <w:r w:rsidRPr="005164EE">
        <w:rPr>
          <w:rFonts w:ascii="Verdana" w:hAnsi="Verdana"/>
          <w:spacing w:val="-12"/>
          <w:sz w:val="20"/>
          <w:szCs w:val="20"/>
        </w:rPr>
        <w:t xml:space="preserve"> </w:t>
      </w:r>
      <w:r w:rsidRPr="005164EE">
        <w:rPr>
          <w:rFonts w:ascii="Verdana" w:hAnsi="Verdana"/>
          <w:sz w:val="20"/>
          <w:szCs w:val="20"/>
        </w:rPr>
        <w:t>en</w:t>
      </w:r>
      <w:r w:rsidRPr="005164EE">
        <w:rPr>
          <w:rFonts w:ascii="Verdana" w:hAnsi="Verdana"/>
          <w:spacing w:val="-14"/>
          <w:sz w:val="20"/>
          <w:szCs w:val="20"/>
        </w:rPr>
        <w:t xml:space="preserve"> </w:t>
      </w:r>
      <w:r w:rsidRPr="005164EE">
        <w:rPr>
          <w:rFonts w:ascii="Verdana" w:hAnsi="Verdana"/>
          <w:sz w:val="20"/>
          <w:szCs w:val="20"/>
        </w:rPr>
        <w:t>más</w:t>
      </w:r>
      <w:r w:rsidRPr="005164EE">
        <w:rPr>
          <w:rFonts w:ascii="Verdana" w:hAnsi="Verdana"/>
          <w:spacing w:val="-13"/>
          <w:sz w:val="20"/>
          <w:szCs w:val="20"/>
        </w:rPr>
        <w:t xml:space="preserve"> </w:t>
      </w:r>
      <w:r w:rsidRPr="005164EE">
        <w:rPr>
          <w:rFonts w:ascii="Verdana" w:hAnsi="Verdana"/>
          <w:sz w:val="20"/>
          <w:szCs w:val="20"/>
        </w:rPr>
        <w:t>del</w:t>
      </w:r>
      <w:r w:rsidRPr="005164EE">
        <w:rPr>
          <w:rFonts w:ascii="Verdana" w:hAnsi="Verdana"/>
          <w:spacing w:val="-13"/>
          <w:sz w:val="20"/>
          <w:szCs w:val="20"/>
        </w:rPr>
        <w:t xml:space="preserve"> </w:t>
      </w:r>
      <w:r w:rsidRPr="005164EE">
        <w:rPr>
          <w:rFonts w:ascii="Verdana" w:hAnsi="Verdana"/>
          <w:sz w:val="20"/>
          <w:szCs w:val="20"/>
        </w:rPr>
        <w:t>90%</w:t>
      </w:r>
      <w:r w:rsidRPr="005164EE">
        <w:rPr>
          <w:rFonts w:ascii="Verdana" w:hAnsi="Verdana"/>
          <w:spacing w:val="-13"/>
          <w:sz w:val="20"/>
          <w:szCs w:val="20"/>
        </w:rPr>
        <w:t xml:space="preserve"> </w:t>
      </w:r>
      <w:r w:rsidRPr="005164EE">
        <w:rPr>
          <w:rFonts w:ascii="Verdana" w:hAnsi="Verdana"/>
          <w:sz w:val="20"/>
          <w:szCs w:val="20"/>
        </w:rPr>
        <w:t>de</w:t>
      </w:r>
      <w:r w:rsidRPr="005164EE">
        <w:rPr>
          <w:rFonts w:ascii="Verdana" w:hAnsi="Verdana"/>
          <w:spacing w:val="-13"/>
          <w:sz w:val="20"/>
          <w:szCs w:val="20"/>
        </w:rPr>
        <w:t xml:space="preserve"> </w:t>
      </w:r>
      <w:r w:rsidRPr="005164EE">
        <w:rPr>
          <w:rFonts w:ascii="Verdana" w:hAnsi="Verdana"/>
          <w:sz w:val="20"/>
          <w:szCs w:val="20"/>
        </w:rPr>
        <w:t>sus</w:t>
      </w:r>
      <w:r w:rsidRPr="005164EE">
        <w:rPr>
          <w:rFonts w:ascii="Verdana" w:hAnsi="Verdana"/>
          <w:spacing w:val="-14"/>
          <w:sz w:val="20"/>
          <w:szCs w:val="20"/>
        </w:rPr>
        <w:t xml:space="preserve"> </w:t>
      </w:r>
      <w:r w:rsidRPr="005164EE">
        <w:rPr>
          <w:rFonts w:ascii="Verdana" w:hAnsi="Verdana"/>
          <w:sz w:val="20"/>
          <w:szCs w:val="20"/>
        </w:rPr>
        <w:t>acciones,</w:t>
      </w:r>
      <w:r w:rsidRPr="005164EE">
        <w:rPr>
          <w:rFonts w:ascii="Verdana" w:hAnsi="Verdana"/>
          <w:spacing w:val="-12"/>
          <w:sz w:val="20"/>
          <w:szCs w:val="20"/>
        </w:rPr>
        <w:t xml:space="preserve"> </w:t>
      </w:r>
      <w:r w:rsidRPr="005164EE">
        <w:rPr>
          <w:rFonts w:ascii="Verdana" w:hAnsi="Verdana"/>
          <w:sz w:val="20"/>
          <w:szCs w:val="20"/>
        </w:rPr>
        <w:t>y</w:t>
      </w:r>
      <w:r w:rsidRPr="005164EE">
        <w:rPr>
          <w:rFonts w:ascii="Verdana" w:hAnsi="Verdana"/>
          <w:spacing w:val="-14"/>
          <w:sz w:val="20"/>
          <w:szCs w:val="20"/>
        </w:rPr>
        <w:t xml:space="preserve"> </w:t>
      </w:r>
      <w:r w:rsidRPr="005164EE">
        <w:rPr>
          <w:rFonts w:ascii="Verdana" w:hAnsi="Verdana"/>
          <w:sz w:val="20"/>
          <w:szCs w:val="20"/>
        </w:rPr>
        <w:t>es</w:t>
      </w:r>
      <w:r w:rsidRPr="005164EE">
        <w:rPr>
          <w:rFonts w:ascii="Verdana" w:hAnsi="Verdana"/>
          <w:spacing w:val="-14"/>
          <w:sz w:val="20"/>
          <w:szCs w:val="20"/>
        </w:rPr>
        <w:t xml:space="preserve"> </w:t>
      </w:r>
      <w:r w:rsidRPr="005164EE">
        <w:rPr>
          <w:rFonts w:ascii="Verdana" w:hAnsi="Verdana"/>
          <w:sz w:val="20"/>
          <w:szCs w:val="20"/>
        </w:rPr>
        <w:t>posible</w:t>
      </w:r>
      <w:r w:rsidRPr="005164EE">
        <w:rPr>
          <w:rFonts w:ascii="Verdana" w:hAnsi="Verdana"/>
          <w:spacing w:val="-12"/>
          <w:sz w:val="20"/>
          <w:szCs w:val="20"/>
        </w:rPr>
        <w:t xml:space="preserve"> </w:t>
      </w:r>
      <w:r w:rsidRPr="005164EE">
        <w:rPr>
          <w:rFonts w:ascii="Verdana" w:hAnsi="Verdana"/>
          <w:sz w:val="20"/>
          <w:szCs w:val="20"/>
        </w:rPr>
        <w:t>que</w:t>
      </w:r>
      <w:r w:rsidRPr="005164EE">
        <w:rPr>
          <w:rFonts w:ascii="Verdana" w:hAnsi="Verdana"/>
          <w:spacing w:val="-13"/>
          <w:sz w:val="20"/>
          <w:szCs w:val="20"/>
        </w:rPr>
        <w:t xml:space="preserve"> </w:t>
      </w:r>
      <w:r w:rsidRPr="005164EE">
        <w:rPr>
          <w:rFonts w:ascii="Verdana" w:hAnsi="Verdana"/>
          <w:sz w:val="20"/>
          <w:szCs w:val="20"/>
        </w:rPr>
        <w:t>esa</w:t>
      </w:r>
      <w:r w:rsidRPr="005164EE">
        <w:rPr>
          <w:rFonts w:ascii="Verdana" w:hAnsi="Verdana"/>
          <w:spacing w:val="-14"/>
          <w:sz w:val="20"/>
          <w:szCs w:val="20"/>
        </w:rPr>
        <w:t xml:space="preserve"> </w:t>
      </w:r>
      <w:r w:rsidRPr="005164EE">
        <w:rPr>
          <w:rFonts w:ascii="Verdana" w:hAnsi="Verdana"/>
          <w:sz w:val="20"/>
          <w:szCs w:val="20"/>
        </w:rPr>
        <w:t>sociedad</w:t>
      </w:r>
      <w:r w:rsidRPr="005164EE">
        <w:rPr>
          <w:rFonts w:ascii="Verdana" w:hAnsi="Verdana"/>
          <w:spacing w:val="-12"/>
          <w:sz w:val="20"/>
          <w:szCs w:val="20"/>
        </w:rPr>
        <w:t xml:space="preserve"> </w:t>
      </w:r>
      <w:r w:rsidRPr="005164EE">
        <w:rPr>
          <w:rFonts w:ascii="Verdana" w:hAnsi="Verdana"/>
          <w:sz w:val="20"/>
          <w:szCs w:val="20"/>
        </w:rPr>
        <w:t xml:space="preserve">controlante absorba a la S.A.S, es decir, que ocurra una fusión por absorción. </w:t>
      </w:r>
    </w:p>
    <w:p w14:paraId="759413E8" w14:textId="77777777" w:rsidR="009D767D" w:rsidRPr="005164EE" w:rsidRDefault="009D767D" w:rsidP="009D767D">
      <w:pPr>
        <w:pStyle w:val="Textoindependiente"/>
        <w:spacing w:after="0" w:line="240" w:lineRule="auto"/>
        <w:ind w:right="51"/>
        <w:jc w:val="both"/>
        <w:rPr>
          <w:rFonts w:ascii="Verdana" w:hAnsi="Verdana"/>
          <w:sz w:val="20"/>
          <w:szCs w:val="20"/>
        </w:rPr>
      </w:pPr>
    </w:p>
    <w:p w14:paraId="4CCCB29A" w14:textId="77777777" w:rsidR="009D767D" w:rsidRPr="00B605D6" w:rsidRDefault="009D767D" w:rsidP="009D767D">
      <w:pPr>
        <w:snapToGrid w:val="0"/>
        <w:jc w:val="both"/>
        <w:rPr>
          <w:rFonts w:ascii="Verdana" w:eastAsia="Calibri" w:hAnsi="Verdana" w:cs="Arial"/>
          <w:b/>
          <w:bCs/>
          <w:lang w:val="es-ES" w:eastAsia="es-ES"/>
        </w:rPr>
      </w:pPr>
      <w:r w:rsidRPr="00B605D6">
        <w:rPr>
          <w:rFonts w:ascii="Verdana" w:eastAsia="Calibri" w:hAnsi="Verdana" w:cs="Arial"/>
          <w:b/>
          <w:bCs/>
          <w:lang w:val="es-ES" w:eastAsia="es-ES"/>
        </w:rPr>
        <w:t xml:space="preserve">REFORMAS SOCIETARIAS – </w:t>
      </w:r>
      <w:r>
        <w:rPr>
          <w:rFonts w:ascii="Verdana" w:eastAsia="Calibri" w:hAnsi="Verdana" w:cs="Arial"/>
          <w:b/>
          <w:bCs/>
          <w:lang w:val="es-ES" w:eastAsia="es-ES"/>
        </w:rPr>
        <w:t>Fusión</w:t>
      </w:r>
      <w:r w:rsidRPr="00B605D6">
        <w:rPr>
          <w:rFonts w:ascii="Verdana" w:eastAsia="Calibri" w:hAnsi="Verdana" w:cs="Arial"/>
          <w:b/>
          <w:bCs/>
          <w:lang w:val="es-ES" w:eastAsia="es-ES"/>
        </w:rPr>
        <w:t xml:space="preserve"> – Transferencia patrimonial en bloque – Ejecución de contratos estatales</w:t>
      </w:r>
    </w:p>
    <w:p w14:paraId="63EC9995" w14:textId="77777777" w:rsidR="009D767D" w:rsidRDefault="009D767D" w:rsidP="009D767D">
      <w:pPr>
        <w:snapToGrid w:val="0"/>
        <w:spacing w:line="240" w:lineRule="auto"/>
        <w:contextualSpacing/>
        <w:jc w:val="both"/>
        <w:rPr>
          <w:rFonts w:ascii="Verdana" w:eastAsia="Calibri" w:hAnsi="Verdana" w:cs="Arial"/>
          <w:sz w:val="20"/>
          <w:szCs w:val="20"/>
          <w:lang w:val="es-ES" w:eastAsia="es-ES"/>
        </w:rPr>
      </w:pPr>
    </w:p>
    <w:p w14:paraId="06CCC897" w14:textId="77777777" w:rsidR="009D767D" w:rsidRDefault="009D767D" w:rsidP="009D767D">
      <w:pPr>
        <w:spacing w:after="0" w:line="240" w:lineRule="auto"/>
        <w:jc w:val="both"/>
        <w:rPr>
          <w:rFonts w:ascii="Verdana" w:hAnsi="Verdana"/>
          <w:sz w:val="20"/>
          <w:szCs w:val="20"/>
        </w:rPr>
      </w:pPr>
      <w:r w:rsidRPr="00F86126">
        <w:rPr>
          <w:rFonts w:ascii="Verdana" w:hAnsi="Verdana"/>
          <w:sz w:val="20"/>
          <w:szCs w:val="20"/>
        </w:rPr>
        <w:t xml:space="preserve">Por otra parte, los acuerdos de fusión, de manera similar a la escisión, y de acuerdo con lo previsto en el artículo 172 del Código de Comercio, generan la transferencia patrimonial en bloque, solo que, en este supuesto, esta se produce desde una sociedad que se disuelve hacia la que la absorbe o compañía que se crea en virtud de la fusión. Esta transferencia, de acuerdo con el artículo 178 del estatuto comercial, opera ipso iure a título universal, por lo que los derechos y obligaciones se transmiten uno </w:t>
      </w:r>
      <w:proofErr w:type="spellStart"/>
      <w:r w:rsidRPr="00F86126">
        <w:rPr>
          <w:rFonts w:ascii="Verdana" w:hAnsi="Verdana"/>
          <w:sz w:val="20"/>
          <w:szCs w:val="20"/>
        </w:rPr>
        <w:t>actu</w:t>
      </w:r>
      <w:proofErr w:type="spellEnd"/>
      <w:r w:rsidRPr="00F86126">
        <w:rPr>
          <w:rFonts w:ascii="Verdana" w:hAnsi="Verdana"/>
          <w:sz w:val="20"/>
          <w:szCs w:val="20"/>
        </w:rPr>
        <w:t xml:space="preserve">, sin la necesidad de novación. Esto implica que, las posiciones contractuales ostentadas por la sociedad absorbida pasen a ser asumidas por la sociedad absorbente o la empresa nueva que emerge de la fusión, quienes quedarían obligadas por tales negocios jurídicos. </w:t>
      </w:r>
    </w:p>
    <w:p w14:paraId="79380C10" w14:textId="77777777" w:rsidR="009D767D" w:rsidRPr="00F86126" w:rsidRDefault="009D767D" w:rsidP="009D767D">
      <w:pPr>
        <w:spacing w:after="0" w:line="240" w:lineRule="auto"/>
        <w:jc w:val="both"/>
        <w:rPr>
          <w:rFonts w:ascii="Verdana" w:hAnsi="Verdana"/>
          <w:sz w:val="20"/>
          <w:szCs w:val="20"/>
        </w:rPr>
      </w:pPr>
    </w:p>
    <w:p w14:paraId="7633BF64" w14:textId="77777777" w:rsidR="009D767D" w:rsidRPr="00F86126" w:rsidRDefault="009D767D" w:rsidP="009D767D">
      <w:pPr>
        <w:spacing w:after="0" w:line="240" w:lineRule="auto"/>
        <w:jc w:val="both"/>
        <w:rPr>
          <w:rFonts w:ascii="Verdana" w:hAnsi="Verdana"/>
          <w:sz w:val="20"/>
          <w:szCs w:val="20"/>
        </w:rPr>
      </w:pPr>
      <w:r w:rsidRPr="00F86126">
        <w:rPr>
          <w:rFonts w:ascii="Verdana" w:hAnsi="Verdana"/>
          <w:sz w:val="20"/>
          <w:szCs w:val="20"/>
        </w:rPr>
        <w:t xml:space="preserve">En cuanto a los contratos estatales, lo dispuesto en el tercer inciso del artículo 41 de la Ley 80 de 1993, genera un efecto similar mutatis mutandis al explicado respecto de la escisión, y es que la autorización de la entidad estatal obre como condicionante de la transferencia de las obligaciones pactadas. En ese sentido, para que la sociedad absorbente o la sociedad creada pase a ocupar la posición contractual podría entenderse </w:t>
      </w:r>
      <w:r w:rsidRPr="00F86126">
        <w:rPr>
          <w:rFonts w:ascii="Verdana" w:hAnsi="Verdana"/>
          <w:sz w:val="20"/>
          <w:szCs w:val="20"/>
        </w:rPr>
        <w:lastRenderedPageBreak/>
        <w:t>como indispensable la autorización de la entidad estatal. No obstante, es importante precisar que la autorización prevista en el artículo 41 de la Ley 80 de 1993 para la cesión del contrato no se puede interpretar como una autorización para la reforma estatutaria, ya que mientras que en la cesión la autorización de la entidad estatal constituye un requisito necesario para la eficacia de la transferencia de la posición contractual, en los procesos de fusión la transferencia de derechos y obligaciones opera ipso iure, como consecuencia directa del acuerdo societario y de los efectos legales propios de la reforma estatutaria.</w:t>
      </w:r>
    </w:p>
    <w:p w14:paraId="3A4249A7" w14:textId="77777777" w:rsidR="009D767D" w:rsidRPr="00F86126" w:rsidRDefault="009D767D" w:rsidP="009D767D">
      <w:pPr>
        <w:spacing w:after="0" w:line="240" w:lineRule="auto"/>
        <w:jc w:val="both"/>
        <w:rPr>
          <w:rFonts w:ascii="Verdana" w:hAnsi="Verdana"/>
          <w:sz w:val="20"/>
          <w:szCs w:val="20"/>
        </w:rPr>
      </w:pPr>
    </w:p>
    <w:p w14:paraId="1C105BEB" w14:textId="77777777" w:rsidR="009D767D" w:rsidRPr="00F86126" w:rsidRDefault="009D767D" w:rsidP="009D767D">
      <w:pPr>
        <w:spacing w:after="0" w:line="240" w:lineRule="auto"/>
        <w:jc w:val="both"/>
        <w:rPr>
          <w:rFonts w:ascii="Verdana" w:hAnsi="Verdana"/>
          <w:sz w:val="20"/>
          <w:szCs w:val="20"/>
        </w:rPr>
      </w:pPr>
    </w:p>
    <w:p w14:paraId="3AA30E74" w14:textId="77777777" w:rsidR="009D767D" w:rsidRDefault="009D767D" w:rsidP="009D767D">
      <w:pPr>
        <w:spacing w:after="0" w:line="240" w:lineRule="auto"/>
        <w:rPr>
          <w:rFonts w:ascii="Verdana" w:eastAsia="Calibri" w:hAnsi="Verdana" w:cs="Arial"/>
          <w:b/>
          <w:bCs/>
          <w:lang w:val="es-ES" w:eastAsia="es-ES"/>
        </w:rPr>
      </w:pPr>
    </w:p>
    <w:p w14:paraId="1C6E47F1" w14:textId="77777777" w:rsidR="009D767D" w:rsidRDefault="009D767D" w:rsidP="009D767D">
      <w:pPr>
        <w:spacing w:after="0" w:line="240" w:lineRule="auto"/>
        <w:rPr>
          <w:rFonts w:ascii="Verdana" w:eastAsia="Calibri" w:hAnsi="Verdana" w:cs="Arial"/>
          <w:b/>
          <w:bCs/>
          <w:lang w:val="es-ES" w:eastAsia="es-ES"/>
        </w:rPr>
      </w:pPr>
    </w:p>
    <w:p w14:paraId="4DCAAD2F" w14:textId="77777777" w:rsidR="009D767D" w:rsidRDefault="009D767D" w:rsidP="009D767D">
      <w:pPr>
        <w:spacing w:after="0" w:line="240" w:lineRule="auto"/>
        <w:rPr>
          <w:rFonts w:ascii="Verdana" w:eastAsia="Calibri" w:hAnsi="Verdana" w:cs="Arial"/>
          <w:b/>
          <w:bCs/>
          <w:lang w:val="es-ES" w:eastAsia="es-ES"/>
        </w:rPr>
      </w:pPr>
    </w:p>
    <w:p w14:paraId="7362CC99" w14:textId="77777777" w:rsidR="009D767D" w:rsidRDefault="009D767D" w:rsidP="009D767D">
      <w:pPr>
        <w:spacing w:after="0" w:line="240" w:lineRule="auto"/>
        <w:rPr>
          <w:rFonts w:ascii="Verdana" w:eastAsia="Calibri" w:hAnsi="Verdana" w:cs="Arial"/>
          <w:b/>
          <w:bCs/>
          <w:lang w:val="es-ES" w:eastAsia="es-ES"/>
        </w:rPr>
      </w:pPr>
    </w:p>
    <w:p w14:paraId="304FF255" w14:textId="77777777" w:rsidR="009D767D" w:rsidRDefault="009D767D" w:rsidP="009D767D">
      <w:pPr>
        <w:spacing w:after="0" w:line="240" w:lineRule="auto"/>
        <w:rPr>
          <w:rFonts w:ascii="Verdana" w:eastAsia="Calibri" w:hAnsi="Verdana" w:cs="Arial"/>
          <w:b/>
          <w:bCs/>
          <w:lang w:val="es-ES" w:eastAsia="es-ES"/>
        </w:rPr>
      </w:pPr>
    </w:p>
    <w:p w14:paraId="06107E53" w14:textId="77777777" w:rsidR="009D767D" w:rsidRDefault="009D767D" w:rsidP="009D767D">
      <w:pPr>
        <w:spacing w:after="0" w:line="240" w:lineRule="auto"/>
        <w:rPr>
          <w:rFonts w:ascii="Verdana" w:eastAsia="Calibri" w:hAnsi="Verdana" w:cs="Arial"/>
          <w:b/>
          <w:bCs/>
          <w:lang w:val="es-ES" w:eastAsia="es-ES"/>
        </w:rPr>
      </w:pPr>
    </w:p>
    <w:p w14:paraId="41CAE8A7" w14:textId="77777777" w:rsidR="009D767D" w:rsidRDefault="009D767D" w:rsidP="009D767D">
      <w:pPr>
        <w:spacing w:after="0" w:line="240" w:lineRule="auto"/>
        <w:rPr>
          <w:rFonts w:ascii="Verdana" w:eastAsia="Geomanist Light" w:hAnsi="Verdana" w:cs="Arial"/>
          <w:color w:val="000000" w:themeColor="text1"/>
        </w:rPr>
      </w:pPr>
    </w:p>
    <w:p w14:paraId="204C38D8" w14:textId="77777777" w:rsidR="009D767D" w:rsidRDefault="009D767D" w:rsidP="009D767D">
      <w:pPr>
        <w:spacing w:after="0" w:line="240" w:lineRule="auto"/>
        <w:rPr>
          <w:rFonts w:ascii="Verdana" w:eastAsia="Geomanist Light" w:hAnsi="Verdana" w:cs="Arial"/>
          <w:color w:val="000000" w:themeColor="text1"/>
        </w:rPr>
      </w:pPr>
    </w:p>
    <w:p w14:paraId="272D78B5" w14:textId="77777777" w:rsidR="009D767D" w:rsidRDefault="009D767D" w:rsidP="009D767D">
      <w:pPr>
        <w:spacing w:after="0" w:line="240" w:lineRule="auto"/>
        <w:rPr>
          <w:rFonts w:ascii="Verdana" w:eastAsia="Geomanist Light" w:hAnsi="Verdana" w:cs="Arial"/>
          <w:color w:val="000000" w:themeColor="text1"/>
        </w:rPr>
      </w:pPr>
    </w:p>
    <w:p w14:paraId="167C811D" w14:textId="77777777" w:rsidR="009D767D" w:rsidRDefault="009D767D" w:rsidP="009D767D">
      <w:pPr>
        <w:spacing w:after="0" w:line="240" w:lineRule="auto"/>
        <w:rPr>
          <w:rFonts w:ascii="Verdana" w:eastAsia="Geomanist Light" w:hAnsi="Verdana" w:cs="Arial"/>
          <w:color w:val="000000" w:themeColor="text1"/>
        </w:rPr>
      </w:pPr>
    </w:p>
    <w:p w14:paraId="4171E258" w14:textId="77777777" w:rsidR="009D767D" w:rsidRDefault="009D767D" w:rsidP="009D767D">
      <w:pPr>
        <w:spacing w:after="0" w:line="240" w:lineRule="auto"/>
        <w:rPr>
          <w:rFonts w:ascii="Verdana" w:eastAsia="Geomanist Light" w:hAnsi="Verdana" w:cs="Arial"/>
          <w:color w:val="000000" w:themeColor="text1"/>
        </w:rPr>
      </w:pPr>
    </w:p>
    <w:p w14:paraId="49051545" w14:textId="77777777" w:rsidR="009D767D" w:rsidRDefault="009D767D" w:rsidP="009D767D">
      <w:pPr>
        <w:spacing w:after="0" w:line="240" w:lineRule="auto"/>
        <w:rPr>
          <w:rFonts w:ascii="Verdana" w:eastAsia="Geomanist Light" w:hAnsi="Verdana" w:cs="Arial"/>
          <w:color w:val="000000" w:themeColor="text1"/>
        </w:rPr>
      </w:pPr>
    </w:p>
    <w:p w14:paraId="630DE6F5" w14:textId="77777777" w:rsidR="009D767D" w:rsidRDefault="009D767D" w:rsidP="009D767D">
      <w:pPr>
        <w:spacing w:after="0" w:line="240" w:lineRule="auto"/>
        <w:rPr>
          <w:rFonts w:ascii="Verdana" w:eastAsia="Geomanist Light" w:hAnsi="Verdana" w:cs="Arial"/>
          <w:color w:val="000000" w:themeColor="text1"/>
        </w:rPr>
      </w:pPr>
    </w:p>
    <w:p w14:paraId="27623E9D" w14:textId="77777777" w:rsidR="009D767D" w:rsidRDefault="009D767D" w:rsidP="009D767D">
      <w:pPr>
        <w:spacing w:after="0" w:line="240" w:lineRule="auto"/>
        <w:rPr>
          <w:rFonts w:ascii="Verdana" w:eastAsia="Geomanist Light" w:hAnsi="Verdana" w:cs="Arial"/>
          <w:color w:val="000000" w:themeColor="text1"/>
        </w:rPr>
      </w:pPr>
    </w:p>
    <w:p w14:paraId="7F08DF4E" w14:textId="77777777" w:rsidR="009D767D" w:rsidRDefault="009D767D" w:rsidP="009D767D">
      <w:pPr>
        <w:spacing w:after="0" w:line="240" w:lineRule="auto"/>
        <w:rPr>
          <w:rFonts w:ascii="Verdana" w:eastAsia="Geomanist Light" w:hAnsi="Verdana" w:cs="Arial"/>
          <w:color w:val="000000" w:themeColor="text1"/>
        </w:rPr>
      </w:pPr>
    </w:p>
    <w:p w14:paraId="126B9E1D" w14:textId="77777777" w:rsidR="009D767D" w:rsidRDefault="009D767D" w:rsidP="009D767D">
      <w:pPr>
        <w:spacing w:after="0" w:line="240" w:lineRule="auto"/>
        <w:rPr>
          <w:rFonts w:ascii="Verdana" w:eastAsia="Geomanist Light" w:hAnsi="Verdana" w:cs="Arial"/>
          <w:color w:val="000000" w:themeColor="text1"/>
        </w:rPr>
      </w:pPr>
    </w:p>
    <w:p w14:paraId="459D6BDE" w14:textId="77777777" w:rsidR="009D767D" w:rsidRDefault="009D767D" w:rsidP="009D767D">
      <w:pPr>
        <w:spacing w:after="0" w:line="240" w:lineRule="auto"/>
        <w:rPr>
          <w:rFonts w:ascii="Verdana" w:eastAsia="Geomanist Light" w:hAnsi="Verdana" w:cs="Arial"/>
          <w:color w:val="000000" w:themeColor="text1"/>
        </w:rPr>
      </w:pPr>
    </w:p>
    <w:p w14:paraId="433FF95E" w14:textId="77777777" w:rsidR="009D767D" w:rsidRDefault="009D767D" w:rsidP="009D767D">
      <w:pPr>
        <w:spacing w:after="0" w:line="240" w:lineRule="auto"/>
        <w:rPr>
          <w:rFonts w:ascii="Verdana" w:eastAsia="Geomanist Light" w:hAnsi="Verdana" w:cs="Arial"/>
          <w:color w:val="000000" w:themeColor="text1"/>
        </w:rPr>
      </w:pPr>
    </w:p>
    <w:p w14:paraId="084E5D33" w14:textId="77777777" w:rsidR="009D767D" w:rsidRDefault="009D767D" w:rsidP="009D767D">
      <w:pPr>
        <w:spacing w:after="0" w:line="240" w:lineRule="auto"/>
        <w:rPr>
          <w:rFonts w:ascii="Verdana" w:eastAsia="Geomanist Light" w:hAnsi="Verdana" w:cs="Arial"/>
          <w:color w:val="000000" w:themeColor="text1"/>
        </w:rPr>
      </w:pPr>
    </w:p>
    <w:p w14:paraId="415A1D08" w14:textId="77777777" w:rsidR="009D767D" w:rsidRDefault="009D767D" w:rsidP="009D767D">
      <w:pPr>
        <w:spacing w:after="0" w:line="240" w:lineRule="auto"/>
        <w:rPr>
          <w:rFonts w:ascii="Verdana" w:eastAsia="Geomanist Light" w:hAnsi="Verdana" w:cs="Arial"/>
          <w:color w:val="000000" w:themeColor="text1"/>
        </w:rPr>
      </w:pPr>
    </w:p>
    <w:p w14:paraId="39189BE4" w14:textId="77777777" w:rsidR="009D767D" w:rsidRDefault="009D767D" w:rsidP="009D767D">
      <w:pPr>
        <w:spacing w:after="0" w:line="240" w:lineRule="auto"/>
        <w:rPr>
          <w:rFonts w:ascii="Verdana" w:eastAsia="Geomanist Light" w:hAnsi="Verdana" w:cs="Arial"/>
          <w:color w:val="000000" w:themeColor="text1"/>
        </w:rPr>
      </w:pPr>
    </w:p>
    <w:p w14:paraId="00214775" w14:textId="77777777" w:rsidR="009D767D" w:rsidRDefault="009D767D" w:rsidP="009D767D">
      <w:pPr>
        <w:spacing w:after="0" w:line="240" w:lineRule="auto"/>
        <w:rPr>
          <w:rFonts w:ascii="Verdana" w:eastAsia="Geomanist Light" w:hAnsi="Verdana" w:cs="Arial"/>
          <w:color w:val="000000" w:themeColor="text1"/>
        </w:rPr>
      </w:pPr>
    </w:p>
    <w:p w14:paraId="17BF0DE0" w14:textId="77777777" w:rsidR="009D767D" w:rsidRDefault="009D767D" w:rsidP="009D767D">
      <w:pPr>
        <w:spacing w:after="0" w:line="240" w:lineRule="auto"/>
        <w:rPr>
          <w:rFonts w:ascii="Verdana" w:eastAsia="Geomanist Light" w:hAnsi="Verdana" w:cs="Arial"/>
          <w:color w:val="000000" w:themeColor="text1"/>
        </w:rPr>
      </w:pPr>
    </w:p>
    <w:p w14:paraId="178410F6" w14:textId="77777777" w:rsidR="009D767D" w:rsidRDefault="009D767D" w:rsidP="009D767D">
      <w:pPr>
        <w:spacing w:after="0" w:line="240" w:lineRule="auto"/>
        <w:rPr>
          <w:rFonts w:ascii="Verdana" w:eastAsia="Geomanist Light" w:hAnsi="Verdana" w:cs="Arial"/>
          <w:color w:val="000000" w:themeColor="text1"/>
        </w:rPr>
      </w:pPr>
    </w:p>
    <w:p w14:paraId="408B7342" w14:textId="77777777" w:rsidR="009D767D" w:rsidRDefault="009D767D" w:rsidP="009D767D">
      <w:pPr>
        <w:spacing w:after="0" w:line="240" w:lineRule="auto"/>
        <w:rPr>
          <w:rFonts w:ascii="Verdana" w:eastAsia="Geomanist Light" w:hAnsi="Verdana" w:cs="Arial"/>
          <w:color w:val="000000" w:themeColor="text1"/>
        </w:rPr>
      </w:pPr>
    </w:p>
    <w:p w14:paraId="40D1785C" w14:textId="77777777" w:rsidR="009D767D" w:rsidRDefault="009D767D" w:rsidP="009D767D">
      <w:pPr>
        <w:spacing w:after="0" w:line="240" w:lineRule="auto"/>
        <w:rPr>
          <w:rFonts w:ascii="Verdana" w:eastAsia="Geomanist Light" w:hAnsi="Verdana" w:cs="Arial"/>
          <w:color w:val="000000" w:themeColor="text1"/>
        </w:rPr>
      </w:pPr>
    </w:p>
    <w:p w14:paraId="3F03351E" w14:textId="77777777" w:rsidR="009D767D" w:rsidRDefault="009D767D" w:rsidP="009D767D">
      <w:pPr>
        <w:spacing w:after="0" w:line="240" w:lineRule="auto"/>
        <w:rPr>
          <w:rFonts w:ascii="Verdana" w:eastAsia="Geomanist Light" w:hAnsi="Verdana" w:cs="Arial"/>
          <w:color w:val="000000" w:themeColor="text1"/>
        </w:rPr>
      </w:pPr>
    </w:p>
    <w:p w14:paraId="7919959D" w14:textId="77777777" w:rsidR="009D767D" w:rsidRDefault="009D767D" w:rsidP="009D767D">
      <w:pPr>
        <w:spacing w:after="0" w:line="240" w:lineRule="auto"/>
        <w:rPr>
          <w:rFonts w:ascii="Verdana" w:eastAsia="Geomanist Light" w:hAnsi="Verdana" w:cs="Arial"/>
          <w:color w:val="000000" w:themeColor="text1"/>
        </w:rPr>
      </w:pPr>
    </w:p>
    <w:p w14:paraId="658DA071" w14:textId="77777777" w:rsidR="009D767D" w:rsidRDefault="009D767D" w:rsidP="009D767D">
      <w:pPr>
        <w:spacing w:after="0" w:line="240" w:lineRule="auto"/>
        <w:rPr>
          <w:rFonts w:ascii="Verdana" w:eastAsia="Geomanist Light" w:hAnsi="Verdana" w:cs="Arial"/>
          <w:color w:val="000000" w:themeColor="text1"/>
        </w:rPr>
      </w:pPr>
    </w:p>
    <w:p w14:paraId="05510B5C" w14:textId="77777777" w:rsidR="009D767D" w:rsidRDefault="009D767D" w:rsidP="009D767D">
      <w:pPr>
        <w:spacing w:after="0" w:line="240" w:lineRule="auto"/>
        <w:rPr>
          <w:rFonts w:ascii="Verdana" w:eastAsia="Geomanist Light" w:hAnsi="Verdana" w:cs="Arial"/>
          <w:color w:val="000000" w:themeColor="text1"/>
        </w:rPr>
      </w:pPr>
    </w:p>
    <w:p w14:paraId="112D8903" w14:textId="77777777" w:rsidR="009D767D" w:rsidRDefault="009D767D" w:rsidP="009D767D">
      <w:pPr>
        <w:spacing w:after="0" w:line="240" w:lineRule="auto"/>
        <w:rPr>
          <w:rFonts w:ascii="Verdana" w:eastAsia="Geomanist Light" w:hAnsi="Verdana" w:cs="Arial"/>
          <w:color w:val="000000" w:themeColor="text1"/>
        </w:rPr>
      </w:pPr>
    </w:p>
    <w:p w14:paraId="1AEE0199" w14:textId="77777777" w:rsidR="009D767D" w:rsidRDefault="009D767D" w:rsidP="009D767D">
      <w:pPr>
        <w:spacing w:after="0" w:line="240" w:lineRule="auto"/>
        <w:rPr>
          <w:rFonts w:ascii="Verdana" w:eastAsia="Geomanist Light" w:hAnsi="Verdana" w:cs="Arial"/>
          <w:color w:val="000000" w:themeColor="text1"/>
        </w:rPr>
      </w:pPr>
    </w:p>
    <w:p w14:paraId="37C00554" w14:textId="77777777" w:rsidR="009D767D" w:rsidRDefault="009D767D" w:rsidP="009D767D">
      <w:pPr>
        <w:spacing w:after="0" w:line="240" w:lineRule="auto"/>
        <w:rPr>
          <w:rFonts w:ascii="Verdana" w:eastAsia="Geomanist Light" w:hAnsi="Verdana" w:cs="Arial"/>
          <w:color w:val="000000" w:themeColor="text1"/>
        </w:rPr>
      </w:pPr>
    </w:p>
    <w:p w14:paraId="5C992A93" w14:textId="41CBA24C" w:rsidR="009D767D" w:rsidRPr="00915417" w:rsidRDefault="009D767D" w:rsidP="009D767D">
      <w:pPr>
        <w:spacing w:after="0" w:line="240" w:lineRule="auto"/>
        <w:rPr>
          <w:rFonts w:ascii="Verdana" w:eastAsia="Geomanist Light" w:hAnsi="Verdana" w:cs="Arial"/>
          <w:color w:val="201F1E"/>
        </w:rPr>
      </w:pPr>
      <w:r w:rsidRPr="007C6597">
        <w:rPr>
          <w:rFonts w:ascii="Verdana" w:eastAsia="Geomanist Light" w:hAnsi="Verdana" w:cs="Arial"/>
          <w:color w:val="000000" w:themeColor="text1"/>
        </w:rPr>
        <w:lastRenderedPageBreak/>
        <w:t>Bogotá D.C., </w:t>
      </w:r>
      <w:r w:rsidR="00A61287">
        <w:rPr>
          <w:rFonts w:ascii="Verdana" w:eastAsia="Geomanist Light" w:hAnsi="Verdana" w:cs="Arial"/>
          <w:color w:val="201F1E"/>
        </w:rPr>
        <w:t>29 de mayo de 2026</w:t>
      </w:r>
    </w:p>
    <w:p w14:paraId="7B03390B" w14:textId="77777777" w:rsidR="009D767D" w:rsidRPr="007C6597" w:rsidRDefault="009D767D" w:rsidP="009D767D">
      <w:pPr>
        <w:spacing w:after="0" w:line="240" w:lineRule="auto"/>
        <w:rPr>
          <w:rFonts w:ascii="Verdana" w:eastAsia="Geomanist Light" w:hAnsi="Verdana" w:cs="Arial"/>
          <w:color w:val="201F1E"/>
        </w:rPr>
      </w:pPr>
    </w:p>
    <w:p w14:paraId="45B04D90" w14:textId="76CDADA9" w:rsidR="009D767D" w:rsidRPr="007C6597" w:rsidRDefault="00A61287" w:rsidP="00A61287">
      <w:pPr>
        <w:spacing w:after="0" w:line="240" w:lineRule="auto"/>
        <w:jc w:val="right"/>
        <w:rPr>
          <w:rFonts w:ascii="Verdana" w:eastAsia="Calibri" w:hAnsi="Verdana" w:cs="Arial"/>
          <w:color w:val="000000"/>
        </w:rPr>
      </w:pPr>
      <w:r w:rsidRPr="00A61287">
        <w:rPr>
          <w:rFonts w:ascii="Verdana" w:eastAsia="Calibri" w:hAnsi="Verdana" w:cs="Arial"/>
          <w:noProof/>
          <w:color w:val="000000"/>
        </w:rPr>
        <w:drawing>
          <wp:anchor distT="0" distB="0" distL="114300" distR="114300" simplePos="0" relativeHeight="251658240" behindDoc="0" locked="0" layoutInCell="1" allowOverlap="1" wp14:anchorId="63C3CF65" wp14:editId="12DA407E">
            <wp:simplePos x="0" y="0"/>
            <wp:positionH relativeFrom="column">
              <wp:posOffset>3225165</wp:posOffset>
            </wp:positionH>
            <wp:positionV relativeFrom="paragraph">
              <wp:posOffset>3175</wp:posOffset>
            </wp:positionV>
            <wp:extent cx="2385060" cy="838200"/>
            <wp:effectExtent l="0" t="0" r="0" b="0"/>
            <wp:wrapSquare wrapText="bothSides"/>
            <wp:docPr id="116482760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85060" cy="838200"/>
                    </a:xfrm>
                    <a:prstGeom prst="rect">
                      <a:avLst/>
                    </a:prstGeom>
                    <a:noFill/>
                    <a:ln>
                      <a:noFill/>
                    </a:ln>
                  </pic:spPr>
                </pic:pic>
              </a:graphicData>
            </a:graphic>
          </wp:anchor>
        </w:drawing>
      </w:r>
    </w:p>
    <w:p w14:paraId="179C5CD0" w14:textId="77777777" w:rsidR="009D767D" w:rsidRPr="00BD3C98" w:rsidRDefault="009D767D" w:rsidP="009D767D">
      <w:pPr>
        <w:spacing w:after="0" w:line="240" w:lineRule="auto"/>
        <w:jc w:val="both"/>
        <w:rPr>
          <w:rFonts w:ascii="Verdana" w:eastAsia="Calibri" w:hAnsi="Verdana" w:cs="Arial"/>
          <w:lang w:val="es-ES" w:eastAsia="es-ES"/>
        </w:rPr>
      </w:pPr>
      <w:r w:rsidRPr="00BD3C98">
        <w:rPr>
          <w:rFonts w:ascii="Verdana" w:eastAsia="Calibri" w:hAnsi="Verdana" w:cs="Arial"/>
          <w:lang w:val="es-ES" w:eastAsia="es-ES"/>
        </w:rPr>
        <w:t>Señor</w:t>
      </w:r>
      <w:r>
        <w:rPr>
          <w:rFonts w:ascii="Verdana" w:eastAsia="Calibri" w:hAnsi="Verdana" w:cs="Arial"/>
          <w:lang w:val="es-ES" w:eastAsia="es-ES"/>
        </w:rPr>
        <w:t>a</w:t>
      </w:r>
    </w:p>
    <w:p w14:paraId="64A166AF" w14:textId="77777777" w:rsidR="009D767D" w:rsidRPr="00317E52" w:rsidRDefault="009D767D" w:rsidP="009D767D">
      <w:pPr>
        <w:spacing w:after="0" w:line="240" w:lineRule="auto"/>
        <w:rPr>
          <w:rFonts w:ascii="Verdana" w:hAnsi="Verdana"/>
          <w:b/>
          <w:bCs/>
        </w:rPr>
      </w:pPr>
      <w:r w:rsidRPr="00DA53E9">
        <w:rPr>
          <w:rFonts w:ascii="Verdana" w:hAnsi="Verdana"/>
          <w:b/>
          <w:bCs/>
        </w:rPr>
        <w:t>Nikina Calvo Culman</w:t>
      </w:r>
      <w:r>
        <w:rPr>
          <w:rFonts w:ascii="Verdana" w:hAnsi="Verdana"/>
          <w:b/>
          <w:bCs/>
        </w:rPr>
        <w:t xml:space="preserve"> </w:t>
      </w:r>
    </w:p>
    <w:p w14:paraId="1EED4096" w14:textId="77777777" w:rsidR="009D767D" w:rsidRDefault="009D767D" w:rsidP="009D767D">
      <w:pPr>
        <w:spacing w:after="0" w:line="240" w:lineRule="auto"/>
        <w:rPr>
          <w:rFonts w:ascii="Verdana" w:hAnsi="Verdana"/>
        </w:rPr>
      </w:pPr>
      <w:hyperlink r:id="rId11" w:history="1">
        <w:r w:rsidRPr="00E544B4">
          <w:rPr>
            <w:rStyle w:val="Hipervnculo"/>
            <w:rFonts w:ascii="Verdana" w:hAnsi="Verdana"/>
          </w:rPr>
          <w:t xml:space="preserve">Nikina.CALVO@egis-group.com </w:t>
        </w:r>
      </w:hyperlink>
    </w:p>
    <w:p w14:paraId="0ED37B62" w14:textId="77777777" w:rsidR="009D767D" w:rsidRPr="009A26CE" w:rsidRDefault="009D767D" w:rsidP="009D767D">
      <w:pPr>
        <w:spacing w:after="0" w:line="240" w:lineRule="auto"/>
        <w:rPr>
          <w:rFonts w:ascii="Verdana" w:eastAsia="Calibri" w:hAnsi="Verdana" w:cs="Arial"/>
          <w:bCs/>
          <w:lang w:eastAsia="es-ES_tradnl"/>
        </w:rPr>
      </w:pPr>
      <w:r>
        <w:rPr>
          <w:rFonts w:ascii="Verdana" w:eastAsia="Calibri" w:hAnsi="Verdana" w:cs="Arial"/>
          <w:bCs/>
          <w:lang w:eastAsia="es-ES_tradnl"/>
        </w:rPr>
        <w:t>Bogotá D.C</w:t>
      </w:r>
      <w:r w:rsidRPr="009A26CE">
        <w:rPr>
          <w:rFonts w:ascii="Verdana" w:eastAsia="Calibri" w:hAnsi="Verdana" w:cs="Arial"/>
          <w:bCs/>
          <w:lang w:eastAsia="es-ES_tradnl"/>
        </w:rPr>
        <w:t xml:space="preserve"> </w:t>
      </w:r>
    </w:p>
    <w:p w14:paraId="62311D9D" w14:textId="77777777" w:rsidR="009D767D" w:rsidRPr="00BD3C98" w:rsidRDefault="009D767D" w:rsidP="009D767D">
      <w:pPr>
        <w:spacing w:after="0" w:line="240" w:lineRule="auto"/>
        <w:rPr>
          <w:rFonts w:ascii="Verdana" w:eastAsia="Calibri" w:hAnsi="Verdana" w:cs="Arial"/>
          <w:bCs/>
          <w:lang w:eastAsia="es-ES_tradnl"/>
        </w:rPr>
      </w:pPr>
    </w:p>
    <w:p w14:paraId="114A0706" w14:textId="77777777" w:rsidR="009D767D" w:rsidRPr="00BD3C98" w:rsidRDefault="009D767D" w:rsidP="009D767D">
      <w:pPr>
        <w:spacing w:after="0" w:line="240" w:lineRule="auto"/>
        <w:rPr>
          <w:rFonts w:ascii="Verdana" w:eastAsia="Calibri" w:hAnsi="Verdana" w:cs="Arial"/>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D767D" w:rsidRPr="00BD3C98" w14:paraId="392CA11D" w14:textId="77777777" w:rsidTr="00873641">
        <w:trPr>
          <w:trHeight w:val="407"/>
        </w:trPr>
        <w:tc>
          <w:tcPr>
            <w:tcW w:w="2689" w:type="dxa"/>
          </w:tcPr>
          <w:p w14:paraId="5FFC35BD" w14:textId="77777777" w:rsidR="009D767D" w:rsidRPr="00BD3C98" w:rsidRDefault="009D767D" w:rsidP="00873641">
            <w:pPr>
              <w:jc w:val="both"/>
              <w:rPr>
                <w:rFonts w:ascii="Verdana" w:eastAsia="Calibri" w:hAnsi="Verdana" w:cs="Arial"/>
                <w:b/>
                <w:bCs/>
                <w:lang w:val="es-ES_tradnl" w:eastAsia="es-ES_tradnl"/>
              </w:rPr>
            </w:pPr>
          </w:p>
        </w:tc>
        <w:tc>
          <w:tcPr>
            <w:tcW w:w="6100" w:type="dxa"/>
          </w:tcPr>
          <w:p w14:paraId="69A67537" w14:textId="77777777" w:rsidR="009D767D" w:rsidRPr="00BD3C98" w:rsidRDefault="009D767D" w:rsidP="00873641">
            <w:pPr>
              <w:jc w:val="both"/>
              <w:rPr>
                <w:rFonts w:ascii="Verdana" w:eastAsia="Calibri" w:hAnsi="Verdana" w:cs="Arial"/>
                <w:b/>
                <w:bCs/>
                <w:lang w:val="es-ES" w:eastAsia="es-ES"/>
              </w:rPr>
            </w:pPr>
            <w:r w:rsidRPr="00BD3C98">
              <w:rPr>
                <w:rFonts w:ascii="Verdana" w:eastAsia="Calibri" w:hAnsi="Verdana" w:cs="Arial"/>
                <w:b/>
                <w:bCs/>
                <w:lang w:val="es-ES" w:eastAsia="es-ES"/>
              </w:rPr>
              <w:t>Concepto C-</w:t>
            </w:r>
            <w:r>
              <w:rPr>
                <w:rFonts w:ascii="Verdana" w:eastAsia="Calibri" w:hAnsi="Verdana" w:cs="Arial"/>
                <w:b/>
                <w:bCs/>
                <w:lang w:val="es-ES" w:eastAsia="es-ES"/>
              </w:rPr>
              <w:t>774</w:t>
            </w:r>
            <w:r w:rsidRPr="00BD3C98">
              <w:rPr>
                <w:rFonts w:ascii="Verdana" w:eastAsia="Calibri" w:hAnsi="Verdana" w:cs="Arial"/>
                <w:b/>
                <w:bCs/>
                <w:lang w:val="es-ES" w:eastAsia="es-ES"/>
              </w:rPr>
              <w:t xml:space="preserve"> de 202</w:t>
            </w:r>
            <w:r>
              <w:rPr>
                <w:rFonts w:ascii="Verdana" w:eastAsia="Calibri" w:hAnsi="Verdana" w:cs="Arial"/>
                <w:b/>
                <w:bCs/>
                <w:lang w:val="es-ES" w:eastAsia="es-ES"/>
              </w:rPr>
              <w:t>6</w:t>
            </w:r>
          </w:p>
          <w:p w14:paraId="31EBABDA" w14:textId="77777777" w:rsidR="009D767D" w:rsidRPr="00BD3C98" w:rsidRDefault="009D767D" w:rsidP="00873641">
            <w:pPr>
              <w:jc w:val="both"/>
              <w:rPr>
                <w:rFonts w:ascii="Verdana" w:eastAsia="Calibri" w:hAnsi="Verdana" w:cs="Arial"/>
                <w:b/>
                <w:bCs/>
                <w:lang w:val="es-ES" w:eastAsia="es-ES"/>
              </w:rPr>
            </w:pPr>
          </w:p>
        </w:tc>
      </w:tr>
      <w:tr w:rsidR="009D767D" w:rsidRPr="00BD3C98" w14:paraId="1EE5181E" w14:textId="77777777" w:rsidTr="00873641">
        <w:trPr>
          <w:trHeight w:val="884"/>
        </w:trPr>
        <w:tc>
          <w:tcPr>
            <w:tcW w:w="2689" w:type="dxa"/>
          </w:tcPr>
          <w:p w14:paraId="002DA3FD" w14:textId="77777777" w:rsidR="009D767D" w:rsidRPr="00BD3C98" w:rsidRDefault="009D767D" w:rsidP="00873641">
            <w:pPr>
              <w:jc w:val="both"/>
              <w:rPr>
                <w:rFonts w:ascii="Verdana" w:eastAsia="Calibri" w:hAnsi="Verdana" w:cs="Arial"/>
                <w:lang w:val="es-ES_tradnl" w:eastAsia="es-ES_tradnl"/>
              </w:rPr>
            </w:pPr>
            <w:r w:rsidRPr="00BD3C98">
              <w:rPr>
                <w:rFonts w:ascii="Verdana" w:eastAsia="Calibri" w:hAnsi="Verdana" w:cs="Arial"/>
                <w:b/>
                <w:lang w:val="es-ES_tradnl" w:eastAsia="es-ES_tradnl"/>
              </w:rPr>
              <w:t>Temas:</w:t>
            </w:r>
            <w:r w:rsidRPr="00BD3C98">
              <w:rPr>
                <w:rFonts w:ascii="Verdana" w:eastAsia="Calibri" w:hAnsi="Verdana" w:cs="Arial"/>
                <w:lang w:val="es-ES_tradnl" w:eastAsia="es-ES_tradnl"/>
              </w:rPr>
              <w:t xml:space="preserve">                   </w:t>
            </w:r>
          </w:p>
        </w:tc>
        <w:tc>
          <w:tcPr>
            <w:tcW w:w="6100" w:type="dxa"/>
          </w:tcPr>
          <w:p w14:paraId="71F8DB34" w14:textId="77777777" w:rsidR="009D767D" w:rsidRPr="006A2809" w:rsidRDefault="009D767D" w:rsidP="00873641">
            <w:pPr>
              <w:spacing w:line="276" w:lineRule="auto"/>
              <w:jc w:val="both"/>
              <w:rPr>
                <w:rFonts w:ascii="Verdana" w:eastAsia="Times New Roman" w:hAnsi="Verdana" w:cs="Arial"/>
                <w:bCs/>
                <w:lang w:eastAsia="es-ES_tradnl"/>
              </w:rPr>
            </w:pPr>
            <w:r w:rsidRPr="006A2809">
              <w:rPr>
                <w:rFonts w:ascii="Verdana" w:eastAsia="Calibri" w:hAnsi="Verdana" w:cs="Arial"/>
                <w:bCs/>
              </w:rPr>
              <w:t xml:space="preserve">REFORMAS SOCIETARIAS – Tipos – Transformación – Escisión – Fusión / REFORMAS SOCIETARIAS – </w:t>
            </w:r>
            <w:r>
              <w:rPr>
                <w:rFonts w:ascii="Verdana" w:eastAsia="Calibri" w:hAnsi="Verdana" w:cs="Arial"/>
                <w:bCs/>
              </w:rPr>
              <w:t>Fusión</w:t>
            </w:r>
            <w:r w:rsidRPr="006A2809">
              <w:rPr>
                <w:rFonts w:ascii="Verdana" w:eastAsia="Calibri" w:hAnsi="Verdana" w:cs="Arial"/>
                <w:bCs/>
              </w:rPr>
              <w:t xml:space="preserve"> – Transferencia patrimonial en bloque – Ejecución de contratos estatales</w:t>
            </w:r>
          </w:p>
          <w:p w14:paraId="72FE3FDE" w14:textId="77777777" w:rsidR="009D767D" w:rsidRPr="00BD3C98" w:rsidRDefault="009D767D" w:rsidP="00873641">
            <w:pPr>
              <w:spacing w:line="276" w:lineRule="auto"/>
              <w:jc w:val="both"/>
              <w:rPr>
                <w:rFonts w:ascii="Verdana" w:eastAsia="Calibri" w:hAnsi="Verdana" w:cs="Arial"/>
                <w:lang w:val="es-ES" w:eastAsia="es-ES"/>
              </w:rPr>
            </w:pPr>
          </w:p>
        </w:tc>
      </w:tr>
      <w:tr w:rsidR="009D767D" w:rsidRPr="00BD3C98" w14:paraId="4223F22B" w14:textId="77777777" w:rsidTr="00873641">
        <w:tc>
          <w:tcPr>
            <w:tcW w:w="2689" w:type="dxa"/>
          </w:tcPr>
          <w:p w14:paraId="55DB0319" w14:textId="77777777" w:rsidR="009D767D" w:rsidRPr="00BD3C98" w:rsidRDefault="009D767D" w:rsidP="00873641">
            <w:pPr>
              <w:jc w:val="both"/>
              <w:rPr>
                <w:rFonts w:ascii="Verdana" w:eastAsia="Calibri" w:hAnsi="Verdana" w:cs="Arial"/>
                <w:b/>
                <w:lang w:val="es-ES_tradnl" w:eastAsia="es-ES_tradnl"/>
              </w:rPr>
            </w:pPr>
            <w:r w:rsidRPr="00BD3C98">
              <w:rPr>
                <w:rFonts w:ascii="Verdana" w:eastAsia="Calibri" w:hAnsi="Verdana" w:cs="Arial"/>
                <w:b/>
                <w:lang w:val="es-ES_tradnl" w:eastAsia="es-ES_tradnl"/>
              </w:rPr>
              <w:t>Radicación:</w:t>
            </w:r>
            <w:r w:rsidRPr="00BD3C98">
              <w:rPr>
                <w:rFonts w:ascii="Verdana" w:eastAsia="Calibri" w:hAnsi="Verdana" w:cs="Arial"/>
                <w:lang w:val="es-ES_tradnl" w:eastAsia="es-ES_tradnl"/>
              </w:rPr>
              <w:t xml:space="preserve">               </w:t>
            </w:r>
          </w:p>
        </w:tc>
        <w:tc>
          <w:tcPr>
            <w:tcW w:w="6100" w:type="dxa"/>
          </w:tcPr>
          <w:p w14:paraId="4E12CBDE" w14:textId="77777777" w:rsidR="009D767D" w:rsidRPr="00BD3C98" w:rsidRDefault="009D767D" w:rsidP="00873641">
            <w:pPr>
              <w:jc w:val="both"/>
              <w:rPr>
                <w:rFonts w:ascii="Verdana" w:eastAsia="Calibri" w:hAnsi="Verdana" w:cs="Arial"/>
                <w:lang w:val="es-ES_tradnl" w:eastAsia="es-ES_tradnl"/>
              </w:rPr>
            </w:pPr>
            <w:r w:rsidRPr="00BD3C98">
              <w:rPr>
                <w:rFonts w:ascii="Verdana" w:eastAsia="Calibri" w:hAnsi="Verdana" w:cs="Arial"/>
                <w:lang w:val="es-ES_tradnl" w:eastAsia="es-ES_tradnl"/>
              </w:rPr>
              <w:t xml:space="preserve">Respuesta a consulta con radicado No. </w:t>
            </w:r>
            <w:r w:rsidRPr="00B358B8">
              <w:rPr>
                <w:rFonts w:ascii="Verdana" w:eastAsia="Calibri" w:hAnsi="Verdana" w:cs="Arial"/>
                <w:lang w:val="es-ES_tradnl" w:eastAsia="es-ES_tradnl"/>
              </w:rPr>
              <w:t>1_2026_05_07_006240</w:t>
            </w:r>
          </w:p>
        </w:tc>
      </w:tr>
    </w:tbl>
    <w:p w14:paraId="780E3263" w14:textId="77777777" w:rsidR="009D767D" w:rsidRPr="00BD3C98" w:rsidRDefault="009D767D" w:rsidP="009D767D">
      <w:pPr>
        <w:spacing w:after="0" w:line="240" w:lineRule="auto"/>
        <w:jc w:val="both"/>
        <w:rPr>
          <w:rFonts w:ascii="Verdana" w:eastAsia="Calibri" w:hAnsi="Verdana" w:cs="Arial"/>
          <w:lang w:val="es-ES_tradnl" w:eastAsia="es-ES_tradnl"/>
        </w:rPr>
      </w:pPr>
    </w:p>
    <w:p w14:paraId="53AFE6D7" w14:textId="77777777" w:rsidR="009D767D" w:rsidRPr="00BD3C98" w:rsidRDefault="009D767D" w:rsidP="009D767D">
      <w:pPr>
        <w:spacing w:after="0" w:line="240" w:lineRule="auto"/>
        <w:jc w:val="both"/>
        <w:rPr>
          <w:rFonts w:ascii="Verdana" w:eastAsia="Calibri" w:hAnsi="Verdana" w:cs="Arial"/>
          <w:lang w:val="es-ES_tradnl" w:eastAsia="es-ES_tradnl"/>
        </w:rPr>
      </w:pPr>
    </w:p>
    <w:p w14:paraId="1E37AF15" w14:textId="77777777" w:rsidR="009D767D" w:rsidRPr="00BD3C98" w:rsidRDefault="009D767D" w:rsidP="009D767D">
      <w:pPr>
        <w:spacing w:after="0" w:line="276" w:lineRule="auto"/>
        <w:jc w:val="both"/>
        <w:rPr>
          <w:rFonts w:ascii="Verdana" w:eastAsia="Calibri" w:hAnsi="Verdana" w:cs="Arial"/>
          <w:lang w:val="es-ES" w:eastAsia="es-ES"/>
        </w:rPr>
      </w:pPr>
      <w:r w:rsidRPr="00BD3C98">
        <w:rPr>
          <w:rFonts w:ascii="Verdana" w:eastAsia="Calibri" w:hAnsi="Verdana" w:cs="Arial"/>
          <w:lang w:val="es-ES" w:eastAsia="es-ES"/>
        </w:rPr>
        <w:t>Estimad</w:t>
      </w:r>
      <w:r>
        <w:rPr>
          <w:rFonts w:ascii="Verdana" w:eastAsia="Calibri" w:hAnsi="Verdana" w:cs="Arial"/>
          <w:lang w:val="es-ES" w:eastAsia="es-ES"/>
        </w:rPr>
        <w:t>a</w:t>
      </w:r>
      <w:r w:rsidRPr="00BD3C98">
        <w:rPr>
          <w:rFonts w:ascii="Verdana" w:eastAsia="Calibri" w:hAnsi="Verdana" w:cs="Arial"/>
          <w:lang w:val="es-ES" w:eastAsia="es-ES"/>
        </w:rPr>
        <w:t xml:space="preserve"> señor</w:t>
      </w:r>
      <w:r>
        <w:rPr>
          <w:rFonts w:ascii="Verdana" w:eastAsia="Calibri" w:hAnsi="Verdana" w:cs="Arial"/>
          <w:lang w:val="es-ES" w:eastAsia="es-ES"/>
        </w:rPr>
        <w:t>a Calvo</w:t>
      </w:r>
      <w:r w:rsidRPr="00BD3C98">
        <w:rPr>
          <w:rFonts w:ascii="Verdana" w:eastAsia="Calibri" w:hAnsi="Verdana" w:cs="Arial"/>
          <w:lang w:val="es-ES" w:eastAsia="es-ES"/>
        </w:rPr>
        <w:t xml:space="preserve">: </w:t>
      </w:r>
    </w:p>
    <w:p w14:paraId="59447E76" w14:textId="77777777" w:rsidR="009D767D" w:rsidRPr="00BD3C98" w:rsidRDefault="009D767D" w:rsidP="009D767D">
      <w:pPr>
        <w:tabs>
          <w:tab w:val="left" w:pos="3768"/>
        </w:tabs>
        <w:spacing w:after="0" w:line="276" w:lineRule="auto"/>
        <w:jc w:val="both"/>
        <w:rPr>
          <w:rFonts w:ascii="Verdana" w:eastAsia="Calibri" w:hAnsi="Verdana" w:cs="Arial"/>
          <w:lang w:val="es-ES" w:eastAsia="es-ES"/>
        </w:rPr>
      </w:pPr>
      <w:r w:rsidRPr="00BD3C98">
        <w:rPr>
          <w:rFonts w:ascii="Verdana" w:eastAsia="Calibri" w:hAnsi="Verdana" w:cs="Arial"/>
          <w:lang w:val="es-ES" w:eastAsia="es-ES"/>
        </w:rPr>
        <w:tab/>
      </w:r>
    </w:p>
    <w:p w14:paraId="33B459CC" w14:textId="77777777" w:rsidR="009D767D" w:rsidRPr="00BD3C98" w:rsidRDefault="009D767D" w:rsidP="009D767D">
      <w:pPr>
        <w:spacing w:after="0" w:line="276" w:lineRule="auto"/>
        <w:jc w:val="both"/>
        <w:rPr>
          <w:rFonts w:ascii="Verdana" w:eastAsia="Calibri" w:hAnsi="Verdana" w:cs="Arial"/>
          <w:lang w:val="es-ES" w:eastAsia="es-ES"/>
        </w:rPr>
      </w:pPr>
      <w:r w:rsidRPr="00BD3C98">
        <w:rPr>
          <w:rFonts w:ascii="Verdana" w:eastAsia="Calibri" w:hAnsi="Verdana" w:cs="Arial"/>
          <w:lang w:val="es-ES" w:eastAsia="es-ES"/>
        </w:rPr>
        <w:t>En ejercicio de la competencia otorgada por los artículos 3, numeral 5º, y 11, numeral 8º, del Decreto Ley 4170 de 2011,</w:t>
      </w:r>
      <w:r w:rsidRPr="00BD3C98">
        <w:rPr>
          <w:rFonts w:ascii="Verdana" w:eastAsia="Arial MT" w:hAnsi="Verdana" w:cs="Arial MT"/>
          <w:lang w:val="es-ES" w:eastAsia="es-ES"/>
        </w:rPr>
        <w:t xml:space="preserve"> </w:t>
      </w:r>
      <w:r w:rsidRPr="007C6597">
        <w:rPr>
          <w:rFonts w:ascii="Verdana" w:hAnsi="Verdana" w:cs="Arial"/>
        </w:rPr>
        <w:t>así como lo establecido en la Resolución 469 de 2025 expedida por esta Entidad</w:t>
      </w:r>
      <w:r w:rsidRPr="00BD3C98">
        <w:rPr>
          <w:rFonts w:ascii="Verdana" w:hAnsi="Verdana" w:cs="Arial"/>
        </w:rPr>
        <w:t xml:space="preserve">, </w:t>
      </w:r>
      <w:r w:rsidRPr="00BD3C98">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7</w:t>
      </w:r>
      <w:r w:rsidRPr="00BD3C98">
        <w:rPr>
          <w:rFonts w:ascii="Verdana" w:eastAsia="Calibri" w:hAnsi="Verdana" w:cs="Arial"/>
          <w:lang w:val="es-ES" w:eastAsia="es-ES"/>
        </w:rPr>
        <w:t xml:space="preserve"> de </w:t>
      </w:r>
      <w:r>
        <w:rPr>
          <w:rFonts w:ascii="Verdana" w:eastAsia="Calibri" w:hAnsi="Verdana" w:cs="Arial"/>
          <w:lang w:val="es-ES" w:eastAsia="es-ES"/>
        </w:rPr>
        <w:t>mayo</w:t>
      </w:r>
      <w:r w:rsidRPr="00BD3C98">
        <w:rPr>
          <w:rFonts w:ascii="Verdana" w:eastAsia="Calibri" w:hAnsi="Verdana" w:cs="Arial"/>
          <w:lang w:val="es-ES" w:eastAsia="es-ES"/>
        </w:rPr>
        <w:t xml:space="preserve"> de 202</w:t>
      </w:r>
      <w:r>
        <w:rPr>
          <w:rFonts w:ascii="Verdana" w:eastAsia="Calibri" w:hAnsi="Verdana" w:cs="Arial"/>
          <w:lang w:val="es-ES" w:eastAsia="es-ES"/>
        </w:rPr>
        <w:t>6</w:t>
      </w:r>
      <w:r w:rsidRPr="00BD3C98">
        <w:rPr>
          <w:rFonts w:ascii="Verdana" w:eastAsia="Calibri" w:hAnsi="Verdana" w:cs="Arial"/>
          <w:lang w:val="es-ES" w:eastAsia="es-ES"/>
        </w:rPr>
        <w:t xml:space="preserve">, en la cual manifiesta lo siguiente: </w:t>
      </w:r>
    </w:p>
    <w:p w14:paraId="28E5B44A" w14:textId="77777777" w:rsidR="009D767D" w:rsidRPr="00BD3C98" w:rsidRDefault="009D767D" w:rsidP="009D767D">
      <w:pPr>
        <w:tabs>
          <w:tab w:val="left" w:pos="142"/>
          <w:tab w:val="left" w:pos="284"/>
        </w:tabs>
        <w:spacing w:after="0" w:line="276" w:lineRule="auto"/>
        <w:jc w:val="both"/>
        <w:rPr>
          <w:rFonts w:ascii="Verdana" w:eastAsia="Century Gothic" w:hAnsi="Verdana" w:cs="Century Gothic"/>
          <w:b/>
          <w:bCs/>
          <w:lang w:val="es-ES"/>
        </w:rPr>
      </w:pPr>
    </w:p>
    <w:p w14:paraId="0F4231CF" w14:textId="77777777" w:rsidR="009D767D" w:rsidRDefault="009D767D" w:rsidP="009D767D">
      <w:pPr>
        <w:spacing w:after="0" w:line="240" w:lineRule="auto"/>
        <w:ind w:left="709" w:right="709"/>
        <w:jc w:val="both"/>
        <w:rPr>
          <w:rFonts w:ascii="Verdana" w:eastAsia="Aptos" w:hAnsi="Verdana" w:cs="Arial"/>
          <w:sz w:val="20"/>
          <w:szCs w:val="20"/>
          <w:lang w:val="es-ES_tradnl" w:eastAsia="es-MX"/>
        </w:rPr>
      </w:pPr>
      <w:bookmarkStart w:id="1" w:name="_Hlk95313578"/>
      <w:r w:rsidRPr="00272AB7">
        <w:rPr>
          <w:rFonts w:ascii="Verdana" w:eastAsia="Century Gothic" w:hAnsi="Verdana" w:cs="Century Gothic"/>
          <w:sz w:val="20"/>
          <w:szCs w:val="20"/>
          <w:lang w:val="es-ES"/>
        </w:rPr>
        <w:t>“</w:t>
      </w:r>
      <w:bookmarkEnd w:id="1"/>
      <w:r>
        <w:rPr>
          <w:rFonts w:ascii="Verdana" w:eastAsia="Aptos" w:hAnsi="Verdana" w:cs="Arial"/>
          <w:sz w:val="20"/>
          <w:szCs w:val="20"/>
          <w:lang w:val="es-ES_tradnl" w:eastAsia="es-MX"/>
        </w:rPr>
        <w:t xml:space="preserve">[…] </w:t>
      </w:r>
    </w:p>
    <w:p w14:paraId="797D8B24" w14:textId="77777777" w:rsidR="009D767D" w:rsidRDefault="009D767D" w:rsidP="009D767D">
      <w:pPr>
        <w:spacing w:after="0" w:line="240" w:lineRule="auto"/>
        <w:ind w:left="709" w:right="709"/>
        <w:jc w:val="both"/>
        <w:rPr>
          <w:rFonts w:ascii="Verdana" w:eastAsia="Aptos" w:hAnsi="Verdana" w:cs="Arial"/>
          <w:sz w:val="20"/>
          <w:szCs w:val="20"/>
          <w:lang w:val="es-ES_tradnl" w:eastAsia="es-MX"/>
        </w:rPr>
      </w:pPr>
    </w:p>
    <w:p w14:paraId="604FE614" w14:textId="77777777" w:rsidR="009D767D" w:rsidRPr="00272AB7" w:rsidRDefault="009D767D" w:rsidP="009D767D">
      <w:pPr>
        <w:spacing w:after="0" w:line="240" w:lineRule="auto"/>
        <w:ind w:left="709" w:right="709"/>
        <w:jc w:val="both"/>
        <w:rPr>
          <w:rFonts w:ascii="Verdana" w:eastAsia="Century Gothic" w:hAnsi="Verdana" w:cs="Century Gothic"/>
          <w:sz w:val="20"/>
          <w:szCs w:val="20"/>
          <w:lang w:val="es-ES"/>
        </w:rPr>
      </w:pPr>
      <w:r w:rsidRPr="00272AB7">
        <w:rPr>
          <w:rFonts w:ascii="Verdana" w:eastAsia="Century Gothic" w:hAnsi="Verdana" w:cs="Century Gothic"/>
          <w:sz w:val="20"/>
          <w:szCs w:val="20"/>
          <w:lang w:val="es-ES"/>
        </w:rPr>
        <w:t xml:space="preserve">2.1.  Requisito de RUP en contratos en ejecución </w:t>
      </w:r>
    </w:p>
    <w:p w14:paraId="743A6CCC" w14:textId="77777777" w:rsidR="009D767D" w:rsidRPr="00272AB7" w:rsidRDefault="009D767D" w:rsidP="009D767D">
      <w:pPr>
        <w:spacing w:after="0" w:line="240" w:lineRule="auto"/>
        <w:ind w:left="709" w:right="709"/>
        <w:jc w:val="both"/>
        <w:rPr>
          <w:rFonts w:ascii="Verdana" w:eastAsia="Century Gothic" w:hAnsi="Verdana" w:cs="Century Gothic"/>
          <w:sz w:val="20"/>
          <w:szCs w:val="20"/>
          <w:lang w:val="es-ES"/>
        </w:rPr>
      </w:pPr>
      <w:r w:rsidRPr="00272AB7">
        <w:rPr>
          <w:rFonts w:ascii="Verdana" w:eastAsia="Century Gothic" w:hAnsi="Verdana" w:cs="Century Gothic"/>
          <w:sz w:val="20"/>
          <w:szCs w:val="20"/>
          <w:lang w:val="es-ES"/>
        </w:rPr>
        <w:t xml:space="preserve">En aquellos procesos de selección en los que, dentro de los requisitos habilitantes del pliego de condiciones, se exigía contar con el Registro Único de Proponentes (RUP) vigente: </w:t>
      </w:r>
    </w:p>
    <w:p w14:paraId="006CBEA8" w14:textId="77777777" w:rsidR="009D767D" w:rsidRPr="00272AB7" w:rsidRDefault="009D767D" w:rsidP="009D767D">
      <w:pPr>
        <w:spacing w:after="0" w:line="240" w:lineRule="auto"/>
        <w:ind w:left="709" w:right="709"/>
        <w:jc w:val="both"/>
        <w:rPr>
          <w:rFonts w:ascii="Verdana" w:eastAsia="Century Gothic" w:hAnsi="Verdana" w:cs="Century Gothic"/>
          <w:sz w:val="20"/>
          <w:szCs w:val="20"/>
          <w:lang w:val="es-ES"/>
        </w:rPr>
      </w:pPr>
    </w:p>
    <w:p w14:paraId="66DADFE9" w14:textId="77777777" w:rsidR="009D767D" w:rsidRPr="00272AB7" w:rsidRDefault="009D767D" w:rsidP="009D767D">
      <w:pPr>
        <w:spacing w:after="0" w:line="240" w:lineRule="auto"/>
        <w:ind w:left="709" w:right="709"/>
        <w:jc w:val="both"/>
        <w:rPr>
          <w:rFonts w:ascii="Verdana" w:eastAsia="Century Gothic" w:hAnsi="Verdana" w:cs="Century Gothic"/>
          <w:sz w:val="20"/>
          <w:szCs w:val="20"/>
          <w:lang w:val="es-ES"/>
        </w:rPr>
      </w:pPr>
      <w:r w:rsidRPr="00272AB7">
        <w:rPr>
          <w:rFonts w:ascii="Verdana" w:eastAsia="Century Gothic" w:hAnsi="Verdana" w:cs="Century Gothic"/>
          <w:sz w:val="20"/>
          <w:szCs w:val="20"/>
          <w:lang w:val="es-ES"/>
        </w:rPr>
        <w:t xml:space="preserve">• ¿Se considera que existe incumplimiento del contrato o de los requisitos habilitantes cuando, como consecuencia de la fusión por creación, la nueva sociedad resultante (que asume el contrato por sucesión universal) no cuenta de manera inmediata con RUP vigente?  </w:t>
      </w:r>
    </w:p>
    <w:p w14:paraId="75CCE647" w14:textId="77777777" w:rsidR="009D767D" w:rsidRPr="00272AB7" w:rsidRDefault="009D767D" w:rsidP="009D767D">
      <w:pPr>
        <w:spacing w:after="0" w:line="240" w:lineRule="auto"/>
        <w:ind w:left="709" w:right="709"/>
        <w:jc w:val="both"/>
        <w:rPr>
          <w:rFonts w:ascii="Verdana" w:eastAsia="Century Gothic" w:hAnsi="Verdana" w:cs="Century Gothic"/>
          <w:sz w:val="20"/>
          <w:szCs w:val="20"/>
          <w:lang w:val="es-ES"/>
        </w:rPr>
      </w:pPr>
    </w:p>
    <w:p w14:paraId="50AB2807" w14:textId="77777777" w:rsidR="009D767D" w:rsidRDefault="009D767D" w:rsidP="009D767D">
      <w:pPr>
        <w:spacing w:after="0" w:line="240" w:lineRule="auto"/>
        <w:ind w:left="709" w:right="709"/>
        <w:jc w:val="both"/>
        <w:rPr>
          <w:rFonts w:ascii="Verdana" w:eastAsia="Century Gothic" w:hAnsi="Verdana" w:cs="Century Gothic"/>
          <w:sz w:val="20"/>
          <w:szCs w:val="20"/>
          <w:lang w:val="es-ES"/>
        </w:rPr>
      </w:pPr>
      <w:r w:rsidRPr="00272AB7">
        <w:rPr>
          <w:rFonts w:ascii="Verdana" w:eastAsia="Century Gothic" w:hAnsi="Verdana" w:cs="Century Gothic"/>
          <w:sz w:val="20"/>
          <w:szCs w:val="20"/>
          <w:lang w:val="es-ES"/>
        </w:rPr>
        <w:lastRenderedPageBreak/>
        <w:t xml:space="preserve">• ¿Debe entenderse que el requisito habilitante se predica únicamente del momento de la adjudicación, o se exige su mantenimiento durante toda la ejecución contractual en casos de sucesión por fusión?  </w:t>
      </w:r>
    </w:p>
    <w:p w14:paraId="512B86A8" w14:textId="77777777" w:rsidR="009D767D" w:rsidRPr="00272AB7" w:rsidRDefault="009D767D" w:rsidP="009D767D">
      <w:pPr>
        <w:spacing w:after="0" w:line="240" w:lineRule="auto"/>
        <w:ind w:left="709" w:right="709"/>
        <w:jc w:val="both"/>
        <w:rPr>
          <w:rFonts w:ascii="Verdana" w:eastAsia="Century Gothic" w:hAnsi="Verdana" w:cs="Century Gothic"/>
          <w:sz w:val="20"/>
          <w:szCs w:val="20"/>
          <w:lang w:val="es-ES"/>
        </w:rPr>
      </w:pPr>
    </w:p>
    <w:p w14:paraId="0DD9CD60" w14:textId="77777777" w:rsidR="009D767D" w:rsidRPr="00272AB7" w:rsidRDefault="009D767D" w:rsidP="009D767D">
      <w:pPr>
        <w:spacing w:after="0" w:line="240" w:lineRule="auto"/>
        <w:ind w:left="709" w:right="709"/>
        <w:jc w:val="both"/>
        <w:rPr>
          <w:rFonts w:ascii="Verdana" w:eastAsia="Century Gothic" w:hAnsi="Verdana" w:cs="Century Gothic"/>
          <w:sz w:val="20"/>
          <w:szCs w:val="20"/>
          <w:lang w:val="es-ES"/>
        </w:rPr>
      </w:pPr>
      <w:r w:rsidRPr="00272AB7">
        <w:rPr>
          <w:rFonts w:ascii="Verdana" w:eastAsia="Century Gothic" w:hAnsi="Verdana" w:cs="Century Gothic"/>
          <w:sz w:val="20"/>
          <w:szCs w:val="20"/>
          <w:lang w:val="es-ES"/>
        </w:rPr>
        <w:t>• En caso contrario, ¿Existe algún término de gracia o tratamiento especial para efectos de la actualización o inscripción del RUP de la nueva sociedad en estos eventos?</w:t>
      </w:r>
    </w:p>
    <w:p w14:paraId="77A89664" w14:textId="77777777" w:rsidR="009D767D" w:rsidRPr="00272AB7" w:rsidRDefault="009D767D" w:rsidP="009D767D">
      <w:pPr>
        <w:spacing w:after="0" w:line="240" w:lineRule="auto"/>
        <w:ind w:left="709" w:right="709"/>
        <w:jc w:val="both"/>
        <w:rPr>
          <w:rFonts w:ascii="Verdana" w:eastAsia="Century Gothic" w:hAnsi="Verdana" w:cs="Century Gothic"/>
          <w:sz w:val="20"/>
          <w:szCs w:val="20"/>
          <w:lang w:val="es-ES"/>
        </w:rPr>
      </w:pPr>
    </w:p>
    <w:p w14:paraId="199E7537" w14:textId="77777777" w:rsidR="009D767D" w:rsidRPr="00272AB7" w:rsidRDefault="009D767D" w:rsidP="009D767D">
      <w:pPr>
        <w:spacing w:after="0" w:line="240" w:lineRule="auto"/>
        <w:ind w:left="709" w:right="709"/>
        <w:jc w:val="both"/>
        <w:rPr>
          <w:rFonts w:ascii="Verdana" w:hAnsi="Verdana" w:cs="Arial"/>
          <w:sz w:val="20"/>
          <w:szCs w:val="20"/>
        </w:rPr>
      </w:pPr>
      <w:r w:rsidRPr="00272AB7">
        <w:rPr>
          <w:rFonts w:ascii="Verdana" w:hAnsi="Verdana" w:cs="Arial"/>
          <w:sz w:val="20"/>
          <w:szCs w:val="20"/>
        </w:rPr>
        <w:t>2.2. Fusión vs. cesión de contratos estatales Teniendo en cuenta que la fusión implica una sucesión universal de derechos y obligaciones, distinta de la figura de cesión contractual, solicitamos se confirme si:</w:t>
      </w:r>
    </w:p>
    <w:p w14:paraId="6F036E42" w14:textId="77777777" w:rsidR="009D767D" w:rsidRPr="00272AB7" w:rsidRDefault="009D767D" w:rsidP="009D767D">
      <w:pPr>
        <w:spacing w:after="0" w:line="240" w:lineRule="auto"/>
        <w:ind w:left="709" w:right="709"/>
        <w:jc w:val="both"/>
        <w:rPr>
          <w:rFonts w:ascii="Verdana" w:hAnsi="Verdana" w:cs="Arial"/>
          <w:sz w:val="20"/>
          <w:szCs w:val="20"/>
        </w:rPr>
      </w:pPr>
    </w:p>
    <w:p w14:paraId="71A9CB6A" w14:textId="77777777" w:rsidR="009D767D" w:rsidRPr="00272AB7" w:rsidRDefault="009D767D" w:rsidP="009D767D">
      <w:pPr>
        <w:spacing w:after="0" w:line="240" w:lineRule="auto"/>
        <w:ind w:left="709" w:right="709"/>
        <w:jc w:val="both"/>
        <w:rPr>
          <w:rFonts w:ascii="Verdana" w:hAnsi="Verdana" w:cs="Arial"/>
          <w:sz w:val="20"/>
          <w:szCs w:val="20"/>
        </w:rPr>
      </w:pPr>
      <w:r w:rsidRPr="00272AB7">
        <w:rPr>
          <w:rFonts w:ascii="Verdana" w:hAnsi="Verdana" w:cs="Arial"/>
          <w:sz w:val="20"/>
          <w:szCs w:val="20"/>
        </w:rPr>
        <w:t xml:space="preserve">• ¿Si en el contrato o pliegos de condiciones existen cláusulas que requieren autorización previa de la cesión de la posición contractual se requiere alguna aprobación para la fusión por parte de la entidad estatal contratante para que la sociedad resultante asuma los contratos estatales? O, </w:t>
      </w:r>
    </w:p>
    <w:p w14:paraId="19EDA203" w14:textId="77777777" w:rsidR="009D767D" w:rsidRPr="00272AB7" w:rsidRDefault="009D767D" w:rsidP="009D767D">
      <w:pPr>
        <w:spacing w:after="0" w:line="240" w:lineRule="auto"/>
        <w:ind w:left="709" w:right="709"/>
        <w:jc w:val="both"/>
        <w:rPr>
          <w:rFonts w:ascii="Verdana" w:hAnsi="Verdana" w:cs="Arial"/>
          <w:sz w:val="20"/>
          <w:szCs w:val="20"/>
        </w:rPr>
      </w:pPr>
    </w:p>
    <w:p w14:paraId="4C6D1459" w14:textId="77777777" w:rsidR="009D767D" w:rsidRPr="00272AB7" w:rsidRDefault="009D767D" w:rsidP="009D767D">
      <w:pPr>
        <w:spacing w:after="0" w:line="240" w:lineRule="auto"/>
        <w:ind w:left="709" w:right="709"/>
        <w:jc w:val="both"/>
        <w:rPr>
          <w:rFonts w:ascii="Verdana" w:hAnsi="Verdana" w:cs="Arial"/>
          <w:sz w:val="20"/>
          <w:szCs w:val="20"/>
        </w:rPr>
      </w:pPr>
      <w:r w:rsidRPr="00272AB7">
        <w:rPr>
          <w:rFonts w:ascii="Verdana" w:hAnsi="Verdana" w:cs="Arial"/>
          <w:sz w:val="20"/>
          <w:szCs w:val="20"/>
        </w:rPr>
        <w:t xml:space="preserve">• ¿Se entiende que por ser una fusión existe sucesión universal de derechos y obligaciones y no se requiere autorización de la entidad estatal? </w:t>
      </w:r>
    </w:p>
    <w:p w14:paraId="0FB26A35" w14:textId="77777777" w:rsidR="009D767D" w:rsidRPr="00272AB7" w:rsidRDefault="009D767D" w:rsidP="009D767D">
      <w:pPr>
        <w:spacing w:after="0" w:line="240" w:lineRule="auto"/>
        <w:ind w:left="709" w:right="709"/>
        <w:jc w:val="both"/>
        <w:rPr>
          <w:rFonts w:ascii="Verdana" w:hAnsi="Verdana" w:cs="Arial"/>
          <w:sz w:val="20"/>
          <w:szCs w:val="20"/>
        </w:rPr>
      </w:pPr>
    </w:p>
    <w:p w14:paraId="4AA13EDB" w14:textId="77777777" w:rsidR="009D767D" w:rsidRPr="00272AB7" w:rsidRDefault="009D767D" w:rsidP="009D767D">
      <w:pPr>
        <w:spacing w:after="0" w:line="240" w:lineRule="auto"/>
        <w:ind w:left="709" w:right="709"/>
        <w:jc w:val="both"/>
        <w:rPr>
          <w:rFonts w:ascii="Verdana" w:hAnsi="Verdana" w:cs="Arial"/>
          <w:sz w:val="20"/>
          <w:szCs w:val="20"/>
        </w:rPr>
      </w:pPr>
      <w:r w:rsidRPr="00272AB7">
        <w:rPr>
          <w:rFonts w:ascii="Verdana" w:hAnsi="Verdana" w:cs="Arial"/>
          <w:sz w:val="20"/>
          <w:szCs w:val="20"/>
        </w:rPr>
        <w:t xml:space="preserve">• ¿Resulta suficiente la notificación a la entidad contratante sobre la fusión y la sucesión universal, o se requiere surtir algún procedimiento de aprobación? </w:t>
      </w:r>
    </w:p>
    <w:p w14:paraId="26F53BF7" w14:textId="77777777" w:rsidR="009D767D" w:rsidRPr="00272AB7" w:rsidRDefault="009D767D" w:rsidP="009D767D">
      <w:pPr>
        <w:spacing w:after="0" w:line="240" w:lineRule="auto"/>
        <w:ind w:left="709" w:right="709"/>
        <w:jc w:val="both"/>
        <w:rPr>
          <w:rFonts w:ascii="Verdana" w:hAnsi="Verdana" w:cs="Arial"/>
          <w:sz w:val="20"/>
          <w:szCs w:val="20"/>
        </w:rPr>
      </w:pPr>
    </w:p>
    <w:p w14:paraId="290A357E" w14:textId="77777777" w:rsidR="009D767D" w:rsidRPr="00272AB7" w:rsidRDefault="009D767D" w:rsidP="009D767D">
      <w:pPr>
        <w:spacing w:after="0" w:line="240" w:lineRule="auto"/>
        <w:ind w:left="709" w:right="709"/>
        <w:jc w:val="both"/>
        <w:rPr>
          <w:rFonts w:ascii="Verdana" w:eastAsia="Century Gothic" w:hAnsi="Verdana" w:cs="Arial"/>
          <w:sz w:val="20"/>
          <w:szCs w:val="20"/>
          <w:lang w:val="es-ES"/>
        </w:rPr>
      </w:pPr>
      <w:r w:rsidRPr="00272AB7">
        <w:rPr>
          <w:rFonts w:ascii="Verdana" w:hAnsi="Verdana" w:cs="Arial"/>
          <w:sz w:val="20"/>
          <w:szCs w:val="20"/>
        </w:rPr>
        <w:t>• En el caso de contratos celebrados bajo esquemas plurales (consorcios o uniones temporales), ¿ante la sustitución de uno de sus integrantes como consecuencia de una fusión no se requiere autorización de la entidad contratante por tratarse de una sucesión universal de derechos?</w:t>
      </w:r>
    </w:p>
    <w:p w14:paraId="07B2F68C" w14:textId="77777777" w:rsidR="009D767D" w:rsidRPr="00BD3C98" w:rsidRDefault="009D767D" w:rsidP="009D767D">
      <w:pPr>
        <w:tabs>
          <w:tab w:val="left" w:pos="142"/>
          <w:tab w:val="left" w:pos="284"/>
        </w:tabs>
        <w:spacing w:after="0" w:line="276" w:lineRule="auto"/>
        <w:jc w:val="both"/>
        <w:rPr>
          <w:rFonts w:ascii="Verdana" w:eastAsia="Century Gothic" w:hAnsi="Verdana" w:cs="Century Gothic"/>
          <w:b/>
          <w:bCs/>
          <w:lang w:val="es-ES"/>
        </w:rPr>
      </w:pPr>
    </w:p>
    <w:p w14:paraId="77A90F2E" w14:textId="77777777" w:rsidR="009D767D" w:rsidRPr="00BD3C98" w:rsidRDefault="009D767D" w:rsidP="009D767D">
      <w:pPr>
        <w:spacing w:after="120" w:line="276" w:lineRule="auto"/>
        <w:ind w:firstLine="708"/>
        <w:jc w:val="both"/>
        <w:rPr>
          <w:rFonts w:ascii="Verdana" w:eastAsia="Calibri" w:hAnsi="Verdana" w:cs="Arial"/>
          <w:lang w:val="es-ES_tradnl" w:eastAsia="es-ES_tradnl"/>
        </w:rPr>
      </w:pPr>
      <w:r w:rsidRPr="00BD3C98">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w:t>
      </w:r>
      <w:r w:rsidRPr="00BD3C98">
        <w:rPr>
          <w:rFonts w:ascii="Verdana" w:eastAsia="Calibri" w:hAnsi="Verdana" w:cs="Arial"/>
          <w:lang w:val="es-ES" w:eastAsia="es-ES"/>
        </w:rPr>
        <w:lastRenderedPageBreak/>
        <w:t xml:space="preserve">por definición, no puede extenderse a la resolución de controversias, ni a brindar asesorías sobre casos puntuales. </w:t>
      </w:r>
      <w:r w:rsidRPr="00BD3C98">
        <w:rPr>
          <w:rFonts w:ascii="Verdana" w:eastAsia="Calibri" w:hAnsi="Verdana" w:cs="Arial"/>
          <w:lang w:val="es-ES_tradnl" w:eastAsia="es-ES_tradnl"/>
        </w:rPr>
        <w:tab/>
      </w:r>
    </w:p>
    <w:p w14:paraId="2BB84C00" w14:textId="77777777" w:rsidR="009D767D" w:rsidRPr="00BD3C98" w:rsidRDefault="009D767D" w:rsidP="009D767D">
      <w:pPr>
        <w:spacing w:after="0" w:line="276" w:lineRule="auto"/>
        <w:ind w:firstLine="708"/>
        <w:jc w:val="both"/>
        <w:rPr>
          <w:rFonts w:ascii="Verdana" w:eastAsia="Calibri" w:hAnsi="Verdana" w:cs="Arial"/>
          <w:lang w:val="es-ES" w:eastAsia="es-ES"/>
        </w:rPr>
      </w:pPr>
      <w:r w:rsidRPr="00BD3C9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algunas consideraciones sobre las normas generales relacionadas con los problemas jurídicos de su consulta. </w:t>
      </w:r>
    </w:p>
    <w:p w14:paraId="5848723E" w14:textId="77777777" w:rsidR="009D767D" w:rsidRPr="00BD3C98" w:rsidRDefault="009D767D" w:rsidP="009D767D">
      <w:pPr>
        <w:spacing w:after="0" w:line="276" w:lineRule="auto"/>
        <w:ind w:firstLine="709"/>
        <w:jc w:val="both"/>
        <w:rPr>
          <w:rFonts w:ascii="Verdana" w:eastAsia="Calibri" w:hAnsi="Verdana" w:cs="Arial"/>
          <w:lang w:val="es-ES" w:eastAsia="es-ES"/>
        </w:rPr>
      </w:pPr>
    </w:p>
    <w:p w14:paraId="6E5390FC" w14:textId="77777777" w:rsidR="009D767D" w:rsidRPr="00BD3C98" w:rsidRDefault="009D767D" w:rsidP="009D767D">
      <w:pPr>
        <w:numPr>
          <w:ilvl w:val="0"/>
          <w:numId w:val="20"/>
        </w:numPr>
        <w:tabs>
          <w:tab w:val="left" w:pos="142"/>
          <w:tab w:val="left" w:pos="284"/>
        </w:tabs>
        <w:spacing w:after="0" w:line="276" w:lineRule="auto"/>
        <w:jc w:val="both"/>
        <w:rPr>
          <w:rFonts w:ascii="Verdana" w:eastAsia="Century Gothic" w:hAnsi="Verdana" w:cs="Century Gothic"/>
          <w:b/>
          <w:bCs/>
          <w:lang w:val="es-ES"/>
        </w:rPr>
      </w:pPr>
      <w:r w:rsidRPr="00BD3C98">
        <w:rPr>
          <w:rFonts w:ascii="Verdana" w:eastAsia="Century Gothic" w:hAnsi="Verdana" w:cs="Century Gothic"/>
          <w:b/>
          <w:bCs/>
          <w:lang w:val="es-ES"/>
        </w:rPr>
        <w:t>Problema planteado:</w:t>
      </w:r>
    </w:p>
    <w:p w14:paraId="16EDF2EF" w14:textId="77777777" w:rsidR="009D767D" w:rsidRPr="00BD3C98" w:rsidRDefault="009D767D" w:rsidP="009D767D">
      <w:pPr>
        <w:tabs>
          <w:tab w:val="left" w:pos="426"/>
        </w:tabs>
        <w:spacing w:after="0" w:line="276" w:lineRule="auto"/>
        <w:jc w:val="both"/>
        <w:rPr>
          <w:rFonts w:ascii="Verdana" w:eastAsia="Century Gothic" w:hAnsi="Verdana" w:cs="Century Gothic"/>
          <w:lang w:val="es-ES"/>
        </w:rPr>
      </w:pPr>
    </w:p>
    <w:p w14:paraId="418D7724" w14:textId="77777777" w:rsidR="009D767D" w:rsidRPr="00BD3C98" w:rsidRDefault="009D767D" w:rsidP="009D767D">
      <w:pPr>
        <w:spacing w:after="0" w:line="276" w:lineRule="auto"/>
        <w:jc w:val="both"/>
        <w:rPr>
          <w:rFonts w:ascii="Verdana" w:eastAsia="Century Gothic" w:hAnsi="Verdana" w:cs="Century Gothic"/>
        </w:rPr>
      </w:pPr>
      <w:r w:rsidRPr="00BD3C98">
        <w:rPr>
          <w:rFonts w:ascii="Verdana" w:eastAsia="Century Gothic" w:hAnsi="Verdana" w:cs="Century Gothic"/>
        </w:rPr>
        <w:t xml:space="preserve">De acuerdo con el contenido de su solicitud, esta Agencia resolverá </w:t>
      </w:r>
      <w:r>
        <w:rPr>
          <w:rFonts w:ascii="Verdana" w:eastAsia="Century Gothic" w:hAnsi="Verdana" w:cs="Century Gothic"/>
        </w:rPr>
        <w:t xml:space="preserve">el </w:t>
      </w:r>
      <w:r w:rsidRPr="00BD3C98">
        <w:rPr>
          <w:rFonts w:ascii="Verdana" w:eastAsia="Century Gothic" w:hAnsi="Verdana" w:cs="Century Gothic"/>
        </w:rPr>
        <w:t xml:space="preserve">siguiente problema jurídico: </w:t>
      </w:r>
      <w:r w:rsidRPr="007B367B">
        <w:rPr>
          <w:rFonts w:ascii="Verdana" w:eastAsia="Century Gothic" w:hAnsi="Verdana" w:cs="Century Gothic"/>
        </w:rPr>
        <w:t>¿</w:t>
      </w:r>
      <w:r w:rsidRPr="00587765">
        <w:rPr>
          <w:rFonts w:ascii="Verdana" w:eastAsia="Century Gothic" w:hAnsi="Verdana" w:cs="Century Gothic"/>
        </w:rPr>
        <w:t>En los acuerdos de fusión societaria se requiere autorización de la entidad contratante para que la nueva sociedad asuma la posici</w:t>
      </w:r>
      <w:r>
        <w:rPr>
          <w:rFonts w:ascii="Verdana" w:eastAsia="Century Gothic" w:hAnsi="Verdana" w:cs="Century Gothic"/>
        </w:rPr>
        <w:t>ón</w:t>
      </w:r>
      <w:r w:rsidRPr="00587765">
        <w:rPr>
          <w:rFonts w:ascii="Verdana" w:eastAsia="Century Gothic" w:hAnsi="Verdana" w:cs="Century Gothic"/>
        </w:rPr>
        <w:t xml:space="preserve"> contractual de la sociedad fusionada?</w:t>
      </w:r>
    </w:p>
    <w:p w14:paraId="6B208262" w14:textId="77777777" w:rsidR="009D767D" w:rsidRPr="00BD3C98" w:rsidRDefault="009D767D" w:rsidP="009D767D">
      <w:pPr>
        <w:spacing w:after="0" w:line="276" w:lineRule="auto"/>
        <w:jc w:val="both"/>
        <w:rPr>
          <w:rFonts w:ascii="Verdana" w:eastAsia="Calibri" w:hAnsi="Verdana" w:cs="Arial"/>
        </w:rPr>
      </w:pPr>
    </w:p>
    <w:p w14:paraId="5936CF6E" w14:textId="77777777" w:rsidR="009D767D" w:rsidRPr="00BD3C98" w:rsidRDefault="009D767D" w:rsidP="009D767D">
      <w:pPr>
        <w:numPr>
          <w:ilvl w:val="0"/>
          <w:numId w:val="20"/>
        </w:numPr>
        <w:tabs>
          <w:tab w:val="left" w:pos="142"/>
          <w:tab w:val="left" w:pos="284"/>
        </w:tabs>
        <w:spacing w:after="0" w:line="276" w:lineRule="auto"/>
        <w:jc w:val="both"/>
        <w:rPr>
          <w:rFonts w:ascii="Verdana" w:eastAsia="Century Gothic" w:hAnsi="Verdana" w:cs="Century Gothic"/>
          <w:b/>
          <w:bCs/>
          <w:lang w:val="es-ES"/>
        </w:rPr>
      </w:pPr>
      <w:r w:rsidRPr="00BD3C98">
        <w:rPr>
          <w:rFonts w:ascii="Verdana" w:eastAsia="Century Gothic" w:hAnsi="Verdana" w:cs="Century Gothic"/>
          <w:b/>
          <w:bCs/>
          <w:lang w:val="es-ES"/>
        </w:rPr>
        <w:t>Respuesta:</w:t>
      </w:r>
    </w:p>
    <w:p w14:paraId="26C0831B" w14:textId="77777777" w:rsidR="009D767D" w:rsidRPr="00BD3C98" w:rsidRDefault="009D767D" w:rsidP="009D767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D767D" w:rsidRPr="00BD3C98" w14:paraId="64D112CE" w14:textId="77777777" w:rsidTr="00873641">
        <w:tc>
          <w:tcPr>
            <w:tcW w:w="8828" w:type="dxa"/>
          </w:tcPr>
          <w:p w14:paraId="42727BF9" w14:textId="77777777" w:rsidR="009D767D" w:rsidRDefault="009D767D" w:rsidP="00873641">
            <w:pPr>
              <w:spacing w:after="120" w:line="276" w:lineRule="auto"/>
              <w:jc w:val="both"/>
              <w:rPr>
                <w:rFonts w:ascii="Verdana" w:hAnsi="Verdana" w:cs="Arial"/>
              </w:rPr>
            </w:pPr>
            <w:r>
              <w:rPr>
                <w:rFonts w:ascii="Verdana" w:hAnsi="Verdana" w:cs="Arial"/>
              </w:rPr>
              <w:t>U</w:t>
            </w:r>
            <w:r w:rsidRPr="004E18AE">
              <w:rPr>
                <w:rFonts w:ascii="Verdana" w:hAnsi="Verdana" w:cs="Arial"/>
              </w:rPr>
              <w:t>no de los efectos de l</w:t>
            </w:r>
            <w:r>
              <w:rPr>
                <w:rFonts w:ascii="Verdana" w:hAnsi="Verdana" w:cs="Arial"/>
              </w:rPr>
              <w:t>o</w:t>
            </w:r>
            <w:r w:rsidRPr="004E18AE">
              <w:rPr>
                <w:rFonts w:ascii="Verdana" w:hAnsi="Verdana" w:cs="Arial"/>
              </w:rPr>
              <w:t xml:space="preserve">s acuerdos sociales realizados a título de fusión y escisión es la transferencia en bloque del patrimonio de la sociedad reformada hacia las sociedades beneficiarias o resultantes, tal como se sigue del artículo 172 del Código de Comercio, así como el artículo 9 del Código de Comercio. Dicha transferencia, se produce </w:t>
            </w:r>
            <w:r w:rsidRPr="004E18AE">
              <w:rPr>
                <w:rFonts w:ascii="Verdana" w:hAnsi="Verdana" w:cs="Arial"/>
                <w:i/>
                <w:iCs/>
              </w:rPr>
              <w:t xml:space="preserve">ipso iure y a </w:t>
            </w:r>
            <w:r w:rsidRPr="004E18AE">
              <w:rPr>
                <w:rFonts w:ascii="Verdana" w:hAnsi="Verdana" w:cs="Arial"/>
              </w:rPr>
              <w:t>título universal</w:t>
            </w:r>
            <w:r w:rsidRPr="004E18AE">
              <w:rPr>
                <w:rFonts w:ascii="Verdana" w:hAnsi="Verdana" w:cs="Arial"/>
                <w:i/>
                <w:iCs/>
              </w:rPr>
              <w:t xml:space="preserve"> </w:t>
            </w:r>
            <w:r w:rsidRPr="004E18AE">
              <w:rPr>
                <w:rFonts w:ascii="Verdana" w:hAnsi="Verdana" w:cs="Arial"/>
              </w:rPr>
              <w:t xml:space="preserve">por lo que los derechos y obligaciones se transmiten </w:t>
            </w:r>
            <w:r w:rsidRPr="004E18AE">
              <w:rPr>
                <w:rFonts w:ascii="Verdana" w:hAnsi="Verdana" w:cs="Arial"/>
                <w:i/>
                <w:iCs/>
              </w:rPr>
              <w:t xml:space="preserve">uno </w:t>
            </w:r>
            <w:proofErr w:type="spellStart"/>
            <w:r w:rsidRPr="004E18AE">
              <w:rPr>
                <w:rFonts w:ascii="Verdana" w:hAnsi="Verdana" w:cs="Arial"/>
                <w:i/>
                <w:iCs/>
              </w:rPr>
              <w:t>actu</w:t>
            </w:r>
            <w:proofErr w:type="spellEnd"/>
            <w:r w:rsidRPr="004E18AE">
              <w:rPr>
                <w:rFonts w:ascii="Verdana" w:hAnsi="Verdana" w:cs="Arial"/>
                <w:i/>
                <w:iCs/>
              </w:rPr>
              <w:t xml:space="preserve">, </w:t>
            </w:r>
            <w:r w:rsidRPr="004E18AE">
              <w:rPr>
                <w:rFonts w:ascii="Verdana" w:hAnsi="Verdana" w:cs="Arial"/>
              </w:rPr>
              <w:t>sin la necesidad de novación</w:t>
            </w:r>
            <w:r w:rsidRPr="004E18AE">
              <w:rPr>
                <w:rFonts w:ascii="Verdana" w:hAnsi="Verdana" w:cs="Arial"/>
                <w:i/>
                <w:iCs/>
              </w:rPr>
              <w:t xml:space="preserve">. </w:t>
            </w:r>
            <w:r w:rsidRPr="004E18AE">
              <w:rPr>
                <w:rFonts w:ascii="Verdana" w:hAnsi="Verdana" w:cs="Arial"/>
              </w:rPr>
              <w:t xml:space="preserve">En dicha transferencia quedan inmersos los activos y pasivos que integran el patrimonio, los cuales abarcan los derechos y obligaciones derivadas de acuerdos contractuales, incluso aquellos suscritos con entidades estatales. </w:t>
            </w:r>
          </w:p>
          <w:p w14:paraId="3D0ADF24" w14:textId="77777777" w:rsidR="009D767D" w:rsidRDefault="009D767D" w:rsidP="00873641">
            <w:pPr>
              <w:spacing w:after="120" w:line="276" w:lineRule="auto"/>
              <w:ind w:firstLine="743"/>
              <w:jc w:val="both"/>
              <w:rPr>
                <w:rFonts w:ascii="Verdana" w:hAnsi="Verdana" w:cs="Arial"/>
              </w:rPr>
            </w:pPr>
            <w:r>
              <w:rPr>
                <w:rFonts w:ascii="Verdana" w:hAnsi="Verdana" w:cs="Arial"/>
              </w:rPr>
              <w:t>L</w:t>
            </w:r>
            <w:r w:rsidRPr="007F7449">
              <w:rPr>
                <w:rFonts w:ascii="Verdana" w:hAnsi="Verdana" w:cs="Arial"/>
              </w:rPr>
              <w:t xml:space="preserve">os acuerdos de fusión, de manera similar a la escisión, y de acuerdo con lo previsto en el artículo 172 del Código de Comercio, generan la transferencia patrimonial en bloque, solo que, en este supuesto, esta se produce desde una sociedad que se disuelve hacia la que la absorbe o compañía que se crea en virtud de la fusión. Esta transferencia, de acuerdo con el artículo 178 del estatuto comercial, opera </w:t>
            </w:r>
            <w:r w:rsidRPr="003034A0">
              <w:rPr>
                <w:rFonts w:ascii="Verdana" w:hAnsi="Verdana" w:cs="Arial"/>
                <w:i/>
                <w:iCs/>
              </w:rPr>
              <w:t>ipso iure</w:t>
            </w:r>
            <w:r w:rsidRPr="007F7449">
              <w:rPr>
                <w:rFonts w:ascii="Verdana" w:hAnsi="Verdana" w:cs="Arial"/>
              </w:rPr>
              <w:t xml:space="preserve"> a título universal, por lo que los derechos y obligaciones se transmiten </w:t>
            </w:r>
            <w:r w:rsidRPr="003034A0">
              <w:rPr>
                <w:rFonts w:ascii="Verdana" w:hAnsi="Verdana" w:cs="Arial"/>
                <w:i/>
                <w:iCs/>
              </w:rPr>
              <w:t xml:space="preserve">uno </w:t>
            </w:r>
            <w:proofErr w:type="spellStart"/>
            <w:r w:rsidRPr="003034A0">
              <w:rPr>
                <w:rFonts w:ascii="Verdana" w:hAnsi="Verdana" w:cs="Arial"/>
                <w:i/>
                <w:iCs/>
              </w:rPr>
              <w:t>actu</w:t>
            </w:r>
            <w:proofErr w:type="spellEnd"/>
            <w:r w:rsidRPr="003034A0">
              <w:rPr>
                <w:rFonts w:ascii="Verdana" w:hAnsi="Verdana" w:cs="Arial"/>
                <w:i/>
                <w:iCs/>
              </w:rPr>
              <w:t>,</w:t>
            </w:r>
            <w:r w:rsidRPr="007F7449">
              <w:rPr>
                <w:rFonts w:ascii="Verdana" w:hAnsi="Verdana" w:cs="Arial"/>
              </w:rPr>
              <w:t xml:space="preserve"> sin la necesidad de novación. Esto implica que, las posiciones contractuales ostentadas por la sociedad absorbida pasen a ser asumidas por la sociedad absorbente o la </w:t>
            </w:r>
            <w:r w:rsidRPr="007F7449">
              <w:rPr>
                <w:rFonts w:ascii="Verdana" w:hAnsi="Verdana" w:cs="Arial"/>
              </w:rPr>
              <w:lastRenderedPageBreak/>
              <w:t xml:space="preserve">empresa nueva que emerge de la fusión, quienes quedarían obligadas por tales negocios jurídicos. </w:t>
            </w:r>
          </w:p>
          <w:p w14:paraId="651F4031" w14:textId="77777777" w:rsidR="009D767D" w:rsidRDefault="009D767D" w:rsidP="00873641">
            <w:pPr>
              <w:spacing w:after="120" w:line="276" w:lineRule="auto"/>
              <w:ind w:firstLine="743"/>
              <w:jc w:val="both"/>
              <w:rPr>
                <w:rFonts w:ascii="Verdana" w:hAnsi="Verdana" w:cs="Arial"/>
              </w:rPr>
            </w:pPr>
            <w:r w:rsidRPr="007F7449">
              <w:rPr>
                <w:rFonts w:ascii="Verdana" w:hAnsi="Verdana" w:cs="Arial"/>
              </w:rPr>
              <w:t xml:space="preserve">En cuanto a los contratos estatales, lo dispuesto en el tercer inciso del artículo 41 de la Ley 80 de 1993, genera un efecto similar </w:t>
            </w:r>
            <w:r w:rsidRPr="00E30203">
              <w:rPr>
                <w:rFonts w:ascii="Verdana" w:hAnsi="Verdana" w:cs="Arial"/>
                <w:i/>
                <w:iCs/>
              </w:rPr>
              <w:t>mutatis mutandis</w:t>
            </w:r>
            <w:r w:rsidRPr="007F7449">
              <w:rPr>
                <w:rFonts w:ascii="Verdana" w:hAnsi="Verdana" w:cs="Arial"/>
              </w:rPr>
              <w:t xml:space="preserve"> al explicado respecto de la escisión, y es que la autorización de la entidad estatal obre como condicionante de la transferencia de las obligaciones pactadas. En ese sentido, para que la sociedad absorbente o la sociedad creada pase a ocupar la posición contractual podría entenderse como indispensable la autorización de la entidad estatal. No obstante, es importante precisar que la autorización prevista en el artículo 41 de la Ley 80 de 1993 para la cesión del contrato no se puede interpretar como una autorización para la reforma estatutaria, ya que mientras que en la cesión la autorización de la entidad estatal constituye un requisito necesario para la eficacia de la transferencia de la posición contractual, en los procesos de fusión la transferencia de derechos y obligaciones opera </w:t>
            </w:r>
            <w:r w:rsidRPr="00E30203">
              <w:rPr>
                <w:rFonts w:ascii="Verdana" w:hAnsi="Verdana" w:cs="Arial"/>
                <w:i/>
                <w:iCs/>
              </w:rPr>
              <w:t>ipso iure</w:t>
            </w:r>
            <w:r w:rsidRPr="007F7449">
              <w:rPr>
                <w:rFonts w:ascii="Verdana" w:hAnsi="Verdana" w:cs="Arial"/>
              </w:rPr>
              <w:t xml:space="preserve">, como consecuencia directa del acuerdo societario y de los efectos legales propios de la reforma estatutaria. </w:t>
            </w:r>
          </w:p>
          <w:p w14:paraId="7AEE8904" w14:textId="77777777" w:rsidR="009D767D" w:rsidRDefault="009D767D" w:rsidP="00873641">
            <w:pPr>
              <w:spacing w:after="120" w:line="276" w:lineRule="auto"/>
              <w:ind w:firstLine="743"/>
              <w:jc w:val="both"/>
              <w:rPr>
                <w:rFonts w:ascii="Verdana" w:hAnsi="Verdana" w:cs="Arial"/>
              </w:rPr>
            </w:pPr>
            <w:r w:rsidRPr="007F7449">
              <w:rPr>
                <w:rFonts w:ascii="Verdana" w:hAnsi="Verdana" w:cs="Arial"/>
              </w:rPr>
              <w:t xml:space="preserve">En este sentido, la intervención de la entidad estatal no está dirigida a autorizar la reforma societaria en sí misma, sino a verificar si la sociedad absorbente o la nueva sociedad cumple las condiciones necesarias para continuar con la ejecución del contrato estatal, particularmente en lo relacionado con la capacidad jurídica, financiera, técnica y organizacional que fundamentaron la selección objetiva del contratista. De esta manera, la autorización de la entidad se orienta a salvaguardar el interés general y garantizar que la modificación societaria no afecte la adecuada ejecución del contrato. Lo anterior, sin perjuicio de las estipulaciones contractuales que establezcan la obligación de obtener autorización previa de la entidad estatal para adelantar procesos de fusión o escisión del contratista, las cuales se entienden válidamente pactadas en ejercicio de la autonomía de la voluntad. </w:t>
            </w:r>
          </w:p>
          <w:p w14:paraId="2C0B49E7" w14:textId="77777777" w:rsidR="009D767D" w:rsidRDefault="009D767D" w:rsidP="00873641">
            <w:pPr>
              <w:spacing w:after="120" w:line="276" w:lineRule="auto"/>
              <w:ind w:firstLine="743"/>
              <w:jc w:val="both"/>
              <w:rPr>
                <w:rFonts w:ascii="Verdana" w:hAnsi="Verdana" w:cs="Arial"/>
              </w:rPr>
            </w:pPr>
            <w:r w:rsidRPr="007F7449">
              <w:rPr>
                <w:rFonts w:ascii="Verdana" w:hAnsi="Verdana" w:cs="Arial"/>
              </w:rPr>
              <w:t xml:space="preserve">Esta postura resulta razonable tanto en el caso de la escisión como en el de la fusión, no solo por el carácter </w:t>
            </w:r>
            <w:r w:rsidRPr="00E30203">
              <w:rPr>
                <w:rFonts w:ascii="Verdana" w:hAnsi="Verdana" w:cs="Arial"/>
                <w:i/>
                <w:iCs/>
              </w:rPr>
              <w:t xml:space="preserve">intuito </w:t>
            </w:r>
            <w:proofErr w:type="spellStart"/>
            <w:r w:rsidRPr="00E30203">
              <w:rPr>
                <w:rFonts w:ascii="Verdana" w:hAnsi="Verdana" w:cs="Arial"/>
                <w:i/>
                <w:iCs/>
              </w:rPr>
              <w:t>personae</w:t>
            </w:r>
            <w:proofErr w:type="spellEnd"/>
            <w:r w:rsidRPr="007F7449">
              <w:rPr>
                <w:rFonts w:ascii="Verdana" w:hAnsi="Verdana" w:cs="Arial"/>
              </w:rPr>
              <w:t xml:space="preserve"> de los contratos estatales, sino también porque este tipo de reformas estatutarias pueden incidir de manera sustancial en las condiciones que sirvieron de fundamento para determinar la aptitud del contratista al momento de la adjudicación del contrato. </w:t>
            </w:r>
          </w:p>
          <w:p w14:paraId="481EE8AD" w14:textId="77777777" w:rsidR="009D767D" w:rsidRPr="003F0A80" w:rsidRDefault="009D767D" w:rsidP="00873641">
            <w:pPr>
              <w:spacing w:after="120" w:line="276" w:lineRule="auto"/>
              <w:ind w:firstLine="743"/>
              <w:jc w:val="both"/>
              <w:rPr>
                <w:rFonts w:ascii="Verdana" w:eastAsia="Times New Roman" w:hAnsi="Verdana" w:cs="Arial"/>
                <w:color w:val="000000" w:themeColor="text1"/>
                <w:shd w:val="clear" w:color="auto" w:fill="FFFFFF"/>
                <w:lang w:val="es-MX"/>
              </w:rPr>
            </w:pPr>
            <w:r w:rsidRPr="003F0A80">
              <w:rPr>
                <w:rFonts w:ascii="Verdana" w:eastAsia="Times New Roman" w:hAnsi="Verdana" w:cs="Arial"/>
                <w:color w:val="000000" w:themeColor="text1"/>
                <w:shd w:val="clear" w:color="auto" w:fill="FFFFFF"/>
                <w:lang w:val="es-MX"/>
              </w:rPr>
              <w:lastRenderedPageBreak/>
              <w:t>Hechas las anteriores consideraciones, no es posible concluir sin aclarar que los efectos específicos de las diferentes reformas estatutarias respecto de los contratos suscritos por las sociedades reformadas deben ser estudiados y precisados por cada entidad estatal de acuerdo con el alcance de las disposiciones sociales del acuerdo societario y las condiciones del contrato estatal. Dicho análisis necesariamente debe considerar si las reformas conllevan el incumplimiento del contrato o si derivan en la paralización o la afectación grave de los servicios públicos, que amerite ejercer la potestad de terminación unilateral.</w:t>
            </w:r>
          </w:p>
        </w:tc>
      </w:tr>
    </w:tbl>
    <w:p w14:paraId="43CB607F" w14:textId="77777777" w:rsidR="009D767D" w:rsidRPr="00BD3C98" w:rsidRDefault="009D767D" w:rsidP="009D767D">
      <w:pPr>
        <w:tabs>
          <w:tab w:val="left" w:pos="142"/>
          <w:tab w:val="left" w:pos="284"/>
        </w:tabs>
        <w:spacing w:after="0" w:line="276" w:lineRule="auto"/>
        <w:jc w:val="both"/>
        <w:rPr>
          <w:rFonts w:ascii="Verdana" w:eastAsia="Century Gothic" w:hAnsi="Verdana" w:cs="Century Gothic"/>
          <w:b/>
          <w:bCs/>
          <w:lang w:val="es-ES"/>
        </w:rPr>
      </w:pPr>
    </w:p>
    <w:p w14:paraId="6C41C50C" w14:textId="77777777" w:rsidR="009D767D" w:rsidRPr="00BD3C98" w:rsidRDefault="009D767D" w:rsidP="009D767D">
      <w:pPr>
        <w:numPr>
          <w:ilvl w:val="0"/>
          <w:numId w:val="20"/>
        </w:numPr>
        <w:tabs>
          <w:tab w:val="left" w:pos="142"/>
          <w:tab w:val="left" w:pos="284"/>
        </w:tabs>
        <w:spacing w:after="0" w:line="276" w:lineRule="auto"/>
        <w:jc w:val="both"/>
        <w:rPr>
          <w:rFonts w:ascii="Verdana" w:eastAsia="Century Gothic" w:hAnsi="Verdana" w:cs="Century Gothic"/>
          <w:b/>
          <w:bCs/>
          <w:lang w:val="es-ES"/>
        </w:rPr>
      </w:pPr>
      <w:r w:rsidRPr="00BD3C98">
        <w:rPr>
          <w:rFonts w:ascii="Verdana" w:eastAsia="Century Gothic" w:hAnsi="Verdana" w:cs="Century Gothic"/>
          <w:b/>
          <w:bCs/>
          <w:lang w:val="es-ES"/>
        </w:rPr>
        <w:t>Razones de la respuesta:</w:t>
      </w:r>
    </w:p>
    <w:p w14:paraId="32314031" w14:textId="77777777" w:rsidR="009D767D" w:rsidRPr="00BD3C98" w:rsidRDefault="009D767D" w:rsidP="009D767D">
      <w:pPr>
        <w:spacing w:after="0" w:line="276" w:lineRule="auto"/>
        <w:jc w:val="both"/>
        <w:rPr>
          <w:rFonts w:ascii="Verdana" w:eastAsia="Calibri" w:hAnsi="Verdana" w:cs="Arial"/>
          <w:lang w:val="es-ES"/>
        </w:rPr>
      </w:pPr>
    </w:p>
    <w:p w14:paraId="267861C2" w14:textId="77777777" w:rsidR="009D767D" w:rsidRPr="00BD3C98" w:rsidRDefault="009D767D" w:rsidP="009D767D">
      <w:pPr>
        <w:spacing w:after="0" w:line="276" w:lineRule="auto"/>
        <w:jc w:val="both"/>
        <w:rPr>
          <w:rFonts w:ascii="Verdana" w:eastAsia="Calibri" w:hAnsi="Verdana" w:cs="Arial"/>
          <w:lang w:val="es-ES"/>
        </w:rPr>
      </w:pPr>
      <w:r w:rsidRPr="00BD3C98">
        <w:rPr>
          <w:rFonts w:ascii="Verdana" w:eastAsia="Calibri" w:hAnsi="Verdana" w:cs="Arial"/>
          <w:lang w:val="es-ES"/>
        </w:rPr>
        <w:t xml:space="preserve">Lo anterior se sustenta en las siguientes consideraciones: </w:t>
      </w:r>
    </w:p>
    <w:p w14:paraId="734B0DAA" w14:textId="77777777" w:rsidR="009D767D" w:rsidRPr="00BD3C98" w:rsidRDefault="009D767D" w:rsidP="009D767D">
      <w:pPr>
        <w:spacing w:after="0" w:line="276" w:lineRule="auto"/>
        <w:jc w:val="both"/>
        <w:rPr>
          <w:rFonts w:ascii="Verdana" w:eastAsia="Calibri" w:hAnsi="Verdana" w:cs="Arial"/>
          <w:lang w:val="es-ES"/>
        </w:rPr>
      </w:pPr>
    </w:p>
    <w:p w14:paraId="215829D2" w14:textId="77777777" w:rsidR="009D767D" w:rsidRPr="00B9235D" w:rsidRDefault="009D767D" w:rsidP="009D767D">
      <w:pPr>
        <w:pStyle w:val="Textoindependiente"/>
        <w:spacing w:line="276" w:lineRule="auto"/>
        <w:ind w:right="51"/>
        <w:jc w:val="both"/>
        <w:rPr>
          <w:rFonts w:ascii="Verdana" w:hAnsi="Verdana"/>
        </w:rPr>
      </w:pPr>
      <w:bookmarkStart w:id="2" w:name="_Hlk160719958"/>
      <w:r>
        <w:rPr>
          <w:rFonts w:ascii="Verdana" w:eastAsia="Calibri" w:hAnsi="Verdana" w:cs="Arial"/>
          <w:bCs/>
        </w:rPr>
        <w:t xml:space="preserve">i. </w:t>
      </w:r>
      <w:bookmarkEnd w:id="2"/>
      <w:r w:rsidRPr="00B9235D">
        <w:rPr>
          <w:rFonts w:ascii="Verdana" w:hAnsi="Verdana"/>
        </w:rPr>
        <w:t>Frente</w:t>
      </w:r>
      <w:r w:rsidRPr="00B9235D">
        <w:rPr>
          <w:rFonts w:ascii="Verdana" w:hAnsi="Verdana"/>
          <w:spacing w:val="-14"/>
        </w:rPr>
        <w:t xml:space="preserve"> </w:t>
      </w:r>
      <w:r w:rsidRPr="00B9235D">
        <w:rPr>
          <w:rFonts w:ascii="Verdana" w:hAnsi="Verdana"/>
        </w:rPr>
        <w:t>a</w:t>
      </w:r>
      <w:r w:rsidRPr="00B9235D">
        <w:rPr>
          <w:rFonts w:ascii="Verdana" w:hAnsi="Verdana"/>
          <w:spacing w:val="-15"/>
        </w:rPr>
        <w:t xml:space="preserve"> </w:t>
      </w:r>
      <w:r w:rsidRPr="00B9235D">
        <w:rPr>
          <w:rFonts w:ascii="Verdana" w:hAnsi="Verdana"/>
        </w:rPr>
        <w:t>las</w:t>
      </w:r>
      <w:r w:rsidRPr="00B9235D">
        <w:rPr>
          <w:rFonts w:ascii="Verdana" w:hAnsi="Verdana"/>
          <w:spacing w:val="-15"/>
        </w:rPr>
        <w:t xml:space="preserve"> </w:t>
      </w:r>
      <w:r w:rsidRPr="00B9235D">
        <w:rPr>
          <w:rFonts w:ascii="Verdana" w:hAnsi="Verdana"/>
        </w:rPr>
        <w:t>figuras</w:t>
      </w:r>
      <w:r w:rsidRPr="00B9235D">
        <w:rPr>
          <w:rFonts w:ascii="Verdana" w:hAnsi="Verdana"/>
          <w:spacing w:val="-14"/>
        </w:rPr>
        <w:t xml:space="preserve"> </w:t>
      </w:r>
      <w:r w:rsidRPr="00B9235D">
        <w:rPr>
          <w:rFonts w:ascii="Verdana" w:hAnsi="Verdana"/>
        </w:rPr>
        <w:t>y</w:t>
      </w:r>
      <w:r w:rsidRPr="00B9235D">
        <w:rPr>
          <w:rFonts w:ascii="Verdana" w:hAnsi="Verdana"/>
          <w:spacing w:val="-15"/>
        </w:rPr>
        <w:t xml:space="preserve"> </w:t>
      </w:r>
      <w:r w:rsidRPr="00B9235D">
        <w:rPr>
          <w:rFonts w:ascii="Verdana" w:hAnsi="Verdana"/>
        </w:rPr>
        <w:t>reformas</w:t>
      </w:r>
      <w:r w:rsidRPr="00B9235D">
        <w:rPr>
          <w:rFonts w:ascii="Verdana" w:hAnsi="Verdana"/>
          <w:spacing w:val="-14"/>
        </w:rPr>
        <w:t xml:space="preserve"> </w:t>
      </w:r>
      <w:r w:rsidRPr="00B9235D">
        <w:rPr>
          <w:rFonts w:ascii="Verdana" w:hAnsi="Verdana"/>
        </w:rPr>
        <w:t>estatutarias</w:t>
      </w:r>
      <w:r w:rsidRPr="00B9235D">
        <w:rPr>
          <w:rFonts w:ascii="Verdana" w:hAnsi="Verdana"/>
          <w:spacing w:val="-14"/>
        </w:rPr>
        <w:t xml:space="preserve"> </w:t>
      </w:r>
      <w:r w:rsidRPr="00B9235D">
        <w:rPr>
          <w:rFonts w:ascii="Verdana" w:hAnsi="Verdana"/>
        </w:rPr>
        <w:t>de</w:t>
      </w:r>
      <w:r w:rsidRPr="00B9235D">
        <w:rPr>
          <w:rFonts w:ascii="Verdana" w:hAnsi="Verdana"/>
          <w:spacing w:val="-15"/>
        </w:rPr>
        <w:t xml:space="preserve"> </w:t>
      </w:r>
      <w:r w:rsidRPr="00B9235D">
        <w:rPr>
          <w:rFonts w:ascii="Verdana" w:hAnsi="Verdana"/>
        </w:rPr>
        <w:t>las</w:t>
      </w:r>
      <w:r w:rsidRPr="00B9235D">
        <w:rPr>
          <w:rFonts w:ascii="Verdana" w:hAnsi="Verdana"/>
          <w:spacing w:val="-15"/>
        </w:rPr>
        <w:t xml:space="preserve"> </w:t>
      </w:r>
      <w:r w:rsidRPr="00B9235D">
        <w:rPr>
          <w:rFonts w:ascii="Verdana" w:hAnsi="Verdana"/>
        </w:rPr>
        <w:t>personas</w:t>
      </w:r>
      <w:r w:rsidRPr="00B9235D">
        <w:rPr>
          <w:rFonts w:ascii="Verdana" w:hAnsi="Verdana"/>
          <w:spacing w:val="-15"/>
        </w:rPr>
        <w:t xml:space="preserve"> </w:t>
      </w:r>
      <w:r w:rsidRPr="00B9235D">
        <w:rPr>
          <w:rFonts w:ascii="Verdana" w:hAnsi="Verdana"/>
        </w:rPr>
        <w:t>jurídicas,</w:t>
      </w:r>
      <w:r w:rsidRPr="00B9235D">
        <w:rPr>
          <w:rFonts w:ascii="Verdana" w:hAnsi="Verdana"/>
          <w:spacing w:val="-12"/>
        </w:rPr>
        <w:t xml:space="preserve"> </w:t>
      </w:r>
      <w:r w:rsidRPr="00B9235D">
        <w:rPr>
          <w:rFonts w:ascii="Verdana" w:hAnsi="Verdana"/>
        </w:rPr>
        <w:t>es</w:t>
      </w:r>
      <w:r w:rsidRPr="00B9235D">
        <w:rPr>
          <w:rFonts w:ascii="Verdana" w:hAnsi="Verdana"/>
          <w:spacing w:val="-15"/>
        </w:rPr>
        <w:t xml:space="preserve"> </w:t>
      </w:r>
      <w:r w:rsidRPr="00B9235D">
        <w:rPr>
          <w:rFonts w:ascii="Verdana" w:hAnsi="Verdana"/>
        </w:rPr>
        <w:t>importante</w:t>
      </w:r>
      <w:r w:rsidRPr="00B9235D">
        <w:rPr>
          <w:rFonts w:ascii="Verdana" w:hAnsi="Verdana"/>
          <w:spacing w:val="-13"/>
        </w:rPr>
        <w:t xml:space="preserve"> </w:t>
      </w:r>
      <w:r w:rsidRPr="00B9235D">
        <w:rPr>
          <w:rFonts w:ascii="Verdana" w:hAnsi="Verdana"/>
        </w:rPr>
        <w:t xml:space="preserve">precisar </w:t>
      </w:r>
      <w:r>
        <w:rPr>
          <w:rFonts w:ascii="Verdana" w:hAnsi="Verdana"/>
        </w:rPr>
        <w:t>el alcance de la</w:t>
      </w:r>
      <w:r w:rsidRPr="00B9235D">
        <w:rPr>
          <w:rFonts w:ascii="Verdana" w:hAnsi="Verdana"/>
        </w:rPr>
        <w:t xml:space="preserve"> </w:t>
      </w:r>
      <w:r w:rsidRPr="00B9235D">
        <w:rPr>
          <w:rFonts w:ascii="Verdana" w:hAnsi="Verdana"/>
          <w:i/>
        </w:rPr>
        <w:t xml:space="preserve">transformación, escisión y fusión, </w:t>
      </w:r>
      <w:r w:rsidRPr="00B9235D">
        <w:rPr>
          <w:rFonts w:ascii="Verdana" w:hAnsi="Verdana"/>
        </w:rPr>
        <w:t>de acuerdo con lo establecido en la normatividad comercial, de la siguiente manera:</w:t>
      </w:r>
    </w:p>
    <w:p w14:paraId="4E4928E4" w14:textId="77777777" w:rsidR="009D767D" w:rsidRPr="00B9235D" w:rsidRDefault="009D767D" w:rsidP="009D767D">
      <w:pPr>
        <w:pStyle w:val="Prrafodelista"/>
        <w:widowControl w:val="0"/>
        <w:numPr>
          <w:ilvl w:val="2"/>
          <w:numId w:val="22"/>
        </w:numPr>
        <w:tabs>
          <w:tab w:val="left" w:pos="709"/>
          <w:tab w:val="left" w:pos="851"/>
          <w:tab w:val="left" w:pos="1134"/>
        </w:tabs>
        <w:autoSpaceDE w:val="0"/>
        <w:autoSpaceDN w:val="0"/>
        <w:spacing w:after="120" w:line="276" w:lineRule="auto"/>
        <w:ind w:left="0" w:right="51" w:firstLine="708"/>
        <w:jc w:val="both"/>
        <w:rPr>
          <w:rFonts w:ascii="Verdana" w:hAnsi="Verdana"/>
        </w:rPr>
      </w:pPr>
      <w:r w:rsidRPr="008266B2">
        <w:rPr>
          <w:rFonts w:ascii="Verdana" w:hAnsi="Verdana"/>
          <w:i/>
          <w:iCs/>
        </w:rPr>
        <w:t>Transformación:</w:t>
      </w:r>
      <w:r w:rsidRPr="00B9235D">
        <w:rPr>
          <w:rFonts w:ascii="Verdana" w:hAnsi="Verdana"/>
          <w:spacing w:val="-4"/>
        </w:rPr>
        <w:t xml:space="preserve"> </w:t>
      </w:r>
      <w:r w:rsidRPr="00B9235D">
        <w:rPr>
          <w:rFonts w:ascii="Verdana" w:hAnsi="Verdana"/>
        </w:rPr>
        <w:t>Es</w:t>
      </w:r>
      <w:r w:rsidRPr="00B9235D">
        <w:rPr>
          <w:rFonts w:ascii="Verdana" w:hAnsi="Verdana"/>
          <w:spacing w:val="-7"/>
        </w:rPr>
        <w:t xml:space="preserve"> </w:t>
      </w:r>
      <w:r w:rsidRPr="00B9235D">
        <w:rPr>
          <w:rFonts w:ascii="Verdana" w:hAnsi="Verdana"/>
        </w:rPr>
        <w:t>una</w:t>
      </w:r>
      <w:r w:rsidRPr="00B9235D">
        <w:rPr>
          <w:rFonts w:ascii="Verdana" w:hAnsi="Verdana"/>
          <w:spacing w:val="-7"/>
        </w:rPr>
        <w:t xml:space="preserve"> </w:t>
      </w:r>
      <w:r w:rsidRPr="00B9235D">
        <w:rPr>
          <w:rFonts w:ascii="Verdana" w:hAnsi="Verdana"/>
        </w:rPr>
        <w:t>reforma</w:t>
      </w:r>
      <w:r w:rsidRPr="00B9235D">
        <w:rPr>
          <w:rFonts w:ascii="Verdana" w:hAnsi="Verdana"/>
          <w:spacing w:val="-7"/>
        </w:rPr>
        <w:t xml:space="preserve"> </w:t>
      </w:r>
      <w:r w:rsidRPr="00B9235D">
        <w:rPr>
          <w:rFonts w:ascii="Verdana" w:hAnsi="Verdana"/>
        </w:rPr>
        <w:t>a</w:t>
      </w:r>
      <w:r w:rsidRPr="00B9235D">
        <w:rPr>
          <w:rFonts w:ascii="Verdana" w:hAnsi="Verdana"/>
          <w:spacing w:val="-7"/>
        </w:rPr>
        <w:t xml:space="preserve"> </w:t>
      </w:r>
      <w:r w:rsidRPr="00B9235D">
        <w:rPr>
          <w:rFonts w:ascii="Verdana" w:hAnsi="Verdana"/>
        </w:rPr>
        <w:t>los</w:t>
      </w:r>
      <w:r w:rsidRPr="00B9235D">
        <w:rPr>
          <w:rFonts w:ascii="Verdana" w:hAnsi="Verdana"/>
          <w:spacing w:val="-7"/>
        </w:rPr>
        <w:t xml:space="preserve"> </w:t>
      </w:r>
      <w:r w:rsidRPr="00B9235D">
        <w:rPr>
          <w:rFonts w:ascii="Verdana" w:hAnsi="Verdana"/>
        </w:rPr>
        <w:t>estatutos</w:t>
      </w:r>
      <w:r w:rsidRPr="00B9235D">
        <w:rPr>
          <w:rFonts w:ascii="Verdana" w:hAnsi="Verdana"/>
          <w:spacing w:val="-6"/>
        </w:rPr>
        <w:t xml:space="preserve"> </w:t>
      </w:r>
      <w:r w:rsidRPr="00B9235D">
        <w:rPr>
          <w:rFonts w:ascii="Verdana" w:hAnsi="Verdana"/>
        </w:rPr>
        <w:t>de</w:t>
      </w:r>
      <w:r w:rsidRPr="00B9235D">
        <w:rPr>
          <w:rFonts w:ascii="Verdana" w:hAnsi="Verdana"/>
          <w:spacing w:val="-7"/>
        </w:rPr>
        <w:t xml:space="preserve"> </w:t>
      </w:r>
      <w:r w:rsidRPr="00B9235D">
        <w:rPr>
          <w:rFonts w:ascii="Verdana" w:hAnsi="Verdana"/>
        </w:rPr>
        <w:t>una</w:t>
      </w:r>
      <w:r w:rsidRPr="00B9235D">
        <w:rPr>
          <w:rFonts w:ascii="Verdana" w:hAnsi="Verdana"/>
          <w:spacing w:val="-7"/>
        </w:rPr>
        <w:t xml:space="preserve"> </w:t>
      </w:r>
      <w:r w:rsidRPr="00B9235D">
        <w:rPr>
          <w:rFonts w:ascii="Verdana" w:hAnsi="Verdana"/>
        </w:rPr>
        <w:t>sociedad</w:t>
      </w:r>
      <w:r w:rsidRPr="00B9235D">
        <w:rPr>
          <w:rFonts w:ascii="Verdana" w:hAnsi="Verdana"/>
          <w:spacing w:val="-6"/>
        </w:rPr>
        <w:t xml:space="preserve"> </w:t>
      </w:r>
      <w:r w:rsidRPr="00B9235D">
        <w:rPr>
          <w:rFonts w:ascii="Verdana" w:hAnsi="Verdana"/>
        </w:rPr>
        <w:t>comercial,</w:t>
      </w:r>
      <w:r w:rsidRPr="00B9235D">
        <w:rPr>
          <w:rFonts w:ascii="Verdana" w:hAnsi="Verdana"/>
          <w:spacing w:val="-5"/>
        </w:rPr>
        <w:t xml:space="preserve"> </w:t>
      </w:r>
      <w:r w:rsidRPr="00B9235D">
        <w:rPr>
          <w:rFonts w:ascii="Verdana" w:hAnsi="Verdana"/>
        </w:rPr>
        <w:t>en</w:t>
      </w:r>
      <w:r w:rsidRPr="00B9235D">
        <w:rPr>
          <w:rFonts w:ascii="Verdana" w:hAnsi="Verdana"/>
          <w:spacing w:val="-7"/>
        </w:rPr>
        <w:t xml:space="preserve"> </w:t>
      </w:r>
      <w:r w:rsidRPr="00B9235D">
        <w:rPr>
          <w:rFonts w:ascii="Verdana" w:hAnsi="Verdana"/>
        </w:rPr>
        <w:t>la cual se detalla la naturaleza jurídica, composición, estructura, capital, entre otros, con el propósito de transformar o cambiar la forma o tipo societario que adoptó, como sociedad anónima, limitada, en comandita, etc. Es decir, si una sociedad se crea como sociedad de responsabilidad limitada y, sin “disolverse”, decide adoptar la figura de sociedad anónima, lo podrá hacer mediante una reforma estatutaria, sin que se interrumpa la continuidad de la sociedad comercial o persona jurídica</w:t>
      </w:r>
      <w:r w:rsidRPr="00B9235D">
        <w:rPr>
          <w:rStyle w:val="Refdenotaalpie"/>
          <w:rFonts w:ascii="Verdana" w:hAnsi="Verdana"/>
        </w:rPr>
        <w:footnoteReference w:id="2"/>
      </w:r>
      <w:r w:rsidRPr="00B9235D">
        <w:rPr>
          <w:rFonts w:ascii="Verdana" w:hAnsi="Verdana"/>
        </w:rPr>
        <w:t>. Es importante destacar que en esta reforma estatutaria solo participa la sociedad involucrada, y no existen otras sociedades que se relacionen o intervengan, lo cual diferencia la transformación de otras reformas o figuras.</w:t>
      </w:r>
    </w:p>
    <w:p w14:paraId="67B2973B" w14:textId="77777777" w:rsidR="009D767D" w:rsidRPr="00B9235D" w:rsidRDefault="009D767D" w:rsidP="009D767D">
      <w:pPr>
        <w:pStyle w:val="Textoindependiente"/>
        <w:spacing w:line="276" w:lineRule="auto"/>
        <w:ind w:right="51" w:firstLine="708"/>
        <w:jc w:val="both"/>
        <w:rPr>
          <w:rFonts w:ascii="Verdana" w:hAnsi="Verdana"/>
        </w:rPr>
      </w:pPr>
      <w:r w:rsidRPr="00B9235D">
        <w:rPr>
          <w:rFonts w:ascii="Verdana" w:hAnsi="Verdana"/>
        </w:rPr>
        <w:lastRenderedPageBreak/>
        <w:t>Respecto de las consecuencias jurídicas, teniendo en cuenta que la sociedad solo cambia</w:t>
      </w:r>
      <w:r w:rsidRPr="00B9235D">
        <w:rPr>
          <w:rFonts w:ascii="Verdana" w:hAnsi="Verdana"/>
          <w:spacing w:val="-12"/>
        </w:rPr>
        <w:t xml:space="preserve"> </w:t>
      </w:r>
      <w:r w:rsidRPr="00B9235D">
        <w:rPr>
          <w:rFonts w:ascii="Verdana" w:hAnsi="Verdana"/>
        </w:rPr>
        <w:t>su</w:t>
      </w:r>
      <w:r w:rsidRPr="00B9235D">
        <w:rPr>
          <w:rFonts w:ascii="Verdana" w:hAnsi="Verdana"/>
          <w:spacing w:val="-12"/>
        </w:rPr>
        <w:t xml:space="preserve"> </w:t>
      </w:r>
      <w:r w:rsidRPr="00B9235D">
        <w:rPr>
          <w:rFonts w:ascii="Verdana" w:hAnsi="Verdana"/>
        </w:rPr>
        <w:t>forma,</w:t>
      </w:r>
      <w:r w:rsidRPr="00B9235D">
        <w:rPr>
          <w:rFonts w:ascii="Verdana" w:hAnsi="Verdana"/>
          <w:spacing w:val="-11"/>
        </w:rPr>
        <w:t xml:space="preserve"> </w:t>
      </w:r>
      <w:r w:rsidRPr="00B9235D">
        <w:rPr>
          <w:rFonts w:ascii="Verdana" w:hAnsi="Verdana"/>
        </w:rPr>
        <w:t>lo</w:t>
      </w:r>
      <w:r w:rsidRPr="00B9235D">
        <w:rPr>
          <w:rFonts w:ascii="Verdana" w:hAnsi="Verdana"/>
          <w:spacing w:val="-12"/>
        </w:rPr>
        <w:t xml:space="preserve"> </w:t>
      </w:r>
      <w:r w:rsidRPr="00B9235D">
        <w:rPr>
          <w:rFonts w:ascii="Verdana" w:hAnsi="Verdana"/>
        </w:rPr>
        <w:t>cual,</w:t>
      </w:r>
      <w:r w:rsidRPr="00B9235D">
        <w:rPr>
          <w:rFonts w:ascii="Verdana" w:hAnsi="Verdana"/>
          <w:spacing w:val="-12"/>
        </w:rPr>
        <w:t xml:space="preserve"> </w:t>
      </w:r>
      <w:r w:rsidRPr="00B9235D">
        <w:rPr>
          <w:rFonts w:ascii="Verdana" w:hAnsi="Verdana"/>
        </w:rPr>
        <w:t>de</w:t>
      </w:r>
      <w:r w:rsidRPr="00B9235D">
        <w:rPr>
          <w:rFonts w:ascii="Verdana" w:hAnsi="Verdana"/>
          <w:spacing w:val="-12"/>
        </w:rPr>
        <w:t xml:space="preserve"> </w:t>
      </w:r>
      <w:r w:rsidRPr="00B9235D">
        <w:rPr>
          <w:rFonts w:ascii="Verdana" w:hAnsi="Verdana"/>
        </w:rPr>
        <w:t>acuerdo</w:t>
      </w:r>
      <w:r w:rsidRPr="00B9235D">
        <w:rPr>
          <w:rFonts w:ascii="Verdana" w:hAnsi="Verdana"/>
          <w:spacing w:val="-11"/>
        </w:rPr>
        <w:t xml:space="preserve"> </w:t>
      </w:r>
      <w:r w:rsidRPr="00B9235D">
        <w:rPr>
          <w:rFonts w:ascii="Verdana" w:hAnsi="Verdana"/>
        </w:rPr>
        <w:t>con</w:t>
      </w:r>
      <w:r w:rsidRPr="00B9235D">
        <w:rPr>
          <w:rFonts w:ascii="Verdana" w:hAnsi="Verdana"/>
          <w:spacing w:val="-13"/>
        </w:rPr>
        <w:t xml:space="preserve"> </w:t>
      </w:r>
      <w:r w:rsidRPr="00B9235D">
        <w:rPr>
          <w:rFonts w:ascii="Verdana" w:hAnsi="Verdana"/>
        </w:rPr>
        <w:t>el</w:t>
      </w:r>
      <w:r w:rsidRPr="00B9235D">
        <w:rPr>
          <w:rFonts w:ascii="Verdana" w:hAnsi="Verdana"/>
          <w:spacing w:val="-12"/>
        </w:rPr>
        <w:t xml:space="preserve"> </w:t>
      </w:r>
      <w:r w:rsidRPr="00B9235D">
        <w:rPr>
          <w:rFonts w:ascii="Verdana" w:hAnsi="Verdana"/>
        </w:rPr>
        <w:t>Código</w:t>
      </w:r>
      <w:r w:rsidRPr="00B9235D">
        <w:rPr>
          <w:rFonts w:ascii="Verdana" w:hAnsi="Verdana"/>
          <w:spacing w:val="-11"/>
        </w:rPr>
        <w:t xml:space="preserve"> </w:t>
      </w:r>
      <w:r w:rsidRPr="00B9235D">
        <w:rPr>
          <w:rFonts w:ascii="Verdana" w:hAnsi="Verdana"/>
        </w:rPr>
        <w:t>de</w:t>
      </w:r>
      <w:r w:rsidRPr="00B9235D">
        <w:rPr>
          <w:rFonts w:ascii="Verdana" w:hAnsi="Verdana"/>
          <w:spacing w:val="-12"/>
        </w:rPr>
        <w:t xml:space="preserve"> </w:t>
      </w:r>
      <w:r w:rsidRPr="00B9235D">
        <w:rPr>
          <w:rFonts w:ascii="Verdana" w:hAnsi="Verdana"/>
        </w:rPr>
        <w:t>Comercio,</w:t>
      </w:r>
      <w:r w:rsidRPr="00B9235D">
        <w:rPr>
          <w:rFonts w:ascii="Verdana" w:hAnsi="Verdana"/>
          <w:spacing w:val="-10"/>
        </w:rPr>
        <w:t xml:space="preserve"> </w:t>
      </w:r>
      <w:r w:rsidRPr="00B9235D">
        <w:rPr>
          <w:rFonts w:ascii="Verdana" w:hAnsi="Verdana"/>
        </w:rPr>
        <w:t>no</w:t>
      </w:r>
      <w:r w:rsidRPr="00B9235D">
        <w:rPr>
          <w:rFonts w:ascii="Verdana" w:hAnsi="Verdana"/>
          <w:spacing w:val="-12"/>
        </w:rPr>
        <w:t xml:space="preserve"> </w:t>
      </w:r>
      <w:r w:rsidRPr="00B9235D">
        <w:rPr>
          <w:rFonts w:ascii="Verdana" w:hAnsi="Verdana"/>
        </w:rPr>
        <w:t>afecta</w:t>
      </w:r>
      <w:r w:rsidRPr="00B9235D">
        <w:rPr>
          <w:rFonts w:ascii="Verdana" w:hAnsi="Verdana"/>
          <w:spacing w:val="-12"/>
        </w:rPr>
        <w:t xml:space="preserve"> </w:t>
      </w:r>
      <w:r w:rsidRPr="00B9235D">
        <w:rPr>
          <w:rFonts w:ascii="Verdana" w:hAnsi="Verdana"/>
        </w:rPr>
        <w:t>sus</w:t>
      </w:r>
      <w:r w:rsidRPr="00B9235D">
        <w:rPr>
          <w:rFonts w:ascii="Verdana" w:hAnsi="Verdana"/>
          <w:spacing w:val="-13"/>
        </w:rPr>
        <w:t xml:space="preserve"> </w:t>
      </w:r>
      <w:r w:rsidRPr="00B9235D">
        <w:rPr>
          <w:rFonts w:ascii="Verdana" w:hAnsi="Verdana"/>
        </w:rPr>
        <w:t>actividades, la</w:t>
      </w:r>
      <w:r w:rsidRPr="00B9235D">
        <w:rPr>
          <w:rFonts w:ascii="Verdana" w:hAnsi="Verdana"/>
          <w:spacing w:val="-15"/>
        </w:rPr>
        <w:t xml:space="preserve"> </w:t>
      </w:r>
      <w:r w:rsidRPr="00B9235D">
        <w:rPr>
          <w:rFonts w:ascii="Verdana" w:hAnsi="Verdana"/>
        </w:rPr>
        <w:t>sociedad</w:t>
      </w:r>
      <w:r w:rsidRPr="00B9235D">
        <w:rPr>
          <w:rFonts w:ascii="Verdana" w:hAnsi="Verdana"/>
          <w:spacing w:val="-14"/>
        </w:rPr>
        <w:t xml:space="preserve"> </w:t>
      </w:r>
      <w:r w:rsidRPr="00B9235D">
        <w:rPr>
          <w:rFonts w:ascii="Verdana" w:hAnsi="Verdana"/>
        </w:rPr>
        <w:t>continuará</w:t>
      </w:r>
      <w:r w:rsidRPr="00B9235D">
        <w:rPr>
          <w:rFonts w:ascii="Verdana" w:hAnsi="Verdana"/>
          <w:spacing w:val="-13"/>
        </w:rPr>
        <w:t xml:space="preserve"> </w:t>
      </w:r>
      <w:r w:rsidRPr="00B9235D">
        <w:rPr>
          <w:rFonts w:ascii="Verdana" w:hAnsi="Verdana"/>
        </w:rPr>
        <w:t>con</w:t>
      </w:r>
      <w:r w:rsidRPr="00B9235D">
        <w:rPr>
          <w:rFonts w:ascii="Verdana" w:hAnsi="Verdana"/>
          <w:spacing w:val="-15"/>
        </w:rPr>
        <w:t xml:space="preserve"> </w:t>
      </w:r>
      <w:r w:rsidRPr="00B9235D">
        <w:rPr>
          <w:rFonts w:ascii="Verdana" w:hAnsi="Verdana"/>
        </w:rPr>
        <w:t>la</w:t>
      </w:r>
      <w:r w:rsidRPr="00B9235D">
        <w:rPr>
          <w:rFonts w:ascii="Verdana" w:hAnsi="Verdana"/>
          <w:spacing w:val="-15"/>
        </w:rPr>
        <w:t xml:space="preserve"> </w:t>
      </w:r>
      <w:r w:rsidRPr="00B9235D">
        <w:rPr>
          <w:rFonts w:ascii="Verdana" w:hAnsi="Verdana"/>
        </w:rPr>
        <w:t>experiencia</w:t>
      </w:r>
      <w:r w:rsidRPr="00B9235D">
        <w:rPr>
          <w:rFonts w:ascii="Verdana" w:hAnsi="Verdana"/>
          <w:spacing w:val="-14"/>
        </w:rPr>
        <w:t xml:space="preserve"> </w:t>
      </w:r>
      <w:r w:rsidRPr="00B9235D">
        <w:rPr>
          <w:rFonts w:ascii="Verdana" w:hAnsi="Verdana"/>
        </w:rPr>
        <w:t>adquirida,</w:t>
      </w:r>
      <w:r w:rsidRPr="00B9235D">
        <w:rPr>
          <w:rFonts w:ascii="Verdana" w:hAnsi="Verdana"/>
          <w:spacing w:val="-13"/>
        </w:rPr>
        <w:t xml:space="preserve"> </w:t>
      </w:r>
      <w:r w:rsidRPr="00B9235D">
        <w:rPr>
          <w:rFonts w:ascii="Verdana" w:hAnsi="Verdana"/>
        </w:rPr>
        <w:t>ya</w:t>
      </w:r>
      <w:r w:rsidRPr="00B9235D">
        <w:rPr>
          <w:rFonts w:ascii="Verdana" w:hAnsi="Verdana"/>
          <w:spacing w:val="-15"/>
        </w:rPr>
        <w:t xml:space="preserve"> </w:t>
      </w:r>
      <w:r w:rsidRPr="00B9235D">
        <w:rPr>
          <w:rFonts w:ascii="Verdana" w:hAnsi="Verdana"/>
        </w:rPr>
        <w:t>que</w:t>
      </w:r>
      <w:r w:rsidRPr="00B9235D">
        <w:rPr>
          <w:rFonts w:ascii="Verdana" w:hAnsi="Verdana"/>
          <w:spacing w:val="-14"/>
        </w:rPr>
        <w:t xml:space="preserve"> </w:t>
      </w:r>
      <w:r w:rsidRPr="00B9235D">
        <w:rPr>
          <w:rFonts w:ascii="Verdana" w:hAnsi="Verdana"/>
        </w:rPr>
        <w:t>la</w:t>
      </w:r>
      <w:r w:rsidRPr="00B9235D">
        <w:rPr>
          <w:rFonts w:ascii="Verdana" w:hAnsi="Verdana"/>
          <w:spacing w:val="-15"/>
        </w:rPr>
        <w:t xml:space="preserve"> </w:t>
      </w:r>
      <w:r w:rsidRPr="00B9235D">
        <w:rPr>
          <w:rFonts w:ascii="Verdana" w:hAnsi="Verdana"/>
        </w:rPr>
        <w:t>misma</w:t>
      </w:r>
      <w:r w:rsidRPr="00B9235D">
        <w:rPr>
          <w:rFonts w:ascii="Verdana" w:hAnsi="Verdana"/>
          <w:spacing w:val="-15"/>
        </w:rPr>
        <w:t xml:space="preserve"> </w:t>
      </w:r>
      <w:r w:rsidRPr="00B9235D">
        <w:rPr>
          <w:rFonts w:ascii="Verdana" w:hAnsi="Verdana"/>
        </w:rPr>
        <w:t>es</w:t>
      </w:r>
      <w:r w:rsidRPr="00B9235D">
        <w:rPr>
          <w:rFonts w:ascii="Verdana" w:hAnsi="Verdana"/>
          <w:spacing w:val="-15"/>
        </w:rPr>
        <w:t xml:space="preserve"> </w:t>
      </w:r>
      <w:r w:rsidRPr="00B9235D">
        <w:rPr>
          <w:rFonts w:ascii="Verdana" w:hAnsi="Verdana"/>
        </w:rPr>
        <w:t>personal</w:t>
      </w:r>
      <w:r w:rsidRPr="00B9235D">
        <w:rPr>
          <w:rFonts w:ascii="Verdana" w:hAnsi="Verdana"/>
          <w:spacing w:val="-14"/>
        </w:rPr>
        <w:t xml:space="preserve"> </w:t>
      </w:r>
      <w:r w:rsidRPr="00B9235D">
        <w:rPr>
          <w:rFonts w:ascii="Verdana" w:hAnsi="Verdana"/>
        </w:rPr>
        <w:t>y</w:t>
      </w:r>
      <w:r w:rsidRPr="00B9235D">
        <w:rPr>
          <w:rFonts w:ascii="Verdana" w:hAnsi="Verdana"/>
          <w:spacing w:val="-15"/>
        </w:rPr>
        <w:t xml:space="preserve"> </w:t>
      </w:r>
      <w:r w:rsidRPr="00B9235D">
        <w:rPr>
          <w:rFonts w:ascii="Verdana" w:hAnsi="Verdana"/>
        </w:rPr>
        <w:t>mientras la</w:t>
      </w:r>
      <w:r w:rsidRPr="00B9235D">
        <w:rPr>
          <w:rFonts w:ascii="Verdana" w:hAnsi="Verdana"/>
          <w:spacing w:val="-5"/>
        </w:rPr>
        <w:t xml:space="preserve"> </w:t>
      </w:r>
      <w:r w:rsidRPr="00B9235D">
        <w:rPr>
          <w:rFonts w:ascii="Verdana" w:hAnsi="Verdana"/>
        </w:rPr>
        <w:t>persona</w:t>
      </w:r>
      <w:r w:rsidRPr="00B9235D">
        <w:rPr>
          <w:rFonts w:ascii="Verdana" w:hAnsi="Verdana"/>
          <w:spacing w:val="-4"/>
        </w:rPr>
        <w:t xml:space="preserve"> </w:t>
      </w:r>
      <w:r w:rsidRPr="00B9235D">
        <w:rPr>
          <w:rFonts w:ascii="Verdana" w:hAnsi="Verdana"/>
        </w:rPr>
        <w:t>jurídica</w:t>
      </w:r>
      <w:r w:rsidRPr="00B9235D">
        <w:rPr>
          <w:rFonts w:ascii="Verdana" w:hAnsi="Verdana"/>
          <w:spacing w:val="-4"/>
        </w:rPr>
        <w:t xml:space="preserve"> </w:t>
      </w:r>
      <w:r w:rsidRPr="00B9235D">
        <w:rPr>
          <w:rFonts w:ascii="Verdana" w:hAnsi="Verdana"/>
        </w:rPr>
        <w:t>exista</w:t>
      </w:r>
      <w:r w:rsidRPr="00B9235D">
        <w:rPr>
          <w:rFonts w:ascii="Verdana" w:hAnsi="Verdana"/>
          <w:spacing w:val="-4"/>
        </w:rPr>
        <w:t xml:space="preserve"> </w:t>
      </w:r>
      <w:r w:rsidRPr="00B9235D">
        <w:rPr>
          <w:rFonts w:ascii="Verdana" w:hAnsi="Verdana"/>
        </w:rPr>
        <w:t>la</w:t>
      </w:r>
      <w:r w:rsidRPr="00B9235D">
        <w:rPr>
          <w:rFonts w:ascii="Verdana" w:hAnsi="Verdana"/>
          <w:spacing w:val="-5"/>
        </w:rPr>
        <w:t xml:space="preserve"> </w:t>
      </w:r>
      <w:r w:rsidRPr="00B9235D">
        <w:rPr>
          <w:rFonts w:ascii="Verdana" w:hAnsi="Verdana"/>
        </w:rPr>
        <w:t>experiencia</w:t>
      </w:r>
      <w:r w:rsidRPr="00B9235D">
        <w:rPr>
          <w:rFonts w:ascii="Verdana" w:hAnsi="Verdana"/>
          <w:spacing w:val="-4"/>
        </w:rPr>
        <w:t xml:space="preserve"> </w:t>
      </w:r>
      <w:r w:rsidRPr="00B9235D">
        <w:rPr>
          <w:rFonts w:ascii="Verdana" w:hAnsi="Verdana"/>
        </w:rPr>
        <w:t>sigue</w:t>
      </w:r>
      <w:r w:rsidRPr="00B9235D">
        <w:rPr>
          <w:rFonts w:ascii="Verdana" w:hAnsi="Verdana"/>
          <w:spacing w:val="-4"/>
        </w:rPr>
        <w:t xml:space="preserve"> </w:t>
      </w:r>
      <w:r w:rsidRPr="00B9235D">
        <w:rPr>
          <w:rFonts w:ascii="Verdana" w:hAnsi="Verdana"/>
        </w:rPr>
        <w:t>vigente</w:t>
      </w:r>
      <w:r w:rsidRPr="00B9235D">
        <w:rPr>
          <w:rFonts w:ascii="Verdana" w:hAnsi="Verdana"/>
          <w:spacing w:val="-3"/>
        </w:rPr>
        <w:t xml:space="preserve"> </w:t>
      </w:r>
      <w:r w:rsidRPr="00B9235D">
        <w:rPr>
          <w:rFonts w:ascii="Verdana" w:hAnsi="Verdana"/>
        </w:rPr>
        <w:t>y</w:t>
      </w:r>
      <w:r w:rsidRPr="00B9235D">
        <w:rPr>
          <w:rFonts w:ascii="Verdana" w:hAnsi="Verdana"/>
          <w:spacing w:val="-5"/>
        </w:rPr>
        <w:t xml:space="preserve"> </w:t>
      </w:r>
      <w:r w:rsidRPr="00B9235D">
        <w:rPr>
          <w:rFonts w:ascii="Verdana" w:hAnsi="Verdana"/>
        </w:rPr>
        <w:t>puede</w:t>
      </w:r>
      <w:r w:rsidRPr="00B9235D">
        <w:rPr>
          <w:rFonts w:ascii="Verdana" w:hAnsi="Verdana"/>
          <w:spacing w:val="-4"/>
        </w:rPr>
        <w:t xml:space="preserve"> </w:t>
      </w:r>
      <w:r w:rsidRPr="00B9235D">
        <w:rPr>
          <w:rFonts w:ascii="Verdana" w:hAnsi="Verdana"/>
        </w:rPr>
        <w:t>incrementarse,</w:t>
      </w:r>
      <w:r w:rsidRPr="00B9235D">
        <w:rPr>
          <w:rFonts w:ascii="Verdana" w:hAnsi="Verdana"/>
          <w:spacing w:val="-1"/>
        </w:rPr>
        <w:t xml:space="preserve"> </w:t>
      </w:r>
      <w:r w:rsidRPr="00B9235D">
        <w:rPr>
          <w:rFonts w:ascii="Verdana" w:hAnsi="Verdana"/>
        </w:rPr>
        <w:t>siempre</w:t>
      </w:r>
      <w:r w:rsidRPr="00B9235D">
        <w:rPr>
          <w:rFonts w:ascii="Verdana" w:hAnsi="Verdana"/>
          <w:spacing w:val="-3"/>
        </w:rPr>
        <w:t xml:space="preserve"> </w:t>
      </w:r>
      <w:r w:rsidRPr="00B9235D">
        <w:rPr>
          <w:rFonts w:ascii="Verdana" w:hAnsi="Verdana"/>
        </w:rPr>
        <w:t>que la</w:t>
      </w:r>
      <w:r w:rsidRPr="00B9235D">
        <w:rPr>
          <w:rFonts w:ascii="Verdana" w:hAnsi="Verdana"/>
          <w:spacing w:val="-5"/>
        </w:rPr>
        <w:t xml:space="preserve"> </w:t>
      </w:r>
      <w:r w:rsidRPr="00B9235D">
        <w:rPr>
          <w:rFonts w:ascii="Verdana" w:hAnsi="Verdana"/>
        </w:rPr>
        <w:t>empresa</w:t>
      </w:r>
      <w:r w:rsidRPr="00B9235D">
        <w:rPr>
          <w:rFonts w:ascii="Verdana" w:hAnsi="Verdana"/>
          <w:spacing w:val="-4"/>
        </w:rPr>
        <w:t xml:space="preserve"> </w:t>
      </w:r>
      <w:r w:rsidRPr="00B9235D">
        <w:rPr>
          <w:rFonts w:ascii="Verdana" w:hAnsi="Verdana"/>
        </w:rPr>
        <w:t>continúe</w:t>
      </w:r>
      <w:r w:rsidRPr="00B9235D">
        <w:rPr>
          <w:rFonts w:ascii="Verdana" w:hAnsi="Verdana"/>
          <w:spacing w:val="-3"/>
        </w:rPr>
        <w:t xml:space="preserve"> </w:t>
      </w:r>
      <w:r w:rsidRPr="00B9235D">
        <w:rPr>
          <w:rFonts w:ascii="Verdana" w:hAnsi="Verdana"/>
        </w:rPr>
        <w:t>ejecutando</w:t>
      </w:r>
      <w:r w:rsidRPr="00B9235D">
        <w:rPr>
          <w:rFonts w:ascii="Verdana" w:hAnsi="Verdana"/>
          <w:spacing w:val="-3"/>
        </w:rPr>
        <w:t xml:space="preserve"> </w:t>
      </w:r>
      <w:r w:rsidRPr="00B9235D">
        <w:rPr>
          <w:rFonts w:ascii="Verdana" w:hAnsi="Verdana"/>
        </w:rPr>
        <w:t>contratos</w:t>
      </w:r>
      <w:r w:rsidRPr="00B9235D">
        <w:rPr>
          <w:rFonts w:ascii="Verdana" w:hAnsi="Verdana"/>
          <w:spacing w:val="-4"/>
        </w:rPr>
        <w:t xml:space="preserve"> </w:t>
      </w:r>
      <w:r w:rsidRPr="00B9235D">
        <w:rPr>
          <w:rFonts w:ascii="Verdana" w:hAnsi="Verdana"/>
        </w:rPr>
        <w:t>que</w:t>
      </w:r>
      <w:r w:rsidRPr="00B9235D">
        <w:rPr>
          <w:rFonts w:ascii="Verdana" w:hAnsi="Verdana"/>
          <w:spacing w:val="-4"/>
        </w:rPr>
        <w:t xml:space="preserve"> </w:t>
      </w:r>
      <w:r w:rsidRPr="00B9235D">
        <w:rPr>
          <w:rFonts w:ascii="Verdana" w:hAnsi="Verdana"/>
        </w:rPr>
        <w:t>le</w:t>
      </w:r>
      <w:r w:rsidRPr="00B9235D">
        <w:rPr>
          <w:rFonts w:ascii="Verdana" w:hAnsi="Verdana"/>
          <w:spacing w:val="-4"/>
        </w:rPr>
        <w:t xml:space="preserve"> </w:t>
      </w:r>
      <w:r w:rsidRPr="00B9235D">
        <w:rPr>
          <w:rFonts w:ascii="Verdana" w:hAnsi="Verdana"/>
        </w:rPr>
        <w:t>permitan</w:t>
      </w:r>
      <w:r w:rsidRPr="00B9235D">
        <w:rPr>
          <w:rFonts w:ascii="Verdana" w:hAnsi="Verdana"/>
          <w:spacing w:val="-4"/>
        </w:rPr>
        <w:t xml:space="preserve"> </w:t>
      </w:r>
      <w:r w:rsidRPr="00B9235D">
        <w:rPr>
          <w:rFonts w:ascii="Verdana" w:hAnsi="Verdana"/>
        </w:rPr>
        <w:t>aumentar</w:t>
      </w:r>
      <w:r w:rsidRPr="00B9235D">
        <w:rPr>
          <w:rFonts w:ascii="Verdana" w:hAnsi="Verdana"/>
          <w:spacing w:val="-3"/>
        </w:rPr>
        <w:t xml:space="preserve"> </w:t>
      </w:r>
      <w:r w:rsidRPr="00B9235D">
        <w:rPr>
          <w:rFonts w:ascii="Verdana" w:hAnsi="Verdana"/>
        </w:rPr>
        <w:t>el</w:t>
      </w:r>
      <w:r w:rsidRPr="00B9235D">
        <w:rPr>
          <w:rFonts w:ascii="Verdana" w:hAnsi="Verdana"/>
          <w:spacing w:val="-4"/>
        </w:rPr>
        <w:t xml:space="preserve"> </w:t>
      </w:r>
      <w:r w:rsidRPr="00B9235D">
        <w:rPr>
          <w:rFonts w:ascii="Verdana" w:hAnsi="Verdana"/>
        </w:rPr>
        <w:t>conocimiento</w:t>
      </w:r>
      <w:r w:rsidRPr="00B9235D">
        <w:rPr>
          <w:rFonts w:ascii="Verdana" w:hAnsi="Verdana"/>
          <w:spacing w:val="-2"/>
        </w:rPr>
        <w:t xml:space="preserve"> </w:t>
      </w:r>
      <w:r w:rsidRPr="00B9235D">
        <w:rPr>
          <w:rFonts w:ascii="Verdana" w:hAnsi="Verdana"/>
        </w:rPr>
        <w:t>en</w:t>
      </w:r>
      <w:r w:rsidRPr="00B9235D">
        <w:rPr>
          <w:rFonts w:ascii="Verdana" w:hAnsi="Verdana"/>
          <w:spacing w:val="-5"/>
        </w:rPr>
        <w:t xml:space="preserve"> </w:t>
      </w:r>
      <w:r w:rsidRPr="00B9235D">
        <w:rPr>
          <w:rFonts w:ascii="Verdana" w:hAnsi="Verdana"/>
        </w:rPr>
        <w:t>su objeto</w:t>
      </w:r>
      <w:r w:rsidRPr="00B9235D">
        <w:rPr>
          <w:rFonts w:ascii="Verdana" w:hAnsi="Verdana"/>
          <w:spacing w:val="-13"/>
        </w:rPr>
        <w:t xml:space="preserve"> </w:t>
      </w:r>
      <w:r w:rsidRPr="00B9235D">
        <w:rPr>
          <w:rFonts w:ascii="Verdana" w:hAnsi="Verdana"/>
        </w:rPr>
        <w:t>social.</w:t>
      </w:r>
      <w:r w:rsidRPr="00B9235D">
        <w:rPr>
          <w:rFonts w:ascii="Verdana" w:hAnsi="Verdana"/>
          <w:spacing w:val="-13"/>
        </w:rPr>
        <w:t xml:space="preserve"> </w:t>
      </w:r>
      <w:r w:rsidRPr="00B9235D">
        <w:rPr>
          <w:rFonts w:ascii="Verdana" w:hAnsi="Verdana"/>
        </w:rPr>
        <w:t>Esto</w:t>
      </w:r>
      <w:r w:rsidRPr="00B9235D">
        <w:rPr>
          <w:rFonts w:ascii="Verdana" w:hAnsi="Verdana"/>
          <w:spacing w:val="-13"/>
        </w:rPr>
        <w:t xml:space="preserve"> </w:t>
      </w:r>
      <w:r w:rsidRPr="00B9235D">
        <w:rPr>
          <w:rFonts w:ascii="Verdana" w:hAnsi="Verdana"/>
        </w:rPr>
        <w:t>se</w:t>
      </w:r>
      <w:r w:rsidRPr="00B9235D">
        <w:rPr>
          <w:rFonts w:ascii="Verdana" w:hAnsi="Verdana"/>
          <w:spacing w:val="-14"/>
        </w:rPr>
        <w:t xml:space="preserve"> </w:t>
      </w:r>
      <w:r w:rsidRPr="00B9235D">
        <w:rPr>
          <w:rFonts w:ascii="Verdana" w:hAnsi="Verdana"/>
        </w:rPr>
        <w:t>reafirma</w:t>
      </w:r>
      <w:r w:rsidRPr="00B9235D">
        <w:rPr>
          <w:rFonts w:ascii="Verdana" w:hAnsi="Verdana"/>
          <w:spacing w:val="-13"/>
        </w:rPr>
        <w:t xml:space="preserve"> </w:t>
      </w:r>
      <w:r w:rsidRPr="00B9235D">
        <w:rPr>
          <w:rFonts w:ascii="Verdana" w:hAnsi="Verdana"/>
        </w:rPr>
        <w:t>teniendo</w:t>
      </w:r>
      <w:r w:rsidRPr="00B9235D">
        <w:rPr>
          <w:rFonts w:ascii="Verdana" w:hAnsi="Verdana"/>
          <w:spacing w:val="-12"/>
        </w:rPr>
        <w:t xml:space="preserve"> </w:t>
      </w:r>
      <w:r w:rsidRPr="00B9235D">
        <w:rPr>
          <w:rFonts w:ascii="Verdana" w:hAnsi="Verdana"/>
        </w:rPr>
        <w:t>en</w:t>
      </w:r>
      <w:r w:rsidRPr="00B9235D">
        <w:rPr>
          <w:rFonts w:ascii="Verdana" w:hAnsi="Verdana"/>
          <w:spacing w:val="-14"/>
        </w:rPr>
        <w:t xml:space="preserve"> </w:t>
      </w:r>
      <w:r w:rsidRPr="00B9235D">
        <w:rPr>
          <w:rFonts w:ascii="Verdana" w:hAnsi="Verdana"/>
        </w:rPr>
        <w:t>cuenta</w:t>
      </w:r>
      <w:r w:rsidRPr="00B9235D">
        <w:rPr>
          <w:rFonts w:ascii="Verdana" w:hAnsi="Verdana"/>
          <w:spacing w:val="-14"/>
        </w:rPr>
        <w:t xml:space="preserve"> </w:t>
      </w:r>
      <w:r w:rsidRPr="00B9235D">
        <w:rPr>
          <w:rFonts w:ascii="Verdana" w:hAnsi="Verdana"/>
        </w:rPr>
        <w:t>que</w:t>
      </w:r>
      <w:r w:rsidRPr="00B9235D">
        <w:rPr>
          <w:rFonts w:ascii="Verdana" w:hAnsi="Verdana"/>
          <w:spacing w:val="-14"/>
        </w:rPr>
        <w:t xml:space="preserve"> </w:t>
      </w:r>
      <w:r w:rsidRPr="00B9235D">
        <w:rPr>
          <w:rFonts w:ascii="Verdana" w:hAnsi="Verdana"/>
        </w:rPr>
        <w:t>en</w:t>
      </w:r>
      <w:r w:rsidRPr="00B9235D">
        <w:rPr>
          <w:rFonts w:ascii="Verdana" w:hAnsi="Verdana"/>
          <w:spacing w:val="-14"/>
        </w:rPr>
        <w:t xml:space="preserve"> </w:t>
      </w:r>
      <w:r w:rsidRPr="00B9235D">
        <w:rPr>
          <w:rFonts w:ascii="Verdana" w:hAnsi="Verdana"/>
        </w:rPr>
        <w:t>la</w:t>
      </w:r>
      <w:r w:rsidRPr="00B9235D">
        <w:rPr>
          <w:rFonts w:ascii="Verdana" w:hAnsi="Verdana"/>
          <w:spacing w:val="-14"/>
        </w:rPr>
        <w:t xml:space="preserve"> </w:t>
      </w:r>
      <w:r w:rsidRPr="00B9235D">
        <w:rPr>
          <w:rFonts w:ascii="Verdana" w:hAnsi="Verdana"/>
        </w:rPr>
        <w:t>transformación</w:t>
      </w:r>
      <w:r w:rsidRPr="00B9235D">
        <w:rPr>
          <w:rFonts w:ascii="Verdana" w:hAnsi="Verdana"/>
          <w:spacing w:val="-13"/>
        </w:rPr>
        <w:t xml:space="preserve"> </w:t>
      </w:r>
      <w:r w:rsidRPr="00B9235D">
        <w:rPr>
          <w:rFonts w:ascii="Verdana" w:hAnsi="Verdana"/>
        </w:rPr>
        <w:t>la</w:t>
      </w:r>
      <w:r w:rsidRPr="00B9235D">
        <w:rPr>
          <w:rFonts w:ascii="Verdana" w:hAnsi="Verdana"/>
          <w:spacing w:val="-14"/>
        </w:rPr>
        <w:t xml:space="preserve"> </w:t>
      </w:r>
      <w:r w:rsidRPr="00B9235D">
        <w:rPr>
          <w:rFonts w:ascii="Verdana" w:hAnsi="Verdana"/>
        </w:rPr>
        <w:t>norma</w:t>
      </w:r>
      <w:r w:rsidRPr="00B9235D">
        <w:rPr>
          <w:rFonts w:ascii="Verdana" w:hAnsi="Verdana"/>
          <w:spacing w:val="-14"/>
        </w:rPr>
        <w:t xml:space="preserve"> </w:t>
      </w:r>
      <w:r w:rsidRPr="00B9235D">
        <w:rPr>
          <w:rFonts w:ascii="Verdana" w:hAnsi="Verdana"/>
        </w:rPr>
        <w:t>señala expresamente que la sociedad no se “disuelve” y, por ende, tampoco se “liquida”, porque, de</w:t>
      </w:r>
      <w:r w:rsidRPr="00B9235D">
        <w:rPr>
          <w:rFonts w:ascii="Verdana" w:hAnsi="Verdana"/>
          <w:spacing w:val="20"/>
        </w:rPr>
        <w:t xml:space="preserve"> </w:t>
      </w:r>
      <w:r w:rsidRPr="00B9235D">
        <w:rPr>
          <w:rFonts w:ascii="Verdana" w:hAnsi="Verdana"/>
        </w:rPr>
        <w:t>acuerdo</w:t>
      </w:r>
      <w:r w:rsidRPr="00B9235D">
        <w:rPr>
          <w:rFonts w:ascii="Verdana" w:hAnsi="Verdana"/>
          <w:spacing w:val="21"/>
        </w:rPr>
        <w:t xml:space="preserve"> </w:t>
      </w:r>
      <w:r w:rsidRPr="00B9235D">
        <w:rPr>
          <w:rFonts w:ascii="Verdana" w:hAnsi="Verdana"/>
        </w:rPr>
        <w:t>con</w:t>
      </w:r>
      <w:r w:rsidRPr="00B9235D">
        <w:rPr>
          <w:rFonts w:ascii="Verdana" w:hAnsi="Verdana"/>
          <w:spacing w:val="20"/>
        </w:rPr>
        <w:t xml:space="preserve"> </w:t>
      </w:r>
      <w:r w:rsidRPr="00B9235D">
        <w:rPr>
          <w:rFonts w:ascii="Verdana" w:hAnsi="Verdana"/>
        </w:rPr>
        <w:t>el</w:t>
      </w:r>
      <w:r w:rsidRPr="00B9235D">
        <w:rPr>
          <w:rFonts w:ascii="Verdana" w:hAnsi="Verdana"/>
          <w:spacing w:val="20"/>
        </w:rPr>
        <w:t xml:space="preserve"> </w:t>
      </w:r>
      <w:r w:rsidRPr="00B9235D">
        <w:rPr>
          <w:rFonts w:ascii="Verdana" w:hAnsi="Verdana"/>
        </w:rPr>
        <w:t>artículo</w:t>
      </w:r>
      <w:r w:rsidRPr="00B9235D">
        <w:rPr>
          <w:rFonts w:ascii="Verdana" w:hAnsi="Verdana"/>
          <w:spacing w:val="22"/>
        </w:rPr>
        <w:t xml:space="preserve"> </w:t>
      </w:r>
      <w:r w:rsidRPr="00B9235D">
        <w:rPr>
          <w:rFonts w:ascii="Verdana" w:hAnsi="Verdana"/>
        </w:rPr>
        <w:t>222</w:t>
      </w:r>
      <w:r w:rsidRPr="00B9235D">
        <w:rPr>
          <w:rFonts w:ascii="Verdana" w:hAnsi="Verdana"/>
          <w:spacing w:val="20"/>
        </w:rPr>
        <w:t xml:space="preserve"> </w:t>
      </w:r>
      <w:r w:rsidRPr="00B9235D">
        <w:rPr>
          <w:rFonts w:ascii="Verdana" w:hAnsi="Verdana"/>
        </w:rPr>
        <w:t>del</w:t>
      </w:r>
      <w:r w:rsidRPr="00B9235D">
        <w:rPr>
          <w:rFonts w:ascii="Verdana" w:hAnsi="Verdana"/>
          <w:spacing w:val="20"/>
        </w:rPr>
        <w:t xml:space="preserve"> </w:t>
      </w:r>
      <w:r w:rsidRPr="00B9235D">
        <w:rPr>
          <w:rFonts w:ascii="Verdana" w:hAnsi="Verdana"/>
        </w:rPr>
        <w:t>Código</w:t>
      </w:r>
      <w:r w:rsidRPr="00B9235D">
        <w:rPr>
          <w:rFonts w:ascii="Verdana" w:hAnsi="Verdana"/>
          <w:spacing w:val="21"/>
        </w:rPr>
        <w:t xml:space="preserve"> </w:t>
      </w:r>
      <w:r w:rsidRPr="00B9235D">
        <w:rPr>
          <w:rFonts w:ascii="Verdana" w:hAnsi="Verdana"/>
        </w:rPr>
        <w:t>de</w:t>
      </w:r>
      <w:r w:rsidRPr="00B9235D">
        <w:rPr>
          <w:rFonts w:ascii="Verdana" w:hAnsi="Verdana"/>
          <w:spacing w:val="20"/>
        </w:rPr>
        <w:t xml:space="preserve"> </w:t>
      </w:r>
      <w:r w:rsidRPr="00B9235D">
        <w:rPr>
          <w:rFonts w:ascii="Verdana" w:hAnsi="Verdana"/>
        </w:rPr>
        <w:t>Comercio,</w:t>
      </w:r>
      <w:r w:rsidRPr="00B9235D">
        <w:rPr>
          <w:rFonts w:ascii="Verdana" w:hAnsi="Verdana"/>
          <w:spacing w:val="22"/>
        </w:rPr>
        <w:t xml:space="preserve"> </w:t>
      </w:r>
      <w:r w:rsidRPr="00B9235D">
        <w:rPr>
          <w:rFonts w:ascii="Verdana" w:hAnsi="Verdana"/>
        </w:rPr>
        <w:t>para</w:t>
      </w:r>
      <w:r w:rsidRPr="00B9235D">
        <w:rPr>
          <w:rFonts w:ascii="Verdana" w:hAnsi="Verdana"/>
          <w:spacing w:val="20"/>
        </w:rPr>
        <w:t xml:space="preserve"> </w:t>
      </w:r>
      <w:r w:rsidRPr="00B9235D">
        <w:rPr>
          <w:rFonts w:ascii="Verdana" w:hAnsi="Verdana"/>
        </w:rPr>
        <w:t>“liquidarse”</w:t>
      </w:r>
      <w:r w:rsidRPr="00B9235D">
        <w:rPr>
          <w:rFonts w:ascii="Verdana" w:hAnsi="Verdana"/>
          <w:spacing w:val="20"/>
        </w:rPr>
        <w:t xml:space="preserve"> </w:t>
      </w:r>
      <w:r w:rsidRPr="00B9235D">
        <w:rPr>
          <w:rFonts w:ascii="Verdana" w:hAnsi="Verdana"/>
        </w:rPr>
        <w:t>necesita</w:t>
      </w:r>
      <w:r w:rsidRPr="00B9235D">
        <w:rPr>
          <w:rFonts w:ascii="Verdana" w:hAnsi="Verdana"/>
          <w:spacing w:val="20"/>
        </w:rPr>
        <w:t xml:space="preserve"> </w:t>
      </w:r>
      <w:r w:rsidRPr="00B9235D">
        <w:rPr>
          <w:rFonts w:ascii="Verdana" w:hAnsi="Verdana"/>
        </w:rPr>
        <w:t>estar “disuelta”. De esta manera, solo cambia el tipo societario que había adoptado en su constitución, es decir, no sufre modificaciones o alteraciones y por eso puede continuar adquiriendo experiencia y compartirla, pero no puede trasladarla, porque para ello tendría que “disolverse” –o conformar un consorcio–, como se verá en la fusión y en una de las modalidades de escisión.</w:t>
      </w:r>
    </w:p>
    <w:p w14:paraId="49609B8F" w14:textId="77777777" w:rsidR="009D767D" w:rsidRPr="00B9235D" w:rsidRDefault="009D767D" w:rsidP="009D767D">
      <w:pPr>
        <w:pStyle w:val="Prrafodelista"/>
        <w:widowControl w:val="0"/>
        <w:numPr>
          <w:ilvl w:val="2"/>
          <w:numId w:val="22"/>
        </w:numPr>
        <w:tabs>
          <w:tab w:val="left" w:pos="851"/>
        </w:tabs>
        <w:autoSpaceDE w:val="0"/>
        <w:autoSpaceDN w:val="0"/>
        <w:spacing w:after="120" w:line="276" w:lineRule="auto"/>
        <w:ind w:left="142" w:right="51" w:firstLine="567"/>
        <w:jc w:val="both"/>
        <w:rPr>
          <w:rFonts w:ascii="Verdana" w:hAnsi="Verdana"/>
        </w:rPr>
      </w:pPr>
      <w:r w:rsidRPr="00B9235D">
        <w:rPr>
          <w:rFonts w:ascii="Verdana" w:hAnsi="Verdana"/>
          <w:i/>
        </w:rPr>
        <w:t xml:space="preserve">Escisión: </w:t>
      </w:r>
      <w:r w:rsidRPr="00B9235D">
        <w:rPr>
          <w:rFonts w:ascii="Verdana" w:hAnsi="Verdana"/>
        </w:rPr>
        <w:t>Es</w:t>
      </w:r>
      <w:r w:rsidRPr="00B9235D">
        <w:rPr>
          <w:rFonts w:ascii="Verdana" w:hAnsi="Verdana"/>
          <w:spacing w:val="-2"/>
        </w:rPr>
        <w:t xml:space="preserve"> </w:t>
      </w:r>
      <w:r w:rsidRPr="00B9235D">
        <w:rPr>
          <w:rFonts w:ascii="Verdana" w:hAnsi="Verdana"/>
        </w:rPr>
        <w:t>una</w:t>
      </w:r>
      <w:r w:rsidRPr="00B9235D">
        <w:rPr>
          <w:rFonts w:ascii="Verdana" w:hAnsi="Verdana"/>
          <w:spacing w:val="-3"/>
        </w:rPr>
        <w:t xml:space="preserve"> </w:t>
      </w:r>
      <w:r w:rsidRPr="00B9235D">
        <w:rPr>
          <w:rFonts w:ascii="Verdana" w:hAnsi="Verdana"/>
        </w:rPr>
        <w:t>figura</w:t>
      </w:r>
      <w:r w:rsidRPr="00B9235D">
        <w:rPr>
          <w:rFonts w:ascii="Verdana" w:hAnsi="Verdana"/>
          <w:spacing w:val="-2"/>
        </w:rPr>
        <w:t xml:space="preserve"> </w:t>
      </w:r>
      <w:r w:rsidRPr="00B9235D">
        <w:rPr>
          <w:rFonts w:ascii="Verdana" w:hAnsi="Verdana"/>
        </w:rPr>
        <w:t>con</w:t>
      </w:r>
      <w:r w:rsidRPr="00B9235D">
        <w:rPr>
          <w:rFonts w:ascii="Verdana" w:hAnsi="Verdana"/>
          <w:spacing w:val="-3"/>
        </w:rPr>
        <w:t xml:space="preserve"> </w:t>
      </w:r>
      <w:r w:rsidRPr="00B9235D">
        <w:rPr>
          <w:rFonts w:ascii="Verdana" w:hAnsi="Verdana"/>
        </w:rPr>
        <w:t>dos</w:t>
      </w:r>
      <w:r w:rsidRPr="00B9235D">
        <w:rPr>
          <w:rFonts w:ascii="Verdana" w:hAnsi="Verdana"/>
          <w:spacing w:val="-3"/>
        </w:rPr>
        <w:t xml:space="preserve"> </w:t>
      </w:r>
      <w:r w:rsidRPr="00B9235D">
        <w:rPr>
          <w:rFonts w:ascii="Verdana" w:hAnsi="Verdana"/>
        </w:rPr>
        <w:t>modalidades</w:t>
      </w:r>
      <w:r w:rsidRPr="00B9235D">
        <w:rPr>
          <w:rFonts w:ascii="Verdana" w:hAnsi="Verdana"/>
          <w:spacing w:val="-2"/>
        </w:rPr>
        <w:t xml:space="preserve"> </w:t>
      </w:r>
      <w:r w:rsidRPr="00B9235D">
        <w:rPr>
          <w:rFonts w:ascii="Verdana" w:hAnsi="Verdana"/>
        </w:rPr>
        <w:t>reguladas</w:t>
      </w:r>
      <w:r w:rsidRPr="00B9235D">
        <w:rPr>
          <w:rFonts w:ascii="Verdana" w:hAnsi="Verdana"/>
          <w:spacing w:val="-2"/>
        </w:rPr>
        <w:t xml:space="preserve"> </w:t>
      </w:r>
      <w:r w:rsidRPr="00B9235D">
        <w:rPr>
          <w:rFonts w:ascii="Verdana" w:hAnsi="Verdana"/>
        </w:rPr>
        <w:t>entre</w:t>
      </w:r>
      <w:r w:rsidRPr="00B9235D">
        <w:rPr>
          <w:rFonts w:ascii="Verdana" w:hAnsi="Verdana"/>
          <w:spacing w:val="-2"/>
        </w:rPr>
        <w:t xml:space="preserve"> </w:t>
      </w:r>
      <w:r w:rsidRPr="00B9235D">
        <w:rPr>
          <w:rFonts w:ascii="Verdana" w:hAnsi="Verdana"/>
        </w:rPr>
        <w:t>los</w:t>
      </w:r>
      <w:r w:rsidRPr="00B9235D">
        <w:rPr>
          <w:rFonts w:ascii="Verdana" w:hAnsi="Verdana"/>
          <w:spacing w:val="-3"/>
        </w:rPr>
        <w:t xml:space="preserve"> </w:t>
      </w:r>
      <w:r w:rsidRPr="00B9235D">
        <w:rPr>
          <w:rFonts w:ascii="Verdana" w:hAnsi="Verdana"/>
        </w:rPr>
        <w:t>artículos</w:t>
      </w:r>
      <w:r w:rsidRPr="00B9235D">
        <w:rPr>
          <w:rFonts w:ascii="Verdana" w:hAnsi="Verdana"/>
          <w:spacing w:val="-2"/>
        </w:rPr>
        <w:t xml:space="preserve"> </w:t>
      </w:r>
      <w:r w:rsidRPr="00B9235D">
        <w:rPr>
          <w:rFonts w:ascii="Verdana" w:hAnsi="Verdana"/>
        </w:rPr>
        <w:t>3</w:t>
      </w:r>
      <w:r w:rsidRPr="00B9235D">
        <w:rPr>
          <w:rFonts w:ascii="Verdana" w:hAnsi="Verdana"/>
          <w:spacing w:val="-3"/>
        </w:rPr>
        <w:t xml:space="preserve"> </w:t>
      </w:r>
      <w:r w:rsidRPr="00B9235D">
        <w:rPr>
          <w:rFonts w:ascii="Verdana" w:hAnsi="Verdana"/>
        </w:rPr>
        <w:t>y</w:t>
      </w:r>
      <w:r w:rsidRPr="00B9235D">
        <w:rPr>
          <w:rFonts w:ascii="Verdana" w:hAnsi="Verdana"/>
          <w:spacing w:val="-3"/>
        </w:rPr>
        <w:t xml:space="preserve"> </w:t>
      </w:r>
      <w:r w:rsidRPr="00B9235D">
        <w:rPr>
          <w:rFonts w:ascii="Verdana" w:hAnsi="Verdana"/>
        </w:rPr>
        <w:t>11 de</w:t>
      </w:r>
      <w:r w:rsidRPr="00B9235D">
        <w:rPr>
          <w:rFonts w:ascii="Verdana" w:hAnsi="Verdana"/>
          <w:spacing w:val="-7"/>
        </w:rPr>
        <w:t xml:space="preserve"> </w:t>
      </w:r>
      <w:r w:rsidRPr="00B9235D">
        <w:rPr>
          <w:rFonts w:ascii="Verdana" w:hAnsi="Verdana"/>
        </w:rPr>
        <w:t>la</w:t>
      </w:r>
      <w:r w:rsidRPr="00B9235D">
        <w:rPr>
          <w:rFonts w:ascii="Verdana" w:hAnsi="Verdana"/>
          <w:spacing w:val="-7"/>
        </w:rPr>
        <w:t xml:space="preserve"> </w:t>
      </w:r>
      <w:r w:rsidRPr="00B9235D">
        <w:rPr>
          <w:rFonts w:ascii="Verdana" w:hAnsi="Verdana"/>
        </w:rPr>
        <w:t>Ley</w:t>
      </w:r>
      <w:r w:rsidRPr="00B9235D">
        <w:rPr>
          <w:rFonts w:ascii="Verdana" w:hAnsi="Verdana"/>
          <w:spacing w:val="-7"/>
        </w:rPr>
        <w:t xml:space="preserve"> </w:t>
      </w:r>
      <w:r w:rsidRPr="00B9235D">
        <w:rPr>
          <w:rFonts w:ascii="Verdana" w:hAnsi="Verdana"/>
        </w:rPr>
        <w:t>222</w:t>
      </w:r>
      <w:r w:rsidRPr="00B9235D">
        <w:rPr>
          <w:rFonts w:ascii="Verdana" w:hAnsi="Verdana"/>
          <w:spacing w:val="-7"/>
        </w:rPr>
        <w:t xml:space="preserve"> </w:t>
      </w:r>
      <w:r w:rsidRPr="00B9235D">
        <w:rPr>
          <w:rFonts w:ascii="Verdana" w:hAnsi="Verdana"/>
        </w:rPr>
        <w:t>de</w:t>
      </w:r>
      <w:r w:rsidRPr="00B9235D">
        <w:rPr>
          <w:rFonts w:ascii="Verdana" w:hAnsi="Verdana"/>
          <w:spacing w:val="-7"/>
        </w:rPr>
        <w:t xml:space="preserve"> </w:t>
      </w:r>
      <w:r w:rsidRPr="00B9235D">
        <w:rPr>
          <w:rFonts w:ascii="Verdana" w:hAnsi="Verdana"/>
        </w:rPr>
        <w:t>1995.</w:t>
      </w:r>
      <w:r w:rsidRPr="00B9235D">
        <w:rPr>
          <w:rFonts w:ascii="Verdana" w:hAnsi="Verdana"/>
          <w:spacing w:val="-6"/>
        </w:rPr>
        <w:t xml:space="preserve"> </w:t>
      </w:r>
      <w:r w:rsidRPr="00B9235D">
        <w:rPr>
          <w:rFonts w:ascii="Verdana" w:hAnsi="Verdana"/>
        </w:rPr>
        <w:t>La</w:t>
      </w:r>
      <w:r w:rsidRPr="00B9235D">
        <w:rPr>
          <w:rFonts w:ascii="Verdana" w:hAnsi="Verdana"/>
          <w:spacing w:val="-7"/>
        </w:rPr>
        <w:t xml:space="preserve"> </w:t>
      </w:r>
      <w:r w:rsidRPr="00B9235D">
        <w:rPr>
          <w:rFonts w:ascii="Verdana" w:hAnsi="Verdana"/>
        </w:rPr>
        <w:t>primera</w:t>
      </w:r>
      <w:r w:rsidRPr="00B9235D">
        <w:rPr>
          <w:rFonts w:ascii="Verdana" w:hAnsi="Verdana"/>
          <w:spacing w:val="-6"/>
        </w:rPr>
        <w:t xml:space="preserve"> </w:t>
      </w:r>
      <w:r w:rsidRPr="00B9235D">
        <w:rPr>
          <w:rFonts w:ascii="Verdana" w:hAnsi="Verdana"/>
        </w:rPr>
        <w:t>modalidad</w:t>
      </w:r>
      <w:r w:rsidRPr="00B9235D">
        <w:rPr>
          <w:rFonts w:ascii="Verdana" w:hAnsi="Verdana"/>
          <w:spacing w:val="-5"/>
        </w:rPr>
        <w:t xml:space="preserve"> </w:t>
      </w:r>
      <w:r w:rsidRPr="00B9235D">
        <w:rPr>
          <w:rFonts w:ascii="Verdana" w:hAnsi="Verdana"/>
        </w:rPr>
        <w:t>conocida</w:t>
      </w:r>
      <w:r w:rsidRPr="00B9235D">
        <w:rPr>
          <w:rFonts w:ascii="Verdana" w:hAnsi="Verdana"/>
          <w:spacing w:val="-7"/>
        </w:rPr>
        <w:t xml:space="preserve"> </w:t>
      </w:r>
      <w:r w:rsidRPr="00B9235D">
        <w:rPr>
          <w:rFonts w:ascii="Verdana" w:hAnsi="Verdana"/>
        </w:rPr>
        <w:t>como</w:t>
      </w:r>
      <w:r w:rsidRPr="00B9235D">
        <w:rPr>
          <w:rFonts w:ascii="Verdana" w:hAnsi="Verdana"/>
          <w:spacing w:val="-7"/>
        </w:rPr>
        <w:t xml:space="preserve"> </w:t>
      </w:r>
      <w:r w:rsidRPr="00B9235D">
        <w:rPr>
          <w:rFonts w:ascii="Verdana" w:hAnsi="Verdana"/>
          <w:i/>
        </w:rPr>
        <w:t>escisión</w:t>
      </w:r>
      <w:r w:rsidRPr="00B9235D">
        <w:rPr>
          <w:rFonts w:ascii="Verdana" w:hAnsi="Verdana"/>
          <w:i/>
          <w:spacing w:val="-6"/>
        </w:rPr>
        <w:t xml:space="preserve"> </w:t>
      </w:r>
      <w:r w:rsidRPr="00B9235D">
        <w:rPr>
          <w:rFonts w:ascii="Verdana" w:hAnsi="Verdana"/>
          <w:i/>
        </w:rPr>
        <w:t>parcial</w:t>
      </w:r>
      <w:r w:rsidRPr="00B9235D">
        <w:rPr>
          <w:rFonts w:ascii="Verdana" w:hAnsi="Verdana"/>
        </w:rPr>
        <w:t>,</w:t>
      </w:r>
      <w:r w:rsidRPr="00B9235D">
        <w:rPr>
          <w:rFonts w:ascii="Verdana" w:hAnsi="Verdana"/>
          <w:spacing w:val="-7"/>
        </w:rPr>
        <w:t xml:space="preserve"> </w:t>
      </w:r>
      <w:r w:rsidRPr="00B9235D">
        <w:rPr>
          <w:rFonts w:ascii="Verdana" w:hAnsi="Verdana"/>
        </w:rPr>
        <w:t>regulada</w:t>
      </w:r>
      <w:r w:rsidRPr="00B9235D">
        <w:rPr>
          <w:rFonts w:ascii="Verdana" w:hAnsi="Verdana"/>
          <w:spacing w:val="-6"/>
        </w:rPr>
        <w:t xml:space="preserve"> </w:t>
      </w:r>
      <w:r w:rsidRPr="00B9235D">
        <w:rPr>
          <w:rFonts w:ascii="Verdana" w:hAnsi="Verdana"/>
        </w:rPr>
        <w:t xml:space="preserve">por el numeral 1 del artículo 3 de la referida ley, se refiere acuerdos en el marco de los cuales la sociedad escindente no se </w:t>
      </w:r>
      <w:r w:rsidRPr="00B9235D">
        <w:rPr>
          <w:rFonts w:ascii="Verdana" w:hAnsi="Verdana"/>
          <w:i/>
        </w:rPr>
        <w:t xml:space="preserve">“disuelve” </w:t>
      </w:r>
      <w:r w:rsidRPr="00B9235D">
        <w:rPr>
          <w:rFonts w:ascii="Verdana" w:hAnsi="Verdana"/>
        </w:rPr>
        <w:t xml:space="preserve">ni se </w:t>
      </w:r>
      <w:r w:rsidRPr="00B9235D">
        <w:rPr>
          <w:rFonts w:ascii="Verdana" w:hAnsi="Verdana"/>
          <w:i/>
        </w:rPr>
        <w:t>“liquida”</w:t>
      </w:r>
      <w:r w:rsidRPr="00B9235D">
        <w:rPr>
          <w:rFonts w:ascii="Verdana" w:hAnsi="Verdana"/>
        </w:rPr>
        <w:t>, es decir, permanece sin modificaciones</w:t>
      </w:r>
      <w:r w:rsidRPr="00B9235D">
        <w:rPr>
          <w:rFonts w:ascii="Verdana" w:hAnsi="Verdana"/>
          <w:spacing w:val="-12"/>
        </w:rPr>
        <w:t xml:space="preserve"> </w:t>
      </w:r>
      <w:r w:rsidRPr="00B9235D">
        <w:rPr>
          <w:rFonts w:ascii="Verdana" w:hAnsi="Verdana"/>
        </w:rPr>
        <w:t>ni</w:t>
      </w:r>
      <w:r w:rsidRPr="00B9235D">
        <w:rPr>
          <w:rFonts w:ascii="Verdana" w:hAnsi="Verdana"/>
          <w:spacing w:val="-13"/>
        </w:rPr>
        <w:t xml:space="preserve"> </w:t>
      </w:r>
      <w:r w:rsidRPr="00B9235D">
        <w:rPr>
          <w:rFonts w:ascii="Verdana" w:hAnsi="Verdana"/>
        </w:rPr>
        <w:t>reformas,</w:t>
      </w:r>
      <w:r w:rsidRPr="00B9235D">
        <w:rPr>
          <w:rFonts w:ascii="Verdana" w:hAnsi="Verdana"/>
          <w:spacing w:val="-10"/>
        </w:rPr>
        <w:t xml:space="preserve"> </w:t>
      </w:r>
      <w:r w:rsidRPr="00B9235D">
        <w:rPr>
          <w:rFonts w:ascii="Verdana" w:hAnsi="Verdana"/>
        </w:rPr>
        <w:t>pero</w:t>
      </w:r>
      <w:r w:rsidRPr="00B9235D">
        <w:rPr>
          <w:rFonts w:ascii="Verdana" w:hAnsi="Verdana"/>
          <w:spacing w:val="-12"/>
        </w:rPr>
        <w:t xml:space="preserve"> </w:t>
      </w:r>
      <w:r w:rsidRPr="00B9235D">
        <w:rPr>
          <w:rFonts w:ascii="Verdana" w:hAnsi="Verdana"/>
        </w:rPr>
        <w:t>fracciona</w:t>
      </w:r>
      <w:r w:rsidRPr="00B9235D">
        <w:rPr>
          <w:rFonts w:ascii="Verdana" w:hAnsi="Verdana"/>
          <w:spacing w:val="-12"/>
        </w:rPr>
        <w:t xml:space="preserve"> </w:t>
      </w:r>
      <w:r w:rsidRPr="00B9235D">
        <w:rPr>
          <w:rFonts w:ascii="Verdana" w:hAnsi="Verdana"/>
        </w:rPr>
        <w:t>su</w:t>
      </w:r>
      <w:r w:rsidRPr="00B9235D">
        <w:rPr>
          <w:rFonts w:ascii="Verdana" w:hAnsi="Verdana"/>
          <w:spacing w:val="-13"/>
        </w:rPr>
        <w:t xml:space="preserve"> </w:t>
      </w:r>
      <w:r w:rsidRPr="00B9235D">
        <w:rPr>
          <w:rFonts w:ascii="Verdana" w:hAnsi="Verdana"/>
        </w:rPr>
        <w:t>patrimonio</w:t>
      </w:r>
      <w:r w:rsidRPr="00B9235D">
        <w:rPr>
          <w:rFonts w:ascii="Verdana" w:hAnsi="Verdana"/>
          <w:spacing w:val="-11"/>
        </w:rPr>
        <w:t xml:space="preserve"> </w:t>
      </w:r>
      <w:r w:rsidRPr="00B9235D">
        <w:rPr>
          <w:rFonts w:ascii="Verdana" w:hAnsi="Verdana"/>
        </w:rPr>
        <w:t>para</w:t>
      </w:r>
      <w:r w:rsidRPr="00B9235D">
        <w:rPr>
          <w:rFonts w:ascii="Verdana" w:hAnsi="Verdana"/>
          <w:spacing w:val="-13"/>
        </w:rPr>
        <w:t xml:space="preserve"> </w:t>
      </w:r>
      <w:r w:rsidRPr="00B9235D">
        <w:rPr>
          <w:rFonts w:ascii="Verdana" w:hAnsi="Verdana"/>
        </w:rPr>
        <w:t>transferir</w:t>
      </w:r>
      <w:r w:rsidRPr="00B9235D">
        <w:rPr>
          <w:rFonts w:ascii="Verdana" w:hAnsi="Verdana"/>
          <w:spacing w:val="-11"/>
        </w:rPr>
        <w:t xml:space="preserve"> </w:t>
      </w:r>
      <w:r w:rsidRPr="00B9235D">
        <w:rPr>
          <w:rFonts w:ascii="Verdana" w:hAnsi="Verdana"/>
        </w:rPr>
        <w:t>una</w:t>
      </w:r>
      <w:r w:rsidRPr="00B9235D">
        <w:rPr>
          <w:rFonts w:ascii="Verdana" w:hAnsi="Verdana"/>
          <w:spacing w:val="-13"/>
        </w:rPr>
        <w:t xml:space="preserve"> </w:t>
      </w:r>
      <w:r w:rsidRPr="00B9235D">
        <w:rPr>
          <w:rFonts w:ascii="Verdana" w:hAnsi="Verdana"/>
        </w:rPr>
        <w:t>o</w:t>
      </w:r>
      <w:r w:rsidRPr="00B9235D">
        <w:rPr>
          <w:rFonts w:ascii="Verdana" w:hAnsi="Verdana"/>
          <w:spacing w:val="-13"/>
        </w:rPr>
        <w:t xml:space="preserve"> </w:t>
      </w:r>
      <w:r w:rsidRPr="00B9235D">
        <w:rPr>
          <w:rFonts w:ascii="Verdana" w:hAnsi="Verdana"/>
        </w:rPr>
        <w:t>varias</w:t>
      </w:r>
      <w:r w:rsidRPr="00B9235D">
        <w:rPr>
          <w:rFonts w:ascii="Verdana" w:hAnsi="Verdana"/>
          <w:spacing w:val="-13"/>
        </w:rPr>
        <w:t xml:space="preserve"> </w:t>
      </w:r>
      <w:r w:rsidRPr="00B9235D">
        <w:rPr>
          <w:rFonts w:ascii="Verdana" w:hAnsi="Verdana"/>
        </w:rPr>
        <w:t>partes, a una o varias sociedades existentes o por crearse. En este caso, la escisión se refiere al patrimonio de la sociedad sin incluir ningún otro aspecto, lo cual significa que la sociedad continúa</w:t>
      </w:r>
      <w:r w:rsidRPr="00B9235D">
        <w:rPr>
          <w:rFonts w:ascii="Verdana" w:hAnsi="Verdana"/>
          <w:spacing w:val="-9"/>
        </w:rPr>
        <w:t xml:space="preserve"> </w:t>
      </w:r>
      <w:r w:rsidRPr="00B9235D">
        <w:rPr>
          <w:rFonts w:ascii="Verdana" w:hAnsi="Verdana"/>
        </w:rPr>
        <w:t>con</w:t>
      </w:r>
      <w:r w:rsidRPr="00B9235D">
        <w:rPr>
          <w:rFonts w:ascii="Verdana" w:hAnsi="Verdana"/>
          <w:spacing w:val="-10"/>
        </w:rPr>
        <w:t xml:space="preserve"> </w:t>
      </w:r>
      <w:r w:rsidRPr="00B9235D">
        <w:rPr>
          <w:rFonts w:ascii="Verdana" w:hAnsi="Verdana"/>
        </w:rPr>
        <w:t>un</w:t>
      </w:r>
      <w:r w:rsidRPr="00B9235D">
        <w:rPr>
          <w:rFonts w:ascii="Verdana" w:hAnsi="Verdana"/>
          <w:spacing w:val="-10"/>
        </w:rPr>
        <w:t xml:space="preserve"> </w:t>
      </w:r>
      <w:r w:rsidRPr="00B9235D">
        <w:rPr>
          <w:rFonts w:ascii="Verdana" w:hAnsi="Verdana"/>
        </w:rPr>
        <w:t>patrimonio</w:t>
      </w:r>
      <w:r w:rsidRPr="00B9235D">
        <w:rPr>
          <w:rFonts w:ascii="Verdana" w:hAnsi="Verdana"/>
          <w:spacing w:val="-8"/>
        </w:rPr>
        <w:t xml:space="preserve"> </w:t>
      </w:r>
      <w:r w:rsidRPr="00B9235D">
        <w:rPr>
          <w:rFonts w:ascii="Verdana" w:hAnsi="Verdana"/>
        </w:rPr>
        <w:t>reducido</w:t>
      </w:r>
      <w:r w:rsidRPr="00B9235D">
        <w:rPr>
          <w:rFonts w:ascii="Verdana" w:hAnsi="Verdana"/>
          <w:spacing w:val="-8"/>
        </w:rPr>
        <w:t xml:space="preserve"> </w:t>
      </w:r>
      <w:r w:rsidRPr="00B9235D">
        <w:rPr>
          <w:rFonts w:ascii="Verdana" w:hAnsi="Verdana"/>
        </w:rPr>
        <w:t>debido</w:t>
      </w:r>
      <w:r w:rsidRPr="00B9235D">
        <w:rPr>
          <w:rFonts w:ascii="Verdana" w:hAnsi="Verdana"/>
          <w:spacing w:val="-9"/>
        </w:rPr>
        <w:t xml:space="preserve"> </w:t>
      </w:r>
      <w:r w:rsidRPr="00B9235D">
        <w:rPr>
          <w:rFonts w:ascii="Verdana" w:hAnsi="Verdana"/>
        </w:rPr>
        <w:t>al</w:t>
      </w:r>
      <w:r w:rsidRPr="00B9235D">
        <w:rPr>
          <w:rFonts w:ascii="Verdana" w:hAnsi="Verdana"/>
          <w:spacing w:val="-10"/>
        </w:rPr>
        <w:t xml:space="preserve"> </w:t>
      </w:r>
      <w:r w:rsidRPr="00B9235D">
        <w:rPr>
          <w:rFonts w:ascii="Verdana" w:hAnsi="Verdana"/>
        </w:rPr>
        <w:t>fraccionamiento,</w:t>
      </w:r>
      <w:r w:rsidRPr="00B9235D">
        <w:rPr>
          <w:rFonts w:ascii="Verdana" w:hAnsi="Verdana"/>
          <w:spacing w:val="-6"/>
        </w:rPr>
        <w:t xml:space="preserve"> </w:t>
      </w:r>
      <w:r w:rsidRPr="00B9235D">
        <w:rPr>
          <w:rFonts w:ascii="Verdana" w:hAnsi="Verdana"/>
        </w:rPr>
        <w:t>pero</w:t>
      </w:r>
      <w:r w:rsidRPr="00B9235D">
        <w:rPr>
          <w:rFonts w:ascii="Verdana" w:hAnsi="Verdana"/>
          <w:spacing w:val="-9"/>
        </w:rPr>
        <w:t xml:space="preserve"> </w:t>
      </w:r>
      <w:r w:rsidRPr="00B9235D">
        <w:rPr>
          <w:rFonts w:ascii="Verdana" w:hAnsi="Verdana"/>
        </w:rPr>
        <w:t>no</w:t>
      </w:r>
      <w:r w:rsidRPr="00B9235D">
        <w:rPr>
          <w:rFonts w:ascii="Verdana" w:hAnsi="Verdana"/>
          <w:spacing w:val="-10"/>
        </w:rPr>
        <w:t xml:space="preserve"> </w:t>
      </w:r>
      <w:r w:rsidRPr="00B9235D">
        <w:rPr>
          <w:rFonts w:ascii="Verdana" w:hAnsi="Verdana"/>
        </w:rPr>
        <w:t>existe</w:t>
      </w:r>
      <w:r w:rsidRPr="00B9235D">
        <w:rPr>
          <w:rFonts w:ascii="Verdana" w:hAnsi="Verdana"/>
          <w:spacing w:val="-9"/>
        </w:rPr>
        <w:t xml:space="preserve"> </w:t>
      </w:r>
      <w:r w:rsidRPr="00B9235D">
        <w:rPr>
          <w:rFonts w:ascii="Verdana" w:hAnsi="Verdana"/>
        </w:rPr>
        <w:t>ninguna</w:t>
      </w:r>
      <w:r w:rsidRPr="00B9235D">
        <w:rPr>
          <w:rFonts w:ascii="Verdana" w:hAnsi="Verdana"/>
          <w:spacing w:val="-9"/>
        </w:rPr>
        <w:t xml:space="preserve"> </w:t>
      </w:r>
      <w:r w:rsidRPr="00B9235D">
        <w:rPr>
          <w:rFonts w:ascii="Verdana" w:hAnsi="Verdana"/>
        </w:rPr>
        <w:t xml:space="preserve">otra implicación para la persona jurídica, como su desaparición por </w:t>
      </w:r>
      <w:r w:rsidRPr="00B9235D">
        <w:rPr>
          <w:rFonts w:ascii="Verdana" w:hAnsi="Verdana"/>
          <w:i/>
        </w:rPr>
        <w:t xml:space="preserve">“disolverse” </w:t>
      </w:r>
      <w:r w:rsidRPr="00B9235D">
        <w:rPr>
          <w:rFonts w:ascii="Verdana" w:hAnsi="Verdana"/>
        </w:rPr>
        <w:t xml:space="preserve">o </w:t>
      </w:r>
      <w:r w:rsidRPr="00B9235D">
        <w:rPr>
          <w:rFonts w:ascii="Verdana" w:hAnsi="Verdana"/>
          <w:i/>
        </w:rPr>
        <w:t>“liquidarse”</w:t>
      </w:r>
      <w:r w:rsidRPr="00B9235D">
        <w:rPr>
          <w:rFonts w:ascii="Verdana" w:hAnsi="Verdana"/>
        </w:rPr>
        <w:t>, de acuerdo con lo mencionado sobre estos conceptos.</w:t>
      </w:r>
    </w:p>
    <w:p w14:paraId="1A3C90B9" w14:textId="77777777" w:rsidR="009D767D" w:rsidRPr="00B9235D" w:rsidRDefault="009D767D" w:rsidP="009D767D">
      <w:pPr>
        <w:pStyle w:val="Textoindependiente"/>
        <w:spacing w:line="276" w:lineRule="auto"/>
        <w:ind w:left="160" w:right="51" w:firstLine="708"/>
        <w:jc w:val="both"/>
        <w:rPr>
          <w:rFonts w:ascii="Verdana" w:hAnsi="Verdana"/>
        </w:rPr>
      </w:pPr>
      <w:r w:rsidRPr="00B9235D">
        <w:rPr>
          <w:rFonts w:ascii="Verdana" w:hAnsi="Verdana"/>
        </w:rPr>
        <w:t xml:space="preserve">La segunda modalidad, estipulada en el numeral 2 del artículo 3 de la Ley 222 de 1995, conocida como </w:t>
      </w:r>
      <w:r w:rsidRPr="00B9235D">
        <w:rPr>
          <w:rFonts w:ascii="Verdana" w:hAnsi="Verdana"/>
          <w:i/>
        </w:rPr>
        <w:t xml:space="preserve">escisión total </w:t>
      </w:r>
      <w:r w:rsidRPr="00B9235D">
        <w:rPr>
          <w:rFonts w:ascii="Verdana" w:hAnsi="Verdana"/>
        </w:rPr>
        <w:t>se refiere a un acuerdo en el marco del cual una sociedad</w:t>
      </w:r>
      <w:r w:rsidRPr="00B9235D">
        <w:rPr>
          <w:rFonts w:ascii="Verdana" w:hAnsi="Verdana"/>
          <w:spacing w:val="-4"/>
        </w:rPr>
        <w:t xml:space="preserve"> </w:t>
      </w:r>
      <w:r w:rsidRPr="00B9235D">
        <w:rPr>
          <w:rFonts w:ascii="Verdana" w:hAnsi="Verdana"/>
        </w:rPr>
        <w:t>se</w:t>
      </w:r>
      <w:r w:rsidRPr="00B9235D">
        <w:rPr>
          <w:rFonts w:ascii="Verdana" w:hAnsi="Verdana"/>
          <w:spacing w:val="-5"/>
        </w:rPr>
        <w:t xml:space="preserve"> </w:t>
      </w:r>
      <w:r w:rsidRPr="00B9235D">
        <w:rPr>
          <w:rFonts w:ascii="Verdana" w:hAnsi="Verdana"/>
          <w:i/>
        </w:rPr>
        <w:t>“disuelve”</w:t>
      </w:r>
      <w:r w:rsidRPr="00B9235D">
        <w:rPr>
          <w:rFonts w:ascii="Verdana" w:hAnsi="Verdana"/>
          <w:i/>
          <w:spacing w:val="-5"/>
        </w:rPr>
        <w:t xml:space="preserve"> </w:t>
      </w:r>
      <w:r w:rsidRPr="00B9235D">
        <w:rPr>
          <w:rFonts w:ascii="Verdana" w:hAnsi="Verdana"/>
        </w:rPr>
        <w:t>sin</w:t>
      </w:r>
      <w:r w:rsidRPr="00B9235D">
        <w:rPr>
          <w:rFonts w:ascii="Verdana" w:hAnsi="Verdana"/>
          <w:spacing w:val="-5"/>
        </w:rPr>
        <w:t xml:space="preserve"> </w:t>
      </w:r>
      <w:r w:rsidRPr="00B9235D">
        <w:rPr>
          <w:rFonts w:ascii="Verdana" w:hAnsi="Verdana"/>
          <w:i/>
        </w:rPr>
        <w:t>“liquidarse”</w:t>
      </w:r>
      <w:r w:rsidRPr="00B9235D">
        <w:rPr>
          <w:rFonts w:ascii="Verdana" w:hAnsi="Verdana"/>
        </w:rPr>
        <w:t>,</w:t>
      </w:r>
      <w:r w:rsidRPr="00B9235D">
        <w:rPr>
          <w:rFonts w:ascii="Verdana" w:hAnsi="Verdana"/>
          <w:spacing w:val="-5"/>
        </w:rPr>
        <w:t xml:space="preserve"> </w:t>
      </w:r>
      <w:r w:rsidRPr="00B9235D">
        <w:rPr>
          <w:rFonts w:ascii="Verdana" w:hAnsi="Verdana"/>
        </w:rPr>
        <w:t>lo</w:t>
      </w:r>
      <w:r w:rsidRPr="00B9235D">
        <w:rPr>
          <w:rFonts w:ascii="Verdana" w:hAnsi="Verdana"/>
          <w:spacing w:val="-5"/>
        </w:rPr>
        <w:t xml:space="preserve"> </w:t>
      </w:r>
      <w:r w:rsidRPr="00B9235D">
        <w:rPr>
          <w:rFonts w:ascii="Verdana" w:hAnsi="Verdana"/>
        </w:rPr>
        <w:t>que</w:t>
      </w:r>
      <w:r w:rsidRPr="00B9235D">
        <w:rPr>
          <w:rFonts w:ascii="Verdana" w:hAnsi="Verdana"/>
          <w:spacing w:val="-5"/>
        </w:rPr>
        <w:t xml:space="preserve"> </w:t>
      </w:r>
      <w:r w:rsidRPr="00B9235D">
        <w:rPr>
          <w:rFonts w:ascii="Verdana" w:hAnsi="Verdana"/>
        </w:rPr>
        <w:t>supone</w:t>
      </w:r>
      <w:r w:rsidRPr="00B9235D">
        <w:rPr>
          <w:rFonts w:ascii="Verdana" w:hAnsi="Verdana"/>
          <w:spacing w:val="-4"/>
        </w:rPr>
        <w:t xml:space="preserve"> </w:t>
      </w:r>
      <w:r w:rsidRPr="00B9235D">
        <w:rPr>
          <w:rFonts w:ascii="Verdana" w:hAnsi="Verdana"/>
        </w:rPr>
        <w:t>una</w:t>
      </w:r>
      <w:r w:rsidRPr="00B9235D">
        <w:rPr>
          <w:rFonts w:ascii="Verdana" w:hAnsi="Verdana"/>
          <w:spacing w:val="-5"/>
        </w:rPr>
        <w:t xml:space="preserve"> </w:t>
      </w:r>
      <w:r w:rsidRPr="00B9235D">
        <w:rPr>
          <w:rFonts w:ascii="Verdana" w:hAnsi="Verdana"/>
        </w:rPr>
        <w:t>reforma</w:t>
      </w:r>
      <w:r w:rsidRPr="00B9235D">
        <w:rPr>
          <w:rFonts w:ascii="Verdana" w:hAnsi="Verdana"/>
          <w:spacing w:val="-5"/>
        </w:rPr>
        <w:t xml:space="preserve"> </w:t>
      </w:r>
      <w:r w:rsidRPr="00B9235D">
        <w:rPr>
          <w:rFonts w:ascii="Verdana" w:hAnsi="Verdana"/>
        </w:rPr>
        <w:t>social</w:t>
      </w:r>
      <w:r w:rsidRPr="00B9235D">
        <w:rPr>
          <w:rFonts w:ascii="Verdana" w:hAnsi="Verdana"/>
          <w:spacing w:val="-4"/>
        </w:rPr>
        <w:t xml:space="preserve"> </w:t>
      </w:r>
      <w:r w:rsidRPr="00B9235D">
        <w:rPr>
          <w:rFonts w:ascii="Verdana" w:hAnsi="Verdana"/>
        </w:rPr>
        <w:t>–lo</w:t>
      </w:r>
      <w:r w:rsidRPr="00B9235D">
        <w:rPr>
          <w:rFonts w:ascii="Verdana" w:hAnsi="Verdana"/>
          <w:spacing w:val="-5"/>
        </w:rPr>
        <w:t xml:space="preserve"> </w:t>
      </w:r>
      <w:r w:rsidRPr="00B9235D">
        <w:rPr>
          <w:rFonts w:ascii="Verdana" w:hAnsi="Verdana"/>
        </w:rPr>
        <w:t>cual</w:t>
      </w:r>
      <w:r w:rsidRPr="00B9235D">
        <w:rPr>
          <w:rFonts w:ascii="Verdana" w:hAnsi="Verdana"/>
          <w:spacing w:val="-5"/>
        </w:rPr>
        <w:t xml:space="preserve"> </w:t>
      </w:r>
      <w:r w:rsidRPr="00B9235D">
        <w:rPr>
          <w:rFonts w:ascii="Verdana" w:hAnsi="Verdana"/>
        </w:rPr>
        <w:t>no</w:t>
      </w:r>
      <w:r w:rsidRPr="00B9235D">
        <w:rPr>
          <w:rFonts w:ascii="Verdana" w:hAnsi="Verdana"/>
          <w:spacing w:val="-5"/>
        </w:rPr>
        <w:t xml:space="preserve"> </w:t>
      </w:r>
      <w:r w:rsidRPr="00B9235D">
        <w:rPr>
          <w:rFonts w:ascii="Verdana" w:hAnsi="Verdana"/>
        </w:rPr>
        <w:t>ocurre con</w:t>
      </w:r>
      <w:r w:rsidRPr="00B9235D">
        <w:rPr>
          <w:rFonts w:ascii="Verdana" w:hAnsi="Verdana"/>
          <w:spacing w:val="-4"/>
        </w:rPr>
        <w:t xml:space="preserve"> </w:t>
      </w:r>
      <w:r w:rsidRPr="00B9235D">
        <w:rPr>
          <w:rFonts w:ascii="Verdana" w:hAnsi="Verdana"/>
        </w:rPr>
        <w:t>la</w:t>
      </w:r>
      <w:r w:rsidRPr="00B9235D">
        <w:rPr>
          <w:rFonts w:ascii="Verdana" w:hAnsi="Verdana"/>
          <w:spacing w:val="-4"/>
        </w:rPr>
        <w:t xml:space="preserve"> </w:t>
      </w:r>
      <w:r w:rsidRPr="00B9235D">
        <w:rPr>
          <w:rFonts w:ascii="Verdana" w:hAnsi="Verdana"/>
        </w:rPr>
        <w:t>primera</w:t>
      </w:r>
      <w:r w:rsidRPr="00B9235D">
        <w:rPr>
          <w:rFonts w:ascii="Verdana" w:hAnsi="Verdana"/>
          <w:spacing w:val="-4"/>
        </w:rPr>
        <w:t xml:space="preserve"> </w:t>
      </w:r>
      <w:r w:rsidRPr="00B9235D">
        <w:rPr>
          <w:rFonts w:ascii="Verdana" w:hAnsi="Verdana"/>
        </w:rPr>
        <w:t>modalidad–,</w:t>
      </w:r>
      <w:r w:rsidRPr="00B9235D">
        <w:rPr>
          <w:rFonts w:ascii="Verdana" w:hAnsi="Verdana"/>
          <w:spacing w:val="-4"/>
        </w:rPr>
        <w:t xml:space="preserve"> </w:t>
      </w:r>
      <w:r w:rsidRPr="00B9235D">
        <w:rPr>
          <w:rFonts w:ascii="Verdana" w:hAnsi="Verdana"/>
        </w:rPr>
        <w:t>que</w:t>
      </w:r>
      <w:r w:rsidRPr="00B9235D">
        <w:rPr>
          <w:rFonts w:ascii="Verdana" w:hAnsi="Verdana"/>
          <w:spacing w:val="-4"/>
        </w:rPr>
        <w:t xml:space="preserve"> </w:t>
      </w:r>
      <w:r w:rsidRPr="00B9235D">
        <w:rPr>
          <w:rFonts w:ascii="Verdana" w:hAnsi="Verdana"/>
        </w:rPr>
        <w:t>implica</w:t>
      </w:r>
      <w:r w:rsidRPr="00B9235D">
        <w:rPr>
          <w:rFonts w:ascii="Verdana" w:hAnsi="Verdana"/>
          <w:spacing w:val="-4"/>
        </w:rPr>
        <w:t xml:space="preserve"> </w:t>
      </w:r>
      <w:r w:rsidRPr="00B9235D">
        <w:rPr>
          <w:rFonts w:ascii="Verdana" w:hAnsi="Verdana"/>
        </w:rPr>
        <w:t>un</w:t>
      </w:r>
      <w:r w:rsidRPr="00B9235D">
        <w:rPr>
          <w:rFonts w:ascii="Verdana" w:hAnsi="Verdana"/>
          <w:spacing w:val="-4"/>
        </w:rPr>
        <w:t xml:space="preserve"> </w:t>
      </w:r>
      <w:r w:rsidRPr="00B9235D">
        <w:rPr>
          <w:rFonts w:ascii="Verdana" w:hAnsi="Verdana"/>
        </w:rPr>
        <w:t>fraccionamiento</w:t>
      </w:r>
      <w:r w:rsidRPr="00B9235D">
        <w:rPr>
          <w:rFonts w:ascii="Verdana" w:hAnsi="Verdana"/>
          <w:spacing w:val="-1"/>
        </w:rPr>
        <w:t xml:space="preserve"> </w:t>
      </w:r>
      <w:r w:rsidRPr="00B9235D">
        <w:rPr>
          <w:rFonts w:ascii="Verdana" w:hAnsi="Verdana"/>
        </w:rPr>
        <w:t>del</w:t>
      </w:r>
      <w:r w:rsidRPr="00B9235D">
        <w:rPr>
          <w:rFonts w:ascii="Verdana" w:hAnsi="Verdana"/>
          <w:spacing w:val="-4"/>
        </w:rPr>
        <w:t xml:space="preserve"> </w:t>
      </w:r>
      <w:r w:rsidRPr="00B9235D">
        <w:rPr>
          <w:rFonts w:ascii="Verdana" w:hAnsi="Verdana"/>
        </w:rPr>
        <w:t>patrimonio</w:t>
      </w:r>
      <w:r w:rsidRPr="00B9235D">
        <w:rPr>
          <w:rFonts w:ascii="Verdana" w:hAnsi="Verdana"/>
          <w:spacing w:val="-2"/>
        </w:rPr>
        <w:t xml:space="preserve"> </w:t>
      </w:r>
      <w:r w:rsidRPr="00B9235D">
        <w:rPr>
          <w:rFonts w:ascii="Verdana" w:hAnsi="Verdana"/>
        </w:rPr>
        <w:t>con</w:t>
      </w:r>
      <w:r w:rsidRPr="00B9235D">
        <w:rPr>
          <w:rFonts w:ascii="Verdana" w:hAnsi="Verdana"/>
          <w:spacing w:val="-4"/>
        </w:rPr>
        <w:t xml:space="preserve"> </w:t>
      </w:r>
      <w:r w:rsidRPr="00B9235D">
        <w:rPr>
          <w:rFonts w:ascii="Verdana" w:hAnsi="Verdana"/>
        </w:rPr>
        <w:t>el</w:t>
      </w:r>
      <w:r w:rsidRPr="00B9235D">
        <w:rPr>
          <w:rFonts w:ascii="Verdana" w:hAnsi="Verdana"/>
          <w:spacing w:val="-4"/>
        </w:rPr>
        <w:t xml:space="preserve"> </w:t>
      </w:r>
      <w:r w:rsidRPr="00B9235D">
        <w:rPr>
          <w:rFonts w:ascii="Verdana" w:hAnsi="Verdana"/>
        </w:rPr>
        <w:t>mismo</w:t>
      </w:r>
      <w:r w:rsidRPr="00B9235D">
        <w:rPr>
          <w:rFonts w:ascii="Verdana" w:hAnsi="Verdana"/>
          <w:spacing w:val="-3"/>
        </w:rPr>
        <w:t xml:space="preserve"> </w:t>
      </w:r>
      <w:r w:rsidRPr="00B9235D">
        <w:rPr>
          <w:rFonts w:ascii="Verdana" w:hAnsi="Verdana"/>
        </w:rPr>
        <w:t>fin.</w:t>
      </w:r>
      <w:r w:rsidRPr="00B9235D">
        <w:rPr>
          <w:rStyle w:val="Refdenotaalpie"/>
          <w:rFonts w:ascii="Verdana" w:hAnsi="Verdana"/>
        </w:rPr>
        <w:footnoteReference w:id="3"/>
      </w:r>
      <w:r w:rsidRPr="00B9235D">
        <w:rPr>
          <w:rFonts w:ascii="Verdana" w:hAnsi="Verdana"/>
        </w:rPr>
        <w:t xml:space="preserve"> Como se observa, participa una sociedad y otra, u otras, que reciben el patrimonio de la sociedad disuelta.</w:t>
      </w:r>
    </w:p>
    <w:p w14:paraId="2088BF88" w14:textId="77777777" w:rsidR="009D767D" w:rsidRPr="00B9235D" w:rsidRDefault="009D767D" w:rsidP="009D767D">
      <w:pPr>
        <w:pStyle w:val="Prrafodelista"/>
        <w:widowControl w:val="0"/>
        <w:numPr>
          <w:ilvl w:val="2"/>
          <w:numId w:val="22"/>
        </w:numPr>
        <w:tabs>
          <w:tab w:val="left" w:pos="851"/>
        </w:tabs>
        <w:autoSpaceDE w:val="0"/>
        <w:autoSpaceDN w:val="0"/>
        <w:spacing w:after="120" w:line="276" w:lineRule="auto"/>
        <w:ind w:left="0" w:right="51" w:firstLine="567"/>
        <w:jc w:val="both"/>
        <w:rPr>
          <w:rFonts w:ascii="Verdana" w:hAnsi="Verdana"/>
        </w:rPr>
      </w:pPr>
      <w:r w:rsidRPr="00B9235D">
        <w:rPr>
          <w:rFonts w:ascii="Verdana" w:hAnsi="Verdana"/>
          <w:i/>
        </w:rPr>
        <w:lastRenderedPageBreak/>
        <w:t>Fusión:</w:t>
      </w:r>
      <w:r w:rsidRPr="00B9235D">
        <w:rPr>
          <w:rFonts w:ascii="Verdana" w:hAnsi="Verdana"/>
          <w:i/>
          <w:spacing w:val="-1"/>
        </w:rPr>
        <w:t xml:space="preserve"> </w:t>
      </w:r>
      <w:r w:rsidRPr="00B9235D">
        <w:rPr>
          <w:rFonts w:ascii="Verdana" w:hAnsi="Verdana"/>
        </w:rPr>
        <w:t>Es</w:t>
      </w:r>
      <w:r w:rsidRPr="00B9235D">
        <w:rPr>
          <w:rFonts w:ascii="Verdana" w:hAnsi="Verdana"/>
          <w:spacing w:val="-2"/>
        </w:rPr>
        <w:t xml:space="preserve"> </w:t>
      </w:r>
      <w:r w:rsidRPr="00B9235D">
        <w:rPr>
          <w:rFonts w:ascii="Verdana" w:hAnsi="Verdana"/>
        </w:rPr>
        <w:t>una</w:t>
      </w:r>
      <w:r w:rsidRPr="00B9235D">
        <w:rPr>
          <w:rFonts w:ascii="Verdana" w:hAnsi="Verdana"/>
          <w:spacing w:val="-3"/>
        </w:rPr>
        <w:t xml:space="preserve"> </w:t>
      </w:r>
      <w:r w:rsidRPr="00B9235D">
        <w:rPr>
          <w:rFonts w:ascii="Verdana" w:hAnsi="Verdana"/>
        </w:rPr>
        <w:t>figura</w:t>
      </w:r>
      <w:r w:rsidRPr="00B9235D">
        <w:rPr>
          <w:rFonts w:ascii="Verdana" w:hAnsi="Verdana"/>
          <w:spacing w:val="-2"/>
        </w:rPr>
        <w:t xml:space="preserve"> </w:t>
      </w:r>
      <w:r w:rsidRPr="00B9235D">
        <w:rPr>
          <w:rFonts w:ascii="Verdana" w:hAnsi="Verdana"/>
        </w:rPr>
        <w:t>tiene</w:t>
      </w:r>
      <w:r w:rsidRPr="00B9235D">
        <w:rPr>
          <w:rFonts w:ascii="Verdana" w:hAnsi="Verdana"/>
          <w:spacing w:val="-2"/>
        </w:rPr>
        <w:t xml:space="preserve"> </w:t>
      </w:r>
      <w:r w:rsidRPr="00B9235D">
        <w:rPr>
          <w:rFonts w:ascii="Verdana" w:hAnsi="Verdana"/>
        </w:rPr>
        <w:t>cuatro</w:t>
      </w:r>
      <w:r w:rsidRPr="00B9235D">
        <w:rPr>
          <w:rFonts w:ascii="Verdana" w:hAnsi="Verdana"/>
          <w:spacing w:val="-2"/>
        </w:rPr>
        <w:t xml:space="preserve"> </w:t>
      </w:r>
      <w:r w:rsidRPr="00B9235D">
        <w:rPr>
          <w:rFonts w:ascii="Verdana" w:hAnsi="Verdana"/>
        </w:rPr>
        <w:t>tipologías</w:t>
      </w:r>
      <w:r w:rsidRPr="00B9235D">
        <w:rPr>
          <w:rFonts w:ascii="Verdana" w:hAnsi="Verdana"/>
          <w:spacing w:val="-2"/>
        </w:rPr>
        <w:t xml:space="preserve"> </w:t>
      </w:r>
      <w:r w:rsidRPr="00B9235D">
        <w:rPr>
          <w:rFonts w:ascii="Verdana" w:hAnsi="Verdana"/>
        </w:rPr>
        <w:t>a</w:t>
      </w:r>
      <w:r w:rsidRPr="00B9235D">
        <w:rPr>
          <w:rFonts w:ascii="Verdana" w:hAnsi="Verdana"/>
          <w:spacing w:val="-3"/>
        </w:rPr>
        <w:t xml:space="preserve"> </w:t>
      </w:r>
      <w:r w:rsidRPr="00B9235D">
        <w:rPr>
          <w:rFonts w:ascii="Verdana" w:hAnsi="Verdana"/>
        </w:rPr>
        <w:t>saber:</w:t>
      </w:r>
      <w:r w:rsidRPr="00B9235D">
        <w:rPr>
          <w:rFonts w:ascii="Verdana" w:hAnsi="Verdana"/>
          <w:spacing w:val="-1"/>
        </w:rPr>
        <w:t xml:space="preserve"> </w:t>
      </w:r>
      <w:r w:rsidRPr="00B9235D">
        <w:rPr>
          <w:rFonts w:ascii="Verdana" w:hAnsi="Verdana"/>
        </w:rPr>
        <w:t>i)</w:t>
      </w:r>
      <w:r w:rsidRPr="00B9235D">
        <w:rPr>
          <w:rFonts w:ascii="Verdana" w:hAnsi="Verdana"/>
          <w:spacing w:val="-2"/>
        </w:rPr>
        <w:t xml:space="preserve"> </w:t>
      </w:r>
      <w:r w:rsidRPr="00B9235D">
        <w:rPr>
          <w:rFonts w:ascii="Verdana" w:hAnsi="Verdana"/>
        </w:rPr>
        <w:t>por</w:t>
      </w:r>
      <w:r w:rsidRPr="00B9235D">
        <w:rPr>
          <w:rFonts w:ascii="Verdana" w:hAnsi="Verdana"/>
          <w:spacing w:val="-2"/>
        </w:rPr>
        <w:t xml:space="preserve"> </w:t>
      </w:r>
      <w:r w:rsidRPr="00B9235D">
        <w:rPr>
          <w:rFonts w:ascii="Verdana" w:hAnsi="Verdana"/>
        </w:rPr>
        <w:t>absorción: una</w:t>
      </w:r>
      <w:r w:rsidRPr="00B9235D">
        <w:rPr>
          <w:rFonts w:ascii="Verdana" w:hAnsi="Verdana"/>
          <w:spacing w:val="-3"/>
        </w:rPr>
        <w:t xml:space="preserve"> </w:t>
      </w:r>
      <w:r w:rsidRPr="00B9235D">
        <w:rPr>
          <w:rFonts w:ascii="Verdana" w:hAnsi="Verdana"/>
        </w:rPr>
        <w:t>o</w:t>
      </w:r>
      <w:r w:rsidRPr="00B9235D">
        <w:rPr>
          <w:rFonts w:ascii="Verdana" w:hAnsi="Verdana"/>
          <w:spacing w:val="-3"/>
        </w:rPr>
        <w:t xml:space="preserve"> </w:t>
      </w:r>
      <w:r w:rsidRPr="00B9235D">
        <w:rPr>
          <w:rFonts w:ascii="Verdana" w:hAnsi="Verdana"/>
        </w:rPr>
        <w:t xml:space="preserve">más sociedades se “disuelven” sin “liquidarse” para ser absorbidas por otra existente; </w:t>
      </w:r>
      <w:proofErr w:type="spellStart"/>
      <w:r w:rsidRPr="00B9235D">
        <w:rPr>
          <w:rFonts w:ascii="Verdana" w:hAnsi="Verdana"/>
        </w:rPr>
        <w:t>ii</w:t>
      </w:r>
      <w:proofErr w:type="spellEnd"/>
      <w:r w:rsidRPr="00B9235D">
        <w:rPr>
          <w:rFonts w:ascii="Verdana" w:hAnsi="Verdana"/>
        </w:rPr>
        <w:t>) por creación:</w:t>
      </w:r>
      <w:r w:rsidRPr="00B9235D">
        <w:rPr>
          <w:rFonts w:ascii="Verdana" w:hAnsi="Verdana"/>
          <w:spacing w:val="-7"/>
        </w:rPr>
        <w:t xml:space="preserve"> </w:t>
      </w:r>
      <w:r w:rsidRPr="00B9235D">
        <w:rPr>
          <w:rFonts w:ascii="Verdana" w:hAnsi="Verdana"/>
        </w:rPr>
        <w:t>una</w:t>
      </w:r>
      <w:r w:rsidRPr="00B9235D">
        <w:rPr>
          <w:rFonts w:ascii="Verdana" w:hAnsi="Verdana"/>
          <w:spacing w:val="-8"/>
        </w:rPr>
        <w:t xml:space="preserve"> </w:t>
      </w:r>
      <w:r w:rsidRPr="00B9235D">
        <w:rPr>
          <w:rFonts w:ascii="Verdana" w:hAnsi="Verdana"/>
        </w:rPr>
        <w:t>o</w:t>
      </w:r>
      <w:r w:rsidRPr="00B9235D">
        <w:rPr>
          <w:rFonts w:ascii="Verdana" w:hAnsi="Verdana"/>
          <w:spacing w:val="-8"/>
        </w:rPr>
        <w:t xml:space="preserve"> </w:t>
      </w:r>
      <w:r w:rsidRPr="00B9235D">
        <w:rPr>
          <w:rFonts w:ascii="Verdana" w:hAnsi="Verdana"/>
        </w:rPr>
        <w:t>más</w:t>
      </w:r>
      <w:r w:rsidRPr="00B9235D">
        <w:rPr>
          <w:rFonts w:ascii="Verdana" w:hAnsi="Verdana"/>
          <w:spacing w:val="-8"/>
        </w:rPr>
        <w:t xml:space="preserve"> </w:t>
      </w:r>
      <w:r w:rsidRPr="00B9235D">
        <w:rPr>
          <w:rFonts w:ascii="Verdana" w:hAnsi="Verdana"/>
        </w:rPr>
        <w:t>sociedades</w:t>
      </w:r>
      <w:r w:rsidRPr="00B9235D">
        <w:rPr>
          <w:rFonts w:ascii="Verdana" w:hAnsi="Verdana"/>
          <w:spacing w:val="-8"/>
        </w:rPr>
        <w:t xml:space="preserve"> </w:t>
      </w:r>
      <w:r w:rsidRPr="00B9235D">
        <w:rPr>
          <w:rFonts w:ascii="Verdana" w:hAnsi="Verdana"/>
        </w:rPr>
        <w:t>se</w:t>
      </w:r>
      <w:r w:rsidRPr="00B9235D">
        <w:rPr>
          <w:rFonts w:ascii="Verdana" w:hAnsi="Verdana"/>
          <w:spacing w:val="-8"/>
        </w:rPr>
        <w:t xml:space="preserve"> </w:t>
      </w:r>
      <w:r w:rsidRPr="00B9235D">
        <w:rPr>
          <w:rFonts w:ascii="Verdana" w:hAnsi="Verdana"/>
        </w:rPr>
        <w:t>“disuelven”</w:t>
      </w:r>
      <w:r w:rsidRPr="00B9235D">
        <w:rPr>
          <w:rFonts w:ascii="Verdana" w:hAnsi="Verdana"/>
          <w:spacing w:val="-8"/>
        </w:rPr>
        <w:t xml:space="preserve"> </w:t>
      </w:r>
      <w:r w:rsidRPr="00B9235D">
        <w:rPr>
          <w:rFonts w:ascii="Verdana" w:hAnsi="Verdana"/>
        </w:rPr>
        <w:t>sin</w:t>
      </w:r>
      <w:r w:rsidRPr="00B9235D">
        <w:rPr>
          <w:rFonts w:ascii="Verdana" w:hAnsi="Verdana"/>
          <w:spacing w:val="-8"/>
        </w:rPr>
        <w:t xml:space="preserve"> </w:t>
      </w:r>
      <w:r w:rsidRPr="00B9235D">
        <w:rPr>
          <w:rFonts w:ascii="Verdana" w:hAnsi="Verdana"/>
        </w:rPr>
        <w:t>“liquidarse”</w:t>
      </w:r>
      <w:r w:rsidRPr="00B9235D">
        <w:rPr>
          <w:rFonts w:ascii="Verdana" w:hAnsi="Verdana"/>
          <w:spacing w:val="-8"/>
        </w:rPr>
        <w:t xml:space="preserve"> </w:t>
      </w:r>
      <w:r w:rsidRPr="00B9235D">
        <w:rPr>
          <w:rFonts w:ascii="Verdana" w:hAnsi="Verdana"/>
        </w:rPr>
        <w:t>para</w:t>
      </w:r>
      <w:r w:rsidRPr="00B9235D">
        <w:rPr>
          <w:rFonts w:ascii="Verdana" w:hAnsi="Verdana"/>
          <w:spacing w:val="-8"/>
        </w:rPr>
        <w:t xml:space="preserve"> </w:t>
      </w:r>
      <w:r w:rsidRPr="00B9235D">
        <w:rPr>
          <w:rFonts w:ascii="Verdana" w:hAnsi="Verdana"/>
        </w:rPr>
        <w:t>ser</w:t>
      </w:r>
      <w:r w:rsidRPr="00B9235D">
        <w:rPr>
          <w:rFonts w:ascii="Verdana" w:hAnsi="Verdana"/>
          <w:spacing w:val="-8"/>
        </w:rPr>
        <w:t xml:space="preserve"> </w:t>
      </w:r>
      <w:r w:rsidRPr="00B9235D">
        <w:rPr>
          <w:rFonts w:ascii="Verdana" w:hAnsi="Verdana"/>
        </w:rPr>
        <w:t>absorbidas</w:t>
      </w:r>
      <w:r w:rsidRPr="00B9235D">
        <w:rPr>
          <w:rFonts w:ascii="Verdana" w:hAnsi="Verdana"/>
          <w:spacing w:val="-8"/>
        </w:rPr>
        <w:t xml:space="preserve"> </w:t>
      </w:r>
      <w:r w:rsidRPr="00B9235D">
        <w:rPr>
          <w:rFonts w:ascii="Verdana" w:hAnsi="Verdana"/>
        </w:rPr>
        <w:t>por</w:t>
      </w:r>
      <w:r w:rsidRPr="00B9235D">
        <w:rPr>
          <w:rFonts w:ascii="Verdana" w:hAnsi="Verdana"/>
          <w:spacing w:val="-8"/>
        </w:rPr>
        <w:t xml:space="preserve"> </w:t>
      </w:r>
      <w:r w:rsidRPr="00B9235D">
        <w:rPr>
          <w:rFonts w:ascii="Verdana" w:hAnsi="Verdana"/>
        </w:rPr>
        <w:t>otra nueva</w:t>
      </w:r>
      <w:r w:rsidRPr="00B9235D">
        <w:rPr>
          <w:rStyle w:val="Refdenotaalpie"/>
          <w:rFonts w:ascii="Verdana" w:hAnsi="Verdana"/>
        </w:rPr>
        <w:footnoteReference w:id="4"/>
      </w:r>
      <w:r w:rsidRPr="00B9235D">
        <w:rPr>
          <w:rFonts w:ascii="Verdana" w:hAnsi="Verdana"/>
        </w:rPr>
        <w:t>;</w:t>
      </w:r>
      <w:r w:rsidRPr="00B9235D">
        <w:rPr>
          <w:rFonts w:ascii="Verdana" w:hAnsi="Verdana"/>
          <w:spacing w:val="-3"/>
        </w:rPr>
        <w:t xml:space="preserve"> </w:t>
      </w:r>
      <w:proofErr w:type="spellStart"/>
      <w:r w:rsidRPr="00B9235D">
        <w:rPr>
          <w:rFonts w:ascii="Verdana" w:hAnsi="Verdana"/>
        </w:rPr>
        <w:t>iii</w:t>
      </w:r>
      <w:proofErr w:type="spellEnd"/>
      <w:r w:rsidRPr="00B9235D">
        <w:rPr>
          <w:rFonts w:ascii="Verdana" w:hAnsi="Verdana"/>
        </w:rPr>
        <w:t>)</w:t>
      </w:r>
      <w:r w:rsidRPr="00B9235D">
        <w:rPr>
          <w:rFonts w:ascii="Verdana" w:hAnsi="Verdana"/>
          <w:spacing w:val="-3"/>
        </w:rPr>
        <w:t xml:space="preserve"> </w:t>
      </w:r>
      <w:r w:rsidRPr="00B9235D">
        <w:rPr>
          <w:rFonts w:ascii="Verdana" w:hAnsi="Verdana"/>
        </w:rPr>
        <w:t>impropia:</w:t>
      </w:r>
      <w:r w:rsidRPr="00B9235D">
        <w:rPr>
          <w:rFonts w:ascii="Verdana" w:hAnsi="Verdana"/>
          <w:spacing w:val="-1"/>
        </w:rPr>
        <w:t xml:space="preserve"> </w:t>
      </w:r>
      <w:r w:rsidRPr="00B9235D">
        <w:rPr>
          <w:rFonts w:ascii="Verdana" w:hAnsi="Verdana"/>
        </w:rPr>
        <w:t>una</w:t>
      </w:r>
      <w:r w:rsidRPr="00B9235D">
        <w:rPr>
          <w:rFonts w:ascii="Verdana" w:hAnsi="Verdana"/>
          <w:spacing w:val="-3"/>
        </w:rPr>
        <w:t xml:space="preserve"> </w:t>
      </w:r>
      <w:r w:rsidRPr="00B9235D">
        <w:rPr>
          <w:rFonts w:ascii="Verdana" w:hAnsi="Verdana"/>
        </w:rPr>
        <w:t>sociedad</w:t>
      </w:r>
      <w:r w:rsidRPr="00B9235D">
        <w:rPr>
          <w:rFonts w:ascii="Verdana" w:hAnsi="Verdana"/>
          <w:spacing w:val="-2"/>
        </w:rPr>
        <w:t xml:space="preserve"> </w:t>
      </w:r>
      <w:r w:rsidRPr="00B9235D">
        <w:rPr>
          <w:rFonts w:ascii="Verdana" w:hAnsi="Verdana"/>
        </w:rPr>
        <w:t>se</w:t>
      </w:r>
      <w:r w:rsidRPr="00B9235D">
        <w:rPr>
          <w:rFonts w:ascii="Verdana" w:hAnsi="Verdana"/>
          <w:spacing w:val="-3"/>
        </w:rPr>
        <w:t xml:space="preserve"> </w:t>
      </w:r>
      <w:r w:rsidRPr="00B9235D">
        <w:rPr>
          <w:rFonts w:ascii="Verdana" w:hAnsi="Verdana"/>
        </w:rPr>
        <w:t>“disuelve”</w:t>
      </w:r>
      <w:r w:rsidRPr="00B9235D">
        <w:rPr>
          <w:rFonts w:ascii="Verdana" w:hAnsi="Verdana"/>
          <w:spacing w:val="-3"/>
        </w:rPr>
        <w:t xml:space="preserve"> </w:t>
      </w:r>
      <w:r w:rsidRPr="00B9235D">
        <w:rPr>
          <w:rFonts w:ascii="Verdana" w:hAnsi="Verdana"/>
        </w:rPr>
        <w:t>sin</w:t>
      </w:r>
      <w:r w:rsidRPr="00B9235D">
        <w:rPr>
          <w:rFonts w:ascii="Verdana" w:hAnsi="Verdana"/>
          <w:spacing w:val="-3"/>
        </w:rPr>
        <w:t xml:space="preserve"> </w:t>
      </w:r>
      <w:r w:rsidRPr="00B9235D">
        <w:rPr>
          <w:rFonts w:ascii="Verdana" w:hAnsi="Verdana"/>
        </w:rPr>
        <w:t>el</w:t>
      </w:r>
      <w:r w:rsidRPr="00B9235D">
        <w:rPr>
          <w:rFonts w:ascii="Verdana" w:hAnsi="Verdana"/>
          <w:spacing w:val="-3"/>
        </w:rPr>
        <w:t xml:space="preserve"> </w:t>
      </w:r>
      <w:r w:rsidRPr="00B9235D">
        <w:rPr>
          <w:rFonts w:ascii="Verdana" w:hAnsi="Verdana"/>
        </w:rPr>
        <w:t>propósito</w:t>
      </w:r>
      <w:r w:rsidRPr="00B9235D">
        <w:rPr>
          <w:rFonts w:ascii="Verdana" w:hAnsi="Verdana"/>
          <w:spacing w:val="-1"/>
        </w:rPr>
        <w:t xml:space="preserve"> </w:t>
      </w:r>
      <w:r w:rsidRPr="00B9235D">
        <w:rPr>
          <w:rFonts w:ascii="Verdana" w:hAnsi="Verdana"/>
        </w:rPr>
        <w:t>de</w:t>
      </w:r>
      <w:r w:rsidRPr="00B9235D">
        <w:rPr>
          <w:rFonts w:ascii="Verdana" w:hAnsi="Verdana"/>
          <w:spacing w:val="-3"/>
        </w:rPr>
        <w:t xml:space="preserve"> </w:t>
      </w:r>
      <w:r w:rsidRPr="00B9235D">
        <w:rPr>
          <w:rFonts w:ascii="Verdana" w:hAnsi="Verdana"/>
        </w:rPr>
        <w:t>realizar</w:t>
      </w:r>
      <w:r w:rsidRPr="00B9235D">
        <w:rPr>
          <w:rFonts w:ascii="Verdana" w:hAnsi="Verdana"/>
          <w:spacing w:val="-2"/>
        </w:rPr>
        <w:t xml:space="preserve"> </w:t>
      </w:r>
      <w:r w:rsidRPr="00B9235D">
        <w:rPr>
          <w:rFonts w:ascii="Verdana" w:hAnsi="Verdana"/>
        </w:rPr>
        <w:t>una</w:t>
      </w:r>
      <w:r w:rsidRPr="00B9235D">
        <w:rPr>
          <w:rFonts w:ascii="Verdana" w:hAnsi="Verdana"/>
          <w:spacing w:val="-3"/>
        </w:rPr>
        <w:t xml:space="preserve"> </w:t>
      </w:r>
      <w:r w:rsidRPr="00B9235D">
        <w:rPr>
          <w:rFonts w:ascii="Verdana" w:hAnsi="Verdana"/>
        </w:rPr>
        <w:t>fusión</w:t>
      </w:r>
      <w:r w:rsidRPr="00B9235D">
        <w:rPr>
          <w:rFonts w:ascii="Verdana" w:hAnsi="Verdana"/>
          <w:spacing w:val="-3"/>
        </w:rPr>
        <w:t xml:space="preserve"> </w:t>
      </w:r>
      <w:r w:rsidRPr="00B9235D">
        <w:rPr>
          <w:rFonts w:ascii="Verdana" w:hAnsi="Verdana"/>
        </w:rPr>
        <w:t>sino de “liquidarse” y antes de la liquidación se toma la decisión de crear una sociedad</w:t>
      </w:r>
      <w:r w:rsidRPr="00B9235D">
        <w:rPr>
          <w:rStyle w:val="Refdenotaalpie"/>
          <w:rFonts w:ascii="Verdana" w:hAnsi="Verdana"/>
        </w:rPr>
        <w:footnoteReference w:id="5"/>
      </w:r>
      <w:r w:rsidRPr="00B9235D">
        <w:rPr>
          <w:rFonts w:ascii="Verdana" w:hAnsi="Verdana"/>
        </w:rPr>
        <w:t xml:space="preserve">; </w:t>
      </w:r>
      <w:proofErr w:type="spellStart"/>
      <w:r w:rsidRPr="00B9235D">
        <w:rPr>
          <w:rFonts w:ascii="Verdana" w:hAnsi="Verdana"/>
        </w:rPr>
        <w:t>iv</w:t>
      </w:r>
      <w:proofErr w:type="spellEnd"/>
      <w:r w:rsidRPr="00B9235D">
        <w:rPr>
          <w:rFonts w:ascii="Verdana" w:hAnsi="Verdana"/>
        </w:rPr>
        <w:t>) abreviada: solo aplica cuando una Sociedad por Acciones Simplificada (S.A.S.) pertenece a</w:t>
      </w:r>
      <w:r w:rsidRPr="00B9235D">
        <w:rPr>
          <w:rFonts w:ascii="Verdana" w:hAnsi="Verdana"/>
          <w:spacing w:val="-14"/>
        </w:rPr>
        <w:t xml:space="preserve"> </w:t>
      </w:r>
      <w:r w:rsidRPr="00B9235D">
        <w:rPr>
          <w:rFonts w:ascii="Verdana" w:hAnsi="Verdana"/>
        </w:rPr>
        <w:t>otra</w:t>
      </w:r>
      <w:r w:rsidRPr="00B9235D">
        <w:rPr>
          <w:rFonts w:ascii="Verdana" w:hAnsi="Verdana"/>
          <w:spacing w:val="-13"/>
        </w:rPr>
        <w:t xml:space="preserve"> </w:t>
      </w:r>
      <w:r w:rsidRPr="00B9235D">
        <w:rPr>
          <w:rFonts w:ascii="Verdana" w:hAnsi="Verdana"/>
        </w:rPr>
        <w:t>sociedad</w:t>
      </w:r>
      <w:r w:rsidRPr="00B9235D">
        <w:rPr>
          <w:rFonts w:ascii="Verdana" w:hAnsi="Verdana"/>
          <w:spacing w:val="-12"/>
        </w:rPr>
        <w:t xml:space="preserve"> </w:t>
      </w:r>
      <w:r w:rsidRPr="00B9235D">
        <w:rPr>
          <w:rFonts w:ascii="Verdana" w:hAnsi="Verdana"/>
        </w:rPr>
        <w:t>en</w:t>
      </w:r>
      <w:r w:rsidRPr="00B9235D">
        <w:rPr>
          <w:rFonts w:ascii="Verdana" w:hAnsi="Verdana"/>
          <w:spacing w:val="-14"/>
        </w:rPr>
        <w:t xml:space="preserve"> </w:t>
      </w:r>
      <w:r w:rsidRPr="00B9235D">
        <w:rPr>
          <w:rFonts w:ascii="Verdana" w:hAnsi="Verdana"/>
        </w:rPr>
        <w:t>más</w:t>
      </w:r>
      <w:r w:rsidRPr="00B9235D">
        <w:rPr>
          <w:rFonts w:ascii="Verdana" w:hAnsi="Verdana"/>
          <w:spacing w:val="-13"/>
        </w:rPr>
        <w:t xml:space="preserve"> </w:t>
      </w:r>
      <w:r w:rsidRPr="00B9235D">
        <w:rPr>
          <w:rFonts w:ascii="Verdana" w:hAnsi="Verdana"/>
        </w:rPr>
        <w:t>del</w:t>
      </w:r>
      <w:r w:rsidRPr="00B9235D">
        <w:rPr>
          <w:rFonts w:ascii="Verdana" w:hAnsi="Verdana"/>
          <w:spacing w:val="-13"/>
        </w:rPr>
        <w:t xml:space="preserve"> </w:t>
      </w:r>
      <w:r w:rsidRPr="00B9235D">
        <w:rPr>
          <w:rFonts w:ascii="Verdana" w:hAnsi="Verdana"/>
        </w:rPr>
        <w:t>90%</w:t>
      </w:r>
      <w:r w:rsidRPr="00B9235D">
        <w:rPr>
          <w:rFonts w:ascii="Verdana" w:hAnsi="Verdana"/>
          <w:spacing w:val="-13"/>
        </w:rPr>
        <w:t xml:space="preserve"> </w:t>
      </w:r>
      <w:r w:rsidRPr="00B9235D">
        <w:rPr>
          <w:rFonts w:ascii="Verdana" w:hAnsi="Verdana"/>
        </w:rPr>
        <w:t>de</w:t>
      </w:r>
      <w:r w:rsidRPr="00B9235D">
        <w:rPr>
          <w:rFonts w:ascii="Verdana" w:hAnsi="Verdana"/>
          <w:spacing w:val="-13"/>
        </w:rPr>
        <w:t xml:space="preserve"> </w:t>
      </w:r>
      <w:r w:rsidRPr="00B9235D">
        <w:rPr>
          <w:rFonts w:ascii="Verdana" w:hAnsi="Verdana"/>
        </w:rPr>
        <w:t>sus</w:t>
      </w:r>
      <w:r w:rsidRPr="00B9235D">
        <w:rPr>
          <w:rFonts w:ascii="Verdana" w:hAnsi="Verdana"/>
          <w:spacing w:val="-14"/>
        </w:rPr>
        <w:t xml:space="preserve"> </w:t>
      </w:r>
      <w:r w:rsidRPr="00B9235D">
        <w:rPr>
          <w:rFonts w:ascii="Verdana" w:hAnsi="Verdana"/>
        </w:rPr>
        <w:t>acciones,</w:t>
      </w:r>
      <w:r w:rsidRPr="00B9235D">
        <w:rPr>
          <w:rFonts w:ascii="Verdana" w:hAnsi="Verdana"/>
          <w:spacing w:val="-12"/>
        </w:rPr>
        <w:t xml:space="preserve"> </w:t>
      </w:r>
      <w:r w:rsidRPr="00B9235D">
        <w:rPr>
          <w:rFonts w:ascii="Verdana" w:hAnsi="Verdana"/>
        </w:rPr>
        <w:t>y</w:t>
      </w:r>
      <w:r w:rsidRPr="00B9235D">
        <w:rPr>
          <w:rFonts w:ascii="Verdana" w:hAnsi="Verdana"/>
          <w:spacing w:val="-14"/>
        </w:rPr>
        <w:t xml:space="preserve"> </w:t>
      </w:r>
      <w:r w:rsidRPr="00B9235D">
        <w:rPr>
          <w:rFonts w:ascii="Verdana" w:hAnsi="Verdana"/>
        </w:rPr>
        <w:t>es</w:t>
      </w:r>
      <w:r w:rsidRPr="00B9235D">
        <w:rPr>
          <w:rFonts w:ascii="Verdana" w:hAnsi="Verdana"/>
          <w:spacing w:val="-14"/>
        </w:rPr>
        <w:t xml:space="preserve"> </w:t>
      </w:r>
      <w:r w:rsidRPr="00B9235D">
        <w:rPr>
          <w:rFonts w:ascii="Verdana" w:hAnsi="Verdana"/>
        </w:rPr>
        <w:t>posible</w:t>
      </w:r>
      <w:r w:rsidRPr="00B9235D">
        <w:rPr>
          <w:rFonts w:ascii="Verdana" w:hAnsi="Verdana"/>
          <w:spacing w:val="-12"/>
        </w:rPr>
        <w:t xml:space="preserve"> </w:t>
      </w:r>
      <w:r w:rsidRPr="00B9235D">
        <w:rPr>
          <w:rFonts w:ascii="Verdana" w:hAnsi="Verdana"/>
        </w:rPr>
        <w:t>que</w:t>
      </w:r>
      <w:r w:rsidRPr="00B9235D">
        <w:rPr>
          <w:rFonts w:ascii="Verdana" w:hAnsi="Verdana"/>
          <w:spacing w:val="-13"/>
        </w:rPr>
        <w:t xml:space="preserve"> </w:t>
      </w:r>
      <w:r w:rsidRPr="00B9235D">
        <w:rPr>
          <w:rFonts w:ascii="Verdana" w:hAnsi="Verdana"/>
        </w:rPr>
        <w:t>esa</w:t>
      </w:r>
      <w:r w:rsidRPr="00B9235D">
        <w:rPr>
          <w:rFonts w:ascii="Verdana" w:hAnsi="Verdana"/>
          <w:spacing w:val="-14"/>
        </w:rPr>
        <w:t xml:space="preserve"> </w:t>
      </w:r>
      <w:r w:rsidRPr="00B9235D">
        <w:rPr>
          <w:rFonts w:ascii="Verdana" w:hAnsi="Verdana"/>
        </w:rPr>
        <w:t>sociedad</w:t>
      </w:r>
      <w:r w:rsidRPr="00B9235D">
        <w:rPr>
          <w:rFonts w:ascii="Verdana" w:hAnsi="Verdana"/>
          <w:spacing w:val="-12"/>
        </w:rPr>
        <w:t xml:space="preserve"> </w:t>
      </w:r>
      <w:r w:rsidRPr="00B9235D">
        <w:rPr>
          <w:rFonts w:ascii="Verdana" w:hAnsi="Verdana"/>
        </w:rPr>
        <w:t>controlante absorba a la S.A.S, es decir, que ocurra una fusión por absorción</w:t>
      </w:r>
      <w:r w:rsidRPr="00B9235D">
        <w:rPr>
          <w:rStyle w:val="Refdenotaalpie"/>
          <w:rFonts w:ascii="Verdana" w:hAnsi="Verdana"/>
        </w:rPr>
        <w:footnoteReference w:id="6"/>
      </w:r>
      <w:r w:rsidRPr="00B9235D">
        <w:rPr>
          <w:rFonts w:ascii="Verdana" w:hAnsi="Verdana"/>
        </w:rPr>
        <w:t>. La norma no se refiere a</w:t>
      </w:r>
      <w:r w:rsidRPr="00B9235D">
        <w:rPr>
          <w:rFonts w:ascii="Verdana" w:hAnsi="Verdana"/>
          <w:spacing w:val="-2"/>
        </w:rPr>
        <w:t xml:space="preserve"> </w:t>
      </w:r>
      <w:r w:rsidRPr="00B9235D">
        <w:rPr>
          <w:rFonts w:ascii="Verdana" w:hAnsi="Verdana"/>
        </w:rPr>
        <w:t>la</w:t>
      </w:r>
      <w:r w:rsidRPr="00B9235D">
        <w:rPr>
          <w:rFonts w:ascii="Verdana" w:hAnsi="Verdana"/>
          <w:spacing w:val="-1"/>
        </w:rPr>
        <w:t xml:space="preserve"> </w:t>
      </w:r>
      <w:r w:rsidRPr="00B9235D">
        <w:rPr>
          <w:rFonts w:ascii="Verdana" w:hAnsi="Verdana"/>
        </w:rPr>
        <w:t>“disolución</w:t>
      </w:r>
      <w:r w:rsidRPr="00B9235D">
        <w:rPr>
          <w:rFonts w:ascii="Verdana" w:hAnsi="Verdana"/>
          <w:spacing w:val="-1"/>
        </w:rPr>
        <w:t xml:space="preserve"> </w:t>
      </w:r>
      <w:r w:rsidRPr="00B9235D">
        <w:rPr>
          <w:rFonts w:ascii="Verdana" w:hAnsi="Verdana"/>
        </w:rPr>
        <w:t>de</w:t>
      </w:r>
      <w:r w:rsidRPr="00B9235D">
        <w:rPr>
          <w:rFonts w:ascii="Verdana" w:hAnsi="Verdana"/>
          <w:spacing w:val="-1"/>
        </w:rPr>
        <w:t xml:space="preserve"> </w:t>
      </w:r>
      <w:r w:rsidRPr="00B9235D">
        <w:rPr>
          <w:rFonts w:ascii="Verdana" w:hAnsi="Verdana"/>
        </w:rPr>
        <w:t>la</w:t>
      </w:r>
      <w:r w:rsidRPr="00B9235D">
        <w:rPr>
          <w:rFonts w:ascii="Verdana" w:hAnsi="Verdana"/>
          <w:spacing w:val="-1"/>
        </w:rPr>
        <w:t xml:space="preserve"> </w:t>
      </w:r>
      <w:r w:rsidRPr="00B9235D">
        <w:rPr>
          <w:rFonts w:ascii="Verdana" w:hAnsi="Verdana"/>
        </w:rPr>
        <w:t>S.A.S”,</w:t>
      </w:r>
      <w:r w:rsidRPr="00B9235D">
        <w:rPr>
          <w:rFonts w:ascii="Verdana" w:hAnsi="Verdana"/>
          <w:spacing w:val="-1"/>
        </w:rPr>
        <w:t xml:space="preserve"> </w:t>
      </w:r>
      <w:r w:rsidRPr="00B9235D">
        <w:rPr>
          <w:rFonts w:ascii="Verdana" w:hAnsi="Verdana"/>
        </w:rPr>
        <w:t>lo</w:t>
      </w:r>
      <w:r w:rsidRPr="00B9235D">
        <w:rPr>
          <w:rFonts w:ascii="Verdana" w:hAnsi="Verdana"/>
          <w:spacing w:val="-1"/>
        </w:rPr>
        <w:t xml:space="preserve"> </w:t>
      </w:r>
      <w:r w:rsidRPr="00B9235D">
        <w:rPr>
          <w:rFonts w:ascii="Verdana" w:hAnsi="Verdana"/>
        </w:rPr>
        <w:t>cual</w:t>
      </w:r>
      <w:r w:rsidRPr="00B9235D">
        <w:rPr>
          <w:rFonts w:ascii="Verdana" w:hAnsi="Verdana"/>
          <w:spacing w:val="-1"/>
        </w:rPr>
        <w:t xml:space="preserve"> </w:t>
      </w:r>
      <w:r w:rsidRPr="00B9235D">
        <w:rPr>
          <w:rFonts w:ascii="Verdana" w:hAnsi="Verdana"/>
        </w:rPr>
        <w:t>no</w:t>
      </w:r>
      <w:r w:rsidRPr="00B9235D">
        <w:rPr>
          <w:rFonts w:ascii="Verdana" w:hAnsi="Verdana"/>
          <w:spacing w:val="-1"/>
        </w:rPr>
        <w:t xml:space="preserve"> </w:t>
      </w:r>
      <w:r w:rsidRPr="00B9235D">
        <w:rPr>
          <w:rFonts w:ascii="Verdana" w:hAnsi="Verdana"/>
        </w:rPr>
        <w:t>implica</w:t>
      </w:r>
      <w:r w:rsidRPr="00B9235D">
        <w:rPr>
          <w:rFonts w:ascii="Verdana" w:hAnsi="Verdana"/>
          <w:spacing w:val="-1"/>
        </w:rPr>
        <w:t xml:space="preserve"> </w:t>
      </w:r>
      <w:r w:rsidRPr="00B9235D">
        <w:rPr>
          <w:rFonts w:ascii="Verdana" w:hAnsi="Verdana"/>
        </w:rPr>
        <w:t>que</w:t>
      </w:r>
      <w:r w:rsidRPr="00B9235D">
        <w:rPr>
          <w:rFonts w:ascii="Verdana" w:hAnsi="Verdana"/>
          <w:spacing w:val="-1"/>
        </w:rPr>
        <w:t xml:space="preserve"> </w:t>
      </w:r>
      <w:r w:rsidRPr="00B9235D">
        <w:rPr>
          <w:rFonts w:ascii="Verdana" w:hAnsi="Verdana"/>
        </w:rPr>
        <w:t>no</w:t>
      </w:r>
      <w:r w:rsidRPr="00B9235D">
        <w:rPr>
          <w:rFonts w:ascii="Verdana" w:hAnsi="Verdana"/>
          <w:spacing w:val="-1"/>
        </w:rPr>
        <w:t xml:space="preserve"> </w:t>
      </w:r>
      <w:r w:rsidRPr="00B9235D">
        <w:rPr>
          <w:rFonts w:ascii="Verdana" w:hAnsi="Verdana"/>
        </w:rPr>
        <w:t>exista</w:t>
      </w:r>
      <w:r w:rsidRPr="00B9235D">
        <w:rPr>
          <w:rFonts w:ascii="Verdana" w:hAnsi="Verdana"/>
          <w:spacing w:val="-1"/>
        </w:rPr>
        <w:t xml:space="preserve"> </w:t>
      </w:r>
      <w:r w:rsidRPr="00B9235D">
        <w:rPr>
          <w:rFonts w:ascii="Verdana" w:hAnsi="Verdana"/>
        </w:rPr>
        <w:t>fusión, sino</w:t>
      </w:r>
      <w:r w:rsidRPr="00B9235D">
        <w:rPr>
          <w:rFonts w:ascii="Verdana" w:hAnsi="Verdana"/>
          <w:spacing w:val="-1"/>
        </w:rPr>
        <w:t xml:space="preserve"> </w:t>
      </w:r>
      <w:r w:rsidRPr="00B9235D">
        <w:rPr>
          <w:rFonts w:ascii="Verdana" w:hAnsi="Verdana"/>
        </w:rPr>
        <w:t>que</w:t>
      </w:r>
      <w:r w:rsidRPr="00B9235D">
        <w:rPr>
          <w:rFonts w:ascii="Verdana" w:hAnsi="Verdana"/>
          <w:spacing w:val="-1"/>
        </w:rPr>
        <w:t xml:space="preserve"> </w:t>
      </w:r>
      <w:r w:rsidRPr="00B9235D">
        <w:rPr>
          <w:rFonts w:ascii="Verdana" w:hAnsi="Verdana"/>
        </w:rPr>
        <w:t>es</w:t>
      </w:r>
      <w:r w:rsidRPr="00B9235D">
        <w:rPr>
          <w:rFonts w:ascii="Verdana" w:hAnsi="Verdana"/>
          <w:spacing w:val="-1"/>
        </w:rPr>
        <w:t xml:space="preserve"> </w:t>
      </w:r>
      <w:r w:rsidRPr="00B9235D">
        <w:rPr>
          <w:rFonts w:ascii="Verdana" w:hAnsi="Verdana"/>
        </w:rPr>
        <w:t>abreviada porque no se requiere configurar el estado de “disolución” de la sociedad.</w:t>
      </w:r>
    </w:p>
    <w:p w14:paraId="39289255" w14:textId="77777777" w:rsidR="009D767D" w:rsidRDefault="009D767D" w:rsidP="009D767D">
      <w:pPr>
        <w:spacing w:after="120" w:line="276" w:lineRule="auto"/>
        <w:ind w:right="51" w:firstLine="567"/>
        <w:jc w:val="both"/>
        <w:rPr>
          <w:rFonts w:ascii="Verdana" w:hAnsi="Verdana"/>
        </w:rPr>
      </w:pPr>
      <w:r w:rsidRPr="00B9235D">
        <w:rPr>
          <w:rFonts w:ascii="Verdana" w:hAnsi="Verdana"/>
        </w:rPr>
        <w:lastRenderedPageBreak/>
        <w:t>Para</w:t>
      </w:r>
      <w:r w:rsidRPr="00B9235D">
        <w:rPr>
          <w:rFonts w:ascii="Verdana" w:hAnsi="Verdana"/>
          <w:spacing w:val="-4"/>
        </w:rPr>
        <w:t xml:space="preserve"> </w:t>
      </w:r>
      <w:r w:rsidRPr="00B9235D">
        <w:rPr>
          <w:rFonts w:ascii="Verdana" w:hAnsi="Verdana"/>
        </w:rPr>
        <w:t>analizar</w:t>
      </w:r>
      <w:r w:rsidRPr="00B9235D">
        <w:rPr>
          <w:rFonts w:ascii="Verdana" w:hAnsi="Verdana"/>
          <w:spacing w:val="-3"/>
        </w:rPr>
        <w:t xml:space="preserve"> </w:t>
      </w:r>
      <w:r w:rsidRPr="00B9235D">
        <w:rPr>
          <w:rFonts w:ascii="Verdana" w:hAnsi="Verdana"/>
        </w:rPr>
        <w:t>la</w:t>
      </w:r>
      <w:r w:rsidRPr="00B9235D">
        <w:rPr>
          <w:rFonts w:ascii="Verdana" w:hAnsi="Verdana"/>
          <w:spacing w:val="-4"/>
        </w:rPr>
        <w:t xml:space="preserve"> </w:t>
      </w:r>
      <w:r w:rsidRPr="00B9235D">
        <w:rPr>
          <w:rFonts w:ascii="Verdana" w:hAnsi="Verdana"/>
        </w:rPr>
        <w:t>fusión</w:t>
      </w:r>
      <w:r w:rsidRPr="00B9235D">
        <w:rPr>
          <w:rFonts w:ascii="Verdana" w:hAnsi="Verdana"/>
          <w:spacing w:val="-4"/>
        </w:rPr>
        <w:t xml:space="preserve"> </w:t>
      </w:r>
      <w:r w:rsidRPr="00B9235D">
        <w:rPr>
          <w:rFonts w:ascii="Verdana" w:hAnsi="Verdana"/>
        </w:rPr>
        <w:t>y</w:t>
      </w:r>
      <w:r w:rsidRPr="00B9235D">
        <w:rPr>
          <w:rFonts w:ascii="Verdana" w:hAnsi="Verdana"/>
          <w:spacing w:val="-4"/>
        </w:rPr>
        <w:t xml:space="preserve"> </w:t>
      </w:r>
      <w:r w:rsidRPr="00B9235D">
        <w:rPr>
          <w:rFonts w:ascii="Verdana" w:hAnsi="Verdana"/>
        </w:rPr>
        <w:t>sus</w:t>
      </w:r>
      <w:r w:rsidRPr="00B9235D">
        <w:rPr>
          <w:rFonts w:ascii="Verdana" w:hAnsi="Verdana"/>
          <w:spacing w:val="-4"/>
        </w:rPr>
        <w:t xml:space="preserve"> </w:t>
      </w:r>
      <w:r w:rsidRPr="00B9235D">
        <w:rPr>
          <w:rFonts w:ascii="Verdana" w:hAnsi="Verdana"/>
        </w:rPr>
        <w:t>efectos,</w:t>
      </w:r>
      <w:r w:rsidRPr="00B9235D">
        <w:rPr>
          <w:rFonts w:ascii="Verdana" w:hAnsi="Verdana"/>
          <w:spacing w:val="-2"/>
        </w:rPr>
        <w:t xml:space="preserve"> </w:t>
      </w:r>
      <w:r w:rsidRPr="00B9235D">
        <w:rPr>
          <w:rFonts w:ascii="Verdana" w:hAnsi="Verdana"/>
        </w:rPr>
        <w:t>en</w:t>
      </w:r>
      <w:r w:rsidRPr="00B9235D">
        <w:rPr>
          <w:rFonts w:ascii="Verdana" w:hAnsi="Verdana"/>
          <w:spacing w:val="-4"/>
        </w:rPr>
        <w:t xml:space="preserve"> </w:t>
      </w:r>
      <w:r w:rsidRPr="00B9235D">
        <w:rPr>
          <w:rFonts w:ascii="Verdana" w:hAnsi="Verdana"/>
        </w:rPr>
        <w:t>particular</w:t>
      </w:r>
      <w:r w:rsidRPr="00B9235D">
        <w:rPr>
          <w:rFonts w:ascii="Verdana" w:hAnsi="Verdana"/>
          <w:spacing w:val="-3"/>
        </w:rPr>
        <w:t xml:space="preserve"> </w:t>
      </w:r>
      <w:r w:rsidRPr="00B9235D">
        <w:rPr>
          <w:rFonts w:ascii="Verdana" w:hAnsi="Verdana"/>
        </w:rPr>
        <w:t>la</w:t>
      </w:r>
      <w:r w:rsidRPr="00B9235D">
        <w:rPr>
          <w:rFonts w:ascii="Verdana" w:hAnsi="Verdana"/>
          <w:spacing w:val="-4"/>
        </w:rPr>
        <w:t xml:space="preserve"> </w:t>
      </w:r>
      <w:r w:rsidRPr="00B9235D">
        <w:rPr>
          <w:rFonts w:ascii="Verdana" w:hAnsi="Verdana"/>
        </w:rPr>
        <w:t>figura</w:t>
      </w:r>
      <w:r w:rsidRPr="00B9235D">
        <w:rPr>
          <w:rFonts w:ascii="Verdana" w:hAnsi="Verdana"/>
          <w:spacing w:val="-4"/>
        </w:rPr>
        <w:t xml:space="preserve"> </w:t>
      </w:r>
      <w:r>
        <w:rPr>
          <w:rFonts w:ascii="Verdana" w:hAnsi="Verdana"/>
          <w:spacing w:val="-4"/>
        </w:rPr>
        <w:t xml:space="preserve">de la fusión por creación </w:t>
      </w:r>
      <w:r w:rsidRPr="00B9235D">
        <w:rPr>
          <w:rFonts w:ascii="Verdana" w:hAnsi="Verdana"/>
        </w:rPr>
        <w:t xml:space="preserve">se debe tener en cuenta lo establecido en el artículo 172 del Código de Comercio, que </w:t>
      </w:r>
      <w:r>
        <w:rPr>
          <w:rFonts w:ascii="Verdana" w:hAnsi="Verdana"/>
        </w:rPr>
        <w:t>contempla lo siguiente</w:t>
      </w:r>
      <w:r w:rsidRPr="00B9235D">
        <w:rPr>
          <w:rFonts w:ascii="Verdana" w:hAnsi="Verdana"/>
        </w:rPr>
        <w:t>: “</w:t>
      </w:r>
      <w:r w:rsidRPr="005F3A96">
        <w:rPr>
          <w:rFonts w:ascii="Verdana" w:hAnsi="Verdana"/>
          <w:iCs/>
        </w:rPr>
        <w:t>Habrá fusión cuando una o más sociedades se disuelvan, sin liquidarse, para ser absorbidas por otra o para crear una nueva. La absorbente o la nueva compañía adquirirá los derechos y obligaciones de la sociedad o sociedades disueltas al formalizarse el acuerdo de fusión.”</w:t>
      </w:r>
      <w:r w:rsidRPr="005F3A96">
        <w:rPr>
          <w:rStyle w:val="Refdenotaalpie"/>
          <w:rFonts w:ascii="Verdana" w:hAnsi="Verdana"/>
          <w:iCs/>
        </w:rPr>
        <w:footnoteReference w:id="7"/>
      </w:r>
      <w:r w:rsidRPr="005F3A96">
        <w:rPr>
          <w:rFonts w:ascii="Verdana" w:hAnsi="Verdana"/>
          <w:iCs/>
        </w:rPr>
        <w:t xml:space="preserve"> </w:t>
      </w:r>
    </w:p>
    <w:p w14:paraId="64829D1F" w14:textId="77777777" w:rsidR="009D767D" w:rsidRDefault="009D767D" w:rsidP="009D767D">
      <w:pPr>
        <w:spacing w:after="120" w:line="276" w:lineRule="auto"/>
        <w:ind w:right="51" w:firstLine="567"/>
        <w:jc w:val="both"/>
        <w:rPr>
          <w:rFonts w:ascii="Verdana" w:hAnsi="Verdana"/>
        </w:rPr>
      </w:pPr>
      <w:r>
        <w:rPr>
          <w:rFonts w:ascii="Verdana" w:hAnsi="Verdana"/>
        </w:rPr>
        <w:t>L</w:t>
      </w:r>
      <w:r w:rsidRPr="00B9235D">
        <w:rPr>
          <w:rFonts w:ascii="Verdana" w:hAnsi="Verdana"/>
        </w:rPr>
        <w:t xml:space="preserve">a fusión se perfecciona únicamente cuando la escritura que contiene el acuerdo se inscriba en el registro mercantil del domicilio de la sociedad, de conformidad con los requisitos que señala el artículo </w:t>
      </w:r>
      <w:hyperlink r:id="rId12" w:anchor="158" w:history="1">
        <w:r w:rsidRPr="00B9235D">
          <w:rPr>
            <w:rStyle w:val="Hipervnculo"/>
            <w:rFonts w:ascii="Verdana" w:hAnsi="Verdana"/>
            <w:color w:val="auto"/>
            <w:u w:val="none"/>
          </w:rPr>
          <w:t>158</w:t>
        </w:r>
      </w:hyperlink>
      <w:r w:rsidRPr="00B9235D">
        <w:rPr>
          <w:rFonts w:ascii="Verdana" w:hAnsi="Verdana"/>
        </w:rPr>
        <w:t xml:space="preserve"> del Código de Comercio para las reformas del contrato de sociedad.</w:t>
      </w:r>
    </w:p>
    <w:p w14:paraId="01D28ABA" w14:textId="77777777" w:rsidR="009D767D" w:rsidRPr="00B9235D" w:rsidRDefault="009D767D" w:rsidP="009D767D">
      <w:pPr>
        <w:spacing w:after="0" w:line="240" w:lineRule="auto"/>
        <w:ind w:right="51" w:firstLine="567"/>
        <w:jc w:val="both"/>
        <w:rPr>
          <w:rFonts w:ascii="Verdana" w:hAnsi="Verdana"/>
        </w:rPr>
      </w:pPr>
    </w:p>
    <w:p w14:paraId="0520BA98" w14:textId="77777777" w:rsidR="009D767D" w:rsidRPr="00B9235D" w:rsidRDefault="009D767D" w:rsidP="009D767D">
      <w:pPr>
        <w:spacing w:after="0" w:line="240" w:lineRule="auto"/>
        <w:ind w:left="1009" w:right="902"/>
        <w:jc w:val="both"/>
        <w:rPr>
          <w:rFonts w:ascii="Verdana" w:hAnsi="Verdana"/>
          <w:iCs/>
          <w:sz w:val="20"/>
          <w:szCs w:val="20"/>
        </w:rPr>
      </w:pPr>
      <w:r w:rsidRPr="00B9235D">
        <w:rPr>
          <w:rFonts w:ascii="Verdana" w:hAnsi="Verdana"/>
          <w:iCs/>
          <w:sz w:val="20"/>
          <w:szCs w:val="20"/>
        </w:rPr>
        <w:t>“Toda</w:t>
      </w:r>
      <w:r w:rsidRPr="00B9235D">
        <w:rPr>
          <w:rFonts w:ascii="Verdana" w:hAnsi="Verdana"/>
          <w:iCs/>
          <w:spacing w:val="-7"/>
          <w:sz w:val="20"/>
          <w:szCs w:val="20"/>
        </w:rPr>
        <w:t xml:space="preserve"> </w:t>
      </w:r>
      <w:r w:rsidRPr="00B9235D">
        <w:rPr>
          <w:rFonts w:ascii="Verdana" w:hAnsi="Verdana"/>
          <w:iCs/>
          <w:sz w:val="20"/>
          <w:szCs w:val="20"/>
        </w:rPr>
        <w:t>reforma</w:t>
      </w:r>
      <w:r w:rsidRPr="00B9235D">
        <w:rPr>
          <w:rFonts w:ascii="Verdana" w:hAnsi="Verdana"/>
          <w:iCs/>
          <w:spacing w:val="-6"/>
          <w:sz w:val="20"/>
          <w:szCs w:val="20"/>
        </w:rPr>
        <w:t xml:space="preserve"> </w:t>
      </w:r>
      <w:r w:rsidRPr="00B9235D">
        <w:rPr>
          <w:rFonts w:ascii="Verdana" w:hAnsi="Verdana"/>
          <w:iCs/>
          <w:sz w:val="20"/>
          <w:szCs w:val="20"/>
        </w:rPr>
        <w:t>del</w:t>
      </w:r>
      <w:r w:rsidRPr="00B9235D">
        <w:rPr>
          <w:rFonts w:ascii="Verdana" w:hAnsi="Verdana"/>
          <w:iCs/>
          <w:spacing w:val="-7"/>
          <w:sz w:val="20"/>
          <w:szCs w:val="20"/>
        </w:rPr>
        <w:t xml:space="preserve"> </w:t>
      </w:r>
      <w:r w:rsidRPr="00B9235D">
        <w:rPr>
          <w:rFonts w:ascii="Verdana" w:hAnsi="Verdana"/>
          <w:iCs/>
          <w:sz w:val="20"/>
          <w:szCs w:val="20"/>
        </w:rPr>
        <w:t>contrato</w:t>
      </w:r>
      <w:r w:rsidRPr="00B9235D">
        <w:rPr>
          <w:rFonts w:ascii="Verdana" w:hAnsi="Verdana"/>
          <w:iCs/>
          <w:spacing w:val="-6"/>
          <w:sz w:val="20"/>
          <w:szCs w:val="20"/>
        </w:rPr>
        <w:t xml:space="preserve"> </w:t>
      </w:r>
      <w:r w:rsidRPr="00B9235D">
        <w:rPr>
          <w:rFonts w:ascii="Verdana" w:hAnsi="Verdana"/>
          <w:iCs/>
          <w:sz w:val="20"/>
          <w:szCs w:val="20"/>
        </w:rPr>
        <w:t>de</w:t>
      </w:r>
      <w:r w:rsidRPr="00B9235D">
        <w:rPr>
          <w:rFonts w:ascii="Verdana" w:hAnsi="Verdana"/>
          <w:iCs/>
          <w:spacing w:val="-7"/>
          <w:sz w:val="20"/>
          <w:szCs w:val="20"/>
        </w:rPr>
        <w:t xml:space="preserve"> </w:t>
      </w:r>
      <w:r w:rsidRPr="00B9235D">
        <w:rPr>
          <w:rFonts w:ascii="Verdana" w:hAnsi="Verdana"/>
          <w:iCs/>
          <w:sz w:val="20"/>
          <w:szCs w:val="20"/>
        </w:rPr>
        <w:t>sociedad</w:t>
      </w:r>
      <w:r w:rsidRPr="00B9235D">
        <w:rPr>
          <w:rFonts w:ascii="Verdana" w:hAnsi="Verdana"/>
          <w:iCs/>
          <w:spacing w:val="-6"/>
          <w:sz w:val="20"/>
          <w:szCs w:val="20"/>
        </w:rPr>
        <w:t xml:space="preserve"> </w:t>
      </w:r>
      <w:r w:rsidRPr="00B9235D">
        <w:rPr>
          <w:rFonts w:ascii="Verdana" w:hAnsi="Verdana"/>
          <w:iCs/>
          <w:sz w:val="20"/>
          <w:szCs w:val="20"/>
        </w:rPr>
        <w:t>comercial</w:t>
      </w:r>
      <w:r w:rsidRPr="00B9235D">
        <w:rPr>
          <w:rFonts w:ascii="Verdana" w:hAnsi="Verdana"/>
          <w:iCs/>
          <w:spacing w:val="-6"/>
          <w:sz w:val="20"/>
          <w:szCs w:val="20"/>
        </w:rPr>
        <w:t xml:space="preserve"> </w:t>
      </w:r>
      <w:r w:rsidRPr="00B9235D">
        <w:rPr>
          <w:rFonts w:ascii="Verdana" w:hAnsi="Verdana"/>
          <w:iCs/>
          <w:sz w:val="20"/>
          <w:szCs w:val="20"/>
        </w:rPr>
        <w:t>deberá</w:t>
      </w:r>
      <w:r w:rsidRPr="00B9235D">
        <w:rPr>
          <w:rFonts w:ascii="Verdana" w:hAnsi="Verdana"/>
          <w:iCs/>
          <w:spacing w:val="-6"/>
          <w:sz w:val="20"/>
          <w:szCs w:val="20"/>
        </w:rPr>
        <w:t xml:space="preserve"> </w:t>
      </w:r>
      <w:r w:rsidRPr="00B9235D">
        <w:rPr>
          <w:rFonts w:ascii="Verdana" w:hAnsi="Verdana"/>
          <w:iCs/>
          <w:sz w:val="20"/>
          <w:szCs w:val="20"/>
        </w:rPr>
        <w:t>reducirse</w:t>
      </w:r>
      <w:r w:rsidRPr="00B9235D">
        <w:rPr>
          <w:rFonts w:ascii="Verdana" w:hAnsi="Verdana"/>
          <w:iCs/>
          <w:spacing w:val="-6"/>
          <w:sz w:val="20"/>
          <w:szCs w:val="20"/>
        </w:rPr>
        <w:t xml:space="preserve"> </w:t>
      </w:r>
      <w:r w:rsidRPr="00B9235D">
        <w:rPr>
          <w:rFonts w:ascii="Verdana" w:hAnsi="Verdana"/>
          <w:iCs/>
          <w:sz w:val="20"/>
          <w:szCs w:val="20"/>
        </w:rPr>
        <w:t>a</w:t>
      </w:r>
      <w:r w:rsidRPr="00B9235D">
        <w:rPr>
          <w:rFonts w:ascii="Verdana" w:hAnsi="Verdana"/>
          <w:iCs/>
          <w:spacing w:val="-7"/>
          <w:sz w:val="20"/>
          <w:szCs w:val="20"/>
        </w:rPr>
        <w:t xml:space="preserve"> </w:t>
      </w:r>
      <w:r w:rsidRPr="00B9235D">
        <w:rPr>
          <w:rFonts w:ascii="Verdana" w:hAnsi="Verdana"/>
          <w:iCs/>
          <w:sz w:val="20"/>
          <w:szCs w:val="20"/>
        </w:rPr>
        <w:t>escritura pública</w:t>
      </w:r>
      <w:r w:rsidRPr="00B9235D">
        <w:rPr>
          <w:rFonts w:ascii="Verdana" w:hAnsi="Verdana"/>
          <w:iCs/>
          <w:spacing w:val="-1"/>
          <w:sz w:val="20"/>
          <w:szCs w:val="20"/>
        </w:rPr>
        <w:t xml:space="preserve"> </w:t>
      </w:r>
      <w:r w:rsidRPr="00B9235D">
        <w:rPr>
          <w:rFonts w:ascii="Verdana" w:hAnsi="Verdana"/>
          <w:iCs/>
          <w:sz w:val="20"/>
          <w:szCs w:val="20"/>
        </w:rPr>
        <w:t>que</w:t>
      </w:r>
      <w:r w:rsidRPr="00B9235D">
        <w:rPr>
          <w:rFonts w:ascii="Verdana" w:hAnsi="Verdana"/>
          <w:iCs/>
          <w:spacing w:val="-1"/>
          <w:sz w:val="20"/>
          <w:szCs w:val="20"/>
        </w:rPr>
        <w:t xml:space="preserve"> </w:t>
      </w:r>
      <w:r w:rsidRPr="00B9235D">
        <w:rPr>
          <w:rFonts w:ascii="Verdana" w:hAnsi="Verdana"/>
          <w:iCs/>
          <w:sz w:val="20"/>
          <w:szCs w:val="20"/>
        </w:rPr>
        <w:t>se</w:t>
      </w:r>
      <w:r w:rsidRPr="00B9235D">
        <w:rPr>
          <w:rFonts w:ascii="Verdana" w:hAnsi="Verdana"/>
          <w:iCs/>
          <w:spacing w:val="-2"/>
          <w:sz w:val="20"/>
          <w:szCs w:val="20"/>
        </w:rPr>
        <w:t xml:space="preserve"> </w:t>
      </w:r>
      <w:r w:rsidRPr="00B9235D">
        <w:rPr>
          <w:rFonts w:ascii="Verdana" w:hAnsi="Verdana"/>
          <w:iCs/>
          <w:sz w:val="20"/>
          <w:szCs w:val="20"/>
        </w:rPr>
        <w:t>registrará como</w:t>
      </w:r>
      <w:r w:rsidRPr="00B9235D">
        <w:rPr>
          <w:rFonts w:ascii="Verdana" w:hAnsi="Verdana"/>
          <w:iCs/>
          <w:spacing w:val="-1"/>
          <w:sz w:val="20"/>
          <w:szCs w:val="20"/>
        </w:rPr>
        <w:t xml:space="preserve"> </w:t>
      </w:r>
      <w:r w:rsidRPr="00B9235D">
        <w:rPr>
          <w:rFonts w:ascii="Verdana" w:hAnsi="Verdana"/>
          <w:iCs/>
          <w:sz w:val="20"/>
          <w:szCs w:val="20"/>
        </w:rPr>
        <w:t>se</w:t>
      </w:r>
      <w:r w:rsidRPr="00B9235D">
        <w:rPr>
          <w:rFonts w:ascii="Verdana" w:hAnsi="Verdana"/>
          <w:iCs/>
          <w:spacing w:val="-2"/>
          <w:sz w:val="20"/>
          <w:szCs w:val="20"/>
        </w:rPr>
        <w:t xml:space="preserve"> </w:t>
      </w:r>
      <w:r w:rsidRPr="00B9235D">
        <w:rPr>
          <w:rFonts w:ascii="Verdana" w:hAnsi="Verdana"/>
          <w:iCs/>
          <w:sz w:val="20"/>
          <w:szCs w:val="20"/>
        </w:rPr>
        <w:t>dispone</w:t>
      </w:r>
      <w:r w:rsidRPr="00B9235D">
        <w:rPr>
          <w:rFonts w:ascii="Verdana" w:hAnsi="Verdana"/>
          <w:iCs/>
          <w:spacing w:val="-1"/>
          <w:sz w:val="20"/>
          <w:szCs w:val="20"/>
        </w:rPr>
        <w:t xml:space="preserve"> </w:t>
      </w:r>
      <w:r w:rsidRPr="00B9235D">
        <w:rPr>
          <w:rFonts w:ascii="Verdana" w:hAnsi="Verdana"/>
          <w:iCs/>
          <w:sz w:val="20"/>
          <w:szCs w:val="20"/>
        </w:rPr>
        <w:t>para</w:t>
      </w:r>
      <w:r w:rsidRPr="00B9235D">
        <w:rPr>
          <w:rFonts w:ascii="Verdana" w:hAnsi="Verdana"/>
          <w:iCs/>
          <w:spacing w:val="-1"/>
          <w:sz w:val="20"/>
          <w:szCs w:val="20"/>
        </w:rPr>
        <w:t xml:space="preserve"> </w:t>
      </w:r>
      <w:r w:rsidRPr="00B9235D">
        <w:rPr>
          <w:rFonts w:ascii="Verdana" w:hAnsi="Verdana"/>
          <w:iCs/>
          <w:sz w:val="20"/>
          <w:szCs w:val="20"/>
        </w:rPr>
        <w:t>la</w:t>
      </w:r>
      <w:r w:rsidRPr="00B9235D">
        <w:rPr>
          <w:rFonts w:ascii="Verdana" w:hAnsi="Verdana"/>
          <w:iCs/>
          <w:spacing w:val="-2"/>
          <w:sz w:val="20"/>
          <w:szCs w:val="20"/>
        </w:rPr>
        <w:t xml:space="preserve"> </w:t>
      </w:r>
      <w:r w:rsidRPr="00B9235D">
        <w:rPr>
          <w:rFonts w:ascii="Verdana" w:hAnsi="Verdana"/>
          <w:iCs/>
          <w:sz w:val="20"/>
          <w:szCs w:val="20"/>
        </w:rPr>
        <w:t>escritura de</w:t>
      </w:r>
      <w:r w:rsidRPr="00B9235D">
        <w:rPr>
          <w:rFonts w:ascii="Verdana" w:hAnsi="Verdana"/>
          <w:iCs/>
          <w:spacing w:val="-2"/>
          <w:sz w:val="20"/>
          <w:szCs w:val="20"/>
        </w:rPr>
        <w:t xml:space="preserve"> </w:t>
      </w:r>
      <w:r w:rsidRPr="00B9235D">
        <w:rPr>
          <w:rFonts w:ascii="Verdana" w:hAnsi="Verdana"/>
          <w:iCs/>
          <w:sz w:val="20"/>
          <w:szCs w:val="20"/>
        </w:rPr>
        <w:t>constitución de la sociedad, en la Cámara de Comercio correspondiente al domicilio social al tiempo de la reforma. Sin</w:t>
      </w:r>
      <w:r w:rsidRPr="00B9235D">
        <w:rPr>
          <w:rFonts w:ascii="Verdana" w:hAnsi="Verdana"/>
          <w:iCs/>
          <w:spacing w:val="-3"/>
          <w:sz w:val="20"/>
          <w:szCs w:val="20"/>
        </w:rPr>
        <w:t xml:space="preserve"> </w:t>
      </w:r>
      <w:r w:rsidRPr="00B9235D">
        <w:rPr>
          <w:rFonts w:ascii="Verdana" w:hAnsi="Verdana"/>
          <w:iCs/>
          <w:sz w:val="20"/>
          <w:szCs w:val="20"/>
        </w:rPr>
        <w:t>los</w:t>
      </w:r>
      <w:r w:rsidRPr="00B9235D">
        <w:rPr>
          <w:rFonts w:ascii="Verdana" w:hAnsi="Verdana"/>
          <w:iCs/>
          <w:spacing w:val="-3"/>
          <w:sz w:val="20"/>
          <w:szCs w:val="20"/>
        </w:rPr>
        <w:t xml:space="preserve"> </w:t>
      </w:r>
      <w:r w:rsidRPr="00B9235D">
        <w:rPr>
          <w:rFonts w:ascii="Verdana" w:hAnsi="Verdana"/>
          <w:iCs/>
          <w:sz w:val="20"/>
          <w:szCs w:val="20"/>
        </w:rPr>
        <w:t>requisitos</w:t>
      </w:r>
      <w:r w:rsidRPr="00B9235D">
        <w:rPr>
          <w:rFonts w:ascii="Verdana" w:hAnsi="Verdana"/>
          <w:iCs/>
          <w:spacing w:val="-4"/>
          <w:sz w:val="20"/>
          <w:szCs w:val="20"/>
        </w:rPr>
        <w:t xml:space="preserve"> </w:t>
      </w:r>
      <w:r w:rsidRPr="00B9235D">
        <w:rPr>
          <w:rFonts w:ascii="Verdana" w:hAnsi="Verdana"/>
          <w:iCs/>
          <w:sz w:val="20"/>
          <w:szCs w:val="20"/>
        </w:rPr>
        <w:t>anteriores</w:t>
      </w:r>
      <w:r w:rsidRPr="00B9235D">
        <w:rPr>
          <w:rFonts w:ascii="Verdana" w:hAnsi="Verdana"/>
          <w:iCs/>
          <w:spacing w:val="-3"/>
          <w:sz w:val="20"/>
          <w:szCs w:val="20"/>
        </w:rPr>
        <w:t xml:space="preserve"> </w:t>
      </w:r>
      <w:r w:rsidRPr="00B9235D">
        <w:rPr>
          <w:rFonts w:ascii="Verdana" w:hAnsi="Verdana"/>
          <w:iCs/>
          <w:sz w:val="20"/>
          <w:szCs w:val="20"/>
        </w:rPr>
        <w:t>la</w:t>
      </w:r>
      <w:r w:rsidRPr="00B9235D">
        <w:rPr>
          <w:rFonts w:ascii="Verdana" w:hAnsi="Verdana"/>
          <w:iCs/>
          <w:spacing w:val="-3"/>
          <w:sz w:val="20"/>
          <w:szCs w:val="20"/>
        </w:rPr>
        <w:t xml:space="preserve"> </w:t>
      </w:r>
      <w:r w:rsidRPr="00B9235D">
        <w:rPr>
          <w:rFonts w:ascii="Verdana" w:hAnsi="Verdana"/>
          <w:iCs/>
          <w:sz w:val="20"/>
          <w:szCs w:val="20"/>
        </w:rPr>
        <w:t>reforma</w:t>
      </w:r>
      <w:r w:rsidRPr="00B9235D">
        <w:rPr>
          <w:rFonts w:ascii="Verdana" w:hAnsi="Verdana"/>
          <w:iCs/>
          <w:spacing w:val="-3"/>
          <w:sz w:val="20"/>
          <w:szCs w:val="20"/>
        </w:rPr>
        <w:t xml:space="preserve"> </w:t>
      </w:r>
      <w:r w:rsidRPr="00B9235D">
        <w:rPr>
          <w:rFonts w:ascii="Verdana" w:hAnsi="Verdana"/>
          <w:iCs/>
          <w:sz w:val="20"/>
          <w:szCs w:val="20"/>
        </w:rPr>
        <w:t>no producirá efecto alguno respecto de terceros. Las reformas tendrán efectos entre los asociados desde cuando se acuerden o pacten conforme a los estatutos.</w:t>
      </w:r>
      <w:r w:rsidRPr="00B9235D">
        <w:rPr>
          <w:rStyle w:val="Refdenotaalpie"/>
          <w:rFonts w:ascii="Verdana" w:hAnsi="Verdana"/>
          <w:iCs/>
          <w:sz w:val="20"/>
          <w:szCs w:val="20"/>
        </w:rPr>
        <w:footnoteReference w:id="8"/>
      </w:r>
    </w:p>
    <w:p w14:paraId="53A31576" w14:textId="77777777" w:rsidR="009D767D" w:rsidRPr="00B9235D" w:rsidRDefault="009D767D" w:rsidP="009D767D">
      <w:pPr>
        <w:spacing w:after="120" w:line="276" w:lineRule="auto"/>
        <w:jc w:val="both"/>
        <w:rPr>
          <w:rFonts w:ascii="Verdana" w:hAnsi="Verdana"/>
          <w:b/>
        </w:rPr>
      </w:pPr>
    </w:p>
    <w:p w14:paraId="327B4233" w14:textId="77777777" w:rsidR="009D767D" w:rsidRPr="00B9235D" w:rsidRDefault="009D767D" w:rsidP="009D767D">
      <w:pPr>
        <w:pStyle w:val="Textoindependiente"/>
        <w:spacing w:line="276" w:lineRule="auto"/>
        <w:ind w:right="51" w:firstLine="567"/>
        <w:jc w:val="both"/>
        <w:rPr>
          <w:rFonts w:ascii="Verdana" w:hAnsi="Verdana"/>
        </w:rPr>
      </w:pPr>
      <w:r w:rsidRPr="00B9235D">
        <w:rPr>
          <w:rFonts w:ascii="Verdana" w:hAnsi="Verdana"/>
        </w:rPr>
        <w:t>Entre las diferentes implicaciones de un proceso de tal naturaleza puede concluirse que se genera la modificación al contrato social, la disolución de la sociedad sin implicar liquidación de su patrimonio social y</w:t>
      </w:r>
      <w:r>
        <w:rPr>
          <w:rFonts w:ascii="Verdana" w:hAnsi="Verdana"/>
        </w:rPr>
        <w:t xml:space="preserve"> la</w:t>
      </w:r>
      <w:r w:rsidRPr="00B9235D">
        <w:rPr>
          <w:rFonts w:ascii="Verdana" w:hAnsi="Verdana"/>
        </w:rPr>
        <w:t xml:space="preserve"> absorción de los derechos y obligaciones de las demás sociedades por parte de la absorbente.</w:t>
      </w:r>
    </w:p>
    <w:p w14:paraId="3DA77020" w14:textId="77777777" w:rsidR="009D767D" w:rsidRDefault="009D767D" w:rsidP="009D767D">
      <w:pPr>
        <w:spacing w:after="120" w:line="276" w:lineRule="auto"/>
        <w:jc w:val="both"/>
        <w:rPr>
          <w:rFonts w:ascii="Verdana" w:hAnsi="Verdana" w:cs="Arial"/>
        </w:rPr>
      </w:pPr>
      <w:proofErr w:type="spellStart"/>
      <w:r w:rsidRPr="00E33141">
        <w:rPr>
          <w:rFonts w:ascii="Verdana" w:hAnsi="Verdana" w:cs="Arial"/>
          <w:color w:val="000000"/>
        </w:rPr>
        <w:t>ii</w:t>
      </w:r>
      <w:proofErr w:type="spellEnd"/>
      <w:r w:rsidRPr="00E33141">
        <w:rPr>
          <w:rFonts w:ascii="Verdana" w:hAnsi="Verdana" w:cs="Arial"/>
          <w:color w:val="000000"/>
        </w:rPr>
        <w:t>.</w:t>
      </w:r>
      <w:r w:rsidRPr="00C8517F">
        <w:rPr>
          <w:rFonts w:ascii="Verdana" w:hAnsi="Verdana" w:cs="Arial"/>
        </w:rPr>
        <w:t xml:space="preserve"> </w:t>
      </w:r>
      <w:r>
        <w:rPr>
          <w:rFonts w:ascii="Verdana" w:hAnsi="Verdana" w:cs="Arial"/>
        </w:rPr>
        <w:t xml:space="preserve">Ahora bien, </w:t>
      </w:r>
      <w:r w:rsidRPr="00C8517F">
        <w:rPr>
          <w:rFonts w:ascii="Verdana" w:hAnsi="Verdana" w:cs="Arial"/>
        </w:rPr>
        <w:t xml:space="preserve">para responder a las cuestiones que son objeto de la consulta se debe analizar cuáles son los efectos que se desprenden de las reformas estatutarias realizadas a título de </w:t>
      </w:r>
      <w:r>
        <w:rPr>
          <w:rFonts w:ascii="Verdana" w:hAnsi="Verdana" w:cs="Arial"/>
        </w:rPr>
        <w:t xml:space="preserve">escisión y </w:t>
      </w:r>
      <w:r w:rsidRPr="00C8517F">
        <w:rPr>
          <w:rFonts w:ascii="Verdana" w:hAnsi="Verdana" w:cs="Arial"/>
        </w:rPr>
        <w:t>fusión, para así determinar sus implicaciones respecto del cumplimiento de la</w:t>
      </w:r>
      <w:r>
        <w:rPr>
          <w:rFonts w:ascii="Verdana" w:hAnsi="Verdana" w:cs="Arial"/>
        </w:rPr>
        <w:t>s</w:t>
      </w:r>
      <w:r w:rsidRPr="00C8517F">
        <w:rPr>
          <w:rFonts w:ascii="Verdana" w:hAnsi="Verdana" w:cs="Arial"/>
        </w:rPr>
        <w:t xml:space="preserve"> obligaciones que derivan de los contratos estatales suscritos por las sociedades reformadas. </w:t>
      </w:r>
    </w:p>
    <w:p w14:paraId="5B854E0B" w14:textId="77777777" w:rsidR="009D767D" w:rsidRPr="00F15272" w:rsidRDefault="009D767D" w:rsidP="009D767D">
      <w:pPr>
        <w:spacing w:after="0" w:line="276" w:lineRule="auto"/>
        <w:ind w:right="51" w:firstLine="709"/>
        <w:jc w:val="both"/>
        <w:rPr>
          <w:rFonts w:ascii="Verdana" w:eastAsia="Times New Roman" w:hAnsi="Verdana" w:cs="Arial"/>
          <w:lang w:val="es-MX"/>
        </w:rPr>
      </w:pPr>
      <w:r w:rsidRPr="00F15272">
        <w:rPr>
          <w:rFonts w:ascii="Verdana" w:eastAsia="Times New Roman" w:hAnsi="Verdana" w:cs="Arial"/>
          <w:lang w:val="es-MX"/>
        </w:rPr>
        <w:t xml:space="preserve">En cuanto a la escisión, es claro que ambas modalidades contempladas en el artículo 3 de la Ley 222 de 1995 suponen la transferencia patrimonial en bloque desde la sociedad escindente hacia la o las sociedades beneficiarias, en </w:t>
      </w:r>
      <w:r w:rsidRPr="00F15272">
        <w:rPr>
          <w:rFonts w:ascii="Verdana" w:eastAsia="Times New Roman" w:hAnsi="Verdana" w:cs="Arial"/>
          <w:lang w:val="es-MX"/>
        </w:rPr>
        <w:lastRenderedPageBreak/>
        <w:t xml:space="preserve">lo que se cataloga como una transmisión </w:t>
      </w:r>
      <w:r w:rsidRPr="00F15272">
        <w:rPr>
          <w:rFonts w:ascii="Verdana" w:eastAsia="Times New Roman" w:hAnsi="Verdana" w:cs="Arial"/>
          <w:i/>
          <w:iCs/>
          <w:lang w:val="es-MX"/>
        </w:rPr>
        <w:t xml:space="preserve">sub </w:t>
      </w:r>
      <w:proofErr w:type="spellStart"/>
      <w:r w:rsidRPr="00F15272">
        <w:rPr>
          <w:rFonts w:ascii="Verdana" w:eastAsia="Times New Roman" w:hAnsi="Verdana" w:cs="Arial"/>
          <w:i/>
          <w:iCs/>
          <w:lang w:val="es-MX"/>
        </w:rPr>
        <w:t>specie</w:t>
      </w:r>
      <w:proofErr w:type="spellEnd"/>
      <w:r w:rsidRPr="00F15272">
        <w:rPr>
          <w:rFonts w:ascii="Verdana" w:eastAsia="Times New Roman" w:hAnsi="Verdana" w:cs="Arial"/>
          <w:i/>
          <w:iCs/>
          <w:lang w:val="es-MX"/>
        </w:rPr>
        <w:t xml:space="preserve"> </w:t>
      </w:r>
      <w:proofErr w:type="spellStart"/>
      <w:r w:rsidRPr="00F15272">
        <w:rPr>
          <w:rFonts w:ascii="Verdana" w:eastAsia="Times New Roman" w:hAnsi="Verdana" w:cs="Arial"/>
          <w:i/>
          <w:iCs/>
          <w:lang w:val="es-MX"/>
        </w:rPr>
        <w:t>universalitatis</w:t>
      </w:r>
      <w:proofErr w:type="spellEnd"/>
      <w:r w:rsidRPr="00F15272">
        <w:rPr>
          <w:rFonts w:ascii="Verdana" w:eastAsia="Times New Roman" w:hAnsi="Verdana" w:cs="Arial"/>
          <w:i/>
          <w:iCs/>
          <w:lang w:val="es-MX"/>
        </w:rPr>
        <w:t xml:space="preserve">. </w:t>
      </w:r>
      <w:r w:rsidRPr="00F15272">
        <w:rPr>
          <w:rFonts w:ascii="Verdana" w:eastAsia="Times New Roman" w:hAnsi="Verdana" w:cs="Arial"/>
          <w:lang w:val="es-MX"/>
        </w:rPr>
        <w:t>Esto significa que:</w:t>
      </w:r>
    </w:p>
    <w:p w14:paraId="240FF4B5" w14:textId="77777777" w:rsidR="009D767D" w:rsidRPr="00F15272" w:rsidRDefault="009D767D" w:rsidP="009D767D">
      <w:pPr>
        <w:spacing w:after="0" w:line="276" w:lineRule="auto"/>
        <w:ind w:right="51" w:firstLine="709"/>
        <w:jc w:val="both"/>
        <w:rPr>
          <w:rFonts w:ascii="Verdana" w:eastAsia="Times New Roman" w:hAnsi="Verdana" w:cs="Arial"/>
          <w:lang w:val="es-MX"/>
        </w:rPr>
      </w:pPr>
    </w:p>
    <w:p w14:paraId="132B8F23" w14:textId="77777777" w:rsidR="009D767D" w:rsidRPr="00F15272" w:rsidRDefault="009D767D" w:rsidP="009D767D">
      <w:pPr>
        <w:spacing w:after="0" w:line="240" w:lineRule="auto"/>
        <w:ind w:left="709" w:right="709"/>
        <w:jc w:val="both"/>
        <w:rPr>
          <w:rFonts w:ascii="Verdana" w:eastAsia="Times New Roman" w:hAnsi="Verdana" w:cs="Arial"/>
          <w:sz w:val="20"/>
          <w:szCs w:val="20"/>
          <w:lang w:val="es-MX"/>
        </w:rPr>
      </w:pPr>
      <w:r w:rsidRPr="00F15272">
        <w:rPr>
          <w:rFonts w:ascii="Verdana" w:eastAsia="Times New Roman" w:hAnsi="Verdana" w:cs="Arial"/>
          <w:sz w:val="20"/>
          <w:szCs w:val="20"/>
          <w:lang w:val="es-MX"/>
        </w:rPr>
        <w:t>“[…] todos los efectos económicos y jurídicos operan de forma automática a partir de dicha transferencia. No es, por tanto, necesaria la enajenación individualizada de los elementos del activo, ni la subrogación de deudas en favor de la beneficiaria, ni la novación de cada una las obligaciones que conforman el pasivo segregado. Un solo acto jurídico es suficiente para que se entienda sustituido el deudor o acreedor y para que se transfiera el complejo de relaciones jurídicas inherentes a la parte patrimonial fraccionada"</w:t>
      </w:r>
      <w:r w:rsidRPr="00F15272">
        <w:rPr>
          <w:rFonts w:ascii="Verdana" w:eastAsia="Times New Roman" w:hAnsi="Verdana" w:cs="Arial"/>
          <w:sz w:val="20"/>
          <w:szCs w:val="20"/>
          <w:vertAlign w:val="superscript"/>
          <w:lang w:val="es-MX"/>
        </w:rPr>
        <w:footnoteReference w:id="9"/>
      </w:r>
      <w:r w:rsidRPr="00F15272">
        <w:rPr>
          <w:rFonts w:ascii="Verdana" w:eastAsia="Times New Roman" w:hAnsi="Verdana" w:cs="Arial"/>
          <w:sz w:val="20"/>
          <w:szCs w:val="20"/>
          <w:lang w:val="es-MX"/>
        </w:rPr>
        <w:t xml:space="preserve">. </w:t>
      </w:r>
    </w:p>
    <w:p w14:paraId="091EDADB" w14:textId="77777777" w:rsidR="009D767D" w:rsidRDefault="009D767D" w:rsidP="009D767D">
      <w:pPr>
        <w:spacing w:after="0" w:line="276" w:lineRule="auto"/>
        <w:ind w:right="51" w:firstLine="709"/>
        <w:jc w:val="both"/>
        <w:rPr>
          <w:rFonts w:ascii="Verdana" w:eastAsia="Times New Roman" w:hAnsi="Verdana" w:cs="Arial"/>
          <w:lang w:val="es-MX"/>
        </w:rPr>
      </w:pPr>
    </w:p>
    <w:p w14:paraId="7FBEAC51" w14:textId="77777777" w:rsidR="009D767D" w:rsidRPr="00F15272" w:rsidRDefault="009D767D" w:rsidP="009D767D">
      <w:pPr>
        <w:spacing w:before="120" w:after="200" w:line="276" w:lineRule="auto"/>
        <w:ind w:right="49" w:firstLine="708"/>
        <w:jc w:val="both"/>
        <w:rPr>
          <w:rFonts w:ascii="Verdana" w:eastAsia="Times New Roman" w:hAnsi="Verdana" w:cs="Arial"/>
          <w:lang w:val="es-MX"/>
        </w:rPr>
      </w:pPr>
      <w:r w:rsidRPr="00F15272">
        <w:rPr>
          <w:rFonts w:ascii="Verdana" w:eastAsia="Times New Roman" w:hAnsi="Verdana" w:cs="Arial"/>
          <w:lang w:val="es-MX"/>
        </w:rPr>
        <w:t>Quiere decir lo anterior que “[…] las sociedades sucesoras [beneficiarias] sustituyen a la sociedad escindida en la misma posición jurídica que ostentaba respecto de las relaciones jurídicas que constituyen la parte del patrimonio transferida”</w:t>
      </w:r>
      <w:r w:rsidRPr="00F15272">
        <w:rPr>
          <w:rFonts w:ascii="Verdana" w:eastAsia="Times New Roman" w:hAnsi="Verdana" w:cs="Arial"/>
          <w:i/>
          <w:iCs/>
          <w:vertAlign w:val="superscript"/>
          <w:lang w:val="es-MX"/>
        </w:rPr>
        <w:footnoteReference w:id="10"/>
      </w:r>
      <w:r w:rsidRPr="00F15272">
        <w:rPr>
          <w:rFonts w:ascii="Verdana" w:eastAsia="Times New Roman" w:hAnsi="Verdana" w:cs="Arial"/>
          <w:i/>
          <w:iCs/>
          <w:lang w:val="es-MX"/>
        </w:rPr>
        <w:t xml:space="preserve">. </w:t>
      </w:r>
      <w:r w:rsidRPr="00F15272">
        <w:rPr>
          <w:rFonts w:ascii="Verdana" w:eastAsia="Times New Roman" w:hAnsi="Verdana" w:cs="Arial"/>
          <w:lang w:val="es-MX"/>
        </w:rPr>
        <w:t>Este efecto, deriva de lo dispuesto en el artículo 9 de la Ley 222 de 1995</w:t>
      </w:r>
      <w:r w:rsidRPr="00F15272">
        <w:rPr>
          <w:rFonts w:ascii="Verdana" w:eastAsia="Times New Roman" w:hAnsi="Verdana" w:cs="Arial"/>
          <w:vertAlign w:val="superscript"/>
          <w:lang w:val="es-MX"/>
        </w:rPr>
        <w:footnoteReference w:id="11"/>
      </w:r>
      <w:r w:rsidRPr="00F15272">
        <w:rPr>
          <w:rFonts w:ascii="Verdana" w:eastAsia="Times New Roman" w:hAnsi="Verdana" w:cs="Arial"/>
          <w:lang w:val="es-MX"/>
        </w:rPr>
        <w:t>, y supone que las obligaciones derivadas de los contratos suscritos por la sociedad escindida deben ser asumidas por las sociedades beneficiarias, sin que, en principio, se requiera del consentimiento de las otras partes de tales negocios jurídicos. De esta manera, se entiende que los compromisos contractuales son materia de la segregación jurídica que implica la escisión, por lo que, a través de las disposiciones sociales que materializan la reforma societaria podría ser distribuidos los compromisos contractuales.</w:t>
      </w:r>
      <w:r>
        <w:rPr>
          <w:rFonts w:ascii="Verdana" w:eastAsia="Times New Roman" w:hAnsi="Verdana" w:cs="Arial"/>
          <w:lang w:val="es-MX"/>
        </w:rPr>
        <w:t xml:space="preserve"> </w:t>
      </w:r>
      <w:r w:rsidRPr="00F15272">
        <w:rPr>
          <w:rFonts w:ascii="Verdana" w:eastAsia="Times New Roman" w:hAnsi="Verdana" w:cs="Arial"/>
          <w:lang w:val="es-MX"/>
        </w:rPr>
        <w:t xml:space="preserve">Sobre el particular la Superintendencia de Sociedades ha explicado que: </w:t>
      </w:r>
    </w:p>
    <w:p w14:paraId="50E5986F" w14:textId="77777777" w:rsidR="009D767D" w:rsidRPr="00F15272" w:rsidRDefault="009D767D" w:rsidP="009D767D">
      <w:pPr>
        <w:spacing w:after="0" w:line="240" w:lineRule="auto"/>
        <w:ind w:left="709" w:right="709"/>
        <w:jc w:val="both"/>
        <w:rPr>
          <w:rFonts w:ascii="Verdana" w:eastAsia="Times New Roman" w:hAnsi="Verdana" w:cs="Arial"/>
          <w:sz w:val="20"/>
          <w:szCs w:val="20"/>
          <w:lang w:val="es-MX"/>
        </w:rPr>
      </w:pPr>
      <w:r w:rsidRPr="00F15272">
        <w:rPr>
          <w:rFonts w:ascii="Verdana" w:eastAsia="Times New Roman" w:hAnsi="Verdana" w:cs="Arial"/>
          <w:sz w:val="20"/>
          <w:szCs w:val="20"/>
          <w:lang w:val="es-MX"/>
        </w:rPr>
        <w:lastRenderedPageBreak/>
        <w:t xml:space="preserve">“[…] puesto que el fundamento de la escisión comporta tanto la segregación jurídica de la sociedad que se escinde, como la de su universalidad jurídica denominada patrimonio, con el propósito de destinar o trasladar la parte disgregada a una sociedad que se crea con tal fin, como es el caso en comento, podría colegirse, en principio, que los negocios jurídicos habrían de correr la misma suerte que correspondió a la parte patrimonial y jurídica escindida, esto es, que habrían de ser transferidos o traspasados a la </w:t>
      </w:r>
      <w:proofErr w:type="spellStart"/>
      <w:r w:rsidRPr="00F15272">
        <w:rPr>
          <w:rFonts w:ascii="Verdana" w:eastAsia="Times New Roman" w:hAnsi="Verdana" w:cs="Arial"/>
          <w:sz w:val="20"/>
          <w:szCs w:val="20"/>
          <w:lang w:val="es-MX"/>
        </w:rPr>
        <w:t>escisionaria</w:t>
      </w:r>
      <w:proofErr w:type="spellEnd"/>
      <w:r w:rsidRPr="00F15272">
        <w:rPr>
          <w:rFonts w:ascii="Verdana" w:eastAsia="Times New Roman" w:hAnsi="Verdana" w:cs="Arial"/>
          <w:sz w:val="20"/>
          <w:szCs w:val="20"/>
          <w:lang w:val="es-MX"/>
        </w:rPr>
        <w:t xml:space="preserve"> en razón de que, precisamente, estos últimos son los generadores, reguladores o extintores, según sea el caso, en todo o en parte, de las relaciones jurídicas patrimoniales inherentes a la comentada universalidad. Por lo tanto, si bien, eventualmente, la anterior premisa puede llegar a ser de suyo de lógica ocurrencia dentro del mundo de lo fáctico, es lo cierto que deben tomarse en consideración algunos de los siguientes supuestos, en aras de encontrar su viabilidad o procedencia jurídica.</w:t>
      </w:r>
    </w:p>
    <w:p w14:paraId="1315C1A7" w14:textId="77777777" w:rsidR="009D767D" w:rsidRPr="00F15272" w:rsidRDefault="009D767D" w:rsidP="009D767D">
      <w:pPr>
        <w:spacing w:after="0" w:line="240" w:lineRule="auto"/>
        <w:ind w:left="709" w:right="709"/>
        <w:jc w:val="both"/>
        <w:rPr>
          <w:rFonts w:ascii="Verdana" w:eastAsia="Times New Roman" w:hAnsi="Verdana" w:cs="Arial"/>
          <w:sz w:val="20"/>
          <w:szCs w:val="20"/>
          <w:lang w:val="es-MX"/>
        </w:rPr>
      </w:pPr>
    </w:p>
    <w:p w14:paraId="44B2E9A7" w14:textId="77777777" w:rsidR="009D767D" w:rsidRPr="00F15272" w:rsidRDefault="009D767D" w:rsidP="009D767D">
      <w:pPr>
        <w:spacing w:after="0" w:line="240" w:lineRule="auto"/>
        <w:ind w:left="709" w:right="709"/>
        <w:jc w:val="both"/>
        <w:rPr>
          <w:rFonts w:ascii="Verdana" w:eastAsia="Times New Roman" w:hAnsi="Verdana" w:cs="Arial"/>
          <w:sz w:val="20"/>
          <w:szCs w:val="20"/>
          <w:lang w:val="es-MX"/>
        </w:rPr>
      </w:pPr>
      <w:r w:rsidRPr="00F15272">
        <w:rPr>
          <w:rFonts w:ascii="Verdana" w:eastAsia="Times New Roman" w:hAnsi="Verdana" w:cs="Arial"/>
          <w:sz w:val="20"/>
          <w:szCs w:val="20"/>
          <w:lang w:val="es-MX"/>
        </w:rPr>
        <w:t xml:space="preserve">Como quiera que, de conformidad con los presupuestos por usted formulados, la sociedad que se escinde no se disuelve con ocasión de la escisión, sino que, por el contrario, continúa con la empresa u objeto social que otrora desarrollara, esto es, que la persona jurídica, titular de las prestaciones convenidas en los concernientes negocios jurídicos vigentes y en ejecución al momento de la escisión, no desaparece del ámbito del derecho, no habría lugar a entenderse que, sin necesidad de expresa disposición social al respecto, se radique la titularidad de los derechos, prerrogativas y obligaciones de la escindida en cabeza de la </w:t>
      </w:r>
      <w:proofErr w:type="spellStart"/>
      <w:r w:rsidRPr="00F15272">
        <w:rPr>
          <w:rFonts w:ascii="Verdana" w:eastAsia="Times New Roman" w:hAnsi="Verdana" w:cs="Arial"/>
          <w:sz w:val="20"/>
          <w:szCs w:val="20"/>
          <w:lang w:val="es-MX"/>
        </w:rPr>
        <w:t>escionaria</w:t>
      </w:r>
      <w:proofErr w:type="spellEnd"/>
      <w:r w:rsidRPr="00F15272">
        <w:rPr>
          <w:rFonts w:ascii="Verdana" w:eastAsia="Times New Roman" w:hAnsi="Verdana" w:cs="Arial"/>
          <w:sz w:val="20"/>
          <w:szCs w:val="20"/>
          <w:lang w:val="es-MX"/>
        </w:rPr>
        <w:t xml:space="preserve"> por el sólo hecho de la escisión, valga decir, como simple consecuencia connatural de dicho acto.</w:t>
      </w:r>
    </w:p>
    <w:p w14:paraId="1EBA782C" w14:textId="77777777" w:rsidR="009D767D" w:rsidRPr="00F15272" w:rsidRDefault="009D767D" w:rsidP="009D767D">
      <w:pPr>
        <w:spacing w:after="0" w:line="240" w:lineRule="auto"/>
        <w:ind w:left="709" w:right="709"/>
        <w:jc w:val="both"/>
        <w:rPr>
          <w:rFonts w:ascii="Verdana" w:eastAsia="Times New Roman" w:hAnsi="Verdana" w:cs="Arial"/>
          <w:sz w:val="20"/>
          <w:szCs w:val="20"/>
          <w:lang w:val="es-MX"/>
        </w:rPr>
      </w:pPr>
    </w:p>
    <w:p w14:paraId="72A0F4EA" w14:textId="77777777" w:rsidR="009D767D" w:rsidRPr="00F15272" w:rsidRDefault="009D767D" w:rsidP="009D767D">
      <w:pPr>
        <w:spacing w:after="0" w:line="240" w:lineRule="auto"/>
        <w:ind w:left="709" w:right="709"/>
        <w:jc w:val="both"/>
        <w:rPr>
          <w:rFonts w:ascii="Verdana" w:eastAsia="Times New Roman" w:hAnsi="Verdana" w:cs="Arial"/>
          <w:sz w:val="20"/>
          <w:szCs w:val="20"/>
          <w:lang w:val="es-MX"/>
        </w:rPr>
      </w:pPr>
      <w:r w:rsidRPr="00F15272">
        <w:rPr>
          <w:rFonts w:ascii="Verdana" w:eastAsia="Times New Roman" w:hAnsi="Verdana" w:cs="Arial"/>
          <w:sz w:val="20"/>
          <w:szCs w:val="20"/>
          <w:lang w:val="es-MX"/>
        </w:rPr>
        <w:t xml:space="preserve">Por otra, teniendo en cuenta que son los mismos socios de la compañía que se escinde quienes acuerdan las condiciones de la misma en la decisión de escisión </w:t>
      </w:r>
      <w:proofErr w:type="spellStart"/>
      <w:r w:rsidRPr="00F15272">
        <w:rPr>
          <w:rFonts w:ascii="Verdana" w:eastAsia="Times New Roman" w:hAnsi="Verdana" w:cs="Arial"/>
          <w:sz w:val="20"/>
          <w:szCs w:val="20"/>
          <w:lang w:val="es-MX"/>
        </w:rPr>
        <w:t>vr</w:t>
      </w:r>
      <w:proofErr w:type="spellEnd"/>
      <w:r w:rsidRPr="00F15272">
        <w:rPr>
          <w:rFonts w:ascii="Verdana" w:eastAsia="Times New Roman" w:hAnsi="Verdana" w:cs="Arial"/>
          <w:sz w:val="20"/>
          <w:szCs w:val="20"/>
          <w:lang w:val="es-MX"/>
        </w:rPr>
        <w:t xml:space="preserve">. Gr. El objeto social que la escindida continuará ejerciendo, la empresa de la </w:t>
      </w:r>
      <w:proofErr w:type="spellStart"/>
      <w:r w:rsidRPr="00F15272">
        <w:rPr>
          <w:rFonts w:ascii="Verdana" w:eastAsia="Times New Roman" w:hAnsi="Verdana" w:cs="Arial"/>
          <w:sz w:val="20"/>
          <w:szCs w:val="20"/>
          <w:lang w:val="es-MX"/>
        </w:rPr>
        <w:t>escisionaria</w:t>
      </w:r>
      <w:proofErr w:type="spellEnd"/>
      <w:r w:rsidRPr="00F15272">
        <w:rPr>
          <w:rFonts w:ascii="Verdana" w:eastAsia="Times New Roman" w:hAnsi="Verdana" w:cs="Arial"/>
          <w:sz w:val="20"/>
          <w:szCs w:val="20"/>
          <w:lang w:val="es-MX"/>
        </w:rPr>
        <w:t xml:space="preserve">, los bienes, obligaciones y derechos que les corresponde a cada una asumir o ejercer como consecuencia del traslado atinente, serán ellos mismos, por ende, quienes determinen en aquel acto el traspaso, transferencia o sustitución por la escindida a favor y/o a cargo de la </w:t>
      </w:r>
      <w:proofErr w:type="spellStart"/>
      <w:r w:rsidRPr="00F15272">
        <w:rPr>
          <w:rFonts w:ascii="Verdana" w:eastAsia="Times New Roman" w:hAnsi="Verdana" w:cs="Arial"/>
          <w:sz w:val="20"/>
          <w:szCs w:val="20"/>
          <w:lang w:val="es-MX"/>
        </w:rPr>
        <w:t>escisionaria</w:t>
      </w:r>
      <w:proofErr w:type="spellEnd"/>
      <w:r w:rsidRPr="00F15272">
        <w:rPr>
          <w:rFonts w:ascii="Verdana" w:eastAsia="Times New Roman" w:hAnsi="Verdana" w:cs="Arial"/>
          <w:sz w:val="20"/>
          <w:szCs w:val="20"/>
          <w:lang w:val="es-MX"/>
        </w:rPr>
        <w:t>, de los contratos y demás relaciones jurídicas y patrimoniales a que haya lugar con ocasión de la misma”</w:t>
      </w:r>
      <w:r w:rsidRPr="00F15272">
        <w:rPr>
          <w:rFonts w:ascii="Verdana" w:eastAsia="Times New Roman" w:hAnsi="Verdana" w:cs="Arial"/>
          <w:sz w:val="20"/>
          <w:szCs w:val="20"/>
          <w:vertAlign w:val="superscript"/>
          <w:lang w:val="es-MX"/>
        </w:rPr>
        <w:footnoteReference w:id="12"/>
      </w:r>
      <w:r w:rsidRPr="00F15272">
        <w:rPr>
          <w:rFonts w:ascii="Verdana" w:eastAsia="Times New Roman" w:hAnsi="Verdana" w:cs="Arial"/>
          <w:sz w:val="20"/>
          <w:szCs w:val="20"/>
          <w:lang w:val="es-MX"/>
        </w:rPr>
        <w:t>.</w:t>
      </w:r>
    </w:p>
    <w:p w14:paraId="23E0B968" w14:textId="77777777" w:rsidR="009D767D" w:rsidRPr="00F15272" w:rsidRDefault="009D767D" w:rsidP="009D767D">
      <w:pPr>
        <w:spacing w:after="0" w:line="240" w:lineRule="auto"/>
        <w:ind w:right="49" w:firstLine="708"/>
        <w:jc w:val="both"/>
        <w:rPr>
          <w:rFonts w:ascii="Verdana" w:eastAsia="Times New Roman" w:hAnsi="Verdana" w:cs="Arial"/>
          <w:sz w:val="20"/>
          <w:szCs w:val="20"/>
          <w:lang w:val="es-MX"/>
        </w:rPr>
      </w:pPr>
    </w:p>
    <w:p w14:paraId="7F35A31E" w14:textId="77777777" w:rsidR="009D767D" w:rsidRPr="00F15272" w:rsidRDefault="009D767D" w:rsidP="009D767D">
      <w:pPr>
        <w:spacing w:after="120" w:line="276" w:lineRule="auto"/>
        <w:ind w:right="51" w:firstLine="709"/>
        <w:jc w:val="both"/>
        <w:rPr>
          <w:rFonts w:ascii="Verdana" w:eastAsia="Times New Roman" w:hAnsi="Verdana" w:cs="Arial"/>
          <w:lang w:val="es-MX"/>
        </w:rPr>
      </w:pPr>
      <w:r w:rsidRPr="00F15272">
        <w:rPr>
          <w:rFonts w:ascii="Verdana" w:eastAsia="Times New Roman" w:hAnsi="Verdana" w:cs="Arial"/>
          <w:lang w:val="es-MX"/>
        </w:rPr>
        <w:t xml:space="preserve">Conforme a lo anterior, si bien la escisión supone la transferencia en bloque de los contratos que obligan a la sociedad escindida, lo cierto es que, en los casos de escisión parcial –art. 3, numeral 1 de Ley 222 de 1995–, en los que </w:t>
      </w:r>
      <w:r w:rsidRPr="00F15272">
        <w:rPr>
          <w:rFonts w:ascii="Verdana" w:eastAsia="Times New Roman" w:hAnsi="Verdana" w:cs="Arial"/>
          <w:lang w:val="es-MX"/>
        </w:rPr>
        <w:lastRenderedPageBreak/>
        <w:t xml:space="preserve">la sociedad escindida ni se disuelve ni se liquida, tal transferencia solo podría producirse si dentro de la reforma estatutaria se contempla alguna disposición tendiente a generar tal transferencia en favor de las sociedades beneficiarias, ya que de lo contrario, al seguir existiendo la sociedad que suscribió los contratos, esta continuaría siendo la responsable de las obligaciones acordadas en tales negocios jurídicos. En ese orden, tratándose de supuestos de escisión total – art. 3, numeral 2 de Ley 222 de 1995–, que conllevan la disolución y liquidación de la sociedad reformada, la transferencia de los contratos debe ser tratada a partir de las disposiciones sociales de la escisión que establezcan la distribución de los compromisos entre las sociedades beneficiarias, sin perjuicio de la regla supletiva dispuesta en el inciso tercero del artículo 9 de la Ley 222 de 1995. </w:t>
      </w:r>
    </w:p>
    <w:p w14:paraId="47BFBC05" w14:textId="77777777" w:rsidR="009D767D" w:rsidRPr="00F15272" w:rsidRDefault="009D767D" w:rsidP="009D767D">
      <w:pPr>
        <w:spacing w:after="120" w:line="276" w:lineRule="auto"/>
        <w:ind w:right="51" w:firstLine="709"/>
        <w:jc w:val="both"/>
        <w:rPr>
          <w:rFonts w:ascii="Verdana" w:eastAsia="Times New Roman" w:hAnsi="Verdana" w:cs="Arial"/>
          <w:lang w:val="es-MX"/>
        </w:rPr>
      </w:pPr>
      <w:r w:rsidRPr="00F15272">
        <w:rPr>
          <w:rFonts w:ascii="Verdana" w:eastAsia="Times New Roman" w:hAnsi="Verdana" w:cs="Arial"/>
          <w:lang w:val="es-MX"/>
        </w:rPr>
        <w:t xml:space="preserve">Ahora bien, en lo referente a los contratos de las sociedades comerciales con entidades públicas, especialmente respecto de aquellos sometidos al Estatuto General de Contratación de la Administración Pública, es importante tener en cuenta lo dispuesto en el tercer inciso del artículo 41 de la Ley 80 de 1993, en el que se establece que: “Los contratos estatales son </w:t>
      </w:r>
      <w:r w:rsidRPr="00F15272">
        <w:rPr>
          <w:rFonts w:ascii="Verdana" w:eastAsia="Times New Roman" w:hAnsi="Verdana" w:cs="Arial"/>
          <w:i/>
          <w:iCs/>
          <w:lang w:val="es-MX"/>
        </w:rPr>
        <w:t xml:space="preserve">intuito </w:t>
      </w:r>
      <w:proofErr w:type="spellStart"/>
      <w:r w:rsidRPr="00F15272">
        <w:rPr>
          <w:rFonts w:ascii="Verdana" w:eastAsia="Times New Roman" w:hAnsi="Verdana" w:cs="Arial"/>
          <w:i/>
          <w:iCs/>
          <w:lang w:val="es-MX"/>
        </w:rPr>
        <w:t>personae</w:t>
      </w:r>
      <w:proofErr w:type="spellEnd"/>
      <w:r w:rsidRPr="00F15272">
        <w:rPr>
          <w:rFonts w:ascii="Verdana" w:eastAsia="Times New Roman" w:hAnsi="Verdana" w:cs="Arial"/>
          <w:lang w:val="es-MX"/>
        </w:rPr>
        <w:t xml:space="preserve"> y, en consecuencia, una vez celebrados no podrán cederse sin previa autorización escrita de la entidad contratante”.  La naturaleza jurídica que dicha norma endilga a los contratos estatales justifica el requisito que impone –en el sentido de establecer el consentimiento de la entidad contratante como un presupuesto para la cesión de los contratos–, lo que, para el supuesto objeto de estudio, implica que la transferencia de las obligaciones derivadas de los contratos estatales suscritos por una sociedad escindida solo podría completarse con la previa autorización de las entidades estatales contratantes. Esta postura es compartida por la Superintendencia de Sociedades que al respecto ha expuesto:</w:t>
      </w:r>
    </w:p>
    <w:p w14:paraId="219CEB0D" w14:textId="77777777" w:rsidR="009D767D" w:rsidRPr="00F15272" w:rsidRDefault="009D767D" w:rsidP="009D767D">
      <w:pPr>
        <w:spacing w:after="0" w:line="240" w:lineRule="auto"/>
        <w:ind w:left="709" w:right="709"/>
        <w:jc w:val="both"/>
        <w:rPr>
          <w:rFonts w:ascii="Verdana" w:eastAsia="Times New Roman" w:hAnsi="Verdana" w:cs="Arial"/>
          <w:sz w:val="20"/>
          <w:szCs w:val="20"/>
          <w:lang w:val="es-MX"/>
        </w:rPr>
      </w:pPr>
      <w:r w:rsidRPr="00F15272">
        <w:rPr>
          <w:rFonts w:ascii="Verdana" w:eastAsia="Times New Roman" w:hAnsi="Verdana" w:cs="Arial"/>
          <w:lang w:val="es-MX"/>
        </w:rPr>
        <w:t>“</w:t>
      </w:r>
      <w:r w:rsidRPr="00F15272">
        <w:rPr>
          <w:rFonts w:ascii="Verdana" w:eastAsia="Times New Roman" w:hAnsi="Verdana" w:cs="Arial"/>
          <w:sz w:val="20"/>
          <w:szCs w:val="20"/>
          <w:lang w:val="es-MX"/>
        </w:rPr>
        <w:t>Ahora bien, en consideración a que no todos los negocios o</w:t>
      </w:r>
      <w:r w:rsidRPr="00F15272">
        <w:rPr>
          <w:rFonts w:ascii="Verdana" w:eastAsia="Times New Roman" w:hAnsi="Verdana" w:cs="Arial"/>
          <w:lang w:val="es-MX"/>
        </w:rPr>
        <w:t xml:space="preserve"> </w:t>
      </w:r>
      <w:r w:rsidRPr="00F15272">
        <w:rPr>
          <w:rFonts w:ascii="Verdana" w:eastAsia="Times New Roman" w:hAnsi="Verdana" w:cs="Arial"/>
          <w:sz w:val="20"/>
          <w:szCs w:val="20"/>
          <w:lang w:val="es-MX"/>
        </w:rPr>
        <w:t xml:space="preserve">relaciones jurídicas son susceptibles de ser transferidos o sustituidos o, no obstante serlo, requieren del agotamiento o cumplimiento de algún imperativo legal o estipulación convencional, es menester que se observen tales preceptivas en aras de su consecución.[…] respecto de los contratos estatales, esto es, de los definidos en el artículo 32 de la Ley 80 de 1993, entre los cuales se encuentran los genéricos de concesión (núm. 4 ídem), es de señalarse que, de acuerdo con el artículo 41 </w:t>
      </w:r>
      <w:proofErr w:type="spellStart"/>
      <w:r w:rsidRPr="00F15272">
        <w:rPr>
          <w:rFonts w:ascii="Verdana" w:eastAsia="Times New Roman" w:hAnsi="Verdana" w:cs="Arial"/>
          <w:sz w:val="20"/>
          <w:szCs w:val="20"/>
          <w:lang w:val="es-MX"/>
        </w:rPr>
        <w:t>ibídem</w:t>
      </w:r>
      <w:proofErr w:type="spellEnd"/>
      <w:r w:rsidRPr="00F15272">
        <w:rPr>
          <w:rFonts w:ascii="Verdana" w:eastAsia="Times New Roman" w:hAnsi="Verdana" w:cs="Arial"/>
          <w:sz w:val="20"/>
          <w:szCs w:val="20"/>
          <w:lang w:val="es-MX"/>
        </w:rPr>
        <w:t xml:space="preserve">, «son </w:t>
      </w:r>
      <w:proofErr w:type="spellStart"/>
      <w:r w:rsidRPr="00F15272">
        <w:rPr>
          <w:rFonts w:ascii="Verdana" w:eastAsia="Times New Roman" w:hAnsi="Verdana" w:cs="Arial"/>
          <w:sz w:val="20"/>
          <w:szCs w:val="20"/>
          <w:lang w:val="es-MX"/>
        </w:rPr>
        <w:t>intuitu</w:t>
      </w:r>
      <w:proofErr w:type="spellEnd"/>
      <w:r w:rsidRPr="00F15272">
        <w:rPr>
          <w:rFonts w:ascii="Verdana" w:eastAsia="Times New Roman" w:hAnsi="Verdana" w:cs="Arial"/>
          <w:sz w:val="20"/>
          <w:szCs w:val="20"/>
          <w:lang w:val="es-MX"/>
        </w:rPr>
        <w:t xml:space="preserve"> </w:t>
      </w:r>
      <w:proofErr w:type="spellStart"/>
      <w:r w:rsidRPr="00F15272">
        <w:rPr>
          <w:rFonts w:ascii="Verdana" w:eastAsia="Times New Roman" w:hAnsi="Verdana" w:cs="Arial"/>
          <w:sz w:val="20"/>
          <w:szCs w:val="20"/>
          <w:lang w:val="es-MX"/>
        </w:rPr>
        <w:t>personae</w:t>
      </w:r>
      <w:proofErr w:type="spellEnd"/>
      <w:r w:rsidRPr="00F15272">
        <w:rPr>
          <w:rFonts w:ascii="Verdana" w:eastAsia="Times New Roman" w:hAnsi="Verdana" w:cs="Arial"/>
          <w:sz w:val="20"/>
          <w:szCs w:val="20"/>
          <w:lang w:val="es-MX"/>
        </w:rPr>
        <w:t xml:space="preserve"> y, en consecuencia, una vez celebrados no podrán cederse sin previa autorización escrita de la entidad contratante.»</w:t>
      </w:r>
    </w:p>
    <w:p w14:paraId="1BF22665" w14:textId="77777777" w:rsidR="009D767D" w:rsidRDefault="009D767D" w:rsidP="009D767D">
      <w:pPr>
        <w:spacing w:after="0" w:line="240" w:lineRule="auto"/>
        <w:ind w:left="709" w:right="709"/>
        <w:jc w:val="both"/>
        <w:rPr>
          <w:rFonts w:ascii="Verdana" w:eastAsia="Times New Roman" w:hAnsi="Verdana" w:cs="Arial"/>
          <w:sz w:val="20"/>
          <w:szCs w:val="20"/>
          <w:lang w:val="es-MX"/>
        </w:rPr>
      </w:pPr>
      <w:r w:rsidRPr="00F15272">
        <w:rPr>
          <w:rFonts w:ascii="Verdana" w:eastAsia="Times New Roman" w:hAnsi="Verdana" w:cs="Arial"/>
          <w:sz w:val="20"/>
          <w:szCs w:val="20"/>
          <w:lang w:val="es-MX"/>
        </w:rPr>
        <w:t>[…]</w:t>
      </w:r>
    </w:p>
    <w:p w14:paraId="33B7ADE9" w14:textId="77777777" w:rsidR="009D767D" w:rsidRPr="00F15272" w:rsidRDefault="009D767D" w:rsidP="009D767D">
      <w:pPr>
        <w:spacing w:after="0" w:line="240" w:lineRule="auto"/>
        <w:ind w:left="709" w:right="709"/>
        <w:jc w:val="both"/>
        <w:rPr>
          <w:rFonts w:ascii="Verdana" w:eastAsia="Times New Roman" w:hAnsi="Verdana" w:cs="Arial"/>
          <w:sz w:val="20"/>
          <w:szCs w:val="20"/>
          <w:lang w:val="es-MX"/>
        </w:rPr>
      </w:pPr>
    </w:p>
    <w:p w14:paraId="2897867B" w14:textId="77777777" w:rsidR="009D767D" w:rsidRDefault="009D767D" w:rsidP="009D767D">
      <w:pPr>
        <w:spacing w:after="0" w:line="240" w:lineRule="auto"/>
        <w:ind w:left="709" w:right="709"/>
        <w:jc w:val="both"/>
        <w:rPr>
          <w:rFonts w:ascii="Verdana" w:eastAsia="Times New Roman" w:hAnsi="Verdana" w:cs="Arial"/>
          <w:sz w:val="20"/>
          <w:szCs w:val="20"/>
          <w:lang w:val="es-MX"/>
        </w:rPr>
      </w:pPr>
      <w:r w:rsidRPr="00F15272">
        <w:rPr>
          <w:rFonts w:ascii="Verdana" w:eastAsia="Times New Roman" w:hAnsi="Verdana" w:cs="Arial"/>
          <w:sz w:val="20"/>
          <w:szCs w:val="20"/>
          <w:lang w:val="es-MX"/>
        </w:rPr>
        <w:t xml:space="preserve">Por ende, si en los respectivos contratos de concesión administrativos las partes no han limitado o prohibido la cesión del mismo, podrá la escindida sustituir las correlativas relaciones derivadas del mismo en cabeza de la </w:t>
      </w:r>
      <w:proofErr w:type="spellStart"/>
      <w:r w:rsidRPr="00F15272">
        <w:rPr>
          <w:rFonts w:ascii="Verdana" w:eastAsia="Times New Roman" w:hAnsi="Verdana" w:cs="Arial"/>
          <w:sz w:val="20"/>
          <w:szCs w:val="20"/>
          <w:lang w:val="es-MX"/>
        </w:rPr>
        <w:t>escisionaria</w:t>
      </w:r>
      <w:proofErr w:type="spellEnd"/>
      <w:r w:rsidRPr="00F15272">
        <w:rPr>
          <w:rFonts w:ascii="Verdana" w:eastAsia="Times New Roman" w:hAnsi="Verdana" w:cs="Arial"/>
          <w:sz w:val="20"/>
          <w:szCs w:val="20"/>
          <w:lang w:val="es-MX"/>
        </w:rPr>
        <w:t>, siempre que se obtenga de la entidad contratante, se reitera, la autorización escrita comentada y en forma previa al acto de escisión, atendiéndose a la normatividad especial en cada caso según se ha referido.</w:t>
      </w:r>
    </w:p>
    <w:p w14:paraId="580EF76C" w14:textId="77777777" w:rsidR="009D767D" w:rsidRPr="00F15272" w:rsidRDefault="009D767D" w:rsidP="009D767D">
      <w:pPr>
        <w:spacing w:after="0" w:line="240" w:lineRule="auto"/>
        <w:ind w:left="709" w:right="709"/>
        <w:jc w:val="both"/>
        <w:rPr>
          <w:rFonts w:ascii="Verdana" w:eastAsia="Times New Roman" w:hAnsi="Verdana" w:cs="Arial"/>
          <w:sz w:val="20"/>
          <w:szCs w:val="20"/>
          <w:lang w:val="es-MX"/>
        </w:rPr>
      </w:pPr>
    </w:p>
    <w:p w14:paraId="5136C2CD" w14:textId="77777777" w:rsidR="009D767D" w:rsidRDefault="009D767D" w:rsidP="009D767D">
      <w:pPr>
        <w:spacing w:after="0" w:line="240" w:lineRule="auto"/>
        <w:ind w:left="709" w:right="709"/>
        <w:jc w:val="both"/>
        <w:rPr>
          <w:rFonts w:ascii="Verdana" w:eastAsia="Times New Roman" w:hAnsi="Verdana" w:cs="Arial"/>
          <w:sz w:val="20"/>
          <w:szCs w:val="20"/>
          <w:lang w:val="es-MX"/>
        </w:rPr>
      </w:pPr>
      <w:r w:rsidRPr="00F15272">
        <w:rPr>
          <w:rFonts w:ascii="Verdana" w:eastAsia="Times New Roman" w:hAnsi="Verdana" w:cs="Arial"/>
          <w:sz w:val="20"/>
          <w:szCs w:val="20"/>
          <w:lang w:val="es-MX"/>
        </w:rPr>
        <w:t>En este orden de ideas, se desprende, entonces, que es factible que los contratos privados en comento sean objeto de segregación o disgregación junto con la parte patrimonial que se separa con ocasión de la escisión y por el sólo hecho de ésta, esto es, sin necesidad de estipulación expresa alguna por parte de los socios en el acto de escisión sobre el particular, cuando la sustitución concerniente no requiera de la aceptación del contratante cedido y siempre que por norma imperativa especial o particular o por estipulación de las partes no se haya limitado o prohibido la sustitución. No obstante, si ha de preceder la aceptación expresa del contratante cedido, deberá procederse de conformidad con lo regulado en los dichos eventos en cuanto a formalidades y demás circunstancias atinentes en aras del perfeccionamiento de la indicada sustitución, siendo del caso que la aceptación obre en el acto de escisión, sobre el entendido, claro está, que en la decisión correlativa se han estipulado por los socios las condiciones de la misma en cuanto a obligaciones, derechos, prerrogativas, efectos y demás pertinentes.</w:t>
      </w:r>
    </w:p>
    <w:p w14:paraId="3CDC00C6" w14:textId="77777777" w:rsidR="009D767D" w:rsidRPr="00F15272" w:rsidRDefault="009D767D" w:rsidP="009D767D">
      <w:pPr>
        <w:spacing w:after="0" w:line="240" w:lineRule="auto"/>
        <w:ind w:left="709" w:right="709"/>
        <w:jc w:val="both"/>
        <w:rPr>
          <w:rFonts w:ascii="Verdana" w:eastAsia="Times New Roman" w:hAnsi="Verdana" w:cs="Arial"/>
          <w:sz w:val="20"/>
          <w:szCs w:val="20"/>
          <w:lang w:val="es-MX"/>
        </w:rPr>
      </w:pPr>
    </w:p>
    <w:p w14:paraId="5F167EA6" w14:textId="77777777" w:rsidR="009D767D" w:rsidRPr="00F15272" w:rsidRDefault="009D767D" w:rsidP="009D767D">
      <w:pPr>
        <w:spacing w:after="0" w:line="240" w:lineRule="auto"/>
        <w:ind w:left="709" w:right="709"/>
        <w:jc w:val="both"/>
        <w:rPr>
          <w:rFonts w:ascii="Verdana" w:eastAsia="Times New Roman" w:hAnsi="Verdana" w:cs="Arial"/>
          <w:sz w:val="20"/>
          <w:szCs w:val="20"/>
          <w:lang w:val="es-MX"/>
        </w:rPr>
      </w:pPr>
      <w:r w:rsidRPr="00F15272">
        <w:rPr>
          <w:rFonts w:ascii="Verdana" w:eastAsia="Times New Roman" w:hAnsi="Verdana" w:cs="Arial"/>
          <w:sz w:val="20"/>
          <w:szCs w:val="20"/>
          <w:lang w:val="es-MX"/>
        </w:rPr>
        <w:t>En cuanto a los contratos administrativos, no podrá entenderse la disgregación o segregación sino cuando se haya obtenido la autorización escrita por parte de la entidad en forma previa al acto de escisión y se estipule tal cesión así como sus condiciones en éste”</w:t>
      </w:r>
      <w:r w:rsidRPr="00F15272">
        <w:rPr>
          <w:rFonts w:ascii="Verdana" w:eastAsia="Times New Roman" w:hAnsi="Verdana" w:cs="Arial"/>
          <w:sz w:val="20"/>
          <w:szCs w:val="20"/>
          <w:vertAlign w:val="superscript"/>
          <w:lang w:val="es-MX"/>
        </w:rPr>
        <w:footnoteReference w:id="13"/>
      </w:r>
      <w:r w:rsidRPr="00F15272">
        <w:rPr>
          <w:rFonts w:ascii="Verdana" w:eastAsia="Times New Roman" w:hAnsi="Verdana" w:cs="Arial"/>
          <w:sz w:val="20"/>
          <w:szCs w:val="20"/>
          <w:lang w:val="es-MX"/>
        </w:rPr>
        <w:t>.</w:t>
      </w:r>
    </w:p>
    <w:p w14:paraId="7D059485" w14:textId="77777777" w:rsidR="009D767D" w:rsidRPr="00F15272" w:rsidRDefault="009D767D" w:rsidP="009D767D">
      <w:pPr>
        <w:spacing w:after="0" w:line="276" w:lineRule="auto"/>
        <w:ind w:right="49" w:firstLine="708"/>
        <w:jc w:val="both"/>
        <w:rPr>
          <w:rFonts w:ascii="Verdana" w:eastAsia="Times New Roman" w:hAnsi="Verdana" w:cs="Arial"/>
          <w:lang w:val="es-MX"/>
        </w:rPr>
      </w:pPr>
    </w:p>
    <w:p w14:paraId="5A1FB9EF" w14:textId="77777777" w:rsidR="009D767D" w:rsidRPr="00F15272" w:rsidRDefault="009D767D" w:rsidP="009D767D">
      <w:pPr>
        <w:spacing w:after="120" w:line="276" w:lineRule="auto"/>
        <w:ind w:right="51" w:firstLine="709"/>
        <w:jc w:val="both"/>
        <w:rPr>
          <w:rFonts w:ascii="Verdana" w:eastAsia="Times New Roman" w:hAnsi="Verdana" w:cs="Arial"/>
          <w:lang w:val="es-MX"/>
        </w:rPr>
      </w:pPr>
      <w:r w:rsidRPr="00F15272">
        <w:rPr>
          <w:rFonts w:ascii="Verdana" w:eastAsia="Times New Roman" w:hAnsi="Verdana" w:cs="Arial"/>
          <w:lang w:val="es-MX"/>
        </w:rPr>
        <w:t xml:space="preserve">Conforme a lo anterior, es posible concluir que cuando se realiza la escisión parcial de una sociedad comercial que funge como contratista estatal–en el régimen del EGCAP–, en la medida que la sociedad no se disuelve ni se liquida, continuando en la vida jurídica con una reducción en su patrimonio, solo se produce la transferencia de las obligaciones derivada de tales negocios jurídicos si así se determina en el acuerdo de escisión. En los casos de escisión total, al disolverse y liquidarse la sociedad comercial, los contratos estatales deben ser materia de distribución en el acuerdo de escisión entre las sociedades beneficiarias. Con todo, sin perjuicio de lo dispuesto en el artículo 9 de la Ley </w:t>
      </w:r>
      <w:r w:rsidRPr="00F15272">
        <w:rPr>
          <w:rFonts w:ascii="Verdana" w:eastAsia="Times New Roman" w:hAnsi="Verdana" w:cs="Arial"/>
          <w:lang w:val="es-MX"/>
        </w:rPr>
        <w:lastRenderedPageBreak/>
        <w:t xml:space="preserve">222 de 1995, tanto en los supuestos de escisión total como en los de parcial se requiere del consentimiento de la entidad estatal para se consolide la transferencia de las obligaciones y beneficios que devienen de contratos estatales.  </w:t>
      </w:r>
    </w:p>
    <w:p w14:paraId="0E2CFD57" w14:textId="77777777" w:rsidR="009D767D" w:rsidRPr="003F0A80" w:rsidRDefault="009D767D" w:rsidP="009D767D">
      <w:pPr>
        <w:spacing w:after="120" w:line="276" w:lineRule="auto"/>
        <w:ind w:right="51" w:firstLine="708"/>
        <w:jc w:val="both"/>
        <w:rPr>
          <w:rFonts w:ascii="Verdana" w:eastAsia="Times New Roman" w:hAnsi="Verdana" w:cs="Arial"/>
          <w:color w:val="000000" w:themeColor="text1"/>
          <w:lang w:val="es-MX"/>
        </w:rPr>
      </w:pPr>
      <w:r w:rsidRPr="00F15272">
        <w:rPr>
          <w:rFonts w:ascii="Verdana" w:eastAsia="Times New Roman" w:hAnsi="Verdana" w:cs="Arial"/>
          <w:lang w:val="es-MX"/>
        </w:rPr>
        <w:t xml:space="preserve">Por otra parte, los acuerdos de fusión, de manera similar a la escisión, y </w:t>
      </w:r>
      <w:r w:rsidRPr="003F0A80">
        <w:rPr>
          <w:rFonts w:ascii="Verdana" w:eastAsia="Times New Roman" w:hAnsi="Verdana" w:cs="Arial"/>
          <w:color w:val="000000" w:themeColor="text1"/>
          <w:lang w:val="es-MX"/>
        </w:rPr>
        <w:t>de acuerdo con lo previsto en el artículo 172 del Código de Comercio, generan la transferencia patrimonial en bloque, solo que, en este supuesto, esta se produce desde una sociedad que se disuelve hacia la que la absorbe o compañía que se crea en virtud de la fusión. Esta transferencia, de acuerdo con el artículo 178 del estatuto comercial</w:t>
      </w:r>
      <w:r w:rsidRPr="003F0A80">
        <w:rPr>
          <w:rFonts w:ascii="Verdana" w:eastAsia="Times New Roman" w:hAnsi="Verdana" w:cs="Arial"/>
          <w:color w:val="000000" w:themeColor="text1"/>
          <w:vertAlign w:val="superscript"/>
          <w:lang w:val="es-MX"/>
        </w:rPr>
        <w:footnoteReference w:id="14"/>
      </w:r>
      <w:r w:rsidRPr="003F0A80">
        <w:rPr>
          <w:rFonts w:ascii="Verdana" w:eastAsia="Times New Roman" w:hAnsi="Verdana" w:cs="Arial"/>
          <w:color w:val="000000" w:themeColor="text1"/>
          <w:lang w:val="es-MX"/>
        </w:rPr>
        <w:t xml:space="preserve">, opera </w:t>
      </w:r>
      <w:r w:rsidRPr="003F0A80">
        <w:rPr>
          <w:rFonts w:ascii="Verdana" w:eastAsia="Times New Roman" w:hAnsi="Verdana" w:cs="Arial"/>
          <w:i/>
          <w:iCs/>
          <w:color w:val="000000" w:themeColor="text1"/>
          <w:lang w:val="es-MX"/>
        </w:rPr>
        <w:t>ipso iure</w:t>
      </w:r>
      <w:r w:rsidRPr="003F0A80">
        <w:rPr>
          <w:rFonts w:ascii="Verdana" w:eastAsia="Times New Roman" w:hAnsi="Verdana" w:cs="Arial"/>
          <w:color w:val="000000" w:themeColor="text1"/>
          <w:lang w:val="es-MX"/>
        </w:rPr>
        <w:t xml:space="preserve"> a título universal, por lo que los derechos y obligaciones se transmiten </w:t>
      </w:r>
      <w:r w:rsidRPr="003F0A80">
        <w:rPr>
          <w:rFonts w:ascii="Verdana" w:eastAsia="Times New Roman" w:hAnsi="Verdana" w:cs="Arial"/>
          <w:i/>
          <w:iCs/>
          <w:color w:val="000000" w:themeColor="text1"/>
          <w:lang w:val="es-MX"/>
        </w:rPr>
        <w:t xml:space="preserve">uno </w:t>
      </w:r>
      <w:proofErr w:type="spellStart"/>
      <w:r w:rsidRPr="003F0A80">
        <w:rPr>
          <w:rFonts w:ascii="Verdana" w:eastAsia="Times New Roman" w:hAnsi="Verdana" w:cs="Arial"/>
          <w:i/>
          <w:iCs/>
          <w:color w:val="000000" w:themeColor="text1"/>
          <w:lang w:val="es-MX"/>
        </w:rPr>
        <w:t>actu</w:t>
      </w:r>
      <w:proofErr w:type="spellEnd"/>
      <w:r w:rsidRPr="003F0A80">
        <w:rPr>
          <w:rFonts w:ascii="Verdana" w:eastAsia="Times New Roman" w:hAnsi="Verdana" w:cs="Arial"/>
          <w:i/>
          <w:iCs/>
          <w:color w:val="000000" w:themeColor="text1"/>
          <w:lang w:val="es-MX"/>
        </w:rPr>
        <w:t xml:space="preserve">, </w:t>
      </w:r>
      <w:r w:rsidRPr="003F0A80">
        <w:rPr>
          <w:rFonts w:ascii="Verdana" w:eastAsia="Times New Roman" w:hAnsi="Verdana" w:cs="Arial"/>
          <w:color w:val="000000" w:themeColor="text1"/>
          <w:lang w:val="es-MX"/>
        </w:rPr>
        <w:t>sin la necesidad de novación</w:t>
      </w:r>
      <w:r w:rsidRPr="003F0A80">
        <w:rPr>
          <w:rFonts w:ascii="Verdana" w:eastAsia="Times New Roman" w:hAnsi="Verdana" w:cs="Arial"/>
          <w:i/>
          <w:iCs/>
          <w:color w:val="000000" w:themeColor="text1"/>
          <w:vertAlign w:val="superscript"/>
          <w:lang w:val="es-MX"/>
        </w:rPr>
        <w:footnoteReference w:id="15"/>
      </w:r>
      <w:r w:rsidRPr="003F0A80">
        <w:rPr>
          <w:rFonts w:ascii="Verdana" w:eastAsia="Times New Roman" w:hAnsi="Verdana" w:cs="Arial"/>
          <w:i/>
          <w:iCs/>
          <w:color w:val="000000" w:themeColor="text1"/>
          <w:lang w:val="es-MX"/>
        </w:rPr>
        <w:t xml:space="preserve">. </w:t>
      </w:r>
      <w:r w:rsidRPr="003F0A80">
        <w:rPr>
          <w:rFonts w:ascii="Verdana" w:eastAsia="Times New Roman" w:hAnsi="Verdana" w:cs="Arial"/>
          <w:color w:val="000000" w:themeColor="text1"/>
          <w:lang w:val="es-MX"/>
        </w:rPr>
        <w:t xml:space="preserve">Esto implica que, las posiciones contractuales ostentadas por la sociedad absorbida pasen a ser asumidas por la sociedad absorbente o la empresa nueva que emerge de la fusión, quienes quedarían obligadas por tales negocios jurídicos. </w:t>
      </w:r>
    </w:p>
    <w:p w14:paraId="6EFF9B37" w14:textId="77777777" w:rsidR="009D767D" w:rsidRDefault="009D767D" w:rsidP="009D767D">
      <w:pPr>
        <w:spacing w:after="120" w:line="276" w:lineRule="auto"/>
        <w:ind w:right="51" w:firstLine="708"/>
        <w:jc w:val="both"/>
        <w:rPr>
          <w:rFonts w:ascii="Verdana" w:eastAsia="Times New Roman" w:hAnsi="Verdana" w:cs="Arial"/>
          <w:color w:val="000000" w:themeColor="text1"/>
          <w:lang w:val="es-MX"/>
        </w:rPr>
      </w:pPr>
      <w:r w:rsidRPr="003F0A80">
        <w:rPr>
          <w:rFonts w:ascii="Verdana" w:eastAsia="Times New Roman" w:hAnsi="Verdana" w:cs="Arial"/>
          <w:color w:val="000000" w:themeColor="text1"/>
          <w:lang w:val="es-MX"/>
        </w:rPr>
        <w:t xml:space="preserve">En cuanto a los contratos estatales, lo dispuesto en el tercer inciso del artículo 41 de la Ley 80 de 1993, genera un efecto similar </w:t>
      </w:r>
      <w:r w:rsidRPr="003F0A80">
        <w:rPr>
          <w:rFonts w:ascii="Verdana" w:eastAsia="Times New Roman" w:hAnsi="Verdana" w:cs="Arial"/>
          <w:i/>
          <w:iCs/>
          <w:color w:val="000000" w:themeColor="text1"/>
          <w:lang w:val="es-MX"/>
        </w:rPr>
        <w:t xml:space="preserve">mutatis mutandis </w:t>
      </w:r>
      <w:r w:rsidRPr="003F0A80">
        <w:rPr>
          <w:rFonts w:ascii="Verdana" w:eastAsia="Times New Roman" w:hAnsi="Verdana" w:cs="Arial"/>
          <w:color w:val="000000" w:themeColor="text1"/>
          <w:lang w:val="es-MX"/>
        </w:rPr>
        <w:t>al explicado respecto de la escisión, y es que la autorización de la entidad estatal obre como condicionante de la transferencia de las obligaciones pactadas. En ese sentido, para que la sociedad absorbente o la sociedad creada pase a ocupar la posición contractual podría entenderse como indispensable la autorización de la entidad estatal.</w:t>
      </w:r>
      <w:r>
        <w:rPr>
          <w:rFonts w:ascii="Verdana" w:eastAsia="Times New Roman" w:hAnsi="Verdana" w:cs="Arial"/>
          <w:color w:val="000000" w:themeColor="text1"/>
          <w:lang w:val="es-MX"/>
        </w:rPr>
        <w:t xml:space="preserve"> </w:t>
      </w:r>
      <w:r w:rsidRPr="00D53405">
        <w:rPr>
          <w:rFonts w:ascii="Verdana" w:eastAsia="Times New Roman" w:hAnsi="Verdana" w:cs="Arial"/>
          <w:color w:val="000000" w:themeColor="text1"/>
          <w:lang w:val="es-MX"/>
        </w:rPr>
        <w:t xml:space="preserve">No obstante, es importante precisar que la autorización prevista en el artículo 41 de la Ley 80 de 1993 para la cesión del contrato no </w:t>
      </w:r>
      <w:r>
        <w:rPr>
          <w:rFonts w:ascii="Verdana" w:eastAsia="Times New Roman" w:hAnsi="Verdana" w:cs="Arial"/>
          <w:color w:val="000000" w:themeColor="text1"/>
          <w:lang w:val="es-MX"/>
        </w:rPr>
        <w:t xml:space="preserve">se puede interpretar como </w:t>
      </w:r>
      <w:r w:rsidRPr="00D53405">
        <w:rPr>
          <w:rFonts w:ascii="Verdana" w:eastAsia="Times New Roman" w:hAnsi="Verdana" w:cs="Arial"/>
          <w:color w:val="000000" w:themeColor="text1"/>
          <w:lang w:val="es-MX"/>
        </w:rPr>
        <w:t xml:space="preserve">una autorización </w:t>
      </w:r>
      <w:r>
        <w:rPr>
          <w:rFonts w:ascii="Verdana" w:eastAsia="Times New Roman" w:hAnsi="Verdana" w:cs="Arial"/>
          <w:color w:val="000000" w:themeColor="text1"/>
          <w:lang w:val="es-MX"/>
        </w:rPr>
        <w:t>para</w:t>
      </w:r>
      <w:r w:rsidRPr="00D53405">
        <w:rPr>
          <w:rFonts w:ascii="Verdana" w:eastAsia="Times New Roman" w:hAnsi="Verdana" w:cs="Arial"/>
          <w:color w:val="000000" w:themeColor="text1"/>
          <w:lang w:val="es-MX"/>
        </w:rPr>
        <w:t xml:space="preserve"> la reforma estatutaria</w:t>
      </w:r>
      <w:r>
        <w:rPr>
          <w:rFonts w:ascii="Verdana" w:eastAsia="Times New Roman" w:hAnsi="Verdana" w:cs="Arial"/>
          <w:color w:val="000000" w:themeColor="text1"/>
          <w:lang w:val="es-MX"/>
        </w:rPr>
        <w:t xml:space="preserve">, ya que </w:t>
      </w:r>
      <w:r w:rsidRPr="00D53405">
        <w:rPr>
          <w:rFonts w:ascii="Verdana" w:eastAsia="Times New Roman" w:hAnsi="Verdana" w:cs="Arial"/>
          <w:color w:val="000000" w:themeColor="text1"/>
          <w:lang w:val="es-MX"/>
        </w:rPr>
        <w:t xml:space="preserve">mientras que en la cesión la autorización de la entidad estatal constituye un requisito necesario para la eficacia de la transferencia de la posición contractual, en los procesos de fusión </w:t>
      </w:r>
      <w:r>
        <w:rPr>
          <w:rFonts w:ascii="Verdana" w:eastAsia="Times New Roman" w:hAnsi="Verdana" w:cs="Arial"/>
          <w:color w:val="000000" w:themeColor="text1"/>
          <w:lang w:val="es-MX"/>
        </w:rPr>
        <w:t xml:space="preserve">la transferencia de derechos y obligaciones </w:t>
      </w:r>
      <w:r w:rsidRPr="00D53405">
        <w:rPr>
          <w:rFonts w:ascii="Verdana" w:eastAsia="Times New Roman" w:hAnsi="Verdana" w:cs="Arial"/>
          <w:color w:val="000000" w:themeColor="text1"/>
          <w:lang w:val="es-MX"/>
        </w:rPr>
        <w:t xml:space="preserve">opera </w:t>
      </w:r>
      <w:r w:rsidRPr="001D3B04">
        <w:rPr>
          <w:rFonts w:ascii="Verdana" w:eastAsia="Times New Roman" w:hAnsi="Verdana" w:cs="Arial"/>
          <w:i/>
          <w:iCs/>
          <w:color w:val="000000" w:themeColor="text1"/>
          <w:lang w:val="es-MX"/>
        </w:rPr>
        <w:t>ipso iure</w:t>
      </w:r>
      <w:r w:rsidRPr="00D53405">
        <w:rPr>
          <w:rFonts w:ascii="Verdana" w:eastAsia="Times New Roman" w:hAnsi="Verdana" w:cs="Arial"/>
          <w:color w:val="000000" w:themeColor="text1"/>
          <w:lang w:val="es-MX"/>
        </w:rPr>
        <w:t>, como consecuencia directa del acuerdo societario y de los efectos legales propios de la reforma estatutaria</w:t>
      </w:r>
      <w:r>
        <w:rPr>
          <w:rFonts w:ascii="Verdana" w:eastAsia="Times New Roman" w:hAnsi="Verdana" w:cs="Arial"/>
          <w:color w:val="000000" w:themeColor="text1"/>
          <w:lang w:val="es-MX"/>
        </w:rPr>
        <w:t xml:space="preserve">. </w:t>
      </w:r>
    </w:p>
    <w:p w14:paraId="5EF2780D" w14:textId="77777777" w:rsidR="009D767D" w:rsidRPr="00985FB7" w:rsidRDefault="009D767D" w:rsidP="009D767D">
      <w:pPr>
        <w:spacing w:after="120" w:line="276" w:lineRule="auto"/>
        <w:ind w:right="51" w:firstLine="708"/>
        <w:jc w:val="both"/>
        <w:rPr>
          <w:rFonts w:ascii="Verdana" w:eastAsia="Times New Roman" w:hAnsi="Verdana" w:cs="Arial"/>
          <w:color w:val="000000" w:themeColor="text1"/>
          <w:lang w:val="es-MX"/>
        </w:rPr>
      </w:pPr>
      <w:r>
        <w:rPr>
          <w:rFonts w:ascii="Verdana" w:eastAsia="Times New Roman" w:hAnsi="Verdana" w:cs="Arial"/>
          <w:color w:val="000000" w:themeColor="text1"/>
          <w:lang w:val="es-MX"/>
        </w:rPr>
        <w:lastRenderedPageBreak/>
        <w:t xml:space="preserve">En este sentido, </w:t>
      </w:r>
      <w:r w:rsidRPr="0065239B">
        <w:rPr>
          <w:rFonts w:ascii="Verdana" w:eastAsia="Times New Roman" w:hAnsi="Verdana" w:cs="Arial"/>
          <w:color w:val="000000" w:themeColor="text1"/>
          <w:lang w:val="es-MX"/>
        </w:rPr>
        <w:t>la intervención de la entidad estatal no está dirigida a autorizar la reforma societaria en sí misma</w:t>
      </w:r>
      <w:r>
        <w:rPr>
          <w:rFonts w:ascii="Verdana" w:eastAsia="Times New Roman" w:hAnsi="Verdana" w:cs="Arial"/>
          <w:color w:val="000000" w:themeColor="text1"/>
          <w:lang w:val="es-MX"/>
        </w:rPr>
        <w:t xml:space="preserve">, </w:t>
      </w:r>
      <w:r w:rsidRPr="0065239B">
        <w:rPr>
          <w:rFonts w:ascii="Verdana" w:eastAsia="Times New Roman" w:hAnsi="Verdana" w:cs="Arial"/>
          <w:color w:val="000000" w:themeColor="text1"/>
          <w:lang w:val="es-MX"/>
        </w:rPr>
        <w:t>sino a verificar si la sociedad absorbente o la nueva sociedad cumple las condiciones necesarias para continuar con la ejecución del contrato estatal, particularmente en lo relacionado con la capacidad jurídica, financiera, técnica y organizacional que fundamentaron la selección objetiva del contratista. De esta manera, la autorización de la entidad se orienta a salvaguardar el interés general y garantizar que la modificación societaria no afecte la adecuada ejecución del contrato</w:t>
      </w:r>
      <w:r>
        <w:rPr>
          <w:rFonts w:ascii="Verdana" w:eastAsia="Times New Roman" w:hAnsi="Verdana" w:cs="Arial"/>
          <w:color w:val="000000" w:themeColor="text1"/>
          <w:lang w:val="es-MX"/>
        </w:rPr>
        <w:t xml:space="preserve">. </w:t>
      </w:r>
      <w:r w:rsidRPr="00FE61E7">
        <w:rPr>
          <w:rFonts w:ascii="Verdana" w:eastAsia="Times New Roman" w:hAnsi="Verdana" w:cs="Arial"/>
          <w:color w:val="000000" w:themeColor="text1"/>
          <w:lang w:val="es-MX"/>
        </w:rPr>
        <w:t>Lo anterior, sin perjuicio de las estipulaciones contractuales que establezcan la obligación de obtener autorización previa de la entidad estatal para adelantar procesos de fusión o escisión del contratista, las cuales se entienden válidamente pactadas en ejercicio de la autonomía de la voluntad</w:t>
      </w:r>
      <w:r>
        <w:rPr>
          <w:rFonts w:ascii="Verdana" w:eastAsia="Times New Roman" w:hAnsi="Verdana" w:cs="Arial"/>
          <w:color w:val="000000" w:themeColor="text1"/>
          <w:lang w:val="es-MX"/>
        </w:rPr>
        <w:t xml:space="preserve">. </w:t>
      </w:r>
    </w:p>
    <w:p w14:paraId="16F47A4B" w14:textId="77777777" w:rsidR="009D767D" w:rsidRPr="00AC6222" w:rsidRDefault="009D767D" w:rsidP="009D767D">
      <w:pPr>
        <w:spacing w:after="120" w:line="276" w:lineRule="auto"/>
        <w:ind w:right="51" w:firstLine="708"/>
        <w:jc w:val="both"/>
        <w:rPr>
          <w:rFonts w:ascii="Verdana" w:eastAsia="Times New Roman" w:hAnsi="Verdana" w:cs="Arial"/>
          <w:color w:val="000000" w:themeColor="text1"/>
        </w:rPr>
      </w:pPr>
      <w:r w:rsidRPr="003F0A80">
        <w:rPr>
          <w:rFonts w:ascii="Verdana" w:eastAsia="Times New Roman" w:hAnsi="Verdana" w:cs="Arial"/>
          <w:color w:val="000000" w:themeColor="text1"/>
          <w:lang w:val="es-MX"/>
        </w:rPr>
        <w:t xml:space="preserve">Esta postura resulta razonable tanto en el caso de la escisión como en el de la fusión, no solo por el carácter </w:t>
      </w:r>
      <w:r w:rsidRPr="003F0A80">
        <w:rPr>
          <w:rFonts w:ascii="Verdana" w:eastAsia="Times New Roman" w:hAnsi="Verdana" w:cs="Arial"/>
          <w:i/>
          <w:iCs/>
          <w:color w:val="000000" w:themeColor="text1"/>
          <w:lang w:val="es-MX"/>
        </w:rPr>
        <w:t xml:space="preserve">intuito </w:t>
      </w:r>
      <w:proofErr w:type="spellStart"/>
      <w:r w:rsidRPr="003F0A80">
        <w:rPr>
          <w:rFonts w:ascii="Verdana" w:eastAsia="Times New Roman" w:hAnsi="Verdana" w:cs="Arial"/>
          <w:i/>
          <w:iCs/>
          <w:color w:val="000000" w:themeColor="text1"/>
          <w:lang w:val="es-MX"/>
        </w:rPr>
        <w:t>personae</w:t>
      </w:r>
      <w:proofErr w:type="spellEnd"/>
      <w:r w:rsidRPr="003F0A80">
        <w:rPr>
          <w:rFonts w:ascii="Verdana" w:eastAsia="Times New Roman" w:hAnsi="Verdana" w:cs="Arial"/>
          <w:i/>
          <w:iCs/>
          <w:color w:val="000000" w:themeColor="text1"/>
          <w:lang w:val="es-MX"/>
        </w:rPr>
        <w:t xml:space="preserve"> </w:t>
      </w:r>
      <w:r w:rsidRPr="003F0A80">
        <w:rPr>
          <w:rFonts w:ascii="Verdana" w:eastAsia="Times New Roman" w:hAnsi="Verdana" w:cs="Arial"/>
          <w:color w:val="000000" w:themeColor="text1"/>
          <w:lang w:val="es-MX"/>
        </w:rPr>
        <w:t xml:space="preserve">de los contratos estatales, sino también porque </w:t>
      </w:r>
      <w:r w:rsidRPr="00AE5328">
        <w:rPr>
          <w:rFonts w:ascii="Verdana" w:eastAsia="Times New Roman" w:hAnsi="Verdana" w:cs="Arial"/>
          <w:color w:val="000000" w:themeColor="text1"/>
        </w:rPr>
        <w:t>este tipo de reformas estatutarias pueden incidir de manera sustancial en las condiciones que sirvieron de fundamento para determinar la aptitud del contratista al momento de la adjudicación del contrato.</w:t>
      </w:r>
      <w:r>
        <w:rPr>
          <w:rFonts w:ascii="Verdana" w:eastAsia="Times New Roman" w:hAnsi="Verdana" w:cs="Arial"/>
          <w:color w:val="000000" w:themeColor="text1"/>
        </w:rPr>
        <w:t xml:space="preserve"> En efecto, los p</w:t>
      </w:r>
      <w:r w:rsidRPr="00AC6222">
        <w:rPr>
          <w:rFonts w:ascii="Verdana" w:eastAsia="Times New Roman" w:hAnsi="Verdana" w:cs="Arial"/>
          <w:color w:val="000000" w:themeColor="text1"/>
        </w:rPr>
        <w:t xml:space="preserve">rocesos de fusión o escisión pueden afectar la composición patrimonial de la sociedad contratista y, en consecuencia, alterar los indicadores de capacidad financiera y organizacional que fueron valorados por la entidad estatal para establecer la </w:t>
      </w:r>
      <w:r>
        <w:rPr>
          <w:rFonts w:ascii="Verdana" w:eastAsia="Times New Roman" w:hAnsi="Verdana" w:cs="Arial"/>
          <w:color w:val="000000" w:themeColor="text1"/>
        </w:rPr>
        <w:t xml:space="preserve">idoneidad financiera y </w:t>
      </w:r>
      <w:r w:rsidRPr="00AC6222">
        <w:rPr>
          <w:rFonts w:ascii="Verdana" w:eastAsia="Times New Roman" w:hAnsi="Verdana" w:cs="Arial"/>
          <w:color w:val="000000" w:themeColor="text1"/>
        </w:rPr>
        <w:t xml:space="preserve">operativa del contratista para asumir y ejecutar las obligaciones contractuales. Bajo ese entendido, resulta necesario verificar si, luego de la reforma societaria, </w:t>
      </w:r>
      <w:r>
        <w:rPr>
          <w:rFonts w:ascii="Verdana" w:eastAsia="Times New Roman" w:hAnsi="Verdana" w:cs="Arial"/>
          <w:color w:val="000000" w:themeColor="text1"/>
        </w:rPr>
        <w:t xml:space="preserve">hay alguna modificación sustancial respecto de las condiciones </w:t>
      </w:r>
      <w:r w:rsidRPr="00AC6222">
        <w:rPr>
          <w:rFonts w:ascii="Verdana" w:eastAsia="Times New Roman" w:hAnsi="Verdana" w:cs="Arial"/>
          <w:color w:val="000000" w:themeColor="text1"/>
        </w:rPr>
        <w:t>que garantizaron la selección objetiva del contratista y la adecuada ejecución del contrato estatal.</w:t>
      </w:r>
    </w:p>
    <w:p w14:paraId="3C04547B" w14:textId="77777777" w:rsidR="009D767D" w:rsidRDefault="009D767D" w:rsidP="009D767D">
      <w:pPr>
        <w:spacing w:after="120" w:line="276" w:lineRule="auto"/>
        <w:ind w:right="51" w:firstLine="708"/>
        <w:jc w:val="both"/>
        <w:rPr>
          <w:rFonts w:ascii="Verdana" w:eastAsia="Times New Roman" w:hAnsi="Verdana" w:cs="Arial"/>
          <w:color w:val="000000" w:themeColor="text1"/>
          <w:lang w:val="es-MX"/>
        </w:rPr>
      </w:pPr>
      <w:r w:rsidRPr="00AC6222">
        <w:rPr>
          <w:rFonts w:ascii="Verdana" w:eastAsia="Times New Roman" w:hAnsi="Verdana" w:cs="Arial"/>
          <w:color w:val="000000" w:themeColor="text1"/>
        </w:rPr>
        <w:t>De igual forma, dichas reformas pueden tener incidencia sobre la capacidad jurídica de la sociedad resultante o reformada, particularmente en lo relacionado con su objeto social, toda vez que este debe comprender actividades compatibles con la ejecución del contrato celebrado. En esa medida, la entidad estatal debe corroborar que la nueva configuración societaria mantenga la habilitación jurídica necesaria para desarrollar las obligaciones contractuales asumidas.</w:t>
      </w:r>
      <w:r w:rsidRPr="00536737">
        <w:t xml:space="preserve"> </w:t>
      </w:r>
      <w:r w:rsidRPr="00536737">
        <w:rPr>
          <w:rFonts w:ascii="Verdana" w:eastAsia="Times New Roman" w:hAnsi="Verdana" w:cs="Arial"/>
          <w:color w:val="000000" w:themeColor="text1"/>
        </w:rPr>
        <w:t xml:space="preserve">Asimismo, resulta indispensable verificar que, como consecuencia de la reforma estatutaria, la sociedad no </w:t>
      </w:r>
      <w:r>
        <w:rPr>
          <w:rFonts w:ascii="Verdana" w:eastAsia="Times New Roman" w:hAnsi="Verdana" w:cs="Arial"/>
          <w:color w:val="000000" w:themeColor="text1"/>
        </w:rPr>
        <w:t>se encuentre</w:t>
      </w:r>
      <w:r w:rsidRPr="00536737">
        <w:rPr>
          <w:rFonts w:ascii="Verdana" w:eastAsia="Times New Roman" w:hAnsi="Verdana" w:cs="Arial"/>
          <w:color w:val="000000" w:themeColor="text1"/>
        </w:rPr>
        <w:t xml:space="preserve"> incursa en alguna causal de inhabilidad o incompatibilidad que impida continuar con la ejecución del contrato estatal</w:t>
      </w:r>
      <w:r>
        <w:rPr>
          <w:rFonts w:ascii="Verdana" w:eastAsia="Times New Roman" w:hAnsi="Verdana" w:cs="Arial"/>
          <w:color w:val="000000" w:themeColor="text1"/>
        </w:rPr>
        <w:t xml:space="preserve">, </w:t>
      </w:r>
      <w:r w:rsidRPr="00536737">
        <w:rPr>
          <w:rFonts w:ascii="Verdana" w:eastAsia="Times New Roman" w:hAnsi="Verdana" w:cs="Arial"/>
          <w:color w:val="000000" w:themeColor="text1"/>
        </w:rPr>
        <w:t xml:space="preserve">en atención a que las modificaciones en la composición societaria, el control empresarial o la estructura de participación pueden generar situaciones </w:t>
      </w:r>
      <w:r w:rsidRPr="00536737">
        <w:rPr>
          <w:rFonts w:ascii="Verdana" w:eastAsia="Times New Roman" w:hAnsi="Verdana" w:cs="Arial"/>
          <w:color w:val="000000" w:themeColor="text1"/>
        </w:rPr>
        <w:lastRenderedPageBreak/>
        <w:t>relevantes desde la perspectiva del régimen de inhabilidades previsto en el ordenamiento jurídico.</w:t>
      </w:r>
    </w:p>
    <w:p w14:paraId="0D29C63B" w14:textId="77777777" w:rsidR="009D767D" w:rsidRPr="003F0A80" w:rsidRDefault="009D767D" w:rsidP="009D767D">
      <w:pPr>
        <w:spacing w:after="120" w:line="276" w:lineRule="auto"/>
        <w:ind w:right="51" w:firstLine="708"/>
        <w:jc w:val="both"/>
        <w:rPr>
          <w:rFonts w:ascii="Verdana" w:eastAsia="Times New Roman" w:hAnsi="Verdana" w:cs="Arial"/>
          <w:color w:val="000000" w:themeColor="text1"/>
          <w:lang w:val="es-MX"/>
        </w:rPr>
      </w:pPr>
      <w:r w:rsidRPr="003F0A80">
        <w:rPr>
          <w:rFonts w:ascii="Verdana" w:eastAsia="Times New Roman" w:hAnsi="Verdana" w:cs="Arial"/>
          <w:color w:val="000000" w:themeColor="text1"/>
          <w:lang w:val="es-MX"/>
        </w:rPr>
        <w:t xml:space="preserve">Debido a esto, tal como lo sugiere el numeral VII de la </w:t>
      </w:r>
      <w:r w:rsidRPr="003F0A80">
        <w:rPr>
          <w:rFonts w:ascii="Verdana" w:eastAsia="Times New Roman" w:hAnsi="Verdana" w:cs="Arial"/>
          <w:i/>
          <w:iCs/>
          <w:color w:val="000000" w:themeColor="text1"/>
          <w:lang w:val="es-MX"/>
        </w:rPr>
        <w:t xml:space="preserve">“Guía de Asuntos Corporativos en los Procesos de Contratación”, </w:t>
      </w:r>
      <w:r w:rsidRPr="003F0A80">
        <w:rPr>
          <w:rFonts w:ascii="Verdana" w:eastAsia="Times New Roman" w:hAnsi="Verdana" w:cs="Arial"/>
          <w:color w:val="000000" w:themeColor="text1"/>
          <w:lang w:val="es-MX"/>
        </w:rPr>
        <w:t xml:space="preserve">puede considerarse la inclusión de “[…] </w:t>
      </w:r>
      <w:r w:rsidRPr="003F0A80">
        <w:rPr>
          <w:rFonts w:ascii="Verdana" w:eastAsia="Times New Roman" w:hAnsi="Verdana" w:cs="Times New Roman"/>
          <w:color w:val="000000" w:themeColor="text1"/>
          <w:lang w:val="es-MX"/>
        </w:rPr>
        <w:t>cláusulas contractuales que obliguen a comunicar si durante la ejecución del contrato se presenta la fusión o escisión del contratista persona jurídica, obligación que será exigible sin perjuicio de los procedimientos legales de publicidad aplicables a tales procesos”.</w:t>
      </w:r>
    </w:p>
    <w:p w14:paraId="16A68D38" w14:textId="77777777" w:rsidR="009D767D" w:rsidRPr="003F0A80" w:rsidRDefault="009D767D" w:rsidP="009D767D">
      <w:pPr>
        <w:spacing w:after="120" w:line="276" w:lineRule="auto"/>
        <w:ind w:right="51" w:firstLine="709"/>
        <w:jc w:val="both"/>
        <w:rPr>
          <w:rFonts w:ascii="Verdana" w:eastAsia="Times New Roman" w:hAnsi="Verdana" w:cs="Arial"/>
          <w:color w:val="000000" w:themeColor="text1"/>
          <w:shd w:val="clear" w:color="auto" w:fill="FFFFFF"/>
          <w:lang w:val="es-MX"/>
        </w:rPr>
      </w:pPr>
      <w:r>
        <w:rPr>
          <w:rFonts w:ascii="Verdana" w:eastAsia="Times New Roman" w:hAnsi="Verdana" w:cs="Arial"/>
          <w:color w:val="000000" w:themeColor="text1"/>
          <w:shd w:val="clear" w:color="auto" w:fill="FFFFFF"/>
          <w:lang w:val="es-MX"/>
        </w:rPr>
        <w:t>Adicionalmente</w:t>
      </w:r>
      <w:r w:rsidRPr="003F0A80">
        <w:rPr>
          <w:rFonts w:ascii="Verdana" w:eastAsia="Times New Roman" w:hAnsi="Verdana" w:cs="Arial"/>
          <w:color w:val="000000" w:themeColor="text1"/>
          <w:shd w:val="clear" w:color="auto" w:fill="FFFFFF"/>
          <w:lang w:val="es-MX"/>
        </w:rPr>
        <w:t xml:space="preserve">, es pertinente señalar que cuando la persona jurídica del contratista estatal es objeto de disolución, la entidad contratante puede aplicar de la causal de terminación unilateral prevista en el artículo 17, numeral 2 de la Ley 80 de 1993.  Esto implica que, en las hipótesis de fusión y escisión total, las sociedades absorbentes o beneficiarias solo podrían entrar a remplazar la posición contractual de la sociedad disuelta si la entidad estatal contratante se abstiene de ejercer la potestad unilateral de terminación en los términos explicados </w:t>
      </w:r>
      <w:r w:rsidRPr="003F0A80">
        <w:rPr>
          <w:rFonts w:ascii="Verdana" w:eastAsia="Times New Roman" w:hAnsi="Verdana" w:cs="Arial"/>
          <w:i/>
          <w:iCs/>
          <w:color w:val="000000" w:themeColor="text1"/>
          <w:shd w:val="clear" w:color="auto" w:fill="FFFFFF"/>
          <w:lang w:val="es-MX"/>
        </w:rPr>
        <w:t>supra</w:t>
      </w:r>
      <w:r w:rsidRPr="003F0A80">
        <w:rPr>
          <w:rFonts w:ascii="Verdana" w:eastAsia="Times New Roman" w:hAnsi="Verdana" w:cs="Arial"/>
          <w:color w:val="000000" w:themeColor="text1"/>
          <w:shd w:val="clear" w:color="auto" w:fill="FFFFFF"/>
          <w:lang w:val="es-MX"/>
        </w:rPr>
        <w:t xml:space="preserve">. En todo caso, la transferencia patrimonial </w:t>
      </w:r>
      <w:r w:rsidRPr="003F0A80">
        <w:rPr>
          <w:rFonts w:ascii="Verdana" w:eastAsia="Times New Roman" w:hAnsi="Verdana" w:cs="Arial"/>
          <w:i/>
          <w:iCs/>
          <w:color w:val="000000" w:themeColor="text1"/>
          <w:shd w:val="clear" w:color="auto" w:fill="FFFFFF"/>
          <w:lang w:val="es-MX"/>
        </w:rPr>
        <w:t xml:space="preserve">ipso iure </w:t>
      </w:r>
      <w:r w:rsidRPr="003F0A80">
        <w:rPr>
          <w:rFonts w:ascii="Verdana" w:eastAsia="Times New Roman" w:hAnsi="Verdana" w:cs="Arial"/>
          <w:color w:val="000000" w:themeColor="text1"/>
          <w:shd w:val="clear" w:color="auto" w:fill="FFFFFF"/>
          <w:lang w:val="es-MX"/>
        </w:rPr>
        <w:t xml:space="preserve">a la que dan pie estas figuras, si compromete a las sociedades subsistentes, quienes vendrían ser titulares de los derechos y obligaciones que derivan del contrato estatal, así como responsables por los eventuales incumplimientos, independientemente de si se termina el contrato de manera anticipada o si continúan ejecutándolo con la anuencia de la entidad estatal contratante. </w:t>
      </w:r>
    </w:p>
    <w:p w14:paraId="0E845146" w14:textId="77777777" w:rsidR="009D767D" w:rsidRDefault="009D767D" w:rsidP="009D767D">
      <w:pPr>
        <w:spacing w:after="120" w:line="276" w:lineRule="auto"/>
        <w:ind w:right="51"/>
        <w:jc w:val="both"/>
        <w:rPr>
          <w:rFonts w:ascii="Verdana" w:eastAsia="Times New Roman" w:hAnsi="Verdana" w:cs="Arial"/>
          <w:color w:val="333333"/>
          <w:shd w:val="clear" w:color="auto" w:fill="FFFFFF"/>
          <w:lang w:val="es-MX"/>
        </w:rPr>
      </w:pPr>
      <w:r w:rsidRPr="00F15272">
        <w:rPr>
          <w:rFonts w:ascii="Verdana" w:eastAsia="Times New Roman" w:hAnsi="Verdana" w:cs="Arial"/>
          <w:color w:val="333333"/>
          <w:shd w:val="clear" w:color="auto" w:fill="FFFFFF"/>
          <w:lang w:val="es-MX"/>
        </w:rPr>
        <w:tab/>
      </w:r>
      <w:r w:rsidRPr="003F0A80">
        <w:rPr>
          <w:rFonts w:ascii="Verdana" w:eastAsia="Times New Roman" w:hAnsi="Verdana" w:cs="Arial"/>
          <w:color w:val="000000" w:themeColor="text1"/>
          <w:shd w:val="clear" w:color="auto" w:fill="FFFFFF"/>
          <w:lang w:val="es-MX"/>
        </w:rPr>
        <w:t xml:space="preserve">Hechas las anteriores consideraciones, no es posible concluir sin aclarar que los efectos específicos de las diferentes reformas estatutarias respecto de los contratos suscritos por las sociedades reformadas deben ser estudiados y precisados por cada entidad estatal de acuerdo con el alcance de las disposiciones sociales del acuerdo societario y las condiciones del contrato estatal. Dicho análisis necesariamente debe considerar si las reformas conllevan el incumplimiento del contrato o si derivan en la paralización o la afectación grave de los servicios públicos, que amerite ejercer la potestad de terminación unilateral. </w:t>
      </w:r>
    </w:p>
    <w:p w14:paraId="052E9930" w14:textId="77777777" w:rsidR="009D767D" w:rsidRPr="003F0A80" w:rsidRDefault="009D767D" w:rsidP="009D767D">
      <w:pPr>
        <w:spacing w:after="120" w:line="276" w:lineRule="auto"/>
        <w:ind w:right="51" w:firstLine="709"/>
        <w:jc w:val="both"/>
        <w:rPr>
          <w:rFonts w:ascii="Verdana" w:eastAsia="Times New Roman" w:hAnsi="Verdana" w:cs="Arial"/>
          <w:color w:val="000000" w:themeColor="text1"/>
          <w:shd w:val="clear" w:color="auto" w:fill="FFFFFF"/>
          <w:lang w:val="es-MX"/>
        </w:rPr>
      </w:pPr>
      <w:r w:rsidRPr="003F0A80">
        <w:rPr>
          <w:rFonts w:ascii="Verdana" w:eastAsia="Times New Roman" w:hAnsi="Verdana" w:cs="Arial"/>
          <w:color w:val="000000" w:themeColor="text1"/>
          <w:shd w:val="clear" w:color="auto" w:fill="FFFFFF"/>
          <w:lang w:val="es-MX"/>
        </w:rPr>
        <w:t>En ese contexto, corresponde a la entidad contratante evaluar si, como consecuencia de la modificación societaria y de las condiciones propias de la nueva sociedad, se mantienen las condiciones de idoneidad</w:t>
      </w:r>
      <w:r>
        <w:rPr>
          <w:rFonts w:ascii="Verdana" w:eastAsia="Times New Roman" w:hAnsi="Verdana" w:cs="Arial"/>
          <w:color w:val="000000" w:themeColor="text1"/>
          <w:shd w:val="clear" w:color="auto" w:fill="FFFFFF"/>
          <w:lang w:val="es-MX"/>
        </w:rPr>
        <w:t xml:space="preserve"> </w:t>
      </w:r>
      <w:r w:rsidRPr="003F0A80">
        <w:rPr>
          <w:rFonts w:ascii="Verdana" w:eastAsia="Times New Roman" w:hAnsi="Verdana" w:cs="Arial"/>
          <w:color w:val="000000" w:themeColor="text1"/>
          <w:shd w:val="clear" w:color="auto" w:fill="FFFFFF"/>
          <w:lang w:val="es-MX"/>
        </w:rPr>
        <w:t xml:space="preserve">que sirvieron de fundamento para la selección del contratista. Lo anterior resulta especialmente relevante en atención a que tales condiciones constituyen elementos </w:t>
      </w:r>
      <w:r w:rsidRPr="003F0A80">
        <w:rPr>
          <w:rFonts w:ascii="Verdana" w:eastAsia="Times New Roman" w:hAnsi="Verdana" w:cs="Arial"/>
          <w:color w:val="000000" w:themeColor="text1"/>
          <w:shd w:val="clear" w:color="auto" w:fill="FFFFFF"/>
          <w:lang w:val="es-MX"/>
        </w:rPr>
        <w:lastRenderedPageBreak/>
        <w:t>determinantes para garantizar el cumplimiento del contrato y preservar el principio de selección objetiva que rige la contratación estatal.</w:t>
      </w:r>
      <w:r w:rsidRPr="003F0A80">
        <w:rPr>
          <w:color w:val="000000" w:themeColor="text1"/>
        </w:rPr>
        <w:t xml:space="preserve"> </w:t>
      </w:r>
    </w:p>
    <w:p w14:paraId="67B78719" w14:textId="77777777" w:rsidR="009D767D" w:rsidRDefault="009D767D" w:rsidP="009D767D">
      <w:pPr>
        <w:spacing w:after="120" w:line="276" w:lineRule="auto"/>
        <w:ind w:right="51" w:firstLine="709"/>
        <w:jc w:val="both"/>
        <w:rPr>
          <w:rFonts w:ascii="Verdana" w:eastAsia="Times New Roman" w:hAnsi="Verdana" w:cs="Arial"/>
          <w:color w:val="000000" w:themeColor="text1"/>
          <w:shd w:val="clear" w:color="auto" w:fill="FFFFFF"/>
          <w:lang w:val="es-MX"/>
        </w:rPr>
      </w:pPr>
      <w:r w:rsidRPr="003F0A80">
        <w:rPr>
          <w:rFonts w:ascii="Verdana" w:eastAsia="Times New Roman" w:hAnsi="Verdana" w:cs="Arial"/>
          <w:color w:val="000000" w:themeColor="text1"/>
          <w:shd w:val="clear" w:color="auto" w:fill="FFFFFF"/>
          <w:lang w:val="es-MX"/>
        </w:rPr>
        <w:t>Al respe</w:t>
      </w:r>
      <w:r>
        <w:rPr>
          <w:rFonts w:ascii="Verdana" w:eastAsia="Times New Roman" w:hAnsi="Verdana" w:cs="Arial"/>
          <w:color w:val="000000" w:themeColor="text1"/>
          <w:shd w:val="clear" w:color="auto" w:fill="FFFFFF"/>
          <w:lang w:val="es-MX"/>
        </w:rPr>
        <w:t>c</w:t>
      </w:r>
      <w:r w:rsidRPr="003F0A80">
        <w:rPr>
          <w:rFonts w:ascii="Verdana" w:eastAsia="Times New Roman" w:hAnsi="Verdana" w:cs="Arial"/>
          <w:color w:val="000000" w:themeColor="text1"/>
          <w:shd w:val="clear" w:color="auto" w:fill="FFFFFF"/>
          <w:lang w:val="es-MX"/>
        </w:rPr>
        <w:t xml:space="preserve">to, debe precisarse que el ordenamiento jurídico no prevé expresamente un término específico para la actualización o inscripción del RUP en casos de fusión por creación, sin embargo, la entidad estatal, deberá valorar razonablemente las circunstancias particulares de la </w:t>
      </w:r>
      <w:r>
        <w:rPr>
          <w:rFonts w:ascii="Verdana" w:eastAsia="Times New Roman" w:hAnsi="Verdana" w:cs="Arial"/>
          <w:color w:val="000000" w:themeColor="text1"/>
          <w:shd w:val="clear" w:color="auto" w:fill="FFFFFF"/>
          <w:lang w:val="es-MX"/>
        </w:rPr>
        <w:t xml:space="preserve">reforma </w:t>
      </w:r>
      <w:r w:rsidRPr="003F0A80">
        <w:rPr>
          <w:rFonts w:ascii="Verdana" w:eastAsia="Times New Roman" w:hAnsi="Verdana" w:cs="Arial"/>
          <w:color w:val="000000" w:themeColor="text1"/>
          <w:shd w:val="clear" w:color="auto" w:fill="FFFFFF"/>
          <w:lang w:val="es-MX"/>
        </w:rPr>
        <w:t xml:space="preserve">societaria, el tiempo requerido para surtir los trámites </w:t>
      </w:r>
      <w:r>
        <w:rPr>
          <w:rFonts w:ascii="Verdana" w:eastAsia="Times New Roman" w:hAnsi="Verdana" w:cs="Arial"/>
          <w:color w:val="000000" w:themeColor="text1"/>
          <w:shd w:val="clear" w:color="auto" w:fill="FFFFFF"/>
          <w:lang w:val="es-MX"/>
        </w:rPr>
        <w:t>de registro</w:t>
      </w:r>
      <w:r w:rsidRPr="003F0A80">
        <w:rPr>
          <w:rFonts w:ascii="Verdana" w:eastAsia="Times New Roman" w:hAnsi="Verdana" w:cs="Arial"/>
          <w:color w:val="000000" w:themeColor="text1"/>
          <w:shd w:val="clear" w:color="auto" w:fill="FFFFFF"/>
          <w:lang w:val="es-MX"/>
        </w:rPr>
        <w:t xml:space="preserve"> correspondientes y las actuaciones desplegadas por la nueva sociedad </w:t>
      </w:r>
      <w:r>
        <w:rPr>
          <w:rFonts w:ascii="Verdana" w:eastAsia="Times New Roman" w:hAnsi="Verdana" w:cs="Arial"/>
          <w:color w:val="000000" w:themeColor="text1"/>
          <w:shd w:val="clear" w:color="auto" w:fill="FFFFFF"/>
          <w:lang w:val="es-MX"/>
        </w:rPr>
        <w:t xml:space="preserve">para efectos de la ejecución del contrato. </w:t>
      </w:r>
      <w:r w:rsidRPr="000517F3">
        <w:rPr>
          <w:rFonts w:ascii="Verdana" w:eastAsia="Times New Roman" w:hAnsi="Verdana" w:cs="Arial"/>
          <w:color w:val="000000" w:themeColor="text1"/>
          <w:shd w:val="clear" w:color="auto" w:fill="FFFFFF"/>
          <w:lang w:val="es-MX"/>
        </w:rPr>
        <w:t>En todo caso, resulta recomendable que la nueva sociedad adelante de manera inmediata las gestiones necesarias para efectuar la inscripción, actualización o integración del RUP</w:t>
      </w:r>
      <w:r>
        <w:rPr>
          <w:rFonts w:ascii="Verdana" w:eastAsia="Times New Roman" w:hAnsi="Verdana" w:cs="Arial"/>
          <w:color w:val="000000" w:themeColor="text1"/>
          <w:shd w:val="clear" w:color="auto" w:fill="FFFFFF"/>
          <w:lang w:val="es-MX"/>
        </w:rPr>
        <w:t>, según corresponda,</w:t>
      </w:r>
      <w:r w:rsidRPr="000517F3">
        <w:rPr>
          <w:rFonts w:ascii="Verdana" w:eastAsia="Times New Roman" w:hAnsi="Verdana" w:cs="Arial"/>
          <w:color w:val="000000" w:themeColor="text1"/>
          <w:shd w:val="clear" w:color="auto" w:fill="FFFFFF"/>
          <w:lang w:val="es-MX"/>
        </w:rPr>
        <w:t xml:space="preserve"> tan pronto quede </w:t>
      </w:r>
      <w:r>
        <w:rPr>
          <w:rFonts w:ascii="Verdana" w:eastAsia="Times New Roman" w:hAnsi="Verdana" w:cs="Arial"/>
          <w:color w:val="000000" w:themeColor="text1"/>
          <w:shd w:val="clear" w:color="auto" w:fill="FFFFFF"/>
          <w:lang w:val="es-MX"/>
        </w:rPr>
        <w:t xml:space="preserve">materializada </w:t>
      </w:r>
      <w:r w:rsidRPr="000517F3">
        <w:rPr>
          <w:rFonts w:ascii="Verdana" w:eastAsia="Times New Roman" w:hAnsi="Verdana" w:cs="Arial"/>
          <w:color w:val="000000" w:themeColor="text1"/>
          <w:shd w:val="clear" w:color="auto" w:fill="FFFFFF"/>
          <w:lang w:val="es-MX"/>
        </w:rPr>
        <w:t>la respectiva reforma estatutaria</w:t>
      </w:r>
      <w:r>
        <w:rPr>
          <w:rFonts w:ascii="Verdana" w:eastAsia="Times New Roman" w:hAnsi="Verdana" w:cs="Arial"/>
          <w:color w:val="000000" w:themeColor="text1"/>
          <w:shd w:val="clear" w:color="auto" w:fill="FFFFFF"/>
          <w:lang w:val="es-MX"/>
        </w:rPr>
        <w:t xml:space="preserve"> o de acuerdo con el procedimiento señalado por la entidad</w:t>
      </w:r>
      <w:r w:rsidRPr="000517F3">
        <w:rPr>
          <w:rFonts w:ascii="Verdana" w:eastAsia="Times New Roman" w:hAnsi="Verdana" w:cs="Arial"/>
          <w:color w:val="000000" w:themeColor="text1"/>
          <w:shd w:val="clear" w:color="auto" w:fill="FFFFFF"/>
          <w:lang w:val="es-MX"/>
        </w:rPr>
        <w:t>.</w:t>
      </w:r>
    </w:p>
    <w:p w14:paraId="06C6C0EC" w14:textId="77777777" w:rsidR="009D767D" w:rsidRPr="000242A2" w:rsidRDefault="009D767D" w:rsidP="009D767D">
      <w:pPr>
        <w:spacing w:after="120" w:line="276" w:lineRule="auto"/>
        <w:ind w:firstLine="708"/>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Sin perjuicio de o anterior, </w:t>
      </w:r>
      <w:r>
        <w:rPr>
          <w:rFonts w:ascii="Verdana" w:hAnsi="Verdana" w:cs="Arial"/>
          <w:lang w:val="es-ES_tradnl" w:eastAsia="es-ES"/>
        </w:rPr>
        <w:t>debe advertirse que el análisis requerido para resolver problemas específicos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1E3D45C" w14:textId="77777777" w:rsidR="009D767D" w:rsidRPr="000242A2" w:rsidRDefault="009D767D" w:rsidP="009D767D">
      <w:pPr>
        <w:spacing w:after="120" w:line="276" w:lineRule="auto"/>
        <w:ind w:firstLine="709"/>
        <w:jc w:val="both"/>
        <w:rPr>
          <w:rFonts w:ascii="Verdana" w:hAnsi="Verdana" w:cs="Arial"/>
          <w:lang w:val="es-ES" w:eastAsia="es-ES"/>
        </w:rPr>
      </w:pPr>
      <w:r>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C5690DB" w14:textId="77777777" w:rsidR="009D767D" w:rsidRPr="003F0A80" w:rsidRDefault="009D767D" w:rsidP="009D767D">
      <w:pPr>
        <w:spacing w:after="120" w:line="276" w:lineRule="auto"/>
        <w:ind w:right="51" w:firstLine="709"/>
        <w:jc w:val="both"/>
        <w:rPr>
          <w:rFonts w:ascii="Verdana" w:eastAsia="Times New Roman" w:hAnsi="Verdana" w:cs="Arial"/>
          <w:color w:val="000000" w:themeColor="text1"/>
          <w:shd w:val="clear" w:color="auto" w:fill="FFFFFF"/>
          <w:lang w:val="es-MX"/>
        </w:rPr>
      </w:pPr>
    </w:p>
    <w:p w14:paraId="50000DAE" w14:textId="77777777" w:rsidR="009D767D" w:rsidRPr="00BD3C98" w:rsidRDefault="009D767D" w:rsidP="009D767D">
      <w:pPr>
        <w:numPr>
          <w:ilvl w:val="0"/>
          <w:numId w:val="20"/>
        </w:numPr>
        <w:tabs>
          <w:tab w:val="left" w:pos="142"/>
          <w:tab w:val="left" w:pos="284"/>
        </w:tabs>
        <w:spacing w:after="0" w:line="276" w:lineRule="auto"/>
        <w:jc w:val="both"/>
        <w:rPr>
          <w:rFonts w:ascii="Verdana" w:eastAsia="Century Gothic" w:hAnsi="Verdana" w:cs="Century Gothic"/>
          <w:b/>
          <w:bCs/>
          <w:lang w:val="es-ES"/>
        </w:rPr>
      </w:pPr>
      <w:r w:rsidRPr="00BD3C98">
        <w:rPr>
          <w:rFonts w:ascii="Verdana" w:eastAsia="Century Gothic" w:hAnsi="Verdana" w:cs="Century Gothic"/>
          <w:b/>
          <w:bCs/>
          <w:lang w:val="es-ES"/>
        </w:rPr>
        <w:t>Referencias normativas</w:t>
      </w:r>
      <w:r>
        <w:rPr>
          <w:rFonts w:ascii="Verdana" w:eastAsia="Century Gothic" w:hAnsi="Verdana" w:cs="Century Gothic"/>
          <w:b/>
          <w:bCs/>
          <w:lang w:val="es-ES"/>
        </w:rPr>
        <w:t>:</w:t>
      </w:r>
    </w:p>
    <w:p w14:paraId="2D19AA3F" w14:textId="77777777" w:rsidR="009D767D" w:rsidRPr="00BD3C98" w:rsidRDefault="009D767D" w:rsidP="009D767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D767D" w:rsidRPr="00BD3C98" w14:paraId="72D02D35" w14:textId="77777777" w:rsidTr="00873641">
        <w:trPr>
          <w:trHeight w:val="870"/>
        </w:trPr>
        <w:tc>
          <w:tcPr>
            <w:tcW w:w="8647" w:type="dxa"/>
          </w:tcPr>
          <w:p w14:paraId="4CA50B27" w14:textId="77777777" w:rsidR="009D767D" w:rsidRPr="00DB628D" w:rsidRDefault="009D767D" w:rsidP="00873641">
            <w:pPr>
              <w:pStyle w:val="Prrafodelista"/>
              <w:widowControl w:val="0"/>
              <w:numPr>
                <w:ilvl w:val="0"/>
                <w:numId w:val="24"/>
              </w:numPr>
              <w:autoSpaceDE w:val="0"/>
              <w:autoSpaceDN w:val="0"/>
              <w:spacing w:after="120" w:line="276" w:lineRule="auto"/>
              <w:ind w:left="457" w:hanging="283"/>
              <w:jc w:val="both"/>
              <w:rPr>
                <w:rFonts w:ascii="Verdana" w:hAnsi="Verdana" w:cs="Arial"/>
              </w:rPr>
            </w:pPr>
            <w:r>
              <w:rPr>
                <w:rFonts w:ascii="Verdana" w:hAnsi="Verdana" w:cs="Arial"/>
              </w:rPr>
              <w:lastRenderedPageBreak/>
              <w:t xml:space="preserve">Ley 80 de 1993, artículo 41. </w:t>
            </w:r>
          </w:p>
          <w:p w14:paraId="72A9AFF5" w14:textId="77777777" w:rsidR="009D767D" w:rsidRPr="00DB628D" w:rsidRDefault="009D767D" w:rsidP="00873641">
            <w:pPr>
              <w:pStyle w:val="Prrafodelista"/>
              <w:widowControl w:val="0"/>
              <w:numPr>
                <w:ilvl w:val="0"/>
                <w:numId w:val="24"/>
              </w:numPr>
              <w:autoSpaceDE w:val="0"/>
              <w:autoSpaceDN w:val="0"/>
              <w:spacing w:after="120" w:line="276" w:lineRule="auto"/>
              <w:ind w:left="457" w:hanging="283"/>
              <w:jc w:val="both"/>
              <w:rPr>
                <w:rFonts w:ascii="Verdana" w:hAnsi="Verdana" w:cs="Arial"/>
              </w:rPr>
            </w:pPr>
            <w:r>
              <w:rPr>
                <w:rFonts w:ascii="Verdana" w:hAnsi="Verdana" w:cs="Arial"/>
              </w:rPr>
              <w:t>Código de Comercio, artículos 158, 167, 172 y 178</w:t>
            </w:r>
          </w:p>
        </w:tc>
      </w:tr>
    </w:tbl>
    <w:p w14:paraId="376336FA" w14:textId="77777777" w:rsidR="009D767D" w:rsidRPr="00BD3C98" w:rsidRDefault="009D767D" w:rsidP="009D767D">
      <w:pPr>
        <w:widowControl w:val="0"/>
        <w:autoSpaceDE w:val="0"/>
        <w:autoSpaceDN w:val="0"/>
        <w:spacing w:after="0" w:line="276" w:lineRule="auto"/>
        <w:jc w:val="both"/>
        <w:rPr>
          <w:rFonts w:ascii="Verdana" w:hAnsi="Verdana" w:cs="Arial"/>
        </w:rPr>
      </w:pPr>
    </w:p>
    <w:p w14:paraId="7440DDDF" w14:textId="77777777" w:rsidR="009D767D" w:rsidRPr="00BD3C98" w:rsidRDefault="009D767D" w:rsidP="009D767D">
      <w:pPr>
        <w:numPr>
          <w:ilvl w:val="0"/>
          <w:numId w:val="20"/>
        </w:numPr>
        <w:tabs>
          <w:tab w:val="left" w:pos="142"/>
          <w:tab w:val="left" w:pos="284"/>
        </w:tabs>
        <w:spacing w:after="0" w:line="276" w:lineRule="auto"/>
        <w:jc w:val="both"/>
        <w:rPr>
          <w:rFonts w:ascii="Verdana" w:eastAsia="Century Gothic" w:hAnsi="Verdana" w:cs="Century Gothic"/>
          <w:b/>
          <w:bCs/>
          <w:lang w:val="es-ES"/>
        </w:rPr>
      </w:pPr>
      <w:r w:rsidRPr="00BD3C98">
        <w:rPr>
          <w:rFonts w:ascii="Verdana" w:eastAsia="Century Gothic" w:hAnsi="Verdana" w:cs="Century Gothic"/>
          <w:b/>
          <w:bCs/>
          <w:lang w:val="es-ES"/>
        </w:rPr>
        <w:t>Doctrina de la Agencia Nacional de Contratación Pública:</w:t>
      </w:r>
    </w:p>
    <w:p w14:paraId="778CB808" w14:textId="77777777" w:rsidR="009D767D" w:rsidRPr="00BD3C98" w:rsidRDefault="009D767D" w:rsidP="009D767D">
      <w:pPr>
        <w:widowControl w:val="0"/>
        <w:autoSpaceDE w:val="0"/>
        <w:autoSpaceDN w:val="0"/>
        <w:spacing w:after="0" w:line="276" w:lineRule="auto"/>
        <w:jc w:val="both"/>
        <w:rPr>
          <w:rFonts w:ascii="Verdana" w:hAnsi="Verdana" w:cs="Arial"/>
        </w:rPr>
      </w:pPr>
    </w:p>
    <w:p w14:paraId="6C7D0D34" w14:textId="77777777" w:rsidR="009D767D" w:rsidRDefault="009D767D" w:rsidP="009D767D">
      <w:pPr>
        <w:widowControl w:val="0"/>
        <w:autoSpaceDE w:val="0"/>
        <w:autoSpaceDN w:val="0"/>
        <w:spacing w:after="0" w:line="276" w:lineRule="auto"/>
        <w:jc w:val="both"/>
        <w:rPr>
          <w:rFonts w:ascii="Verdana" w:eastAsia="Times New Roman" w:hAnsi="Verdana" w:cs="Arial"/>
          <w:bCs/>
          <w:color w:val="000000"/>
          <w:shd w:val="clear" w:color="auto" w:fill="FFFFFF"/>
          <w:lang w:val="es-MX" w:eastAsia="es-ES_tradnl"/>
        </w:rPr>
      </w:pPr>
      <w:r>
        <w:rPr>
          <w:rStyle w:val="normaltextrun"/>
          <w:rFonts w:ascii="Verdana" w:hAnsi="Verdana" w:cs="Arial"/>
          <w:shd w:val="clear" w:color="auto" w:fill="FFFFFF"/>
          <w:lang w:val="es-ES"/>
        </w:rPr>
        <w:t>Esta Subdirección se ha pronunciado sobre los efectos de las reformas estatutarias en los Conceptos</w:t>
      </w:r>
      <w:r>
        <w:rPr>
          <w:rStyle w:val="normaltextrun"/>
          <w:rFonts w:ascii="Verdana" w:hAnsi="Verdana" w:cs="Calibri"/>
          <w:shd w:val="clear" w:color="auto" w:fill="FFFFFF"/>
        </w:rPr>
        <w:t xml:space="preserve"> </w:t>
      </w:r>
      <w:r>
        <w:rPr>
          <w:rStyle w:val="normaltextrun"/>
          <w:rFonts w:ascii="Verdana" w:hAnsi="Verdana" w:cs="Arial"/>
          <w:shd w:val="clear" w:color="auto" w:fill="FFFFFF"/>
          <w:lang w:val="es-ES"/>
        </w:rPr>
        <w:t>C-491 del 27 de julio de 2020, C-350 del 1 de junio de 2020, C-584 del 31 de agosto de 2020, C-002 del 9 de febrero de 2021, C-115 del 29 de marzo de 2021, C-343 del 13 de julio de 2021 y C-342 del 13 de julio de 2021, C-121 del 12 de mayo de 2023, C-820 del 29 de noviembre de 2022 y C-005 del 15 de febrero de 2024</w:t>
      </w:r>
      <w:r w:rsidRPr="00BD3C98">
        <w:rPr>
          <w:rFonts w:ascii="Verdana" w:eastAsia="Calibri" w:hAnsi="Verdana" w:cs="Arial"/>
          <w:bCs/>
        </w:rPr>
        <w:t>.</w:t>
      </w:r>
      <w:r w:rsidRPr="00EE2E3E">
        <w:rPr>
          <w:rFonts w:ascii="Verdana" w:hAnsi="Verdana" w:cs="Arial"/>
          <w:shd w:val="clear" w:color="auto" w:fill="FFFFFF"/>
        </w:rPr>
        <w:t xml:space="preserve"> </w:t>
      </w:r>
      <w:r w:rsidRPr="007C6597">
        <w:rPr>
          <w:rFonts w:ascii="Verdana" w:hAnsi="Verdana" w:cs="Arial"/>
          <w:shd w:val="clear" w:color="auto" w:fill="FFFFFF"/>
        </w:rPr>
        <w:t>Es</w:t>
      </w:r>
      <w:r w:rsidRPr="007C6597">
        <w:rPr>
          <w:rFonts w:ascii="Verdana" w:hAnsi="Verdana"/>
        </w:rPr>
        <w:t>tos conceptos se encuentran disponibles para consulta en el Sistema de relatoría de la Agencia, al cual se puede acceder a través del siguiente enlace:</w:t>
      </w:r>
      <w:r w:rsidRPr="007C6597">
        <w:rPr>
          <w:rFonts w:ascii="Verdana" w:hAnsi="Verdana" w:cs="Arial"/>
          <w:shd w:val="clear" w:color="auto" w:fill="FFFFFF"/>
        </w:rPr>
        <w:t xml:space="preserve"> </w:t>
      </w:r>
      <w:hyperlink r:id="rId13" w:history="1">
        <w:r w:rsidRPr="007C6597">
          <w:rPr>
            <w:rFonts w:ascii="Verdana" w:hAnsi="Verdana" w:cs="Arial"/>
            <w:color w:val="0563C1" w:themeColor="hyperlink"/>
            <w:u w:val="single"/>
            <w:shd w:val="clear" w:color="auto" w:fill="FFFFFF"/>
          </w:rPr>
          <w:t>https://relatoria.colombiacompra.gov.co/busqueda/conceptos</w:t>
        </w:r>
      </w:hyperlink>
      <w:r w:rsidRPr="007C6597">
        <w:rPr>
          <w:rFonts w:ascii="Verdana" w:hAnsi="Verdana" w:cs="Arial"/>
          <w:shd w:val="clear" w:color="auto" w:fill="FFFFFF"/>
        </w:rPr>
        <w:t>.</w:t>
      </w:r>
      <w:r w:rsidRPr="007C6597">
        <w:rPr>
          <w:rFonts w:ascii="Verdana" w:hAnsi="Verdana" w:cs="Arial"/>
          <w:color w:val="FF0000"/>
          <w:shd w:val="clear" w:color="auto" w:fill="FFFFFF"/>
        </w:rPr>
        <w:t xml:space="preserve"> </w:t>
      </w:r>
      <w:r w:rsidRPr="007C6597">
        <w:rPr>
          <w:rFonts w:ascii="Verdana" w:hAnsi="Verdana" w:cs="Arial"/>
          <w:color w:val="000000" w:themeColor="text1"/>
          <w:shd w:val="clear" w:color="auto" w:fill="FFFFFF"/>
        </w:rPr>
        <w:t>  </w:t>
      </w:r>
    </w:p>
    <w:p w14:paraId="14707F4D" w14:textId="77777777" w:rsidR="009D767D" w:rsidRPr="0072175C" w:rsidRDefault="009D767D" w:rsidP="009D767D">
      <w:pPr>
        <w:widowControl w:val="0"/>
        <w:autoSpaceDE w:val="0"/>
        <w:autoSpaceDN w:val="0"/>
        <w:spacing w:after="0" w:line="276" w:lineRule="auto"/>
        <w:jc w:val="both"/>
        <w:rPr>
          <w:rFonts w:ascii="Verdana" w:eastAsia="Times New Roman" w:hAnsi="Verdana" w:cs="Arial"/>
          <w:bCs/>
          <w:color w:val="000000"/>
          <w:shd w:val="clear" w:color="auto" w:fill="FFFFFF"/>
          <w:lang w:val="es-MX" w:eastAsia="es-ES_tradnl"/>
        </w:rPr>
      </w:pPr>
    </w:p>
    <w:p w14:paraId="3AD066BE" w14:textId="77777777" w:rsidR="009D767D" w:rsidRPr="00AA633E" w:rsidRDefault="009D767D" w:rsidP="009D767D">
      <w:pPr>
        <w:spacing w:after="0" w:line="276" w:lineRule="auto"/>
        <w:jc w:val="both"/>
        <w:rPr>
          <w:rFonts w:ascii="Verdana" w:hAnsi="Verdana"/>
          <w:color w:val="0000FF"/>
          <w:u w:val="single"/>
        </w:rPr>
      </w:pPr>
      <w:r w:rsidRPr="00AA633E">
        <w:rPr>
          <w:rFonts w:ascii="Verdana" w:hAnsi="Verdana"/>
        </w:rPr>
        <w:t xml:space="preserve">La sostenibilidad no es una opción, es una obligación. Por ello, la Agencia Nacional de Contratación Pública –Colombia Compra Eficiente– te invita a realizar el </w:t>
      </w:r>
      <w:r w:rsidRPr="00AA633E">
        <w:rPr>
          <w:rFonts w:ascii="Verdana" w:hAnsi="Verdana"/>
          <w:b/>
          <w:bCs/>
        </w:rPr>
        <w:t>Curso de Contratación Pública Sostenible y Socialmente Responsable</w:t>
      </w:r>
      <w:r w:rsidRPr="00AA633E">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AA633E">
        <w:rPr>
          <w:rFonts w:ascii="Verdana" w:hAnsi="Verdana"/>
        </w:rPr>
        <w:br/>
      </w:r>
      <w:hyperlink r:id="rId14" w:tgtFrame="_new" w:history="1">
        <w:r w:rsidRPr="00AA633E">
          <w:rPr>
            <w:rFonts w:ascii="Verdana" w:hAnsi="Verdana"/>
            <w:color w:val="0000FF"/>
            <w:u w:val="single"/>
          </w:rPr>
          <w:t>https://formacionvirtual.colombiacompra.gov.co/mod/page/view.php?id=3718</w:t>
        </w:r>
      </w:hyperlink>
    </w:p>
    <w:p w14:paraId="68026295" w14:textId="77777777" w:rsidR="009D767D" w:rsidRPr="00AA633E" w:rsidRDefault="009D767D" w:rsidP="009D767D">
      <w:pPr>
        <w:spacing w:after="0" w:line="276" w:lineRule="auto"/>
        <w:jc w:val="both"/>
        <w:rPr>
          <w:rFonts w:ascii="Verdana" w:hAnsi="Verdana"/>
        </w:rPr>
      </w:pPr>
    </w:p>
    <w:p w14:paraId="3E8CECFC" w14:textId="77777777" w:rsidR="009D767D" w:rsidRPr="00AA633E" w:rsidRDefault="009D767D" w:rsidP="009D767D">
      <w:pPr>
        <w:spacing w:after="0" w:line="276" w:lineRule="auto"/>
        <w:jc w:val="both"/>
        <w:rPr>
          <w:rFonts w:ascii="Verdana" w:hAnsi="Verdana"/>
          <w:color w:val="0000FF"/>
          <w:u w:val="single"/>
        </w:rPr>
      </w:pPr>
      <w:r w:rsidRPr="00AA633E">
        <w:rPr>
          <w:rFonts w:ascii="Verdana" w:hAnsi="Verdana"/>
        </w:rPr>
        <w:t xml:space="preserve">De otro lado, te contamos que esta Agencia ha da un paso decisivo en la estandarización y modernización del </w:t>
      </w:r>
      <w:r w:rsidRPr="00AA633E">
        <w:rPr>
          <w:rFonts w:ascii="Verdana" w:hAnsi="Verdana"/>
          <w:b/>
          <w:bCs/>
        </w:rPr>
        <w:t>sector  social</w:t>
      </w:r>
      <w:r w:rsidRPr="00AA633E">
        <w:rPr>
          <w:rFonts w:ascii="Verdana" w:hAnsi="Verdana"/>
        </w:rPr>
        <w:t xml:space="preserve"> con la expedición de las </w:t>
      </w:r>
      <w:r w:rsidRPr="00AA633E">
        <w:rPr>
          <w:rFonts w:ascii="Verdana" w:hAnsi="Verdana"/>
          <w:b/>
          <w:bCs/>
        </w:rPr>
        <w:t>Resoluciones 539, 540, 541, 952 y 953 de 2025</w:t>
      </w:r>
      <w:r w:rsidRPr="00AA633E">
        <w:rPr>
          <w:rFonts w:ascii="Verdana" w:hAnsi="Verdana"/>
        </w:rPr>
        <w:t xml:space="preserve">, </w:t>
      </w:r>
      <w:r w:rsidRPr="00AA633E">
        <w:rPr>
          <w:rFonts w:ascii="Verdana" w:hAnsi="Verdana"/>
          <w:b/>
          <w:bCs/>
        </w:rPr>
        <w:t>mediante las cuales adoptó Documentos Tipo</w:t>
      </w:r>
      <w:r w:rsidRPr="00AA633E">
        <w:rPr>
          <w:rFonts w:ascii="Verdana" w:hAnsi="Verdana"/>
        </w:rPr>
        <w:t xml:space="preserve"> para las modalidades de selección de</w:t>
      </w:r>
      <w:r w:rsidRPr="00AA633E">
        <w:rPr>
          <w:rFonts w:ascii="Verdana" w:hAnsi="Verdana"/>
          <w:b/>
          <w:bCs/>
        </w:rPr>
        <w:t xml:space="preserve"> licitación pública (versión 2), selección abreviada de menor cuantía, mínima cuantía, consultoría e interventoría</w:t>
      </w:r>
      <w:r w:rsidRPr="00AA633E">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AA633E">
          <w:rPr>
            <w:rFonts w:ascii="Verdana" w:hAnsi="Verdana"/>
            <w:color w:val="0000FF"/>
            <w:u w:val="single"/>
          </w:rPr>
          <w:t>https://www.colombiacompra.gov.co/normativa-y-relatoria/documentos-tipo</w:t>
        </w:r>
      </w:hyperlink>
    </w:p>
    <w:p w14:paraId="3F6C46E1" w14:textId="77777777" w:rsidR="009D767D" w:rsidRPr="00AA633E" w:rsidRDefault="009D767D" w:rsidP="009D767D">
      <w:pPr>
        <w:spacing w:after="0" w:line="276" w:lineRule="auto"/>
        <w:jc w:val="both"/>
        <w:rPr>
          <w:rFonts w:ascii="Verdana" w:hAnsi="Verdana"/>
        </w:rPr>
      </w:pPr>
    </w:p>
    <w:p w14:paraId="37E7FC95" w14:textId="77777777" w:rsidR="009D767D" w:rsidRPr="00AA633E" w:rsidRDefault="009D767D" w:rsidP="009D767D">
      <w:pPr>
        <w:spacing w:after="0" w:line="276" w:lineRule="auto"/>
        <w:jc w:val="both"/>
        <w:rPr>
          <w:rFonts w:ascii="Verdana" w:hAnsi="Verdana"/>
          <w:color w:val="0000FF"/>
          <w:u w:val="single"/>
        </w:rPr>
      </w:pPr>
      <w:r w:rsidRPr="00AA633E">
        <w:rPr>
          <w:rFonts w:ascii="Verdana" w:hAnsi="Verdana"/>
        </w:rPr>
        <w:lastRenderedPageBreak/>
        <w:t xml:space="preserve">Si quieres conocer más sobre la aplicación de Documentos Tipo puedes consultar la última versión de la </w:t>
      </w:r>
      <w:r w:rsidRPr="00AA633E">
        <w:rPr>
          <w:rFonts w:ascii="Verdana" w:hAnsi="Verdana"/>
          <w:b/>
          <w:bCs/>
        </w:rPr>
        <w:t>Guía para la comprensión e implementación de los Documentos Tipo de obra pública de infraestructura de transporte</w:t>
      </w:r>
      <w:r w:rsidRPr="00AA633E">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AA633E">
        <w:rPr>
          <w:rFonts w:ascii="Verdana" w:hAnsi="Verdana"/>
        </w:rPr>
        <w:br/>
      </w:r>
      <w:hyperlink r:id="rId16" w:tgtFrame="_new" w:history="1">
        <w:r w:rsidRPr="00AA633E">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59D1A79C" w14:textId="77777777" w:rsidR="009D767D" w:rsidRPr="00AA633E" w:rsidRDefault="009D767D" w:rsidP="009D767D">
      <w:pPr>
        <w:spacing w:after="0" w:line="276" w:lineRule="auto"/>
        <w:jc w:val="both"/>
        <w:rPr>
          <w:rFonts w:ascii="Verdana" w:hAnsi="Verdana"/>
          <w:color w:val="000000"/>
          <w:lang w:val="es-ES_tradnl"/>
        </w:rPr>
      </w:pPr>
    </w:p>
    <w:p w14:paraId="5B17F073" w14:textId="77777777" w:rsidR="009D767D" w:rsidRPr="00AA633E" w:rsidRDefault="009D767D" w:rsidP="009D767D">
      <w:pPr>
        <w:spacing w:after="0" w:line="276" w:lineRule="auto"/>
        <w:jc w:val="both"/>
        <w:rPr>
          <w:rFonts w:ascii="Verdana" w:hAnsi="Verdana"/>
        </w:rPr>
      </w:pPr>
      <w:r w:rsidRPr="00AA633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0705161" w14:textId="77777777" w:rsidR="009D767D" w:rsidRPr="00AA633E" w:rsidRDefault="009D767D" w:rsidP="009D767D">
      <w:pPr>
        <w:spacing w:after="0" w:line="276" w:lineRule="auto"/>
        <w:jc w:val="both"/>
        <w:rPr>
          <w:rFonts w:ascii="Verdana" w:hAnsi="Verdana"/>
        </w:rPr>
      </w:pPr>
    </w:p>
    <w:p w14:paraId="2FEEDBC4" w14:textId="77777777" w:rsidR="009D767D" w:rsidRPr="00AA633E" w:rsidRDefault="009D767D" w:rsidP="009D767D">
      <w:pPr>
        <w:numPr>
          <w:ilvl w:val="0"/>
          <w:numId w:val="15"/>
        </w:numPr>
        <w:spacing w:after="0" w:line="276" w:lineRule="auto"/>
        <w:contextualSpacing/>
        <w:jc w:val="both"/>
        <w:rPr>
          <w:rFonts w:ascii="Verdana" w:eastAsia="Verdana" w:hAnsi="Verdana" w:cs="Verdana"/>
          <w:color w:val="4472C4" w:themeColor="accent1"/>
          <w:u w:val="single"/>
          <w:lang w:val="es-MX"/>
        </w:rPr>
      </w:pPr>
      <w:r w:rsidRPr="00AA633E">
        <w:rPr>
          <w:rFonts w:ascii="Verdana" w:eastAsia="Verdana" w:hAnsi="Verdana" w:cs="Verdana"/>
          <w:lang w:val="es-MX"/>
        </w:rPr>
        <w:t xml:space="preserve">Línea nacional gratuita o servicio a la ciudadanía (Mesa de servicio): </w:t>
      </w:r>
      <w:r w:rsidRPr="00AA633E">
        <w:rPr>
          <w:rFonts w:ascii="Verdana" w:hAnsi="Verdana"/>
          <w:color w:val="0000FF"/>
          <w:u w:val="single"/>
          <w:lang w:val="es-ES"/>
        </w:rPr>
        <w:t>01800 0520808</w:t>
      </w:r>
    </w:p>
    <w:p w14:paraId="7971CCC2" w14:textId="77777777" w:rsidR="009D767D" w:rsidRPr="00AA633E" w:rsidRDefault="009D767D" w:rsidP="009D767D">
      <w:pPr>
        <w:numPr>
          <w:ilvl w:val="0"/>
          <w:numId w:val="15"/>
        </w:numPr>
        <w:spacing w:after="0" w:line="276" w:lineRule="auto"/>
        <w:contextualSpacing/>
        <w:rPr>
          <w:rFonts w:ascii="Verdana" w:eastAsia="Verdana" w:hAnsi="Verdana" w:cs="Verdana"/>
          <w:color w:val="4472C4" w:themeColor="accent1"/>
          <w:u w:val="single"/>
          <w:lang w:val="es-MX"/>
        </w:rPr>
      </w:pPr>
      <w:r w:rsidRPr="00AA633E">
        <w:rPr>
          <w:rFonts w:ascii="Verdana" w:eastAsia="Verdana" w:hAnsi="Verdana" w:cs="Verdana"/>
          <w:lang w:val="es-MX"/>
        </w:rPr>
        <w:t>Línea en Bogotá (Mesa de servicio):</w:t>
      </w:r>
      <w:r w:rsidRPr="00AA633E">
        <w:rPr>
          <w:rFonts w:ascii="Verdana" w:hAnsi="Verdana"/>
          <w:color w:val="0000FF"/>
          <w:u w:val="single"/>
          <w:lang w:val="es-ES"/>
        </w:rPr>
        <w:t>+57 601 7456788</w:t>
      </w:r>
    </w:p>
    <w:p w14:paraId="1DC93786" w14:textId="77777777" w:rsidR="009D767D" w:rsidRPr="00AA633E" w:rsidRDefault="009D767D" w:rsidP="009D767D">
      <w:pPr>
        <w:numPr>
          <w:ilvl w:val="0"/>
          <w:numId w:val="15"/>
        </w:numPr>
        <w:spacing w:after="0" w:line="276" w:lineRule="auto"/>
        <w:contextualSpacing/>
        <w:rPr>
          <w:rFonts w:ascii="Verdana" w:eastAsia="Verdana" w:hAnsi="Verdana" w:cs="Verdana"/>
          <w:color w:val="0000FF"/>
          <w:u w:val="single"/>
          <w:lang w:val="es-MX"/>
        </w:rPr>
      </w:pPr>
      <w:r w:rsidRPr="00AA633E">
        <w:rPr>
          <w:rFonts w:ascii="Verdana" w:eastAsia="Verdana" w:hAnsi="Verdana" w:cs="Verdana"/>
          <w:lang w:val="es-MX"/>
        </w:rPr>
        <w:t xml:space="preserve">Correo de radicación de correspondencia: </w:t>
      </w:r>
      <w:hyperlink r:id="rId17" w:history="1">
        <w:r w:rsidRPr="00AA633E">
          <w:rPr>
            <w:rFonts w:ascii="Verdana" w:eastAsia="Verdana" w:hAnsi="Verdana" w:cs="Verdana"/>
            <w:color w:val="0000FF"/>
            <w:u w:val="single"/>
            <w:lang w:val="es-MX"/>
          </w:rPr>
          <w:t>ventanilladeradicacion@colombiacompra.gov.co</w:t>
        </w:r>
      </w:hyperlink>
    </w:p>
    <w:p w14:paraId="4B63CBB2" w14:textId="77777777" w:rsidR="009D767D" w:rsidRPr="00AA633E" w:rsidRDefault="009D767D" w:rsidP="009D767D">
      <w:pPr>
        <w:numPr>
          <w:ilvl w:val="0"/>
          <w:numId w:val="15"/>
        </w:numPr>
        <w:spacing w:after="0" w:line="276" w:lineRule="auto"/>
        <w:contextualSpacing/>
        <w:rPr>
          <w:rFonts w:ascii="Verdana" w:eastAsia="Verdana" w:hAnsi="Verdana" w:cs="Verdana"/>
          <w:color w:val="0000FF"/>
          <w:u w:val="single"/>
          <w:lang w:val="es-MX"/>
        </w:rPr>
      </w:pPr>
      <w:r w:rsidRPr="00AA633E">
        <w:rPr>
          <w:rFonts w:ascii="Verdana" w:eastAsia="Verdana" w:hAnsi="Verdana" w:cs="Verdana"/>
          <w:lang w:val="es-ES"/>
        </w:rPr>
        <w:t xml:space="preserve">Formulario web para PQRSD: </w:t>
      </w:r>
      <w:hyperlink r:id="rId18" w:history="1">
        <w:r w:rsidRPr="00AA633E">
          <w:rPr>
            <w:rFonts w:ascii="Verdana" w:eastAsia="Verdana" w:hAnsi="Verdana" w:cs="Verdana"/>
            <w:color w:val="0000FF"/>
            <w:u w:val="single"/>
            <w:lang w:val="es-MX"/>
          </w:rPr>
          <w:t>https://www.colombiacompra.gov.co/pqrsd/informacion-importante-antes-de-formular-una-pqrsd</w:t>
        </w:r>
      </w:hyperlink>
    </w:p>
    <w:p w14:paraId="4E8A5876" w14:textId="77777777" w:rsidR="009D767D" w:rsidRPr="00AA633E" w:rsidRDefault="009D767D" w:rsidP="009D767D">
      <w:pPr>
        <w:spacing w:after="0" w:line="276" w:lineRule="auto"/>
        <w:ind w:left="720"/>
        <w:jc w:val="both"/>
        <w:rPr>
          <w:rFonts w:ascii="Verdana" w:hAnsi="Verdana"/>
        </w:rPr>
      </w:pPr>
    </w:p>
    <w:p w14:paraId="2C7076D1" w14:textId="77777777" w:rsidR="009D767D" w:rsidRPr="00AA633E" w:rsidRDefault="009D767D" w:rsidP="009D767D">
      <w:pPr>
        <w:spacing w:after="0" w:line="276" w:lineRule="auto"/>
        <w:rPr>
          <w:rFonts w:ascii="Verdana" w:hAnsi="Verdana"/>
        </w:rPr>
      </w:pPr>
      <w:r w:rsidRPr="00AA633E">
        <w:rPr>
          <w:rFonts w:ascii="Verdana" w:hAnsi="Verdana"/>
        </w:rPr>
        <w:t>Evalúa el servicio que ofrece la Agencia por el canal de atención de PQRSD en el siguiente enlace :</w:t>
      </w:r>
      <w:hyperlink r:id="rId19" w:tgtFrame="_blank" w:tooltip="https://forms.office.com/r/pphywvs2sz" w:history="1">
        <w:r w:rsidRPr="00AA633E">
          <w:rPr>
            <w:rFonts w:ascii="Verdana" w:hAnsi="Verdana"/>
            <w:color w:val="0000FF"/>
            <w:u w:val="single"/>
          </w:rPr>
          <w:t>https://forms.office.com/r/pPHyWVs2SZ</w:t>
        </w:r>
      </w:hyperlink>
      <w:r w:rsidRPr="00AA633E">
        <w:rPr>
          <w:rFonts w:ascii="Verdana" w:hAnsi="Verdana"/>
        </w:rPr>
        <w:t xml:space="preserve"> .¡Ayúdanos a mejorar porque el compromiso es de todos!</w:t>
      </w:r>
    </w:p>
    <w:p w14:paraId="718B027E" w14:textId="77777777" w:rsidR="009D767D" w:rsidRPr="00AA633E" w:rsidRDefault="009D767D" w:rsidP="009D767D">
      <w:pPr>
        <w:spacing w:after="0" w:line="276" w:lineRule="auto"/>
        <w:rPr>
          <w:rFonts w:ascii="Verdana" w:hAnsi="Verdana"/>
        </w:rPr>
      </w:pPr>
    </w:p>
    <w:p w14:paraId="7CEBA26B" w14:textId="77777777" w:rsidR="009D767D" w:rsidRPr="00AA633E" w:rsidRDefault="009D767D" w:rsidP="009D767D">
      <w:pPr>
        <w:spacing w:after="0" w:line="276" w:lineRule="auto"/>
        <w:jc w:val="both"/>
        <w:rPr>
          <w:rFonts w:ascii="Verdana" w:hAnsi="Verdana"/>
        </w:rPr>
      </w:pPr>
      <w:r w:rsidRPr="00AA633E">
        <w:rPr>
          <w:rFonts w:ascii="Verdana" w:hAnsi="Verdana"/>
        </w:rPr>
        <w:t xml:space="preserve">Por último, lo invitamos a seguirnos en las redes sociales en las cuales se difunde información institucional: </w:t>
      </w:r>
    </w:p>
    <w:p w14:paraId="76C2CC71" w14:textId="77777777" w:rsidR="009D767D" w:rsidRPr="00AA633E" w:rsidRDefault="009D767D" w:rsidP="009D767D">
      <w:pPr>
        <w:spacing w:after="0" w:line="276" w:lineRule="auto"/>
        <w:jc w:val="both"/>
        <w:rPr>
          <w:rFonts w:ascii="Verdana" w:hAnsi="Verdana"/>
        </w:rPr>
      </w:pPr>
    </w:p>
    <w:p w14:paraId="2A2A08B5" w14:textId="77777777" w:rsidR="009D767D" w:rsidRPr="00AA633E" w:rsidRDefault="009D767D" w:rsidP="009D767D">
      <w:pPr>
        <w:spacing w:after="0" w:line="276" w:lineRule="auto"/>
        <w:jc w:val="both"/>
        <w:rPr>
          <w:rFonts w:ascii="Verdana" w:hAnsi="Verdana"/>
        </w:rPr>
      </w:pPr>
      <w:r w:rsidRPr="00AA633E">
        <w:rPr>
          <w:rFonts w:ascii="Verdana" w:hAnsi="Verdana"/>
        </w:rPr>
        <w:lastRenderedPageBreak/>
        <w:t xml:space="preserve">Twitter: </w:t>
      </w:r>
      <w:r w:rsidRPr="00AA633E">
        <w:rPr>
          <w:rFonts w:ascii="Verdana" w:hAnsi="Verdana"/>
          <w:color w:val="0000FF"/>
          <w:u w:val="single"/>
        </w:rPr>
        <w:t>@colombiacompra</w:t>
      </w:r>
      <w:r w:rsidRPr="00AA633E">
        <w:rPr>
          <w:rFonts w:ascii="Verdana" w:hAnsi="Verdana"/>
        </w:rPr>
        <w:t xml:space="preserve"> </w:t>
      </w:r>
    </w:p>
    <w:p w14:paraId="299CD2C2" w14:textId="77777777" w:rsidR="009D767D" w:rsidRPr="00AA633E" w:rsidRDefault="009D767D" w:rsidP="009D767D">
      <w:pPr>
        <w:spacing w:after="0" w:line="276" w:lineRule="auto"/>
        <w:jc w:val="both"/>
        <w:rPr>
          <w:rFonts w:ascii="Verdana" w:hAnsi="Verdana"/>
        </w:rPr>
      </w:pPr>
      <w:r w:rsidRPr="00AA633E">
        <w:rPr>
          <w:rFonts w:ascii="Verdana" w:hAnsi="Verdana"/>
        </w:rPr>
        <w:t xml:space="preserve">Facebook: </w:t>
      </w:r>
      <w:proofErr w:type="spellStart"/>
      <w:r w:rsidRPr="00AA633E">
        <w:rPr>
          <w:rFonts w:ascii="Verdana" w:hAnsi="Verdana"/>
          <w:color w:val="0000FF"/>
          <w:u w:val="single"/>
        </w:rPr>
        <w:t>ColombiaCompraEficiente</w:t>
      </w:r>
      <w:proofErr w:type="spellEnd"/>
    </w:p>
    <w:p w14:paraId="004E2F80" w14:textId="77777777" w:rsidR="009D767D" w:rsidRDefault="009D767D" w:rsidP="009D767D">
      <w:pPr>
        <w:spacing w:after="0" w:line="276" w:lineRule="auto"/>
        <w:jc w:val="both"/>
        <w:rPr>
          <w:rFonts w:ascii="Verdana" w:hAnsi="Verdana"/>
        </w:rPr>
      </w:pPr>
      <w:r w:rsidRPr="00AA633E">
        <w:rPr>
          <w:rFonts w:ascii="Verdana" w:hAnsi="Verdana"/>
        </w:rPr>
        <w:t xml:space="preserve">LinkedIn: </w:t>
      </w:r>
      <w:r w:rsidRPr="00AA633E">
        <w:rPr>
          <w:rFonts w:ascii="Verdana" w:hAnsi="Verdana"/>
          <w:color w:val="0000FF"/>
          <w:u w:val="single"/>
        </w:rPr>
        <w:t>Agencia Nacional de Contratación Pública - Colombia Compra Eficiente</w:t>
      </w:r>
      <w:r w:rsidRPr="00AA633E">
        <w:rPr>
          <w:rFonts w:ascii="Verdana" w:hAnsi="Verdana"/>
        </w:rPr>
        <w:t xml:space="preserve"> Instagram: </w:t>
      </w:r>
      <w:r w:rsidRPr="00AA633E">
        <w:rPr>
          <w:rFonts w:ascii="Verdana" w:hAnsi="Verdana"/>
          <w:color w:val="0000FF"/>
          <w:u w:val="single"/>
        </w:rPr>
        <w:t>@colombiacompraeficiente_cce</w:t>
      </w:r>
    </w:p>
    <w:p w14:paraId="5280FEDE" w14:textId="77777777" w:rsidR="009D767D" w:rsidRPr="00156B65" w:rsidRDefault="009D767D" w:rsidP="009D767D">
      <w:pPr>
        <w:spacing w:after="0" w:line="276" w:lineRule="auto"/>
        <w:jc w:val="both"/>
        <w:rPr>
          <w:rFonts w:ascii="Verdana" w:hAnsi="Verdana"/>
        </w:rPr>
      </w:pPr>
    </w:p>
    <w:p w14:paraId="39BE5B6C" w14:textId="77777777" w:rsidR="009D767D" w:rsidRPr="007C6597" w:rsidRDefault="009D767D" w:rsidP="009D767D">
      <w:pPr>
        <w:widowControl w:val="0"/>
        <w:autoSpaceDE w:val="0"/>
        <w:autoSpaceDN w:val="0"/>
        <w:spacing w:after="0" w:line="276" w:lineRule="auto"/>
        <w:jc w:val="both"/>
        <w:rPr>
          <w:rFonts w:ascii="Verdana" w:hAnsi="Verdana" w:cs="Arial"/>
        </w:rPr>
      </w:pPr>
      <w:r w:rsidRPr="007C6597">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6C61F1E" w14:textId="77777777" w:rsidR="009D767D" w:rsidRPr="00BD3C98" w:rsidRDefault="009D767D" w:rsidP="009D767D">
      <w:pPr>
        <w:widowControl w:val="0"/>
        <w:autoSpaceDE w:val="0"/>
        <w:autoSpaceDN w:val="0"/>
        <w:spacing w:after="0" w:line="276" w:lineRule="auto"/>
        <w:contextualSpacing/>
        <w:jc w:val="both"/>
        <w:rPr>
          <w:rFonts w:ascii="Verdana" w:hAnsi="Verdana" w:cs="Arial"/>
        </w:rPr>
      </w:pPr>
    </w:p>
    <w:p w14:paraId="09A4966C" w14:textId="77777777" w:rsidR="009D767D" w:rsidRPr="007C6597" w:rsidRDefault="009D767D" w:rsidP="009D767D">
      <w:pPr>
        <w:widowControl w:val="0"/>
        <w:autoSpaceDE w:val="0"/>
        <w:autoSpaceDN w:val="0"/>
        <w:spacing w:after="0" w:line="276" w:lineRule="auto"/>
        <w:jc w:val="both"/>
        <w:rPr>
          <w:rFonts w:ascii="Verdana" w:hAnsi="Verdana" w:cs="Arial"/>
        </w:rPr>
      </w:pPr>
    </w:p>
    <w:p w14:paraId="0A2B5C85" w14:textId="77777777" w:rsidR="009D767D" w:rsidRPr="007C6597" w:rsidRDefault="009D767D" w:rsidP="009D767D">
      <w:pPr>
        <w:spacing w:after="0" w:line="276" w:lineRule="auto"/>
        <w:rPr>
          <w:rFonts w:ascii="Verdana" w:hAnsi="Verdana" w:cs="Arial"/>
          <w:lang w:eastAsia="es-CO"/>
        </w:rPr>
      </w:pPr>
      <w:r w:rsidRPr="007C6597">
        <w:rPr>
          <w:rFonts w:ascii="Verdana" w:eastAsia="Times New Roman" w:hAnsi="Verdana" w:cs="Arial"/>
          <w:lang w:eastAsia="es-CO"/>
        </w:rPr>
        <w:t>Atentamente,</w:t>
      </w:r>
      <w:r w:rsidRPr="007C6597">
        <w:rPr>
          <w:rFonts w:ascii="Verdana" w:hAnsi="Verdana" w:cs="Arial"/>
          <w:lang w:eastAsia="es-CO"/>
        </w:rPr>
        <w:t xml:space="preserve"> </w:t>
      </w:r>
    </w:p>
    <w:p w14:paraId="3C88FF08" w14:textId="3D352E5D" w:rsidR="009D767D" w:rsidRPr="007C6597" w:rsidRDefault="009229A1" w:rsidP="009D767D">
      <w:pPr>
        <w:spacing w:line="276" w:lineRule="auto"/>
        <w:jc w:val="center"/>
        <w:rPr>
          <w:rFonts w:ascii="Verdana" w:hAnsi="Verdana" w:cs="Arial"/>
          <w:color w:val="000000"/>
          <w:lang w:eastAsia="es-CO"/>
        </w:rPr>
      </w:pPr>
      <w:r>
        <w:rPr>
          <w:noProof/>
        </w:rPr>
        <w:drawing>
          <wp:inline distT="0" distB="0" distL="0" distR="0" wp14:anchorId="3C407882" wp14:editId="105BDB16">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D767D" w:rsidRPr="007C6597" w14:paraId="3DDF82D0" w14:textId="77777777" w:rsidTr="00873641">
        <w:trPr>
          <w:trHeight w:val="315"/>
        </w:trPr>
        <w:tc>
          <w:tcPr>
            <w:tcW w:w="893" w:type="dxa"/>
            <w:vAlign w:val="center"/>
            <w:hideMark/>
          </w:tcPr>
          <w:p w14:paraId="6EACAFE5" w14:textId="77777777" w:rsidR="009D767D" w:rsidRPr="007C6597" w:rsidRDefault="009D767D" w:rsidP="00873641">
            <w:pPr>
              <w:contextualSpacing/>
              <w:rPr>
                <w:rFonts w:ascii="Verdana" w:hAnsi="Verdana" w:cs="Arial"/>
                <w:sz w:val="16"/>
                <w:szCs w:val="16"/>
                <w:lang w:eastAsia="es-ES"/>
              </w:rPr>
            </w:pPr>
            <w:r w:rsidRPr="007C6597">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1E4C3CC" w14:textId="77777777" w:rsidR="009D767D" w:rsidRPr="007C6597" w:rsidRDefault="009D767D" w:rsidP="00873641">
            <w:pPr>
              <w:contextualSpacing/>
              <w:rPr>
                <w:rFonts w:ascii="Verdana" w:hAnsi="Verdana"/>
                <w:sz w:val="16"/>
                <w:szCs w:val="16"/>
              </w:rPr>
            </w:pPr>
            <w:r w:rsidRPr="007C6597">
              <w:rPr>
                <w:rFonts w:ascii="Verdana" w:hAnsi="Verdana"/>
                <w:sz w:val="16"/>
                <w:szCs w:val="16"/>
              </w:rPr>
              <w:t>Tatiana Baquero Iguarán</w:t>
            </w:r>
          </w:p>
          <w:p w14:paraId="7038609E" w14:textId="77777777" w:rsidR="009D767D" w:rsidRPr="007C6597" w:rsidRDefault="009D767D" w:rsidP="00873641">
            <w:pPr>
              <w:contextualSpacing/>
              <w:rPr>
                <w:rFonts w:ascii="Verdana" w:eastAsia="Arial" w:hAnsi="Verdana" w:cs="Arial"/>
                <w:sz w:val="16"/>
                <w:szCs w:val="16"/>
              </w:rPr>
            </w:pPr>
            <w:r w:rsidRPr="007C6597">
              <w:rPr>
                <w:rFonts w:ascii="Verdana" w:hAnsi="Verdana"/>
                <w:sz w:val="16"/>
                <w:szCs w:val="16"/>
              </w:rPr>
              <w:t>Contratista de la Subdirección de Gestión Contractual</w:t>
            </w:r>
          </w:p>
        </w:tc>
      </w:tr>
      <w:tr w:rsidR="009D767D" w:rsidRPr="007C6597" w14:paraId="4EE30A7E" w14:textId="77777777" w:rsidTr="00873641">
        <w:trPr>
          <w:trHeight w:val="330"/>
        </w:trPr>
        <w:tc>
          <w:tcPr>
            <w:tcW w:w="893" w:type="dxa"/>
            <w:vAlign w:val="center"/>
            <w:hideMark/>
          </w:tcPr>
          <w:p w14:paraId="42AA3151" w14:textId="77777777" w:rsidR="009D767D" w:rsidRPr="007C6597" w:rsidRDefault="009D767D" w:rsidP="00873641">
            <w:pPr>
              <w:contextualSpacing/>
              <w:rPr>
                <w:rFonts w:ascii="Verdana" w:hAnsi="Verdana" w:cs="Arial"/>
                <w:sz w:val="16"/>
                <w:szCs w:val="16"/>
                <w:lang w:eastAsia="es-ES"/>
              </w:rPr>
            </w:pPr>
            <w:r w:rsidRPr="007C6597">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632BC68" w14:textId="77777777" w:rsidR="009D767D" w:rsidRPr="007C6597" w:rsidRDefault="009D767D" w:rsidP="00873641">
            <w:pPr>
              <w:spacing w:before="100" w:beforeAutospacing="1" w:after="100" w:afterAutospacing="1"/>
              <w:contextualSpacing/>
              <w:textAlignment w:val="baseline"/>
              <w:rPr>
                <w:rFonts w:ascii="Verdana" w:eastAsia="Times New Roman" w:hAnsi="Verdana" w:cs="Segoe UI"/>
                <w:sz w:val="16"/>
                <w:szCs w:val="16"/>
                <w:lang w:eastAsia="es-ES_tradnl"/>
              </w:rPr>
            </w:pPr>
            <w:r w:rsidRPr="007C6597">
              <w:rPr>
                <w:rFonts w:ascii="Verdana" w:eastAsia="Times New Roman" w:hAnsi="Verdana" w:cs="Segoe UI"/>
                <w:sz w:val="16"/>
                <w:szCs w:val="16"/>
                <w:lang w:eastAsia="es-ES_tradnl"/>
              </w:rPr>
              <w:t>Alejandro Raúl Sarmiento Cantillo</w:t>
            </w:r>
          </w:p>
          <w:p w14:paraId="33729C4D" w14:textId="77777777" w:rsidR="009D767D" w:rsidRPr="007C6597" w:rsidRDefault="009D767D" w:rsidP="00873641">
            <w:pPr>
              <w:spacing w:before="100" w:beforeAutospacing="1" w:after="100" w:afterAutospacing="1"/>
              <w:contextualSpacing/>
              <w:textAlignment w:val="baseline"/>
              <w:rPr>
                <w:rFonts w:ascii="Verdana" w:eastAsia="Times New Roman" w:hAnsi="Verdana" w:cs="Segoe UI"/>
                <w:sz w:val="16"/>
                <w:szCs w:val="16"/>
                <w:lang w:eastAsia="es-ES_tradnl"/>
              </w:rPr>
            </w:pPr>
            <w:r w:rsidRPr="007C6597">
              <w:rPr>
                <w:rFonts w:ascii="Verdana" w:eastAsia="Times New Roman" w:hAnsi="Verdana" w:cs="Segoe UI"/>
                <w:sz w:val="16"/>
                <w:szCs w:val="16"/>
                <w:lang w:eastAsia="es-ES_tradnl"/>
              </w:rPr>
              <w:t>Gestor T1-15 de la Subdirección de Gestión Contractual</w:t>
            </w:r>
          </w:p>
        </w:tc>
      </w:tr>
      <w:tr w:rsidR="009D767D" w:rsidRPr="007C6597" w14:paraId="6E7AEC0D" w14:textId="77777777" w:rsidTr="00873641">
        <w:trPr>
          <w:trHeight w:val="300"/>
        </w:trPr>
        <w:tc>
          <w:tcPr>
            <w:tcW w:w="893" w:type="dxa"/>
            <w:vAlign w:val="center"/>
          </w:tcPr>
          <w:p w14:paraId="7716596A" w14:textId="77777777" w:rsidR="009D767D" w:rsidRPr="007C6597" w:rsidRDefault="009D767D" w:rsidP="00873641">
            <w:pPr>
              <w:contextualSpacing/>
              <w:rPr>
                <w:rFonts w:ascii="Verdana" w:hAnsi="Verdana" w:cs="Arial"/>
                <w:sz w:val="16"/>
                <w:szCs w:val="16"/>
                <w:lang w:eastAsia="es-ES"/>
              </w:rPr>
            </w:pPr>
            <w:r w:rsidRPr="007C6597">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F7128F3" w14:textId="77777777" w:rsidR="009D767D" w:rsidRPr="007C6597" w:rsidRDefault="009D767D" w:rsidP="00873641">
            <w:pPr>
              <w:contextualSpacing/>
              <w:rPr>
                <w:rFonts w:ascii="Verdana" w:eastAsia="Calibri" w:hAnsi="Verdana" w:cs="Arial"/>
                <w:sz w:val="16"/>
                <w:szCs w:val="16"/>
                <w:lang w:eastAsia="es-ES"/>
              </w:rPr>
            </w:pPr>
            <w:r w:rsidRPr="007C6597">
              <w:rPr>
                <w:rFonts w:ascii="Verdana" w:eastAsia="Calibri" w:hAnsi="Verdana" w:cs="Arial"/>
                <w:sz w:val="16"/>
                <w:szCs w:val="16"/>
                <w:lang w:eastAsia="es-ES"/>
              </w:rPr>
              <w:t>Carolina Quintero Gacharná</w:t>
            </w:r>
          </w:p>
          <w:p w14:paraId="233CCC6B" w14:textId="77777777" w:rsidR="009D767D" w:rsidRPr="007C6597" w:rsidRDefault="009D767D" w:rsidP="00873641">
            <w:pPr>
              <w:contextualSpacing/>
              <w:rPr>
                <w:rFonts w:ascii="Verdana" w:eastAsia="Calibri" w:hAnsi="Verdana" w:cs="Arial"/>
                <w:sz w:val="16"/>
                <w:szCs w:val="16"/>
                <w:lang w:eastAsia="es-ES"/>
              </w:rPr>
            </w:pPr>
            <w:r w:rsidRPr="007C6597">
              <w:rPr>
                <w:rFonts w:ascii="Verdana" w:eastAsia="Calibri" w:hAnsi="Verdana" w:cs="Arial"/>
                <w:sz w:val="16"/>
                <w:szCs w:val="16"/>
                <w:lang w:eastAsia="es-ES"/>
              </w:rPr>
              <w:t>Subdirectora de Gestión Contractual ANCP – CCE</w:t>
            </w:r>
          </w:p>
        </w:tc>
      </w:tr>
    </w:tbl>
    <w:p w14:paraId="7CBE9DFD" w14:textId="77777777" w:rsidR="009D767D" w:rsidRDefault="009D767D" w:rsidP="009D767D">
      <w:pPr>
        <w:spacing w:after="0" w:line="240" w:lineRule="auto"/>
        <w:textAlignment w:val="baseline"/>
        <w:rPr>
          <w:rFonts w:ascii="Verdana" w:eastAsia="Verdana" w:hAnsi="Verdana" w:cs="Verdana"/>
          <w:lang w:eastAsia="es-CO"/>
        </w:rPr>
      </w:pPr>
      <w:bookmarkStart w:id="3" w:name="_Hlk186494164"/>
      <w:bookmarkEnd w:id="3"/>
    </w:p>
    <w:p w14:paraId="37BFE913" w14:textId="77777777" w:rsidR="009D767D" w:rsidRDefault="009D767D" w:rsidP="009D767D">
      <w:pPr>
        <w:spacing w:after="0" w:line="240" w:lineRule="auto"/>
        <w:textAlignment w:val="baseline"/>
        <w:rPr>
          <w:rFonts w:ascii="Verdana" w:eastAsia="Verdana" w:hAnsi="Verdana" w:cs="Verdana"/>
          <w:lang w:eastAsia="es-CO"/>
        </w:rPr>
      </w:pPr>
    </w:p>
    <w:p w14:paraId="585D429C" w14:textId="5558DFBB" w:rsidR="009D767D" w:rsidRPr="0015699B" w:rsidRDefault="009D767D" w:rsidP="009D767D">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32616CEB" w14:textId="77777777" w:rsidR="00794876" w:rsidRPr="009D767D" w:rsidRDefault="00794876" w:rsidP="009D767D"/>
    <w:sectPr w:rsidR="00794876" w:rsidRPr="009D767D"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561D54" w14:textId="77777777" w:rsidR="00464CA3" w:rsidRDefault="00464CA3" w:rsidP="004A1847">
      <w:pPr>
        <w:spacing w:after="0" w:line="240" w:lineRule="auto"/>
      </w:pPr>
      <w:r>
        <w:separator/>
      </w:r>
    </w:p>
  </w:endnote>
  <w:endnote w:type="continuationSeparator" w:id="0">
    <w:p w14:paraId="4FD24924" w14:textId="77777777" w:rsidR="00464CA3" w:rsidRDefault="00464CA3" w:rsidP="004A1847">
      <w:pPr>
        <w:spacing w:after="0" w:line="240" w:lineRule="auto"/>
      </w:pPr>
      <w:r>
        <w:continuationSeparator/>
      </w:r>
    </w:p>
  </w:endnote>
  <w:endnote w:type="continuationNotice" w:id="1">
    <w:p w14:paraId="0891E538" w14:textId="77777777" w:rsidR="00464CA3" w:rsidRDefault="00464CA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381883" w14:textId="77777777" w:rsidR="00464CA3" w:rsidRDefault="00464CA3" w:rsidP="004A1847">
      <w:pPr>
        <w:spacing w:after="0" w:line="240" w:lineRule="auto"/>
      </w:pPr>
      <w:r>
        <w:separator/>
      </w:r>
    </w:p>
  </w:footnote>
  <w:footnote w:type="continuationSeparator" w:id="0">
    <w:p w14:paraId="4B7950F4" w14:textId="77777777" w:rsidR="00464CA3" w:rsidRDefault="00464CA3" w:rsidP="004A1847">
      <w:pPr>
        <w:spacing w:after="0" w:line="240" w:lineRule="auto"/>
      </w:pPr>
      <w:r>
        <w:continuationSeparator/>
      </w:r>
    </w:p>
  </w:footnote>
  <w:footnote w:type="continuationNotice" w:id="1">
    <w:p w14:paraId="57129057" w14:textId="77777777" w:rsidR="00464CA3" w:rsidRDefault="00464CA3">
      <w:pPr>
        <w:spacing w:after="0" w:line="240" w:lineRule="auto"/>
      </w:pPr>
    </w:p>
  </w:footnote>
  <w:footnote w:id="2">
    <w:p w14:paraId="58B40449" w14:textId="77777777" w:rsidR="009D767D" w:rsidRPr="00864087" w:rsidRDefault="009D767D" w:rsidP="009D767D">
      <w:pPr>
        <w:spacing w:after="0" w:line="240" w:lineRule="auto"/>
        <w:ind w:right="49" w:firstLine="708"/>
        <w:jc w:val="both"/>
        <w:rPr>
          <w:rFonts w:ascii="Verdana" w:hAnsi="Verdana"/>
          <w:sz w:val="16"/>
          <w:szCs w:val="16"/>
        </w:rPr>
      </w:pPr>
      <w:r w:rsidRPr="00864087">
        <w:rPr>
          <w:rStyle w:val="Refdenotaalpie"/>
          <w:rFonts w:ascii="Verdana" w:hAnsi="Verdana"/>
          <w:sz w:val="16"/>
          <w:szCs w:val="16"/>
        </w:rPr>
        <w:footnoteRef/>
      </w:r>
      <w:r w:rsidRPr="00864087">
        <w:rPr>
          <w:rFonts w:ascii="Verdana" w:hAnsi="Verdana"/>
          <w:sz w:val="16"/>
          <w:szCs w:val="16"/>
        </w:rPr>
        <w:t xml:space="preserve"> Código</w:t>
      </w:r>
      <w:r w:rsidRPr="00864087">
        <w:rPr>
          <w:rFonts w:ascii="Verdana" w:hAnsi="Verdana"/>
          <w:spacing w:val="-4"/>
          <w:sz w:val="16"/>
          <w:szCs w:val="16"/>
        </w:rPr>
        <w:t xml:space="preserve"> </w:t>
      </w:r>
      <w:r w:rsidRPr="00864087">
        <w:rPr>
          <w:rFonts w:ascii="Verdana" w:hAnsi="Verdana"/>
          <w:sz w:val="16"/>
          <w:szCs w:val="16"/>
        </w:rPr>
        <w:t>de</w:t>
      </w:r>
      <w:r w:rsidRPr="00864087">
        <w:rPr>
          <w:rFonts w:ascii="Verdana" w:hAnsi="Verdana"/>
          <w:spacing w:val="-4"/>
          <w:sz w:val="16"/>
          <w:szCs w:val="16"/>
        </w:rPr>
        <w:t xml:space="preserve"> </w:t>
      </w:r>
      <w:r w:rsidRPr="00864087">
        <w:rPr>
          <w:rFonts w:ascii="Verdana" w:hAnsi="Verdana"/>
          <w:sz w:val="16"/>
          <w:szCs w:val="16"/>
        </w:rPr>
        <w:t>Comercio: “Artículo</w:t>
      </w:r>
      <w:r w:rsidRPr="00864087">
        <w:rPr>
          <w:rFonts w:ascii="Verdana" w:hAnsi="Verdana"/>
          <w:spacing w:val="-4"/>
          <w:sz w:val="16"/>
          <w:szCs w:val="16"/>
        </w:rPr>
        <w:t xml:space="preserve"> </w:t>
      </w:r>
      <w:r w:rsidRPr="00864087">
        <w:rPr>
          <w:rFonts w:ascii="Verdana" w:hAnsi="Verdana"/>
          <w:sz w:val="16"/>
          <w:szCs w:val="16"/>
        </w:rPr>
        <w:t>167.</w:t>
      </w:r>
      <w:r w:rsidRPr="00864087">
        <w:rPr>
          <w:rFonts w:ascii="Verdana" w:hAnsi="Verdana"/>
          <w:spacing w:val="-4"/>
          <w:sz w:val="16"/>
          <w:szCs w:val="16"/>
        </w:rPr>
        <w:t xml:space="preserve"> </w:t>
      </w:r>
      <w:r w:rsidRPr="00864087">
        <w:rPr>
          <w:rFonts w:ascii="Verdana" w:hAnsi="Verdana"/>
          <w:sz w:val="16"/>
          <w:szCs w:val="16"/>
        </w:rPr>
        <w:t>Reforma</w:t>
      </w:r>
      <w:r w:rsidRPr="00864087">
        <w:rPr>
          <w:rFonts w:ascii="Verdana" w:hAnsi="Verdana"/>
          <w:spacing w:val="-4"/>
          <w:sz w:val="16"/>
          <w:szCs w:val="16"/>
        </w:rPr>
        <w:t xml:space="preserve"> </w:t>
      </w:r>
      <w:r w:rsidRPr="00864087">
        <w:rPr>
          <w:rFonts w:ascii="Verdana" w:hAnsi="Verdana"/>
          <w:sz w:val="16"/>
          <w:szCs w:val="16"/>
        </w:rPr>
        <w:t>de</w:t>
      </w:r>
      <w:r w:rsidRPr="00864087">
        <w:rPr>
          <w:rFonts w:ascii="Verdana" w:hAnsi="Verdana"/>
          <w:spacing w:val="-4"/>
          <w:sz w:val="16"/>
          <w:szCs w:val="16"/>
        </w:rPr>
        <w:t xml:space="preserve"> </w:t>
      </w:r>
      <w:r w:rsidRPr="00864087">
        <w:rPr>
          <w:rFonts w:ascii="Verdana" w:hAnsi="Verdana"/>
          <w:sz w:val="16"/>
          <w:szCs w:val="16"/>
        </w:rPr>
        <w:t>contrato</w:t>
      </w:r>
      <w:r w:rsidRPr="00864087">
        <w:rPr>
          <w:rFonts w:ascii="Verdana" w:hAnsi="Verdana"/>
          <w:spacing w:val="-4"/>
          <w:sz w:val="16"/>
          <w:szCs w:val="16"/>
        </w:rPr>
        <w:t xml:space="preserve"> </w:t>
      </w:r>
      <w:r w:rsidRPr="00864087">
        <w:rPr>
          <w:rFonts w:ascii="Verdana" w:hAnsi="Verdana"/>
          <w:sz w:val="16"/>
          <w:szCs w:val="16"/>
        </w:rPr>
        <w:t>social</w:t>
      </w:r>
      <w:r w:rsidRPr="00864087">
        <w:rPr>
          <w:rFonts w:ascii="Verdana" w:hAnsi="Verdana"/>
          <w:spacing w:val="-4"/>
          <w:sz w:val="16"/>
          <w:szCs w:val="16"/>
        </w:rPr>
        <w:t xml:space="preserve"> </w:t>
      </w:r>
      <w:r w:rsidRPr="00864087">
        <w:rPr>
          <w:rFonts w:ascii="Verdana" w:hAnsi="Verdana"/>
          <w:sz w:val="16"/>
          <w:szCs w:val="16"/>
        </w:rPr>
        <w:t>por</w:t>
      </w:r>
      <w:r w:rsidRPr="00864087">
        <w:rPr>
          <w:rFonts w:ascii="Verdana" w:hAnsi="Verdana"/>
          <w:spacing w:val="-4"/>
          <w:sz w:val="16"/>
          <w:szCs w:val="16"/>
        </w:rPr>
        <w:t xml:space="preserve"> </w:t>
      </w:r>
      <w:r w:rsidRPr="00864087">
        <w:rPr>
          <w:rFonts w:ascii="Verdana" w:hAnsi="Verdana"/>
          <w:sz w:val="16"/>
          <w:szCs w:val="16"/>
        </w:rPr>
        <w:t>transformación</w:t>
      </w:r>
      <w:r w:rsidRPr="00864087">
        <w:rPr>
          <w:rFonts w:ascii="Verdana" w:hAnsi="Verdana"/>
          <w:spacing w:val="-4"/>
          <w:sz w:val="16"/>
          <w:szCs w:val="16"/>
        </w:rPr>
        <w:t xml:space="preserve"> </w:t>
      </w:r>
      <w:r w:rsidRPr="00864087">
        <w:rPr>
          <w:rFonts w:ascii="Verdana" w:hAnsi="Verdana"/>
          <w:sz w:val="16"/>
          <w:szCs w:val="16"/>
        </w:rPr>
        <w:t>de</w:t>
      </w:r>
      <w:r w:rsidRPr="00864087">
        <w:rPr>
          <w:rFonts w:ascii="Verdana" w:hAnsi="Verdana"/>
          <w:spacing w:val="-4"/>
          <w:sz w:val="16"/>
          <w:szCs w:val="16"/>
        </w:rPr>
        <w:t xml:space="preserve"> </w:t>
      </w:r>
      <w:r w:rsidRPr="00864087">
        <w:rPr>
          <w:rFonts w:ascii="Verdana" w:hAnsi="Verdana"/>
          <w:sz w:val="16"/>
          <w:szCs w:val="16"/>
        </w:rPr>
        <w:t>sociedad.</w:t>
      </w:r>
      <w:r w:rsidRPr="00864087">
        <w:rPr>
          <w:rFonts w:ascii="Verdana" w:hAnsi="Verdana"/>
          <w:spacing w:val="-4"/>
          <w:sz w:val="16"/>
          <w:szCs w:val="16"/>
        </w:rPr>
        <w:t xml:space="preserve"> </w:t>
      </w:r>
      <w:r w:rsidRPr="00864087">
        <w:rPr>
          <w:rFonts w:ascii="Verdana" w:hAnsi="Verdana"/>
          <w:sz w:val="16"/>
          <w:szCs w:val="16"/>
        </w:rPr>
        <w:t>Una</w:t>
      </w:r>
      <w:r w:rsidRPr="00864087">
        <w:rPr>
          <w:rFonts w:ascii="Verdana" w:hAnsi="Verdana"/>
          <w:spacing w:val="-4"/>
          <w:sz w:val="16"/>
          <w:szCs w:val="16"/>
        </w:rPr>
        <w:t xml:space="preserve"> </w:t>
      </w:r>
      <w:r w:rsidRPr="00864087">
        <w:rPr>
          <w:rFonts w:ascii="Verdana" w:hAnsi="Verdana"/>
          <w:sz w:val="16"/>
          <w:szCs w:val="16"/>
        </w:rPr>
        <w:t>sociedad podrá, antes de su disolución, adoptar cualquiera otra de las formas de la sociedad comercial reguladas en este Código, mediante una reforma del contrato social.</w:t>
      </w:r>
    </w:p>
    <w:p w14:paraId="0D154E3F" w14:textId="77777777" w:rsidR="009D767D" w:rsidRPr="00864087" w:rsidRDefault="009D767D" w:rsidP="009D767D">
      <w:pPr>
        <w:spacing w:after="0" w:line="240" w:lineRule="auto"/>
        <w:ind w:right="49" w:firstLine="708"/>
        <w:jc w:val="both"/>
        <w:rPr>
          <w:rFonts w:ascii="Verdana" w:hAnsi="Verdana"/>
          <w:sz w:val="16"/>
          <w:szCs w:val="16"/>
        </w:rPr>
      </w:pPr>
    </w:p>
    <w:p w14:paraId="056785AE" w14:textId="77777777" w:rsidR="009D767D" w:rsidRPr="00864087" w:rsidRDefault="009D767D" w:rsidP="009D767D">
      <w:pPr>
        <w:spacing w:after="0" w:line="240" w:lineRule="auto"/>
        <w:ind w:right="49" w:firstLine="708"/>
        <w:jc w:val="both"/>
        <w:rPr>
          <w:rFonts w:ascii="Verdana" w:hAnsi="Verdana"/>
          <w:sz w:val="16"/>
          <w:szCs w:val="16"/>
        </w:rPr>
      </w:pPr>
      <w:r w:rsidRPr="00864087">
        <w:rPr>
          <w:rFonts w:ascii="Verdana" w:hAnsi="Verdana"/>
          <w:sz w:val="16"/>
          <w:szCs w:val="16"/>
        </w:rPr>
        <w:t>La</w:t>
      </w:r>
      <w:r w:rsidRPr="00864087">
        <w:rPr>
          <w:rFonts w:ascii="Verdana" w:hAnsi="Verdana"/>
          <w:spacing w:val="-4"/>
          <w:sz w:val="16"/>
          <w:szCs w:val="16"/>
        </w:rPr>
        <w:t xml:space="preserve"> </w:t>
      </w:r>
      <w:r w:rsidRPr="00864087">
        <w:rPr>
          <w:rFonts w:ascii="Verdana" w:hAnsi="Verdana"/>
          <w:sz w:val="16"/>
          <w:szCs w:val="16"/>
        </w:rPr>
        <w:t>transformación</w:t>
      </w:r>
      <w:r w:rsidRPr="00864087">
        <w:rPr>
          <w:rFonts w:ascii="Verdana" w:hAnsi="Verdana"/>
          <w:spacing w:val="-4"/>
          <w:sz w:val="16"/>
          <w:szCs w:val="16"/>
        </w:rPr>
        <w:t xml:space="preserve"> </w:t>
      </w:r>
      <w:r w:rsidRPr="00864087">
        <w:rPr>
          <w:rFonts w:ascii="Verdana" w:hAnsi="Verdana"/>
          <w:sz w:val="16"/>
          <w:szCs w:val="16"/>
        </w:rPr>
        <w:t>no</w:t>
      </w:r>
      <w:r w:rsidRPr="00864087">
        <w:rPr>
          <w:rFonts w:ascii="Verdana" w:hAnsi="Verdana"/>
          <w:spacing w:val="-4"/>
          <w:sz w:val="16"/>
          <w:szCs w:val="16"/>
        </w:rPr>
        <w:t xml:space="preserve"> </w:t>
      </w:r>
      <w:r w:rsidRPr="00864087">
        <w:rPr>
          <w:rFonts w:ascii="Verdana" w:hAnsi="Verdana"/>
          <w:sz w:val="16"/>
          <w:szCs w:val="16"/>
        </w:rPr>
        <w:t>producirá</w:t>
      </w:r>
      <w:r w:rsidRPr="00864087">
        <w:rPr>
          <w:rFonts w:ascii="Verdana" w:hAnsi="Verdana"/>
          <w:spacing w:val="-4"/>
          <w:sz w:val="16"/>
          <w:szCs w:val="16"/>
        </w:rPr>
        <w:t xml:space="preserve"> </w:t>
      </w:r>
      <w:r w:rsidRPr="00864087">
        <w:rPr>
          <w:rFonts w:ascii="Verdana" w:hAnsi="Verdana"/>
          <w:sz w:val="16"/>
          <w:szCs w:val="16"/>
        </w:rPr>
        <w:t>solución</w:t>
      </w:r>
      <w:r w:rsidRPr="00864087">
        <w:rPr>
          <w:rFonts w:ascii="Verdana" w:hAnsi="Verdana"/>
          <w:spacing w:val="-4"/>
          <w:sz w:val="16"/>
          <w:szCs w:val="16"/>
        </w:rPr>
        <w:t xml:space="preserve"> </w:t>
      </w:r>
      <w:r w:rsidRPr="00864087">
        <w:rPr>
          <w:rFonts w:ascii="Verdana" w:hAnsi="Verdana"/>
          <w:sz w:val="16"/>
          <w:szCs w:val="16"/>
        </w:rPr>
        <w:t>de</w:t>
      </w:r>
      <w:r w:rsidRPr="00864087">
        <w:rPr>
          <w:rFonts w:ascii="Verdana" w:hAnsi="Verdana"/>
          <w:spacing w:val="-4"/>
          <w:sz w:val="16"/>
          <w:szCs w:val="16"/>
        </w:rPr>
        <w:t xml:space="preserve"> </w:t>
      </w:r>
      <w:r w:rsidRPr="00864087">
        <w:rPr>
          <w:rFonts w:ascii="Verdana" w:hAnsi="Verdana"/>
          <w:sz w:val="16"/>
          <w:szCs w:val="16"/>
        </w:rPr>
        <w:t>continuidad</w:t>
      </w:r>
      <w:r w:rsidRPr="00864087">
        <w:rPr>
          <w:rFonts w:ascii="Verdana" w:hAnsi="Verdana"/>
          <w:spacing w:val="-4"/>
          <w:sz w:val="16"/>
          <w:szCs w:val="16"/>
        </w:rPr>
        <w:t xml:space="preserve"> </w:t>
      </w:r>
      <w:r w:rsidRPr="00864087">
        <w:rPr>
          <w:rFonts w:ascii="Verdana" w:hAnsi="Verdana"/>
          <w:sz w:val="16"/>
          <w:szCs w:val="16"/>
        </w:rPr>
        <w:t>en</w:t>
      </w:r>
      <w:r w:rsidRPr="00864087">
        <w:rPr>
          <w:rFonts w:ascii="Verdana" w:hAnsi="Verdana"/>
          <w:spacing w:val="-4"/>
          <w:sz w:val="16"/>
          <w:szCs w:val="16"/>
        </w:rPr>
        <w:t xml:space="preserve"> </w:t>
      </w:r>
      <w:r w:rsidRPr="00864087">
        <w:rPr>
          <w:rFonts w:ascii="Verdana" w:hAnsi="Verdana"/>
          <w:sz w:val="16"/>
          <w:szCs w:val="16"/>
        </w:rPr>
        <w:t>la</w:t>
      </w:r>
      <w:r w:rsidRPr="00864087">
        <w:rPr>
          <w:rFonts w:ascii="Verdana" w:hAnsi="Verdana"/>
          <w:spacing w:val="-4"/>
          <w:sz w:val="16"/>
          <w:szCs w:val="16"/>
        </w:rPr>
        <w:t xml:space="preserve"> </w:t>
      </w:r>
      <w:r w:rsidRPr="00864087">
        <w:rPr>
          <w:rFonts w:ascii="Verdana" w:hAnsi="Verdana"/>
          <w:sz w:val="16"/>
          <w:szCs w:val="16"/>
        </w:rPr>
        <w:t>existencia</w:t>
      </w:r>
      <w:r w:rsidRPr="00864087">
        <w:rPr>
          <w:rFonts w:ascii="Verdana" w:hAnsi="Verdana"/>
          <w:spacing w:val="-4"/>
          <w:sz w:val="16"/>
          <w:szCs w:val="16"/>
        </w:rPr>
        <w:t xml:space="preserve"> </w:t>
      </w:r>
      <w:r w:rsidRPr="00864087">
        <w:rPr>
          <w:rFonts w:ascii="Verdana" w:hAnsi="Verdana"/>
          <w:sz w:val="16"/>
          <w:szCs w:val="16"/>
        </w:rPr>
        <w:t>de</w:t>
      </w:r>
      <w:r w:rsidRPr="00864087">
        <w:rPr>
          <w:rFonts w:ascii="Verdana" w:hAnsi="Verdana"/>
          <w:spacing w:val="-4"/>
          <w:sz w:val="16"/>
          <w:szCs w:val="16"/>
        </w:rPr>
        <w:t xml:space="preserve"> </w:t>
      </w:r>
      <w:r w:rsidRPr="00864087">
        <w:rPr>
          <w:rFonts w:ascii="Verdana" w:hAnsi="Verdana"/>
          <w:sz w:val="16"/>
          <w:szCs w:val="16"/>
        </w:rPr>
        <w:t>la</w:t>
      </w:r>
      <w:r w:rsidRPr="00864087">
        <w:rPr>
          <w:rFonts w:ascii="Verdana" w:hAnsi="Verdana"/>
          <w:spacing w:val="-4"/>
          <w:sz w:val="16"/>
          <w:szCs w:val="16"/>
        </w:rPr>
        <w:t xml:space="preserve"> </w:t>
      </w:r>
      <w:r w:rsidRPr="00864087">
        <w:rPr>
          <w:rFonts w:ascii="Verdana" w:hAnsi="Verdana"/>
          <w:sz w:val="16"/>
          <w:szCs w:val="16"/>
        </w:rPr>
        <w:t>sociedad</w:t>
      </w:r>
      <w:r w:rsidRPr="00864087">
        <w:rPr>
          <w:rFonts w:ascii="Verdana" w:hAnsi="Verdana"/>
          <w:spacing w:val="-4"/>
          <w:sz w:val="16"/>
          <w:szCs w:val="16"/>
        </w:rPr>
        <w:t xml:space="preserve"> </w:t>
      </w:r>
      <w:r w:rsidRPr="00864087">
        <w:rPr>
          <w:rFonts w:ascii="Verdana" w:hAnsi="Verdana"/>
          <w:sz w:val="16"/>
          <w:szCs w:val="16"/>
        </w:rPr>
        <w:t>como</w:t>
      </w:r>
      <w:r w:rsidRPr="00864087">
        <w:rPr>
          <w:rFonts w:ascii="Verdana" w:hAnsi="Verdana"/>
          <w:spacing w:val="-4"/>
          <w:sz w:val="16"/>
          <w:szCs w:val="16"/>
        </w:rPr>
        <w:t xml:space="preserve"> </w:t>
      </w:r>
      <w:r w:rsidRPr="00864087">
        <w:rPr>
          <w:rFonts w:ascii="Verdana" w:hAnsi="Verdana"/>
          <w:sz w:val="16"/>
          <w:szCs w:val="16"/>
        </w:rPr>
        <w:t>persona</w:t>
      </w:r>
      <w:r w:rsidRPr="00864087">
        <w:rPr>
          <w:rFonts w:ascii="Verdana" w:hAnsi="Verdana"/>
          <w:spacing w:val="-4"/>
          <w:sz w:val="16"/>
          <w:szCs w:val="16"/>
        </w:rPr>
        <w:t xml:space="preserve"> </w:t>
      </w:r>
      <w:r w:rsidRPr="00864087">
        <w:rPr>
          <w:rFonts w:ascii="Verdana" w:hAnsi="Verdana"/>
          <w:sz w:val="16"/>
          <w:szCs w:val="16"/>
        </w:rPr>
        <w:t>jurídica,</w:t>
      </w:r>
      <w:r w:rsidRPr="00864087">
        <w:rPr>
          <w:rFonts w:ascii="Verdana" w:hAnsi="Verdana"/>
          <w:spacing w:val="-4"/>
          <w:sz w:val="16"/>
          <w:szCs w:val="16"/>
        </w:rPr>
        <w:t xml:space="preserve"> </w:t>
      </w:r>
      <w:r w:rsidRPr="00864087">
        <w:rPr>
          <w:rFonts w:ascii="Verdana" w:hAnsi="Verdana"/>
          <w:sz w:val="16"/>
          <w:szCs w:val="16"/>
        </w:rPr>
        <w:t>ni en sus actividades ni en su patrimonio”.</w:t>
      </w:r>
    </w:p>
    <w:p w14:paraId="6F801FED" w14:textId="77777777" w:rsidR="009D767D" w:rsidRPr="00864087" w:rsidRDefault="009D767D" w:rsidP="009D767D">
      <w:pPr>
        <w:pStyle w:val="Textonotapie"/>
        <w:ind w:firstLine="709"/>
        <w:jc w:val="both"/>
        <w:rPr>
          <w:rFonts w:ascii="Verdana" w:hAnsi="Verdana"/>
          <w:sz w:val="16"/>
          <w:szCs w:val="16"/>
          <w:lang w:val="es-ES"/>
        </w:rPr>
      </w:pPr>
    </w:p>
  </w:footnote>
  <w:footnote w:id="3">
    <w:p w14:paraId="2155BE63" w14:textId="77777777" w:rsidR="009D767D" w:rsidRPr="00864087" w:rsidRDefault="009D767D" w:rsidP="009D767D">
      <w:pPr>
        <w:spacing w:after="0" w:line="240" w:lineRule="auto"/>
        <w:ind w:left="869" w:right="49"/>
        <w:jc w:val="both"/>
        <w:rPr>
          <w:rFonts w:ascii="Verdana" w:hAnsi="Verdana"/>
          <w:sz w:val="16"/>
          <w:szCs w:val="16"/>
          <w:lang w:val="es-ES"/>
        </w:rPr>
      </w:pPr>
      <w:r w:rsidRPr="00864087">
        <w:rPr>
          <w:rStyle w:val="Refdenotaalpie"/>
          <w:rFonts w:ascii="Verdana" w:hAnsi="Verdana"/>
          <w:sz w:val="16"/>
          <w:szCs w:val="16"/>
        </w:rPr>
        <w:footnoteRef/>
      </w:r>
      <w:r w:rsidRPr="00864087">
        <w:rPr>
          <w:rFonts w:ascii="Verdana" w:hAnsi="Verdana"/>
          <w:sz w:val="16"/>
          <w:szCs w:val="16"/>
        </w:rPr>
        <w:t xml:space="preserve"> Ley</w:t>
      </w:r>
      <w:r w:rsidRPr="00864087">
        <w:rPr>
          <w:rFonts w:ascii="Verdana" w:hAnsi="Verdana"/>
          <w:spacing w:val="-8"/>
          <w:sz w:val="16"/>
          <w:szCs w:val="16"/>
        </w:rPr>
        <w:t xml:space="preserve"> </w:t>
      </w:r>
      <w:r w:rsidRPr="00864087">
        <w:rPr>
          <w:rFonts w:ascii="Verdana" w:hAnsi="Verdana"/>
          <w:sz w:val="16"/>
          <w:szCs w:val="16"/>
        </w:rPr>
        <w:t>222</w:t>
      </w:r>
      <w:r w:rsidRPr="00864087">
        <w:rPr>
          <w:rFonts w:ascii="Verdana" w:hAnsi="Verdana"/>
          <w:spacing w:val="-8"/>
          <w:sz w:val="16"/>
          <w:szCs w:val="16"/>
        </w:rPr>
        <w:t xml:space="preserve"> </w:t>
      </w:r>
      <w:r w:rsidRPr="00864087">
        <w:rPr>
          <w:rFonts w:ascii="Verdana" w:hAnsi="Verdana"/>
          <w:sz w:val="16"/>
          <w:szCs w:val="16"/>
        </w:rPr>
        <w:t>de</w:t>
      </w:r>
      <w:r w:rsidRPr="00864087">
        <w:rPr>
          <w:rFonts w:ascii="Verdana" w:hAnsi="Verdana"/>
          <w:spacing w:val="-7"/>
          <w:sz w:val="16"/>
          <w:szCs w:val="16"/>
        </w:rPr>
        <w:t xml:space="preserve"> </w:t>
      </w:r>
      <w:r w:rsidRPr="00864087">
        <w:rPr>
          <w:rFonts w:ascii="Verdana" w:hAnsi="Verdana"/>
          <w:sz w:val="16"/>
          <w:szCs w:val="16"/>
        </w:rPr>
        <w:t>1995:</w:t>
      </w:r>
      <w:r w:rsidRPr="00864087">
        <w:rPr>
          <w:rFonts w:ascii="Verdana" w:hAnsi="Verdana"/>
          <w:spacing w:val="-5"/>
          <w:sz w:val="16"/>
          <w:szCs w:val="16"/>
        </w:rPr>
        <w:t xml:space="preserve"> </w:t>
      </w:r>
      <w:r w:rsidRPr="00864087">
        <w:rPr>
          <w:rFonts w:ascii="Verdana" w:hAnsi="Verdana"/>
          <w:sz w:val="16"/>
          <w:szCs w:val="16"/>
        </w:rPr>
        <w:t>“Artículo</w:t>
      </w:r>
      <w:r w:rsidRPr="00864087">
        <w:rPr>
          <w:rFonts w:ascii="Verdana" w:hAnsi="Verdana"/>
          <w:spacing w:val="-7"/>
          <w:sz w:val="16"/>
          <w:szCs w:val="16"/>
        </w:rPr>
        <w:t xml:space="preserve"> </w:t>
      </w:r>
      <w:r w:rsidRPr="00864087">
        <w:rPr>
          <w:rFonts w:ascii="Verdana" w:hAnsi="Verdana"/>
          <w:sz w:val="16"/>
          <w:szCs w:val="16"/>
        </w:rPr>
        <w:t>3.</w:t>
      </w:r>
      <w:r w:rsidRPr="00864087">
        <w:rPr>
          <w:rFonts w:ascii="Verdana" w:hAnsi="Verdana"/>
          <w:spacing w:val="-8"/>
          <w:sz w:val="16"/>
          <w:szCs w:val="16"/>
        </w:rPr>
        <w:t xml:space="preserve"> </w:t>
      </w:r>
      <w:r w:rsidRPr="00864087">
        <w:rPr>
          <w:rFonts w:ascii="Verdana" w:hAnsi="Verdana"/>
          <w:sz w:val="16"/>
          <w:szCs w:val="16"/>
        </w:rPr>
        <w:t>Modalidades.</w:t>
      </w:r>
      <w:r w:rsidRPr="00864087">
        <w:rPr>
          <w:rFonts w:ascii="Verdana" w:hAnsi="Verdana"/>
          <w:spacing w:val="-8"/>
          <w:sz w:val="16"/>
          <w:szCs w:val="16"/>
        </w:rPr>
        <w:t xml:space="preserve"> </w:t>
      </w:r>
      <w:r w:rsidRPr="00864087">
        <w:rPr>
          <w:rFonts w:ascii="Verdana" w:hAnsi="Verdana"/>
          <w:sz w:val="16"/>
          <w:szCs w:val="16"/>
        </w:rPr>
        <w:t>Habrá</w:t>
      </w:r>
      <w:r w:rsidRPr="00864087">
        <w:rPr>
          <w:rFonts w:ascii="Verdana" w:hAnsi="Verdana"/>
          <w:spacing w:val="-8"/>
          <w:sz w:val="16"/>
          <w:szCs w:val="16"/>
        </w:rPr>
        <w:t xml:space="preserve"> </w:t>
      </w:r>
      <w:r w:rsidRPr="00864087">
        <w:rPr>
          <w:rFonts w:ascii="Verdana" w:hAnsi="Verdana"/>
          <w:sz w:val="16"/>
          <w:szCs w:val="16"/>
        </w:rPr>
        <w:t>escisión</w:t>
      </w:r>
      <w:r w:rsidRPr="00864087">
        <w:rPr>
          <w:rFonts w:ascii="Verdana" w:hAnsi="Verdana"/>
          <w:spacing w:val="-7"/>
          <w:sz w:val="16"/>
          <w:szCs w:val="16"/>
        </w:rPr>
        <w:t xml:space="preserve"> </w:t>
      </w:r>
      <w:r w:rsidRPr="00864087">
        <w:rPr>
          <w:rFonts w:ascii="Verdana" w:hAnsi="Verdana"/>
          <w:spacing w:val="-2"/>
          <w:sz w:val="16"/>
          <w:szCs w:val="16"/>
        </w:rPr>
        <w:t>cuando:</w:t>
      </w:r>
    </w:p>
    <w:p w14:paraId="71759608" w14:textId="77777777" w:rsidR="009D767D" w:rsidRPr="00864087" w:rsidRDefault="009D767D" w:rsidP="009D767D">
      <w:pPr>
        <w:pStyle w:val="Prrafodelista"/>
        <w:widowControl w:val="0"/>
        <w:numPr>
          <w:ilvl w:val="0"/>
          <w:numId w:val="23"/>
        </w:numPr>
        <w:tabs>
          <w:tab w:val="left" w:pos="1046"/>
        </w:tabs>
        <w:autoSpaceDE w:val="0"/>
        <w:autoSpaceDN w:val="0"/>
        <w:spacing w:after="0" w:line="240" w:lineRule="auto"/>
        <w:ind w:left="160" w:right="49" w:firstLine="708"/>
        <w:jc w:val="both"/>
        <w:rPr>
          <w:rFonts w:ascii="Verdana" w:hAnsi="Verdana"/>
          <w:sz w:val="16"/>
          <w:szCs w:val="16"/>
        </w:rPr>
      </w:pPr>
      <w:r w:rsidRPr="00864087">
        <w:rPr>
          <w:rFonts w:ascii="Verdana" w:hAnsi="Verdana"/>
          <w:sz w:val="16"/>
          <w:szCs w:val="16"/>
        </w:rPr>
        <w:t>Una sociedad sin disolverse, transfiere en bloque una o varias partes de su patrimonio a una o más sociedades existentes o las destina a la creación de una o varias sociedades.</w:t>
      </w:r>
    </w:p>
    <w:p w14:paraId="4709A858" w14:textId="77777777" w:rsidR="009D767D" w:rsidRPr="00864087" w:rsidRDefault="009D767D" w:rsidP="009D767D">
      <w:pPr>
        <w:pStyle w:val="Prrafodelista"/>
        <w:widowControl w:val="0"/>
        <w:numPr>
          <w:ilvl w:val="0"/>
          <w:numId w:val="23"/>
        </w:numPr>
        <w:tabs>
          <w:tab w:val="left" w:pos="1037"/>
        </w:tabs>
        <w:autoSpaceDE w:val="0"/>
        <w:autoSpaceDN w:val="0"/>
        <w:spacing w:after="0" w:line="240" w:lineRule="auto"/>
        <w:ind w:left="160" w:right="49" w:firstLine="708"/>
        <w:jc w:val="both"/>
        <w:rPr>
          <w:rFonts w:ascii="Verdana" w:hAnsi="Verdana"/>
          <w:sz w:val="16"/>
          <w:szCs w:val="16"/>
        </w:rPr>
      </w:pPr>
      <w:r w:rsidRPr="00864087">
        <w:rPr>
          <w:rFonts w:ascii="Verdana" w:hAnsi="Verdana"/>
          <w:sz w:val="16"/>
          <w:szCs w:val="16"/>
        </w:rPr>
        <w:t>Una</w:t>
      </w:r>
      <w:r w:rsidRPr="00864087">
        <w:rPr>
          <w:rFonts w:ascii="Verdana" w:hAnsi="Verdana"/>
          <w:spacing w:val="-10"/>
          <w:sz w:val="16"/>
          <w:szCs w:val="16"/>
        </w:rPr>
        <w:t xml:space="preserve"> </w:t>
      </w:r>
      <w:r w:rsidRPr="00864087">
        <w:rPr>
          <w:rFonts w:ascii="Verdana" w:hAnsi="Verdana"/>
          <w:sz w:val="16"/>
          <w:szCs w:val="16"/>
        </w:rPr>
        <w:t>sociedad</w:t>
      </w:r>
      <w:r w:rsidRPr="00864087">
        <w:rPr>
          <w:rFonts w:ascii="Verdana" w:hAnsi="Verdana"/>
          <w:spacing w:val="-9"/>
          <w:sz w:val="16"/>
          <w:szCs w:val="16"/>
        </w:rPr>
        <w:t xml:space="preserve"> </w:t>
      </w:r>
      <w:r w:rsidRPr="00864087">
        <w:rPr>
          <w:rFonts w:ascii="Verdana" w:hAnsi="Verdana"/>
          <w:sz w:val="16"/>
          <w:szCs w:val="16"/>
        </w:rPr>
        <w:t>se</w:t>
      </w:r>
      <w:r w:rsidRPr="00864087">
        <w:rPr>
          <w:rFonts w:ascii="Verdana" w:hAnsi="Verdana"/>
          <w:spacing w:val="-10"/>
          <w:sz w:val="16"/>
          <w:szCs w:val="16"/>
        </w:rPr>
        <w:t xml:space="preserve"> </w:t>
      </w:r>
      <w:r w:rsidRPr="00864087">
        <w:rPr>
          <w:rFonts w:ascii="Verdana" w:hAnsi="Verdana"/>
          <w:sz w:val="16"/>
          <w:szCs w:val="16"/>
        </w:rPr>
        <w:t>disuelve</w:t>
      </w:r>
      <w:r w:rsidRPr="00864087">
        <w:rPr>
          <w:rFonts w:ascii="Verdana" w:hAnsi="Verdana"/>
          <w:spacing w:val="-9"/>
          <w:sz w:val="16"/>
          <w:szCs w:val="16"/>
        </w:rPr>
        <w:t xml:space="preserve"> </w:t>
      </w:r>
      <w:r w:rsidRPr="00864087">
        <w:rPr>
          <w:rFonts w:ascii="Verdana" w:hAnsi="Verdana"/>
          <w:sz w:val="16"/>
          <w:szCs w:val="16"/>
        </w:rPr>
        <w:t>sin</w:t>
      </w:r>
      <w:r w:rsidRPr="00864087">
        <w:rPr>
          <w:rFonts w:ascii="Verdana" w:hAnsi="Verdana"/>
          <w:spacing w:val="-10"/>
          <w:sz w:val="16"/>
          <w:szCs w:val="16"/>
        </w:rPr>
        <w:t xml:space="preserve"> </w:t>
      </w:r>
      <w:r w:rsidRPr="00864087">
        <w:rPr>
          <w:rFonts w:ascii="Verdana" w:hAnsi="Verdana"/>
          <w:sz w:val="16"/>
          <w:szCs w:val="16"/>
        </w:rPr>
        <w:t>liquidarse,</w:t>
      </w:r>
      <w:r w:rsidRPr="00864087">
        <w:rPr>
          <w:rFonts w:ascii="Verdana" w:hAnsi="Verdana"/>
          <w:spacing w:val="-8"/>
          <w:sz w:val="16"/>
          <w:szCs w:val="16"/>
        </w:rPr>
        <w:t xml:space="preserve"> </w:t>
      </w:r>
      <w:r w:rsidRPr="00864087">
        <w:rPr>
          <w:rFonts w:ascii="Verdana" w:hAnsi="Verdana"/>
          <w:sz w:val="16"/>
          <w:szCs w:val="16"/>
        </w:rPr>
        <w:t>dividiendo</w:t>
      </w:r>
      <w:r w:rsidRPr="00864087">
        <w:rPr>
          <w:rFonts w:ascii="Verdana" w:hAnsi="Verdana"/>
          <w:spacing w:val="-9"/>
          <w:sz w:val="16"/>
          <w:szCs w:val="16"/>
        </w:rPr>
        <w:t xml:space="preserve"> </w:t>
      </w:r>
      <w:r w:rsidRPr="00864087">
        <w:rPr>
          <w:rFonts w:ascii="Verdana" w:hAnsi="Verdana"/>
          <w:sz w:val="16"/>
          <w:szCs w:val="16"/>
        </w:rPr>
        <w:t>su</w:t>
      </w:r>
      <w:r w:rsidRPr="00864087">
        <w:rPr>
          <w:rFonts w:ascii="Verdana" w:hAnsi="Verdana"/>
          <w:spacing w:val="-10"/>
          <w:sz w:val="16"/>
          <w:szCs w:val="16"/>
        </w:rPr>
        <w:t xml:space="preserve"> </w:t>
      </w:r>
      <w:r w:rsidRPr="00864087">
        <w:rPr>
          <w:rFonts w:ascii="Verdana" w:hAnsi="Verdana"/>
          <w:sz w:val="16"/>
          <w:szCs w:val="16"/>
        </w:rPr>
        <w:t>patrimonio</w:t>
      </w:r>
      <w:r w:rsidRPr="00864087">
        <w:rPr>
          <w:rFonts w:ascii="Verdana" w:hAnsi="Verdana"/>
          <w:spacing w:val="-9"/>
          <w:sz w:val="16"/>
          <w:szCs w:val="16"/>
        </w:rPr>
        <w:t xml:space="preserve"> </w:t>
      </w:r>
      <w:r w:rsidRPr="00864087">
        <w:rPr>
          <w:rFonts w:ascii="Verdana" w:hAnsi="Verdana"/>
          <w:sz w:val="16"/>
          <w:szCs w:val="16"/>
        </w:rPr>
        <w:t>en</w:t>
      </w:r>
      <w:r w:rsidRPr="00864087">
        <w:rPr>
          <w:rFonts w:ascii="Verdana" w:hAnsi="Verdana"/>
          <w:spacing w:val="-10"/>
          <w:sz w:val="16"/>
          <w:szCs w:val="16"/>
        </w:rPr>
        <w:t xml:space="preserve"> </w:t>
      </w:r>
      <w:r w:rsidRPr="00864087">
        <w:rPr>
          <w:rFonts w:ascii="Verdana" w:hAnsi="Verdana"/>
          <w:sz w:val="16"/>
          <w:szCs w:val="16"/>
        </w:rPr>
        <w:t>dos</w:t>
      </w:r>
      <w:r w:rsidRPr="00864087">
        <w:rPr>
          <w:rFonts w:ascii="Verdana" w:hAnsi="Verdana"/>
          <w:spacing w:val="-10"/>
          <w:sz w:val="16"/>
          <w:szCs w:val="16"/>
        </w:rPr>
        <w:t xml:space="preserve"> </w:t>
      </w:r>
      <w:r w:rsidRPr="00864087">
        <w:rPr>
          <w:rFonts w:ascii="Verdana" w:hAnsi="Verdana"/>
          <w:sz w:val="16"/>
          <w:szCs w:val="16"/>
        </w:rPr>
        <w:t>o</w:t>
      </w:r>
      <w:r w:rsidRPr="00864087">
        <w:rPr>
          <w:rFonts w:ascii="Verdana" w:hAnsi="Verdana"/>
          <w:spacing w:val="-10"/>
          <w:sz w:val="16"/>
          <w:szCs w:val="16"/>
        </w:rPr>
        <w:t xml:space="preserve"> </w:t>
      </w:r>
      <w:r w:rsidRPr="00864087">
        <w:rPr>
          <w:rFonts w:ascii="Verdana" w:hAnsi="Verdana"/>
          <w:sz w:val="16"/>
          <w:szCs w:val="16"/>
        </w:rPr>
        <w:t>más</w:t>
      </w:r>
      <w:r w:rsidRPr="00864087">
        <w:rPr>
          <w:rFonts w:ascii="Verdana" w:hAnsi="Verdana"/>
          <w:spacing w:val="-10"/>
          <w:sz w:val="16"/>
          <w:szCs w:val="16"/>
        </w:rPr>
        <w:t xml:space="preserve"> </w:t>
      </w:r>
      <w:r w:rsidRPr="00864087">
        <w:rPr>
          <w:rFonts w:ascii="Verdana" w:hAnsi="Verdana"/>
          <w:sz w:val="16"/>
          <w:szCs w:val="16"/>
        </w:rPr>
        <w:t>partes,</w:t>
      </w:r>
      <w:r w:rsidRPr="00864087">
        <w:rPr>
          <w:rFonts w:ascii="Verdana" w:hAnsi="Verdana"/>
          <w:spacing w:val="-9"/>
          <w:sz w:val="16"/>
          <w:szCs w:val="16"/>
        </w:rPr>
        <w:t xml:space="preserve"> </w:t>
      </w:r>
      <w:r w:rsidRPr="00864087">
        <w:rPr>
          <w:rFonts w:ascii="Verdana" w:hAnsi="Verdana"/>
          <w:sz w:val="16"/>
          <w:szCs w:val="16"/>
        </w:rPr>
        <w:t>que</w:t>
      </w:r>
      <w:r w:rsidRPr="00864087">
        <w:rPr>
          <w:rFonts w:ascii="Verdana" w:hAnsi="Verdana"/>
          <w:spacing w:val="-10"/>
          <w:sz w:val="16"/>
          <w:szCs w:val="16"/>
        </w:rPr>
        <w:t xml:space="preserve"> </w:t>
      </w:r>
      <w:r w:rsidRPr="00864087">
        <w:rPr>
          <w:rFonts w:ascii="Verdana" w:hAnsi="Verdana"/>
          <w:sz w:val="16"/>
          <w:szCs w:val="16"/>
        </w:rPr>
        <w:t>se</w:t>
      </w:r>
      <w:r w:rsidRPr="00864087">
        <w:rPr>
          <w:rFonts w:ascii="Verdana" w:hAnsi="Verdana"/>
          <w:spacing w:val="-10"/>
          <w:sz w:val="16"/>
          <w:szCs w:val="16"/>
        </w:rPr>
        <w:t xml:space="preserve"> </w:t>
      </w:r>
      <w:r w:rsidRPr="00864087">
        <w:rPr>
          <w:rFonts w:ascii="Verdana" w:hAnsi="Verdana"/>
          <w:sz w:val="16"/>
          <w:szCs w:val="16"/>
        </w:rPr>
        <w:t>transfieren</w:t>
      </w:r>
      <w:r w:rsidRPr="00864087">
        <w:rPr>
          <w:rFonts w:ascii="Verdana" w:hAnsi="Verdana"/>
          <w:spacing w:val="-10"/>
          <w:sz w:val="16"/>
          <w:szCs w:val="16"/>
        </w:rPr>
        <w:t xml:space="preserve"> </w:t>
      </w:r>
      <w:r w:rsidRPr="00864087">
        <w:rPr>
          <w:rFonts w:ascii="Verdana" w:hAnsi="Verdana"/>
          <w:sz w:val="16"/>
          <w:szCs w:val="16"/>
        </w:rPr>
        <w:t>a</w:t>
      </w:r>
      <w:r w:rsidRPr="00864087">
        <w:rPr>
          <w:rFonts w:ascii="Verdana" w:hAnsi="Verdana"/>
          <w:spacing w:val="-10"/>
          <w:sz w:val="16"/>
          <w:szCs w:val="16"/>
        </w:rPr>
        <w:t xml:space="preserve"> </w:t>
      </w:r>
      <w:r w:rsidRPr="00864087">
        <w:rPr>
          <w:rFonts w:ascii="Verdana" w:hAnsi="Verdana"/>
          <w:sz w:val="16"/>
          <w:szCs w:val="16"/>
        </w:rPr>
        <w:t>varias sociedades existentes o se destinan a la creación de nuevas sociedades.</w:t>
      </w:r>
    </w:p>
    <w:p w14:paraId="588C0020" w14:textId="77777777" w:rsidR="009D767D" w:rsidRPr="00864087" w:rsidRDefault="009D767D" w:rsidP="009D767D">
      <w:pPr>
        <w:spacing w:after="0" w:line="240" w:lineRule="auto"/>
        <w:ind w:left="160" w:right="49" w:firstLine="708"/>
        <w:jc w:val="both"/>
        <w:rPr>
          <w:rFonts w:ascii="Verdana" w:hAnsi="Verdana"/>
          <w:sz w:val="16"/>
          <w:szCs w:val="16"/>
        </w:rPr>
      </w:pPr>
      <w:r w:rsidRPr="00864087">
        <w:rPr>
          <w:rFonts w:ascii="Verdana" w:hAnsi="Verdana"/>
          <w:sz w:val="16"/>
          <w:szCs w:val="16"/>
        </w:rPr>
        <w:t>La</w:t>
      </w:r>
      <w:r w:rsidRPr="00864087">
        <w:rPr>
          <w:rFonts w:ascii="Verdana" w:hAnsi="Verdana"/>
          <w:spacing w:val="-12"/>
          <w:sz w:val="16"/>
          <w:szCs w:val="16"/>
        </w:rPr>
        <w:t xml:space="preserve"> </w:t>
      </w:r>
      <w:r w:rsidRPr="00864087">
        <w:rPr>
          <w:rFonts w:ascii="Verdana" w:hAnsi="Verdana"/>
          <w:sz w:val="16"/>
          <w:szCs w:val="16"/>
        </w:rPr>
        <w:t>sociedad</w:t>
      </w:r>
      <w:r w:rsidRPr="00864087">
        <w:rPr>
          <w:rFonts w:ascii="Verdana" w:hAnsi="Verdana"/>
          <w:spacing w:val="-11"/>
          <w:sz w:val="16"/>
          <w:szCs w:val="16"/>
        </w:rPr>
        <w:t xml:space="preserve"> </w:t>
      </w:r>
      <w:r w:rsidRPr="00864087">
        <w:rPr>
          <w:rFonts w:ascii="Verdana" w:hAnsi="Verdana"/>
          <w:sz w:val="16"/>
          <w:szCs w:val="16"/>
        </w:rPr>
        <w:t>o</w:t>
      </w:r>
      <w:r w:rsidRPr="00864087">
        <w:rPr>
          <w:rFonts w:ascii="Verdana" w:hAnsi="Verdana"/>
          <w:spacing w:val="-11"/>
          <w:sz w:val="16"/>
          <w:szCs w:val="16"/>
        </w:rPr>
        <w:t xml:space="preserve"> </w:t>
      </w:r>
      <w:r w:rsidRPr="00864087">
        <w:rPr>
          <w:rFonts w:ascii="Verdana" w:hAnsi="Verdana"/>
          <w:sz w:val="16"/>
          <w:szCs w:val="16"/>
        </w:rPr>
        <w:t>sociedades</w:t>
      </w:r>
      <w:r w:rsidRPr="00864087">
        <w:rPr>
          <w:rFonts w:ascii="Verdana" w:hAnsi="Verdana"/>
          <w:spacing w:val="-11"/>
          <w:sz w:val="16"/>
          <w:szCs w:val="16"/>
        </w:rPr>
        <w:t xml:space="preserve"> </w:t>
      </w:r>
      <w:r w:rsidRPr="00864087">
        <w:rPr>
          <w:rFonts w:ascii="Verdana" w:hAnsi="Verdana"/>
          <w:sz w:val="16"/>
          <w:szCs w:val="16"/>
        </w:rPr>
        <w:t>destinatarias</w:t>
      </w:r>
      <w:r w:rsidRPr="00864087">
        <w:rPr>
          <w:rFonts w:ascii="Verdana" w:hAnsi="Verdana"/>
          <w:spacing w:val="-11"/>
          <w:sz w:val="16"/>
          <w:szCs w:val="16"/>
        </w:rPr>
        <w:t xml:space="preserve"> </w:t>
      </w:r>
      <w:r w:rsidRPr="00864087">
        <w:rPr>
          <w:rFonts w:ascii="Verdana" w:hAnsi="Verdana"/>
          <w:sz w:val="16"/>
          <w:szCs w:val="16"/>
        </w:rPr>
        <w:t>de</w:t>
      </w:r>
      <w:r w:rsidRPr="00864087">
        <w:rPr>
          <w:rFonts w:ascii="Verdana" w:hAnsi="Verdana"/>
          <w:spacing w:val="-11"/>
          <w:sz w:val="16"/>
          <w:szCs w:val="16"/>
        </w:rPr>
        <w:t xml:space="preserve"> </w:t>
      </w:r>
      <w:r w:rsidRPr="00864087">
        <w:rPr>
          <w:rFonts w:ascii="Verdana" w:hAnsi="Verdana"/>
          <w:sz w:val="16"/>
          <w:szCs w:val="16"/>
        </w:rPr>
        <w:t>las</w:t>
      </w:r>
      <w:r w:rsidRPr="00864087">
        <w:rPr>
          <w:rFonts w:ascii="Verdana" w:hAnsi="Verdana"/>
          <w:spacing w:val="-11"/>
          <w:sz w:val="16"/>
          <w:szCs w:val="16"/>
        </w:rPr>
        <w:t xml:space="preserve"> </w:t>
      </w:r>
      <w:r w:rsidRPr="00864087">
        <w:rPr>
          <w:rFonts w:ascii="Verdana" w:hAnsi="Verdana"/>
          <w:sz w:val="16"/>
          <w:szCs w:val="16"/>
        </w:rPr>
        <w:t>transferencias</w:t>
      </w:r>
      <w:r w:rsidRPr="00864087">
        <w:rPr>
          <w:rFonts w:ascii="Verdana" w:hAnsi="Verdana"/>
          <w:spacing w:val="-11"/>
          <w:sz w:val="16"/>
          <w:szCs w:val="16"/>
        </w:rPr>
        <w:t xml:space="preserve"> </w:t>
      </w:r>
      <w:r w:rsidRPr="00864087">
        <w:rPr>
          <w:rFonts w:ascii="Verdana" w:hAnsi="Verdana"/>
          <w:sz w:val="16"/>
          <w:szCs w:val="16"/>
        </w:rPr>
        <w:t>resultantes</w:t>
      </w:r>
      <w:r w:rsidRPr="00864087">
        <w:rPr>
          <w:rFonts w:ascii="Verdana" w:hAnsi="Verdana"/>
          <w:spacing w:val="-12"/>
          <w:sz w:val="16"/>
          <w:szCs w:val="16"/>
        </w:rPr>
        <w:t xml:space="preserve"> </w:t>
      </w:r>
      <w:r w:rsidRPr="00864087">
        <w:rPr>
          <w:rFonts w:ascii="Verdana" w:hAnsi="Verdana"/>
          <w:sz w:val="16"/>
          <w:szCs w:val="16"/>
        </w:rPr>
        <w:t>de</w:t>
      </w:r>
      <w:r w:rsidRPr="00864087">
        <w:rPr>
          <w:rFonts w:ascii="Verdana" w:hAnsi="Verdana"/>
          <w:spacing w:val="-11"/>
          <w:sz w:val="16"/>
          <w:szCs w:val="16"/>
        </w:rPr>
        <w:t xml:space="preserve"> </w:t>
      </w:r>
      <w:r w:rsidRPr="00864087">
        <w:rPr>
          <w:rFonts w:ascii="Verdana" w:hAnsi="Verdana"/>
          <w:sz w:val="16"/>
          <w:szCs w:val="16"/>
        </w:rPr>
        <w:t>la</w:t>
      </w:r>
      <w:r w:rsidRPr="00864087">
        <w:rPr>
          <w:rFonts w:ascii="Verdana" w:hAnsi="Verdana"/>
          <w:spacing w:val="-11"/>
          <w:sz w:val="16"/>
          <w:szCs w:val="16"/>
        </w:rPr>
        <w:t xml:space="preserve"> </w:t>
      </w:r>
      <w:r w:rsidRPr="00864087">
        <w:rPr>
          <w:rFonts w:ascii="Verdana" w:hAnsi="Verdana"/>
          <w:sz w:val="16"/>
          <w:szCs w:val="16"/>
        </w:rPr>
        <w:t>escisión,</w:t>
      </w:r>
      <w:r w:rsidRPr="00864087">
        <w:rPr>
          <w:rFonts w:ascii="Verdana" w:hAnsi="Verdana"/>
          <w:spacing w:val="-11"/>
          <w:sz w:val="16"/>
          <w:szCs w:val="16"/>
        </w:rPr>
        <w:t xml:space="preserve"> </w:t>
      </w:r>
      <w:r w:rsidRPr="00864087">
        <w:rPr>
          <w:rFonts w:ascii="Verdana" w:hAnsi="Verdana"/>
          <w:sz w:val="16"/>
          <w:szCs w:val="16"/>
        </w:rPr>
        <w:t>se</w:t>
      </w:r>
      <w:r w:rsidRPr="00864087">
        <w:rPr>
          <w:rFonts w:ascii="Verdana" w:hAnsi="Verdana"/>
          <w:spacing w:val="-11"/>
          <w:sz w:val="16"/>
          <w:szCs w:val="16"/>
        </w:rPr>
        <w:t xml:space="preserve"> </w:t>
      </w:r>
      <w:r w:rsidRPr="00864087">
        <w:rPr>
          <w:rFonts w:ascii="Verdana" w:hAnsi="Verdana"/>
          <w:sz w:val="16"/>
          <w:szCs w:val="16"/>
        </w:rPr>
        <w:t>denominarán</w:t>
      </w:r>
      <w:r w:rsidRPr="00864087">
        <w:rPr>
          <w:rFonts w:ascii="Verdana" w:hAnsi="Verdana"/>
          <w:spacing w:val="-11"/>
          <w:sz w:val="16"/>
          <w:szCs w:val="16"/>
        </w:rPr>
        <w:t xml:space="preserve"> </w:t>
      </w:r>
      <w:r w:rsidRPr="00864087">
        <w:rPr>
          <w:rFonts w:ascii="Verdana" w:hAnsi="Verdana"/>
          <w:sz w:val="16"/>
          <w:szCs w:val="16"/>
        </w:rPr>
        <w:t xml:space="preserve">sociedades </w:t>
      </w:r>
      <w:r w:rsidRPr="00864087">
        <w:rPr>
          <w:rFonts w:ascii="Verdana" w:hAnsi="Verdana"/>
          <w:spacing w:val="-2"/>
          <w:sz w:val="16"/>
          <w:szCs w:val="16"/>
        </w:rPr>
        <w:t>beneficiarias.</w:t>
      </w:r>
    </w:p>
    <w:p w14:paraId="0DEDA265" w14:textId="77777777" w:rsidR="009D767D" w:rsidRPr="00864087" w:rsidRDefault="009D767D" w:rsidP="009D767D">
      <w:pPr>
        <w:spacing w:after="0" w:line="240" w:lineRule="auto"/>
        <w:ind w:left="160" w:right="49" w:firstLine="708"/>
        <w:jc w:val="both"/>
        <w:rPr>
          <w:rFonts w:ascii="Verdana" w:hAnsi="Verdana"/>
          <w:sz w:val="16"/>
          <w:szCs w:val="16"/>
        </w:rPr>
      </w:pPr>
      <w:r w:rsidRPr="00864087">
        <w:rPr>
          <w:rFonts w:ascii="Verdana" w:hAnsi="Verdana"/>
          <w:sz w:val="16"/>
          <w:szCs w:val="16"/>
        </w:rPr>
        <w:t>Los socios de la sociedad escindida participarán en el capital de las Sociedades beneficiarias en la misma proporción que tengan en aquélla, salvo que por unanimidad de las acciones, cuotas sociales o partes de interés representadas en la asamblea o junta de socios de la escindente, se apruebe una participación diferente”.</w:t>
      </w:r>
    </w:p>
    <w:p w14:paraId="707BBD34" w14:textId="77777777" w:rsidR="009D767D" w:rsidRPr="00864087" w:rsidRDefault="009D767D" w:rsidP="009D767D">
      <w:pPr>
        <w:pStyle w:val="Textonotapie"/>
        <w:jc w:val="both"/>
        <w:rPr>
          <w:rFonts w:ascii="Verdana" w:hAnsi="Verdana"/>
          <w:sz w:val="16"/>
          <w:szCs w:val="16"/>
          <w:lang w:val="es-ES"/>
        </w:rPr>
      </w:pPr>
      <w:r w:rsidRPr="00864087">
        <w:rPr>
          <w:rFonts w:ascii="Verdana" w:hAnsi="Verdana"/>
          <w:sz w:val="16"/>
          <w:szCs w:val="16"/>
          <w:lang w:val="es-ES"/>
        </w:rPr>
        <w:tab/>
      </w:r>
    </w:p>
  </w:footnote>
  <w:footnote w:id="4">
    <w:p w14:paraId="56165CCA" w14:textId="77777777" w:rsidR="009D767D" w:rsidRPr="00864087" w:rsidRDefault="009D767D" w:rsidP="009D767D">
      <w:pPr>
        <w:pStyle w:val="Textonotapie"/>
        <w:ind w:firstLine="709"/>
        <w:jc w:val="both"/>
        <w:rPr>
          <w:rFonts w:ascii="Verdana" w:hAnsi="Verdana"/>
          <w:sz w:val="16"/>
          <w:szCs w:val="16"/>
          <w:lang w:val="es-ES"/>
        </w:rPr>
      </w:pPr>
      <w:r w:rsidRPr="00864087">
        <w:rPr>
          <w:rStyle w:val="Refdenotaalpie"/>
          <w:rFonts w:ascii="Verdana" w:hAnsi="Verdana"/>
          <w:sz w:val="16"/>
          <w:szCs w:val="16"/>
        </w:rPr>
        <w:footnoteRef/>
      </w:r>
      <w:r w:rsidRPr="00864087">
        <w:rPr>
          <w:rFonts w:ascii="Verdana" w:hAnsi="Verdana"/>
          <w:sz w:val="16"/>
          <w:szCs w:val="16"/>
        </w:rPr>
        <w:t xml:space="preserve"> </w:t>
      </w:r>
      <w:r w:rsidRPr="00864087">
        <w:rPr>
          <w:rFonts w:ascii="Verdana" w:hAnsi="Verdana"/>
          <w:sz w:val="16"/>
          <w:szCs w:val="16"/>
          <w:lang w:val="es-ES"/>
        </w:rPr>
        <w:t xml:space="preserve">Código de Comercio: “Artículo 172. Fusión de la sociedad-concepto. Habrá fusión cuando una o más sociedades se disuelvan, sin liquidarse, para ser absorbidas por otra o para crear una nueva. </w:t>
      </w:r>
    </w:p>
    <w:p w14:paraId="32F2969D" w14:textId="77777777" w:rsidR="009D767D" w:rsidRPr="00864087" w:rsidRDefault="009D767D" w:rsidP="009D767D">
      <w:pPr>
        <w:pStyle w:val="Textonotapie"/>
        <w:ind w:firstLine="709"/>
        <w:jc w:val="both"/>
        <w:rPr>
          <w:rFonts w:ascii="Verdana" w:hAnsi="Verdana"/>
          <w:sz w:val="16"/>
          <w:szCs w:val="16"/>
          <w:lang w:val="es-ES"/>
        </w:rPr>
      </w:pPr>
    </w:p>
    <w:p w14:paraId="1F88C7B9" w14:textId="77777777" w:rsidR="009D767D" w:rsidRPr="00864087" w:rsidRDefault="009D767D" w:rsidP="009D767D">
      <w:pPr>
        <w:pStyle w:val="Textonotapie"/>
        <w:ind w:firstLine="709"/>
        <w:jc w:val="both"/>
        <w:rPr>
          <w:rFonts w:ascii="Verdana" w:hAnsi="Verdana"/>
          <w:sz w:val="16"/>
          <w:szCs w:val="16"/>
        </w:rPr>
      </w:pPr>
      <w:r w:rsidRPr="00864087">
        <w:rPr>
          <w:rFonts w:ascii="Verdana" w:hAnsi="Verdana"/>
          <w:sz w:val="16"/>
          <w:szCs w:val="16"/>
          <w:lang w:val="es-ES"/>
        </w:rPr>
        <w:t>“ La absorbente o la nueva compañía adquirirá los derechos y obligaciones de la sociedad o sociedades disueltas al formalizarse el acuerdo de fusión”.</w:t>
      </w:r>
    </w:p>
    <w:p w14:paraId="5D62D102" w14:textId="77777777" w:rsidR="009D767D" w:rsidRPr="00864087" w:rsidRDefault="009D767D" w:rsidP="009D767D">
      <w:pPr>
        <w:pStyle w:val="Textonotapie"/>
        <w:ind w:firstLine="709"/>
        <w:jc w:val="both"/>
        <w:rPr>
          <w:rFonts w:ascii="Verdana" w:hAnsi="Verdana"/>
          <w:sz w:val="16"/>
          <w:szCs w:val="16"/>
          <w:lang w:val="es-ES"/>
        </w:rPr>
      </w:pPr>
    </w:p>
  </w:footnote>
  <w:footnote w:id="5">
    <w:p w14:paraId="32F91A89" w14:textId="77777777" w:rsidR="009D767D" w:rsidRPr="00864087" w:rsidRDefault="009D767D" w:rsidP="009D767D">
      <w:pPr>
        <w:pStyle w:val="Textonotapie"/>
        <w:ind w:firstLine="709"/>
        <w:jc w:val="both"/>
        <w:rPr>
          <w:rFonts w:ascii="Verdana" w:hAnsi="Verdana"/>
          <w:sz w:val="16"/>
          <w:szCs w:val="16"/>
        </w:rPr>
      </w:pPr>
      <w:r w:rsidRPr="00864087">
        <w:rPr>
          <w:rStyle w:val="Refdenotaalpie"/>
          <w:rFonts w:ascii="Verdana" w:hAnsi="Verdana"/>
          <w:sz w:val="16"/>
          <w:szCs w:val="16"/>
        </w:rPr>
        <w:footnoteRef/>
      </w:r>
      <w:r w:rsidRPr="00864087">
        <w:rPr>
          <w:rFonts w:ascii="Verdana" w:hAnsi="Verdana"/>
          <w:sz w:val="16"/>
          <w:szCs w:val="16"/>
        </w:rPr>
        <w:t xml:space="preserve"> </w:t>
      </w:r>
      <w:r w:rsidRPr="00864087">
        <w:rPr>
          <w:rFonts w:ascii="Verdana" w:hAnsi="Verdana"/>
          <w:sz w:val="16"/>
          <w:szCs w:val="16"/>
          <w:lang w:val="es-ES"/>
        </w:rPr>
        <w:t>Código de Comercio: “Artículo 180. Formación de nueva sociedad que continua negocios de la disuelta. Lo dispuesto en esta Sección podrá aplicarse también al caso de la formación de una nueva sociedad para continuar los negocios de una sociedad disuelta, siempre que no haya variaciones en el giro de sus actividades o negocios y que la operación se celebre dentro de los seis meses siguientes a la fecha de disolución”</w:t>
      </w:r>
    </w:p>
  </w:footnote>
  <w:footnote w:id="6">
    <w:p w14:paraId="197BC753" w14:textId="77777777" w:rsidR="009D767D" w:rsidRPr="00864087" w:rsidRDefault="009D767D" w:rsidP="009D767D">
      <w:pPr>
        <w:pStyle w:val="Textonotapie"/>
        <w:ind w:firstLine="709"/>
        <w:jc w:val="both"/>
        <w:rPr>
          <w:rFonts w:ascii="Verdana" w:hAnsi="Verdana"/>
          <w:sz w:val="16"/>
          <w:szCs w:val="16"/>
        </w:rPr>
      </w:pPr>
      <w:r w:rsidRPr="00864087">
        <w:rPr>
          <w:rStyle w:val="Refdenotaalpie"/>
          <w:rFonts w:ascii="Verdana" w:hAnsi="Verdana"/>
          <w:sz w:val="16"/>
          <w:szCs w:val="16"/>
        </w:rPr>
        <w:footnoteRef/>
      </w:r>
      <w:r w:rsidRPr="00864087">
        <w:rPr>
          <w:rFonts w:ascii="Verdana" w:hAnsi="Verdana"/>
          <w:sz w:val="16"/>
          <w:szCs w:val="16"/>
        </w:rPr>
        <w:t xml:space="preserve"> Ley 1258 de 2008: “Artículo 33. Fusión abreviada. En aquellos casos en que una sociedad detente más del noventa (90%) de las acciones de una sociedad por acciones simplificada, aquella podrá absorber a esta, mediante determinación adoptada por los representantes legales o por las juntas directivas de las sociedades participantes en el proceso de fusión.</w:t>
      </w:r>
    </w:p>
    <w:p w14:paraId="3C9A6E8E" w14:textId="77777777" w:rsidR="009D767D" w:rsidRPr="00864087" w:rsidRDefault="009D767D" w:rsidP="009D767D">
      <w:pPr>
        <w:pStyle w:val="Textonotapie"/>
        <w:ind w:firstLine="709"/>
        <w:jc w:val="both"/>
        <w:rPr>
          <w:rFonts w:ascii="Verdana" w:hAnsi="Verdana"/>
          <w:sz w:val="16"/>
          <w:szCs w:val="16"/>
        </w:rPr>
      </w:pPr>
    </w:p>
    <w:p w14:paraId="0B90084B" w14:textId="77777777" w:rsidR="009D767D" w:rsidRPr="00864087" w:rsidRDefault="009D767D" w:rsidP="009D767D">
      <w:pPr>
        <w:pStyle w:val="Textonotapie"/>
        <w:ind w:firstLine="709"/>
        <w:jc w:val="both"/>
        <w:rPr>
          <w:rFonts w:ascii="Verdana" w:hAnsi="Verdana"/>
          <w:sz w:val="16"/>
          <w:szCs w:val="16"/>
        </w:rPr>
      </w:pPr>
      <w:r w:rsidRPr="00864087">
        <w:rPr>
          <w:rFonts w:ascii="Verdana" w:hAnsi="Verdana"/>
          <w:sz w:val="16"/>
          <w:szCs w:val="16"/>
        </w:rPr>
        <w:t>“ El acuerdo de fusión podrá realizarse por documento privado inscrito en el Registro Mercantil, salvo que dentro de los activos transferidos se encuentren bienes cuya enajenación requiera escritura pública. La fusión podrá dar lugar al derecho de retiro a favor de los accionistas ausentes y disidentes en los términos de la Ley 222 de 1995, así como a la acción de oposición judicial prevista en el artículo 175 del Código de Comercio”</w:t>
      </w:r>
    </w:p>
    <w:p w14:paraId="2F9ADC65" w14:textId="77777777" w:rsidR="009D767D" w:rsidRPr="00864087" w:rsidRDefault="009D767D" w:rsidP="009D767D">
      <w:pPr>
        <w:pStyle w:val="Textonotapie"/>
        <w:ind w:firstLine="709"/>
        <w:jc w:val="both"/>
        <w:rPr>
          <w:rFonts w:ascii="Verdana" w:hAnsi="Verdana"/>
          <w:sz w:val="16"/>
          <w:szCs w:val="16"/>
        </w:rPr>
      </w:pPr>
    </w:p>
    <w:p w14:paraId="6305DC8A" w14:textId="77777777" w:rsidR="009D767D" w:rsidRPr="00864087" w:rsidRDefault="009D767D" w:rsidP="009D767D">
      <w:pPr>
        <w:pStyle w:val="Textonotapie"/>
        <w:ind w:firstLine="709"/>
        <w:jc w:val="both"/>
        <w:rPr>
          <w:rFonts w:ascii="Verdana" w:hAnsi="Verdana"/>
          <w:sz w:val="16"/>
          <w:szCs w:val="16"/>
        </w:rPr>
      </w:pPr>
      <w:r w:rsidRPr="00864087">
        <w:rPr>
          <w:rFonts w:ascii="Verdana" w:hAnsi="Verdana"/>
          <w:sz w:val="16"/>
          <w:szCs w:val="16"/>
        </w:rPr>
        <w:t>“ El texto del acuerdo de fusión abreviada tendrá que ser publicado en un diario de amplia circulación según lo establece la Ley 222 de 1995, dentro de ese mismo término habrá lugar a la oposición por parte de terceros interesados quienes podrán exigir garantías necesarias y/o suficientes”.</w:t>
      </w:r>
    </w:p>
    <w:p w14:paraId="72EA8FC4" w14:textId="77777777" w:rsidR="009D767D" w:rsidRPr="00864087" w:rsidRDefault="009D767D" w:rsidP="009D767D">
      <w:pPr>
        <w:pStyle w:val="Textonotapie"/>
        <w:ind w:firstLine="709"/>
        <w:jc w:val="both"/>
        <w:rPr>
          <w:rFonts w:ascii="Verdana" w:hAnsi="Verdana"/>
          <w:sz w:val="16"/>
          <w:szCs w:val="16"/>
          <w:lang w:val="es-ES"/>
        </w:rPr>
      </w:pPr>
    </w:p>
  </w:footnote>
  <w:footnote w:id="7">
    <w:p w14:paraId="2B9A5927" w14:textId="77777777" w:rsidR="009D767D" w:rsidRPr="00864087" w:rsidRDefault="009D767D" w:rsidP="009D767D">
      <w:pPr>
        <w:pStyle w:val="Textonotapie"/>
        <w:ind w:firstLine="709"/>
        <w:jc w:val="both"/>
        <w:rPr>
          <w:rFonts w:ascii="Verdana" w:hAnsi="Verdana"/>
          <w:sz w:val="16"/>
          <w:szCs w:val="16"/>
        </w:rPr>
      </w:pPr>
      <w:r w:rsidRPr="00864087">
        <w:rPr>
          <w:rStyle w:val="Refdenotaalpie"/>
          <w:rFonts w:ascii="Verdana" w:hAnsi="Verdana"/>
          <w:sz w:val="16"/>
          <w:szCs w:val="16"/>
        </w:rPr>
        <w:footnoteRef/>
      </w:r>
      <w:r w:rsidRPr="00864087">
        <w:rPr>
          <w:rFonts w:ascii="Verdana" w:hAnsi="Verdana"/>
          <w:sz w:val="16"/>
          <w:szCs w:val="16"/>
        </w:rPr>
        <w:t xml:space="preserve"> Código de Comercio, Articulo 172.  </w:t>
      </w:r>
    </w:p>
    <w:p w14:paraId="5B5AE5E3" w14:textId="77777777" w:rsidR="009D767D" w:rsidRPr="00864087" w:rsidRDefault="009D767D" w:rsidP="009D767D">
      <w:pPr>
        <w:pStyle w:val="Textonotapie"/>
        <w:ind w:firstLine="709"/>
        <w:jc w:val="both"/>
        <w:rPr>
          <w:rFonts w:ascii="Verdana" w:hAnsi="Verdana"/>
          <w:sz w:val="16"/>
          <w:szCs w:val="16"/>
          <w:lang w:val="es-ES"/>
        </w:rPr>
      </w:pPr>
    </w:p>
  </w:footnote>
  <w:footnote w:id="8">
    <w:p w14:paraId="4932228F" w14:textId="77777777" w:rsidR="009D767D" w:rsidRPr="00864087" w:rsidRDefault="009D767D" w:rsidP="009D767D">
      <w:pPr>
        <w:pStyle w:val="Textonotapie"/>
        <w:ind w:firstLine="709"/>
        <w:jc w:val="both"/>
        <w:rPr>
          <w:rFonts w:ascii="Verdana" w:hAnsi="Verdana"/>
          <w:sz w:val="16"/>
          <w:szCs w:val="16"/>
          <w:lang w:val="es-ES"/>
        </w:rPr>
      </w:pPr>
      <w:r w:rsidRPr="00864087">
        <w:rPr>
          <w:rStyle w:val="Refdenotaalpie"/>
          <w:rFonts w:ascii="Verdana" w:hAnsi="Verdana"/>
          <w:sz w:val="16"/>
          <w:szCs w:val="16"/>
        </w:rPr>
        <w:footnoteRef/>
      </w:r>
      <w:r w:rsidRPr="00864087">
        <w:rPr>
          <w:rFonts w:ascii="Verdana" w:hAnsi="Verdana"/>
          <w:sz w:val="16"/>
          <w:szCs w:val="16"/>
        </w:rPr>
        <w:t xml:space="preserve"> Código de Comercio, Articulo 158. </w:t>
      </w:r>
    </w:p>
  </w:footnote>
  <w:footnote w:id="9">
    <w:p w14:paraId="2364B3C6" w14:textId="77777777" w:rsidR="009D767D" w:rsidRPr="00864087" w:rsidRDefault="009D767D" w:rsidP="009D767D">
      <w:pPr>
        <w:pStyle w:val="Textonotapie"/>
        <w:ind w:firstLine="708"/>
        <w:jc w:val="both"/>
        <w:rPr>
          <w:rFonts w:ascii="Verdana" w:hAnsi="Verdana" w:cs="Times New Roman"/>
          <w:sz w:val="16"/>
          <w:szCs w:val="16"/>
        </w:rPr>
      </w:pPr>
      <w:r w:rsidRPr="00864087">
        <w:rPr>
          <w:rStyle w:val="Refdenotaalpie"/>
          <w:rFonts w:ascii="Verdana" w:hAnsi="Verdana"/>
          <w:sz w:val="16"/>
          <w:szCs w:val="16"/>
        </w:rPr>
        <w:footnoteRef/>
      </w:r>
      <w:r w:rsidRPr="00864087">
        <w:rPr>
          <w:rFonts w:ascii="Verdana" w:hAnsi="Verdana"/>
          <w:sz w:val="16"/>
          <w:szCs w:val="16"/>
        </w:rPr>
        <w:t xml:space="preserve"> REYES VILLAMIZAR, Francisco. Derecho Societario. Tomo II, cuarta edición, Editorial Temis, Bogotá, 2023, pp. 293. </w:t>
      </w:r>
    </w:p>
  </w:footnote>
  <w:footnote w:id="10">
    <w:p w14:paraId="69517504" w14:textId="77777777" w:rsidR="009D767D" w:rsidRPr="00864087" w:rsidRDefault="009D767D" w:rsidP="009D767D">
      <w:pPr>
        <w:pStyle w:val="Textonotapie"/>
        <w:ind w:firstLine="708"/>
        <w:jc w:val="both"/>
        <w:rPr>
          <w:rFonts w:ascii="Verdana" w:hAnsi="Verdana"/>
          <w:sz w:val="16"/>
          <w:szCs w:val="16"/>
        </w:rPr>
      </w:pPr>
      <w:r w:rsidRPr="00864087">
        <w:rPr>
          <w:rStyle w:val="Refdenotaalpie"/>
          <w:rFonts w:ascii="Verdana" w:hAnsi="Verdana"/>
          <w:sz w:val="16"/>
          <w:szCs w:val="16"/>
        </w:rPr>
        <w:footnoteRef/>
      </w:r>
      <w:r w:rsidRPr="00864087">
        <w:rPr>
          <w:rFonts w:ascii="Verdana" w:hAnsi="Verdana"/>
          <w:sz w:val="16"/>
          <w:szCs w:val="16"/>
        </w:rPr>
        <w:t xml:space="preserve"> OLEO BANET, Fernando, La escisión de la sociedad anónima, Civitas, Madrid, 1995, pp. 293</w:t>
      </w:r>
    </w:p>
    <w:p w14:paraId="7502FC3B" w14:textId="77777777" w:rsidR="009D767D" w:rsidRPr="00864087" w:rsidRDefault="009D767D" w:rsidP="009D767D">
      <w:pPr>
        <w:pStyle w:val="Textonotapie"/>
        <w:ind w:firstLine="708"/>
        <w:jc w:val="both"/>
        <w:rPr>
          <w:rFonts w:ascii="Verdana" w:hAnsi="Verdana"/>
          <w:sz w:val="16"/>
          <w:szCs w:val="16"/>
        </w:rPr>
      </w:pPr>
    </w:p>
  </w:footnote>
  <w:footnote w:id="11">
    <w:p w14:paraId="0E936536" w14:textId="77777777" w:rsidR="009D767D" w:rsidRPr="00864087" w:rsidRDefault="009D767D" w:rsidP="009D767D">
      <w:pPr>
        <w:pStyle w:val="Textonotapie"/>
        <w:ind w:firstLine="708"/>
        <w:jc w:val="both"/>
        <w:rPr>
          <w:rFonts w:ascii="Verdana" w:hAnsi="Verdana"/>
          <w:sz w:val="16"/>
          <w:szCs w:val="16"/>
        </w:rPr>
      </w:pPr>
      <w:r w:rsidRPr="00864087">
        <w:rPr>
          <w:rStyle w:val="Refdenotaalpie"/>
          <w:rFonts w:ascii="Verdana" w:hAnsi="Verdana"/>
          <w:sz w:val="16"/>
          <w:szCs w:val="16"/>
        </w:rPr>
        <w:footnoteRef/>
      </w:r>
      <w:r w:rsidRPr="00864087">
        <w:rPr>
          <w:rFonts w:ascii="Verdana" w:hAnsi="Verdana"/>
          <w:sz w:val="16"/>
          <w:szCs w:val="16"/>
        </w:rPr>
        <w:t xml:space="preserve"> Ley 222 de 1995: “Artículo 9º. Efectos de la escisión. Una vez inscrita en el Registro Mercantil la escritura a que se refiere el artículo anterior, operará, entre las sociedades intervinientes en la escisión y frente a terceros la transferencia en bloque de los activos y pasivos de la sociedad escindente a las beneficiarias, sin perjuicio de lo previsto en materia contable. </w:t>
      </w:r>
    </w:p>
    <w:p w14:paraId="479E932C" w14:textId="77777777" w:rsidR="009D767D" w:rsidRPr="00864087" w:rsidRDefault="009D767D" w:rsidP="009D767D">
      <w:pPr>
        <w:pStyle w:val="Textonotapie"/>
        <w:ind w:firstLine="708"/>
        <w:jc w:val="both"/>
        <w:rPr>
          <w:rFonts w:ascii="Verdana" w:hAnsi="Verdana"/>
          <w:sz w:val="16"/>
          <w:szCs w:val="16"/>
        </w:rPr>
      </w:pPr>
      <w:r w:rsidRPr="00864087">
        <w:rPr>
          <w:rFonts w:ascii="Verdana" w:hAnsi="Verdana"/>
          <w:sz w:val="16"/>
          <w:szCs w:val="16"/>
        </w:rPr>
        <w:t xml:space="preserve">Para las modificaciones del derecho de dominio sobre inmuebles y demás bienes sujetos a registro bastará con enumerarlos en la respectiva escritura de escisión, indicando el número de folio de matrícula inmobiliaria o el dato que identifique el registro del bien o derecho respectivo. Con la sola presentación de la escritura de escisión deberá procederse al registro correspondiente. </w:t>
      </w:r>
    </w:p>
    <w:p w14:paraId="2980CE8F" w14:textId="77777777" w:rsidR="009D767D" w:rsidRPr="00864087" w:rsidRDefault="009D767D" w:rsidP="009D767D">
      <w:pPr>
        <w:pStyle w:val="Textonotapie"/>
        <w:ind w:firstLine="708"/>
        <w:jc w:val="both"/>
        <w:rPr>
          <w:rFonts w:ascii="Verdana" w:hAnsi="Verdana"/>
          <w:sz w:val="16"/>
          <w:szCs w:val="16"/>
        </w:rPr>
      </w:pPr>
      <w:r w:rsidRPr="00864087">
        <w:rPr>
          <w:rFonts w:ascii="Verdana" w:hAnsi="Verdana"/>
          <w:sz w:val="16"/>
          <w:szCs w:val="16"/>
        </w:rPr>
        <w:t xml:space="preserve">Cuando disuelta la sociedad escindente alguno de sus activos no fuere atribuido en el acuerdo de escisión a ninguna de las sociedades beneficiarias, se repartirá entre ellas en proporción al activo que les fue adjudicado. </w:t>
      </w:r>
    </w:p>
    <w:p w14:paraId="4D811A0B" w14:textId="77777777" w:rsidR="009D767D" w:rsidRPr="00864087" w:rsidRDefault="009D767D" w:rsidP="009D767D">
      <w:pPr>
        <w:pStyle w:val="Textonotapie"/>
        <w:ind w:firstLine="708"/>
        <w:jc w:val="both"/>
        <w:rPr>
          <w:rFonts w:ascii="Verdana" w:hAnsi="Verdana"/>
          <w:sz w:val="16"/>
          <w:szCs w:val="16"/>
        </w:rPr>
      </w:pPr>
      <w:r w:rsidRPr="00864087">
        <w:rPr>
          <w:rFonts w:ascii="Verdana" w:hAnsi="Verdana"/>
          <w:sz w:val="16"/>
          <w:szCs w:val="16"/>
        </w:rPr>
        <w:t xml:space="preserve">A partir de la inscripción en el Registro Mercantil de la escritura de escisión, la sociedad o sociedades beneficiarias asumirán las obligaciones que les correspondan en el acuerdo de escisión y adquirirán los derechos y privilegios inherentes a la parte patrimonial que se les hubiere transferido. Así mismo, la sociedad escindente, cuando se disolviere, se entenderá liquidada”.  </w:t>
      </w:r>
    </w:p>
  </w:footnote>
  <w:footnote w:id="12">
    <w:p w14:paraId="6CD0E685" w14:textId="77777777" w:rsidR="009D767D" w:rsidRPr="00864087" w:rsidRDefault="009D767D" w:rsidP="009D767D">
      <w:pPr>
        <w:pStyle w:val="Textonotapie"/>
        <w:ind w:firstLine="708"/>
        <w:jc w:val="both"/>
        <w:rPr>
          <w:rFonts w:ascii="Verdana" w:hAnsi="Verdana"/>
          <w:sz w:val="16"/>
          <w:szCs w:val="16"/>
        </w:rPr>
      </w:pPr>
      <w:r w:rsidRPr="00864087">
        <w:rPr>
          <w:rStyle w:val="Refdenotaalpie"/>
          <w:rFonts w:ascii="Verdana" w:hAnsi="Verdana"/>
          <w:sz w:val="16"/>
          <w:szCs w:val="16"/>
        </w:rPr>
        <w:footnoteRef/>
      </w:r>
      <w:r w:rsidRPr="00864087">
        <w:rPr>
          <w:rFonts w:ascii="Verdana" w:hAnsi="Verdana"/>
          <w:sz w:val="16"/>
          <w:szCs w:val="16"/>
        </w:rPr>
        <w:t xml:space="preserve"> Superintendencia de Sociedades. Concepto 51891 del 26 de junio de 2012. Rad. 2012-01-151467. </w:t>
      </w:r>
    </w:p>
    <w:p w14:paraId="252863F2" w14:textId="77777777" w:rsidR="009D767D" w:rsidRPr="00864087" w:rsidRDefault="009D767D" w:rsidP="009D767D">
      <w:pPr>
        <w:pStyle w:val="Textonotapie"/>
        <w:ind w:firstLine="708"/>
        <w:jc w:val="both"/>
        <w:rPr>
          <w:rFonts w:ascii="Verdana" w:hAnsi="Verdana"/>
          <w:sz w:val="16"/>
          <w:szCs w:val="16"/>
        </w:rPr>
      </w:pPr>
    </w:p>
  </w:footnote>
  <w:footnote w:id="13">
    <w:p w14:paraId="198EF67C" w14:textId="77777777" w:rsidR="009D767D" w:rsidRPr="00864087" w:rsidRDefault="009D767D" w:rsidP="009D767D">
      <w:pPr>
        <w:pStyle w:val="Textonotapie"/>
        <w:ind w:firstLine="708"/>
        <w:jc w:val="both"/>
        <w:rPr>
          <w:rFonts w:ascii="Verdana" w:hAnsi="Verdana"/>
          <w:sz w:val="16"/>
          <w:szCs w:val="16"/>
        </w:rPr>
      </w:pPr>
      <w:r w:rsidRPr="00864087">
        <w:rPr>
          <w:rStyle w:val="Refdenotaalpie"/>
          <w:rFonts w:ascii="Verdana" w:hAnsi="Verdana"/>
          <w:sz w:val="16"/>
          <w:szCs w:val="16"/>
        </w:rPr>
        <w:footnoteRef/>
      </w:r>
      <w:r w:rsidRPr="00864087">
        <w:rPr>
          <w:rFonts w:ascii="Verdana" w:hAnsi="Verdana"/>
          <w:sz w:val="16"/>
          <w:szCs w:val="16"/>
        </w:rPr>
        <w:t xml:space="preserve"> </w:t>
      </w:r>
      <w:r w:rsidRPr="00864087">
        <w:rPr>
          <w:rFonts w:ascii="Verdana" w:hAnsi="Verdana"/>
          <w:i/>
          <w:iCs/>
          <w:sz w:val="16"/>
          <w:szCs w:val="16"/>
        </w:rPr>
        <w:t>Ibid</w:t>
      </w:r>
      <w:r w:rsidRPr="00864087">
        <w:rPr>
          <w:rFonts w:ascii="Verdana" w:hAnsi="Verdana"/>
          <w:sz w:val="16"/>
          <w:szCs w:val="16"/>
        </w:rPr>
        <w:t xml:space="preserve">.  </w:t>
      </w:r>
    </w:p>
    <w:p w14:paraId="1C92B609" w14:textId="77777777" w:rsidR="009D767D" w:rsidRPr="00864087" w:rsidRDefault="009D767D" w:rsidP="009D767D">
      <w:pPr>
        <w:pStyle w:val="Textonotapie"/>
        <w:ind w:firstLine="708"/>
        <w:jc w:val="both"/>
        <w:rPr>
          <w:rFonts w:ascii="Verdana" w:hAnsi="Verdana"/>
          <w:sz w:val="16"/>
          <w:szCs w:val="16"/>
        </w:rPr>
      </w:pPr>
    </w:p>
  </w:footnote>
  <w:footnote w:id="14">
    <w:p w14:paraId="435E3995" w14:textId="77777777" w:rsidR="009D767D" w:rsidRPr="00864087" w:rsidRDefault="009D767D" w:rsidP="009D767D">
      <w:pPr>
        <w:pStyle w:val="Textonotapie"/>
        <w:ind w:firstLine="708"/>
        <w:jc w:val="both"/>
        <w:rPr>
          <w:rFonts w:ascii="Verdana" w:hAnsi="Verdana"/>
          <w:sz w:val="16"/>
          <w:szCs w:val="16"/>
        </w:rPr>
      </w:pPr>
      <w:r w:rsidRPr="00864087">
        <w:rPr>
          <w:rStyle w:val="Refdenotaalpie"/>
          <w:rFonts w:ascii="Verdana" w:hAnsi="Verdana"/>
          <w:sz w:val="16"/>
          <w:szCs w:val="16"/>
        </w:rPr>
        <w:footnoteRef/>
      </w:r>
      <w:r w:rsidRPr="00864087">
        <w:rPr>
          <w:rFonts w:ascii="Verdana" w:hAnsi="Verdana"/>
          <w:sz w:val="16"/>
          <w:szCs w:val="16"/>
        </w:rPr>
        <w:t xml:space="preserve"> Código de Comercio: “Artículo 178. Derechos y obligaciones de la sociedad absorbente. En virtud del acuerdo de fusión, una vez formalizado, la sociedad absorbente adquiere los bienes y derechos de las sociedades absorbidas, y se hace cargo de pagar el pasivo interno y externo de las mismas. </w:t>
      </w:r>
    </w:p>
    <w:p w14:paraId="10D3D975" w14:textId="77777777" w:rsidR="009D767D" w:rsidRPr="00864087" w:rsidRDefault="009D767D" w:rsidP="009D767D">
      <w:pPr>
        <w:pStyle w:val="Textonotapie"/>
        <w:ind w:firstLine="708"/>
        <w:jc w:val="both"/>
        <w:rPr>
          <w:rFonts w:ascii="Verdana" w:hAnsi="Verdana"/>
          <w:sz w:val="16"/>
          <w:szCs w:val="16"/>
        </w:rPr>
      </w:pPr>
      <w:r w:rsidRPr="00864087">
        <w:rPr>
          <w:rFonts w:ascii="Verdana" w:hAnsi="Verdana"/>
          <w:sz w:val="16"/>
          <w:szCs w:val="16"/>
        </w:rPr>
        <w:t xml:space="preserve">La tradición de los inmuebles se hará por la misma escritura de fusión o por escritura separada, registrada conforme a la ley. La entrega de los bienes muebles se hará por inventario y se cumplirán las solemnidades que la ley exija para su validez o para que surtan efectos contra terceros”. </w:t>
      </w:r>
    </w:p>
  </w:footnote>
  <w:footnote w:id="15">
    <w:p w14:paraId="2A4A0631" w14:textId="77777777" w:rsidR="009D767D" w:rsidRPr="00864087" w:rsidRDefault="009D767D" w:rsidP="009D767D">
      <w:pPr>
        <w:pStyle w:val="Textonotapie"/>
        <w:ind w:firstLine="708"/>
        <w:jc w:val="both"/>
        <w:rPr>
          <w:rFonts w:ascii="Verdana" w:hAnsi="Verdana"/>
          <w:sz w:val="16"/>
          <w:szCs w:val="16"/>
        </w:rPr>
      </w:pPr>
    </w:p>
    <w:p w14:paraId="74DC517A" w14:textId="77777777" w:rsidR="009D767D" w:rsidRPr="00864087" w:rsidRDefault="009D767D" w:rsidP="009D767D">
      <w:pPr>
        <w:pStyle w:val="Textonotapie"/>
        <w:ind w:firstLine="708"/>
        <w:jc w:val="both"/>
        <w:rPr>
          <w:rFonts w:ascii="Verdana" w:hAnsi="Verdana"/>
          <w:sz w:val="16"/>
          <w:szCs w:val="16"/>
        </w:rPr>
      </w:pPr>
      <w:r w:rsidRPr="00864087">
        <w:rPr>
          <w:rStyle w:val="Refdenotaalpie"/>
          <w:rFonts w:ascii="Verdana" w:hAnsi="Verdana"/>
          <w:sz w:val="16"/>
          <w:szCs w:val="16"/>
        </w:rPr>
        <w:footnoteRef/>
      </w:r>
      <w:r w:rsidRPr="00864087">
        <w:rPr>
          <w:rFonts w:ascii="Verdana" w:hAnsi="Verdana"/>
          <w:sz w:val="16"/>
          <w:szCs w:val="16"/>
        </w:rPr>
        <w:t xml:space="preserve"> REYES VILLAMIZAR, Francisco. Op. cit. pp. 11.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3B5D22"/>
    <w:multiLevelType w:val="hybridMultilevel"/>
    <w:tmpl w:val="440039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08502786"/>
    <w:multiLevelType w:val="multilevel"/>
    <w:tmpl w:val="F0744B70"/>
    <w:lvl w:ilvl="0">
      <w:start w:val="1"/>
      <w:numFmt w:val="decimal"/>
      <w:lvlText w:val="%1."/>
      <w:lvlJc w:val="left"/>
      <w:pPr>
        <w:ind w:left="445" w:hanging="284"/>
      </w:pPr>
      <w:rPr>
        <w:rFonts w:ascii="Arial" w:eastAsia="Arial" w:hAnsi="Arial" w:cs="Arial" w:hint="default"/>
        <w:b/>
        <w:bCs/>
        <w:i w:val="0"/>
        <w:iCs w:val="0"/>
        <w:spacing w:val="-1"/>
        <w:w w:val="99"/>
        <w:sz w:val="22"/>
        <w:szCs w:val="22"/>
        <w:lang w:val="es-ES" w:eastAsia="en-US" w:bidi="ar-SA"/>
      </w:rPr>
    </w:lvl>
    <w:lvl w:ilvl="1">
      <w:start w:val="1"/>
      <w:numFmt w:val="decimal"/>
      <w:lvlText w:val="%1.%2."/>
      <w:lvlJc w:val="left"/>
      <w:pPr>
        <w:ind w:left="587" w:hanging="432"/>
      </w:pPr>
      <w:rPr>
        <w:rFonts w:ascii="Arial" w:eastAsia="Arial" w:hAnsi="Arial" w:cs="Arial" w:hint="default"/>
        <w:b/>
        <w:bCs/>
        <w:i w:val="0"/>
        <w:iCs w:val="0"/>
        <w:spacing w:val="-1"/>
        <w:w w:val="99"/>
        <w:sz w:val="22"/>
        <w:szCs w:val="22"/>
        <w:lang w:val="es-ES" w:eastAsia="en-US" w:bidi="ar-SA"/>
      </w:rPr>
    </w:lvl>
    <w:lvl w:ilvl="2">
      <w:start w:val="1"/>
      <w:numFmt w:val="lowerLetter"/>
      <w:lvlText w:val="%3)"/>
      <w:lvlJc w:val="left"/>
      <w:pPr>
        <w:ind w:left="161" w:hanging="254"/>
      </w:pPr>
      <w:rPr>
        <w:rFonts w:ascii="Verdana" w:eastAsia="Arial" w:hAnsi="Verdana" w:cs="Arial" w:hint="default"/>
        <w:b w:val="0"/>
        <w:bCs w:val="0"/>
        <w:i/>
        <w:iCs/>
        <w:spacing w:val="0"/>
        <w:w w:val="99"/>
        <w:sz w:val="22"/>
        <w:szCs w:val="22"/>
        <w:lang w:val="es-ES" w:eastAsia="en-US" w:bidi="ar-SA"/>
      </w:rPr>
    </w:lvl>
    <w:lvl w:ilvl="3">
      <w:numFmt w:val="bullet"/>
      <w:lvlText w:val="•"/>
      <w:lvlJc w:val="left"/>
      <w:pPr>
        <w:ind w:left="1745" w:hanging="254"/>
      </w:pPr>
      <w:rPr>
        <w:lang w:val="es-ES" w:eastAsia="en-US" w:bidi="ar-SA"/>
      </w:rPr>
    </w:lvl>
    <w:lvl w:ilvl="4">
      <w:numFmt w:val="bullet"/>
      <w:lvlText w:val="•"/>
      <w:lvlJc w:val="left"/>
      <w:pPr>
        <w:ind w:left="2910" w:hanging="254"/>
      </w:pPr>
      <w:rPr>
        <w:lang w:val="es-ES" w:eastAsia="en-US" w:bidi="ar-SA"/>
      </w:rPr>
    </w:lvl>
    <w:lvl w:ilvl="5">
      <w:numFmt w:val="bullet"/>
      <w:lvlText w:val="•"/>
      <w:lvlJc w:val="left"/>
      <w:pPr>
        <w:ind w:left="4075" w:hanging="254"/>
      </w:pPr>
      <w:rPr>
        <w:lang w:val="es-ES" w:eastAsia="en-US" w:bidi="ar-SA"/>
      </w:rPr>
    </w:lvl>
    <w:lvl w:ilvl="6">
      <w:numFmt w:val="bullet"/>
      <w:lvlText w:val="•"/>
      <w:lvlJc w:val="left"/>
      <w:pPr>
        <w:ind w:left="5240" w:hanging="254"/>
      </w:pPr>
      <w:rPr>
        <w:lang w:val="es-ES" w:eastAsia="en-US" w:bidi="ar-SA"/>
      </w:rPr>
    </w:lvl>
    <w:lvl w:ilvl="7">
      <w:numFmt w:val="bullet"/>
      <w:lvlText w:val="•"/>
      <w:lvlJc w:val="left"/>
      <w:pPr>
        <w:ind w:left="6405" w:hanging="254"/>
      </w:pPr>
      <w:rPr>
        <w:lang w:val="es-ES" w:eastAsia="en-US" w:bidi="ar-SA"/>
      </w:rPr>
    </w:lvl>
    <w:lvl w:ilvl="8">
      <w:numFmt w:val="bullet"/>
      <w:lvlText w:val="•"/>
      <w:lvlJc w:val="left"/>
      <w:pPr>
        <w:ind w:left="7570" w:hanging="254"/>
      </w:pPr>
      <w:rPr>
        <w:lang w:val="es-ES" w:eastAsia="en-US" w:bidi="ar-SA"/>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3EBB586C"/>
    <w:multiLevelType w:val="multilevel"/>
    <w:tmpl w:val="DF7A0CDC"/>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3" w15:restartNumberingAfterBreak="0">
    <w:nsid w:val="543D6124"/>
    <w:multiLevelType w:val="hybridMultilevel"/>
    <w:tmpl w:val="E7AC739E"/>
    <w:lvl w:ilvl="0" w:tplc="04090001">
      <w:start w:val="1"/>
      <w:numFmt w:val="bullet"/>
      <w:lvlText w:val=""/>
      <w:lvlJc w:val="left"/>
      <w:pPr>
        <w:ind w:left="615" w:hanging="360"/>
      </w:pPr>
      <w:rPr>
        <w:rFonts w:ascii="Symbol" w:hAnsi="Symbol" w:hint="default"/>
      </w:rPr>
    </w:lvl>
    <w:lvl w:ilvl="1" w:tplc="04090003">
      <w:start w:val="1"/>
      <w:numFmt w:val="bullet"/>
      <w:lvlText w:val="o"/>
      <w:lvlJc w:val="left"/>
      <w:pPr>
        <w:ind w:left="1335" w:hanging="360"/>
      </w:pPr>
      <w:rPr>
        <w:rFonts w:ascii="Courier New" w:hAnsi="Courier New" w:cs="Courier New" w:hint="default"/>
      </w:rPr>
    </w:lvl>
    <w:lvl w:ilvl="2" w:tplc="04090005">
      <w:start w:val="1"/>
      <w:numFmt w:val="bullet"/>
      <w:lvlText w:val=""/>
      <w:lvlJc w:val="left"/>
      <w:pPr>
        <w:ind w:left="2055" w:hanging="360"/>
      </w:pPr>
      <w:rPr>
        <w:rFonts w:ascii="Wingdings" w:hAnsi="Wingdings" w:hint="default"/>
      </w:rPr>
    </w:lvl>
    <w:lvl w:ilvl="3" w:tplc="04090001">
      <w:start w:val="1"/>
      <w:numFmt w:val="bullet"/>
      <w:lvlText w:val=""/>
      <w:lvlJc w:val="left"/>
      <w:pPr>
        <w:ind w:left="2775" w:hanging="360"/>
      </w:pPr>
      <w:rPr>
        <w:rFonts w:ascii="Symbol" w:hAnsi="Symbol" w:hint="default"/>
      </w:rPr>
    </w:lvl>
    <w:lvl w:ilvl="4" w:tplc="04090003">
      <w:start w:val="1"/>
      <w:numFmt w:val="bullet"/>
      <w:lvlText w:val="o"/>
      <w:lvlJc w:val="left"/>
      <w:pPr>
        <w:ind w:left="3495" w:hanging="360"/>
      </w:pPr>
      <w:rPr>
        <w:rFonts w:ascii="Courier New" w:hAnsi="Courier New" w:cs="Courier New" w:hint="default"/>
      </w:rPr>
    </w:lvl>
    <w:lvl w:ilvl="5" w:tplc="04090005">
      <w:start w:val="1"/>
      <w:numFmt w:val="bullet"/>
      <w:lvlText w:val=""/>
      <w:lvlJc w:val="left"/>
      <w:pPr>
        <w:ind w:left="4215" w:hanging="360"/>
      </w:pPr>
      <w:rPr>
        <w:rFonts w:ascii="Wingdings" w:hAnsi="Wingdings" w:hint="default"/>
      </w:rPr>
    </w:lvl>
    <w:lvl w:ilvl="6" w:tplc="04090001">
      <w:start w:val="1"/>
      <w:numFmt w:val="bullet"/>
      <w:lvlText w:val=""/>
      <w:lvlJc w:val="left"/>
      <w:pPr>
        <w:ind w:left="4935" w:hanging="360"/>
      </w:pPr>
      <w:rPr>
        <w:rFonts w:ascii="Symbol" w:hAnsi="Symbol" w:hint="default"/>
      </w:rPr>
    </w:lvl>
    <w:lvl w:ilvl="7" w:tplc="04090003">
      <w:start w:val="1"/>
      <w:numFmt w:val="bullet"/>
      <w:lvlText w:val="o"/>
      <w:lvlJc w:val="left"/>
      <w:pPr>
        <w:ind w:left="5655" w:hanging="360"/>
      </w:pPr>
      <w:rPr>
        <w:rFonts w:ascii="Courier New" w:hAnsi="Courier New" w:cs="Courier New" w:hint="default"/>
      </w:rPr>
    </w:lvl>
    <w:lvl w:ilvl="8" w:tplc="04090005">
      <w:start w:val="1"/>
      <w:numFmt w:val="bullet"/>
      <w:lvlText w:val=""/>
      <w:lvlJc w:val="left"/>
      <w:pPr>
        <w:ind w:left="6375"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8427A72"/>
    <w:multiLevelType w:val="hybridMultilevel"/>
    <w:tmpl w:val="6B10CA9C"/>
    <w:lvl w:ilvl="0" w:tplc="6C86B72A">
      <w:start w:val="1"/>
      <w:numFmt w:val="decimal"/>
      <w:lvlText w:val="%1."/>
      <w:lvlJc w:val="left"/>
      <w:pPr>
        <w:ind w:left="161" w:hanging="181"/>
      </w:pPr>
      <w:rPr>
        <w:rFonts w:ascii="Arial MT" w:eastAsia="Arial MT" w:hAnsi="Arial MT" w:cs="Arial MT" w:hint="default"/>
        <w:b w:val="0"/>
        <w:bCs w:val="0"/>
        <w:i w:val="0"/>
        <w:iCs w:val="0"/>
        <w:spacing w:val="-1"/>
        <w:w w:val="99"/>
        <w:sz w:val="16"/>
        <w:szCs w:val="16"/>
        <w:lang w:val="es-ES" w:eastAsia="en-US" w:bidi="ar-SA"/>
      </w:rPr>
    </w:lvl>
    <w:lvl w:ilvl="1" w:tplc="604EEEBE">
      <w:numFmt w:val="bullet"/>
      <w:lvlText w:val="•"/>
      <w:lvlJc w:val="left"/>
      <w:pPr>
        <w:ind w:left="1134" w:hanging="181"/>
      </w:pPr>
      <w:rPr>
        <w:lang w:val="es-ES" w:eastAsia="en-US" w:bidi="ar-SA"/>
      </w:rPr>
    </w:lvl>
    <w:lvl w:ilvl="2" w:tplc="B8A63240">
      <w:numFmt w:val="bullet"/>
      <w:lvlText w:val="•"/>
      <w:lvlJc w:val="left"/>
      <w:pPr>
        <w:ind w:left="2108" w:hanging="181"/>
      </w:pPr>
      <w:rPr>
        <w:lang w:val="es-ES" w:eastAsia="en-US" w:bidi="ar-SA"/>
      </w:rPr>
    </w:lvl>
    <w:lvl w:ilvl="3" w:tplc="305452B2">
      <w:numFmt w:val="bullet"/>
      <w:lvlText w:val="•"/>
      <w:lvlJc w:val="left"/>
      <w:pPr>
        <w:ind w:left="3082" w:hanging="181"/>
      </w:pPr>
      <w:rPr>
        <w:lang w:val="es-ES" w:eastAsia="en-US" w:bidi="ar-SA"/>
      </w:rPr>
    </w:lvl>
    <w:lvl w:ilvl="4" w:tplc="D784780E">
      <w:numFmt w:val="bullet"/>
      <w:lvlText w:val="•"/>
      <w:lvlJc w:val="left"/>
      <w:pPr>
        <w:ind w:left="4056" w:hanging="181"/>
      </w:pPr>
      <w:rPr>
        <w:lang w:val="es-ES" w:eastAsia="en-US" w:bidi="ar-SA"/>
      </w:rPr>
    </w:lvl>
    <w:lvl w:ilvl="5" w:tplc="1D3A86C2">
      <w:numFmt w:val="bullet"/>
      <w:lvlText w:val="•"/>
      <w:lvlJc w:val="left"/>
      <w:pPr>
        <w:ind w:left="5030" w:hanging="181"/>
      </w:pPr>
      <w:rPr>
        <w:lang w:val="es-ES" w:eastAsia="en-US" w:bidi="ar-SA"/>
      </w:rPr>
    </w:lvl>
    <w:lvl w:ilvl="6" w:tplc="3B40567A">
      <w:numFmt w:val="bullet"/>
      <w:lvlText w:val="•"/>
      <w:lvlJc w:val="left"/>
      <w:pPr>
        <w:ind w:left="6004" w:hanging="181"/>
      </w:pPr>
      <w:rPr>
        <w:lang w:val="es-ES" w:eastAsia="en-US" w:bidi="ar-SA"/>
      </w:rPr>
    </w:lvl>
    <w:lvl w:ilvl="7" w:tplc="F7F88820">
      <w:numFmt w:val="bullet"/>
      <w:lvlText w:val="•"/>
      <w:lvlJc w:val="left"/>
      <w:pPr>
        <w:ind w:left="6978" w:hanging="181"/>
      </w:pPr>
      <w:rPr>
        <w:lang w:val="es-ES" w:eastAsia="en-US" w:bidi="ar-SA"/>
      </w:rPr>
    </w:lvl>
    <w:lvl w:ilvl="8" w:tplc="99C20C02">
      <w:numFmt w:val="bullet"/>
      <w:lvlText w:val="•"/>
      <w:lvlJc w:val="left"/>
      <w:pPr>
        <w:ind w:left="7952" w:hanging="181"/>
      </w:pPr>
      <w:rPr>
        <w:lang w:val="es-ES" w:eastAsia="en-US" w:bidi="ar-SA"/>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3"/>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8"/>
  </w:num>
  <w:num w:numId="7" w16cid:durableId="1946422806">
    <w:abstractNumId w:val="7"/>
  </w:num>
  <w:num w:numId="8" w16cid:durableId="152644682">
    <w:abstractNumId w:val="17"/>
  </w:num>
  <w:num w:numId="9" w16cid:durableId="1317221377">
    <w:abstractNumId w:val="9"/>
  </w:num>
  <w:num w:numId="10" w16cid:durableId="1471245386">
    <w:abstractNumId w:val="16"/>
  </w:num>
  <w:num w:numId="11" w16cid:durableId="289172385">
    <w:abstractNumId w:val="10"/>
  </w:num>
  <w:num w:numId="12" w16cid:durableId="1470781324">
    <w:abstractNumId w:val="1"/>
  </w:num>
  <w:num w:numId="13" w16cid:durableId="1512908409">
    <w:abstractNumId w:val="5"/>
  </w:num>
  <w:num w:numId="14" w16cid:durableId="895897244">
    <w:abstractNumId w:val="19"/>
  </w:num>
  <w:num w:numId="15" w16cid:durableId="390349800">
    <w:abstractNumId w:val="14"/>
  </w:num>
  <w:num w:numId="16" w16cid:durableId="341274352">
    <w:abstractNumId w:val="0"/>
  </w:num>
  <w:num w:numId="17" w16cid:durableId="679089576">
    <w:abstractNumId w:val="11"/>
  </w:num>
  <w:num w:numId="18" w16cid:durableId="784693449">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07260393">
    <w:abstractNumId w:val="13"/>
  </w:num>
  <w:num w:numId="20" w16cid:durableId="1748528177">
    <w:abstractNumId w:val="12"/>
  </w:num>
  <w:num w:numId="21" w16cid:durableId="1246694673">
    <w:abstractNumId w:val="2"/>
  </w:num>
  <w:num w:numId="22" w16cid:durableId="1971551744">
    <w:abstractNumId w:val="4"/>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23" w16cid:durableId="1764644555">
    <w:abstractNumId w:val="15"/>
    <w:lvlOverride w:ilvl="0">
      <w:startOverride w:val="1"/>
    </w:lvlOverride>
    <w:lvlOverride w:ilvl="1"/>
    <w:lvlOverride w:ilvl="2"/>
    <w:lvlOverride w:ilvl="3"/>
    <w:lvlOverride w:ilvl="4"/>
    <w:lvlOverride w:ilvl="5"/>
    <w:lvlOverride w:ilvl="6"/>
    <w:lvlOverride w:ilvl="7"/>
    <w:lvlOverride w:ilvl="8"/>
  </w:num>
  <w:num w:numId="24" w16cid:durableId="79622159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489"/>
    <w:rsid w:val="00005225"/>
    <w:rsid w:val="00016F78"/>
    <w:rsid w:val="00022100"/>
    <w:rsid w:val="0002396C"/>
    <w:rsid w:val="00024BB7"/>
    <w:rsid w:val="000250E9"/>
    <w:rsid w:val="000250F3"/>
    <w:rsid w:val="0002564E"/>
    <w:rsid w:val="00025D04"/>
    <w:rsid w:val="00033DFF"/>
    <w:rsid w:val="00036A18"/>
    <w:rsid w:val="00041DEC"/>
    <w:rsid w:val="00043D14"/>
    <w:rsid w:val="00046945"/>
    <w:rsid w:val="00046E18"/>
    <w:rsid w:val="00050BF9"/>
    <w:rsid w:val="000517F3"/>
    <w:rsid w:val="00061B2A"/>
    <w:rsid w:val="00075C79"/>
    <w:rsid w:val="00081ECC"/>
    <w:rsid w:val="00082362"/>
    <w:rsid w:val="00095FF0"/>
    <w:rsid w:val="000A040D"/>
    <w:rsid w:val="000A3A96"/>
    <w:rsid w:val="000A683E"/>
    <w:rsid w:val="000A6FED"/>
    <w:rsid w:val="000B19B9"/>
    <w:rsid w:val="000B19EB"/>
    <w:rsid w:val="000D0334"/>
    <w:rsid w:val="000D5DA7"/>
    <w:rsid w:val="000F2677"/>
    <w:rsid w:val="000F53AA"/>
    <w:rsid w:val="000F6486"/>
    <w:rsid w:val="0010487C"/>
    <w:rsid w:val="0011157F"/>
    <w:rsid w:val="00116940"/>
    <w:rsid w:val="001227B1"/>
    <w:rsid w:val="00125105"/>
    <w:rsid w:val="00127233"/>
    <w:rsid w:val="001272EB"/>
    <w:rsid w:val="001305D4"/>
    <w:rsid w:val="00133937"/>
    <w:rsid w:val="0013434E"/>
    <w:rsid w:val="00135A19"/>
    <w:rsid w:val="001362DC"/>
    <w:rsid w:val="00137660"/>
    <w:rsid w:val="00145DA2"/>
    <w:rsid w:val="0014644D"/>
    <w:rsid w:val="00152DFF"/>
    <w:rsid w:val="0015699B"/>
    <w:rsid w:val="00156B65"/>
    <w:rsid w:val="0016267D"/>
    <w:rsid w:val="0016637F"/>
    <w:rsid w:val="00167D23"/>
    <w:rsid w:val="0017185D"/>
    <w:rsid w:val="001726D3"/>
    <w:rsid w:val="001900C0"/>
    <w:rsid w:val="00190B46"/>
    <w:rsid w:val="001A33BF"/>
    <w:rsid w:val="001A4D09"/>
    <w:rsid w:val="001B44D4"/>
    <w:rsid w:val="001B60F9"/>
    <w:rsid w:val="001C0FAD"/>
    <w:rsid w:val="001C48EA"/>
    <w:rsid w:val="001C4B57"/>
    <w:rsid w:val="001D1BB6"/>
    <w:rsid w:val="001D1BD3"/>
    <w:rsid w:val="001D3B04"/>
    <w:rsid w:val="001D74FA"/>
    <w:rsid w:val="001E4177"/>
    <w:rsid w:val="001F0B24"/>
    <w:rsid w:val="001F2BC7"/>
    <w:rsid w:val="001F7017"/>
    <w:rsid w:val="001F7DC6"/>
    <w:rsid w:val="0022400B"/>
    <w:rsid w:val="00225C18"/>
    <w:rsid w:val="00231408"/>
    <w:rsid w:val="002412BC"/>
    <w:rsid w:val="002421B4"/>
    <w:rsid w:val="002421BB"/>
    <w:rsid w:val="002422EB"/>
    <w:rsid w:val="00244D5A"/>
    <w:rsid w:val="002508F9"/>
    <w:rsid w:val="002535EC"/>
    <w:rsid w:val="0025796E"/>
    <w:rsid w:val="00260E9C"/>
    <w:rsid w:val="002707A2"/>
    <w:rsid w:val="00270977"/>
    <w:rsid w:val="002711AE"/>
    <w:rsid w:val="00272AB7"/>
    <w:rsid w:val="00273B0E"/>
    <w:rsid w:val="00274497"/>
    <w:rsid w:val="0028195A"/>
    <w:rsid w:val="00282FCF"/>
    <w:rsid w:val="00290B20"/>
    <w:rsid w:val="0029468A"/>
    <w:rsid w:val="002951A0"/>
    <w:rsid w:val="0029575C"/>
    <w:rsid w:val="002962BC"/>
    <w:rsid w:val="002A093D"/>
    <w:rsid w:val="002A0DD0"/>
    <w:rsid w:val="002A3C53"/>
    <w:rsid w:val="002A49AC"/>
    <w:rsid w:val="002A64FD"/>
    <w:rsid w:val="002C7A84"/>
    <w:rsid w:val="002D0F35"/>
    <w:rsid w:val="002E2BF8"/>
    <w:rsid w:val="002E3AED"/>
    <w:rsid w:val="002E4FD9"/>
    <w:rsid w:val="002E652B"/>
    <w:rsid w:val="002F45E9"/>
    <w:rsid w:val="002F70CE"/>
    <w:rsid w:val="00300980"/>
    <w:rsid w:val="003034A0"/>
    <w:rsid w:val="003035D2"/>
    <w:rsid w:val="00305769"/>
    <w:rsid w:val="0030657A"/>
    <w:rsid w:val="00312182"/>
    <w:rsid w:val="0031424C"/>
    <w:rsid w:val="00316876"/>
    <w:rsid w:val="00317E52"/>
    <w:rsid w:val="00321F44"/>
    <w:rsid w:val="00322A85"/>
    <w:rsid w:val="00324168"/>
    <w:rsid w:val="003278B5"/>
    <w:rsid w:val="00330834"/>
    <w:rsid w:val="003310E7"/>
    <w:rsid w:val="003345FA"/>
    <w:rsid w:val="003357D2"/>
    <w:rsid w:val="003448F4"/>
    <w:rsid w:val="00356966"/>
    <w:rsid w:val="00357948"/>
    <w:rsid w:val="003608FC"/>
    <w:rsid w:val="00360DD0"/>
    <w:rsid w:val="00362958"/>
    <w:rsid w:val="00373AC1"/>
    <w:rsid w:val="00374F5E"/>
    <w:rsid w:val="003771BB"/>
    <w:rsid w:val="0037799F"/>
    <w:rsid w:val="00377E3E"/>
    <w:rsid w:val="003815A5"/>
    <w:rsid w:val="00382BFE"/>
    <w:rsid w:val="00387CBF"/>
    <w:rsid w:val="00390B8D"/>
    <w:rsid w:val="00395083"/>
    <w:rsid w:val="003963D7"/>
    <w:rsid w:val="003A4313"/>
    <w:rsid w:val="003A779E"/>
    <w:rsid w:val="003B601B"/>
    <w:rsid w:val="003B782A"/>
    <w:rsid w:val="003C496D"/>
    <w:rsid w:val="003C6A60"/>
    <w:rsid w:val="003D0F4D"/>
    <w:rsid w:val="003D33C8"/>
    <w:rsid w:val="003D5B0D"/>
    <w:rsid w:val="003D62FF"/>
    <w:rsid w:val="003E0499"/>
    <w:rsid w:val="003E46F7"/>
    <w:rsid w:val="003E4F80"/>
    <w:rsid w:val="003E6439"/>
    <w:rsid w:val="003F086F"/>
    <w:rsid w:val="003F0A80"/>
    <w:rsid w:val="003F1DD5"/>
    <w:rsid w:val="003F3941"/>
    <w:rsid w:val="00400EF0"/>
    <w:rsid w:val="00400F40"/>
    <w:rsid w:val="00403B94"/>
    <w:rsid w:val="00403F58"/>
    <w:rsid w:val="00406575"/>
    <w:rsid w:val="00411840"/>
    <w:rsid w:val="00412994"/>
    <w:rsid w:val="00412B51"/>
    <w:rsid w:val="00413BA2"/>
    <w:rsid w:val="00414A89"/>
    <w:rsid w:val="00414C74"/>
    <w:rsid w:val="00424D26"/>
    <w:rsid w:val="0042722E"/>
    <w:rsid w:val="00430A10"/>
    <w:rsid w:val="00434FB2"/>
    <w:rsid w:val="00436785"/>
    <w:rsid w:val="0044017B"/>
    <w:rsid w:val="00440DB3"/>
    <w:rsid w:val="0044528D"/>
    <w:rsid w:val="00451A79"/>
    <w:rsid w:val="00460929"/>
    <w:rsid w:val="00461AE7"/>
    <w:rsid w:val="00463EAA"/>
    <w:rsid w:val="00464CA3"/>
    <w:rsid w:val="00466E39"/>
    <w:rsid w:val="00472108"/>
    <w:rsid w:val="0047574D"/>
    <w:rsid w:val="00497A7E"/>
    <w:rsid w:val="004A1847"/>
    <w:rsid w:val="004A305D"/>
    <w:rsid w:val="004A3903"/>
    <w:rsid w:val="004B0106"/>
    <w:rsid w:val="004B2840"/>
    <w:rsid w:val="004C38A2"/>
    <w:rsid w:val="004D5C26"/>
    <w:rsid w:val="004E0B70"/>
    <w:rsid w:val="004E18AE"/>
    <w:rsid w:val="004E4921"/>
    <w:rsid w:val="004E4B24"/>
    <w:rsid w:val="004F21C4"/>
    <w:rsid w:val="004F685F"/>
    <w:rsid w:val="004F7B23"/>
    <w:rsid w:val="005036CA"/>
    <w:rsid w:val="00507599"/>
    <w:rsid w:val="005164EE"/>
    <w:rsid w:val="00516C5F"/>
    <w:rsid w:val="00522C08"/>
    <w:rsid w:val="00523535"/>
    <w:rsid w:val="0052440E"/>
    <w:rsid w:val="00536737"/>
    <w:rsid w:val="00540E92"/>
    <w:rsid w:val="005449CA"/>
    <w:rsid w:val="00545435"/>
    <w:rsid w:val="00554DBA"/>
    <w:rsid w:val="005566E8"/>
    <w:rsid w:val="00561822"/>
    <w:rsid w:val="005619C2"/>
    <w:rsid w:val="00564072"/>
    <w:rsid w:val="005662E6"/>
    <w:rsid w:val="00574867"/>
    <w:rsid w:val="00575C6A"/>
    <w:rsid w:val="0058517A"/>
    <w:rsid w:val="00587006"/>
    <w:rsid w:val="005872EB"/>
    <w:rsid w:val="00587765"/>
    <w:rsid w:val="00591460"/>
    <w:rsid w:val="00596C6B"/>
    <w:rsid w:val="0059700C"/>
    <w:rsid w:val="005A35A8"/>
    <w:rsid w:val="005A4CDA"/>
    <w:rsid w:val="005A65E0"/>
    <w:rsid w:val="005B0D96"/>
    <w:rsid w:val="005B124F"/>
    <w:rsid w:val="005B16F3"/>
    <w:rsid w:val="005C3777"/>
    <w:rsid w:val="005C5CDC"/>
    <w:rsid w:val="005D1C0A"/>
    <w:rsid w:val="005D476C"/>
    <w:rsid w:val="005E6142"/>
    <w:rsid w:val="005F3A96"/>
    <w:rsid w:val="005F527B"/>
    <w:rsid w:val="005F630D"/>
    <w:rsid w:val="0061509D"/>
    <w:rsid w:val="006200BF"/>
    <w:rsid w:val="006219F8"/>
    <w:rsid w:val="00623E17"/>
    <w:rsid w:val="00623EA7"/>
    <w:rsid w:val="006302F7"/>
    <w:rsid w:val="006308D2"/>
    <w:rsid w:val="00636021"/>
    <w:rsid w:val="00636527"/>
    <w:rsid w:val="00637088"/>
    <w:rsid w:val="00637AB3"/>
    <w:rsid w:val="00646B9F"/>
    <w:rsid w:val="0065239B"/>
    <w:rsid w:val="00665D70"/>
    <w:rsid w:val="006716BF"/>
    <w:rsid w:val="006754DD"/>
    <w:rsid w:val="00676C45"/>
    <w:rsid w:val="00684492"/>
    <w:rsid w:val="006853E4"/>
    <w:rsid w:val="006900D9"/>
    <w:rsid w:val="00696370"/>
    <w:rsid w:val="006A1EF1"/>
    <w:rsid w:val="006A2809"/>
    <w:rsid w:val="006B0DA9"/>
    <w:rsid w:val="006C7432"/>
    <w:rsid w:val="006D3D20"/>
    <w:rsid w:val="006E20FD"/>
    <w:rsid w:val="006E65E4"/>
    <w:rsid w:val="006E78C5"/>
    <w:rsid w:val="006F054F"/>
    <w:rsid w:val="006F69F0"/>
    <w:rsid w:val="007000C0"/>
    <w:rsid w:val="00706C16"/>
    <w:rsid w:val="0072175C"/>
    <w:rsid w:val="00732CE9"/>
    <w:rsid w:val="007340C3"/>
    <w:rsid w:val="00734EF7"/>
    <w:rsid w:val="00737190"/>
    <w:rsid w:val="007446AB"/>
    <w:rsid w:val="0075235A"/>
    <w:rsid w:val="00756841"/>
    <w:rsid w:val="007604E0"/>
    <w:rsid w:val="007649AB"/>
    <w:rsid w:val="0077174C"/>
    <w:rsid w:val="00771D0C"/>
    <w:rsid w:val="00772486"/>
    <w:rsid w:val="00777C88"/>
    <w:rsid w:val="00780965"/>
    <w:rsid w:val="007833AC"/>
    <w:rsid w:val="00786713"/>
    <w:rsid w:val="00794430"/>
    <w:rsid w:val="00794550"/>
    <w:rsid w:val="00794876"/>
    <w:rsid w:val="00797CDF"/>
    <w:rsid w:val="007B0496"/>
    <w:rsid w:val="007B268C"/>
    <w:rsid w:val="007B328E"/>
    <w:rsid w:val="007B367B"/>
    <w:rsid w:val="007B5E14"/>
    <w:rsid w:val="007B7171"/>
    <w:rsid w:val="007C0C0F"/>
    <w:rsid w:val="007C20E6"/>
    <w:rsid w:val="007C3DC2"/>
    <w:rsid w:val="007D3CDA"/>
    <w:rsid w:val="007D7E50"/>
    <w:rsid w:val="007E27CF"/>
    <w:rsid w:val="007E5497"/>
    <w:rsid w:val="007F08C2"/>
    <w:rsid w:val="007F12BA"/>
    <w:rsid w:val="007F263C"/>
    <w:rsid w:val="007F35E4"/>
    <w:rsid w:val="007F7449"/>
    <w:rsid w:val="00806F5F"/>
    <w:rsid w:val="008111BB"/>
    <w:rsid w:val="00812813"/>
    <w:rsid w:val="00820278"/>
    <w:rsid w:val="008258C9"/>
    <w:rsid w:val="008266B2"/>
    <w:rsid w:val="00826E8E"/>
    <w:rsid w:val="0083574D"/>
    <w:rsid w:val="00843737"/>
    <w:rsid w:val="00844AE9"/>
    <w:rsid w:val="00857C1A"/>
    <w:rsid w:val="00864087"/>
    <w:rsid w:val="008644C8"/>
    <w:rsid w:val="008648B3"/>
    <w:rsid w:val="00867F95"/>
    <w:rsid w:val="00883885"/>
    <w:rsid w:val="008843B6"/>
    <w:rsid w:val="008857F8"/>
    <w:rsid w:val="00885A33"/>
    <w:rsid w:val="00886771"/>
    <w:rsid w:val="00891928"/>
    <w:rsid w:val="008A0793"/>
    <w:rsid w:val="008A446D"/>
    <w:rsid w:val="008A6848"/>
    <w:rsid w:val="008B25F1"/>
    <w:rsid w:val="008B2EB4"/>
    <w:rsid w:val="008C250C"/>
    <w:rsid w:val="008C2990"/>
    <w:rsid w:val="008D180B"/>
    <w:rsid w:val="008D7994"/>
    <w:rsid w:val="008E7A28"/>
    <w:rsid w:val="008F0EA7"/>
    <w:rsid w:val="008F1AD0"/>
    <w:rsid w:val="00900BEC"/>
    <w:rsid w:val="009051AB"/>
    <w:rsid w:val="009118FF"/>
    <w:rsid w:val="009229A1"/>
    <w:rsid w:val="00923EEF"/>
    <w:rsid w:val="009419F9"/>
    <w:rsid w:val="00945231"/>
    <w:rsid w:val="0095685E"/>
    <w:rsid w:val="00960C55"/>
    <w:rsid w:val="00961B09"/>
    <w:rsid w:val="00964F8E"/>
    <w:rsid w:val="00965334"/>
    <w:rsid w:val="0097093E"/>
    <w:rsid w:val="00977C4F"/>
    <w:rsid w:val="009810F1"/>
    <w:rsid w:val="00981FB7"/>
    <w:rsid w:val="0098493F"/>
    <w:rsid w:val="00985FB7"/>
    <w:rsid w:val="00992AD3"/>
    <w:rsid w:val="009A0DFA"/>
    <w:rsid w:val="009A1C6F"/>
    <w:rsid w:val="009A26CE"/>
    <w:rsid w:val="009B2D26"/>
    <w:rsid w:val="009B2DA6"/>
    <w:rsid w:val="009B6B97"/>
    <w:rsid w:val="009C0951"/>
    <w:rsid w:val="009C71FA"/>
    <w:rsid w:val="009C72E7"/>
    <w:rsid w:val="009C7F7E"/>
    <w:rsid w:val="009D3058"/>
    <w:rsid w:val="009D767D"/>
    <w:rsid w:val="009F34EE"/>
    <w:rsid w:val="009F3A13"/>
    <w:rsid w:val="00A05D4F"/>
    <w:rsid w:val="00A05FB7"/>
    <w:rsid w:val="00A122D3"/>
    <w:rsid w:val="00A14030"/>
    <w:rsid w:val="00A14468"/>
    <w:rsid w:val="00A17F13"/>
    <w:rsid w:val="00A20739"/>
    <w:rsid w:val="00A23AF9"/>
    <w:rsid w:val="00A30C83"/>
    <w:rsid w:val="00A33C78"/>
    <w:rsid w:val="00A43284"/>
    <w:rsid w:val="00A43DC2"/>
    <w:rsid w:val="00A55377"/>
    <w:rsid w:val="00A55544"/>
    <w:rsid w:val="00A5713E"/>
    <w:rsid w:val="00A61287"/>
    <w:rsid w:val="00A617AA"/>
    <w:rsid w:val="00A658F4"/>
    <w:rsid w:val="00A67B58"/>
    <w:rsid w:val="00A711B9"/>
    <w:rsid w:val="00A86658"/>
    <w:rsid w:val="00A935BB"/>
    <w:rsid w:val="00A968D3"/>
    <w:rsid w:val="00AA0F1F"/>
    <w:rsid w:val="00AB07F8"/>
    <w:rsid w:val="00AB0ADB"/>
    <w:rsid w:val="00AC6222"/>
    <w:rsid w:val="00AC702E"/>
    <w:rsid w:val="00AC77CD"/>
    <w:rsid w:val="00AD2E61"/>
    <w:rsid w:val="00AD5E57"/>
    <w:rsid w:val="00AD7E69"/>
    <w:rsid w:val="00AE45E3"/>
    <w:rsid w:val="00AE5328"/>
    <w:rsid w:val="00AE5793"/>
    <w:rsid w:val="00AE6081"/>
    <w:rsid w:val="00AE7143"/>
    <w:rsid w:val="00B00C0E"/>
    <w:rsid w:val="00B01B1A"/>
    <w:rsid w:val="00B0381D"/>
    <w:rsid w:val="00B04B7A"/>
    <w:rsid w:val="00B15A85"/>
    <w:rsid w:val="00B20CC5"/>
    <w:rsid w:val="00B27D37"/>
    <w:rsid w:val="00B33F5D"/>
    <w:rsid w:val="00B358B8"/>
    <w:rsid w:val="00B4257C"/>
    <w:rsid w:val="00B433A2"/>
    <w:rsid w:val="00B44388"/>
    <w:rsid w:val="00B44A47"/>
    <w:rsid w:val="00B518A1"/>
    <w:rsid w:val="00B518FC"/>
    <w:rsid w:val="00B51CBD"/>
    <w:rsid w:val="00B54B12"/>
    <w:rsid w:val="00B563D2"/>
    <w:rsid w:val="00B605D6"/>
    <w:rsid w:val="00B62058"/>
    <w:rsid w:val="00B72CD3"/>
    <w:rsid w:val="00B72FFF"/>
    <w:rsid w:val="00B86AD8"/>
    <w:rsid w:val="00B87A44"/>
    <w:rsid w:val="00B90EAA"/>
    <w:rsid w:val="00B9134F"/>
    <w:rsid w:val="00B9235D"/>
    <w:rsid w:val="00B928B5"/>
    <w:rsid w:val="00B92F1D"/>
    <w:rsid w:val="00B96C3D"/>
    <w:rsid w:val="00BA19E0"/>
    <w:rsid w:val="00BC3D36"/>
    <w:rsid w:val="00BC6D28"/>
    <w:rsid w:val="00BD1AAE"/>
    <w:rsid w:val="00BD3C98"/>
    <w:rsid w:val="00BD4C2C"/>
    <w:rsid w:val="00BD54A6"/>
    <w:rsid w:val="00BD6A92"/>
    <w:rsid w:val="00BD7F72"/>
    <w:rsid w:val="00BE1615"/>
    <w:rsid w:val="00BF71C7"/>
    <w:rsid w:val="00BF7425"/>
    <w:rsid w:val="00C00185"/>
    <w:rsid w:val="00C03B8D"/>
    <w:rsid w:val="00C04FB3"/>
    <w:rsid w:val="00C05836"/>
    <w:rsid w:val="00C06600"/>
    <w:rsid w:val="00C0675D"/>
    <w:rsid w:val="00C0740D"/>
    <w:rsid w:val="00C11D8B"/>
    <w:rsid w:val="00C15139"/>
    <w:rsid w:val="00C151D6"/>
    <w:rsid w:val="00C25366"/>
    <w:rsid w:val="00C25DAB"/>
    <w:rsid w:val="00C2741E"/>
    <w:rsid w:val="00C330EB"/>
    <w:rsid w:val="00C40E11"/>
    <w:rsid w:val="00C42978"/>
    <w:rsid w:val="00C450E1"/>
    <w:rsid w:val="00C45792"/>
    <w:rsid w:val="00C50D69"/>
    <w:rsid w:val="00C5365C"/>
    <w:rsid w:val="00C54B48"/>
    <w:rsid w:val="00C62E6E"/>
    <w:rsid w:val="00C752CA"/>
    <w:rsid w:val="00C754BE"/>
    <w:rsid w:val="00C76B1C"/>
    <w:rsid w:val="00C8517F"/>
    <w:rsid w:val="00C87A1D"/>
    <w:rsid w:val="00C87C7C"/>
    <w:rsid w:val="00C9191D"/>
    <w:rsid w:val="00C91A55"/>
    <w:rsid w:val="00C925AC"/>
    <w:rsid w:val="00C94419"/>
    <w:rsid w:val="00C95861"/>
    <w:rsid w:val="00CA0383"/>
    <w:rsid w:val="00CA0AD2"/>
    <w:rsid w:val="00CA0C4E"/>
    <w:rsid w:val="00CB5D53"/>
    <w:rsid w:val="00CB6357"/>
    <w:rsid w:val="00CB7202"/>
    <w:rsid w:val="00CC0F1B"/>
    <w:rsid w:val="00CC139F"/>
    <w:rsid w:val="00CC1B26"/>
    <w:rsid w:val="00CC48C2"/>
    <w:rsid w:val="00CC5406"/>
    <w:rsid w:val="00CD35DF"/>
    <w:rsid w:val="00CE5ED0"/>
    <w:rsid w:val="00CE7FB5"/>
    <w:rsid w:val="00D235E5"/>
    <w:rsid w:val="00D258B3"/>
    <w:rsid w:val="00D351B3"/>
    <w:rsid w:val="00D361FD"/>
    <w:rsid w:val="00D423A2"/>
    <w:rsid w:val="00D4444D"/>
    <w:rsid w:val="00D44E26"/>
    <w:rsid w:val="00D520D8"/>
    <w:rsid w:val="00D53405"/>
    <w:rsid w:val="00D5724F"/>
    <w:rsid w:val="00D5769A"/>
    <w:rsid w:val="00D63AC2"/>
    <w:rsid w:val="00D7383B"/>
    <w:rsid w:val="00D75434"/>
    <w:rsid w:val="00D7788A"/>
    <w:rsid w:val="00D8089E"/>
    <w:rsid w:val="00D817C8"/>
    <w:rsid w:val="00D82BB9"/>
    <w:rsid w:val="00D933F5"/>
    <w:rsid w:val="00D93681"/>
    <w:rsid w:val="00D9722E"/>
    <w:rsid w:val="00DA231B"/>
    <w:rsid w:val="00DA2A83"/>
    <w:rsid w:val="00DA53E9"/>
    <w:rsid w:val="00DB628D"/>
    <w:rsid w:val="00DC0091"/>
    <w:rsid w:val="00DC39FC"/>
    <w:rsid w:val="00DC64BF"/>
    <w:rsid w:val="00DD1A43"/>
    <w:rsid w:val="00DD57F0"/>
    <w:rsid w:val="00DE19C0"/>
    <w:rsid w:val="00DE67E6"/>
    <w:rsid w:val="00DF5254"/>
    <w:rsid w:val="00E02524"/>
    <w:rsid w:val="00E033EB"/>
    <w:rsid w:val="00E066EA"/>
    <w:rsid w:val="00E112D6"/>
    <w:rsid w:val="00E12C39"/>
    <w:rsid w:val="00E135C4"/>
    <w:rsid w:val="00E16408"/>
    <w:rsid w:val="00E17394"/>
    <w:rsid w:val="00E20894"/>
    <w:rsid w:val="00E245AB"/>
    <w:rsid w:val="00E24E98"/>
    <w:rsid w:val="00E255D6"/>
    <w:rsid w:val="00E25CC8"/>
    <w:rsid w:val="00E2764C"/>
    <w:rsid w:val="00E27F2E"/>
    <w:rsid w:val="00E27F8A"/>
    <w:rsid w:val="00E30203"/>
    <w:rsid w:val="00E33141"/>
    <w:rsid w:val="00E41B4A"/>
    <w:rsid w:val="00E41F20"/>
    <w:rsid w:val="00E46CA1"/>
    <w:rsid w:val="00E50AFE"/>
    <w:rsid w:val="00E50B5A"/>
    <w:rsid w:val="00E5179B"/>
    <w:rsid w:val="00E66385"/>
    <w:rsid w:val="00E70314"/>
    <w:rsid w:val="00E7491B"/>
    <w:rsid w:val="00E75C92"/>
    <w:rsid w:val="00E769E8"/>
    <w:rsid w:val="00E76AAE"/>
    <w:rsid w:val="00E771DC"/>
    <w:rsid w:val="00E8772A"/>
    <w:rsid w:val="00E90F6B"/>
    <w:rsid w:val="00E92C27"/>
    <w:rsid w:val="00E96080"/>
    <w:rsid w:val="00EA0E3D"/>
    <w:rsid w:val="00EA0F27"/>
    <w:rsid w:val="00EA1E1B"/>
    <w:rsid w:val="00EA4627"/>
    <w:rsid w:val="00EA577A"/>
    <w:rsid w:val="00EB1D14"/>
    <w:rsid w:val="00EC38A7"/>
    <w:rsid w:val="00EC7335"/>
    <w:rsid w:val="00EE1AA8"/>
    <w:rsid w:val="00EE2E3E"/>
    <w:rsid w:val="00EE3BD5"/>
    <w:rsid w:val="00F00784"/>
    <w:rsid w:val="00F01880"/>
    <w:rsid w:val="00F12192"/>
    <w:rsid w:val="00F15272"/>
    <w:rsid w:val="00F23FEA"/>
    <w:rsid w:val="00F24016"/>
    <w:rsid w:val="00F31EDC"/>
    <w:rsid w:val="00F435C8"/>
    <w:rsid w:val="00F462B3"/>
    <w:rsid w:val="00F53F01"/>
    <w:rsid w:val="00F5664F"/>
    <w:rsid w:val="00F666C4"/>
    <w:rsid w:val="00F752E6"/>
    <w:rsid w:val="00F7693D"/>
    <w:rsid w:val="00F76AFC"/>
    <w:rsid w:val="00F80DFC"/>
    <w:rsid w:val="00F81ACB"/>
    <w:rsid w:val="00F8404E"/>
    <w:rsid w:val="00F86126"/>
    <w:rsid w:val="00F869AE"/>
    <w:rsid w:val="00FA23E9"/>
    <w:rsid w:val="00FA2965"/>
    <w:rsid w:val="00FA47C0"/>
    <w:rsid w:val="00FA60A0"/>
    <w:rsid w:val="00FB0AC9"/>
    <w:rsid w:val="00FB1A86"/>
    <w:rsid w:val="00FB5DD1"/>
    <w:rsid w:val="00FC2B5D"/>
    <w:rsid w:val="00FC7C9D"/>
    <w:rsid w:val="00FD0013"/>
    <w:rsid w:val="00FD24A7"/>
    <w:rsid w:val="00FD6B6C"/>
    <w:rsid w:val="00FE61E7"/>
    <w:rsid w:val="00FF1449"/>
    <w:rsid w:val="00FF48EB"/>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64E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79487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94876"/>
    <w:rPr>
      <w:rFonts w:ascii="Geomanist Light" w:hAnsi="Geomanist Light"/>
      <w:lang w:val="es-ES"/>
    </w:rPr>
  </w:style>
  <w:style w:type="character" w:customStyle="1" w:styleId="NormalWebCar">
    <w:name w:val="Normal (Web) Car"/>
    <w:link w:val="NormalWeb"/>
    <w:uiPriority w:val="99"/>
    <w:locked/>
    <w:rsid w:val="00794876"/>
    <w:rPr>
      <w:rFonts w:ascii="Times New Roman" w:eastAsia="Times New Roman" w:hAnsi="Times New Roman" w:cs="Times New Roman"/>
      <w:sz w:val="24"/>
      <w:szCs w:val="24"/>
      <w:lang w:eastAsia="es-CO"/>
    </w:rPr>
  </w:style>
  <w:style w:type="character" w:customStyle="1" w:styleId="baj">
    <w:name w:val="b_aj"/>
    <w:basedOn w:val="Fuentedeprrafopredeter"/>
    <w:rsid w:val="00794876"/>
  </w:style>
  <w:style w:type="paragraph" w:styleId="Textoindependiente">
    <w:name w:val="Body Text"/>
    <w:basedOn w:val="Normal"/>
    <w:link w:val="TextoindependienteCar"/>
    <w:uiPriority w:val="99"/>
    <w:unhideWhenUsed/>
    <w:rsid w:val="00E46CA1"/>
    <w:pPr>
      <w:spacing w:after="120"/>
    </w:pPr>
  </w:style>
  <w:style w:type="character" w:customStyle="1" w:styleId="TextoindependienteCar">
    <w:name w:val="Texto independiente Car"/>
    <w:basedOn w:val="Fuentedeprrafopredeter"/>
    <w:link w:val="Textoindependiente"/>
    <w:uiPriority w:val="99"/>
    <w:rsid w:val="00E46C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www.secretariasenado.gov.co/senado/basedoc/codigo_comercio_pr004.html"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ikina.CALVO@egis-group.com%20"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emf"/><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10C98FB-EB69-4309-AFCE-3097B5D76C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21</Pages>
  <Words>6789</Words>
  <Characters>37344</Characters>
  <Application>Microsoft Office Word</Application>
  <DocSecurity>0</DocSecurity>
  <Lines>311</Lines>
  <Paragraphs>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2026-06-01T16:06:00Z</dcterms:created>
  <dcterms:modified xsi:type="dcterms:W3CDTF">2026-06-01T23:11:00Z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