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394E" w14:textId="2B6ADC0A" w:rsidR="00A3682F" w:rsidRPr="00A3682F" w:rsidRDefault="00A3682F" w:rsidP="00A3682F">
      <w:pPr>
        <w:spacing w:after="0" w:line="240" w:lineRule="auto"/>
        <w:jc w:val="both"/>
        <w:rPr>
          <w:rFonts w:ascii="Verdana" w:eastAsia="Calibri" w:hAnsi="Verdana" w:cs="Arial"/>
          <w:b/>
          <w:bCs/>
          <w:lang w:eastAsia="es-ES"/>
        </w:rPr>
      </w:pPr>
      <w:bookmarkStart w:id="0" w:name="_Hlk230693044"/>
      <w:r w:rsidRPr="00A3682F">
        <w:rPr>
          <w:rFonts w:ascii="Verdana" w:eastAsia="Calibri" w:hAnsi="Verdana" w:cs="Arial"/>
          <w:b/>
          <w:bCs/>
          <w:lang w:eastAsia="es-ES"/>
        </w:rPr>
        <w:t>DECRETO 0287 DE 2026 ‒ Sistema Integral de Preferencias ‒ Contratación pública inclusiva ‒ Personas con discapacidad</w:t>
      </w:r>
      <w:r>
        <w:rPr>
          <w:rFonts w:ascii="Verdana" w:eastAsia="Calibri" w:hAnsi="Verdana" w:cs="Arial"/>
          <w:b/>
          <w:bCs/>
          <w:lang w:eastAsia="es-ES"/>
        </w:rPr>
        <w:t xml:space="preserve"> </w:t>
      </w:r>
      <w:r w:rsidR="0056776F" w:rsidRPr="0056776F">
        <w:rPr>
          <w:rFonts w:ascii="Verdana" w:eastAsia="Calibri" w:hAnsi="Verdana" w:cs="Arial"/>
          <w:b/>
          <w:bCs/>
          <w:lang w:val="es-ES" w:eastAsia="es-ES"/>
        </w:rPr>
        <w:t>–</w:t>
      </w:r>
      <w:r>
        <w:rPr>
          <w:rFonts w:ascii="Verdana" w:eastAsia="Calibri" w:hAnsi="Verdana" w:cs="Arial"/>
          <w:b/>
          <w:bCs/>
          <w:lang w:eastAsia="es-ES"/>
        </w:rPr>
        <w:t xml:space="preserve"> </w:t>
      </w:r>
      <w:r w:rsidRPr="00A3682F">
        <w:rPr>
          <w:rFonts w:ascii="Verdana" w:eastAsia="Calibri" w:hAnsi="Verdana" w:cs="Arial"/>
          <w:b/>
          <w:bCs/>
          <w:lang w:eastAsia="es-ES"/>
        </w:rPr>
        <w:t>DECRETO 0287 DE 2026 ‒ Antecedentes normativos ‒ Decreto 392 de 2018 ‒ Omisiones reglamentarias ‒ Sentencia de acción de cumplimiento</w:t>
      </w:r>
    </w:p>
    <w:p w14:paraId="71395A5A" w14:textId="77777777" w:rsidR="00A3682F" w:rsidRDefault="00A3682F" w:rsidP="00E5634E">
      <w:pPr>
        <w:spacing w:after="0" w:line="240" w:lineRule="auto"/>
        <w:rPr>
          <w:rFonts w:ascii="Verdana" w:eastAsia="Calibri" w:hAnsi="Verdana" w:cs="Arial"/>
          <w:lang w:eastAsia="es-ES"/>
        </w:rPr>
      </w:pPr>
    </w:p>
    <w:p w14:paraId="7AE605BB" w14:textId="384C433A" w:rsidR="00A3682F" w:rsidRPr="00A3682F" w:rsidRDefault="00A3682F" w:rsidP="00A3682F">
      <w:pPr>
        <w:spacing w:after="120" w:line="240" w:lineRule="auto"/>
        <w:jc w:val="both"/>
        <w:rPr>
          <w:rFonts w:ascii="Verdana" w:hAnsi="Verdana"/>
          <w:sz w:val="21"/>
          <w:szCs w:val="21"/>
        </w:rPr>
      </w:pPr>
      <w:r w:rsidRPr="00A3682F">
        <w:rPr>
          <w:rFonts w:ascii="Verdana" w:eastAsia="Times New Roman" w:hAnsi="Verdana" w:cs="Times New Roman"/>
          <w:sz w:val="21"/>
          <w:szCs w:val="21"/>
        </w:rPr>
        <w:t xml:space="preserve">El fundamento del Sistema de Preferencias para PcD en la contratación pública es el principio de igualdad real y efectiva consagrado en el artículo 13 de la Constitución Política de 1991, que impone al Estado el deber positivo de adoptar </w:t>
      </w:r>
      <w:r w:rsidRPr="00A3682F">
        <w:rPr>
          <w:rFonts w:ascii="Verdana" w:eastAsia="Times New Roman" w:hAnsi="Verdana" w:cs="Times New Roman"/>
          <w:i/>
          <w:iCs/>
          <w:sz w:val="21"/>
          <w:szCs w:val="21"/>
        </w:rPr>
        <w:t>acciones afirmativas</w:t>
      </w:r>
      <w:r w:rsidRPr="00A3682F">
        <w:rPr>
          <w:rFonts w:ascii="Verdana" w:eastAsia="Times New Roman" w:hAnsi="Verdana" w:cs="Times New Roman"/>
          <w:sz w:val="21"/>
          <w:szCs w:val="21"/>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PcD.</w:t>
      </w:r>
    </w:p>
    <w:p w14:paraId="6576CAFF" w14:textId="3ED391FD" w:rsidR="00A3682F" w:rsidRPr="00A3682F" w:rsidRDefault="00A3682F" w:rsidP="00A3682F">
      <w:pPr>
        <w:spacing w:after="120" w:line="240" w:lineRule="auto"/>
        <w:jc w:val="both"/>
        <w:rPr>
          <w:rFonts w:ascii="Verdana" w:hAnsi="Verdana"/>
          <w:sz w:val="21"/>
          <w:szCs w:val="21"/>
        </w:rPr>
      </w:pPr>
      <w:r w:rsidRPr="00A3682F">
        <w:rPr>
          <w:rFonts w:ascii="Verdana" w:eastAsia="Times New Roman" w:hAnsi="Verdana" w:cs="Times New Roman"/>
          <w:sz w:val="21"/>
          <w:szCs w:val="21"/>
        </w:rPr>
        <w:t>En el plano internacional, Colombia es Estado Parte de instrumentos que conforman el Bloque de Constitucionalidad en virtud del artículo 93 superior. La Convención sobre los Derechos de las Personas con Discapacidad de la ONU reconoce el derecho de las PcD a trabajar en igualdad de condiciones y exige programas de acción afirmativa. La Convención Interamericana para la Eliminación de todas las Formas de Discriminación ordena eliminar progresivamente la discriminación en la prestación de servicios, incluido el empleo. El Convenio 159 de la OIT exige medidas orientadas a garantizar la igualdad de oportunidades de todas las categorías de PcD en materia de empleo.</w:t>
      </w:r>
    </w:p>
    <w:p w14:paraId="1956806A" w14:textId="79FC838C" w:rsidR="00A3682F" w:rsidRPr="00A3682F" w:rsidRDefault="00A3682F" w:rsidP="00A3682F">
      <w:pPr>
        <w:spacing w:after="120" w:line="240" w:lineRule="auto"/>
        <w:jc w:val="both"/>
        <w:rPr>
          <w:rFonts w:ascii="Verdana" w:hAnsi="Verdana"/>
          <w:sz w:val="21"/>
          <w:szCs w:val="21"/>
        </w:rPr>
      </w:pPr>
      <w:r w:rsidRPr="00A3682F">
        <w:rPr>
          <w:rFonts w:ascii="Verdana" w:eastAsia="Times New Roman" w:hAnsi="Verdana" w:cs="Times New Roman"/>
          <w:sz w:val="21"/>
          <w:szCs w:val="21"/>
        </w:rPr>
        <w:t>La Ley 361 de 1997 estableció los primeros mecanismos de integración social de las PcD. Su artículo 24 introdujo una preferencia en igualdad de condiciones en licitaciones y adjudicaciones de contratos para los empleadores que tuvieran al menos el 10% de su nómina compuesta por PcD. Esta norma vinculó por primera vez la contratación pública con la inclusión laboral de las PcD, pero su alcance era limitado: una preferencia residual aplicable solo en caso de empate, que beneficiaba únicamente a los empleadores de PcD sin considerar a las propias PcD como proponentes directos.</w:t>
      </w:r>
      <w:r>
        <w:rPr>
          <w:rFonts w:ascii="Verdana" w:eastAsia="Times New Roman" w:hAnsi="Verdana" w:cs="Times New Roman"/>
          <w:sz w:val="21"/>
          <w:szCs w:val="21"/>
        </w:rPr>
        <w:t xml:space="preserve"> […]</w:t>
      </w:r>
    </w:p>
    <w:p w14:paraId="4151D1AF" w14:textId="50A7F7A4" w:rsidR="00A3682F" w:rsidRPr="00A3682F" w:rsidRDefault="00A3682F" w:rsidP="00E5634E">
      <w:pPr>
        <w:spacing w:after="0" w:line="240" w:lineRule="auto"/>
        <w:rPr>
          <w:rFonts w:ascii="Verdana" w:eastAsia="Calibri" w:hAnsi="Verdana" w:cs="Arial"/>
          <w:b/>
          <w:bCs/>
          <w:lang w:eastAsia="es-ES"/>
        </w:rPr>
      </w:pPr>
      <w:r w:rsidRPr="00A3682F">
        <w:rPr>
          <w:rFonts w:ascii="Verdana" w:eastAsia="Calibri" w:hAnsi="Verdana" w:cs="Arial"/>
          <w:b/>
          <w:bCs/>
          <w:lang w:eastAsia="es-ES"/>
        </w:rPr>
        <w:t>DECRETO 0287 DE 2026 ‒ Sujetos del sistema ‒ Emprendimientos y empresas de personas con discapacidad ‒ Empleadores de personas con discapacidad ‒ Definición y diferenciación</w:t>
      </w:r>
    </w:p>
    <w:p w14:paraId="597138B8" w14:textId="77777777" w:rsidR="00A3682F" w:rsidRDefault="00A3682F" w:rsidP="00E5634E">
      <w:pPr>
        <w:spacing w:after="0" w:line="240" w:lineRule="auto"/>
        <w:rPr>
          <w:rFonts w:ascii="Verdana" w:eastAsia="Geomanist Light" w:hAnsi="Verdana" w:cs="Arial"/>
          <w:color w:val="000000" w:themeColor="text1"/>
          <w:lang w:val="es-MX"/>
        </w:rPr>
      </w:pPr>
    </w:p>
    <w:p w14:paraId="4969660D" w14:textId="77777777" w:rsidR="00A3682F" w:rsidRPr="00A3682F" w:rsidRDefault="00A3682F" w:rsidP="00A3682F">
      <w:pPr>
        <w:spacing w:after="120" w:line="240" w:lineRule="auto"/>
        <w:jc w:val="both"/>
        <w:rPr>
          <w:rFonts w:ascii="Verdana" w:hAnsi="Verdana"/>
          <w:sz w:val="21"/>
          <w:szCs w:val="21"/>
        </w:rPr>
      </w:pPr>
      <w:r w:rsidRPr="00A3682F">
        <w:rPr>
          <w:rFonts w:ascii="Verdana" w:hAnsi="Verdana"/>
          <w:sz w:val="21"/>
          <w:szCs w:val="21"/>
        </w:rPr>
        <w:t xml:space="preserve">En cumplimiento de esa decisión fue expedido el Decreto 0287 de 2026, el cual, como se indicó en la respuesta, establece un Sistema Integral de Preferencias compuesto por cinco medidas afirmativas que actúan en todas las fases del proceso contractual, planeación, selección, adjudicación y ejecución, y que benefician a dos sujetos diferenciados: los emprendimientos y empresas de PcD y los empleadores de PcD. A continuación, se desarrolla el alcance de cada aspecto del sistema planteado en los problemas jurídicos. </w:t>
      </w:r>
    </w:p>
    <w:p w14:paraId="102CA9FC" w14:textId="6B7CF010" w:rsidR="00A3682F" w:rsidRPr="00A3682F" w:rsidRDefault="00A3682F" w:rsidP="00A3682F">
      <w:pPr>
        <w:spacing w:after="0" w:line="240" w:lineRule="auto"/>
        <w:jc w:val="both"/>
        <w:rPr>
          <w:rFonts w:ascii="Verdana" w:eastAsia="Geomanist Light" w:hAnsi="Verdana" w:cs="Arial"/>
          <w:color w:val="000000" w:themeColor="text1"/>
          <w:sz w:val="21"/>
          <w:szCs w:val="21"/>
          <w:lang w:val="es-MX"/>
        </w:rPr>
      </w:pPr>
      <w:r w:rsidRPr="00A3682F">
        <w:rPr>
          <w:rFonts w:ascii="Verdana" w:hAnsi="Verdana"/>
          <w:sz w:val="21"/>
          <w:szCs w:val="21"/>
        </w:rPr>
        <w:lastRenderedPageBreak/>
        <w:t xml:space="preserve">(ii) </w:t>
      </w:r>
      <w:r w:rsidRPr="00A3682F">
        <w:rPr>
          <w:rFonts w:ascii="Verdana" w:eastAsia="Times New Roman" w:hAnsi="Verdana" w:cs="Times New Roman"/>
          <w:sz w:val="21"/>
          <w:szCs w:val="21"/>
        </w:rPr>
        <w:t>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contempla: ser emprendimiento o empresa de PcD, conforme a las categorías del artículo 2.2.1.2.4.2.6., o ser empleador de PcD que supere los mínimos de vinculación exigidos por la Ley 2466 de 2025 (Reforma Laboral). Sin embargo, el hecho de que ambas condiciones puedan acreditarse simultáneamente no significa que el puntaje sea acumulable</w:t>
      </w:r>
    </w:p>
    <w:p w14:paraId="3C55CA30" w14:textId="77777777" w:rsidR="00A3682F" w:rsidRPr="00A3682F" w:rsidRDefault="00A3682F" w:rsidP="00A3682F">
      <w:pPr>
        <w:spacing w:after="0" w:line="240" w:lineRule="auto"/>
        <w:jc w:val="both"/>
        <w:rPr>
          <w:rFonts w:ascii="Verdana" w:eastAsia="Geomanist Light" w:hAnsi="Verdana" w:cs="Arial"/>
          <w:color w:val="000000" w:themeColor="text1"/>
          <w:sz w:val="21"/>
          <w:szCs w:val="21"/>
          <w:lang w:val="es-MX"/>
        </w:rPr>
      </w:pPr>
    </w:p>
    <w:p w14:paraId="57F1DDC8" w14:textId="44FF16D2" w:rsidR="00A3682F" w:rsidRPr="00A3682F" w:rsidRDefault="00A3682F" w:rsidP="00E5634E">
      <w:pPr>
        <w:spacing w:after="0" w:line="240" w:lineRule="auto"/>
        <w:rPr>
          <w:rFonts w:ascii="Verdana" w:eastAsia="Geomanist Light" w:hAnsi="Verdana" w:cs="Arial"/>
          <w:b/>
          <w:bCs/>
          <w:color w:val="000000" w:themeColor="text1"/>
          <w:lang w:val="es-MX"/>
        </w:rPr>
      </w:pPr>
      <w:r w:rsidRPr="00A3682F">
        <w:rPr>
          <w:rFonts w:ascii="Verdana" w:eastAsia="Calibri" w:hAnsi="Verdana" w:cs="Arial"/>
          <w:b/>
          <w:bCs/>
          <w:lang w:eastAsia="es-ES"/>
        </w:rPr>
        <w:t xml:space="preserve">DECRETO 0287 DE 2026 ‒ Puntaje adicional del 2% </w:t>
      </w:r>
      <w:r w:rsidR="00573803" w:rsidRPr="00573803">
        <w:rPr>
          <w:rFonts w:ascii="Verdana" w:eastAsia="Calibri" w:hAnsi="Verdana" w:cs="Arial"/>
          <w:b/>
          <w:bCs/>
          <w:lang w:val="es-ES" w:eastAsia="es-ES"/>
        </w:rPr>
        <w:t>–</w:t>
      </w:r>
      <w:r w:rsidRPr="00A3682F">
        <w:rPr>
          <w:rFonts w:ascii="Verdana" w:eastAsia="Calibri" w:hAnsi="Verdana" w:cs="Arial"/>
          <w:b/>
          <w:bCs/>
          <w:lang w:eastAsia="es-ES"/>
        </w:rPr>
        <w:t xml:space="preserve"> VINCULACION DEL PERSONAL </w:t>
      </w:r>
      <w:r w:rsidR="00573803" w:rsidRPr="00573803">
        <w:rPr>
          <w:rFonts w:ascii="Verdana" w:eastAsia="Calibri" w:hAnsi="Verdana" w:cs="Arial"/>
          <w:b/>
          <w:bCs/>
          <w:lang w:val="es-ES" w:eastAsia="es-ES"/>
        </w:rPr>
        <w:t>–</w:t>
      </w:r>
      <w:r w:rsidRPr="00A3682F">
        <w:rPr>
          <w:rFonts w:ascii="Verdana" w:eastAsia="Calibri" w:hAnsi="Verdana" w:cs="Arial"/>
          <w:b/>
          <w:bCs/>
          <w:lang w:eastAsia="es-ES"/>
        </w:rPr>
        <w:t xml:space="preserve"> </w:t>
      </w:r>
      <w:r w:rsidR="00573803">
        <w:rPr>
          <w:rFonts w:ascii="Verdana" w:eastAsia="Century Gothic" w:hAnsi="Verdana" w:cs="Century Gothic"/>
          <w:b/>
          <w:bCs/>
        </w:rPr>
        <w:t>A</w:t>
      </w:r>
      <w:r w:rsidRPr="00A3682F">
        <w:rPr>
          <w:rFonts w:ascii="Verdana" w:eastAsia="Century Gothic" w:hAnsi="Verdana" w:cs="Century Gothic"/>
          <w:b/>
          <w:bCs/>
        </w:rPr>
        <w:t>rtículo 2.2.1.2.4.2.7.4</w:t>
      </w:r>
      <w:r w:rsidR="00573803">
        <w:rPr>
          <w:rFonts w:ascii="Verdana" w:eastAsia="Century Gothic" w:hAnsi="Verdana" w:cs="Century Gothic"/>
          <w:b/>
          <w:bCs/>
        </w:rPr>
        <w:t xml:space="preserve"> </w:t>
      </w:r>
      <w:r w:rsidR="00573803" w:rsidRPr="00573803">
        <w:rPr>
          <w:rFonts w:ascii="Verdana" w:eastAsia="Century Gothic" w:hAnsi="Verdana" w:cs="Century Gothic"/>
          <w:b/>
          <w:bCs/>
          <w:lang w:val="es-ES"/>
        </w:rPr>
        <w:t>–</w:t>
      </w:r>
      <w:r w:rsidRPr="00A3682F">
        <w:rPr>
          <w:rFonts w:ascii="Verdana" w:eastAsia="Century Gothic" w:hAnsi="Verdana" w:cs="Century Gothic"/>
          <w:b/>
          <w:bCs/>
        </w:rPr>
        <w:t xml:space="preserve"> </w:t>
      </w:r>
      <w:r w:rsidR="00573803">
        <w:rPr>
          <w:rFonts w:ascii="Verdana" w:eastAsia="Century Gothic" w:hAnsi="Verdana" w:cs="Century Gothic"/>
          <w:b/>
          <w:bCs/>
        </w:rPr>
        <w:t>R</w:t>
      </w:r>
      <w:r w:rsidRPr="00A3682F">
        <w:rPr>
          <w:rFonts w:ascii="Verdana" w:eastAsia="Century Gothic" w:hAnsi="Verdana" w:cs="Century Gothic"/>
          <w:b/>
          <w:bCs/>
        </w:rPr>
        <w:t>égimen Legal</w:t>
      </w:r>
    </w:p>
    <w:p w14:paraId="55AA4025" w14:textId="77777777" w:rsidR="00A3682F" w:rsidRDefault="00A3682F" w:rsidP="00E5634E">
      <w:pPr>
        <w:spacing w:after="0" w:line="240" w:lineRule="auto"/>
        <w:rPr>
          <w:rFonts w:ascii="Verdana" w:eastAsia="Geomanist Light" w:hAnsi="Verdana" w:cs="Arial"/>
          <w:color w:val="000000" w:themeColor="text1"/>
          <w:lang w:val="es-MX"/>
        </w:rPr>
      </w:pPr>
    </w:p>
    <w:p w14:paraId="5CCA9337" w14:textId="77777777" w:rsidR="00A3682F" w:rsidRPr="00A3682F" w:rsidRDefault="00A3682F" w:rsidP="00A3682F">
      <w:pPr>
        <w:spacing w:after="120" w:line="240" w:lineRule="auto"/>
        <w:jc w:val="both"/>
        <w:rPr>
          <w:rFonts w:ascii="Verdana" w:eastAsia="Times New Roman" w:hAnsi="Verdana" w:cs="Times New Roman"/>
          <w:sz w:val="21"/>
          <w:szCs w:val="21"/>
        </w:rPr>
      </w:pPr>
      <w:r w:rsidRPr="00A3682F">
        <w:rPr>
          <w:rFonts w:ascii="Verdana" w:eastAsia="Times New Roman" w:hAnsi="Verdana" w:cs="Times New Roman"/>
          <w:sz w:val="21"/>
          <w:szCs w:val="21"/>
        </w:rPr>
        <w:t>Frente al problema jurídico planteado, resulta pertinente señalar que el numeral 2 del citado artículo dispone expresamente que el proponente debe acreditar dentro de su planta de personal la vinculación de personas con discapacidad “con sujeción a todas las exigencias y garantías legalmente establecidas, mediante contrato laboral con dedicación exclusiva”.</w:t>
      </w:r>
    </w:p>
    <w:p w14:paraId="627E8689" w14:textId="77777777" w:rsidR="00A3682F" w:rsidRPr="00A3682F" w:rsidRDefault="00A3682F" w:rsidP="00A3682F">
      <w:pPr>
        <w:spacing w:after="120" w:line="240" w:lineRule="auto"/>
        <w:jc w:val="both"/>
        <w:rPr>
          <w:rFonts w:ascii="Verdana" w:eastAsia="Times New Roman" w:hAnsi="Verdana" w:cs="Times New Roman"/>
          <w:sz w:val="21"/>
          <w:szCs w:val="21"/>
        </w:rPr>
      </w:pPr>
      <w:r w:rsidRPr="00A3682F">
        <w:rPr>
          <w:rFonts w:ascii="Verdana" w:eastAsia="Times New Roman" w:hAnsi="Verdana" w:cs="Times New Roman"/>
          <w:sz w:val="21"/>
          <w:szCs w:val="21"/>
        </w:rPr>
        <w:t>De la lectura de la disposición se desprende que el beneficio no se predica de cualquier forma de vinculación, sino específicamente de una relación laboral formal. En consecuencia, para efectos de la obtención del puntaje adicional, las personas con discapacidad deben encontrarse vinculadas mediante contrato de trabajo y formar parte de la planta de personal del proponente, con observancia de las garantías laborales y de seguridad social previstas en el ordenamiento jurídico.</w:t>
      </w:r>
    </w:p>
    <w:p w14:paraId="29268084" w14:textId="6ECA53C6" w:rsidR="00A3682F" w:rsidRPr="00986D8F" w:rsidRDefault="00986D8F" w:rsidP="00986D8F">
      <w:pPr>
        <w:spacing w:after="0" w:line="240" w:lineRule="auto"/>
        <w:jc w:val="both"/>
        <w:rPr>
          <w:rFonts w:ascii="Verdana" w:eastAsia="Geomanist Light" w:hAnsi="Verdana" w:cs="Arial"/>
          <w:b/>
          <w:bCs/>
          <w:color w:val="000000" w:themeColor="text1"/>
          <w:lang w:val="es-MX"/>
        </w:rPr>
      </w:pPr>
      <w:r w:rsidRPr="00986D8F">
        <w:rPr>
          <w:rFonts w:ascii="Verdana" w:eastAsia="Calibri" w:hAnsi="Verdana" w:cs="Arial"/>
          <w:b/>
          <w:bCs/>
          <w:lang w:eastAsia="es-ES"/>
        </w:rPr>
        <w:t>DECRETO 0287 DE 2026 – Vigencia – Entrada en Rigo</w:t>
      </w:r>
      <w:r w:rsidR="00573803">
        <w:rPr>
          <w:rFonts w:ascii="Verdana" w:eastAsia="Calibri" w:hAnsi="Verdana" w:cs="Arial"/>
          <w:b/>
          <w:bCs/>
          <w:lang w:eastAsia="es-ES"/>
        </w:rPr>
        <w:t xml:space="preserve"> </w:t>
      </w:r>
      <w:r w:rsidR="00573803" w:rsidRPr="00573803">
        <w:rPr>
          <w:rFonts w:ascii="Verdana" w:eastAsia="Calibri" w:hAnsi="Verdana" w:cs="Arial"/>
          <w:b/>
          <w:bCs/>
          <w:lang w:val="es-ES" w:eastAsia="es-ES"/>
        </w:rPr>
        <w:t>–</w:t>
      </w:r>
      <w:r>
        <w:rPr>
          <w:rFonts w:ascii="Verdana" w:eastAsia="Calibri" w:hAnsi="Verdana" w:cs="Arial"/>
          <w:b/>
          <w:bCs/>
          <w:lang w:eastAsia="es-ES"/>
        </w:rPr>
        <w:t xml:space="preserve"> </w:t>
      </w:r>
      <w:r w:rsidRPr="00986D8F">
        <w:rPr>
          <w:rFonts w:ascii="Verdana" w:eastAsia="Calibri" w:hAnsi="Verdana" w:cs="Arial"/>
          <w:b/>
          <w:bCs/>
          <w:lang w:eastAsia="es-ES"/>
        </w:rPr>
        <w:t>Implementación</w:t>
      </w:r>
      <w:r w:rsidR="00573803">
        <w:rPr>
          <w:rFonts w:ascii="Verdana" w:eastAsia="Calibri" w:hAnsi="Verdana" w:cs="Arial"/>
          <w:b/>
          <w:bCs/>
          <w:lang w:eastAsia="es-ES"/>
        </w:rPr>
        <w:t xml:space="preserve"> </w:t>
      </w:r>
      <w:r w:rsidR="00573803" w:rsidRPr="00573803">
        <w:rPr>
          <w:rFonts w:ascii="Verdana" w:eastAsia="Calibri" w:hAnsi="Verdana" w:cs="Arial"/>
          <w:b/>
          <w:bCs/>
          <w:lang w:val="es-ES" w:eastAsia="es-ES"/>
        </w:rPr>
        <w:t>–</w:t>
      </w:r>
      <w:r w:rsidRPr="00986D8F">
        <w:rPr>
          <w:rFonts w:ascii="Verdana" w:eastAsia="Calibri" w:hAnsi="Verdana" w:cs="Arial"/>
          <w:b/>
          <w:bCs/>
          <w:lang w:eastAsia="es-ES"/>
        </w:rPr>
        <w:t xml:space="preserve"> N</w:t>
      </w:r>
      <w:r w:rsidRPr="00986D8F">
        <w:rPr>
          <w:rFonts w:ascii="Verdana" w:eastAsia="Century Gothic" w:hAnsi="Verdana" w:cs="Century Gothic"/>
          <w:b/>
          <w:bCs/>
        </w:rPr>
        <w:t>umeral 4 del artículo 2.2.1.2.4.2.6 – Aplicabilidad</w:t>
      </w:r>
    </w:p>
    <w:p w14:paraId="097CC0C8" w14:textId="77777777" w:rsidR="00986D8F" w:rsidRPr="00986D8F" w:rsidRDefault="00986D8F" w:rsidP="00986D8F">
      <w:pPr>
        <w:spacing w:before="120" w:after="120" w:line="240" w:lineRule="auto"/>
        <w:jc w:val="both"/>
        <w:rPr>
          <w:rFonts w:ascii="Verdana" w:eastAsia="Calibri" w:hAnsi="Verdana" w:cs="Arial"/>
          <w:sz w:val="21"/>
          <w:szCs w:val="21"/>
        </w:rPr>
      </w:pPr>
      <w:r w:rsidRPr="00986D8F">
        <w:rPr>
          <w:rFonts w:ascii="Verdana" w:eastAsia="Calibri" w:hAnsi="Verdana" w:cs="Arial"/>
          <w:sz w:val="21"/>
          <w:szCs w:val="21"/>
        </w:rPr>
        <w:t>Respecto del régimen de transición para la aplicación del Decreto 287 de 2026, se debe tener en cuenta que 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 pero lo señalado en este concepto debe entenderse de acuerdo con la nueva redacción de los artículos enlistados, y no recurrir a la antigua redacción.</w:t>
      </w:r>
    </w:p>
    <w:p w14:paraId="11FC647E" w14:textId="77777777" w:rsidR="00986D8F" w:rsidRPr="00986D8F" w:rsidRDefault="00986D8F" w:rsidP="00986D8F">
      <w:pPr>
        <w:spacing w:before="120" w:after="120" w:line="240" w:lineRule="auto"/>
        <w:jc w:val="both"/>
        <w:rPr>
          <w:rFonts w:ascii="Verdana" w:eastAsia="Calibri" w:hAnsi="Verdana" w:cs="Arial"/>
          <w:sz w:val="21"/>
          <w:szCs w:val="21"/>
        </w:rPr>
      </w:pPr>
      <w:r w:rsidRPr="00986D8F">
        <w:rPr>
          <w:rFonts w:ascii="Verdana" w:eastAsia="Calibri" w:hAnsi="Verdana" w:cs="Arial"/>
          <w:sz w:val="21"/>
          <w:szCs w:val="21"/>
        </w:rPr>
        <w:t xml:space="preserve">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w:t>
      </w:r>
      <w:r w:rsidRPr="00986D8F">
        <w:rPr>
          <w:rFonts w:ascii="Verdana" w:eastAsia="Calibri" w:hAnsi="Verdana" w:cs="Arial"/>
          <w:sz w:val="21"/>
          <w:szCs w:val="21"/>
        </w:rPr>
        <w:lastRenderedPageBreak/>
        <w:t>el Decreto 287 de 2026 al proceso contractual y la entidad debe ajustar sus estudios previos y pliegos de condiciones, incluido el proyecto de pliego, para dar pleno cumplimiento al decreto antes de expedir el acto administrativo de apertura.</w:t>
      </w:r>
    </w:p>
    <w:p w14:paraId="1AA7F338" w14:textId="6D98CBF0" w:rsidR="00986D8F" w:rsidRPr="00986D8F" w:rsidRDefault="00986D8F" w:rsidP="00986D8F">
      <w:pPr>
        <w:spacing w:before="120" w:after="120" w:line="240" w:lineRule="auto"/>
        <w:jc w:val="both"/>
        <w:rPr>
          <w:rFonts w:ascii="Verdana" w:eastAsia="Calibri" w:hAnsi="Verdana" w:cs="Arial"/>
          <w:sz w:val="21"/>
          <w:szCs w:val="21"/>
        </w:rPr>
      </w:pPr>
      <w:r w:rsidRPr="00986D8F">
        <w:rPr>
          <w:rFonts w:ascii="Verdana" w:eastAsia="Calibri" w:hAnsi="Verdana" w:cs="Arial"/>
          <w:sz w:val="21"/>
          <w:szCs w:val="21"/>
        </w:rPr>
        <w:t xml:space="preserve">Para los procesos de contratación con proyecto de pliego </w:t>
      </w:r>
      <w:r w:rsidR="00573803" w:rsidRPr="00986D8F">
        <w:rPr>
          <w:rFonts w:ascii="Verdana" w:eastAsia="Calibri" w:hAnsi="Verdana" w:cs="Arial"/>
          <w:sz w:val="21"/>
          <w:szCs w:val="21"/>
        </w:rPr>
        <w:t>publicado,</w:t>
      </w:r>
      <w:r w:rsidRPr="00986D8F">
        <w:rPr>
          <w:rFonts w:ascii="Verdana" w:eastAsia="Calibri" w:hAnsi="Verdana" w:cs="Arial"/>
          <w:sz w:val="21"/>
          <w:szCs w:val="21"/>
        </w:rPr>
        <w:t xml:space="preserve"> pero sin apertura al 19 de marzo de 2026, se recomienda que se incorporen las medidas del Decreto 287 de 2026 antes de publicar los pliegos definitivos. En esa etapa aún es posible realizar ajustes sin afectar derechos adquiridos de los proponentes.</w:t>
      </w:r>
    </w:p>
    <w:p w14:paraId="1D485A77" w14:textId="6A14622B" w:rsidR="00A3682F" w:rsidRPr="00986D8F" w:rsidRDefault="00986D8F" w:rsidP="00E5634E">
      <w:pPr>
        <w:spacing w:after="0" w:line="240" w:lineRule="auto"/>
        <w:rPr>
          <w:rFonts w:ascii="Verdana" w:eastAsia="Geomanist Light" w:hAnsi="Verdana" w:cs="Arial"/>
          <w:b/>
          <w:bCs/>
          <w:color w:val="000000" w:themeColor="text1"/>
        </w:rPr>
      </w:pPr>
      <w:r w:rsidRPr="00986D8F">
        <w:rPr>
          <w:rFonts w:ascii="Verdana" w:eastAsia="Calibri" w:hAnsi="Verdana" w:cs="Arial"/>
          <w:b/>
          <w:bCs/>
          <w:lang w:eastAsia="es-ES"/>
        </w:rPr>
        <w:t xml:space="preserve">DECRETO 0287 DE 2026 – Cargos de Nivel Directivo </w:t>
      </w:r>
      <w:r w:rsidR="00573803" w:rsidRPr="00573803">
        <w:rPr>
          <w:rFonts w:ascii="Verdana" w:eastAsia="Calibri" w:hAnsi="Verdana" w:cs="Arial"/>
          <w:b/>
          <w:bCs/>
          <w:lang w:val="es-ES" w:eastAsia="es-ES"/>
        </w:rPr>
        <w:t>–</w:t>
      </w:r>
      <w:r w:rsidRPr="00986D8F">
        <w:rPr>
          <w:rFonts w:ascii="Verdana" w:eastAsia="Calibri" w:hAnsi="Verdana" w:cs="Arial"/>
          <w:b/>
          <w:bCs/>
          <w:lang w:eastAsia="es-ES"/>
        </w:rPr>
        <w:t xml:space="preserve"> Definición</w:t>
      </w:r>
    </w:p>
    <w:p w14:paraId="0EE61E71" w14:textId="77777777" w:rsidR="00A3682F" w:rsidRDefault="00A3682F" w:rsidP="00E5634E">
      <w:pPr>
        <w:spacing w:after="0" w:line="240" w:lineRule="auto"/>
        <w:rPr>
          <w:rFonts w:ascii="Verdana" w:eastAsia="Geomanist Light" w:hAnsi="Verdana" w:cs="Arial"/>
          <w:color w:val="000000" w:themeColor="text1"/>
          <w:lang w:val="es-MX"/>
        </w:rPr>
      </w:pPr>
    </w:p>
    <w:p w14:paraId="3DACAF44" w14:textId="24CCAB55" w:rsidR="00986D8F" w:rsidRPr="00986D8F" w:rsidRDefault="00986D8F" w:rsidP="00986D8F">
      <w:pPr>
        <w:spacing w:after="0" w:line="240" w:lineRule="auto"/>
        <w:jc w:val="both"/>
        <w:rPr>
          <w:rFonts w:ascii="Verdana" w:eastAsia="Geomanist Light" w:hAnsi="Verdana" w:cs="Arial"/>
          <w:color w:val="000000" w:themeColor="text1"/>
          <w:sz w:val="21"/>
          <w:szCs w:val="21"/>
          <w:lang w:val="es-MX"/>
        </w:rPr>
      </w:pPr>
      <w:r w:rsidRPr="00986D8F">
        <w:rPr>
          <w:rFonts w:ascii="Verdana" w:eastAsia="Calibri" w:hAnsi="Verdana" w:cs="Arial"/>
          <w:sz w:val="21"/>
          <w:szCs w:val="21"/>
        </w:rPr>
        <w:t xml:space="preserve">La norma trae consigo la definición de cargos de nivel directivo donde textualmente definen: </w:t>
      </w:r>
      <w:r w:rsidRPr="00986D8F">
        <w:rPr>
          <w:rFonts w:ascii="Verdana" w:eastAsia="Calibri" w:hAnsi="Verdana" w:cs="Arial"/>
          <w:i/>
          <w:iCs/>
          <w:sz w:val="21"/>
          <w:szCs w:val="21"/>
        </w:rPr>
        <w:t>“[…]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r w:rsidRPr="00986D8F">
        <w:rPr>
          <w:rFonts w:ascii="Verdana" w:eastAsia="Calibri" w:hAnsi="Verdana" w:cs="Arial"/>
          <w:sz w:val="21"/>
          <w:szCs w:val="21"/>
        </w:rPr>
        <w:t> […]”</w:t>
      </w:r>
    </w:p>
    <w:p w14:paraId="554B6320" w14:textId="77777777" w:rsidR="00A3682F" w:rsidRDefault="00A3682F" w:rsidP="00E5634E">
      <w:pPr>
        <w:spacing w:after="0" w:line="240" w:lineRule="auto"/>
        <w:rPr>
          <w:rFonts w:ascii="Verdana" w:eastAsia="Geomanist Light" w:hAnsi="Verdana" w:cs="Arial"/>
          <w:color w:val="000000" w:themeColor="text1"/>
          <w:lang w:val="es-MX"/>
        </w:rPr>
      </w:pPr>
    </w:p>
    <w:p w14:paraId="4F1CF9E4" w14:textId="77777777" w:rsidR="00986D8F" w:rsidRDefault="00986D8F" w:rsidP="00E5634E">
      <w:pPr>
        <w:spacing w:after="0" w:line="240" w:lineRule="auto"/>
        <w:rPr>
          <w:rFonts w:ascii="Verdana" w:eastAsia="Geomanist Light" w:hAnsi="Verdana" w:cs="Arial"/>
          <w:color w:val="000000" w:themeColor="text1"/>
          <w:lang w:val="es-MX"/>
        </w:rPr>
      </w:pPr>
    </w:p>
    <w:p w14:paraId="413EA613" w14:textId="77777777" w:rsidR="00986D8F" w:rsidRDefault="00986D8F" w:rsidP="00E5634E">
      <w:pPr>
        <w:spacing w:after="0" w:line="240" w:lineRule="auto"/>
        <w:rPr>
          <w:rFonts w:ascii="Verdana" w:eastAsia="Geomanist Light" w:hAnsi="Verdana" w:cs="Arial"/>
          <w:color w:val="000000" w:themeColor="text1"/>
          <w:lang w:val="es-MX"/>
        </w:rPr>
      </w:pPr>
    </w:p>
    <w:p w14:paraId="17F0773E" w14:textId="77777777" w:rsidR="00986D8F" w:rsidRDefault="00986D8F" w:rsidP="00E5634E">
      <w:pPr>
        <w:spacing w:after="0" w:line="240" w:lineRule="auto"/>
        <w:rPr>
          <w:rFonts w:ascii="Verdana" w:eastAsia="Geomanist Light" w:hAnsi="Verdana" w:cs="Arial"/>
          <w:color w:val="000000" w:themeColor="text1"/>
          <w:lang w:val="es-MX"/>
        </w:rPr>
      </w:pPr>
    </w:p>
    <w:p w14:paraId="54BF4BA4" w14:textId="77777777" w:rsidR="00986D8F" w:rsidRDefault="00986D8F" w:rsidP="00E5634E">
      <w:pPr>
        <w:spacing w:after="0" w:line="240" w:lineRule="auto"/>
        <w:rPr>
          <w:rFonts w:ascii="Verdana" w:eastAsia="Geomanist Light" w:hAnsi="Verdana" w:cs="Arial"/>
          <w:color w:val="000000" w:themeColor="text1"/>
          <w:lang w:val="es-MX"/>
        </w:rPr>
      </w:pPr>
    </w:p>
    <w:p w14:paraId="428DB2D9" w14:textId="77777777" w:rsidR="00986D8F" w:rsidRDefault="00986D8F" w:rsidP="00E5634E">
      <w:pPr>
        <w:spacing w:after="0" w:line="240" w:lineRule="auto"/>
        <w:rPr>
          <w:rFonts w:ascii="Verdana" w:eastAsia="Geomanist Light" w:hAnsi="Verdana" w:cs="Arial"/>
          <w:color w:val="000000" w:themeColor="text1"/>
          <w:lang w:val="es-MX"/>
        </w:rPr>
      </w:pPr>
    </w:p>
    <w:p w14:paraId="6434A9A7" w14:textId="77777777" w:rsidR="00986D8F" w:rsidRDefault="00986D8F" w:rsidP="00E5634E">
      <w:pPr>
        <w:spacing w:after="0" w:line="240" w:lineRule="auto"/>
        <w:rPr>
          <w:rFonts w:ascii="Verdana" w:eastAsia="Geomanist Light" w:hAnsi="Verdana" w:cs="Arial"/>
          <w:color w:val="000000" w:themeColor="text1"/>
          <w:lang w:val="es-MX"/>
        </w:rPr>
      </w:pPr>
    </w:p>
    <w:p w14:paraId="3DF54A3E" w14:textId="77777777" w:rsidR="00986D8F" w:rsidRDefault="00986D8F" w:rsidP="00E5634E">
      <w:pPr>
        <w:spacing w:after="0" w:line="240" w:lineRule="auto"/>
        <w:rPr>
          <w:rFonts w:ascii="Verdana" w:eastAsia="Geomanist Light" w:hAnsi="Verdana" w:cs="Arial"/>
          <w:color w:val="000000" w:themeColor="text1"/>
          <w:lang w:val="es-MX"/>
        </w:rPr>
      </w:pPr>
    </w:p>
    <w:p w14:paraId="2CC2C5F6" w14:textId="77777777" w:rsidR="00986D8F" w:rsidRDefault="00986D8F" w:rsidP="00E5634E">
      <w:pPr>
        <w:spacing w:after="0" w:line="240" w:lineRule="auto"/>
        <w:rPr>
          <w:rFonts w:ascii="Verdana" w:eastAsia="Geomanist Light" w:hAnsi="Verdana" w:cs="Arial"/>
          <w:color w:val="000000" w:themeColor="text1"/>
          <w:lang w:val="es-MX"/>
        </w:rPr>
      </w:pPr>
    </w:p>
    <w:p w14:paraId="46D48023" w14:textId="77777777" w:rsidR="00986D8F" w:rsidRDefault="00986D8F" w:rsidP="00E5634E">
      <w:pPr>
        <w:spacing w:after="0" w:line="240" w:lineRule="auto"/>
        <w:rPr>
          <w:rFonts w:ascii="Verdana" w:eastAsia="Geomanist Light" w:hAnsi="Verdana" w:cs="Arial"/>
          <w:color w:val="000000" w:themeColor="text1"/>
          <w:lang w:val="es-MX"/>
        </w:rPr>
      </w:pPr>
    </w:p>
    <w:p w14:paraId="1D58AB62" w14:textId="77777777" w:rsidR="00986D8F" w:rsidRDefault="00986D8F" w:rsidP="00E5634E">
      <w:pPr>
        <w:spacing w:after="0" w:line="240" w:lineRule="auto"/>
        <w:rPr>
          <w:rFonts w:ascii="Verdana" w:eastAsia="Geomanist Light" w:hAnsi="Verdana" w:cs="Arial"/>
          <w:color w:val="000000" w:themeColor="text1"/>
          <w:lang w:val="es-MX"/>
        </w:rPr>
      </w:pPr>
    </w:p>
    <w:p w14:paraId="1E85DD6B" w14:textId="77777777" w:rsidR="00986D8F" w:rsidRDefault="00986D8F" w:rsidP="00E5634E">
      <w:pPr>
        <w:spacing w:after="0" w:line="240" w:lineRule="auto"/>
        <w:rPr>
          <w:rFonts w:ascii="Verdana" w:eastAsia="Geomanist Light" w:hAnsi="Verdana" w:cs="Arial"/>
          <w:color w:val="000000" w:themeColor="text1"/>
          <w:lang w:val="es-MX"/>
        </w:rPr>
      </w:pPr>
    </w:p>
    <w:p w14:paraId="67BE6D1B" w14:textId="77777777" w:rsidR="00986D8F" w:rsidRDefault="00986D8F" w:rsidP="00E5634E">
      <w:pPr>
        <w:spacing w:after="0" w:line="240" w:lineRule="auto"/>
        <w:rPr>
          <w:rFonts w:ascii="Verdana" w:eastAsia="Geomanist Light" w:hAnsi="Verdana" w:cs="Arial"/>
          <w:color w:val="000000" w:themeColor="text1"/>
          <w:lang w:val="es-MX"/>
        </w:rPr>
      </w:pPr>
    </w:p>
    <w:p w14:paraId="50DEB0FE" w14:textId="77777777" w:rsidR="00986D8F" w:rsidRDefault="00986D8F" w:rsidP="00E5634E">
      <w:pPr>
        <w:spacing w:after="0" w:line="240" w:lineRule="auto"/>
        <w:rPr>
          <w:rFonts w:ascii="Verdana" w:eastAsia="Geomanist Light" w:hAnsi="Verdana" w:cs="Arial"/>
          <w:color w:val="000000" w:themeColor="text1"/>
          <w:lang w:val="es-MX"/>
        </w:rPr>
      </w:pPr>
    </w:p>
    <w:p w14:paraId="43284FCB" w14:textId="77777777" w:rsidR="00986D8F" w:rsidRDefault="00986D8F" w:rsidP="00E5634E">
      <w:pPr>
        <w:spacing w:after="0" w:line="240" w:lineRule="auto"/>
        <w:rPr>
          <w:rFonts w:ascii="Verdana" w:eastAsia="Geomanist Light" w:hAnsi="Verdana" w:cs="Arial"/>
          <w:color w:val="000000" w:themeColor="text1"/>
          <w:lang w:val="es-MX"/>
        </w:rPr>
      </w:pPr>
    </w:p>
    <w:p w14:paraId="523539A2" w14:textId="77777777" w:rsidR="00986D8F" w:rsidRDefault="00986D8F" w:rsidP="00E5634E">
      <w:pPr>
        <w:spacing w:after="0" w:line="240" w:lineRule="auto"/>
        <w:rPr>
          <w:rFonts w:ascii="Verdana" w:eastAsia="Geomanist Light" w:hAnsi="Verdana" w:cs="Arial"/>
          <w:color w:val="000000" w:themeColor="text1"/>
          <w:lang w:val="es-MX"/>
        </w:rPr>
      </w:pPr>
    </w:p>
    <w:p w14:paraId="573A44DF" w14:textId="77777777" w:rsidR="00986D8F" w:rsidRDefault="00986D8F" w:rsidP="00E5634E">
      <w:pPr>
        <w:spacing w:after="0" w:line="240" w:lineRule="auto"/>
        <w:rPr>
          <w:rFonts w:ascii="Verdana" w:eastAsia="Geomanist Light" w:hAnsi="Verdana" w:cs="Arial"/>
          <w:color w:val="000000" w:themeColor="text1"/>
          <w:lang w:val="es-MX"/>
        </w:rPr>
      </w:pPr>
    </w:p>
    <w:p w14:paraId="1549DD68" w14:textId="77777777" w:rsidR="00986D8F" w:rsidRDefault="00986D8F" w:rsidP="00E5634E">
      <w:pPr>
        <w:spacing w:after="0" w:line="240" w:lineRule="auto"/>
        <w:rPr>
          <w:rFonts w:ascii="Verdana" w:eastAsia="Geomanist Light" w:hAnsi="Verdana" w:cs="Arial"/>
          <w:color w:val="000000" w:themeColor="text1"/>
          <w:lang w:val="es-MX"/>
        </w:rPr>
      </w:pPr>
    </w:p>
    <w:p w14:paraId="49CDBA7A" w14:textId="77777777" w:rsidR="00986D8F" w:rsidRDefault="00986D8F" w:rsidP="00E5634E">
      <w:pPr>
        <w:spacing w:after="0" w:line="240" w:lineRule="auto"/>
        <w:rPr>
          <w:rFonts w:ascii="Verdana" w:eastAsia="Geomanist Light" w:hAnsi="Verdana" w:cs="Arial"/>
          <w:color w:val="000000" w:themeColor="text1"/>
          <w:lang w:val="es-MX"/>
        </w:rPr>
      </w:pPr>
    </w:p>
    <w:p w14:paraId="2D812F00" w14:textId="77777777" w:rsidR="00986D8F" w:rsidRDefault="00986D8F" w:rsidP="00E5634E">
      <w:pPr>
        <w:spacing w:after="0" w:line="240" w:lineRule="auto"/>
        <w:rPr>
          <w:rFonts w:ascii="Verdana" w:eastAsia="Geomanist Light" w:hAnsi="Verdana" w:cs="Arial"/>
          <w:color w:val="000000" w:themeColor="text1"/>
          <w:lang w:val="es-MX"/>
        </w:rPr>
      </w:pPr>
    </w:p>
    <w:p w14:paraId="01F5485E" w14:textId="77777777" w:rsidR="00986D8F" w:rsidRDefault="00986D8F" w:rsidP="00E5634E">
      <w:pPr>
        <w:spacing w:after="0" w:line="240" w:lineRule="auto"/>
        <w:rPr>
          <w:rFonts w:ascii="Verdana" w:eastAsia="Geomanist Light" w:hAnsi="Verdana" w:cs="Arial"/>
          <w:color w:val="000000" w:themeColor="text1"/>
          <w:lang w:val="es-MX"/>
        </w:rPr>
      </w:pPr>
    </w:p>
    <w:p w14:paraId="463C8FBF" w14:textId="77777777" w:rsidR="00986D8F" w:rsidRDefault="00986D8F" w:rsidP="00E5634E">
      <w:pPr>
        <w:spacing w:after="0" w:line="240" w:lineRule="auto"/>
        <w:rPr>
          <w:rFonts w:ascii="Verdana" w:eastAsia="Geomanist Light" w:hAnsi="Verdana" w:cs="Arial"/>
          <w:color w:val="000000" w:themeColor="text1"/>
          <w:lang w:val="es-MX"/>
        </w:rPr>
      </w:pPr>
    </w:p>
    <w:p w14:paraId="2DA05A38" w14:textId="77777777" w:rsidR="00986D8F" w:rsidRDefault="00986D8F" w:rsidP="00E5634E">
      <w:pPr>
        <w:spacing w:after="0" w:line="240" w:lineRule="auto"/>
        <w:rPr>
          <w:rFonts w:ascii="Verdana" w:eastAsia="Geomanist Light" w:hAnsi="Verdana" w:cs="Arial"/>
          <w:color w:val="000000" w:themeColor="text1"/>
          <w:lang w:val="es-MX"/>
        </w:rPr>
      </w:pPr>
    </w:p>
    <w:p w14:paraId="6FE89FD4" w14:textId="77777777" w:rsidR="00986D8F" w:rsidRDefault="00986D8F" w:rsidP="00E5634E">
      <w:pPr>
        <w:spacing w:after="0" w:line="240" w:lineRule="auto"/>
        <w:rPr>
          <w:rFonts w:ascii="Verdana" w:eastAsia="Geomanist Light" w:hAnsi="Verdana" w:cs="Arial"/>
          <w:color w:val="000000" w:themeColor="text1"/>
          <w:lang w:val="es-MX"/>
        </w:rPr>
      </w:pPr>
    </w:p>
    <w:p w14:paraId="7EE39A40" w14:textId="77777777" w:rsidR="00986D8F" w:rsidRDefault="00986D8F" w:rsidP="00E5634E">
      <w:pPr>
        <w:spacing w:after="0" w:line="240" w:lineRule="auto"/>
        <w:rPr>
          <w:rFonts w:ascii="Verdana" w:eastAsia="Geomanist Light" w:hAnsi="Verdana" w:cs="Arial"/>
          <w:color w:val="000000" w:themeColor="text1"/>
          <w:lang w:val="es-MX"/>
        </w:rPr>
      </w:pPr>
    </w:p>
    <w:p w14:paraId="291B2748" w14:textId="63E16294" w:rsidR="00E5634E" w:rsidRPr="0050687B" w:rsidRDefault="00E5634E" w:rsidP="00E5634E">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1B5CB2">
        <w:rPr>
          <w:rFonts w:ascii="Verdana" w:eastAsia="Geomanist Light" w:hAnsi="Verdana" w:cs="Arial"/>
          <w:color w:val="201F1E"/>
          <w:lang w:val="es-MX"/>
        </w:rPr>
        <w:t>17</w:t>
      </w:r>
      <w:r w:rsidRPr="00CF64C0">
        <w:rPr>
          <w:rFonts w:ascii="Verdana" w:eastAsia="Geomanist Light" w:hAnsi="Verdana" w:cs="Arial"/>
          <w:color w:val="201F1E"/>
          <w:lang w:val="es-MX"/>
        </w:rPr>
        <w:t xml:space="preserve"> de </w:t>
      </w:r>
      <w:r w:rsidR="001B5CB2">
        <w:rPr>
          <w:rFonts w:ascii="Verdana" w:eastAsia="Geomanist Light" w:hAnsi="Verdana" w:cs="Arial"/>
          <w:color w:val="201F1E"/>
          <w:lang w:val="es-MX"/>
        </w:rPr>
        <w:t xml:space="preserve">junio </w:t>
      </w:r>
      <w:r w:rsidRPr="00CF64C0">
        <w:rPr>
          <w:rFonts w:ascii="Verdana" w:eastAsia="Geomanist Light" w:hAnsi="Verdana" w:cs="Arial"/>
          <w:color w:val="201F1E"/>
          <w:lang w:val="es-MX"/>
        </w:rPr>
        <w:t xml:space="preserve">de </w:t>
      </w:r>
      <w:r w:rsidR="001B5CB2">
        <w:rPr>
          <w:rFonts w:ascii="Verdana" w:eastAsia="Geomanist Light" w:hAnsi="Verdana" w:cs="Arial"/>
          <w:color w:val="201F1E"/>
          <w:lang w:val="es-MX"/>
        </w:rPr>
        <w:t>2026</w:t>
      </w:r>
    </w:p>
    <w:p w14:paraId="11BEB825" w14:textId="77777777" w:rsidR="00E5634E" w:rsidRPr="00777292" w:rsidRDefault="00E5634E" w:rsidP="00E5634E">
      <w:pPr>
        <w:spacing w:after="0"/>
        <w:rPr>
          <w:rFonts w:ascii="Verdana" w:hAnsi="Verdana"/>
          <w:lang w:val="es-ES_tradnl"/>
        </w:rPr>
      </w:pPr>
    </w:p>
    <w:p w14:paraId="60F4BDD9" w14:textId="73E5AFEB" w:rsidR="001B5CB2" w:rsidRDefault="001B5CB2" w:rsidP="001B5CB2">
      <w:pPr>
        <w:spacing w:after="0" w:line="240" w:lineRule="auto"/>
        <w:ind w:left="4956"/>
        <w:rPr>
          <w:rFonts w:ascii="Verdana" w:eastAsia="Calibri" w:hAnsi="Verdana" w:cs="Arial"/>
          <w:lang w:val="es-ES" w:eastAsia="es-ES"/>
        </w:rPr>
      </w:pPr>
      <w:bookmarkStart w:id="1" w:name="_Hlk143780582"/>
      <w:r w:rsidRPr="001B5CB2">
        <w:rPr>
          <w:rFonts w:ascii="Verdana" w:eastAsia="Calibri" w:hAnsi="Verdana" w:cs="Arial"/>
          <w:noProof/>
          <w:lang w:val="es-ES" w:eastAsia="es-ES"/>
        </w:rPr>
        <w:drawing>
          <wp:inline distT="0" distB="0" distL="0" distR="0" wp14:anchorId="4D9AB525" wp14:editId="43242023">
            <wp:extent cx="2553056" cy="762106"/>
            <wp:effectExtent l="0" t="0" r="0" b="0"/>
            <wp:docPr id="1102712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12306" name=""/>
                    <pic:cNvPicPr/>
                  </pic:nvPicPr>
                  <pic:blipFill>
                    <a:blip r:embed="rId11"/>
                    <a:stretch>
                      <a:fillRect/>
                    </a:stretch>
                  </pic:blipFill>
                  <pic:spPr>
                    <a:xfrm>
                      <a:off x="0" y="0"/>
                      <a:ext cx="2553056" cy="762106"/>
                    </a:xfrm>
                    <a:prstGeom prst="rect">
                      <a:avLst/>
                    </a:prstGeom>
                  </pic:spPr>
                </pic:pic>
              </a:graphicData>
            </a:graphic>
          </wp:inline>
        </w:drawing>
      </w:r>
    </w:p>
    <w:p w14:paraId="5CAB25C0" w14:textId="70E37462" w:rsidR="00E5634E" w:rsidRPr="00777292" w:rsidRDefault="00E5634E" w:rsidP="00E5634E">
      <w:pPr>
        <w:spacing w:after="0" w:line="240" w:lineRule="auto"/>
        <w:rPr>
          <w:rFonts w:ascii="Verdana" w:hAnsi="Verdana"/>
          <w:lang w:val="es-ES"/>
        </w:rPr>
      </w:pPr>
      <w:r w:rsidRPr="00777292">
        <w:rPr>
          <w:rFonts w:ascii="Verdana" w:eastAsia="Calibri" w:hAnsi="Verdana" w:cs="Arial"/>
          <w:lang w:val="es-ES" w:eastAsia="es-ES"/>
        </w:rPr>
        <w:t>Señor</w:t>
      </w:r>
      <w:r>
        <w:rPr>
          <w:rFonts w:ascii="Verdana" w:eastAsia="Calibri" w:hAnsi="Verdana" w:cs="Arial"/>
          <w:lang w:val="es-ES" w:eastAsia="es-ES"/>
        </w:rPr>
        <w:t>a</w:t>
      </w:r>
    </w:p>
    <w:p w14:paraId="2CD42D70" w14:textId="77777777" w:rsidR="00E5634E" w:rsidRPr="00E5634E" w:rsidRDefault="00E5634E" w:rsidP="00E5634E">
      <w:pPr>
        <w:spacing w:after="0"/>
        <w:rPr>
          <w:rFonts w:ascii="Verdana" w:eastAsia="Calibri" w:hAnsi="Verdana" w:cs="Arial"/>
          <w:b/>
          <w:bCs/>
          <w:lang w:eastAsia="es-ES"/>
        </w:rPr>
      </w:pPr>
      <w:r w:rsidRPr="00E5634E">
        <w:rPr>
          <w:rFonts w:ascii="Verdana" w:eastAsia="Calibri" w:hAnsi="Verdana" w:cs="Arial"/>
          <w:b/>
          <w:bCs/>
          <w:lang w:eastAsia="es-ES"/>
        </w:rPr>
        <w:t>Deny Cenidia Castro Fandiño</w:t>
      </w:r>
    </w:p>
    <w:p w14:paraId="62DFF0BC" w14:textId="77777777" w:rsidR="00E5634E" w:rsidRPr="00E5634E" w:rsidRDefault="00E5634E" w:rsidP="00E5634E">
      <w:pPr>
        <w:spacing w:after="0"/>
        <w:rPr>
          <w:rStyle w:val="Hipervnculo"/>
          <w:rFonts w:ascii="Verdana" w:hAnsi="Verdana"/>
          <w:color w:val="ED7D31" w:themeColor="accent2"/>
        </w:rPr>
      </w:pPr>
      <w:hyperlink r:id="rId12" w:history="1">
        <w:r w:rsidRPr="00E5634E">
          <w:rPr>
            <w:rStyle w:val="Hipervnculo"/>
            <w:rFonts w:ascii="Verdana" w:hAnsi="Verdana"/>
          </w:rPr>
          <w:t>licitacioneslmvo@gmail.com</w:t>
        </w:r>
      </w:hyperlink>
      <w:r w:rsidRPr="00E5634E">
        <w:rPr>
          <w:rFonts w:ascii="Verdana" w:hAnsi="Verdana"/>
        </w:rPr>
        <w:t xml:space="preserve">; </w:t>
      </w:r>
    </w:p>
    <w:p w14:paraId="44234E56" w14:textId="77777777" w:rsidR="00E5634E" w:rsidRPr="00374D19" w:rsidRDefault="00E5634E" w:rsidP="00E5634E">
      <w:pPr>
        <w:spacing w:after="0"/>
        <w:rPr>
          <w:rFonts w:ascii="Verdana" w:eastAsia="Calibri" w:hAnsi="Verdana" w:cs="Arial"/>
          <w:lang w:val="pt-PT" w:eastAsia="es-ES"/>
        </w:rPr>
      </w:pPr>
      <w:r w:rsidRPr="00374D19">
        <w:rPr>
          <w:rFonts w:ascii="Verdana" w:eastAsia="Calibri" w:hAnsi="Verdana" w:cs="Arial"/>
          <w:lang w:val="pt-PT" w:eastAsia="es-ES"/>
        </w:rPr>
        <w:t>Bogotá, Cundinamarca</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E5634E" w:rsidRPr="00777292" w14:paraId="66AB5275" w14:textId="77777777" w:rsidTr="00371A9A">
        <w:trPr>
          <w:trHeight w:val="190"/>
        </w:trPr>
        <w:tc>
          <w:tcPr>
            <w:tcW w:w="2689" w:type="dxa"/>
          </w:tcPr>
          <w:p w14:paraId="1981249E" w14:textId="77777777" w:rsidR="00E5634E" w:rsidRPr="00374D19" w:rsidRDefault="00E5634E" w:rsidP="00371A9A">
            <w:pPr>
              <w:jc w:val="both"/>
              <w:rPr>
                <w:rFonts w:ascii="Verdana" w:eastAsia="Calibri" w:hAnsi="Verdana" w:cs="Arial"/>
                <w:b/>
                <w:bCs/>
                <w:lang w:val="pt-PT" w:eastAsia="es-ES_tradnl"/>
              </w:rPr>
            </w:pPr>
          </w:p>
        </w:tc>
        <w:tc>
          <w:tcPr>
            <w:tcW w:w="6100" w:type="dxa"/>
          </w:tcPr>
          <w:p w14:paraId="0A66800B" w14:textId="3F3B3C8D" w:rsidR="00E5634E" w:rsidRPr="00777292" w:rsidRDefault="00E5634E" w:rsidP="00371A9A">
            <w:pPr>
              <w:jc w:val="both"/>
              <w:rPr>
                <w:rFonts w:ascii="Verdana" w:eastAsia="Calibri" w:hAnsi="Verdana" w:cs="Arial"/>
                <w:b/>
                <w:bCs/>
                <w:lang w:eastAsia="es-ES"/>
              </w:rPr>
            </w:pPr>
            <w:r w:rsidRPr="00777292">
              <w:rPr>
                <w:rFonts w:ascii="Verdana" w:eastAsia="Calibri" w:hAnsi="Verdana" w:cs="Arial"/>
                <w:b/>
                <w:bCs/>
                <w:lang w:eastAsia="es-ES"/>
              </w:rPr>
              <w:t>Concepto C-</w:t>
            </w:r>
            <w:r>
              <w:rPr>
                <w:rFonts w:ascii="Verdana" w:eastAsia="Calibri" w:hAnsi="Verdana" w:cs="Arial"/>
                <w:b/>
                <w:bCs/>
                <w:lang w:eastAsia="es-ES"/>
              </w:rPr>
              <w:t>775</w:t>
            </w:r>
            <w:r w:rsidRPr="00777292">
              <w:rPr>
                <w:rFonts w:ascii="Verdana" w:eastAsia="Calibri" w:hAnsi="Verdana" w:cs="Arial"/>
                <w:b/>
                <w:bCs/>
                <w:lang w:eastAsia="es-ES"/>
              </w:rPr>
              <w:t xml:space="preserve"> de 2026</w:t>
            </w:r>
          </w:p>
          <w:p w14:paraId="194AD3C8" w14:textId="77777777" w:rsidR="00E5634E" w:rsidRPr="00777292" w:rsidRDefault="00E5634E" w:rsidP="00371A9A">
            <w:pPr>
              <w:jc w:val="both"/>
              <w:rPr>
                <w:rFonts w:ascii="Verdana" w:eastAsia="Calibri" w:hAnsi="Verdana" w:cs="Arial"/>
                <w:b/>
                <w:bCs/>
                <w:lang w:eastAsia="es-ES"/>
              </w:rPr>
            </w:pPr>
          </w:p>
        </w:tc>
      </w:tr>
      <w:tr w:rsidR="00E5634E" w:rsidRPr="00777292" w14:paraId="4A3E4922" w14:textId="77777777" w:rsidTr="00371A9A">
        <w:trPr>
          <w:trHeight w:val="884"/>
        </w:trPr>
        <w:tc>
          <w:tcPr>
            <w:tcW w:w="2689" w:type="dxa"/>
          </w:tcPr>
          <w:p w14:paraId="55873230" w14:textId="77777777" w:rsidR="00E5634E" w:rsidRPr="00777292" w:rsidRDefault="00E5634E" w:rsidP="00371A9A">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3E9D338E" w14:textId="77777777" w:rsidR="00E5634E" w:rsidRDefault="00E5634E" w:rsidP="00371A9A">
            <w:pPr>
              <w:contextualSpacing/>
              <w:jc w:val="both"/>
              <w:rPr>
                <w:rFonts w:ascii="Verdana" w:eastAsia="Calibri" w:hAnsi="Verdana" w:cs="Arial"/>
                <w:lang w:eastAsia="es-ES"/>
              </w:rPr>
            </w:pPr>
            <w:r w:rsidRPr="00396D98">
              <w:rPr>
                <w:rFonts w:ascii="Verdana" w:eastAsia="Calibri" w:hAnsi="Verdana" w:cs="Arial"/>
                <w:lang w:eastAsia="es-ES"/>
              </w:rPr>
              <w:t xml:space="preserve">DECRETO 0287 DE 2026 ‒ Sistema Integral de Preferencias ‒ Contratación pública inclusiva ‒ Personas con discapacidad / DECRETO 0287 DE 2026 ‒ Antecedentes normativos ‒ Decreto 392 de 2018 ‒ Omisiones reglamentarias ‒ Sentencia de acción de cumplimiento / DECRETO 0287 DE 2026 ‒ Sujetos del sistema ‒ Emprendimientos y empresas de personas con discapacidad ‒ Empleadores de personas con discapacidad ‒ Definición y diferenciación / DECRETO 0287 DE 2026 ‒ Puntaje adicional del 2% / VINCULACION DEL PERSONAL - </w:t>
            </w:r>
            <w:r w:rsidRPr="00396D98">
              <w:rPr>
                <w:rFonts w:ascii="Verdana" w:eastAsia="Century Gothic" w:hAnsi="Verdana" w:cs="Century Gothic"/>
              </w:rPr>
              <w:t xml:space="preserve">artículo 2.2.1.2.4.2.7.4- régimen Legal - </w:t>
            </w:r>
            <w:r w:rsidRPr="00396D98">
              <w:rPr>
                <w:rFonts w:ascii="Verdana" w:eastAsia="Calibri" w:hAnsi="Verdana" w:cs="Arial"/>
                <w:lang w:eastAsia="es-ES"/>
              </w:rPr>
              <w:t>DECRETO 0287 DE 2026 – Vigencia – Entrada en Rigor – Implementación/ N</w:t>
            </w:r>
            <w:r w:rsidRPr="00396D98">
              <w:rPr>
                <w:rFonts w:ascii="Verdana" w:eastAsia="Century Gothic" w:hAnsi="Verdana" w:cs="Century Gothic"/>
              </w:rPr>
              <w:t xml:space="preserve">umeral 4 del artículo 2.2.1.2.4.2.6 – Aplicabilidad - </w:t>
            </w:r>
            <w:r w:rsidRPr="00396D98">
              <w:rPr>
                <w:rFonts w:ascii="Verdana" w:eastAsia="Calibri" w:hAnsi="Verdana" w:cs="Arial"/>
                <w:lang w:eastAsia="es-ES"/>
              </w:rPr>
              <w:t>DECRETO 0287 DE 2026 – Cargos de Nivel Directivo - Definición</w:t>
            </w:r>
          </w:p>
          <w:p w14:paraId="2FCF9971" w14:textId="77777777" w:rsidR="00E5634E" w:rsidRPr="00777292" w:rsidRDefault="00E5634E" w:rsidP="00371A9A">
            <w:pPr>
              <w:contextualSpacing/>
              <w:jc w:val="both"/>
              <w:rPr>
                <w:rFonts w:ascii="Verdana" w:eastAsia="Calibri" w:hAnsi="Verdana" w:cs="Arial"/>
                <w:lang w:eastAsia="es-ES"/>
              </w:rPr>
            </w:pPr>
          </w:p>
        </w:tc>
      </w:tr>
      <w:tr w:rsidR="00E5634E" w:rsidRPr="00777292" w14:paraId="041868E4" w14:textId="77777777" w:rsidTr="00371A9A">
        <w:tc>
          <w:tcPr>
            <w:tcW w:w="2689" w:type="dxa"/>
          </w:tcPr>
          <w:p w14:paraId="52888953" w14:textId="77777777" w:rsidR="00E5634E" w:rsidRPr="00777292" w:rsidRDefault="00E5634E" w:rsidP="00371A9A">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5B09052D" w14:textId="77777777" w:rsidR="00E5634E" w:rsidRPr="00777292" w:rsidRDefault="00E5634E" w:rsidP="00371A9A">
            <w:pPr>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Pr>
                <w:rFonts w:ascii="Verdana" w:eastAsia="Calibri" w:hAnsi="Verdana" w:cs="Arial"/>
                <w:lang w:eastAsia="es-ES_tradnl"/>
              </w:rPr>
              <w:t xml:space="preserve"> </w:t>
            </w:r>
            <w:r w:rsidRPr="00120A74">
              <w:rPr>
                <w:rFonts w:ascii="Verdana" w:eastAsia="Calibri" w:hAnsi="Verdana" w:cs="Arial"/>
                <w:lang w:eastAsia="es-ES_tradnl"/>
              </w:rPr>
              <w:t>1_2026_05_07_006255</w:t>
            </w:r>
          </w:p>
        </w:tc>
      </w:tr>
    </w:tbl>
    <w:p w14:paraId="377CA8A1" w14:textId="77777777" w:rsidR="00E5634E" w:rsidRPr="00206556" w:rsidRDefault="00E5634E" w:rsidP="00E5634E">
      <w:pPr>
        <w:spacing w:after="0" w:line="276" w:lineRule="auto"/>
        <w:jc w:val="both"/>
        <w:rPr>
          <w:rFonts w:ascii="Verdana" w:eastAsia="Calibri" w:hAnsi="Verdana" w:cs="Arial"/>
          <w:color w:val="ED7D31" w:themeColor="accent2"/>
          <w:lang w:val="es-ES" w:eastAsia="es-ES"/>
        </w:rPr>
      </w:pPr>
    </w:p>
    <w:p w14:paraId="445DEC00" w14:textId="77777777" w:rsidR="00E5634E" w:rsidRPr="00206556" w:rsidRDefault="00E5634E" w:rsidP="00E5634E">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Estimad</w:t>
      </w:r>
      <w:r>
        <w:rPr>
          <w:rFonts w:ascii="Verdana" w:eastAsia="Calibri" w:hAnsi="Verdana" w:cs="Arial"/>
          <w:lang w:val="es-ES" w:eastAsia="es-ES"/>
        </w:rPr>
        <w:t>a</w:t>
      </w:r>
      <w:r w:rsidRPr="006B694D">
        <w:rPr>
          <w:rFonts w:ascii="Verdana" w:eastAsia="Calibri" w:hAnsi="Verdana" w:cs="Arial"/>
          <w:lang w:val="es-ES" w:eastAsia="es-ES"/>
        </w:rPr>
        <w:t xml:space="preserve"> </w:t>
      </w:r>
      <w:r>
        <w:rPr>
          <w:rFonts w:ascii="Verdana" w:eastAsia="Calibri" w:hAnsi="Verdana" w:cs="Arial"/>
          <w:lang w:val="es-ES" w:eastAsia="es-ES"/>
        </w:rPr>
        <w:t xml:space="preserve">señora Castro Fandiño, </w:t>
      </w:r>
    </w:p>
    <w:p w14:paraId="623388BA" w14:textId="77777777" w:rsidR="00E5634E" w:rsidRPr="00206556" w:rsidRDefault="00E5634E" w:rsidP="00E5634E">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6E112168" w14:textId="77777777" w:rsidR="00E5634E" w:rsidRPr="00206556" w:rsidRDefault="00E5634E" w:rsidP="00E5634E">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En ejercicio de la competencia otorgada por los artículos 3, numeral 5º, y 11, numeral 8º, del Decreto Ley 4170 de 2011,</w:t>
      </w:r>
      <w:r w:rsidRPr="006B694D">
        <w:rPr>
          <w:rFonts w:ascii="Verdana" w:eastAsia="Arial MT" w:hAnsi="Verdana" w:cs="Arial MT"/>
          <w:lang w:val="es-ES" w:eastAsia="es-ES"/>
        </w:rPr>
        <w:t xml:space="preserve"> </w:t>
      </w:r>
      <w:r w:rsidRPr="006B694D">
        <w:rPr>
          <w:rFonts w:ascii="Verdana" w:hAnsi="Verdana" w:cs="Arial"/>
          <w:lang w:val="es-ES"/>
        </w:rPr>
        <w:t xml:space="preserve">así como lo establecido en la Resolución 469 de 2025 expedida por esta Entidad, </w:t>
      </w:r>
      <w:r w:rsidRPr="006B694D">
        <w:rPr>
          <w:rFonts w:ascii="Verdana" w:eastAsia="Calibri" w:hAnsi="Verdana" w:cs="Arial"/>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07</w:t>
      </w:r>
      <w:r w:rsidRPr="006B694D">
        <w:rPr>
          <w:rFonts w:ascii="Verdana" w:eastAsia="Calibri" w:hAnsi="Verdana" w:cs="Arial"/>
          <w:lang w:val="es-ES" w:eastAsia="es-ES"/>
        </w:rPr>
        <w:t xml:space="preserve"> de </w:t>
      </w:r>
      <w:r>
        <w:rPr>
          <w:rFonts w:ascii="Verdana" w:eastAsia="Calibri" w:hAnsi="Verdana" w:cs="Arial"/>
          <w:lang w:val="es-ES" w:eastAsia="es-ES"/>
        </w:rPr>
        <w:t>mayo</w:t>
      </w:r>
      <w:r w:rsidRPr="006B694D">
        <w:rPr>
          <w:rFonts w:ascii="Verdana" w:eastAsia="Calibri" w:hAnsi="Verdana" w:cs="Arial"/>
          <w:lang w:val="es-ES" w:eastAsia="es-ES"/>
        </w:rPr>
        <w:t xml:space="preserve"> de 2026, en la cual manifiesta lo siguiente</w:t>
      </w:r>
      <w:r w:rsidRPr="00206556">
        <w:rPr>
          <w:rFonts w:ascii="Verdana" w:eastAsia="Calibri" w:hAnsi="Verdana" w:cs="Arial"/>
          <w:lang w:val="es-ES" w:eastAsia="es-ES"/>
        </w:rPr>
        <w:t xml:space="preserve">: </w:t>
      </w:r>
    </w:p>
    <w:p w14:paraId="223B8AD2" w14:textId="77777777" w:rsidR="00E5634E" w:rsidRPr="00120A74" w:rsidRDefault="00E5634E" w:rsidP="00E5634E">
      <w:pPr>
        <w:spacing w:before="120" w:after="120" w:line="240" w:lineRule="auto"/>
        <w:ind w:right="709"/>
        <w:contextualSpacing/>
        <w:jc w:val="both"/>
        <w:rPr>
          <w:rFonts w:ascii="Verdana" w:eastAsia="Century Gothic" w:hAnsi="Verdana" w:cs="Century Gothic"/>
          <w:i/>
          <w:iCs/>
          <w:sz w:val="20"/>
          <w:szCs w:val="20"/>
          <w:lang w:val="es-ES"/>
        </w:rPr>
      </w:pPr>
    </w:p>
    <w:p w14:paraId="61494D77" w14:textId="77777777" w:rsidR="00E5634E" w:rsidRPr="00120A74" w:rsidRDefault="00E5634E" w:rsidP="00E5634E">
      <w:pPr>
        <w:pStyle w:val="Prrafodelista"/>
        <w:numPr>
          <w:ilvl w:val="0"/>
          <w:numId w:val="17"/>
        </w:numPr>
        <w:spacing w:line="278" w:lineRule="auto"/>
        <w:rPr>
          <w:rFonts w:ascii="Verdana" w:hAnsi="Verdana"/>
          <w:i/>
          <w:iCs/>
        </w:rPr>
      </w:pPr>
      <w:r w:rsidRPr="00120A74">
        <w:rPr>
          <w:rFonts w:ascii="Verdana" w:hAnsi="Verdana"/>
          <w:i/>
          <w:iCs/>
        </w:rPr>
        <w:lastRenderedPageBreak/>
        <w:t>¿Bajo qué condiciones se deben tener las dos personas en condición de discapacidad?</w:t>
      </w:r>
    </w:p>
    <w:p w14:paraId="542DAA64" w14:textId="77777777" w:rsidR="00E5634E" w:rsidRPr="00120A74" w:rsidRDefault="00E5634E" w:rsidP="00E5634E">
      <w:pPr>
        <w:pStyle w:val="Prrafodelista"/>
        <w:numPr>
          <w:ilvl w:val="0"/>
          <w:numId w:val="17"/>
        </w:numPr>
        <w:spacing w:line="278" w:lineRule="auto"/>
        <w:rPr>
          <w:rFonts w:ascii="Verdana" w:hAnsi="Verdana"/>
          <w:i/>
          <w:iCs/>
        </w:rPr>
      </w:pPr>
      <w:r w:rsidRPr="00120A74">
        <w:rPr>
          <w:rFonts w:ascii="Verdana" w:hAnsi="Verdana"/>
          <w:i/>
          <w:iCs/>
        </w:rPr>
        <w:t>¿A qué tiempo se tiene en cuenta o empieza la reglamentación del secreto?, lo anterior de acuerdo con los parámetros y circulares que va ha publicar, ya que a la fecha no ha sido publicado algún documento, del pliego tipo modificado al decreto, y de esta manera la circular aclarando dudas, tampoco ha sido publicada.</w:t>
      </w:r>
    </w:p>
    <w:p w14:paraId="76EEA833" w14:textId="77777777" w:rsidR="00E5634E" w:rsidRPr="00120A74" w:rsidRDefault="00E5634E" w:rsidP="00E5634E">
      <w:pPr>
        <w:pStyle w:val="Prrafodelista"/>
        <w:numPr>
          <w:ilvl w:val="0"/>
          <w:numId w:val="17"/>
        </w:numPr>
        <w:spacing w:line="278" w:lineRule="auto"/>
        <w:rPr>
          <w:rFonts w:ascii="Verdana" w:hAnsi="Verdana"/>
          <w:i/>
          <w:iCs/>
        </w:rPr>
      </w:pPr>
      <w:r w:rsidRPr="00120A74">
        <w:rPr>
          <w:rFonts w:ascii="Verdana" w:hAnsi="Verdana"/>
          <w:i/>
          <w:iCs/>
        </w:rPr>
        <w:t>Según el decreto en el articulo 2.2.1.2.4.2.6, numeral 4, ¿también aplica para persona natural? ¿Y es necesario tener la otra persona afiliada?</w:t>
      </w:r>
    </w:p>
    <w:p w14:paraId="3CB79F9E" w14:textId="77777777" w:rsidR="00E5634E" w:rsidRPr="005747B3" w:rsidRDefault="00E5634E" w:rsidP="00E5634E">
      <w:pPr>
        <w:pStyle w:val="Prrafodelista"/>
        <w:numPr>
          <w:ilvl w:val="0"/>
          <w:numId w:val="17"/>
        </w:numPr>
        <w:spacing w:line="278" w:lineRule="auto"/>
        <w:rPr>
          <w:rFonts w:ascii="Verdana" w:hAnsi="Verdana"/>
          <w:i/>
          <w:iCs/>
        </w:rPr>
      </w:pPr>
      <w:r w:rsidRPr="00120A74">
        <w:rPr>
          <w:rFonts w:ascii="Verdana" w:hAnsi="Verdana"/>
          <w:i/>
          <w:iCs/>
        </w:rPr>
        <w:t>Si, también aplica para persona natural, se quiera conocer a que refiere un cargo directivo.</w:t>
      </w:r>
    </w:p>
    <w:p w14:paraId="6B734A3C" w14:textId="77777777" w:rsidR="00E5634E" w:rsidRDefault="00E5634E" w:rsidP="00E5634E">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40F3D7D5" w14:textId="77777777" w:rsidR="00E5634E" w:rsidRPr="00206556" w:rsidRDefault="00E5634E" w:rsidP="00E5634E">
      <w:pPr>
        <w:spacing w:after="0" w:line="276" w:lineRule="auto"/>
        <w:ind w:firstLine="709"/>
        <w:jc w:val="both"/>
        <w:rPr>
          <w:rFonts w:ascii="Verdana" w:eastAsia="Calibri" w:hAnsi="Verdana" w:cs="Arial"/>
          <w:lang w:val="es-ES" w:eastAsia="es-ES"/>
        </w:rPr>
      </w:pPr>
    </w:p>
    <w:p w14:paraId="65ABDFEB" w14:textId="77777777" w:rsidR="00E5634E" w:rsidRPr="00206556" w:rsidRDefault="00E5634E" w:rsidP="00E5634E">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0DBA1689" w14:textId="77777777" w:rsidR="00E5634E" w:rsidRPr="00206556" w:rsidRDefault="00E5634E" w:rsidP="00E5634E">
      <w:pPr>
        <w:tabs>
          <w:tab w:val="left" w:pos="426"/>
        </w:tabs>
        <w:spacing w:after="0" w:line="276" w:lineRule="auto"/>
        <w:jc w:val="both"/>
        <w:rPr>
          <w:rFonts w:ascii="Verdana" w:eastAsia="Century Gothic" w:hAnsi="Verdana" w:cs="Century Gothic"/>
          <w:color w:val="ED7D31" w:themeColor="accent2"/>
          <w:lang w:val="es-ES"/>
        </w:rPr>
      </w:pPr>
    </w:p>
    <w:p w14:paraId="36FF4948" w14:textId="77777777" w:rsidR="00E5634E" w:rsidRDefault="00E5634E" w:rsidP="00E5634E">
      <w:pPr>
        <w:pStyle w:val="Prrafodelista"/>
        <w:numPr>
          <w:ilvl w:val="0"/>
          <w:numId w:val="18"/>
        </w:numPr>
        <w:spacing w:after="0" w:line="276" w:lineRule="auto"/>
        <w:jc w:val="both"/>
        <w:rPr>
          <w:rFonts w:ascii="Verdana" w:eastAsia="Century Gothic" w:hAnsi="Verdana" w:cs="Century Gothic"/>
        </w:rPr>
      </w:pPr>
      <w:r w:rsidRPr="00975CEA">
        <w:rPr>
          <w:rFonts w:ascii="Verdana" w:eastAsia="Century Gothic" w:hAnsi="Verdana" w:cs="Century Gothic"/>
        </w:rPr>
        <w:t>¿Cuáles son los requisitos de vinculación de las dos personas en condición de discapacidad previstos en el artículo 2.2.1.2.4.2.7.4 del Decreto 287 de 2026?</w:t>
      </w:r>
    </w:p>
    <w:p w14:paraId="7AAB1BE1" w14:textId="77777777" w:rsidR="00E5634E" w:rsidRPr="008335A2" w:rsidRDefault="00E5634E" w:rsidP="00E5634E">
      <w:pPr>
        <w:pStyle w:val="Prrafodelista"/>
        <w:numPr>
          <w:ilvl w:val="0"/>
          <w:numId w:val="18"/>
        </w:numPr>
        <w:spacing w:after="0" w:line="276" w:lineRule="auto"/>
        <w:jc w:val="both"/>
        <w:rPr>
          <w:rFonts w:ascii="Verdana" w:eastAsia="Century Gothic" w:hAnsi="Verdana" w:cs="Century Gothic"/>
        </w:rPr>
      </w:pPr>
      <w:r w:rsidRPr="00481B32">
        <w:rPr>
          <w:rFonts w:ascii="Verdana" w:eastAsia="Century Gothic" w:hAnsi="Verdana" w:cs="Century Gothic"/>
          <w:lang w:val="es-CO"/>
        </w:rPr>
        <w:t>¿A partir de qué fecha entran en vigor y resultan exigibles las disposiciones contenidas en el Decreto 287 de 2026 dentro de los procesos de contratación estatal?</w:t>
      </w:r>
    </w:p>
    <w:p w14:paraId="115986F2" w14:textId="77777777" w:rsidR="00E5634E" w:rsidRPr="00374D19" w:rsidRDefault="00E5634E" w:rsidP="00E5634E">
      <w:pPr>
        <w:pStyle w:val="Prrafodelista"/>
        <w:numPr>
          <w:ilvl w:val="0"/>
          <w:numId w:val="18"/>
        </w:numPr>
        <w:spacing w:after="0" w:line="276" w:lineRule="auto"/>
        <w:jc w:val="both"/>
        <w:rPr>
          <w:rFonts w:ascii="Verdana" w:eastAsia="Century Gothic" w:hAnsi="Verdana" w:cs="Century Gothic"/>
        </w:rPr>
      </w:pPr>
      <w:r w:rsidRPr="008335A2">
        <w:rPr>
          <w:rFonts w:ascii="Verdana" w:eastAsia="Century Gothic" w:hAnsi="Verdana" w:cs="Century Gothic"/>
          <w:lang w:val="es-CO"/>
        </w:rPr>
        <w:t>¿El requisito previsto en el numeral 4 del artículo 2.2.1.2.4.2.6 del Decreto 287 de 2026 resulta aplicable a los proponentes personas naturales y, en caso afirmativo, exige la vinculación o afiliación de una persona adicional para efectos de su acreditación?</w:t>
      </w:r>
    </w:p>
    <w:p w14:paraId="329A9D4C" w14:textId="77777777" w:rsidR="00E5634E" w:rsidRPr="00374D19" w:rsidRDefault="00E5634E" w:rsidP="00E5634E">
      <w:pPr>
        <w:pStyle w:val="Prrafodelista"/>
        <w:numPr>
          <w:ilvl w:val="0"/>
          <w:numId w:val="18"/>
        </w:numPr>
        <w:spacing w:line="278" w:lineRule="auto"/>
        <w:rPr>
          <w:rFonts w:ascii="Verdana" w:hAnsi="Verdana"/>
        </w:rPr>
      </w:pPr>
      <w:r w:rsidRPr="00374D19">
        <w:rPr>
          <w:rFonts w:ascii="Verdana" w:hAnsi="Verdana"/>
        </w:rPr>
        <w:t>¿A que se refiere cargo a nivel directivo contemplado en la norma?</w:t>
      </w:r>
    </w:p>
    <w:p w14:paraId="70914CF7" w14:textId="77777777" w:rsidR="00E5634E" w:rsidRPr="00975CEA" w:rsidRDefault="00E5634E" w:rsidP="00E5634E">
      <w:pPr>
        <w:pStyle w:val="Prrafodelista"/>
        <w:spacing w:after="0" w:line="276" w:lineRule="auto"/>
        <w:jc w:val="both"/>
        <w:rPr>
          <w:rFonts w:ascii="Verdana" w:eastAsia="Century Gothic" w:hAnsi="Verdana" w:cs="Century Gothic"/>
        </w:rPr>
      </w:pPr>
    </w:p>
    <w:p w14:paraId="11429033" w14:textId="77777777" w:rsidR="00E5634E" w:rsidRPr="005747B3" w:rsidRDefault="00E5634E" w:rsidP="00E5634E">
      <w:pPr>
        <w:pStyle w:val="Prrafodelista"/>
        <w:spacing w:after="0" w:line="276" w:lineRule="auto"/>
        <w:ind w:left="1140"/>
        <w:jc w:val="both"/>
        <w:rPr>
          <w:rFonts w:ascii="Verdana" w:eastAsia="Century Gothic" w:hAnsi="Verdana" w:cs="Century Gothic"/>
        </w:rPr>
      </w:pPr>
    </w:p>
    <w:p w14:paraId="41A2C0BB"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1BC8955C"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5634E" w:rsidRPr="00206556" w14:paraId="4EBAECF9" w14:textId="77777777" w:rsidTr="00371A9A">
        <w:tc>
          <w:tcPr>
            <w:tcW w:w="8828" w:type="dxa"/>
          </w:tcPr>
          <w:p w14:paraId="7916B293" w14:textId="77777777" w:rsidR="00E5634E" w:rsidRPr="00DC16AE" w:rsidRDefault="00E5634E" w:rsidP="00371A9A">
            <w:pPr>
              <w:spacing w:after="120" w:line="276" w:lineRule="auto"/>
              <w:jc w:val="both"/>
              <w:rPr>
                <w:rFonts w:ascii="Verdana" w:eastAsia="Times New Roman" w:hAnsi="Verdana" w:cs="Times New Roman"/>
              </w:rPr>
            </w:pPr>
            <w:r>
              <w:rPr>
                <w:rFonts w:ascii="Verdana" w:eastAsia="Times New Roman" w:hAnsi="Verdana" w:cs="Times New Roman"/>
              </w:rPr>
              <w:lastRenderedPageBreak/>
              <w:t>i)</w:t>
            </w:r>
            <w:r w:rsidRPr="00DC16AE">
              <w:rPr>
                <w:rFonts w:ascii="Verdana" w:eastAsia="Times New Roman" w:hAnsi="Verdana" w:cs="Times New Roman"/>
              </w:rPr>
              <w:t>El artículo 2.2.1.2.4.2.7.4 del Decreto 287 de 2026 establece un factor de evaluación destinado a promover la inclusión laboral de las personas con discapacidad y a incentivar la participación de emprendimientos y empresas de personas con discapacidad en los procesos de contratación estatal. En virtud de esta disposición, las entidades estatales pueden otorgar hasta un dos por ciento (2%) adicional sobre el puntaje total previsto en el pliego de condiciones o documento equivalente, siempre que se acrediten los requisitos establecidos en la norma.</w:t>
            </w:r>
          </w:p>
          <w:p w14:paraId="76CDAE88" w14:textId="77777777" w:rsidR="00E5634E" w:rsidRDefault="00E5634E" w:rsidP="00371A9A">
            <w:pPr>
              <w:spacing w:after="120" w:line="276" w:lineRule="auto"/>
              <w:ind w:firstLine="708"/>
              <w:jc w:val="both"/>
              <w:rPr>
                <w:rFonts w:ascii="Verdana" w:eastAsia="Times New Roman" w:hAnsi="Verdana" w:cs="Times New Roman"/>
              </w:rPr>
            </w:pPr>
            <w:r w:rsidRPr="00054F71">
              <w:rPr>
                <w:rFonts w:ascii="Verdana" w:eastAsia="Times New Roman" w:hAnsi="Verdana" w:cs="Times New Roman"/>
              </w:rPr>
              <w:t>Frente al problema jurídico planteado, resulta pertinente señalar que el numeral 2 del citado artículo dispone expresamente que el proponente debe acreditar dentro de su planta de personal la vinculación de personas con discapacidad “con sujeción a todas las exigencias y garantías legalmente establecidas, mediante contrato laboral con dedicación exclusiva”.</w:t>
            </w:r>
          </w:p>
          <w:p w14:paraId="4BAD7E6F" w14:textId="77777777" w:rsidR="00E5634E" w:rsidRDefault="00E5634E" w:rsidP="00371A9A">
            <w:pPr>
              <w:spacing w:after="120" w:line="276" w:lineRule="auto"/>
              <w:ind w:firstLine="708"/>
              <w:jc w:val="both"/>
              <w:rPr>
                <w:rFonts w:ascii="Verdana" w:eastAsia="Times New Roman" w:hAnsi="Verdana" w:cs="Times New Roman"/>
              </w:rPr>
            </w:pPr>
            <w:r w:rsidRPr="00054F71">
              <w:rPr>
                <w:rFonts w:ascii="Verdana" w:eastAsia="Times New Roman" w:hAnsi="Verdana" w:cs="Times New Roman"/>
              </w:rPr>
              <w:t>De la lectura de la disposición se desprende que el beneficio no se predica de cualquier forma de vinculación, sino específicamente de una relación laboral formal. En consecuencia, para efectos de la obtención del puntaje adicional, las personas con discapacidad deben encontrarse vinculadas mediante contrato de trabajo y formar parte de la planta de personal del proponente, con observancia de las garantías laborales y de seguridad social previstas en el ordenamiento jurídico.</w:t>
            </w:r>
          </w:p>
          <w:p w14:paraId="59D838DF" w14:textId="77777777" w:rsidR="00E5634E" w:rsidRPr="00054F71" w:rsidRDefault="00E5634E" w:rsidP="00371A9A">
            <w:pPr>
              <w:spacing w:after="120" w:line="276" w:lineRule="auto"/>
              <w:ind w:firstLine="708"/>
              <w:jc w:val="both"/>
              <w:rPr>
                <w:rFonts w:ascii="Verdana" w:eastAsia="Times New Roman" w:hAnsi="Verdana" w:cs="Times New Roman"/>
              </w:rPr>
            </w:pPr>
            <w:r w:rsidRPr="00054F71">
              <w:rPr>
                <w:rFonts w:ascii="Verdana" w:eastAsia="Times New Roman" w:hAnsi="Verdana" w:cs="Times New Roman"/>
              </w:rPr>
              <w:t>Lo anterior implica que mecanismos de vinculación de naturaleza civil o comercial, tales como los contratos de prestación de servicios, no satisfacen el requisito previsto en la norma, toda vez que esta exige expresamente la existencia de un vínculo laboral. Asimismo, la exigencia de dedicación exclusiva evidencia la intención del reglamento de promover una vinculación laboral efectiva y estable, orientada a la inclusión real de las personas con discapacidad en la actividad económica del proponente.</w:t>
            </w:r>
          </w:p>
          <w:p w14:paraId="570AA6F7" w14:textId="77777777" w:rsidR="00E5634E" w:rsidRPr="00054F71" w:rsidRDefault="00E5634E" w:rsidP="00371A9A">
            <w:pPr>
              <w:spacing w:after="120" w:line="276" w:lineRule="auto"/>
              <w:ind w:firstLine="708"/>
              <w:jc w:val="both"/>
              <w:rPr>
                <w:rFonts w:ascii="Verdana" w:eastAsia="Times New Roman" w:hAnsi="Verdana" w:cs="Times New Roman"/>
              </w:rPr>
            </w:pPr>
            <w:r w:rsidRPr="00054F71">
              <w:rPr>
                <w:rFonts w:ascii="Verdana" w:eastAsia="Times New Roman" w:hAnsi="Verdana" w:cs="Times New Roman"/>
              </w:rPr>
              <w:t>En este sentido, el incentivo previsto en el Decreto 287 de 2026 debe interpretarse de manera concordante con los principios de igualdad material, inclusión y no discriminación que orientan las acciones afirmativas en favor de las personas con discapacidad, razón por la cual la acreditación del requisito exige demostrar una vinculación laboral real, vigente y ajustada a las condiciones expresamente previstas por la norma reglamentaria.</w:t>
            </w:r>
          </w:p>
          <w:p w14:paraId="4EB43768" w14:textId="77777777" w:rsidR="00E5634E" w:rsidRDefault="00E5634E" w:rsidP="00371A9A">
            <w:pPr>
              <w:spacing w:before="120" w:after="120" w:line="276" w:lineRule="auto"/>
              <w:ind w:firstLine="709"/>
              <w:jc w:val="both"/>
              <w:rPr>
                <w:rFonts w:ascii="Verdana" w:eastAsia="Calibri" w:hAnsi="Verdana" w:cs="Arial"/>
              </w:rPr>
            </w:pPr>
            <w:r>
              <w:rPr>
                <w:rFonts w:ascii="Verdana" w:eastAsia="Calibri" w:hAnsi="Verdana" w:cs="Arial"/>
              </w:rPr>
              <w:lastRenderedPageBreak/>
              <w:t xml:space="preserve">Ahora, en cuanto a </w:t>
            </w:r>
            <w:r w:rsidRPr="00073658">
              <w:rPr>
                <w:rFonts w:ascii="Verdana" w:eastAsia="Calibri" w:hAnsi="Verdana" w:cs="Arial"/>
              </w:rPr>
              <w:t>la obligación de compras públicas accesibles</w:t>
            </w:r>
            <w:r>
              <w:rPr>
                <w:rFonts w:ascii="Verdana" w:eastAsia="Calibri" w:hAnsi="Verdana" w:cs="Arial"/>
              </w:rPr>
              <w:t>,</w:t>
            </w:r>
            <w:r w:rsidRPr="00073658">
              <w:rPr>
                <w:rFonts w:ascii="Verdana" w:eastAsia="Calibri" w:hAnsi="Verdana" w:cs="Arial"/>
              </w:rPr>
              <w:t xml:space="preserve"> </w:t>
            </w:r>
            <w:r>
              <w:rPr>
                <w:rFonts w:ascii="Verdana" w:eastAsia="Calibri" w:hAnsi="Verdana" w:cs="Arial"/>
              </w:rPr>
              <w:t>esta es</w:t>
            </w:r>
            <w:r w:rsidRPr="00073658">
              <w:rPr>
                <w:rFonts w:ascii="Verdana" w:eastAsia="Calibri" w:hAnsi="Verdana" w:cs="Arial"/>
              </w:rPr>
              <w:t xml:space="preserve"> transversal a todos los entes del Estado y aplica en todos los contratos en </w:t>
            </w:r>
            <w:r>
              <w:rPr>
                <w:rFonts w:ascii="Verdana" w:eastAsia="Calibri" w:hAnsi="Verdana" w:cs="Arial"/>
              </w:rPr>
              <w:t>los que se adquieran</w:t>
            </w:r>
            <w:r w:rsidRPr="00073658">
              <w:rPr>
                <w:rFonts w:ascii="Verdana" w:eastAsia="Calibri" w:hAnsi="Verdana" w:cs="Arial"/>
              </w:rPr>
              <w:t xml:space="preserve"> bien</w:t>
            </w:r>
            <w:r>
              <w:rPr>
                <w:rFonts w:ascii="Verdana" w:eastAsia="Calibri" w:hAnsi="Verdana" w:cs="Arial"/>
              </w:rPr>
              <w:t>es</w:t>
            </w:r>
            <w:r w:rsidRPr="00073658">
              <w:rPr>
                <w:rFonts w:ascii="Verdana" w:eastAsia="Calibri" w:hAnsi="Verdana" w:cs="Arial"/>
              </w:rPr>
              <w:t>, obra</w:t>
            </w:r>
            <w:r>
              <w:rPr>
                <w:rFonts w:ascii="Verdana" w:eastAsia="Calibri" w:hAnsi="Verdana" w:cs="Arial"/>
              </w:rPr>
              <w:t>s</w:t>
            </w:r>
            <w:r w:rsidRPr="00073658">
              <w:rPr>
                <w:rFonts w:ascii="Verdana" w:eastAsia="Calibri" w:hAnsi="Verdana" w:cs="Arial"/>
              </w:rPr>
              <w:t xml:space="preserve"> o servicio</w:t>
            </w:r>
            <w:r>
              <w:rPr>
                <w:rFonts w:ascii="Verdana" w:eastAsia="Calibri" w:hAnsi="Verdana" w:cs="Arial"/>
              </w:rPr>
              <w:t>s</w:t>
            </w:r>
            <w:r w:rsidRPr="00073658">
              <w:rPr>
                <w:rFonts w:ascii="Verdana" w:eastAsia="Calibri" w:hAnsi="Verdana" w:cs="Arial"/>
              </w:rPr>
              <w:t>. La inexistencia de normas técnicas, reglamentarias o legales aplicables al objeto del contrato no exonera a la entidad de esta obligación: ante esa circunstancia, el artículo 2.2.1.2.4.2.7.1. del Decreto 0287 de 2026 impone a la entidad el deber de elaborar una ficha técnica propia con criterios de accesibilidad determinados desde los estudios previos, teniendo en cuenta las siete categorías de discapacidad definidas por el Ministerio de Salud y Protección Social</w:t>
            </w:r>
            <w:r w:rsidRPr="00206556">
              <w:rPr>
                <w:rFonts w:ascii="Verdana" w:eastAsia="Calibri" w:hAnsi="Verdana" w:cs="Arial"/>
              </w:rPr>
              <w:t xml:space="preserve">, </w:t>
            </w:r>
            <w:r w:rsidRPr="00073658">
              <w:rPr>
                <w:rFonts w:ascii="Verdana" w:eastAsia="Calibri" w:hAnsi="Verdana" w:cs="Arial"/>
              </w:rPr>
              <w:t>visual, física, psicosocial (mental), auditiva, sordoceguera, intelectual y múltiple</w:t>
            </w:r>
            <w:r w:rsidRPr="00206556">
              <w:rPr>
                <w:rFonts w:ascii="Verdana" w:eastAsia="Calibri" w:hAnsi="Verdana" w:cs="Arial"/>
              </w:rPr>
              <w:t>,</w:t>
            </w:r>
            <w:r w:rsidRPr="00073658">
              <w:rPr>
                <w:rFonts w:ascii="Verdana" w:eastAsia="Calibri" w:hAnsi="Verdana" w:cs="Arial"/>
              </w:rPr>
              <w:t xml:space="preserve"> y los principios de accesibilidad universal, diseño universal y ajustes razonables </w:t>
            </w:r>
          </w:p>
          <w:p w14:paraId="72BE7D46" w14:textId="77777777" w:rsidR="00E5634E" w:rsidRPr="00D851ED" w:rsidRDefault="00E5634E" w:rsidP="00371A9A">
            <w:pPr>
              <w:spacing w:before="120" w:after="120" w:line="276" w:lineRule="auto"/>
              <w:jc w:val="both"/>
              <w:rPr>
                <w:rFonts w:ascii="Verdana" w:eastAsia="Calibri" w:hAnsi="Verdana" w:cs="Arial"/>
              </w:rPr>
            </w:pPr>
            <w:r>
              <w:rPr>
                <w:rFonts w:ascii="Verdana" w:eastAsia="Calibri" w:hAnsi="Verdana" w:cs="Arial"/>
              </w:rPr>
              <w:t xml:space="preserve">ii) Respecto del régimen de transición para la aplicación del Decreto 287 de 2026, se debe tener en cuenta que </w:t>
            </w:r>
            <w:r w:rsidRPr="00D851ED">
              <w:rPr>
                <w:rFonts w:ascii="Verdana" w:eastAsia="Calibri" w:hAnsi="Verdana" w:cs="Arial"/>
              </w:rPr>
              <w:t>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w:t>
            </w:r>
            <w:r>
              <w:rPr>
                <w:rFonts w:ascii="Verdana" w:eastAsia="Calibri" w:hAnsi="Verdana" w:cs="Arial"/>
              </w:rPr>
              <w:t>, pero lo señalado en este concepto debe entenderse de acuerdo con la nueva redacción de los artículos enlistados, y no recurrir a la antigua redacción</w:t>
            </w:r>
            <w:r w:rsidRPr="00D851ED">
              <w:rPr>
                <w:rFonts w:ascii="Verdana" w:eastAsia="Calibri" w:hAnsi="Verdana" w:cs="Arial"/>
              </w:rPr>
              <w:t>.</w:t>
            </w:r>
          </w:p>
          <w:p w14:paraId="10D8E73C" w14:textId="77777777" w:rsidR="00E5634E" w:rsidRPr="00D851ED" w:rsidRDefault="00E5634E" w:rsidP="00371A9A">
            <w:pPr>
              <w:spacing w:before="120" w:after="120" w:line="276" w:lineRule="auto"/>
              <w:ind w:firstLine="709"/>
              <w:jc w:val="both"/>
              <w:rPr>
                <w:rFonts w:ascii="Verdana" w:eastAsia="Calibri" w:hAnsi="Verdana" w:cs="Arial"/>
              </w:rPr>
            </w:pPr>
            <w:r w:rsidRPr="00D851ED">
              <w:rPr>
                <w:rFonts w:ascii="Verdana" w:eastAsia="Calibri" w:hAnsi="Verdana" w:cs="Arial"/>
              </w:rPr>
              <w:t>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6C2BA590" w14:textId="77777777" w:rsidR="00E5634E" w:rsidRDefault="00E5634E" w:rsidP="00371A9A">
            <w:pPr>
              <w:spacing w:before="120" w:after="120" w:line="276" w:lineRule="auto"/>
              <w:ind w:firstLine="709"/>
              <w:jc w:val="both"/>
              <w:rPr>
                <w:rFonts w:ascii="Verdana" w:eastAsia="Calibri" w:hAnsi="Verdana" w:cs="Arial"/>
              </w:rPr>
            </w:pPr>
            <w:r w:rsidRPr="00D851ED">
              <w:rPr>
                <w:rFonts w:ascii="Verdana" w:eastAsia="Calibri" w:hAnsi="Verdana" w:cs="Arial"/>
              </w:rPr>
              <w:t xml:space="preserve">Para los procesos de contratación con proyecto de pliego publicado pero sin apertura al 19 de marzo de 2026, se recomienda que se incorporen las medidas del Decreto 287 de 2026 antes de publicar los pliegos definitivos. En </w:t>
            </w:r>
            <w:r w:rsidRPr="00D851ED">
              <w:rPr>
                <w:rFonts w:ascii="Verdana" w:eastAsia="Calibri" w:hAnsi="Verdana" w:cs="Arial"/>
              </w:rPr>
              <w:lastRenderedPageBreak/>
              <w:t>esa etapa aún es posible realizar ajustes sin afectar derechos adquiridos de los proponentes</w:t>
            </w:r>
            <w:r>
              <w:rPr>
                <w:rFonts w:ascii="Verdana" w:eastAsia="Calibri" w:hAnsi="Verdana" w:cs="Arial"/>
              </w:rPr>
              <w:t>.</w:t>
            </w:r>
          </w:p>
          <w:p w14:paraId="617B6B10" w14:textId="77777777" w:rsidR="00E5634E" w:rsidRPr="008335A2" w:rsidRDefault="00E5634E" w:rsidP="00371A9A">
            <w:pPr>
              <w:spacing w:before="120" w:after="120" w:line="276" w:lineRule="auto"/>
              <w:ind w:firstLine="709"/>
              <w:jc w:val="both"/>
              <w:rPr>
                <w:rFonts w:ascii="Verdana" w:eastAsia="Calibri" w:hAnsi="Verdana" w:cs="Arial"/>
              </w:rPr>
            </w:pPr>
            <w:r>
              <w:rPr>
                <w:rFonts w:ascii="Verdana" w:eastAsia="Calibri" w:hAnsi="Verdana" w:cs="Arial"/>
              </w:rPr>
              <w:t xml:space="preserve">iii) </w:t>
            </w:r>
            <w:r w:rsidRPr="008335A2">
              <w:rPr>
                <w:rFonts w:ascii="Verdana" w:eastAsia="Calibri" w:hAnsi="Verdana" w:cs="Arial"/>
              </w:rPr>
              <w:t>El numeral 4 del artículo 2.2.1.2.4.2.6 del Decreto 287 de 2026 establece como una de las modalidades para acreditar la condición de emprendimiento o empresa de personas con discapacidad la existencia de una persona jurídica que tenga vinculada laboralmente, durante al menos el último año anterior a la fecha de cierre del proceso de selección, a una persona con discapacidad en un empleo del nivel directivo.</w:t>
            </w:r>
          </w:p>
          <w:p w14:paraId="56C7386D" w14:textId="77777777" w:rsidR="00E5634E" w:rsidRPr="008335A2" w:rsidRDefault="00E5634E" w:rsidP="00371A9A">
            <w:pPr>
              <w:spacing w:before="120" w:after="120" w:line="276" w:lineRule="auto"/>
              <w:ind w:firstLine="709"/>
              <w:jc w:val="both"/>
              <w:rPr>
                <w:rFonts w:ascii="Verdana" w:eastAsia="Calibri" w:hAnsi="Verdana" w:cs="Arial"/>
              </w:rPr>
            </w:pPr>
            <w:r w:rsidRPr="008335A2">
              <w:rPr>
                <w:rFonts w:ascii="Verdana" w:eastAsia="Calibri" w:hAnsi="Verdana" w:cs="Arial"/>
              </w:rPr>
              <w:t>De la lectura de la disposición se advierte que su ámbito de aplicación está restringido a las personas jurídicas, toda vez que la norma exige la existencia de una estructura organizacional empresarial que permita identificar cargos del nivel directivo, acreditar una vinculación laboral y demostrar el pago de aportes al sistema de seguridad social por parte del empleador.</w:t>
            </w:r>
          </w:p>
          <w:p w14:paraId="33CC91DA" w14:textId="77777777" w:rsidR="00E5634E" w:rsidRDefault="00E5634E" w:rsidP="00371A9A">
            <w:pPr>
              <w:spacing w:before="120" w:after="120" w:line="276" w:lineRule="auto"/>
              <w:ind w:firstLine="709"/>
              <w:jc w:val="both"/>
              <w:rPr>
                <w:rFonts w:ascii="Verdana" w:eastAsia="Calibri" w:hAnsi="Verdana" w:cs="Arial"/>
              </w:rPr>
            </w:pPr>
            <w:r w:rsidRPr="008335A2">
              <w:rPr>
                <w:rFonts w:ascii="Verdana" w:eastAsia="Calibri" w:hAnsi="Verdana" w:cs="Arial"/>
              </w:rPr>
              <w:t>En consecuencia, una persona natural no puede acreditar la condición prevista en el numeral 4, dado que este supuesto fue diseñado exclusivamente para personas jurídicas. Para las personas naturales con discapacidad, el mismo artículo contempla mecanismos específicos de acreditación en los numerales 1 y 2, correspondientes a quienes ejercen una profesión liberal o desarrollan actividades comerciales a través de un establecimiento de comercio.</w:t>
            </w:r>
          </w:p>
          <w:p w14:paraId="1E34129E" w14:textId="5B20A4BC" w:rsidR="00E5634E" w:rsidRPr="00670CFB" w:rsidRDefault="00E5634E" w:rsidP="00106EAB">
            <w:pPr>
              <w:spacing w:before="120" w:after="120" w:line="276" w:lineRule="auto"/>
              <w:jc w:val="both"/>
              <w:rPr>
                <w:rFonts w:ascii="Verdana" w:eastAsia="Calibri" w:hAnsi="Verdana" w:cs="Arial"/>
              </w:rPr>
            </w:pPr>
            <w:r>
              <w:rPr>
                <w:rFonts w:ascii="Verdana" w:eastAsia="Calibri" w:hAnsi="Verdana" w:cs="Arial"/>
              </w:rPr>
              <w:t xml:space="preserve">vi. La norma trae consigo la definición de cargos de nivel directivo donde textualmente definen: </w:t>
            </w:r>
            <w:r w:rsidRPr="00374D19">
              <w:rPr>
                <w:rFonts w:ascii="Verdana" w:eastAsia="Calibri" w:hAnsi="Verdana" w:cs="Arial"/>
                <w:i/>
                <w:iCs/>
              </w:rPr>
              <w:t>“[…]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r w:rsidRPr="00374D19">
              <w:rPr>
                <w:rFonts w:ascii="Verdana" w:eastAsia="Calibri" w:hAnsi="Verdana" w:cs="Arial"/>
              </w:rPr>
              <w:t> </w:t>
            </w:r>
            <w:r>
              <w:rPr>
                <w:rFonts w:ascii="Verdana" w:eastAsia="Calibri" w:hAnsi="Verdana" w:cs="Arial"/>
              </w:rPr>
              <w:t>[…]”</w:t>
            </w:r>
          </w:p>
        </w:tc>
      </w:tr>
    </w:tbl>
    <w:p w14:paraId="7421E16C"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52D1EBB0"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5A4B97BA"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color w:val="ED7D31" w:themeColor="accent2"/>
          <w:lang w:val="es-ES"/>
        </w:rPr>
      </w:pPr>
    </w:p>
    <w:p w14:paraId="21089DC7" w14:textId="77777777" w:rsidR="00E5634E" w:rsidRPr="00206556" w:rsidRDefault="00E5634E" w:rsidP="00E5634E">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6299A1A6" w14:textId="77777777" w:rsidR="00E5634E" w:rsidRPr="00206556" w:rsidRDefault="00E5634E" w:rsidP="00E5634E">
      <w:pPr>
        <w:spacing w:after="0" w:line="276" w:lineRule="auto"/>
        <w:jc w:val="both"/>
        <w:rPr>
          <w:rFonts w:ascii="Verdana" w:eastAsia="Calibri" w:hAnsi="Verdana" w:cs="Arial"/>
          <w:lang w:val="es-ES"/>
        </w:rPr>
      </w:pPr>
    </w:p>
    <w:p w14:paraId="3ADB4CA6" w14:textId="77777777" w:rsidR="00E5634E" w:rsidRPr="00206556" w:rsidRDefault="00E5634E" w:rsidP="00E5634E">
      <w:pPr>
        <w:spacing w:after="120" w:line="276" w:lineRule="auto"/>
        <w:jc w:val="both"/>
        <w:rPr>
          <w:rFonts w:ascii="Verdana" w:hAnsi="Verdana"/>
        </w:rPr>
      </w:pPr>
      <w:r w:rsidRPr="00206556">
        <w:rPr>
          <w:rFonts w:ascii="Verdana" w:eastAsia="Calibri" w:hAnsi="Verdana" w:cs="Arial"/>
          <w:lang w:val="es-ES"/>
        </w:rPr>
        <w:lastRenderedPageBreak/>
        <w:t xml:space="preserve">(i) </w:t>
      </w:r>
      <w:r w:rsidRPr="00206556">
        <w:rPr>
          <w:rFonts w:ascii="Verdana" w:eastAsia="Calibri" w:hAnsi="Verdana" w:cs="Arial"/>
        </w:rPr>
        <w:t xml:space="preserve">Para resolver el problema jurídico planteado,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a los demás partícipes de la contratación pública. </w:t>
      </w:r>
      <w:r w:rsidRPr="00206556">
        <w:rPr>
          <w:rFonts w:ascii="Verdana" w:eastAsia="Times New Roman" w:hAnsi="Verdana" w:cs="Times New Roman"/>
        </w:rPr>
        <w:t>El fundamento del Sistema de Preferencias para PcD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1"/>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PcD</w:t>
      </w:r>
      <w:r w:rsidRPr="00206556">
        <w:rPr>
          <w:rStyle w:val="Refdenotaalpie"/>
          <w:rFonts w:ascii="Verdana" w:eastAsia="Times New Roman" w:hAnsi="Verdana" w:cs="Times New Roman"/>
        </w:rPr>
        <w:footnoteReference w:id="2"/>
      </w:r>
      <w:r>
        <w:rPr>
          <w:rFonts w:ascii="Verdana" w:eastAsia="Times New Roman" w:hAnsi="Verdana" w:cs="Times New Roman"/>
        </w:rPr>
        <w:t>.</w:t>
      </w:r>
    </w:p>
    <w:p w14:paraId="0A185300" w14:textId="77777777" w:rsidR="00E5634E" w:rsidRPr="00206556" w:rsidRDefault="00E5634E" w:rsidP="00E5634E">
      <w:pPr>
        <w:spacing w:after="120" w:line="276" w:lineRule="auto"/>
        <w:ind w:firstLine="708"/>
        <w:jc w:val="both"/>
        <w:rPr>
          <w:rFonts w:ascii="Verdana" w:hAnsi="Verdana"/>
        </w:rPr>
      </w:pPr>
      <w:r w:rsidRPr="00206556">
        <w:rPr>
          <w:rFonts w:ascii="Verdana" w:eastAsia="Times New Roman" w:hAnsi="Verdana" w:cs="Times New Roman"/>
        </w:rPr>
        <w:t>En el plano internacional, Colombia es Estado Parte de instrumentos que conforman el Bloque de Constitucionalidad en virtud del artículo 93 superior. La Convención sobre los Derechos de las Personas con Discapacidad de la ONU</w:t>
      </w:r>
      <w:r w:rsidRPr="00206556">
        <w:rPr>
          <w:rStyle w:val="Refdenotaalpie"/>
          <w:rFonts w:ascii="Verdana" w:eastAsia="Times New Roman" w:hAnsi="Verdana" w:cs="Times New Roman"/>
        </w:rPr>
        <w:footnoteReference w:id="3"/>
      </w:r>
      <w:r w:rsidRPr="00206556">
        <w:rPr>
          <w:rFonts w:ascii="Verdana" w:eastAsia="Times New Roman" w:hAnsi="Verdana" w:cs="Times New Roman"/>
        </w:rPr>
        <w:t xml:space="preserve"> reconoce el derecho de las PcD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4"/>
      </w:r>
      <w:r w:rsidRPr="00206556">
        <w:rPr>
          <w:rFonts w:ascii="Verdana" w:eastAsia="Times New Roman" w:hAnsi="Verdana" w:cs="Times New Roman"/>
        </w:rPr>
        <w:t xml:space="preserve"> ordena eliminar progresivamente la discriminación en la prestación de servicios, incluido el </w:t>
      </w:r>
      <w:r w:rsidRPr="00206556">
        <w:rPr>
          <w:rFonts w:ascii="Verdana" w:eastAsia="Times New Roman" w:hAnsi="Verdana" w:cs="Times New Roman"/>
        </w:rPr>
        <w:lastRenderedPageBreak/>
        <w:t>empleo. El Convenio 159 de la OIT</w:t>
      </w:r>
      <w:r w:rsidRPr="00206556">
        <w:rPr>
          <w:rStyle w:val="Refdenotaalpie"/>
          <w:rFonts w:ascii="Verdana" w:eastAsia="Times New Roman" w:hAnsi="Verdana" w:cs="Times New Roman"/>
        </w:rPr>
        <w:footnoteReference w:id="5"/>
      </w:r>
      <w:r w:rsidRPr="00206556">
        <w:rPr>
          <w:rFonts w:ascii="Verdana" w:eastAsia="Times New Roman" w:hAnsi="Verdana" w:cs="Times New Roman"/>
        </w:rPr>
        <w:t xml:space="preserve"> exige medidas orientadas a garantizar la igualdad de oportunidades de todas las categorías de PcD en materia de empleo.</w:t>
      </w:r>
    </w:p>
    <w:p w14:paraId="6234E08B" w14:textId="77777777" w:rsidR="00E5634E" w:rsidRPr="00206556" w:rsidRDefault="00E5634E" w:rsidP="00E5634E">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La Ley 361 de 1997 estableció los primeros mecanismos de integración social de las PcD. Su artículo 24 introdujo una preferencia en igualdad de condiciones en licitaciones y adjudicaciones de contratos para los empleadores que tuvieran al menos el 10% de su nómina compuesta por PcD</w:t>
      </w:r>
      <w:r w:rsidRPr="00206556">
        <w:rPr>
          <w:rStyle w:val="Refdenotaalpie"/>
          <w:rFonts w:ascii="Verdana" w:eastAsia="Times New Roman" w:hAnsi="Verdana" w:cs="Times New Roman"/>
        </w:rPr>
        <w:footnoteReference w:id="6"/>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PcD, pero su alcance era limitado: una preferencia residual aplicable solo en caso de empate, que beneficiaba únicamente a los empleadores de PcD sin considerar a las propias PcD como proponentes directos.</w:t>
      </w:r>
    </w:p>
    <w:p w14:paraId="21972185" w14:textId="77777777" w:rsidR="00E5634E" w:rsidRPr="00206556" w:rsidRDefault="00E5634E" w:rsidP="00E5634E">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Estatutaria 1618 de 2013 representó un salto cualitativo en el marco jurídico de protección de las PcD, al definir a estas como </w:t>
      </w:r>
      <w:r w:rsidRPr="00206556">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06556">
        <w:rPr>
          <w:rStyle w:val="Refdenotaalpie"/>
          <w:rFonts w:ascii="Verdana" w:eastAsia="Times New Roman" w:hAnsi="Verdana" w:cs="Times New Roman"/>
          <w:i/>
          <w:iCs/>
        </w:rPr>
        <w:footnoteReference w:id="7"/>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PcD y para empresas de PcD; un sistema de preferencias para empleadores de PcD en la adjudicación; y un sistema de preferencias en favor de las propias PcD como contratistas</w:t>
      </w:r>
      <w:r w:rsidRPr="00206556">
        <w:rPr>
          <w:rStyle w:val="Refdenotaalpie"/>
          <w:rFonts w:ascii="Verdana" w:eastAsia="Times New Roman" w:hAnsi="Verdana" w:cs="Times New Roman"/>
        </w:rPr>
        <w:footnoteReference w:id="8"/>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3DEDA9CF" w14:textId="77777777" w:rsidR="00E5634E" w:rsidRPr="00A420A9" w:rsidRDefault="00E5634E" w:rsidP="00E5634E">
      <w:pPr>
        <w:spacing w:after="120" w:line="276" w:lineRule="auto"/>
        <w:ind w:firstLine="709"/>
        <w:jc w:val="both"/>
        <w:rPr>
          <w:rFonts w:ascii="Verdana" w:hAnsi="Verdana"/>
        </w:rPr>
      </w:pPr>
      <w:r w:rsidRPr="00E727F0">
        <w:rPr>
          <w:rFonts w:ascii="Verdana" w:hAnsi="Verdana"/>
        </w:rPr>
        <w:lastRenderedPageBreak/>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w:t>
      </w:r>
      <w:r>
        <w:rPr>
          <w:rFonts w:ascii="Verdana" w:hAnsi="Verdana"/>
        </w:rPr>
        <w:t xml:space="preserve"> </w:t>
      </w:r>
      <w:r w:rsidRPr="00A420A9">
        <w:rPr>
          <w:rFonts w:ascii="Verdana" w:hAnsi="Verdana"/>
        </w:rPr>
        <w:t>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61983068" w14:textId="77777777" w:rsidR="00E5634E" w:rsidRDefault="00E5634E" w:rsidP="00E5634E">
      <w:pPr>
        <w:spacing w:after="120" w:line="276" w:lineRule="auto"/>
        <w:ind w:firstLine="709"/>
        <w:jc w:val="both"/>
        <w:rPr>
          <w:rFonts w:ascii="Verdana" w:hAnsi="Verdana"/>
        </w:rPr>
      </w:pPr>
      <w:r w:rsidRPr="00A420A9">
        <w:rPr>
          <w:rFonts w:ascii="Verdana" w:hAnsi="Verdana"/>
        </w:rPr>
        <w:t>La insuficiencia del Decreto 392 de 2018 fue constatada judicialmente. La Sección Quinta del Consejo de Estado, mediante sentencia de acción de cumplimiento del 12 de diciembre de 2024, radicación n.°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2685E731" w14:textId="77777777" w:rsidR="00E5634E" w:rsidRDefault="00E5634E" w:rsidP="00E5634E">
      <w:pPr>
        <w:spacing w:after="120" w:line="276" w:lineRule="auto"/>
        <w:ind w:firstLine="709"/>
        <w:jc w:val="both"/>
        <w:rPr>
          <w:rFonts w:ascii="Verdana" w:hAnsi="Verdana"/>
        </w:rPr>
      </w:pPr>
      <w:r w:rsidRPr="00E727F0">
        <w:rPr>
          <w:rFonts w:ascii="Verdana" w:hAnsi="Verdana"/>
        </w:rPr>
        <w:t>En cumplimiento de esa decisión fue expedido el Decreto 0287 de 2026, el cual, como se indicó en la respuesta, 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PcD y los empleadores de PcD. A continuación, se desarrolla el alcance de cada aspecto del sistema planteado en los problemas jurídicos. </w:t>
      </w:r>
    </w:p>
    <w:p w14:paraId="7A02FB5E" w14:textId="77777777" w:rsidR="00E5634E" w:rsidRPr="00E727F0" w:rsidRDefault="00E5634E" w:rsidP="00E5634E">
      <w:pPr>
        <w:spacing w:after="120" w:line="276" w:lineRule="auto"/>
        <w:ind w:firstLine="708"/>
        <w:jc w:val="both"/>
        <w:rPr>
          <w:rFonts w:ascii="Verdana" w:hAnsi="Verdana"/>
        </w:rPr>
      </w:pPr>
      <w:r w:rsidRPr="00206556">
        <w:rPr>
          <w:rFonts w:ascii="Verdana" w:hAnsi="Verdana"/>
        </w:rPr>
        <w:t xml:space="preserve">(ii) </w:t>
      </w:r>
      <w:r w:rsidRPr="00E727F0">
        <w:rPr>
          <w:rFonts w:ascii="Verdana" w:eastAsia="Times New Roman" w:hAnsi="Verdana" w:cs="Times New Roman"/>
        </w:rPr>
        <w:t xml:space="preserve">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w:t>
      </w:r>
      <w:r w:rsidRPr="00E727F0">
        <w:rPr>
          <w:rFonts w:ascii="Verdana" w:eastAsia="Times New Roman" w:hAnsi="Verdana" w:cs="Times New Roman"/>
        </w:rPr>
        <w:lastRenderedPageBreak/>
        <w:t>contempla: ser emprendimiento o empresa de PcD, conforme a las categorías del artículo 2.2.1.2.4.2.6., o ser empleador de PcD que supere los mínimos de vinculación exigidos por la Ley 2466 de 2025 (Reforma Laboral). Sin embargo, el hecho de que ambas condiciones puedan acreditarse simultáneamente no significa que el puntaje sea acumulable. El mismo artículo es explícito al disponer que:</w:t>
      </w:r>
    </w:p>
    <w:p w14:paraId="5F724AAB" w14:textId="77777777" w:rsidR="00E5634E" w:rsidRPr="00E727F0" w:rsidRDefault="00E5634E" w:rsidP="00E5634E">
      <w:pPr>
        <w:spacing w:before="100" w:after="180"/>
        <w:ind w:left="720" w:right="720"/>
        <w:jc w:val="both"/>
        <w:rPr>
          <w:rFonts w:ascii="Verdana" w:hAnsi="Verdana"/>
          <w:sz w:val="20"/>
          <w:szCs w:val="20"/>
        </w:rPr>
      </w:pPr>
      <w:r w:rsidRPr="00E727F0">
        <w:rPr>
          <w:rFonts w:ascii="Verdana" w:eastAsia="Times New Roman" w:hAnsi="Verdana" w:cs="Times New Roman"/>
          <w:i/>
          <w:iCs/>
          <w:sz w:val="20"/>
          <w:szCs w:val="20"/>
        </w:rPr>
        <w:t>"El proponente podrá acreditar alguna de las situaciones mencionadas, y en todo caso el puntaje adicional total y único a otorgar por este criterio será del dos por ciento (2%), sin que sean acumulables a efecto de la evaluación de la oferta."</w:t>
      </w:r>
    </w:p>
    <w:p w14:paraId="3EA77656" w14:textId="77777777" w:rsidR="00E5634E" w:rsidRPr="00206556" w:rsidRDefault="00E5634E" w:rsidP="00E5634E">
      <w:pPr>
        <w:spacing w:after="120" w:line="276" w:lineRule="auto"/>
        <w:ind w:firstLine="709"/>
        <w:jc w:val="both"/>
        <w:rPr>
          <w:rFonts w:ascii="Verdana" w:hAnsi="Verdana"/>
        </w:rPr>
      </w:pPr>
      <w:r w:rsidRPr="00E727F0">
        <w:rPr>
          <w:rFonts w:ascii="Verdana" w:eastAsia="Times New Roman" w:hAnsi="Verdana" w:cs="Times New Roman"/>
        </w:rPr>
        <w:t>Esta decisión normativa responde a una razón de diseño del sistema: el 2% ya incorpora el estímulo suficiente para promover la inclusión de PcD,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39739084" w14:textId="77777777" w:rsidR="00E5634E" w:rsidRPr="00D22B7C" w:rsidRDefault="00E5634E" w:rsidP="00E5634E">
      <w:pPr>
        <w:spacing w:after="120" w:line="276" w:lineRule="auto"/>
        <w:ind w:firstLine="709"/>
        <w:jc w:val="both"/>
        <w:rPr>
          <w:rFonts w:ascii="Verdana" w:hAnsi="Verdana"/>
        </w:rPr>
      </w:pPr>
      <w:r w:rsidRPr="00D22B7C">
        <w:rPr>
          <w:rFonts w:ascii="Verdana" w:eastAsia="Times New Roman" w:hAnsi="Verdana" w:cs="Times New Roman"/>
        </w:rPr>
        <w:t>En cuanto a la exigencia del número mínimo de PcD vinculadas y la acreditación mediante planillas de seguridad social</w:t>
      </w:r>
      <w:r>
        <w:rPr>
          <w:rFonts w:ascii="Verdana" w:eastAsia="Times New Roman" w:hAnsi="Verdana" w:cs="Times New Roman"/>
        </w:rPr>
        <w:t>, e</w:t>
      </w:r>
      <w:r w:rsidRPr="006E7113">
        <w:rPr>
          <w:rFonts w:ascii="Verdana" w:eastAsia="Times New Roman" w:hAnsi="Verdana" w:cs="Times New Roman"/>
        </w:rPr>
        <w:t>l artículo 2.2.1.2.4.2.7.4. del Decreto 0287 de 2026 establece que para acceder al</w:t>
      </w:r>
      <w:r w:rsidRPr="00D22B7C">
        <w:rPr>
          <w:rFonts w:ascii="Verdana" w:eastAsia="Times New Roman" w:hAnsi="Verdana" w:cs="Times New Roman"/>
        </w:rPr>
        <w:t xml:space="preserve"> puntaje adicional en la condición de empleador de PcD, el proponente debe acreditar dentro de su planta de personal la vinculación de personas con discapacidad mediante contrato laboral con dedicación exclusiva, superando los mínimos que exige la Ley 2466 de 2025 (Reforma Laboral). El número mínimo de PcD requerido varía según el tamaño de la planta de personal del proponente, conforme a la siguiente tabla:</w:t>
      </w: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7"/>
        <w:gridCol w:w="2828"/>
      </w:tblGrid>
      <w:tr w:rsidR="00E5634E" w:rsidRPr="00960D60" w14:paraId="43DE7E6C"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7BF88A"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b/>
                <w:bCs/>
                <w:sz w:val="20"/>
                <w:szCs w:val="20"/>
              </w:rPr>
              <w:t>Número total de trabajadores de la planta de personal del proponente</w:t>
            </w:r>
          </w:p>
        </w:tc>
        <w:tc>
          <w:tcPr>
            <w:tcW w:w="282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FA7EC8"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b/>
                <w:bCs/>
                <w:sz w:val="20"/>
                <w:szCs w:val="20"/>
              </w:rPr>
              <w:t>Número mínimo de trabajadores con discapacidad requerido</w:t>
            </w:r>
          </w:p>
        </w:tc>
      </w:tr>
      <w:tr w:rsidR="00E5634E" w:rsidRPr="00960D60" w14:paraId="39996785"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9A4BED0"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1 y 30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03919A3"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2</w:t>
            </w:r>
          </w:p>
        </w:tc>
      </w:tr>
      <w:tr w:rsidR="00E5634E" w:rsidRPr="00960D60" w14:paraId="463CE6E6"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D2522F8"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31 y 100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4BB7324"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3</w:t>
            </w:r>
          </w:p>
        </w:tc>
      </w:tr>
      <w:tr w:rsidR="00E5634E" w:rsidRPr="00960D60" w14:paraId="71453D3E"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972CF96"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lastRenderedPageBreak/>
              <w:t>Entre 101 y 150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49272A7"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4</w:t>
            </w:r>
          </w:p>
        </w:tc>
      </w:tr>
      <w:tr w:rsidR="00E5634E" w:rsidRPr="00960D60" w14:paraId="6822AC1E"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84B65CB"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151 y 200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F8CD05F"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5</w:t>
            </w:r>
          </w:p>
        </w:tc>
      </w:tr>
      <w:tr w:rsidR="00E5634E" w:rsidRPr="00960D60" w14:paraId="42F2EAF9"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531F269"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201 y 300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82D751F"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7</w:t>
            </w:r>
          </w:p>
        </w:tc>
      </w:tr>
      <w:tr w:rsidR="00E5634E" w:rsidRPr="00960D60" w14:paraId="285E3301"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C2D1B95"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301 y 400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9882E1E"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10</w:t>
            </w:r>
          </w:p>
        </w:tc>
      </w:tr>
      <w:tr w:rsidR="00E5634E" w:rsidRPr="00960D60" w14:paraId="5995CF6E"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0D77BBD"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401 y 500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5B2DB5A"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12</w:t>
            </w:r>
          </w:p>
        </w:tc>
      </w:tr>
      <w:tr w:rsidR="00E5634E" w:rsidRPr="00960D60" w14:paraId="00685377"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3439097"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501 y 600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20EE4B2"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14</w:t>
            </w:r>
          </w:p>
        </w:tc>
      </w:tr>
      <w:tr w:rsidR="00E5634E" w:rsidRPr="00960D60" w14:paraId="4D396372"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D56A4B1"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Entre 601 y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FF8F770"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16</w:t>
            </w:r>
          </w:p>
        </w:tc>
      </w:tr>
      <w:tr w:rsidR="00E5634E" w:rsidRPr="00960D60" w14:paraId="182F4742" w14:textId="77777777" w:rsidTr="00371A9A">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DA8EB80"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Más de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45F543B" w14:textId="77777777" w:rsidR="00E5634E" w:rsidRPr="00960D60" w:rsidRDefault="00E5634E" w:rsidP="00371A9A">
            <w:pPr>
              <w:spacing w:after="0"/>
              <w:jc w:val="center"/>
              <w:rPr>
                <w:rFonts w:ascii="Verdana" w:hAnsi="Verdana"/>
                <w:sz w:val="20"/>
                <w:szCs w:val="20"/>
              </w:rPr>
            </w:pPr>
            <w:r w:rsidRPr="00960D60">
              <w:rPr>
                <w:rFonts w:ascii="Verdana" w:eastAsia="Times New Roman" w:hAnsi="Verdana" w:cs="Times New Roman"/>
                <w:sz w:val="20"/>
                <w:szCs w:val="20"/>
              </w:rPr>
              <w:t>Por cada 100 trabajadores adicionales, se suman 2 trabajadores con discapacidad</w:t>
            </w:r>
          </w:p>
        </w:tc>
      </w:tr>
    </w:tbl>
    <w:p w14:paraId="68CD7110" w14:textId="77777777" w:rsidR="00E5634E" w:rsidRPr="00D22B7C" w:rsidRDefault="00E5634E" w:rsidP="00E5634E">
      <w:pPr>
        <w:spacing w:after="0" w:line="276" w:lineRule="auto"/>
        <w:rPr>
          <w:rFonts w:ascii="Verdana" w:hAnsi="Verdana"/>
        </w:rPr>
      </w:pPr>
    </w:p>
    <w:p w14:paraId="2C775498" w14:textId="77777777" w:rsidR="00E5634E" w:rsidRPr="00D22B7C" w:rsidRDefault="00E5634E" w:rsidP="00E5634E">
      <w:pPr>
        <w:spacing w:after="120" w:line="276" w:lineRule="auto"/>
        <w:ind w:firstLine="709"/>
        <w:jc w:val="both"/>
        <w:rPr>
          <w:rFonts w:ascii="Verdana" w:hAnsi="Verdana"/>
        </w:rPr>
      </w:pPr>
      <w:r w:rsidRPr="00D22B7C">
        <w:rPr>
          <w:rFonts w:ascii="Verdana" w:eastAsia="Times New Roman" w:hAnsi="Verdana" w:cs="Times New Roman"/>
        </w:rPr>
        <w:t>El puntaje no se otorga por cumplir la ley sino por superarla: solo el proponente que acredite un número de PcD vinculadas igual o superior al indicado en la tabla tendrá derecho al puntaje adicional del 2%. Esta precisión es relevante porque evita que el proponente confunda el mínimo legal de vinculación con el umbral exigido para acceder al beneficio contractual. Cuando se trate de un proponente plural, se tomará en cuenta únicamente la planta de personal del integrante con mayor participación porcentual en el consorcio o unión temporal</w:t>
      </w:r>
      <w:r>
        <w:rPr>
          <w:rFonts w:ascii="Verdana" w:eastAsia="Times New Roman" w:hAnsi="Verdana" w:cs="Times New Roman"/>
        </w:rPr>
        <w:t>, sin que se exija el aporte de experiencia</w:t>
      </w:r>
      <w:r w:rsidRPr="00D22B7C">
        <w:rPr>
          <w:rFonts w:ascii="Verdana" w:eastAsia="Times New Roman" w:hAnsi="Verdana" w:cs="Times New Roman"/>
        </w:rPr>
        <w:t>.</w:t>
      </w:r>
    </w:p>
    <w:p w14:paraId="78F526A1" w14:textId="77777777" w:rsidR="00E5634E" w:rsidRPr="00D22B7C" w:rsidRDefault="00E5634E" w:rsidP="00E5634E">
      <w:pPr>
        <w:spacing w:after="120" w:line="276" w:lineRule="auto"/>
        <w:ind w:firstLine="709"/>
        <w:jc w:val="both"/>
        <w:rPr>
          <w:rFonts w:ascii="Verdana" w:hAnsi="Verdana"/>
        </w:rPr>
      </w:pPr>
      <w:r w:rsidRPr="00D22B7C">
        <w:rPr>
          <w:rFonts w:ascii="Verdana" w:eastAsia="Times New Roman" w:hAnsi="Verdana" w:cs="Times New Roman"/>
        </w:rPr>
        <w:t>Acreditada esa vinculación, el decreto exige adicionalmente los certificados de aportes a seguridad social de los tres (3) meses anteriores a la presentación de la oferta respecto de cada PcD incluida en el cómputo, sin distinción entre vinculaciones iniciales e incrementos posteriores, junto con el certificado que expide el Ministerio de</w:t>
      </w:r>
      <w:r>
        <w:rPr>
          <w:rFonts w:ascii="Verdana" w:eastAsia="Times New Roman" w:hAnsi="Verdana" w:cs="Times New Roman"/>
        </w:rPr>
        <w:t>l</w:t>
      </w:r>
      <w:r w:rsidRPr="00D22B7C">
        <w:rPr>
          <w:rFonts w:ascii="Verdana" w:eastAsia="Times New Roman" w:hAnsi="Verdana" w:cs="Times New Roman"/>
        </w:rPr>
        <w:t xml:space="preserve"> Trabajo</w:t>
      </w:r>
      <w:r>
        <w:rPr>
          <w:rFonts w:ascii="Verdana" w:eastAsia="Times New Roman" w:hAnsi="Verdana" w:cs="Times New Roman"/>
        </w:rPr>
        <w:t>, entre otros documentos</w:t>
      </w:r>
      <w:r w:rsidRPr="00D22B7C">
        <w:rPr>
          <w:rFonts w:ascii="Verdana" w:eastAsia="Times New Roman" w:hAnsi="Verdana" w:cs="Times New Roman"/>
        </w:rPr>
        <w:t>. La razón de este requisito es garantizar que la vinculación sea real, estable y verificable, y no meramente instrumental para un proceso contractual específico. La Circular Externa de Colombia Compra Eficiente sobre la aplicación del Decreto 287 de 2026 aclara que:</w:t>
      </w:r>
    </w:p>
    <w:p w14:paraId="6FD7DF67" w14:textId="77777777" w:rsidR="00E5634E" w:rsidRPr="003C3B8B" w:rsidRDefault="00E5634E" w:rsidP="00E5634E">
      <w:pPr>
        <w:spacing w:before="100" w:after="180" w:line="240" w:lineRule="auto"/>
        <w:ind w:left="720" w:right="720"/>
        <w:jc w:val="both"/>
        <w:rPr>
          <w:rFonts w:ascii="Verdana" w:hAnsi="Verdana"/>
          <w:sz w:val="21"/>
          <w:szCs w:val="21"/>
        </w:rPr>
      </w:pPr>
      <w:r w:rsidRPr="003C3B8B">
        <w:rPr>
          <w:rFonts w:ascii="Verdana" w:eastAsia="Times New Roman" w:hAnsi="Verdana" w:cs="Times New Roman"/>
          <w:i/>
          <w:iCs/>
          <w:sz w:val="21"/>
          <w:szCs w:val="21"/>
        </w:rPr>
        <w:t>"no se exige vinculación de las PcD durante un (1) año antes del proceso contractual, ya que el Decreto 392 de 2018 no lo exigía así, y la nueva regulación exige solo tres (3) meses anteriores a la celebración del proceso"</w:t>
      </w:r>
      <w:r>
        <w:rPr>
          <w:rFonts w:ascii="Verdana" w:eastAsia="Times New Roman" w:hAnsi="Verdana" w:cs="Times New Roman"/>
          <w:i/>
          <w:iCs/>
          <w:sz w:val="21"/>
          <w:szCs w:val="21"/>
        </w:rPr>
        <w:t>.</w:t>
      </w:r>
    </w:p>
    <w:p w14:paraId="47A2686E" w14:textId="77777777" w:rsidR="00E5634E" w:rsidRDefault="00E5634E" w:rsidP="00E5634E">
      <w:pPr>
        <w:spacing w:after="120" w:line="276" w:lineRule="auto"/>
        <w:ind w:firstLine="708"/>
        <w:jc w:val="both"/>
        <w:rPr>
          <w:rFonts w:ascii="Verdana" w:eastAsia="Times New Roman" w:hAnsi="Verdana" w:cs="Times New Roman"/>
        </w:rPr>
      </w:pPr>
      <w:r w:rsidRPr="00D22B7C">
        <w:rPr>
          <w:rFonts w:ascii="Verdana" w:eastAsia="Times New Roman" w:hAnsi="Verdana" w:cs="Times New Roman"/>
        </w:rPr>
        <w:lastRenderedPageBreak/>
        <w:t>El período de tres meses es el umbral mínimo de estabilidad laboral que diferencia un compromiso genuino con la inclusión de una vinculación oportunista. La norma aplica este requisito para cada PcD incluida en la acreditación, independientemente de si es una vinculación original o una nueva incorporación. Si una empresa ha incrementado recientemente su planta de PcD y alguna de estas vinculaciones no alcanza el período requerido, el proponente puede participar en el proceso utilizando únicamente las PcD que sí cumplan el requisito temporal. La consecuencia de no alcanzar el período no es la exclusión del proceso sino la imposibilidad de obtener el puntaje adicional respecto de esas PcD específicas, lo que es coherente con los principios de participación y pluralidad de oferentes.</w:t>
      </w:r>
    </w:p>
    <w:p w14:paraId="3C8D2119" w14:textId="77777777" w:rsidR="00E5634E" w:rsidRDefault="00E5634E" w:rsidP="00E5634E">
      <w:pPr>
        <w:spacing w:after="120" w:line="276" w:lineRule="auto"/>
        <w:ind w:firstLine="708"/>
        <w:jc w:val="both"/>
        <w:rPr>
          <w:rFonts w:ascii="Verdana" w:eastAsia="Times New Roman" w:hAnsi="Verdana" w:cs="Times New Roman"/>
        </w:rPr>
      </w:pPr>
      <w:r w:rsidRPr="007B01BA">
        <w:rPr>
          <w:rFonts w:ascii="Verdana" w:eastAsia="Times New Roman" w:hAnsi="Verdana" w:cs="Times New Roman"/>
        </w:rPr>
        <w:t>Es importante precisar que la vinculación de PcD a las plantas de personal debe realizarse mediante contrato laboral con dedicación exclusiva, cuya definición le corresponde al Ministerio del Trabajo. Adicionalmente, debe destacarse la diferencia entre los documentos exigidos según el sujeto que acredita el puntaje: cuando se trata de un empleador de PcD, los documentos requeridos son los establecidos en el artículo 2.2.1.2.4.2.7.4., que incluye las planillas de seguridad social de los últimos tres (3) meses y el certificado del Ministerio del Trabajo</w:t>
      </w:r>
      <w:r>
        <w:rPr>
          <w:rFonts w:ascii="Verdana" w:eastAsia="Times New Roman" w:hAnsi="Verdana" w:cs="Times New Roman"/>
        </w:rPr>
        <w:t>, entre otros</w:t>
      </w:r>
      <w:r w:rsidRPr="007B01BA">
        <w:rPr>
          <w:rFonts w:ascii="Verdana" w:eastAsia="Times New Roman" w:hAnsi="Verdana" w:cs="Times New Roman"/>
        </w:rPr>
        <w:t>; cuando se trata de un emprendimiento o empresa de PcD, los documentos requeridos son los establecidos en el artículo 2.2.1.2.4.2.6., que varían según la categoría que se acredite. En ningún caso los documentos del artículo 2.2.1.2.4.2.7.4. son exigibles a los emprendimientos y empresas de PcD, ni viceversa. El término de tres (3) meses aquí mencionado es diferente al término de un (1) año exigido en el artículo 2.2.1.2.4.2.6. para la acreditación de las condiciones de los emprendimientos y empresas de PcD, por lo que no deben confundirse.</w:t>
      </w:r>
    </w:p>
    <w:p w14:paraId="0D3B8D75" w14:textId="77777777" w:rsidR="00E5634E" w:rsidRPr="00D851ED" w:rsidRDefault="00E5634E" w:rsidP="00E5634E">
      <w:pPr>
        <w:spacing w:before="120" w:after="120" w:line="276" w:lineRule="auto"/>
        <w:ind w:firstLine="708"/>
        <w:jc w:val="both"/>
        <w:rPr>
          <w:rFonts w:ascii="Verdana" w:eastAsia="Calibri" w:hAnsi="Verdana" w:cs="Arial"/>
        </w:rPr>
      </w:pPr>
      <w:r>
        <w:rPr>
          <w:rFonts w:ascii="Verdana" w:eastAsia="Calibri" w:hAnsi="Verdana" w:cs="Arial"/>
        </w:rPr>
        <w:t xml:space="preserve">ii) Respecto del régimen de transición para la aplicación del Decreto 287 de 2026, se debe tener en cuenta que </w:t>
      </w:r>
      <w:r w:rsidRPr="00D851ED">
        <w:rPr>
          <w:rFonts w:ascii="Verdana" w:eastAsia="Calibri" w:hAnsi="Verdana" w:cs="Arial"/>
        </w:rPr>
        <w:t>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w:t>
      </w:r>
      <w:r>
        <w:rPr>
          <w:rFonts w:ascii="Verdana" w:eastAsia="Calibri" w:hAnsi="Verdana" w:cs="Arial"/>
        </w:rPr>
        <w:t>, pero lo señalado en este concepto debe entenderse de acuerdo con la nueva redacción de los artículos enlistados, y no recurrir a la antigua redacción</w:t>
      </w:r>
      <w:r w:rsidRPr="00D851ED">
        <w:rPr>
          <w:rFonts w:ascii="Verdana" w:eastAsia="Calibri" w:hAnsi="Verdana" w:cs="Arial"/>
        </w:rPr>
        <w:t>.</w:t>
      </w:r>
    </w:p>
    <w:p w14:paraId="40AE7F05" w14:textId="77777777" w:rsidR="00E5634E" w:rsidRPr="00D851ED" w:rsidRDefault="00E5634E" w:rsidP="00E5634E">
      <w:pPr>
        <w:spacing w:before="120" w:after="120" w:line="276" w:lineRule="auto"/>
        <w:ind w:firstLine="709"/>
        <w:jc w:val="both"/>
        <w:rPr>
          <w:rFonts w:ascii="Verdana" w:eastAsia="Calibri" w:hAnsi="Verdana" w:cs="Arial"/>
        </w:rPr>
      </w:pPr>
      <w:r w:rsidRPr="00D851ED">
        <w:rPr>
          <w:rFonts w:ascii="Verdana" w:eastAsia="Calibri" w:hAnsi="Verdana" w:cs="Arial"/>
        </w:rPr>
        <w:lastRenderedPageBreak/>
        <w:t>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014BC188" w14:textId="77777777" w:rsidR="00E5634E" w:rsidRDefault="00E5634E" w:rsidP="00E5634E">
      <w:pPr>
        <w:spacing w:after="120" w:line="276" w:lineRule="auto"/>
        <w:ind w:firstLine="708"/>
        <w:jc w:val="both"/>
        <w:rPr>
          <w:rFonts w:ascii="Verdana" w:eastAsia="Calibri" w:hAnsi="Verdana" w:cs="Arial"/>
        </w:rPr>
      </w:pPr>
      <w:r w:rsidRPr="00D851ED">
        <w:rPr>
          <w:rFonts w:ascii="Verdana" w:eastAsia="Calibri" w:hAnsi="Verdana" w:cs="Arial"/>
        </w:rPr>
        <w:t>Para los procesos de contratación con proyecto de pliego publicado pero sin apertura al 19 de marzo de 2026, se recomienda que se incorporen las medidas del Decreto 287 de 2026 antes de publicar los pliegos definitivos. En esa etapa aún es posible realizar ajustes sin afectar derechos adquiridos de los proponentes</w:t>
      </w:r>
      <w:r>
        <w:rPr>
          <w:rFonts w:ascii="Verdana" w:eastAsia="Calibri" w:hAnsi="Verdana" w:cs="Arial"/>
        </w:rPr>
        <w:t>.</w:t>
      </w:r>
    </w:p>
    <w:p w14:paraId="524C224C" w14:textId="77777777" w:rsidR="00E5634E" w:rsidRPr="008335A2" w:rsidRDefault="00E5634E" w:rsidP="00E5634E">
      <w:pPr>
        <w:spacing w:after="120" w:line="276" w:lineRule="auto"/>
        <w:ind w:firstLine="708"/>
        <w:jc w:val="both"/>
        <w:rPr>
          <w:rFonts w:ascii="Verdana" w:eastAsia="Calibri" w:hAnsi="Verdana" w:cs="Arial"/>
        </w:rPr>
      </w:pPr>
      <w:r>
        <w:rPr>
          <w:rFonts w:ascii="Verdana" w:eastAsia="Calibri" w:hAnsi="Verdana" w:cs="Arial"/>
        </w:rPr>
        <w:t xml:space="preserve">iii) </w:t>
      </w:r>
      <w:r w:rsidRPr="008335A2">
        <w:rPr>
          <w:rFonts w:ascii="Verdana" w:eastAsia="Calibri" w:hAnsi="Verdana" w:cs="Arial"/>
        </w:rPr>
        <w:t>El numeral 4 del artículo 2.2.1.2.4.2.6 del Decreto 287 de 2026 establece como una de las modalidades para acreditar la condición de emprendimiento o empresa de personas con discapacidad la existencia de una persona jurídica que tenga vinculada laboralmente, durante al menos el último año anterior a la fecha de cierre del proceso de selección, a una persona con discapacidad en un empleo del nivel directivo.</w:t>
      </w:r>
    </w:p>
    <w:p w14:paraId="4DCC97AD" w14:textId="77777777" w:rsidR="00E5634E" w:rsidRPr="008335A2" w:rsidRDefault="00E5634E" w:rsidP="00E5634E">
      <w:pPr>
        <w:spacing w:after="120" w:line="276" w:lineRule="auto"/>
        <w:ind w:firstLine="708"/>
        <w:jc w:val="both"/>
        <w:rPr>
          <w:rFonts w:ascii="Verdana" w:eastAsia="Calibri" w:hAnsi="Verdana" w:cs="Arial"/>
        </w:rPr>
      </w:pPr>
      <w:r w:rsidRPr="008335A2">
        <w:rPr>
          <w:rFonts w:ascii="Verdana" w:eastAsia="Calibri" w:hAnsi="Verdana" w:cs="Arial"/>
        </w:rPr>
        <w:t>De la lectura de la disposición se advierte que su ámbito de aplicación está restringido a las personas jurídicas, toda vez que la norma exige la existencia de una estructura organizacional empresarial que permita identificar cargos del nivel directivo, acreditar una vinculación laboral y demostrar el pago de aportes al sistema de seguridad social por parte del empleador.</w:t>
      </w:r>
    </w:p>
    <w:p w14:paraId="3CE39387" w14:textId="77777777" w:rsidR="00E5634E" w:rsidRPr="008335A2" w:rsidRDefault="00E5634E" w:rsidP="00E5634E">
      <w:pPr>
        <w:spacing w:after="120" w:line="276" w:lineRule="auto"/>
        <w:ind w:firstLine="708"/>
        <w:jc w:val="both"/>
        <w:rPr>
          <w:rFonts w:ascii="Verdana" w:eastAsia="Calibri" w:hAnsi="Verdana" w:cs="Arial"/>
        </w:rPr>
      </w:pPr>
      <w:r w:rsidRPr="008335A2">
        <w:rPr>
          <w:rFonts w:ascii="Verdana" w:eastAsia="Calibri" w:hAnsi="Verdana" w:cs="Arial"/>
        </w:rPr>
        <w:t>En consecuencia, una persona natural no puede acreditar la condición prevista en el numeral 4, dado que este supuesto fue diseñado exclusivamente para personas jurídicas. Para las personas naturales con discapacidad, el mismo artículo contempla mecanismos específicos de acreditación en los numerales 1 y 2, correspondientes a quienes ejercen una profesión liberal o desarrollan actividades comerciales a través de un establecimiento de comercio.</w:t>
      </w:r>
    </w:p>
    <w:p w14:paraId="019F670E" w14:textId="77777777" w:rsidR="00E5634E" w:rsidRDefault="00E5634E" w:rsidP="00E5634E">
      <w:pPr>
        <w:spacing w:after="120" w:line="276" w:lineRule="auto"/>
        <w:ind w:firstLine="708"/>
        <w:jc w:val="both"/>
        <w:rPr>
          <w:rFonts w:ascii="Verdana" w:eastAsia="Calibri" w:hAnsi="Verdana" w:cs="Arial"/>
        </w:rPr>
      </w:pPr>
      <w:r w:rsidRPr="008335A2">
        <w:rPr>
          <w:rFonts w:ascii="Verdana" w:eastAsia="Calibri" w:hAnsi="Verdana" w:cs="Arial"/>
        </w:rPr>
        <w:t xml:space="preserve">Por otra parte, cuando se trate de una persona jurídica que pretenda acreditar el cumplimiento del numeral 4, sí es necesario demostrar la vinculación </w:t>
      </w:r>
      <w:r w:rsidRPr="008335A2">
        <w:rPr>
          <w:rFonts w:ascii="Verdana" w:eastAsia="Calibri" w:hAnsi="Verdana" w:cs="Arial"/>
        </w:rPr>
        <w:lastRenderedPageBreak/>
        <w:t>laboral de al menos una persona con discapacidad que ocupe un cargo del nivel directivo durante el período exigido por la norma. Dicha circunstancia debe acreditarse mediante la certificación correspondiente, acompañada de los documentos de identidad, el certificado de discapacidad, el contrato de trabajo o certificación laboral con funciones, así como los soportes de aportes al sistema de seguridad social del último año.</w:t>
      </w:r>
    </w:p>
    <w:p w14:paraId="5B4142BA" w14:textId="77777777" w:rsidR="00E5634E" w:rsidRPr="00374D19" w:rsidRDefault="00E5634E" w:rsidP="00E5634E">
      <w:pPr>
        <w:spacing w:after="120" w:line="276" w:lineRule="auto"/>
        <w:ind w:firstLine="708"/>
        <w:jc w:val="both"/>
        <w:rPr>
          <w:rFonts w:ascii="Verdana" w:eastAsia="Calibri" w:hAnsi="Verdana" w:cs="Arial"/>
        </w:rPr>
      </w:pPr>
      <w:r>
        <w:rPr>
          <w:rFonts w:ascii="Verdana" w:eastAsia="Calibri" w:hAnsi="Verdana" w:cs="Arial"/>
        </w:rPr>
        <w:t>iv. A</w:t>
      </w:r>
      <w:r w:rsidRPr="00374D19">
        <w:rPr>
          <w:rFonts w:ascii="Verdana" w:eastAsia="Calibri" w:hAnsi="Verdana" w:cs="Arial"/>
        </w:rPr>
        <w:t>dicionalmente, la norma establece expresamente qué debe entenderse por empleos del nivel directivo para efectos de la acreditación prevista en el numeral 4 del artículo 2.2.1.2.4.2.6 del Decreto 287 de 2026. En efecto, dispone que son aquellos cargos cuyas funciones se encuentran relacionadas con la dirección de áreas misionales de la empresa y con la adopción de decisiones de carácter estratégico.</w:t>
      </w:r>
    </w:p>
    <w:p w14:paraId="71A9ADB7" w14:textId="77777777" w:rsidR="00E5634E" w:rsidRPr="00374D19" w:rsidRDefault="00E5634E" w:rsidP="00E5634E">
      <w:pPr>
        <w:spacing w:after="120" w:line="276" w:lineRule="auto"/>
        <w:ind w:firstLine="708"/>
        <w:jc w:val="both"/>
        <w:rPr>
          <w:rFonts w:ascii="Verdana" w:eastAsia="Calibri" w:hAnsi="Verdana" w:cs="Arial"/>
        </w:rPr>
      </w:pPr>
      <w:r w:rsidRPr="00374D19">
        <w:rPr>
          <w:rFonts w:ascii="Verdana" w:eastAsia="Calibri" w:hAnsi="Verdana" w:cs="Arial"/>
        </w:rPr>
        <w:t>Asimismo, la disposición precisa que tienen la calidad de cargos del nivel directivo aquellos que, dentro de la estructura organizacional de la empresa, se encuentran ubicados en niveles de mando o que, por razón de su jerarquía, ejercen funciones orientadas a la representación del empleador.</w:t>
      </w:r>
    </w:p>
    <w:p w14:paraId="157A2A1D" w14:textId="77777777" w:rsidR="00E5634E" w:rsidRPr="00374D19" w:rsidRDefault="00E5634E" w:rsidP="00E5634E">
      <w:pPr>
        <w:spacing w:after="120" w:line="276" w:lineRule="auto"/>
        <w:ind w:firstLine="708"/>
        <w:jc w:val="both"/>
        <w:rPr>
          <w:rFonts w:ascii="Verdana" w:eastAsia="Calibri" w:hAnsi="Verdana" w:cs="Arial"/>
        </w:rPr>
      </w:pPr>
      <w:r w:rsidRPr="00374D19">
        <w:rPr>
          <w:rFonts w:ascii="Verdana" w:eastAsia="Calibri" w:hAnsi="Verdana" w:cs="Arial"/>
        </w:rPr>
        <w:t>En consecuencia, la acreditación de este requisito no puede recaer sobre cualquier trabajador vinculado a la empresa, sino únicamente sobre personas con discapacidad que ocupen cargos que, de acuerdo con sus funciones y posición dentro de la organización, tengan facultades de dirección, administración, coordinación estratégica o representación. Por tanto, corresponderá al proponente demostrar, a través de los documentos exigidos por la norma, que el cargo desempeñado por la persona con discapacidad efectivamente corresponde al nivel directivo definido en el Decreto 287 de 2026.</w:t>
      </w:r>
    </w:p>
    <w:p w14:paraId="0AAE4BEB" w14:textId="77777777" w:rsidR="00E5634E" w:rsidRPr="00670CFB" w:rsidRDefault="00E5634E" w:rsidP="00E5634E">
      <w:pPr>
        <w:spacing w:line="278" w:lineRule="auto"/>
        <w:ind w:firstLine="708"/>
        <w:jc w:val="both"/>
        <w:rPr>
          <w:rFonts w:ascii="Verdana" w:hAnsi="Verdana"/>
        </w:rPr>
      </w:pPr>
      <w:r w:rsidRPr="00B00AE9">
        <w:rPr>
          <w:rFonts w:ascii="Verdana" w:hAnsi="Verdana"/>
        </w:rPr>
        <w:t>Por último, es pertinente señalar que esta Agencia expidió la Circular Externa No. 003 del 12 de mayo de 2026, mediante la cual se impartieron orientaciones para la correcta aplicación del Decreto 287 de 2026, dirigidas a las entidades estatales con independencia de su régimen de contratación, a los patrimonios autónomos constituidos por entidades estatales y a los particulares que ejecuten recursos públicos. En consecuencia, las consideraciones expuestas en el presente concepto deben entenderse en armonía con los lineamientos contenidos en la referida circular, la cual se encuentra disponible para consulta en el portal institucional de la Agencia Nacional de Contratación Pública – Colombia Compra Eficiente.</w:t>
      </w:r>
    </w:p>
    <w:p w14:paraId="5BA31E62" w14:textId="77777777" w:rsidR="00E5634E" w:rsidRPr="00670CFB" w:rsidRDefault="00E5634E" w:rsidP="00E5634E">
      <w:pPr>
        <w:spacing w:after="120" w:line="276" w:lineRule="auto"/>
        <w:ind w:firstLine="709"/>
        <w:jc w:val="both"/>
        <w:rPr>
          <w:rFonts w:ascii="Verdana" w:hAnsi="Verdana"/>
        </w:rPr>
      </w:pPr>
      <w:r w:rsidRPr="00670CFB">
        <w:rPr>
          <w:rFonts w:ascii="Verdana" w:hAnsi="Verdana"/>
        </w:rPr>
        <w:lastRenderedPageBreak/>
        <w:t>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1BD16F4B" w14:textId="77777777" w:rsidR="00E5634E" w:rsidRPr="00206556" w:rsidRDefault="00E5634E" w:rsidP="00E5634E">
      <w:pPr>
        <w:spacing w:after="0" w:line="276" w:lineRule="auto"/>
        <w:jc w:val="both"/>
        <w:rPr>
          <w:rFonts w:ascii="Verdana" w:eastAsia="Calibri" w:hAnsi="Verdana" w:cs="Arial"/>
          <w:lang w:val="es-ES"/>
        </w:rPr>
      </w:pPr>
    </w:p>
    <w:p w14:paraId="4CA753FB" w14:textId="77777777" w:rsidR="00E5634E" w:rsidRPr="00206556" w:rsidRDefault="00E5634E" w:rsidP="00E5634E">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5634E" w:rsidRPr="00206556" w14:paraId="19AF6412" w14:textId="77777777" w:rsidTr="00371A9A">
        <w:trPr>
          <w:trHeight w:val="297"/>
        </w:trPr>
        <w:tc>
          <w:tcPr>
            <w:tcW w:w="8647" w:type="dxa"/>
          </w:tcPr>
          <w:p w14:paraId="4A4DA5D1" w14:textId="77777777" w:rsidR="00E5634E" w:rsidRPr="00670CFB"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1FDF1067"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4B851237"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4B1896CE"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095E39FA"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7EE2D6D3"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5F5866E5"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5D703DF9"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3606710B"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302B88F1"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11314624"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2A5C9C96"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3DEFE13D"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36A0A439"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4BC8E7FD"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7578A11C"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0C5D0B">
              <w:rPr>
                <w:rFonts w:ascii="Verdana" w:eastAsia="Arial MT" w:hAnsi="Verdana" w:cs="Arial"/>
                <w:lang w:val="pt-PT" w:eastAsia="es-ES" w:bidi="es-ES"/>
              </w:rPr>
              <w:lastRenderedPageBreak/>
              <w:t xml:space="preserve">Corte Constitucional. Sentencia C-410 de 2001. </w:t>
            </w:r>
            <w:r w:rsidRPr="00206556">
              <w:rPr>
                <w:rFonts w:ascii="Verdana" w:eastAsia="Arial MT" w:hAnsi="Verdana" w:cs="Arial"/>
                <w:lang w:eastAsia="es-ES" w:bidi="es-ES"/>
              </w:rPr>
              <w:t>M.P. Álvaro Tafur Galvis.</w:t>
            </w:r>
          </w:p>
          <w:p w14:paraId="2FC9A4F6"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65CA3985"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lo Contencioso Administrativo, Sección Quinta. Sentencia de acción de cumplimiento del 12 de diciembre de 2024. Rad. n.° 05001-23-33-000-2024-00847-01. M.P. Omar Joaquín Barreto Suárez.</w:t>
            </w:r>
          </w:p>
          <w:p w14:paraId="1A0DA073"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17D11C4B"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4C372BC8"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7B977CE2"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7D9ED326"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51174C1E"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05D009B9"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1911A420"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p w14:paraId="54D20FA7" w14:textId="77777777" w:rsidR="00E5634E" w:rsidRPr="00206556" w:rsidRDefault="00E5634E" w:rsidP="00371A9A">
            <w:pPr>
              <w:widowControl w:val="0"/>
              <w:autoSpaceDE w:val="0"/>
              <w:autoSpaceDN w:val="0"/>
              <w:spacing w:line="276" w:lineRule="auto"/>
              <w:jc w:val="both"/>
              <w:rPr>
                <w:rFonts w:ascii="Verdana" w:eastAsia="Arial MT" w:hAnsi="Verdana" w:cs="Arial"/>
                <w:lang w:val="es-ES" w:eastAsia="es-ES" w:bidi="es-ES"/>
              </w:rPr>
            </w:pPr>
          </w:p>
        </w:tc>
      </w:tr>
    </w:tbl>
    <w:p w14:paraId="789EB750" w14:textId="77777777" w:rsidR="00E5634E" w:rsidRPr="00206556" w:rsidRDefault="00E5634E" w:rsidP="00E5634E">
      <w:pPr>
        <w:widowControl w:val="0"/>
        <w:autoSpaceDE w:val="0"/>
        <w:autoSpaceDN w:val="0"/>
        <w:spacing w:after="0" w:line="276" w:lineRule="auto"/>
        <w:jc w:val="both"/>
        <w:rPr>
          <w:rFonts w:ascii="Verdana" w:hAnsi="Verdana" w:cs="Arial"/>
          <w:color w:val="ED7D31" w:themeColor="accent2"/>
          <w:lang w:val="es-ES"/>
        </w:rPr>
      </w:pPr>
    </w:p>
    <w:p w14:paraId="7BEB81C7" w14:textId="77777777" w:rsidR="00E5634E" w:rsidRDefault="00E5634E" w:rsidP="00E5634E">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14DEAA1A" w14:textId="77777777" w:rsidR="00E5634E" w:rsidRPr="00670CFB" w:rsidRDefault="00E5634E" w:rsidP="00E5634E">
      <w:pPr>
        <w:tabs>
          <w:tab w:val="left" w:pos="142"/>
          <w:tab w:val="left" w:pos="284"/>
        </w:tabs>
        <w:spacing w:after="0" w:line="276" w:lineRule="auto"/>
        <w:jc w:val="both"/>
        <w:rPr>
          <w:rFonts w:ascii="Verdana" w:eastAsia="Century Gothic" w:hAnsi="Verdana" w:cs="Century Gothic"/>
          <w:b/>
          <w:lang w:val="es-ES"/>
        </w:rPr>
      </w:pPr>
    </w:p>
    <w:p w14:paraId="3D307632" w14:textId="77777777" w:rsidR="00E5634E" w:rsidRPr="00206556" w:rsidRDefault="00E5634E" w:rsidP="00E5634E">
      <w:pPr>
        <w:spacing w:after="0" w:line="276" w:lineRule="auto"/>
        <w:jc w:val="both"/>
        <w:rPr>
          <w:rFonts w:ascii="Verdana" w:hAnsi="Verdana"/>
          <w:color w:val="ED7D31" w:themeColor="accent2"/>
          <w:lang w:val="es-ES"/>
        </w:rPr>
      </w:pPr>
      <w:r w:rsidRPr="00206556">
        <w:rPr>
          <w:rFonts w:ascii="Verdana" w:eastAsia="Calibri" w:hAnsi="Verdana" w:cs="Arial"/>
          <w:lang w:val="es-ES"/>
        </w:rPr>
        <w:t xml:space="preserve">La Agencia Nacional de Contratación Pública – Colombia Compra Eficiente se ha referido </w:t>
      </w:r>
      <w:r w:rsidRPr="00206556">
        <w:rPr>
          <w:rFonts w:ascii="Verdana" w:hAnsi="Verdana" w:cs="Arial"/>
          <w:shd w:val="clear" w:color="auto" w:fill="FFFFFF"/>
          <w:lang w:val="es-ES"/>
        </w:rPr>
        <w:t>sobre el alcance del Decreto 0287 de 2026 en este concepto</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e</w:t>
      </w:r>
      <w:r w:rsidRPr="00206556">
        <w:rPr>
          <w:rFonts w:ascii="Verdana" w:hAnsi="Verdana"/>
          <w:lang w:val="es-ES"/>
        </w:rPr>
        <w:t xml:space="preserve"> y otros se encuentran disponibles para consulta en el Sistema de relatoría de la Agencia, al cual se puede acceder a través del siguiente enlace:</w:t>
      </w:r>
      <w:r w:rsidRPr="00206556">
        <w:rPr>
          <w:rFonts w:ascii="Verdana" w:hAnsi="Verdana" w:cs="Arial"/>
          <w:shd w:val="clear" w:color="auto" w:fill="FFFFFF"/>
          <w:lang w:val="es-ES"/>
        </w:rPr>
        <w:t xml:space="preserve"> </w:t>
      </w:r>
      <w:hyperlink r:id="rId13" w:history="1">
        <w:r w:rsidRPr="00206556">
          <w:rPr>
            <w:rStyle w:val="Hipervnculo"/>
            <w:rFonts w:ascii="Verdana" w:hAnsi="Verdana" w:cs="Arial"/>
            <w:shd w:val="clear" w:color="auto" w:fill="FFFFFF"/>
            <w:lang w:val="es-ES"/>
          </w:rPr>
          <w:t>https://relatoria.colombiacompra.gov.co/busqueda/conceptos</w:t>
        </w:r>
      </w:hyperlink>
    </w:p>
    <w:p w14:paraId="07333256" w14:textId="77777777" w:rsidR="00E5634E" w:rsidRPr="00206556" w:rsidRDefault="00E5634E" w:rsidP="00E5634E">
      <w:pPr>
        <w:spacing w:after="0" w:line="276" w:lineRule="auto"/>
        <w:jc w:val="both"/>
        <w:rPr>
          <w:rFonts w:ascii="Verdana" w:hAnsi="Verdana" w:cs="Arial"/>
          <w:color w:val="ED7D31" w:themeColor="accent2"/>
          <w:shd w:val="clear" w:color="auto" w:fill="FFFFFF"/>
          <w:lang w:val="es-ES"/>
        </w:rPr>
      </w:pPr>
    </w:p>
    <w:p w14:paraId="521EBC5F" w14:textId="77777777" w:rsidR="00E5634E" w:rsidRPr="00206556" w:rsidRDefault="00E5634E" w:rsidP="00E5634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4"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002D6C05" w14:textId="77777777" w:rsidR="00E5634E" w:rsidRPr="00206556" w:rsidRDefault="00E5634E" w:rsidP="00E5634E">
      <w:pPr>
        <w:spacing w:after="0" w:line="276" w:lineRule="auto"/>
        <w:jc w:val="both"/>
        <w:rPr>
          <w:rFonts w:ascii="Verdana" w:hAnsi="Verdana" w:cs="Arial"/>
          <w:shd w:val="clear" w:color="auto" w:fill="FFFFFF"/>
        </w:rPr>
      </w:pPr>
    </w:p>
    <w:p w14:paraId="6995B7AF" w14:textId="77777777" w:rsidR="00E5634E" w:rsidRPr="00206556" w:rsidRDefault="00E5634E" w:rsidP="00E5634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5" w:history="1">
        <w:r w:rsidRPr="00206556">
          <w:rPr>
            <w:rStyle w:val="Hipervnculo"/>
            <w:rFonts w:ascii="Verdana" w:hAnsi="Verdana" w:cs="Arial"/>
            <w:shd w:val="clear" w:color="auto" w:fill="FFFFFF"/>
          </w:rPr>
          <w:t>https://www.colombiacompra.gov.co/normativa-y-relatoria/documentos-tipo</w:t>
        </w:r>
      </w:hyperlink>
    </w:p>
    <w:p w14:paraId="2FB49370" w14:textId="77777777" w:rsidR="00E5634E" w:rsidRPr="00206556" w:rsidRDefault="00E5634E" w:rsidP="00E5634E">
      <w:pPr>
        <w:spacing w:after="0" w:line="276" w:lineRule="auto"/>
        <w:jc w:val="both"/>
        <w:rPr>
          <w:rFonts w:ascii="Verdana" w:hAnsi="Verdana" w:cs="Arial"/>
          <w:shd w:val="clear" w:color="auto" w:fill="FFFFFF"/>
        </w:rPr>
      </w:pPr>
    </w:p>
    <w:p w14:paraId="3D88EFE7" w14:textId="77777777" w:rsidR="00E5634E" w:rsidRPr="00206556" w:rsidRDefault="00E5634E" w:rsidP="00E5634E">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49683DF2" w14:textId="77777777" w:rsidR="00E5634E" w:rsidRPr="00206556" w:rsidRDefault="00E5634E" w:rsidP="00E5634E">
      <w:pPr>
        <w:spacing w:after="0" w:line="276" w:lineRule="auto"/>
        <w:jc w:val="both"/>
        <w:rPr>
          <w:rFonts w:ascii="Verdana" w:hAnsi="Verdana" w:cs="Arial"/>
          <w:color w:val="ED7D31" w:themeColor="accent2"/>
          <w:shd w:val="clear" w:color="auto" w:fill="FFFFFF"/>
        </w:rPr>
      </w:pPr>
    </w:p>
    <w:p w14:paraId="3F1D3C43"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lastRenderedPageBreak/>
        <w:t xml:space="preserve">Por último, lo invitamos a seguirnos en las redes sociales en las cuales se difunde información institucional: </w:t>
      </w:r>
    </w:p>
    <w:p w14:paraId="5F9DBDE4" w14:textId="77777777" w:rsidR="00E5634E" w:rsidRPr="00206556" w:rsidRDefault="00E5634E" w:rsidP="00E5634E">
      <w:pPr>
        <w:spacing w:after="0"/>
        <w:jc w:val="both"/>
        <w:rPr>
          <w:rFonts w:ascii="Verdana" w:hAnsi="Verdana" w:cs="Arial"/>
          <w:shd w:val="clear" w:color="auto" w:fill="FFFFFF"/>
        </w:rPr>
      </w:pPr>
    </w:p>
    <w:p w14:paraId="418AAEB7"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005D88FD"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ColombiaCompraEficiente</w:t>
      </w:r>
    </w:p>
    <w:p w14:paraId="1F5CF19B"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4BAD9AC8"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5E17B9DB" w14:textId="77777777" w:rsidR="00E5634E" w:rsidRPr="00206556" w:rsidRDefault="00E5634E" w:rsidP="00E5634E">
      <w:pPr>
        <w:widowControl w:val="0"/>
        <w:autoSpaceDE w:val="0"/>
        <w:autoSpaceDN w:val="0"/>
        <w:spacing w:after="0" w:line="276" w:lineRule="auto"/>
        <w:jc w:val="both"/>
        <w:rPr>
          <w:rFonts w:ascii="Verdana" w:hAnsi="Verdana" w:cs="Arial"/>
          <w:color w:val="ED7D31" w:themeColor="accent2"/>
          <w:lang w:val="es-ES"/>
        </w:rPr>
      </w:pPr>
    </w:p>
    <w:p w14:paraId="4F41E02C" w14:textId="77777777" w:rsidR="00E5634E" w:rsidRPr="00206556" w:rsidRDefault="00E5634E" w:rsidP="00E5634E">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D41DB1E" w14:textId="77777777" w:rsidR="00E5634E" w:rsidRPr="00206556" w:rsidRDefault="00E5634E" w:rsidP="00E5634E">
      <w:pPr>
        <w:widowControl w:val="0"/>
        <w:autoSpaceDE w:val="0"/>
        <w:autoSpaceDN w:val="0"/>
        <w:spacing w:after="0" w:line="276" w:lineRule="auto"/>
        <w:jc w:val="both"/>
        <w:rPr>
          <w:rFonts w:ascii="Verdana" w:hAnsi="Verdana" w:cs="Arial"/>
          <w:lang w:val="es-ES"/>
        </w:rPr>
      </w:pPr>
    </w:p>
    <w:p w14:paraId="527FCD49" w14:textId="77777777" w:rsidR="00E5634E" w:rsidRPr="00206556" w:rsidRDefault="00E5634E" w:rsidP="00E5634E">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0BF35CFD" w14:textId="52BA7459" w:rsidR="00E5634E" w:rsidRPr="00206556" w:rsidRDefault="001B5CB2" w:rsidP="00E5634E">
      <w:pPr>
        <w:spacing w:after="0" w:line="256" w:lineRule="auto"/>
        <w:jc w:val="center"/>
        <w:rPr>
          <w:rFonts w:ascii="Verdana" w:eastAsia="Times New Roman" w:hAnsi="Verdana" w:cs="Arial"/>
          <w:lang w:eastAsia="es-ES"/>
        </w:rPr>
      </w:pPr>
      <w:r w:rsidRPr="002C3AD6">
        <w:rPr>
          <w:rFonts w:ascii="Century Gothic" w:hAnsi="Century Gothic"/>
          <w:noProof/>
        </w:rPr>
        <w:drawing>
          <wp:inline distT="0" distB="0" distL="0" distR="0" wp14:anchorId="560E6255" wp14:editId="00DF3538">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772426" cy="1400370"/>
                    </a:xfrm>
                    <a:prstGeom prst="rect">
                      <a:avLst/>
                    </a:prstGeom>
                  </pic:spPr>
                </pic:pic>
              </a:graphicData>
            </a:graphic>
          </wp:inline>
        </w:drawing>
      </w:r>
    </w:p>
    <w:p w14:paraId="124305DE" w14:textId="77777777" w:rsidR="00E5634E" w:rsidRPr="00206556" w:rsidRDefault="00E5634E" w:rsidP="00E5634E">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E5634E" w:rsidRPr="00206556" w14:paraId="702E432D" w14:textId="77777777" w:rsidTr="00371A9A">
        <w:trPr>
          <w:trHeight w:val="322"/>
        </w:trPr>
        <w:tc>
          <w:tcPr>
            <w:tcW w:w="733" w:type="dxa"/>
            <w:tcBorders>
              <w:top w:val="nil"/>
              <w:left w:val="nil"/>
              <w:bottom w:val="nil"/>
              <w:right w:val="nil"/>
            </w:tcBorders>
            <w:vAlign w:val="center"/>
            <w:hideMark/>
          </w:tcPr>
          <w:p w14:paraId="3044D2B7" w14:textId="77777777" w:rsidR="00E5634E" w:rsidRPr="00206556" w:rsidRDefault="00E5634E" w:rsidP="00371A9A">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B5491BE" w14:textId="77777777" w:rsidR="00E5634E" w:rsidRPr="00206556" w:rsidRDefault="00E5634E" w:rsidP="00371A9A">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Richard Andrés Montenegro Siefken</w:t>
            </w:r>
          </w:p>
          <w:p w14:paraId="56680901" w14:textId="77777777" w:rsidR="00E5634E" w:rsidRPr="00206556" w:rsidRDefault="00E5634E" w:rsidP="00371A9A">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eastAsia="es-ES"/>
              </w:rPr>
              <w:t xml:space="preserve">Contratista </w:t>
            </w:r>
            <w:r w:rsidRPr="00206556">
              <w:rPr>
                <w:rFonts w:ascii="Verdana" w:eastAsia="Times New Roman" w:hAnsi="Verdana" w:cs="Times New Roman"/>
                <w:sz w:val="16"/>
                <w:szCs w:val="16"/>
                <w:lang w:eastAsia="es-CO"/>
              </w:rPr>
              <w:t>de la Subdirección de Gestión Contractual</w:t>
            </w:r>
          </w:p>
        </w:tc>
      </w:tr>
      <w:tr w:rsidR="00E5634E" w:rsidRPr="00206556" w14:paraId="50DF77E0" w14:textId="77777777" w:rsidTr="00371A9A">
        <w:trPr>
          <w:trHeight w:val="322"/>
        </w:trPr>
        <w:tc>
          <w:tcPr>
            <w:tcW w:w="733" w:type="dxa"/>
            <w:tcBorders>
              <w:top w:val="nil"/>
              <w:left w:val="nil"/>
              <w:bottom w:val="nil"/>
              <w:right w:val="nil"/>
            </w:tcBorders>
            <w:vAlign w:val="center"/>
            <w:hideMark/>
          </w:tcPr>
          <w:p w14:paraId="39D4110E" w14:textId="77777777" w:rsidR="00E5634E" w:rsidRPr="00206556" w:rsidRDefault="00E5634E" w:rsidP="00371A9A">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79F1BBB" w14:textId="77777777" w:rsidR="00E5634E" w:rsidRPr="00206556" w:rsidRDefault="00E5634E" w:rsidP="00371A9A">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Diana Lucía Saavedra Castañeda</w:t>
            </w:r>
          </w:p>
          <w:p w14:paraId="4DF7A003" w14:textId="77777777" w:rsidR="00E5634E" w:rsidRPr="00206556" w:rsidRDefault="00E5634E" w:rsidP="00371A9A">
            <w:pPr>
              <w:autoSpaceDE w:val="0"/>
              <w:autoSpaceDN w:val="0"/>
              <w:adjustRightInd w:val="0"/>
              <w:spacing w:after="0" w:line="276" w:lineRule="auto"/>
              <w:rPr>
                <w:rFonts w:ascii="Verdana" w:eastAsia="Calibri" w:hAnsi="Verdana" w:cs="Arial"/>
              </w:rPr>
            </w:pPr>
            <w:r>
              <w:rPr>
                <w:rFonts w:ascii="Verdana" w:eastAsia="Times New Roman" w:hAnsi="Verdana" w:cs="Arial"/>
                <w:sz w:val="16"/>
                <w:szCs w:val="16"/>
                <w:lang w:eastAsia="es-ES"/>
              </w:rPr>
              <w:t xml:space="preserve">Contratista </w:t>
            </w:r>
            <w:r w:rsidRPr="00206556">
              <w:rPr>
                <w:rFonts w:ascii="Verdana" w:eastAsia="Times New Roman" w:hAnsi="Verdana" w:cs="Arial"/>
                <w:sz w:val="16"/>
                <w:szCs w:val="16"/>
                <w:lang w:eastAsia="es-ES"/>
              </w:rPr>
              <w:t>de la Subdirección de Gestión Contractual</w:t>
            </w:r>
          </w:p>
          <w:p w14:paraId="2FC26D14" w14:textId="77777777" w:rsidR="00E5634E" w:rsidRPr="00206556" w:rsidRDefault="00E5634E" w:rsidP="00371A9A">
            <w:pPr>
              <w:spacing w:after="0" w:line="240" w:lineRule="auto"/>
              <w:textAlignment w:val="baseline"/>
              <w:rPr>
                <w:rFonts w:ascii="Verdana" w:eastAsia="Times New Roman" w:hAnsi="Verdana" w:cs="Times New Roman"/>
                <w:sz w:val="16"/>
                <w:szCs w:val="16"/>
                <w:lang w:eastAsia="es-CO"/>
              </w:rPr>
            </w:pPr>
          </w:p>
        </w:tc>
      </w:tr>
      <w:tr w:rsidR="00E5634E" w:rsidRPr="00206556" w14:paraId="64EA1B27" w14:textId="77777777" w:rsidTr="00371A9A">
        <w:trPr>
          <w:trHeight w:val="307"/>
        </w:trPr>
        <w:tc>
          <w:tcPr>
            <w:tcW w:w="733" w:type="dxa"/>
            <w:tcBorders>
              <w:top w:val="nil"/>
              <w:left w:val="nil"/>
              <w:bottom w:val="nil"/>
              <w:right w:val="nil"/>
            </w:tcBorders>
            <w:vAlign w:val="center"/>
            <w:hideMark/>
          </w:tcPr>
          <w:p w14:paraId="28069D86" w14:textId="77777777" w:rsidR="00E5634E" w:rsidRPr="00206556" w:rsidRDefault="00E5634E" w:rsidP="00371A9A">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0D5ECA8" w14:textId="77777777" w:rsidR="00E5634E" w:rsidRPr="00206556" w:rsidRDefault="00E5634E" w:rsidP="00371A9A">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49E4ADBD" w14:textId="77777777" w:rsidR="00E5634E" w:rsidRPr="00206556" w:rsidRDefault="00E5634E" w:rsidP="00371A9A">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bookmarkEnd w:id="1"/>
    </w:tbl>
    <w:p w14:paraId="04208BCD" w14:textId="77777777" w:rsidR="00E5634E" w:rsidRDefault="00E5634E" w:rsidP="00E5634E">
      <w:pPr>
        <w:autoSpaceDE w:val="0"/>
        <w:autoSpaceDN w:val="0"/>
        <w:adjustRightInd w:val="0"/>
        <w:spacing w:after="0" w:line="276" w:lineRule="auto"/>
        <w:jc w:val="center"/>
        <w:rPr>
          <w:rFonts w:ascii="Verdana" w:eastAsia="Calibri" w:hAnsi="Verdana" w:cs="Arial"/>
        </w:rPr>
      </w:pPr>
    </w:p>
    <w:p w14:paraId="6F9FE8C6" w14:textId="77777777" w:rsidR="00E5634E" w:rsidRDefault="00E5634E" w:rsidP="00E5634E">
      <w:pPr>
        <w:autoSpaceDE w:val="0"/>
        <w:autoSpaceDN w:val="0"/>
        <w:adjustRightInd w:val="0"/>
        <w:spacing w:after="0" w:line="276" w:lineRule="auto"/>
        <w:jc w:val="center"/>
        <w:rPr>
          <w:rFonts w:ascii="Verdana" w:eastAsia="Calibri" w:hAnsi="Verdana" w:cs="Arial"/>
        </w:rPr>
      </w:pPr>
    </w:p>
    <w:bookmarkEnd w:id="0"/>
    <w:p w14:paraId="64B1E1B3" w14:textId="77777777" w:rsidR="00E5634E" w:rsidRPr="00206556" w:rsidRDefault="00E5634E" w:rsidP="00E5634E">
      <w:pPr>
        <w:autoSpaceDE w:val="0"/>
        <w:autoSpaceDN w:val="0"/>
        <w:adjustRightInd w:val="0"/>
        <w:spacing w:after="0" w:line="276" w:lineRule="auto"/>
        <w:jc w:val="center"/>
        <w:rPr>
          <w:rFonts w:ascii="Verdana" w:eastAsia="Calibri" w:hAnsi="Verdana" w:cs="Arial"/>
        </w:rPr>
      </w:pPr>
    </w:p>
    <w:p w14:paraId="0F293BF4" w14:textId="3F6F28A5" w:rsidR="00127233" w:rsidRPr="005D64E1" w:rsidRDefault="00127233" w:rsidP="005D64E1"/>
    <w:sectPr w:rsidR="00127233" w:rsidRPr="005D64E1"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4100" w14:textId="77777777" w:rsidR="00246943" w:rsidRDefault="00246943" w:rsidP="004A1847">
      <w:pPr>
        <w:spacing w:after="0" w:line="240" w:lineRule="auto"/>
      </w:pPr>
      <w:r>
        <w:separator/>
      </w:r>
    </w:p>
  </w:endnote>
  <w:endnote w:type="continuationSeparator" w:id="0">
    <w:p w14:paraId="49E7DD60" w14:textId="77777777" w:rsidR="00246943" w:rsidRDefault="0024694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5D64E1"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5D64E1">
      <w:rPr>
        <w:rFonts w:ascii="Verdana" w:eastAsia="Verdana" w:hAnsi="Verdana" w:cs="Verdana"/>
        <w:b/>
        <w:bCs/>
        <w:color w:val="000000" w:themeColor="text1"/>
        <w:sz w:val="18"/>
        <w:szCs w:val="18"/>
        <w:lang w:val="pt-PT" w:eastAsia="es-CO"/>
      </w:rPr>
      <w:t xml:space="preserve">Código: </w:t>
    </w:r>
    <w:r w:rsidRPr="005D64E1">
      <w:rPr>
        <w:rFonts w:ascii="Verdana" w:eastAsia="Verdana" w:hAnsi="Verdana" w:cs="Verdana"/>
        <w:color w:val="000000" w:themeColor="text1"/>
        <w:sz w:val="18"/>
        <w:szCs w:val="18"/>
        <w:lang w:val="pt-PT" w:eastAsia="es-CO"/>
      </w:rPr>
      <w:t xml:space="preserve">CCE-REC-FM-17 </w:t>
    </w:r>
    <w:r w:rsidRPr="005D64E1">
      <w:rPr>
        <w:rFonts w:ascii="Verdana" w:eastAsia="Verdana" w:hAnsi="Verdana" w:cs="Verdana"/>
        <w:b/>
        <w:bCs/>
        <w:color w:val="000000" w:themeColor="text1"/>
        <w:sz w:val="18"/>
        <w:szCs w:val="18"/>
        <w:lang w:val="pt-PT" w:eastAsia="es-CO"/>
      </w:rPr>
      <w:t xml:space="preserve">V: </w:t>
    </w:r>
    <w:r w:rsidRPr="005D64E1">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EAA8" w14:textId="77777777" w:rsidR="00246943" w:rsidRDefault="00246943" w:rsidP="004A1847">
      <w:pPr>
        <w:spacing w:after="0" w:line="240" w:lineRule="auto"/>
      </w:pPr>
      <w:r>
        <w:separator/>
      </w:r>
    </w:p>
  </w:footnote>
  <w:footnote w:type="continuationSeparator" w:id="0">
    <w:p w14:paraId="38B50195" w14:textId="77777777" w:rsidR="00246943" w:rsidRDefault="00246943" w:rsidP="004A1847">
      <w:pPr>
        <w:spacing w:after="0" w:line="240" w:lineRule="auto"/>
      </w:pPr>
      <w:r>
        <w:continuationSeparator/>
      </w:r>
    </w:p>
  </w:footnote>
  <w:footnote w:id="1">
    <w:p w14:paraId="6758E846" w14:textId="77777777" w:rsidR="00E5634E" w:rsidRPr="00206556" w:rsidRDefault="00E5634E" w:rsidP="00E5634E">
      <w:pPr>
        <w:spacing w:after="80" w:line="240" w:lineRule="auto"/>
        <w:ind w:firstLine="708"/>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58D3A7E2" w14:textId="77777777" w:rsidR="00E5634E" w:rsidRPr="00206556" w:rsidRDefault="00E5634E" w:rsidP="00E5634E">
      <w:pPr>
        <w:spacing w:after="80" w:line="240" w:lineRule="auto"/>
        <w:ind w:firstLine="708"/>
        <w:jc w:val="both"/>
        <w:rPr>
          <w:rFonts w:ascii="Verdana" w:hAnsi="Verdana"/>
          <w:sz w:val="16"/>
          <w:szCs w:val="16"/>
        </w:rPr>
      </w:pPr>
    </w:p>
  </w:footnote>
  <w:footnote w:id="2">
    <w:p w14:paraId="4ADC7CDE" w14:textId="77777777" w:rsidR="00E5634E" w:rsidRPr="00206556" w:rsidRDefault="00E5634E" w:rsidP="00E5634E">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07AF1C7B" w14:textId="77777777" w:rsidR="00E5634E" w:rsidRPr="00206556" w:rsidRDefault="00E5634E" w:rsidP="00E5634E">
      <w:pPr>
        <w:pStyle w:val="Textonotapie"/>
        <w:ind w:firstLine="708"/>
        <w:jc w:val="both"/>
        <w:rPr>
          <w:rFonts w:ascii="Verdana" w:hAnsi="Verdana"/>
          <w:sz w:val="16"/>
          <w:szCs w:val="16"/>
          <w:lang w:val="es-ES"/>
        </w:rPr>
      </w:pPr>
    </w:p>
  </w:footnote>
  <w:footnote w:id="3">
    <w:p w14:paraId="63E44744" w14:textId="77777777" w:rsidR="00E5634E" w:rsidRPr="00206556" w:rsidRDefault="00E5634E" w:rsidP="00E5634E">
      <w:pPr>
        <w:spacing w:after="80" w:line="240" w:lineRule="auto"/>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478ED877" w14:textId="77777777" w:rsidR="00E5634E" w:rsidRPr="00206556" w:rsidRDefault="00E5634E" w:rsidP="00E5634E">
      <w:pPr>
        <w:spacing w:after="80" w:line="240" w:lineRule="auto"/>
        <w:ind w:firstLine="708"/>
        <w:jc w:val="both"/>
        <w:rPr>
          <w:rFonts w:ascii="Verdana" w:hAnsi="Verdana"/>
          <w:sz w:val="16"/>
          <w:szCs w:val="16"/>
        </w:rPr>
      </w:pPr>
    </w:p>
  </w:footnote>
  <w:footnote w:id="4">
    <w:p w14:paraId="4E132220" w14:textId="77777777" w:rsidR="00E5634E" w:rsidRPr="00206556" w:rsidRDefault="00E5634E" w:rsidP="00E5634E">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4F10F7BF" w14:textId="77777777" w:rsidR="00E5634E" w:rsidRPr="00206556" w:rsidRDefault="00E5634E" w:rsidP="00E5634E">
      <w:pPr>
        <w:pStyle w:val="Textonotapie"/>
        <w:ind w:firstLine="708"/>
        <w:jc w:val="both"/>
        <w:rPr>
          <w:rFonts w:ascii="Verdana" w:hAnsi="Verdana"/>
          <w:sz w:val="16"/>
          <w:szCs w:val="16"/>
          <w:lang w:val="es-ES"/>
        </w:rPr>
      </w:pPr>
    </w:p>
  </w:footnote>
  <w:footnote w:id="5">
    <w:p w14:paraId="58FD3739" w14:textId="77777777" w:rsidR="00E5634E" w:rsidRPr="00206556" w:rsidRDefault="00E5634E" w:rsidP="00E5634E">
      <w:pPr>
        <w:pStyle w:val="Textonotapie"/>
        <w:ind w:firstLine="708"/>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053C6193" w14:textId="77777777" w:rsidR="00E5634E" w:rsidRPr="00206556" w:rsidRDefault="00E5634E" w:rsidP="00E5634E">
      <w:pPr>
        <w:pStyle w:val="Textonotapie"/>
        <w:ind w:firstLine="708"/>
        <w:jc w:val="both"/>
        <w:rPr>
          <w:rFonts w:ascii="Verdana" w:hAnsi="Verdana"/>
          <w:sz w:val="16"/>
          <w:szCs w:val="16"/>
          <w:lang w:val="es-ES"/>
        </w:rPr>
      </w:pPr>
    </w:p>
  </w:footnote>
  <w:footnote w:id="6">
    <w:p w14:paraId="7877EC09" w14:textId="77777777" w:rsidR="00E5634E" w:rsidRPr="00206556" w:rsidRDefault="00E5634E" w:rsidP="00E5634E">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2BA718D8" w14:textId="77777777" w:rsidR="00E5634E" w:rsidRPr="00206556" w:rsidRDefault="00E5634E" w:rsidP="00E5634E">
      <w:pPr>
        <w:pStyle w:val="Textonotapie"/>
        <w:ind w:firstLine="708"/>
        <w:rPr>
          <w:rFonts w:ascii="Verdana" w:hAnsi="Verdana"/>
          <w:sz w:val="16"/>
          <w:szCs w:val="16"/>
          <w:lang w:val="es-ES"/>
        </w:rPr>
      </w:pPr>
    </w:p>
  </w:footnote>
  <w:footnote w:id="7">
    <w:p w14:paraId="4470EECF" w14:textId="77777777" w:rsidR="00E5634E" w:rsidRPr="00206556" w:rsidRDefault="00E5634E" w:rsidP="00E5634E">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3B865AF5" w14:textId="77777777" w:rsidR="00E5634E" w:rsidRPr="00206556" w:rsidRDefault="00E5634E" w:rsidP="00E5634E">
      <w:pPr>
        <w:pStyle w:val="Textonotapie"/>
        <w:ind w:firstLine="708"/>
        <w:rPr>
          <w:rFonts w:ascii="Verdana" w:hAnsi="Verdana"/>
          <w:sz w:val="16"/>
          <w:szCs w:val="16"/>
          <w:lang w:val="es-ES"/>
        </w:rPr>
      </w:pPr>
    </w:p>
  </w:footnote>
  <w:footnote w:id="8">
    <w:p w14:paraId="2C5C4817" w14:textId="77777777" w:rsidR="00E5634E" w:rsidRPr="00206556" w:rsidRDefault="00E5634E" w:rsidP="00E5634E">
      <w:pPr>
        <w:pStyle w:val="Textonotapie"/>
        <w:ind w:firstLine="708"/>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DE95994"/>
    <w:multiLevelType w:val="hybridMultilevel"/>
    <w:tmpl w:val="DEACEFC2"/>
    <w:lvl w:ilvl="0" w:tplc="9B46313C">
      <w:start w:val="1"/>
      <w:numFmt w:val="decimal"/>
      <w:lvlText w:val="%1."/>
      <w:lvlJc w:val="left"/>
      <w:pPr>
        <w:ind w:left="720" w:hanging="360"/>
      </w:pPr>
      <w:rPr>
        <w:rFonts w:ascii="Geomanist Light" w:eastAsiaTheme="minorHAnsi" w:hAnsi="Geomanist Light"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C7E47"/>
    <w:multiLevelType w:val="hybridMultilevel"/>
    <w:tmpl w:val="D52C7E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0"/>
  </w:num>
  <w:num w:numId="13" w16cid:durableId="1512908409">
    <w:abstractNumId w:val="4"/>
  </w:num>
  <w:num w:numId="14" w16cid:durableId="895897244">
    <w:abstractNumId w:val="15"/>
  </w:num>
  <w:num w:numId="15" w16cid:durableId="390349800">
    <w:abstractNumId w:val="11"/>
  </w:num>
  <w:num w:numId="16" w16cid:durableId="1245649885">
    <w:abstractNumId w:val="1"/>
  </w:num>
  <w:num w:numId="17" w16cid:durableId="1791628973">
    <w:abstractNumId w:val="3"/>
  </w:num>
  <w:num w:numId="18" w16cid:durableId="919366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9EB"/>
    <w:rsid w:val="00046945"/>
    <w:rsid w:val="00061B2A"/>
    <w:rsid w:val="00082362"/>
    <w:rsid w:val="000A683E"/>
    <w:rsid w:val="000B19B9"/>
    <w:rsid w:val="000D0334"/>
    <w:rsid w:val="000D5DA7"/>
    <w:rsid w:val="000F6486"/>
    <w:rsid w:val="00106EAB"/>
    <w:rsid w:val="00116940"/>
    <w:rsid w:val="00125105"/>
    <w:rsid w:val="00127233"/>
    <w:rsid w:val="0015699B"/>
    <w:rsid w:val="001604C0"/>
    <w:rsid w:val="001A33BF"/>
    <w:rsid w:val="001B5CB2"/>
    <w:rsid w:val="001E4177"/>
    <w:rsid w:val="001F0B24"/>
    <w:rsid w:val="001F7DC6"/>
    <w:rsid w:val="0022400B"/>
    <w:rsid w:val="002421BB"/>
    <w:rsid w:val="00246943"/>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255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6776F"/>
    <w:rsid w:val="00573803"/>
    <w:rsid w:val="00574867"/>
    <w:rsid w:val="00591460"/>
    <w:rsid w:val="005A65E0"/>
    <w:rsid w:val="005C3777"/>
    <w:rsid w:val="005C5CDC"/>
    <w:rsid w:val="005D476C"/>
    <w:rsid w:val="005D64E1"/>
    <w:rsid w:val="006200BF"/>
    <w:rsid w:val="006219F8"/>
    <w:rsid w:val="006302F7"/>
    <w:rsid w:val="00646B9F"/>
    <w:rsid w:val="00665D70"/>
    <w:rsid w:val="006900D9"/>
    <w:rsid w:val="006B2056"/>
    <w:rsid w:val="006D27E5"/>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2F08"/>
    <w:rsid w:val="00867F95"/>
    <w:rsid w:val="008843B6"/>
    <w:rsid w:val="00891928"/>
    <w:rsid w:val="008A446D"/>
    <w:rsid w:val="008B25F1"/>
    <w:rsid w:val="008D180B"/>
    <w:rsid w:val="008F0EA7"/>
    <w:rsid w:val="00923EEF"/>
    <w:rsid w:val="009419F9"/>
    <w:rsid w:val="0095685E"/>
    <w:rsid w:val="00961B09"/>
    <w:rsid w:val="00965334"/>
    <w:rsid w:val="0097093E"/>
    <w:rsid w:val="0097322E"/>
    <w:rsid w:val="00974683"/>
    <w:rsid w:val="00986D8F"/>
    <w:rsid w:val="009A0DFA"/>
    <w:rsid w:val="009A1C6F"/>
    <w:rsid w:val="009B2D26"/>
    <w:rsid w:val="009C4A8B"/>
    <w:rsid w:val="009C71FA"/>
    <w:rsid w:val="009C72E7"/>
    <w:rsid w:val="009C7F7E"/>
    <w:rsid w:val="009D3058"/>
    <w:rsid w:val="009D7F9E"/>
    <w:rsid w:val="009F3A13"/>
    <w:rsid w:val="00A122D3"/>
    <w:rsid w:val="00A14468"/>
    <w:rsid w:val="00A17F13"/>
    <w:rsid w:val="00A20739"/>
    <w:rsid w:val="00A23AF9"/>
    <w:rsid w:val="00A33C78"/>
    <w:rsid w:val="00A3682F"/>
    <w:rsid w:val="00AB0ADB"/>
    <w:rsid w:val="00B00C0E"/>
    <w:rsid w:val="00B01B1A"/>
    <w:rsid w:val="00B0381D"/>
    <w:rsid w:val="00B2635C"/>
    <w:rsid w:val="00B44A47"/>
    <w:rsid w:val="00B72CD3"/>
    <w:rsid w:val="00B72FFF"/>
    <w:rsid w:val="00BC38C2"/>
    <w:rsid w:val="00BC3D36"/>
    <w:rsid w:val="00BD54A6"/>
    <w:rsid w:val="00BD7F72"/>
    <w:rsid w:val="00BF7425"/>
    <w:rsid w:val="00C04FB3"/>
    <w:rsid w:val="00C11D8B"/>
    <w:rsid w:val="00C15139"/>
    <w:rsid w:val="00C24486"/>
    <w:rsid w:val="00C330EB"/>
    <w:rsid w:val="00C41E7C"/>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345D"/>
    <w:rsid w:val="00DF5254"/>
    <w:rsid w:val="00E02524"/>
    <w:rsid w:val="00E16408"/>
    <w:rsid w:val="00E20894"/>
    <w:rsid w:val="00E245AB"/>
    <w:rsid w:val="00E2764C"/>
    <w:rsid w:val="00E27F2E"/>
    <w:rsid w:val="00E50AFE"/>
    <w:rsid w:val="00E5634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B0A236D"/>
    <w:rsid w:val="3C591AFD"/>
    <w:rsid w:val="42183F0A"/>
    <w:rsid w:val="545B112A"/>
    <w:rsid w:val="5BEB1497"/>
    <w:rsid w:val="69614A15"/>
    <w:rsid w:val="74BA017B"/>
    <w:rsid w:val="7677286E"/>
    <w:rsid w:val="79A64A20"/>
    <w:rsid w:val="7BB183BC"/>
    <w:rsid w:val="7FBBD8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5634E"/>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citacioneslmvo@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C95B5-B7EC-4E17-AB93-C2C824A6896C}">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D7CD30C6-F8A9-4D60-B050-6C1AE023B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30</TotalTime>
  <Pages>20</Pages>
  <Words>6398</Words>
  <Characters>35195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2026-06-12T14:54:00Z</dcterms:created>
  <dcterms:modified xsi:type="dcterms:W3CDTF">2026-06-19T21:19:00Z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