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BCAF5" w14:textId="77777777" w:rsidR="00866400" w:rsidRPr="008531CD" w:rsidRDefault="00866400" w:rsidP="00866400">
      <w:pPr>
        <w:spacing w:after="100" w:afterAutospacing="1" w:line="240" w:lineRule="auto"/>
        <w:contextualSpacing/>
        <w:jc w:val="both"/>
        <w:rPr>
          <w:rFonts w:ascii="Verdana" w:eastAsia="Calibri" w:hAnsi="Verdana" w:cs="Arial"/>
          <w:b/>
          <w:bCs/>
          <w:color w:val="000000" w:themeColor="text1"/>
          <w:sz w:val="20"/>
          <w:szCs w:val="20"/>
          <w:lang w:val="es-ES_tradnl"/>
        </w:rPr>
      </w:pPr>
      <w:bookmarkStart w:id="0" w:name="_Hlk186494164"/>
      <w:r w:rsidRPr="008531CD">
        <w:rPr>
          <w:rFonts w:ascii="Verdana" w:eastAsia="Calibri" w:hAnsi="Verdana" w:cs="Arial"/>
          <w:b/>
          <w:bCs/>
          <w:color w:val="000000" w:themeColor="text1"/>
          <w:sz w:val="20"/>
          <w:szCs w:val="20"/>
        </w:rPr>
        <w:t xml:space="preserve">CONTRATO DE PRESTACIÓN DE SERVICIOS – Concepto </w:t>
      </w:r>
      <w:r w:rsidRPr="008531CD">
        <w:rPr>
          <w:rFonts w:ascii="Verdana" w:eastAsia="Calibri" w:hAnsi="Verdana" w:cs="Arial"/>
          <w:b/>
          <w:bCs/>
          <w:color w:val="000000" w:themeColor="text1"/>
          <w:sz w:val="20"/>
          <w:szCs w:val="20"/>
          <w:lang w:val="es-ES_tradnl"/>
        </w:rPr>
        <w:t xml:space="preserve"> </w:t>
      </w:r>
    </w:p>
    <w:p w14:paraId="2D15F95D" w14:textId="77777777" w:rsidR="00866400" w:rsidRPr="008531CD" w:rsidRDefault="00866400" w:rsidP="00866400">
      <w:pPr>
        <w:spacing w:after="100" w:afterAutospacing="1" w:line="240" w:lineRule="auto"/>
        <w:contextualSpacing/>
        <w:jc w:val="both"/>
        <w:rPr>
          <w:rFonts w:ascii="Verdana" w:eastAsia="Calibri" w:hAnsi="Verdana" w:cs="Arial"/>
          <w:color w:val="000000" w:themeColor="text1"/>
          <w:sz w:val="20"/>
          <w:szCs w:val="20"/>
          <w:lang w:val="es-ES_tradnl"/>
        </w:rPr>
      </w:pPr>
    </w:p>
    <w:p w14:paraId="3F0C3D47" w14:textId="77777777" w:rsidR="00866400" w:rsidRPr="008531CD" w:rsidRDefault="00866400" w:rsidP="00866400">
      <w:pPr>
        <w:spacing w:after="100" w:afterAutospacing="1" w:line="240" w:lineRule="auto"/>
        <w:contextualSpacing/>
        <w:jc w:val="both"/>
        <w:rPr>
          <w:rFonts w:ascii="Verdana" w:eastAsia="Calibri" w:hAnsi="Verdana" w:cs="Arial"/>
          <w:color w:val="000000" w:themeColor="text1"/>
          <w:sz w:val="18"/>
          <w:szCs w:val="18"/>
          <w:lang w:val="es-ES_tradnl"/>
        </w:rPr>
      </w:pPr>
      <w:r w:rsidRPr="008531CD">
        <w:rPr>
          <w:rFonts w:ascii="Verdana" w:eastAsia="Calibri" w:hAnsi="Verdana" w:cs="Arial"/>
          <w:color w:val="000000"/>
          <w:sz w:val="18"/>
          <w:szCs w:val="18"/>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establece:</w:t>
      </w:r>
      <w:r w:rsidRPr="008531CD">
        <w:rPr>
          <w:rFonts w:ascii="Verdana" w:eastAsia="Calibri" w:hAnsi="Verdana" w:cs="Arial"/>
          <w:color w:val="000000" w:themeColor="text1"/>
          <w:sz w:val="18"/>
          <w:szCs w:val="18"/>
          <w:lang w:val="es-ES_tradnl"/>
        </w:rPr>
        <w:t xml:space="preserve"> </w:t>
      </w:r>
      <w:r w:rsidRPr="008531CD">
        <w:rPr>
          <w:rFonts w:ascii="Verdana" w:eastAsia="Calibri" w:hAnsi="Verdana" w:cs="Arial"/>
          <w:color w:val="000000"/>
          <w:sz w:val="18"/>
          <w:szCs w:val="18"/>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r w:rsidRPr="008531CD">
        <w:rPr>
          <w:rFonts w:ascii="Verdana" w:eastAsia="Calibri" w:hAnsi="Verdana" w:cs="Arial"/>
          <w:color w:val="000000" w:themeColor="text1"/>
          <w:sz w:val="18"/>
          <w:szCs w:val="18"/>
          <w:lang w:val="es-ES_tradnl"/>
        </w:rPr>
        <w:t xml:space="preserve"> </w:t>
      </w:r>
      <w:r w:rsidRPr="008531CD">
        <w:rPr>
          <w:rFonts w:ascii="Verdana" w:eastAsia="Calibri" w:hAnsi="Verdana" w:cs="Arial"/>
          <w:color w:val="000000"/>
          <w:sz w:val="18"/>
          <w:szCs w:val="18"/>
        </w:rPr>
        <w:t>En ningún caso estos contratos generan relación laboral ni prestaciones sociales y se celebrarán por el término estrictamente indispensable.</w:t>
      </w:r>
    </w:p>
    <w:p w14:paraId="53979420" w14:textId="77777777" w:rsidR="00866400" w:rsidRPr="008531CD" w:rsidRDefault="00866400" w:rsidP="00866400">
      <w:pPr>
        <w:spacing w:after="100" w:afterAutospacing="1" w:line="240" w:lineRule="auto"/>
        <w:contextualSpacing/>
        <w:jc w:val="both"/>
        <w:rPr>
          <w:rFonts w:ascii="Verdana" w:eastAsia="Calibri" w:hAnsi="Verdana" w:cs="Arial"/>
          <w:b/>
          <w:bCs/>
          <w:color w:val="000000" w:themeColor="text1"/>
          <w:sz w:val="20"/>
          <w:szCs w:val="20"/>
          <w:lang w:val="es-ES_tradnl"/>
        </w:rPr>
      </w:pPr>
    </w:p>
    <w:p w14:paraId="791A6677" w14:textId="77777777" w:rsidR="00866400" w:rsidRPr="008531CD" w:rsidRDefault="00866400" w:rsidP="00866400">
      <w:pPr>
        <w:spacing w:after="100" w:afterAutospacing="1" w:line="240" w:lineRule="auto"/>
        <w:contextualSpacing/>
        <w:jc w:val="both"/>
        <w:rPr>
          <w:rFonts w:ascii="Verdana" w:eastAsia="Calibri" w:hAnsi="Verdana" w:cs="Arial"/>
          <w:b/>
          <w:bCs/>
          <w:color w:val="000000" w:themeColor="text1"/>
          <w:sz w:val="20"/>
          <w:szCs w:val="20"/>
          <w:lang w:val="es-ES_tradnl"/>
        </w:rPr>
      </w:pPr>
      <w:r w:rsidRPr="008531CD">
        <w:rPr>
          <w:rFonts w:ascii="Verdana" w:eastAsia="Calibri" w:hAnsi="Verdana" w:cs="Arial"/>
          <w:b/>
          <w:bCs/>
          <w:sz w:val="20"/>
          <w:szCs w:val="20"/>
          <w:lang w:val="es-ES_tradnl"/>
        </w:rPr>
        <w:t xml:space="preserve">CONTRATO DE PRESTACIÓN DE SERVICIOS </w:t>
      </w:r>
      <w:r w:rsidRPr="008531CD">
        <w:rPr>
          <w:rFonts w:ascii="Verdana" w:eastAsia="Calibri" w:hAnsi="Verdana" w:cs="Arial"/>
          <w:b/>
          <w:bCs/>
          <w:color w:val="000000" w:themeColor="text1"/>
          <w:sz w:val="20"/>
          <w:szCs w:val="20"/>
          <w:lang w:val="es-ES_tradnl"/>
        </w:rPr>
        <w:t xml:space="preserve">– Género – </w:t>
      </w:r>
      <w:r w:rsidRPr="008531CD">
        <w:rPr>
          <w:rFonts w:ascii="Verdana" w:eastAsia="Calibri" w:hAnsi="Verdana" w:cs="Arial"/>
          <w:b/>
          <w:bCs/>
          <w:sz w:val="20"/>
          <w:szCs w:val="20"/>
          <w:lang w:val="es-ES_tradnl"/>
        </w:rPr>
        <w:t xml:space="preserve">Servicios Profesionales </w:t>
      </w:r>
      <w:r w:rsidRPr="008531CD">
        <w:rPr>
          <w:rFonts w:ascii="Verdana" w:eastAsia="Calibri" w:hAnsi="Verdana" w:cs="Arial"/>
          <w:b/>
          <w:bCs/>
          <w:color w:val="000000" w:themeColor="text1"/>
          <w:sz w:val="20"/>
          <w:szCs w:val="20"/>
          <w:lang w:val="es-ES_tradnl"/>
        </w:rPr>
        <w:t>–</w:t>
      </w:r>
      <w:r w:rsidRPr="008531CD">
        <w:rPr>
          <w:rFonts w:ascii="Verdana" w:eastAsia="Calibri" w:hAnsi="Verdana" w:cs="Arial"/>
          <w:b/>
          <w:bCs/>
          <w:sz w:val="20"/>
          <w:szCs w:val="20"/>
          <w:lang w:val="es-ES_tradnl"/>
        </w:rPr>
        <w:t xml:space="preserve">Apoyo a la gestión </w:t>
      </w:r>
      <w:r w:rsidRPr="008531CD">
        <w:rPr>
          <w:rFonts w:ascii="Verdana" w:eastAsia="Calibri" w:hAnsi="Verdana" w:cs="Arial"/>
          <w:b/>
          <w:bCs/>
          <w:color w:val="000000" w:themeColor="text1"/>
          <w:sz w:val="20"/>
          <w:szCs w:val="20"/>
          <w:lang w:val="es-ES_tradnl"/>
        </w:rPr>
        <w:t xml:space="preserve">– Trabajos artísticos – Especie </w:t>
      </w:r>
    </w:p>
    <w:p w14:paraId="04D9D114" w14:textId="77777777" w:rsidR="00866400" w:rsidRPr="008531CD" w:rsidRDefault="00866400" w:rsidP="00866400">
      <w:pPr>
        <w:spacing w:after="100" w:afterAutospacing="1" w:line="240" w:lineRule="auto"/>
        <w:contextualSpacing/>
        <w:jc w:val="both"/>
        <w:rPr>
          <w:rFonts w:ascii="Verdana" w:eastAsia="Calibri" w:hAnsi="Verdana" w:cs="Arial"/>
          <w:b/>
          <w:bCs/>
          <w:color w:val="000000" w:themeColor="text1"/>
          <w:sz w:val="20"/>
          <w:szCs w:val="20"/>
          <w:lang w:val="es-ES_tradnl"/>
        </w:rPr>
      </w:pPr>
    </w:p>
    <w:p w14:paraId="3336AAD5" w14:textId="77777777" w:rsidR="00866400" w:rsidRPr="008531CD" w:rsidRDefault="00866400" w:rsidP="00866400">
      <w:pPr>
        <w:spacing w:after="100" w:afterAutospacing="1" w:line="240" w:lineRule="auto"/>
        <w:contextualSpacing/>
        <w:jc w:val="both"/>
        <w:rPr>
          <w:rFonts w:ascii="Verdana" w:eastAsia="Calibri" w:hAnsi="Verdana" w:cs="Arial"/>
          <w:color w:val="000000"/>
          <w:sz w:val="18"/>
          <w:szCs w:val="18"/>
        </w:rPr>
      </w:pPr>
      <w:r w:rsidRPr="008531CD">
        <w:rPr>
          <w:rFonts w:ascii="Verdana" w:eastAsia="Calibri" w:hAnsi="Verdana" w:cs="Arial"/>
          <w:color w:val="000000"/>
          <w:sz w:val="18"/>
          <w:szCs w:val="18"/>
        </w:rPr>
        <w:t xml:space="preserve">Los contratos de prestación de servicios profesionales hacen parte del género denominado </w:t>
      </w:r>
      <w:r w:rsidRPr="008531CD">
        <w:rPr>
          <w:rFonts w:ascii="Verdana" w:eastAsia="Calibri" w:hAnsi="Verdana" w:cs="Arial"/>
          <w:i/>
          <w:color w:val="000000"/>
          <w:sz w:val="18"/>
          <w:szCs w:val="18"/>
        </w:rPr>
        <w:t>contratos de prestación de servicios</w:t>
      </w:r>
      <w:r w:rsidRPr="008531CD">
        <w:rPr>
          <w:rFonts w:ascii="Verdana" w:eastAsia="Calibri" w:hAnsi="Verdana" w:cs="Arial"/>
          <w:color w:val="000000"/>
          <w:sz w:val="18"/>
          <w:szCs w:val="18"/>
        </w:rPr>
        <w:t xml:space="preserve">, dentro del cual también se ubican, como especies, los contratos de prestación de servicios de apoyo a la gestión y los contratos de prestación de servicios artísticos que solo pueden encomendarse a determinadas personas naturales, de acuerdo con lo reglamentado en el artículo 2.2.1.2.4.9. del Decreto 1082 de 2015. La diferencia entre el contrato de prestación de servicios </w:t>
      </w:r>
      <w:r w:rsidRPr="008531CD">
        <w:rPr>
          <w:rFonts w:ascii="Verdana" w:eastAsia="Calibri" w:hAnsi="Verdana" w:cs="Arial"/>
          <w:i/>
          <w:color w:val="000000"/>
          <w:sz w:val="18"/>
          <w:szCs w:val="18"/>
        </w:rPr>
        <w:t>profesionales</w:t>
      </w:r>
      <w:r w:rsidRPr="008531CD">
        <w:rPr>
          <w:rFonts w:ascii="Verdana" w:eastAsia="Calibri" w:hAnsi="Verdana" w:cs="Arial"/>
          <w:color w:val="000000"/>
          <w:sz w:val="18"/>
          <w:szCs w:val="18"/>
        </w:rPr>
        <w:t xml:space="preserve"> con las otras dos especies del género en el cual se ubican radica en su contenido intelectual intangible y, al mismo tiempo, en la formación profesional que se exige para desempeñar la labor.</w:t>
      </w:r>
    </w:p>
    <w:p w14:paraId="53447A8E" w14:textId="77777777" w:rsidR="00866400" w:rsidRPr="008531CD" w:rsidRDefault="00866400" w:rsidP="00866400">
      <w:pPr>
        <w:spacing w:after="100" w:afterAutospacing="1" w:line="240" w:lineRule="auto"/>
        <w:contextualSpacing/>
        <w:jc w:val="both"/>
        <w:rPr>
          <w:rFonts w:ascii="Verdana" w:eastAsia="Calibri" w:hAnsi="Verdana" w:cs="Arial"/>
          <w:b/>
          <w:bCs/>
          <w:color w:val="000000" w:themeColor="text1"/>
          <w:sz w:val="20"/>
          <w:szCs w:val="20"/>
          <w:lang w:val="es-ES_tradnl"/>
        </w:rPr>
      </w:pPr>
    </w:p>
    <w:p w14:paraId="051E76E0" w14:textId="77777777" w:rsidR="00866400" w:rsidRPr="008531CD" w:rsidRDefault="00866400" w:rsidP="00866400">
      <w:pPr>
        <w:spacing w:after="100" w:afterAutospacing="1" w:line="240" w:lineRule="auto"/>
        <w:contextualSpacing/>
        <w:jc w:val="both"/>
        <w:rPr>
          <w:rFonts w:ascii="Verdana" w:eastAsia="Calibri" w:hAnsi="Verdana" w:cs="Arial"/>
          <w:b/>
          <w:bCs/>
          <w:color w:val="000000" w:themeColor="text1"/>
          <w:sz w:val="20"/>
          <w:szCs w:val="20"/>
          <w:lang w:val="es-ES_tradnl"/>
        </w:rPr>
      </w:pPr>
      <w:r w:rsidRPr="008531CD">
        <w:rPr>
          <w:rFonts w:ascii="Verdana" w:eastAsia="Calibri" w:hAnsi="Verdana" w:cs="Arial"/>
          <w:b/>
          <w:bCs/>
          <w:sz w:val="20"/>
          <w:szCs w:val="20"/>
          <w:lang w:val="es-ES_tradnl"/>
        </w:rPr>
        <w:t xml:space="preserve">CONTRATO DE PRESTACIÓN DE SERVICIOS </w:t>
      </w:r>
      <w:r w:rsidRPr="008531CD">
        <w:rPr>
          <w:rFonts w:ascii="Verdana" w:eastAsia="Calibri" w:hAnsi="Verdana" w:cs="Arial"/>
          <w:b/>
          <w:bCs/>
          <w:color w:val="000000" w:themeColor="text1"/>
          <w:sz w:val="20"/>
          <w:szCs w:val="20"/>
          <w:lang w:val="es-ES_tradnl"/>
        </w:rPr>
        <w:t>– Trabajos artísticos</w:t>
      </w:r>
      <w:r w:rsidRPr="008531CD">
        <w:rPr>
          <w:sz w:val="20"/>
          <w:szCs w:val="20"/>
        </w:rPr>
        <w:t xml:space="preserve"> </w:t>
      </w:r>
      <w:r w:rsidRPr="008531CD">
        <w:rPr>
          <w:rFonts w:ascii="Verdana" w:eastAsia="Calibri" w:hAnsi="Verdana" w:cs="Arial"/>
          <w:b/>
          <w:bCs/>
          <w:color w:val="000000" w:themeColor="text1"/>
          <w:sz w:val="20"/>
          <w:szCs w:val="20"/>
          <w:lang w:val="es-ES_tradnl"/>
        </w:rPr>
        <w:t>–Determinadas personas naturales – No exige artista único</w:t>
      </w:r>
    </w:p>
    <w:p w14:paraId="7CC32851" w14:textId="77777777" w:rsidR="00866400" w:rsidRPr="008531CD" w:rsidRDefault="00866400" w:rsidP="00866400">
      <w:pPr>
        <w:spacing w:after="100" w:afterAutospacing="1" w:line="240" w:lineRule="auto"/>
        <w:contextualSpacing/>
        <w:jc w:val="both"/>
        <w:rPr>
          <w:rFonts w:ascii="Verdana" w:eastAsia="Calibri" w:hAnsi="Verdana" w:cs="Arial"/>
          <w:b/>
          <w:bCs/>
          <w:color w:val="000000" w:themeColor="text1"/>
          <w:sz w:val="20"/>
          <w:szCs w:val="20"/>
          <w:lang w:val="es-ES_tradnl"/>
        </w:rPr>
      </w:pPr>
    </w:p>
    <w:p w14:paraId="65EEAD6D" w14:textId="77777777" w:rsidR="00866400" w:rsidRPr="008531CD" w:rsidRDefault="00866400" w:rsidP="00866400">
      <w:pPr>
        <w:spacing w:after="0" w:line="240" w:lineRule="auto"/>
        <w:jc w:val="both"/>
        <w:rPr>
          <w:rFonts w:ascii="Verdana" w:eastAsia="Calibri" w:hAnsi="Verdana" w:cs="Arial"/>
          <w:color w:val="000000"/>
          <w:sz w:val="18"/>
          <w:szCs w:val="18"/>
        </w:rPr>
      </w:pPr>
      <w:r w:rsidRPr="008531CD">
        <w:rPr>
          <w:rFonts w:ascii="Verdana" w:eastAsia="Calibri" w:hAnsi="Verdana" w:cs="Arial"/>
          <w:color w:val="000000"/>
          <w:sz w:val="18"/>
          <w:szCs w:val="18"/>
        </w:rPr>
        <w:t>De acuerdo con esto, respecto del contrato de prestación de servicios artísticos que solo pueden encomendarse a determinadas personas naturales la doctrina considera que “[…] El sentido de este enunciado normativo es que la razón que permite la contratación directa con dichas personas naturales es precisamente el conjunto de habilidades artísticas que reúnen. En tal medida, la expresión “que solo puedan encomendarse a determinadas personas” no puede interpretarse como un mandato de que el contrato de prestación de servicios para la ejecución del trabajo artístico solo sea causal de contratación directa cuando solo exista un único artista en el mercado que pueda encargarse de la labor requerida por la entidad. La contratación directa está permitida aun cuando sean varios los sujetos en la línea artística sobre la que versa el trabajo que contratará la Administración. Lo contrario sería confundir la causal de contratación directa que se viene analizando, con la prevista en el literal anterior, es decir, en el g) del mismo numeral y artículo, que también permite dicha modalidad contractual “cuando no exista pluralidad de oferentes en el mercado”.</w:t>
      </w:r>
    </w:p>
    <w:p w14:paraId="10800E22" w14:textId="77777777" w:rsidR="00866400" w:rsidRPr="008531CD" w:rsidRDefault="00866400" w:rsidP="00866400">
      <w:pPr>
        <w:spacing w:after="0" w:line="240" w:lineRule="auto"/>
        <w:jc w:val="both"/>
        <w:rPr>
          <w:rFonts w:ascii="Verdana" w:eastAsia="Calibri" w:hAnsi="Verdana" w:cs="Arial"/>
          <w:color w:val="000000"/>
          <w:sz w:val="18"/>
          <w:szCs w:val="18"/>
        </w:rPr>
      </w:pPr>
    </w:p>
    <w:p w14:paraId="1BAAF888" w14:textId="77777777" w:rsidR="00866400" w:rsidRPr="008531CD" w:rsidRDefault="00866400" w:rsidP="00866400">
      <w:pPr>
        <w:spacing w:after="0" w:line="240" w:lineRule="auto"/>
        <w:jc w:val="both"/>
        <w:rPr>
          <w:rFonts w:ascii="Verdana" w:eastAsia="Calibri" w:hAnsi="Verdana" w:cs="Arial"/>
          <w:color w:val="000000"/>
          <w:sz w:val="20"/>
          <w:szCs w:val="20"/>
        </w:rPr>
      </w:pPr>
      <w:r w:rsidRPr="008531CD">
        <w:rPr>
          <w:rFonts w:ascii="Verdana" w:eastAsia="Calibri" w:hAnsi="Verdana" w:cs="Arial"/>
          <w:color w:val="000000"/>
          <w:sz w:val="18"/>
          <w:szCs w:val="18"/>
        </w:rPr>
        <w:t>Por tanto, no es necesario que exista un único artista en el mercado y en ese sentido, siempre que el trabajo de escultura corresponda a una labor artística a desarrollar por una persona natural, procede la contratación directa mediante la causal del contrato de prestación de servicios artísticos que solo pueden encomendarse a determinadas personas naturales, lo cual deberá ser justificado por la entidad contratante en los estudios y documentos previos.</w:t>
      </w:r>
    </w:p>
    <w:p w14:paraId="090D4C81" w14:textId="77777777" w:rsidR="00866400" w:rsidRPr="008531CD" w:rsidRDefault="00866400" w:rsidP="00866400">
      <w:pPr>
        <w:spacing w:after="0" w:line="240" w:lineRule="auto"/>
        <w:rPr>
          <w:rFonts w:ascii="Verdana" w:eastAsia="Times New Roman" w:hAnsi="Verdana" w:cs="Times New Roman"/>
          <w:b/>
          <w:bCs/>
          <w:color w:val="000000"/>
          <w:sz w:val="20"/>
          <w:szCs w:val="20"/>
          <w:lang w:val="es-ES_tradnl" w:eastAsia="es-ES_tradnl"/>
        </w:rPr>
      </w:pPr>
    </w:p>
    <w:p w14:paraId="5E3CB532" w14:textId="77777777" w:rsidR="00866400" w:rsidRPr="008531CD" w:rsidRDefault="00866400" w:rsidP="00866400">
      <w:pPr>
        <w:spacing w:after="0" w:line="240" w:lineRule="auto"/>
        <w:rPr>
          <w:rFonts w:ascii="Verdana" w:eastAsia="Geomanist Light" w:hAnsi="Verdana" w:cs="Arial"/>
          <w:color w:val="000000" w:themeColor="text1"/>
          <w:sz w:val="20"/>
          <w:szCs w:val="20"/>
        </w:rPr>
      </w:pPr>
    </w:p>
    <w:p w14:paraId="5A00322D" w14:textId="77777777" w:rsidR="00866400" w:rsidRPr="008531CD" w:rsidRDefault="00866400" w:rsidP="00866400">
      <w:pPr>
        <w:spacing w:after="0" w:line="240" w:lineRule="auto"/>
        <w:rPr>
          <w:rFonts w:ascii="Verdana" w:eastAsia="Geomanist Light" w:hAnsi="Verdana" w:cs="Arial"/>
          <w:color w:val="000000" w:themeColor="text1"/>
          <w:sz w:val="20"/>
          <w:szCs w:val="20"/>
        </w:rPr>
      </w:pPr>
    </w:p>
    <w:p w14:paraId="45120188" w14:textId="33263D7F" w:rsidR="00866400" w:rsidRPr="008531CD" w:rsidRDefault="00866400" w:rsidP="00866400">
      <w:pPr>
        <w:spacing w:after="0" w:line="240" w:lineRule="auto"/>
        <w:jc w:val="both"/>
        <w:rPr>
          <w:rFonts w:ascii="Verdana" w:eastAsia="Geomanist Light" w:hAnsi="Verdana" w:cs="Arial"/>
          <w:color w:val="000000" w:themeColor="text1"/>
          <w:sz w:val="20"/>
          <w:szCs w:val="20"/>
        </w:rPr>
      </w:pPr>
      <w:r w:rsidRPr="008531CD">
        <w:rPr>
          <w:rFonts w:ascii="Verdana" w:eastAsia="Geomanist Light" w:hAnsi="Verdana" w:cs="Arial"/>
          <w:color w:val="000000" w:themeColor="text1"/>
          <w:sz w:val="20"/>
          <w:szCs w:val="20"/>
        </w:rPr>
        <w:lastRenderedPageBreak/>
        <w:t xml:space="preserve">Bogotá D.C., </w:t>
      </w:r>
      <w:r w:rsidR="00060646" w:rsidRPr="008531CD">
        <w:rPr>
          <w:rFonts w:ascii="Verdana" w:eastAsia="Geomanist Light" w:hAnsi="Verdana" w:cs="Arial"/>
          <w:color w:val="000000" w:themeColor="text1"/>
          <w:sz w:val="20"/>
          <w:szCs w:val="20"/>
          <w:lang w:val="es-ES"/>
        </w:rPr>
        <w:t>19 junio 2026</w:t>
      </w:r>
    </w:p>
    <w:p w14:paraId="5ED1A56E" w14:textId="77777777" w:rsidR="00866400" w:rsidRPr="008531CD" w:rsidRDefault="00866400" w:rsidP="00866400">
      <w:pPr>
        <w:spacing w:after="0" w:line="240" w:lineRule="auto"/>
        <w:jc w:val="both"/>
        <w:rPr>
          <w:rFonts w:ascii="Verdana" w:eastAsia="Calibri" w:hAnsi="Verdana" w:cs="Arial"/>
          <w:color w:val="000000"/>
          <w:sz w:val="20"/>
          <w:szCs w:val="20"/>
        </w:rPr>
      </w:pPr>
    </w:p>
    <w:p w14:paraId="74FFCE9D" w14:textId="77777777" w:rsidR="008531CD" w:rsidRPr="008531CD" w:rsidRDefault="008531CD" w:rsidP="00866400">
      <w:pPr>
        <w:spacing w:after="0" w:line="240" w:lineRule="auto"/>
        <w:jc w:val="both"/>
        <w:rPr>
          <w:rFonts w:ascii="Verdana" w:eastAsia="Calibri" w:hAnsi="Verdana" w:cs="Arial"/>
          <w:sz w:val="20"/>
          <w:szCs w:val="20"/>
          <w:lang w:eastAsia="es-ES"/>
        </w:rPr>
      </w:pPr>
    </w:p>
    <w:p w14:paraId="2BC463CC" w14:textId="184A49D9" w:rsidR="00866400" w:rsidRPr="008531CD" w:rsidRDefault="00866400" w:rsidP="00866400">
      <w:pPr>
        <w:spacing w:after="0" w:line="240" w:lineRule="auto"/>
        <w:jc w:val="both"/>
        <w:rPr>
          <w:rFonts w:ascii="Verdana" w:eastAsia="Calibri" w:hAnsi="Verdana" w:cs="Arial"/>
          <w:sz w:val="20"/>
          <w:szCs w:val="20"/>
          <w:lang w:eastAsia="es-ES"/>
        </w:rPr>
      </w:pPr>
      <w:r w:rsidRPr="008531CD">
        <w:rPr>
          <w:rFonts w:ascii="Verdana" w:eastAsia="Calibri" w:hAnsi="Verdana" w:cs="Arial"/>
          <w:sz w:val="20"/>
          <w:szCs w:val="20"/>
          <w:lang w:eastAsia="es-ES"/>
        </w:rPr>
        <w:t>Señora</w:t>
      </w:r>
    </w:p>
    <w:p w14:paraId="28356619" w14:textId="39F1053B" w:rsidR="00866400" w:rsidRPr="008531CD" w:rsidRDefault="00B4695A" w:rsidP="00866400">
      <w:pPr>
        <w:spacing w:after="0" w:line="240" w:lineRule="auto"/>
        <w:rPr>
          <w:rFonts w:ascii="Verdana" w:hAnsi="Verdana"/>
          <w:b/>
          <w:bCs/>
          <w:sz w:val="20"/>
          <w:szCs w:val="20"/>
        </w:rPr>
      </w:pPr>
      <w:r w:rsidRPr="008531CD">
        <w:rPr>
          <w:noProof/>
          <w:sz w:val="20"/>
          <w:szCs w:val="20"/>
        </w:rPr>
        <w:drawing>
          <wp:anchor distT="0" distB="0" distL="114300" distR="114300" simplePos="0" relativeHeight="251658240" behindDoc="1" locked="0" layoutInCell="1" allowOverlap="1" wp14:anchorId="44202BAB" wp14:editId="684662A1">
            <wp:simplePos x="0" y="0"/>
            <wp:positionH relativeFrom="margin">
              <wp:posOffset>3004061</wp:posOffset>
            </wp:positionH>
            <wp:positionV relativeFrom="paragraph">
              <wp:posOffset>11620</wp:posOffset>
            </wp:positionV>
            <wp:extent cx="2671445" cy="740410"/>
            <wp:effectExtent l="0" t="0" r="0" b="2540"/>
            <wp:wrapTight wrapText="bothSides">
              <wp:wrapPolygon edited="0">
                <wp:start x="0" y="0"/>
                <wp:lineTo x="0" y="21118"/>
                <wp:lineTo x="21410" y="21118"/>
                <wp:lineTo x="21410" y="0"/>
                <wp:lineTo x="0" y="0"/>
              </wp:wrapPolygon>
            </wp:wrapTight>
            <wp:docPr id="12093515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1445" cy="740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6400" w:rsidRPr="008531CD">
        <w:rPr>
          <w:rFonts w:ascii="Verdana" w:hAnsi="Verdana"/>
          <w:b/>
          <w:bCs/>
          <w:sz w:val="20"/>
          <w:szCs w:val="20"/>
        </w:rPr>
        <w:t>GABRIELA ALEJANDRA RODRIGUEZ CASANOVA</w:t>
      </w:r>
    </w:p>
    <w:p w14:paraId="239A9085" w14:textId="49E38EFB" w:rsidR="00866400" w:rsidRPr="008531CD" w:rsidRDefault="00866400" w:rsidP="00866400">
      <w:pPr>
        <w:spacing w:after="0" w:line="240" w:lineRule="auto"/>
        <w:rPr>
          <w:rFonts w:ascii="Verdana" w:hAnsi="Verdana"/>
          <w:sz w:val="20"/>
          <w:szCs w:val="20"/>
        </w:rPr>
      </w:pPr>
      <w:hyperlink r:id="rId8" w:history="1">
        <w:r w:rsidRPr="008531CD">
          <w:rPr>
            <w:rStyle w:val="Hipervnculo"/>
            <w:rFonts w:ascii="Verdana" w:hAnsi="Verdana"/>
            <w:sz w:val="20"/>
            <w:szCs w:val="20"/>
          </w:rPr>
          <w:t>contratacion@santarosadecabal-risaralda.gov.co</w:t>
        </w:r>
      </w:hyperlink>
    </w:p>
    <w:p w14:paraId="7BA70412" w14:textId="77777777" w:rsidR="00866400" w:rsidRPr="008531CD" w:rsidRDefault="00866400" w:rsidP="00866400">
      <w:pPr>
        <w:spacing w:after="0" w:line="240" w:lineRule="auto"/>
        <w:rPr>
          <w:rFonts w:ascii="Verdana" w:hAnsi="Verdana"/>
          <w:sz w:val="20"/>
          <w:szCs w:val="20"/>
        </w:rPr>
      </w:pPr>
      <w:r w:rsidRPr="008531CD">
        <w:rPr>
          <w:rFonts w:ascii="Verdana" w:hAnsi="Verdana"/>
          <w:sz w:val="20"/>
          <w:szCs w:val="20"/>
        </w:rPr>
        <w:t>Santa Rosa de Cabal, Risaralda</w:t>
      </w:r>
    </w:p>
    <w:p w14:paraId="51542ADD" w14:textId="77777777" w:rsidR="00866400" w:rsidRPr="008531CD" w:rsidRDefault="00866400" w:rsidP="00866400">
      <w:pPr>
        <w:spacing w:after="0" w:line="240" w:lineRule="auto"/>
        <w:rPr>
          <w:rFonts w:ascii="Verdana" w:eastAsia="Calibri" w:hAnsi="Verdana" w:cs="Arial"/>
          <w:sz w:val="20"/>
          <w:szCs w:val="20"/>
          <w:lang w:eastAsia="es-ES"/>
        </w:rPr>
      </w:pPr>
    </w:p>
    <w:p w14:paraId="24FD31BC" w14:textId="77777777" w:rsidR="00866400" w:rsidRPr="008531CD" w:rsidRDefault="00866400" w:rsidP="00866400">
      <w:pPr>
        <w:spacing w:after="0" w:line="240" w:lineRule="auto"/>
        <w:rPr>
          <w:rFonts w:ascii="Verdana" w:eastAsia="Calibri" w:hAnsi="Verdana" w:cs="Arial"/>
          <w:b/>
          <w:bCs/>
          <w:color w:val="000000"/>
          <w:sz w:val="20"/>
          <w:szCs w:val="20"/>
          <w:lang w:eastAsia="es-ES_tradnl"/>
        </w:rPr>
      </w:pPr>
    </w:p>
    <w:p w14:paraId="4BDE0FB8" w14:textId="77777777" w:rsidR="008531CD" w:rsidRPr="008531CD" w:rsidRDefault="008531CD" w:rsidP="00866400">
      <w:pPr>
        <w:spacing w:after="0" w:line="240" w:lineRule="auto"/>
        <w:rPr>
          <w:rFonts w:ascii="Verdana" w:eastAsia="Calibri" w:hAnsi="Verdana" w:cs="Arial"/>
          <w:b/>
          <w:bCs/>
          <w:color w:val="000000"/>
          <w:sz w:val="20"/>
          <w:szCs w:val="20"/>
          <w:lang w:eastAsia="es-ES_tradnl"/>
        </w:rPr>
      </w:pPr>
    </w:p>
    <w:p w14:paraId="0FB7A902" w14:textId="2D0DF0FC" w:rsidR="008531CD" w:rsidRPr="008531CD" w:rsidRDefault="00866400" w:rsidP="00866400">
      <w:pPr>
        <w:spacing w:after="0" w:line="240" w:lineRule="auto"/>
        <w:jc w:val="center"/>
        <w:rPr>
          <w:rFonts w:ascii="Verdana" w:eastAsia="Calibri" w:hAnsi="Verdana" w:cs="Arial"/>
          <w:b/>
          <w:bCs/>
          <w:sz w:val="20"/>
          <w:szCs w:val="20"/>
          <w:lang w:eastAsia="es-ES"/>
        </w:rPr>
      </w:pPr>
      <w:r w:rsidRPr="008531CD">
        <w:rPr>
          <w:rFonts w:ascii="Verdana" w:eastAsia="Calibri" w:hAnsi="Verdana" w:cs="Arial"/>
          <w:b/>
          <w:bCs/>
          <w:sz w:val="20"/>
          <w:szCs w:val="20"/>
          <w:lang w:eastAsia="es-ES"/>
        </w:rPr>
        <w:t>Concepto C – 776 de 2026</w:t>
      </w:r>
    </w:p>
    <w:p w14:paraId="13A27C3F" w14:textId="77777777" w:rsidR="00866400" w:rsidRPr="008531CD" w:rsidRDefault="00866400" w:rsidP="00866400">
      <w:pPr>
        <w:spacing w:after="0" w:line="240" w:lineRule="auto"/>
        <w:rPr>
          <w:rFonts w:ascii="Verdana" w:eastAsia="Calibri" w:hAnsi="Verdana" w:cs="Arial"/>
          <w:b/>
          <w:bCs/>
          <w:color w:val="000000"/>
          <w:sz w:val="20"/>
          <w:szCs w:val="20"/>
          <w:lang w:eastAsia="es-ES_tradnl"/>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104"/>
      </w:tblGrid>
      <w:tr w:rsidR="00866400" w:rsidRPr="008531CD" w14:paraId="6153A412" w14:textId="77777777" w:rsidTr="00836069">
        <w:trPr>
          <w:trHeight w:val="884"/>
        </w:trPr>
        <w:tc>
          <w:tcPr>
            <w:tcW w:w="2685" w:type="dxa"/>
          </w:tcPr>
          <w:p w14:paraId="5B854784" w14:textId="77777777" w:rsidR="00866400" w:rsidRPr="008531CD" w:rsidRDefault="00866400" w:rsidP="00836069">
            <w:pPr>
              <w:jc w:val="both"/>
              <w:rPr>
                <w:rFonts w:ascii="Verdana" w:eastAsia="Calibri" w:hAnsi="Verdana" w:cs="Arial"/>
                <w:color w:val="000000"/>
                <w:sz w:val="20"/>
                <w:szCs w:val="20"/>
                <w:lang w:eastAsia="es-ES_tradnl"/>
              </w:rPr>
            </w:pPr>
            <w:r w:rsidRPr="008531CD">
              <w:rPr>
                <w:rFonts w:ascii="Verdana" w:eastAsia="Calibri" w:hAnsi="Verdana" w:cs="Arial"/>
                <w:b/>
                <w:color w:val="000000"/>
                <w:sz w:val="20"/>
                <w:szCs w:val="20"/>
                <w:lang w:eastAsia="es-ES_tradnl"/>
              </w:rPr>
              <w:t>Temas:</w:t>
            </w:r>
            <w:r w:rsidRPr="008531CD">
              <w:rPr>
                <w:rFonts w:ascii="Verdana" w:eastAsia="Calibri" w:hAnsi="Verdana" w:cs="Arial"/>
                <w:color w:val="000000"/>
                <w:sz w:val="20"/>
                <w:szCs w:val="20"/>
                <w:lang w:eastAsia="es-ES_tradnl"/>
              </w:rPr>
              <w:t xml:space="preserve">                   </w:t>
            </w:r>
          </w:p>
        </w:tc>
        <w:tc>
          <w:tcPr>
            <w:tcW w:w="6104" w:type="dxa"/>
          </w:tcPr>
          <w:p w14:paraId="2315697F" w14:textId="77777777" w:rsidR="00866400" w:rsidRPr="008531CD" w:rsidRDefault="00866400" w:rsidP="00836069">
            <w:pPr>
              <w:spacing w:line="276" w:lineRule="auto"/>
              <w:contextualSpacing/>
              <w:jc w:val="both"/>
              <w:rPr>
                <w:rFonts w:ascii="Verdana" w:eastAsia="Times New Roman" w:hAnsi="Verdana" w:cs="Arial"/>
                <w:sz w:val="20"/>
                <w:szCs w:val="20"/>
                <w:lang w:val="es-ES_tradnl" w:eastAsia="es-MX"/>
              </w:rPr>
            </w:pPr>
            <w:r w:rsidRPr="008531CD">
              <w:rPr>
                <w:rFonts w:ascii="Verdana" w:eastAsia="Calibri" w:hAnsi="Verdana" w:cs="Arial"/>
                <w:color w:val="000000" w:themeColor="text1"/>
                <w:sz w:val="20"/>
                <w:szCs w:val="20"/>
              </w:rPr>
              <w:t xml:space="preserve">CONTRATO DE PRESTACIÓN DE SERVICIOS – Concepto </w:t>
            </w:r>
            <w:r w:rsidRPr="008531CD">
              <w:rPr>
                <w:rFonts w:ascii="Verdana" w:eastAsia="Calibri" w:hAnsi="Verdana" w:cs="Arial"/>
                <w:color w:val="000000" w:themeColor="text1"/>
                <w:sz w:val="20"/>
                <w:szCs w:val="20"/>
                <w:lang w:val="es-ES_tradnl"/>
              </w:rPr>
              <w:t xml:space="preserve">/ </w:t>
            </w:r>
            <w:r w:rsidRPr="008531CD">
              <w:rPr>
                <w:rFonts w:ascii="Verdana" w:eastAsia="Calibri" w:hAnsi="Verdana" w:cs="Arial"/>
                <w:sz w:val="20"/>
                <w:szCs w:val="20"/>
                <w:lang w:val="es-ES_tradnl"/>
              </w:rPr>
              <w:t xml:space="preserve">CONTRATO DE PRESTACIÓN DE SERVICIOS </w:t>
            </w:r>
            <w:r w:rsidRPr="008531CD">
              <w:rPr>
                <w:rFonts w:ascii="Verdana" w:eastAsia="Calibri" w:hAnsi="Verdana" w:cs="Arial"/>
                <w:color w:val="000000" w:themeColor="text1"/>
                <w:sz w:val="20"/>
                <w:szCs w:val="20"/>
                <w:lang w:val="es-ES_tradnl"/>
              </w:rPr>
              <w:t xml:space="preserve">– Género – </w:t>
            </w:r>
            <w:r w:rsidRPr="008531CD">
              <w:rPr>
                <w:rFonts w:ascii="Verdana" w:eastAsia="Calibri" w:hAnsi="Verdana" w:cs="Arial"/>
                <w:sz w:val="20"/>
                <w:szCs w:val="20"/>
                <w:lang w:val="es-ES_tradnl"/>
              </w:rPr>
              <w:t xml:space="preserve">Servicios Profesionales </w:t>
            </w:r>
            <w:r w:rsidRPr="008531CD">
              <w:rPr>
                <w:rFonts w:ascii="Verdana" w:eastAsia="Calibri" w:hAnsi="Verdana" w:cs="Arial"/>
                <w:color w:val="000000" w:themeColor="text1"/>
                <w:sz w:val="20"/>
                <w:szCs w:val="20"/>
                <w:lang w:val="es-ES_tradnl"/>
              </w:rPr>
              <w:t>–</w:t>
            </w:r>
            <w:r w:rsidRPr="008531CD">
              <w:rPr>
                <w:rFonts w:ascii="Verdana" w:eastAsia="Calibri" w:hAnsi="Verdana" w:cs="Arial"/>
                <w:sz w:val="20"/>
                <w:szCs w:val="20"/>
                <w:lang w:val="es-ES_tradnl"/>
              </w:rPr>
              <w:t xml:space="preserve">Apoyo a la gestión </w:t>
            </w:r>
            <w:r w:rsidRPr="008531CD">
              <w:rPr>
                <w:rFonts w:ascii="Verdana" w:eastAsia="Calibri" w:hAnsi="Verdana" w:cs="Arial"/>
                <w:color w:val="000000" w:themeColor="text1"/>
                <w:sz w:val="20"/>
                <w:szCs w:val="20"/>
                <w:lang w:val="es-ES_tradnl"/>
              </w:rPr>
              <w:t xml:space="preserve">– Trabajos artísticos – Especie / </w:t>
            </w:r>
            <w:r w:rsidRPr="008531CD">
              <w:rPr>
                <w:rFonts w:ascii="Verdana" w:eastAsia="Calibri" w:hAnsi="Verdana" w:cs="Arial"/>
                <w:sz w:val="20"/>
                <w:szCs w:val="20"/>
                <w:lang w:val="es-ES_tradnl"/>
              </w:rPr>
              <w:t>CONTRATO DE PRESTACIÓN DE SERVICIOS – Trabajos artísticos –Determinadas personas naturales – No exige artista único</w:t>
            </w:r>
          </w:p>
          <w:p w14:paraId="077CFF1D" w14:textId="77777777" w:rsidR="00866400" w:rsidRPr="008531CD" w:rsidRDefault="00866400" w:rsidP="00836069">
            <w:pPr>
              <w:spacing w:line="276" w:lineRule="auto"/>
              <w:contextualSpacing/>
              <w:jc w:val="both"/>
              <w:rPr>
                <w:rFonts w:ascii="Verdana" w:eastAsia="Calibri" w:hAnsi="Verdana" w:cs="Arial"/>
                <w:sz w:val="20"/>
                <w:szCs w:val="20"/>
                <w:lang w:eastAsia="es-ES"/>
              </w:rPr>
            </w:pPr>
          </w:p>
        </w:tc>
      </w:tr>
      <w:tr w:rsidR="00866400" w:rsidRPr="008531CD" w14:paraId="1F7D410F" w14:textId="77777777" w:rsidTr="00836069">
        <w:tc>
          <w:tcPr>
            <w:tcW w:w="2685" w:type="dxa"/>
          </w:tcPr>
          <w:p w14:paraId="60CA2AA4" w14:textId="77777777" w:rsidR="00866400" w:rsidRPr="008531CD" w:rsidRDefault="00866400" w:rsidP="00836069">
            <w:pPr>
              <w:jc w:val="both"/>
              <w:rPr>
                <w:rFonts w:ascii="Verdana" w:eastAsia="Calibri" w:hAnsi="Verdana" w:cs="Arial"/>
                <w:b/>
                <w:sz w:val="20"/>
                <w:szCs w:val="20"/>
                <w:lang w:eastAsia="es-ES_tradnl"/>
              </w:rPr>
            </w:pPr>
            <w:r w:rsidRPr="008531CD">
              <w:rPr>
                <w:rFonts w:ascii="Verdana" w:eastAsia="Calibri" w:hAnsi="Verdana" w:cs="Arial"/>
                <w:b/>
                <w:sz w:val="20"/>
                <w:szCs w:val="20"/>
                <w:lang w:eastAsia="es-ES_tradnl"/>
              </w:rPr>
              <w:t>Radicación:</w:t>
            </w:r>
            <w:r w:rsidRPr="008531CD">
              <w:rPr>
                <w:rFonts w:ascii="Verdana" w:eastAsia="Calibri" w:hAnsi="Verdana" w:cs="Arial"/>
                <w:sz w:val="20"/>
                <w:szCs w:val="20"/>
                <w:lang w:eastAsia="es-ES_tradnl"/>
              </w:rPr>
              <w:t xml:space="preserve">               </w:t>
            </w:r>
          </w:p>
        </w:tc>
        <w:tc>
          <w:tcPr>
            <w:tcW w:w="6104" w:type="dxa"/>
          </w:tcPr>
          <w:p w14:paraId="46D2C931" w14:textId="77777777" w:rsidR="00866400" w:rsidRPr="008531CD" w:rsidRDefault="00866400" w:rsidP="00836069">
            <w:pPr>
              <w:jc w:val="both"/>
              <w:rPr>
                <w:rFonts w:ascii="Verdana" w:eastAsia="Calibri" w:hAnsi="Verdana" w:cs="Arial"/>
                <w:sz w:val="20"/>
                <w:szCs w:val="20"/>
                <w:lang w:eastAsia="es-ES_tradnl"/>
              </w:rPr>
            </w:pPr>
            <w:r w:rsidRPr="008531CD">
              <w:rPr>
                <w:rFonts w:ascii="Verdana" w:eastAsia="Calibri" w:hAnsi="Verdana" w:cs="Arial"/>
                <w:sz w:val="20"/>
                <w:szCs w:val="20"/>
                <w:lang w:eastAsia="es-ES_tradnl"/>
              </w:rPr>
              <w:t>Respuesta a la consulta con radicado No. 1_2026_05_08_006306</w:t>
            </w:r>
          </w:p>
        </w:tc>
      </w:tr>
    </w:tbl>
    <w:p w14:paraId="23359147" w14:textId="77777777" w:rsidR="00866400" w:rsidRPr="008531CD" w:rsidRDefault="00866400" w:rsidP="00866400">
      <w:pPr>
        <w:spacing w:after="0" w:line="240" w:lineRule="auto"/>
        <w:jc w:val="both"/>
        <w:rPr>
          <w:rFonts w:ascii="Verdana" w:eastAsia="Calibri" w:hAnsi="Verdana" w:cs="Arial"/>
          <w:color w:val="000000"/>
          <w:sz w:val="20"/>
          <w:szCs w:val="20"/>
          <w:lang w:eastAsia="es-ES_tradnl"/>
        </w:rPr>
      </w:pPr>
    </w:p>
    <w:p w14:paraId="59130671" w14:textId="77777777" w:rsidR="00866400" w:rsidRPr="008531CD" w:rsidRDefault="00866400" w:rsidP="00866400">
      <w:pPr>
        <w:spacing w:after="0" w:line="240" w:lineRule="auto"/>
        <w:jc w:val="both"/>
        <w:rPr>
          <w:rFonts w:ascii="Verdana" w:eastAsia="Calibri" w:hAnsi="Verdana" w:cs="Arial"/>
          <w:color w:val="000000"/>
          <w:sz w:val="20"/>
          <w:szCs w:val="20"/>
          <w:lang w:eastAsia="es-ES_tradnl"/>
        </w:rPr>
      </w:pPr>
    </w:p>
    <w:p w14:paraId="49EAF8FD" w14:textId="13DB7C49" w:rsidR="00866400" w:rsidRPr="008531CD" w:rsidRDefault="00866400" w:rsidP="00866400">
      <w:pPr>
        <w:spacing w:after="0" w:line="276" w:lineRule="auto"/>
        <w:jc w:val="both"/>
        <w:rPr>
          <w:rFonts w:ascii="Verdana" w:eastAsia="Calibri" w:hAnsi="Verdana" w:cs="Arial"/>
          <w:sz w:val="20"/>
          <w:szCs w:val="20"/>
          <w:lang w:eastAsia="es-ES"/>
        </w:rPr>
      </w:pPr>
      <w:r w:rsidRPr="008531CD">
        <w:rPr>
          <w:rFonts w:ascii="Verdana" w:eastAsia="Calibri" w:hAnsi="Verdana" w:cs="Arial"/>
          <w:sz w:val="20"/>
          <w:szCs w:val="20"/>
          <w:lang w:eastAsia="es-ES"/>
        </w:rPr>
        <w:t xml:space="preserve">Estimada señora Rodriguez: </w:t>
      </w:r>
    </w:p>
    <w:p w14:paraId="565ED6E1" w14:textId="77777777" w:rsidR="00866400" w:rsidRPr="008531CD" w:rsidRDefault="00866400" w:rsidP="00866400">
      <w:pPr>
        <w:tabs>
          <w:tab w:val="left" w:pos="3768"/>
        </w:tabs>
        <w:spacing w:after="0" w:line="276" w:lineRule="auto"/>
        <w:jc w:val="both"/>
        <w:rPr>
          <w:rFonts w:ascii="Verdana" w:eastAsia="Calibri" w:hAnsi="Verdana" w:cs="Arial"/>
          <w:color w:val="000000" w:themeColor="text1"/>
          <w:sz w:val="20"/>
          <w:szCs w:val="20"/>
          <w:lang w:eastAsia="es-ES"/>
        </w:rPr>
      </w:pPr>
      <w:r w:rsidRPr="008531CD">
        <w:rPr>
          <w:rFonts w:ascii="Verdana" w:eastAsia="Calibri" w:hAnsi="Verdana" w:cs="Arial"/>
          <w:color w:val="000000" w:themeColor="text1"/>
          <w:sz w:val="20"/>
          <w:szCs w:val="20"/>
          <w:lang w:eastAsia="es-ES"/>
        </w:rPr>
        <w:tab/>
      </w:r>
    </w:p>
    <w:p w14:paraId="0F664ED5" w14:textId="77777777" w:rsidR="00866400" w:rsidRPr="008531CD" w:rsidRDefault="00866400" w:rsidP="00866400">
      <w:pPr>
        <w:spacing w:after="0" w:line="276" w:lineRule="auto"/>
        <w:jc w:val="both"/>
        <w:rPr>
          <w:rFonts w:ascii="Verdana" w:eastAsia="Calibri" w:hAnsi="Verdana" w:cs="Arial"/>
          <w:i/>
          <w:iCs/>
          <w:sz w:val="20"/>
          <w:szCs w:val="20"/>
          <w:lang w:eastAsia="es-ES"/>
        </w:rPr>
      </w:pPr>
      <w:r w:rsidRPr="008531CD">
        <w:rPr>
          <w:rFonts w:ascii="Verdana" w:eastAsia="Calibri" w:hAnsi="Verdana" w:cs="Arial"/>
          <w:color w:val="000000" w:themeColor="text1"/>
          <w:sz w:val="20"/>
          <w:szCs w:val="20"/>
          <w:lang w:eastAsia="es-ES"/>
        </w:rPr>
        <w:t>En ejercicio de la competencia otorgada por los artículos 3, numeral 5º, y 11, numeral 8º, del Decreto Ley 4170 de 2011,</w:t>
      </w:r>
      <w:r w:rsidRPr="008531CD">
        <w:rPr>
          <w:rFonts w:ascii="Verdana" w:eastAsia="Arial MT" w:hAnsi="Verdana" w:cs="Arial MT"/>
          <w:sz w:val="20"/>
          <w:szCs w:val="20"/>
          <w:lang w:eastAsia="es-ES"/>
        </w:rPr>
        <w:t xml:space="preserve"> </w:t>
      </w:r>
      <w:r w:rsidRPr="008531CD">
        <w:rPr>
          <w:rFonts w:ascii="Verdana" w:hAnsi="Verdana" w:cs="Arial"/>
          <w:sz w:val="20"/>
          <w:szCs w:val="20"/>
        </w:rPr>
        <w:t xml:space="preserve">así como lo establecido en el artículo 4 de la Resolución 1707 de 2018 expedida por esta Entidad, </w:t>
      </w:r>
      <w:r w:rsidRPr="008531CD">
        <w:rPr>
          <w:rFonts w:ascii="Verdana" w:eastAsia="Calibri" w:hAnsi="Verdana" w:cs="Arial"/>
          <w:color w:val="000000" w:themeColor="text1"/>
          <w:sz w:val="20"/>
          <w:szCs w:val="20"/>
          <w:lang w:eastAsia="es-ES"/>
        </w:rPr>
        <w:t>la Agencia Nacional de Contratación Pública – Colombia Compra Eficiente responde su solicitud de concepto del 8 de mayo de 2026,</w:t>
      </w:r>
      <w:r w:rsidRPr="008531CD">
        <w:rPr>
          <w:rFonts w:ascii="Verdana" w:eastAsia="Calibri" w:hAnsi="Verdana" w:cs="Arial"/>
          <w:sz w:val="20"/>
          <w:szCs w:val="20"/>
          <w:lang w:eastAsia="es-ES"/>
        </w:rPr>
        <w:t xml:space="preserve"> en la cual consulta sobre lo siguiente:</w:t>
      </w:r>
      <w:r w:rsidRPr="008531CD">
        <w:rPr>
          <w:rFonts w:ascii="Verdana" w:eastAsia="Calibri" w:hAnsi="Verdana" w:cs="Arial"/>
          <w:i/>
          <w:iCs/>
          <w:sz w:val="20"/>
          <w:szCs w:val="20"/>
          <w:lang w:eastAsia="es-ES"/>
        </w:rPr>
        <w:t xml:space="preserve"> </w:t>
      </w:r>
      <w:bookmarkStart w:id="1" w:name="_Hlk95313578"/>
    </w:p>
    <w:p w14:paraId="62EAF3BB" w14:textId="77777777" w:rsidR="00866400" w:rsidRPr="008531CD" w:rsidRDefault="00866400" w:rsidP="00866400">
      <w:pPr>
        <w:spacing w:after="0" w:line="276" w:lineRule="auto"/>
        <w:jc w:val="both"/>
        <w:rPr>
          <w:rFonts w:ascii="Verdana" w:eastAsia="Calibri" w:hAnsi="Verdana" w:cs="Arial"/>
          <w:i/>
          <w:iCs/>
          <w:sz w:val="20"/>
          <w:szCs w:val="20"/>
          <w:lang w:eastAsia="es-ES"/>
        </w:rPr>
      </w:pPr>
    </w:p>
    <w:bookmarkEnd w:id="1"/>
    <w:p w14:paraId="6A95292B" w14:textId="77777777" w:rsidR="00866400" w:rsidRPr="008531CD" w:rsidRDefault="00866400" w:rsidP="00866400">
      <w:pPr>
        <w:spacing w:after="0" w:line="240" w:lineRule="auto"/>
        <w:ind w:left="709" w:right="709"/>
        <w:jc w:val="both"/>
        <w:rPr>
          <w:rFonts w:ascii="Verdana" w:eastAsia="Arial" w:hAnsi="Verdana" w:cs="Arial"/>
          <w:iCs/>
          <w:color w:val="000000"/>
          <w:sz w:val="18"/>
          <w:szCs w:val="18"/>
        </w:rPr>
      </w:pPr>
      <w:r w:rsidRPr="008531CD">
        <w:rPr>
          <w:rFonts w:ascii="Verdana" w:eastAsia="Arial" w:hAnsi="Verdana" w:cs="Arial"/>
          <w:iCs/>
          <w:color w:val="000000"/>
          <w:sz w:val="18"/>
          <w:szCs w:val="18"/>
        </w:rPr>
        <w:t>¿Como entidad pública se puede realizar un contrato bajo la modalidad de contratación directa para elaborar esculturas y hacerle mantenimientos posteriores?:</w:t>
      </w:r>
    </w:p>
    <w:p w14:paraId="77594776" w14:textId="77777777" w:rsidR="00866400" w:rsidRPr="008531CD" w:rsidRDefault="00866400" w:rsidP="00866400">
      <w:pPr>
        <w:spacing w:after="0" w:line="276" w:lineRule="auto"/>
        <w:ind w:left="709" w:right="709"/>
        <w:jc w:val="both"/>
        <w:rPr>
          <w:sz w:val="20"/>
          <w:szCs w:val="20"/>
        </w:rPr>
      </w:pPr>
    </w:p>
    <w:p w14:paraId="371768D6" w14:textId="77777777" w:rsidR="00866400" w:rsidRPr="008531CD" w:rsidRDefault="00866400" w:rsidP="00866400">
      <w:pPr>
        <w:spacing w:after="120" w:line="276" w:lineRule="auto"/>
        <w:ind w:firstLine="709"/>
        <w:jc w:val="both"/>
        <w:rPr>
          <w:rFonts w:ascii="Verdana" w:eastAsia="Calibri" w:hAnsi="Verdana" w:cs="Arial"/>
          <w:color w:val="000000"/>
          <w:sz w:val="20"/>
          <w:szCs w:val="20"/>
          <w:lang w:eastAsia="es-ES"/>
        </w:rPr>
      </w:pPr>
      <w:r w:rsidRPr="008531CD">
        <w:rPr>
          <w:rFonts w:ascii="Verdana" w:eastAsia="Calibri" w:hAnsi="Verdana" w:cs="Arial"/>
          <w:color w:val="000000"/>
          <w:sz w:val="20"/>
          <w:szCs w:val="2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w:t>
      </w:r>
      <w:r w:rsidRPr="008531CD">
        <w:rPr>
          <w:rFonts w:ascii="Verdana" w:eastAsia="Calibri" w:hAnsi="Verdana" w:cs="Arial"/>
          <w:color w:val="000000"/>
          <w:sz w:val="20"/>
          <w:szCs w:val="20"/>
          <w:lang w:eastAsia="es-ES"/>
        </w:rPr>
        <w:lastRenderedPageBreak/>
        <w:t xml:space="preserve">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8531CD">
        <w:rPr>
          <w:rFonts w:ascii="Verdana" w:eastAsia="Calibri" w:hAnsi="Verdana" w:cs="Arial"/>
          <w:color w:val="000000"/>
          <w:sz w:val="20"/>
          <w:lang w:eastAsia="es-ES_tradnl"/>
        </w:rPr>
        <w:tab/>
      </w:r>
    </w:p>
    <w:p w14:paraId="181DB409" w14:textId="77777777" w:rsidR="00866400" w:rsidRPr="008531CD" w:rsidRDefault="00866400" w:rsidP="00866400">
      <w:pPr>
        <w:spacing w:after="0" w:line="276" w:lineRule="auto"/>
        <w:ind w:firstLine="709"/>
        <w:jc w:val="both"/>
        <w:rPr>
          <w:rFonts w:ascii="Verdana" w:eastAsia="Calibri" w:hAnsi="Verdana" w:cs="Arial"/>
          <w:color w:val="000000"/>
          <w:sz w:val="20"/>
          <w:szCs w:val="20"/>
          <w:lang w:eastAsia="es-ES"/>
        </w:rPr>
      </w:pPr>
      <w:r w:rsidRPr="008531CD">
        <w:rPr>
          <w:rFonts w:ascii="Verdana" w:eastAsia="Calibri" w:hAnsi="Verdana" w:cs="Arial"/>
          <w:color w:val="000000"/>
          <w:sz w:val="20"/>
          <w:szCs w:val="2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las preguntas de la petición, pero haciendo unas consideraciones sobre las normas generales relacionadas con el</w:t>
      </w:r>
      <w:r w:rsidRPr="008531CD">
        <w:rPr>
          <w:rFonts w:ascii="Verdana" w:eastAsia="Calibri" w:hAnsi="Verdana" w:cs="Arial"/>
          <w:color w:val="7030A0"/>
          <w:sz w:val="20"/>
          <w:szCs w:val="20"/>
          <w:lang w:eastAsia="es-ES"/>
        </w:rPr>
        <w:t xml:space="preserve"> </w:t>
      </w:r>
      <w:r w:rsidRPr="008531CD">
        <w:rPr>
          <w:rFonts w:ascii="Verdana" w:eastAsia="Calibri" w:hAnsi="Verdana" w:cs="Arial"/>
          <w:color w:val="000000"/>
          <w:sz w:val="20"/>
          <w:szCs w:val="20"/>
          <w:lang w:eastAsia="es-ES"/>
        </w:rPr>
        <w:t>problema</w:t>
      </w:r>
      <w:r w:rsidRPr="008531CD">
        <w:rPr>
          <w:rFonts w:ascii="Verdana" w:eastAsia="Calibri" w:hAnsi="Verdana" w:cs="Arial"/>
          <w:color w:val="7030A0"/>
          <w:sz w:val="20"/>
          <w:szCs w:val="20"/>
          <w:lang w:eastAsia="es-ES"/>
        </w:rPr>
        <w:t xml:space="preserve"> </w:t>
      </w:r>
      <w:r w:rsidRPr="008531CD">
        <w:rPr>
          <w:rFonts w:ascii="Verdana" w:eastAsia="Calibri" w:hAnsi="Verdana" w:cs="Arial"/>
          <w:color w:val="000000"/>
          <w:sz w:val="20"/>
          <w:szCs w:val="20"/>
          <w:lang w:eastAsia="es-ES"/>
        </w:rPr>
        <w:t>jurídico</w:t>
      </w:r>
      <w:r w:rsidRPr="008531CD">
        <w:rPr>
          <w:rFonts w:ascii="Verdana" w:eastAsia="Calibri" w:hAnsi="Verdana" w:cs="Arial"/>
          <w:color w:val="7030A0"/>
          <w:sz w:val="20"/>
          <w:szCs w:val="20"/>
          <w:lang w:eastAsia="es-ES"/>
        </w:rPr>
        <w:t xml:space="preserve"> </w:t>
      </w:r>
      <w:r w:rsidRPr="008531CD">
        <w:rPr>
          <w:rFonts w:ascii="Verdana" w:eastAsia="Calibri" w:hAnsi="Verdana" w:cs="Arial"/>
          <w:color w:val="000000"/>
          <w:sz w:val="20"/>
          <w:szCs w:val="20"/>
          <w:lang w:eastAsia="es-ES"/>
        </w:rPr>
        <w:t xml:space="preserve">de su consulta. </w:t>
      </w:r>
    </w:p>
    <w:p w14:paraId="46906C06" w14:textId="77777777" w:rsidR="00866400" w:rsidRPr="008531CD" w:rsidRDefault="00866400" w:rsidP="00866400">
      <w:pPr>
        <w:spacing w:after="0" w:line="276" w:lineRule="auto"/>
        <w:ind w:firstLine="709"/>
        <w:jc w:val="both"/>
        <w:rPr>
          <w:rFonts w:ascii="Verdana" w:eastAsia="Calibri" w:hAnsi="Verdana" w:cs="Arial"/>
          <w:color w:val="000000"/>
          <w:sz w:val="20"/>
          <w:szCs w:val="20"/>
          <w:lang w:eastAsia="es-ES"/>
        </w:rPr>
      </w:pPr>
    </w:p>
    <w:p w14:paraId="2D8D0935" w14:textId="77777777" w:rsidR="00866400" w:rsidRPr="008531CD" w:rsidRDefault="00866400" w:rsidP="00866400">
      <w:pPr>
        <w:numPr>
          <w:ilvl w:val="0"/>
          <w:numId w:val="2"/>
        </w:numPr>
        <w:tabs>
          <w:tab w:val="left" w:pos="142"/>
          <w:tab w:val="left" w:pos="284"/>
        </w:tabs>
        <w:spacing w:after="0" w:line="276" w:lineRule="auto"/>
        <w:jc w:val="both"/>
        <w:rPr>
          <w:rFonts w:ascii="Verdana" w:eastAsia="Century Gothic" w:hAnsi="Verdana" w:cs="Century Gothic"/>
          <w:b/>
          <w:bCs/>
          <w:sz w:val="20"/>
          <w:szCs w:val="20"/>
        </w:rPr>
      </w:pPr>
      <w:r w:rsidRPr="008531CD">
        <w:rPr>
          <w:rFonts w:ascii="Verdana" w:eastAsia="Century Gothic" w:hAnsi="Verdana" w:cs="Century Gothic"/>
          <w:b/>
          <w:bCs/>
          <w:sz w:val="20"/>
          <w:szCs w:val="20"/>
        </w:rPr>
        <w:t>Problema planteado:</w:t>
      </w:r>
    </w:p>
    <w:p w14:paraId="16A706BB" w14:textId="77777777" w:rsidR="00866400" w:rsidRPr="008531CD" w:rsidRDefault="00866400" w:rsidP="00866400">
      <w:pPr>
        <w:tabs>
          <w:tab w:val="left" w:pos="426"/>
        </w:tabs>
        <w:spacing w:after="0" w:line="276" w:lineRule="auto"/>
        <w:jc w:val="both"/>
        <w:rPr>
          <w:rFonts w:ascii="Verdana" w:eastAsia="Century Gothic" w:hAnsi="Verdana" w:cs="Century Gothic"/>
          <w:sz w:val="20"/>
          <w:szCs w:val="20"/>
        </w:rPr>
      </w:pPr>
    </w:p>
    <w:p w14:paraId="20B9EA8F" w14:textId="77777777" w:rsidR="00866400" w:rsidRPr="008531CD" w:rsidRDefault="00866400" w:rsidP="00866400">
      <w:pPr>
        <w:spacing w:after="0" w:line="276" w:lineRule="auto"/>
        <w:jc w:val="both"/>
        <w:rPr>
          <w:rFonts w:ascii="Verdana" w:eastAsia="Century Gothic" w:hAnsi="Verdana" w:cs="Century Gothic"/>
          <w:sz w:val="20"/>
          <w:szCs w:val="20"/>
        </w:rPr>
      </w:pPr>
      <w:r w:rsidRPr="008531CD">
        <w:rPr>
          <w:rFonts w:ascii="Verdana" w:eastAsia="Century Gothic" w:hAnsi="Verdana" w:cs="Century Gothic"/>
          <w:sz w:val="20"/>
          <w:szCs w:val="20"/>
        </w:rPr>
        <w:t xml:space="preserve">De acuerdo con el contenido de su solicitud, esta Agencia resolverá el siguiente problema jurídico: ¿Es posible la celebración de un contrato de prestación de servicios artísticos bajo la modalidad de contratación directa establecida en </w:t>
      </w:r>
      <w:r w:rsidRPr="008531CD">
        <w:rPr>
          <w:rFonts w:ascii="Verdana" w:eastAsia="Calibri" w:hAnsi="Verdana" w:cs="Arial"/>
          <w:color w:val="000000"/>
          <w:sz w:val="20"/>
          <w:szCs w:val="20"/>
        </w:rPr>
        <w:t>el artículo 2, numeral 4º, literal h) de la Ley 1150 de 2007 para realizar la elaboración y mantenimiento de esculturas</w:t>
      </w:r>
      <w:r w:rsidRPr="008531CD">
        <w:rPr>
          <w:rFonts w:ascii="Verdana" w:eastAsia="Century Gothic" w:hAnsi="Verdana" w:cs="Century Gothic"/>
          <w:sz w:val="20"/>
          <w:szCs w:val="20"/>
        </w:rPr>
        <w:t>?</w:t>
      </w:r>
    </w:p>
    <w:p w14:paraId="17683363" w14:textId="77777777" w:rsidR="00866400" w:rsidRPr="008531CD" w:rsidRDefault="00866400" w:rsidP="00866400">
      <w:pPr>
        <w:spacing w:after="0" w:line="276" w:lineRule="auto"/>
        <w:jc w:val="both"/>
        <w:rPr>
          <w:rFonts w:ascii="Verdana" w:eastAsia="Calibri" w:hAnsi="Verdana" w:cs="Arial"/>
          <w:color w:val="7030A0"/>
          <w:sz w:val="20"/>
          <w:szCs w:val="20"/>
        </w:rPr>
      </w:pPr>
    </w:p>
    <w:p w14:paraId="138822BA" w14:textId="77777777" w:rsidR="00866400" w:rsidRPr="008531CD" w:rsidRDefault="00866400" w:rsidP="00866400">
      <w:pPr>
        <w:numPr>
          <w:ilvl w:val="0"/>
          <w:numId w:val="2"/>
        </w:numPr>
        <w:tabs>
          <w:tab w:val="left" w:pos="142"/>
          <w:tab w:val="left" w:pos="284"/>
        </w:tabs>
        <w:spacing w:after="0" w:line="276" w:lineRule="auto"/>
        <w:jc w:val="both"/>
        <w:rPr>
          <w:rFonts w:ascii="Verdana" w:eastAsia="Century Gothic" w:hAnsi="Verdana" w:cs="Century Gothic"/>
          <w:b/>
          <w:bCs/>
          <w:sz w:val="20"/>
          <w:szCs w:val="20"/>
        </w:rPr>
      </w:pPr>
      <w:r w:rsidRPr="008531CD">
        <w:rPr>
          <w:rFonts w:ascii="Verdana" w:eastAsia="Century Gothic" w:hAnsi="Verdana" w:cs="Century Gothic"/>
          <w:b/>
          <w:bCs/>
          <w:sz w:val="20"/>
          <w:szCs w:val="20"/>
        </w:rPr>
        <w:t>Respuesta:</w:t>
      </w:r>
    </w:p>
    <w:p w14:paraId="68A8F12A" w14:textId="77777777" w:rsidR="00866400" w:rsidRPr="008531CD" w:rsidRDefault="00866400" w:rsidP="00866400">
      <w:pPr>
        <w:tabs>
          <w:tab w:val="left" w:pos="142"/>
          <w:tab w:val="left" w:pos="284"/>
        </w:tabs>
        <w:spacing w:after="0" w:line="276" w:lineRule="auto"/>
        <w:jc w:val="both"/>
        <w:rPr>
          <w:rFonts w:ascii="Verdana" w:eastAsia="Century Gothic" w:hAnsi="Verdana" w:cs="Century Gothic"/>
          <w:b/>
          <w:bCs/>
          <w:sz w:val="20"/>
          <w:szCs w:val="20"/>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66400" w:rsidRPr="008531CD" w14:paraId="07F4AFF8" w14:textId="77777777" w:rsidTr="00836069">
        <w:trPr>
          <w:trHeight w:val="595"/>
          <w:jc w:val="center"/>
        </w:trPr>
        <w:tc>
          <w:tcPr>
            <w:tcW w:w="8828" w:type="dxa"/>
          </w:tcPr>
          <w:p w14:paraId="3438CFEB" w14:textId="77777777" w:rsidR="00866400" w:rsidRPr="008531CD" w:rsidRDefault="00866400" w:rsidP="00836069">
            <w:pPr>
              <w:widowControl w:val="0"/>
              <w:autoSpaceDE w:val="0"/>
              <w:autoSpaceDN w:val="0"/>
              <w:spacing w:after="120" w:line="276" w:lineRule="auto"/>
              <w:jc w:val="both"/>
              <w:rPr>
                <w:rFonts w:ascii="Verdana" w:eastAsia="Century Gothic" w:hAnsi="Verdana" w:cs="Century Gothic"/>
                <w:sz w:val="20"/>
                <w:szCs w:val="20"/>
              </w:rPr>
            </w:pPr>
            <w:bookmarkStart w:id="2" w:name="_Hlk171694685"/>
            <w:r w:rsidRPr="008531CD">
              <w:rPr>
                <w:rFonts w:ascii="Verdana" w:eastAsia="Century Gothic" w:hAnsi="Verdana" w:cs="Century Gothic"/>
                <w:sz w:val="20"/>
                <w:szCs w:val="20"/>
              </w:rPr>
              <w:t xml:space="preserve">Sí. Teniendo en cuenta que las entidades sometidas al Estatuto General de Contratación de la Administración Pública pueden celebrar directamente contratos de prestación de servicios en los términos del literal h) del artículo 2.4 de la Ley 1150 de 2007 y el artículo 2.2.1.2.1.4.9 del Decreto 1082 de 2015. Ahora bien, de acuerdo con las normas vigentes y la jurisprudencia del Consejo de Estado, el contrato de prestación de servicios tipificado en el artículo 32.3 de Ley 80 de 1993 es el género del cual se derivan, como especies, los contratos de prestación de servicios profesionales, los contratos de prestación de servicios de apoyo a la gestión y los contratos de prestación de servicios artísticos que sólo pueden encomendarse a determinadas personas naturales. </w:t>
            </w:r>
          </w:p>
          <w:p w14:paraId="028D4749" w14:textId="77777777" w:rsidR="00866400" w:rsidRPr="008531CD" w:rsidRDefault="00866400" w:rsidP="00836069">
            <w:pPr>
              <w:spacing w:after="120" w:line="276" w:lineRule="auto"/>
              <w:ind w:firstLine="709"/>
              <w:jc w:val="both"/>
              <w:rPr>
                <w:rFonts w:ascii="Verdana" w:eastAsia="Century Gothic" w:hAnsi="Verdana" w:cs="Century Gothic"/>
                <w:sz w:val="20"/>
                <w:szCs w:val="20"/>
              </w:rPr>
            </w:pPr>
            <w:r w:rsidRPr="008531CD">
              <w:rPr>
                <w:rFonts w:ascii="Verdana" w:eastAsia="Century Gothic" w:hAnsi="Verdana" w:cs="Century Gothic"/>
                <w:sz w:val="20"/>
                <w:szCs w:val="20"/>
              </w:rPr>
              <w:t xml:space="preserve">Esta última categoría tiene por objeto la ejecución de trabajos artísticos, que corresponden a creaciones humanas que expresan una especial visión del mundo, tanto real como imaginaria, por lo que sólo pueden celebrarse con personas naturales. En efecto, si bien el literal d) del artículo 24.1 de la Ley 80 de 1993 habilitaba en su versión primigenia la contratación directa “[…] para la ejecución de trabajos artísticos que sólo puedan encomendarse a determinadas personas naturales o jurídicas […]”, también es cierto que esta norma fue derogada expresamente por el artículo 32 de la Ley 1150 de 2007. </w:t>
            </w:r>
          </w:p>
          <w:p w14:paraId="00F477FE" w14:textId="77777777" w:rsidR="00866400" w:rsidRPr="008531CD" w:rsidRDefault="00866400" w:rsidP="00836069">
            <w:pPr>
              <w:widowControl w:val="0"/>
              <w:autoSpaceDE w:val="0"/>
              <w:autoSpaceDN w:val="0"/>
              <w:spacing w:after="120" w:line="276" w:lineRule="auto"/>
              <w:ind w:firstLine="709"/>
              <w:jc w:val="both"/>
              <w:rPr>
                <w:rFonts w:ascii="Verdana" w:eastAsia="Century Gothic" w:hAnsi="Verdana" w:cs="Century Gothic"/>
                <w:sz w:val="20"/>
                <w:szCs w:val="20"/>
              </w:rPr>
            </w:pPr>
            <w:r w:rsidRPr="008531CD">
              <w:rPr>
                <w:rFonts w:ascii="Verdana" w:eastAsia="Century Gothic" w:hAnsi="Verdana" w:cs="Century Gothic"/>
                <w:sz w:val="20"/>
                <w:szCs w:val="20"/>
              </w:rPr>
              <w:lastRenderedPageBreak/>
              <w:t>Dado que el literal d) del artículo 24.1 de la Ley 80 de 1993 perdió vigencia, las causales de contratación directa son las del artículo 2.4 de la Ley 1150 de 2007. El literal h) de esta última norma, a diferencia de la disposición derogada, solo permite la contratación directa para la “[…] ejecución de trabajos artísticos que sólo puedan encomendarse a determinadas personas naturales”, excluyendo la posibilidad de celebrarlos con personas jurídicas. Esta orientación fue reproducida en el inciso final del artículo 2.2.1.2.1.4.9 del Decreto 1082 de 2015, el cual dispone expresamente que “La Entidad Estatal, para la contratación de trabajos artísticos que solamente puedan encomendarse a determinadas personas naturales, debe justificar esta situación en los estudios y documentos previos”. </w:t>
            </w:r>
          </w:p>
          <w:p w14:paraId="3DABEECB" w14:textId="77777777" w:rsidR="00866400" w:rsidRPr="008531CD" w:rsidRDefault="00866400" w:rsidP="00836069">
            <w:pPr>
              <w:spacing w:line="276" w:lineRule="auto"/>
              <w:ind w:firstLine="708"/>
              <w:jc w:val="both"/>
              <w:rPr>
                <w:rFonts w:ascii="Verdana" w:eastAsia="Century Gothic" w:hAnsi="Verdana" w:cs="Century Gothic"/>
                <w:sz w:val="20"/>
                <w:szCs w:val="20"/>
              </w:rPr>
            </w:pPr>
            <w:r w:rsidRPr="008531CD">
              <w:rPr>
                <w:rFonts w:ascii="Verdana" w:eastAsia="Century Gothic" w:hAnsi="Verdana" w:cs="Century Gothic"/>
                <w:sz w:val="20"/>
                <w:szCs w:val="20"/>
              </w:rPr>
              <w:t>Respecto al alcance de la expresión “[…] que solamente puedan encomendarse a determinadas personas naturales” contenida en el literal h) del artículo 2.4 de la Ley 1150 de 2007, es posible afirmar que la misma está relacionada con el conjunto de capacidades, habilidades y aptitudes artísticas que reúnen ciertas personas naturales en el campo de las artes, verbigracia, los pintores, escultores, actores, músicos, cantantes, etc., sin que la norma exija que sean los únicos en dicho campo. En tal sentido, la contratación directa puede ser viable cuando aun habiendo varios sujetos en el campo artístico identificado por la entidad estatal, la escogencia del artista se hace atendiendo a esas habilidades artísticas especiales que caracterizan a determinadas personas naturales, y que, en el marco del principio de la selección objetiva, se requieren para la satisfacción de la necesidad de la entidad estatal. En todo caso, se manifiesta que cada entidad estatal en el marco de su autonomía es la competente para establecer los criterios de escogencia del artista que requiere para la satisfacción de la necesidad identificada, justificando dicho acto en los estudios y documentos previos.</w:t>
            </w:r>
          </w:p>
        </w:tc>
      </w:tr>
    </w:tbl>
    <w:p w14:paraId="510F75BD" w14:textId="77777777" w:rsidR="00866400" w:rsidRPr="008531CD" w:rsidRDefault="00866400" w:rsidP="00866400">
      <w:pPr>
        <w:tabs>
          <w:tab w:val="left" w:pos="142"/>
          <w:tab w:val="left" w:pos="284"/>
        </w:tabs>
        <w:spacing w:after="0" w:line="276" w:lineRule="auto"/>
        <w:jc w:val="both"/>
        <w:rPr>
          <w:rFonts w:ascii="Verdana" w:eastAsia="Century Gothic" w:hAnsi="Verdana" w:cs="Century Gothic"/>
          <w:b/>
          <w:bCs/>
          <w:sz w:val="20"/>
          <w:szCs w:val="20"/>
        </w:rPr>
      </w:pPr>
    </w:p>
    <w:bookmarkEnd w:id="2"/>
    <w:p w14:paraId="5924B9C9" w14:textId="77777777" w:rsidR="00866400" w:rsidRPr="008531CD" w:rsidRDefault="00866400" w:rsidP="00866400">
      <w:pPr>
        <w:numPr>
          <w:ilvl w:val="0"/>
          <w:numId w:val="2"/>
        </w:numPr>
        <w:tabs>
          <w:tab w:val="left" w:pos="142"/>
          <w:tab w:val="left" w:pos="284"/>
        </w:tabs>
        <w:spacing w:after="0" w:line="276" w:lineRule="auto"/>
        <w:jc w:val="both"/>
        <w:rPr>
          <w:rFonts w:ascii="Verdana" w:eastAsia="Century Gothic" w:hAnsi="Verdana" w:cs="Century Gothic"/>
          <w:b/>
          <w:bCs/>
          <w:sz w:val="20"/>
          <w:szCs w:val="20"/>
        </w:rPr>
      </w:pPr>
      <w:r w:rsidRPr="008531CD">
        <w:rPr>
          <w:rFonts w:ascii="Verdana" w:eastAsia="Century Gothic" w:hAnsi="Verdana" w:cs="Century Gothic"/>
          <w:b/>
          <w:bCs/>
          <w:sz w:val="20"/>
          <w:szCs w:val="20"/>
        </w:rPr>
        <w:t>Razones de las respuestas:</w:t>
      </w:r>
    </w:p>
    <w:p w14:paraId="70F843F6" w14:textId="77777777" w:rsidR="00866400" w:rsidRPr="008531CD" w:rsidRDefault="00866400" w:rsidP="00866400">
      <w:pPr>
        <w:spacing w:after="0" w:line="276" w:lineRule="auto"/>
        <w:jc w:val="both"/>
        <w:rPr>
          <w:rFonts w:ascii="Verdana" w:eastAsia="Calibri" w:hAnsi="Verdana" w:cs="Arial"/>
          <w:color w:val="7030A0"/>
          <w:sz w:val="20"/>
          <w:szCs w:val="20"/>
        </w:rPr>
      </w:pPr>
    </w:p>
    <w:p w14:paraId="7F541C70" w14:textId="77777777" w:rsidR="00866400" w:rsidRPr="008531CD" w:rsidRDefault="00866400" w:rsidP="00866400">
      <w:pPr>
        <w:spacing w:after="0" w:line="276" w:lineRule="auto"/>
        <w:jc w:val="both"/>
        <w:rPr>
          <w:rFonts w:ascii="Verdana" w:eastAsia="Calibri" w:hAnsi="Verdana" w:cs="Arial"/>
          <w:sz w:val="20"/>
          <w:szCs w:val="20"/>
        </w:rPr>
      </w:pPr>
      <w:r w:rsidRPr="008531CD">
        <w:rPr>
          <w:rFonts w:ascii="Verdana" w:eastAsia="Calibri" w:hAnsi="Verdana" w:cs="Arial"/>
          <w:sz w:val="20"/>
          <w:szCs w:val="20"/>
        </w:rPr>
        <w:t>Lo anterior se sustenta en las siguientes consideraciones:</w:t>
      </w:r>
    </w:p>
    <w:p w14:paraId="58D4006D" w14:textId="77777777" w:rsidR="00866400" w:rsidRPr="008531CD" w:rsidRDefault="00866400" w:rsidP="00866400">
      <w:pPr>
        <w:spacing w:after="0" w:line="276" w:lineRule="auto"/>
        <w:jc w:val="both"/>
        <w:rPr>
          <w:rFonts w:ascii="Verdana" w:eastAsia="Calibri" w:hAnsi="Verdana" w:cs="Arial"/>
          <w:sz w:val="20"/>
          <w:szCs w:val="20"/>
        </w:rPr>
      </w:pPr>
    </w:p>
    <w:p w14:paraId="58214CA8" w14:textId="77777777" w:rsidR="00866400" w:rsidRPr="008531CD" w:rsidRDefault="00866400" w:rsidP="00866400">
      <w:pPr>
        <w:spacing w:after="0" w:line="276" w:lineRule="auto"/>
        <w:jc w:val="both"/>
        <w:rPr>
          <w:rFonts w:ascii="Verdana" w:eastAsia="Calibri" w:hAnsi="Verdana" w:cs="Arial"/>
          <w:color w:val="000000"/>
          <w:sz w:val="20"/>
          <w:szCs w:val="20"/>
        </w:rPr>
      </w:pPr>
      <w:r w:rsidRPr="008531CD">
        <w:rPr>
          <w:rFonts w:ascii="Verdana" w:eastAsia="Calibri" w:hAnsi="Verdana" w:cs="Arial"/>
          <w:color w:val="000000"/>
          <w:sz w:val="20"/>
          <w:szCs w:val="20"/>
        </w:rPr>
        <w:t>El contrato de prestación de servicios es uno de los tipos contractuales consagrados en el Estatuto General de Contratación de la Administración Pública, que pueden celebrar las entidades estatales. Se trata de un contrato típico, ya que se encuentra definido en la ley. Concretamente, el artículo 32, numeral 3º, de la Ley 80 de 1993, el cual establece:</w:t>
      </w:r>
    </w:p>
    <w:p w14:paraId="1086BAED" w14:textId="77777777" w:rsidR="00866400" w:rsidRPr="008531CD" w:rsidRDefault="00866400" w:rsidP="00866400">
      <w:pPr>
        <w:spacing w:after="0" w:line="276" w:lineRule="auto"/>
        <w:jc w:val="both"/>
        <w:rPr>
          <w:rFonts w:ascii="Verdana" w:eastAsia="Calibri" w:hAnsi="Verdana" w:cs="Arial"/>
          <w:color w:val="000000"/>
          <w:sz w:val="20"/>
          <w:szCs w:val="20"/>
        </w:rPr>
      </w:pPr>
    </w:p>
    <w:p w14:paraId="1BBDCD2C"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r w:rsidRPr="008531CD">
        <w:rPr>
          <w:rFonts w:ascii="Verdana" w:eastAsia="Calibri" w:hAnsi="Verdana" w:cs="Arial"/>
          <w:color w:val="000000"/>
          <w:sz w:val="18"/>
          <w:szCs w:val="18"/>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5B74D7DD"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p>
    <w:p w14:paraId="2C8A330C"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r w:rsidRPr="008531CD">
        <w:rPr>
          <w:rFonts w:ascii="Verdana" w:eastAsia="Calibri" w:hAnsi="Verdana" w:cs="Arial"/>
          <w:color w:val="000000"/>
          <w:sz w:val="18"/>
          <w:szCs w:val="18"/>
        </w:rPr>
        <w:lastRenderedPageBreak/>
        <w:t>En ningún caso estos contratos generan relación laboral ni prestaciones sociales y se celebrarán por el término estrictamente indispensable.”</w:t>
      </w:r>
    </w:p>
    <w:p w14:paraId="4CD50D34" w14:textId="77777777" w:rsidR="00866400" w:rsidRPr="008531CD" w:rsidRDefault="00866400" w:rsidP="00866400">
      <w:pPr>
        <w:tabs>
          <w:tab w:val="left" w:pos="284"/>
        </w:tabs>
        <w:spacing w:after="0" w:line="276" w:lineRule="auto"/>
        <w:contextualSpacing/>
        <w:jc w:val="both"/>
        <w:rPr>
          <w:rFonts w:ascii="Verdana" w:eastAsia="Calibri" w:hAnsi="Verdana" w:cs="Arial"/>
          <w:b/>
          <w:color w:val="000000"/>
          <w:sz w:val="20"/>
          <w:szCs w:val="20"/>
        </w:rPr>
      </w:pPr>
    </w:p>
    <w:p w14:paraId="2468666C"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De otro lado, la celebración de dicho contrato debe efectuarse mediante la modalidad de la contratación directa. Así lo prevé el artículo 2, numeral 4º, literal h) de la Ley 1150 de 2007, que dispone:</w:t>
      </w:r>
    </w:p>
    <w:p w14:paraId="542E119A"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p>
    <w:p w14:paraId="06662F05"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r w:rsidRPr="008531CD">
        <w:rPr>
          <w:rFonts w:ascii="Verdana" w:eastAsia="Calibri" w:hAnsi="Verdana" w:cs="Arial"/>
          <w:color w:val="000000"/>
          <w:sz w:val="18"/>
          <w:szCs w:val="18"/>
        </w:rPr>
        <w:t>“[…]</w:t>
      </w:r>
    </w:p>
    <w:p w14:paraId="19267FC7"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r w:rsidRPr="008531CD">
        <w:rPr>
          <w:rFonts w:ascii="Verdana" w:eastAsia="Calibri" w:hAnsi="Verdana" w:cs="Arial"/>
          <w:color w:val="000000"/>
          <w:sz w:val="18"/>
          <w:szCs w:val="18"/>
        </w:rPr>
        <w:t xml:space="preserve">Contratación directa. La modalidad de selección de contratación </w:t>
      </w:r>
      <w:proofErr w:type="gramStart"/>
      <w:r w:rsidRPr="008531CD">
        <w:rPr>
          <w:rFonts w:ascii="Verdana" w:eastAsia="Calibri" w:hAnsi="Verdana" w:cs="Arial"/>
          <w:color w:val="000000"/>
          <w:sz w:val="18"/>
          <w:szCs w:val="18"/>
        </w:rPr>
        <w:t>directa,</w:t>
      </w:r>
      <w:proofErr w:type="gramEnd"/>
      <w:r w:rsidRPr="008531CD">
        <w:rPr>
          <w:rFonts w:ascii="Verdana" w:eastAsia="Calibri" w:hAnsi="Verdana" w:cs="Arial"/>
          <w:color w:val="000000"/>
          <w:sz w:val="18"/>
          <w:szCs w:val="18"/>
        </w:rPr>
        <w:t xml:space="preserve"> solamente procederá en los siguientes casos:</w:t>
      </w:r>
    </w:p>
    <w:p w14:paraId="7500A82B"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p>
    <w:p w14:paraId="35406046"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r w:rsidRPr="008531CD">
        <w:rPr>
          <w:rFonts w:ascii="Verdana" w:eastAsia="Calibri" w:hAnsi="Verdana" w:cs="Arial"/>
          <w:color w:val="000000"/>
          <w:sz w:val="18"/>
          <w:szCs w:val="18"/>
        </w:rPr>
        <w:t>[…]</w:t>
      </w:r>
    </w:p>
    <w:p w14:paraId="01BA3194"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r w:rsidRPr="008531CD">
        <w:rPr>
          <w:rFonts w:ascii="Verdana" w:eastAsia="Calibri" w:hAnsi="Verdana" w:cs="Arial"/>
          <w:color w:val="000000"/>
          <w:sz w:val="18"/>
          <w:szCs w:val="18"/>
        </w:rPr>
        <w:t>h) Para la prestación de servicios profesionales y de apoyo a la gestión, o para la ejecución de trabajos artísticos que sólo puedan encomendarse a determinadas personas naturales;”</w:t>
      </w:r>
    </w:p>
    <w:p w14:paraId="5F0CAD91" w14:textId="77777777" w:rsidR="00866400" w:rsidRPr="008531CD" w:rsidRDefault="00866400" w:rsidP="00866400">
      <w:pPr>
        <w:spacing w:after="0" w:line="240" w:lineRule="auto"/>
        <w:ind w:right="709"/>
        <w:jc w:val="both"/>
        <w:rPr>
          <w:rFonts w:ascii="Verdana" w:eastAsia="Calibri" w:hAnsi="Verdana" w:cs="Arial"/>
          <w:color w:val="000000"/>
          <w:sz w:val="18"/>
          <w:szCs w:val="18"/>
        </w:rPr>
      </w:pPr>
    </w:p>
    <w:p w14:paraId="046B735E"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w:t>
      </w:r>
    </w:p>
    <w:p w14:paraId="29357F8B" w14:textId="77777777" w:rsidR="00866400" w:rsidRPr="008531CD" w:rsidRDefault="00866400" w:rsidP="00866400">
      <w:pPr>
        <w:spacing w:before="120" w:after="12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a) Solo puede celebrarse para realizar “actividades relacionadas con la administración o funcionamiento de la entidad”, es decir, que hagan parte de su giro ordinario o quehacer cotidiano.</w:t>
      </w:r>
    </w:p>
    <w:p w14:paraId="046AB949" w14:textId="77777777" w:rsidR="00866400" w:rsidRPr="008531CD" w:rsidRDefault="00866400" w:rsidP="00866400">
      <w:pPr>
        <w:spacing w:before="120" w:after="12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b)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Esto puede suceder en varios eventos, como, por ejemplo, que, efectivamente, no exista el personal de planta para encargarse de dichas labores; que exista, pero que está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0D52EB6E" w14:textId="77777777" w:rsidR="00866400" w:rsidRPr="008531CD" w:rsidRDefault="00866400" w:rsidP="00866400">
      <w:pPr>
        <w:spacing w:before="120" w:after="12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c) Si bien se celebran para obtener la prestación personal de un servicio, se diferencian del contrato de trabajo</w:t>
      </w:r>
      <w:r w:rsidRPr="008531CD">
        <w:rPr>
          <w:rFonts w:ascii="Verdana" w:eastAsia="Calibri" w:hAnsi="Verdana" w:cs="Arial"/>
          <w:color w:val="000000"/>
          <w:sz w:val="20"/>
          <w:szCs w:val="20"/>
          <w:vertAlign w:val="superscript"/>
        </w:rPr>
        <w:footnoteReference w:id="1"/>
      </w:r>
      <w:r w:rsidRPr="008531CD">
        <w:rPr>
          <w:rFonts w:ascii="Verdana" w:eastAsia="Calibri" w:hAnsi="Verdana" w:cs="Arial"/>
          <w:color w:val="000000"/>
          <w:sz w:val="20"/>
          <w:szCs w:val="20"/>
        </w:rPr>
        <w:t xml:space="preserve"> en que quien celebra el contrato de prestación de servicios profesionales debe mantener autonomía e independencia en la ejecución de la labor, lo que significa que no puede existir la </w:t>
      </w:r>
      <w:r w:rsidRPr="008531CD">
        <w:rPr>
          <w:rFonts w:ascii="Verdana" w:eastAsia="Calibri" w:hAnsi="Verdana" w:cs="Arial"/>
          <w:i/>
          <w:color w:val="000000"/>
          <w:sz w:val="20"/>
          <w:szCs w:val="20"/>
        </w:rPr>
        <w:t>subordinación y dependencia</w:t>
      </w:r>
      <w:r w:rsidRPr="008531CD">
        <w:rPr>
          <w:rFonts w:ascii="Verdana" w:eastAsia="Calibri" w:hAnsi="Verdana" w:cs="Arial"/>
          <w:iCs/>
          <w:color w:val="000000"/>
          <w:sz w:val="20"/>
          <w:szCs w:val="20"/>
        </w:rPr>
        <w:t>,</w:t>
      </w:r>
      <w:r w:rsidRPr="008531CD">
        <w:rPr>
          <w:rFonts w:ascii="Verdana" w:eastAsia="Calibri" w:hAnsi="Verdana" w:cs="Arial"/>
          <w:color w:val="000000"/>
          <w:sz w:val="20"/>
          <w:szCs w:val="20"/>
        </w:rPr>
        <w:t xml:space="preserve"> que es uno </w:t>
      </w:r>
      <w:r w:rsidRPr="008531CD">
        <w:rPr>
          <w:rFonts w:ascii="Verdana" w:eastAsia="Calibri" w:hAnsi="Verdana" w:cs="Arial"/>
          <w:color w:val="000000"/>
          <w:sz w:val="20"/>
          <w:szCs w:val="20"/>
        </w:rPr>
        <w:lastRenderedPageBreak/>
        <w:t xml:space="preserve">de los elementos constitutivos del vínculo laboral. Por ello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w:t>
      </w:r>
      <w:r w:rsidRPr="008531CD">
        <w:rPr>
          <w:rFonts w:ascii="Verdana" w:eastAsia="Calibri" w:hAnsi="Verdana" w:cs="Arial"/>
          <w:i/>
          <w:color w:val="000000"/>
          <w:sz w:val="20"/>
          <w:szCs w:val="20"/>
        </w:rPr>
        <w:t>no pueden</w:t>
      </w:r>
      <w:r w:rsidRPr="008531CD">
        <w:rPr>
          <w:rFonts w:ascii="Verdana" w:eastAsia="Calibri" w:hAnsi="Verdana" w:cs="Arial"/>
          <w:color w:val="000000"/>
          <w:sz w:val="20"/>
          <w:szCs w:val="20"/>
        </w:rPr>
        <w:t xml:space="preserve"> generar relación laboral, ni dar lugar a que las entidades estatales paguen por su cuenta los aportes al Sistema de Seguridad Social Integral del contratista. Ello por cuanto, según se indicó, en dichos contratos no puede existir subordinación y dependencia; entonces, la relación laboral está proscrita y es el contratista quien, como “trabajador independiente” –como lo califican las normas en materia de seguridad social– debe cotizar por su cuenta y riesgo al Sistema de Seguridad Social Integral</w:t>
      </w:r>
      <w:r w:rsidRPr="008531CD">
        <w:rPr>
          <w:rFonts w:ascii="Verdana" w:eastAsia="Calibri" w:hAnsi="Verdana" w:cs="Arial"/>
          <w:color w:val="000000"/>
          <w:sz w:val="20"/>
          <w:szCs w:val="20"/>
          <w:vertAlign w:val="superscript"/>
        </w:rPr>
        <w:footnoteReference w:id="2"/>
      </w:r>
      <w:r w:rsidRPr="008531CD">
        <w:rPr>
          <w:rFonts w:ascii="Verdana" w:eastAsia="Calibri" w:hAnsi="Verdana" w:cs="Arial"/>
          <w:color w:val="000000"/>
          <w:sz w:val="20"/>
          <w:szCs w:val="20"/>
        </w:rPr>
        <w:t xml:space="preserve">. Pero es posible que, a pesar de este mandato deontológico, en la práctica surja la relación laboral, pues, como se sabe, el contrato de trabajo es un </w:t>
      </w:r>
      <w:r w:rsidRPr="008531CD">
        <w:rPr>
          <w:rFonts w:ascii="Verdana" w:eastAsia="Calibri" w:hAnsi="Verdana" w:cs="Arial"/>
          <w:i/>
          <w:color w:val="000000"/>
          <w:sz w:val="20"/>
          <w:szCs w:val="20"/>
        </w:rPr>
        <w:t>contrato realidad</w:t>
      </w:r>
      <w:r w:rsidRPr="008531CD">
        <w:rPr>
          <w:rFonts w:ascii="Verdana" w:eastAsia="Calibri" w:hAnsi="Verdana" w:cs="Arial"/>
          <w:color w:val="000000"/>
          <w:sz w:val="20"/>
          <w:szCs w:val="20"/>
        </w:rPr>
        <w:t xml:space="preserve">, ya que para su perfeccionamiento rige el principio de la prevalencia de la realidad sobre las formalidades. </w:t>
      </w:r>
    </w:p>
    <w:p w14:paraId="411EA07F" w14:textId="77777777" w:rsidR="00866400" w:rsidRPr="008531CD" w:rsidRDefault="00866400" w:rsidP="00866400">
      <w:pPr>
        <w:spacing w:before="120" w:after="12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En esa perspectiva, la Corte Constitucional declaró la constitucionalidad condicionada del segundo inciso del numeral 3º del artículo 32, indicando que “las expresiones acusadas del numeral 3o. del artículo 32 de la Ley 80 de 1993, no vulneran los preceptos constitucionales, razón por la cual deberán ser declaradas exequibles, salvo que se acredite por parte del contratista la existencia de una relación laboral subordinada”</w:t>
      </w:r>
      <w:r w:rsidRPr="008531CD">
        <w:rPr>
          <w:rFonts w:ascii="Verdana" w:eastAsia="Calibri" w:hAnsi="Verdana" w:cs="Arial"/>
          <w:color w:val="000000"/>
          <w:sz w:val="20"/>
          <w:szCs w:val="20"/>
          <w:vertAlign w:val="superscript"/>
        </w:rPr>
        <w:footnoteReference w:id="3"/>
      </w:r>
      <w:r w:rsidRPr="008531CD">
        <w:rPr>
          <w:rFonts w:ascii="Verdana" w:eastAsia="Calibri" w:hAnsi="Verdana" w:cs="Arial"/>
          <w:color w:val="000000"/>
          <w:sz w:val="20"/>
          <w:szCs w:val="20"/>
        </w:rPr>
        <w:t xml:space="preserve">. En esta misma línea, la Corte Constitucional en el control de constitucionalidad a un aparte del artículo 2° del Decreto Ley 2400 de 1968 modificado por el Decreto Ley 3074 de 1968 señaló que el indebido uso del contrato de prestación de servicios, constituye una violación del derecho a la igualdad, pues tratándose de funciones de carácter permanentes, los trabajadores que se presentan en esos supuestos, podrían encontrarse en la práctica, bajo una continuada dependencia o subordinación, características que eventualmente configurarían una vinculación legal y reglamentaria y/o un contrato de trabajo, según sea la naturaleza jurídica de la entidad </w:t>
      </w:r>
      <w:r w:rsidRPr="008531CD">
        <w:rPr>
          <w:rFonts w:ascii="Verdana" w:eastAsia="Calibri" w:hAnsi="Verdana" w:cs="Arial"/>
          <w:color w:val="000000"/>
          <w:sz w:val="20"/>
          <w:szCs w:val="20"/>
        </w:rPr>
        <w:lastRenderedPageBreak/>
        <w:t>pública y el tipo de cargo</w:t>
      </w:r>
      <w:r w:rsidRPr="008531CD">
        <w:rPr>
          <w:rFonts w:ascii="Verdana" w:eastAsia="Calibri" w:hAnsi="Verdana" w:cs="Arial"/>
          <w:color w:val="000000"/>
          <w:sz w:val="20"/>
          <w:szCs w:val="20"/>
          <w:vertAlign w:val="superscript"/>
        </w:rPr>
        <w:footnoteReference w:id="4"/>
      </w:r>
      <w:r w:rsidRPr="008531CD">
        <w:rPr>
          <w:rFonts w:ascii="Verdana" w:eastAsia="Calibri" w:hAnsi="Verdana" w:cs="Arial"/>
          <w:color w:val="000000"/>
          <w:sz w:val="20"/>
          <w:szCs w:val="20"/>
        </w:rPr>
        <w:t xml:space="preserve">. De modo que, bajo la perspectiva indicada, se podría invocar la presunción de la existencia de una relación laboral; siendo contrario a uno de los aspectos más relevantes del contrato de prestación de servicio, la autonomía e independencia en la ejecución </w:t>
      </w:r>
      <w:proofErr w:type="gramStart"/>
      <w:r w:rsidRPr="008531CD">
        <w:rPr>
          <w:rFonts w:ascii="Verdana" w:eastAsia="Calibri" w:hAnsi="Verdana" w:cs="Arial"/>
          <w:color w:val="000000"/>
          <w:sz w:val="20"/>
          <w:szCs w:val="20"/>
        </w:rPr>
        <w:t>del mismo</w:t>
      </w:r>
      <w:proofErr w:type="gramEnd"/>
      <w:r w:rsidRPr="008531CD">
        <w:rPr>
          <w:rFonts w:ascii="Verdana" w:eastAsia="Calibri" w:hAnsi="Verdana" w:cs="Arial"/>
          <w:color w:val="000000"/>
          <w:sz w:val="20"/>
          <w:szCs w:val="20"/>
        </w:rPr>
        <w:t>.</w:t>
      </w:r>
    </w:p>
    <w:p w14:paraId="4EFFF131"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d) Deben ser temporales. Así lo señaló la Corte Constitucional en la misma providencia a la que se aludió previamente, expresando que:</w:t>
      </w:r>
    </w:p>
    <w:p w14:paraId="4BD4C276"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p>
    <w:p w14:paraId="3C3504A8" w14:textId="77777777" w:rsidR="00866400" w:rsidRPr="008531CD" w:rsidRDefault="00866400" w:rsidP="00866400">
      <w:pPr>
        <w:spacing w:after="0" w:line="240" w:lineRule="auto"/>
        <w:ind w:left="709" w:right="709"/>
        <w:jc w:val="both"/>
        <w:rPr>
          <w:rFonts w:ascii="Verdana" w:eastAsia="Calibri" w:hAnsi="Verdana" w:cs="Arial"/>
          <w:color w:val="000000"/>
          <w:sz w:val="20"/>
          <w:szCs w:val="20"/>
        </w:rPr>
      </w:pPr>
      <w:r w:rsidRPr="008531CD">
        <w:rPr>
          <w:rFonts w:ascii="Verdana" w:eastAsia="Calibri" w:hAnsi="Verdana" w:cs="Arial"/>
          <w:color w:val="000000"/>
          <w:sz w:val="18"/>
          <w:szCs w:val="18"/>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8531CD">
        <w:rPr>
          <w:rFonts w:ascii="Verdana" w:eastAsia="Calibri" w:hAnsi="Verdana" w:cs="Arial"/>
          <w:color w:val="000000"/>
          <w:sz w:val="20"/>
          <w:szCs w:val="20"/>
          <w:vertAlign w:val="superscript"/>
        </w:rPr>
        <w:footnoteReference w:id="5"/>
      </w:r>
      <w:r w:rsidRPr="008531CD">
        <w:rPr>
          <w:rFonts w:ascii="Verdana" w:eastAsia="Calibri" w:hAnsi="Verdana" w:cs="Arial"/>
          <w:color w:val="000000"/>
          <w:sz w:val="20"/>
          <w:szCs w:val="20"/>
        </w:rPr>
        <w:t>.</w:t>
      </w:r>
    </w:p>
    <w:p w14:paraId="59006810"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p>
    <w:p w14:paraId="7FA50F24"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 xml:space="preserve">e) Los contratos de prestación de servicios profesionales hacen parte del género denominado </w:t>
      </w:r>
      <w:r w:rsidRPr="008531CD">
        <w:rPr>
          <w:rFonts w:ascii="Verdana" w:eastAsia="Calibri" w:hAnsi="Verdana" w:cs="Arial"/>
          <w:i/>
          <w:color w:val="000000"/>
          <w:sz w:val="20"/>
          <w:szCs w:val="20"/>
        </w:rPr>
        <w:t>contratos de prestación de servicios</w:t>
      </w:r>
      <w:r w:rsidRPr="008531CD">
        <w:rPr>
          <w:rFonts w:ascii="Verdana" w:eastAsia="Calibri" w:hAnsi="Verdana" w:cs="Arial"/>
          <w:color w:val="000000"/>
          <w:sz w:val="20"/>
          <w:szCs w:val="20"/>
        </w:rPr>
        <w:t>, dentro del cual también se ubican, como especies, los contratos de prestación de servicios de apoyo a la gestión y los contratos de prestación de servicios artísticos que solo pueden encomendarse a determinadas personas naturales, de acuerdo con lo reglamentado en el artículo 2.2.1.2.4.9. del Decreto 1082 de 2015</w:t>
      </w:r>
      <w:r w:rsidRPr="008531CD">
        <w:rPr>
          <w:rFonts w:ascii="Verdana" w:eastAsia="Calibri" w:hAnsi="Verdana" w:cs="Arial"/>
          <w:color w:val="000000"/>
          <w:sz w:val="20"/>
          <w:szCs w:val="20"/>
          <w:vertAlign w:val="superscript"/>
        </w:rPr>
        <w:footnoteReference w:id="6"/>
      </w:r>
      <w:r w:rsidRPr="008531CD">
        <w:rPr>
          <w:rFonts w:ascii="Verdana" w:eastAsia="Calibri" w:hAnsi="Verdana" w:cs="Arial"/>
          <w:color w:val="000000"/>
          <w:sz w:val="20"/>
          <w:szCs w:val="20"/>
        </w:rPr>
        <w:t xml:space="preserve">. La diferencia entre el contrato de prestación de servicios </w:t>
      </w:r>
      <w:r w:rsidRPr="008531CD">
        <w:rPr>
          <w:rFonts w:ascii="Verdana" w:eastAsia="Calibri" w:hAnsi="Verdana" w:cs="Arial"/>
          <w:i/>
          <w:color w:val="000000"/>
          <w:sz w:val="20"/>
          <w:szCs w:val="20"/>
        </w:rPr>
        <w:t>profesionales</w:t>
      </w:r>
      <w:r w:rsidRPr="008531CD">
        <w:rPr>
          <w:rFonts w:ascii="Verdana" w:eastAsia="Calibri" w:hAnsi="Verdana" w:cs="Arial"/>
          <w:color w:val="000000"/>
          <w:sz w:val="20"/>
          <w:szCs w:val="20"/>
        </w:rPr>
        <w:t xml:space="preserve"> con las otras dos especies del género en el cual se ubican radica en su contenido intelectual intangible y, al mismo tiempo, en la formación profesional que se exige para desempeñar la labor. Así lo consideró el Consejo de Estado en sentencia de unificación jurisprudencial del 2 de diciembre de 2013, al indicar, respecto del contrato de prestación de servicios profesionales, que:</w:t>
      </w:r>
    </w:p>
    <w:p w14:paraId="7A42D667"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p>
    <w:p w14:paraId="71283735" w14:textId="77777777" w:rsidR="00866400" w:rsidRPr="008531CD" w:rsidRDefault="00866400" w:rsidP="00866400">
      <w:pPr>
        <w:spacing w:after="0" w:line="240" w:lineRule="auto"/>
        <w:ind w:left="709" w:right="709"/>
        <w:jc w:val="both"/>
        <w:rPr>
          <w:rFonts w:ascii="Verdana" w:eastAsia="Calibri" w:hAnsi="Verdana" w:cs="Arial"/>
          <w:color w:val="000000"/>
          <w:sz w:val="20"/>
          <w:szCs w:val="20"/>
        </w:rPr>
      </w:pPr>
      <w:r w:rsidRPr="008531CD">
        <w:rPr>
          <w:rFonts w:ascii="Verdana" w:eastAsia="Calibri" w:hAnsi="Verdana" w:cs="Arial"/>
          <w:color w:val="000000"/>
          <w:sz w:val="18"/>
          <w:szCs w:val="18"/>
        </w:rPr>
        <w:t xml:space="preserve">Su objeto está determinado por el desarrollo de actividades identificables e intangibles que impliquen el desempeño de un esfuerzo o actividad, tendiente a satisfacer necesidades de las entidades estatales en lo relacionado con la gestión </w:t>
      </w:r>
      <w:r w:rsidRPr="008531CD">
        <w:rPr>
          <w:rFonts w:ascii="Verdana" w:eastAsia="Calibri" w:hAnsi="Verdana" w:cs="Arial"/>
          <w:color w:val="000000"/>
          <w:sz w:val="18"/>
          <w:szCs w:val="18"/>
        </w:rPr>
        <w:lastRenderedPageBreak/>
        <w:t>administrativa o 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 profesional</w:t>
      </w:r>
      <w:r w:rsidRPr="008531CD">
        <w:rPr>
          <w:rFonts w:ascii="Verdana" w:eastAsia="Calibri" w:hAnsi="Verdana" w:cs="Arial"/>
          <w:color w:val="000000"/>
          <w:sz w:val="20"/>
          <w:szCs w:val="20"/>
          <w:vertAlign w:val="superscript"/>
        </w:rPr>
        <w:footnoteReference w:id="7"/>
      </w:r>
      <w:r w:rsidRPr="008531CD">
        <w:rPr>
          <w:rFonts w:ascii="Verdana" w:eastAsia="Calibri" w:hAnsi="Verdana" w:cs="Arial"/>
          <w:color w:val="000000"/>
          <w:sz w:val="20"/>
          <w:szCs w:val="20"/>
        </w:rPr>
        <w:t>.</w:t>
      </w:r>
    </w:p>
    <w:p w14:paraId="2EDAEDF5"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p>
    <w:p w14:paraId="1FE793AB"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Objeto que, según la sentencia que se cita, se diferencia del objeto del contrato de prestación de servicios de apoyo a la gestión, porque en este:</w:t>
      </w:r>
    </w:p>
    <w:p w14:paraId="1218BB6D"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p>
    <w:p w14:paraId="59DAEFD4"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r w:rsidRPr="008531CD">
        <w:rPr>
          <w:rFonts w:ascii="Verdana" w:eastAsia="Calibri" w:hAnsi="Verdana" w:cs="Arial"/>
          <w:color w:val="000000"/>
          <w:sz w:val="18"/>
          <w:szCs w:val="18"/>
        </w:rPr>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14:paraId="3F2F90CD"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p>
    <w:p w14:paraId="1ED2DAD2"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r w:rsidRPr="008531CD">
        <w:rPr>
          <w:rFonts w:ascii="Verdana" w:eastAsia="Calibri" w:hAnsi="Verdana" w:cs="Arial"/>
          <w:color w:val="000000"/>
          <w:sz w:val="18"/>
          <w:szCs w:val="18"/>
        </w:rPr>
        <w:t xml:space="preserve">Aunque también se caracteriza por el desempeño de actividad intelectiva, ésta </w:t>
      </w:r>
      <w:proofErr w:type="gramStart"/>
      <w:r w:rsidRPr="008531CD">
        <w:rPr>
          <w:rFonts w:ascii="Verdana" w:eastAsia="Calibri" w:hAnsi="Verdana" w:cs="Arial"/>
          <w:color w:val="000000"/>
          <w:sz w:val="18"/>
          <w:szCs w:val="18"/>
        </w:rPr>
        <w:t>se enmarca dentro de</w:t>
      </w:r>
      <w:proofErr w:type="gramEnd"/>
      <w:r w:rsidRPr="008531CD">
        <w:rPr>
          <w:rFonts w:ascii="Verdana" w:eastAsia="Calibri" w:hAnsi="Verdana" w:cs="Arial"/>
          <w:color w:val="000000"/>
          <w:sz w:val="18"/>
          <w:szCs w:val="18"/>
        </w:rPr>
        <w:t xml:space="preserve"> un saber propiamente técnico; igualmente involucra actividades en donde prima el esfuerzo físico o mecánico, en donde no se requiere de personal profesional.</w:t>
      </w:r>
    </w:p>
    <w:p w14:paraId="1A2175AB"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p>
    <w:p w14:paraId="10ABF0A0"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r w:rsidRPr="008531CD">
        <w:rPr>
          <w:rFonts w:ascii="Verdana" w:eastAsia="Calibri" w:hAnsi="Verdana" w:cs="Arial"/>
          <w:color w:val="000000"/>
          <w:sz w:val="18"/>
          <w:szCs w:val="18"/>
        </w:rPr>
        <w:t>Dentro de su objeto contractual pueden tener lugar actividades operativas, logísticas o asistenciales, siempre que satisfaga los requisitos antes mencionados y sea acorde con las necesidades de la Administración y el principio de planeación.</w:t>
      </w:r>
    </w:p>
    <w:p w14:paraId="2F3AD2E3"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p>
    <w:p w14:paraId="7EB9211B" w14:textId="77777777" w:rsidR="00866400" w:rsidRPr="008531CD" w:rsidRDefault="00866400" w:rsidP="00866400">
      <w:pPr>
        <w:spacing w:after="0" w:line="240" w:lineRule="auto"/>
        <w:ind w:left="709" w:right="709"/>
        <w:jc w:val="both"/>
        <w:rPr>
          <w:rFonts w:ascii="Verdana" w:eastAsia="Calibri" w:hAnsi="Verdana" w:cs="Arial"/>
          <w:color w:val="000000"/>
          <w:sz w:val="20"/>
          <w:szCs w:val="20"/>
        </w:rPr>
      </w:pPr>
      <w:r w:rsidRPr="008531CD">
        <w:rPr>
          <w:rFonts w:ascii="Verdana" w:eastAsia="Calibri" w:hAnsi="Verdana" w:cs="Arial"/>
          <w:color w:val="000000"/>
          <w:sz w:val="18"/>
          <w:szCs w:val="18"/>
        </w:rPr>
        <w:t>Dentro de su objeto contractual pueden tener lugar actividades operativas, logísticas o asistenciales, siempre que satisfaga los requisitos antes mencionados y sea acorde con las necesidades de la Administración y el principio de planeación</w:t>
      </w:r>
      <w:r w:rsidRPr="008531CD">
        <w:rPr>
          <w:rFonts w:ascii="Verdana" w:eastAsia="Calibri" w:hAnsi="Verdana" w:cs="Arial"/>
          <w:color w:val="000000"/>
          <w:sz w:val="20"/>
          <w:szCs w:val="20"/>
          <w:vertAlign w:val="superscript"/>
        </w:rPr>
        <w:footnoteReference w:id="8"/>
      </w:r>
      <w:r w:rsidRPr="008531CD">
        <w:rPr>
          <w:rFonts w:ascii="Verdana" w:eastAsia="Calibri" w:hAnsi="Verdana" w:cs="Arial"/>
          <w:color w:val="000000"/>
          <w:sz w:val="20"/>
          <w:szCs w:val="20"/>
        </w:rPr>
        <w:t>.</w:t>
      </w:r>
    </w:p>
    <w:p w14:paraId="1F38166D"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p>
    <w:p w14:paraId="45C112C3"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En relación con el contrato de prestación de servicios artísticos que solo pueden encomendarse a determinadas personas naturales, señala el mencionado fallo que:</w:t>
      </w:r>
    </w:p>
    <w:p w14:paraId="1AF9A167" w14:textId="77777777" w:rsidR="00866400" w:rsidRPr="008531CD" w:rsidRDefault="00866400" w:rsidP="00866400">
      <w:pPr>
        <w:spacing w:after="0" w:line="240" w:lineRule="auto"/>
        <w:ind w:left="709" w:right="709"/>
        <w:jc w:val="both"/>
        <w:rPr>
          <w:rFonts w:ascii="Verdana" w:eastAsia="Calibri" w:hAnsi="Verdana" w:cs="Arial"/>
          <w:color w:val="000000"/>
          <w:sz w:val="18"/>
          <w:szCs w:val="18"/>
        </w:rPr>
      </w:pPr>
    </w:p>
    <w:p w14:paraId="75B1A8BB" w14:textId="77777777" w:rsidR="00866400" w:rsidRPr="008531CD" w:rsidRDefault="00866400" w:rsidP="00866400">
      <w:pPr>
        <w:spacing w:after="0" w:line="240" w:lineRule="auto"/>
        <w:ind w:left="709" w:right="709"/>
        <w:jc w:val="both"/>
        <w:rPr>
          <w:rFonts w:ascii="Verdana" w:eastAsia="Calibri" w:hAnsi="Verdana" w:cs="Arial"/>
          <w:color w:val="000000"/>
          <w:sz w:val="20"/>
          <w:szCs w:val="20"/>
        </w:rPr>
      </w:pPr>
      <w:r w:rsidRPr="008531CD">
        <w:rPr>
          <w:rFonts w:ascii="Verdana" w:eastAsia="Calibri" w:hAnsi="Verdana" w:cs="Arial"/>
          <w:color w:val="000000"/>
          <w:sz w:val="18"/>
          <w:szCs w:val="18"/>
        </w:rPr>
        <w:t>Tienen lugar dentro de esta categoría los contratos de prestación de servicios que tengan por objeto la ejecución de trabajos artísticos, esto es, trabajos que corresponden al conjunto de creaciones humanas que expresan una especial visión del mundo, tanto real como imaginaria, y que sólo pueda celebrarse con determinadas personas naturales, lo que implica que el contratista debe ser un artista, esto es, una persona reconocida como realizador o productor de arte o trabajos artísticos</w:t>
      </w:r>
      <w:r w:rsidRPr="008531CD">
        <w:rPr>
          <w:rFonts w:ascii="Verdana" w:eastAsia="Calibri" w:hAnsi="Verdana" w:cs="Arial"/>
          <w:color w:val="000000"/>
          <w:sz w:val="20"/>
          <w:szCs w:val="20"/>
          <w:vertAlign w:val="superscript"/>
        </w:rPr>
        <w:footnoteReference w:id="9"/>
      </w:r>
      <w:r w:rsidRPr="008531CD">
        <w:rPr>
          <w:rFonts w:ascii="Verdana" w:eastAsia="Calibri" w:hAnsi="Verdana" w:cs="Arial"/>
          <w:color w:val="000000"/>
          <w:sz w:val="20"/>
          <w:szCs w:val="20"/>
        </w:rPr>
        <w:t>.</w:t>
      </w:r>
    </w:p>
    <w:p w14:paraId="3BA3169A" w14:textId="77777777" w:rsidR="00866400" w:rsidRPr="008531CD" w:rsidRDefault="00866400" w:rsidP="00866400">
      <w:pPr>
        <w:spacing w:after="0" w:line="240" w:lineRule="auto"/>
        <w:ind w:left="709" w:right="709"/>
        <w:jc w:val="both"/>
        <w:rPr>
          <w:rFonts w:ascii="Verdana" w:eastAsia="Calibri" w:hAnsi="Verdana" w:cs="Arial"/>
          <w:color w:val="000000"/>
          <w:sz w:val="20"/>
          <w:szCs w:val="20"/>
        </w:rPr>
      </w:pPr>
    </w:p>
    <w:p w14:paraId="7AA6F7C5" w14:textId="77777777" w:rsidR="00866400" w:rsidRPr="008531CD" w:rsidRDefault="00866400" w:rsidP="00866400">
      <w:pPr>
        <w:spacing w:after="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 xml:space="preserve">f) Su celebración debe realizarse a través de la modalidad de contratación directa, independientemente de la cuantía y del tipo de servicio profesional, siempre que este no ingrese dentro del objeto del contrato de consultoría, pues, como lo indicó el Consejo de </w:t>
      </w:r>
      <w:r w:rsidRPr="008531CD">
        <w:rPr>
          <w:rFonts w:ascii="Verdana" w:eastAsia="Calibri" w:hAnsi="Verdana" w:cs="Arial"/>
          <w:color w:val="000000"/>
          <w:sz w:val="20"/>
          <w:szCs w:val="20"/>
        </w:rPr>
        <w:lastRenderedPageBreak/>
        <w:t>Estado en la sentencia de unificación jurisprudencial a la que se hizo referencia, si bien en ambos existe un componente intelectual, profesional e intangible, el objeto del contrato de consultoría es especial y debe celebrarse, por regla general, precedido de un concurso de méritos</w:t>
      </w:r>
      <w:r w:rsidRPr="008531CD">
        <w:rPr>
          <w:rFonts w:ascii="Verdana" w:eastAsia="Calibri" w:hAnsi="Verdana" w:cs="Arial"/>
          <w:color w:val="000000"/>
          <w:sz w:val="20"/>
          <w:szCs w:val="20"/>
          <w:vertAlign w:val="superscript"/>
        </w:rPr>
        <w:footnoteReference w:id="10"/>
      </w:r>
      <w:r w:rsidRPr="008531CD">
        <w:rPr>
          <w:rFonts w:ascii="Verdana" w:eastAsia="Calibri" w:hAnsi="Verdana" w:cs="Arial"/>
          <w:color w:val="000000"/>
          <w:sz w:val="20"/>
          <w:szCs w:val="20"/>
        </w:rPr>
        <w:t xml:space="preserve">. Pero, tampoco puede suscribirse un contrato de prestación de servicios profesionales para que el contratista ejecute labores que </w:t>
      </w:r>
      <w:proofErr w:type="gramStart"/>
      <w:r w:rsidRPr="008531CD">
        <w:rPr>
          <w:rFonts w:ascii="Verdana" w:eastAsia="Calibri" w:hAnsi="Verdana" w:cs="Arial"/>
          <w:color w:val="000000"/>
          <w:sz w:val="20"/>
          <w:szCs w:val="20"/>
        </w:rPr>
        <w:t>se enmarcan dentro de</w:t>
      </w:r>
      <w:proofErr w:type="gramEnd"/>
      <w:r w:rsidRPr="008531CD">
        <w:rPr>
          <w:rFonts w:ascii="Verdana" w:eastAsia="Calibri" w:hAnsi="Verdana" w:cs="Arial"/>
          <w:color w:val="000000"/>
          <w:sz w:val="20"/>
          <w:szCs w:val="20"/>
        </w:rPr>
        <w:t xml:space="preserve"> los otros contratos tipificados en el artículo 32 de la Ley 80 de 1993, como, por ejemplo, para que el contratista de prestación de servicios construya una obra.</w:t>
      </w:r>
    </w:p>
    <w:p w14:paraId="727C3AFF" w14:textId="77777777" w:rsidR="00866400" w:rsidRPr="008531CD" w:rsidRDefault="00866400" w:rsidP="00866400">
      <w:pPr>
        <w:spacing w:before="120" w:after="12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g) Para su celebración no se requiere la expedición del acto administrativo de justificación de la contratación directa</w:t>
      </w:r>
      <w:r w:rsidRPr="008531CD">
        <w:rPr>
          <w:rFonts w:ascii="Verdana" w:eastAsia="Calibri" w:hAnsi="Verdana" w:cs="Arial"/>
          <w:color w:val="000000"/>
          <w:sz w:val="20"/>
          <w:szCs w:val="20"/>
          <w:vertAlign w:val="superscript"/>
        </w:rPr>
        <w:footnoteReference w:id="11"/>
      </w:r>
      <w:r w:rsidRPr="008531CD">
        <w:rPr>
          <w:rFonts w:ascii="Verdana" w:eastAsia="Calibri" w:hAnsi="Verdana" w:cs="Arial"/>
          <w:color w:val="000000"/>
          <w:sz w:val="20"/>
          <w:szCs w:val="20"/>
        </w:rPr>
        <w:t xml:space="preserve">. </w:t>
      </w:r>
    </w:p>
    <w:p w14:paraId="22F04159" w14:textId="77777777" w:rsidR="00866400" w:rsidRPr="008531CD" w:rsidRDefault="00866400" w:rsidP="00866400">
      <w:pPr>
        <w:spacing w:before="120" w:after="12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h) Admiten el pacto de cláusulas excepcionales. Es decir, en los contratos de prestación de servicios profesionales puede estipularse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w:t>
      </w:r>
      <w:r w:rsidRPr="008531CD">
        <w:rPr>
          <w:rFonts w:ascii="Verdana" w:eastAsia="Calibri" w:hAnsi="Verdana" w:cs="Arial"/>
          <w:color w:val="000000"/>
          <w:sz w:val="20"/>
          <w:szCs w:val="20"/>
          <w:vertAlign w:val="superscript"/>
        </w:rPr>
        <w:footnoteReference w:id="12"/>
      </w:r>
      <w:r w:rsidRPr="008531CD">
        <w:rPr>
          <w:rFonts w:ascii="Verdana" w:eastAsia="Calibri" w:hAnsi="Verdana" w:cs="Arial"/>
          <w:color w:val="000000"/>
          <w:sz w:val="20"/>
          <w:szCs w:val="20"/>
        </w:rPr>
        <w:t>.</w:t>
      </w:r>
    </w:p>
    <w:p w14:paraId="7607BEC8" w14:textId="77777777" w:rsidR="00866400" w:rsidRPr="008531CD" w:rsidRDefault="00866400" w:rsidP="00866400">
      <w:pPr>
        <w:spacing w:before="120" w:after="12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lastRenderedPageBreak/>
        <w:t>i) En ellos no es obligatoria la liquidación, pues así lo estableció el artículo 217 del Decreto 019 de 2012, que modificó el artículo 60 de la Ley 80 de 1993</w:t>
      </w:r>
      <w:r w:rsidRPr="008531CD">
        <w:rPr>
          <w:rFonts w:ascii="Verdana" w:eastAsia="Calibri" w:hAnsi="Verdana" w:cs="Arial"/>
          <w:color w:val="000000"/>
          <w:sz w:val="20"/>
          <w:szCs w:val="20"/>
          <w:vertAlign w:val="superscript"/>
        </w:rPr>
        <w:footnoteReference w:id="13"/>
      </w:r>
      <w:r w:rsidRPr="008531CD">
        <w:rPr>
          <w:rFonts w:ascii="Verdana" w:eastAsia="Calibri" w:hAnsi="Verdana" w:cs="Arial"/>
          <w:color w:val="000000"/>
          <w:sz w:val="20"/>
          <w:szCs w:val="20"/>
        </w:rPr>
        <w:t xml:space="preserve">, </w:t>
      </w:r>
      <w:r w:rsidRPr="008531CD">
        <w:rPr>
          <w:rFonts w:ascii="Verdana" w:eastAsia="Calibri" w:hAnsi="Verdana" w:cs="Arial"/>
          <w:color w:val="000000"/>
          <w:sz w:val="20"/>
          <w:szCs w:val="20"/>
          <w:lang w:val="es-ES" w:eastAsia="es-ES"/>
        </w:rPr>
        <w:t>refiriéndose expresamente a los contratos de prestación de servicios profesionales y de apoyo a la gestión.</w:t>
      </w:r>
    </w:p>
    <w:p w14:paraId="222EFB7D" w14:textId="77777777" w:rsidR="00866400" w:rsidRPr="008531CD" w:rsidRDefault="00866400" w:rsidP="00866400">
      <w:pPr>
        <w:spacing w:after="12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j) Para su celebración no se requiere inscripción en el Registro Único de Proponentes (RUP), según lo prevé el artículo 6 de la Ley 1150 de 2007</w:t>
      </w:r>
      <w:r w:rsidRPr="008531CD">
        <w:rPr>
          <w:rFonts w:ascii="Verdana" w:eastAsia="Calibri" w:hAnsi="Verdana" w:cs="Arial"/>
          <w:color w:val="000000"/>
          <w:sz w:val="20"/>
          <w:szCs w:val="20"/>
          <w:vertAlign w:val="superscript"/>
        </w:rPr>
        <w:footnoteReference w:id="14"/>
      </w:r>
      <w:r w:rsidRPr="008531CD">
        <w:rPr>
          <w:rFonts w:ascii="Verdana" w:eastAsia="Calibri" w:hAnsi="Verdana" w:cs="Arial"/>
          <w:color w:val="000000"/>
          <w:sz w:val="20"/>
          <w:szCs w:val="20"/>
        </w:rPr>
        <w:t>.</w:t>
      </w:r>
    </w:p>
    <w:p w14:paraId="7F72B58F" w14:textId="77777777" w:rsidR="00866400" w:rsidRPr="008531CD" w:rsidRDefault="00866400" w:rsidP="00866400">
      <w:pPr>
        <w:spacing w:after="120" w:line="276" w:lineRule="auto"/>
        <w:ind w:firstLine="709"/>
        <w:jc w:val="both"/>
        <w:rPr>
          <w:rFonts w:ascii="Verdana" w:eastAsia="Calibri" w:hAnsi="Verdana" w:cs="Arial"/>
          <w:color w:val="000000"/>
          <w:sz w:val="20"/>
          <w:szCs w:val="20"/>
        </w:rPr>
      </w:pPr>
      <w:r w:rsidRPr="008531CD">
        <w:rPr>
          <w:rFonts w:ascii="Verdana" w:eastAsia="Calibri" w:hAnsi="Verdana" w:cs="Arial"/>
          <w:color w:val="000000"/>
          <w:sz w:val="20"/>
          <w:szCs w:val="20"/>
        </w:rPr>
        <w:t>k) En ellos no son necesarias las garantías</w:t>
      </w:r>
      <w:r w:rsidRPr="008531CD">
        <w:rPr>
          <w:rFonts w:ascii="Verdana" w:eastAsia="Calibri" w:hAnsi="Verdana" w:cs="Arial"/>
          <w:color w:val="000000"/>
          <w:sz w:val="20"/>
          <w:szCs w:val="20"/>
          <w:vertAlign w:val="superscript"/>
        </w:rPr>
        <w:footnoteReference w:id="15"/>
      </w:r>
      <w:r w:rsidRPr="008531CD">
        <w:rPr>
          <w:rFonts w:ascii="Verdana" w:eastAsia="Calibri" w:hAnsi="Verdana" w:cs="Arial"/>
          <w:color w:val="000000"/>
          <w:sz w:val="20"/>
          <w:szCs w:val="20"/>
        </w:rPr>
        <w:t>.</w:t>
      </w:r>
    </w:p>
    <w:p w14:paraId="6EAC3644" w14:textId="77777777" w:rsidR="00866400" w:rsidRPr="008531CD" w:rsidRDefault="00866400" w:rsidP="00866400">
      <w:pPr>
        <w:spacing w:after="120" w:line="276" w:lineRule="auto"/>
        <w:ind w:firstLine="709"/>
        <w:jc w:val="both"/>
        <w:rPr>
          <w:rFonts w:ascii="Verdana" w:eastAsia="Calibri" w:hAnsi="Verdana" w:cs="Arial"/>
          <w:color w:val="000000"/>
          <w:sz w:val="20"/>
          <w:szCs w:val="20"/>
        </w:rPr>
      </w:pPr>
      <w:r w:rsidRPr="008531CD">
        <w:rPr>
          <w:rFonts w:ascii="Verdana" w:hAnsi="Verdana"/>
          <w:sz w:val="20"/>
          <w:szCs w:val="20"/>
        </w:rPr>
        <w:t xml:space="preserve">Conforme </w:t>
      </w:r>
      <w:r w:rsidRPr="008531CD">
        <w:rPr>
          <w:rFonts w:ascii="Verdana" w:eastAsia="Calibri" w:hAnsi="Verdana" w:cs="Arial"/>
          <w:color w:val="000000"/>
          <w:sz w:val="20"/>
          <w:szCs w:val="20"/>
          <w:lang w:val="es-ES_tradnl" w:eastAsia="es-ES_tradnl"/>
        </w:rPr>
        <w:t>a</w:t>
      </w:r>
      <w:r w:rsidRPr="008531CD">
        <w:rPr>
          <w:rFonts w:ascii="Verdana" w:hAnsi="Verdana"/>
          <w:sz w:val="20"/>
          <w:szCs w:val="20"/>
        </w:rPr>
        <w:t xml:space="preserve"> lo expuesto, las características y requisitos para la celebración del contrato de prestación de servicios se encuentran reguladas en el EGCAP y el marco jurídico aplicable es el expuesto anteriormente. </w:t>
      </w:r>
    </w:p>
    <w:p w14:paraId="5FAAD0B4" w14:textId="77777777" w:rsidR="00866400" w:rsidRPr="008531CD" w:rsidRDefault="00866400" w:rsidP="00866400">
      <w:pPr>
        <w:widowControl w:val="0"/>
        <w:autoSpaceDE w:val="0"/>
        <w:autoSpaceDN w:val="0"/>
        <w:spacing w:after="120" w:line="276" w:lineRule="auto"/>
        <w:ind w:firstLine="709"/>
        <w:jc w:val="both"/>
        <w:rPr>
          <w:rFonts w:ascii="Verdana" w:hAnsi="Verdana"/>
          <w:sz w:val="20"/>
          <w:szCs w:val="20"/>
        </w:rPr>
      </w:pPr>
      <w:r w:rsidRPr="008531CD">
        <w:rPr>
          <w:rFonts w:ascii="Verdana" w:hAnsi="Verdana"/>
          <w:sz w:val="20"/>
          <w:szCs w:val="20"/>
        </w:rPr>
        <w:t xml:space="preserve">Ahora bien, respecto de su pregunta, resulta importante hacer aclaraciones generales. Preliminarmente, se precisa que la denominación establecida en el numeral 3 del artículo 32 de la Ley 80 de 1993 es el </w:t>
      </w:r>
      <w:r w:rsidRPr="008531CD">
        <w:rPr>
          <w:rFonts w:ascii="Verdana" w:hAnsi="Verdana"/>
          <w:i/>
          <w:iCs/>
          <w:sz w:val="20"/>
          <w:szCs w:val="20"/>
        </w:rPr>
        <w:t>contrato de prestación de servicios,</w:t>
      </w:r>
      <w:r w:rsidRPr="008531CD">
        <w:rPr>
          <w:rFonts w:ascii="Verdana" w:hAnsi="Verdana"/>
          <w:sz w:val="20"/>
          <w:szCs w:val="20"/>
        </w:rPr>
        <w:t xml:space="preserve"> el cual incluye como especie los contratos de prestación de servicios profesionales, los contratos de prestación de servicios apoyo a la gestión y los contratos de prestación de servicios artísticos que solo pueden encomendarse a determinadas personas naturales.</w:t>
      </w:r>
    </w:p>
    <w:p w14:paraId="371568ED" w14:textId="77777777" w:rsidR="00866400" w:rsidRPr="008531CD" w:rsidRDefault="00866400" w:rsidP="00866400">
      <w:pPr>
        <w:spacing w:after="120" w:line="276" w:lineRule="auto"/>
        <w:ind w:firstLine="708"/>
        <w:jc w:val="both"/>
        <w:rPr>
          <w:rFonts w:ascii="Verdana" w:eastAsia="Calibri" w:hAnsi="Verdana" w:cs="Arial"/>
          <w:sz w:val="20"/>
          <w:szCs w:val="20"/>
          <w:lang w:val="es-ES"/>
        </w:rPr>
      </w:pPr>
      <w:r w:rsidRPr="008531CD">
        <w:rPr>
          <w:rFonts w:ascii="Verdana" w:hAnsi="Verdana"/>
          <w:sz w:val="20"/>
          <w:szCs w:val="20"/>
        </w:rPr>
        <w:t>De igual manera, se aclara que, al tratarse de un contrato estatal, debe cumplir con los requisitos de perfeccionamiento y ejecución establecidos en el artículo 41 de la Ley 80 de 1993. En efecto, conforme lo señala</w:t>
      </w:r>
      <w:r w:rsidRPr="008531CD">
        <w:rPr>
          <w:rFonts w:ascii="Verdana" w:eastAsia="Calibri" w:hAnsi="Verdana" w:cs="Arial"/>
          <w:sz w:val="20"/>
          <w:szCs w:val="20"/>
          <w:lang w:val="es-ES_tradnl"/>
        </w:rPr>
        <w:t xml:space="preserve"> el primer inciso del artículo 41 de la Ley 80 de 1993 “</w:t>
      </w:r>
      <w:r w:rsidRPr="008531CD">
        <w:rPr>
          <w:rFonts w:ascii="Verdana" w:eastAsia="Calibri" w:hAnsi="Verdana" w:cs="Arial"/>
          <w:i/>
          <w:iCs/>
          <w:sz w:val="20"/>
          <w:szCs w:val="20"/>
          <w:lang w:val="es-ES_tradnl"/>
        </w:rPr>
        <w:t>Los contratos del Estado se perfeccionan cuando se logre acuerdo sobre el objeto y la contraprestación y éste se eleve a escrito</w:t>
      </w:r>
      <w:r w:rsidRPr="008531CD">
        <w:rPr>
          <w:rFonts w:ascii="Verdana" w:eastAsia="Calibri" w:hAnsi="Verdana" w:cs="Arial"/>
          <w:sz w:val="20"/>
          <w:szCs w:val="20"/>
          <w:lang w:val="es-ES_tradnl"/>
        </w:rPr>
        <w:t xml:space="preserve">”, de tal manera que para que el </w:t>
      </w:r>
      <w:r w:rsidRPr="008531CD">
        <w:rPr>
          <w:rFonts w:ascii="Verdana" w:eastAsia="Calibri" w:hAnsi="Verdana" w:cs="Arial"/>
          <w:sz w:val="20"/>
          <w:szCs w:val="20"/>
          <w:lang w:val="es-ES_tradnl"/>
        </w:rPr>
        <w:lastRenderedPageBreak/>
        <w:t>contrato estatal exista, no solo debe haber un acuerdo sobre la obligación principal del negocio –es decir, sobre el “objeto”– y sobre la contraprestación, sino que se debe plasmar por escrito. Además, para su ejecución se deberán cumplir los requisitos de ejecución señalados en el inciso segundo del referido artículo 41</w:t>
      </w:r>
      <w:r w:rsidRPr="008531CD">
        <w:rPr>
          <w:rFonts w:ascii="Verdana" w:eastAsia="Calibri" w:hAnsi="Verdana" w:cs="Arial"/>
          <w:sz w:val="20"/>
          <w:szCs w:val="20"/>
          <w:vertAlign w:val="superscript"/>
          <w:lang w:val="es-ES_tradnl"/>
        </w:rPr>
        <w:footnoteReference w:id="16"/>
      </w:r>
      <w:r w:rsidRPr="008531CD">
        <w:rPr>
          <w:rFonts w:ascii="Verdana" w:eastAsia="Calibri" w:hAnsi="Verdana" w:cs="Arial"/>
          <w:sz w:val="20"/>
          <w:szCs w:val="20"/>
          <w:lang w:val="es-ES_tradnl"/>
        </w:rPr>
        <w:t xml:space="preserve">, es decir, que se deberá contar </w:t>
      </w:r>
      <w:r w:rsidRPr="008531CD">
        <w:rPr>
          <w:rFonts w:ascii="Verdana" w:eastAsia="Calibri" w:hAnsi="Verdana" w:cs="Arial"/>
          <w:sz w:val="20"/>
          <w:szCs w:val="20"/>
          <w:lang w:val="es-ES"/>
        </w:rPr>
        <w:t>con: (i) la aprobación de las garantías exigidas en el contrato (cuando aplique), (</w:t>
      </w:r>
      <w:proofErr w:type="spellStart"/>
      <w:r w:rsidRPr="008531CD">
        <w:rPr>
          <w:rFonts w:ascii="Verdana" w:eastAsia="Calibri" w:hAnsi="Verdana" w:cs="Arial"/>
          <w:sz w:val="20"/>
          <w:szCs w:val="20"/>
          <w:lang w:val="es-ES"/>
        </w:rPr>
        <w:t>ii</w:t>
      </w:r>
      <w:proofErr w:type="spellEnd"/>
      <w:r w:rsidRPr="008531CD">
        <w:rPr>
          <w:rFonts w:ascii="Verdana" w:eastAsia="Calibri" w:hAnsi="Verdana" w:cs="Arial"/>
          <w:sz w:val="20"/>
          <w:szCs w:val="20"/>
          <w:lang w:val="es-ES"/>
        </w:rPr>
        <w:t>) la existencia de la apropiación presupuestal correspondiente y (</w:t>
      </w:r>
      <w:proofErr w:type="spellStart"/>
      <w:r w:rsidRPr="008531CD">
        <w:rPr>
          <w:rFonts w:ascii="Verdana" w:eastAsia="Calibri" w:hAnsi="Verdana" w:cs="Arial"/>
          <w:sz w:val="20"/>
          <w:szCs w:val="20"/>
          <w:lang w:val="es-ES"/>
        </w:rPr>
        <w:t>iii</w:t>
      </w:r>
      <w:proofErr w:type="spellEnd"/>
      <w:r w:rsidRPr="008531CD">
        <w:rPr>
          <w:rFonts w:ascii="Verdana" w:eastAsia="Calibri" w:hAnsi="Verdana" w:cs="Arial"/>
          <w:sz w:val="20"/>
          <w:szCs w:val="20"/>
          <w:lang w:val="es-ES"/>
        </w:rPr>
        <w:t>) la acreditación del cumplimiento de las obligaciones con el Sistema de Seguridad Social Integral.</w:t>
      </w:r>
    </w:p>
    <w:p w14:paraId="4B671647" w14:textId="77777777" w:rsidR="00866400" w:rsidRPr="008531CD" w:rsidRDefault="00866400" w:rsidP="00866400">
      <w:pPr>
        <w:spacing w:after="120" w:line="276" w:lineRule="auto"/>
        <w:ind w:firstLine="708"/>
        <w:jc w:val="both"/>
        <w:rPr>
          <w:rFonts w:ascii="Verdana" w:eastAsia="Calibri" w:hAnsi="Verdana" w:cs="Arial"/>
          <w:sz w:val="20"/>
          <w:szCs w:val="20"/>
          <w:lang w:val="es-ES"/>
        </w:rPr>
      </w:pPr>
      <w:r w:rsidRPr="008531CD">
        <w:rPr>
          <w:rFonts w:ascii="Verdana" w:eastAsia="Calibri" w:hAnsi="Verdana" w:cs="Arial"/>
          <w:sz w:val="20"/>
          <w:szCs w:val="20"/>
          <w:lang w:val="es-ES"/>
        </w:rPr>
        <w:t xml:space="preserve">En este sentido, el contrato estatal existe desde el momento de su perfeccionamiento y para su ejecución, es decir, para el inicio </w:t>
      </w:r>
      <w:r w:rsidRPr="008531CD">
        <w:rPr>
          <w:rFonts w:ascii="Verdana" w:eastAsia="Calibri" w:hAnsi="Verdana" w:cs="Arial"/>
          <w:sz w:val="20"/>
          <w:szCs w:val="20"/>
          <w:lang w:val="es-ES_tradnl"/>
        </w:rPr>
        <w:t xml:space="preserve">de la fase de realización de las actividades pactadas en el contrato, </w:t>
      </w:r>
      <w:r w:rsidRPr="008531CD">
        <w:rPr>
          <w:rFonts w:ascii="Verdana" w:eastAsia="Calibri" w:hAnsi="Verdana" w:cs="Arial"/>
          <w:sz w:val="20"/>
          <w:szCs w:val="20"/>
          <w:lang w:val="es-ES"/>
        </w:rPr>
        <w:t xml:space="preserve">es necesario que se acrediten los requisitos de ejecución previstos en el artículo 41 </w:t>
      </w:r>
      <w:r w:rsidRPr="008531CD">
        <w:rPr>
          <w:rFonts w:ascii="Verdana" w:eastAsia="Calibri" w:hAnsi="Verdana" w:cs="Arial"/>
          <w:i/>
          <w:iCs/>
          <w:sz w:val="20"/>
          <w:szCs w:val="20"/>
          <w:lang w:val="es-ES"/>
        </w:rPr>
        <w:t xml:space="preserve">ibidem. </w:t>
      </w:r>
      <w:r w:rsidRPr="008531CD">
        <w:rPr>
          <w:rFonts w:ascii="Verdana" w:eastAsia="Calibri" w:hAnsi="Verdana" w:cs="Arial"/>
          <w:sz w:val="20"/>
          <w:szCs w:val="20"/>
          <w:lang w:val="es-ES"/>
        </w:rPr>
        <w:t xml:space="preserve">Debido a que en el contrato de prestación de servicios no es obligatoria la exigencia de garantías, si este requisito no ha sido pactado expresamente entre las partes, bastará con el cumplimiento de los otros requisitos establecidos en la citada norma para </w:t>
      </w:r>
      <w:proofErr w:type="gramStart"/>
      <w:r w:rsidRPr="008531CD">
        <w:rPr>
          <w:rFonts w:ascii="Verdana" w:eastAsia="Calibri" w:hAnsi="Verdana" w:cs="Arial"/>
          <w:sz w:val="20"/>
          <w:szCs w:val="20"/>
          <w:lang w:val="es-ES"/>
        </w:rPr>
        <w:t>dar inicio a</w:t>
      </w:r>
      <w:proofErr w:type="gramEnd"/>
      <w:r w:rsidRPr="008531CD">
        <w:rPr>
          <w:rFonts w:ascii="Verdana" w:eastAsia="Calibri" w:hAnsi="Verdana" w:cs="Arial"/>
          <w:sz w:val="20"/>
          <w:szCs w:val="20"/>
          <w:lang w:val="es-ES"/>
        </w:rPr>
        <w:t xml:space="preserve"> su ejecución</w:t>
      </w:r>
      <w:r w:rsidRPr="008531CD">
        <w:rPr>
          <w:rFonts w:ascii="Verdana" w:eastAsia="Calibri" w:hAnsi="Verdana" w:cs="Arial"/>
          <w:i/>
          <w:iCs/>
          <w:sz w:val="20"/>
          <w:szCs w:val="20"/>
          <w:lang w:val="es-ES"/>
        </w:rPr>
        <w:t xml:space="preserve">. </w:t>
      </w:r>
    </w:p>
    <w:p w14:paraId="4CCE74E3" w14:textId="77777777" w:rsidR="00866400" w:rsidRPr="008531CD" w:rsidRDefault="00866400" w:rsidP="00866400">
      <w:pPr>
        <w:spacing w:before="120" w:after="0" w:line="276" w:lineRule="auto"/>
        <w:ind w:firstLine="708"/>
        <w:jc w:val="both"/>
        <w:rPr>
          <w:rFonts w:ascii="Verdana" w:eastAsia="Times New Roman" w:hAnsi="Verdana" w:cs="Arial"/>
          <w:color w:val="000000" w:themeColor="text1"/>
          <w:sz w:val="20"/>
          <w:szCs w:val="20"/>
          <w:lang w:eastAsia="es-CO"/>
        </w:rPr>
      </w:pPr>
      <w:r w:rsidRPr="008531CD">
        <w:rPr>
          <w:rFonts w:ascii="Verdana" w:eastAsia="Calibri" w:hAnsi="Verdana" w:cs="Arial"/>
          <w:sz w:val="20"/>
          <w:szCs w:val="20"/>
          <w:lang w:val="es-ES"/>
        </w:rPr>
        <w:t xml:space="preserve">En aquellos casos en los que, </w:t>
      </w:r>
      <w:r w:rsidRPr="008531CD">
        <w:rPr>
          <w:rFonts w:ascii="Verdana" w:eastAsia="Times New Roman" w:hAnsi="Verdana" w:cs="Arial"/>
          <w:color w:val="000000" w:themeColor="text1"/>
          <w:sz w:val="20"/>
          <w:szCs w:val="20"/>
          <w:lang w:eastAsia="es-CO"/>
        </w:rPr>
        <w:t>en función de los riesgos identificados por la entidad tanto en el análisis del sector –art. 2.2.1.1.1.6.1 del Decreto 1082 de 2015– como los estudios y documentos previos –núm. 6 del art. 2.2.1.1.2.1.1 ibidem–, se considere la necesidad de solicitar garantías, podrán incluirse las contempladas</w:t>
      </w:r>
      <w:r w:rsidRPr="008531CD">
        <w:rPr>
          <w:rFonts w:ascii="Verdana" w:hAnsi="Verdana"/>
          <w:color w:val="333333"/>
          <w:sz w:val="20"/>
          <w:szCs w:val="20"/>
          <w:shd w:val="clear" w:color="auto" w:fill="FFFFFF"/>
        </w:rPr>
        <w:t xml:space="preserve"> en l</w:t>
      </w:r>
      <w:r w:rsidRPr="008531CD">
        <w:rPr>
          <w:rFonts w:ascii="Verdana" w:eastAsia="Times New Roman" w:hAnsi="Verdana" w:cs="Arial"/>
          <w:color w:val="000000" w:themeColor="text1"/>
          <w:sz w:val="20"/>
          <w:szCs w:val="20"/>
          <w:lang w:eastAsia="es-CO"/>
        </w:rPr>
        <w:t xml:space="preserve">os artículos 2.2.1.2.3.1.1 al 2.2.1.2.3.5.1. del Decreto Único Reglamentario del sector Administrativo de Planeación Nacional. </w:t>
      </w:r>
    </w:p>
    <w:p w14:paraId="2767132A" w14:textId="77777777" w:rsidR="00866400" w:rsidRPr="008531CD" w:rsidRDefault="00866400" w:rsidP="00866400">
      <w:pPr>
        <w:spacing w:before="120" w:after="0" w:line="276" w:lineRule="auto"/>
        <w:ind w:firstLine="708"/>
        <w:jc w:val="both"/>
        <w:rPr>
          <w:rFonts w:ascii="Verdana" w:eastAsia="Times New Roman" w:hAnsi="Verdana" w:cs="Arial"/>
          <w:color w:val="000000" w:themeColor="text1"/>
          <w:sz w:val="20"/>
          <w:szCs w:val="20"/>
          <w:lang w:eastAsia="es-CO"/>
        </w:rPr>
      </w:pPr>
      <w:r w:rsidRPr="008531CD">
        <w:rPr>
          <w:rFonts w:ascii="Verdana" w:eastAsia="Times New Roman" w:hAnsi="Verdana" w:cs="Arial"/>
          <w:color w:val="000000" w:themeColor="text1"/>
          <w:sz w:val="20"/>
          <w:szCs w:val="20"/>
          <w:lang w:eastAsia="es-CO"/>
        </w:rPr>
        <w:t xml:space="preserve">Particularmente, el artículo 2.2.1.2.3.1.7 de dicho decreto reglamenta la garantía única de cumplimiento </w:t>
      </w:r>
      <w:r w:rsidRPr="008531CD">
        <w:rPr>
          <w:rFonts w:ascii="Verdana" w:eastAsia="Calibri" w:hAnsi="Verdana" w:cs="Arial"/>
          <w:sz w:val="20"/>
          <w:szCs w:val="20"/>
          <w:lang w:val="es-ES"/>
        </w:rPr>
        <w:t xml:space="preserve">mediante la cual </w:t>
      </w:r>
      <w:r w:rsidRPr="008531CD">
        <w:rPr>
          <w:rFonts w:ascii="Verdana" w:eastAsia="Calibri" w:hAnsi="Verdana" w:cs="Arial"/>
          <w:color w:val="000000" w:themeColor="text1"/>
          <w:sz w:val="20"/>
          <w:szCs w:val="20"/>
          <w:lang w:val="es-ES"/>
        </w:rPr>
        <w:t>el contratista ampara los perjuicios que le pueda generar a la entidad el incumplimiento de las obligaciones derivadas del contrato</w:t>
      </w:r>
      <w:r w:rsidRPr="008531CD">
        <w:rPr>
          <w:rFonts w:ascii="Verdana" w:eastAsia="Calibri" w:hAnsi="Verdana" w:cs="Arial"/>
          <w:color w:val="000000" w:themeColor="text1"/>
          <w:sz w:val="20"/>
          <w:szCs w:val="20"/>
          <w:vertAlign w:val="superscript"/>
        </w:rPr>
        <w:footnoteReference w:id="17"/>
      </w:r>
      <w:r w:rsidRPr="008531CD">
        <w:rPr>
          <w:rFonts w:ascii="Verdana" w:eastAsia="Calibri" w:hAnsi="Verdana" w:cs="Arial"/>
          <w:color w:val="000000" w:themeColor="text1"/>
          <w:sz w:val="20"/>
          <w:szCs w:val="20"/>
          <w:lang w:val="es-ES"/>
        </w:rPr>
        <w:t xml:space="preserve">. En esta medida, tienen como objetivo reparar los perjuicios causados por conductas atribuibles al contratista, por lo que estos últimos son un presupuesto necesario para el pago que cubre la garantía. Esta norma prescribe </w:t>
      </w:r>
      <w:r w:rsidRPr="008531CD">
        <w:rPr>
          <w:rFonts w:ascii="Verdana" w:hAnsi="Verdana" w:cs="Arial"/>
          <w:color w:val="000000" w:themeColor="text1"/>
          <w:sz w:val="20"/>
          <w:szCs w:val="20"/>
        </w:rPr>
        <w:t xml:space="preserve">que la garantía de cumplimiento debe cubrir: i) el buen manejo y correcta inversión del anticipo; </w:t>
      </w:r>
      <w:proofErr w:type="spellStart"/>
      <w:r w:rsidRPr="008531CD">
        <w:rPr>
          <w:rFonts w:ascii="Verdana" w:hAnsi="Verdana" w:cs="Arial"/>
          <w:color w:val="000000" w:themeColor="text1"/>
          <w:sz w:val="20"/>
          <w:szCs w:val="20"/>
        </w:rPr>
        <w:t>ii</w:t>
      </w:r>
      <w:proofErr w:type="spellEnd"/>
      <w:r w:rsidRPr="008531CD">
        <w:rPr>
          <w:rFonts w:ascii="Verdana" w:hAnsi="Verdana" w:cs="Arial"/>
          <w:color w:val="000000" w:themeColor="text1"/>
          <w:sz w:val="20"/>
          <w:szCs w:val="20"/>
        </w:rPr>
        <w:t xml:space="preserve">) la devolución del pago </w:t>
      </w:r>
      <w:r w:rsidRPr="008531CD">
        <w:rPr>
          <w:rFonts w:ascii="Verdana" w:hAnsi="Verdana" w:cs="Arial"/>
          <w:color w:val="000000" w:themeColor="text1"/>
          <w:sz w:val="20"/>
          <w:szCs w:val="20"/>
        </w:rPr>
        <w:lastRenderedPageBreak/>
        <w:t xml:space="preserve">anticipado; </w:t>
      </w:r>
      <w:proofErr w:type="spellStart"/>
      <w:r w:rsidRPr="008531CD">
        <w:rPr>
          <w:rFonts w:ascii="Verdana" w:hAnsi="Verdana" w:cs="Arial"/>
          <w:color w:val="000000" w:themeColor="text1"/>
          <w:sz w:val="20"/>
          <w:szCs w:val="20"/>
        </w:rPr>
        <w:t>iii</w:t>
      </w:r>
      <w:proofErr w:type="spellEnd"/>
      <w:r w:rsidRPr="008531CD">
        <w:rPr>
          <w:rFonts w:ascii="Verdana" w:hAnsi="Verdana" w:cs="Arial"/>
          <w:color w:val="000000" w:themeColor="text1"/>
          <w:sz w:val="20"/>
          <w:szCs w:val="20"/>
        </w:rPr>
        <w:t xml:space="preserve">) el cumplimiento del contrato; </w:t>
      </w:r>
      <w:proofErr w:type="spellStart"/>
      <w:r w:rsidRPr="008531CD">
        <w:rPr>
          <w:rFonts w:ascii="Verdana" w:hAnsi="Verdana" w:cs="Arial"/>
          <w:color w:val="000000" w:themeColor="text1"/>
          <w:sz w:val="20"/>
          <w:szCs w:val="20"/>
        </w:rPr>
        <w:t>iv</w:t>
      </w:r>
      <w:proofErr w:type="spellEnd"/>
      <w:r w:rsidRPr="008531CD">
        <w:rPr>
          <w:rFonts w:ascii="Verdana" w:hAnsi="Verdana" w:cs="Arial"/>
          <w:color w:val="000000" w:themeColor="text1"/>
          <w:sz w:val="20"/>
          <w:szCs w:val="20"/>
        </w:rPr>
        <w:t xml:space="preserve">) el pago de salarios, prestaciones sociales legales e indemnizaciones laborales; v)  la estabilidad y calidad de la obra; vi) la </w:t>
      </w:r>
      <w:r w:rsidRPr="008531CD">
        <w:rPr>
          <w:rFonts w:ascii="Verdana" w:eastAsia="Times New Roman" w:hAnsi="Verdana" w:cs="Arial"/>
          <w:color w:val="000000" w:themeColor="text1"/>
          <w:sz w:val="20"/>
          <w:szCs w:val="20"/>
          <w:lang w:eastAsia="es-CO"/>
        </w:rPr>
        <w:t xml:space="preserve">calidad del servicio; </w:t>
      </w:r>
      <w:proofErr w:type="spellStart"/>
      <w:r w:rsidRPr="008531CD">
        <w:rPr>
          <w:rFonts w:ascii="Verdana" w:eastAsia="Times New Roman" w:hAnsi="Verdana" w:cs="Arial"/>
          <w:color w:val="000000" w:themeColor="text1"/>
          <w:sz w:val="20"/>
          <w:szCs w:val="20"/>
          <w:lang w:eastAsia="es-CO"/>
        </w:rPr>
        <w:t>vii</w:t>
      </w:r>
      <w:proofErr w:type="spellEnd"/>
      <w:r w:rsidRPr="008531CD">
        <w:rPr>
          <w:rFonts w:ascii="Verdana" w:eastAsia="Times New Roman" w:hAnsi="Verdana" w:cs="Arial"/>
          <w:color w:val="000000" w:themeColor="text1"/>
          <w:sz w:val="20"/>
          <w:szCs w:val="20"/>
          <w:lang w:eastAsia="es-CO"/>
        </w:rPr>
        <w:t xml:space="preserve">) la calidad y correcto funcionamiento de los bienes; y </w:t>
      </w:r>
      <w:proofErr w:type="spellStart"/>
      <w:r w:rsidRPr="008531CD">
        <w:rPr>
          <w:rFonts w:ascii="Verdana" w:eastAsia="Times New Roman" w:hAnsi="Verdana" w:cs="Arial"/>
          <w:color w:val="000000" w:themeColor="text1"/>
          <w:sz w:val="20"/>
          <w:szCs w:val="20"/>
          <w:lang w:eastAsia="es-CO"/>
        </w:rPr>
        <w:t>viii</w:t>
      </w:r>
      <w:proofErr w:type="spellEnd"/>
      <w:r w:rsidRPr="008531CD">
        <w:rPr>
          <w:rFonts w:ascii="Verdana" w:eastAsia="Times New Roman" w:hAnsi="Verdana" w:cs="Arial"/>
          <w:color w:val="000000" w:themeColor="text1"/>
          <w:sz w:val="20"/>
          <w:szCs w:val="20"/>
          <w:lang w:eastAsia="es-CO"/>
        </w:rPr>
        <w:t>) los demás incumplimientos de las obligaciones que la entidad estatal considere deben ser amparados</w:t>
      </w:r>
      <w:r w:rsidRPr="008531CD">
        <w:rPr>
          <w:rFonts w:ascii="Verdana" w:eastAsia="Times New Roman" w:hAnsi="Verdana" w:cs="Arial"/>
          <w:color w:val="000000" w:themeColor="text1"/>
          <w:sz w:val="20"/>
          <w:szCs w:val="20"/>
          <w:vertAlign w:val="superscript"/>
          <w:lang w:eastAsia="es-CO"/>
        </w:rPr>
        <w:footnoteReference w:id="18"/>
      </w:r>
      <w:r w:rsidRPr="008531CD">
        <w:rPr>
          <w:rFonts w:ascii="Verdana" w:eastAsia="Times New Roman" w:hAnsi="Verdana" w:cs="Arial"/>
          <w:color w:val="000000" w:themeColor="text1"/>
          <w:sz w:val="20"/>
          <w:szCs w:val="20"/>
          <w:lang w:eastAsia="es-CO"/>
        </w:rPr>
        <w:t xml:space="preserve">. </w:t>
      </w:r>
    </w:p>
    <w:p w14:paraId="3856FEE9" w14:textId="77777777" w:rsidR="00866400" w:rsidRPr="008531CD" w:rsidRDefault="00866400" w:rsidP="00866400">
      <w:pPr>
        <w:spacing w:before="120" w:after="0" w:line="276" w:lineRule="auto"/>
        <w:ind w:firstLine="708"/>
        <w:jc w:val="both"/>
        <w:rPr>
          <w:rFonts w:ascii="Verdana" w:eastAsia="Times New Roman" w:hAnsi="Verdana" w:cs="Arial"/>
          <w:color w:val="000000" w:themeColor="text1"/>
          <w:sz w:val="20"/>
          <w:szCs w:val="20"/>
          <w:lang w:eastAsia="es-CO"/>
        </w:rPr>
      </w:pPr>
      <w:r w:rsidRPr="008531CD">
        <w:rPr>
          <w:rFonts w:ascii="Verdana" w:eastAsia="Times New Roman" w:hAnsi="Verdana" w:cs="Arial"/>
          <w:color w:val="000000" w:themeColor="text1"/>
          <w:sz w:val="20"/>
          <w:szCs w:val="20"/>
          <w:lang w:eastAsia="es-CO"/>
        </w:rPr>
        <w:t xml:space="preserve">De esta manera, con base en el análisis efectuado en los estudios y documentos previos, las entidades estatales podrán determinar la necesidad de exigir la garantía única de cumplimiento, incluyendo el respectivo amparo de cumplimiento, en los contratos de prestación de servicios, cuando se identifiquen riesgos asociados al eventual incumplimiento contractual. </w:t>
      </w:r>
    </w:p>
    <w:p w14:paraId="7C7E0383" w14:textId="77777777" w:rsidR="00866400" w:rsidRPr="008531CD" w:rsidRDefault="00866400" w:rsidP="00866400">
      <w:pPr>
        <w:spacing w:before="120" w:after="0" w:line="276" w:lineRule="auto"/>
        <w:ind w:firstLine="708"/>
        <w:jc w:val="both"/>
        <w:rPr>
          <w:rFonts w:ascii="Verdana" w:hAnsi="Verdana" w:cs="Arial"/>
          <w:color w:val="000000" w:themeColor="text1"/>
          <w:sz w:val="20"/>
          <w:szCs w:val="20"/>
        </w:rPr>
      </w:pPr>
      <w:r w:rsidRPr="008531CD">
        <w:rPr>
          <w:rFonts w:ascii="Verdana" w:eastAsia="Times New Roman" w:hAnsi="Verdana" w:cs="Arial"/>
          <w:color w:val="000000" w:themeColor="text1"/>
          <w:sz w:val="20"/>
          <w:szCs w:val="20"/>
          <w:lang w:eastAsia="es-CO"/>
        </w:rPr>
        <w:t xml:space="preserve">Por otro lado, también es importante precisar que </w:t>
      </w:r>
      <w:r w:rsidRPr="008531CD">
        <w:rPr>
          <w:rFonts w:ascii="Verdana" w:eastAsia="Calibri" w:hAnsi="Verdana" w:cs="Arial"/>
          <w:sz w:val="20"/>
          <w:szCs w:val="20"/>
          <w:lang w:val="es-ES"/>
        </w:rPr>
        <w:t xml:space="preserve">las actividades y obligaciones del contrato de prestación de servicios, como se explicó, deben estar </w:t>
      </w:r>
      <w:r w:rsidRPr="008531CD">
        <w:rPr>
          <w:rFonts w:ascii="Verdana" w:eastAsia="Calibri" w:hAnsi="Verdana" w:cs="Arial"/>
          <w:color w:val="000000"/>
          <w:sz w:val="20"/>
          <w:szCs w:val="20"/>
        </w:rPr>
        <w:t xml:space="preserve">relacionadas con la administración o funcionamiento de la entidad, es decir, que hagan parte de su giro ordinario o quehacer cotidiano. </w:t>
      </w:r>
      <w:r w:rsidRPr="008531CD">
        <w:rPr>
          <w:rFonts w:ascii="Verdana" w:hAnsi="Verdana" w:cs="Arial"/>
          <w:color w:val="000000" w:themeColor="text1"/>
          <w:sz w:val="20"/>
          <w:szCs w:val="20"/>
        </w:rPr>
        <w:t xml:space="preserve">Estas actividades deben guardar relación con el funcionamiento de la entidad y ejecutarse por el tiempo estrictamente indispensable, teniendo en cuenta las necesidades que la administración pública pretenda satisfacer. En otras palabras, su propósito es desarrollar actividades relacionadas con el </w:t>
      </w:r>
      <w:r w:rsidRPr="008531CD">
        <w:rPr>
          <w:rFonts w:ascii="Verdana" w:hAnsi="Verdana" w:cs="Arial"/>
          <w:color w:val="000000" w:themeColor="text1"/>
          <w:sz w:val="20"/>
          <w:szCs w:val="20"/>
        </w:rPr>
        <w:lastRenderedPageBreak/>
        <w:t xml:space="preserve">cumplimiento de las funciones y objeto misional a cargo de la entidad contratante, siempre que tales actividades o funciones sean temporales, excepcionales u ocasionales y no puedan realizarse con el personal de planta, bien por ser insuficiente o bien porque se requieran conocimientos especializados. Por consiguiente, en estos contratos no pueden suplirse, de forma definitiva, las funciones permanentes de la entidad. </w:t>
      </w:r>
    </w:p>
    <w:p w14:paraId="0959B4C0" w14:textId="77777777" w:rsidR="00866400" w:rsidRPr="008531CD" w:rsidRDefault="00866400" w:rsidP="00866400">
      <w:pPr>
        <w:spacing w:before="120" w:after="120" w:line="276" w:lineRule="auto"/>
        <w:ind w:firstLine="709"/>
        <w:jc w:val="both"/>
        <w:rPr>
          <w:rFonts w:ascii="Verdana" w:hAnsi="Verdana" w:cs="Arial"/>
          <w:color w:val="000000" w:themeColor="text1"/>
          <w:sz w:val="20"/>
          <w:szCs w:val="20"/>
        </w:rPr>
      </w:pPr>
      <w:r w:rsidRPr="008531CD">
        <w:rPr>
          <w:rFonts w:ascii="Verdana" w:hAnsi="Verdana" w:cs="Arial"/>
          <w:color w:val="000000" w:themeColor="text1"/>
          <w:sz w:val="20"/>
          <w:szCs w:val="20"/>
        </w:rPr>
        <w:t xml:space="preserve">Para efectos de determinar las actividades específicas a desarrollar deberá tenerse en cuenta el tipo de contrato de prestación de servicios que se suscriba, es decir, si se trata de </w:t>
      </w:r>
      <w:r w:rsidRPr="008531CD">
        <w:rPr>
          <w:rFonts w:ascii="Verdana" w:hAnsi="Verdana"/>
          <w:sz w:val="20"/>
          <w:szCs w:val="20"/>
        </w:rPr>
        <w:t>contratos de prestación de servicios profesionales, de apoyo a la gestión o de servicios artísticos</w:t>
      </w:r>
      <w:r w:rsidRPr="008531CD">
        <w:rPr>
          <w:rFonts w:ascii="Verdana" w:hAnsi="Verdana" w:cs="Arial"/>
          <w:color w:val="000000" w:themeColor="text1"/>
          <w:sz w:val="20"/>
          <w:szCs w:val="20"/>
        </w:rPr>
        <w:t>, ya que su distinción es determinante en las obligaciones a ejecutar. En todo caso, cada entidad estatal es autónoma en la determinación de las obligaciones y derechos a pactar en el contrato de acuerdo con el marco jurídico señalado, revisando, además, que el objeto a contratar no se ubique dentro del ámbito propio de otros tipos contractuales establecidos en la Ley, como, por ejemplo, el contrato de consultoría.</w:t>
      </w:r>
    </w:p>
    <w:p w14:paraId="5177DC7A" w14:textId="77777777" w:rsidR="00866400" w:rsidRPr="008531CD" w:rsidRDefault="00866400" w:rsidP="00866400">
      <w:pPr>
        <w:spacing w:before="120" w:after="120" w:line="276" w:lineRule="auto"/>
        <w:ind w:firstLine="709"/>
        <w:jc w:val="both"/>
        <w:rPr>
          <w:rFonts w:ascii="Verdana" w:hAnsi="Verdana" w:cs="Arial"/>
          <w:color w:val="000000" w:themeColor="text1"/>
          <w:sz w:val="20"/>
          <w:szCs w:val="20"/>
        </w:rPr>
      </w:pPr>
      <w:r w:rsidRPr="008531CD">
        <w:rPr>
          <w:rFonts w:ascii="Verdana" w:hAnsi="Verdana" w:cs="Arial"/>
          <w:color w:val="000000" w:themeColor="text1"/>
          <w:sz w:val="20"/>
          <w:szCs w:val="20"/>
        </w:rPr>
        <w:t>Al respecto, vale la pena poner de presente lo establecido en la</w:t>
      </w:r>
      <w:r w:rsidRPr="008531CD">
        <w:rPr>
          <w:sz w:val="20"/>
          <w:szCs w:val="20"/>
        </w:rPr>
        <w:t xml:space="preserve"> “</w:t>
      </w:r>
      <w:r w:rsidRPr="008531CD">
        <w:rPr>
          <w:rFonts w:ascii="Verdana" w:hAnsi="Verdana"/>
          <w:sz w:val="20"/>
          <w:szCs w:val="20"/>
        </w:rPr>
        <w:t>Guía para la Incorporación de Lineamientos de Integridad en la Contratación de Prestación de Servicios” expedida por esta Agencia, en la que se indicó que:</w:t>
      </w:r>
      <w:r w:rsidRPr="008531CD">
        <w:rPr>
          <w:sz w:val="20"/>
          <w:szCs w:val="20"/>
        </w:rPr>
        <w:t xml:space="preserve"> </w:t>
      </w:r>
      <w:r w:rsidRPr="008531CD">
        <w:rPr>
          <w:rFonts w:ascii="Verdana" w:hAnsi="Verdana" w:cs="Arial"/>
          <w:color w:val="000000" w:themeColor="text1"/>
          <w:sz w:val="20"/>
          <w:szCs w:val="20"/>
        </w:rPr>
        <w:t xml:space="preserve"> “la delimitación del objeto del contrato proviene no sólo de las normas positivas que lo definen, sino también de disposiciones prohibitivas o restrictivas que indican que el contrato de prestación de servicios no es un medio para suplir la vinculación de personas naturales en el desempeño de la función pública, ni constituye un instrumento para el cumplimiento propiamente dicho de ella”. </w:t>
      </w:r>
    </w:p>
    <w:p w14:paraId="7E520D08" w14:textId="77777777" w:rsidR="00866400" w:rsidRPr="008531CD" w:rsidRDefault="00866400" w:rsidP="00866400">
      <w:pPr>
        <w:widowControl w:val="0"/>
        <w:autoSpaceDE w:val="0"/>
        <w:autoSpaceDN w:val="0"/>
        <w:spacing w:after="120" w:line="276" w:lineRule="auto"/>
        <w:ind w:firstLine="708"/>
        <w:jc w:val="both"/>
        <w:rPr>
          <w:rFonts w:ascii="Verdana" w:eastAsia="Century Gothic" w:hAnsi="Verdana" w:cs="Century Gothic"/>
          <w:sz w:val="20"/>
          <w:szCs w:val="20"/>
        </w:rPr>
      </w:pPr>
      <w:r w:rsidRPr="008531CD">
        <w:rPr>
          <w:rFonts w:ascii="Verdana" w:eastAsia="Century Gothic" w:hAnsi="Verdana" w:cs="Century Gothic"/>
          <w:sz w:val="20"/>
          <w:szCs w:val="20"/>
        </w:rPr>
        <w:t xml:space="preserve">Respecto de la categoría de los contratos de prestación de servicios artísticos que sólo pueden encomendarse a determinadas personas naturales, esta tiene por objeto la ejecución de trabajos artísticos, que corresponden a creaciones humanas que expresan una especial visión del mundo, tanto real como imaginaria, por lo que sólo pueden celebrarse con personas naturales. En efecto, si bien el literal d) del artículo 24.1 de la Ley 80 de 1993 habilitaba en su versión primigenia la contratación directa “[…] para la ejecución de trabajos artísticos que sólo puedan encomendarse a determinadas personas naturales o jurídicas […]”, también es cierto que esta norma fue derogada expresamente por el artículo 32 de la Ley 1150 de 2007. </w:t>
      </w:r>
    </w:p>
    <w:p w14:paraId="2CCAEE82" w14:textId="77777777" w:rsidR="00866400" w:rsidRPr="008531CD" w:rsidRDefault="00866400" w:rsidP="00866400">
      <w:pPr>
        <w:widowControl w:val="0"/>
        <w:autoSpaceDE w:val="0"/>
        <w:autoSpaceDN w:val="0"/>
        <w:spacing w:after="120" w:line="276" w:lineRule="auto"/>
        <w:ind w:firstLine="709"/>
        <w:jc w:val="both"/>
        <w:rPr>
          <w:rFonts w:ascii="Verdana" w:eastAsia="Century Gothic" w:hAnsi="Verdana" w:cs="Century Gothic"/>
          <w:sz w:val="20"/>
          <w:szCs w:val="20"/>
        </w:rPr>
      </w:pPr>
      <w:r w:rsidRPr="008531CD">
        <w:rPr>
          <w:rFonts w:ascii="Verdana" w:eastAsia="Century Gothic" w:hAnsi="Verdana" w:cs="Century Gothic"/>
          <w:sz w:val="20"/>
          <w:szCs w:val="20"/>
        </w:rPr>
        <w:t xml:space="preserve">Dado que el literal d) del artículo 24.1 de la Ley 80 de 1993 perdió vigencia, las causales de contratación directa son las del artículo 2.4 de la Ley 1150 de 2007. Por su parte, el literal h) de esta última norma, a diferencia de la disposición derogada, solo permite la contratación directa para la “[…] para la ejecución de trabajos artísticos que sólo puedan encomendarse a determinadas personas naturales”, excluyendo la posibilidad de celebrarlos con personas jurídicas. Esta orientación fue reproducida en el inciso final del artículo 2.2.1.2.1.4.9 del Decreto 1082 de 2015, el cual dispone </w:t>
      </w:r>
      <w:r w:rsidRPr="008531CD">
        <w:rPr>
          <w:rFonts w:ascii="Verdana" w:eastAsia="Century Gothic" w:hAnsi="Verdana" w:cs="Century Gothic"/>
          <w:sz w:val="20"/>
          <w:szCs w:val="20"/>
        </w:rPr>
        <w:lastRenderedPageBreak/>
        <w:t>expresamente que “La Entidad Estatal, para la contratación de trabajos artísticos que solamente puedan encomendarse a determinadas personas naturales, debe justificar esta situación en los estudios y documentos previos”.</w:t>
      </w:r>
    </w:p>
    <w:p w14:paraId="002CBBC9" w14:textId="77777777" w:rsidR="00866400" w:rsidRPr="008531CD" w:rsidRDefault="00866400" w:rsidP="00866400">
      <w:pPr>
        <w:spacing w:before="120" w:after="120" w:line="276" w:lineRule="auto"/>
        <w:ind w:firstLine="709"/>
        <w:jc w:val="both"/>
        <w:rPr>
          <w:rFonts w:ascii="Verdana" w:eastAsia="Century Gothic" w:hAnsi="Verdana" w:cs="Century Gothic"/>
          <w:sz w:val="20"/>
          <w:szCs w:val="20"/>
        </w:rPr>
      </w:pPr>
      <w:r w:rsidRPr="008531CD">
        <w:rPr>
          <w:rFonts w:ascii="Verdana" w:eastAsia="Century Gothic" w:hAnsi="Verdana" w:cs="Century Gothic"/>
          <w:sz w:val="20"/>
          <w:szCs w:val="20"/>
        </w:rPr>
        <w:t>Respecto al alcance de la expresión “[…] que solamente puedan encomendarse a determinadas personas naturales” contenida en el literal h) del artículo 2.4 de la Ley 1150 de 2007, es posible afirmar que la misma está relacionada con el conjunto de capacidades, habilidades y aptitudes artísticas que reúnen ciertas personas naturales en el campo de las artes, verbigracia, los pintores, escultores, actores, músicos, cantantes, etc., sin que la norma exija que sean los únicos en dicho campo. En tal sentido, la contratación directa puede ser viable cuando aun habiendo varios sujetos en el campo artístico identificado por la entidad estatal, la escogencia del artista se hace atendiendo a esas habilidades artísticas especiales que caracterizan a determinadas personas naturales, y que, en el marco del principio de la selección objetiva, se requieren para la satisfacción de la necesidad de la entidad estatal. En todo caso, se manifiesta que cada entidad estatal en el marco de su autonomía es la competente para establecer los criterios de escogencia del artista que requiere para la satisfacción de la necesidad identificada, justificando dicho acto en los estudios y documentos previos.</w:t>
      </w:r>
    </w:p>
    <w:p w14:paraId="4F2CB73B" w14:textId="77777777" w:rsidR="00866400" w:rsidRPr="008531CD" w:rsidRDefault="00866400" w:rsidP="00866400">
      <w:pPr>
        <w:spacing w:after="120" w:line="276" w:lineRule="auto"/>
        <w:ind w:firstLine="709"/>
        <w:jc w:val="both"/>
        <w:rPr>
          <w:rFonts w:ascii="Verdana" w:eastAsia="Calibri" w:hAnsi="Verdana" w:cs="Arial"/>
          <w:color w:val="000000"/>
          <w:sz w:val="20"/>
          <w:szCs w:val="20"/>
          <w:lang w:eastAsia="es-ES_tradnl"/>
        </w:rPr>
      </w:pPr>
      <w:r w:rsidRPr="008531CD">
        <w:rPr>
          <w:rFonts w:ascii="Verdana" w:eastAsia="Calibri" w:hAnsi="Verdana" w:cs="Arial"/>
          <w:bCs/>
          <w:color w:val="000000"/>
          <w:sz w:val="20"/>
          <w:szCs w:val="20"/>
          <w:lang w:eastAsia="es-ES_tradnl"/>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17E2888" w14:textId="77777777" w:rsidR="00866400" w:rsidRPr="008531CD" w:rsidRDefault="00866400" w:rsidP="00866400">
      <w:pPr>
        <w:spacing w:after="120" w:line="276" w:lineRule="auto"/>
        <w:ind w:firstLine="709"/>
        <w:jc w:val="both"/>
        <w:rPr>
          <w:rFonts w:ascii="Verdana" w:eastAsia="Calibri" w:hAnsi="Verdana" w:cs="Arial"/>
          <w:bCs/>
          <w:color w:val="000000"/>
          <w:sz w:val="20"/>
          <w:szCs w:val="20"/>
          <w:lang w:eastAsia="es-ES_tradnl"/>
        </w:rPr>
      </w:pPr>
      <w:r w:rsidRPr="008531CD">
        <w:rPr>
          <w:rFonts w:ascii="Verdana" w:eastAsia="Calibri" w:hAnsi="Verdana" w:cs="Arial"/>
          <w:bCs/>
          <w:color w:val="000000"/>
          <w:sz w:val="20"/>
          <w:szCs w:val="20"/>
          <w:lang w:eastAsia="es-ES_tradnl"/>
        </w:rPr>
        <w:t xml:space="preserve">Dentro de este marco, la entidad contratante definirá en cada caso concreto lo relacionado con los aspectos puntuales del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5FE59FF4" w14:textId="77777777" w:rsidR="00866400" w:rsidRPr="008531CD" w:rsidRDefault="00866400" w:rsidP="00866400">
      <w:pPr>
        <w:widowControl w:val="0"/>
        <w:autoSpaceDE w:val="0"/>
        <w:autoSpaceDN w:val="0"/>
        <w:spacing w:after="0" w:line="276" w:lineRule="auto"/>
        <w:jc w:val="both"/>
        <w:rPr>
          <w:rFonts w:ascii="Verdana" w:eastAsia="Arial" w:hAnsi="Verdana" w:cs="Arial"/>
          <w:sz w:val="20"/>
          <w:szCs w:val="20"/>
          <w:lang w:val="es-ES"/>
        </w:rPr>
      </w:pPr>
    </w:p>
    <w:p w14:paraId="72335411" w14:textId="77777777" w:rsidR="008531CD" w:rsidRPr="008531CD" w:rsidRDefault="008531CD" w:rsidP="00866400">
      <w:pPr>
        <w:widowControl w:val="0"/>
        <w:autoSpaceDE w:val="0"/>
        <w:autoSpaceDN w:val="0"/>
        <w:spacing w:after="0" w:line="276" w:lineRule="auto"/>
        <w:jc w:val="both"/>
        <w:rPr>
          <w:rFonts w:ascii="Verdana" w:eastAsia="Arial" w:hAnsi="Verdana" w:cs="Arial"/>
          <w:sz w:val="20"/>
          <w:szCs w:val="20"/>
          <w:lang w:val="es-ES"/>
        </w:rPr>
      </w:pPr>
    </w:p>
    <w:p w14:paraId="762B5567" w14:textId="77777777" w:rsidR="008531CD" w:rsidRPr="008531CD" w:rsidRDefault="008531CD" w:rsidP="00866400">
      <w:pPr>
        <w:widowControl w:val="0"/>
        <w:autoSpaceDE w:val="0"/>
        <w:autoSpaceDN w:val="0"/>
        <w:spacing w:after="0" w:line="276" w:lineRule="auto"/>
        <w:jc w:val="both"/>
        <w:rPr>
          <w:rFonts w:ascii="Verdana" w:eastAsia="Arial" w:hAnsi="Verdana" w:cs="Arial"/>
          <w:sz w:val="20"/>
          <w:szCs w:val="20"/>
          <w:lang w:val="es-ES"/>
        </w:rPr>
      </w:pPr>
    </w:p>
    <w:p w14:paraId="0736367A" w14:textId="77777777" w:rsidR="00866400" w:rsidRPr="008531CD" w:rsidRDefault="00866400" w:rsidP="00866400">
      <w:pPr>
        <w:numPr>
          <w:ilvl w:val="0"/>
          <w:numId w:val="2"/>
        </w:numPr>
        <w:tabs>
          <w:tab w:val="left" w:pos="142"/>
          <w:tab w:val="left" w:pos="284"/>
        </w:tabs>
        <w:spacing w:after="0" w:line="276" w:lineRule="auto"/>
        <w:jc w:val="both"/>
        <w:rPr>
          <w:rFonts w:ascii="Verdana" w:eastAsia="Century Gothic" w:hAnsi="Verdana" w:cs="Century Gothic"/>
          <w:b/>
          <w:bCs/>
          <w:sz w:val="20"/>
          <w:szCs w:val="20"/>
        </w:rPr>
      </w:pPr>
      <w:r w:rsidRPr="008531CD">
        <w:rPr>
          <w:rFonts w:ascii="Verdana" w:eastAsia="Century Gothic" w:hAnsi="Verdana" w:cs="Century Gothic"/>
          <w:b/>
          <w:bCs/>
          <w:sz w:val="20"/>
          <w:szCs w:val="20"/>
        </w:rPr>
        <w:lastRenderedPageBreak/>
        <w:t>Referencias normativas y jurisprudenciales:</w:t>
      </w:r>
    </w:p>
    <w:p w14:paraId="45D4954D" w14:textId="77777777" w:rsidR="00866400" w:rsidRPr="008531CD" w:rsidRDefault="00866400" w:rsidP="00866400">
      <w:pPr>
        <w:widowControl w:val="0"/>
        <w:autoSpaceDE w:val="0"/>
        <w:autoSpaceDN w:val="0"/>
        <w:spacing w:after="0" w:line="276" w:lineRule="auto"/>
        <w:jc w:val="both"/>
        <w:rPr>
          <w:rFonts w:ascii="Verdana" w:hAnsi="Verdana" w:cs="Arial"/>
          <w:sz w:val="20"/>
          <w:szCs w:val="20"/>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66400" w:rsidRPr="008531CD" w14:paraId="1B6AC151" w14:textId="77777777" w:rsidTr="00836069">
        <w:trPr>
          <w:trHeight w:val="410"/>
          <w:jc w:val="center"/>
        </w:trPr>
        <w:tc>
          <w:tcPr>
            <w:tcW w:w="8647" w:type="dxa"/>
          </w:tcPr>
          <w:p w14:paraId="0770808B" w14:textId="77777777" w:rsidR="00866400" w:rsidRPr="008531CD" w:rsidRDefault="00866400" w:rsidP="00866400">
            <w:pPr>
              <w:numPr>
                <w:ilvl w:val="0"/>
                <w:numId w:val="3"/>
              </w:numPr>
              <w:spacing w:line="276" w:lineRule="auto"/>
              <w:ind w:left="318" w:hanging="284"/>
              <w:contextualSpacing/>
              <w:rPr>
                <w:rFonts w:ascii="Verdana" w:hAnsi="Verdana" w:cs="Arial"/>
                <w:sz w:val="20"/>
                <w:szCs w:val="20"/>
                <w:lang w:val="es-MX"/>
              </w:rPr>
            </w:pPr>
            <w:r w:rsidRPr="008531CD">
              <w:rPr>
                <w:rFonts w:ascii="Verdana" w:hAnsi="Verdana" w:cs="Arial"/>
                <w:sz w:val="20"/>
                <w:szCs w:val="20"/>
                <w:lang w:val="es-MX"/>
              </w:rPr>
              <w:t xml:space="preserve">Ley 80 de 1993, artículos 14, 25 y 32, numeral 3º, 41 y 60. </w:t>
            </w:r>
          </w:p>
          <w:p w14:paraId="0200189C" w14:textId="77777777" w:rsidR="00866400" w:rsidRPr="008531CD" w:rsidRDefault="00866400" w:rsidP="00866400">
            <w:pPr>
              <w:numPr>
                <w:ilvl w:val="0"/>
                <w:numId w:val="3"/>
              </w:numPr>
              <w:spacing w:line="276" w:lineRule="auto"/>
              <w:ind w:left="318" w:hanging="284"/>
              <w:contextualSpacing/>
              <w:rPr>
                <w:rFonts w:ascii="Verdana" w:hAnsi="Verdana" w:cs="Arial"/>
                <w:sz w:val="20"/>
                <w:szCs w:val="20"/>
                <w:lang w:val="es-MX"/>
              </w:rPr>
            </w:pPr>
            <w:r w:rsidRPr="008531CD">
              <w:rPr>
                <w:rFonts w:ascii="Verdana" w:hAnsi="Verdana" w:cs="Arial"/>
                <w:sz w:val="20"/>
                <w:szCs w:val="20"/>
                <w:lang w:val="es-MX"/>
              </w:rPr>
              <w:t xml:space="preserve">Ley 1150 de 2007, artículo 2, numeral 4º, literal h). </w:t>
            </w:r>
          </w:p>
          <w:p w14:paraId="58BCD06B" w14:textId="77777777" w:rsidR="00866400" w:rsidRPr="008531CD" w:rsidRDefault="00866400" w:rsidP="00866400">
            <w:pPr>
              <w:numPr>
                <w:ilvl w:val="0"/>
                <w:numId w:val="3"/>
              </w:numPr>
              <w:spacing w:line="276" w:lineRule="auto"/>
              <w:ind w:left="318" w:hanging="284"/>
              <w:contextualSpacing/>
              <w:rPr>
                <w:rFonts w:ascii="Verdana" w:hAnsi="Verdana" w:cs="Arial"/>
                <w:szCs w:val="20"/>
                <w:lang w:val="es-MX"/>
              </w:rPr>
            </w:pPr>
            <w:r w:rsidRPr="008531CD">
              <w:rPr>
                <w:rFonts w:ascii="Verdana" w:hAnsi="Verdana" w:cs="Arial"/>
                <w:sz w:val="20"/>
                <w:szCs w:val="20"/>
                <w:lang w:val="es-MX"/>
              </w:rPr>
              <w:t>Decreto 1082 de 2015, artículos 2.2.1.2.1.4.9.</w:t>
            </w:r>
            <w:r w:rsidRPr="008531CD">
              <w:rPr>
                <w:rFonts w:ascii="Verdana" w:hAnsi="Verdana" w:cs="Arial"/>
                <w:szCs w:val="20"/>
                <w:lang w:val="es-MX"/>
              </w:rPr>
              <w:t xml:space="preserve"> y </w:t>
            </w:r>
            <w:r w:rsidRPr="008531CD">
              <w:rPr>
                <w:rFonts w:ascii="Verdana" w:eastAsia="Times New Roman" w:hAnsi="Verdana" w:cs="Arial"/>
                <w:color w:val="000000" w:themeColor="text1"/>
                <w:sz w:val="20"/>
                <w:szCs w:val="20"/>
                <w:lang w:val="es-MX" w:eastAsia="es-CO"/>
              </w:rPr>
              <w:t>2.2.1.2.3.1.7</w:t>
            </w:r>
          </w:p>
          <w:p w14:paraId="5E94781B" w14:textId="77777777" w:rsidR="00866400" w:rsidRPr="008531CD" w:rsidRDefault="00866400" w:rsidP="00866400">
            <w:pPr>
              <w:numPr>
                <w:ilvl w:val="0"/>
                <w:numId w:val="3"/>
              </w:numPr>
              <w:spacing w:line="276" w:lineRule="auto"/>
              <w:ind w:left="318" w:hanging="284"/>
              <w:contextualSpacing/>
              <w:jc w:val="both"/>
              <w:rPr>
                <w:rFonts w:ascii="Verdana" w:hAnsi="Verdana" w:cs="Arial"/>
                <w:sz w:val="20"/>
                <w:szCs w:val="20"/>
                <w:lang w:val="es-MX"/>
              </w:rPr>
            </w:pPr>
            <w:r w:rsidRPr="008531CD">
              <w:rPr>
                <w:rFonts w:ascii="Verdana" w:hAnsi="Verdana" w:cs="Arial"/>
                <w:sz w:val="20"/>
                <w:szCs w:val="20"/>
              </w:rPr>
              <w:t xml:space="preserve">Guía Para la Incorporación de Lineamientos de Integridad en la Contratación de Prestación de Servicios. Disponible en: </w:t>
            </w:r>
            <w:hyperlink r:id="rId9" w:history="1">
              <w:r w:rsidRPr="008531CD">
                <w:rPr>
                  <w:rFonts w:ascii="Verdana" w:hAnsi="Verdana" w:cs="Arial"/>
                  <w:color w:val="467886" w:themeColor="hyperlink"/>
                  <w:sz w:val="20"/>
                  <w:szCs w:val="20"/>
                  <w:u w:val="single"/>
                </w:rPr>
                <w:t>https://www.colombiacompra.gov.co/wp-content/uploads/2024/08/cce-eicp-gi-23_guia_contratacion_prestacion_de_servicios_v1_11-07-2023_def_1_1.pdf</w:t>
              </w:r>
            </w:hyperlink>
            <w:r w:rsidRPr="008531CD">
              <w:rPr>
                <w:rFonts w:ascii="Verdana" w:hAnsi="Verdana" w:cs="Arial"/>
                <w:sz w:val="20"/>
                <w:szCs w:val="20"/>
              </w:rPr>
              <w:t xml:space="preserve"> </w:t>
            </w:r>
          </w:p>
          <w:p w14:paraId="00D08F7C" w14:textId="77777777" w:rsidR="00866400" w:rsidRPr="008531CD" w:rsidRDefault="00866400" w:rsidP="00866400">
            <w:pPr>
              <w:numPr>
                <w:ilvl w:val="0"/>
                <w:numId w:val="3"/>
              </w:numPr>
              <w:spacing w:line="276" w:lineRule="auto"/>
              <w:ind w:left="318" w:hanging="284"/>
              <w:contextualSpacing/>
              <w:jc w:val="both"/>
              <w:rPr>
                <w:rFonts w:ascii="Verdana" w:hAnsi="Verdana" w:cs="Arial"/>
                <w:sz w:val="20"/>
                <w:szCs w:val="20"/>
                <w:lang w:val="es-MX"/>
              </w:rPr>
            </w:pPr>
            <w:r w:rsidRPr="008531CD">
              <w:rPr>
                <w:rFonts w:ascii="Verdana" w:hAnsi="Verdana" w:cs="Arial"/>
                <w:color w:val="000000"/>
                <w:sz w:val="20"/>
                <w:szCs w:val="20"/>
                <w:lang w:val="es-MX"/>
              </w:rPr>
              <w:t>Consejo De Estado, Sala de Consulta y Servicio Civil. Radicado No. 1453. Concepto de 6 de agosto de 2003. MP. Augusto Trejos.</w:t>
            </w:r>
          </w:p>
          <w:p w14:paraId="5C1D3C32" w14:textId="77777777" w:rsidR="00866400" w:rsidRPr="008531CD" w:rsidRDefault="00866400" w:rsidP="00866400">
            <w:pPr>
              <w:numPr>
                <w:ilvl w:val="0"/>
                <w:numId w:val="3"/>
              </w:numPr>
              <w:spacing w:line="276" w:lineRule="auto"/>
              <w:ind w:left="318" w:hanging="284"/>
              <w:contextualSpacing/>
              <w:jc w:val="both"/>
              <w:rPr>
                <w:rFonts w:ascii="Verdana" w:hAnsi="Verdana" w:cs="Arial"/>
                <w:sz w:val="20"/>
                <w:szCs w:val="20"/>
                <w:lang w:val="es-MX"/>
              </w:rPr>
            </w:pPr>
            <w:r w:rsidRPr="008531CD">
              <w:rPr>
                <w:rFonts w:ascii="Verdana" w:hAnsi="Verdana" w:cs="Arial"/>
                <w:sz w:val="20"/>
                <w:szCs w:val="20"/>
                <w:lang w:val="es-MX"/>
              </w:rPr>
              <w:t xml:space="preserve">Consejo De Estado. Sección Tercera. Subsección A. Sentencia del 12 de febrero de 2015. </w:t>
            </w:r>
            <w:proofErr w:type="spellStart"/>
            <w:r w:rsidRPr="008531CD">
              <w:rPr>
                <w:rFonts w:ascii="Verdana" w:hAnsi="Verdana" w:cs="Arial"/>
                <w:sz w:val="20"/>
                <w:szCs w:val="20"/>
                <w:lang w:val="es-MX"/>
              </w:rPr>
              <w:t>Exp</w:t>
            </w:r>
            <w:proofErr w:type="spellEnd"/>
            <w:r w:rsidRPr="008531CD">
              <w:rPr>
                <w:rFonts w:ascii="Verdana" w:hAnsi="Verdana" w:cs="Arial"/>
                <w:sz w:val="20"/>
                <w:szCs w:val="20"/>
                <w:lang w:val="es-MX"/>
              </w:rPr>
              <w:t>.  28278. C.P. Carlos Alberto Zambrano Barrera.</w:t>
            </w:r>
          </w:p>
          <w:p w14:paraId="689B3430" w14:textId="77777777" w:rsidR="00866400" w:rsidRPr="008531CD" w:rsidRDefault="00866400" w:rsidP="00866400">
            <w:pPr>
              <w:numPr>
                <w:ilvl w:val="0"/>
                <w:numId w:val="3"/>
              </w:numPr>
              <w:spacing w:line="276" w:lineRule="auto"/>
              <w:ind w:left="318" w:hanging="284"/>
              <w:contextualSpacing/>
              <w:jc w:val="both"/>
              <w:rPr>
                <w:rFonts w:ascii="Verdana" w:hAnsi="Verdana" w:cs="Arial"/>
                <w:sz w:val="20"/>
                <w:szCs w:val="20"/>
                <w:lang w:val="es-MX"/>
              </w:rPr>
            </w:pPr>
            <w:r w:rsidRPr="008531CD">
              <w:rPr>
                <w:rFonts w:ascii="Verdana" w:hAnsi="Verdana" w:cs="Arial"/>
                <w:color w:val="000000"/>
                <w:sz w:val="20"/>
                <w:szCs w:val="20"/>
                <w:lang w:val="es-ES"/>
              </w:rPr>
              <w:t xml:space="preserve">Consejo de Estado. Sección Tercera. Subsección C. Sentencia del 2 de diciembre de 2013. </w:t>
            </w:r>
            <w:proofErr w:type="spellStart"/>
            <w:r w:rsidRPr="008531CD">
              <w:rPr>
                <w:rFonts w:ascii="Verdana" w:hAnsi="Verdana" w:cs="Arial"/>
                <w:color w:val="000000"/>
                <w:sz w:val="20"/>
                <w:szCs w:val="20"/>
                <w:lang w:val="es-ES"/>
              </w:rPr>
              <w:t>Exp</w:t>
            </w:r>
            <w:proofErr w:type="spellEnd"/>
            <w:r w:rsidRPr="008531CD">
              <w:rPr>
                <w:rFonts w:ascii="Verdana" w:hAnsi="Verdana" w:cs="Arial"/>
                <w:color w:val="000000"/>
                <w:sz w:val="20"/>
                <w:szCs w:val="20"/>
                <w:lang w:val="es-ES"/>
              </w:rPr>
              <w:t>. 41719. Consejero Ponente: Jaime Orlando Santofimio Gamboa.</w:t>
            </w:r>
          </w:p>
          <w:p w14:paraId="252DFB91" w14:textId="77777777" w:rsidR="00866400" w:rsidRPr="008531CD" w:rsidRDefault="00866400" w:rsidP="00866400">
            <w:pPr>
              <w:numPr>
                <w:ilvl w:val="0"/>
                <w:numId w:val="3"/>
              </w:numPr>
              <w:spacing w:line="276" w:lineRule="auto"/>
              <w:ind w:left="318" w:hanging="284"/>
              <w:contextualSpacing/>
              <w:jc w:val="both"/>
              <w:rPr>
                <w:rFonts w:ascii="Verdana" w:hAnsi="Verdana" w:cs="Arial"/>
                <w:sz w:val="20"/>
                <w:szCs w:val="20"/>
                <w:lang w:val="es-MX"/>
              </w:rPr>
            </w:pPr>
            <w:r w:rsidRPr="008531CD">
              <w:rPr>
                <w:rFonts w:ascii="Verdana" w:hAnsi="Verdana" w:cs="Arial"/>
                <w:color w:val="000000"/>
                <w:sz w:val="20"/>
                <w:szCs w:val="20"/>
                <w:lang w:val="es-ES"/>
              </w:rPr>
              <w:t>Corte Constitucional. Sentencia C-154 de 1997. Magistrado Ponente: Hernando Herrera Vergara.</w:t>
            </w:r>
          </w:p>
          <w:p w14:paraId="7018B341" w14:textId="77777777" w:rsidR="00866400" w:rsidRPr="008531CD" w:rsidRDefault="00866400" w:rsidP="00866400">
            <w:pPr>
              <w:numPr>
                <w:ilvl w:val="0"/>
                <w:numId w:val="3"/>
              </w:numPr>
              <w:spacing w:line="276" w:lineRule="auto"/>
              <w:ind w:left="318" w:hanging="284"/>
              <w:contextualSpacing/>
              <w:jc w:val="both"/>
              <w:rPr>
                <w:rFonts w:ascii="Verdana" w:hAnsi="Verdana" w:cs="Arial"/>
                <w:sz w:val="20"/>
                <w:szCs w:val="20"/>
                <w:lang w:val="es-MX"/>
              </w:rPr>
            </w:pPr>
            <w:r w:rsidRPr="008531CD">
              <w:rPr>
                <w:rFonts w:ascii="Verdana" w:eastAsia="Arial Nova" w:hAnsi="Verdana" w:cs="Arial"/>
                <w:sz w:val="20"/>
                <w:szCs w:val="20"/>
                <w:lang w:val="es"/>
              </w:rPr>
              <w:t xml:space="preserve">Corte Constitucional. Sentencia C-614 de 2009. M.P. Jorge Ignacio Pretelt Chaljub. </w:t>
            </w:r>
          </w:p>
          <w:p w14:paraId="7EA1ACAF" w14:textId="77777777" w:rsidR="00866400" w:rsidRPr="008531CD" w:rsidRDefault="00866400" w:rsidP="00866400">
            <w:pPr>
              <w:numPr>
                <w:ilvl w:val="0"/>
                <w:numId w:val="3"/>
              </w:numPr>
              <w:spacing w:line="276" w:lineRule="auto"/>
              <w:ind w:left="318" w:hanging="284"/>
              <w:contextualSpacing/>
              <w:jc w:val="both"/>
              <w:rPr>
                <w:rFonts w:ascii="Verdana" w:hAnsi="Verdana" w:cs="Arial"/>
                <w:sz w:val="20"/>
                <w:szCs w:val="20"/>
                <w:lang w:val="es-MX"/>
              </w:rPr>
            </w:pPr>
            <w:r w:rsidRPr="008531CD">
              <w:rPr>
                <w:rFonts w:ascii="Verdana" w:hAnsi="Verdana" w:cs="Arial"/>
                <w:color w:val="000000"/>
                <w:sz w:val="20"/>
                <w:szCs w:val="20"/>
                <w:lang w:val="es-ES"/>
              </w:rPr>
              <w:t>Corte Constitucional. Sentencia C-154 de 1997. Magistrado Ponente: Hernando Herrera Vergara.</w:t>
            </w:r>
          </w:p>
        </w:tc>
      </w:tr>
    </w:tbl>
    <w:p w14:paraId="6987111F" w14:textId="77777777" w:rsidR="00866400" w:rsidRPr="008531CD" w:rsidRDefault="00866400" w:rsidP="00866400">
      <w:pPr>
        <w:widowControl w:val="0"/>
        <w:autoSpaceDE w:val="0"/>
        <w:autoSpaceDN w:val="0"/>
        <w:spacing w:after="0" w:line="276" w:lineRule="auto"/>
        <w:jc w:val="both"/>
        <w:rPr>
          <w:rFonts w:ascii="Verdana" w:hAnsi="Verdana" w:cs="Arial"/>
          <w:sz w:val="20"/>
          <w:szCs w:val="20"/>
        </w:rPr>
      </w:pPr>
    </w:p>
    <w:p w14:paraId="7DA8C426" w14:textId="77777777" w:rsidR="00866400" w:rsidRPr="008531CD" w:rsidRDefault="00866400" w:rsidP="00866400">
      <w:pPr>
        <w:numPr>
          <w:ilvl w:val="0"/>
          <w:numId w:val="2"/>
        </w:numPr>
        <w:tabs>
          <w:tab w:val="left" w:pos="142"/>
          <w:tab w:val="left" w:pos="284"/>
        </w:tabs>
        <w:spacing w:after="0" w:line="276" w:lineRule="auto"/>
        <w:jc w:val="both"/>
        <w:rPr>
          <w:rFonts w:ascii="Verdana" w:eastAsia="Century Gothic" w:hAnsi="Verdana" w:cs="Century Gothic"/>
          <w:b/>
          <w:bCs/>
          <w:sz w:val="20"/>
          <w:szCs w:val="20"/>
        </w:rPr>
      </w:pPr>
      <w:r w:rsidRPr="008531CD">
        <w:rPr>
          <w:rFonts w:ascii="Verdana" w:eastAsia="Century Gothic" w:hAnsi="Verdana" w:cs="Century Gothic"/>
          <w:b/>
          <w:bCs/>
          <w:sz w:val="20"/>
          <w:szCs w:val="20"/>
        </w:rPr>
        <w:t>Doctrina de la Agencia Nacional de Contratación Pública:</w:t>
      </w:r>
    </w:p>
    <w:p w14:paraId="4E79E99A" w14:textId="77777777" w:rsidR="00866400" w:rsidRPr="008531CD" w:rsidRDefault="00866400" w:rsidP="00866400">
      <w:pPr>
        <w:widowControl w:val="0"/>
        <w:autoSpaceDE w:val="0"/>
        <w:autoSpaceDN w:val="0"/>
        <w:spacing w:after="0" w:line="276" w:lineRule="auto"/>
        <w:jc w:val="both"/>
        <w:rPr>
          <w:rFonts w:ascii="Verdana" w:hAnsi="Verdana" w:cs="Arial"/>
          <w:sz w:val="20"/>
          <w:szCs w:val="20"/>
        </w:rPr>
      </w:pPr>
    </w:p>
    <w:p w14:paraId="3603A644" w14:textId="77777777" w:rsidR="00866400" w:rsidRPr="008531CD" w:rsidRDefault="00866400" w:rsidP="00866400">
      <w:pPr>
        <w:widowControl w:val="0"/>
        <w:autoSpaceDE w:val="0"/>
        <w:autoSpaceDN w:val="0"/>
        <w:spacing w:after="0" w:line="276" w:lineRule="auto"/>
        <w:jc w:val="both"/>
        <w:rPr>
          <w:rFonts w:ascii="Verdana" w:eastAsia="Aptos" w:hAnsi="Verdana" w:cs="Segoe UI"/>
          <w:kern w:val="2"/>
          <w:sz w:val="20"/>
          <w:szCs w:val="20"/>
          <w14:ligatures w14:val="standardContextual"/>
        </w:rPr>
      </w:pPr>
      <w:r w:rsidRPr="008531CD">
        <w:rPr>
          <w:rFonts w:ascii="Verdana" w:hAnsi="Verdana" w:cs="Arial"/>
          <w:sz w:val="20"/>
          <w:szCs w:val="20"/>
          <w:shd w:val="clear" w:color="auto" w:fill="FFFFFF"/>
          <w:lang w:val="es-ES"/>
        </w:rPr>
        <w:t>Sobre los contratos de prestación de servicios, así como los requisitos para su celebración, entre otros, se pronunció esta Subdirección en los conceptos</w:t>
      </w:r>
      <w:r w:rsidRPr="008531CD">
        <w:rPr>
          <w:rFonts w:ascii="Verdana" w:hAnsi="Verdana" w:cs="Calibri"/>
          <w:sz w:val="20"/>
          <w:szCs w:val="20"/>
          <w:shd w:val="clear" w:color="auto" w:fill="FFFFFF"/>
        </w:rPr>
        <w:t xml:space="preserve"> </w:t>
      </w:r>
      <w:r w:rsidRPr="008531CD">
        <w:rPr>
          <w:rFonts w:ascii="Verdana" w:hAnsi="Verdana" w:cs="Arial"/>
          <w:sz w:val="20"/>
          <w:szCs w:val="20"/>
          <w:shd w:val="clear" w:color="auto" w:fill="FFFFFF"/>
          <w:lang w:val="es-ES"/>
        </w:rPr>
        <w:t xml:space="preserve">4201913000006452 del 07 de octubre de 2019, 4201912000006434 del 30 de octubre de 2019, 4201913000006444 del 01 de noviembre de 2019, 4201913000006331 del 07 de noviembre de 2019, 4201912000006692 del 12 de noviembre de 2019de noviembre de 2019, 4201912000006692 del 12 de noviembre  de 20194201912000007378 del 11 de diciembre de 2019, 4201912000007781 del 26 de diciembre de 2019, C−047 del 19 de febrero de 2020, C−105 del 12 de marzo de 2020, C−208 del 24 de marzo de 2020, C−005 del 11 de mayo de 2020, C−006 del 11 de mayo de 2020, C−018 del 11 de mayo de 2020, C−138 del 11 de mayo de 2020, C−053 del 12 de mayo de 2020, C−175 del 12 de mayo de 2020, C−320 del 12 de mayo de 2020, C−255 del 12 de mayo de 2020, C−282del 12 de mayo de 2020, C−238 del 18 de mayo de 2020, C−260 del 18 de mayo de 2020, C−288 del 21 de mayo de 2020, C−293 del 12 de mayo de 2020, C−313 del 21 de mayo de 2020, C−345 del 21 de mayo de 2020, C−359 del 04de junio de 2020, C−379 del 30 de junio de 2020, C−414 del 30 de junio de 2020,C-661 del 17 de noviembre de 2020 C−685 del 18 de diciembre de 2020, C- 004 del 12 de febrero de </w:t>
      </w:r>
      <w:r w:rsidRPr="008531CD">
        <w:rPr>
          <w:rFonts w:ascii="Verdana" w:hAnsi="Verdana" w:cs="Arial"/>
          <w:sz w:val="20"/>
          <w:szCs w:val="20"/>
          <w:shd w:val="clear" w:color="auto" w:fill="FFFFFF"/>
          <w:lang w:val="es-ES"/>
        </w:rPr>
        <w:lastRenderedPageBreak/>
        <w:t>2021, C−106 del 7 de abril de 2021, C-181 del 07 de abril de 2022, C-214 del 22 de abril de 2022 y C-491 de 01 de agosto de 2022, C-008 del 20 de febrero de 2023, C-009 del 20 de febrero de 2023, C-286 del 2023, C-351 del 30 de agosto de 2024 y C-372 del 26 de Agosto 2024, C-904 del 9 de diciembre de 2024, C-363 del 15 de abril de 2025, C-517 del 27 de mayo de 2025, C-1764 del 26 de noviembre de 2025, entre otros</w:t>
      </w:r>
      <w:r w:rsidRPr="008531CD">
        <w:rPr>
          <w:rFonts w:ascii="Verdana" w:eastAsia="Aptos" w:hAnsi="Verdana" w:cs="Segoe UI"/>
          <w:kern w:val="2"/>
          <w:sz w:val="20"/>
          <w:szCs w:val="20"/>
          <w14:ligatures w14:val="standardContextual"/>
        </w:rPr>
        <w:t>.</w:t>
      </w:r>
      <w:r w:rsidRPr="008531CD">
        <w:rPr>
          <w:rFonts w:ascii="Verdana" w:eastAsia="Aptos" w:hAnsi="Verdana" w:cs="Arial"/>
          <w:sz w:val="20"/>
          <w:szCs w:val="20"/>
          <w:shd w:val="clear" w:color="auto" w:fill="FFFFFF"/>
        </w:rPr>
        <w:t xml:space="preserve"> </w:t>
      </w:r>
      <w:r w:rsidRPr="008531CD">
        <w:rPr>
          <w:rFonts w:ascii="Verdana" w:hAnsi="Verdana" w:cs="Arial"/>
          <w:sz w:val="20"/>
          <w:szCs w:val="20"/>
          <w:shd w:val="clear" w:color="auto" w:fill="FFFFFF"/>
        </w:rPr>
        <w:t>Es</w:t>
      </w:r>
      <w:r w:rsidRPr="008531CD">
        <w:rPr>
          <w:rFonts w:ascii="Verdana" w:hAnsi="Verdana"/>
          <w:sz w:val="20"/>
          <w:szCs w:val="20"/>
        </w:rPr>
        <w:t>te y otros conceptos se encuentran disponibles para consulta en el Sistema de relatoría de la Agencia, al cual se puede acceder a través del siguiente enlace:</w:t>
      </w:r>
      <w:r w:rsidRPr="008531CD">
        <w:rPr>
          <w:rFonts w:ascii="Verdana" w:hAnsi="Verdana" w:cs="Arial"/>
          <w:sz w:val="20"/>
          <w:szCs w:val="20"/>
          <w:shd w:val="clear" w:color="auto" w:fill="FFFFFF"/>
        </w:rPr>
        <w:t xml:space="preserve"> </w:t>
      </w:r>
      <w:hyperlink r:id="rId10" w:history="1">
        <w:r w:rsidRPr="008531CD">
          <w:rPr>
            <w:rFonts w:ascii="Verdana" w:hAnsi="Verdana" w:cs="Arial"/>
            <w:color w:val="0000FF"/>
            <w:sz w:val="20"/>
            <w:szCs w:val="20"/>
            <w:u w:val="single"/>
            <w:shd w:val="clear" w:color="auto" w:fill="FFFFFF"/>
          </w:rPr>
          <w:t>https://relatoria.colombiacompra.gov.co/</w:t>
        </w:r>
      </w:hyperlink>
      <w:r w:rsidRPr="008531CD">
        <w:rPr>
          <w:rFonts w:ascii="Verdana" w:hAnsi="Verdana" w:cs="Arial"/>
          <w:sz w:val="20"/>
          <w:szCs w:val="20"/>
          <w:shd w:val="clear" w:color="auto" w:fill="FFFFFF"/>
        </w:rPr>
        <w:t xml:space="preserve"> </w:t>
      </w:r>
    </w:p>
    <w:p w14:paraId="450E5911" w14:textId="77777777" w:rsidR="00866400" w:rsidRPr="008531CD" w:rsidRDefault="00866400" w:rsidP="00866400">
      <w:pPr>
        <w:widowControl w:val="0"/>
        <w:autoSpaceDE w:val="0"/>
        <w:autoSpaceDN w:val="0"/>
        <w:spacing w:after="0" w:line="276" w:lineRule="auto"/>
        <w:jc w:val="both"/>
        <w:rPr>
          <w:rFonts w:ascii="Verdana" w:hAnsi="Verdana" w:cs="Arial"/>
          <w:sz w:val="20"/>
          <w:szCs w:val="20"/>
          <w:shd w:val="clear" w:color="auto" w:fill="FFFFFF"/>
        </w:rPr>
      </w:pPr>
    </w:p>
    <w:bookmarkEnd w:id="0"/>
    <w:p w14:paraId="527BBD43" w14:textId="77777777" w:rsidR="00866400" w:rsidRPr="008531CD" w:rsidRDefault="00866400" w:rsidP="00866400">
      <w:pPr>
        <w:spacing w:line="276" w:lineRule="auto"/>
        <w:jc w:val="both"/>
        <w:rPr>
          <w:rFonts w:ascii="Verdana" w:hAnsi="Verdana"/>
          <w:sz w:val="20"/>
          <w:szCs w:val="20"/>
        </w:rPr>
      </w:pPr>
      <w:r w:rsidRPr="008531CD">
        <w:rPr>
          <w:rFonts w:ascii="Verdana" w:hAnsi="Verdana"/>
          <w:sz w:val="20"/>
          <w:szCs w:val="20"/>
        </w:rPr>
        <w:t xml:space="preserve">La sostenibilidad no es una opción, es una obligación. Por ello, la Agencia Nacional de Contratación Pública –Colombia Compra Eficiente– los invita a realizar el </w:t>
      </w:r>
      <w:r w:rsidRPr="008531CD">
        <w:rPr>
          <w:rFonts w:ascii="Verdana" w:hAnsi="Verdana"/>
          <w:b/>
          <w:bCs/>
          <w:sz w:val="20"/>
          <w:szCs w:val="20"/>
        </w:rPr>
        <w:t>Curso de Contratación Pública Sostenible y Socialmente Responsable</w:t>
      </w:r>
      <w:r w:rsidRPr="008531CD">
        <w:rPr>
          <w:rFonts w:ascii="Verdana" w:hAnsi="Verdana"/>
          <w:sz w:val="20"/>
          <w:szCs w:val="20"/>
        </w:rPr>
        <w:t>, una herramienta clave para fortalecer las capacidades de todos los compradores públicos, proveedores y servidores públicos para generar mayor valor público. Accedan al curso y aprendan cómo implementar criterios sociales y ambientales en las diferentes etapas del proceso de contratación:</w:t>
      </w:r>
      <w:r w:rsidRPr="008531CD">
        <w:rPr>
          <w:rFonts w:ascii="Verdana" w:hAnsi="Verdana"/>
          <w:sz w:val="20"/>
          <w:szCs w:val="20"/>
        </w:rPr>
        <w:br/>
      </w:r>
      <w:hyperlink r:id="rId11" w:tgtFrame="_new" w:history="1">
        <w:r w:rsidRPr="008531CD">
          <w:rPr>
            <w:rStyle w:val="Hipervnculo"/>
            <w:rFonts w:ascii="Verdana" w:hAnsi="Verdana"/>
            <w:sz w:val="20"/>
            <w:szCs w:val="20"/>
          </w:rPr>
          <w:t>https://formacionvirtual.colombiacompra.gov.co/mod/page/view.php?id=3718</w:t>
        </w:r>
      </w:hyperlink>
    </w:p>
    <w:p w14:paraId="7018963E" w14:textId="77777777" w:rsidR="00866400" w:rsidRPr="008531CD" w:rsidRDefault="00866400" w:rsidP="00866400">
      <w:pPr>
        <w:spacing w:line="276" w:lineRule="auto"/>
        <w:contextualSpacing/>
        <w:jc w:val="both"/>
        <w:rPr>
          <w:rFonts w:ascii="Verdana" w:hAnsi="Verdana"/>
          <w:sz w:val="20"/>
          <w:szCs w:val="20"/>
        </w:rPr>
      </w:pPr>
      <w:r w:rsidRPr="008531CD">
        <w:rPr>
          <w:rFonts w:ascii="Verdana" w:hAnsi="Verdana"/>
          <w:sz w:val="20"/>
          <w:szCs w:val="20"/>
        </w:rPr>
        <w:t xml:space="preserve">De otro lado, les contamos que esta Agencia ha da un paso decisivo en la estandarización y modernización del </w:t>
      </w:r>
      <w:r w:rsidRPr="008531CD">
        <w:rPr>
          <w:rFonts w:ascii="Verdana" w:hAnsi="Verdana"/>
          <w:b/>
          <w:bCs/>
          <w:sz w:val="20"/>
          <w:szCs w:val="20"/>
        </w:rPr>
        <w:t>sector  social</w:t>
      </w:r>
      <w:r w:rsidRPr="008531CD">
        <w:rPr>
          <w:rFonts w:ascii="Verdana" w:hAnsi="Verdana"/>
          <w:sz w:val="20"/>
          <w:szCs w:val="20"/>
        </w:rPr>
        <w:t xml:space="preserve"> con la expedición de las </w:t>
      </w:r>
      <w:r w:rsidRPr="008531CD">
        <w:rPr>
          <w:rFonts w:ascii="Verdana" w:hAnsi="Verdana"/>
          <w:b/>
          <w:bCs/>
          <w:sz w:val="20"/>
          <w:szCs w:val="20"/>
        </w:rPr>
        <w:t>Resoluciones 539, 540, 541, 952 y 953 de 2025</w:t>
      </w:r>
      <w:r w:rsidRPr="008531CD">
        <w:rPr>
          <w:rFonts w:ascii="Verdana" w:hAnsi="Verdana"/>
          <w:sz w:val="20"/>
          <w:szCs w:val="20"/>
        </w:rPr>
        <w:t xml:space="preserve">, </w:t>
      </w:r>
      <w:r w:rsidRPr="008531CD">
        <w:rPr>
          <w:rFonts w:ascii="Verdana" w:hAnsi="Verdana"/>
          <w:b/>
          <w:bCs/>
          <w:sz w:val="20"/>
          <w:szCs w:val="20"/>
        </w:rPr>
        <w:t>mediante las cuales adoptó Documentos Tipo</w:t>
      </w:r>
      <w:r w:rsidRPr="008531CD">
        <w:rPr>
          <w:rFonts w:ascii="Verdana" w:hAnsi="Verdana"/>
          <w:sz w:val="20"/>
          <w:szCs w:val="20"/>
        </w:rPr>
        <w:t xml:space="preserve"> para las modalidades de selección de</w:t>
      </w:r>
      <w:r w:rsidRPr="008531CD">
        <w:rPr>
          <w:rFonts w:ascii="Verdana" w:hAnsi="Verdana"/>
          <w:b/>
          <w:bCs/>
          <w:sz w:val="20"/>
          <w:szCs w:val="20"/>
        </w:rPr>
        <w:t xml:space="preserve"> licitación pública (versión 2), selección abreviada de menor cuantía, mínima cuantía, consultoría e interventoría</w:t>
      </w:r>
      <w:r w:rsidRPr="008531CD">
        <w:rPr>
          <w:rFonts w:ascii="Verdana" w:hAnsi="Verdana"/>
          <w:sz w:val="20"/>
          <w:szCs w:val="20"/>
        </w:rPr>
        <w:t xml:space="preserve">, promoviendo procesos más transparentes, eficientes  competitivos y sostenibles en sectores estratégicos como educación, salud, cultura, recreación, deporte, institucional y vivienda. Consulten y descarguen los documentos aquí: </w:t>
      </w:r>
    </w:p>
    <w:p w14:paraId="7A48BFBB" w14:textId="77777777" w:rsidR="00866400" w:rsidRPr="008531CD" w:rsidRDefault="00866400" w:rsidP="00866400">
      <w:pPr>
        <w:spacing w:line="240" w:lineRule="auto"/>
        <w:contextualSpacing/>
        <w:jc w:val="both"/>
        <w:rPr>
          <w:rFonts w:ascii="Verdana" w:hAnsi="Verdana"/>
          <w:sz w:val="20"/>
          <w:szCs w:val="20"/>
        </w:rPr>
      </w:pPr>
      <w:hyperlink r:id="rId12" w:history="1">
        <w:r w:rsidRPr="008531CD">
          <w:rPr>
            <w:rStyle w:val="Hipervnculo"/>
            <w:rFonts w:ascii="Verdana" w:hAnsi="Verdana"/>
            <w:sz w:val="20"/>
            <w:szCs w:val="20"/>
          </w:rPr>
          <w:t>https://www.colombiacompra.gov.co/normativa-y-relatoria/documentos-tipo</w:t>
        </w:r>
      </w:hyperlink>
    </w:p>
    <w:p w14:paraId="53F068D6" w14:textId="77777777" w:rsidR="00866400" w:rsidRPr="008531CD" w:rsidRDefault="00866400" w:rsidP="00866400">
      <w:pPr>
        <w:spacing w:line="240" w:lineRule="auto"/>
        <w:contextualSpacing/>
        <w:jc w:val="both"/>
        <w:rPr>
          <w:rFonts w:ascii="Verdana" w:hAnsi="Verdana"/>
          <w:sz w:val="20"/>
          <w:szCs w:val="20"/>
        </w:rPr>
      </w:pPr>
    </w:p>
    <w:p w14:paraId="48F2B5FB" w14:textId="77777777" w:rsidR="00866400" w:rsidRPr="008531CD" w:rsidRDefault="00866400" w:rsidP="00866400">
      <w:pPr>
        <w:spacing w:line="276" w:lineRule="auto"/>
        <w:contextualSpacing/>
        <w:jc w:val="both"/>
        <w:rPr>
          <w:rFonts w:ascii="Verdana" w:hAnsi="Verdana"/>
          <w:sz w:val="20"/>
          <w:szCs w:val="20"/>
        </w:rPr>
      </w:pPr>
      <w:r w:rsidRPr="008531CD">
        <w:rPr>
          <w:rFonts w:ascii="Verdana" w:hAnsi="Verdana"/>
          <w:sz w:val="20"/>
          <w:szCs w:val="20"/>
        </w:rPr>
        <w:t xml:space="preserve">Si quieren conocer más sobre la aplicación de Documentos Tipo pueden consultar la última versión de la </w:t>
      </w:r>
      <w:r w:rsidRPr="008531CD">
        <w:rPr>
          <w:rFonts w:ascii="Verdana" w:hAnsi="Verdana"/>
          <w:b/>
          <w:bCs/>
          <w:sz w:val="20"/>
          <w:szCs w:val="20"/>
        </w:rPr>
        <w:t>Guía para la comprensión e implementación de los Documentos Tipo de obra pública de infraestructura de transporte</w:t>
      </w:r>
      <w:r w:rsidRPr="008531CD">
        <w:rPr>
          <w:rFonts w:ascii="Verdana" w:hAnsi="Verdana"/>
          <w:sz w:val="20"/>
          <w:szCs w:val="20"/>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Consulten la guía aquí:</w:t>
      </w:r>
    </w:p>
    <w:p w14:paraId="223C28AA" w14:textId="77777777" w:rsidR="00866400" w:rsidRPr="008531CD" w:rsidRDefault="00866400" w:rsidP="00866400">
      <w:pPr>
        <w:spacing w:after="0" w:line="276" w:lineRule="auto"/>
        <w:jc w:val="both"/>
        <w:rPr>
          <w:sz w:val="20"/>
          <w:szCs w:val="20"/>
        </w:rPr>
      </w:pPr>
      <w:hyperlink r:id="rId13" w:tgtFrame="_new" w:history="1">
        <w:r w:rsidRPr="008531CD">
          <w:rPr>
            <w:rStyle w:val="Hipervnculo"/>
            <w:rFonts w:ascii="Verdana" w:hAnsi="Verdana"/>
            <w:sz w:val="20"/>
            <w:szCs w:val="20"/>
          </w:rPr>
          <w:t>https://www.colombiacompra.gov.co/archivos/manual/guia-para-la-comprension-e-implementacion-de-los-documentos-tipo-de-obra-publica-de-infraestructura-de-transporte-bajo-las-diferentes-modalidades-de-contratacion-vigentes</w:t>
        </w:r>
      </w:hyperlink>
    </w:p>
    <w:p w14:paraId="78F0CA5C" w14:textId="77777777" w:rsidR="00866400" w:rsidRPr="008531CD" w:rsidRDefault="00866400" w:rsidP="00866400">
      <w:pPr>
        <w:spacing w:after="0" w:line="276" w:lineRule="auto"/>
        <w:jc w:val="both"/>
        <w:rPr>
          <w:sz w:val="20"/>
          <w:szCs w:val="20"/>
        </w:rPr>
      </w:pPr>
    </w:p>
    <w:p w14:paraId="48902C00" w14:textId="77777777" w:rsidR="00866400" w:rsidRPr="008531CD" w:rsidRDefault="00866400" w:rsidP="00866400">
      <w:pPr>
        <w:spacing w:after="120" w:line="276" w:lineRule="auto"/>
        <w:jc w:val="both"/>
        <w:rPr>
          <w:rFonts w:ascii="Verdana" w:eastAsia="Calibri" w:hAnsi="Verdana" w:cs="Times New Roman"/>
          <w:sz w:val="20"/>
          <w:szCs w:val="20"/>
        </w:rPr>
      </w:pPr>
      <w:r w:rsidRPr="008531CD">
        <w:rPr>
          <w:rFonts w:ascii="Verdana" w:hAnsi="Verdana"/>
          <w:sz w:val="20"/>
          <w:szCs w:val="20"/>
        </w:rPr>
        <w:lastRenderedPageBreak/>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5DF4CA26" w14:textId="77777777" w:rsidR="00866400" w:rsidRPr="008531CD" w:rsidRDefault="00866400" w:rsidP="00866400">
      <w:pPr>
        <w:pStyle w:val="Prrafodelista"/>
        <w:numPr>
          <w:ilvl w:val="0"/>
          <w:numId w:val="1"/>
        </w:numPr>
        <w:spacing w:after="0" w:line="276" w:lineRule="auto"/>
        <w:contextualSpacing w:val="0"/>
        <w:jc w:val="both"/>
        <w:rPr>
          <w:rFonts w:ascii="Verdana" w:hAnsi="Verdana"/>
          <w:sz w:val="20"/>
          <w:szCs w:val="20"/>
        </w:rPr>
      </w:pPr>
      <w:r w:rsidRPr="008531CD">
        <w:rPr>
          <w:rFonts w:ascii="Verdana" w:hAnsi="Verdana"/>
          <w:sz w:val="20"/>
          <w:szCs w:val="20"/>
        </w:rPr>
        <w:t>Línea nacional gratuita o servicio a la ciudadanía: 01800 0520808</w:t>
      </w:r>
    </w:p>
    <w:p w14:paraId="12FBFEF5" w14:textId="77777777" w:rsidR="00866400" w:rsidRPr="008531CD" w:rsidRDefault="00866400" w:rsidP="00866400">
      <w:pPr>
        <w:pStyle w:val="Prrafodelista"/>
        <w:numPr>
          <w:ilvl w:val="0"/>
          <w:numId w:val="1"/>
        </w:numPr>
        <w:spacing w:after="0" w:line="276" w:lineRule="auto"/>
        <w:contextualSpacing w:val="0"/>
        <w:jc w:val="both"/>
        <w:rPr>
          <w:rFonts w:ascii="Verdana" w:hAnsi="Verdana"/>
          <w:sz w:val="20"/>
          <w:szCs w:val="20"/>
        </w:rPr>
      </w:pPr>
      <w:r w:rsidRPr="008531CD">
        <w:rPr>
          <w:rFonts w:ascii="Verdana" w:hAnsi="Verdana"/>
          <w:sz w:val="20"/>
          <w:szCs w:val="20"/>
        </w:rPr>
        <w:t>Línea en Bogotá (Mesa de servicio): +57 601 7456788</w:t>
      </w:r>
    </w:p>
    <w:p w14:paraId="6870A6BD" w14:textId="77777777" w:rsidR="00866400" w:rsidRPr="008531CD" w:rsidRDefault="00866400" w:rsidP="00866400">
      <w:pPr>
        <w:pStyle w:val="Prrafodelista"/>
        <w:numPr>
          <w:ilvl w:val="0"/>
          <w:numId w:val="1"/>
        </w:numPr>
        <w:spacing w:after="0" w:line="276" w:lineRule="auto"/>
        <w:contextualSpacing w:val="0"/>
        <w:jc w:val="both"/>
        <w:rPr>
          <w:rFonts w:ascii="Verdana" w:hAnsi="Verdana"/>
          <w:sz w:val="20"/>
          <w:szCs w:val="20"/>
        </w:rPr>
      </w:pPr>
      <w:r w:rsidRPr="008531CD">
        <w:rPr>
          <w:rFonts w:ascii="Verdana" w:hAnsi="Verdana"/>
          <w:sz w:val="20"/>
          <w:szCs w:val="20"/>
        </w:rPr>
        <w:t>Línea de servicio y atención al ciudadano: +57 601 7956600</w:t>
      </w:r>
    </w:p>
    <w:p w14:paraId="44B9812B" w14:textId="77777777" w:rsidR="00866400" w:rsidRPr="008531CD" w:rsidRDefault="00866400" w:rsidP="00866400">
      <w:pPr>
        <w:pStyle w:val="Prrafodelista"/>
        <w:numPr>
          <w:ilvl w:val="0"/>
          <w:numId w:val="1"/>
        </w:numPr>
        <w:spacing w:after="0" w:line="276" w:lineRule="auto"/>
        <w:contextualSpacing w:val="0"/>
        <w:jc w:val="both"/>
        <w:rPr>
          <w:rFonts w:ascii="Verdana" w:hAnsi="Verdana"/>
          <w:sz w:val="20"/>
          <w:szCs w:val="20"/>
        </w:rPr>
      </w:pPr>
      <w:r w:rsidRPr="008531CD">
        <w:rPr>
          <w:rFonts w:ascii="Verdana" w:hAnsi="Verdana"/>
          <w:sz w:val="20"/>
          <w:szCs w:val="20"/>
        </w:rPr>
        <w:t xml:space="preserve">Página web: </w:t>
      </w:r>
      <w:hyperlink r:id="rId14" w:history="1">
        <w:r w:rsidRPr="008531CD">
          <w:rPr>
            <w:rStyle w:val="Hipervnculo"/>
            <w:rFonts w:ascii="Verdana" w:hAnsi="Verdana"/>
            <w:sz w:val="20"/>
            <w:szCs w:val="20"/>
          </w:rPr>
          <w:t>www.colombiacompra.gov.co</w:t>
        </w:r>
      </w:hyperlink>
    </w:p>
    <w:p w14:paraId="1B9D26AA" w14:textId="77777777" w:rsidR="00866400" w:rsidRPr="008531CD" w:rsidRDefault="00866400" w:rsidP="00866400">
      <w:pPr>
        <w:spacing w:after="0" w:line="276" w:lineRule="auto"/>
        <w:jc w:val="both"/>
        <w:rPr>
          <w:sz w:val="20"/>
          <w:szCs w:val="20"/>
        </w:rPr>
      </w:pPr>
    </w:p>
    <w:p w14:paraId="76E10BA4" w14:textId="77777777" w:rsidR="00866400" w:rsidRPr="008531CD" w:rsidRDefault="00866400" w:rsidP="00866400">
      <w:pPr>
        <w:spacing w:after="0" w:line="276" w:lineRule="auto"/>
        <w:jc w:val="both"/>
        <w:rPr>
          <w:rFonts w:ascii="Calibri" w:eastAsia="Calibri" w:hAnsi="Calibri" w:cs="Times New Roman"/>
          <w:sz w:val="20"/>
          <w:szCs w:val="20"/>
        </w:rPr>
      </w:pPr>
      <w:r w:rsidRPr="008531CD">
        <w:rPr>
          <w:rFonts w:ascii="Verdana" w:eastAsia="Calibri" w:hAnsi="Verdana" w:cs="Times New Roman"/>
          <w:sz w:val="20"/>
          <w:szCs w:val="20"/>
        </w:rPr>
        <w:t xml:space="preserve">Por último, lo invitamos a seguirnos en las redes sociales en las cuales se difunde información institucional: </w:t>
      </w:r>
    </w:p>
    <w:p w14:paraId="32888226" w14:textId="77777777" w:rsidR="00866400" w:rsidRPr="008531CD" w:rsidRDefault="00866400" w:rsidP="00866400">
      <w:pPr>
        <w:spacing w:after="0" w:line="276" w:lineRule="auto"/>
        <w:jc w:val="both"/>
        <w:rPr>
          <w:rFonts w:ascii="Verdana" w:eastAsia="Calibri" w:hAnsi="Verdana" w:cs="Times New Roman"/>
          <w:sz w:val="20"/>
          <w:szCs w:val="20"/>
        </w:rPr>
      </w:pPr>
    </w:p>
    <w:p w14:paraId="39F5B11D" w14:textId="77777777" w:rsidR="00866400" w:rsidRPr="008531CD" w:rsidRDefault="00866400" w:rsidP="00866400">
      <w:pPr>
        <w:spacing w:after="0" w:line="276" w:lineRule="auto"/>
        <w:jc w:val="both"/>
        <w:rPr>
          <w:rFonts w:ascii="Verdana" w:eastAsia="Calibri" w:hAnsi="Verdana" w:cs="Times New Roman"/>
          <w:sz w:val="20"/>
          <w:szCs w:val="20"/>
        </w:rPr>
      </w:pPr>
      <w:r w:rsidRPr="008531CD">
        <w:rPr>
          <w:rFonts w:ascii="Verdana" w:eastAsia="Calibri" w:hAnsi="Verdana" w:cs="Times New Roman"/>
          <w:sz w:val="20"/>
          <w:szCs w:val="20"/>
        </w:rPr>
        <w:t xml:space="preserve">Twitter: </w:t>
      </w:r>
      <w:r w:rsidRPr="008531CD">
        <w:rPr>
          <w:rFonts w:ascii="Verdana" w:eastAsia="Calibri" w:hAnsi="Verdana" w:cs="Times New Roman"/>
          <w:color w:val="156082" w:themeColor="accent1"/>
          <w:sz w:val="20"/>
          <w:szCs w:val="20"/>
          <w:u w:val="single"/>
        </w:rPr>
        <w:t>@colombiacompra</w:t>
      </w:r>
      <w:r w:rsidRPr="008531CD">
        <w:rPr>
          <w:rFonts w:ascii="Verdana" w:eastAsia="Calibri" w:hAnsi="Verdana" w:cs="Times New Roman"/>
          <w:color w:val="156082" w:themeColor="accent1"/>
          <w:sz w:val="20"/>
          <w:szCs w:val="20"/>
        </w:rPr>
        <w:t xml:space="preserve"> </w:t>
      </w:r>
    </w:p>
    <w:p w14:paraId="2198800D" w14:textId="77777777" w:rsidR="00866400" w:rsidRPr="008531CD" w:rsidRDefault="00866400" w:rsidP="00866400">
      <w:pPr>
        <w:spacing w:after="0" w:line="276" w:lineRule="auto"/>
        <w:jc w:val="both"/>
        <w:rPr>
          <w:rFonts w:ascii="Verdana" w:eastAsia="Calibri" w:hAnsi="Verdana" w:cs="Times New Roman"/>
          <w:sz w:val="20"/>
          <w:szCs w:val="20"/>
        </w:rPr>
      </w:pPr>
      <w:r w:rsidRPr="008531CD">
        <w:rPr>
          <w:rFonts w:ascii="Verdana" w:eastAsia="Calibri" w:hAnsi="Verdana" w:cs="Times New Roman"/>
          <w:sz w:val="20"/>
          <w:szCs w:val="20"/>
        </w:rPr>
        <w:t xml:space="preserve">Facebook: </w:t>
      </w:r>
      <w:proofErr w:type="spellStart"/>
      <w:r w:rsidRPr="008531CD">
        <w:rPr>
          <w:rFonts w:ascii="Verdana" w:eastAsia="Calibri" w:hAnsi="Verdana" w:cs="Times New Roman"/>
          <w:color w:val="156082" w:themeColor="accent1"/>
          <w:sz w:val="20"/>
          <w:szCs w:val="20"/>
          <w:u w:val="single"/>
        </w:rPr>
        <w:t>ColombiaCompraEficiente</w:t>
      </w:r>
      <w:proofErr w:type="spellEnd"/>
    </w:p>
    <w:p w14:paraId="72753661" w14:textId="77777777" w:rsidR="00866400" w:rsidRPr="008531CD" w:rsidRDefault="00866400" w:rsidP="00866400">
      <w:pPr>
        <w:spacing w:after="0" w:line="276" w:lineRule="auto"/>
        <w:jc w:val="both"/>
        <w:rPr>
          <w:rFonts w:ascii="Verdana" w:eastAsia="Calibri" w:hAnsi="Verdana" w:cs="Times New Roman"/>
          <w:sz w:val="20"/>
          <w:szCs w:val="20"/>
        </w:rPr>
      </w:pPr>
      <w:r w:rsidRPr="008531CD">
        <w:rPr>
          <w:rFonts w:ascii="Verdana" w:eastAsia="Calibri" w:hAnsi="Verdana" w:cs="Times New Roman"/>
          <w:sz w:val="20"/>
          <w:szCs w:val="20"/>
        </w:rPr>
        <w:t xml:space="preserve">LinkedIn: </w:t>
      </w:r>
      <w:r w:rsidRPr="008531CD">
        <w:rPr>
          <w:rFonts w:ascii="Verdana" w:eastAsia="Calibri" w:hAnsi="Verdana" w:cs="Times New Roman"/>
          <w:color w:val="156082" w:themeColor="accent1"/>
          <w:sz w:val="20"/>
          <w:szCs w:val="20"/>
          <w:u w:val="single"/>
        </w:rPr>
        <w:t>Agencia Nacional de Contratación Pública - Colombia Compra Eficiente</w:t>
      </w:r>
      <w:r w:rsidRPr="008531CD">
        <w:rPr>
          <w:rFonts w:ascii="Verdana" w:eastAsia="Calibri" w:hAnsi="Verdana" w:cs="Times New Roman"/>
          <w:color w:val="156082" w:themeColor="accent1"/>
          <w:sz w:val="20"/>
          <w:szCs w:val="20"/>
        </w:rPr>
        <w:t xml:space="preserve"> </w:t>
      </w:r>
      <w:r w:rsidRPr="008531CD">
        <w:rPr>
          <w:rFonts w:ascii="Verdana" w:eastAsia="Calibri" w:hAnsi="Verdana" w:cs="Times New Roman"/>
          <w:sz w:val="20"/>
          <w:szCs w:val="20"/>
        </w:rPr>
        <w:t xml:space="preserve">Instagram: </w:t>
      </w:r>
      <w:r w:rsidRPr="008531CD">
        <w:rPr>
          <w:rFonts w:ascii="Verdana" w:eastAsia="Calibri" w:hAnsi="Verdana" w:cs="Times New Roman"/>
          <w:color w:val="156082" w:themeColor="accent1"/>
          <w:sz w:val="20"/>
          <w:szCs w:val="20"/>
          <w:u w:val="single"/>
        </w:rPr>
        <w:t>@colombiacompraeficiente_cce</w:t>
      </w:r>
    </w:p>
    <w:p w14:paraId="15B42845" w14:textId="77777777" w:rsidR="00866400" w:rsidRPr="008531CD" w:rsidRDefault="00866400" w:rsidP="00866400">
      <w:pPr>
        <w:widowControl w:val="0"/>
        <w:autoSpaceDE w:val="0"/>
        <w:autoSpaceDN w:val="0"/>
        <w:spacing w:after="0" w:line="276" w:lineRule="auto"/>
        <w:jc w:val="both"/>
        <w:rPr>
          <w:rFonts w:ascii="Verdana" w:eastAsia="Calibri" w:hAnsi="Verdana" w:cs="Arial"/>
          <w:sz w:val="20"/>
          <w:szCs w:val="20"/>
        </w:rPr>
      </w:pPr>
    </w:p>
    <w:p w14:paraId="3B798A73" w14:textId="77777777" w:rsidR="00866400" w:rsidRPr="008531CD" w:rsidRDefault="00866400" w:rsidP="00866400">
      <w:pPr>
        <w:widowControl w:val="0"/>
        <w:autoSpaceDE w:val="0"/>
        <w:autoSpaceDN w:val="0"/>
        <w:spacing w:after="0" w:line="276" w:lineRule="auto"/>
        <w:jc w:val="both"/>
        <w:rPr>
          <w:rFonts w:ascii="Verdana" w:eastAsia="Calibri" w:hAnsi="Verdana" w:cs="Arial"/>
          <w:sz w:val="20"/>
          <w:szCs w:val="20"/>
          <w:lang w:val="es-ES_tradnl"/>
        </w:rPr>
      </w:pPr>
      <w:r w:rsidRPr="008531CD">
        <w:rPr>
          <w:rFonts w:ascii="Verdana" w:eastAsia="Calibri" w:hAnsi="Verdana" w:cs="Arial"/>
          <w:sz w:val="20"/>
          <w:szCs w:val="20"/>
        </w:rPr>
        <w:t xml:space="preserve">Este concepto tiene el alcance previsto en el artículo 28 del Código de Procedimiento Administrativo y de lo Contencioso Administrativo </w:t>
      </w:r>
      <w:r w:rsidRPr="008531CD">
        <w:rPr>
          <w:rFonts w:ascii="Verdana" w:eastAsia="Calibri" w:hAnsi="Verdana" w:cs="Arial"/>
          <w:sz w:val="20"/>
          <w:szCs w:val="20"/>
          <w:lang w:val="es-ES_tradnl"/>
        </w:rPr>
        <w:t>y las expresiones aquí utilizadas con mayúscula inicial deben ser entendidas con el significado que les otorga el artículo 2.2.1.1.1.3.1. del Decreto 1082 de 2015.</w:t>
      </w:r>
    </w:p>
    <w:p w14:paraId="40C13E23" w14:textId="77777777" w:rsidR="00866400" w:rsidRPr="008531CD" w:rsidRDefault="00866400" w:rsidP="00866400">
      <w:pPr>
        <w:widowControl w:val="0"/>
        <w:autoSpaceDE w:val="0"/>
        <w:autoSpaceDN w:val="0"/>
        <w:spacing w:after="0" w:line="276" w:lineRule="auto"/>
        <w:jc w:val="both"/>
        <w:rPr>
          <w:rFonts w:ascii="Verdana" w:eastAsia="Calibri" w:hAnsi="Verdana" w:cs="Arial"/>
          <w:sz w:val="20"/>
          <w:szCs w:val="20"/>
        </w:rPr>
      </w:pPr>
    </w:p>
    <w:p w14:paraId="50798ED1" w14:textId="77777777" w:rsidR="00866400" w:rsidRPr="008531CD" w:rsidRDefault="00866400" w:rsidP="00866400">
      <w:pPr>
        <w:spacing w:after="0" w:line="276" w:lineRule="auto"/>
        <w:rPr>
          <w:rFonts w:ascii="Verdana" w:eastAsia="Calibri" w:hAnsi="Verdana" w:cs="Arial"/>
          <w:sz w:val="20"/>
          <w:szCs w:val="20"/>
          <w:lang w:eastAsia="es-CO"/>
        </w:rPr>
      </w:pPr>
      <w:r w:rsidRPr="008531CD">
        <w:rPr>
          <w:rFonts w:ascii="Verdana" w:eastAsia="Times New Roman" w:hAnsi="Verdana" w:cs="Arial"/>
          <w:sz w:val="20"/>
          <w:szCs w:val="20"/>
          <w:lang w:eastAsia="es-CO"/>
        </w:rPr>
        <w:t>Atentamente,</w:t>
      </w:r>
      <w:r w:rsidRPr="008531CD">
        <w:rPr>
          <w:rFonts w:ascii="Verdana" w:eastAsia="Calibri" w:hAnsi="Verdana" w:cs="Arial"/>
          <w:sz w:val="20"/>
          <w:szCs w:val="20"/>
          <w:lang w:eastAsia="es-CO"/>
        </w:rPr>
        <w:t xml:space="preserve"> </w:t>
      </w:r>
    </w:p>
    <w:p w14:paraId="1AF37AE1" w14:textId="6D1D0477" w:rsidR="009D1E2B" w:rsidRPr="009D1E2B" w:rsidRDefault="009D1E2B" w:rsidP="009D1E2B">
      <w:pPr>
        <w:spacing w:line="276" w:lineRule="auto"/>
        <w:jc w:val="center"/>
        <w:rPr>
          <w:rFonts w:ascii="Verdana" w:eastAsia="Times New Roman" w:hAnsi="Verdana" w:cs="Arial"/>
          <w:sz w:val="24"/>
          <w:szCs w:val="24"/>
          <w:lang w:eastAsia="es-ES"/>
        </w:rPr>
      </w:pPr>
      <w:r w:rsidRPr="009D1E2B">
        <w:rPr>
          <w:rFonts w:ascii="Verdana" w:eastAsia="Times New Roman" w:hAnsi="Verdana" w:cs="Arial"/>
          <w:sz w:val="24"/>
          <w:szCs w:val="24"/>
          <w:lang w:eastAsia="es-ES"/>
        </w:rPr>
        <w:drawing>
          <wp:inline distT="0" distB="0" distL="0" distR="0" wp14:anchorId="6AB41E18" wp14:editId="2A7F34E5">
            <wp:extent cx="3771900" cy="1400175"/>
            <wp:effectExtent l="0" t="0" r="0" b="9525"/>
            <wp:docPr id="123771630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inline>
        </w:drawing>
      </w:r>
    </w:p>
    <w:p w14:paraId="6B900353" w14:textId="77777777" w:rsidR="00866400" w:rsidRPr="00924699" w:rsidRDefault="00866400" w:rsidP="00866400">
      <w:pPr>
        <w:spacing w:line="276" w:lineRule="auto"/>
        <w:jc w:val="center"/>
        <w:rPr>
          <w:rFonts w:ascii="Verdana" w:eastAsia="Times New Roman" w:hAnsi="Verdana" w:cs="Arial"/>
          <w:sz w:val="24"/>
          <w:szCs w:val="24"/>
          <w:lang w:eastAsia="es-ES"/>
        </w:rPr>
      </w:pPr>
    </w:p>
    <w:tbl>
      <w:tblPr>
        <w:tblW w:w="5670" w:type="dxa"/>
        <w:tblBorders>
          <w:insideH w:val="nil"/>
          <w:insideV w:val="nil"/>
        </w:tblBorders>
        <w:tblLayout w:type="fixed"/>
        <w:tblLook w:val="0400" w:firstRow="0" w:lastRow="0" w:firstColumn="0" w:lastColumn="0" w:noHBand="0" w:noVBand="1"/>
      </w:tblPr>
      <w:tblGrid>
        <w:gridCol w:w="993"/>
        <w:gridCol w:w="4677"/>
      </w:tblGrid>
      <w:tr w:rsidR="00866400" w:rsidRPr="00924699" w14:paraId="45D41775" w14:textId="77777777" w:rsidTr="00836069">
        <w:trPr>
          <w:trHeight w:val="315"/>
        </w:trPr>
        <w:tc>
          <w:tcPr>
            <w:tcW w:w="993" w:type="dxa"/>
            <w:tcBorders>
              <w:top w:val="nil"/>
              <w:left w:val="nil"/>
              <w:bottom w:val="nil"/>
              <w:right w:val="nil"/>
            </w:tcBorders>
            <w:vAlign w:val="center"/>
            <w:hideMark/>
          </w:tcPr>
          <w:p w14:paraId="0EDC79CC" w14:textId="77777777" w:rsidR="00866400" w:rsidRPr="00924699" w:rsidRDefault="00866400" w:rsidP="00836069">
            <w:pPr>
              <w:spacing w:after="0" w:line="276" w:lineRule="auto"/>
              <w:rPr>
                <w:rFonts w:ascii="Verdana" w:eastAsia="Calibri" w:hAnsi="Verdana" w:cs="Arial"/>
                <w:bCs/>
                <w:sz w:val="16"/>
                <w:szCs w:val="16"/>
                <w:lang w:eastAsia="es-CO"/>
              </w:rPr>
            </w:pPr>
            <w:r w:rsidRPr="00924699">
              <w:rPr>
                <w:rFonts w:ascii="Verdana" w:eastAsia="Calibri" w:hAnsi="Verdana" w:cs="Arial"/>
                <w:bCs/>
                <w:sz w:val="16"/>
                <w:szCs w:val="16"/>
                <w:lang w:eastAsia="es-CO"/>
              </w:rPr>
              <w:t>Elaboró:</w:t>
            </w:r>
          </w:p>
        </w:tc>
        <w:tc>
          <w:tcPr>
            <w:tcW w:w="4677" w:type="dxa"/>
            <w:tcBorders>
              <w:top w:val="nil"/>
              <w:left w:val="nil"/>
              <w:bottom w:val="dotted" w:sz="4" w:space="0" w:color="7F7F7F"/>
              <w:right w:val="nil"/>
            </w:tcBorders>
            <w:vAlign w:val="center"/>
            <w:hideMark/>
          </w:tcPr>
          <w:p w14:paraId="3B39374A" w14:textId="77777777" w:rsidR="00866400" w:rsidRDefault="00866400" w:rsidP="00836069">
            <w:pPr>
              <w:spacing w:after="0" w:line="240" w:lineRule="auto"/>
              <w:rPr>
                <w:rFonts w:ascii="Verdana" w:eastAsia="Calibri" w:hAnsi="Verdana" w:cs="Arial"/>
                <w:sz w:val="16"/>
                <w:szCs w:val="16"/>
                <w:lang w:eastAsia="es-CO"/>
              </w:rPr>
            </w:pPr>
            <w:r>
              <w:rPr>
                <w:rFonts w:ascii="Verdana" w:eastAsia="Calibri" w:hAnsi="Verdana" w:cs="Arial"/>
                <w:sz w:val="16"/>
                <w:szCs w:val="16"/>
                <w:lang w:eastAsia="es-CO"/>
              </w:rPr>
              <w:t>Natalia Montoya Jiménez</w:t>
            </w:r>
          </w:p>
          <w:p w14:paraId="1D0AE3DB" w14:textId="77777777" w:rsidR="00866400" w:rsidRPr="00924699" w:rsidRDefault="00866400" w:rsidP="00836069">
            <w:pPr>
              <w:spacing w:after="0" w:line="240" w:lineRule="auto"/>
              <w:rPr>
                <w:rFonts w:ascii="Verdana" w:eastAsia="Calibri" w:hAnsi="Verdana" w:cs="Arial"/>
                <w:sz w:val="16"/>
                <w:szCs w:val="16"/>
                <w:lang w:eastAsia="es-CO"/>
              </w:rPr>
            </w:pPr>
            <w:r w:rsidRPr="00924699">
              <w:rPr>
                <w:rFonts w:ascii="Verdana" w:eastAsia="Calibri" w:hAnsi="Verdana" w:cs="Arial"/>
                <w:sz w:val="16"/>
                <w:szCs w:val="16"/>
                <w:lang w:eastAsia="es-CO"/>
              </w:rPr>
              <w:t>Gestor T1 -1</w:t>
            </w:r>
            <w:r>
              <w:rPr>
                <w:rFonts w:ascii="Verdana" w:eastAsia="Calibri" w:hAnsi="Verdana" w:cs="Arial"/>
                <w:sz w:val="16"/>
                <w:szCs w:val="16"/>
                <w:lang w:eastAsia="es-CO"/>
              </w:rPr>
              <w:t>5</w:t>
            </w:r>
            <w:r w:rsidRPr="00924699">
              <w:rPr>
                <w:rFonts w:ascii="Verdana" w:eastAsia="Calibri" w:hAnsi="Verdana" w:cs="Arial"/>
                <w:sz w:val="16"/>
                <w:szCs w:val="16"/>
                <w:lang w:eastAsia="es-CO"/>
              </w:rPr>
              <w:t xml:space="preserve"> Subdirección de Gestión Contractual</w:t>
            </w:r>
          </w:p>
        </w:tc>
      </w:tr>
      <w:tr w:rsidR="00866400" w:rsidRPr="00924699" w14:paraId="446379F8" w14:textId="77777777" w:rsidTr="00836069">
        <w:trPr>
          <w:trHeight w:val="330"/>
        </w:trPr>
        <w:tc>
          <w:tcPr>
            <w:tcW w:w="993" w:type="dxa"/>
            <w:tcBorders>
              <w:top w:val="nil"/>
              <w:left w:val="nil"/>
              <w:bottom w:val="nil"/>
              <w:right w:val="nil"/>
            </w:tcBorders>
            <w:vAlign w:val="center"/>
            <w:hideMark/>
          </w:tcPr>
          <w:p w14:paraId="7494C79B" w14:textId="77777777" w:rsidR="00866400" w:rsidRPr="00924699" w:rsidRDefault="00866400" w:rsidP="00836069">
            <w:pPr>
              <w:spacing w:after="0" w:line="276" w:lineRule="auto"/>
              <w:rPr>
                <w:rFonts w:ascii="Verdana" w:eastAsia="Calibri" w:hAnsi="Verdana" w:cs="Arial"/>
                <w:bCs/>
                <w:sz w:val="16"/>
                <w:szCs w:val="16"/>
                <w:lang w:eastAsia="es-CO"/>
              </w:rPr>
            </w:pPr>
            <w:r w:rsidRPr="00924699">
              <w:rPr>
                <w:rFonts w:ascii="Verdana" w:eastAsia="Calibri" w:hAnsi="Verdana" w:cs="Arial"/>
                <w:bCs/>
                <w:sz w:val="16"/>
                <w:szCs w:val="16"/>
                <w:lang w:eastAsia="es-CO"/>
              </w:rPr>
              <w:t>Revisó:</w:t>
            </w:r>
          </w:p>
        </w:tc>
        <w:tc>
          <w:tcPr>
            <w:tcW w:w="4677" w:type="dxa"/>
            <w:tcBorders>
              <w:top w:val="dotted" w:sz="4" w:space="0" w:color="7F7F7F"/>
              <w:left w:val="nil"/>
              <w:bottom w:val="dotted" w:sz="4" w:space="0" w:color="7F7F7F"/>
              <w:right w:val="nil"/>
            </w:tcBorders>
            <w:vAlign w:val="center"/>
            <w:hideMark/>
          </w:tcPr>
          <w:p w14:paraId="0ABA78ED" w14:textId="77777777" w:rsidR="00866400" w:rsidRPr="00924699" w:rsidRDefault="00866400" w:rsidP="00836069">
            <w:pPr>
              <w:spacing w:after="0" w:line="240" w:lineRule="auto"/>
              <w:rPr>
                <w:rFonts w:ascii="Verdana" w:eastAsia="Calibri" w:hAnsi="Verdana" w:cs="Arial"/>
                <w:sz w:val="16"/>
                <w:szCs w:val="16"/>
                <w:lang w:eastAsia="es-CO"/>
              </w:rPr>
            </w:pPr>
            <w:r>
              <w:rPr>
                <w:rFonts w:ascii="Verdana" w:eastAsia="Calibri" w:hAnsi="Verdana" w:cs="Arial"/>
                <w:sz w:val="16"/>
                <w:szCs w:val="16"/>
                <w:lang w:eastAsia="es-CO"/>
              </w:rPr>
              <w:t xml:space="preserve">Diana Lucia Saavedra </w:t>
            </w:r>
          </w:p>
          <w:p w14:paraId="2EBDDA11" w14:textId="77777777" w:rsidR="00866400" w:rsidRPr="00924699" w:rsidRDefault="00866400" w:rsidP="00836069">
            <w:pPr>
              <w:spacing w:after="0" w:line="240" w:lineRule="auto"/>
              <w:rPr>
                <w:rFonts w:ascii="Verdana" w:eastAsia="Calibri" w:hAnsi="Verdana" w:cs="Arial"/>
                <w:sz w:val="16"/>
                <w:szCs w:val="16"/>
                <w:lang w:eastAsia="es-CO"/>
              </w:rPr>
            </w:pPr>
            <w:r>
              <w:rPr>
                <w:rFonts w:ascii="Verdana" w:eastAsia="Calibri" w:hAnsi="Verdana" w:cs="Arial"/>
                <w:sz w:val="16"/>
                <w:szCs w:val="16"/>
                <w:lang w:eastAsia="es-CO"/>
              </w:rPr>
              <w:t>Contratista de la</w:t>
            </w:r>
            <w:r w:rsidRPr="00924699">
              <w:rPr>
                <w:rFonts w:ascii="Verdana" w:eastAsia="Calibri" w:hAnsi="Verdana" w:cs="Arial"/>
                <w:sz w:val="16"/>
                <w:szCs w:val="16"/>
                <w:lang w:eastAsia="es-CO"/>
              </w:rPr>
              <w:t xml:space="preserve"> Subdirección de Gestión Contractual</w:t>
            </w:r>
          </w:p>
        </w:tc>
      </w:tr>
      <w:tr w:rsidR="00866400" w:rsidRPr="00924699" w14:paraId="085BAB00" w14:textId="77777777" w:rsidTr="00836069">
        <w:trPr>
          <w:trHeight w:val="300"/>
        </w:trPr>
        <w:tc>
          <w:tcPr>
            <w:tcW w:w="993" w:type="dxa"/>
            <w:tcBorders>
              <w:top w:val="nil"/>
              <w:left w:val="nil"/>
              <w:bottom w:val="nil"/>
              <w:right w:val="nil"/>
            </w:tcBorders>
            <w:vAlign w:val="center"/>
            <w:hideMark/>
          </w:tcPr>
          <w:p w14:paraId="374AF6FC" w14:textId="77777777" w:rsidR="00866400" w:rsidRPr="00924699" w:rsidRDefault="00866400" w:rsidP="00836069">
            <w:pPr>
              <w:spacing w:after="0" w:line="276" w:lineRule="auto"/>
              <w:rPr>
                <w:rFonts w:ascii="Verdana" w:eastAsia="Calibri" w:hAnsi="Verdana" w:cs="Arial"/>
                <w:bCs/>
                <w:sz w:val="16"/>
                <w:szCs w:val="16"/>
                <w:lang w:eastAsia="es-CO"/>
              </w:rPr>
            </w:pPr>
            <w:r w:rsidRPr="00924699">
              <w:rPr>
                <w:rFonts w:ascii="Verdana" w:eastAsia="Calibri" w:hAnsi="Verdana" w:cs="Arial"/>
                <w:bCs/>
                <w:sz w:val="16"/>
                <w:szCs w:val="16"/>
                <w:lang w:eastAsia="es-CO"/>
              </w:rPr>
              <w:t>Aprobó:</w:t>
            </w:r>
          </w:p>
        </w:tc>
        <w:tc>
          <w:tcPr>
            <w:tcW w:w="4677" w:type="dxa"/>
            <w:tcBorders>
              <w:top w:val="dotted" w:sz="4" w:space="0" w:color="7F7F7F"/>
              <w:left w:val="nil"/>
              <w:bottom w:val="dotted" w:sz="4" w:space="0" w:color="7F7F7F"/>
              <w:right w:val="nil"/>
            </w:tcBorders>
            <w:vAlign w:val="center"/>
            <w:hideMark/>
          </w:tcPr>
          <w:p w14:paraId="51F1FDDC" w14:textId="77777777" w:rsidR="00866400" w:rsidRPr="00924699" w:rsidRDefault="00866400" w:rsidP="00836069">
            <w:pPr>
              <w:spacing w:after="0" w:line="240" w:lineRule="auto"/>
              <w:rPr>
                <w:rFonts w:ascii="Verdana" w:eastAsia="Calibri" w:hAnsi="Verdana" w:cs="Arial"/>
                <w:sz w:val="16"/>
                <w:szCs w:val="16"/>
                <w:lang w:eastAsia="es-CO"/>
              </w:rPr>
            </w:pPr>
            <w:r w:rsidRPr="00924699">
              <w:rPr>
                <w:rFonts w:ascii="Verdana" w:eastAsia="Calibri" w:hAnsi="Verdana" w:cs="Arial"/>
                <w:sz w:val="16"/>
                <w:szCs w:val="16"/>
                <w:lang w:eastAsia="es-CO"/>
              </w:rPr>
              <w:t>Carolina Quintero Gacharná</w:t>
            </w:r>
          </w:p>
          <w:p w14:paraId="4BA4B25E" w14:textId="77777777" w:rsidR="00866400" w:rsidRPr="00924699" w:rsidRDefault="00866400" w:rsidP="00836069">
            <w:pPr>
              <w:spacing w:after="0" w:line="240" w:lineRule="auto"/>
              <w:rPr>
                <w:rFonts w:ascii="Verdana" w:eastAsia="Calibri" w:hAnsi="Verdana" w:cs="Arial"/>
                <w:sz w:val="16"/>
                <w:szCs w:val="16"/>
                <w:lang w:eastAsia="es-CO"/>
              </w:rPr>
            </w:pPr>
            <w:r w:rsidRPr="00924699">
              <w:rPr>
                <w:rFonts w:ascii="Verdana" w:eastAsia="Calibri" w:hAnsi="Verdana" w:cs="Arial"/>
                <w:sz w:val="16"/>
                <w:szCs w:val="16"/>
                <w:lang w:eastAsia="es-CO"/>
              </w:rPr>
              <w:t>Subdirectora de Gestión Contractual ANCP – CCE</w:t>
            </w:r>
          </w:p>
        </w:tc>
      </w:tr>
    </w:tbl>
    <w:p w14:paraId="1F6EFB31" w14:textId="18A4D18A" w:rsidR="002D6822" w:rsidRDefault="002D6822"/>
    <w:sectPr w:rsidR="002D6822" w:rsidSect="00866400">
      <w:headerReference w:type="default" r:id="rId16"/>
      <w:footerReference w:type="defaul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00598" w14:textId="77777777" w:rsidR="00874BCE" w:rsidRDefault="00874BCE" w:rsidP="00866400">
      <w:pPr>
        <w:spacing w:after="0" w:line="240" w:lineRule="auto"/>
      </w:pPr>
      <w:r>
        <w:separator/>
      </w:r>
    </w:p>
  </w:endnote>
  <w:endnote w:type="continuationSeparator" w:id="0">
    <w:p w14:paraId="4BC28EF7" w14:textId="77777777" w:rsidR="00874BCE" w:rsidRDefault="00874BCE" w:rsidP="00866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F86A" w14:textId="77777777" w:rsidR="00866400" w:rsidRDefault="00866400">
    <w:pPr>
      <w:pStyle w:val="Piedepgina"/>
    </w:pPr>
  </w:p>
  <w:p w14:paraId="29D6D3E6" w14:textId="77777777" w:rsidR="00866400" w:rsidRPr="00174B77" w:rsidRDefault="00866400"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318BECC8" w14:textId="77777777" w:rsidR="00866400" w:rsidRDefault="00866400"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60078068" w14:textId="77777777" w:rsidR="00866400" w:rsidRPr="00E41027" w:rsidRDefault="00866400"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1AD60820" w14:textId="77777777" w:rsidR="00866400" w:rsidRDefault="00866400"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660E6" w14:textId="77777777" w:rsidR="00874BCE" w:rsidRDefault="00874BCE" w:rsidP="00866400">
      <w:pPr>
        <w:spacing w:after="0" w:line="240" w:lineRule="auto"/>
      </w:pPr>
      <w:r>
        <w:separator/>
      </w:r>
    </w:p>
  </w:footnote>
  <w:footnote w:type="continuationSeparator" w:id="0">
    <w:p w14:paraId="4D1B5183" w14:textId="77777777" w:rsidR="00874BCE" w:rsidRDefault="00874BCE" w:rsidP="00866400">
      <w:pPr>
        <w:spacing w:after="0" w:line="240" w:lineRule="auto"/>
      </w:pPr>
      <w:r>
        <w:continuationSeparator/>
      </w:r>
    </w:p>
  </w:footnote>
  <w:footnote w:id="1">
    <w:p w14:paraId="62CC0D21"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Style w:val="Refdenotaalpie"/>
          <w:rFonts w:ascii="Verdana" w:hAnsi="Verdana"/>
          <w:sz w:val="16"/>
          <w:szCs w:val="16"/>
        </w:rPr>
        <w:footnoteRef/>
      </w:r>
      <w:r w:rsidRPr="00FE6A9E">
        <w:rPr>
          <w:rFonts w:ascii="Verdana" w:hAnsi="Verdana"/>
          <w:sz w:val="16"/>
          <w:szCs w:val="16"/>
        </w:rPr>
        <w:t xml:space="preserve"> </w:t>
      </w:r>
      <w:r w:rsidRPr="00FE6A9E">
        <w:rPr>
          <w:rFonts w:ascii="Verdana" w:hAnsi="Verdana" w:cs="Arial"/>
          <w:color w:val="000000"/>
          <w:sz w:val="16"/>
          <w:szCs w:val="16"/>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w:t>
      </w:r>
    </w:p>
    <w:p w14:paraId="49208700"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2. Quien presta el servicio se denomina trabajador, quien lo recibe y remunera, empleador, y la remuneración, cualquiera que sea su forma, salario”.</w:t>
      </w:r>
    </w:p>
  </w:footnote>
  <w:footnote w:id="2">
    <w:p w14:paraId="7FE7E6EF"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Style w:val="Refdenotaalpie"/>
          <w:rFonts w:ascii="Verdana" w:hAnsi="Verdana"/>
          <w:sz w:val="16"/>
          <w:szCs w:val="16"/>
        </w:rPr>
        <w:footnoteRef/>
      </w:r>
      <w:r w:rsidRPr="00FE6A9E">
        <w:rPr>
          <w:rFonts w:ascii="Verdana" w:hAnsi="Verdana"/>
          <w:sz w:val="16"/>
          <w:szCs w:val="16"/>
        </w:rPr>
        <w:t xml:space="preserve"> </w:t>
      </w:r>
      <w:r w:rsidRPr="00FE6A9E">
        <w:rPr>
          <w:rFonts w:ascii="Verdana" w:hAnsi="Verdana" w:cs="Arial"/>
          <w:color w:val="000000"/>
          <w:sz w:val="16"/>
          <w:szCs w:val="16"/>
          <w:lang w:val="es-ES"/>
        </w:rPr>
        <w:t>En efecto, el artículo 244 de la Ley 1955 de 2015 dispone, en lo pertinente: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mensualizado del contrato, sin incluir el valor del Impuesto al Valor Agregado (IVA).</w:t>
      </w:r>
    </w:p>
    <w:p w14:paraId="7E935A27"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 mensualizado de los ingresos, sin incluir el valor del Impuesto al Valor Agregado (IVA). En estos casos será procedente la imputación de costos y deducciones siempre que se cumplan los criterios determinados en el artículo 107 del Estatuto Tributario y sin exceder los valores incluidos en la declaración de renta de la respectiva vigencia.</w:t>
      </w:r>
    </w:p>
    <w:p w14:paraId="75F689C5"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El Gobierno nacional reglamentará el mecanismo para realizar la mensualización de que trata el presente artículo.</w:t>
      </w:r>
    </w:p>
    <w:p w14:paraId="0E10314C"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w:t>
      </w:r>
    </w:p>
    <w:p w14:paraId="1E3FE549" w14:textId="77777777" w:rsidR="00866400" w:rsidRPr="00FE6A9E" w:rsidRDefault="00866400" w:rsidP="00866400">
      <w:pPr>
        <w:pStyle w:val="Textonotapie"/>
        <w:ind w:firstLine="709"/>
        <w:jc w:val="both"/>
        <w:rPr>
          <w:rFonts w:ascii="Verdana" w:hAnsi="Verdana" w:cs="Arial"/>
          <w:color w:val="000000"/>
          <w:sz w:val="16"/>
          <w:szCs w:val="16"/>
          <w:lang w:val="es-ES"/>
        </w:rPr>
      </w:pPr>
    </w:p>
  </w:footnote>
  <w:footnote w:id="3">
    <w:p w14:paraId="144BEF99" w14:textId="77777777" w:rsidR="00866400" w:rsidRPr="00FE6A9E" w:rsidRDefault="00866400" w:rsidP="00866400">
      <w:pPr>
        <w:pStyle w:val="Textonotapie"/>
        <w:ind w:firstLine="708"/>
        <w:rPr>
          <w:rFonts w:ascii="Verdana" w:hAnsi="Verdana"/>
          <w:sz w:val="16"/>
          <w:szCs w:val="16"/>
          <w:lang w:val="es-ES"/>
        </w:rPr>
      </w:pPr>
      <w:r w:rsidRPr="00FE6A9E">
        <w:rPr>
          <w:rStyle w:val="Refdenotaalpie"/>
          <w:rFonts w:ascii="Verdana" w:hAnsi="Verdana"/>
          <w:sz w:val="16"/>
          <w:szCs w:val="16"/>
        </w:rPr>
        <w:footnoteRef/>
      </w:r>
      <w:r w:rsidRPr="00FE6A9E">
        <w:rPr>
          <w:rFonts w:ascii="Verdana" w:hAnsi="Verdana"/>
          <w:sz w:val="16"/>
          <w:szCs w:val="16"/>
        </w:rPr>
        <w:t xml:space="preserve"> </w:t>
      </w:r>
      <w:r w:rsidRPr="00FE6A9E">
        <w:rPr>
          <w:rFonts w:ascii="Verdana" w:hAnsi="Verdana" w:cs="Arial"/>
          <w:color w:val="000000"/>
          <w:sz w:val="16"/>
          <w:szCs w:val="16"/>
          <w:lang w:val="es-ES"/>
        </w:rPr>
        <w:t>Corte Constitucional. Sentencia C-154 de 1997. Magistrado Ponente: Hernando Herrera Vergara.</w:t>
      </w:r>
    </w:p>
  </w:footnote>
  <w:footnote w:id="4">
    <w:p w14:paraId="40337E66" w14:textId="77777777" w:rsidR="00866400" w:rsidRPr="00FE6A9E" w:rsidRDefault="00866400" w:rsidP="00866400">
      <w:pPr>
        <w:spacing w:after="0"/>
        <w:ind w:firstLine="708"/>
        <w:jc w:val="both"/>
        <w:rPr>
          <w:rFonts w:ascii="Verdana" w:eastAsia="Arial Nova" w:hAnsi="Verdana" w:cs="Arial"/>
          <w:sz w:val="16"/>
          <w:szCs w:val="16"/>
          <w:lang w:val="es"/>
        </w:rPr>
      </w:pPr>
      <w:r w:rsidRPr="00FE6A9E">
        <w:rPr>
          <w:rStyle w:val="Refdenotaalpie"/>
          <w:rFonts w:ascii="Verdana" w:hAnsi="Verdana" w:cs="Arial"/>
          <w:sz w:val="16"/>
          <w:szCs w:val="16"/>
        </w:rPr>
        <w:footnoteRef/>
      </w:r>
      <w:r w:rsidRPr="00FE6A9E">
        <w:rPr>
          <w:rFonts w:ascii="Verdana" w:hAnsi="Verdana" w:cs="Arial"/>
          <w:sz w:val="16"/>
          <w:szCs w:val="16"/>
        </w:rPr>
        <w:t xml:space="preserve"> </w:t>
      </w:r>
      <w:r w:rsidRPr="00FE6A9E">
        <w:rPr>
          <w:rFonts w:ascii="Verdana" w:eastAsia="Arial Nova" w:hAnsi="Verdana" w:cs="Arial"/>
          <w:sz w:val="16"/>
          <w:szCs w:val="16"/>
          <w:lang w:val="es"/>
        </w:rPr>
        <w:t xml:space="preserve">Corte Constitucional. Sentencia C-614 de 2009. M.P. Jorge Ignacio Pretelt Chaljub. </w:t>
      </w:r>
    </w:p>
    <w:p w14:paraId="1284E347" w14:textId="77777777" w:rsidR="00866400" w:rsidRPr="00FE6A9E" w:rsidRDefault="00866400" w:rsidP="00866400">
      <w:pPr>
        <w:pStyle w:val="Textonotapie"/>
        <w:rPr>
          <w:rFonts w:ascii="Verdana" w:hAnsi="Verdana"/>
          <w:sz w:val="16"/>
          <w:szCs w:val="16"/>
        </w:rPr>
      </w:pPr>
    </w:p>
  </w:footnote>
  <w:footnote w:id="5">
    <w:p w14:paraId="0F0FD491" w14:textId="77777777" w:rsidR="00866400" w:rsidRPr="00FE6A9E" w:rsidRDefault="00866400" w:rsidP="00866400">
      <w:pPr>
        <w:pStyle w:val="Textonotapie"/>
        <w:ind w:firstLine="708"/>
        <w:rPr>
          <w:rFonts w:ascii="Verdana" w:hAnsi="Verdana" w:cs="Arial"/>
          <w:color w:val="000000"/>
          <w:sz w:val="16"/>
          <w:szCs w:val="16"/>
          <w:lang w:val="es-ES"/>
        </w:rPr>
      </w:pPr>
      <w:r w:rsidRPr="00FE6A9E">
        <w:rPr>
          <w:rStyle w:val="Refdenotaalpie"/>
          <w:rFonts w:ascii="Verdana" w:hAnsi="Verdana"/>
          <w:sz w:val="16"/>
          <w:szCs w:val="16"/>
        </w:rPr>
        <w:footnoteRef/>
      </w:r>
      <w:r w:rsidRPr="00FE6A9E">
        <w:rPr>
          <w:rFonts w:ascii="Verdana" w:hAnsi="Verdana"/>
          <w:sz w:val="16"/>
          <w:szCs w:val="16"/>
        </w:rPr>
        <w:t xml:space="preserve"> </w:t>
      </w:r>
      <w:r w:rsidRPr="00FE6A9E">
        <w:rPr>
          <w:rFonts w:ascii="Verdana" w:hAnsi="Verdana" w:cs="Arial"/>
          <w:color w:val="000000"/>
          <w:sz w:val="16"/>
          <w:szCs w:val="16"/>
          <w:lang w:val="es-ES"/>
        </w:rPr>
        <w:t>Corte Constitucional. Sentencia C-154 de 1997. Magistrado Ponente: Hernando Herrera Vergara.</w:t>
      </w:r>
    </w:p>
    <w:p w14:paraId="6D5A73DF" w14:textId="77777777" w:rsidR="00866400" w:rsidRPr="00FE6A9E" w:rsidRDefault="00866400" w:rsidP="00866400">
      <w:pPr>
        <w:pStyle w:val="Textonotapie"/>
        <w:ind w:firstLine="708"/>
        <w:rPr>
          <w:rFonts w:ascii="Verdana" w:hAnsi="Verdana"/>
          <w:sz w:val="16"/>
          <w:szCs w:val="16"/>
        </w:rPr>
      </w:pPr>
    </w:p>
  </w:footnote>
  <w:footnote w:id="6">
    <w:p w14:paraId="421C30DE"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Style w:val="Refdenotaalpie"/>
          <w:rFonts w:ascii="Verdana" w:hAnsi="Verdana"/>
          <w:sz w:val="16"/>
          <w:szCs w:val="16"/>
        </w:rPr>
        <w:footnoteRef/>
      </w:r>
      <w:r w:rsidRPr="00FE6A9E">
        <w:rPr>
          <w:rFonts w:ascii="Verdana" w:hAnsi="Verdana"/>
          <w:sz w:val="16"/>
          <w:szCs w:val="16"/>
        </w:rPr>
        <w:t xml:space="preserve"> </w:t>
      </w:r>
      <w:r w:rsidRPr="00FE6A9E">
        <w:rPr>
          <w:rFonts w:ascii="Verdana" w:hAnsi="Verdana" w:cs="Arial"/>
          <w:color w:val="000000"/>
          <w:sz w:val="16"/>
          <w:szCs w:val="16"/>
          <w:lang w:val="es-ES"/>
        </w:rPr>
        <w:t>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14:paraId="4E8B7C0E" w14:textId="77777777" w:rsidR="00866400" w:rsidRPr="00FE6A9E" w:rsidRDefault="00866400" w:rsidP="00866400">
      <w:pPr>
        <w:pStyle w:val="Textonotapie"/>
        <w:ind w:firstLine="708"/>
        <w:rPr>
          <w:rFonts w:ascii="Verdana" w:hAnsi="Verdana"/>
          <w:sz w:val="16"/>
          <w:szCs w:val="16"/>
          <w:lang w:val="es-ES"/>
        </w:rPr>
      </w:pPr>
    </w:p>
  </w:footnote>
  <w:footnote w:id="7">
    <w:p w14:paraId="582302E5"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Style w:val="Refdenotaalpie"/>
          <w:rFonts w:ascii="Verdana" w:hAnsi="Verdana"/>
          <w:sz w:val="16"/>
          <w:szCs w:val="16"/>
        </w:rPr>
        <w:footnoteRef/>
      </w:r>
      <w:r w:rsidRPr="00FE6A9E">
        <w:rPr>
          <w:rFonts w:ascii="Verdana" w:hAnsi="Verdana"/>
          <w:sz w:val="16"/>
          <w:szCs w:val="16"/>
        </w:rPr>
        <w:t xml:space="preserve"> </w:t>
      </w:r>
      <w:r w:rsidRPr="00FE6A9E">
        <w:rPr>
          <w:rFonts w:ascii="Verdana" w:hAnsi="Verdana" w:cs="Arial"/>
          <w:color w:val="000000"/>
          <w:sz w:val="16"/>
          <w:szCs w:val="16"/>
          <w:lang w:val="es-ES"/>
        </w:rPr>
        <w:t>Consejo de Estado. Sección Tercera. Subsección C. Sentencia del 2 de diciembre de 2013. Exp. 41719. Consejero Ponente: Jaime Orlando Santofimio Gamboa.</w:t>
      </w:r>
    </w:p>
    <w:p w14:paraId="5232F4EA" w14:textId="77777777" w:rsidR="00866400" w:rsidRPr="00FE6A9E" w:rsidRDefault="00866400" w:rsidP="00866400">
      <w:pPr>
        <w:pStyle w:val="Textonotapie"/>
        <w:ind w:firstLine="708"/>
        <w:rPr>
          <w:rFonts w:ascii="Verdana" w:hAnsi="Verdana"/>
          <w:sz w:val="16"/>
          <w:szCs w:val="16"/>
          <w:lang w:val="es-ES"/>
        </w:rPr>
      </w:pPr>
    </w:p>
  </w:footnote>
  <w:footnote w:id="8">
    <w:p w14:paraId="07EA9A2A" w14:textId="77777777" w:rsidR="00866400" w:rsidRPr="00FE6A9E" w:rsidRDefault="00866400" w:rsidP="00866400">
      <w:pPr>
        <w:pStyle w:val="Textonotapie"/>
        <w:ind w:firstLine="708"/>
        <w:rPr>
          <w:rFonts w:ascii="Verdana" w:hAnsi="Verdana"/>
          <w:sz w:val="16"/>
          <w:szCs w:val="16"/>
          <w:lang w:val="es-ES"/>
        </w:rPr>
      </w:pPr>
      <w:r w:rsidRPr="00FE6A9E">
        <w:rPr>
          <w:rStyle w:val="Refdenotaalpie"/>
          <w:rFonts w:ascii="Verdana" w:hAnsi="Verdana"/>
          <w:sz w:val="16"/>
          <w:szCs w:val="16"/>
        </w:rPr>
        <w:footnoteRef/>
      </w:r>
      <w:r w:rsidRPr="00FE6A9E">
        <w:rPr>
          <w:rFonts w:ascii="Verdana" w:hAnsi="Verdana"/>
          <w:sz w:val="16"/>
          <w:szCs w:val="16"/>
        </w:rPr>
        <w:t xml:space="preserve"> Ibíd. </w:t>
      </w:r>
    </w:p>
  </w:footnote>
  <w:footnote w:id="9">
    <w:p w14:paraId="4E28F8FA" w14:textId="77777777" w:rsidR="00866400" w:rsidRPr="00FE6A9E" w:rsidRDefault="00866400" w:rsidP="00866400">
      <w:pPr>
        <w:pStyle w:val="Textonotapie"/>
        <w:ind w:firstLine="708"/>
        <w:rPr>
          <w:rFonts w:ascii="Verdana" w:hAnsi="Verdana"/>
          <w:sz w:val="16"/>
          <w:szCs w:val="16"/>
        </w:rPr>
      </w:pPr>
      <w:r w:rsidRPr="00FE6A9E">
        <w:rPr>
          <w:rStyle w:val="Refdenotaalpie"/>
          <w:rFonts w:ascii="Verdana" w:hAnsi="Verdana"/>
          <w:sz w:val="16"/>
          <w:szCs w:val="16"/>
        </w:rPr>
        <w:footnoteRef/>
      </w:r>
      <w:r w:rsidRPr="00FE6A9E">
        <w:rPr>
          <w:rFonts w:ascii="Verdana" w:hAnsi="Verdana"/>
          <w:sz w:val="16"/>
          <w:szCs w:val="16"/>
        </w:rPr>
        <w:t xml:space="preserve"> Ibíd. </w:t>
      </w:r>
    </w:p>
    <w:p w14:paraId="14E45FBF" w14:textId="77777777" w:rsidR="00866400" w:rsidRPr="00FE6A9E" w:rsidRDefault="00866400" w:rsidP="00866400">
      <w:pPr>
        <w:pStyle w:val="Textonotapie"/>
        <w:ind w:firstLine="708"/>
        <w:rPr>
          <w:rFonts w:ascii="Verdana" w:hAnsi="Verdana"/>
          <w:sz w:val="16"/>
          <w:szCs w:val="16"/>
          <w:lang w:val="es-ES"/>
        </w:rPr>
      </w:pPr>
    </w:p>
  </w:footnote>
  <w:footnote w:id="10">
    <w:p w14:paraId="1839DC75"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Style w:val="Refdenotaalpie"/>
          <w:rFonts w:ascii="Verdana" w:hAnsi="Verdana"/>
          <w:sz w:val="16"/>
          <w:szCs w:val="16"/>
        </w:rPr>
        <w:footnoteRef/>
      </w:r>
      <w:r w:rsidRPr="00FE6A9E">
        <w:rPr>
          <w:rFonts w:ascii="Verdana" w:hAnsi="Verdana"/>
          <w:sz w:val="16"/>
          <w:szCs w:val="16"/>
        </w:rPr>
        <w:t xml:space="preserve"> </w:t>
      </w:r>
      <w:r w:rsidRPr="00FE6A9E">
        <w:rPr>
          <w:rFonts w:ascii="Verdana" w:hAnsi="Verdana" w:cs="Arial"/>
          <w:color w:val="000000"/>
          <w:sz w:val="16"/>
          <w:szCs w:val="16"/>
          <w:lang w:val="es-ES"/>
        </w:rPr>
        <w:t>Ibíd.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14:paraId="7ECB4593"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Son también contratos de consultoría los que tienen por objeto la interventoría, asesoría, gerencia de obra o de proyectos, dirección, programación y la ejecución de diseños, planos, anteproyectos y proyectos.</w:t>
      </w:r>
    </w:p>
    <w:p w14:paraId="573906C5"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 xml:space="preserve">Ninguna orden del interventor de una obra podrá darse verbalmente. Es obligatorio para el interventor entregar por escrito sus órdenes o sugerencias y ellas deben enmarcarse dentro de los términos del respectivo contrato”. </w:t>
      </w:r>
    </w:p>
    <w:p w14:paraId="41C5A2D6" w14:textId="77777777" w:rsidR="00866400" w:rsidRPr="00FE6A9E" w:rsidRDefault="00866400" w:rsidP="00866400">
      <w:pPr>
        <w:pStyle w:val="Textonotapie"/>
        <w:ind w:firstLine="708"/>
        <w:rPr>
          <w:rFonts w:ascii="Verdana" w:hAnsi="Verdana"/>
          <w:sz w:val="16"/>
          <w:szCs w:val="16"/>
          <w:lang w:val="es-ES"/>
        </w:rPr>
      </w:pPr>
    </w:p>
  </w:footnote>
  <w:footnote w:id="11">
    <w:p w14:paraId="5604BB77"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Style w:val="Refdenotaalpie"/>
          <w:rFonts w:ascii="Verdana" w:hAnsi="Verdana"/>
          <w:sz w:val="16"/>
          <w:szCs w:val="16"/>
        </w:rPr>
        <w:footnoteRef/>
      </w:r>
      <w:r w:rsidRPr="00FE6A9E">
        <w:rPr>
          <w:rFonts w:ascii="Verdana" w:hAnsi="Verdana"/>
          <w:sz w:val="16"/>
          <w:szCs w:val="16"/>
        </w:rPr>
        <w:t xml:space="preserve"> </w:t>
      </w:r>
      <w:r w:rsidRPr="00FE6A9E">
        <w:rPr>
          <w:rFonts w:ascii="Verdana" w:hAnsi="Verdana" w:cs="Arial"/>
          <w:color w:val="000000"/>
          <w:sz w:val="16"/>
          <w:szCs w:val="16"/>
          <w:lang w:val="es-ES"/>
        </w:rPr>
        <w:t>Así lo prevé el artículo 2.2.1.2.1.4.1. del Decreto 1082 de 2015: “La Entidad Estatal debe señalar en un acto administrativo la justificación para contratar bajo la modalidad de contratación directa, el cual debe contener:</w:t>
      </w:r>
    </w:p>
    <w:p w14:paraId="0E98A843"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1. La causal que invoca para contratar directamente.</w:t>
      </w:r>
    </w:p>
    <w:p w14:paraId="117BD8A0"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2. El objeto del contrato.</w:t>
      </w:r>
    </w:p>
    <w:p w14:paraId="57323423"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3. El presupuesto para la contratación y las condiciones que exigirá al contratista.</w:t>
      </w:r>
    </w:p>
    <w:p w14:paraId="3C06FD87"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4. El lugar en el cual los interesados pueden consultar los estudios y documentos previos.</w:t>
      </w:r>
    </w:p>
    <w:p w14:paraId="73390393"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Este acto administrativo no es necesario cuando el contrato a celebrar es de prestación de servicios profesionales y de apoyo a la gestión, y para los contratos de que tratan los literales (a) y (b) del artículo 2.2.1.2.1.4.3 del presente decreto”.</w:t>
      </w:r>
    </w:p>
    <w:p w14:paraId="6D4B0EF1" w14:textId="77777777" w:rsidR="00866400" w:rsidRPr="00FE6A9E" w:rsidRDefault="00866400" w:rsidP="00866400">
      <w:pPr>
        <w:pStyle w:val="Textonotapie"/>
        <w:ind w:firstLine="708"/>
        <w:rPr>
          <w:rFonts w:ascii="Verdana" w:hAnsi="Verdana"/>
          <w:sz w:val="16"/>
          <w:szCs w:val="16"/>
          <w:lang w:val="es-ES"/>
        </w:rPr>
      </w:pPr>
    </w:p>
  </w:footnote>
  <w:footnote w:id="12">
    <w:p w14:paraId="73892D28"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Style w:val="Refdenotaalpie"/>
          <w:rFonts w:ascii="Verdana" w:hAnsi="Verdana"/>
          <w:sz w:val="16"/>
          <w:szCs w:val="16"/>
        </w:rPr>
        <w:footnoteRef/>
      </w:r>
      <w:r w:rsidRPr="00FE6A9E">
        <w:rPr>
          <w:rFonts w:ascii="Verdana" w:hAnsi="Verdana"/>
          <w:sz w:val="16"/>
          <w:szCs w:val="16"/>
        </w:rPr>
        <w:t xml:space="preserve"> </w:t>
      </w:r>
      <w:r w:rsidRPr="00FE6A9E">
        <w:rPr>
          <w:rFonts w:ascii="Verdana" w:hAnsi="Verdana" w:cs="Arial"/>
          <w:color w:val="000000"/>
          <w:sz w:val="16"/>
          <w:szCs w:val="16"/>
          <w:lang w:val="es-ES"/>
        </w:rPr>
        <w:t>Esta norma expresa: “</w:t>
      </w:r>
      <w:r w:rsidRPr="00FE6A9E">
        <w:rPr>
          <w:rFonts w:ascii="Verdana" w:hAnsi="Verdana" w:cs="Arial"/>
          <w:color w:val="000000"/>
          <w:sz w:val="16"/>
          <w:szCs w:val="16"/>
        </w:rPr>
        <w:t>P</w:t>
      </w:r>
      <w:r w:rsidRPr="00FE6A9E">
        <w:rPr>
          <w:rFonts w:ascii="Verdana" w:hAnsi="Verdana" w:cs="Arial"/>
          <w:color w:val="000000"/>
          <w:sz w:val="16"/>
          <w:szCs w:val="16"/>
          <w:lang w:val="es-ES"/>
        </w:rPr>
        <w:t>ara el cumplimiento de los fines de la contratación, las entidades estatales al celebrar un contrato:</w:t>
      </w:r>
    </w:p>
    <w:p w14:paraId="7096503D"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w:t>
      </w:r>
    </w:p>
    <w:p w14:paraId="519125FA"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14:paraId="486ABE5D"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Las entidades estatales podrán pactar estas cláusulas en los contratos de suministro y de prestación de servicios.</w:t>
      </w:r>
    </w:p>
    <w:p w14:paraId="4215C7C2"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Fonts w:ascii="Verdana" w:hAnsi="Verdana" w:cs="Arial"/>
          <w:color w:val="000000"/>
          <w:sz w:val="16"/>
          <w:szCs w:val="16"/>
          <w:lang w:val="es-ES"/>
        </w:rPr>
        <w:t>[…]”.</w:t>
      </w:r>
    </w:p>
    <w:p w14:paraId="589D2C60" w14:textId="77777777" w:rsidR="00866400" w:rsidRPr="00FE6A9E" w:rsidRDefault="00866400" w:rsidP="00866400">
      <w:pPr>
        <w:pStyle w:val="Textonotapie"/>
        <w:ind w:firstLine="708"/>
        <w:rPr>
          <w:rFonts w:ascii="Verdana" w:hAnsi="Verdana"/>
          <w:sz w:val="16"/>
          <w:szCs w:val="16"/>
        </w:rPr>
      </w:pPr>
    </w:p>
  </w:footnote>
  <w:footnote w:id="13">
    <w:p w14:paraId="20BC42FB" w14:textId="77777777" w:rsidR="00866400" w:rsidRPr="00FE6A9E" w:rsidRDefault="00866400" w:rsidP="00866400">
      <w:pPr>
        <w:pStyle w:val="Textonotapie"/>
        <w:ind w:firstLine="708"/>
        <w:rPr>
          <w:rFonts w:ascii="Verdana" w:hAnsi="Verdana" w:cs="Arial"/>
          <w:color w:val="000000"/>
          <w:sz w:val="16"/>
          <w:szCs w:val="16"/>
          <w:lang w:val="es-ES"/>
        </w:rPr>
      </w:pPr>
      <w:r w:rsidRPr="00FE6A9E">
        <w:rPr>
          <w:rStyle w:val="Refdenotaalpie"/>
          <w:rFonts w:ascii="Verdana" w:hAnsi="Verdana"/>
          <w:sz w:val="16"/>
          <w:szCs w:val="16"/>
        </w:rPr>
        <w:footnoteRef/>
      </w:r>
      <w:r w:rsidRPr="00FE6A9E">
        <w:rPr>
          <w:rFonts w:ascii="Verdana" w:hAnsi="Verdana"/>
          <w:sz w:val="16"/>
          <w:szCs w:val="16"/>
        </w:rPr>
        <w:t xml:space="preserve"> </w:t>
      </w:r>
      <w:r w:rsidRPr="00FE6A9E">
        <w:rPr>
          <w:rFonts w:ascii="Verdana" w:hAnsi="Verdana" w:cs="Arial"/>
          <w:color w:val="000000"/>
          <w:sz w:val="16"/>
          <w:szCs w:val="16"/>
          <w:lang w:val="es-ES"/>
        </w:rPr>
        <w:t>La norma dispone: “La liquidación a que se refiere el presente artículo no será obligatoria en los contratos de prestación de servicios profesionales y de apoyo a la gestión”.</w:t>
      </w:r>
    </w:p>
    <w:p w14:paraId="7162646F" w14:textId="77777777" w:rsidR="00866400" w:rsidRPr="00FE6A9E" w:rsidRDefault="00866400" w:rsidP="00866400">
      <w:pPr>
        <w:pStyle w:val="Textonotapie"/>
        <w:ind w:firstLine="708"/>
        <w:rPr>
          <w:rFonts w:ascii="Verdana" w:hAnsi="Verdana"/>
          <w:sz w:val="16"/>
          <w:szCs w:val="16"/>
        </w:rPr>
      </w:pPr>
    </w:p>
  </w:footnote>
  <w:footnote w:id="14">
    <w:p w14:paraId="66B3DA94" w14:textId="77777777" w:rsidR="00866400" w:rsidRPr="00FE6A9E" w:rsidRDefault="00866400" w:rsidP="00866400">
      <w:pPr>
        <w:pStyle w:val="Textonotapie"/>
        <w:ind w:firstLine="709"/>
        <w:jc w:val="both"/>
        <w:rPr>
          <w:rFonts w:ascii="Verdana" w:hAnsi="Verdana" w:cs="Arial"/>
          <w:color w:val="000000"/>
          <w:sz w:val="16"/>
          <w:szCs w:val="16"/>
        </w:rPr>
      </w:pPr>
      <w:r w:rsidRPr="00FE6A9E">
        <w:rPr>
          <w:rStyle w:val="Refdenotaalpie"/>
          <w:rFonts w:ascii="Verdana" w:hAnsi="Verdana"/>
          <w:sz w:val="16"/>
          <w:szCs w:val="16"/>
        </w:rPr>
        <w:footnoteRef/>
      </w:r>
      <w:r w:rsidRPr="00FE6A9E">
        <w:rPr>
          <w:rFonts w:ascii="Verdana" w:hAnsi="Verdana"/>
          <w:sz w:val="16"/>
          <w:szCs w:val="16"/>
        </w:rPr>
        <w:t xml:space="preserve"> </w:t>
      </w:r>
      <w:r w:rsidRPr="00FE6A9E">
        <w:rPr>
          <w:rFonts w:ascii="Verdana" w:hAnsi="Verdana" w:cs="Arial"/>
          <w:color w:val="000000"/>
          <w:sz w:val="16"/>
          <w:szCs w:val="16"/>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1CD53B1B" w14:textId="77777777" w:rsidR="00866400" w:rsidRPr="00FE6A9E" w:rsidRDefault="00866400" w:rsidP="00866400">
      <w:pPr>
        <w:pStyle w:val="Textonotapie"/>
        <w:ind w:firstLine="709"/>
        <w:jc w:val="both"/>
        <w:rPr>
          <w:rFonts w:ascii="Verdana" w:hAnsi="Verdana" w:cs="Arial"/>
          <w:color w:val="000000"/>
          <w:sz w:val="16"/>
          <w:szCs w:val="16"/>
        </w:rPr>
      </w:pPr>
      <w:r w:rsidRPr="00FE6A9E">
        <w:rPr>
          <w:rFonts w:ascii="Verdana" w:hAnsi="Verdana" w:cs="Arial"/>
          <w:color w:val="000000"/>
          <w:sz w:val="16"/>
          <w:szCs w:val="16"/>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3B493E65" w14:textId="77777777" w:rsidR="00866400" w:rsidRPr="00FE6A9E" w:rsidRDefault="00866400" w:rsidP="00866400">
      <w:pPr>
        <w:pStyle w:val="Textonotapie"/>
        <w:ind w:firstLine="709"/>
        <w:jc w:val="both"/>
        <w:rPr>
          <w:rFonts w:ascii="Verdana" w:hAnsi="Verdana" w:cs="Arial"/>
          <w:color w:val="000000"/>
          <w:sz w:val="16"/>
          <w:szCs w:val="16"/>
        </w:rPr>
      </w:pPr>
      <w:r w:rsidRPr="00FE6A9E">
        <w:rPr>
          <w:rFonts w:ascii="Verdana" w:hAnsi="Verdana" w:cs="Arial"/>
          <w:color w:val="000000"/>
          <w:sz w:val="16"/>
          <w:szCs w:val="16"/>
        </w:rPr>
        <w:t>[…]”.</w:t>
      </w:r>
    </w:p>
    <w:p w14:paraId="03EB7C64" w14:textId="77777777" w:rsidR="00866400" w:rsidRPr="00FE6A9E" w:rsidRDefault="00866400" w:rsidP="00866400">
      <w:pPr>
        <w:pStyle w:val="Textonotapie"/>
        <w:ind w:firstLine="708"/>
        <w:rPr>
          <w:rFonts w:ascii="Verdana" w:hAnsi="Verdana"/>
          <w:sz w:val="16"/>
          <w:szCs w:val="16"/>
        </w:rPr>
      </w:pPr>
    </w:p>
  </w:footnote>
  <w:footnote w:id="15">
    <w:p w14:paraId="7C0FB7AE" w14:textId="77777777" w:rsidR="00866400" w:rsidRPr="00FE6A9E" w:rsidRDefault="00866400" w:rsidP="00866400">
      <w:pPr>
        <w:pStyle w:val="Textonotapie"/>
        <w:ind w:firstLine="709"/>
        <w:jc w:val="both"/>
        <w:rPr>
          <w:rFonts w:ascii="Verdana" w:hAnsi="Verdana" w:cs="Arial"/>
          <w:color w:val="000000"/>
          <w:sz w:val="16"/>
          <w:szCs w:val="16"/>
          <w:lang w:val="es-ES"/>
        </w:rPr>
      </w:pPr>
      <w:r w:rsidRPr="00FE6A9E">
        <w:rPr>
          <w:rStyle w:val="Refdenotaalpie"/>
          <w:rFonts w:ascii="Verdana" w:hAnsi="Verdana"/>
          <w:sz w:val="16"/>
          <w:szCs w:val="16"/>
        </w:rPr>
        <w:footnoteRef/>
      </w:r>
      <w:r w:rsidRPr="00FE6A9E">
        <w:rPr>
          <w:rFonts w:ascii="Verdana" w:hAnsi="Verdana"/>
          <w:sz w:val="16"/>
          <w:szCs w:val="16"/>
        </w:rPr>
        <w:t xml:space="preserve"> </w:t>
      </w:r>
      <w:r w:rsidRPr="00FE6A9E">
        <w:rPr>
          <w:rFonts w:ascii="Verdana" w:hAnsi="Verdana" w:cs="Arial"/>
          <w:color w:val="000000"/>
          <w:sz w:val="16"/>
          <w:szCs w:val="16"/>
          <w:lang w:val="es-ES"/>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020686A0" w14:textId="77777777" w:rsidR="00866400" w:rsidRPr="00FE6A9E" w:rsidRDefault="00866400" w:rsidP="00866400">
      <w:pPr>
        <w:pStyle w:val="Textonotapie"/>
        <w:ind w:firstLine="708"/>
        <w:rPr>
          <w:rFonts w:ascii="Verdana" w:hAnsi="Verdana"/>
          <w:sz w:val="16"/>
          <w:szCs w:val="16"/>
          <w:lang w:val="es-ES"/>
        </w:rPr>
      </w:pPr>
    </w:p>
  </w:footnote>
  <w:footnote w:id="16">
    <w:p w14:paraId="4F6757B4" w14:textId="77777777" w:rsidR="00866400" w:rsidRPr="00FE6A9E" w:rsidRDefault="00866400" w:rsidP="00866400">
      <w:pPr>
        <w:pStyle w:val="Textonotapie"/>
        <w:ind w:firstLine="709"/>
        <w:jc w:val="both"/>
        <w:rPr>
          <w:rFonts w:ascii="Verdana" w:hAnsi="Verdana"/>
          <w:sz w:val="16"/>
          <w:szCs w:val="16"/>
          <w:lang w:val="es-CO"/>
        </w:rPr>
      </w:pPr>
      <w:r w:rsidRPr="00FE6A9E">
        <w:rPr>
          <w:rStyle w:val="Refdenotaalpie"/>
          <w:rFonts w:ascii="Verdana" w:hAnsi="Verdana"/>
          <w:sz w:val="16"/>
          <w:szCs w:val="16"/>
        </w:rPr>
        <w:footnoteRef/>
      </w:r>
      <w:r w:rsidRPr="00FE6A9E">
        <w:rPr>
          <w:rFonts w:ascii="Verdana" w:hAnsi="Verdana"/>
          <w:sz w:val="16"/>
          <w:szCs w:val="16"/>
        </w:rPr>
        <w:t xml:space="preserve"> “Para 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 El proponente y el contratista deberán acreditar que se encuentran al día en el pago de aportes parafiscales relativos al Sistema de Seguridad Social Integral, así como los propios del Sena, ICBF y Cajas de Compensación Familiar, cuando corresponda”.</w:t>
      </w:r>
    </w:p>
  </w:footnote>
  <w:footnote w:id="17">
    <w:p w14:paraId="4A9C7B58" w14:textId="77777777" w:rsidR="00866400" w:rsidRPr="00FE6A9E" w:rsidRDefault="00866400" w:rsidP="00866400">
      <w:pPr>
        <w:pStyle w:val="Textonotapie"/>
        <w:ind w:firstLine="708"/>
        <w:jc w:val="both"/>
        <w:rPr>
          <w:rFonts w:ascii="Verdana" w:hAnsi="Verdana" w:cs="Arial"/>
          <w:sz w:val="16"/>
          <w:szCs w:val="16"/>
        </w:rPr>
      </w:pPr>
      <w:r w:rsidRPr="00FE6A9E">
        <w:rPr>
          <w:rStyle w:val="Refdenotaalpie"/>
          <w:rFonts w:ascii="Verdana" w:hAnsi="Verdana" w:cs="Arial"/>
          <w:sz w:val="16"/>
          <w:szCs w:val="16"/>
        </w:rPr>
        <w:footnoteRef/>
      </w:r>
      <w:r w:rsidRPr="00FE6A9E">
        <w:rPr>
          <w:rFonts w:ascii="Verdana" w:hAnsi="Verdana" w:cs="Arial"/>
          <w:sz w:val="16"/>
          <w:szCs w:val="16"/>
        </w:rPr>
        <w:t xml:space="preserve"> Para la jurisprudencia, “[…] los seguros de cumplimiento, específicamente, el de contratos estatales, son aquellos que garantizan al acreedor (entidad estatal) que serán resarcidos los daños que pueda provocar el incumplimiento de las obligaciones del deudor (contratista) dentro del marco de una relación contractual. Así, pues, el riesgo asegurado en esta categoría de seguros, visto de manera general, lo constituye el incumplimiento de las obligaciones contractuales a cargo del deudor (contratista), quien a su vez es el tomador de la póliza, de modo que el objeto de las obligaciones garantizadas es lo que determina o particulariza el riesgo asegurado” (CONSEJO DE ESTADO. Sección Tercera. Subsección A. Sentencia del 12 de febrero de 2015. Exp.  28278. C.P. Carlos Alberto Zambrano Barrera).</w:t>
      </w:r>
    </w:p>
  </w:footnote>
  <w:footnote w:id="18">
    <w:p w14:paraId="7034BF79" w14:textId="77777777" w:rsidR="00866400" w:rsidRPr="00FE6A9E" w:rsidRDefault="00866400" w:rsidP="00866400">
      <w:pPr>
        <w:pStyle w:val="Textonotapie"/>
        <w:ind w:firstLine="708"/>
        <w:jc w:val="both"/>
        <w:rPr>
          <w:rFonts w:ascii="Verdana" w:hAnsi="Verdana" w:cs="Arial"/>
          <w:color w:val="000000" w:themeColor="text1"/>
          <w:sz w:val="16"/>
          <w:szCs w:val="16"/>
          <w:lang w:val="es-CO"/>
        </w:rPr>
      </w:pPr>
      <w:r w:rsidRPr="00FE6A9E">
        <w:rPr>
          <w:rStyle w:val="Refdenotaalpie"/>
          <w:rFonts w:ascii="Verdana" w:hAnsi="Verdana" w:cs="Arial"/>
          <w:color w:val="000000" w:themeColor="text1"/>
          <w:sz w:val="16"/>
          <w:szCs w:val="16"/>
        </w:rPr>
        <w:footnoteRef/>
      </w:r>
      <w:r w:rsidRPr="00FE6A9E">
        <w:rPr>
          <w:rFonts w:ascii="Verdana" w:hAnsi="Verdana" w:cs="Arial"/>
          <w:color w:val="000000" w:themeColor="text1"/>
          <w:sz w:val="16"/>
          <w:szCs w:val="16"/>
        </w:rPr>
        <w:t xml:space="preserve"> </w:t>
      </w:r>
      <w:r w:rsidRPr="00FE6A9E">
        <w:rPr>
          <w:rFonts w:ascii="Verdana" w:hAnsi="Verdana" w:cs="Arial"/>
          <w:color w:val="000000" w:themeColor="text1"/>
          <w:sz w:val="16"/>
          <w:szCs w:val="16"/>
          <w:lang w:val="es-CO"/>
        </w:rPr>
        <w:t xml:space="preserve">“Artículo </w:t>
      </w:r>
      <w:bookmarkStart w:id="3" w:name="_Hlk67919994"/>
      <w:r w:rsidRPr="00FE6A9E">
        <w:rPr>
          <w:rFonts w:ascii="Verdana" w:hAnsi="Verdana" w:cs="Arial"/>
          <w:color w:val="000000" w:themeColor="text1"/>
          <w:sz w:val="16"/>
          <w:szCs w:val="16"/>
          <w:lang w:val="es-CO"/>
        </w:rPr>
        <w:t>2.2.1.2.3.1.7</w:t>
      </w:r>
      <w:bookmarkEnd w:id="3"/>
      <w:r w:rsidRPr="00FE6A9E">
        <w:rPr>
          <w:rFonts w:ascii="Verdana" w:hAnsi="Verdana" w:cs="Arial"/>
          <w:color w:val="000000" w:themeColor="text1"/>
          <w:sz w:val="16"/>
          <w:szCs w:val="16"/>
          <w:lang w:val="es-CO"/>
        </w:rPr>
        <w:t xml:space="preserve">. Garantía de cumplimiento. La garantía de cumplimiento del contrato debe cubrir: </w:t>
      </w:r>
    </w:p>
    <w:p w14:paraId="32A2835D" w14:textId="77777777" w:rsidR="00866400" w:rsidRPr="00FE6A9E" w:rsidRDefault="00866400" w:rsidP="00866400">
      <w:pPr>
        <w:pStyle w:val="Textonotapie"/>
        <w:jc w:val="both"/>
        <w:rPr>
          <w:rFonts w:ascii="Verdana" w:hAnsi="Verdana" w:cs="Arial"/>
          <w:color w:val="000000" w:themeColor="text1"/>
          <w:sz w:val="16"/>
          <w:szCs w:val="16"/>
          <w:lang w:val="es-CO"/>
        </w:rPr>
      </w:pPr>
      <w:r w:rsidRPr="00FE6A9E">
        <w:rPr>
          <w:rFonts w:ascii="Verdana" w:hAnsi="Verdana" w:cs="Arial"/>
          <w:color w:val="000000" w:themeColor="text1"/>
          <w:sz w:val="16"/>
          <w:szCs w:val="16"/>
          <w:lang w:val="es-CO"/>
        </w:rPr>
        <w:t xml:space="preserve">  </w:t>
      </w:r>
      <w:r w:rsidRPr="00FE6A9E">
        <w:rPr>
          <w:rFonts w:ascii="Verdana" w:hAnsi="Verdana" w:cs="Arial"/>
          <w:color w:val="000000" w:themeColor="text1"/>
          <w:sz w:val="16"/>
          <w:szCs w:val="16"/>
          <w:lang w:val="es-CO"/>
        </w:rPr>
        <w:tab/>
        <w:t>1. Buen manejo y correcta inversión del anticipo. Este amparo cubre los perjuicios sufridos por la Entidad Estatal con ocasión de: (i) la no inversión del anticipo; (ii) el uso indebido del anticipo; y (iii) la apropiación indebida de los recursos recibidos en calidad de anticipo</w:t>
      </w:r>
    </w:p>
    <w:p w14:paraId="1F964ABF" w14:textId="77777777" w:rsidR="00866400" w:rsidRPr="00FE6A9E" w:rsidRDefault="00866400" w:rsidP="00866400">
      <w:pPr>
        <w:pStyle w:val="Textonotapie"/>
        <w:ind w:firstLine="708"/>
        <w:jc w:val="both"/>
        <w:rPr>
          <w:rFonts w:ascii="Verdana" w:hAnsi="Verdana" w:cs="Arial"/>
          <w:color w:val="000000" w:themeColor="text1"/>
          <w:sz w:val="16"/>
          <w:szCs w:val="16"/>
          <w:lang w:val="es-CO"/>
        </w:rPr>
      </w:pPr>
      <w:r w:rsidRPr="00FE6A9E">
        <w:rPr>
          <w:rFonts w:ascii="Verdana" w:hAnsi="Verdana" w:cs="Arial"/>
          <w:color w:val="000000" w:themeColor="text1"/>
          <w:sz w:val="16"/>
          <w:szCs w:val="16"/>
          <w:lang w:val="es-CO"/>
        </w:rPr>
        <w:t xml:space="preserve">2. Devolución del pago anticipado. Este amparo cubre los perjuicios sufridos por la Entidad Estatal por la no devolución total o parcial del dinero entregado al contratista a título de pago anticipado, cuando a ello hubiere lugar. </w:t>
      </w:r>
    </w:p>
    <w:p w14:paraId="63BE518F" w14:textId="77777777" w:rsidR="00866400" w:rsidRPr="00FE6A9E" w:rsidRDefault="00866400" w:rsidP="00866400">
      <w:pPr>
        <w:pStyle w:val="Textonotapie"/>
        <w:ind w:firstLine="708"/>
        <w:jc w:val="both"/>
        <w:rPr>
          <w:rFonts w:ascii="Verdana" w:hAnsi="Verdana" w:cs="Arial"/>
          <w:color w:val="000000" w:themeColor="text1"/>
          <w:sz w:val="16"/>
          <w:szCs w:val="16"/>
          <w:lang w:val="es-CO"/>
        </w:rPr>
      </w:pPr>
      <w:r w:rsidRPr="00FE6A9E">
        <w:rPr>
          <w:rFonts w:ascii="Verdana" w:hAnsi="Verdana" w:cs="Arial"/>
          <w:color w:val="000000" w:themeColor="text1"/>
          <w:sz w:val="16"/>
          <w:szCs w:val="16"/>
          <w:lang w:val="es-CO"/>
        </w:rPr>
        <w:t xml:space="preserve">3. Cumplimiento del contrato. Este amparo cubre a la Entidad Estatal de los perjuicios derivados de: </w:t>
      </w:r>
    </w:p>
    <w:p w14:paraId="174BC26E" w14:textId="77777777" w:rsidR="00866400" w:rsidRPr="00FE6A9E" w:rsidRDefault="00866400" w:rsidP="00866400">
      <w:pPr>
        <w:pStyle w:val="Textonotapie"/>
        <w:jc w:val="both"/>
        <w:rPr>
          <w:rFonts w:ascii="Verdana" w:hAnsi="Verdana" w:cs="Arial"/>
          <w:color w:val="000000" w:themeColor="text1"/>
          <w:sz w:val="16"/>
          <w:szCs w:val="16"/>
          <w:lang w:val="es-CO"/>
        </w:rPr>
      </w:pPr>
      <w:r w:rsidRPr="00FE6A9E">
        <w:rPr>
          <w:rFonts w:ascii="Verdana" w:hAnsi="Verdana" w:cs="Arial"/>
          <w:color w:val="000000" w:themeColor="text1"/>
          <w:sz w:val="16"/>
          <w:szCs w:val="16"/>
          <w:lang w:val="es-CO"/>
        </w:rPr>
        <w:t xml:space="preserve">  </w:t>
      </w:r>
      <w:r w:rsidRPr="00FE6A9E">
        <w:rPr>
          <w:rFonts w:ascii="Verdana" w:hAnsi="Verdana" w:cs="Arial"/>
          <w:color w:val="000000" w:themeColor="text1"/>
          <w:sz w:val="16"/>
          <w:szCs w:val="16"/>
          <w:lang w:val="es-CO"/>
        </w:rPr>
        <w:tab/>
        <w:t xml:space="preserve">3.1. </w:t>
      </w:r>
      <w:bookmarkStart w:id="4" w:name="_Hlk67920056"/>
      <w:r w:rsidRPr="00FE6A9E">
        <w:rPr>
          <w:rFonts w:ascii="Verdana" w:hAnsi="Verdana" w:cs="Arial"/>
          <w:color w:val="000000" w:themeColor="text1"/>
          <w:sz w:val="16"/>
          <w:szCs w:val="16"/>
          <w:lang w:val="es-CO"/>
        </w:rPr>
        <w:t xml:space="preserve">El incumplimiento total o parcial del contrato, cuando el incumplimiento es imputable al contratista; </w:t>
      </w:r>
    </w:p>
    <w:p w14:paraId="506EA384" w14:textId="77777777" w:rsidR="00866400" w:rsidRPr="00FE6A9E" w:rsidRDefault="00866400" w:rsidP="00866400">
      <w:pPr>
        <w:pStyle w:val="Textonotapie"/>
        <w:jc w:val="both"/>
        <w:rPr>
          <w:rFonts w:ascii="Verdana" w:hAnsi="Verdana" w:cs="Arial"/>
          <w:color w:val="000000" w:themeColor="text1"/>
          <w:sz w:val="16"/>
          <w:szCs w:val="16"/>
          <w:lang w:val="es-CO"/>
        </w:rPr>
      </w:pPr>
      <w:r w:rsidRPr="00FE6A9E">
        <w:rPr>
          <w:rFonts w:ascii="Verdana" w:hAnsi="Verdana" w:cs="Arial"/>
          <w:color w:val="000000" w:themeColor="text1"/>
          <w:sz w:val="16"/>
          <w:szCs w:val="16"/>
          <w:lang w:val="es-CO"/>
        </w:rPr>
        <w:t xml:space="preserve">  </w:t>
      </w:r>
      <w:r w:rsidRPr="00FE6A9E">
        <w:rPr>
          <w:rFonts w:ascii="Verdana" w:hAnsi="Verdana" w:cs="Arial"/>
          <w:color w:val="000000" w:themeColor="text1"/>
          <w:sz w:val="16"/>
          <w:szCs w:val="16"/>
          <w:lang w:val="es-CO"/>
        </w:rPr>
        <w:tab/>
        <w:t xml:space="preserve">3.2. El cumplimiento tardío o defectuoso del contrato, cuando el incumplimiento es imputable al contratista; </w:t>
      </w:r>
    </w:p>
    <w:p w14:paraId="3F83E994" w14:textId="77777777" w:rsidR="00866400" w:rsidRPr="00FE6A9E" w:rsidRDefault="00866400" w:rsidP="00866400">
      <w:pPr>
        <w:pStyle w:val="Textonotapie"/>
        <w:ind w:firstLine="708"/>
        <w:jc w:val="both"/>
        <w:rPr>
          <w:rFonts w:ascii="Verdana" w:hAnsi="Verdana" w:cs="Arial"/>
          <w:color w:val="000000" w:themeColor="text1"/>
          <w:sz w:val="16"/>
          <w:szCs w:val="16"/>
          <w:lang w:val="es-CO"/>
        </w:rPr>
      </w:pPr>
      <w:r w:rsidRPr="00FE6A9E">
        <w:rPr>
          <w:rFonts w:ascii="Verdana" w:hAnsi="Verdana" w:cs="Arial"/>
          <w:color w:val="000000" w:themeColor="text1"/>
          <w:sz w:val="16"/>
          <w:szCs w:val="16"/>
          <w:lang w:val="es-CO"/>
        </w:rPr>
        <w:t xml:space="preserve">3.3. Los daños imputables al contratista por entregas parciales de la obra, cuando el contrato no prevé entregas parciales; y </w:t>
      </w:r>
    </w:p>
    <w:bookmarkEnd w:id="4"/>
    <w:p w14:paraId="42A49873" w14:textId="77777777" w:rsidR="00866400" w:rsidRPr="00FE6A9E" w:rsidRDefault="00866400" w:rsidP="00866400">
      <w:pPr>
        <w:pStyle w:val="Textonotapie"/>
        <w:ind w:firstLine="708"/>
        <w:jc w:val="both"/>
        <w:rPr>
          <w:rFonts w:ascii="Verdana" w:hAnsi="Verdana" w:cs="Arial"/>
          <w:color w:val="000000" w:themeColor="text1"/>
          <w:sz w:val="16"/>
          <w:szCs w:val="16"/>
          <w:lang w:val="es-CO"/>
        </w:rPr>
      </w:pPr>
      <w:r w:rsidRPr="00FE6A9E">
        <w:rPr>
          <w:rFonts w:ascii="Verdana" w:hAnsi="Verdana" w:cs="Arial"/>
          <w:color w:val="000000" w:themeColor="text1"/>
          <w:sz w:val="16"/>
          <w:szCs w:val="16"/>
          <w:lang w:val="es-CO"/>
        </w:rPr>
        <w:t xml:space="preserve">3.4. El pago del valor de las multas y de la cláusula penal pecuniaria. </w:t>
      </w:r>
    </w:p>
    <w:p w14:paraId="3F794AC5" w14:textId="77777777" w:rsidR="00866400" w:rsidRPr="00FE6A9E" w:rsidRDefault="00866400" w:rsidP="00866400">
      <w:pPr>
        <w:pStyle w:val="Textonotapie"/>
        <w:ind w:firstLine="708"/>
        <w:jc w:val="both"/>
        <w:rPr>
          <w:rFonts w:ascii="Verdana" w:hAnsi="Verdana" w:cs="Arial"/>
          <w:color w:val="000000" w:themeColor="text1"/>
          <w:sz w:val="16"/>
          <w:szCs w:val="16"/>
          <w:lang w:val="es-CO"/>
        </w:rPr>
      </w:pPr>
      <w:r w:rsidRPr="00FE6A9E">
        <w:rPr>
          <w:rFonts w:ascii="Verdana" w:hAnsi="Verdana" w:cs="Arial"/>
          <w:color w:val="000000" w:themeColor="text1"/>
          <w:sz w:val="16"/>
          <w:szCs w:val="16"/>
          <w:lang w:val="es-CO"/>
        </w:rPr>
        <w:t xml:space="preserve">4. Pago de salarios, prestaciones sociales legales e indemnizaciones laborales. Este amparo debe cubrir a la Entidad Estatal de los perjuicios ocasionados por el incumplimiento de las obligaciones laborales del contratista derivadas de la contratación del personal utilizado en el territorio nacional para la ejecución del contrato amparado. </w:t>
      </w:r>
    </w:p>
    <w:p w14:paraId="2B363CFC" w14:textId="77777777" w:rsidR="00866400" w:rsidRPr="00FE6A9E" w:rsidRDefault="00866400" w:rsidP="00866400">
      <w:pPr>
        <w:pStyle w:val="Textonotapie"/>
        <w:ind w:firstLine="708"/>
        <w:jc w:val="both"/>
        <w:rPr>
          <w:rFonts w:ascii="Verdana" w:hAnsi="Verdana" w:cs="Arial"/>
          <w:color w:val="000000" w:themeColor="text1"/>
          <w:sz w:val="16"/>
          <w:szCs w:val="16"/>
          <w:lang w:val="es-CO"/>
        </w:rPr>
      </w:pPr>
      <w:r w:rsidRPr="00FE6A9E">
        <w:rPr>
          <w:rFonts w:ascii="Verdana" w:hAnsi="Verdana" w:cs="Arial"/>
          <w:color w:val="000000" w:themeColor="text1"/>
          <w:sz w:val="16"/>
          <w:szCs w:val="16"/>
          <w:lang w:val="es-CO"/>
        </w:rPr>
        <w:t xml:space="preserve">La Entidad Estatal no debe exigir una garantía para cubrir este Riesgo en los contratos que se ejecuten fuera del territorio nacional con personal contratado bajo un régimen jurídico distinto al colombiano. </w:t>
      </w:r>
    </w:p>
    <w:p w14:paraId="5ACE6C15" w14:textId="77777777" w:rsidR="00866400" w:rsidRPr="00FE6A9E" w:rsidRDefault="00866400" w:rsidP="00866400">
      <w:pPr>
        <w:pStyle w:val="Textonotapie"/>
        <w:ind w:firstLine="708"/>
        <w:jc w:val="both"/>
        <w:rPr>
          <w:rFonts w:ascii="Verdana" w:hAnsi="Verdana" w:cs="Arial"/>
          <w:color w:val="000000" w:themeColor="text1"/>
          <w:sz w:val="16"/>
          <w:szCs w:val="16"/>
          <w:lang w:val="es-CO"/>
        </w:rPr>
      </w:pPr>
      <w:r w:rsidRPr="00FE6A9E">
        <w:rPr>
          <w:rFonts w:ascii="Verdana" w:hAnsi="Verdana" w:cs="Arial"/>
          <w:color w:val="000000" w:themeColor="text1"/>
          <w:sz w:val="16"/>
          <w:szCs w:val="16"/>
          <w:lang w:val="es-CO"/>
        </w:rPr>
        <w:t xml:space="preserve">5. Estabilidad y calidad de la obra. Este amparo cubre a la Entidad Estatal de los perjuicios ocasionados por cualquier tipo de daño o deterioro, imputable al contratista, sufrido por la obra entregada a satisfacción. </w:t>
      </w:r>
    </w:p>
    <w:p w14:paraId="3C1547FB" w14:textId="77777777" w:rsidR="00866400" w:rsidRPr="00FE6A9E" w:rsidRDefault="00866400" w:rsidP="00866400">
      <w:pPr>
        <w:pStyle w:val="Textonotapie"/>
        <w:ind w:firstLine="708"/>
        <w:jc w:val="both"/>
        <w:rPr>
          <w:rFonts w:ascii="Verdana" w:hAnsi="Verdana" w:cs="Arial"/>
          <w:color w:val="000000" w:themeColor="text1"/>
          <w:sz w:val="16"/>
          <w:szCs w:val="16"/>
          <w:lang w:val="es-CO"/>
        </w:rPr>
      </w:pPr>
      <w:r w:rsidRPr="00FE6A9E">
        <w:rPr>
          <w:rFonts w:ascii="Verdana" w:hAnsi="Verdana" w:cs="Arial"/>
          <w:color w:val="000000" w:themeColor="text1"/>
          <w:sz w:val="16"/>
          <w:szCs w:val="16"/>
          <w:lang w:val="es-CO"/>
        </w:rPr>
        <w:t xml:space="preserve">6. Calidad del servicio. Este amparo cubre a la Entidad Estatal por los perjuicios derivados de la deficiente calidad del servicio prestado. </w:t>
      </w:r>
    </w:p>
    <w:p w14:paraId="177746AC" w14:textId="77777777" w:rsidR="00866400" w:rsidRPr="00FE6A9E" w:rsidRDefault="00866400" w:rsidP="00866400">
      <w:pPr>
        <w:pStyle w:val="Textonotapie"/>
        <w:ind w:firstLine="708"/>
        <w:jc w:val="both"/>
        <w:rPr>
          <w:rFonts w:ascii="Verdana" w:hAnsi="Verdana" w:cs="Arial"/>
          <w:color w:val="000000" w:themeColor="text1"/>
          <w:sz w:val="16"/>
          <w:szCs w:val="16"/>
          <w:lang w:val="es-CO"/>
        </w:rPr>
      </w:pPr>
      <w:r w:rsidRPr="00FE6A9E">
        <w:rPr>
          <w:rFonts w:ascii="Verdana" w:hAnsi="Verdana" w:cs="Arial"/>
          <w:color w:val="000000" w:themeColor="text1"/>
          <w:sz w:val="16"/>
          <w:szCs w:val="16"/>
          <w:lang w:val="es-CO"/>
        </w:rPr>
        <w:t xml:space="preserve">7. Calidad y correcto funcionamiento de los bienes. Este amparo debe cubrir la calidad y el correcto funcionamiento de los bienes que recibe la Entidad Estatal en cumplimiento de un contrato. </w:t>
      </w:r>
    </w:p>
    <w:p w14:paraId="55DEE9D5" w14:textId="77777777" w:rsidR="00866400" w:rsidRPr="00FE6A9E" w:rsidRDefault="00866400" w:rsidP="00866400">
      <w:pPr>
        <w:pStyle w:val="Textonotapie"/>
        <w:ind w:firstLine="708"/>
        <w:jc w:val="both"/>
        <w:rPr>
          <w:rFonts w:ascii="Verdana" w:hAnsi="Verdana" w:cs="Arial"/>
          <w:color w:val="000000" w:themeColor="text1"/>
          <w:sz w:val="16"/>
          <w:szCs w:val="16"/>
          <w:lang w:val="es-CO"/>
        </w:rPr>
      </w:pPr>
      <w:r w:rsidRPr="00FE6A9E">
        <w:rPr>
          <w:rFonts w:ascii="Verdana" w:hAnsi="Verdana" w:cs="Arial"/>
          <w:color w:val="000000" w:themeColor="text1"/>
          <w:sz w:val="16"/>
          <w:szCs w:val="16"/>
          <w:lang w:val="es-CO"/>
        </w:rPr>
        <w:t xml:space="preserve">8. </w:t>
      </w:r>
      <w:bookmarkStart w:id="5" w:name="_Hlk143267015"/>
      <w:r w:rsidRPr="00FE6A9E">
        <w:rPr>
          <w:rFonts w:ascii="Verdana" w:hAnsi="Verdana" w:cs="Arial"/>
          <w:color w:val="000000" w:themeColor="text1"/>
          <w:sz w:val="16"/>
          <w:szCs w:val="16"/>
          <w:lang w:val="es-CO"/>
        </w:rPr>
        <w:t>Los demás incumplimientos de obligaciones que la Entidad Estatal considere deben ser amparados de manera proporcional y acorde a la naturaleza del contrato</w:t>
      </w:r>
      <w:bookmarkEnd w:id="5"/>
      <w:r w:rsidRPr="00FE6A9E">
        <w:rPr>
          <w:rFonts w:ascii="Verdana" w:hAnsi="Verdana" w:cs="Arial"/>
          <w:color w:val="000000" w:themeColor="text1"/>
          <w:sz w:val="16"/>
          <w:szCs w:val="16"/>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D76CE" w14:textId="77777777" w:rsidR="00866400" w:rsidRDefault="00866400"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592B7E73" wp14:editId="749EE295">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0E67620C" wp14:editId="2F2919D6">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7683A249" w14:textId="77777777" w:rsidR="00866400" w:rsidRDefault="00866400">
    <w:pPr>
      <w:pStyle w:val="Encabezado"/>
    </w:pPr>
  </w:p>
  <w:p w14:paraId="32F5C87A" w14:textId="77777777" w:rsidR="00866400" w:rsidRPr="004A305D" w:rsidRDefault="00866400" w:rsidP="00B01B1A">
    <w:pPr>
      <w:spacing w:after="0" w:line="120" w:lineRule="auto"/>
      <w:rPr>
        <w:rFonts w:ascii="Century Gothic" w:eastAsia="Geo" w:hAnsi="Century Gothic" w:cs="Geo"/>
        <w:sz w:val="16"/>
        <w:szCs w:val="16"/>
        <w:lang w:eastAsia="es-CO"/>
      </w:rPr>
    </w:pPr>
  </w:p>
  <w:p w14:paraId="1A18B0D6" w14:textId="77777777" w:rsidR="00866400" w:rsidRDefault="00866400" w:rsidP="00844AE9">
    <w:pPr>
      <w:spacing w:after="0" w:line="240" w:lineRule="auto"/>
      <w:rPr>
        <w:rFonts w:ascii="Verdana" w:hAnsi="Verdana"/>
        <w:sz w:val="24"/>
        <w:szCs w:val="24"/>
      </w:rPr>
    </w:pPr>
  </w:p>
  <w:p w14:paraId="4044C447" w14:textId="77777777" w:rsidR="00866400" w:rsidRPr="00C925AC" w:rsidRDefault="00866400" w:rsidP="00844AE9">
    <w:pPr>
      <w:spacing w:after="0" w:line="240" w:lineRule="auto"/>
      <w:rPr>
        <w:rFonts w:ascii="Verdana" w:hAnsi="Verdana"/>
        <w:sz w:val="24"/>
        <w:szCs w:val="24"/>
      </w:rPr>
    </w:pPr>
  </w:p>
  <w:p w14:paraId="292ABD06" w14:textId="77777777" w:rsidR="00866400" w:rsidRPr="00C925AC" w:rsidRDefault="00866400"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num w:numId="1" w16cid:durableId="390349800">
    <w:abstractNumId w:val="2"/>
  </w:num>
  <w:num w:numId="2" w16cid:durableId="1330140246">
    <w:abstractNumId w:val="0"/>
  </w:num>
  <w:num w:numId="3" w16cid:durableId="679089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400"/>
    <w:rsid w:val="00060646"/>
    <w:rsid w:val="002D6822"/>
    <w:rsid w:val="00442155"/>
    <w:rsid w:val="00492280"/>
    <w:rsid w:val="007A436C"/>
    <w:rsid w:val="008531CD"/>
    <w:rsid w:val="00866400"/>
    <w:rsid w:val="00874BCE"/>
    <w:rsid w:val="009B4EF6"/>
    <w:rsid w:val="009D1E2B"/>
    <w:rsid w:val="00A41C5F"/>
    <w:rsid w:val="00A57E24"/>
    <w:rsid w:val="00B469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E6636"/>
  <w15:chartTrackingRefBased/>
  <w15:docId w15:val="{EA7D6C86-00C7-4DEE-B9B8-096B23AB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400"/>
    <w:pPr>
      <w:spacing w:line="259" w:lineRule="auto"/>
    </w:pPr>
    <w:rPr>
      <w:kern w:val="0"/>
      <w:sz w:val="22"/>
      <w:szCs w:val="22"/>
      <w14:ligatures w14:val="none"/>
    </w:rPr>
  </w:style>
  <w:style w:type="paragraph" w:styleId="Ttulo1">
    <w:name w:val="heading 1"/>
    <w:basedOn w:val="Normal"/>
    <w:next w:val="Normal"/>
    <w:link w:val="Ttulo1Car"/>
    <w:uiPriority w:val="9"/>
    <w:qFormat/>
    <w:rsid w:val="00866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66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6640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6640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6640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6640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6640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640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640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640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6640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6640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6640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6640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6640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640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640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6400"/>
    <w:rPr>
      <w:rFonts w:eastAsiaTheme="majorEastAsia" w:cstheme="majorBidi"/>
      <w:color w:val="272727" w:themeColor="text1" w:themeTint="D8"/>
    </w:rPr>
  </w:style>
  <w:style w:type="paragraph" w:styleId="Ttulo">
    <w:name w:val="Title"/>
    <w:basedOn w:val="Normal"/>
    <w:next w:val="Normal"/>
    <w:link w:val="TtuloCar"/>
    <w:uiPriority w:val="10"/>
    <w:qFormat/>
    <w:rsid w:val="008664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6640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6640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6640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6400"/>
    <w:pPr>
      <w:spacing w:before="160"/>
      <w:jc w:val="center"/>
    </w:pPr>
    <w:rPr>
      <w:i/>
      <w:iCs/>
      <w:color w:val="404040" w:themeColor="text1" w:themeTint="BF"/>
    </w:rPr>
  </w:style>
  <w:style w:type="character" w:customStyle="1" w:styleId="CitaCar">
    <w:name w:val="Cita Car"/>
    <w:basedOn w:val="Fuentedeprrafopredeter"/>
    <w:link w:val="Cita"/>
    <w:uiPriority w:val="29"/>
    <w:rsid w:val="00866400"/>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866400"/>
    <w:pPr>
      <w:ind w:left="720"/>
      <w:contextualSpacing/>
    </w:pPr>
  </w:style>
  <w:style w:type="character" w:styleId="nfasisintenso">
    <w:name w:val="Intense Emphasis"/>
    <w:basedOn w:val="Fuentedeprrafopredeter"/>
    <w:uiPriority w:val="21"/>
    <w:qFormat/>
    <w:rsid w:val="00866400"/>
    <w:rPr>
      <w:i/>
      <w:iCs/>
      <w:color w:val="0F4761" w:themeColor="accent1" w:themeShade="BF"/>
    </w:rPr>
  </w:style>
  <w:style w:type="paragraph" w:styleId="Citadestacada">
    <w:name w:val="Intense Quote"/>
    <w:basedOn w:val="Normal"/>
    <w:next w:val="Normal"/>
    <w:link w:val="CitadestacadaCar"/>
    <w:uiPriority w:val="30"/>
    <w:qFormat/>
    <w:rsid w:val="00866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6400"/>
    <w:rPr>
      <w:i/>
      <w:iCs/>
      <w:color w:val="0F4761" w:themeColor="accent1" w:themeShade="BF"/>
    </w:rPr>
  </w:style>
  <w:style w:type="character" w:styleId="Referenciaintensa">
    <w:name w:val="Intense Reference"/>
    <w:basedOn w:val="Fuentedeprrafopredeter"/>
    <w:uiPriority w:val="32"/>
    <w:qFormat/>
    <w:rsid w:val="00866400"/>
    <w:rPr>
      <w:b/>
      <w:bCs/>
      <w:smallCaps/>
      <w:color w:val="0F4761" w:themeColor="accent1" w:themeShade="BF"/>
      <w:spacing w:val="5"/>
    </w:rPr>
  </w:style>
  <w:style w:type="paragraph" w:styleId="Encabezado">
    <w:name w:val="header"/>
    <w:basedOn w:val="Normal"/>
    <w:link w:val="EncabezadoCar"/>
    <w:uiPriority w:val="99"/>
    <w:unhideWhenUsed/>
    <w:rsid w:val="008664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6400"/>
    <w:rPr>
      <w:kern w:val="0"/>
      <w:sz w:val="22"/>
      <w:szCs w:val="22"/>
      <w14:ligatures w14:val="none"/>
    </w:rPr>
  </w:style>
  <w:style w:type="paragraph" w:styleId="Piedepgina">
    <w:name w:val="footer"/>
    <w:basedOn w:val="Normal"/>
    <w:link w:val="PiedepginaCar"/>
    <w:uiPriority w:val="99"/>
    <w:unhideWhenUsed/>
    <w:rsid w:val="008664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6400"/>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866400"/>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866400"/>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866400"/>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866400"/>
    <w:rPr>
      <w:vertAlign w:val="superscript"/>
    </w:rPr>
  </w:style>
  <w:style w:type="table" w:styleId="Tablaconcuadrcula">
    <w:name w:val="Table Grid"/>
    <w:basedOn w:val="Tablanormal"/>
    <w:uiPriority w:val="39"/>
    <w:qFormat/>
    <w:rsid w:val="0086640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66400"/>
    <w:rPr>
      <w:color w:val="0000FF"/>
      <w:u w:val="single"/>
    </w:rPr>
  </w:style>
  <w:style w:type="paragraph" w:customStyle="1" w:styleId="Appelnotedebasde">
    <w:name w:val="Appel note de bas de..."/>
    <w:basedOn w:val="Normal"/>
    <w:link w:val="Refdenotaalpie"/>
    <w:uiPriority w:val="99"/>
    <w:rsid w:val="00866400"/>
    <w:pPr>
      <w:spacing w:line="240" w:lineRule="exact"/>
    </w:pPr>
    <w:rPr>
      <w:kern w:val="2"/>
      <w:sz w:val="24"/>
      <w:szCs w:val="24"/>
      <w:vertAlign w:val="superscript"/>
      <w14:ligatures w14:val="standardContextua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866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tacion@santarosadecabal-risaralda.gov.co" TargetMode="External"/><Relationship Id="rId13"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emf"/><Relationship Id="rId12" Type="http://schemas.openxmlformats.org/officeDocument/2006/relationships/hyperlink" Target="https://www.colombiacompra.gov.co/normativa-y-relatoria/documentos-tip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acionvirtual.colombiacompra.gov.co/mod/page/view.php?id=3718"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relatoria.colombiacompra.gov.c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lombiacompra.gov.co/wp-content/uploads/2024/08/cce-eicp-gi-23_guia_contratacion_prestacion_de_servicios_v1_11-07-2023_def_1_1.pdf" TargetMode="External"/><Relationship Id="rId14" Type="http://schemas.openxmlformats.org/officeDocument/2006/relationships/hyperlink" Target="http://www.colombiacompra.gov.co" TargetMode="Externa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2F3FDE-F6DB-4755-9096-707284827A31}"/>
</file>

<file path=customXml/itemProps2.xml><?xml version="1.0" encoding="utf-8"?>
<ds:datastoreItem xmlns:ds="http://schemas.openxmlformats.org/officeDocument/2006/customXml" ds:itemID="{B7F91F51-B1B5-41DD-AA22-19C15FF576FD}"/>
</file>

<file path=customXml/itemProps3.xml><?xml version="1.0" encoding="utf-8"?>
<ds:datastoreItem xmlns:ds="http://schemas.openxmlformats.org/officeDocument/2006/customXml" ds:itemID="{6118FBA1-F3B5-4AD6-943B-6DB996F5472F}"/>
</file>

<file path=docProps/app.xml><?xml version="1.0" encoding="utf-8"?>
<Properties xmlns="http://schemas.openxmlformats.org/officeDocument/2006/extended-properties" xmlns:vt="http://schemas.openxmlformats.org/officeDocument/2006/docPropsVTypes">
  <Template>Normal</Template>
  <TotalTime>10</TotalTime>
  <Pages>17</Pages>
  <Words>6069</Words>
  <Characters>33384</Characters>
  <Application>Microsoft Office Word</Application>
  <DocSecurity>0</DocSecurity>
  <Lines>278</Lines>
  <Paragraphs>78</Paragraphs>
  <ScaleCrop>false</ScaleCrop>
  <Company/>
  <LinksUpToDate>false</LinksUpToDate>
  <CharactersWithSpaces>39375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Montoya Jiménez</dc:creator>
  <cp:keywords/>
  <dc:description/>
  <cp:lastModifiedBy>Natalia Montoya Jiménez</cp:lastModifiedBy>
  <cp:revision>6</cp:revision>
  <dcterms:created xsi:type="dcterms:W3CDTF">2026-06-20T00:51:00Z</dcterms:created>
  <dcterms:modified xsi:type="dcterms:W3CDTF">2026-06-22T20:56:00Z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