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F620E" w14:textId="00E55441" w:rsidR="00E9727A" w:rsidRPr="00E9727A" w:rsidRDefault="00E9727A" w:rsidP="003456AE">
      <w:pPr>
        <w:spacing w:after="0" w:line="240" w:lineRule="auto"/>
        <w:jc w:val="both"/>
        <w:rPr>
          <w:rFonts w:ascii="Verdana" w:eastAsia="Verdana" w:hAnsi="Verdana" w:cs="Verdana"/>
          <w:b/>
          <w:bCs/>
          <w:lang w:val="es-ES_tradnl"/>
        </w:rPr>
      </w:pPr>
      <w:bookmarkStart w:id="0" w:name="_Hlk143780582"/>
      <w:r w:rsidRPr="00E9727A">
        <w:rPr>
          <w:rFonts w:ascii="Verdana" w:eastAsia="Verdana" w:hAnsi="Verdana" w:cs="Verdana"/>
          <w:b/>
          <w:bCs/>
          <w:lang w:val="es-ES_tradnl"/>
        </w:rPr>
        <w:t xml:space="preserve">PLANEACIÓN – Gerencia Pública </w:t>
      </w:r>
    </w:p>
    <w:p w14:paraId="75A117D8" w14:textId="77777777" w:rsidR="00E9727A" w:rsidRPr="00E9727A" w:rsidRDefault="00E9727A" w:rsidP="003456AE">
      <w:pPr>
        <w:spacing w:after="0" w:line="240" w:lineRule="auto"/>
        <w:jc w:val="both"/>
        <w:rPr>
          <w:rFonts w:ascii="Verdana" w:eastAsia="Verdana" w:hAnsi="Verdana" w:cs="Verdana"/>
          <w:b/>
          <w:bCs/>
          <w:lang w:val="es-ES_tradnl"/>
        </w:rPr>
      </w:pPr>
    </w:p>
    <w:p w14:paraId="29426ADA" w14:textId="38F9933E" w:rsidR="00E9727A" w:rsidRPr="000A11EA" w:rsidRDefault="000A11EA" w:rsidP="003456AE">
      <w:pPr>
        <w:spacing w:after="0" w:line="240" w:lineRule="auto"/>
        <w:jc w:val="both"/>
        <w:rPr>
          <w:rFonts w:ascii="Verdana" w:eastAsia="Verdana" w:hAnsi="Verdana" w:cs="Verdana"/>
          <w:sz w:val="20"/>
          <w:szCs w:val="20"/>
          <w:lang w:val="es-ES_tradnl"/>
        </w:rPr>
      </w:pPr>
      <w:r w:rsidRPr="000A11EA">
        <w:rPr>
          <w:rFonts w:ascii="Verdana" w:eastAsia="Verdana" w:hAnsi="Verdana" w:cs="Verdana"/>
          <w:sz w:val="20"/>
          <w:szCs w:val="20"/>
          <w:lang w:val="es-ES_tradnl"/>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6304ACFF" w14:textId="77777777" w:rsidR="000A11EA" w:rsidRDefault="000A11EA" w:rsidP="003456AE">
      <w:pPr>
        <w:spacing w:after="0" w:line="240" w:lineRule="auto"/>
        <w:jc w:val="both"/>
        <w:rPr>
          <w:rFonts w:ascii="Verdana" w:eastAsia="Verdana" w:hAnsi="Verdana" w:cs="Verdana"/>
          <w:b/>
          <w:bCs/>
          <w:lang w:val="es-ES_tradnl"/>
        </w:rPr>
      </w:pPr>
    </w:p>
    <w:p w14:paraId="75E24718" w14:textId="3CFE7D44" w:rsidR="00386C3D" w:rsidRDefault="00386C3D" w:rsidP="003456AE">
      <w:pPr>
        <w:spacing w:after="0" w:line="240" w:lineRule="auto"/>
        <w:jc w:val="both"/>
        <w:rPr>
          <w:rFonts w:ascii="Verdana" w:eastAsia="Verdana" w:hAnsi="Verdana" w:cs="Verdana"/>
          <w:b/>
          <w:bCs/>
          <w:lang w:val="es-ES_tradnl"/>
        </w:rPr>
      </w:pPr>
      <w:r w:rsidRPr="00386C3D">
        <w:rPr>
          <w:rFonts w:ascii="Verdana" w:eastAsia="Verdana" w:hAnsi="Verdana" w:cs="Verdana"/>
          <w:b/>
          <w:bCs/>
          <w:lang w:val="es-ES_tradnl"/>
        </w:rPr>
        <w:t>PLANEACIÓN – Estudios Previos</w:t>
      </w:r>
    </w:p>
    <w:p w14:paraId="7CE7A5F6" w14:textId="77777777" w:rsidR="00386C3D" w:rsidRDefault="00386C3D" w:rsidP="003456AE">
      <w:pPr>
        <w:spacing w:after="0" w:line="240" w:lineRule="auto"/>
        <w:jc w:val="both"/>
        <w:rPr>
          <w:rFonts w:ascii="Verdana" w:eastAsia="Verdana" w:hAnsi="Verdana" w:cs="Verdana"/>
          <w:b/>
          <w:bCs/>
          <w:lang w:val="es-ES_tradnl"/>
        </w:rPr>
      </w:pPr>
    </w:p>
    <w:p w14:paraId="1DDEFCB0" w14:textId="5871B8E9" w:rsidR="00377B53" w:rsidRPr="00B36343" w:rsidRDefault="00377B53" w:rsidP="003456AE">
      <w:pPr>
        <w:spacing w:after="0" w:line="240" w:lineRule="auto"/>
        <w:jc w:val="both"/>
        <w:rPr>
          <w:rFonts w:ascii="Verdana" w:eastAsia="Verdana" w:hAnsi="Verdana" w:cs="Verdana"/>
          <w:sz w:val="20"/>
          <w:szCs w:val="20"/>
          <w:lang w:val="es-MX"/>
        </w:rPr>
      </w:pPr>
      <w:r w:rsidRPr="00B36343">
        <w:rPr>
          <w:rFonts w:ascii="Verdana" w:eastAsia="Verdana" w:hAnsi="Verdana" w:cs="Verdana"/>
          <w:sz w:val="20"/>
          <w:szCs w:val="20"/>
          <w:lang w:val="es-MX"/>
        </w:rPr>
        <w:t>El Estatuto General de Contratación de la Administración Pública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w:t>
      </w:r>
      <w:r w:rsidR="00B36343" w:rsidRPr="00B36343">
        <w:rPr>
          <w:rFonts w:ascii="Verdana" w:eastAsia="Verdana" w:hAnsi="Verdana" w:cs="Verdana"/>
          <w:sz w:val="20"/>
          <w:szCs w:val="20"/>
          <w:lang w:val="es-MX"/>
        </w:rPr>
        <w:t>.</w:t>
      </w:r>
    </w:p>
    <w:p w14:paraId="41318D07" w14:textId="77777777" w:rsidR="00B36343" w:rsidRPr="00B36343" w:rsidRDefault="00B36343" w:rsidP="003456AE">
      <w:pPr>
        <w:spacing w:after="0" w:line="240" w:lineRule="auto"/>
        <w:jc w:val="both"/>
        <w:rPr>
          <w:rFonts w:ascii="Verdana" w:eastAsia="Verdana" w:hAnsi="Verdana" w:cs="Verdana"/>
          <w:lang w:val="es-ES_tradnl"/>
        </w:rPr>
      </w:pPr>
    </w:p>
    <w:p w14:paraId="2D9691E6" w14:textId="77777777" w:rsidR="00E9727A" w:rsidRPr="00E9727A" w:rsidRDefault="00E9727A" w:rsidP="003456AE">
      <w:pPr>
        <w:spacing w:after="0" w:line="240" w:lineRule="auto"/>
        <w:jc w:val="both"/>
        <w:rPr>
          <w:rFonts w:ascii="Verdana" w:eastAsia="Verdana" w:hAnsi="Verdana" w:cs="Verdana"/>
          <w:b/>
          <w:bCs/>
          <w:lang w:val="es-ES_tradnl"/>
        </w:rPr>
      </w:pPr>
      <w:r w:rsidRPr="00E9727A">
        <w:rPr>
          <w:rFonts w:ascii="Verdana" w:eastAsia="Verdana" w:hAnsi="Verdana" w:cs="Verdana"/>
          <w:b/>
          <w:bCs/>
          <w:lang w:val="es-ES_tradnl"/>
        </w:rPr>
        <w:t>FIESTAS Y FERIAS – Estructuración</w:t>
      </w:r>
    </w:p>
    <w:p w14:paraId="20A08804" w14:textId="77777777" w:rsidR="00E9727A" w:rsidRPr="00E9727A" w:rsidRDefault="00E9727A" w:rsidP="003456AE">
      <w:pPr>
        <w:spacing w:after="0" w:line="240" w:lineRule="auto"/>
        <w:jc w:val="both"/>
        <w:rPr>
          <w:rFonts w:ascii="Verdana" w:eastAsia="Verdana" w:hAnsi="Verdana" w:cs="Verdana"/>
          <w:b/>
          <w:bCs/>
          <w:lang w:val="es-ES_tradnl"/>
        </w:rPr>
      </w:pPr>
    </w:p>
    <w:p w14:paraId="07F88400" w14:textId="7247A021" w:rsidR="00E9727A" w:rsidRDefault="00CE0B8E" w:rsidP="003456AE">
      <w:pPr>
        <w:spacing w:after="0" w:line="240" w:lineRule="auto"/>
        <w:jc w:val="both"/>
        <w:rPr>
          <w:rFonts w:ascii="Verdana" w:eastAsia="Verdana" w:hAnsi="Verdana" w:cs="Verdana"/>
          <w:sz w:val="20"/>
          <w:szCs w:val="20"/>
        </w:rPr>
      </w:pPr>
      <w:r w:rsidRPr="00CE0B8E">
        <w:rPr>
          <w:rFonts w:ascii="Verdana" w:eastAsia="Verdana" w:hAnsi="Verdana" w:cs="Verdana"/>
          <w:sz w:val="20"/>
          <w:szCs w:val="20"/>
        </w:rPr>
        <w:t>A partir de este contexto general, es pertinente señalar que la organización de ferias, fiestas, eventos y espectáculos públicos por parte de las entidades estatales se rige por un marco jurídico contractual y presupuestal que exige identificar con precisión el objeto del contrato, pues depende la modalidad de selección, la naturaleza del vínculo y las obligaciones de las partes. En términos generales, la contratación estatal debe observar los principios de economía y con ello de la planeación, responsabilidad y transparencia previstos en la Ley 80 de 1993 y la Ley 1150 de 2007, así como las reglas presupuestales sobre disponibilidad, registro y anualidad del gasto. La estructuración contractual debe partir de un análisis técnico, jurídico y financiero que permita determinar si la entidad requiere servicios logísticos, artísticos, culturales o una combinación de ellos, pues cada categoría activa regímenes y procedimientos distintos.</w:t>
      </w:r>
    </w:p>
    <w:p w14:paraId="56D6CB7E" w14:textId="77777777" w:rsidR="00CE0B8E" w:rsidRPr="00CE0B8E" w:rsidRDefault="00CE0B8E" w:rsidP="003456AE">
      <w:pPr>
        <w:spacing w:after="0" w:line="240" w:lineRule="auto"/>
        <w:jc w:val="both"/>
        <w:rPr>
          <w:rFonts w:ascii="Verdana" w:eastAsia="Verdana" w:hAnsi="Verdana" w:cs="Verdana"/>
          <w:sz w:val="20"/>
          <w:szCs w:val="20"/>
          <w:lang w:val="es-ES_tradnl"/>
        </w:rPr>
      </w:pPr>
    </w:p>
    <w:p w14:paraId="2CDBC4D6" w14:textId="77777777" w:rsidR="00E9727A" w:rsidRPr="00E9727A" w:rsidRDefault="00E9727A" w:rsidP="003456AE">
      <w:pPr>
        <w:spacing w:after="0" w:line="240" w:lineRule="auto"/>
        <w:jc w:val="both"/>
        <w:rPr>
          <w:rFonts w:ascii="Verdana" w:eastAsia="Verdana" w:hAnsi="Verdana" w:cs="Verdana"/>
          <w:b/>
          <w:bCs/>
          <w:lang w:val="es-ES"/>
        </w:rPr>
      </w:pPr>
      <w:r w:rsidRPr="00E9727A">
        <w:rPr>
          <w:rFonts w:ascii="Verdana" w:eastAsia="Verdana" w:hAnsi="Verdana" w:cs="Verdana"/>
          <w:b/>
          <w:bCs/>
          <w:lang w:val="es-ES_tradnl"/>
        </w:rPr>
        <w:t xml:space="preserve">FIESTAS Y FERIAS – </w:t>
      </w:r>
      <w:r w:rsidRPr="00E9727A">
        <w:rPr>
          <w:rFonts w:ascii="Verdana" w:eastAsia="Verdana" w:hAnsi="Verdana" w:cs="Verdana"/>
          <w:b/>
          <w:bCs/>
          <w:lang w:val="es-ES"/>
        </w:rPr>
        <w:t xml:space="preserve">OPERACIÓN LOGÍSTICA ‒ Contrato atípico mixto ‒ Actividades -Modalidades de Selección </w:t>
      </w:r>
    </w:p>
    <w:p w14:paraId="58F3902C" w14:textId="77777777" w:rsidR="00E9727A" w:rsidRPr="00E9727A" w:rsidRDefault="00E9727A" w:rsidP="003456AE">
      <w:pPr>
        <w:spacing w:after="0" w:line="240" w:lineRule="auto"/>
        <w:jc w:val="both"/>
        <w:rPr>
          <w:rFonts w:ascii="Verdana" w:eastAsia="Verdana" w:hAnsi="Verdana" w:cs="Verdana"/>
          <w:b/>
          <w:bCs/>
          <w:lang w:val="es-ES"/>
        </w:rPr>
      </w:pPr>
    </w:p>
    <w:p w14:paraId="35ED8007" w14:textId="77777777" w:rsidR="009748A0" w:rsidRDefault="009748A0" w:rsidP="003456AE">
      <w:pPr>
        <w:spacing w:after="0" w:line="240" w:lineRule="auto"/>
        <w:jc w:val="both"/>
        <w:rPr>
          <w:rFonts w:ascii="Verdana" w:eastAsia="Verdana" w:hAnsi="Verdana" w:cs="Verdana"/>
          <w:sz w:val="20"/>
          <w:szCs w:val="20"/>
        </w:rPr>
      </w:pPr>
      <w:r w:rsidRPr="006F30F2">
        <w:rPr>
          <w:rFonts w:ascii="Verdana" w:eastAsia="Verdana" w:hAnsi="Verdana" w:cs="Verdana"/>
          <w:sz w:val="20"/>
          <w:szCs w:val="20"/>
        </w:rPr>
        <w:t xml:space="preserve">En el ámbito operativo, las entidades estatales pueden acudir a contratos de operación logística para la organización integral o parcial de ferias, fiestas, eventos y espectáculos culturales. Este tipo de contratos permite articular, en un solo instrumento, actividades como la producción técnica, el montaje, la logística general, la promoción, la difusión mediante campañas publicitarias, la contratación de artistas y gestores culturales y </w:t>
      </w:r>
      <w:r w:rsidRPr="006F30F2">
        <w:rPr>
          <w:rFonts w:ascii="Verdana" w:eastAsia="Verdana" w:hAnsi="Verdana" w:cs="Verdana"/>
          <w:sz w:val="20"/>
          <w:szCs w:val="20"/>
        </w:rPr>
        <w:lastRenderedPageBreak/>
        <w:t>demás acciones necesarias para garantizar el adecuado desarrollo del evento. Su celebración puede realizarse con operadores logísticos especializados o con entidades sin ánimo de lucro dedicadas a la gestión cultural, siempre que acrediten idoneidad, experiencia y capacidad operativa. En todo caso, la entidad debe observar los principios de planeación, responsabilidad y selección objetiva, asegurando que la decisión contractual responda a un análisis previo serio, documentado y ajustado a las necesidades institucionales.</w:t>
      </w:r>
    </w:p>
    <w:p w14:paraId="1F34B8AC" w14:textId="77777777" w:rsidR="006F30F2" w:rsidRPr="006F30F2" w:rsidRDefault="006F30F2" w:rsidP="003456AE">
      <w:pPr>
        <w:spacing w:after="0" w:line="240" w:lineRule="auto"/>
        <w:jc w:val="both"/>
        <w:rPr>
          <w:rFonts w:ascii="Verdana" w:eastAsia="Verdana" w:hAnsi="Verdana" w:cs="Verdana"/>
          <w:sz w:val="20"/>
          <w:szCs w:val="20"/>
        </w:rPr>
      </w:pPr>
    </w:p>
    <w:p w14:paraId="14C20A5C" w14:textId="79B17CE6" w:rsidR="006F30F2" w:rsidRPr="006F30F2" w:rsidRDefault="009748A0" w:rsidP="003456AE">
      <w:pPr>
        <w:spacing w:after="0" w:line="240" w:lineRule="auto"/>
        <w:jc w:val="both"/>
        <w:rPr>
          <w:rFonts w:ascii="Verdana" w:eastAsia="Verdana" w:hAnsi="Verdana" w:cs="Verdana"/>
          <w:sz w:val="20"/>
          <w:szCs w:val="20"/>
        </w:rPr>
      </w:pPr>
      <w:r w:rsidRPr="006F30F2">
        <w:rPr>
          <w:rFonts w:ascii="Verdana" w:eastAsia="Verdana" w:hAnsi="Verdana" w:cs="Verdana"/>
          <w:sz w:val="20"/>
          <w:szCs w:val="20"/>
        </w:rPr>
        <w:t>Para determinar la modalidad de selección aplicable, la entidad debe remitirse al artículo 2 de la Ley 1150 de 2007, que establece que la escogencia del contratista se realizará, como regla general, mediante licitación pública, salvo las excepciones previstas para la selección abreviada, el concurso de méritos y la contratación directa. Este marco normativo exige que la administración evalúe el objeto contractual, la naturaleza de las prestaciones, la cuantía, la urgencia del servicio y las condiciones del mercado, con el fin de escoger la modalidad que mejor garantice la concurrencia, la transparencia y la eficiencia del gasto público. De esta manera, la decisión sobre el procedimiento de selección no puede ser arbitraria ni automática, sino el resultado de un ejercicio de planeación riguroso y verificable.</w:t>
      </w:r>
      <w:r w:rsidR="003F70B9">
        <w:rPr>
          <w:rFonts w:ascii="Verdana" w:eastAsia="Verdana" w:hAnsi="Verdana" w:cs="Verdana"/>
          <w:sz w:val="20"/>
          <w:szCs w:val="20"/>
        </w:rPr>
        <w:t xml:space="preserve"> </w:t>
      </w:r>
      <w:r w:rsidR="006F30F2" w:rsidRPr="006F30F2">
        <w:rPr>
          <w:rFonts w:ascii="Verdana" w:eastAsia="Verdana" w:hAnsi="Verdana" w:cs="Verdana"/>
          <w:sz w:val="20"/>
          <w:szCs w:val="20"/>
        </w:rPr>
        <w:t xml:space="preserve">En relación con los contratos de operación logística, es fundamental reiterar que su naturaleza de contratos mixtos —al integrar prestaciones propias de varios contratos nominados para satisfacer una necesidad común— impide la existencia de un procedimiento de selección exclusivo o predeterminado. Por ello, no es procedente establecer un criterio uniforme que obligue a utilizar siempre la misma modalidad de selección. La entidad, en ejercicio del principio de planeación, debe analizar el objeto, la cuantía, las condiciones del mercado, la urgencia y la disponibilidad presupuestal para determinar si procede la licitación pública, la selección abreviada por menor cuantía, la mínima cuantía, o incluso la contratación directa cuando se configure una causal legal, como ocurre con los contratos interadministrativos, conforme al artículo 2.4. literal c de la Ley 1150 de 2007. </w:t>
      </w:r>
    </w:p>
    <w:p w14:paraId="6D3265F3" w14:textId="77777777" w:rsidR="00E9727A" w:rsidRPr="009748A0" w:rsidRDefault="00E9727A" w:rsidP="003456AE">
      <w:pPr>
        <w:spacing w:after="0" w:line="240" w:lineRule="auto"/>
        <w:jc w:val="both"/>
        <w:rPr>
          <w:rFonts w:ascii="Verdana" w:eastAsia="Verdana" w:hAnsi="Verdana" w:cs="Verdana"/>
          <w:b/>
          <w:bCs/>
        </w:rPr>
      </w:pPr>
    </w:p>
    <w:p w14:paraId="067812CC" w14:textId="77777777" w:rsidR="00E9727A" w:rsidRPr="00E9727A" w:rsidRDefault="00E9727A" w:rsidP="003456AE">
      <w:pPr>
        <w:spacing w:after="0" w:line="240" w:lineRule="auto"/>
        <w:jc w:val="both"/>
        <w:rPr>
          <w:rFonts w:ascii="Verdana" w:eastAsia="Verdana" w:hAnsi="Verdana" w:cs="Verdana"/>
          <w:b/>
          <w:bCs/>
          <w:lang w:val="es-ES"/>
        </w:rPr>
      </w:pPr>
      <w:r w:rsidRPr="00E9727A">
        <w:rPr>
          <w:rFonts w:ascii="Verdana" w:eastAsia="Verdana" w:hAnsi="Verdana" w:cs="Verdana"/>
          <w:b/>
          <w:bCs/>
          <w:lang w:val="es-ES"/>
        </w:rPr>
        <w:t xml:space="preserve">FIESTAS O FERIAS – Contratos con Entidades sin ánimo de lucro- Convenios de Colaboración – Convenios de Asociación </w:t>
      </w:r>
    </w:p>
    <w:p w14:paraId="0D956013" w14:textId="77777777" w:rsidR="00E9727A" w:rsidRPr="00E9727A" w:rsidRDefault="00E9727A" w:rsidP="003456AE">
      <w:pPr>
        <w:spacing w:after="0" w:line="240" w:lineRule="auto"/>
        <w:jc w:val="both"/>
        <w:rPr>
          <w:rFonts w:ascii="Verdana" w:eastAsia="Verdana" w:hAnsi="Verdana" w:cs="Verdana"/>
          <w:b/>
          <w:bCs/>
          <w:lang w:val="es-ES"/>
        </w:rPr>
      </w:pPr>
    </w:p>
    <w:p w14:paraId="4F33481C" w14:textId="5A414ADA" w:rsidR="00E9727A" w:rsidRPr="002979EB" w:rsidRDefault="002979EB" w:rsidP="003456AE">
      <w:pPr>
        <w:spacing w:after="0" w:line="240" w:lineRule="auto"/>
        <w:jc w:val="both"/>
        <w:rPr>
          <w:rFonts w:ascii="Verdana" w:eastAsia="Verdana" w:hAnsi="Verdana" w:cs="Verdana"/>
          <w:sz w:val="20"/>
          <w:szCs w:val="20"/>
          <w:lang w:val="es-MX"/>
        </w:rPr>
      </w:pPr>
      <w:r w:rsidRPr="002979EB">
        <w:rPr>
          <w:rFonts w:ascii="Verdana" w:eastAsia="Verdana" w:hAnsi="Verdana" w:cs="Verdana"/>
          <w:sz w:val="20"/>
          <w:szCs w:val="20"/>
        </w:rPr>
        <w:t xml:space="preserve">De manera complementaria, cuando la finalidad principal del vínculo no es la simple adquisición de servicios, sino la promoción, fortalecimiento o desarrollo de actividades artísticas y culturales de interés público, las entidades pueden acudir a los convenios del Decreto 092 de 2017 con fundamento en el artículo 355 de la Constitución Política. El precitado Decreto regula dos eventos: </w:t>
      </w:r>
      <w:r w:rsidRPr="002979EB">
        <w:rPr>
          <w:rFonts w:ascii="Verdana" w:eastAsia="Verdana" w:hAnsi="Verdana" w:cs="Verdana"/>
          <w:sz w:val="20"/>
          <w:szCs w:val="20"/>
          <w:lang w:val="es-MX"/>
        </w:rPr>
        <w:t xml:space="preserve">i) los </w:t>
      </w:r>
      <w:r w:rsidRPr="002979EB">
        <w:rPr>
          <w:rFonts w:ascii="Verdana" w:eastAsia="Verdana" w:hAnsi="Verdana" w:cs="Verdana"/>
          <w:i/>
          <w:iCs/>
          <w:sz w:val="20"/>
          <w:szCs w:val="20"/>
          <w:lang w:val="es-MX"/>
        </w:rPr>
        <w:t>contratos de colaboración</w:t>
      </w:r>
      <w:r w:rsidRPr="002979EB">
        <w:rPr>
          <w:rFonts w:ascii="Verdana" w:eastAsia="Verdana" w:hAnsi="Verdana" w:cs="Verdana"/>
          <w:sz w:val="20"/>
          <w:szCs w:val="20"/>
          <w:lang w:val="es-MX"/>
        </w:rPr>
        <w:t xml:space="preserve"> o de interés público, con el fin impulsar programas y actividades de interés público de acuerdo con el Plan Nacional o los planes seccionales de desarrollo, en los términos del artículo 355 de la Constitución Política; y </w:t>
      </w:r>
      <w:proofErr w:type="spellStart"/>
      <w:r w:rsidRPr="002979EB">
        <w:rPr>
          <w:rFonts w:ascii="Verdana" w:eastAsia="Verdana" w:hAnsi="Verdana" w:cs="Verdana"/>
          <w:sz w:val="20"/>
          <w:szCs w:val="20"/>
          <w:lang w:val="es-MX"/>
        </w:rPr>
        <w:t>ii</w:t>
      </w:r>
      <w:proofErr w:type="spellEnd"/>
      <w:r w:rsidRPr="002979EB">
        <w:rPr>
          <w:rFonts w:ascii="Verdana" w:eastAsia="Verdana" w:hAnsi="Verdana" w:cs="Verdana"/>
          <w:sz w:val="20"/>
          <w:szCs w:val="20"/>
          <w:lang w:val="es-MX"/>
        </w:rPr>
        <w:t xml:space="preserve">) los </w:t>
      </w:r>
      <w:r w:rsidRPr="002979EB">
        <w:rPr>
          <w:rFonts w:ascii="Verdana" w:eastAsia="Verdana" w:hAnsi="Verdana" w:cs="Verdana"/>
          <w:i/>
          <w:iCs/>
          <w:sz w:val="20"/>
          <w:szCs w:val="20"/>
          <w:lang w:val="es-MX"/>
        </w:rPr>
        <w:t>convenios de asociación</w:t>
      </w:r>
      <w:r w:rsidRPr="002979EB">
        <w:rPr>
          <w:rFonts w:ascii="Verdana" w:eastAsia="Verdana" w:hAnsi="Verdana" w:cs="Verdana"/>
          <w:sz w:val="20"/>
          <w:szCs w:val="20"/>
          <w:lang w:val="es-MX"/>
        </w:rPr>
        <w:t xml:space="preserve">, para el desarrollo conjunto de actividades relacionadas con las funciones de las entidades estatales, en desarrollo del artículo 96 de la Ley 489 de 1998. Los primeros están regulados en el artículo 2 del Decreto 92 de 2017, mientras que los segundos en los artículos 5, 6, 7 y 8 </w:t>
      </w:r>
      <w:r w:rsidRPr="002979EB">
        <w:rPr>
          <w:rFonts w:ascii="Verdana" w:eastAsia="Verdana" w:hAnsi="Verdana" w:cs="Verdana"/>
          <w:i/>
          <w:iCs/>
          <w:sz w:val="20"/>
          <w:szCs w:val="20"/>
          <w:lang w:val="es-MX"/>
        </w:rPr>
        <w:t>ibidem</w:t>
      </w:r>
      <w:r w:rsidRPr="002979EB">
        <w:rPr>
          <w:rFonts w:ascii="Verdana" w:eastAsia="Verdana" w:hAnsi="Verdana" w:cs="Verdana"/>
          <w:sz w:val="20"/>
          <w:szCs w:val="20"/>
          <w:lang w:val="es-MX"/>
        </w:rPr>
        <w:t xml:space="preserve">. Es posible diferenciar, pues, los </w:t>
      </w:r>
      <w:r w:rsidRPr="002979EB">
        <w:rPr>
          <w:rFonts w:ascii="Verdana" w:eastAsia="Verdana" w:hAnsi="Verdana" w:cs="Verdana"/>
          <w:i/>
          <w:iCs/>
          <w:sz w:val="20"/>
          <w:szCs w:val="20"/>
          <w:lang w:val="es-MX"/>
        </w:rPr>
        <w:t>convenios de asociación</w:t>
      </w:r>
      <w:r w:rsidRPr="002979EB">
        <w:rPr>
          <w:rFonts w:ascii="Verdana" w:eastAsia="Verdana" w:hAnsi="Verdana" w:cs="Verdana"/>
          <w:sz w:val="20"/>
          <w:szCs w:val="20"/>
          <w:lang w:val="es-MX"/>
        </w:rPr>
        <w:t xml:space="preserve">, regulados en el artículo 5, de los </w:t>
      </w:r>
      <w:r w:rsidRPr="002979EB">
        <w:rPr>
          <w:rFonts w:ascii="Verdana" w:eastAsia="Verdana" w:hAnsi="Verdana" w:cs="Verdana"/>
          <w:i/>
          <w:iCs/>
          <w:sz w:val="20"/>
          <w:szCs w:val="20"/>
          <w:lang w:val="es-MX"/>
        </w:rPr>
        <w:t>contratos de colaboración</w:t>
      </w:r>
      <w:r w:rsidRPr="002979EB">
        <w:rPr>
          <w:rFonts w:ascii="Verdana" w:eastAsia="Verdana" w:hAnsi="Verdana" w:cs="Verdana"/>
          <w:sz w:val="20"/>
          <w:szCs w:val="20"/>
          <w:lang w:val="es-MX"/>
        </w:rPr>
        <w:t>, establecidos en el artículo 2 del Decreto 092 de 2017.</w:t>
      </w:r>
    </w:p>
    <w:p w14:paraId="03883274" w14:textId="77777777" w:rsidR="002979EB" w:rsidRPr="00E9727A" w:rsidRDefault="002979EB" w:rsidP="003456AE">
      <w:pPr>
        <w:spacing w:after="0" w:line="240" w:lineRule="auto"/>
        <w:jc w:val="both"/>
        <w:rPr>
          <w:rFonts w:ascii="Verdana" w:eastAsia="Verdana" w:hAnsi="Verdana" w:cs="Verdana"/>
          <w:b/>
          <w:bCs/>
          <w:lang w:val="es-ES"/>
        </w:rPr>
      </w:pPr>
    </w:p>
    <w:p w14:paraId="71E19724" w14:textId="77777777" w:rsidR="00E9727A" w:rsidRPr="00E9727A" w:rsidRDefault="00E9727A" w:rsidP="003456AE">
      <w:pPr>
        <w:spacing w:after="0" w:line="240" w:lineRule="auto"/>
        <w:jc w:val="both"/>
        <w:rPr>
          <w:rFonts w:ascii="Verdana" w:eastAsia="Verdana" w:hAnsi="Verdana" w:cs="Verdana"/>
          <w:b/>
          <w:bCs/>
          <w:lang w:val="es-ES"/>
        </w:rPr>
      </w:pPr>
      <w:r w:rsidRPr="00E9727A">
        <w:rPr>
          <w:rFonts w:ascii="Verdana" w:eastAsia="Verdana" w:hAnsi="Verdana" w:cs="Verdana"/>
          <w:b/>
          <w:bCs/>
          <w:lang w:val="es-ES"/>
        </w:rPr>
        <w:t xml:space="preserve">FIESTAS O FERIAS – Contratos de prestación de servicios </w:t>
      </w:r>
    </w:p>
    <w:p w14:paraId="46C450ED" w14:textId="77777777" w:rsidR="00E9727A" w:rsidRPr="00E9727A" w:rsidRDefault="00E9727A" w:rsidP="003456AE">
      <w:pPr>
        <w:spacing w:after="0" w:line="240" w:lineRule="auto"/>
        <w:jc w:val="both"/>
        <w:rPr>
          <w:rFonts w:ascii="Verdana" w:eastAsia="Verdana" w:hAnsi="Verdana" w:cs="Verdana"/>
          <w:b/>
          <w:bCs/>
          <w:lang w:val="es-ES"/>
        </w:rPr>
      </w:pPr>
    </w:p>
    <w:p w14:paraId="5C251458" w14:textId="77777777" w:rsidR="00EC4254" w:rsidRPr="00EC4254" w:rsidRDefault="00EC4254" w:rsidP="003456AE">
      <w:pPr>
        <w:spacing w:after="0" w:line="240" w:lineRule="auto"/>
        <w:jc w:val="both"/>
        <w:rPr>
          <w:rFonts w:ascii="Verdana" w:eastAsia="Verdana" w:hAnsi="Verdana" w:cs="Verdana"/>
          <w:sz w:val="20"/>
          <w:szCs w:val="20"/>
        </w:rPr>
      </w:pPr>
      <w:r w:rsidRPr="00EC4254">
        <w:rPr>
          <w:rFonts w:ascii="Verdana" w:eastAsia="Verdana" w:hAnsi="Verdana" w:cs="Verdana"/>
          <w:sz w:val="20"/>
          <w:szCs w:val="20"/>
        </w:rPr>
        <w:t>Por último, otra forma de contratación es que las entidades territoriales cuentan con capacidades institucionales para planear, organizar y ejecutar directamente sus ferias, fiestas y demás manifestaciones culturales, también es procedente que opten por complementar dichas capacidades mediante la celebración de contratos de prestación de servicios con personas naturales o jurídicas especializadas. Esto incluye la vinculación de artistas, gestores culturales y productores, así como la contratación de trabajos o ejecuciones de carácter artístico que resulten necesarios para el adecuado desarrollo del evento. Esta alternativa contractual permite a las entidades acceder a conocimientos técnicos, experiencia sectorial y niveles de especialización que no siempre se encuentran disponibles internamente, garantizando así una ejecución más eficiente, profesional y ajustada a las exigencias propias de los espectáculos públicos y actividades culturales, aspecto que se analiza más adelante.</w:t>
      </w:r>
    </w:p>
    <w:p w14:paraId="59FF93A2" w14:textId="77777777" w:rsidR="00E9727A" w:rsidRPr="00EC4254" w:rsidRDefault="00E9727A" w:rsidP="003456AE">
      <w:pPr>
        <w:spacing w:after="0" w:line="240" w:lineRule="auto"/>
        <w:jc w:val="both"/>
        <w:rPr>
          <w:rFonts w:ascii="Verdana" w:eastAsia="Verdana" w:hAnsi="Verdana" w:cs="Verdana"/>
          <w:b/>
          <w:bCs/>
        </w:rPr>
      </w:pPr>
    </w:p>
    <w:p w14:paraId="3224785E" w14:textId="77777777" w:rsidR="00FE2BFE" w:rsidRPr="00052F7C" w:rsidRDefault="00FE2BFE" w:rsidP="003456AE">
      <w:pPr>
        <w:spacing w:after="0" w:line="240" w:lineRule="auto"/>
        <w:contextualSpacing/>
        <w:jc w:val="both"/>
        <w:rPr>
          <w:rFonts w:ascii="Verdana" w:eastAsia="Calibri" w:hAnsi="Verdana" w:cs="Arial"/>
          <w:b/>
          <w:bCs/>
          <w:lang w:val="es-ES_tradnl"/>
        </w:rPr>
      </w:pPr>
      <w:r w:rsidRPr="00052F7C">
        <w:rPr>
          <w:rFonts w:ascii="Verdana" w:eastAsia="Calibri" w:hAnsi="Verdana" w:cs="Arial"/>
          <w:b/>
          <w:bCs/>
        </w:rPr>
        <w:t xml:space="preserve">CONTRATO DE PRESTACIÓN DE SERVICIOS – Concepto </w:t>
      </w:r>
      <w:r w:rsidRPr="00052F7C">
        <w:rPr>
          <w:rFonts w:ascii="Verdana" w:eastAsia="Calibri" w:hAnsi="Verdana" w:cs="Arial"/>
          <w:b/>
          <w:bCs/>
          <w:lang w:val="es-ES_tradnl"/>
        </w:rPr>
        <w:t xml:space="preserve"> </w:t>
      </w:r>
    </w:p>
    <w:p w14:paraId="3C2A87FD" w14:textId="77777777" w:rsidR="00FE2BFE" w:rsidRPr="00052F7C" w:rsidRDefault="00FE2BFE" w:rsidP="003456AE">
      <w:pPr>
        <w:spacing w:after="0" w:line="240" w:lineRule="auto"/>
        <w:contextualSpacing/>
        <w:jc w:val="both"/>
        <w:rPr>
          <w:rFonts w:ascii="Verdana" w:eastAsia="Calibri" w:hAnsi="Verdana" w:cs="Arial"/>
          <w:sz w:val="20"/>
          <w:szCs w:val="20"/>
          <w:lang w:val="es-ES_tradnl"/>
        </w:rPr>
      </w:pPr>
    </w:p>
    <w:p w14:paraId="46AFC695" w14:textId="77777777" w:rsidR="00FE2BFE" w:rsidRPr="00ED6610" w:rsidRDefault="00FE2BFE" w:rsidP="003456AE">
      <w:pPr>
        <w:spacing w:after="0" w:line="240" w:lineRule="auto"/>
        <w:contextualSpacing/>
        <w:jc w:val="both"/>
        <w:rPr>
          <w:rFonts w:ascii="Verdana" w:eastAsia="Calibri" w:hAnsi="Verdana" w:cs="Arial"/>
          <w:sz w:val="20"/>
          <w:szCs w:val="20"/>
          <w:lang w:val="es-ES_tradnl"/>
        </w:rPr>
      </w:pPr>
      <w:r w:rsidRPr="00052F7C">
        <w:rPr>
          <w:rFonts w:ascii="Verdana" w:eastAsia="Calibri" w:hAnsi="Verdana" w:cs="Arial"/>
          <w:sz w:val="20"/>
          <w:szCs w:val="2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r w:rsidRPr="00052F7C">
        <w:rPr>
          <w:rFonts w:ascii="Verdana" w:eastAsia="Calibri" w:hAnsi="Verdana" w:cs="Arial"/>
          <w:sz w:val="20"/>
          <w:szCs w:val="20"/>
          <w:lang w:val="es-ES_tradnl"/>
        </w:rPr>
        <w:t xml:space="preserve"> </w:t>
      </w:r>
      <w:r w:rsidRPr="00052F7C">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r w:rsidRPr="00052F7C">
        <w:rPr>
          <w:rFonts w:ascii="Verdana" w:eastAsia="Calibri" w:hAnsi="Verdana" w:cs="Arial"/>
          <w:sz w:val="20"/>
          <w:szCs w:val="20"/>
          <w:lang w:val="es-ES_tradnl"/>
        </w:rPr>
        <w:t xml:space="preserve"> </w:t>
      </w:r>
      <w:r w:rsidRPr="00052F7C">
        <w:rPr>
          <w:rFonts w:ascii="Verdana" w:eastAsia="Calibri" w:hAnsi="Verdana" w:cs="Arial"/>
          <w:sz w:val="20"/>
          <w:szCs w:val="20"/>
        </w:rPr>
        <w:t>En ningún caso estos contratos generan relación laboral ni prestaciones sociales y se celebrarán por el término estrictamente indispensable.</w:t>
      </w:r>
    </w:p>
    <w:p w14:paraId="60621B84" w14:textId="77777777" w:rsidR="00FE2BFE" w:rsidRPr="00252D09" w:rsidRDefault="00FE2BFE" w:rsidP="003456AE">
      <w:pPr>
        <w:spacing w:after="0" w:line="240" w:lineRule="auto"/>
        <w:jc w:val="both"/>
        <w:rPr>
          <w:rFonts w:ascii="Verdana" w:eastAsia="Verdana" w:hAnsi="Verdana" w:cs="Verdana"/>
          <w:b/>
          <w:highlight w:val="lightGray"/>
          <w:lang w:val="es-ES_tradnl"/>
        </w:rPr>
      </w:pPr>
    </w:p>
    <w:p w14:paraId="2EC68B8B" w14:textId="77777777" w:rsidR="00FE2BFE" w:rsidRPr="00592DC4" w:rsidRDefault="00FE2BFE" w:rsidP="003456AE">
      <w:pPr>
        <w:spacing w:after="0" w:line="240" w:lineRule="auto"/>
        <w:contextualSpacing/>
        <w:jc w:val="both"/>
        <w:rPr>
          <w:rFonts w:ascii="Verdana" w:eastAsia="Calibri" w:hAnsi="Verdana" w:cs="Arial"/>
          <w:b/>
          <w:bCs/>
          <w:lang w:val="es-ES_tradnl"/>
        </w:rPr>
      </w:pPr>
      <w:r w:rsidRPr="00592DC4">
        <w:rPr>
          <w:rFonts w:ascii="Verdana" w:eastAsia="Calibri" w:hAnsi="Verdana" w:cs="Arial"/>
          <w:b/>
          <w:bCs/>
          <w:lang w:val="es-ES_tradnl"/>
        </w:rPr>
        <w:t>CONTRATO DE PRESTACIÓN DE SERVICIOS – Características</w:t>
      </w:r>
    </w:p>
    <w:p w14:paraId="11E41F40" w14:textId="77777777" w:rsidR="00FE2BFE" w:rsidRPr="00592DC4" w:rsidRDefault="00FE2BFE" w:rsidP="003456AE">
      <w:pPr>
        <w:spacing w:after="0" w:line="240" w:lineRule="auto"/>
        <w:contextualSpacing/>
        <w:jc w:val="both"/>
        <w:rPr>
          <w:rFonts w:ascii="Verdana" w:eastAsia="Calibri" w:hAnsi="Verdana" w:cs="Arial"/>
          <w:b/>
          <w:bCs/>
          <w:sz w:val="20"/>
          <w:szCs w:val="20"/>
          <w:lang w:val="es-ES_tradnl"/>
        </w:rPr>
      </w:pPr>
    </w:p>
    <w:p w14:paraId="7C836F77" w14:textId="7192CA1D" w:rsidR="00E9727A" w:rsidRPr="00FE2BFE" w:rsidRDefault="00FE2BFE" w:rsidP="003456AE">
      <w:pPr>
        <w:spacing w:after="0" w:line="240" w:lineRule="auto"/>
        <w:jc w:val="both"/>
        <w:rPr>
          <w:rFonts w:ascii="Verdana" w:eastAsia="Verdana" w:hAnsi="Verdana" w:cs="Verdana"/>
          <w:color w:val="EE0000"/>
          <w:sz w:val="20"/>
          <w:szCs w:val="20"/>
          <w:lang w:val="es-MX"/>
        </w:rPr>
      </w:pPr>
      <w:r w:rsidRPr="00592DC4">
        <w:rPr>
          <w:rFonts w:ascii="Verdana" w:eastAsia="Times New Roman" w:hAnsi="Verdana" w:cs="Times New Roman"/>
          <w:sz w:val="20"/>
          <w:szCs w:val="20"/>
          <w:lang w:val="es-ES_tradnl" w:eastAsia="es-ES_tradnl"/>
        </w:rPr>
        <w:t xml:space="preserve">a) Solo puede celebrarse para realizar “actividades relacionadas con la administración o funcionamiento de la entidad”; b) Admite que se suscriba tanto con personas naturales, como con personas jurídicas; c) se diferencian del contrato de trabajo, de acuerdo con los argumentos expuesto en este concepto; d) Deben ser temporales, por lo que no puede referirse a un contrato de prestación de servicios indefinido que resulta contrario a su naturaleza; e) Como especies del género prestación de servicios, se incluyen los contratos de prestación de servicios profesionales, los contratos de prestación de servicios apoyo a la gestión y los contratos de prestación de servicios artísticos que solo pueden encomendarse a determinadas personas naturales; f) Su celebración debe realizarse a través de la modalidad de contratación directa; g) Para su celebración no se requiere la expedición del acto administrativo de justificación de la contratación directa; h) Admiten el pacto de cláusulas excepcionales; i) No es obligatoria la liquidación, sin perjuicio de que esta se pueda efectuar de manera facultativa cuando así se considere </w:t>
      </w:r>
      <w:r w:rsidRPr="00592DC4">
        <w:rPr>
          <w:rFonts w:ascii="Verdana" w:eastAsia="Times New Roman" w:hAnsi="Verdana" w:cs="Times New Roman"/>
          <w:sz w:val="20"/>
          <w:szCs w:val="20"/>
          <w:lang w:val="es-ES_tradnl" w:eastAsia="es-ES_tradnl"/>
        </w:rPr>
        <w:lastRenderedPageBreak/>
        <w:t>necesario; j) Para su celebración no se requiere inscripción en el Registro Único de Proponentes (RUP); k) No son necesarias las garantías.</w:t>
      </w:r>
    </w:p>
    <w:p w14:paraId="26EB9273" w14:textId="77777777" w:rsidR="00E9727A" w:rsidRPr="00E9727A" w:rsidRDefault="00E9727A" w:rsidP="003456AE">
      <w:pPr>
        <w:spacing w:after="0" w:line="240" w:lineRule="auto"/>
        <w:jc w:val="both"/>
        <w:rPr>
          <w:rFonts w:ascii="Verdana" w:eastAsia="Verdana" w:hAnsi="Verdana" w:cs="Verdana"/>
          <w:b/>
          <w:bCs/>
          <w:lang w:val="es-ES"/>
        </w:rPr>
      </w:pPr>
    </w:p>
    <w:p w14:paraId="44743774" w14:textId="77777777" w:rsidR="00E9727A" w:rsidRDefault="00E9727A" w:rsidP="003456AE">
      <w:pPr>
        <w:spacing w:after="0" w:line="240" w:lineRule="auto"/>
        <w:jc w:val="both"/>
        <w:rPr>
          <w:rFonts w:ascii="Verdana" w:eastAsia="Verdana" w:hAnsi="Verdana" w:cs="Verdana"/>
          <w:b/>
          <w:bCs/>
          <w:lang w:val="es-ES_tradnl"/>
        </w:rPr>
      </w:pPr>
      <w:r w:rsidRPr="00E9727A">
        <w:rPr>
          <w:rFonts w:ascii="Verdana" w:eastAsia="Verdana" w:hAnsi="Verdana" w:cs="Verdana"/>
          <w:b/>
          <w:bCs/>
          <w:lang w:val="es-ES_tradnl"/>
        </w:rPr>
        <w:t>TRABAJOS ARTÍSTICOS – Definición – Ejecución de trabajos artísticos</w:t>
      </w:r>
    </w:p>
    <w:p w14:paraId="079BE36B" w14:textId="77777777" w:rsidR="00E9727A" w:rsidRDefault="00E9727A" w:rsidP="003456AE">
      <w:pPr>
        <w:spacing w:after="0" w:line="240" w:lineRule="auto"/>
        <w:jc w:val="both"/>
        <w:rPr>
          <w:rFonts w:ascii="Verdana" w:eastAsia="Verdana" w:hAnsi="Verdana" w:cs="Verdana"/>
          <w:b/>
          <w:bCs/>
          <w:lang w:val="es-ES_tradnl"/>
        </w:rPr>
      </w:pPr>
    </w:p>
    <w:p w14:paraId="4F7750C7" w14:textId="0BBF2294" w:rsidR="00546668" w:rsidRPr="00556C25" w:rsidRDefault="00546668" w:rsidP="003456AE">
      <w:pPr>
        <w:spacing w:after="0" w:line="240" w:lineRule="auto"/>
        <w:jc w:val="both"/>
        <w:rPr>
          <w:rFonts w:ascii="Verdana" w:eastAsia="Verdana" w:hAnsi="Verdana" w:cs="Verdana"/>
          <w:sz w:val="20"/>
          <w:szCs w:val="20"/>
          <w:lang w:val="es-ES_tradnl"/>
        </w:rPr>
      </w:pPr>
      <w:r w:rsidRPr="00556C25">
        <w:rPr>
          <w:rFonts w:ascii="Verdana" w:eastAsia="Verdana" w:hAnsi="Verdana" w:cs="Verdana"/>
          <w:sz w:val="20"/>
          <w:szCs w:val="20"/>
          <w:lang w:val="es-ES_tradnl"/>
        </w:rPr>
        <w:t xml:space="preserve">Igualmente, en el contrato de prestación para la ejecución de trabajos artísticos lo prevalente es que la persona que lo ejecute se trate de un artista, es decir, “una persona reconocida como realizador o productor de arte, de obras de arte, ejecutor de trabajos artísticos”, en donde es indiferente el carácter de profesional. </w:t>
      </w:r>
      <w:r w:rsidRPr="00556C25">
        <w:rPr>
          <w:rFonts w:ascii="Verdana" w:eastAsia="Verdana" w:hAnsi="Verdana" w:cs="Verdana"/>
          <w:sz w:val="20"/>
          <w:szCs w:val="20"/>
        </w:rPr>
        <w:t xml:space="preserve">Sobre la ejecución de trabajos artísticos que sólo pueden encomendarse a determinadas personas naturales, conviene citar </w:t>
      </w:r>
      <w:proofErr w:type="gramStart"/>
      <w:r w:rsidRPr="00556C25">
        <w:rPr>
          <w:rFonts w:ascii="Verdana" w:eastAsia="Verdana" w:hAnsi="Verdana" w:cs="Verdana"/>
          <w:i/>
          <w:iCs/>
          <w:sz w:val="20"/>
          <w:szCs w:val="20"/>
        </w:rPr>
        <w:t>in extenso</w:t>
      </w:r>
      <w:proofErr w:type="gramEnd"/>
      <w:r w:rsidRPr="00556C25">
        <w:rPr>
          <w:rFonts w:ascii="Verdana" w:eastAsia="Verdana" w:hAnsi="Verdana" w:cs="Verdana"/>
          <w:sz w:val="20"/>
          <w:szCs w:val="20"/>
        </w:rPr>
        <w:t xml:space="preserve"> lo expuesto por la Sección Tercera de la Sala de lo Contencioso Administrativo del Consejo de Estado, en Sentencia del 2 de diciembre de 2013, expediente 41.719. </w:t>
      </w:r>
    </w:p>
    <w:p w14:paraId="11C36257" w14:textId="77777777" w:rsidR="00546668" w:rsidRPr="00556C25" w:rsidRDefault="00546668" w:rsidP="003456AE">
      <w:pPr>
        <w:spacing w:after="0" w:line="240" w:lineRule="auto"/>
        <w:jc w:val="both"/>
        <w:rPr>
          <w:rFonts w:ascii="Verdana" w:eastAsia="Verdana" w:hAnsi="Verdana" w:cs="Verdana"/>
          <w:sz w:val="20"/>
          <w:szCs w:val="20"/>
          <w:lang w:val="es-ES_tradnl"/>
        </w:rPr>
      </w:pPr>
    </w:p>
    <w:p w14:paraId="0FA05EBA" w14:textId="4CDE2228" w:rsidR="00546668" w:rsidRPr="00556C25" w:rsidRDefault="00546668" w:rsidP="003456AE">
      <w:pPr>
        <w:spacing w:after="0" w:line="240" w:lineRule="auto"/>
        <w:jc w:val="both"/>
        <w:rPr>
          <w:rFonts w:ascii="Verdana" w:eastAsia="Verdana" w:hAnsi="Verdana" w:cs="Verdana"/>
          <w:sz w:val="20"/>
          <w:szCs w:val="20"/>
        </w:rPr>
      </w:pPr>
      <w:r w:rsidRPr="00556C25">
        <w:rPr>
          <w:rFonts w:ascii="Verdana" w:eastAsia="Verdana" w:hAnsi="Verdana" w:cs="Verdana"/>
          <w:sz w:val="20"/>
          <w:szCs w:val="20"/>
          <w:lang w:val="es-ES_tradnl"/>
        </w:rPr>
        <w:t>Así, la causal en estudio, para acudir a la contratación directa, tiene lugar cuando se va a encomendar la ejecución de un trabajo artístico a una persona natural y no cuando el objeto convencional perseguido, lejos de ser la prestación de un servicio para la elaboración de una obra artística, es la adquisición o compra de un bien calificado como obra de arte. Conforme a lo establecido en</w:t>
      </w:r>
      <w:r w:rsidRPr="00556C25">
        <w:rPr>
          <w:rFonts w:ascii="Verdana" w:eastAsia="Verdana" w:hAnsi="Verdana" w:cs="Verdana"/>
          <w:sz w:val="20"/>
          <w:szCs w:val="20"/>
        </w:rPr>
        <w:t xml:space="preserve"> el inciso final del antecitado artículo 2.2.1.2.1.4.9 del Decreto 1082 de 2015–, la aplicación de la causal de contratación directa deberá quedar plenamente justificada en los estudios y documentos previos y está deberá sustentarse en el ejercicio de planeación realizado por la Entidad Estatal, el cual debe dar cuenta de una de necesidad que deba satisfacerse a través del respectivo objeto contractual. </w:t>
      </w:r>
    </w:p>
    <w:p w14:paraId="2646454E" w14:textId="77777777" w:rsidR="00E9727A" w:rsidRPr="00556C25" w:rsidRDefault="00E9727A" w:rsidP="003456AE">
      <w:pPr>
        <w:spacing w:after="0" w:line="240" w:lineRule="auto"/>
        <w:jc w:val="both"/>
        <w:rPr>
          <w:rFonts w:ascii="Verdana" w:eastAsia="Verdana" w:hAnsi="Verdana" w:cs="Verdana"/>
        </w:rPr>
      </w:pPr>
    </w:p>
    <w:p w14:paraId="1BD4FC7C" w14:textId="70DD988D" w:rsidR="00E9727A" w:rsidRPr="00E9727A" w:rsidRDefault="00E9727A" w:rsidP="003456AE">
      <w:pPr>
        <w:spacing w:after="0" w:line="240" w:lineRule="auto"/>
        <w:jc w:val="both"/>
        <w:rPr>
          <w:rFonts w:ascii="Verdana" w:eastAsia="Verdana" w:hAnsi="Verdana" w:cs="Verdana"/>
          <w:b/>
          <w:bCs/>
          <w:lang w:val="es-ES_tradnl"/>
        </w:rPr>
      </w:pPr>
      <w:r w:rsidRPr="00E9727A">
        <w:rPr>
          <w:rFonts w:ascii="Verdana" w:eastAsia="Verdana" w:hAnsi="Verdana" w:cs="Verdana"/>
          <w:b/>
          <w:bCs/>
          <w:lang w:val="es-ES_tradnl"/>
        </w:rPr>
        <w:t>CONTRATOS DE PRESTACIÓN DE SERVICIOS – Gestores Culturales – Intervinientes</w:t>
      </w:r>
    </w:p>
    <w:p w14:paraId="398786EB" w14:textId="77777777" w:rsidR="00E9727A" w:rsidRPr="00907143" w:rsidRDefault="00E9727A" w:rsidP="003456AE">
      <w:pPr>
        <w:spacing w:after="0" w:line="240" w:lineRule="auto"/>
        <w:jc w:val="both"/>
        <w:rPr>
          <w:rFonts w:ascii="Verdana" w:eastAsia="Verdana" w:hAnsi="Verdana" w:cs="Verdana"/>
          <w:sz w:val="20"/>
          <w:szCs w:val="20"/>
          <w:lang w:val="es-ES_tradnl"/>
        </w:rPr>
      </w:pPr>
    </w:p>
    <w:p w14:paraId="52551749" w14:textId="77777777" w:rsidR="00907143" w:rsidRDefault="00907143" w:rsidP="003456AE">
      <w:pPr>
        <w:spacing w:after="0" w:line="240" w:lineRule="auto"/>
        <w:jc w:val="both"/>
        <w:rPr>
          <w:rFonts w:ascii="Verdana" w:eastAsia="Verdana" w:hAnsi="Verdana" w:cs="Verdana"/>
          <w:sz w:val="20"/>
          <w:szCs w:val="20"/>
        </w:rPr>
      </w:pPr>
      <w:r w:rsidRPr="00907143">
        <w:rPr>
          <w:rFonts w:ascii="Verdana" w:eastAsia="Verdana" w:hAnsi="Verdana" w:cs="Verdana"/>
          <w:sz w:val="20"/>
          <w:szCs w:val="20"/>
        </w:rPr>
        <w:t xml:space="preserve">A partir de lo expuesto, la tipología contractual aplicable en cada caso concreto depende de la necesidad identificada durante el ejercicio de planeación de la entidad estatal, así como del objeto y de las características del negocio jurídico requerido para satisfacerla. En esa medida, cuando la necesidad corresponde a la ejecución de trabajos artísticos que, por su naturaleza, deban ser realizados por determinadas personas naturales, y se proyecta la celebración de un negocio jurídico conmutativo, es decir, que implique una contraprestación económica a favor del contratista, resulta procedente acudir al contrato de prestación de servicios previsto en el artículo 32.3 de la Ley 80 de 1993 y desarrollado en el artículo 2.2.1.2.1.4.9 del Decreto 1082 de 2015. De igual forma, cuando la entidad requiere la participación de gestores culturales, también es viable la celebración de contratos de prestación de servicios profesionales con personas naturales o jurídicas, conforme al mismo artículo 32.3 de la Ley 80 de 1993. En este contexto, el gestor cultural cumple un rol estratégico en la articulación, diseño y sostenibilidad de los proyectos culturales, integrando modelos de economía naranja y esquemas de financiación pública, privada o mixta. Entre sus funciones se encuentran la coordinación de equipos, la supervisión del cumplimiento normativo —incluyendo obligaciones en materia de seguridad y riesgos— y la gestión eficiente de los recursos culturales. </w:t>
      </w:r>
    </w:p>
    <w:p w14:paraId="4ED7E9C6" w14:textId="77777777" w:rsidR="00E9727A" w:rsidRPr="00907143" w:rsidRDefault="00E9727A" w:rsidP="003456AE">
      <w:pPr>
        <w:spacing w:after="0" w:line="240" w:lineRule="auto"/>
        <w:jc w:val="both"/>
        <w:rPr>
          <w:rFonts w:ascii="Verdana" w:eastAsia="Verdana" w:hAnsi="Verdana" w:cs="Verdana"/>
          <w:b/>
          <w:bCs/>
        </w:rPr>
      </w:pPr>
    </w:p>
    <w:p w14:paraId="70DE53A6" w14:textId="77777777" w:rsidR="00E9727A" w:rsidRPr="00E9727A" w:rsidRDefault="00E9727A" w:rsidP="003456AE">
      <w:pPr>
        <w:spacing w:after="0" w:line="240" w:lineRule="auto"/>
        <w:jc w:val="both"/>
        <w:rPr>
          <w:rFonts w:ascii="Verdana" w:eastAsia="Verdana" w:hAnsi="Verdana" w:cs="Verdana"/>
          <w:b/>
          <w:bCs/>
          <w:lang w:val="es-ES"/>
        </w:rPr>
      </w:pPr>
      <w:r w:rsidRPr="00E9727A">
        <w:rPr>
          <w:rFonts w:ascii="Verdana" w:eastAsia="Verdana" w:hAnsi="Verdana" w:cs="Verdana"/>
          <w:b/>
          <w:bCs/>
          <w:lang w:val="es-ES"/>
        </w:rPr>
        <w:t xml:space="preserve">CONTRATO ESTATAL – Ejercicio – Funciones de control y vigilancia </w:t>
      </w:r>
    </w:p>
    <w:p w14:paraId="468E5140" w14:textId="77777777" w:rsidR="00E9727A" w:rsidRPr="000F79D6" w:rsidRDefault="00E9727A" w:rsidP="003456AE">
      <w:pPr>
        <w:spacing w:after="0" w:line="240" w:lineRule="auto"/>
        <w:jc w:val="both"/>
        <w:rPr>
          <w:rFonts w:ascii="Verdana" w:eastAsia="Verdana" w:hAnsi="Verdana" w:cs="Verdana"/>
          <w:sz w:val="20"/>
          <w:szCs w:val="20"/>
          <w:lang w:val="es-ES"/>
        </w:rPr>
      </w:pPr>
    </w:p>
    <w:p w14:paraId="71C80068" w14:textId="77777777" w:rsidR="000F79D6" w:rsidRPr="000F79D6" w:rsidRDefault="000F79D6" w:rsidP="003456AE">
      <w:pPr>
        <w:spacing w:after="0" w:line="240" w:lineRule="auto"/>
        <w:jc w:val="both"/>
        <w:rPr>
          <w:rFonts w:ascii="Verdana" w:eastAsia="Verdana" w:hAnsi="Verdana" w:cs="Verdana"/>
          <w:sz w:val="20"/>
          <w:szCs w:val="20"/>
        </w:rPr>
      </w:pPr>
      <w:r w:rsidRPr="000F79D6">
        <w:rPr>
          <w:rFonts w:ascii="Verdana" w:eastAsia="Verdana" w:hAnsi="Verdana" w:cs="Verdana"/>
          <w:sz w:val="20"/>
          <w:szCs w:val="20"/>
        </w:rPr>
        <w:t xml:space="preserve">La correcta estructuración contractual implica, además, la elaboración de estudios previos completos, la definición clara de obligaciones, la identificación de riesgos, la adopción de mecanismos de supervisión y la implementación de controles que permitan verificar el cumplimiento de los objetivos culturales y la adecuada realización de los eventos. En este sentido, en el marco de lo dispuesto en los artículos 4, 5, 12, 14 y 26 de la Ley 80 de 1993, las Entidades Estatales tienen la obligación de velar por el correcto y oportuno cumplimiento de las prestaciones del contrato, las especificaciones de los bienes, obras y servicios de este, las condiciones de calidad ofrecidas, entre otros. Esta obligación se predica, en principio, del jefe o representante legal de la entidad, por tener la responsabilidad de la dirección y manejo de la actividad contractual, pero también de los servidores públicos, como es el caso de los supervisores, y en su defecto, de los interventores como agentes externos que cumplen deberes de vigilancia y seguimiento contractual. En ese sentido, las Entidades Estatales deben ejercer el control de la ejecución del contrato y, de ser el caso, tomar medidas para exigir su adecuado cumplimiento. </w:t>
      </w:r>
    </w:p>
    <w:p w14:paraId="66585D74" w14:textId="77777777" w:rsidR="000F79D6" w:rsidRPr="000F79D6" w:rsidRDefault="000F79D6" w:rsidP="003456AE">
      <w:pPr>
        <w:spacing w:after="0" w:line="240" w:lineRule="auto"/>
        <w:jc w:val="both"/>
        <w:rPr>
          <w:rFonts w:ascii="Verdana" w:eastAsia="Verdana" w:hAnsi="Verdana" w:cs="Verdana"/>
          <w:sz w:val="20"/>
          <w:szCs w:val="20"/>
        </w:rPr>
      </w:pPr>
    </w:p>
    <w:p w14:paraId="6AC4AEAD" w14:textId="2E6D01B9" w:rsidR="000F79D6" w:rsidRPr="000F79D6" w:rsidRDefault="000F79D6" w:rsidP="003456AE">
      <w:pPr>
        <w:spacing w:after="0" w:line="240" w:lineRule="auto"/>
        <w:jc w:val="both"/>
        <w:rPr>
          <w:rFonts w:ascii="Verdana" w:eastAsia="Verdana" w:hAnsi="Verdana" w:cs="Verdana"/>
          <w:sz w:val="20"/>
          <w:szCs w:val="20"/>
          <w:lang w:val="es-ES_tradnl"/>
        </w:rPr>
      </w:pPr>
      <w:r w:rsidRPr="000F79D6">
        <w:rPr>
          <w:rFonts w:ascii="Verdana" w:eastAsia="Verdana" w:hAnsi="Verdana" w:cs="Verdana"/>
          <w:sz w:val="20"/>
          <w:szCs w:val="20"/>
        </w:rPr>
        <w:t>En ese sentido, 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0F79D6">
        <w:rPr>
          <w:rFonts w:ascii="Verdana" w:eastAsia="Verdana" w:hAnsi="Verdana" w:cs="Verdana"/>
          <w:sz w:val="20"/>
          <w:szCs w:val="20"/>
          <w:lang w:val="es-ES_tradnl"/>
        </w:rPr>
        <w:t>.</w:t>
      </w:r>
      <w:r w:rsidRPr="000F79D6">
        <w:rPr>
          <w:rFonts w:ascii="Verdana" w:eastAsia="Verdana" w:hAnsi="Verdana" w:cs="Verdana"/>
          <w:sz w:val="20"/>
          <w:szCs w:val="20"/>
        </w:rPr>
        <w:t xml:space="preserve"> También se establecen los límites de la responsabilidad del representante legal ante la delegación de sus funciones en materia contractual </w:t>
      </w:r>
      <w:r w:rsidRPr="000F79D6">
        <w:rPr>
          <w:rFonts w:ascii="Verdana" w:eastAsia="Verdana" w:hAnsi="Verdana" w:cs="Verdana"/>
          <w:sz w:val="20"/>
          <w:szCs w:val="20"/>
          <w:lang w:val="es-ES_tradnl"/>
        </w:rPr>
        <w:t>y se regula la supervisión y la interventoría de los contratos estatales</w:t>
      </w:r>
      <w:r>
        <w:rPr>
          <w:rFonts w:ascii="Verdana" w:eastAsia="Verdana" w:hAnsi="Verdana" w:cs="Verdana"/>
          <w:sz w:val="20"/>
          <w:szCs w:val="20"/>
          <w:lang w:val="es-ES_tradnl"/>
        </w:rPr>
        <w:t>.</w:t>
      </w:r>
    </w:p>
    <w:p w14:paraId="6E34CEDC" w14:textId="77777777" w:rsidR="00E9727A" w:rsidRPr="00E9727A" w:rsidRDefault="00E9727A" w:rsidP="003456AE">
      <w:pPr>
        <w:spacing w:after="0" w:line="240" w:lineRule="auto"/>
        <w:jc w:val="both"/>
        <w:rPr>
          <w:rFonts w:ascii="Verdana" w:eastAsia="Verdana" w:hAnsi="Verdana" w:cs="Verdana"/>
          <w:b/>
          <w:bCs/>
          <w:lang w:val="es-ES"/>
        </w:rPr>
      </w:pPr>
    </w:p>
    <w:p w14:paraId="7C10FCC7" w14:textId="1193CD39" w:rsidR="00E9727A" w:rsidRPr="00E9727A" w:rsidRDefault="00E9727A" w:rsidP="003456AE">
      <w:pPr>
        <w:spacing w:after="0" w:line="240" w:lineRule="auto"/>
        <w:jc w:val="both"/>
        <w:rPr>
          <w:rFonts w:ascii="Verdana" w:eastAsia="Verdana" w:hAnsi="Verdana" w:cs="Verdana"/>
          <w:b/>
          <w:bCs/>
          <w:lang w:val="es-ES_tradnl"/>
        </w:rPr>
      </w:pPr>
      <w:r w:rsidRPr="00E9727A">
        <w:rPr>
          <w:rFonts w:ascii="Verdana" w:eastAsia="Verdana" w:hAnsi="Verdana" w:cs="Verdana"/>
          <w:b/>
          <w:bCs/>
          <w:lang w:val="es-ES"/>
        </w:rPr>
        <w:t xml:space="preserve"> CONTRATO ESTATAL – Supervisión – Interventoría – características. </w:t>
      </w:r>
    </w:p>
    <w:p w14:paraId="24F9D585" w14:textId="77777777" w:rsidR="00E9727A" w:rsidRPr="00E9727A" w:rsidRDefault="00E9727A" w:rsidP="003456AE">
      <w:pPr>
        <w:spacing w:after="0" w:line="240" w:lineRule="auto"/>
        <w:rPr>
          <w:rFonts w:ascii="Verdana" w:eastAsia="Verdana" w:hAnsi="Verdana" w:cs="Verdana"/>
          <w:lang w:val="es-ES"/>
        </w:rPr>
      </w:pPr>
    </w:p>
    <w:p w14:paraId="705B5EB7" w14:textId="43595727" w:rsidR="005F0940" w:rsidRDefault="005F0940" w:rsidP="003456AE">
      <w:pPr>
        <w:spacing w:after="0" w:line="240" w:lineRule="auto"/>
        <w:jc w:val="both"/>
        <w:rPr>
          <w:rFonts w:ascii="Verdana" w:eastAsia="Verdana" w:hAnsi="Verdana" w:cs="Verdana"/>
          <w:bCs/>
          <w:sz w:val="20"/>
          <w:szCs w:val="20"/>
          <w:lang w:val="es-ES"/>
        </w:rPr>
      </w:pPr>
      <w:r w:rsidRPr="005F0940">
        <w:rPr>
          <w:rFonts w:ascii="Verdana" w:eastAsia="Verdana" w:hAnsi="Verdana" w:cs="Verdana"/>
          <w:bCs/>
          <w:sz w:val="20"/>
          <w:szCs w:val="20"/>
          <w:lang w:val="es-ES"/>
        </w:rPr>
        <w:t xml:space="preserve">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w:t>
      </w:r>
      <w:proofErr w:type="spellStart"/>
      <w:r w:rsidRPr="005F0940">
        <w:rPr>
          <w:rFonts w:ascii="Verdana" w:eastAsia="Verdana" w:hAnsi="Verdana" w:cs="Verdana"/>
          <w:bCs/>
          <w:sz w:val="20"/>
          <w:szCs w:val="20"/>
          <w:lang w:val="es-ES"/>
        </w:rPr>
        <w:t>ii</w:t>
      </w:r>
      <w:proofErr w:type="spellEnd"/>
      <w:r w:rsidRPr="005F0940">
        <w:rPr>
          <w:rFonts w:ascii="Verdana" w:eastAsia="Verdana" w:hAnsi="Verdana" w:cs="Verdana"/>
          <w:bCs/>
          <w:sz w:val="20"/>
          <w:szCs w:val="20"/>
          <w:lang w:val="es-ES"/>
        </w:rPr>
        <w:t xml:space="preserve">) no requiere conocimientos tan especializados como la interventoría; </w:t>
      </w:r>
      <w:proofErr w:type="spellStart"/>
      <w:r w:rsidRPr="005F0940">
        <w:rPr>
          <w:rFonts w:ascii="Verdana" w:eastAsia="Verdana" w:hAnsi="Verdana" w:cs="Verdana"/>
          <w:bCs/>
          <w:sz w:val="20"/>
          <w:szCs w:val="20"/>
          <w:lang w:val="es-ES"/>
        </w:rPr>
        <w:t>iii</w:t>
      </w:r>
      <w:proofErr w:type="spellEnd"/>
      <w:r w:rsidRPr="005F0940">
        <w:rPr>
          <w:rFonts w:ascii="Verdana" w:eastAsia="Verdana" w:hAnsi="Verdana" w:cs="Verdana"/>
          <w:bCs/>
          <w:sz w:val="20"/>
          <w:szCs w:val="20"/>
          <w:lang w:val="es-ES"/>
        </w:rPr>
        <w:t xml:space="preserve">) se ejerce por la Entidad Estatal por conducto de la designación de servidores públicos idóneos para cumplir la función; </w:t>
      </w:r>
      <w:proofErr w:type="spellStart"/>
      <w:r w:rsidRPr="005F0940">
        <w:rPr>
          <w:rFonts w:ascii="Verdana" w:eastAsia="Verdana" w:hAnsi="Verdana" w:cs="Verdana"/>
          <w:bCs/>
          <w:sz w:val="20"/>
          <w:szCs w:val="20"/>
          <w:lang w:val="es-ES"/>
        </w:rPr>
        <w:t>iv</w:t>
      </w:r>
      <w:proofErr w:type="spellEnd"/>
      <w:r w:rsidRPr="005F0940">
        <w:rPr>
          <w:rFonts w:ascii="Verdana" w:eastAsia="Verdana" w:hAnsi="Verdana" w:cs="Verdana"/>
          <w:bCs/>
          <w:sz w:val="20"/>
          <w:szCs w:val="20"/>
          <w:lang w:val="es-ES"/>
        </w:rPr>
        <w:t>) puede recibir apoyo de personal contratado para tal fin mediante contratos de prestación de servicios; y v) le es inseparable el seguimiento técnico, administrativo, financiero, contable y jurídico del contrato vigilado.</w:t>
      </w:r>
    </w:p>
    <w:p w14:paraId="75598645" w14:textId="77777777" w:rsidR="009F451D" w:rsidRPr="005F0940" w:rsidRDefault="009F451D" w:rsidP="003456AE">
      <w:pPr>
        <w:spacing w:after="0" w:line="240" w:lineRule="auto"/>
        <w:jc w:val="both"/>
        <w:rPr>
          <w:rFonts w:ascii="Verdana" w:eastAsia="Verdana" w:hAnsi="Verdana" w:cs="Verdana"/>
          <w:bCs/>
          <w:sz w:val="20"/>
          <w:szCs w:val="20"/>
          <w:lang w:val="es-ES"/>
        </w:rPr>
      </w:pPr>
    </w:p>
    <w:p w14:paraId="37E402EA" w14:textId="60A0D45F" w:rsidR="00E9727A" w:rsidRPr="000F79D6" w:rsidRDefault="000F79D6" w:rsidP="003456AE">
      <w:pPr>
        <w:spacing w:after="0" w:line="240" w:lineRule="auto"/>
        <w:jc w:val="both"/>
        <w:rPr>
          <w:rFonts w:ascii="Verdana" w:eastAsia="Verdana" w:hAnsi="Verdana" w:cs="Verdana"/>
          <w:sz w:val="20"/>
          <w:szCs w:val="20"/>
        </w:rPr>
      </w:pPr>
      <w:r w:rsidRPr="000F79D6">
        <w:rPr>
          <w:rFonts w:ascii="Verdana" w:eastAsia="Verdana" w:hAnsi="Verdana" w:cs="Verdana"/>
          <w:bCs/>
          <w:sz w:val="20"/>
          <w:szCs w:val="20"/>
          <w:lang w:val="es-ES"/>
        </w:rPr>
        <w:t xml:space="preserve">Por otro lado, </w:t>
      </w:r>
      <w:r w:rsidRPr="000F79D6">
        <w:rPr>
          <w:rFonts w:ascii="Verdana" w:eastAsia="Verdana" w:hAnsi="Verdana" w:cs="Verdana"/>
          <w:bCs/>
          <w:sz w:val="20"/>
          <w:szCs w:val="20"/>
        </w:rPr>
        <w:t xml:space="preserve">la interventoría puede caracterizarse de la siguiente manera: i) es un mecanismo de vigilancia contingente en la medida que solo es obligatorio para el seguimiento de los contratos de obra adjudicados por licitación pública –art. 32, numeral </w:t>
      </w:r>
      <w:r w:rsidRPr="000F79D6">
        <w:rPr>
          <w:rFonts w:ascii="Verdana" w:eastAsia="Verdana" w:hAnsi="Verdana" w:cs="Verdana"/>
          <w:bCs/>
          <w:sz w:val="20"/>
          <w:szCs w:val="20"/>
        </w:rPr>
        <w:lastRenderedPageBreak/>
        <w:t xml:space="preserve">1; en los demás casos se requerirá cuando “el seguimiento del contrato suponga conocimiento especializado en la materia, o cuando la complejidad o la extensión del mismo lo justifique” –art, 83, Ley 1474 de 2011–; </w:t>
      </w:r>
      <w:proofErr w:type="spellStart"/>
      <w:r w:rsidRPr="000F79D6">
        <w:rPr>
          <w:rFonts w:ascii="Verdana" w:eastAsia="Verdana" w:hAnsi="Verdana" w:cs="Verdana"/>
          <w:bCs/>
          <w:sz w:val="20"/>
          <w:szCs w:val="20"/>
        </w:rPr>
        <w:t>ii</w:t>
      </w:r>
      <w:proofErr w:type="spellEnd"/>
      <w:r w:rsidRPr="000F79D6">
        <w:rPr>
          <w:rFonts w:ascii="Verdana" w:eastAsia="Verdana" w:hAnsi="Verdana" w:cs="Verdana"/>
          <w:bCs/>
          <w:sz w:val="20"/>
          <w:szCs w:val="20"/>
        </w:rPr>
        <w:t xml:space="preserve">) es un mecanismo de vigilancia que exige, en su ejecución, la utilización de conocimientos especializados; </w:t>
      </w:r>
      <w:proofErr w:type="spellStart"/>
      <w:r w:rsidRPr="000F79D6">
        <w:rPr>
          <w:rFonts w:ascii="Verdana" w:eastAsia="Verdana" w:hAnsi="Verdana" w:cs="Verdana"/>
          <w:bCs/>
          <w:sz w:val="20"/>
          <w:szCs w:val="20"/>
        </w:rPr>
        <w:t>iii</w:t>
      </w:r>
      <w:proofErr w:type="spellEnd"/>
      <w:r w:rsidRPr="000F79D6">
        <w:rPr>
          <w:rFonts w:ascii="Verdana" w:eastAsia="Verdana" w:hAnsi="Verdana" w:cs="Verdana"/>
          <w:bCs/>
          <w:sz w:val="20"/>
          <w:szCs w:val="20"/>
        </w:rPr>
        <w:t xml:space="preserve">) por lo anterior, la entidad contrata un experto, por regla general, mediante la modalidad de selección de concurso de méritos, al tratarse la interventoría de una especie del contrato de consultoría –art. 32, numeral 2, inciso 2, Ley 80 de 1993‒, de manera que la interventoría es realizada por “una persona natural o jurídica contratada para tal fin por la Entidad Estatal” –art. 83, Ley 1474–; </w:t>
      </w:r>
      <w:proofErr w:type="spellStart"/>
      <w:r w:rsidRPr="000F79D6">
        <w:rPr>
          <w:rFonts w:ascii="Verdana" w:eastAsia="Verdana" w:hAnsi="Verdana" w:cs="Verdana"/>
          <w:bCs/>
          <w:sz w:val="20"/>
          <w:szCs w:val="20"/>
        </w:rPr>
        <w:t>iv</w:t>
      </w:r>
      <w:proofErr w:type="spellEnd"/>
      <w:r w:rsidRPr="000F79D6">
        <w:rPr>
          <w:rFonts w:ascii="Verdana" w:eastAsia="Verdana" w:hAnsi="Verdana" w:cs="Verdana"/>
          <w:bCs/>
          <w:sz w:val="20"/>
          <w:szCs w:val="20"/>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4A3913E3" w14:textId="77777777" w:rsidR="00E9727A" w:rsidRDefault="00E9727A" w:rsidP="00840DEA">
      <w:pPr>
        <w:spacing w:after="0" w:line="240" w:lineRule="auto"/>
        <w:rPr>
          <w:rFonts w:ascii="Verdana" w:eastAsia="Verdana" w:hAnsi="Verdana" w:cs="Verdana"/>
        </w:rPr>
      </w:pPr>
    </w:p>
    <w:p w14:paraId="0900BAF5" w14:textId="77777777" w:rsidR="00E9727A" w:rsidRDefault="00E9727A" w:rsidP="00840DEA">
      <w:pPr>
        <w:spacing w:after="0" w:line="240" w:lineRule="auto"/>
        <w:rPr>
          <w:rFonts w:ascii="Verdana" w:eastAsia="Verdana" w:hAnsi="Verdana" w:cs="Verdana"/>
        </w:rPr>
      </w:pPr>
    </w:p>
    <w:p w14:paraId="1AEB4579" w14:textId="77777777" w:rsidR="009F451D" w:rsidRDefault="009F451D" w:rsidP="00840DEA">
      <w:pPr>
        <w:spacing w:after="0" w:line="240" w:lineRule="auto"/>
        <w:rPr>
          <w:rFonts w:ascii="Verdana" w:eastAsia="Verdana" w:hAnsi="Verdana" w:cs="Verdana"/>
        </w:rPr>
      </w:pPr>
    </w:p>
    <w:p w14:paraId="5BC67D65" w14:textId="77777777" w:rsidR="009F451D" w:rsidRDefault="009F451D" w:rsidP="00840DEA">
      <w:pPr>
        <w:spacing w:after="0" w:line="240" w:lineRule="auto"/>
        <w:rPr>
          <w:rFonts w:ascii="Verdana" w:eastAsia="Verdana" w:hAnsi="Verdana" w:cs="Verdana"/>
        </w:rPr>
      </w:pPr>
    </w:p>
    <w:p w14:paraId="7B361D26" w14:textId="77777777" w:rsidR="009F451D" w:rsidRDefault="009F451D" w:rsidP="00840DEA">
      <w:pPr>
        <w:spacing w:after="0" w:line="240" w:lineRule="auto"/>
        <w:rPr>
          <w:rFonts w:ascii="Verdana" w:eastAsia="Verdana" w:hAnsi="Verdana" w:cs="Verdana"/>
        </w:rPr>
      </w:pPr>
    </w:p>
    <w:p w14:paraId="092CC471" w14:textId="77777777" w:rsidR="009F451D" w:rsidRDefault="009F451D" w:rsidP="00840DEA">
      <w:pPr>
        <w:spacing w:after="0" w:line="240" w:lineRule="auto"/>
        <w:rPr>
          <w:rFonts w:ascii="Verdana" w:eastAsia="Verdana" w:hAnsi="Verdana" w:cs="Verdana"/>
        </w:rPr>
      </w:pPr>
    </w:p>
    <w:p w14:paraId="59E45288" w14:textId="77777777" w:rsidR="009F451D" w:rsidRDefault="009F451D" w:rsidP="00840DEA">
      <w:pPr>
        <w:spacing w:after="0" w:line="240" w:lineRule="auto"/>
        <w:rPr>
          <w:rFonts w:ascii="Verdana" w:eastAsia="Verdana" w:hAnsi="Verdana" w:cs="Verdana"/>
        </w:rPr>
      </w:pPr>
    </w:p>
    <w:p w14:paraId="37267A28" w14:textId="77777777" w:rsidR="009F451D" w:rsidRDefault="009F451D" w:rsidP="00840DEA">
      <w:pPr>
        <w:spacing w:after="0" w:line="240" w:lineRule="auto"/>
        <w:rPr>
          <w:rFonts w:ascii="Verdana" w:eastAsia="Verdana" w:hAnsi="Verdana" w:cs="Verdana"/>
        </w:rPr>
      </w:pPr>
    </w:p>
    <w:p w14:paraId="753A937D" w14:textId="77777777" w:rsidR="009F451D" w:rsidRDefault="009F451D" w:rsidP="00840DEA">
      <w:pPr>
        <w:spacing w:after="0" w:line="240" w:lineRule="auto"/>
        <w:rPr>
          <w:rFonts w:ascii="Verdana" w:eastAsia="Verdana" w:hAnsi="Verdana" w:cs="Verdana"/>
        </w:rPr>
      </w:pPr>
    </w:p>
    <w:p w14:paraId="1E00C01A" w14:textId="77777777" w:rsidR="009F451D" w:rsidRDefault="009F451D" w:rsidP="00840DEA">
      <w:pPr>
        <w:spacing w:after="0" w:line="240" w:lineRule="auto"/>
        <w:rPr>
          <w:rFonts w:ascii="Verdana" w:eastAsia="Verdana" w:hAnsi="Verdana" w:cs="Verdana"/>
        </w:rPr>
      </w:pPr>
    </w:p>
    <w:p w14:paraId="471A997F" w14:textId="77777777" w:rsidR="009F451D" w:rsidRDefault="009F451D" w:rsidP="00840DEA">
      <w:pPr>
        <w:spacing w:after="0" w:line="240" w:lineRule="auto"/>
        <w:rPr>
          <w:rFonts w:ascii="Verdana" w:eastAsia="Verdana" w:hAnsi="Verdana" w:cs="Verdana"/>
        </w:rPr>
      </w:pPr>
    </w:p>
    <w:p w14:paraId="4E2C9031" w14:textId="77777777" w:rsidR="009F451D" w:rsidRDefault="009F451D" w:rsidP="00840DEA">
      <w:pPr>
        <w:spacing w:after="0" w:line="240" w:lineRule="auto"/>
        <w:rPr>
          <w:rFonts w:ascii="Verdana" w:eastAsia="Verdana" w:hAnsi="Verdana" w:cs="Verdana"/>
        </w:rPr>
      </w:pPr>
    </w:p>
    <w:p w14:paraId="28505F47" w14:textId="77777777" w:rsidR="009F451D" w:rsidRDefault="009F451D" w:rsidP="00840DEA">
      <w:pPr>
        <w:spacing w:after="0" w:line="240" w:lineRule="auto"/>
        <w:rPr>
          <w:rFonts w:ascii="Verdana" w:eastAsia="Verdana" w:hAnsi="Verdana" w:cs="Verdana"/>
        </w:rPr>
      </w:pPr>
    </w:p>
    <w:p w14:paraId="4AB31877" w14:textId="77777777" w:rsidR="009F451D" w:rsidRDefault="009F451D" w:rsidP="00840DEA">
      <w:pPr>
        <w:spacing w:after="0" w:line="240" w:lineRule="auto"/>
        <w:rPr>
          <w:rFonts w:ascii="Verdana" w:eastAsia="Verdana" w:hAnsi="Verdana" w:cs="Verdana"/>
        </w:rPr>
      </w:pPr>
    </w:p>
    <w:p w14:paraId="4D846CAE" w14:textId="77777777" w:rsidR="009F451D" w:rsidRDefault="009F451D" w:rsidP="00840DEA">
      <w:pPr>
        <w:spacing w:after="0" w:line="240" w:lineRule="auto"/>
        <w:rPr>
          <w:rFonts w:ascii="Verdana" w:eastAsia="Verdana" w:hAnsi="Verdana" w:cs="Verdana"/>
        </w:rPr>
      </w:pPr>
    </w:p>
    <w:p w14:paraId="75D8F516" w14:textId="77777777" w:rsidR="009F451D" w:rsidRDefault="009F451D" w:rsidP="00840DEA">
      <w:pPr>
        <w:spacing w:after="0" w:line="240" w:lineRule="auto"/>
        <w:rPr>
          <w:rFonts w:ascii="Verdana" w:eastAsia="Verdana" w:hAnsi="Verdana" w:cs="Verdana"/>
        </w:rPr>
      </w:pPr>
    </w:p>
    <w:p w14:paraId="5B3940A2" w14:textId="77777777" w:rsidR="009F451D" w:rsidRDefault="009F451D" w:rsidP="00840DEA">
      <w:pPr>
        <w:spacing w:after="0" w:line="240" w:lineRule="auto"/>
        <w:rPr>
          <w:rFonts w:ascii="Verdana" w:eastAsia="Verdana" w:hAnsi="Verdana" w:cs="Verdana"/>
        </w:rPr>
      </w:pPr>
    </w:p>
    <w:p w14:paraId="20494472" w14:textId="77777777" w:rsidR="009F451D" w:rsidRDefault="009F451D" w:rsidP="00840DEA">
      <w:pPr>
        <w:spacing w:after="0" w:line="240" w:lineRule="auto"/>
        <w:rPr>
          <w:rFonts w:ascii="Verdana" w:eastAsia="Verdana" w:hAnsi="Verdana" w:cs="Verdana"/>
        </w:rPr>
      </w:pPr>
    </w:p>
    <w:p w14:paraId="11D4B5AE" w14:textId="77777777" w:rsidR="009F451D" w:rsidRDefault="009F451D" w:rsidP="00840DEA">
      <w:pPr>
        <w:spacing w:after="0" w:line="240" w:lineRule="auto"/>
        <w:rPr>
          <w:rFonts w:ascii="Verdana" w:eastAsia="Verdana" w:hAnsi="Verdana" w:cs="Verdana"/>
        </w:rPr>
      </w:pPr>
    </w:p>
    <w:p w14:paraId="4CF3EBBD" w14:textId="77777777" w:rsidR="009F451D" w:rsidRDefault="009F451D" w:rsidP="00840DEA">
      <w:pPr>
        <w:spacing w:after="0" w:line="240" w:lineRule="auto"/>
        <w:rPr>
          <w:rFonts w:ascii="Verdana" w:eastAsia="Verdana" w:hAnsi="Verdana" w:cs="Verdana"/>
        </w:rPr>
      </w:pPr>
    </w:p>
    <w:p w14:paraId="6DD2BA50" w14:textId="77777777" w:rsidR="009F451D" w:rsidRDefault="009F451D" w:rsidP="00840DEA">
      <w:pPr>
        <w:spacing w:after="0" w:line="240" w:lineRule="auto"/>
        <w:rPr>
          <w:rFonts w:ascii="Verdana" w:eastAsia="Verdana" w:hAnsi="Verdana" w:cs="Verdana"/>
        </w:rPr>
      </w:pPr>
    </w:p>
    <w:p w14:paraId="38E43F0A" w14:textId="77777777" w:rsidR="009F451D" w:rsidRDefault="009F451D" w:rsidP="00840DEA">
      <w:pPr>
        <w:spacing w:after="0" w:line="240" w:lineRule="auto"/>
        <w:rPr>
          <w:rFonts w:ascii="Verdana" w:eastAsia="Verdana" w:hAnsi="Verdana" w:cs="Verdana"/>
        </w:rPr>
      </w:pPr>
    </w:p>
    <w:p w14:paraId="04977B07" w14:textId="1847213A" w:rsidR="00840DEA" w:rsidRDefault="00940783" w:rsidP="00840DEA">
      <w:pPr>
        <w:spacing w:after="0" w:line="240" w:lineRule="auto"/>
        <w:rPr>
          <w:rFonts w:ascii="Verdana" w:hAnsi="Verdana"/>
        </w:rPr>
      </w:pPr>
      <w:r w:rsidRPr="00940783">
        <w:rPr>
          <w:rFonts w:ascii="Verdana" w:hAnsi="Verdana"/>
          <w:noProof/>
        </w:rPr>
        <w:lastRenderedPageBreak/>
        <w:drawing>
          <wp:anchor distT="0" distB="0" distL="114300" distR="114300" simplePos="0" relativeHeight="251658240" behindDoc="0" locked="0" layoutInCell="1" allowOverlap="1" wp14:anchorId="6A83AB70" wp14:editId="375E9BDA">
            <wp:simplePos x="0" y="0"/>
            <wp:positionH relativeFrom="margin">
              <wp:posOffset>2632710</wp:posOffset>
            </wp:positionH>
            <wp:positionV relativeFrom="paragraph">
              <wp:posOffset>287655</wp:posOffset>
            </wp:positionV>
            <wp:extent cx="2976880" cy="824230"/>
            <wp:effectExtent l="0" t="0" r="0" b="0"/>
            <wp:wrapSquare wrapText="bothSides"/>
            <wp:docPr id="706292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880" cy="824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DEA" w:rsidRPr="30821638">
        <w:rPr>
          <w:rFonts w:ascii="Verdana" w:eastAsia="Verdana" w:hAnsi="Verdana" w:cs="Verdana"/>
        </w:rPr>
        <w:t>Bogotá D.C.,</w:t>
      </w:r>
      <w:r w:rsidR="00E9727A">
        <w:rPr>
          <w:rFonts w:ascii="Verdana" w:eastAsia="Verdana" w:hAnsi="Verdana" w:cs="Verdana"/>
        </w:rPr>
        <w:t xml:space="preserve"> 22 de junio de 2026 </w:t>
      </w:r>
      <w:r w:rsidR="00840DEA">
        <w:tab/>
      </w:r>
      <w:r w:rsidR="00840DEA">
        <w:br/>
      </w:r>
    </w:p>
    <w:p w14:paraId="42576F52" w14:textId="77777777" w:rsidR="00840DEA" w:rsidRPr="00B57A1B" w:rsidRDefault="00840DEA" w:rsidP="00840DEA">
      <w:pPr>
        <w:spacing w:after="0" w:line="240" w:lineRule="auto"/>
        <w:rPr>
          <w:rFonts w:ascii="Verdana" w:hAnsi="Verdana"/>
        </w:rPr>
      </w:pPr>
    </w:p>
    <w:p w14:paraId="2F5663F9" w14:textId="77777777" w:rsidR="00840DEA" w:rsidRPr="00B11281" w:rsidRDefault="00840DEA" w:rsidP="00840DEA">
      <w:pPr>
        <w:spacing w:after="0" w:line="240" w:lineRule="auto"/>
        <w:rPr>
          <w:rFonts w:ascii="Verdana" w:eastAsia="Calibri" w:hAnsi="Verdana" w:cs="Times New Roman"/>
          <w:lang w:val="es-MX"/>
        </w:rPr>
      </w:pPr>
      <w:r w:rsidRPr="00B11281">
        <w:rPr>
          <w:rFonts w:ascii="Verdana" w:eastAsia="Calibri" w:hAnsi="Verdana" w:cs="Times New Roman"/>
          <w:lang w:val="es-MX"/>
        </w:rPr>
        <w:t>Señora</w:t>
      </w:r>
    </w:p>
    <w:p w14:paraId="2046105D" w14:textId="77777777" w:rsidR="00840DEA" w:rsidRPr="00B11281" w:rsidRDefault="00840DEA" w:rsidP="00840DEA">
      <w:pPr>
        <w:spacing w:after="0" w:line="240" w:lineRule="auto"/>
        <w:rPr>
          <w:rFonts w:ascii="Verdana" w:eastAsia="Calibri" w:hAnsi="Verdana" w:cs="Times New Roman"/>
          <w:b/>
          <w:lang w:val="es-MX"/>
        </w:rPr>
      </w:pPr>
      <w:r w:rsidRPr="00B11281">
        <w:rPr>
          <w:rFonts w:ascii="Verdana" w:eastAsia="Calibri" w:hAnsi="Verdana" w:cs="Times New Roman"/>
          <w:b/>
          <w:lang w:val="es-MX"/>
        </w:rPr>
        <w:t>Jennifer Prieto</w:t>
      </w:r>
    </w:p>
    <w:p w14:paraId="3AEE8F82" w14:textId="77777777" w:rsidR="00840DEA" w:rsidRPr="00B11281" w:rsidRDefault="00840DEA" w:rsidP="00840DEA">
      <w:pPr>
        <w:spacing w:after="0" w:line="240" w:lineRule="auto"/>
        <w:rPr>
          <w:rFonts w:ascii="Verdana" w:hAnsi="Verdana"/>
        </w:rPr>
      </w:pPr>
      <w:hyperlink r:id="rId12" w:history="1">
        <w:r w:rsidRPr="00C74376">
          <w:rPr>
            <w:rStyle w:val="Hipervnculo"/>
            <w:rFonts w:ascii="Verdana" w:hAnsi="Verdana"/>
          </w:rPr>
          <w:t>jenifer.prieto@uptc.edu.co</w:t>
        </w:r>
      </w:hyperlink>
      <w:r>
        <w:rPr>
          <w:rFonts w:ascii="Verdana" w:hAnsi="Verdana"/>
        </w:rPr>
        <w:t xml:space="preserve"> </w:t>
      </w:r>
    </w:p>
    <w:p w14:paraId="6D045241" w14:textId="77777777" w:rsidR="00840DEA" w:rsidRPr="00B11281" w:rsidRDefault="00840DEA" w:rsidP="00840DEA">
      <w:pPr>
        <w:spacing w:after="0" w:line="240" w:lineRule="auto"/>
        <w:rPr>
          <w:rFonts w:ascii="Verdana" w:eastAsia="Calibri" w:hAnsi="Verdana" w:cs="Times New Roman"/>
        </w:rPr>
      </w:pPr>
      <w:r w:rsidRPr="00B11281">
        <w:rPr>
          <w:rFonts w:ascii="Verdana" w:eastAsia="Calibri" w:hAnsi="Verdana" w:cs="Times New Roman"/>
        </w:rPr>
        <w:t>Bogotá D.C.</w:t>
      </w:r>
    </w:p>
    <w:p w14:paraId="59D47442" w14:textId="77777777" w:rsidR="00840DEA" w:rsidRPr="00B57A1B" w:rsidRDefault="00840DEA" w:rsidP="00840DEA">
      <w:pPr>
        <w:spacing w:after="0" w:line="240" w:lineRule="auto"/>
        <w:rPr>
          <w:rFonts w:ascii="Verdana" w:eastAsia="Calibri" w:hAnsi="Verdana" w:cs="Times New Roman"/>
        </w:rPr>
      </w:pPr>
    </w:p>
    <w:p w14:paraId="467CF080" w14:textId="77777777" w:rsidR="00840DEA" w:rsidRPr="00B57A1B" w:rsidRDefault="00840DEA" w:rsidP="00840DEA">
      <w:pPr>
        <w:spacing w:after="0" w:line="240" w:lineRule="auto"/>
        <w:rPr>
          <w:rFonts w:ascii="Verdana" w:eastAsia="Calibri" w:hAnsi="Verdana" w:cs="Times New Roman"/>
        </w:rPr>
      </w:pPr>
    </w:p>
    <w:p w14:paraId="42234740" w14:textId="77777777" w:rsidR="00840DEA" w:rsidRPr="00B57A1B" w:rsidRDefault="00840DEA" w:rsidP="00840DEA">
      <w:pPr>
        <w:spacing w:after="0" w:line="256" w:lineRule="auto"/>
        <w:rPr>
          <w:rFonts w:ascii="Verdana" w:eastAsia="Calibri" w:hAnsi="Verdana" w:cs="Times New Roman"/>
          <w:b/>
          <w:bCs/>
          <w:lang w:val="es-ES"/>
        </w:rPr>
      </w:pPr>
      <w:r w:rsidRPr="00B57A1B">
        <w:rPr>
          <w:rFonts w:ascii="Verdana" w:eastAsia="Calibri" w:hAnsi="Verdana" w:cs="Times New Roman"/>
          <w:b/>
          <w:bCs/>
          <w:lang w:val="es-ES"/>
        </w:rPr>
        <w:t xml:space="preserve">                   </w:t>
      </w:r>
      <w:r>
        <w:rPr>
          <w:rFonts w:ascii="Verdana" w:eastAsia="Calibri" w:hAnsi="Verdana" w:cs="Times New Roman"/>
          <w:b/>
          <w:bCs/>
          <w:lang w:val="es-ES"/>
        </w:rPr>
        <w:t xml:space="preserve">                 Concepto C–781 de 2026</w:t>
      </w:r>
    </w:p>
    <w:p w14:paraId="5E71398A" w14:textId="77777777" w:rsidR="00840DEA" w:rsidRPr="00B57A1B" w:rsidRDefault="00840DEA" w:rsidP="00840DEA">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840DEA" w:rsidRPr="00B57A1B" w14:paraId="18E6113E" w14:textId="77777777" w:rsidTr="00712508">
        <w:trPr>
          <w:trHeight w:val="645"/>
        </w:trPr>
        <w:tc>
          <w:tcPr>
            <w:tcW w:w="2685" w:type="dxa"/>
            <w:hideMark/>
          </w:tcPr>
          <w:p w14:paraId="38B9546D" w14:textId="77777777" w:rsidR="00840DEA" w:rsidRPr="00B57A1B" w:rsidRDefault="00840DEA" w:rsidP="00712508">
            <w:pPr>
              <w:spacing w:line="256" w:lineRule="auto"/>
              <w:rPr>
                <w:rFonts w:ascii="Verdana" w:hAnsi="Verdana"/>
                <w:b/>
                <w:bCs/>
                <w:lang w:val="es-ES_tradnl"/>
              </w:rPr>
            </w:pPr>
            <w:r w:rsidRPr="00B57A1B">
              <w:rPr>
                <w:rFonts w:ascii="Verdana" w:hAnsi="Verdana"/>
                <w:b/>
                <w:bCs/>
                <w:lang w:val="es-ES_tradnl"/>
              </w:rPr>
              <w:t xml:space="preserve">Temas:                   </w:t>
            </w:r>
          </w:p>
        </w:tc>
        <w:tc>
          <w:tcPr>
            <w:tcW w:w="6241" w:type="dxa"/>
            <w:hideMark/>
          </w:tcPr>
          <w:p w14:paraId="38E8A5A7" w14:textId="2D7B6238" w:rsidR="00840DEA" w:rsidRDefault="00840DEA" w:rsidP="00712508">
            <w:pPr>
              <w:spacing w:line="276" w:lineRule="auto"/>
              <w:jc w:val="both"/>
              <w:rPr>
                <w:rFonts w:ascii="Verdana" w:hAnsi="Verdana" w:cs="Arial"/>
                <w:b/>
                <w:bCs/>
                <w:lang w:val="es-ES" w:eastAsia="es-ES"/>
              </w:rPr>
            </w:pPr>
            <w:r w:rsidRPr="00585AD3">
              <w:rPr>
                <w:rFonts w:ascii="Verdana" w:hAnsi="Verdana" w:cs="Arial"/>
                <w:lang w:val="es-ES_tradnl" w:eastAsia="es-ES"/>
              </w:rPr>
              <w:t xml:space="preserve">PLANEACIÓN – Gerencia Pública / PLANEACIÓN – Estudios Previos / FIESTAS Y FERIAS – Estructuración –/ FIESTAS Y FERIAS – </w:t>
            </w:r>
            <w:r w:rsidRPr="00585AD3">
              <w:rPr>
                <w:rFonts w:ascii="Verdana" w:hAnsi="Verdana" w:cs="Arial"/>
                <w:lang w:val="es-ES" w:eastAsia="es-ES"/>
              </w:rPr>
              <w:t xml:space="preserve">OPERACIÓN LOGÍSTICA ‒ Contrato atípico mixto ‒ Actividades -Modalidades de Selección / FIESTAS O FERIAS – Contratos con Entidades sin ánimo de lucro- Convenios de Colaboración – Convenios de Asociación / FIESTAS O FERIAS – Contratos de prestación de servicios / CONTRATO DE PRESTACIÓN DE SERVICIOS – Concepto / CONTRATO DE PRESTACIÓN DE SERVICIOS – Características /  </w:t>
            </w:r>
            <w:r w:rsidRPr="00585AD3">
              <w:rPr>
                <w:rFonts w:ascii="Verdana" w:hAnsi="Verdana" w:cs="Arial"/>
                <w:lang w:val="es-ES_tradnl" w:eastAsia="es-ES"/>
              </w:rPr>
              <w:t>TRABAJOS ARTÍSTICOS – Definición – Ejecución de trabajos artísticos</w:t>
            </w:r>
            <w:r>
              <w:rPr>
                <w:rFonts w:ascii="Verdana" w:hAnsi="Verdana" w:cs="Arial"/>
                <w:lang w:val="es-ES_tradnl" w:eastAsia="es-ES"/>
              </w:rPr>
              <w:t xml:space="preserve"> / CONTRATOS DE PRESTACIÓN DE SERVICIOS – Gestores Culturales – Intervinientes / </w:t>
            </w:r>
            <w:r w:rsidRPr="00B33644">
              <w:rPr>
                <w:rFonts w:ascii="Verdana" w:hAnsi="Verdana" w:cs="Arial"/>
                <w:bCs/>
                <w:lang w:val="es-ES" w:eastAsia="es-ES"/>
              </w:rPr>
              <w:t xml:space="preserve">CONTRATO ESTATAL – Ejercicio – Funciones de control y vigilancia / CONTRATO ESTATAL – Supervisión – Interventoría – </w:t>
            </w:r>
            <w:r w:rsidR="006C456A">
              <w:rPr>
                <w:rFonts w:ascii="Verdana" w:hAnsi="Verdana" w:cs="Arial"/>
                <w:bCs/>
                <w:lang w:val="es-ES" w:eastAsia="es-ES"/>
              </w:rPr>
              <w:t>C</w:t>
            </w:r>
            <w:r w:rsidRPr="00B33644">
              <w:rPr>
                <w:rFonts w:ascii="Verdana" w:hAnsi="Verdana" w:cs="Arial"/>
                <w:bCs/>
                <w:lang w:val="es-ES" w:eastAsia="es-ES"/>
              </w:rPr>
              <w:t>aracterísticas</w:t>
            </w:r>
            <w:r>
              <w:rPr>
                <w:rFonts w:ascii="Verdana" w:hAnsi="Verdana" w:cs="Arial"/>
                <w:bCs/>
                <w:lang w:val="es-ES" w:eastAsia="es-ES"/>
              </w:rPr>
              <w:t xml:space="preserve"> </w:t>
            </w:r>
          </w:p>
          <w:p w14:paraId="5027B928" w14:textId="77777777" w:rsidR="00840DEA" w:rsidRPr="00C74C2D" w:rsidRDefault="00840DEA" w:rsidP="00712508">
            <w:pPr>
              <w:spacing w:line="276" w:lineRule="auto"/>
              <w:jc w:val="both"/>
              <w:rPr>
                <w:rFonts w:ascii="Verdana" w:hAnsi="Verdana" w:cs="Arial"/>
                <w:b/>
                <w:lang w:val="es-ES" w:eastAsia="es-ES"/>
              </w:rPr>
            </w:pPr>
          </w:p>
          <w:p w14:paraId="1EF703EF" w14:textId="77777777" w:rsidR="00840DEA" w:rsidRPr="00441434" w:rsidRDefault="00840DEA" w:rsidP="00712508">
            <w:pPr>
              <w:spacing w:line="276" w:lineRule="auto"/>
              <w:jc w:val="both"/>
              <w:rPr>
                <w:rFonts w:ascii="Verdana" w:hAnsi="Verdana" w:cs="Arial"/>
                <w:lang w:eastAsia="es-ES"/>
              </w:rPr>
            </w:pPr>
          </w:p>
        </w:tc>
        <w:tc>
          <w:tcPr>
            <w:tcW w:w="6237" w:type="dxa"/>
          </w:tcPr>
          <w:p w14:paraId="055E977C" w14:textId="77777777" w:rsidR="00840DEA" w:rsidRPr="00B57A1B" w:rsidRDefault="00840DEA" w:rsidP="00712508">
            <w:pPr>
              <w:spacing w:line="256" w:lineRule="auto"/>
              <w:rPr>
                <w:rFonts w:ascii="Verdana" w:hAnsi="Verdana"/>
              </w:rPr>
            </w:pPr>
          </w:p>
        </w:tc>
      </w:tr>
      <w:tr w:rsidR="00840DEA" w:rsidRPr="00B57A1B" w14:paraId="04003ACC" w14:textId="77777777" w:rsidTr="00712508">
        <w:tc>
          <w:tcPr>
            <w:tcW w:w="2685" w:type="dxa"/>
          </w:tcPr>
          <w:p w14:paraId="4D303CE8" w14:textId="77777777" w:rsidR="00840DEA" w:rsidRPr="00B57A1B" w:rsidRDefault="00840DEA" w:rsidP="00712508">
            <w:pPr>
              <w:spacing w:line="256" w:lineRule="auto"/>
              <w:rPr>
                <w:rFonts w:ascii="Verdana" w:hAnsi="Verdana"/>
                <w:b/>
                <w:bCs/>
                <w:lang w:val="es-ES_tradnl"/>
              </w:rPr>
            </w:pPr>
            <w:r w:rsidRPr="00B57A1B">
              <w:rPr>
                <w:rFonts w:ascii="Verdana" w:hAnsi="Verdana"/>
                <w:b/>
                <w:bCs/>
                <w:lang w:val="es-ES_tradnl"/>
              </w:rPr>
              <w:t xml:space="preserve">Radicación:               </w:t>
            </w:r>
          </w:p>
        </w:tc>
        <w:tc>
          <w:tcPr>
            <w:tcW w:w="6241" w:type="dxa"/>
          </w:tcPr>
          <w:p w14:paraId="4E9D71C3" w14:textId="77777777" w:rsidR="00840DEA" w:rsidRPr="002F4390" w:rsidRDefault="00840DEA" w:rsidP="00712508">
            <w:pPr>
              <w:spacing w:line="257" w:lineRule="auto"/>
              <w:jc w:val="both"/>
              <w:rPr>
                <w:rFonts w:ascii="Verdana" w:hAnsi="Verdana"/>
                <w:lang w:val="es-ES_tradnl"/>
              </w:rPr>
            </w:pPr>
            <w:r w:rsidRPr="00B57A1B">
              <w:rPr>
                <w:rFonts w:ascii="Verdana" w:hAnsi="Verdana"/>
                <w:lang w:val="es-ES_tradnl"/>
              </w:rPr>
              <w:t>Respuesta a consulta con radicado</w:t>
            </w:r>
            <w:r>
              <w:rPr>
                <w:rFonts w:ascii="Verdana" w:hAnsi="Verdana"/>
                <w:lang w:val="es-ES_tradnl"/>
              </w:rPr>
              <w:t>s</w:t>
            </w:r>
            <w:r w:rsidRPr="00B57A1B">
              <w:rPr>
                <w:rFonts w:ascii="Verdana" w:hAnsi="Verdana"/>
                <w:lang w:val="es-ES_tradnl"/>
              </w:rPr>
              <w:t xml:space="preserve"> No. </w:t>
            </w:r>
            <w:r w:rsidRPr="003B1377">
              <w:rPr>
                <w:rFonts w:ascii="Verdana" w:hAnsi="Verdana"/>
              </w:rPr>
              <w:t>1_2026_05_08_006319</w:t>
            </w:r>
            <w:r>
              <w:rPr>
                <w:rFonts w:ascii="Verdana" w:hAnsi="Verdana"/>
              </w:rPr>
              <w:t xml:space="preserve"> y </w:t>
            </w:r>
            <w:r w:rsidRPr="00D65500">
              <w:rPr>
                <w:rFonts w:ascii="Verdana" w:hAnsi="Verdana"/>
              </w:rPr>
              <w:t>1_2026_05_08_006305</w:t>
            </w:r>
            <w:r>
              <w:rPr>
                <w:rFonts w:ascii="Verdana" w:hAnsi="Verdana"/>
              </w:rPr>
              <w:t xml:space="preserve"> (acumulado)</w:t>
            </w:r>
          </w:p>
          <w:p w14:paraId="09222BBF" w14:textId="77777777" w:rsidR="00840DEA" w:rsidRPr="00B57A1B" w:rsidRDefault="00840DEA" w:rsidP="00712508">
            <w:pPr>
              <w:spacing w:line="257" w:lineRule="auto"/>
              <w:jc w:val="both"/>
              <w:rPr>
                <w:rFonts w:ascii="Verdana" w:hAnsi="Verdana"/>
              </w:rPr>
            </w:pPr>
          </w:p>
          <w:p w14:paraId="7EF4F30F" w14:textId="77777777" w:rsidR="00840DEA" w:rsidRPr="00B57A1B" w:rsidRDefault="00840DEA" w:rsidP="00712508">
            <w:pPr>
              <w:spacing w:line="257" w:lineRule="auto"/>
              <w:jc w:val="both"/>
              <w:rPr>
                <w:rFonts w:ascii="Verdana" w:hAnsi="Verdana"/>
              </w:rPr>
            </w:pPr>
          </w:p>
        </w:tc>
        <w:tc>
          <w:tcPr>
            <w:tcW w:w="6237" w:type="dxa"/>
          </w:tcPr>
          <w:p w14:paraId="161D7AE4" w14:textId="77777777" w:rsidR="00840DEA" w:rsidRPr="00B57A1B" w:rsidRDefault="00840DEA" w:rsidP="00712508">
            <w:pPr>
              <w:spacing w:line="256" w:lineRule="auto"/>
              <w:rPr>
                <w:rFonts w:ascii="Verdana" w:hAnsi="Verdana"/>
                <w:lang w:val="es-ES_tradnl"/>
              </w:rPr>
            </w:pPr>
          </w:p>
        </w:tc>
      </w:tr>
    </w:tbl>
    <w:p w14:paraId="17DC5FE8" w14:textId="77777777" w:rsidR="00840DEA" w:rsidRPr="00B57A1B" w:rsidRDefault="00840DEA" w:rsidP="00840DEA">
      <w:pPr>
        <w:spacing w:after="0" w:line="256" w:lineRule="auto"/>
        <w:rPr>
          <w:rFonts w:ascii="Verdana" w:eastAsia="Calibri" w:hAnsi="Verdana" w:cs="Times New Roman"/>
          <w:lang w:val="es-ES"/>
        </w:rPr>
      </w:pPr>
      <w:r w:rsidRPr="00B57A1B">
        <w:rPr>
          <w:rFonts w:ascii="Verdana" w:eastAsia="Calibri" w:hAnsi="Verdana" w:cs="Times New Roman"/>
          <w:lang w:val="es-ES"/>
        </w:rPr>
        <w:t>Estimad</w:t>
      </w:r>
      <w:r>
        <w:rPr>
          <w:rFonts w:ascii="Verdana" w:eastAsia="Calibri" w:hAnsi="Verdana" w:cs="Times New Roman"/>
          <w:lang w:val="es-ES"/>
        </w:rPr>
        <w:t>a Señora Prieto</w:t>
      </w:r>
      <w:r w:rsidRPr="00B57A1B">
        <w:rPr>
          <w:rFonts w:ascii="Verdana" w:eastAsia="Calibri" w:hAnsi="Verdana" w:cs="Times New Roman"/>
          <w:lang w:val="es-ES"/>
        </w:rPr>
        <w:t xml:space="preserve">: </w:t>
      </w:r>
    </w:p>
    <w:p w14:paraId="7C57F8CE" w14:textId="77777777" w:rsidR="00840DEA" w:rsidRPr="00B57A1B" w:rsidRDefault="00840DEA" w:rsidP="00840DEA">
      <w:pPr>
        <w:spacing w:after="0" w:line="256" w:lineRule="auto"/>
        <w:rPr>
          <w:rFonts w:ascii="Verdana" w:eastAsia="Calibri" w:hAnsi="Verdana" w:cs="Times New Roman"/>
          <w:lang w:val="es-ES"/>
        </w:rPr>
      </w:pPr>
    </w:p>
    <w:p w14:paraId="55F0F983" w14:textId="77777777" w:rsidR="00840DEA" w:rsidRDefault="00840DEA" w:rsidP="00840DEA">
      <w:pPr>
        <w:spacing w:after="0" w:line="276" w:lineRule="auto"/>
        <w:jc w:val="both"/>
        <w:rPr>
          <w:rFonts w:ascii="Verdana" w:eastAsia="Calibri" w:hAnsi="Verdana" w:cs="Times New Roman"/>
          <w:bCs/>
          <w:lang w:val="es-ES" w:bidi="es-ES"/>
        </w:rPr>
      </w:pPr>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B57A1B">
        <w:rPr>
          <w:rFonts w:ascii="Verdana" w:eastAsia="Calibri" w:hAnsi="Verdana" w:cs="Times New Roman"/>
          <w:bCs/>
          <w:lang w:val="es-ES" w:bidi="es-ES"/>
        </w:rPr>
        <w:t xml:space="preserve">la Agencia Nacional de </w:t>
      </w:r>
      <w:r w:rsidRPr="00B57A1B">
        <w:rPr>
          <w:rFonts w:ascii="Verdana" w:eastAsia="Calibri" w:hAnsi="Verdana" w:cs="Times New Roman"/>
          <w:bCs/>
          <w:lang w:val="es-ES" w:bidi="es-ES"/>
        </w:rPr>
        <w:lastRenderedPageBreak/>
        <w:t>Contratación Pública – Colombia Compra Eficien</w:t>
      </w:r>
      <w:r>
        <w:rPr>
          <w:rFonts w:ascii="Verdana" w:eastAsia="Calibri" w:hAnsi="Verdana" w:cs="Times New Roman"/>
          <w:bCs/>
          <w:lang w:val="es-ES" w:bidi="es-ES"/>
        </w:rPr>
        <w:t>te– responde la solicitud de consulta que fue remitida parcialmente por competencia el 8 de mayo de 2026</w:t>
      </w:r>
      <w:r w:rsidRPr="00B57A1B">
        <w:rPr>
          <w:rFonts w:ascii="Verdana" w:eastAsia="Calibri" w:hAnsi="Verdana" w:cs="Times New Roman"/>
          <w:bCs/>
          <w:lang w:val="es-ES" w:bidi="es-ES"/>
        </w:rPr>
        <w:t xml:space="preserve">, en la cual manifiesta: </w:t>
      </w:r>
    </w:p>
    <w:p w14:paraId="18A0E80A" w14:textId="77777777" w:rsidR="00840DEA" w:rsidRPr="0076175D" w:rsidRDefault="00840DEA" w:rsidP="00840DEA">
      <w:pPr>
        <w:spacing w:after="0" w:line="240" w:lineRule="auto"/>
        <w:ind w:right="709"/>
        <w:jc w:val="both"/>
        <w:rPr>
          <w:rFonts w:ascii="Verdana" w:eastAsia="Calibri" w:hAnsi="Verdana" w:cs="Times New Roman"/>
          <w:bCs/>
          <w:sz w:val="20"/>
          <w:szCs w:val="20"/>
          <w:lang w:bidi="es-ES"/>
        </w:rPr>
      </w:pPr>
    </w:p>
    <w:p w14:paraId="6FF28C1D" w14:textId="77777777" w:rsidR="00840DEA" w:rsidRPr="001D17BD" w:rsidRDefault="00840DEA" w:rsidP="00840DEA">
      <w:pPr>
        <w:spacing w:after="0" w:line="240" w:lineRule="auto"/>
        <w:ind w:left="720"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1D17BD">
        <w:rPr>
          <w:rFonts w:ascii="Verdana" w:eastAsia="Calibri" w:hAnsi="Verdana" w:cs="Times New Roman"/>
          <w:b/>
          <w:bCs/>
          <w:sz w:val="20"/>
          <w:szCs w:val="20"/>
          <w:lang w:bidi="es-ES"/>
        </w:rPr>
        <w:t xml:space="preserve">PRIMERA: </w:t>
      </w:r>
      <w:r w:rsidRPr="001D17BD">
        <w:rPr>
          <w:rFonts w:ascii="Verdana" w:eastAsia="Calibri" w:hAnsi="Verdana" w:cs="Times New Roman"/>
          <w:bCs/>
          <w:sz w:val="20"/>
          <w:szCs w:val="20"/>
          <w:lang w:bidi="es-ES"/>
        </w:rPr>
        <w:t xml:space="preserve">Proporcionar los insumos, documentos, estudios, lineamientos y referencias que hayan sido elaborados, adoptados o conocidos por esa entidad en relación con el desarrollo de las etapas contractuales asociadas a la organización de ferias, fiestas y, en general, de todo tipo de eventos y espectáculos públicos por parte de las entidades territoriales (municipios, distritos y departamentos). En particular, se solicita información sobre: a. las etapas de estructuración y oferta contractual a artistas, gestores culturales y demás intervinientes; </w:t>
      </w:r>
    </w:p>
    <w:p w14:paraId="46F6357D" w14:textId="77777777" w:rsidR="00840DEA" w:rsidRPr="001D17BD" w:rsidRDefault="00840DEA" w:rsidP="00840DEA">
      <w:pPr>
        <w:spacing w:after="0" w:line="240" w:lineRule="auto"/>
        <w:ind w:left="720" w:right="709"/>
        <w:jc w:val="both"/>
        <w:rPr>
          <w:rFonts w:ascii="Verdana" w:eastAsia="Calibri" w:hAnsi="Verdana" w:cs="Times New Roman"/>
          <w:bCs/>
          <w:sz w:val="20"/>
          <w:szCs w:val="20"/>
          <w:lang w:bidi="es-ES"/>
        </w:rPr>
      </w:pPr>
      <w:r w:rsidRPr="001D17BD">
        <w:rPr>
          <w:rFonts w:ascii="Verdana" w:eastAsia="Calibri" w:hAnsi="Verdana" w:cs="Times New Roman"/>
          <w:bCs/>
          <w:sz w:val="20"/>
          <w:szCs w:val="20"/>
          <w:lang w:bidi="es-ES"/>
        </w:rPr>
        <w:t xml:space="preserve">b. las modalidades de contratación empleadas; </w:t>
      </w:r>
    </w:p>
    <w:p w14:paraId="6E6EC71C" w14:textId="77777777" w:rsidR="00840DEA" w:rsidRPr="001D17BD" w:rsidRDefault="00840DEA" w:rsidP="00840DEA">
      <w:pPr>
        <w:spacing w:after="0" w:line="240" w:lineRule="auto"/>
        <w:ind w:left="720" w:right="709"/>
        <w:jc w:val="both"/>
        <w:rPr>
          <w:rFonts w:ascii="Verdana" w:eastAsia="Calibri" w:hAnsi="Verdana" w:cs="Times New Roman"/>
          <w:bCs/>
          <w:sz w:val="20"/>
          <w:szCs w:val="20"/>
          <w:lang w:bidi="es-ES"/>
        </w:rPr>
      </w:pPr>
      <w:r w:rsidRPr="001D17BD">
        <w:rPr>
          <w:rFonts w:ascii="Verdana" w:eastAsia="Calibri" w:hAnsi="Verdana" w:cs="Times New Roman"/>
          <w:bCs/>
          <w:sz w:val="20"/>
          <w:szCs w:val="20"/>
          <w:lang w:bidi="es-ES"/>
        </w:rPr>
        <w:t xml:space="preserve">c. las fases de ejecución y supervisión de los contratos; y </w:t>
      </w:r>
    </w:p>
    <w:p w14:paraId="2AD9810C" w14:textId="77777777" w:rsidR="00840DEA" w:rsidRDefault="00840DEA" w:rsidP="00840DEA">
      <w:pPr>
        <w:spacing w:after="0" w:line="240" w:lineRule="auto"/>
        <w:ind w:left="720" w:right="709"/>
        <w:jc w:val="both"/>
        <w:rPr>
          <w:rFonts w:ascii="Verdana" w:eastAsia="Calibri" w:hAnsi="Verdana" w:cs="Times New Roman"/>
          <w:bCs/>
          <w:sz w:val="20"/>
          <w:szCs w:val="20"/>
          <w:lang w:bidi="es-ES"/>
        </w:rPr>
      </w:pPr>
      <w:r w:rsidRPr="001D17BD">
        <w:rPr>
          <w:rFonts w:ascii="Verdana" w:eastAsia="Calibri" w:hAnsi="Verdana" w:cs="Times New Roman"/>
          <w:bCs/>
          <w:sz w:val="20"/>
          <w:szCs w:val="20"/>
          <w:lang w:bidi="es-ES"/>
        </w:rPr>
        <w:t xml:space="preserve">d. el marco jurídico aplicable, incluyendo jurisprudencia, leyes, decretos, resoluciones, conceptos y demás instrumentos normativos o doctrinales que permitan delimitar el alcance de dichas actividades. </w:t>
      </w:r>
    </w:p>
    <w:p w14:paraId="75387735" w14:textId="77777777" w:rsidR="00840DEA" w:rsidRPr="003829C1" w:rsidRDefault="00840DEA" w:rsidP="00840DEA">
      <w:pPr>
        <w:spacing w:after="0" w:line="240" w:lineRule="auto"/>
        <w:ind w:left="720" w:right="709"/>
        <w:jc w:val="both"/>
        <w:rPr>
          <w:rFonts w:ascii="Verdana" w:eastAsia="Calibri" w:hAnsi="Verdana" w:cs="Times New Roman"/>
          <w:bCs/>
          <w:sz w:val="20"/>
          <w:szCs w:val="20"/>
          <w:lang w:bidi="es-ES"/>
        </w:rPr>
      </w:pPr>
      <w:r w:rsidRPr="00F62A93">
        <w:rPr>
          <w:rFonts w:ascii="Verdana" w:eastAsia="Calibri" w:hAnsi="Verdana" w:cs="Times New Roman"/>
          <w:b/>
          <w:sz w:val="20"/>
          <w:szCs w:val="20"/>
          <w:lang w:bidi="es-ES"/>
        </w:rPr>
        <w:t>4. CUARTA.</w:t>
      </w:r>
      <w:r w:rsidRPr="003829C1">
        <w:rPr>
          <w:rFonts w:ascii="Verdana" w:eastAsia="Calibri" w:hAnsi="Verdana" w:cs="Times New Roman"/>
          <w:b/>
          <w:bCs/>
          <w:sz w:val="20"/>
          <w:szCs w:val="20"/>
          <w:lang w:bidi="es-ES"/>
        </w:rPr>
        <w:t xml:space="preserve"> </w:t>
      </w:r>
      <w:r w:rsidRPr="003829C1">
        <w:rPr>
          <w:rFonts w:ascii="Verdana" w:eastAsia="Calibri" w:hAnsi="Verdana" w:cs="Times New Roman"/>
          <w:bCs/>
          <w:sz w:val="20"/>
          <w:szCs w:val="20"/>
          <w:lang w:bidi="es-ES"/>
        </w:rPr>
        <w:t>De conformidad con el marco normativo vigente, precisar lo relativo a: (i) la destinación presupuestal para la realización de ferias, fiestas y eventos o espectáculos públicos; (</w:t>
      </w:r>
      <w:proofErr w:type="spellStart"/>
      <w:r w:rsidRPr="003829C1">
        <w:rPr>
          <w:rFonts w:ascii="Verdana" w:eastAsia="Calibri" w:hAnsi="Verdana" w:cs="Times New Roman"/>
          <w:bCs/>
          <w:sz w:val="20"/>
          <w:szCs w:val="20"/>
          <w:lang w:bidi="es-ES"/>
        </w:rPr>
        <w:t>ii</w:t>
      </w:r>
      <w:proofErr w:type="spellEnd"/>
      <w:r w:rsidRPr="003829C1">
        <w:rPr>
          <w:rFonts w:ascii="Verdana" w:eastAsia="Calibri" w:hAnsi="Verdana" w:cs="Times New Roman"/>
          <w:bCs/>
          <w:sz w:val="20"/>
          <w:szCs w:val="20"/>
          <w:lang w:bidi="es-ES"/>
        </w:rPr>
        <w:t>) las fuentes o líneas de financiación aplicables; (</w:t>
      </w:r>
      <w:proofErr w:type="spellStart"/>
      <w:r w:rsidRPr="003829C1">
        <w:rPr>
          <w:rFonts w:ascii="Verdana" w:eastAsia="Calibri" w:hAnsi="Verdana" w:cs="Times New Roman"/>
          <w:bCs/>
          <w:sz w:val="20"/>
          <w:szCs w:val="20"/>
          <w:lang w:bidi="es-ES"/>
        </w:rPr>
        <w:t>iii</w:t>
      </w:r>
      <w:proofErr w:type="spellEnd"/>
      <w:r w:rsidRPr="003829C1">
        <w:rPr>
          <w:rFonts w:ascii="Verdana" w:eastAsia="Calibri" w:hAnsi="Verdana" w:cs="Times New Roman"/>
          <w:bCs/>
          <w:sz w:val="20"/>
          <w:szCs w:val="20"/>
          <w:lang w:bidi="es-ES"/>
        </w:rPr>
        <w:t>) su previsión dentro del presupuesto anual de las entidades territoriales; y (</w:t>
      </w:r>
      <w:proofErr w:type="spellStart"/>
      <w:r w:rsidRPr="003829C1">
        <w:rPr>
          <w:rFonts w:ascii="Verdana" w:eastAsia="Calibri" w:hAnsi="Verdana" w:cs="Times New Roman"/>
          <w:bCs/>
          <w:sz w:val="20"/>
          <w:szCs w:val="20"/>
          <w:lang w:bidi="es-ES"/>
        </w:rPr>
        <w:t>iv</w:t>
      </w:r>
      <w:proofErr w:type="spellEnd"/>
      <w:r w:rsidRPr="003829C1">
        <w:rPr>
          <w:rFonts w:ascii="Verdana" w:eastAsia="Calibri" w:hAnsi="Verdana" w:cs="Times New Roman"/>
          <w:bCs/>
          <w:sz w:val="20"/>
          <w:szCs w:val="20"/>
          <w:lang w:bidi="es-ES"/>
        </w:rPr>
        <w:t xml:space="preserve">) las limitaciones y facultades legales para la asignación de recursos públicos destinados a este tipo de actividades. </w:t>
      </w:r>
    </w:p>
    <w:p w14:paraId="124221E5" w14:textId="77777777" w:rsidR="00840DEA" w:rsidRPr="002F4390" w:rsidRDefault="00840DEA" w:rsidP="00840DEA">
      <w:pPr>
        <w:spacing w:after="0" w:line="240" w:lineRule="auto"/>
        <w:ind w:left="720" w:right="709"/>
        <w:jc w:val="both"/>
        <w:rPr>
          <w:rFonts w:ascii="Verdana" w:eastAsia="Calibri" w:hAnsi="Verdana" w:cs="Times New Roman"/>
          <w:bCs/>
          <w:sz w:val="20"/>
          <w:szCs w:val="20"/>
          <w:lang w:bidi="es-ES"/>
        </w:rPr>
      </w:pPr>
      <w:r w:rsidRPr="00F62A93">
        <w:rPr>
          <w:rFonts w:ascii="Verdana" w:eastAsia="Calibri" w:hAnsi="Verdana" w:cs="Times New Roman"/>
          <w:b/>
          <w:sz w:val="20"/>
          <w:szCs w:val="20"/>
          <w:lang w:bidi="es-ES"/>
        </w:rPr>
        <w:t>5. QUINTA:</w:t>
      </w:r>
      <w:r w:rsidRPr="003829C1">
        <w:rPr>
          <w:rFonts w:ascii="Verdana" w:eastAsia="Calibri" w:hAnsi="Verdana" w:cs="Times New Roman"/>
          <w:b/>
          <w:bCs/>
          <w:sz w:val="20"/>
          <w:szCs w:val="20"/>
          <w:lang w:bidi="es-ES"/>
        </w:rPr>
        <w:t xml:space="preserve"> </w:t>
      </w:r>
      <w:r w:rsidRPr="003829C1">
        <w:rPr>
          <w:rFonts w:ascii="Verdana" w:eastAsia="Calibri" w:hAnsi="Verdana" w:cs="Times New Roman"/>
          <w:bCs/>
          <w:sz w:val="20"/>
          <w:szCs w:val="20"/>
          <w:lang w:bidi="es-ES"/>
        </w:rPr>
        <w:t>Precisar los criterios jurídicos y técnicos que deben tener en cuenta las entidades territoriales para la selección de artistas, operadores logísticos, productores y demás contratistas, incluyendo las reglas sobre idoneidad, experiencia, exclusividad y representación artística</w:t>
      </w:r>
      <w:r>
        <w:rPr>
          <w:rFonts w:ascii="Verdana" w:eastAsia="Calibri" w:hAnsi="Verdana" w:cs="Times New Roman"/>
          <w:bCs/>
          <w:sz w:val="20"/>
          <w:szCs w:val="20"/>
          <w:lang w:bidi="es-ES"/>
        </w:rPr>
        <w:t xml:space="preserve">” (énfasis dentro del texto). </w:t>
      </w:r>
    </w:p>
    <w:p w14:paraId="0E1B0890" w14:textId="77777777" w:rsidR="00840DEA" w:rsidRPr="00812F2C" w:rsidRDefault="00840DEA" w:rsidP="00840DEA">
      <w:pPr>
        <w:spacing w:after="0" w:line="240" w:lineRule="auto"/>
        <w:ind w:left="709" w:right="709"/>
        <w:jc w:val="both"/>
        <w:rPr>
          <w:rFonts w:ascii="Verdana" w:eastAsia="Calibri" w:hAnsi="Verdana" w:cs="Times New Roman"/>
          <w:bCs/>
          <w:sz w:val="21"/>
          <w:szCs w:val="21"/>
          <w:lang w:bidi="es-ES"/>
        </w:rPr>
      </w:pPr>
    </w:p>
    <w:p w14:paraId="3E2442E5" w14:textId="77777777" w:rsidR="00840DEA" w:rsidRPr="00B57A1B" w:rsidRDefault="00840DEA" w:rsidP="00840DEA">
      <w:pPr>
        <w:spacing w:after="120" w:line="276" w:lineRule="auto"/>
        <w:ind w:firstLine="709"/>
        <w:jc w:val="both"/>
        <w:rPr>
          <w:rFonts w:ascii="Verdana" w:eastAsia="Calibri" w:hAnsi="Verdana" w:cs="Times New Roman"/>
          <w:lang w:val="es-ES"/>
        </w:rPr>
      </w:pPr>
      <w:r w:rsidRPr="00B57A1B">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w:t>
      </w:r>
      <w:r w:rsidRPr="00B57A1B">
        <w:rPr>
          <w:rFonts w:ascii="Verdana" w:eastAsia="Calibri" w:hAnsi="Verdana" w:cs="Times New Roman"/>
          <w:lang w:val="es-ES"/>
        </w:rPr>
        <w:lastRenderedPageBreak/>
        <w:t>determinar grados de responsabilidad por las actuaciones de los diferentes participes del sistema de compra pública.</w:t>
      </w:r>
    </w:p>
    <w:p w14:paraId="10272914" w14:textId="77777777" w:rsidR="00840DEA" w:rsidRPr="00B57A1B" w:rsidRDefault="00840DEA" w:rsidP="00840DEA">
      <w:pPr>
        <w:spacing w:after="0" w:line="276" w:lineRule="auto"/>
        <w:ind w:firstLine="708"/>
        <w:jc w:val="both"/>
        <w:rPr>
          <w:rFonts w:ascii="Verdana" w:eastAsia="Calibri" w:hAnsi="Verdana" w:cs="Times New Roman"/>
          <w:lang w:val="es-ES"/>
        </w:rPr>
      </w:pPr>
      <w:r w:rsidRPr="00B57A1B">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Pr>
          <w:rFonts w:ascii="Verdana" w:eastAsia="Calibri" w:hAnsi="Verdana" w:cs="Times New Roman"/>
          <w:lang w:val="es-ES"/>
        </w:rPr>
        <w:t xml:space="preserve"> el problema jurídico, objeto de su consulta. </w:t>
      </w:r>
    </w:p>
    <w:p w14:paraId="495FAE98" w14:textId="77777777" w:rsidR="00840DEA" w:rsidRPr="00B57A1B" w:rsidRDefault="00840DEA" w:rsidP="00840DEA">
      <w:pPr>
        <w:spacing w:after="0" w:line="256" w:lineRule="auto"/>
        <w:rPr>
          <w:rFonts w:ascii="Verdana" w:eastAsia="Calibri" w:hAnsi="Verdana" w:cs="Times New Roman"/>
          <w:lang w:val="es-ES"/>
        </w:rPr>
      </w:pPr>
    </w:p>
    <w:p w14:paraId="76B9DE3F" w14:textId="77777777" w:rsidR="00840DEA" w:rsidRPr="00B57A1B" w:rsidRDefault="00840DEA" w:rsidP="00840DEA">
      <w:pPr>
        <w:numPr>
          <w:ilvl w:val="0"/>
          <w:numId w:val="16"/>
        </w:numPr>
        <w:spacing w:after="0" w:line="256" w:lineRule="auto"/>
        <w:rPr>
          <w:rFonts w:ascii="Verdana" w:eastAsia="Calibri" w:hAnsi="Verdana" w:cs="Times New Roman"/>
          <w:b/>
          <w:bCs/>
          <w:lang w:val="es-ES"/>
        </w:rPr>
      </w:pPr>
      <w:r w:rsidRPr="00B57A1B">
        <w:rPr>
          <w:rFonts w:ascii="Verdana" w:eastAsia="Calibri" w:hAnsi="Verdana" w:cs="Times New Roman"/>
          <w:b/>
          <w:bCs/>
          <w:lang w:val="es-ES"/>
        </w:rPr>
        <w:t>Problema planteado:</w:t>
      </w:r>
    </w:p>
    <w:p w14:paraId="53901FB4" w14:textId="77777777" w:rsidR="00840DEA" w:rsidRPr="00B57A1B" w:rsidRDefault="00840DEA" w:rsidP="00840DEA">
      <w:pPr>
        <w:spacing w:after="0" w:line="256" w:lineRule="auto"/>
        <w:rPr>
          <w:rFonts w:ascii="Verdana" w:eastAsia="Calibri" w:hAnsi="Verdana" w:cs="Times New Roman"/>
        </w:rPr>
      </w:pPr>
    </w:p>
    <w:p w14:paraId="5B1D304E" w14:textId="77777777" w:rsidR="00840DEA" w:rsidRPr="00B06F82" w:rsidRDefault="00840DEA" w:rsidP="00840DEA">
      <w:pPr>
        <w:spacing w:after="0" w:line="276" w:lineRule="auto"/>
        <w:jc w:val="both"/>
        <w:rPr>
          <w:rFonts w:ascii="Verdana" w:eastAsia="Calibri" w:hAnsi="Verdana" w:cs="Times New Roman"/>
          <w:b/>
          <w:bCs/>
          <w:iCs/>
        </w:rPr>
      </w:pPr>
      <w:r w:rsidRPr="00B57A1B">
        <w:rPr>
          <w:rFonts w:ascii="Verdana" w:eastAsia="Calibri" w:hAnsi="Verdana" w:cs="Times New Roman"/>
        </w:rPr>
        <w:t xml:space="preserve">De acuerdo </w:t>
      </w:r>
      <w:r>
        <w:rPr>
          <w:rFonts w:ascii="Verdana" w:eastAsia="Calibri" w:hAnsi="Verdana" w:cs="Times New Roman"/>
        </w:rPr>
        <w:t>con el contenido de sus solicitudes</w:t>
      </w:r>
      <w:r w:rsidRPr="00B57A1B">
        <w:rPr>
          <w:rFonts w:ascii="Verdana" w:eastAsia="Calibri" w:hAnsi="Verdana" w:cs="Times New Roman"/>
        </w:rPr>
        <w:t>, es</w:t>
      </w:r>
      <w:r>
        <w:rPr>
          <w:rFonts w:ascii="Verdana" w:eastAsia="Calibri" w:hAnsi="Verdana" w:cs="Times New Roman"/>
        </w:rPr>
        <w:t>ta Agencia procede a resolver el siguiente problema jurídico:</w:t>
      </w:r>
      <w:r>
        <w:rPr>
          <w:rFonts w:ascii="Verdana" w:eastAsia="Calibri" w:hAnsi="Verdana" w:cs="Times New Roman"/>
          <w:iCs/>
          <w:lang w:val="es-ES"/>
        </w:rPr>
        <w:t xml:space="preserve"> </w:t>
      </w:r>
      <w:r w:rsidRPr="00526B8C">
        <w:rPr>
          <w:rFonts w:ascii="Verdana" w:eastAsia="Calibri" w:hAnsi="Verdana" w:cs="Times New Roman"/>
          <w:iCs/>
          <w:lang w:val="es-ES"/>
        </w:rPr>
        <w:t>¿Cu</w:t>
      </w:r>
      <w:proofErr w:type="spellStart"/>
      <w:r w:rsidRPr="00526B8C">
        <w:rPr>
          <w:rFonts w:ascii="Verdana" w:eastAsia="Calibri" w:hAnsi="Verdana" w:cs="Times New Roman"/>
          <w:iCs/>
        </w:rPr>
        <w:t>ál</w:t>
      </w:r>
      <w:proofErr w:type="spellEnd"/>
      <w:r w:rsidRPr="00526B8C">
        <w:rPr>
          <w:rFonts w:ascii="Verdana" w:eastAsia="Calibri" w:hAnsi="Verdana" w:cs="Times New Roman"/>
          <w:iCs/>
        </w:rPr>
        <w:t xml:space="preserve"> es el marco jurídico</w:t>
      </w:r>
      <w:r>
        <w:rPr>
          <w:rFonts w:ascii="Verdana" w:eastAsia="Calibri" w:hAnsi="Verdana" w:cs="Times New Roman"/>
          <w:iCs/>
        </w:rPr>
        <w:t xml:space="preserve"> contractual,</w:t>
      </w:r>
      <w:r w:rsidRPr="00526B8C">
        <w:rPr>
          <w:rFonts w:ascii="Verdana" w:eastAsia="Calibri" w:hAnsi="Verdana" w:cs="Times New Roman"/>
          <w:iCs/>
        </w:rPr>
        <w:t xml:space="preserve"> presupuestal </w:t>
      </w:r>
      <w:r>
        <w:rPr>
          <w:rFonts w:ascii="Verdana" w:eastAsia="Calibri" w:hAnsi="Verdana" w:cs="Times New Roman"/>
          <w:iCs/>
        </w:rPr>
        <w:t xml:space="preserve">y los criterios </w:t>
      </w:r>
      <w:r w:rsidRPr="00526B8C">
        <w:rPr>
          <w:rFonts w:ascii="Verdana" w:eastAsia="Calibri" w:hAnsi="Verdana" w:cs="Times New Roman"/>
          <w:iCs/>
        </w:rPr>
        <w:t>que deben observar las entidades para la estructuración, celebración, ejecución de los contratos asociados a la organización de ferias, fiestas</w:t>
      </w:r>
      <w:r>
        <w:rPr>
          <w:rFonts w:ascii="Verdana" w:eastAsia="Calibri" w:hAnsi="Verdana" w:cs="Times New Roman"/>
          <w:iCs/>
        </w:rPr>
        <w:t xml:space="preserve"> y eventos</w:t>
      </w:r>
      <w:r w:rsidRPr="00526B8C">
        <w:rPr>
          <w:rFonts w:ascii="Verdana" w:eastAsia="Calibri" w:hAnsi="Verdana" w:cs="Times New Roman"/>
          <w:iCs/>
        </w:rPr>
        <w:t>, incluyendo las modalidades de selección aplicables</w:t>
      </w:r>
      <w:r>
        <w:rPr>
          <w:rFonts w:ascii="Verdana" w:eastAsia="Calibri" w:hAnsi="Verdana" w:cs="Times New Roman"/>
          <w:iCs/>
        </w:rPr>
        <w:t xml:space="preserve"> frente </w:t>
      </w:r>
      <w:r w:rsidRPr="00064535">
        <w:rPr>
          <w:rFonts w:ascii="Verdana" w:eastAsia="Calibri" w:hAnsi="Verdana" w:cs="Times New Roman"/>
          <w:bCs/>
          <w:iCs/>
        </w:rPr>
        <w:t>a artistas, gestores culturales y demás intervinientes</w:t>
      </w:r>
      <w:r w:rsidRPr="00526B8C">
        <w:rPr>
          <w:rFonts w:ascii="Verdana" w:eastAsia="Calibri" w:hAnsi="Verdana" w:cs="Times New Roman"/>
          <w:iCs/>
        </w:rPr>
        <w:t>?</w:t>
      </w:r>
      <w:r w:rsidRPr="00362FC7">
        <w:rPr>
          <w:rFonts w:ascii="Verdana" w:eastAsia="Calibri" w:hAnsi="Verdana" w:cs="Times New Roman"/>
          <w:iCs/>
          <w:lang w:val="es-ES"/>
        </w:rPr>
        <w:t xml:space="preserve"> </w:t>
      </w:r>
    </w:p>
    <w:p w14:paraId="09D2FA1B" w14:textId="77777777" w:rsidR="00840DEA" w:rsidRPr="00B57A1B" w:rsidRDefault="00840DEA" w:rsidP="00840DEA">
      <w:pPr>
        <w:spacing w:after="0" w:line="240" w:lineRule="auto"/>
        <w:jc w:val="both"/>
        <w:rPr>
          <w:rFonts w:ascii="Verdana" w:eastAsia="Calibri" w:hAnsi="Verdana" w:cs="Times New Roman"/>
          <w:i/>
          <w:iCs/>
          <w:lang w:val="es-ES"/>
        </w:rPr>
      </w:pPr>
    </w:p>
    <w:p w14:paraId="7DD18225" w14:textId="77777777" w:rsidR="00840DEA" w:rsidRPr="00B57A1B" w:rsidRDefault="00840DEA" w:rsidP="00840DEA">
      <w:pPr>
        <w:numPr>
          <w:ilvl w:val="0"/>
          <w:numId w:val="16"/>
        </w:numPr>
        <w:spacing w:after="0" w:line="240" w:lineRule="auto"/>
        <w:rPr>
          <w:rFonts w:ascii="Verdana" w:eastAsia="Calibri" w:hAnsi="Verdana" w:cs="Times New Roman"/>
          <w:b/>
          <w:bCs/>
          <w:lang w:val="es-ES"/>
        </w:rPr>
      </w:pPr>
      <w:r w:rsidRPr="00B57A1B">
        <w:rPr>
          <w:rFonts w:ascii="Verdana" w:eastAsia="Calibri" w:hAnsi="Verdana" w:cs="Times New Roman"/>
          <w:b/>
          <w:bCs/>
          <w:lang w:val="es-ES"/>
        </w:rPr>
        <w:t>Respuesta:</w:t>
      </w:r>
    </w:p>
    <w:p w14:paraId="697AC950" w14:textId="77777777" w:rsidR="00840DEA" w:rsidRPr="00B57A1B" w:rsidRDefault="00840DEA" w:rsidP="00840DEA">
      <w:pPr>
        <w:spacing w:after="0" w:line="240"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840DEA" w:rsidRPr="00B57A1B" w14:paraId="24B1402A" w14:textId="77777777" w:rsidTr="00712508">
        <w:trPr>
          <w:trHeight w:val="345"/>
          <w:jc w:val="center"/>
        </w:trPr>
        <w:tc>
          <w:tcPr>
            <w:tcW w:w="8784" w:type="dxa"/>
            <w:tcBorders>
              <w:bottom w:val="single" w:sz="4" w:space="0" w:color="auto"/>
            </w:tcBorders>
          </w:tcPr>
          <w:p w14:paraId="2689F647" w14:textId="77777777" w:rsidR="00840DEA" w:rsidRPr="00584D6D" w:rsidRDefault="00840DEA" w:rsidP="00712508">
            <w:pPr>
              <w:spacing w:line="276" w:lineRule="auto"/>
              <w:jc w:val="both"/>
              <w:rPr>
                <w:rFonts w:ascii="Verdana" w:eastAsia="Aptos" w:hAnsi="Verdana" w:cs="Arial"/>
              </w:rPr>
            </w:pPr>
            <w:r>
              <w:rPr>
                <w:rFonts w:ascii="Verdana" w:eastAsia="Aptos" w:hAnsi="Verdana" w:cs="Arial"/>
              </w:rPr>
              <w:t>Conforme al problema jurídico de su consulta que condensa sus inquietudes, es pertinente señalar que l</w:t>
            </w:r>
            <w:r w:rsidRPr="00584D6D">
              <w:rPr>
                <w:rFonts w:ascii="Verdana" w:eastAsia="Aptos" w:hAnsi="Verdana" w:cs="Arial"/>
              </w:rPr>
              <w:t xml:space="preserve">a organización de ferias, fiestas, eventos y espectáculos públicos por parte de las entidades </w:t>
            </w:r>
            <w:r>
              <w:rPr>
                <w:rFonts w:ascii="Verdana" w:eastAsia="Aptos" w:hAnsi="Verdana" w:cs="Arial"/>
              </w:rPr>
              <w:t xml:space="preserve">estatales </w:t>
            </w:r>
            <w:r w:rsidRPr="00584D6D">
              <w:rPr>
                <w:rFonts w:ascii="Verdana" w:eastAsia="Aptos" w:hAnsi="Verdana" w:cs="Arial"/>
              </w:rPr>
              <w:t xml:space="preserve">se rige por un </w:t>
            </w:r>
            <w:r w:rsidRPr="003D394E">
              <w:rPr>
                <w:rFonts w:ascii="Verdana" w:eastAsia="Aptos" w:hAnsi="Verdana" w:cs="Arial"/>
              </w:rPr>
              <w:t>marco jurídico contractual y presupuestal que exige identificar con precisión el objeto del contrato,</w:t>
            </w:r>
            <w:r w:rsidRPr="00584D6D">
              <w:rPr>
                <w:rFonts w:ascii="Verdana" w:eastAsia="Aptos" w:hAnsi="Verdana" w:cs="Arial"/>
              </w:rPr>
              <w:t xml:space="preserve"> pues depende la modalidad de selección, la naturaleza del vínculo y las obligaciones de las partes. En términos generales, la contratación estatal debe observar los principios</w:t>
            </w:r>
            <w:r>
              <w:rPr>
                <w:rFonts w:ascii="Verdana" w:eastAsia="Aptos" w:hAnsi="Verdana" w:cs="Arial"/>
              </w:rPr>
              <w:t xml:space="preserve"> de economía y con ello de la</w:t>
            </w:r>
            <w:r w:rsidRPr="00584D6D">
              <w:rPr>
                <w:rFonts w:ascii="Verdana" w:eastAsia="Aptos" w:hAnsi="Verdana" w:cs="Arial"/>
              </w:rPr>
              <w:t xml:space="preserve"> planeación, responsabilidad y transparencia previstos en la Ley 80 de 1993 y la Ley 1150 de 2007,</w:t>
            </w:r>
            <w:r>
              <w:rPr>
                <w:rFonts w:ascii="Verdana" w:eastAsia="Aptos" w:hAnsi="Verdana" w:cs="Arial"/>
              </w:rPr>
              <w:t xml:space="preserve"> </w:t>
            </w:r>
            <w:r w:rsidRPr="00584D6D">
              <w:rPr>
                <w:rFonts w:ascii="Verdana" w:eastAsia="Aptos" w:hAnsi="Verdana" w:cs="Arial"/>
              </w:rPr>
              <w:t>así como las reglas presupuestales sobre disponibilidad</w:t>
            </w:r>
            <w:r>
              <w:rPr>
                <w:rFonts w:ascii="Verdana" w:eastAsia="Aptos" w:hAnsi="Verdana" w:cs="Arial"/>
              </w:rPr>
              <w:t xml:space="preserve"> de los recursos y el</w:t>
            </w:r>
            <w:r w:rsidRPr="00584D6D">
              <w:rPr>
                <w:rFonts w:ascii="Verdana" w:eastAsia="Aptos" w:hAnsi="Verdana" w:cs="Arial"/>
              </w:rPr>
              <w:t xml:space="preserve"> registro</w:t>
            </w:r>
            <w:r>
              <w:rPr>
                <w:rFonts w:ascii="Verdana" w:eastAsia="Aptos" w:hAnsi="Verdana" w:cs="Arial"/>
              </w:rPr>
              <w:t xml:space="preserve"> y el principio de</w:t>
            </w:r>
            <w:r w:rsidRPr="00584D6D">
              <w:rPr>
                <w:rFonts w:ascii="Verdana" w:eastAsia="Aptos" w:hAnsi="Verdana" w:cs="Arial"/>
              </w:rPr>
              <w:t xml:space="preserve"> anualidad del gasto. La estructuración contractual debe partir de un análisis técnico, jurídico y financiero que permita determinar si la entidad requiere servicios logísticos, artísticos, culturales o una combinación de ellos, pues cada categoría activa regímenes y procedimientos distintos.</w:t>
            </w:r>
          </w:p>
          <w:p w14:paraId="15B9D112" w14:textId="77777777" w:rsidR="00840DEA" w:rsidRPr="00D46805" w:rsidRDefault="00840DEA" w:rsidP="00712508">
            <w:pPr>
              <w:spacing w:before="120" w:after="120" w:line="276" w:lineRule="auto"/>
              <w:ind w:firstLine="709"/>
              <w:jc w:val="both"/>
              <w:rPr>
                <w:rFonts w:ascii="Verdana" w:eastAsia="Aptos" w:hAnsi="Verdana" w:cs="Arial"/>
              </w:rPr>
            </w:pPr>
            <w:r w:rsidRPr="00D46805">
              <w:rPr>
                <w:rFonts w:ascii="Verdana" w:eastAsia="Aptos" w:hAnsi="Verdana" w:cs="Arial"/>
              </w:rPr>
              <w:t xml:space="preserve">En el ámbito operativo, las entidades estatales pueden acudir a contratos de operación logística para la organización integral o parcial de </w:t>
            </w:r>
            <w:r w:rsidRPr="00D46805">
              <w:rPr>
                <w:rFonts w:ascii="Verdana" w:eastAsia="Aptos" w:hAnsi="Verdana" w:cs="Arial"/>
              </w:rPr>
              <w:lastRenderedPageBreak/>
              <w:t>ferias, fiestas, eventos y espectáculos culturales. Este tipo de contratos permite articular, en un solo instrumento, actividades como la producción técnica, el montaje, la logística general, la promoción, la difusión</w:t>
            </w:r>
            <w:r>
              <w:rPr>
                <w:rFonts w:ascii="Verdana" w:eastAsia="Aptos" w:hAnsi="Verdana" w:cs="Arial"/>
              </w:rPr>
              <w:t xml:space="preserve"> mediante campañas publicitarias, la contratación de artistas y gestores culturales </w:t>
            </w:r>
            <w:r w:rsidRPr="00D46805">
              <w:rPr>
                <w:rFonts w:ascii="Verdana" w:eastAsia="Aptos" w:hAnsi="Verdana" w:cs="Arial"/>
              </w:rPr>
              <w:t xml:space="preserve">y demás acciones necesarias para garantizar el adecuado desarrollo del evento. Su celebración puede realizarse con </w:t>
            </w:r>
            <w:r w:rsidRPr="004F56FC">
              <w:rPr>
                <w:rFonts w:ascii="Verdana" w:eastAsia="Aptos" w:hAnsi="Verdana" w:cs="Arial"/>
              </w:rPr>
              <w:t>operadores logísticos especializados o con entidades sin ánimo de lucro dedicadas a la gestión cultural,</w:t>
            </w:r>
            <w:r w:rsidRPr="00D46805">
              <w:rPr>
                <w:rFonts w:ascii="Verdana" w:eastAsia="Aptos" w:hAnsi="Verdana" w:cs="Arial"/>
              </w:rPr>
              <w:t xml:space="preserve"> siempre que acrediten idoneidad, experiencia y capacidad operativa. </w:t>
            </w:r>
          </w:p>
          <w:p w14:paraId="149659C3" w14:textId="77777777" w:rsidR="00840DEA" w:rsidRPr="004F56FC" w:rsidRDefault="00840DEA" w:rsidP="00712508">
            <w:pPr>
              <w:spacing w:before="120" w:after="120" w:line="276" w:lineRule="auto"/>
              <w:ind w:firstLine="709"/>
              <w:jc w:val="both"/>
              <w:rPr>
                <w:rFonts w:ascii="Verdana" w:eastAsia="Aptos" w:hAnsi="Verdana" w:cs="Arial"/>
              </w:rPr>
            </w:pPr>
            <w:r w:rsidRPr="00D46805">
              <w:rPr>
                <w:rFonts w:ascii="Verdana" w:eastAsia="Aptos" w:hAnsi="Verdana" w:cs="Arial"/>
              </w:rPr>
              <w:t xml:space="preserve">Para determinar la modalidad de selección aplicable, la entidad debe remitirse al </w:t>
            </w:r>
            <w:r w:rsidRPr="004F56FC">
              <w:rPr>
                <w:rFonts w:ascii="Verdana" w:eastAsia="Aptos" w:hAnsi="Verdana" w:cs="Arial"/>
              </w:rPr>
              <w:t>artículo 2 de la Ley 1150 de 2007,</w:t>
            </w:r>
            <w:r w:rsidRPr="00D46805">
              <w:rPr>
                <w:rFonts w:ascii="Verdana" w:eastAsia="Aptos" w:hAnsi="Verdana" w:cs="Arial"/>
              </w:rPr>
              <w:t xml:space="preserve"> que establece que la escogencia del contratista se realizará, como regla general, mediante </w:t>
            </w:r>
            <w:r w:rsidRPr="004F56FC">
              <w:rPr>
                <w:rFonts w:ascii="Verdana" w:eastAsia="Aptos" w:hAnsi="Verdana" w:cs="Arial"/>
              </w:rPr>
              <w:t>licitación pública, salvo las excepciones previstas para la selección abreviada, el concurso de méritos y la contratación directa. Este marco normativo exige que la administración evalúe el objeto contractual, la naturaleza de las prestaciones, la cuantía, la urgencia del servicio y las condiciones del mercado, con el fin de escoger la modalidad que mejor garantice la concurrencia, la transparencia y la eficiencia del gasto público. De esta manera, la decisión sobre el procedimiento de selección no puede ser arbitraria ni automática, sino el resultado de un ejercicio de planeación riguroso y verificable.</w:t>
            </w:r>
          </w:p>
          <w:p w14:paraId="66FE467C" w14:textId="77777777" w:rsidR="00840DEA" w:rsidRPr="00AE38A7" w:rsidRDefault="00840DEA" w:rsidP="00712508">
            <w:pPr>
              <w:spacing w:before="120" w:after="120" w:line="276" w:lineRule="auto"/>
              <w:ind w:firstLine="709"/>
              <w:jc w:val="both"/>
              <w:rPr>
                <w:rFonts w:ascii="Verdana" w:eastAsia="Aptos" w:hAnsi="Verdana" w:cs="Arial"/>
              </w:rPr>
            </w:pPr>
            <w:r w:rsidRPr="00AE38A7">
              <w:rPr>
                <w:rFonts w:ascii="Verdana" w:eastAsia="Aptos" w:hAnsi="Verdana" w:cs="Arial"/>
              </w:rPr>
              <w:t xml:space="preserve">En relación con los contratos de operación logística, es fundamental reiterar que su naturaleza de contratos mixtos —al integrar prestaciones propias de varios contratos nominados para satisfacer una necesidad común— impide la existencia de un procedimiento de selección exclusivo o predeterminado. Por ello, no es </w:t>
            </w:r>
            <w:r>
              <w:rPr>
                <w:rFonts w:ascii="Verdana" w:eastAsia="Aptos" w:hAnsi="Verdana" w:cs="Arial"/>
              </w:rPr>
              <w:t xml:space="preserve">procedente </w:t>
            </w:r>
            <w:r w:rsidRPr="00AE38A7">
              <w:rPr>
                <w:rFonts w:ascii="Verdana" w:eastAsia="Aptos" w:hAnsi="Verdana" w:cs="Arial"/>
              </w:rPr>
              <w:t>establecer un criterio uniforme que obligue a utilizar siempre la misma modalidad de selección. La entidad, en ejercicio del principio de planeación, debe analizar el objeto, la cuantía, las condiciones del mercado, la urgencia y la disponibilidad presupuestal para determinar si procede la licitación pública, la selección abreviada por menor cuantía, la mínima cuantía, o incluso la contratación directa cuando se configure una causal legal, como ocurre con los contratos interadministrativos</w:t>
            </w:r>
            <w:r>
              <w:rPr>
                <w:rFonts w:ascii="Verdana" w:eastAsia="Aptos" w:hAnsi="Verdana" w:cs="Arial"/>
              </w:rPr>
              <w:t>, conforme al artículo 2.4. literal c de la Ley 1150 de 2007</w:t>
            </w:r>
            <w:r w:rsidRPr="00AE38A7">
              <w:rPr>
                <w:rFonts w:ascii="Verdana" w:eastAsia="Aptos" w:hAnsi="Verdana" w:cs="Arial"/>
              </w:rPr>
              <w:t xml:space="preserve">. </w:t>
            </w:r>
            <w:r>
              <w:rPr>
                <w:rFonts w:ascii="Verdana" w:eastAsia="Aptos" w:hAnsi="Verdana" w:cs="Arial"/>
              </w:rPr>
              <w:t xml:space="preserve">En este asunto, la </w:t>
            </w:r>
            <w:r w:rsidRPr="00AE38A7">
              <w:rPr>
                <w:rFonts w:ascii="Verdana" w:eastAsia="Aptos" w:hAnsi="Verdana" w:cs="Arial"/>
              </w:rPr>
              <w:t xml:space="preserve">elección del tipo de operador dependerá del enfoque del evento, de la experiencia requerida y del alcance de las actividades a desarrollar. Cuando el énfasis del proyecto es la articulación comunitaria, la circulación artística o el fortalecimiento de procesos culturales locales, la </w:t>
            </w:r>
            <w:r w:rsidRPr="00AE38A7">
              <w:rPr>
                <w:rFonts w:ascii="Verdana" w:eastAsia="Aptos" w:hAnsi="Verdana" w:cs="Arial"/>
              </w:rPr>
              <w:lastRenderedPageBreak/>
              <w:t>participación de entidades sin ánimo de lucro puede resultar especialmente pertinente. En todos los casos, la entidad debe verificar la idoneidad del operador, definir con precisión las obligaciones contractuales y garantizar que la modalidad de selección empleada responda a criterios objetivos, transparentes y ajustados al marco normativo vigente.</w:t>
            </w:r>
          </w:p>
          <w:p w14:paraId="43E2E92D" w14:textId="77777777" w:rsidR="00840DEA" w:rsidRPr="00A745FA" w:rsidRDefault="00840DEA" w:rsidP="00712508">
            <w:pPr>
              <w:spacing w:before="120" w:after="120" w:line="276" w:lineRule="auto"/>
              <w:ind w:firstLine="708"/>
              <w:jc w:val="both"/>
              <w:rPr>
                <w:rFonts w:ascii="Verdana" w:eastAsia="Calibri" w:hAnsi="Verdana" w:cs="Arial"/>
                <w:color w:val="000000"/>
                <w:lang w:val="es-MX"/>
              </w:rPr>
            </w:pPr>
            <w:r w:rsidRPr="004F56FC">
              <w:rPr>
                <w:rFonts w:ascii="Verdana" w:eastAsia="Aptos" w:hAnsi="Verdana" w:cs="Arial"/>
              </w:rPr>
              <w:t xml:space="preserve">De manera complementaria, cuando la finalidad principal del vínculo no es la simple adquisición de servicios, sino la promoción, fortalecimiento o desarrollo de actividades artísticas y culturales de interés público, las entidades pueden acudir a los </w:t>
            </w:r>
            <w:r>
              <w:rPr>
                <w:rFonts w:ascii="Verdana" w:eastAsia="Aptos" w:hAnsi="Verdana" w:cs="Arial"/>
              </w:rPr>
              <w:t xml:space="preserve">convenios del Decreto 092 de 2017 con fundamento en el artículo 355 de la Constitución Política. El precitado Decreto regula dos eventos: </w:t>
            </w:r>
            <w:r w:rsidRPr="00F17EB6">
              <w:rPr>
                <w:rFonts w:ascii="Verdana" w:eastAsia="Calibri" w:hAnsi="Verdana" w:cs="Arial"/>
                <w:color w:val="000000"/>
                <w:lang w:val="es-MX"/>
              </w:rPr>
              <w:t xml:space="preserve">i) los </w:t>
            </w:r>
            <w:r w:rsidRPr="00F17EB6">
              <w:rPr>
                <w:rFonts w:ascii="Verdana" w:eastAsia="Calibri" w:hAnsi="Verdana" w:cs="Arial"/>
                <w:i/>
                <w:iCs/>
                <w:color w:val="000000"/>
                <w:lang w:val="es-MX"/>
              </w:rPr>
              <w:t>contratos de colaboración</w:t>
            </w:r>
            <w:r w:rsidRPr="00F17EB6">
              <w:rPr>
                <w:rFonts w:ascii="Verdana" w:eastAsia="Calibri" w:hAnsi="Verdana" w:cs="Arial"/>
                <w:color w:val="000000"/>
                <w:lang w:val="es-MX"/>
              </w:rPr>
              <w:t xml:space="preserve"> o de interés público, con el fin impulsar programas y actividades de interés público de acuerdo con el Plan Nacional o los planes seccionales de desarrollo, en los términos del artículo 355 de la Constitución Política; y </w:t>
            </w:r>
            <w:proofErr w:type="spellStart"/>
            <w:r w:rsidRPr="00F17EB6">
              <w:rPr>
                <w:rFonts w:ascii="Verdana" w:eastAsia="Calibri" w:hAnsi="Verdana" w:cs="Arial"/>
                <w:color w:val="000000"/>
                <w:lang w:val="es-MX"/>
              </w:rPr>
              <w:t>ii</w:t>
            </w:r>
            <w:proofErr w:type="spellEnd"/>
            <w:r w:rsidRPr="00F17EB6">
              <w:rPr>
                <w:rFonts w:ascii="Verdana" w:eastAsia="Calibri" w:hAnsi="Verdana" w:cs="Arial"/>
                <w:color w:val="000000"/>
                <w:lang w:val="es-MX"/>
              </w:rPr>
              <w:t xml:space="preserve">) los </w:t>
            </w:r>
            <w:r w:rsidRPr="00F17EB6">
              <w:rPr>
                <w:rFonts w:ascii="Verdana" w:eastAsia="Calibri" w:hAnsi="Verdana" w:cs="Arial"/>
                <w:i/>
                <w:iCs/>
                <w:color w:val="000000"/>
                <w:lang w:val="es-MX"/>
              </w:rPr>
              <w:t>convenios de asociación</w:t>
            </w:r>
            <w:r w:rsidRPr="00F17EB6">
              <w:rPr>
                <w:rFonts w:ascii="Verdana" w:eastAsia="Calibri" w:hAnsi="Verdana" w:cs="Arial"/>
                <w:color w:val="000000"/>
                <w:lang w:val="es-MX"/>
              </w:rPr>
              <w:t xml:space="preserve">, para el desarrollo conjunto de actividades relacionadas con las funciones de las entidades estatales, en desarrollo del artículo 96 de la Ley 489 de 1998. Los primeros están regulados en el artículo 2 del Decreto 92 de 2017, mientras que los segundos en los artículos 5, 6, 7 y 8 </w:t>
            </w:r>
            <w:r w:rsidRPr="00F17EB6">
              <w:rPr>
                <w:rFonts w:ascii="Verdana" w:eastAsia="Calibri" w:hAnsi="Verdana" w:cs="Arial"/>
                <w:i/>
                <w:iCs/>
                <w:color w:val="000000"/>
                <w:lang w:val="es-MX"/>
              </w:rPr>
              <w:t>ibidem</w:t>
            </w:r>
            <w:r w:rsidRPr="00F17EB6">
              <w:rPr>
                <w:rFonts w:ascii="Verdana" w:eastAsia="Calibri" w:hAnsi="Verdana" w:cs="Arial"/>
                <w:color w:val="000000"/>
                <w:lang w:val="es-MX"/>
              </w:rPr>
              <w:t xml:space="preserve">. Es posible diferenciar, pues, los </w:t>
            </w:r>
            <w:r w:rsidRPr="00F17EB6">
              <w:rPr>
                <w:rFonts w:ascii="Verdana" w:eastAsia="Calibri" w:hAnsi="Verdana" w:cs="Arial"/>
                <w:i/>
                <w:iCs/>
                <w:color w:val="000000"/>
                <w:lang w:val="es-MX"/>
              </w:rPr>
              <w:t>convenios de asociación</w:t>
            </w:r>
            <w:r w:rsidRPr="00F17EB6">
              <w:rPr>
                <w:rFonts w:ascii="Verdana" w:eastAsia="Calibri" w:hAnsi="Verdana" w:cs="Arial"/>
                <w:color w:val="000000"/>
                <w:lang w:val="es-MX"/>
              </w:rPr>
              <w:t xml:space="preserve">, regulados en el artículo 5, de los </w:t>
            </w:r>
            <w:r w:rsidRPr="00F17EB6">
              <w:rPr>
                <w:rFonts w:ascii="Verdana" w:eastAsia="Calibri" w:hAnsi="Verdana" w:cs="Arial"/>
                <w:i/>
                <w:iCs/>
                <w:color w:val="000000"/>
                <w:lang w:val="es-MX"/>
              </w:rPr>
              <w:t>contratos de colaboración</w:t>
            </w:r>
            <w:r w:rsidRPr="00F17EB6">
              <w:rPr>
                <w:rFonts w:ascii="Verdana" w:eastAsia="Calibri" w:hAnsi="Verdana" w:cs="Arial"/>
                <w:color w:val="000000"/>
                <w:lang w:val="es-MX"/>
              </w:rPr>
              <w:t xml:space="preserve">, establecidos en el artículo 2 del Decreto 092 de 2017. </w:t>
            </w:r>
          </w:p>
          <w:p w14:paraId="73182CED" w14:textId="77777777" w:rsidR="00840DEA" w:rsidRPr="00B978EC" w:rsidRDefault="00840DEA" w:rsidP="00712508">
            <w:pPr>
              <w:spacing w:after="120" w:line="276" w:lineRule="auto"/>
              <w:ind w:firstLine="708"/>
              <w:jc w:val="both"/>
              <w:rPr>
                <w:rFonts w:ascii="Verdana" w:eastAsia="Calibri" w:hAnsi="Verdana" w:cs="Arial"/>
                <w:color w:val="000000"/>
                <w:lang w:val="es-MX"/>
              </w:rPr>
            </w:pPr>
            <w:r w:rsidRPr="00F17EB6">
              <w:rPr>
                <w:rFonts w:ascii="Verdana" w:eastAsia="Calibri" w:hAnsi="Verdana" w:cs="Arial"/>
                <w:color w:val="000000"/>
                <w:lang w:val="es-MX"/>
              </w:rPr>
              <w:t xml:space="preserve">Los </w:t>
            </w:r>
            <w:r w:rsidRPr="00F17EB6">
              <w:rPr>
                <w:rFonts w:ascii="Verdana" w:eastAsia="Calibri" w:hAnsi="Verdana" w:cs="Arial"/>
                <w:i/>
                <w:iCs/>
                <w:color w:val="000000"/>
                <w:lang w:val="es-MX"/>
              </w:rPr>
              <w:t>contratos</w:t>
            </w:r>
            <w:r>
              <w:rPr>
                <w:rFonts w:ascii="Verdana" w:eastAsia="Calibri" w:hAnsi="Verdana" w:cs="Arial"/>
                <w:i/>
                <w:iCs/>
                <w:color w:val="000000"/>
                <w:lang w:val="es-MX"/>
              </w:rPr>
              <w:t xml:space="preserve"> o convenios</w:t>
            </w:r>
            <w:r w:rsidRPr="00F17EB6">
              <w:rPr>
                <w:rFonts w:ascii="Verdana" w:eastAsia="Calibri" w:hAnsi="Verdana" w:cs="Arial"/>
                <w:i/>
                <w:iCs/>
                <w:color w:val="000000"/>
                <w:lang w:val="es-MX"/>
              </w:rPr>
              <w:t xml:space="preserve"> de colaboración </w:t>
            </w:r>
            <w:r w:rsidRPr="00F17EB6">
              <w:rPr>
                <w:rFonts w:ascii="Verdana" w:eastAsia="Calibri" w:hAnsi="Verdana" w:cs="Arial"/>
                <w:color w:val="000000"/>
                <w:lang w:val="es-MX"/>
              </w:rPr>
              <w:t xml:space="preserve">tienen como objeto promover acciones de fomento social en beneficio de los sectores más desprotegidos de la población, previstas en los planes de desarrollo, motivo por el cual no dan lugar a una contraprestación directa a favor de la entidad y tampoco a una relación conmutativa entre esta y la ESAL, toda vez que el beneficio real y directo lo reciben, en últimas, los terceros beneficiarios de este tipo de acciones de fomento. </w:t>
            </w:r>
            <w:r>
              <w:rPr>
                <w:rFonts w:ascii="Verdana" w:eastAsia="Calibri" w:hAnsi="Verdana" w:cs="Arial"/>
                <w:color w:val="000000" w:themeColor="text1"/>
              </w:rPr>
              <w:t>Por otro lado</w:t>
            </w:r>
            <w:r w:rsidRPr="00D44070">
              <w:rPr>
                <w:rFonts w:ascii="Verdana" w:eastAsia="Calibri" w:hAnsi="Verdana" w:cs="Arial"/>
                <w:color w:val="000000" w:themeColor="text1"/>
              </w:rPr>
              <w:t xml:space="preserve">, los </w:t>
            </w:r>
            <w:r w:rsidRPr="00D44070">
              <w:rPr>
                <w:rFonts w:ascii="Verdana" w:eastAsia="Calibri" w:hAnsi="Verdana" w:cs="Arial"/>
                <w:i/>
                <w:iCs/>
                <w:color w:val="000000" w:themeColor="text1"/>
              </w:rPr>
              <w:t xml:space="preserve">convenios de asociación </w:t>
            </w:r>
            <w:r w:rsidRPr="00D44070">
              <w:rPr>
                <w:rFonts w:ascii="Verdana" w:eastAsia="Calibri" w:hAnsi="Verdana" w:cs="Arial"/>
                <w:color w:val="000000" w:themeColor="text1"/>
              </w:rPr>
              <w:t>“[…] [t]</w:t>
            </w:r>
            <w:proofErr w:type="spellStart"/>
            <w:r w:rsidRPr="00D44070">
              <w:rPr>
                <w:rFonts w:ascii="Verdana" w:eastAsia="Calibri" w:hAnsi="Verdana" w:cs="Arial"/>
                <w:color w:val="000000" w:themeColor="text1"/>
              </w:rPr>
              <w:t>ienen</w:t>
            </w:r>
            <w:proofErr w:type="spellEnd"/>
            <w:r w:rsidRPr="00D44070">
              <w:rPr>
                <w:rFonts w:ascii="Verdana" w:eastAsia="Calibri" w:hAnsi="Verdana" w:cs="Arial"/>
                <w:color w:val="000000" w:themeColor="text1"/>
              </w:rPr>
              <w:t xml:space="preserve">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 En estos convenios – al igual que en los contratos de colaboración antes explicados – no existe contraprestación o pago, sino aportes, los cuales están dirigidos, exclusivamente, a lograr la ejecución del convenio no a remunerar la actividad o actuaciones del asociado. </w:t>
            </w:r>
          </w:p>
          <w:p w14:paraId="0180682D" w14:textId="77777777" w:rsidR="00840DEA" w:rsidRPr="00CC29EC" w:rsidRDefault="00840DEA" w:rsidP="00712508">
            <w:pPr>
              <w:spacing w:after="120" w:line="276" w:lineRule="auto"/>
              <w:ind w:firstLine="708"/>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lastRenderedPageBreak/>
              <w:t xml:space="preserve">En el marco de los convenios de asociación, así como dentro de los contratos de colaboración, resulta posible que dentro de las condiciones del contrato se establezca la obligación de vincular a artistas determinados y gestores culturales, para que se encarguen de ejecutar los componentes artísticos y culturales del objeto. Esto desde luego está sujeto a las características del proyecto y la autonomía de la voluntad de las partes, en virtud de la cual tal obligación puede atribuirse a la entidad estatal directamente o la entidad sin ánimo de lucro que funja como ejecutora. En este aspecto, se recomienda </w:t>
            </w:r>
            <w:r w:rsidRPr="00F10C8B">
              <w:rPr>
                <w:rFonts w:ascii="Verdana" w:eastAsia="Times New Roman" w:hAnsi="Verdana" w:cs="Arial"/>
                <w:color w:val="000000"/>
                <w:lang w:val="es-ES" w:eastAsia="es-ES_tradnl"/>
              </w:rPr>
              <w:t xml:space="preserve">la </w:t>
            </w:r>
            <w:r w:rsidRPr="00F10C8B">
              <w:rPr>
                <w:rFonts w:ascii="Verdana" w:eastAsia="Times New Roman" w:hAnsi="Verdana" w:cs="Arial"/>
                <w:bCs/>
                <w:color w:val="000000"/>
                <w:lang w:eastAsia="es-ES_tradnl"/>
              </w:rPr>
              <w:t>“</w:t>
            </w:r>
            <w:r w:rsidRPr="00F10C8B">
              <w:rPr>
                <w:rFonts w:ascii="Verdana" w:eastAsia="Times New Roman" w:hAnsi="Verdana" w:cs="Arial"/>
                <w:bCs/>
                <w:i/>
                <w:iCs/>
                <w:color w:val="000000"/>
                <w:lang w:eastAsia="es-ES_tradnl"/>
              </w:rPr>
              <w:t>Guía para la contratación con entidades privadas sin ánimo de lucro y de reconocida idoneidad”</w:t>
            </w:r>
            <w:r>
              <w:rPr>
                <w:rFonts w:ascii="Verdana" w:eastAsia="Times New Roman" w:hAnsi="Verdana" w:cs="Arial"/>
                <w:color w:val="000000"/>
                <w:lang w:val="es-MX" w:eastAsia="es-ES_tradnl"/>
              </w:rPr>
              <w:t xml:space="preserve"> para determinar la idoneidad de la ESAL, así como otros aspectos que deben tenerse en cuenta para la contratación con estas.        </w:t>
            </w:r>
          </w:p>
          <w:p w14:paraId="3629455D" w14:textId="77777777" w:rsidR="00840DEA" w:rsidRPr="001D099A" w:rsidRDefault="00840DEA" w:rsidP="00712508">
            <w:pPr>
              <w:spacing w:after="120" w:line="276" w:lineRule="auto"/>
              <w:ind w:firstLine="709"/>
              <w:jc w:val="both"/>
              <w:rPr>
                <w:rFonts w:ascii="Verdana" w:eastAsia="Aptos" w:hAnsi="Verdana" w:cs="Arial"/>
              </w:rPr>
            </w:pPr>
            <w:r>
              <w:rPr>
                <w:rFonts w:ascii="Verdana" w:eastAsia="Aptos" w:hAnsi="Verdana" w:cs="Arial"/>
              </w:rPr>
              <w:t xml:space="preserve">Por último, otra forma de contratación es que las </w:t>
            </w:r>
            <w:r w:rsidRPr="00577B37">
              <w:rPr>
                <w:rFonts w:ascii="Verdana" w:eastAsia="Aptos" w:hAnsi="Verdana" w:cs="Arial"/>
              </w:rPr>
              <w:t xml:space="preserve">entidades territoriales cuentan con capacidades institucionales para planear, organizar y ejecutar directamente sus ferias, fiestas y demás manifestaciones culturales, es </w:t>
            </w:r>
            <w:r>
              <w:rPr>
                <w:rFonts w:ascii="Verdana" w:eastAsia="Aptos" w:hAnsi="Verdana" w:cs="Arial"/>
              </w:rPr>
              <w:t xml:space="preserve">procedente </w:t>
            </w:r>
            <w:r w:rsidRPr="00577B37">
              <w:rPr>
                <w:rFonts w:ascii="Verdana" w:eastAsia="Aptos" w:hAnsi="Verdana" w:cs="Arial"/>
              </w:rPr>
              <w:t>que opten por complementar dichas capacidades mediante la celebración de contratos de prestación de servicios con personas naturales o jurídicas especializadas.</w:t>
            </w:r>
            <w:r>
              <w:rPr>
                <w:rFonts w:ascii="Verdana" w:eastAsia="Aptos" w:hAnsi="Verdana" w:cs="Arial"/>
              </w:rPr>
              <w:t xml:space="preserve"> </w:t>
            </w:r>
            <w:r w:rsidRPr="00577B37">
              <w:rPr>
                <w:rFonts w:ascii="Verdana" w:eastAsia="Aptos" w:hAnsi="Verdana" w:cs="Arial"/>
              </w:rPr>
              <w:t xml:space="preserve">Esto incluye la vinculación de artistas, gestores culturales y productores, así como la contratación de trabajos o ejecuciones de carácter artístico que resulten necesarios para el adecuado desarrollo del evento. </w:t>
            </w:r>
            <w:r w:rsidRPr="001D099A">
              <w:rPr>
                <w:rFonts w:ascii="Verdana" w:eastAsia="Aptos" w:hAnsi="Verdana" w:cs="Arial"/>
              </w:rPr>
              <w:t xml:space="preserve">la tipología contractual aplicable en cada caso concreto depende de la necesidad identificada durante el ejercicio de planeación de la entidad estatal, así como del objeto y de las características del negocio jurídico requerido para satisfacerla. En esa medida, cuando la necesidad corresponde a la ejecución de trabajos artísticos que, por su naturaleza, deban </w:t>
            </w:r>
            <w:r>
              <w:rPr>
                <w:rFonts w:ascii="Verdana" w:eastAsia="Aptos" w:hAnsi="Verdana" w:cs="Arial"/>
              </w:rPr>
              <w:t xml:space="preserve">realizarse </w:t>
            </w:r>
            <w:r w:rsidRPr="001D099A">
              <w:rPr>
                <w:rFonts w:ascii="Verdana" w:eastAsia="Aptos" w:hAnsi="Verdana" w:cs="Arial"/>
              </w:rPr>
              <w:t>por determinadas personas naturales, y se proyecta la celebración de un negocio jurídico conmutativo, es decir, que implique una contraprestación económica a favor del contratista, resulta procedente acudir al contrato de prestación de servicios previsto en el artículo 32.3 de la Ley 80 de 1993 y desarrollado en el artículo 2.2.1.2.1.4.9 del Decreto 1082 de 2015. De igual forma, cuando la entidad requiere la participación de gestores culturales</w:t>
            </w:r>
            <w:r>
              <w:rPr>
                <w:rFonts w:ascii="Verdana" w:eastAsia="Aptos" w:hAnsi="Verdana" w:cs="Arial"/>
              </w:rPr>
              <w:t xml:space="preserve"> y otro tipo de </w:t>
            </w:r>
            <w:proofErr w:type="spellStart"/>
            <w:r>
              <w:rPr>
                <w:rFonts w:ascii="Verdana" w:eastAsia="Aptos" w:hAnsi="Verdana" w:cs="Arial"/>
              </w:rPr>
              <w:t>intervenientes</w:t>
            </w:r>
            <w:proofErr w:type="spellEnd"/>
            <w:r w:rsidRPr="001D099A">
              <w:rPr>
                <w:rFonts w:ascii="Verdana" w:eastAsia="Aptos" w:hAnsi="Verdana" w:cs="Arial"/>
              </w:rPr>
              <w:t>, también es viable la celebración de contratos de prestación de servicios profesionales con personas naturales o jurídicas, conforme al mismo artículo 32.3 de la Ley 80 de 1993.</w:t>
            </w:r>
            <w:r>
              <w:rPr>
                <w:rFonts w:ascii="Verdana" w:eastAsia="Aptos" w:hAnsi="Verdana" w:cs="Arial"/>
              </w:rPr>
              <w:t xml:space="preserve"> </w:t>
            </w:r>
            <w:r w:rsidRPr="001D099A">
              <w:rPr>
                <w:rFonts w:ascii="Verdana" w:eastAsia="Aptos" w:hAnsi="Verdana" w:cs="Arial"/>
              </w:rPr>
              <w:t xml:space="preserve">En este contexto, el gestor cultural cumple un rol estratégico en la articulación, diseño y sostenibilidad de los proyectos culturales, integrando modelos de economía naranja y esquemas de </w:t>
            </w:r>
            <w:r w:rsidRPr="001D099A">
              <w:rPr>
                <w:rFonts w:ascii="Verdana" w:eastAsia="Aptos" w:hAnsi="Verdana" w:cs="Arial"/>
              </w:rPr>
              <w:lastRenderedPageBreak/>
              <w:t>financiación pública, privada o mixta. Entre sus funciones se encuentran la coordinación de equipos, la supervisión del cumplimiento normativo —incluyendo obligaciones en materia de seguridad y riesgos— y la gestión eficiente de los recursos culturales.</w:t>
            </w:r>
          </w:p>
          <w:p w14:paraId="6856D168" w14:textId="77777777" w:rsidR="00840DEA" w:rsidRPr="00043EDB" w:rsidRDefault="00840DEA" w:rsidP="00712508">
            <w:pPr>
              <w:spacing w:after="120" w:line="276" w:lineRule="auto"/>
              <w:ind w:firstLine="709"/>
              <w:jc w:val="both"/>
              <w:rPr>
                <w:rFonts w:ascii="Verdana" w:eastAsia="Aptos" w:hAnsi="Verdana" w:cs="Arial"/>
              </w:rPr>
            </w:pPr>
            <w:r>
              <w:rPr>
                <w:rFonts w:ascii="Verdana" w:eastAsia="Aptos" w:hAnsi="Verdana" w:cs="Arial"/>
              </w:rPr>
              <w:t>En suma</w:t>
            </w:r>
            <w:r w:rsidRPr="001D099A">
              <w:rPr>
                <w:rFonts w:ascii="Verdana" w:eastAsia="Aptos" w:hAnsi="Verdana" w:cs="Arial"/>
              </w:rPr>
              <w:t>, en los contratos de operación logística</w:t>
            </w:r>
            <w:r>
              <w:rPr>
                <w:rFonts w:ascii="Verdana" w:eastAsia="Aptos" w:hAnsi="Verdana" w:cs="Arial"/>
              </w:rPr>
              <w:t xml:space="preserve">, </w:t>
            </w:r>
            <w:r w:rsidRPr="001D099A">
              <w:rPr>
                <w:rFonts w:ascii="Verdana" w:eastAsia="Aptos" w:hAnsi="Verdana" w:cs="Arial"/>
              </w:rPr>
              <w:t xml:space="preserve">en los convenios de </w:t>
            </w:r>
            <w:r>
              <w:rPr>
                <w:rFonts w:ascii="Verdana" w:eastAsia="Aptos" w:hAnsi="Verdana" w:cs="Arial"/>
              </w:rPr>
              <w:t xml:space="preserve">colaboración o de </w:t>
            </w:r>
            <w:r w:rsidRPr="001D099A">
              <w:rPr>
                <w:rFonts w:ascii="Verdana" w:eastAsia="Aptos" w:hAnsi="Verdana" w:cs="Arial"/>
              </w:rPr>
              <w:t>asociación, así como los contratos de prestación de servicios – profesionales, de apoyo a la gestión y ejecución de trabajos artísticos- la ejecución debe observar l</w:t>
            </w:r>
            <w:r>
              <w:rPr>
                <w:rFonts w:ascii="Verdana" w:eastAsia="Aptos" w:hAnsi="Verdana" w:cs="Arial"/>
              </w:rPr>
              <w:t>as reglas y principios del presupuesto, como la</w:t>
            </w:r>
            <w:r w:rsidRPr="001D099A">
              <w:rPr>
                <w:rFonts w:ascii="Verdana" w:eastAsia="Aptos" w:hAnsi="Verdana" w:cs="Arial"/>
              </w:rPr>
              <w:t xml:space="preserve"> legalidad, </w:t>
            </w:r>
            <w:r>
              <w:rPr>
                <w:rFonts w:ascii="Verdana" w:eastAsia="Aptos" w:hAnsi="Verdana" w:cs="Arial"/>
              </w:rPr>
              <w:t xml:space="preserve"> la disponibilidad y compromiso presupuestal</w:t>
            </w:r>
            <w:r w:rsidRPr="001D099A">
              <w:rPr>
                <w:rFonts w:ascii="Verdana" w:eastAsia="Aptos" w:hAnsi="Verdana" w:cs="Arial"/>
              </w:rPr>
              <w:t xml:space="preserve">, anualidad y control del gasto, asegurando que los recursos se utilicen de manera eficiente y conforme a los fines culturales definidos por la entidad. </w:t>
            </w:r>
            <w:r>
              <w:rPr>
                <w:rFonts w:ascii="Verdana" w:eastAsia="Aptos" w:hAnsi="Verdana" w:cs="Arial"/>
              </w:rPr>
              <w:t xml:space="preserve">En tal sentido, </w:t>
            </w:r>
            <w:r w:rsidRPr="00043EDB">
              <w:rPr>
                <w:rFonts w:ascii="Verdana" w:eastAsia="Aptos" w:hAnsi="Verdana" w:cs="Arial"/>
              </w:rPr>
              <w:t>entidad debe observar las reglas y principios del derecho presupuestal, en particular el principio de anualidad del gasto público, que impone que los compromisos se ajusten estrictamente a la vigencia fiscal correspondiente. Ello implica que la planeación contractual y la determinación de la modalidad de selección deben armonizarse con la disponibilidad de recursos en cada vigencia, garantizando que las obligaciones derivadas del contrato puedan ser atendidas sin comprometer la sostenibilidad financiera ni vulnerar el marco fiscal aplicable.</w:t>
            </w:r>
          </w:p>
          <w:p w14:paraId="65AC792A" w14:textId="77777777" w:rsidR="00840DEA" w:rsidRPr="001D099A" w:rsidRDefault="00840DEA" w:rsidP="00712508">
            <w:pPr>
              <w:spacing w:after="120" w:line="276" w:lineRule="auto"/>
              <w:ind w:firstLine="709"/>
              <w:jc w:val="both"/>
              <w:rPr>
                <w:rFonts w:ascii="Verdana" w:eastAsia="Aptos" w:hAnsi="Verdana" w:cs="Arial"/>
              </w:rPr>
            </w:pPr>
            <w:r>
              <w:rPr>
                <w:rFonts w:ascii="Verdana" w:eastAsia="Aptos" w:hAnsi="Verdana" w:cs="Arial"/>
              </w:rPr>
              <w:t xml:space="preserve">Así mismo, es pertinente una </w:t>
            </w:r>
            <w:r w:rsidRPr="001D099A">
              <w:rPr>
                <w:rFonts w:ascii="Verdana" w:eastAsia="Aptos" w:hAnsi="Verdana" w:cs="Arial"/>
              </w:rPr>
              <w:t>correcta estructuración contractual implica</w:t>
            </w:r>
            <w:r>
              <w:rPr>
                <w:rFonts w:ascii="Verdana" w:eastAsia="Aptos" w:hAnsi="Verdana" w:cs="Arial"/>
              </w:rPr>
              <w:t xml:space="preserve"> </w:t>
            </w:r>
            <w:r w:rsidRPr="001D099A">
              <w:rPr>
                <w:rFonts w:ascii="Verdana" w:eastAsia="Aptos" w:hAnsi="Verdana" w:cs="Arial"/>
              </w:rPr>
              <w:t xml:space="preserve">la elaboración de estudios previos completos, la definición clara de obligaciones, la identificación de riesgos, la adopción de mecanismos de supervisión y la implementación de controles que permitan verificar el cumplimiento de los objetivos culturales y la adecuada realización de los eventos. En </w:t>
            </w:r>
            <w:r>
              <w:rPr>
                <w:rFonts w:ascii="Verdana" w:eastAsia="Aptos" w:hAnsi="Verdana" w:cs="Arial"/>
              </w:rPr>
              <w:t>esta línea</w:t>
            </w:r>
            <w:r w:rsidRPr="001D099A">
              <w:rPr>
                <w:rFonts w:ascii="Verdana" w:eastAsia="Aptos" w:hAnsi="Verdana" w:cs="Arial"/>
              </w:rPr>
              <w:t>, en el marco de lo dispuesto en los artículos 4, 5, 12, 14 y 26 de la Ley 80 de 1993, las Entidades Estatales tienen la obligación de velar por el correcto y oportuno cumplimiento de las prestaciones del contrato, las especificaciones de los bienes, obras y servicios de este, las condiciones de calidad ofrecidas, e</w:t>
            </w:r>
            <w:r>
              <w:rPr>
                <w:rFonts w:ascii="Verdana" w:eastAsia="Aptos" w:hAnsi="Verdana" w:cs="Arial"/>
              </w:rPr>
              <w:t>ntre otros</w:t>
            </w:r>
            <w:r w:rsidRPr="001D099A">
              <w:rPr>
                <w:rFonts w:ascii="Verdana" w:eastAsia="Aptos" w:hAnsi="Verdana" w:cs="Arial"/>
              </w:rPr>
              <w:t xml:space="preserve">. Esta obligación se predica, en principio, del jefe o representante legal de la entidad, por tener la responsabilidad de la dirección y manejo de la actividad contractual, </w:t>
            </w:r>
            <w:r w:rsidRPr="00827B5E">
              <w:rPr>
                <w:rFonts w:ascii="Verdana" w:eastAsia="Aptos" w:hAnsi="Verdana" w:cs="Arial"/>
              </w:rPr>
              <w:t xml:space="preserve">pero también de los servidores públicos, como es el caso de los supervisores, y en su defecto, de los interventores como agentes externos que cumplen deberes de vigilancia y seguimiento contractual. </w:t>
            </w:r>
          </w:p>
        </w:tc>
      </w:tr>
    </w:tbl>
    <w:p w14:paraId="3EF7410F" w14:textId="77777777" w:rsidR="00840DEA" w:rsidRPr="00B57A1B" w:rsidRDefault="00840DEA" w:rsidP="00840DEA">
      <w:pPr>
        <w:spacing w:after="0" w:line="276" w:lineRule="auto"/>
        <w:jc w:val="both"/>
        <w:rPr>
          <w:rFonts w:ascii="Verdana" w:eastAsia="Calibri" w:hAnsi="Verdana" w:cs="Arial"/>
          <w:bCs/>
          <w:color w:val="000000" w:themeColor="text1"/>
        </w:rPr>
      </w:pPr>
    </w:p>
    <w:p w14:paraId="2E879FF6" w14:textId="77777777" w:rsidR="00840DEA" w:rsidRPr="00B57A1B" w:rsidRDefault="00840DEA" w:rsidP="00840DEA">
      <w:pPr>
        <w:numPr>
          <w:ilvl w:val="0"/>
          <w:numId w:val="16"/>
        </w:numPr>
        <w:tabs>
          <w:tab w:val="left" w:pos="2268"/>
        </w:tabs>
        <w:spacing w:after="0" w:line="256" w:lineRule="auto"/>
        <w:rPr>
          <w:rFonts w:ascii="Verdana" w:eastAsia="Calibri" w:hAnsi="Verdana" w:cs="Times New Roman"/>
          <w:b/>
          <w:bCs/>
          <w:lang w:val="es-ES"/>
        </w:rPr>
      </w:pPr>
      <w:r w:rsidRPr="00B57A1B">
        <w:rPr>
          <w:rFonts w:ascii="Verdana" w:eastAsia="Calibri" w:hAnsi="Verdana" w:cs="Times New Roman"/>
          <w:b/>
          <w:bCs/>
          <w:lang w:val="es-ES"/>
        </w:rPr>
        <w:lastRenderedPageBreak/>
        <w:t>Razones de la respuesta:</w:t>
      </w:r>
    </w:p>
    <w:p w14:paraId="24106D19" w14:textId="77777777" w:rsidR="00840DEA" w:rsidRPr="00B57A1B" w:rsidRDefault="00840DEA" w:rsidP="00840DEA">
      <w:pPr>
        <w:spacing w:after="0" w:line="256" w:lineRule="auto"/>
        <w:rPr>
          <w:rFonts w:ascii="Verdana" w:eastAsia="Calibri" w:hAnsi="Verdana" w:cs="Times New Roman"/>
          <w:b/>
          <w:bCs/>
          <w:lang w:val="es-ES"/>
        </w:rPr>
      </w:pPr>
    </w:p>
    <w:p w14:paraId="25360B8F" w14:textId="77777777" w:rsidR="00840DEA" w:rsidRPr="00B57A1B" w:rsidRDefault="00840DEA" w:rsidP="00840DEA">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25663E9F" w14:textId="77777777" w:rsidR="00840DEA" w:rsidRDefault="00840DEA" w:rsidP="00840DEA">
      <w:pPr>
        <w:spacing w:after="0" w:line="276" w:lineRule="auto"/>
        <w:jc w:val="both"/>
        <w:rPr>
          <w:rFonts w:ascii="Verdana" w:eastAsia="Times New Roman" w:hAnsi="Verdana" w:cs="Arial"/>
          <w:color w:val="000000" w:themeColor="text1"/>
          <w:lang w:eastAsia="es-CO"/>
        </w:rPr>
      </w:pPr>
    </w:p>
    <w:p w14:paraId="5E7D3326" w14:textId="77777777" w:rsidR="00840DEA" w:rsidRPr="008B4DB0" w:rsidRDefault="00840DEA" w:rsidP="00840DEA">
      <w:pPr>
        <w:spacing w:after="0" w:line="276" w:lineRule="auto"/>
        <w:jc w:val="both"/>
        <w:rPr>
          <w:rFonts w:ascii="Verdana" w:hAnsi="Verdana"/>
          <w:sz w:val="24"/>
          <w:lang w:val="es-MX"/>
        </w:rPr>
      </w:pPr>
      <w:r>
        <w:rPr>
          <w:rFonts w:ascii="Verdana" w:eastAsia="Calibri" w:hAnsi="Verdana" w:cs="Arial"/>
          <w:lang w:val="es-ES"/>
        </w:rPr>
        <w:t xml:space="preserve">i. </w:t>
      </w:r>
      <w:bookmarkStart w:id="1" w:name="_Hlk54011258"/>
      <w:r w:rsidRPr="008B4DB0">
        <w:rPr>
          <w:rFonts w:ascii="Verdana" w:eastAsia="Calibri" w:hAnsi="Verdana" w:cs="Arial"/>
          <w:bCs/>
          <w:lang w:val="es-ES_tradnl"/>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bookmarkEnd w:id="1"/>
      <w:r w:rsidRPr="008B4DB0">
        <w:rPr>
          <w:rFonts w:ascii="Verdana" w:eastAsia="Calibri" w:hAnsi="Verdana" w:cs="Arial"/>
          <w:bCs/>
          <w:sz w:val="21"/>
          <w:szCs w:val="21"/>
          <w:lang w:val="es-ES_tradnl"/>
        </w:rPr>
        <w:t>.</w:t>
      </w:r>
    </w:p>
    <w:p w14:paraId="04202D66" w14:textId="77777777" w:rsidR="00840DEA" w:rsidRPr="008B4DB0" w:rsidRDefault="00840DEA" w:rsidP="00840DEA">
      <w:pPr>
        <w:spacing w:before="120" w:after="0" w:line="276" w:lineRule="auto"/>
        <w:ind w:firstLine="708"/>
        <w:jc w:val="both"/>
        <w:rPr>
          <w:rFonts w:ascii="Verdana" w:hAnsi="Verdana" w:cs="Arial"/>
          <w:bCs/>
          <w:lang w:val="es-ES"/>
        </w:rPr>
      </w:pPr>
      <w:r w:rsidRPr="008B4DB0">
        <w:rPr>
          <w:rFonts w:ascii="Verdana" w:hAnsi="Verdana" w:cs="Arial"/>
          <w:bCs/>
          <w:lang w:val="es-MX"/>
        </w:rPr>
        <w:t xml:space="preserve">El Estatuto General de Contratación de la Administración Pública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617A4771" w14:textId="77777777" w:rsidR="00840DEA" w:rsidRPr="008B4DB0" w:rsidRDefault="00840DEA" w:rsidP="00840DEA">
      <w:pPr>
        <w:spacing w:after="0" w:line="276" w:lineRule="auto"/>
        <w:ind w:firstLine="708"/>
        <w:jc w:val="both"/>
        <w:rPr>
          <w:rFonts w:ascii="Verdana" w:hAnsi="Verdana" w:cs="Arial"/>
          <w:bCs/>
          <w:lang w:val="es-ES"/>
        </w:rPr>
      </w:pPr>
    </w:p>
    <w:p w14:paraId="2B13AC65"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“7o. La conveniencia o inconveniencia del objeto a contratar y las autorizaciones y aprobaciones para ello, se analizarán o impartirán con antelación al inicio del proceso de selección del contratista o al de la firma del contrato, según el caso.</w:t>
      </w:r>
    </w:p>
    <w:p w14:paraId="2CC95936"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w:t>
      </w:r>
    </w:p>
    <w:p w14:paraId="43704123"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447FB15C"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71C3E17F"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lastRenderedPageBreak/>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02AEC57E"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w:t>
      </w:r>
    </w:p>
    <w:p w14:paraId="05DB2C19" w14:textId="77777777" w:rsidR="00840DEA" w:rsidRPr="008B4DB0" w:rsidRDefault="00840DEA" w:rsidP="00840DEA">
      <w:pPr>
        <w:spacing w:after="0" w:line="276" w:lineRule="auto"/>
        <w:ind w:left="709" w:right="709"/>
        <w:jc w:val="both"/>
        <w:rPr>
          <w:rFonts w:ascii="Verdana" w:hAnsi="Verdana" w:cs="Arial"/>
          <w:lang w:val="es-MX"/>
        </w:rPr>
      </w:pPr>
    </w:p>
    <w:p w14:paraId="44376CD6" w14:textId="77777777" w:rsidR="00840DEA" w:rsidRPr="008B4DB0" w:rsidRDefault="00840DEA" w:rsidP="00840DEA">
      <w:pPr>
        <w:spacing w:after="120" w:line="276" w:lineRule="auto"/>
        <w:ind w:firstLine="709"/>
        <w:jc w:val="both"/>
        <w:rPr>
          <w:rFonts w:ascii="Verdana" w:hAnsi="Verdana" w:cs="Arial"/>
          <w:lang w:val="es-MX"/>
        </w:rPr>
      </w:pPr>
      <w:r w:rsidRPr="008B4DB0">
        <w:rPr>
          <w:rFonts w:ascii="Verdana" w:hAnsi="Verdana" w:cs="Arial"/>
          <w:lang w:val="es-MX"/>
        </w:rPr>
        <w:t>Lo anterior le permitirá a la entidad estatal identificar desde el punto de vista técnico y financiero el objeto del contrato, las particularidades de su ejecución, los potenciales proponentes, requisitos mínimos para evaluar la idoneidad del contratista, así como analizar todas las variables que puedan afectar el procedimiento de selección, celebración y ejecución del contrato. Tal es la importancia de los estudios y documentos previos que su deficiencia o ausencia, “[...]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Pr="008B4DB0">
        <w:rPr>
          <w:rFonts w:ascii="Verdana" w:hAnsi="Verdana"/>
          <w:vertAlign w:val="superscript"/>
          <w:lang w:val="es-MX"/>
        </w:rPr>
        <w:footnoteReference w:id="1"/>
      </w:r>
      <w:r w:rsidRPr="008B4DB0">
        <w:rPr>
          <w:rFonts w:ascii="Verdana" w:hAnsi="Verdana" w:cs="Arial"/>
          <w:lang w:val="es-MX"/>
        </w:rPr>
        <w:t>.</w:t>
      </w:r>
    </w:p>
    <w:p w14:paraId="1D572F97" w14:textId="77777777" w:rsidR="00840DEA" w:rsidRPr="008B4DB0" w:rsidRDefault="00840DEA" w:rsidP="00840DEA">
      <w:pPr>
        <w:spacing w:after="0" w:line="276" w:lineRule="auto"/>
        <w:ind w:firstLine="709"/>
        <w:jc w:val="both"/>
        <w:rPr>
          <w:rFonts w:ascii="Verdana" w:hAnsi="Verdana" w:cs="Arial"/>
          <w:lang w:val="es-MX"/>
        </w:rPr>
      </w:pPr>
      <w:r w:rsidRPr="008B4DB0">
        <w:rPr>
          <w:rFonts w:ascii="Verdana" w:hAnsi="Verdana" w:cs="Arial"/>
          <w:lang w:val="es-MX"/>
        </w:rPr>
        <w:t>Con base en la norma enunciada de la Ley 80 de 1993, el Decreto Único Reglamentario del Sector Administrativo de Planeación Nacional –Decreto 1082 de 2015–, establece en el artículo 2.2.1.1.2.1.1. el contenido mínimo de los estudios y documentos previos:</w:t>
      </w:r>
    </w:p>
    <w:p w14:paraId="34C986F4" w14:textId="77777777" w:rsidR="00840DEA" w:rsidRPr="008B4DB0" w:rsidRDefault="00840DEA" w:rsidP="00840DEA">
      <w:pPr>
        <w:widowControl w:val="0"/>
        <w:autoSpaceDE w:val="0"/>
        <w:autoSpaceDN w:val="0"/>
        <w:spacing w:after="0" w:line="240" w:lineRule="auto"/>
        <w:ind w:left="709" w:right="709"/>
        <w:rPr>
          <w:rFonts w:ascii="Verdana" w:eastAsia="Arial" w:hAnsi="Verdana" w:cs="Arial"/>
          <w:lang w:val="es-ES"/>
        </w:rPr>
      </w:pPr>
    </w:p>
    <w:p w14:paraId="324B02FA" w14:textId="77777777" w:rsidR="00840DEA" w:rsidRPr="008B4DB0" w:rsidRDefault="00840DEA" w:rsidP="00840DEA">
      <w:pPr>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“Artículo 2.2.1.1.2.1.1.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w:t>
      </w:r>
      <w:r w:rsidRPr="008B4DB0">
        <w:rPr>
          <w:rFonts w:ascii="Verdana" w:hAnsi="Verdana" w:cs="Arial"/>
          <w:spacing w:val="-15"/>
          <w:sz w:val="20"/>
          <w:szCs w:val="20"/>
          <w:lang w:val="es-MX"/>
        </w:rPr>
        <w:t xml:space="preserve"> </w:t>
      </w:r>
      <w:r w:rsidRPr="008B4DB0">
        <w:rPr>
          <w:rFonts w:ascii="Verdana" w:hAnsi="Verdana" w:cs="Arial"/>
          <w:sz w:val="20"/>
          <w:szCs w:val="20"/>
          <w:lang w:val="es-MX"/>
        </w:rPr>
        <w:t>selección:</w:t>
      </w:r>
    </w:p>
    <w:p w14:paraId="02BDFD7A" w14:textId="77777777" w:rsidR="00840DEA" w:rsidRPr="008B4DB0" w:rsidRDefault="00840DEA" w:rsidP="00840DEA">
      <w:pPr>
        <w:widowControl w:val="0"/>
        <w:tabs>
          <w:tab w:val="left" w:pos="1223"/>
        </w:tabs>
        <w:autoSpaceDE w:val="0"/>
        <w:autoSpaceDN w:val="0"/>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1. La descripción de la necesidad que la Entidad Estatal pretende satisfacer con el Proceso de</w:t>
      </w:r>
      <w:r w:rsidRPr="008B4DB0">
        <w:rPr>
          <w:rFonts w:ascii="Verdana" w:hAnsi="Verdana" w:cs="Arial"/>
          <w:spacing w:val="-2"/>
          <w:sz w:val="20"/>
          <w:szCs w:val="20"/>
          <w:lang w:val="es-MX"/>
        </w:rPr>
        <w:t xml:space="preserve"> </w:t>
      </w:r>
      <w:r w:rsidRPr="008B4DB0">
        <w:rPr>
          <w:rFonts w:ascii="Verdana" w:hAnsi="Verdana" w:cs="Arial"/>
          <w:sz w:val="20"/>
          <w:szCs w:val="20"/>
          <w:lang w:val="es-MX"/>
        </w:rPr>
        <w:t>Contratación.</w:t>
      </w:r>
    </w:p>
    <w:p w14:paraId="4DB1DDD4" w14:textId="77777777" w:rsidR="00840DEA" w:rsidRPr="008B4DB0" w:rsidRDefault="00840DEA" w:rsidP="00840DEA">
      <w:pPr>
        <w:widowControl w:val="0"/>
        <w:tabs>
          <w:tab w:val="left" w:pos="1283"/>
        </w:tabs>
        <w:autoSpaceDE w:val="0"/>
        <w:autoSpaceDN w:val="0"/>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2. El objeto a contratar, con sus especificaciones, las autorizaciones, permisos y licencias requeridos para su ejecución, y cuando el contrato incluye diseño y construcción, los documentos técnicos para el desarrollo del</w:t>
      </w:r>
      <w:r w:rsidRPr="008B4DB0">
        <w:rPr>
          <w:rFonts w:ascii="Verdana" w:hAnsi="Verdana" w:cs="Arial"/>
          <w:spacing w:val="-12"/>
          <w:sz w:val="20"/>
          <w:szCs w:val="20"/>
          <w:lang w:val="es-MX"/>
        </w:rPr>
        <w:t xml:space="preserve"> </w:t>
      </w:r>
      <w:r w:rsidRPr="008B4DB0">
        <w:rPr>
          <w:rFonts w:ascii="Verdana" w:hAnsi="Verdana" w:cs="Arial"/>
          <w:sz w:val="20"/>
          <w:szCs w:val="20"/>
          <w:lang w:val="es-MX"/>
        </w:rPr>
        <w:t>proyecto.</w:t>
      </w:r>
    </w:p>
    <w:p w14:paraId="3B97E3D0" w14:textId="77777777" w:rsidR="00840DEA" w:rsidRPr="008B4DB0" w:rsidRDefault="00840DEA" w:rsidP="00840DEA">
      <w:pPr>
        <w:widowControl w:val="0"/>
        <w:tabs>
          <w:tab w:val="left" w:pos="1378"/>
        </w:tabs>
        <w:autoSpaceDE w:val="0"/>
        <w:autoSpaceDN w:val="0"/>
        <w:spacing w:after="0" w:line="240" w:lineRule="auto"/>
        <w:ind w:left="709" w:right="709"/>
        <w:jc w:val="both"/>
        <w:rPr>
          <w:rFonts w:ascii="Verdana" w:hAnsi="Verdana" w:cs="Arial"/>
          <w:sz w:val="20"/>
          <w:szCs w:val="20"/>
          <w:lang w:val="es-MX"/>
        </w:rPr>
      </w:pPr>
      <w:r w:rsidRPr="008B4DB0">
        <w:rPr>
          <w:rFonts w:ascii="Verdana" w:hAnsi="Verdana"/>
          <w:sz w:val="20"/>
          <w:szCs w:val="20"/>
          <w:lang w:val="es-MX"/>
        </w:rPr>
        <w:t xml:space="preserve">3. </w:t>
      </w:r>
      <w:r w:rsidRPr="008B4DB0">
        <w:rPr>
          <w:rFonts w:ascii="Verdana" w:hAnsi="Verdana" w:cs="Arial"/>
          <w:sz w:val="20"/>
          <w:szCs w:val="20"/>
          <w:lang w:val="es-MX"/>
        </w:rPr>
        <w:t xml:space="preserve">La modalidad de selección del contratista y su justificación, incluyendo </w:t>
      </w:r>
      <w:r w:rsidRPr="008B4DB0">
        <w:rPr>
          <w:rFonts w:ascii="Verdana" w:hAnsi="Verdana" w:cs="Arial"/>
          <w:sz w:val="20"/>
          <w:szCs w:val="20"/>
          <w:lang w:val="es-MX"/>
        </w:rPr>
        <w:lastRenderedPageBreak/>
        <w:t>los fundamentos jurídicos.</w:t>
      </w:r>
    </w:p>
    <w:p w14:paraId="4D0B6C37" w14:textId="77777777" w:rsidR="00840DEA" w:rsidRPr="008B4DB0" w:rsidRDefault="00840DEA" w:rsidP="00840DEA">
      <w:pPr>
        <w:widowControl w:val="0"/>
        <w:tabs>
          <w:tab w:val="left" w:pos="1273"/>
        </w:tabs>
        <w:autoSpaceDE w:val="0"/>
        <w:autoSpaceDN w:val="0"/>
        <w:spacing w:after="0" w:line="240" w:lineRule="auto"/>
        <w:ind w:left="709" w:right="709"/>
        <w:jc w:val="both"/>
        <w:rPr>
          <w:rFonts w:ascii="Verdana" w:hAnsi="Verdana" w:cs="Arial"/>
          <w:sz w:val="20"/>
          <w:szCs w:val="20"/>
          <w:lang w:val="es-MX"/>
        </w:rPr>
      </w:pPr>
      <w:r w:rsidRPr="008B4DB0">
        <w:rPr>
          <w:rFonts w:ascii="Verdana" w:hAnsi="Verdana" w:cs="Arial"/>
          <w:sz w:val="20"/>
          <w:szCs w:val="20"/>
          <w:lang w:val="es-MX"/>
        </w:rPr>
        <w:t xml:space="preserve">4. El valor estimado del contrato y la justificación </w:t>
      </w:r>
      <w:proofErr w:type="gramStart"/>
      <w:r w:rsidRPr="008B4DB0">
        <w:rPr>
          <w:rFonts w:ascii="Verdana" w:hAnsi="Verdana" w:cs="Arial"/>
          <w:sz w:val="20"/>
          <w:szCs w:val="20"/>
          <w:lang w:val="es-MX"/>
        </w:rPr>
        <w:t>del mismo</w:t>
      </w:r>
      <w:proofErr w:type="gramEnd"/>
      <w:r w:rsidRPr="008B4DB0">
        <w:rPr>
          <w:rFonts w:ascii="Verdana" w:hAnsi="Verdana" w:cs="Arial"/>
          <w:sz w:val="20"/>
          <w:szCs w:val="20"/>
          <w:lang w:val="es-MX"/>
        </w:rPr>
        <w:t>. Cuando el valor del contrato esté determinado por precios unitarios, la Entidad Estatal debe incluir la forma</w:t>
      </w:r>
      <w:r w:rsidRPr="008B4DB0">
        <w:rPr>
          <w:rFonts w:ascii="Verdana" w:hAnsi="Verdana" w:cs="Arial"/>
          <w:spacing w:val="8"/>
          <w:sz w:val="20"/>
          <w:szCs w:val="20"/>
          <w:lang w:val="es-MX"/>
        </w:rPr>
        <w:t xml:space="preserve"> </w:t>
      </w:r>
      <w:r w:rsidRPr="008B4DB0">
        <w:rPr>
          <w:rFonts w:ascii="Verdana" w:hAnsi="Verdana" w:cs="Arial"/>
          <w:sz w:val="20"/>
          <w:szCs w:val="20"/>
          <w:lang w:val="es-MX"/>
        </w:rPr>
        <w:t>como</w:t>
      </w:r>
      <w:r w:rsidRPr="008B4DB0">
        <w:rPr>
          <w:rFonts w:ascii="Verdana" w:hAnsi="Verdana" w:cs="Arial"/>
          <w:spacing w:val="7"/>
          <w:sz w:val="20"/>
          <w:szCs w:val="20"/>
          <w:lang w:val="es-MX"/>
        </w:rPr>
        <w:t xml:space="preserve"> </w:t>
      </w:r>
      <w:r w:rsidRPr="008B4DB0">
        <w:rPr>
          <w:rFonts w:ascii="Verdana" w:hAnsi="Verdana" w:cs="Arial"/>
          <w:sz w:val="20"/>
          <w:szCs w:val="20"/>
          <w:lang w:val="es-MX"/>
        </w:rPr>
        <w:t>los</w:t>
      </w:r>
      <w:r w:rsidRPr="008B4DB0">
        <w:rPr>
          <w:rFonts w:ascii="Verdana" w:hAnsi="Verdana" w:cs="Arial"/>
          <w:spacing w:val="9"/>
          <w:sz w:val="20"/>
          <w:szCs w:val="20"/>
          <w:lang w:val="es-MX"/>
        </w:rPr>
        <w:t xml:space="preserve"> </w:t>
      </w:r>
      <w:r w:rsidRPr="008B4DB0">
        <w:rPr>
          <w:rFonts w:ascii="Verdana" w:hAnsi="Verdana" w:cs="Arial"/>
          <w:sz w:val="20"/>
          <w:szCs w:val="20"/>
          <w:lang w:val="es-MX"/>
        </w:rPr>
        <w:t>calculó</w:t>
      </w:r>
      <w:r w:rsidRPr="008B4DB0">
        <w:rPr>
          <w:rFonts w:ascii="Verdana" w:hAnsi="Verdana" w:cs="Arial"/>
          <w:spacing w:val="14"/>
          <w:sz w:val="20"/>
          <w:szCs w:val="20"/>
          <w:lang w:val="es-MX"/>
        </w:rPr>
        <w:t xml:space="preserve"> </w:t>
      </w:r>
      <w:r w:rsidRPr="008B4DB0">
        <w:rPr>
          <w:rFonts w:ascii="Verdana" w:hAnsi="Verdana" w:cs="Arial"/>
          <w:sz w:val="20"/>
          <w:szCs w:val="20"/>
          <w:lang w:val="es-MX"/>
        </w:rPr>
        <w:t>y</w:t>
      </w:r>
      <w:r w:rsidRPr="008B4DB0">
        <w:rPr>
          <w:rFonts w:ascii="Verdana" w:hAnsi="Verdana" w:cs="Arial"/>
          <w:spacing w:val="7"/>
          <w:sz w:val="20"/>
          <w:szCs w:val="20"/>
          <w:lang w:val="es-MX"/>
        </w:rPr>
        <w:t xml:space="preserve"> </w:t>
      </w:r>
      <w:r w:rsidRPr="008B4DB0">
        <w:rPr>
          <w:rFonts w:ascii="Verdana" w:hAnsi="Verdana" w:cs="Arial"/>
          <w:sz w:val="20"/>
          <w:szCs w:val="20"/>
          <w:lang w:val="es-MX"/>
        </w:rPr>
        <w:t>soportar</w:t>
      </w:r>
      <w:r w:rsidRPr="008B4DB0">
        <w:rPr>
          <w:rFonts w:ascii="Verdana" w:hAnsi="Verdana" w:cs="Arial"/>
          <w:spacing w:val="10"/>
          <w:sz w:val="20"/>
          <w:szCs w:val="20"/>
          <w:lang w:val="es-MX"/>
        </w:rPr>
        <w:t xml:space="preserve"> </w:t>
      </w:r>
      <w:r w:rsidRPr="008B4DB0">
        <w:rPr>
          <w:rFonts w:ascii="Verdana" w:hAnsi="Verdana" w:cs="Arial"/>
          <w:sz w:val="20"/>
          <w:szCs w:val="20"/>
          <w:lang w:val="es-MX"/>
        </w:rPr>
        <w:t>sus</w:t>
      </w:r>
      <w:r w:rsidRPr="008B4DB0">
        <w:rPr>
          <w:rFonts w:ascii="Verdana" w:hAnsi="Verdana" w:cs="Arial"/>
          <w:spacing w:val="9"/>
          <w:sz w:val="20"/>
          <w:szCs w:val="20"/>
          <w:lang w:val="es-MX"/>
        </w:rPr>
        <w:t xml:space="preserve"> </w:t>
      </w:r>
      <w:r w:rsidRPr="008B4DB0">
        <w:rPr>
          <w:rFonts w:ascii="Verdana" w:hAnsi="Verdana" w:cs="Arial"/>
          <w:sz w:val="20"/>
          <w:szCs w:val="20"/>
          <w:lang w:val="es-MX"/>
        </w:rPr>
        <w:t>cálculos</w:t>
      </w:r>
      <w:r w:rsidRPr="008B4DB0">
        <w:rPr>
          <w:rFonts w:ascii="Verdana" w:hAnsi="Verdana" w:cs="Arial"/>
          <w:spacing w:val="12"/>
          <w:sz w:val="20"/>
          <w:szCs w:val="20"/>
          <w:lang w:val="es-MX"/>
        </w:rPr>
        <w:t xml:space="preserve"> </w:t>
      </w:r>
      <w:r w:rsidRPr="008B4DB0">
        <w:rPr>
          <w:rFonts w:ascii="Verdana" w:hAnsi="Verdana" w:cs="Arial"/>
          <w:sz w:val="20"/>
          <w:szCs w:val="20"/>
          <w:lang w:val="es-MX"/>
        </w:rPr>
        <w:t>de</w:t>
      </w:r>
      <w:r w:rsidRPr="008B4DB0">
        <w:rPr>
          <w:rFonts w:ascii="Verdana" w:hAnsi="Verdana" w:cs="Arial"/>
          <w:spacing w:val="11"/>
          <w:sz w:val="20"/>
          <w:szCs w:val="20"/>
          <w:lang w:val="es-MX"/>
        </w:rPr>
        <w:t xml:space="preserve"> </w:t>
      </w:r>
      <w:r w:rsidRPr="008B4DB0">
        <w:rPr>
          <w:rFonts w:ascii="Verdana" w:hAnsi="Verdana" w:cs="Arial"/>
          <w:sz w:val="20"/>
          <w:szCs w:val="20"/>
          <w:lang w:val="es-MX"/>
        </w:rPr>
        <w:t>presupuesto</w:t>
      </w:r>
      <w:r w:rsidRPr="008B4DB0">
        <w:rPr>
          <w:rFonts w:ascii="Verdana" w:hAnsi="Verdana" w:cs="Arial"/>
          <w:spacing w:val="10"/>
          <w:sz w:val="20"/>
          <w:szCs w:val="20"/>
          <w:lang w:val="es-MX"/>
        </w:rPr>
        <w:t xml:space="preserve"> </w:t>
      </w:r>
      <w:r w:rsidRPr="008B4DB0">
        <w:rPr>
          <w:rFonts w:ascii="Verdana" w:hAnsi="Verdana" w:cs="Arial"/>
          <w:sz w:val="20"/>
          <w:szCs w:val="20"/>
          <w:lang w:val="es-MX"/>
        </w:rPr>
        <w:t>en</w:t>
      </w:r>
      <w:r w:rsidRPr="008B4DB0">
        <w:rPr>
          <w:rFonts w:ascii="Verdana" w:hAnsi="Verdana" w:cs="Arial"/>
          <w:spacing w:val="8"/>
          <w:sz w:val="20"/>
          <w:szCs w:val="20"/>
          <w:lang w:val="es-MX"/>
        </w:rPr>
        <w:t xml:space="preserve"> </w:t>
      </w:r>
      <w:r w:rsidRPr="008B4DB0">
        <w:rPr>
          <w:rFonts w:ascii="Verdana" w:hAnsi="Verdana" w:cs="Arial"/>
          <w:sz w:val="20"/>
          <w:szCs w:val="20"/>
          <w:lang w:val="es-MX"/>
        </w:rPr>
        <w:t>la</w:t>
      </w:r>
      <w:r w:rsidRPr="008B4DB0">
        <w:rPr>
          <w:rFonts w:ascii="Verdana" w:hAnsi="Verdana" w:cs="Arial"/>
          <w:spacing w:val="11"/>
          <w:sz w:val="20"/>
          <w:szCs w:val="20"/>
          <w:lang w:val="es-MX"/>
        </w:rPr>
        <w:t xml:space="preserve"> </w:t>
      </w:r>
      <w:r w:rsidRPr="008B4DB0">
        <w:rPr>
          <w:rFonts w:ascii="Verdana" w:hAnsi="Verdana" w:cs="Arial"/>
          <w:sz w:val="20"/>
          <w:szCs w:val="20"/>
          <w:lang w:val="es-MX"/>
        </w:rPr>
        <w:t>estimación</w:t>
      </w:r>
      <w:r w:rsidRPr="008B4DB0">
        <w:rPr>
          <w:rFonts w:ascii="Verdana" w:hAnsi="Verdana" w:cs="Arial"/>
          <w:spacing w:val="11"/>
          <w:sz w:val="20"/>
          <w:szCs w:val="20"/>
          <w:lang w:val="es-MX"/>
        </w:rPr>
        <w:t xml:space="preserve"> </w:t>
      </w:r>
      <w:r w:rsidRPr="008B4DB0">
        <w:rPr>
          <w:rFonts w:ascii="Verdana" w:hAnsi="Verdana" w:cs="Arial"/>
          <w:sz w:val="20"/>
          <w:szCs w:val="20"/>
          <w:lang w:val="es-MX"/>
        </w:rPr>
        <w:t>de aquellos. La Entidad Estatal no debe publicar las variables utilizadas para calcular el valor estimado del contrato cuando la modalidad de selección del contratista sea en concurso de méritos. Si el contrato es de concesión, la Entidad Estatal no debe publicar el modelo financiero utilizado en su estructuración.</w:t>
      </w:r>
    </w:p>
    <w:p w14:paraId="4A436906" w14:textId="77777777" w:rsidR="00840DEA" w:rsidRPr="008B4DB0" w:rsidRDefault="00840DEA" w:rsidP="00840DEA">
      <w:pPr>
        <w:widowControl w:val="0"/>
        <w:tabs>
          <w:tab w:val="left" w:pos="1217"/>
        </w:tabs>
        <w:autoSpaceDE w:val="0"/>
        <w:autoSpaceDN w:val="0"/>
        <w:spacing w:after="0" w:line="240" w:lineRule="auto"/>
        <w:ind w:left="709" w:right="709"/>
        <w:rPr>
          <w:rFonts w:ascii="Verdana" w:hAnsi="Verdana" w:cs="Arial"/>
          <w:sz w:val="20"/>
          <w:szCs w:val="20"/>
          <w:lang w:val="es-MX"/>
        </w:rPr>
      </w:pPr>
      <w:r w:rsidRPr="008B4DB0">
        <w:rPr>
          <w:rFonts w:ascii="Verdana" w:hAnsi="Verdana" w:cs="Arial"/>
          <w:sz w:val="20"/>
          <w:szCs w:val="20"/>
          <w:lang w:val="es-MX"/>
        </w:rPr>
        <w:t>5. Los criterios para seleccionar la oferta más</w:t>
      </w:r>
      <w:r w:rsidRPr="008B4DB0">
        <w:rPr>
          <w:rFonts w:ascii="Verdana" w:hAnsi="Verdana" w:cs="Arial"/>
          <w:spacing w:val="-7"/>
          <w:sz w:val="20"/>
          <w:szCs w:val="20"/>
          <w:lang w:val="es-MX"/>
        </w:rPr>
        <w:t xml:space="preserve"> </w:t>
      </w:r>
      <w:r w:rsidRPr="008B4DB0">
        <w:rPr>
          <w:rFonts w:ascii="Verdana" w:hAnsi="Verdana" w:cs="Arial"/>
          <w:sz w:val="20"/>
          <w:szCs w:val="20"/>
          <w:lang w:val="es-MX"/>
        </w:rPr>
        <w:t>favorable.</w:t>
      </w:r>
    </w:p>
    <w:p w14:paraId="1720EC5D" w14:textId="77777777" w:rsidR="00840DEA" w:rsidRPr="008B4DB0" w:rsidRDefault="00840DEA" w:rsidP="00840DEA">
      <w:pPr>
        <w:widowControl w:val="0"/>
        <w:tabs>
          <w:tab w:val="left" w:pos="1217"/>
        </w:tabs>
        <w:autoSpaceDE w:val="0"/>
        <w:autoSpaceDN w:val="0"/>
        <w:spacing w:after="0" w:line="240" w:lineRule="auto"/>
        <w:ind w:left="709" w:right="709"/>
        <w:rPr>
          <w:rFonts w:ascii="Verdana" w:hAnsi="Verdana" w:cs="Arial"/>
          <w:sz w:val="20"/>
          <w:szCs w:val="20"/>
          <w:lang w:val="es-MX"/>
        </w:rPr>
      </w:pPr>
      <w:r w:rsidRPr="008B4DB0">
        <w:rPr>
          <w:rFonts w:ascii="Verdana" w:hAnsi="Verdana" w:cs="Arial"/>
          <w:sz w:val="20"/>
          <w:szCs w:val="20"/>
          <w:lang w:val="es-MX"/>
        </w:rPr>
        <w:t>6. El análisis de Riesgo y la forma de</w:t>
      </w:r>
      <w:r w:rsidRPr="008B4DB0">
        <w:rPr>
          <w:rFonts w:ascii="Verdana" w:hAnsi="Verdana" w:cs="Arial"/>
          <w:spacing w:val="-8"/>
          <w:sz w:val="20"/>
          <w:szCs w:val="20"/>
          <w:lang w:val="es-MX"/>
        </w:rPr>
        <w:t xml:space="preserve"> </w:t>
      </w:r>
      <w:r w:rsidRPr="008B4DB0">
        <w:rPr>
          <w:rFonts w:ascii="Verdana" w:hAnsi="Verdana" w:cs="Arial"/>
          <w:sz w:val="20"/>
          <w:szCs w:val="20"/>
          <w:lang w:val="es-MX"/>
        </w:rPr>
        <w:t>mitigarlo.</w:t>
      </w:r>
    </w:p>
    <w:p w14:paraId="651875D0" w14:textId="77777777" w:rsidR="00840DEA" w:rsidRPr="008B4DB0" w:rsidRDefault="00840DEA" w:rsidP="00840DEA">
      <w:pPr>
        <w:widowControl w:val="0"/>
        <w:tabs>
          <w:tab w:val="left" w:pos="1443"/>
        </w:tabs>
        <w:autoSpaceDE w:val="0"/>
        <w:autoSpaceDN w:val="0"/>
        <w:spacing w:after="0" w:line="240" w:lineRule="auto"/>
        <w:ind w:left="709" w:right="709"/>
        <w:rPr>
          <w:rFonts w:ascii="Verdana" w:hAnsi="Verdana" w:cs="Arial"/>
          <w:sz w:val="20"/>
          <w:szCs w:val="20"/>
          <w:lang w:val="es-MX"/>
        </w:rPr>
      </w:pPr>
      <w:r w:rsidRPr="008B4DB0">
        <w:rPr>
          <w:rFonts w:ascii="Verdana" w:hAnsi="Verdana" w:cs="Arial"/>
          <w:sz w:val="20"/>
          <w:szCs w:val="20"/>
          <w:lang w:val="es-MX"/>
        </w:rPr>
        <w:t>7. Las garantías que la Entidad Estatal contempla exigir en el Proceso de Contratación.</w:t>
      </w:r>
    </w:p>
    <w:p w14:paraId="766C9815" w14:textId="77777777" w:rsidR="00840DEA" w:rsidRPr="008B4DB0" w:rsidRDefault="00840DEA" w:rsidP="00840DEA">
      <w:pPr>
        <w:widowControl w:val="0"/>
        <w:tabs>
          <w:tab w:val="left" w:pos="1305"/>
        </w:tabs>
        <w:autoSpaceDE w:val="0"/>
        <w:autoSpaceDN w:val="0"/>
        <w:spacing w:after="0" w:line="240" w:lineRule="auto"/>
        <w:ind w:left="709" w:right="709"/>
        <w:rPr>
          <w:rFonts w:ascii="Verdana" w:hAnsi="Verdana" w:cs="Arial"/>
          <w:sz w:val="20"/>
          <w:szCs w:val="20"/>
          <w:lang w:val="es-MX"/>
        </w:rPr>
      </w:pPr>
      <w:r w:rsidRPr="008B4DB0">
        <w:rPr>
          <w:rFonts w:ascii="Verdana" w:hAnsi="Verdana" w:cs="Arial"/>
          <w:sz w:val="20"/>
          <w:szCs w:val="20"/>
          <w:lang w:val="es-MX"/>
        </w:rPr>
        <w:t>8. La indicación de si el Proceso de Contratación está cobijado por un Acuerdo Comercial”.</w:t>
      </w:r>
    </w:p>
    <w:p w14:paraId="3F135092" w14:textId="77777777" w:rsidR="00840DEA" w:rsidRPr="008B4DB0" w:rsidRDefault="00840DEA" w:rsidP="00840DEA">
      <w:pPr>
        <w:widowControl w:val="0"/>
        <w:tabs>
          <w:tab w:val="left" w:pos="1305"/>
        </w:tabs>
        <w:autoSpaceDE w:val="0"/>
        <w:autoSpaceDN w:val="0"/>
        <w:spacing w:after="0" w:line="240" w:lineRule="auto"/>
        <w:ind w:left="828" w:right="822"/>
        <w:rPr>
          <w:rFonts w:ascii="Verdana" w:hAnsi="Verdana" w:cs="Arial"/>
          <w:sz w:val="21"/>
          <w:szCs w:val="21"/>
          <w:lang w:val="es-MX"/>
        </w:rPr>
      </w:pPr>
    </w:p>
    <w:p w14:paraId="6306BD17" w14:textId="77777777" w:rsidR="00840DEA" w:rsidRPr="008B4DB0" w:rsidRDefault="00840DEA" w:rsidP="00840DEA">
      <w:pPr>
        <w:spacing w:after="120" w:line="276" w:lineRule="auto"/>
        <w:ind w:firstLine="709"/>
        <w:jc w:val="both"/>
        <w:rPr>
          <w:rFonts w:ascii="Verdana" w:hAnsi="Verdana"/>
          <w:lang w:val="es-MX"/>
        </w:rPr>
      </w:pPr>
      <w:bookmarkStart w:id="2" w:name="_Hlk54011351"/>
      <w:r w:rsidRPr="008B4DB0">
        <w:rPr>
          <w:rFonts w:ascii="Verdana" w:hAnsi="Verdana"/>
          <w:lang w:val="es-MX"/>
        </w:rPr>
        <w:t xml:space="preserve">De esta manera, antes de iniciar un procedimiento de selección, la entidad estatal podrá determinar con los estudios previos: i) la verdadera necesidad de la celebración del contrato; </w:t>
      </w:r>
      <w:proofErr w:type="spellStart"/>
      <w:r w:rsidRPr="008B4DB0">
        <w:rPr>
          <w:rFonts w:ascii="Verdana" w:hAnsi="Verdana"/>
          <w:lang w:val="es-MX"/>
        </w:rPr>
        <w:t>ii</w:t>
      </w:r>
      <w:proofErr w:type="spellEnd"/>
      <w:r w:rsidRPr="008B4DB0">
        <w:rPr>
          <w:rFonts w:ascii="Verdana" w:hAnsi="Verdana"/>
          <w:lang w:val="es-MX"/>
        </w:rPr>
        <w:t xml:space="preserve">) las modalidades existentes para satisfacer esa necesidad y las razones que justifiquen la modalidad o tipo contractual que se escoja; </w:t>
      </w:r>
      <w:proofErr w:type="spellStart"/>
      <w:r w:rsidRPr="008B4DB0">
        <w:rPr>
          <w:rFonts w:ascii="Verdana" w:hAnsi="Verdana"/>
          <w:lang w:val="es-MX"/>
        </w:rPr>
        <w:t>iii</w:t>
      </w:r>
      <w:proofErr w:type="spellEnd"/>
      <w:r w:rsidRPr="008B4DB0">
        <w:rPr>
          <w:rFonts w:ascii="Verdana" w:hAnsi="Verdana"/>
          <w:lang w:val="es-MX"/>
        </w:rPr>
        <w:t xml:space="preserve">) las calidades, especificaciones, cantidades y demás características que puedan o deban reunir los bienes, las obras, los servicios, etcétera, cuya contratación, se haya determinado necesaria, </w:t>
      </w:r>
      <w:proofErr w:type="spellStart"/>
      <w:r w:rsidRPr="008B4DB0">
        <w:rPr>
          <w:rFonts w:ascii="Verdana" w:hAnsi="Verdana"/>
          <w:lang w:val="es-MX"/>
        </w:rPr>
        <w:t>iv</w:t>
      </w:r>
      <w:proofErr w:type="spellEnd"/>
      <w:r w:rsidRPr="008B4DB0">
        <w:rPr>
          <w:rFonts w:ascii="Verdana" w:hAnsi="Verdana"/>
          <w:lang w:val="es-MX"/>
        </w:rPr>
        <w:t xml:space="preserve">)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 y </w:t>
      </w:r>
      <w:proofErr w:type="spellStart"/>
      <w:r w:rsidRPr="008B4DB0">
        <w:rPr>
          <w:rFonts w:ascii="Verdana" w:hAnsi="Verdana"/>
          <w:lang w:val="es-MX"/>
        </w:rPr>
        <w:t>vii</w:t>
      </w:r>
      <w:proofErr w:type="spellEnd"/>
      <w:r w:rsidRPr="008B4DB0">
        <w:rPr>
          <w:rFonts w:ascii="Verdana" w:hAnsi="Verdana"/>
          <w:lang w:val="es-MX"/>
        </w:rPr>
        <w:t>) los procedimientos, trámites y requisitos que deban satisfacerse, reunirse u obtenerse para llevar a cabo la selección del respectivo contratista y la celebración del contrato que se pretenda celebrar.</w:t>
      </w:r>
    </w:p>
    <w:bookmarkEnd w:id="2"/>
    <w:p w14:paraId="14910336" w14:textId="77777777" w:rsidR="00840DEA" w:rsidRPr="008B4DB0" w:rsidRDefault="00840DEA" w:rsidP="00840DEA">
      <w:pPr>
        <w:spacing w:after="120" w:line="276" w:lineRule="auto"/>
        <w:ind w:firstLine="709"/>
        <w:jc w:val="both"/>
        <w:rPr>
          <w:rFonts w:ascii="Verdana" w:hAnsi="Verdana"/>
          <w:lang w:val="es-MX"/>
        </w:rPr>
      </w:pPr>
      <w:r w:rsidRPr="008B4DB0">
        <w:rPr>
          <w:rFonts w:ascii="Verdana" w:hAnsi="Verdana"/>
          <w:lang w:val="es-MX"/>
        </w:rPr>
        <w:t xml:space="preserve">Cuando las entidades cumplen con los elementos mínimos establecidos en la norma y aquellos adicionales que identifiquen en la etapa de planeación de los </w:t>
      </w:r>
      <w:r w:rsidRPr="008B4DB0">
        <w:rPr>
          <w:rFonts w:ascii="Verdana" w:eastAsia="Calibri" w:hAnsi="Verdana"/>
          <w:bCs/>
          <w:lang w:val="es-ES_tradnl"/>
        </w:rPr>
        <w:t xml:space="preserve">procedimientos de contratación, permiten que los contratos resultantes cuenten con el sustento técnico, económico y jurídico que incidirá </w:t>
      </w:r>
      <w:r w:rsidRPr="008B4DB0">
        <w:rPr>
          <w:rFonts w:ascii="Verdana" w:hAnsi="Verdana"/>
          <w:lang w:val="es-MX"/>
        </w:rPr>
        <w:t>en una adecuada ejecución.</w:t>
      </w:r>
      <w:r>
        <w:rPr>
          <w:rFonts w:ascii="Verdana" w:hAnsi="Verdana"/>
          <w:lang w:val="es-MX"/>
        </w:rPr>
        <w:t xml:space="preserve"> </w:t>
      </w:r>
      <w:r w:rsidRPr="008B4DB0">
        <w:rPr>
          <w:rFonts w:ascii="Verdana" w:hAnsi="Verdana"/>
          <w:lang w:val="es-MX"/>
        </w:rPr>
        <w:t xml:space="preserve">Mas allá del cumplimiento de la normativa, </w:t>
      </w:r>
      <w:r w:rsidRPr="008B4DB0">
        <w:rPr>
          <w:rFonts w:ascii="Verdana" w:hAnsi="Verdana"/>
          <w:i/>
          <w:iCs/>
          <w:lang w:val="es-MX"/>
        </w:rPr>
        <w:t xml:space="preserve">“los estudios y documentos previos son el soporte para elaborar el proyecto de pliegos, los </w:t>
      </w:r>
      <w:r w:rsidRPr="008B4DB0">
        <w:rPr>
          <w:rFonts w:ascii="Verdana" w:hAnsi="Verdana"/>
          <w:i/>
          <w:iCs/>
          <w:lang w:val="es-MX"/>
        </w:rPr>
        <w:lastRenderedPageBreak/>
        <w:t>pliegos de condiciones, y el contrato”</w:t>
      </w:r>
      <w:r w:rsidRPr="008B4DB0">
        <w:rPr>
          <w:rFonts w:ascii="Verdana" w:hAnsi="Verdana"/>
          <w:i/>
          <w:iCs/>
          <w:vertAlign w:val="superscript"/>
          <w:lang w:val="es-MX"/>
        </w:rPr>
        <w:footnoteReference w:id="2"/>
      </w:r>
      <w:r w:rsidRPr="008B4DB0">
        <w:rPr>
          <w:rFonts w:ascii="Verdana" w:hAnsi="Verdana"/>
          <w:i/>
          <w:iCs/>
          <w:lang w:val="es-MX"/>
        </w:rPr>
        <w:t>,</w:t>
      </w:r>
      <w:r w:rsidRPr="008B4DB0">
        <w:rPr>
          <w:rFonts w:ascii="Verdana" w:hAnsi="Verdana"/>
          <w:lang w:val="es-MX"/>
        </w:rPr>
        <w:t xml:space="preserve"> por lo que deben publicarse en la etapa precontractual y sirven de motivación para los documentos expedidos unilateralmente por la entidad estatal tales como el acto administrativo de apertura, los pliegos de condiciones y el acto de adjudicación, entre otros.</w:t>
      </w:r>
    </w:p>
    <w:p w14:paraId="1A34D8A8" w14:textId="77777777" w:rsidR="00840DEA" w:rsidRPr="008B4DB0" w:rsidRDefault="00840DEA" w:rsidP="00840DEA">
      <w:pPr>
        <w:spacing w:after="0" w:line="276" w:lineRule="auto"/>
        <w:ind w:right="108" w:firstLine="709"/>
        <w:jc w:val="both"/>
        <w:rPr>
          <w:rFonts w:ascii="Verdana" w:hAnsi="Verdana"/>
          <w:lang w:val="es-MX"/>
        </w:rPr>
      </w:pPr>
      <w:bookmarkStart w:id="4" w:name="_Hlk54011438"/>
      <w:r w:rsidRPr="008B4DB0">
        <w:rPr>
          <w:rFonts w:ascii="Verdana" w:hAnsi="Verdana"/>
          <w:lang w:val="es-MX"/>
        </w:rPr>
        <w:t>De lo explicado</w:t>
      </w:r>
      <w:r>
        <w:rPr>
          <w:rFonts w:ascii="Verdana" w:hAnsi="Verdana"/>
          <w:lang w:val="es-MX"/>
        </w:rPr>
        <w:t xml:space="preserve">, se infiere </w:t>
      </w:r>
      <w:r w:rsidRPr="008B4DB0">
        <w:rPr>
          <w:rFonts w:ascii="Verdana" w:hAnsi="Verdana"/>
          <w:lang w:val="es-MX"/>
        </w:rPr>
        <w:t>que los estudios y documentos previos son necesarios antes de la celebración del contrato, pues fundamentan las condiciones que la entidad estatal exige en su proceso de contratación. Sin embargo, luego de la suscripción del contrato la entidad no debe actuar unilateralmente, sino que debe respetar la buena fe contractual y proceder de acuerdo con lo pactado</w:t>
      </w:r>
      <w:bookmarkEnd w:id="4"/>
      <w:r w:rsidRPr="008B4DB0">
        <w:rPr>
          <w:rFonts w:ascii="Verdana" w:hAnsi="Verdana"/>
          <w:vertAlign w:val="superscript"/>
          <w:lang w:val="es-MX"/>
        </w:rPr>
        <w:footnoteReference w:id="3"/>
      </w:r>
      <w:r w:rsidRPr="008B4DB0">
        <w:rPr>
          <w:rFonts w:ascii="Verdana" w:hAnsi="Verdana"/>
          <w:lang w:val="es-MX"/>
        </w:rPr>
        <w:t>.</w:t>
      </w:r>
    </w:p>
    <w:p w14:paraId="786854AF" w14:textId="77777777" w:rsidR="00840DEA" w:rsidRDefault="00840DEA" w:rsidP="00840DEA">
      <w:pPr>
        <w:spacing w:after="0" w:line="240" w:lineRule="auto"/>
        <w:jc w:val="both"/>
        <w:rPr>
          <w:rFonts w:ascii="Verdana" w:eastAsia="Aptos" w:hAnsi="Verdana" w:cs="Arial"/>
        </w:rPr>
      </w:pPr>
    </w:p>
    <w:p w14:paraId="5585AB7E" w14:textId="77777777" w:rsidR="00840DEA" w:rsidRPr="00584D6D" w:rsidRDefault="00840DEA" w:rsidP="00840DEA">
      <w:pPr>
        <w:spacing w:after="0" w:line="276" w:lineRule="auto"/>
        <w:jc w:val="both"/>
        <w:rPr>
          <w:rFonts w:ascii="Verdana" w:eastAsia="Aptos" w:hAnsi="Verdana" w:cs="Arial"/>
        </w:rPr>
      </w:pPr>
      <w:proofErr w:type="spellStart"/>
      <w:r>
        <w:rPr>
          <w:rFonts w:ascii="Verdana" w:eastAsia="Aptos" w:hAnsi="Verdana" w:cs="Arial"/>
        </w:rPr>
        <w:t>ii</w:t>
      </w:r>
      <w:proofErr w:type="spellEnd"/>
      <w:r>
        <w:rPr>
          <w:rFonts w:ascii="Verdana" w:eastAsia="Aptos" w:hAnsi="Verdana" w:cs="Arial"/>
        </w:rPr>
        <w:t>. A partir de este contexto general, es pertinente señalar que l</w:t>
      </w:r>
      <w:r w:rsidRPr="00584D6D">
        <w:rPr>
          <w:rFonts w:ascii="Verdana" w:eastAsia="Aptos" w:hAnsi="Verdana" w:cs="Arial"/>
        </w:rPr>
        <w:t xml:space="preserve">a organización de ferias, fiestas, eventos y espectáculos públicos por parte de las entidades </w:t>
      </w:r>
      <w:r>
        <w:rPr>
          <w:rFonts w:ascii="Verdana" w:eastAsia="Aptos" w:hAnsi="Verdana" w:cs="Arial"/>
        </w:rPr>
        <w:t xml:space="preserve">estatales </w:t>
      </w:r>
      <w:r w:rsidRPr="00584D6D">
        <w:rPr>
          <w:rFonts w:ascii="Verdana" w:eastAsia="Aptos" w:hAnsi="Verdana" w:cs="Arial"/>
        </w:rPr>
        <w:t xml:space="preserve">se rige por un </w:t>
      </w:r>
      <w:r w:rsidRPr="003D394E">
        <w:rPr>
          <w:rFonts w:ascii="Verdana" w:eastAsia="Aptos" w:hAnsi="Verdana" w:cs="Arial"/>
        </w:rPr>
        <w:t>marco jurídico contractual y presupuestal que exige identificar con precisión el objeto del contrato,</w:t>
      </w:r>
      <w:r w:rsidRPr="00584D6D">
        <w:rPr>
          <w:rFonts w:ascii="Verdana" w:eastAsia="Aptos" w:hAnsi="Verdana" w:cs="Arial"/>
        </w:rPr>
        <w:t xml:space="preserve"> pues depende la modalidad de selección, la naturaleza del vínculo y las obligaciones de las partes. En términos generales, la contratación estatal debe observar los principios</w:t>
      </w:r>
      <w:r>
        <w:rPr>
          <w:rFonts w:ascii="Verdana" w:eastAsia="Aptos" w:hAnsi="Verdana" w:cs="Arial"/>
        </w:rPr>
        <w:t xml:space="preserve"> de economía y con ello de la</w:t>
      </w:r>
      <w:r w:rsidRPr="00584D6D">
        <w:rPr>
          <w:rFonts w:ascii="Verdana" w:eastAsia="Aptos" w:hAnsi="Verdana" w:cs="Arial"/>
        </w:rPr>
        <w:t xml:space="preserve"> planeación, responsabilidad y transparencia previstos en la Ley 80 de 1993 y la Ley 1150 de 2007,</w:t>
      </w:r>
      <w:r>
        <w:rPr>
          <w:rFonts w:ascii="Verdana" w:eastAsia="Aptos" w:hAnsi="Verdana" w:cs="Arial"/>
        </w:rPr>
        <w:t xml:space="preserve"> </w:t>
      </w:r>
      <w:r w:rsidRPr="00584D6D">
        <w:rPr>
          <w:rFonts w:ascii="Verdana" w:eastAsia="Aptos" w:hAnsi="Verdana" w:cs="Arial"/>
        </w:rPr>
        <w:t>así como las reglas presupuestales sobre disponibilidad, registro y anualidad del gasto. La estructuración contractual debe partir de un análisis técnico, jurídico y financiero que permita determinar si la entidad requiere servicios logísticos, artísticos, culturales o una combinación de ellos, pues cada categoría activa regímenes y procedimientos distintos.</w:t>
      </w:r>
    </w:p>
    <w:p w14:paraId="0410EC99" w14:textId="77777777" w:rsidR="00840DEA" w:rsidRPr="00D46805" w:rsidRDefault="00840DEA" w:rsidP="00840DEA">
      <w:pPr>
        <w:spacing w:before="120" w:after="120" w:line="276" w:lineRule="auto"/>
        <w:ind w:firstLine="709"/>
        <w:jc w:val="both"/>
        <w:rPr>
          <w:rFonts w:ascii="Verdana" w:eastAsia="Aptos" w:hAnsi="Verdana" w:cs="Arial"/>
        </w:rPr>
      </w:pPr>
      <w:r w:rsidRPr="00D46805">
        <w:rPr>
          <w:rFonts w:ascii="Verdana" w:eastAsia="Aptos" w:hAnsi="Verdana" w:cs="Arial"/>
        </w:rPr>
        <w:t>En el ámbito operativo, las entidades estatales pueden acudir a contratos de operación logística para la organización integral o parcial de ferias, fiestas, eventos y espectáculos culturales. Este tipo de contratos permite articular, en un solo instrumento, actividades como la producción técnica, el montaje, la logística general, la promoción, la difusión</w:t>
      </w:r>
      <w:r>
        <w:rPr>
          <w:rFonts w:ascii="Verdana" w:eastAsia="Aptos" w:hAnsi="Verdana" w:cs="Arial"/>
        </w:rPr>
        <w:t xml:space="preserve"> mediante campañas publicitarias, la contratación de artistas y gestores culturales </w:t>
      </w:r>
      <w:r w:rsidRPr="00D46805">
        <w:rPr>
          <w:rFonts w:ascii="Verdana" w:eastAsia="Aptos" w:hAnsi="Verdana" w:cs="Arial"/>
        </w:rPr>
        <w:t xml:space="preserve">y demás acciones necesarias para </w:t>
      </w:r>
      <w:r w:rsidRPr="00D46805">
        <w:rPr>
          <w:rFonts w:ascii="Verdana" w:eastAsia="Aptos" w:hAnsi="Verdana" w:cs="Arial"/>
        </w:rPr>
        <w:lastRenderedPageBreak/>
        <w:t xml:space="preserve">garantizar el adecuado desarrollo del evento. Su celebración puede realizarse con </w:t>
      </w:r>
      <w:r w:rsidRPr="004F56FC">
        <w:rPr>
          <w:rFonts w:ascii="Verdana" w:eastAsia="Aptos" w:hAnsi="Verdana" w:cs="Arial"/>
        </w:rPr>
        <w:t>operadores logísticos especializados o con entidades sin ánimo de lucro dedicadas a la gestión cultural,</w:t>
      </w:r>
      <w:r w:rsidRPr="00D46805">
        <w:rPr>
          <w:rFonts w:ascii="Verdana" w:eastAsia="Aptos" w:hAnsi="Verdana" w:cs="Arial"/>
        </w:rPr>
        <w:t xml:space="preserve"> siempre que acrediten idoneidad, experiencia y capacidad operativa. En todo caso, la entidad debe observar los principios de planeación, responsabilidad y selección objetiva, asegurando que la decisión contractual responda a un análisis previo serio, documentado y ajustado a las necesidades institucionales.</w:t>
      </w:r>
    </w:p>
    <w:p w14:paraId="18516BAC" w14:textId="77777777" w:rsidR="00840DEA" w:rsidRPr="004F56FC" w:rsidRDefault="00840DEA" w:rsidP="00840DEA">
      <w:pPr>
        <w:spacing w:before="120" w:after="120" w:line="276" w:lineRule="auto"/>
        <w:ind w:firstLine="709"/>
        <w:jc w:val="both"/>
        <w:rPr>
          <w:rFonts w:ascii="Verdana" w:eastAsia="Aptos" w:hAnsi="Verdana" w:cs="Arial"/>
        </w:rPr>
      </w:pPr>
      <w:r w:rsidRPr="00D46805">
        <w:rPr>
          <w:rFonts w:ascii="Verdana" w:eastAsia="Aptos" w:hAnsi="Verdana" w:cs="Arial"/>
        </w:rPr>
        <w:t xml:space="preserve">Para determinar la modalidad de selección aplicable, la entidad debe remitirse al </w:t>
      </w:r>
      <w:r w:rsidRPr="004F56FC">
        <w:rPr>
          <w:rFonts w:ascii="Verdana" w:eastAsia="Aptos" w:hAnsi="Verdana" w:cs="Arial"/>
        </w:rPr>
        <w:t>artículo 2 de la Ley 1150 de 2007,</w:t>
      </w:r>
      <w:r w:rsidRPr="00D46805">
        <w:rPr>
          <w:rFonts w:ascii="Verdana" w:eastAsia="Aptos" w:hAnsi="Verdana" w:cs="Arial"/>
        </w:rPr>
        <w:t xml:space="preserve"> que establece que la escogencia del contratista se realizará, como regla general, mediante </w:t>
      </w:r>
      <w:r w:rsidRPr="004F56FC">
        <w:rPr>
          <w:rFonts w:ascii="Verdana" w:eastAsia="Aptos" w:hAnsi="Verdana" w:cs="Arial"/>
        </w:rPr>
        <w:t>licitación pública, salvo las excepciones previstas para la selección abreviada, el concurso de méritos y la contratación directa. Este marco normativo exige que la administración evalúe el objeto contractual, la naturaleza de las prestaciones, la cuantía, la urgencia del servicio y las condiciones del mercado, con el fin de escoger la modalidad que mejor garantice la concurrencia, la transparencia y la eficiencia del gasto público. De esta manera, la decisión sobre el procedimiento de selección no puede ser arbitraria ni automática, sino el resultado de un ejercicio de planeación riguroso y verificable.</w:t>
      </w:r>
    </w:p>
    <w:p w14:paraId="069C60E8" w14:textId="77777777" w:rsidR="00840DEA" w:rsidRPr="00AE38A7" w:rsidRDefault="00840DEA" w:rsidP="00840DEA">
      <w:pPr>
        <w:spacing w:before="120" w:after="120" w:line="276" w:lineRule="auto"/>
        <w:ind w:firstLine="709"/>
        <w:jc w:val="both"/>
        <w:rPr>
          <w:rFonts w:ascii="Verdana" w:eastAsia="Aptos" w:hAnsi="Verdana" w:cs="Arial"/>
        </w:rPr>
      </w:pPr>
      <w:r w:rsidRPr="00AE38A7">
        <w:rPr>
          <w:rFonts w:ascii="Verdana" w:eastAsia="Aptos" w:hAnsi="Verdana" w:cs="Arial"/>
        </w:rPr>
        <w:t xml:space="preserve">En relación con los contratos de operación logística, es fundamental reiterar que su naturaleza de contratos mixtos —al integrar prestaciones propias de varios contratos nominados para satisfacer una necesidad común— impide la existencia de un procedimiento de selección exclusivo o predeterminado. Por ello, no es </w:t>
      </w:r>
      <w:r>
        <w:rPr>
          <w:rFonts w:ascii="Verdana" w:eastAsia="Aptos" w:hAnsi="Verdana" w:cs="Arial"/>
        </w:rPr>
        <w:t xml:space="preserve">procedente </w:t>
      </w:r>
      <w:r w:rsidRPr="00AE38A7">
        <w:rPr>
          <w:rFonts w:ascii="Verdana" w:eastAsia="Aptos" w:hAnsi="Verdana" w:cs="Arial"/>
        </w:rPr>
        <w:t>establecer un criterio uniforme que obligue a utilizar siempre la misma modalidad de selección. La entidad, en ejercicio del principio de planeación, debe analizar el objeto, la cuantía, las condiciones del mercado, la urgencia y la disponibilidad presupuestal para determinar si procede la licitación pública, la selección abreviada por menor cuantía, la mínima cuantía, o incluso la contratación directa cuando se configure una causal legal, como ocurre con los contratos interadministrativos</w:t>
      </w:r>
      <w:r>
        <w:rPr>
          <w:rFonts w:ascii="Verdana" w:eastAsia="Aptos" w:hAnsi="Verdana" w:cs="Arial"/>
        </w:rPr>
        <w:t>, conforme al artículo 2.4. literal c de la Ley 1150 de 2007</w:t>
      </w:r>
      <w:r w:rsidRPr="00AE38A7">
        <w:rPr>
          <w:rFonts w:ascii="Verdana" w:eastAsia="Aptos" w:hAnsi="Verdana" w:cs="Arial"/>
        </w:rPr>
        <w:t>. Lo determinante es que la modalidad elegida sea coherente con las características del servicio requerido y con los principios rectores de la contratación estatal.</w:t>
      </w:r>
    </w:p>
    <w:p w14:paraId="383E5955" w14:textId="77777777" w:rsidR="00840DEA" w:rsidRPr="00AE38A7" w:rsidRDefault="00840DEA" w:rsidP="00840DEA">
      <w:pPr>
        <w:spacing w:before="120" w:after="120" w:line="276" w:lineRule="auto"/>
        <w:ind w:firstLine="709"/>
        <w:jc w:val="both"/>
        <w:rPr>
          <w:rFonts w:ascii="Verdana" w:eastAsia="Aptos" w:hAnsi="Verdana" w:cs="Arial"/>
        </w:rPr>
      </w:pPr>
      <w:r>
        <w:rPr>
          <w:rFonts w:ascii="Verdana" w:eastAsia="Aptos" w:hAnsi="Verdana" w:cs="Arial"/>
        </w:rPr>
        <w:t xml:space="preserve">De acuerdo con lo expuesto, </w:t>
      </w:r>
      <w:r w:rsidRPr="00AE38A7">
        <w:rPr>
          <w:rFonts w:ascii="Verdana" w:eastAsia="Aptos" w:hAnsi="Verdana" w:cs="Arial"/>
        </w:rPr>
        <w:t xml:space="preserve">la estructuración de ferias, fiestas y eventos con un componente de promoción cultural puede adelantarse mediante la contratación de operadores logísticos, que pueden ser tanto empresas </w:t>
      </w:r>
      <w:r w:rsidRPr="00AE38A7">
        <w:rPr>
          <w:rFonts w:ascii="Verdana" w:eastAsia="Aptos" w:hAnsi="Verdana" w:cs="Arial"/>
        </w:rPr>
        <w:lastRenderedPageBreak/>
        <w:t>especializadas como entidades sin ánimo de lucro dedicadas a la gestión y promoción cultural. La elección del tipo de operador dependerá del enfoque del evento, de la experiencia requerida y del alcance de las actividades a desarrollar. Cuando el énfasis del proyecto es la articulación comunitaria, la circulación artística o el fortalecimiento de procesos culturales locales, la participación de entidades sin ánimo de lucro puede resultar especialmente pertinente. En todos los casos, la entidad debe verificar la idoneidad del operador, definir con precisión las obligaciones contractuales y garantizar que la modalidad de selección empleada responda a criterios objetivos, transparentes y ajustados al marco normativo vigente.</w:t>
      </w:r>
    </w:p>
    <w:p w14:paraId="4AF5DC6F" w14:textId="77777777" w:rsidR="00840DEA" w:rsidRPr="00584115" w:rsidRDefault="00840DEA" w:rsidP="00840DEA">
      <w:pPr>
        <w:spacing w:before="120" w:after="120" w:line="276" w:lineRule="auto"/>
        <w:ind w:firstLine="708"/>
        <w:jc w:val="both"/>
        <w:rPr>
          <w:rFonts w:ascii="Verdana" w:eastAsia="Aptos" w:hAnsi="Verdana" w:cs="Arial"/>
        </w:rPr>
      </w:pPr>
      <w:r w:rsidRPr="004F56FC">
        <w:rPr>
          <w:rFonts w:ascii="Verdana" w:eastAsia="Aptos" w:hAnsi="Verdana" w:cs="Arial"/>
        </w:rPr>
        <w:t xml:space="preserve">De manera complementaria, cuando la finalidad principal del vínculo no es la simple adquisición de servicios, sino la promoción, fortalecimiento o desarrollo de actividades artísticas y culturales de interés público, las entidades pueden acudir a los </w:t>
      </w:r>
      <w:r>
        <w:rPr>
          <w:rFonts w:ascii="Verdana" w:eastAsia="Aptos" w:hAnsi="Verdana" w:cs="Arial"/>
        </w:rPr>
        <w:t xml:space="preserve">convenios del Decreto 092 de 2017 con fundamento en el artículo 355 de la Constitución Política. El precitado Decreto regula dos eventos: </w:t>
      </w:r>
      <w:r w:rsidRPr="00F17EB6">
        <w:rPr>
          <w:rFonts w:ascii="Verdana" w:eastAsia="Calibri" w:hAnsi="Verdana" w:cs="Arial"/>
          <w:color w:val="000000"/>
          <w:lang w:val="es-MX"/>
        </w:rPr>
        <w:t xml:space="preserve">i) los </w:t>
      </w:r>
      <w:r w:rsidRPr="00F17EB6">
        <w:rPr>
          <w:rFonts w:ascii="Verdana" w:eastAsia="Calibri" w:hAnsi="Verdana" w:cs="Arial"/>
          <w:i/>
          <w:iCs/>
          <w:color w:val="000000"/>
          <w:lang w:val="es-MX"/>
        </w:rPr>
        <w:t>contratos de colaboración</w:t>
      </w:r>
      <w:r w:rsidRPr="00F17EB6">
        <w:rPr>
          <w:rFonts w:ascii="Verdana" w:eastAsia="Calibri" w:hAnsi="Verdana" w:cs="Arial"/>
          <w:color w:val="000000"/>
          <w:lang w:val="es-MX"/>
        </w:rPr>
        <w:t xml:space="preserve"> o de interés público, con el fin impulsar programas y actividades de interés público de acuerdo con el Plan Nacional o los planes seccionales de desarrollo, en los términos del artículo 355 de la Constitución Política; y </w:t>
      </w:r>
      <w:proofErr w:type="spellStart"/>
      <w:r w:rsidRPr="00F17EB6">
        <w:rPr>
          <w:rFonts w:ascii="Verdana" w:eastAsia="Calibri" w:hAnsi="Verdana" w:cs="Arial"/>
          <w:color w:val="000000"/>
          <w:lang w:val="es-MX"/>
        </w:rPr>
        <w:t>ii</w:t>
      </w:r>
      <w:proofErr w:type="spellEnd"/>
      <w:r w:rsidRPr="00F17EB6">
        <w:rPr>
          <w:rFonts w:ascii="Verdana" w:eastAsia="Calibri" w:hAnsi="Verdana" w:cs="Arial"/>
          <w:color w:val="000000"/>
          <w:lang w:val="es-MX"/>
        </w:rPr>
        <w:t xml:space="preserve">) los </w:t>
      </w:r>
      <w:r w:rsidRPr="00F17EB6">
        <w:rPr>
          <w:rFonts w:ascii="Verdana" w:eastAsia="Calibri" w:hAnsi="Verdana" w:cs="Arial"/>
          <w:i/>
          <w:iCs/>
          <w:color w:val="000000"/>
          <w:lang w:val="es-MX"/>
        </w:rPr>
        <w:t>convenios de asociación</w:t>
      </w:r>
      <w:r w:rsidRPr="00F17EB6">
        <w:rPr>
          <w:rFonts w:ascii="Verdana" w:eastAsia="Calibri" w:hAnsi="Verdana" w:cs="Arial"/>
          <w:color w:val="000000"/>
          <w:lang w:val="es-MX"/>
        </w:rPr>
        <w:t xml:space="preserve">, para el desarrollo conjunto de actividades relacionadas con las funciones de las entidades estatales, en desarrollo del artículo 96 de la Ley 489 de 1998. Los primeros están regulados en el artículo 2 del Decreto 92 de 2017, mientras que los segundos en los artículos 5, 6, 7 y 8 </w:t>
      </w:r>
      <w:r w:rsidRPr="00F17EB6">
        <w:rPr>
          <w:rFonts w:ascii="Verdana" w:eastAsia="Calibri" w:hAnsi="Verdana" w:cs="Arial"/>
          <w:i/>
          <w:iCs/>
          <w:color w:val="000000"/>
          <w:lang w:val="es-MX"/>
        </w:rPr>
        <w:t>ibidem</w:t>
      </w:r>
      <w:r w:rsidRPr="00F17EB6">
        <w:rPr>
          <w:rFonts w:ascii="Verdana" w:eastAsia="Calibri" w:hAnsi="Verdana" w:cs="Arial"/>
          <w:color w:val="000000"/>
          <w:lang w:val="es-MX"/>
        </w:rPr>
        <w:t xml:space="preserve">. Es posible diferenciar, pues, los </w:t>
      </w:r>
      <w:r w:rsidRPr="00F17EB6">
        <w:rPr>
          <w:rFonts w:ascii="Verdana" w:eastAsia="Calibri" w:hAnsi="Verdana" w:cs="Arial"/>
          <w:i/>
          <w:iCs/>
          <w:color w:val="000000"/>
          <w:lang w:val="es-MX"/>
        </w:rPr>
        <w:t>convenios de asociación</w:t>
      </w:r>
      <w:r w:rsidRPr="00F17EB6">
        <w:rPr>
          <w:rFonts w:ascii="Verdana" w:eastAsia="Calibri" w:hAnsi="Verdana" w:cs="Arial"/>
          <w:color w:val="000000"/>
          <w:lang w:val="es-MX"/>
        </w:rPr>
        <w:t xml:space="preserve">, regulados en el artículo 5, de los </w:t>
      </w:r>
      <w:r w:rsidRPr="00F17EB6">
        <w:rPr>
          <w:rFonts w:ascii="Verdana" w:eastAsia="Calibri" w:hAnsi="Verdana" w:cs="Arial"/>
          <w:i/>
          <w:iCs/>
          <w:color w:val="000000"/>
          <w:lang w:val="es-MX"/>
        </w:rPr>
        <w:t>contratos de colaboración</w:t>
      </w:r>
      <w:r w:rsidRPr="00F17EB6">
        <w:rPr>
          <w:rFonts w:ascii="Verdana" w:eastAsia="Calibri" w:hAnsi="Verdana" w:cs="Arial"/>
          <w:color w:val="000000"/>
          <w:lang w:val="es-MX"/>
        </w:rPr>
        <w:t>, establecidos en el artículo 2 del Decreto 092 de 2017</w:t>
      </w:r>
      <w:r w:rsidRPr="00F17EB6">
        <w:rPr>
          <w:rFonts w:ascii="Verdana" w:eastAsia="Calibri" w:hAnsi="Verdana" w:cs="Arial"/>
          <w:color w:val="000000"/>
          <w:vertAlign w:val="superscript"/>
          <w:lang w:val="es-MX"/>
        </w:rPr>
        <w:footnoteReference w:id="4"/>
      </w:r>
      <w:r w:rsidRPr="00F17EB6">
        <w:rPr>
          <w:rFonts w:ascii="Verdana" w:eastAsia="Calibri" w:hAnsi="Verdana" w:cs="Arial"/>
          <w:color w:val="000000"/>
          <w:lang w:val="es-MX"/>
        </w:rPr>
        <w:t xml:space="preserve">. </w:t>
      </w:r>
      <w:r w:rsidRPr="00A745FA">
        <w:rPr>
          <w:rFonts w:ascii="Verdana" w:eastAsia="Calibri" w:hAnsi="Verdana" w:cs="Arial"/>
          <w:color w:val="000000"/>
        </w:rPr>
        <w:t xml:space="preserve">Al respecto, La Sala de Consulta y Servicio Civil del Consejo de Estado haciendo un análisis del Decreto 777 de 1992 y asimilándolo en el Decreto 092 de 2017, estableció diferencias entre los contratos de apoyo y los convenios de asociación, expresando: </w:t>
      </w:r>
    </w:p>
    <w:p w14:paraId="55165DE6" w14:textId="77777777" w:rsidR="00840DEA" w:rsidRPr="00A745FA" w:rsidRDefault="00840DEA" w:rsidP="00840DEA">
      <w:pPr>
        <w:spacing w:after="0" w:line="276" w:lineRule="auto"/>
        <w:ind w:firstLine="708"/>
        <w:jc w:val="both"/>
        <w:rPr>
          <w:rFonts w:ascii="Verdana" w:eastAsia="Calibri" w:hAnsi="Verdana"/>
          <w:bCs/>
          <w:iCs/>
          <w:color w:val="000000"/>
        </w:rPr>
      </w:pPr>
    </w:p>
    <w:p w14:paraId="561D16A5" w14:textId="77777777" w:rsidR="00840DEA" w:rsidRPr="008C1758" w:rsidRDefault="00840DEA" w:rsidP="00840DEA">
      <w:pPr>
        <w:spacing w:after="0" w:line="240" w:lineRule="auto"/>
        <w:ind w:left="709" w:right="709"/>
        <w:jc w:val="both"/>
        <w:rPr>
          <w:rFonts w:ascii="Verdana" w:eastAsia="Calibri" w:hAnsi="Verdana"/>
          <w:bCs/>
          <w:iCs/>
          <w:color w:val="000000"/>
          <w:sz w:val="20"/>
          <w:szCs w:val="20"/>
        </w:rPr>
      </w:pPr>
      <w:r>
        <w:rPr>
          <w:rFonts w:ascii="Verdana" w:eastAsia="Calibri" w:hAnsi="Verdana"/>
          <w:color w:val="000000"/>
          <w:sz w:val="20"/>
          <w:szCs w:val="20"/>
          <w:lang w:val="es-ES"/>
        </w:rPr>
        <w:t>“</w:t>
      </w:r>
      <w:r w:rsidRPr="008C1758">
        <w:rPr>
          <w:rFonts w:ascii="Verdana" w:eastAsia="Calibri" w:hAnsi="Verdana"/>
          <w:bCs/>
          <w:iCs/>
          <w:color w:val="000000"/>
          <w:sz w:val="20"/>
          <w:szCs w:val="20"/>
        </w:rPr>
        <w:t>1ª) Los contratos de apoyo se celebran con personas jurídicas privadas sin ánimo de lucro. Los contratos de asociación se celebran con personas jurídicas privadas con o sin ánimo de lucro.</w:t>
      </w:r>
    </w:p>
    <w:p w14:paraId="34FAACD5" w14:textId="77777777" w:rsidR="00840DEA" w:rsidRPr="008C1758" w:rsidRDefault="00840DEA" w:rsidP="00840DEA">
      <w:pPr>
        <w:spacing w:after="0" w:line="240" w:lineRule="auto"/>
        <w:ind w:left="709" w:right="709"/>
        <w:jc w:val="both"/>
        <w:rPr>
          <w:rFonts w:ascii="Verdana" w:eastAsia="Calibri" w:hAnsi="Verdana"/>
          <w:bCs/>
          <w:iCs/>
          <w:color w:val="000000"/>
          <w:sz w:val="20"/>
          <w:szCs w:val="20"/>
        </w:rPr>
      </w:pPr>
    </w:p>
    <w:p w14:paraId="0FC528A5" w14:textId="77777777" w:rsidR="00840DEA" w:rsidRPr="008C1758" w:rsidRDefault="00840DEA" w:rsidP="00840DEA">
      <w:pPr>
        <w:spacing w:after="0" w:line="240" w:lineRule="auto"/>
        <w:ind w:left="709" w:right="709"/>
        <w:jc w:val="both"/>
        <w:rPr>
          <w:rFonts w:ascii="Verdana" w:eastAsia="Calibri" w:hAnsi="Verdana"/>
          <w:bCs/>
          <w:iCs/>
          <w:color w:val="000000"/>
          <w:sz w:val="20"/>
          <w:szCs w:val="20"/>
        </w:rPr>
      </w:pPr>
      <w:r w:rsidRPr="008C1758">
        <w:rPr>
          <w:rFonts w:ascii="Verdana" w:eastAsia="Calibri" w:hAnsi="Verdana"/>
          <w:bCs/>
          <w:iCs/>
          <w:color w:val="000000"/>
          <w:sz w:val="20"/>
          <w:szCs w:val="20"/>
        </w:rPr>
        <w:lastRenderedPageBreak/>
        <w:t>2ª) Los contratos de apoyo se celebran para impulsar programas y actividades de interés público acordes con los planes de desarrollo. Los contratos de asociación se pueden celebrar con esa finalidad, pero también para el desarrollo conjunto de actividades en relación con los cometidos y funciones asignadas legalmente a las entidades estatales.</w:t>
      </w:r>
    </w:p>
    <w:p w14:paraId="19B4FD70" w14:textId="77777777" w:rsidR="00840DEA" w:rsidRPr="008C1758" w:rsidRDefault="00840DEA" w:rsidP="00840DEA">
      <w:pPr>
        <w:spacing w:after="0" w:line="240" w:lineRule="auto"/>
        <w:ind w:left="709" w:right="709"/>
        <w:jc w:val="both"/>
        <w:rPr>
          <w:rFonts w:ascii="Verdana" w:eastAsia="Calibri" w:hAnsi="Verdana"/>
          <w:bCs/>
          <w:iCs/>
          <w:color w:val="000000"/>
          <w:sz w:val="20"/>
          <w:szCs w:val="20"/>
        </w:rPr>
      </w:pPr>
    </w:p>
    <w:p w14:paraId="4F6B6DB4" w14:textId="77777777" w:rsidR="00840DEA" w:rsidRPr="008C1758" w:rsidRDefault="00840DEA" w:rsidP="00840DEA">
      <w:pPr>
        <w:spacing w:after="0" w:line="240" w:lineRule="auto"/>
        <w:ind w:left="709" w:right="709"/>
        <w:jc w:val="both"/>
        <w:rPr>
          <w:rFonts w:ascii="Verdana" w:eastAsia="Calibri" w:hAnsi="Verdana"/>
          <w:bCs/>
          <w:iCs/>
          <w:color w:val="000000"/>
          <w:sz w:val="20"/>
          <w:szCs w:val="20"/>
        </w:rPr>
      </w:pPr>
      <w:r w:rsidRPr="008C1758">
        <w:rPr>
          <w:rFonts w:ascii="Verdana" w:eastAsia="Calibri" w:hAnsi="Verdana" w:cs="Arial"/>
          <w:bCs/>
          <w:iCs/>
          <w:color w:val="000000"/>
          <w:sz w:val="20"/>
          <w:szCs w:val="20"/>
        </w:rPr>
        <w:t xml:space="preserve">3ª) Los contratos de apoyo se celebran con cargo al respectivo presupuesto de la entidad pública. En los contratos de asociación se deben determinar, como señala el inciso segundo del citado artículo </w:t>
      </w:r>
      <w:r w:rsidRPr="004608D1">
        <w:rPr>
          <w:rFonts w:ascii="Verdana" w:eastAsia="Calibri" w:hAnsi="Verdana" w:cs="Arial"/>
          <w:bCs/>
          <w:iCs/>
          <w:color w:val="000000"/>
          <w:sz w:val="20"/>
          <w:szCs w:val="20"/>
        </w:rPr>
        <w:t>96, los</w:t>
      </w:r>
      <w:r w:rsidRPr="008C1758">
        <w:rPr>
          <w:rFonts w:ascii="Verdana" w:eastAsia="Calibri" w:hAnsi="Verdana" w:cs="Arial"/>
          <w:bCs/>
          <w:iCs/>
          <w:color w:val="000000"/>
          <w:sz w:val="20"/>
          <w:szCs w:val="20"/>
        </w:rPr>
        <w:t xml:space="preserve"> </w:t>
      </w:r>
      <w:r w:rsidRPr="008C1758">
        <w:rPr>
          <w:rFonts w:ascii="Verdana" w:eastAsia="Calibri" w:hAnsi="Verdana" w:cs="Arial"/>
          <w:bCs/>
          <w:i/>
          <w:iCs/>
          <w:color w:val="000000"/>
          <w:sz w:val="20"/>
          <w:szCs w:val="20"/>
        </w:rPr>
        <w:t>“aportes”</w:t>
      </w:r>
      <w:r w:rsidRPr="008C1758">
        <w:rPr>
          <w:rFonts w:ascii="Verdana" w:eastAsia="Calibri" w:hAnsi="Verdana" w:cs="Arial"/>
          <w:bCs/>
          <w:iCs/>
          <w:color w:val="000000"/>
          <w:sz w:val="20"/>
          <w:szCs w:val="20"/>
        </w:rPr>
        <w:t xml:space="preserve"> tanto de la entidad pública como de la persona jurídica particular</w:t>
      </w:r>
      <w:r>
        <w:rPr>
          <w:rFonts w:ascii="Verdana" w:eastAsia="Calibri" w:hAnsi="Verdana" w:cs="Arial"/>
          <w:color w:val="000000"/>
          <w:sz w:val="20"/>
          <w:szCs w:val="20"/>
        </w:rPr>
        <w:t>”</w:t>
      </w:r>
      <w:r w:rsidRPr="008C1758">
        <w:rPr>
          <w:rFonts w:ascii="Verdana" w:eastAsia="Calibri" w:hAnsi="Verdana" w:cs="Arial"/>
          <w:bCs/>
          <w:iCs/>
          <w:color w:val="000000"/>
          <w:sz w:val="20"/>
          <w:szCs w:val="20"/>
          <w:vertAlign w:val="superscript"/>
        </w:rPr>
        <w:footnoteReference w:id="5"/>
      </w:r>
      <w:r w:rsidRPr="008C1758">
        <w:rPr>
          <w:rFonts w:ascii="Verdana" w:eastAsia="Calibri" w:hAnsi="Verdana" w:cs="Arial"/>
          <w:bCs/>
          <w:iCs/>
          <w:color w:val="000000"/>
          <w:sz w:val="20"/>
          <w:szCs w:val="20"/>
        </w:rPr>
        <w:t>.</w:t>
      </w:r>
    </w:p>
    <w:p w14:paraId="675C7F2F" w14:textId="77777777" w:rsidR="00840DEA" w:rsidRPr="00A745FA" w:rsidRDefault="00840DEA" w:rsidP="00840DEA">
      <w:pPr>
        <w:spacing w:after="0" w:line="276" w:lineRule="auto"/>
        <w:ind w:firstLine="708"/>
        <w:jc w:val="both"/>
        <w:rPr>
          <w:rFonts w:ascii="Verdana" w:eastAsia="Calibri" w:hAnsi="Verdana" w:cs="Arial"/>
          <w:color w:val="000000"/>
          <w:lang w:val="es-MX"/>
        </w:rPr>
      </w:pPr>
    </w:p>
    <w:p w14:paraId="62882462" w14:textId="77777777" w:rsidR="00840DEA" w:rsidRPr="00986EDE" w:rsidRDefault="00840DEA" w:rsidP="00840DEA">
      <w:pPr>
        <w:spacing w:after="120" w:line="276" w:lineRule="auto"/>
        <w:ind w:firstLine="708"/>
        <w:jc w:val="both"/>
        <w:rPr>
          <w:rFonts w:ascii="Verdana" w:eastAsia="Calibri" w:hAnsi="Verdana" w:cs="Arial"/>
          <w:color w:val="000000"/>
          <w:lang w:val="es-MX"/>
        </w:rPr>
      </w:pPr>
      <w:r w:rsidRPr="00F17EB6">
        <w:rPr>
          <w:rFonts w:ascii="Verdana" w:eastAsia="Calibri" w:hAnsi="Verdana" w:cs="Arial"/>
          <w:color w:val="000000"/>
          <w:lang w:val="es-MX"/>
        </w:rPr>
        <w:t xml:space="preserve">Los </w:t>
      </w:r>
      <w:r w:rsidRPr="00F17EB6">
        <w:rPr>
          <w:rFonts w:ascii="Verdana" w:eastAsia="Calibri" w:hAnsi="Verdana" w:cs="Arial"/>
          <w:i/>
          <w:iCs/>
          <w:color w:val="000000"/>
          <w:lang w:val="es-MX"/>
        </w:rPr>
        <w:t>contratos</w:t>
      </w:r>
      <w:r>
        <w:rPr>
          <w:rFonts w:ascii="Verdana" w:eastAsia="Calibri" w:hAnsi="Verdana" w:cs="Arial"/>
          <w:i/>
          <w:iCs/>
          <w:color w:val="000000"/>
          <w:lang w:val="es-MX"/>
        </w:rPr>
        <w:t xml:space="preserve"> o convenios</w:t>
      </w:r>
      <w:r w:rsidRPr="00F17EB6">
        <w:rPr>
          <w:rFonts w:ascii="Verdana" w:eastAsia="Calibri" w:hAnsi="Verdana" w:cs="Arial"/>
          <w:i/>
          <w:iCs/>
          <w:color w:val="000000"/>
          <w:lang w:val="es-MX"/>
        </w:rPr>
        <w:t xml:space="preserve"> de colaboración </w:t>
      </w:r>
      <w:r w:rsidRPr="00F17EB6">
        <w:rPr>
          <w:rFonts w:ascii="Verdana" w:eastAsia="Calibri" w:hAnsi="Verdana" w:cs="Arial"/>
          <w:color w:val="000000"/>
          <w:lang w:val="es-MX"/>
        </w:rPr>
        <w:t xml:space="preserve">tienen como objeto promover acciones de fomento social en beneficio de los sectores más desprotegidos de la población, previstas en los planes de desarrollo, motivo por el cual no dan lugar a una contraprestación directa a favor de la entidad y tampoco a una relación conmutativa entre esta y la ESAL, toda vez que el beneficio real y directo lo reciben, en últimas, los terceros beneficiarios de este tipo de acciones de fomento. </w:t>
      </w:r>
      <w:r>
        <w:rPr>
          <w:rFonts w:ascii="Verdana" w:eastAsia="Calibri" w:hAnsi="Verdana" w:cs="Arial"/>
          <w:color w:val="000000" w:themeColor="text1"/>
        </w:rPr>
        <w:t>Por otro lado</w:t>
      </w:r>
      <w:r w:rsidRPr="00D44070">
        <w:rPr>
          <w:rFonts w:ascii="Verdana" w:eastAsia="Calibri" w:hAnsi="Verdana" w:cs="Arial"/>
          <w:color w:val="000000" w:themeColor="text1"/>
        </w:rPr>
        <w:t xml:space="preserve">, los </w:t>
      </w:r>
      <w:r w:rsidRPr="00D44070">
        <w:rPr>
          <w:rFonts w:ascii="Verdana" w:eastAsia="Calibri" w:hAnsi="Verdana" w:cs="Arial"/>
          <w:i/>
          <w:iCs/>
          <w:color w:val="000000" w:themeColor="text1"/>
        </w:rPr>
        <w:t xml:space="preserve">convenios de asociación </w:t>
      </w:r>
      <w:r w:rsidRPr="00D44070">
        <w:rPr>
          <w:rFonts w:ascii="Verdana" w:eastAsia="Calibri" w:hAnsi="Verdana" w:cs="Arial"/>
          <w:color w:val="000000" w:themeColor="text1"/>
        </w:rPr>
        <w:t>“[…] [t]</w:t>
      </w:r>
      <w:proofErr w:type="spellStart"/>
      <w:r w:rsidRPr="00D44070">
        <w:rPr>
          <w:rFonts w:ascii="Verdana" w:eastAsia="Calibri" w:hAnsi="Verdana" w:cs="Arial"/>
          <w:color w:val="000000" w:themeColor="text1"/>
        </w:rPr>
        <w:t>ienen</w:t>
      </w:r>
      <w:proofErr w:type="spellEnd"/>
      <w:r w:rsidRPr="00D44070">
        <w:rPr>
          <w:rFonts w:ascii="Verdana" w:eastAsia="Calibri" w:hAnsi="Verdana" w:cs="Arial"/>
          <w:color w:val="000000" w:themeColor="text1"/>
        </w:rPr>
        <w:t xml:space="preserve">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sidRPr="00E277D4">
        <w:rPr>
          <w:rFonts w:ascii="Verdana" w:hAnsi="Verdana"/>
          <w:vertAlign w:val="superscript"/>
        </w:rPr>
        <w:footnoteReference w:id="6"/>
      </w:r>
      <w:r w:rsidRPr="00D44070">
        <w:rPr>
          <w:rFonts w:ascii="Verdana" w:eastAsia="Calibri" w:hAnsi="Verdana" w:cs="Arial"/>
          <w:color w:val="000000" w:themeColor="text1"/>
        </w:rPr>
        <w:t xml:space="preserve">. En estos convenios – al igual que en los contratos de colaboración antes explicados – no existe contraprestación o pago, sino aportes, los cuales están dirigidos, exclusivamente, a lograr la ejecución del convenio no a remunerar la actividad o actuaciones del asociado. </w:t>
      </w:r>
      <w:r>
        <w:rPr>
          <w:rFonts w:ascii="Verdana" w:eastAsia="Calibri" w:hAnsi="Verdana" w:cs="Arial"/>
          <w:color w:val="000000" w:themeColor="text1"/>
        </w:rPr>
        <w:t>Para analizar un poco sobre este tipo de convenios se desarrollará el siguiente apartado.</w:t>
      </w:r>
    </w:p>
    <w:p w14:paraId="1BE8BC8A" w14:textId="77777777" w:rsidR="00840DEA" w:rsidRDefault="00840DEA" w:rsidP="00840DEA">
      <w:pPr>
        <w:spacing w:after="120" w:line="276" w:lineRule="auto"/>
        <w:ind w:firstLine="708"/>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 xml:space="preserve">Así pues, en el marco de la contratación regulada por el Decreto 092 de 2017, </w:t>
      </w:r>
      <w:r>
        <w:rPr>
          <w:rFonts w:ascii="Verdana" w:eastAsia="Times New Roman" w:hAnsi="Verdana" w:cs="Arial"/>
          <w:color w:val="000000"/>
          <w:lang w:eastAsia="es-ES_tradnl"/>
        </w:rPr>
        <w:t>l</w:t>
      </w:r>
      <w:r w:rsidRPr="006F69F5">
        <w:rPr>
          <w:rFonts w:ascii="Verdana" w:eastAsia="Times New Roman" w:hAnsi="Verdana" w:cs="Arial"/>
          <w:color w:val="000000"/>
          <w:lang w:eastAsia="es-ES_tradnl"/>
        </w:rPr>
        <w:t xml:space="preserve">as Entidades Estatales </w:t>
      </w:r>
      <w:r>
        <w:rPr>
          <w:rFonts w:ascii="Verdana" w:eastAsia="Times New Roman" w:hAnsi="Verdana" w:cs="Arial"/>
          <w:color w:val="000000"/>
          <w:lang w:eastAsia="es-ES_tradnl"/>
        </w:rPr>
        <w:t>que hacen parte del</w:t>
      </w:r>
      <w:r w:rsidRPr="006F69F5">
        <w:rPr>
          <w:rFonts w:ascii="Verdana" w:eastAsia="Times New Roman" w:hAnsi="Verdana" w:cs="Arial"/>
          <w:color w:val="000000"/>
          <w:lang w:eastAsia="es-ES_tradnl"/>
        </w:rPr>
        <w:t xml:space="preserve"> Gobierno nacional, departamental, distrital y municipal</w:t>
      </w:r>
      <w:r>
        <w:rPr>
          <w:rFonts w:ascii="Verdana" w:eastAsia="Times New Roman" w:hAnsi="Verdana" w:cs="Arial"/>
          <w:color w:val="000000"/>
          <w:lang w:val="es-MX" w:eastAsia="es-ES_tradnl"/>
        </w:rPr>
        <w:t xml:space="preserve"> pueden celebrar convenios de colaboración, de acuerdo con los artículos 2, 3 y 4, como parte de la ejecución de los planes, programas o proyectos previstos en los instrumentos de planeación, de acuerdo con el artículo 355 superior. De igual manera, con sustento en el artículo 96 de la Ley 489 de 1996, regulado en el artículo 5 del Decreto 092 de 2017, las Entidades Estatales pueden acudir a convenios de asociación para el desarrollo </w:t>
      </w:r>
      <w:r>
        <w:rPr>
          <w:rFonts w:ascii="Verdana" w:eastAsia="Times New Roman" w:hAnsi="Verdana" w:cs="Arial"/>
          <w:color w:val="000000"/>
          <w:lang w:val="es-MX" w:eastAsia="es-ES_tradnl"/>
        </w:rPr>
        <w:lastRenderedPageBreak/>
        <w:t xml:space="preserve">de objetos asociados a la misionalidad de la Entidad Estatal, de los que se desprenda la ejecución de las actividades artísticas asociadas al interés general.  </w:t>
      </w:r>
    </w:p>
    <w:p w14:paraId="4A95B40D" w14:textId="77777777" w:rsidR="00840DEA" w:rsidRPr="00CC29EC" w:rsidRDefault="00840DEA" w:rsidP="00840DEA">
      <w:pPr>
        <w:spacing w:after="120" w:line="276" w:lineRule="auto"/>
        <w:ind w:firstLine="708"/>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 xml:space="preserve">De otra parte, si la necesidad tiene que ver con el desarrollo de una función o la prestación de un servicio, que de conformidad con ley deba cumplir la entidad estatal, respecto de la que se estime procedente acudir a la colaboración con entidades privadas sin ánimo de lucro, la institución aplicable es la del </w:t>
      </w:r>
      <w:r w:rsidRPr="008F1E8B">
        <w:rPr>
          <w:rFonts w:ascii="Verdana" w:eastAsia="Times New Roman" w:hAnsi="Verdana" w:cs="Arial"/>
          <w:i/>
          <w:iCs/>
          <w:color w:val="000000"/>
          <w:lang w:val="es-MX" w:eastAsia="es-ES_tradnl"/>
        </w:rPr>
        <w:t>convenio de asociación</w:t>
      </w:r>
      <w:r>
        <w:rPr>
          <w:rFonts w:ascii="Verdana" w:eastAsia="Times New Roman" w:hAnsi="Verdana" w:cs="Arial"/>
          <w:color w:val="000000"/>
          <w:lang w:val="es-MX" w:eastAsia="es-ES_tradnl"/>
        </w:rPr>
        <w:t xml:space="preserve">, según establecido en los artículos 96 de la Ley 489 de 1998 y 5 del Decreto 092 de 2017. En el marco de este tipo de convenios, así como dentro de los contratos de colaboración, resulta posible que dentro de las condiciones del contrato se establezca la obligación de vincular a artistas determinados o no, para que se encarguen de ejecutar el componente artístico del objeto. Esto desde luego está sujeto a las características del proyecto y la autonomía de la voluntad de las partes, en virtud de la cual tal obligación puede ser atribuida a la entidad estatal directamente o la entidad sin ánimo de lucro que funja como ejecutora o contratista. </w:t>
      </w:r>
      <w:r w:rsidRPr="008F0509">
        <w:rPr>
          <w:rFonts w:ascii="Verdana" w:eastAsia="Times New Roman" w:hAnsi="Verdana" w:cs="Arial"/>
          <w:color w:val="000000"/>
          <w:lang w:val="es-MX" w:eastAsia="es-ES_tradnl"/>
        </w:rPr>
        <w:t xml:space="preserve">En este aspecto, se recomienda </w:t>
      </w:r>
      <w:r w:rsidRPr="008F0509">
        <w:rPr>
          <w:rFonts w:ascii="Verdana" w:eastAsia="Times New Roman" w:hAnsi="Verdana" w:cs="Arial"/>
          <w:color w:val="000000"/>
          <w:lang w:val="es-ES" w:eastAsia="es-ES_tradnl"/>
        </w:rPr>
        <w:t xml:space="preserve">la </w:t>
      </w:r>
      <w:r w:rsidRPr="008F0509">
        <w:rPr>
          <w:rFonts w:ascii="Verdana" w:eastAsia="Times New Roman" w:hAnsi="Verdana" w:cs="Arial"/>
          <w:bCs/>
          <w:color w:val="000000"/>
          <w:lang w:eastAsia="es-ES_tradnl"/>
        </w:rPr>
        <w:t>“</w:t>
      </w:r>
      <w:r w:rsidRPr="008F0509">
        <w:rPr>
          <w:rFonts w:ascii="Verdana" w:eastAsia="Times New Roman" w:hAnsi="Verdana" w:cs="Arial"/>
          <w:bCs/>
          <w:i/>
          <w:iCs/>
          <w:color w:val="000000"/>
          <w:lang w:eastAsia="es-ES_tradnl"/>
        </w:rPr>
        <w:t>Guía para la contratación con entidades privadas sin ánimo de lucro y de reconocida idoneidad”</w:t>
      </w:r>
      <w:r w:rsidRPr="008F0509">
        <w:rPr>
          <w:rFonts w:ascii="Verdana" w:eastAsia="Times New Roman" w:hAnsi="Verdana" w:cs="Arial"/>
          <w:color w:val="000000"/>
          <w:lang w:val="es-MX" w:eastAsia="es-ES_tradnl"/>
        </w:rPr>
        <w:t xml:space="preserve"> para determinar la idoneidad de la ESAL, así como otros aspectos que deben tenerse en cuenta para la contratación con estas.</w:t>
      </w:r>
    </w:p>
    <w:p w14:paraId="6C294038" w14:textId="77777777" w:rsidR="00840DEA" w:rsidRPr="005303B7" w:rsidRDefault="00840DEA" w:rsidP="00840DEA">
      <w:pPr>
        <w:spacing w:after="120" w:line="276" w:lineRule="auto"/>
        <w:ind w:firstLine="709"/>
        <w:jc w:val="both"/>
        <w:rPr>
          <w:rFonts w:ascii="Verdana" w:eastAsia="Aptos" w:hAnsi="Verdana" w:cs="Arial"/>
          <w:bCs/>
          <w:iCs/>
        </w:rPr>
      </w:pPr>
      <w:r>
        <w:rPr>
          <w:rFonts w:ascii="Verdana" w:eastAsia="Aptos" w:hAnsi="Verdana" w:cs="Arial"/>
          <w:lang w:val="es-MX"/>
        </w:rPr>
        <w:t xml:space="preserve">Así mismo, en referencia </w:t>
      </w:r>
      <w:r w:rsidRPr="005303B7">
        <w:rPr>
          <w:rFonts w:ascii="Verdana" w:eastAsia="Aptos" w:hAnsi="Verdana" w:cs="Arial"/>
          <w:lang w:val="es-ES"/>
        </w:rPr>
        <w:t xml:space="preserve">a la Entidad Sin Ánimo de Lucro de reconocida idoneidad es necesario revisar entre otros aspectos, que el objeto de esta y el programa o actividad que ejecutará sea congruente. Al respecto, la </w:t>
      </w:r>
      <w:r w:rsidRPr="005303B7">
        <w:rPr>
          <w:rFonts w:ascii="Verdana" w:eastAsia="Aptos" w:hAnsi="Verdana" w:cs="Arial"/>
          <w:bCs/>
        </w:rPr>
        <w:t>“</w:t>
      </w:r>
      <w:r w:rsidRPr="005303B7">
        <w:rPr>
          <w:rFonts w:ascii="Verdana" w:eastAsia="Aptos" w:hAnsi="Verdana" w:cs="Arial"/>
          <w:bCs/>
          <w:i/>
          <w:iCs/>
        </w:rPr>
        <w:t xml:space="preserve">Guía para la contratación con entidades privadas sin ánimo de lucro y de reconocida idoneidad” </w:t>
      </w:r>
      <w:r w:rsidRPr="005303B7">
        <w:rPr>
          <w:rFonts w:ascii="Verdana" w:eastAsia="Aptos" w:hAnsi="Verdana" w:cs="Arial"/>
          <w:bCs/>
          <w:iCs/>
        </w:rPr>
        <w:t>precisa que el campo de actuación de las entidades sin ánimo de lucro se encuentra establecido en sus documentos de constitución, siendo importante, en el sentido que configura la capacidad jurídica de esta, permitiendo a la entidad estatal determinar si el objeto es afín o coincide con el programa de interés público que pretenda desarrollarse</w:t>
      </w:r>
      <w:r w:rsidRPr="005303B7">
        <w:rPr>
          <w:rFonts w:ascii="Verdana" w:eastAsia="Aptos" w:hAnsi="Verdana" w:cs="Arial"/>
          <w:bCs/>
          <w:iCs/>
          <w:vertAlign w:val="superscript"/>
        </w:rPr>
        <w:footnoteReference w:id="7"/>
      </w:r>
      <w:r w:rsidRPr="005303B7">
        <w:rPr>
          <w:rFonts w:ascii="Verdana" w:eastAsia="Aptos" w:hAnsi="Verdana" w:cs="Arial"/>
          <w:bCs/>
          <w:iCs/>
        </w:rPr>
        <w:t>. En este aspecto, para determinar la idoneidad de la ESAL, es pertinente que las Entidades definan cuál es la que tiene las mejores condiciones para alcanzar el resultado esperado con el desarrollo de las actividades objeto del proceso de selección, teniendo en cuenta su impacto en las políticas públicas y en el desarrollo de las comunidades, en las que pueden incluirse aspectos, como la sostenibilidad ambiental o social</w:t>
      </w:r>
      <w:r w:rsidRPr="005303B7">
        <w:rPr>
          <w:rFonts w:ascii="Verdana" w:eastAsia="Aptos" w:hAnsi="Verdana" w:cs="Arial"/>
          <w:bCs/>
          <w:iCs/>
          <w:vertAlign w:val="superscript"/>
        </w:rPr>
        <w:footnoteReference w:id="8"/>
      </w:r>
      <w:r w:rsidRPr="005303B7">
        <w:rPr>
          <w:rFonts w:ascii="Verdana" w:eastAsia="Aptos" w:hAnsi="Verdana" w:cs="Arial"/>
          <w:bCs/>
          <w:iCs/>
        </w:rPr>
        <w:t>.</w:t>
      </w:r>
    </w:p>
    <w:p w14:paraId="05919AF6" w14:textId="77777777" w:rsidR="00840DEA" w:rsidRPr="005303B7" w:rsidRDefault="00840DEA" w:rsidP="00840DEA">
      <w:pPr>
        <w:spacing w:after="120" w:line="276" w:lineRule="auto"/>
        <w:ind w:firstLine="709"/>
        <w:jc w:val="both"/>
        <w:rPr>
          <w:rFonts w:ascii="Verdana" w:eastAsia="Aptos" w:hAnsi="Verdana" w:cs="Arial"/>
          <w:lang w:val="es-ES"/>
        </w:rPr>
      </w:pPr>
      <w:r w:rsidRPr="005303B7">
        <w:rPr>
          <w:rFonts w:ascii="Verdana" w:eastAsia="Aptos" w:hAnsi="Verdana" w:cs="Arial"/>
          <w:lang w:val="es-MX"/>
        </w:rPr>
        <w:lastRenderedPageBreak/>
        <w:t>Es</w:t>
      </w:r>
      <w:r w:rsidRPr="005303B7">
        <w:rPr>
          <w:rFonts w:ascii="Verdana" w:eastAsia="Aptos" w:hAnsi="Verdana" w:cs="Arial"/>
          <w:lang w:val="es-ES"/>
        </w:rPr>
        <w:t xml:space="preserve"> importante tener en cuenta que la contratación con entidades sin ánimo de lucro se rige por el Decreto 092 de 2017, salvo lo que ha sido objeto de suspensión provisional por parte del Consejo de Estado. Por lo tanto, las entidades públicas que desean celebrar </w:t>
      </w:r>
      <w:r w:rsidRPr="005303B7">
        <w:rPr>
          <w:rFonts w:ascii="Verdana" w:eastAsia="Aptos" w:hAnsi="Verdana" w:cs="Arial"/>
          <w:i/>
          <w:iCs/>
          <w:lang w:val="es-ES"/>
        </w:rPr>
        <w:t>contratos del artículo 355 de la Constitución Política</w:t>
      </w:r>
      <w:r w:rsidRPr="005303B7">
        <w:rPr>
          <w:rFonts w:ascii="Verdana" w:eastAsia="Aptos" w:hAnsi="Verdana" w:cs="Arial"/>
          <w:lang w:val="es-ES"/>
        </w:rPr>
        <w:t xml:space="preserve"> deberán contratar con ESAL de reconocida idoneidad realizando un proceso competitivo, y teniendo en cuenta lo siguiente: i) no debe condicionarse el proceso de contratación a la inexistencia de oferta en el mercado de bienes y servicios; </w:t>
      </w:r>
      <w:proofErr w:type="spellStart"/>
      <w:r w:rsidRPr="005303B7">
        <w:rPr>
          <w:rFonts w:ascii="Verdana" w:eastAsia="Aptos" w:hAnsi="Verdana" w:cs="Arial"/>
          <w:lang w:val="es-ES"/>
        </w:rPr>
        <w:t>ii</w:t>
      </w:r>
      <w:proofErr w:type="spellEnd"/>
      <w:r w:rsidRPr="005303B7">
        <w:rPr>
          <w:rFonts w:ascii="Verdana" w:eastAsia="Aptos" w:hAnsi="Verdana" w:cs="Arial"/>
          <w:lang w:val="es-ES"/>
        </w:rPr>
        <w:t xml:space="preserve">) tampoco debe condicionarse a que la contratación con las ESAL garantice la optimización de los recursos públicos en términos de eficiencia, eficacia, economía y manejo del riesgo; </w:t>
      </w:r>
      <w:proofErr w:type="spellStart"/>
      <w:r w:rsidRPr="005303B7">
        <w:rPr>
          <w:rFonts w:ascii="Verdana" w:eastAsia="Aptos" w:hAnsi="Verdana" w:cs="Arial"/>
          <w:lang w:val="es-ES"/>
        </w:rPr>
        <w:t>iii</w:t>
      </w:r>
      <w:proofErr w:type="spellEnd"/>
      <w:r w:rsidRPr="005303B7">
        <w:rPr>
          <w:rFonts w:ascii="Verdana" w:eastAsia="Aptos" w:hAnsi="Verdana" w:cs="Arial"/>
          <w:lang w:val="es-ES"/>
        </w:rPr>
        <w:t xml:space="preserve">) el objeto del contrato debe estar acorde con el plan nacional o seccional de desarrollo, es decir debe ser coherente a la líneas que se establezcan en estos; </w:t>
      </w:r>
      <w:proofErr w:type="spellStart"/>
      <w:r w:rsidRPr="005303B7">
        <w:rPr>
          <w:rFonts w:ascii="Verdana" w:eastAsia="Aptos" w:hAnsi="Verdana" w:cs="Arial"/>
          <w:lang w:val="es-ES"/>
        </w:rPr>
        <w:t>iv</w:t>
      </w:r>
      <w:proofErr w:type="spellEnd"/>
      <w:r w:rsidRPr="005303B7">
        <w:rPr>
          <w:rFonts w:ascii="Verdana" w:eastAsia="Aptos" w:hAnsi="Verdana" w:cs="Arial"/>
          <w:lang w:val="es-ES"/>
        </w:rPr>
        <w:t>) no puede condicionarse únicamente a que las actividades o programas correspondan exclusivamente a promover los derechos de personas en situación de debilidad manifiesta o indefensión, los derechos de las minorías, el derecho a la educación, el derecho a la paz, las manifestaciones artísticas, culturales, deportivas y de promoción de la diversidad étnica colombiana, por lo que basta con cumplir el anterior numeral ; y v) el contrato no debe establecer una relación conmutativa en el cual haya una contraprestación directa a favor de la entidad, ni instrucciones precisas dadas por esta al contratista para cumplir con el objeto del contrato.</w:t>
      </w:r>
    </w:p>
    <w:p w14:paraId="3DF27129" w14:textId="77777777" w:rsidR="00840DEA" w:rsidRDefault="00840DEA" w:rsidP="00840DEA">
      <w:pPr>
        <w:spacing w:after="0" w:line="276" w:lineRule="auto"/>
        <w:ind w:firstLine="709"/>
        <w:jc w:val="both"/>
        <w:rPr>
          <w:rFonts w:ascii="Verdana" w:eastAsia="Aptos" w:hAnsi="Verdana" w:cs="Arial"/>
        </w:rPr>
      </w:pPr>
      <w:r>
        <w:rPr>
          <w:rFonts w:ascii="Verdana" w:eastAsia="Aptos" w:hAnsi="Verdana" w:cs="Arial"/>
        </w:rPr>
        <w:t xml:space="preserve">Por último, otra forma de contratación es que las </w:t>
      </w:r>
      <w:r w:rsidRPr="00577B37">
        <w:rPr>
          <w:rFonts w:ascii="Verdana" w:eastAsia="Aptos" w:hAnsi="Verdana" w:cs="Arial"/>
        </w:rPr>
        <w:t xml:space="preserve">entidades territoriales cuentan con capacidades institucionales para planear, organizar y ejecutar directamente sus ferias, fiestas y demás manifestaciones culturales, también es </w:t>
      </w:r>
      <w:r>
        <w:rPr>
          <w:rFonts w:ascii="Verdana" w:eastAsia="Aptos" w:hAnsi="Verdana" w:cs="Arial"/>
        </w:rPr>
        <w:t xml:space="preserve">procedente </w:t>
      </w:r>
      <w:r w:rsidRPr="00577B37">
        <w:rPr>
          <w:rFonts w:ascii="Verdana" w:eastAsia="Aptos" w:hAnsi="Verdana" w:cs="Arial"/>
        </w:rPr>
        <w:t>que opten por complementar dichas capacidades mediante la celebración de contratos de prestación de servicios con personas naturales o jurídicas especializadas.</w:t>
      </w:r>
      <w:r>
        <w:rPr>
          <w:rFonts w:ascii="Verdana" w:eastAsia="Aptos" w:hAnsi="Verdana" w:cs="Arial"/>
        </w:rPr>
        <w:t xml:space="preserve"> </w:t>
      </w:r>
      <w:r w:rsidRPr="00577B37">
        <w:rPr>
          <w:rFonts w:ascii="Verdana" w:eastAsia="Aptos" w:hAnsi="Verdana" w:cs="Arial"/>
        </w:rPr>
        <w:t xml:space="preserve">Esto incluye la vinculación de artistas, gestores culturales y productores, así como la contratación de trabajos o ejecuciones de carácter artístico que resulten necesarios para el adecuado desarrollo del evento. Esta alternativa contractual permite a las entidades acceder a conocimientos técnicos, experiencia sectorial y niveles de especialización que no siempre se encuentran disponibles internamente, garantizando así una ejecución más </w:t>
      </w:r>
      <w:r w:rsidRPr="00577B37">
        <w:rPr>
          <w:rFonts w:ascii="Verdana" w:eastAsia="Aptos" w:hAnsi="Verdana" w:cs="Arial"/>
        </w:rPr>
        <w:lastRenderedPageBreak/>
        <w:t>eficiente, profesional y ajustada a las exigencias propias de los espectáculos públicos y actividades culturales</w:t>
      </w:r>
      <w:r>
        <w:rPr>
          <w:rFonts w:ascii="Verdana" w:eastAsia="Aptos" w:hAnsi="Verdana" w:cs="Arial"/>
        </w:rPr>
        <w:t>, aspecto que se analiza más adelante</w:t>
      </w:r>
      <w:r w:rsidRPr="00577B37">
        <w:rPr>
          <w:rFonts w:ascii="Verdana" w:eastAsia="Aptos" w:hAnsi="Verdana" w:cs="Arial"/>
        </w:rPr>
        <w:t>.</w:t>
      </w:r>
    </w:p>
    <w:p w14:paraId="18EC08AA" w14:textId="77777777" w:rsidR="00840DEA" w:rsidRDefault="00840DEA" w:rsidP="00840DEA">
      <w:pPr>
        <w:spacing w:after="0" w:line="276" w:lineRule="auto"/>
        <w:ind w:firstLine="709"/>
        <w:jc w:val="both"/>
        <w:rPr>
          <w:rFonts w:ascii="Verdana" w:eastAsia="Aptos" w:hAnsi="Verdana" w:cs="Arial"/>
        </w:rPr>
      </w:pPr>
    </w:p>
    <w:p w14:paraId="32152246" w14:textId="77777777" w:rsidR="00840DEA" w:rsidRDefault="00840DEA" w:rsidP="00840DEA">
      <w:pPr>
        <w:spacing w:after="0" w:line="276" w:lineRule="auto"/>
        <w:jc w:val="both"/>
        <w:rPr>
          <w:rFonts w:ascii="Verdana" w:eastAsia="Calibri" w:hAnsi="Verdana" w:cs="Arial"/>
        </w:rPr>
      </w:pPr>
      <w:proofErr w:type="spellStart"/>
      <w:r>
        <w:rPr>
          <w:rFonts w:ascii="Verdana" w:eastAsia="Aptos" w:hAnsi="Verdana" w:cs="Arial"/>
        </w:rPr>
        <w:t>iii</w:t>
      </w:r>
      <w:proofErr w:type="spellEnd"/>
      <w:r>
        <w:rPr>
          <w:rFonts w:ascii="Verdana" w:eastAsia="Aptos" w:hAnsi="Verdana" w:cs="Arial"/>
        </w:rPr>
        <w:t xml:space="preserve">. </w:t>
      </w:r>
      <w:r w:rsidRPr="006A4D62">
        <w:rPr>
          <w:rFonts w:ascii="Verdana" w:eastAsia="Calibri" w:hAnsi="Verdana" w:cs="Arial"/>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6FD099F7" w14:textId="77777777" w:rsidR="00840DEA" w:rsidRPr="006A4D62" w:rsidRDefault="00840DEA" w:rsidP="00840DEA">
      <w:pPr>
        <w:spacing w:after="0" w:line="276" w:lineRule="auto"/>
        <w:jc w:val="both"/>
        <w:rPr>
          <w:rFonts w:ascii="Verdana" w:eastAsia="Calibri" w:hAnsi="Verdana" w:cs="Arial"/>
        </w:rPr>
      </w:pPr>
    </w:p>
    <w:p w14:paraId="30AF7DF6" w14:textId="77777777" w:rsidR="00840DEA" w:rsidRPr="006A4D62" w:rsidRDefault="00840DEA" w:rsidP="00840DEA">
      <w:pPr>
        <w:spacing w:after="0" w:line="240" w:lineRule="auto"/>
        <w:ind w:left="709" w:right="709"/>
        <w:jc w:val="both"/>
        <w:rPr>
          <w:rFonts w:ascii="Verdana" w:eastAsia="Calibri" w:hAnsi="Verdana" w:cs="Arial"/>
          <w:sz w:val="20"/>
          <w:szCs w:val="20"/>
        </w:rPr>
      </w:pPr>
      <w:r w:rsidRPr="006A4D62">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57800921" w14:textId="77777777" w:rsidR="00840DEA" w:rsidRPr="006A4D62" w:rsidRDefault="00840DEA" w:rsidP="00840DEA">
      <w:pPr>
        <w:spacing w:after="0" w:line="240" w:lineRule="auto"/>
        <w:ind w:left="709" w:right="709"/>
        <w:jc w:val="both"/>
        <w:rPr>
          <w:rFonts w:ascii="Verdana" w:eastAsia="Calibri" w:hAnsi="Verdana" w:cs="Arial"/>
          <w:sz w:val="20"/>
          <w:szCs w:val="20"/>
        </w:rPr>
      </w:pPr>
    </w:p>
    <w:p w14:paraId="65EB0AC2" w14:textId="77777777" w:rsidR="00840DEA" w:rsidRPr="006A4D62" w:rsidRDefault="00840DEA" w:rsidP="00840DEA">
      <w:pPr>
        <w:spacing w:after="0" w:line="240" w:lineRule="auto"/>
        <w:ind w:left="709" w:right="709"/>
        <w:jc w:val="both"/>
        <w:rPr>
          <w:rFonts w:ascii="Verdana" w:eastAsia="Calibri" w:hAnsi="Verdana" w:cs="Arial"/>
          <w:sz w:val="20"/>
          <w:szCs w:val="20"/>
        </w:rPr>
      </w:pPr>
      <w:r w:rsidRPr="006A4D62">
        <w:rPr>
          <w:rFonts w:ascii="Verdana" w:eastAsia="Calibri" w:hAnsi="Verdana" w:cs="Arial"/>
          <w:sz w:val="20"/>
          <w:szCs w:val="20"/>
        </w:rPr>
        <w:t>En ningún caso estos contratos generan relación laboral ni prestaciones sociales y se celebrarán por el término estrictamente indispensable.”</w:t>
      </w:r>
    </w:p>
    <w:p w14:paraId="0508912B" w14:textId="77777777" w:rsidR="00840DEA" w:rsidRPr="007E6742" w:rsidRDefault="00840DEA" w:rsidP="00840DEA">
      <w:pPr>
        <w:spacing w:after="0" w:line="276" w:lineRule="auto"/>
        <w:ind w:left="709" w:right="709"/>
        <w:jc w:val="both"/>
        <w:rPr>
          <w:rFonts w:ascii="Verdana" w:eastAsia="Calibri" w:hAnsi="Verdana" w:cs="Arial"/>
          <w:color w:val="ED7D31" w:themeColor="accent2"/>
          <w:sz w:val="20"/>
          <w:szCs w:val="20"/>
        </w:rPr>
      </w:pPr>
    </w:p>
    <w:p w14:paraId="34B5C62F" w14:textId="77777777" w:rsidR="00840DEA" w:rsidRPr="00D2247B" w:rsidRDefault="00840DEA" w:rsidP="00840DEA">
      <w:pPr>
        <w:spacing w:after="0" w:line="276" w:lineRule="auto"/>
        <w:ind w:firstLine="709"/>
        <w:jc w:val="both"/>
        <w:rPr>
          <w:rFonts w:ascii="Verdana" w:eastAsia="Calibri" w:hAnsi="Verdana" w:cs="Arial"/>
        </w:rPr>
      </w:pPr>
      <w:r>
        <w:rPr>
          <w:rFonts w:ascii="Verdana" w:eastAsia="Calibri" w:hAnsi="Verdana" w:cs="Arial"/>
        </w:rPr>
        <w:t>L</w:t>
      </w:r>
      <w:r w:rsidRPr="00D2247B">
        <w:rPr>
          <w:rFonts w:ascii="Verdana" w:eastAsia="Calibri" w:hAnsi="Verdana" w:cs="Arial"/>
        </w:rPr>
        <w:t>a celebración de dicho contrato debe efectuarse mediante la modalidad de la contratación directa. Así lo prevé el artículo 2, numeral 4º, literal h) de la Ley 1150 de 2007, que dispone:</w:t>
      </w:r>
    </w:p>
    <w:p w14:paraId="3C80CF51" w14:textId="77777777" w:rsidR="00840DEA" w:rsidRPr="00D2247B" w:rsidRDefault="00840DEA" w:rsidP="00840DEA">
      <w:pPr>
        <w:spacing w:after="0" w:line="276" w:lineRule="auto"/>
        <w:ind w:firstLine="709"/>
        <w:jc w:val="both"/>
        <w:rPr>
          <w:rFonts w:ascii="Verdana" w:eastAsia="Calibri" w:hAnsi="Verdana" w:cs="Arial"/>
        </w:rPr>
      </w:pPr>
    </w:p>
    <w:p w14:paraId="349E32E3" w14:textId="77777777" w:rsidR="00840DEA" w:rsidRPr="00D2247B" w:rsidRDefault="00840DEA" w:rsidP="00840DEA">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w:t>
      </w:r>
      <w:r>
        <w:rPr>
          <w:rFonts w:ascii="Verdana" w:eastAsia="Calibri" w:hAnsi="Verdana" w:cs="Arial"/>
          <w:sz w:val="20"/>
          <w:szCs w:val="20"/>
        </w:rPr>
        <w:t xml:space="preserve"> </w:t>
      </w:r>
      <w:r w:rsidRPr="00D2247B">
        <w:rPr>
          <w:rFonts w:ascii="Verdana" w:eastAsia="Calibri" w:hAnsi="Verdana" w:cs="Arial"/>
          <w:sz w:val="20"/>
          <w:szCs w:val="20"/>
        </w:rPr>
        <w:t>Contratación directa. La modalidad de selección de contratación directa solamente procederá en los siguientes casos:</w:t>
      </w:r>
    </w:p>
    <w:p w14:paraId="34130DDA" w14:textId="77777777" w:rsidR="00840DEA" w:rsidRDefault="00840DEA" w:rsidP="00840DEA">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w:t>
      </w:r>
    </w:p>
    <w:p w14:paraId="5A072070" w14:textId="77777777" w:rsidR="00840DEA" w:rsidRPr="00D2247B" w:rsidRDefault="00840DEA" w:rsidP="00840DEA">
      <w:pPr>
        <w:spacing w:after="0" w:line="240" w:lineRule="auto"/>
        <w:ind w:left="709" w:right="709"/>
        <w:jc w:val="both"/>
        <w:rPr>
          <w:rFonts w:ascii="Verdana" w:eastAsia="Calibri" w:hAnsi="Verdana" w:cs="Arial"/>
          <w:sz w:val="20"/>
          <w:szCs w:val="20"/>
        </w:rPr>
      </w:pPr>
    </w:p>
    <w:p w14:paraId="5E744406" w14:textId="77777777" w:rsidR="00840DEA" w:rsidRPr="00D2247B" w:rsidRDefault="00840DEA" w:rsidP="00840DEA">
      <w:pPr>
        <w:spacing w:after="0" w:line="240" w:lineRule="auto"/>
        <w:ind w:left="709" w:right="709"/>
        <w:jc w:val="both"/>
        <w:rPr>
          <w:rFonts w:ascii="Verdana" w:eastAsia="Calibri" w:hAnsi="Verdana" w:cs="Arial"/>
          <w:sz w:val="20"/>
          <w:szCs w:val="20"/>
        </w:rPr>
      </w:pPr>
      <w:r w:rsidRPr="00D2247B">
        <w:rPr>
          <w:rFonts w:ascii="Verdana" w:eastAsia="Calibri" w:hAnsi="Verdana" w:cs="Arial"/>
          <w:sz w:val="20"/>
          <w:szCs w:val="20"/>
        </w:rPr>
        <w:t>h) Para la prestación de servicios profesionales y de apoyo a la gestión, o para la ejecución de trabajos artísticos que sólo puedan encomendarse a determinadas personas naturales;”</w:t>
      </w:r>
    </w:p>
    <w:p w14:paraId="2D628421" w14:textId="77777777" w:rsidR="00840DEA" w:rsidRPr="004C0B72" w:rsidRDefault="00840DEA" w:rsidP="00840DEA">
      <w:pPr>
        <w:spacing w:after="0" w:line="276" w:lineRule="auto"/>
        <w:ind w:right="709"/>
        <w:jc w:val="both"/>
        <w:rPr>
          <w:rFonts w:ascii="Verdana" w:eastAsia="Calibri" w:hAnsi="Verdana" w:cs="Arial"/>
          <w:color w:val="ED7D31" w:themeColor="accent2"/>
        </w:rPr>
      </w:pPr>
    </w:p>
    <w:p w14:paraId="3773B9AF" w14:textId="77777777" w:rsidR="00840DEA" w:rsidRPr="00D2247B" w:rsidRDefault="00840DEA" w:rsidP="00840DEA">
      <w:pPr>
        <w:spacing w:after="120" w:line="276" w:lineRule="auto"/>
        <w:ind w:firstLine="709"/>
        <w:jc w:val="both"/>
        <w:rPr>
          <w:rFonts w:ascii="Verdana" w:eastAsia="Calibri" w:hAnsi="Verdana" w:cs="Arial"/>
        </w:rPr>
      </w:pPr>
      <w:r w:rsidRPr="00D2247B">
        <w:rPr>
          <w:rFonts w:ascii="Verdana" w:eastAsia="Calibri" w:hAnsi="Verdana" w:cs="Arial"/>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6DA7444A" w14:textId="77777777" w:rsidR="00840DEA" w:rsidRPr="00D2247B" w:rsidRDefault="00840DEA" w:rsidP="00840DEA">
      <w:pPr>
        <w:spacing w:after="120" w:line="276" w:lineRule="auto"/>
        <w:ind w:firstLine="709"/>
        <w:jc w:val="both"/>
        <w:rPr>
          <w:rFonts w:ascii="Verdana" w:eastAsia="Calibri" w:hAnsi="Verdana" w:cs="Arial"/>
        </w:rPr>
      </w:pPr>
      <w:r w:rsidRPr="00D2247B">
        <w:rPr>
          <w:rFonts w:ascii="Verdana" w:eastAsia="Calibri" w:hAnsi="Verdana" w:cs="Arial"/>
        </w:rPr>
        <w:lastRenderedPageBreak/>
        <w:t>a) Solo puede celebrarse para realizar “actividades relacionadas con la administración o funcionamiento de la entidad”, es decir, que hagan parte de su giro ordinario o quehacer cotidiano</w:t>
      </w:r>
      <w:r w:rsidRPr="008677DE">
        <w:rPr>
          <w:rStyle w:val="Refdenotaalpie"/>
          <w:rFonts w:ascii="Verdana" w:hAnsi="Verdana" w:cs="Arial"/>
          <w:noProof/>
          <w:lang w:val="es-ES_tradnl"/>
        </w:rPr>
        <w:footnoteReference w:id="9"/>
      </w:r>
      <w:r w:rsidRPr="00D2247B">
        <w:rPr>
          <w:rFonts w:ascii="Verdana" w:eastAsia="Calibri" w:hAnsi="Verdana" w:cs="Arial"/>
        </w:rPr>
        <w:t>.</w:t>
      </w:r>
    </w:p>
    <w:p w14:paraId="44F3C34B" w14:textId="77777777" w:rsidR="00840DEA" w:rsidRPr="00BE7986" w:rsidRDefault="00840DEA" w:rsidP="00840DEA">
      <w:pPr>
        <w:spacing w:after="120" w:line="276" w:lineRule="auto"/>
        <w:ind w:firstLine="709"/>
        <w:jc w:val="both"/>
        <w:rPr>
          <w:rFonts w:ascii="Verdana" w:eastAsia="Calibri" w:hAnsi="Verdana" w:cs="Arial"/>
        </w:rPr>
      </w:pPr>
      <w:r w:rsidRPr="00D2247B">
        <w:rPr>
          <w:rFonts w:ascii="Verdana" w:eastAsia="Calibri" w:hAnsi="Verdana" w:cs="Arial"/>
        </w:rPr>
        <w:t>b) Admite que se suscriba tanto con personas naturales, como con personas jurídicas. Sin embargo, cuando pretenda celebrarse con una persona natural, la entidad estatal debe justificar</w:t>
      </w:r>
      <w:r>
        <w:rPr>
          <w:rFonts w:ascii="Verdana" w:eastAsia="Calibri" w:hAnsi="Verdana" w:cs="Arial"/>
        </w:rPr>
        <w:t>,</w:t>
      </w:r>
      <w:r w:rsidRPr="00D2247B">
        <w:rPr>
          <w:rFonts w:ascii="Verdana" w:eastAsia="Calibri" w:hAnsi="Verdana" w:cs="Arial"/>
        </w:rPr>
        <w:t xml:space="preserve"> en los estudios previos</w:t>
      </w:r>
      <w:r>
        <w:rPr>
          <w:rFonts w:ascii="Verdana" w:eastAsia="Calibri" w:hAnsi="Verdana" w:cs="Arial"/>
        </w:rPr>
        <w:t>,</w:t>
      </w:r>
      <w:r w:rsidRPr="00D2247B">
        <w:rPr>
          <w:rFonts w:ascii="Verdana" w:eastAsia="Calibri" w:hAnsi="Verdana" w:cs="Arial"/>
        </w:rPr>
        <w:t xml:space="preserve"> que las actividades que buscan encomendarse a aquella “no puedan realizarse con personal de planta o requieran conocimientos especializados”. Esto puede suceder en varios eventos,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w:t>
      </w:r>
      <w:r w:rsidRPr="00BE7986">
        <w:rPr>
          <w:rFonts w:ascii="Verdana" w:eastAsia="Calibri" w:hAnsi="Verdana" w:cs="Arial"/>
        </w:rPr>
        <w:t>tema.</w:t>
      </w:r>
    </w:p>
    <w:p w14:paraId="5697EA30" w14:textId="77777777" w:rsidR="00840DEA" w:rsidRDefault="00840DEA" w:rsidP="00840DEA">
      <w:pPr>
        <w:spacing w:after="120" w:line="276" w:lineRule="auto"/>
        <w:ind w:firstLine="709"/>
        <w:jc w:val="both"/>
        <w:rPr>
          <w:rFonts w:ascii="Verdana" w:eastAsia="Calibri" w:hAnsi="Verdana" w:cs="Arial"/>
        </w:rPr>
      </w:pPr>
      <w:r w:rsidRPr="00BE7986">
        <w:rPr>
          <w:rFonts w:ascii="Verdana" w:eastAsia="Calibri" w:hAnsi="Verdana" w:cs="Arial"/>
        </w:rPr>
        <w:t>c) Si bien se celebran para obtener la prestación personal de un servicio, se diferencian del contrato de trabajo</w:t>
      </w:r>
      <w:r w:rsidRPr="00BE7986">
        <w:rPr>
          <w:rFonts w:ascii="Verdana" w:eastAsia="Calibri" w:hAnsi="Verdana" w:cs="Arial"/>
          <w:vertAlign w:val="superscript"/>
        </w:rPr>
        <w:footnoteReference w:id="10"/>
      </w:r>
      <w:r w:rsidRPr="00BE7986">
        <w:rPr>
          <w:rFonts w:ascii="Verdana" w:eastAsia="Calibri" w:hAnsi="Verdana" w:cs="Arial"/>
        </w:rPr>
        <w:t xml:space="preserve"> en que quien celebra el contrato de prestación de servicios profesionales debe mantener autonomía e independencia en la ejecución de la labor, lo que significa que no puede existir la </w:t>
      </w:r>
      <w:r w:rsidRPr="00BE7986">
        <w:rPr>
          <w:rFonts w:ascii="Verdana" w:eastAsia="Calibri" w:hAnsi="Verdana" w:cs="Arial"/>
          <w:i/>
        </w:rPr>
        <w:t>subordinación y dependencia</w:t>
      </w:r>
      <w:r w:rsidRPr="00BE7986">
        <w:rPr>
          <w:rFonts w:ascii="Verdana" w:eastAsia="Calibri" w:hAnsi="Verdana" w:cs="Arial"/>
          <w:iCs/>
        </w:rPr>
        <w:t>,</w:t>
      </w:r>
      <w:r w:rsidRPr="00BE7986">
        <w:rPr>
          <w:rFonts w:ascii="Verdana" w:eastAsia="Calibri" w:hAnsi="Verdana" w:cs="Arial"/>
        </w:rPr>
        <w:t xml:space="preserve"> que es uno de los elementos constitutivos del vínculo laboral. Por ello el artículo 32, numeral 3º, de la Ley 80 de 1993 establece que “En ningún caso estos contratos generan relación laboral ni prestaciones sociales”</w:t>
      </w:r>
      <w:r>
        <w:rPr>
          <w:rFonts w:ascii="Verdana" w:eastAsia="Calibri" w:hAnsi="Verdana" w:cs="Arial"/>
        </w:rPr>
        <w:t xml:space="preserve">. </w:t>
      </w:r>
    </w:p>
    <w:p w14:paraId="1D001A64" w14:textId="77777777" w:rsidR="00840DEA" w:rsidRPr="00BE7986" w:rsidRDefault="00840DEA" w:rsidP="00840DEA">
      <w:pPr>
        <w:spacing w:after="120" w:line="276" w:lineRule="auto"/>
        <w:ind w:firstLine="709"/>
        <w:jc w:val="both"/>
        <w:rPr>
          <w:rFonts w:ascii="Verdana" w:eastAsia="Calibri" w:hAnsi="Verdana" w:cs="Arial"/>
        </w:rPr>
      </w:pPr>
      <w:r>
        <w:rPr>
          <w:rFonts w:ascii="Verdana" w:eastAsia="Calibri" w:hAnsi="Verdana" w:cs="Arial"/>
        </w:rPr>
        <w:t xml:space="preserve">Este </w:t>
      </w:r>
      <w:r w:rsidRPr="00BE7986">
        <w:rPr>
          <w:rFonts w:ascii="Verdana" w:eastAsia="Calibri" w:hAnsi="Verdana" w:cs="Arial"/>
        </w:rPr>
        <w:t xml:space="preserve">inciso que más que un enunciado que aluda al “ser” se refiere al “deber ser”, pues debe interpretarse en el sentido de que los contratos de prestación de servicios profesionales </w:t>
      </w:r>
      <w:r w:rsidRPr="00BE7986">
        <w:rPr>
          <w:rFonts w:ascii="Verdana" w:eastAsia="Calibri" w:hAnsi="Verdana" w:cs="Arial"/>
          <w:i/>
        </w:rPr>
        <w:t>no pueden</w:t>
      </w:r>
      <w:r w:rsidRPr="00BE7986">
        <w:rPr>
          <w:rFonts w:ascii="Verdana" w:eastAsia="Calibri" w:hAnsi="Verdana" w:cs="Arial"/>
        </w:rPr>
        <w:t xml:space="preserve">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w:t>
      </w:r>
      <w:r w:rsidRPr="00BE7986">
        <w:rPr>
          <w:rFonts w:ascii="Verdana" w:eastAsia="Calibri" w:hAnsi="Verdana" w:cs="Arial"/>
        </w:rPr>
        <w:lastRenderedPageBreak/>
        <w:t>debe cotizar por su cuenta y riesgo al Sistema de Seguridad Social Integral</w:t>
      </w:r>
      <w:r w:rsidRPr="00BE7986">
        <w:rPr>
          <w:rFonts w:ascii="Verdana" w:eastAsia="Calibri" w:hAnsi="Verdana" w:cs="Arial"/>
          <w:vertAlign w:val="superscript"/>
        </w:rPr>
        <w:footnoteReference w:id="11"/>
      </w:r>
      <w:r w:rsidRPr="00BE7986">
        <w:rPr>
          <w:rFonts w:ascii="Verdana" w:eastAsia="Calibri" w:hAnsi="Verdana" w:cs="Arial"/>
        </w:rPr>
        <w:t xml:space="preserve">. Pero es posible que, a pesar de este mandato deontológico, en la práctica surja la relación laboral, pues, como se sabe, el contrato de trabajo es un </w:t>
      </w:r>
      <w:r w:rsidRPr="00BE7986">
        <w:rPr>
          <w:rFonts w:ascii="Verdana" w:eastAsia="Calibri" w:hAnsi="Verdana" w:cs="Arial"/>
          <w:i/>
        </w:rPr>
        <w:t>contrato realidad</w:t>
      </w:r>
      <w:r w:rsidRPr="00BE7986">
        <w:rPr>
          <w:rFonts w:ascii="Verdana" w:eastAsia="Calibri" w:hAnsi="Verdana" w:cs="Arial"/>
        </w:rPr>
        <w:t xml:space="preserve">, ya que para su perfeccionamiento rige el principio de la prevalencia de la realidad sobre las formalidades. </w:t>
      </w:r>
    </w:p>
    <w:p w14:paraId="280137D6" w14:textId="77777777" w:rsidR="00840DEA" w:rsidRDefault="00840DEA" w:rsidP="00840DEA">
      <w:pPr>
        <w:tabs>
          <w:tab w:val="left" w:pos="3276"/>
        </w:tabs>
        <w:spacing w:after="120" w:line="276" w:lineRule="auto"/>
        <w:ind w:firstLine="709"/>
        <w:jc w:val="both"/>
        <w:rPr>
          <w:rFonts w:ascii="Verdana" w:eastAsia="Calibri" w:hAnsi="Verdana" w:cs="Arial"/>
        </w:rPr>
      </w:pPr>
      <w:r w:rsidRPr="006741FA">
        <w:rPr>
          <w:rFonts w:ascii="Verdana" w:eastAsia="Calibri" w:hAnsi="Verdana" w:cs="Arial"/>
        </w:rPr>
        <w:t>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6741FA">
        <w:rPr>
          <w:rStyle w:val="Refdenotaalpie"/>
          <w:rFonts w:ascii="Verdana" w:eastAsia="Calibri" w:hAnsi="Verdana" w:cs="Arial"/>
        </w:rPr>
        <w:footnoteReference w:id="12"/>
      </w:r>
      <w:r w:rsidRPr="006741FA">
        <w:rPr>
          <w:rFonts w:ascii="Verdana" w:eastAsia="Calibri" w:hAnsi="Verdana" w:cs="Arial"/>
        </w:rPr>
        <w:t>. En esta misma línea, la Corte Constitucional en el control de constitucionalidad a un aparte del artículo 2° del Decreto Ley 2400 de 1968 modificado por el Decreto Ley 3074 de 1968 señaló que el indebido uso del contrato de prestación de servicios, constituye una violación del derecho a la igualdad, pues tratándose de funciones de carácter permanentes, los trabajadores que se presentan en esos supuestos, podrían encontrarse en la práctica, bajo una continuada dependencia o subordinación, características que eventualmente configurarían una vinculación legal y reglamentaria y/o un contrato de trabajo, según sea la naturaleza jurídica de la entidad pública y el tipo de cargo</w:t>
      </w:r>
      <w:r w:rsidRPr="006741FA">
        <w:rPr>
          <w:rFonts w:ascii="Verdana" w:eastAsia="Calibri" w:hAnsi="Verdana" w:cs="Arial"/>
          <w:vertAlign w:val="superscript"/>
        </w:rPr>
        <w:footnoteReference w:id="13"/>
      </w:r>
      <w:r w:rsidRPr="006741FA">
        <w:rPr>
          <w:rFonts w:ascii="Verdana" w:eastAsia="Calibri" w:hAnsi="Verdana" w:cs="Arial"/>
        </w:rPr>
        <w:t>. De modo que, bajo la perspectiva indicada, se podría invocar la presunción de la existencia de una relación laboral; siendo contrario a uno de los aspectos más relevantes del contrato de prestación de servicio, la autonomía e independencia en la ejecución de este.</w:t>
      </w:r>
    </w:p>
    <w:p w14:paraId="51C7C77C" w14:textId="77777777" w:rsidR="00840DEA" w:rsidRPr="004C0B72" w:rsidRDefault="00840DEA" w:rsidP="00840DEA">
      <w:pPr>
        <w:spacing w:after="120" w:line="276" w:lineRule="auto"/>
        <w:ind w:firstLine="709"/>
        <w:jc w:val="both"/>
        <w:rPr>
          <w:rFonts w:ascii="Verdana" w:hAnsi="Verdana" w:cs="Arial"/>
          <w:noProof/>
          <w:lang w:val="es-ES_tradnl"/>
        </w:rPr>
      </w:pPr>
      <w:r w:rsidRPr="008677DE">
        <w:rPr>
          <w:rFonts w:ascii="Verdana" w:hAnsi="Verdana" w:cs="Arial"/>
          <w:noProof/>
          <w:lang w:val="es-ES_tradnl"/>
        </w:rPr>
        <w:t>Por su parte, el Consejo de Estado</w:t>
      </w:r>
      <w:r>
        <w:rPr>
          <w:rFonts w:ascii="Verdana" w:hAnsi="Verdana" w:cs="Arial"/>
          <w:noProof/>
          <w:lang w:val="es-ES_tradnl"/>
        </w:rPr>
        <w:t>,</w:t>
      </w:r>
      <w:r w:rsidRPr="008677DE">
        <w:rPr>
          <w:rFonts w:ascii="Verdana" w:hAnsi="Verdana" w:cs="Arial"/>
          <w:noProof/>
          <w:lang w:val="es-ES_tradnl"/>
        </w:rPr>
        <w:t xml:space="preserve"> en sentencia de unificación jurisprudencial del 9 de septiembre de 2021</w:t>
      </w:r>
      <w:r>
        <w:rPr>
          <w:rFonts w:ascii="Verdana" w:hAnsi="Verdana" w:cs="Arial"/>
          <w:noProof/>
          <w:lang w:val="es-ES_tradnl"/>
        </w:rPr>
        <w:t>,</w:t>
      </w:r>
      <w:r w:rsidRPr="008677DE">
        <w:rPr>
          <w:rFonts w:ascii="Verdana" w:hAnsi="Verdana" w:cs="Arial"/>
          <w:noProof/>
          <w:lang w:val="es-ES_tradnl"/>
        </w:rPr>
        <w:t xml:space="preserve"> se pronunció respecto de los criterios para identificar la existencia de una relación laboral encubierta o subyacente por contratos de </w:t>
      </w:r>
      <w:r>
        <w:rPr>
          <w:rFonts w:ascii="Verdana" w:hAnsi="Verdana" w:cs="Arial"/>
          <w:noProof/>
          <w:lang w:val="es-ES_tradnl"/>
        </w:rPr>
        <w:t>p</w:t>
      </w:r>
      <w:r w:rsidRPr="008677DE">
        <w:rPr>
          <w:rFonts w:ascii="Verdana" w:hAnsi="Verdana" w:cs="Arial"/>
          <w:noProof/>
          <w:lang w:val="es-ES_tradnl"/>
        </w:rPr>
        <w:t>restación de servicios y definó tres reglas para el</w:t>
      </w:r>
      <w:r>
        <w:rPr>
          <w:rFonts w:ascii="Verdana" w:hAnsi="Verdana" w:cs="Arial"/>
          <w:noProof/>
          <w:lang w:val="es-ES_tradnl"/>
        </w:rPr>
        <w:t xml:space="preserve"> </w:t>
      </w:r>
      <w:r w:rsidRPr="008677DE">
        <w:rPr>
          <w:rFonts w:ascii="Verdana" w:hAnsi="Verdana" w:cs="Arial"/>
          <w:noProof/>
          <w:lang w:val="es-ES_tradnl"/>
        </w:rPr>
        <w:lastRenderedPageBreak/>
        <w:t>efecto</w:t>
      </w:r>
      <w:r w:rsidRPr="008677DE">
        <w:rPr>
          <w:rFonts w:ascii="Verdana" w:hAnsi="Verdana"/>
          <w:vertAlign w:val="superscript"/>
          <w:lang w:val="es-ES_tradnl"/>
        </w:rPr>
        <w:footnoteReference w:id="14"/>
      </w:r>
      <w:r w:rsidRPr="008677DE">
        <w:rPr>
          <w:rFonts w:ascii="Verdana" w:hAnsi="Verdana" w:cs="Arial"/>
          <w:noProof/>
          <w:lang w:val="es-ES_tradnl"/>
        </w:rPr>
        <w:t>, aspectos que fueron aclarados posteriormente por Auto del 11 de noviembre de 2021</w:t>
      </w:r>
      <w:r w:rsidRPr="008677DE">
        <w:rPr>
          <w:rStyle w:val="Refdenotaalpie"/>
          <w:rFonts w:ascii="Verdana" w:hAnsi="Verdana" w:cs="Arial"/>
          <w:noProof/>
          <w:lang w:val="es-ES_tradnl"/>
        </w:rPr>
        <w:footnoteReference w:id="15"/>
      </w:r>
      <w:r w:rsidRPr="008677DE">
        <w:rPr>
          <w:rFonts w:ascii="Verdana" w:hAnsi="Verdana" w:cs="Arial"/>
          <w:noProof/>
          <w:lang w:val="es-ES_tradnl"/>
        </w:rPr>
        <w:t>.</w:t>
      </w:r>
    </w:p>
    <w:p w14:paraId="783CC978" w14:textId="77777777" w:rsidR="00840DEA" w:rsidRPr="004C0B72" w:rsidRDefault="00840DEA" w:rsidP="00840DEA">
      <w:pPr>
        <w:spacing w:after="120" w:line="276" w:lineRule="auto"/>
        <w:ind w:firstLine="709"/>
        <w:jc w:val="both"/>
        <w:rPr>
          <w:rFonts w:ascii="Verdana" w:hAnsi="Verdana" w:cs="Arial"/>
        </w:rPr>
      </w:pPr>
      <w:r w:rsidRPr="00E4437B">
        <w:rPr>
          <w:rFonts w:ascii="Verdana" w:eastAsia="Calibri" w:hAnsi="Verdana" w:cs="Arial"/>
        </w:rPr>
        <w:t xml:space="preserve">d) Deben ser temporales. </w:t>
      </w:r>
      <w:r w:rsidRPr="008677DE">
        <w:rPr>
          <w:rFonts w:ascii="Verdana" w:hAnsi="Verdana" w:cs="Arial"/>
          <w:noProof/>
          <w:lang w:val="es-ES_tradnl"/>
        </w:rPr>
        <w:t xml:space="preserve">La sentencia de unificacion jurisprudencial del Consejo de Estado mencionada, frente a la duración del contrato de prestación de servicios señaló que solo puede celebrarse por un </w:t>
      </w:r>
      <w:r>
        <w:rPr>
          <w:rFonts w:ascii="Verdana" w:hAnsi="Verdana" w:cs="Arial"/>
          <w:noProof/>
          <w:lang w:val="es-ES_tradnl"/>
        </w:rPr>
        <w:t>“</w:t>
      </w:r>
      <w:r w:rsidRPr="008677DE">
        <w:rPr>
          <w:rFonts w:ascii="Verdana" w:hAnsi="Verdana" w:cs="Arial"/>
          <w:noProof/>
          <w:lang w:val="es-ES_tradnl"/>
        </w:rPr>
        <w:t>término estrictamente indispensable</w:t>
      </w:r>
      <w:r>
        <w:rPr>
          <w:rFonts w:ascii="Verdana" w:hAnsi="Verdana" w:cs="Arial"/>
          <w:noProof/>
          <w:lang w:val="es-ES_tradnl"/>
        </w:rPr>
        <w:t>”</w:t>
      </w:r>
      <w:r w:rsidRPr="008677DE">
        <w:rPr>
          <w:rFonts w:ascii="Verdana" w:hAnsi="Verdana" w:cs="Arial"/>
          <w:noProof/>
          <w:lang w:val="es-ES_tradnl"/>
        </w:rPr>
        <w:t xml:space="preserve">. En ese entendido, unificó el sentido y alcance del término estrictamente indispensable como </w:t>
      </w:r>
      <w:r>
        <w:rPr>
          <w:rFonts w:ascii="Verdana" w:hAnsi="Verdana" w:cs="Arial"/>
          <w:noProof/>
          <w:lang w:val="es-ES_tradnl"/>
        </w:rPr>
        <w:t>“</w:t>
      </w:r>
      <w:r w:rsidRPr="008677DE">
        <w:rPr>
          <w:rFonts w:ascii="Verdana" w:hAnsi="Verdana" w:cs="Arial"/>
          <w:noProof/>
          <w:lang w:val="es-ES_tradnl"/>
        </w:rPr>
        <w:t>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w:t>
      </w:r>
      <w:r>
        <w:rPr>
          <w:rFonts w:ascii="Verdana" w:hAnsi="Verdana" w:cs="Arial"/>
          <w:noProof/>
          <w:lang w:val="es-ES_tradnl"/>
        </w:rPr>
        <w:t>”</w:t>
      </w:r>
      <w:r w:rsidRPr="008677DE">
        <w:rPr>
          <w:rFonts w:ascii="Verdana" w:hAnsi="Verdana" w:cs="Arial"/>
          <w:noProof/>
          <w:lang w:val="es-ES_tradnl"/>
        </w:rPr>
        <w:t>.</w:t>
      </w:r>
      <w:r w:rsidRPr="008677DE">
        <w:rPr>
          <w:rFonts w:ascii="Verdana" w:hAnsi="Verdana" w:cs="Arial"/>
        </w:rPr>
        <w:t xml:space="preserve"> </w:t>
      </w:r>
    </w:p>
    <w:p w14:paraId="4F09F03C" w14:textId="77777777" w:rsidR="00840DEA" w:rsidRPr="00E4437B" w:rsidRDefault="00840DEA" w:rsidP="00840DEA">
      <w:pPr>
        <w:spacing w:after="0" w:line="276" w:lineRule="auto"/>
        <w:ind w:firstLine="709"/>
        <w:jc w:val="both"/>
        <w:rPr>
          <w:rFonts w:ascii="Verdana" w:eastAsia="Calibri" w:hAnsi="Verdana" w:cs="Arial"/>
        </w:rPr>
      </w:pPr>
      <w:r>
        <w:rPr>
          <w:rFonts w:ascii="Verdana" w:eastAsia="Calibri" w:hAnsi="Verdana" w:cs="Arial"/>
        </w:rPr>
        <w:t>De igual manera,</w:t>
      </w:r>
      <w:r w:rsidRPr="00E4437B">
        <w:rPr>
          <w:rFonts w:ascii="Verdana" w:eastAsia="Calibri" w:hAnsi="Verdana" w:cs="Arial"/>
        </w:rPr>
        <w:t xml:space="preserve"> la Corte Constitucional</w:t>
      </w:r>
      <w:r>
        <w:rPr>
          <w:rFonts w:ascii="Verdana" w:eastAsia="Calibri" w:hAnsi="Verdana" w:cs="Arial"/>
        </w:rPr>
        <w:t>,</w:t>
      </w:r>
      <w:r w:rsidRPr="00E4437B">
        <w:rPr>
          <w:rFonts w:ascii="Verdana" w:eastAsia="Calibri" w:hAnsi="Verdana" w:cs="Arial"/>
        </w:rPr>
        <w:t xml:space="preserve"> en la </w:t>
      </w:r>
      <w:r>
        <w:rPr>
          <w:rFonts w:ascii="Verdana" w:eastAsia="Calibri" w:hAnsi="Verdana" w:cs="Arial"/>
        </w:rPr>
        <w:t xml:space="preserve">Sentencia C-154 de 1997 señaló </w:t>
      </w:r>
      <w:r w:rsidRPr="00E4437B">
        <w:rPr>
          <w:rFonts w:ascii="Verdana" w:eastAsia="Calibri" w:hAnsi="Verdana" w:cs="Arial"/>
        </w:rPr>
        <w:t>que:</w:t>
      </w:r>
    </w:p>
    <w:p w14:paraId="4B522083" w14:textId="77777777" w:rsidR="00840DEA" w:rsidRPr="00E4437B" w:rsidRDefault="00840DEA" w:rsidP="00840DEA">
      <w:pPr>
        <w:spacing w:after="0" w:line="276" w:lineRule="auto"/>
        <w:ind w:firstLine="709"/>
        <w:jc w:val="both"/>
        <w:rPr>
          <w:rFonts w:ascii="Verdana" w:eastAsia="Calibri" w:hAnsi="Verdana" w:cs="Arial"/>
        </w:rPr>
      </w:pPr>
    </w:p>
    <w:p w14:paraId="28B61EF4" w14:textId="77777777" w:rsidR="00840DEA" w:rsidRPr="004C0B72" w:rsidRDefault="00840DEA" w:rsidP="00840DEA">
      <w:pPr>
        <w:spacing w:after="0" w:line="240" w:lineRule="auto"/>
        <w:ind w:left="709" w:right="709"/>
        <w:jc w:val="both"/>
        <w:rPr>
          <w:rFonts w:ascii="Verdana" w:eastAsia="Calibri" w:hAnsi="Verdana" w:cs="Arial"/>
          <w:sz w:val="20"/>
          <w:szCs w:val="20"/>
        </w:rPr>
      </w:pPr>
      <w:r w:rsidRPr="0003707A">
        <w:rPr>
          <w:rFonts w:ascii="Verdana" w:eastAsia="Calibri" w:hAnsi="Verdana" w:cs="Arial"/>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w:t>
      </w:r>
      <w:r w:rsidRPr="00DD61C7">
        <w:rPr>
          <w:rFonts w:ascii="Verdana" w:eastAsia="Calibri" w:hAnsi="Verdana" w:cs="Arial"/>
          <w:sz w:val="20"/>
          <w:szCs w:val="20"/>
        </w:rPr>
        <w:t>xcediendo su carácter excepcional y temporal para convertirse en ordinario y permanente, será necesario que la respectiva entidad adopte las medidas y provisiones pertinentes a fin de que se dé cabal cumplimiento a lo previsto en el artículo 122 de la Cart</w:t>
      </w:r>
      <w:r w:rsidRPr="00255E89">
        <w:rPr>
          <w:rFonts w:ascii="Verdana" w:eastAsia="Calibri" w:hAnsi="Verdana" w:cs="Arial"/>
          <w:sz w:val="20"/>
          <w:szCs w:val="20"/>
        </w:rPr>
        <w:t>a Política, según el cual se requiere que el empleo público quede contemplado en la respectiva planta y previstos sus emolumentos en el presupuesto correspondiente</w:t>
      </w:r>
      <w:r w:rsidRPr="000940A2">
        <w:rPr>
          <w:rFonts w:ascii="Verdana" w:eastAsia="Calibri" w:hAnsi="Verdana" w:cs="Arial"/>
          <w:sz w:val="20"/>
          <w:szCs w:val="20"/>
        </w:rPr>
        <w:t>”</w:t>
      </w:r>
      <w:r w:rsidRPr="004C0B72">
        <w:rPr>
          <w:rFonts w:ascii="Verdana" w:eastAsia="Calibri" w:hAnsi="Verdana" w:cs="Arial"/>
          <w:sz w:val="20"/>
          <w:szCs w:val="20"/>
          <w:vertAlign w:val="superscript"/>
        </w:rPr>
        <w:footnoteReference w:id="16"/>
      </w:r>
      <w:r w:rsidRPr="004C0B72">
        <w:rPr>
          <w:rFonts w:ascii="Verdana" w:eastAsia="Calibri" w:hAnsi="Verdana" w:cs="Arial"/>
          <w:sz w:val="20"/>
          <w:szCs w:val="20"/>
        </w:rPr>
        <w:t>.</w:t>
      </w:r>
    </w:p>
    <w:p w14:paraId="6DCE368D" w14:textId="77777777" w:rsidR="00840DEA" w:rsidRPr="00780417" w:rsidRDefault="00840DEA" w:rsidP="00840DEA">
      <w:pPr>
        <w:spacing w:after="0" w:line="276" w:lineRule="auto"/>
        <w:ind w:firstLine="709"/>
        <w:jc w:val="both"/>
        <w:rPr>
          <w:rFonts w:ascii="Verdana" w:eastAsia="Calibri" w:hAnsi="Verdana" w:cs="Arial"/>
        </w:rPr>
      </w:pPr>
    </w:p>
    <w:p w14:paraId="1B0FBD1B" w14:textId="77777777" w:rsidR="00840DEA" w:rsidRPr="009D6505" w:rsidRDefault="00840DEA" w:rsidP="00840DEA">
      <w:pPr>
        <w:tabs>
          <w:tab w:val="left" w:pos="3276"/>
        </w:tabs>
        <w:spacing w:after="120" w:line="276" w:lineRule="auto"/>
        <w:ind w:firstLine="709"/>
        <w:jc w:val="both"/>
        <w:rPr>
          <w:rFonts w:ascii="Verdana" w:eastAsia="Calibri" w:hAnsi="Verdana" w:cs="Arial"/>
          <w:lang w:val="es-ES_tradnl" w:eastAsia="es-ES_tradnl"/>
        </w:rPr>
      </w:pPr>
      <w:r w:rsidRPr="00780417">
        <w:rPr>
          <w:rFonts w:ascii="Verdana" w:eastAsia="Calibri" w:hAnsi="Verdana" w:cs="Arial"/>
          <w:lang w:eastAsia="es-ES"/>
        </w:rPr>
        <w:t>e</w:t>
      </w:r>
      <w:r w:rsidRPr="00780417">
        <w:rPr>
          <w:rFonts w:ascii="Verdana" w:eastAsia="Calibri" w:hAnsi="Verdana" w:cs="Arial"/>
          <w:lang w:val="es-ES" w:eastAsia="es-ES"/>
        </w:rPr>
        <w:t xml:space="preserve">) Los contratos de prestación de servicios constituyen un </w:t>
      </w:r>
      <w:r w:rsidRPr="00780417">
        <w:rPr>
          <w:rFonts w:ascii="Verdana" w:eastAsia="Calibri" w:hAnsi="Verdana" w:cs="Arial"/>
          <w:i/>
          <w:iCs/>
          <w:lang w:val="es-ES" w:eastAsia="es-ES"/>
        </w:rPr>
        <w:t>género</w:t>
      </w:r>
      <w:r w:rsidRPr="00780417">
        <w:rPr>
          <w:rFonts w:ascii="Verdana" w:eastAsia="Calibri" w:hAnsi="Verdana" w:cs="Arial"/>
          <w:lang w:val="es-ES" w:eastAsia="es-ES"/>
        </w:rPr>
        <w:t xml:space="preserve"> que incluye, como </w:t>
      </w:r>
      <w:r w:rsidRPr="00780417">
        <w:rPr>
          <w:rFonts w:ascii="Verdana" w:eastAsia="Calibri" w:hAnsi="Verdana" w:cs="Arial"/>
          <w:i/>
          <w:iCs/>
          <w:lang w:val="es-ES" w:eastAsia="es-ES"/>
        </w:rPr>
        <w:t>especies</w:t>
      </w:r>
      <w:r w:rsidRPr="00780417">
        <w:rPr>
          <w:rFonts w:ascii="Verdana" w:eastAsia="Calibri" w:hAnsi="Verdana" w:cs="Arial"/>
          <w:lang w:val="es-ES" w:eastAsia="es-ES"/>
        </w:rPr>
        <w:t xml:space="preserve">, los contratos de prestación de servicios profesionales, los contratos de prestación de servicios de apoyo a la gestión y los contratos </w:t>
      </w:r>
      <w:r>
        <w:rPr>
          <w:rFonts w:ascii="Verdana" w:eastAsia="Calibri" w:hAnsi="Verdana" w:cs="Arial"/>
          <w:lang w:val="es-ES" w:eastAsia="es-ES"/>
        </w:rPr>
        <w:t xml:space="preserve">para la ejecución de trabajos </w:t>
      </w:r>
      <w:r w:rsidRPr="00780417">
        <w:rPr>
          <w:rFonts w:ascii="Verdana" w:eastAsia="Calibri" w:hAnsi="Verdana" w:cs="Arial"/>
          <w:lang w:val="es-ES" w:eastAsia="es-ES"/>
        </w:rPr>
        <w:t>artísticos que solo pueden encomendarse a determinadas personas naturales</w:t>
      </w:r>
      <w:r w:rsidRPr="00780417">
        <w:rPr>
          <w:rFonts w:ascii="Verdana" w:eastAsia="Calibri" w:hAnsi="Verdana" w:cs="Arial"/>
          <w:vertAlign w:val="superscript"/>
          <w:lang w:val="es-ES" w:eastAsia="es-ES"/>
        </w:rPr>
        <w:footnoteReference w:id="17"/>
      </w:r>
      <w:r w:rsidRPr="00780417">
        <w:rPr>
          <w:rFonts w:ascii="Verdana" w:eastAsia="Calibri" w:hAnsi="Verdana" w:cs="Arial"/>
          <w:lang w:val="es-ES" w:eastAsia="es-ES"/>
        </w:rPr>
        <w:t xml:space="preserve">. La diferencia entre el contrato de prestación de servicios </w:t>
      </w:r>
      <w:r w:rsidRPr="00780417">
        <w:rPr>
          <w:rFonts w:ascii="Verdana" w:eastAsia="Calibri" w:hAnsi="Verdana" w:cs="Arial"/>
          <w:i/>
          <w:iCs/>
          <w:lang w:val="es-ES" w:eastAsia="es-ES"/>
        </w:rPr>
        <w:t>profesionales</w:t>
      </w:r>
      <w:r w:rsidRPr="00780417">
        <w:rPr>
          <w:rFonts w:ascii="Verdana" w:eastAsia="Calibri" w:hAnsi="Verdana" w:cs="Arial"/>
          <w:lang w:val="es-ES" w:eastAsia="es-ES"/>
        </w:rPr>
        <w:t xml:space="preserve"> con las otras dos especies del género en el cual se ubican radica en su contenido intelectual intangible y, al mismo tiempo, en la formación profesional que se exige para desempeñar la labor</w:t>
      </w:r>
      <w:r w:rsidRPr="00780417">
        <w:rPr>
          <w:rFonts w:ascii="Verdana" w:eastAsia="Calibri" w:hAnsi="Verdana" w:cs="Arial"/>
          <w:vertAlign w:val="superscript"/>
          <w:lang w:val="es-ES" w:eastAsia="es-ES"/>
        </w:rPr>
        <w:footnoteReference w:id="18"/>
      </w:r>
      <w:r w:rsidRPr="00780417">
        <w:rPr>
          <w:rFonts w:ascii="Verdana" w:eastAsia="Calibri" w:hAnsi="Verdana" w:cs="Arial"/>
          <w:lang w:val="es-ES" w:eastAsia="es-ES"/>
        </w:rPr>
        <w:t>.</w:t>
      </w:r>
    </w:p>
    <w:p w14:paraId="45D66E47" w14:textId="77777777" w:rsidR="00840DEA" w:rsidRDefault="00840DEA" w:rsidP="00840DEA">
      <w:pPr>
        <w:spacing w:after="120" w:line="276" w:lineRule="auto"/>
        <w:ind w:firstLine="709"/>
        <w:jc w:val="both"/>
        <w:rPr>
          <w:rFonts w:ascii="Verdana" w:eastAsia="Calibri" w:hAnsi="Verdana" w:cs="Arial"/>
        </w:rPr>
      </w:pPr>
      <w:r w:rsidRPr="009D6505">
        <w:rPr>
          <w:rFonts w:ascii="Verdana" w:eastAsia="Calibri" w:hAnsi="Verdana" w:cs="Arial"/>
        </w:rPr>
        <w:t>f) Su celebración debe realizarse a través de la modalidad de contratación directa, independientemente de la cuantía y del tipo de servicio profesional, siempre que este no ingrese dentro del objeto del contrato de consultoría</w:t>
      </w:r>
      <w:r>
        <w:rPr>
          <w:rFonts w:ascii="Verdana" w:eastAsia="Calibri" w:hAnsi="Verdana" w:cs="Arial"/>
        </w:rPr>
        <w:t>. Lo anterior, pues</w:t>
      </w:r>
      <w:r w:rsidRPr="009D6505">
        <w:rPr>
          <w:rFonts w:ascii="Verdana" w:eastAsia="Calibri" w:hAnsi="Verdana" w:cs="Arial"/>
        </w:rPr>
        <w:t xml:space="preserve"> como lo indicó el Consejo de Estado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9D6505">
        <w:rPr>
          <w:rFonts w:ascii="Verdana" w:eastAsia="Calibri" w:hAnsi="Verdana" w:cs="Arial"/>
          <w:vertAlign w:val="superscript"/>
        </w:rPr>
        <w:footnoteReference w:id="19"/>
      </w:r>
      <w:r w:rsidRPr="009D6505">
        <w:rPr>
          <w:rFonts w:ascii="Verdana" w:eastAsia="Calibri" w:hAnsi="Verdana" w:cs="Arial"/>
        </w:rPr>
        <w:t>. Pero, tampoco puede suscribirse un contrato de prestación de servicios profesionales para que el contratista ejecute labores que se enmarcan en los otros contratos tipificados en el artículo 32 de la Ley 80 de 1993, como, por ejemplo, para que el contratista de prestación de servicios construya una obra.</w:t>
      </w:r>
    </w:p>
    <w:p w14:paraId="4E517FD8" w14:textId="77777777" w:rsidR="00840DEA" w:rsidRPr="0050628A" w:rsidRDefault="00840DEA" w:rsidP="00840DEA">
      <w:pPr>
        <w:spacing w:after="0" w:line="276" w:lineRule="auto"/>
        <w:ind w:firstLine="709"/>
        <w:jc w:val="both"/>
        <w:rPr>
          <w:rFonts w:ascii="Verdana" w:eastAsia="Calibri" w:hAnsi="Verdana" w:cs="Arial"/>
        </w:rPr>
      </w:pPr>
      <w:r w:rsidRPr="0050628A">
        <w:rPr>
          <w:rFonts w:ascii="Verdana" w:eastAsia="Calibri" w:hAnsi="Verdana" w:cs="Arial"/>
        </w:rPr>
        <w:lastRenderedPageBreak/>
        <w:t>g) Para su celebración no se requiere la expedición del acto administrativo de justificación de la contratación directa</w:t>
      </w:r>
      <w:r w:rsidRPr="0050628A">
        <w:rPr>
          <w:rFonts w:ascii="Verdana" w:eastAsia="Calibri" w:hAnsi="Verdana" w:cs="Arial"/>
          <w:vertAlign w:val="superscript"/>
        </w:rPr>
        <w:footnoteReference w:id="20"/>
      </w:r>
      <w:r w:rsidRPr="0050628A">
        <w:rPr>
          <w:rFonts w:ascii="Verdana" w:eastAsia="Calibri" w:hAnsi="Verdana" w:cs="Arial"/>
        </w:rPr>
        <w:t xml:space="preserve">. </w:t>
      </w:r>
    </w:p>
    <w:p w14:paraId="27A26A72" w14:textId="77777777" w:rsidR="00840DEA" w:rsidRPr="0050628A" w:rsidRDefault="00840DEA" w:rsidP="00840DEA">
      <w:pPr>
        <w:spacing w:before="120" w:after="120" w:line="276" w:lineRule="auto"/>
        <w:ind w:firstLine="709"/>
        <w:jc w:val="both"/>
        <w:rPr>
          <w:rFonts w:ascii="Verdana" w:eastAsia="Calibri" w:hAnsi="Verdana" w:cs="Arial"/>
        </w:rPr>
      </w:pPr>
      <w:r w:rsidRPr="0050628A">
        <w:rPr>
          <w:rFonts w:ascii="Verdana" w:eastAsia="Calibri" w:hAnsi="Verdana" w:cs="Arial"/>
        </w:rPr>
        <w:t xml:space="preserve">h) Admiten el pacto de cláusulas excepcionales. Es decir, en los contratos de prestación de servicios puede </w:t>
      </w:r>
      <w:r>
        <w:rPr>
          <w:rFonts w:ascii="Verdana" w:eastAsia="Calibri" w:hAnsi="Verdana" w:cs="Arial"/>
        </w:rPr>
        <w:t>pactar</w:t>
      </w:r>
      <w:r w:rsidRPr="0050628A">
        <w:rPr>
          <w:rFonts w:ascii="Verdana" w:eastAsia="Calibri" w:hAnsi="Verdana" w:cs="Arial"/>
        </w:rPr>
        <w:t>se la caducidad, así como la modificación, interpretación o terminación unilaterales, como</w:t>
      </w:r>
      <w:r>
        <w:rPr>
          <w:rFonts w:ascii="Verdana" w:eastAsia="Calibri" w:hAnsi="Verdana" w:cs="Arial"/>
        </w:rPr>
        <w:t xml:space="preserve"> acuerdos o</w:t>
      </w:r>
      <w:r w:rsidRPr="0050628A">
        <w:rPr>
          <w:rFonts w:ascii="Verdana" w:eastAsia="Calibri" w:hAnsi="Verdana" w:cs="Arial"/>
        </w:rPr>
        <w:t xml:space="preserve"> elementos accidentales</w:t>
      </w:r>
      <w:r>
        <w:rPr>
          <w:rFonts w:ascii="Verdana" w:eastAsia="Calibri" w:hAnsi="Verdana" w:cs="Arial"/>
        </w:rPr>
        <w:t>. O</w:t>
      </w:r>
      <w:r w:rsidRPr="0050628A">
        <w:rPr>
          <w:rFonts w:ascii="Verdana" w:eastAsia="Calibri" w:hAnsi="Verdana" w:cs="Arial"/>
        </w:rPr>
        <w:t xml:space="preserve"> sea que para que puedan ejercerse dichas exorbitancias han debido quedar incluidas expresamente en el contrato, ya que no se entienden pactadas por naturaleza. Así se infiere del artículo 14°, numeral 2º, de la Ley 80 de 1993</w:t>
      </w:r>
      <w:r w:rsidRPr="0050628A">
        <w:rPr>
          <w:rFonts w:ascii="Verdana" w:eastAsia="Calibri" w:hAnsi="Verdana" w:cs="Arial"/>
          <w:vertAlign w:val="superscript"/>
        </w:rPr>
        <w:footnoteReference w:id="21"/>
      </w:r>
      <w:r w:rsidRPr="0050628A">
        <w:rPr>
          <w:rFonts w:ascii="Verdana" w:eastAsia="Calibri" w:hAnsi="Verdana" w:cs="Arial"/>
        </w:rPr>
        <w:t>.</w:t>
      </w:r>
    </w:p>
    <w:p w14:paraId="1CDA5D40" w14:textId="77777777" w:rsidR="00840DEA" w:rsidRPr="007A6EE5" w:rsidRDefault="00840DEA" w:rsidP="00840DEA">
      <w:pPr>
        <w:spacing w:before="120" w:after="120" w:line="276" w:lineRule="auto"/>
        <w:ind w:firstLine="709"/>
        <w:jc w:val="both"/>
        <w:rPr>
          <w:rFonts w:ascii="Verdana" w:eastAsia="Calibri" w:hAnsi="Verdana" w:cs="Arial"/>
        </w:rPr>
      </w:pPr>
      <w:r w:rsidRPr="007A6EE5">
        <w:rPr>
          <w:rFonts w:ascii="Verdana" w:eastAsia="Calibri" w:hAnsi="Verdana" w:cs="Arial"/>
        </w:rPr>
        <w:t>i) En ellos no es obligatoria la liquidación, pues así lo estableció el artículo 217 del Decreto 019 de 2012, que modificó el artículo 60 de la Ley 80 de 1993</w:t>
      </w:r>
      <w:r w:rsidRPr="007A6EE5">
        <w:rPr>
          <w:rFonts w:ascii="Verdana" w:eastAsia="Calibri" w:hAnsi="Verdana" w:cs="Arial"/>
          <w:vertAlign w:val="superscript"/>
        </w:rPr>
        <w:footnoteReference w:id="22"/>
      </w:r>
      <w:r w:rsidRPr="007A6EE5">
        <w:rPr>
          <w:rFonts w:ascii="Verdana" w:eastAsia="Calibri" w:hAnsi="Verdana" w:cs="Arial"/>
        </w:rPr>
        <w:t xml:space="preserve">, </w:t>
      </w:r>
      <w:r w:rsidRPr="007A6EE5">
        <w:rPr>
          <w:rFonts w:ascii="Verdana" w:eastAsia="Calibri" w:hAnsi="Verdana" w:cs="Arial"/>
          <w:lang w:val="es-ES" w:eastAsia="es-ES"/>
        </w:rPr>
        <w:t>refiriéndose expresamente a los contratos de prestación de servicios profesionales y de apoyo a la gestión.</w:t>
      </w:r>
    </w:p>
    <w:p w14:paraId="00381ED2" w14:textId="77777777" w:rsidR="00840DEA" w:rsidRPr="007A6EE5" w:rsidRDefault="00840DEA" w:rsidP="00840DEA">
      <w:pPr>
        <w:spacing w:after="120" w:line="276" w:lineRule="auto"/>
        <w:ind w:firstLine="709"/>
        <w:jc w:val="both"/>
        <w:rPr>
          <w:rFonts w:ascii="Verdana" w:eastAsia="Calibri" w:hAnsi="Verdana" w:cs="Arial"/>
        </w:rPr>
      </w:pPr>
      <w:r w:rsidRPr="007A6EE5">
        <w:rPr>
          <w:rFonts w:ascii="Verdana" w:eastAsia="Calibri" w:hAnsi="Verdana" w:cs="Arial"/>
        </w:rPr>
        <w:t>j) Para su celebración no se requiere inscripción en el Registro Único de Proponentes (RUP), según lo prevé el artículo 6 de la Ley 1150 de 2007</w:t>
      </w:r>
      <w:r w:rsidRPr="007A6EE5">
        <w:rPr>
          <w:rFonts w:ascii="Verdana" w:eastAsia="Calibri" w:hAnsi="Verdana" w:cs="Arial"/>
          <w:vertAlign w:val="superscript"/>
        </w:rPr>
        <w:footnoteReference w:id="23"/>
      </w:r>
      <w:r w:rsidRPr="007A6EE5">
        <w:rPr>
          <w:rFonts w:ascii="Verdana" w:eastAsia="Calibri" w:hAnsi="Verdana" w:cs="Arial"/>
        </w:rPr>
        <w:t>.</w:t>
      </w:r>
    </w:p>
    <w:p w14:paraId="0403051B" w14:textId="77777777" w:rsidR="00840DEA" w:rsidRDefault="00840DEA" w:rsidP="00840DEA">
      <w:pPr>
        <w:spacing w:after="0" w:line="276" w:lineRule="auto"/>
        <w:ind w:firstLine="709"/>
        <w:jc w:val="both"/>
        <w:rPr>
          <w:rFonts w:ascii="Verdana" w:eastAsia="Calibri" w:hAnsi="Verdana" w:cs="Arial"/>
        </w:rPr>
      </w:pPr>
      <w:r w:rsidRPr="007A6EE5">
        <w:rPr>
          <w:rFonts w:ascii="Verdana" w:eastAsia="Calibri" w:hAnsi="Verdana" w:cs="Arial"/>
        </w:rPr>
        <w:lastRenderedPageBreak/>
        <w:t>k) En ellos no son necesarias las garantías</w:t>
      </w:r>
      <w:r w:rsidRPr="007A6EE5">
        <w:rPr>
          <w:rFonts w:ascii="Verdana" w:eastAsia="Calibri" w:hAnsi="Verdana" w:cs="Arial"/>
          <w:vertAlign w:val="superscript"/>
        </w:rPr>
        <w:footnoteReference w:id="24"/>
      </w:r>
      <w:r w:rsidRPr="007A6EE5">
        <w:rPr>
          <w:rFonts w:ascii="Verdana" w:eastAsia="Calibri" w:hAnsi="Verdana" w:cs="Arial"/>
        </w:rPr>
        <w:t>.</w:t>
      </w:r>
    </w:p>
    <w:p w14:paraId="02E793BD" w14:textId="77777777" w:rsidR="00840DEA" w:rsidRDefault="00840DEA" w:rsidP="00840DEA">
      <w:pPr>
        <w:tabs>
          <w:tab w:val="left" w:pos="0"/>
        </w:tabs>
        <w:spacing w:before="120" w:after="0" w:line="276" w:lineRule="auto"/>
        <w:ind w:firstLine="709"/>
        <w:jc w:val="both"/>
        <w:rPr>
          <w:rFonts w:ascii="Verdana" w:hAnsi="Verdana" w:cs="Arial"/>
          <w:color w:val="000000" w:themeColor="text1"/>
          <w:lang w:val="es-ES_tradnl"/>
        </w:rPr>
      </w:pPr>
      <w:r w:rsidRPr="00DC7CFE">
        <w:rPr>
          <w:rFonts w:ascii="Verdana" w:hAnsi="Verdana" w:cs="Arial"/>
          <w:color w:val="000000" w:themeColor="text1"/>
        </w:rPr>
        <w:t xml:space="preserve">Ahora bien, como especies del género </w:t>
      </w:r>
      <w:r w:rsidRPr="00DC7CFE">
        <w:rPr>
          <w:rFonts w:ascii="Verdana" w:hAnsi="Verdana" w:cs="Arial"/>
          <w:i/>
          <w:color w:val="000000" w:themeColor="text1"/>
        </w:rPr>
        <w:t>prestación de servicios,</w:t>
      </w:r>
      <w:r w:rsidRPr="00DC7CFE">
        <w:rPr>
          <w:rFonts w:ascii="Verdana" w:hAnsi="Verdana" w:cs="Arial"/>
          <w:color w:val="000000" w:themeColor="text1"/>
        </w:rPr>
        <w:t xml:space="preserve"> se incluyen </w:t>
      </w:r>
      <w:r w:rsidRPr="00DC7CFE">
        <w:rPr>
          <w:rFonts w:ascii="Verdana" w:hAnsi="Verdana" w:cs="Arial"/>
          <w:color w:val="000000" w:themeColor="text1"/>
          <w:lang w:val="es-ES_tradnl"/>
        </w:rPr>
        <w:t xml:space="preserve">los </w:t>
      </w:r>
      <w:r w:rsidRPr="00DC7CFE">
        <w:rPr>
          <w:rFonts w:ascii="Verdana" w:hAnsi="Verdana" w:cs="Arial"/>
          <w:i/>
          <w:iCs/>
          <w:color w:val="000000" w:themeColor="text1"/>
          <w:lang w:val="es-ES_tradnl"/>
        </w:rPr>
        <w:t>contratos de prestación de servicios profesionales, los contratos de prestación de servicios apoyo a la gestión</w:t>
      </w:r>
      <w:r w:rsidRPr="00DC7CFE">
        <w:rPr>
          <w:rFonts w:ascii="Verdana" w:hAnsi="Verdana" w:cs="Arial"/>
          <w:color w:val="000000" w:themeColor="text1"/>
          <w:lang w:val="es-ES_tradnl"/>
        </w:rPr>
        <w:t xml:space="preserve"> y los </w:t>
      </w:r>
      <w:r w:rsidRPr="00DC7CFE">
        <w:rPr>
          <w:rFonts w:ascii="Verdana" w:hAnsi="Verdana" w:cs="Arial"/>
          <w:i/>
          <w:iCs/>
          <w:color w:val="000000" w:themeColor="text1"/>
          <w:lang w:val="es-ES_tradnl"/>
        </w:rPr>
        <w:t>contratos de prestación de servicios artísticos que solo pueden encomendarse a determinadas personas naturales</w:t>
      </w:r>
      <w:r w:rsidRPr="00DC7CFE">
        <w:rPr>
          <w:rFonts w:ascii="Verdana" w:hAnsi="Verdana" w:cs="Arial"/>
          <w:color w:val="000000" w:themeColor="text1"/>
          <w:vertAlign w:val="superscript"/>
          <w:lang w:val="es-ES_tradnl"/>
        </w:rPr>
        <w:footnoteReference w:id="25"/>
      </w:r>
      <w:r w:rsidRPr="00DC7CFE">
        <w:rPr>
          <w:rFonts w:ascii="Verdana" w:hAnsi="Verdana" w:cs="Arial"/>
          <w:color w:val="000000" w:themeColor="text1"/>
        </w:rPr>
        <w:t xml:space="preserve">. </w:t>
      </w:r>
      <w:r w:rsidRPr="00DC7CFE">
        <w:rPr>
          <w:rFonts w:ascii="Verdana" w:hAnsi="Verdana" w:cs="Arial"/>
          <w:color w:val="000000" w:themeColor="text1"/>
          <w:lang w:val="es-ES_tradnl"/>
        </w:rPr>
        <w:t xml:space="preserve">La diferencia entre el contrato de prestación de servicios </w:t>
      </w:r>
      <w:r w:rsidRPr="00DC7CFE">
        <w:rPr>
          <w:rFonts w:ascii="Verdana" w:hAnsi="Verdana" w:cs="Arial"/>
          <w:i/>
          <w:color w:val="000000" w:themeColor="text1"/>
          <w:lang w:val="es-ES_tradnl"/>
        </w:rPr>
        <w:t>profesionales</w:t>
      </w:r>
      <w:r w:rsidRPr="00DC7CFE">
        <w:rPr>
          <w:rFonts w:ascii="Verdana" w:hAnsi="Verdana" w:cs="Arial"/>
          <w:color w:val="000000" w:themeColor="text1"/>
          <w:lang w:val="es-ES_tradnl"/>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explicar que:</w:t>
      </w:r>
    </w:p>
    <w:p w14:paraId="091B5A9E" w14:textId="77777777" w:rsidR="00840DEA" w:rsidRPr="00DC7CFE" w:rsidRDefault="00840DEA" w:rsidP="00840DEA">
      <w:pPr>
        <w:tabs>
          <w:tab w:val="left" w:pos="0"/>
        </w:tabs>
        <w:spacing w:after="0" w:line="276" w:lineRule="auto"/>
        <w:ind w:firstLine="709"/>
        <w:jc w:val="both"/>
        <w:rPr>
          <w:rFonts w:ascii="Verdana" w:hAnsi="Verdana" w:cs="Arial"/>
          <w:color w:val="000000" w:themeColor="text1"/>
        </w:rPr>
      </w:pPr>
    </w:p>
    <w:p w14:paraId="79701F5B" w14:textId="77777777" w:rsidR="00840DEA" w:rsidRDefault="00840DEA" w:rsidP="00840DEA">
      <w:pPr>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DC7CFE">
        <w:rPr>
          <w:rFonts w:ascii="Verdana" w:hAnsi="Verdana" w:cs="Arial"/>
          <w:color w:val="000000" w:themeColor="text1"/>
          <w:sz w:val="20"/>
          <w:szCs w:val="20"/>
          <w:vertAlign w:val="superscript"/>
          <w:lang w:val="es-ES_tradnl"/>
        </w:rPr>
        <w:footnoteReference w:id="26"/>
      </w:r>
      <w:r w:rsidRPr="00DC7CFE">
        <w:rPr>
          <w:rFonts w:ascii="Verdana" w:hAnsi="Verdana" w:cs="Arial"/>
          <w:color w:val="000000" w:themeColor="text1"/>
          <w:sz w:val="20"/>
          <w:szCs w:val="20"/>
          <w:lang w:val="es-ES_tradnl"/>
        </w:rPr>
        <w:t>.</w:t>
      </w:r>
    </w:p>
    <w:p w14:paraId="5D6FCC81" w14:textId="77777777" w:rsidR="00840DEA" w:rsidRPr="00DC7CFE" w:rsidRDefault="00840DEA" w:rsidP="00840DEA">
      <w:pPr>
        <w:spacing w:after="0" w:line="240" w:lineRule="auto"/>
        <w:ind w:left="709" w:right="709"/>
        <w:jc w:val="both"/>
        <w:rPr>
          <w:rFonts w:ascii="Verdana" w:hAnsi="Verdana" w:cs="Arial"/>
          <w:color w:val="000000" w:themeColor="text1"/>
          <w:sz w:val="20"/>
          <w:szCs w:val="20"/>
          <w:lang w:val="es-ES_tradnl"/>
        </w:rPr>
      </w:pPr>
    </w:p>
    <w:p w14:paraId="25054E9A" w14:textId="77777777" w:rsidR="00840DEA" w:rsidRDefault="00840DEA" w:rsidP="00840DEA">
      <w:pPr>
        <w:spacing w:after="0" w:line="276" w:lineRule="auto"/>
        <w:ind w:firstLine="709"/>
        <w:jc w:val="both"/>
        <w:rPr>
          <w:rFonts w:ascii="Verdana" w:hAnsi="Verdana" w:cs="Arial"/>
          <w:color w:val="000000" w:themeColor="text1"/>
          <w:lang w:val="es-ES_tradnl"/>
        </w:rPr>
      </w:pPr>
      <w:r w:rsidRPr="00DC7CFE">
        <w:rPr>
          <w:rFonts w:ascii="Verdana" w:hAnsi="Verdana" w:cs="Arial"/>
          <w:color w:val="000000" w:themeColor="text1"/>
          <w:lang w:val="es-ES_tradnl"/>
        </w:rPr>
        <w:lastRenderedPageBreak/>
        <w:t xml:space="preserve">Lo expuesto, según la jurisprudencia citada, se diferencia del objeto del </w:t>
      </w:r>
      <w:r w:rsidRPr="00DC7CFE">
        <w:rPr>
          <w:rFonts w:ascii="Verdana" w:hAnsi="Verdana" w:cs="Arial"/>
          <w:i/>
          <w:iCs/>
          <w:color w:val="000000" w:themeColor="text1"/>
          <w:lang w:val="es-ES_tradnl"/>
        </w:rPr>
        <w:t>contrato de prestación de servicios de apoyo a la gestión</w:t>
      </w:r>
      <w:r w:rsidRPr="00DC7CFE">
        <w:rPr>
          <w:rFonts w:ascii="Verdana" w:hAnsi="Verdana" w:cs="Arial"/>
          <w:color w:val="000000" w:themeColor="text1"/>
          <w:lang w:val="es-ES_tradnl"/>
        </w:rPr>
        <w:t>, en los siguientes aspectos:</w:t>
      </w:r>
    </w:p>
    <w:p w14:paraId="57A52656" w14:textId="77777777" w:rsidR="00840DEA" w:rsidRPr="00DC7CFE" w:rsidRDefault="00840DEA" w:rsidP="00840DEA">
      <w:pPr>
        <w:spacing w:after="0" w:line="276" w:lineRule="auto"/>
        <w:ind w:firstLine="709"/>
        <w:jc w:val="both"/>
        <w:rPr>
          <w:rFonts w:ascii="Verdana" w:hAnsi="Verdana" w:cs="Arial"/>
          <w:color w:val="000000" w:themeColor="text1"/>
          <w:lang w:val="es-ES_tradnl"/>
        </w:rPr>
      </w:pPr>
    </w:p>
    <w:p w14:paraId="75BC9A83" w14:textId="77777777" w:rsidR="00840DEA" w:rsidRPr="00DC7CFE" w:rsidRDefault="00840DEA" w:rsidP="00840DEA">
      <w:pPr>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5F809BA8" w14:textId="77777777" w:rsidR="00840DEA" w:rsidRPr="00DC7CFE" w:rsidRDefault="00840DEA" w:rsidP="00840DEA">
      <w:pPr>
        <w:spacing w:after="0" w:line="240" w:lineRule="auto"/>
        <w:ind w:left="709" w:right="709"/>
        <w:jc w:val="both"/>
        <w:rPr>
          <w:rFonts w:ascii="Verdana" w:hAnsi="Verdana" w:cs="Arial"/>
          <w:color w:val="000000" w:themeColor="text1"/>
          <w:sz w:val="20"/>
          <w:szCs w:val="20"/>
          <w:lang w:val="es-ES"/>
        </w:rPr>
      </w:pPr>
      <w:r w:rsidRPr="00DC7CFE">
        <w:rPr>
          <w:rFonts w:ascii="Verdana" w:hAnsi="Verdana" w:cs="Arial"/>
          <w:color w:val="000000" w:themeColor="text1"/>
          <w:sz w:val="20"/>
          <w:szCs w:val="20"/>
          <w:lang w:val="es-ES"/>
        </w:rPr>
        <w:t xml:space="preserve">Aunque también se caracteriza por el desempeño de actividad intelectiva, ésta </w:t>
      </w:r>
      <w:proofErr w:type="gramStart"/>
      <w:r w:rsidRPr="00DC7CFE">
        <w:rPr>
          <w:rFonts w:ascii="Verdana" w:hAnsi="Verdana" w:cs="Arial"/>
          <w:color w:val="000000" w:themeColor="text1"/>
          <w:sz w:val="20"/>
          <w:szCs w:val="20"/>
          <w:lang w:val="es-ES"/>
        </w:rPr>
        <w:t>se enmarca dentro de</w:t>
      </w:r>
      <w:proofErr w:type="gramEnd"/>
      <w:r w:rsidRPr="00DC7CFE">
        <w:rPr>
          <w:rFonts w:ascii="Verdana" w:hAnsi="Verdana" w:cs="Arial"/>
          <w:color w:val="000000" w:themeColor="text1"/>
          <w:sz w:val="20"/>
          <w:szCs w:val="20"/>
          <w:lang w:val="es-ES"/>
        </w:rPr>
        <w:t xml:space="preserve"> un saber propiamente técnico; igualmente involucra actividades en donde prima el esfuerzo físico o mecánico, en donde no se requiere de personal profesional.</w:t>
      </w:r>
    </w:p>
    <w:p w14:paraId="63E076D6" w14:textId="77777777" w:rsidR="00840DEA" w:rsidRDefault="00840DEA" w:rsidP="00840DEA">
      <w:pPr>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Dentro de su objeto contractual pueden tener lugar actividades operativas, logísticas o asistenciales, siempre que satisfaga los requisitos antes mencionados y sea acorde con las necesidades de la Administración y el principio de planeación”</w:t>
      </w:r>
      <w:r w:rsidRPr="00DC7CFE">
        <w:rPr>
          <w:rFonts w:ascii="Verdana" w:hAnsi="Verdana" w:cs="Arial"/>
          <w:color w:val="000000" w:themeColor="text1"/>
          <w:sz w:val="20"/>
          <w:szCs w:val="20"/>
          <w:vertAlign w:val="superscript"/>
          <w:lang w:val="es-ES_tradnl"/>
        </w:rPr>
        <w:footnoteReference w:id="27"/>
      </w:r>
      <w:r w:rsidRPr="00DC7CFE">
        <w:rPr>
          <w:rFonts w:ascii="Verdana" w:hAnsi="Verdana" w:cs="Arial"/>
          <w:color w:val="000000" w:themeColor="text1"/>
          <w:sz w:val="20"/>
          <w:szCs w:val="20"/>
          <w:lang w:val="es-ES_tradnl"/>
        </w:rPr>
        <w:t>.</w:t>
      </w:r>
    </w:p>
    <w:p w14:paraId="353BE4C8" w14:textId="77777777" w:rsidR="00840DEA" w:rsidRPr="00DC7CFE" w:rsidRDefault="00840DEA" w:rsidP="00840DEA">
      <w:pPr>
        <w:spacing w:after="0" w:line="240" w:lineRule="auto"/>
        <w:ind w:left="709" w:right="709"/>
        <w:jc w:val="both"/>
        <w:rPr>
          <w:rFonts w:ascii="Verdana" w:hAnsi="Verdana" w:cs="Arial"/>
          <w:color w:val="000000" w:themeColor="text1"/>
          <w:sz w:val="20"/>
          <w:szCs w:val="20"/>
          <w:lang w:val="es-ES_tradnl"/>
        </w:rPr>
      </w:pPr>
    </w:p>
    <w:p w14:paraId="55C49BDB" w14:textId="77777777" w:rsidR="00840DEA" w:rsidRPr="00DC7CFE" w:rsidRDefault="00840DEA" w:rsidP="00840DEA">
      <w:pPr>
        <w:spacing w:after="0" w:line="276" w:lineRule="auto"/>
        <w:ind w:firstLine="709"/>
        <w:jc w:val="both"/>
        <w:rPr>
          <w:rFonts w:ascii="Verdana" w:hAnsi="Verdana" w:cs="Arial"/>
          <w:color w:val="000000" w:themeColor="text1"/>
          <w:lang w:val="es-ES_tradnl"/>
        </w:rPr>
      </w:pPr>
      <w:r w:rsidRPr="00DC7CFE">
        <w:rPr>
          <w:rFonts w:ascii="Verdana" w:hAnsi="Verdana" w:cs="Arial"/>
          <w:color w:val="000000" w:themeColor="text1"/>
          <w:lang w:val="es-ES_tradnl"/>
        </w:rPr>
        <w:t xml:space="preserve">En relación con el </w:t>
      </w:r>
      <w:r w:rsidRPr="00DC7CFE">
        <w:rPr>
          <w:rFonts w:ascii="Verdana" w:hAnsi="Verdana" w:cs="Arial"/>
          <w:i/>
          <w:iCs/>
          <w:color w:val="000000" w:themeColor="text1"/>
          <w:lang w:val="es-ES_tradnl"/>
        </w:rPr>
        <w:t>contrato de prestación de servicios artísticos que solo pueden encomendarse a determinadas personas naturales</w:t>
      </w:r>
      <w:r w:rsidRPr="00DC7CFE">
        <w:rPr>
          <w:rFonts w:ascii="Verdana" w:hAnsi="Verdana" w:cs="Arial"/>
          <w:color w:val="000000" w:themeColor="text1"/>
          <w:lang w:val="es-ES_tradnl"/>
        </w:rPr>
        <w:t>, señala la mencionada decisión judicial lo siguiente:</w:t>
      </w:r>
    </w:p>
    <w:p w14:paraId="729BFA2C" w14:textId="77777777" w:rsidR="00840DEA" w:rsidRPr="00DC7CFE" w:rsidRDefault="00840DEA" w:rsidP="00840DEA">
      <w:pPr>
        <w:spacing w:after="0" w:line="276" w:lineRule="auto"/>
        <w:ind w:firstLine="709"/>
        <w:jc w:val="both"/>
        <w:rPr>
          <w:rFonts w:ascii="Verdana" w:hAnsi="Verdana" w:cs="Arial"/>
          <w:color w:val="000000" w:themeColor="text1"/>
          <w:lang w:val="es-ES_tradnl"/>
        </w:rPr>
      </w:pPr>
    </w:p>
    <w:p w14:paraId="64D94D1D" w14:textId="77777777" w:rsidR="00840DEA" w:rsidRPr="00DC7CFE" w:rsidRDefault="00840DEA" w:rsidP="00840DEA">
      <w:pPr>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DC7CFE">
        <w:rPr>
          <w:rFonts w:ascii="Verdana" w:hAnsi="Verdana" w:cs="Arial"/>
          <w:color w:val="000000" w:themeColor="text1"/>
          <w:sz w:val="20"/>
          <w:szCs w:val="20"/>
          <w:vertAlign w:val="superscript"/>
          <w:lang w:val="es-ES_tradnl"/>
        </w:rPr>
        <w:footnoteReference w:id="28"/>
      </w:r>
      <w:r w:rsidRPr="00DC7CFE">
        <w:rPr>
          <w:rFonts w:ascii="Verdana" w:hAnsi="Verdana" w:cs="Arial"/>
          <w:color w:val="000000" w:themeColor="text1"/>
          <w:sz w:val="20"/>
          <w:szCs w:val="20"/>
          <w:lang w:val="es-ES_tradnl"/>
        </w:rPr>
        <w:t>.</w:t>
      </w:r>
    </w:p>
    <w:p w14:paraId="7F70375C" w14:textId="77777777" w:rsidR="00840DEA" w:rsidRPr="00DC7CFE" w:rsidRDefault="00840DEA" w:rsidP="00840DEA">
      <w:pPr>
        <w:spacing w:after="0" w:line="276" w:lineRule="auto"/>
        <w:ind w:firstLine="709"/>
        <w:jc w:val="both"/>
        <w:rPr>
          <w:rFonts w:ascii="Verdana" w:hAnsi="Verdana" w:cs="Arial"/>
          <w:color w:val="000000" w:themeColor="text1"/>
          <w:lang w:val="es-ES_tradnl"/>
        </w:rPr>
      </w:pPr>
    </w:p>
    <w:p w14:paraId="0F08BEDC" w14:textId="77777777" w:rsidR="00840DEA" w:rsidRPr="00DC7CFE" w:rsidRDefault="00840DEA" w:rsidP="00840DEA">
      <w:pPr>
        <w:spacing w:after="0" w:line="276" w:lineRule="auto"/>
        <w:ind w:firstLine="709"/>
        <w:jc w:val="both"/>
        <w:rPr>
          <w:rFonts w:ascii="Verdana" w:hAnsi="Verdana" w:cs="Arial"/>
          <w:color w:val="000000" w:themeColor="text1"/>
          <w:lang w:val="es-ES_tradnl"/>
        </w:rPr>
      </w:pPr>
      <w:r w:rsidRPr="00DC7CFE">
        <w:rPr>
          <w:rFonts w:ascii="Verdana" w:hAnsi="Verdana" w:cs="Arial"/>
          <w:color w:val="000000" w:themeColor="text1"/>
          <w:lang w:val="es-ES_tradnl"/>
        </w:rPr>
        <w:t xml:space="preserve">En este sentido, el contrato de prestación de servicios </w:t>
      </w:r>
      <w:r w:rsidRPr="00DC7CFE">
        <w:rPr>
          <w:rFonts w:ascii="Verdana" w:hAnsi="Verdana" w:cs="Arial"/>
          <w:i/>
          <w:iCs/>
          <w:color w:val="000000" w:themeColor="text1"/>
          <w:lang w:val="es-ES_tradnl"/>
        </w:rPr>
        <w:t>profesionales</w:t>
      </w:r>
      <w:r w:rsidRPr="00DC7CFE">
        <w:rPr>
          <w:rFonts w:ascii="Verdana" w:hAnsi="Verdana" w:cs="Arial"/>
          <w:color w:val="000000" w:themeColor="text1"/>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DC7CFE">
        <w:rPr>
          <w:rFonts w:ascii="Verdana" w:hAnsi="Verdana" w:cs="Arial"/>
          <w:i/>
          <w:iCs/>
          <w:color w:val="000000" w:themeColor="text1"/>
          <w:lang w:val="es-ES_tradnl"/>
        </w:rPr>
        <w:t>saber intelectivo cualificado.</w:t>
      </w:r>
      <w:r w:rsidRPr="00DC7CFE">
        <w:rPr>
          <w:rFonts w:ascii="Verdana" w:hAnsi="Verdana" w:cs="Arial"/>
          <w:color w:val="000000" w:themeColor="text1"/>
          <w:lang w:val="es-ES_tradnl"/>
        </w:rPr>
        <w:t xml:space="preserve"> En cambio, los contratos de prestación de servicios de </w:t>
      </w:r>
      <w:r w:rsidRPr="00DC7CFE">
        <w:rPr>
          <w:rFonts w:ascii="Verdana" w:hAnsi="Verdana" w:cs="Arial"/>
          <w:i/>
          <w:iCs/>
          <w:color w:val="000000" w:themeColor="text1"/>
          <w:lang w:val="es-ES_tradnl"/>
        </w:rPr>
        <w:t>apoyo a la gestión</w:t>
      </w:r>
      <w:r w:rsidRPr="00DC7CFE">
        <w:rPr>
          <w:rFonts w:ascii="Verdana" w:hAnsi="Verdana" w:cs="Arial"/>
          <w:color w:val="000000" w:themeColor="text1"/>
          <w:lang w:val="es-ES_tradnl"/>
        </w:rPr>
        <w:t xml:space="preserve"> y de</w:t>
      </w:r>
      <w:r>
        <w:rPr>
          <w:rFonts w:ascii="Verdana" w:hAnsi="Verdana" w:cs="Arial"/>
          <w:i/>
          <w:iCs/>
          <w:color w:val="000000" w:themeColor="text1"/>
          <w:lang w:val="es-ES_tradnl"/>
        </w:rPr>
        <w:t xml:space="preserve"> ejecución de trabajos</w:t>
      </w:r>
      <w:r w:rsidRPr="00DC7CFE">
        <w:rPr>
          <w:rFonts w:ascii="Verdana" w:hAnsi="Verdana" w:cs="Arial"/>
          <w:i/>
          <w:iCs/>
          <w:color w:val="000000" w:themeColor="text1"/>
          <w:lang w:val="es-ES_tradnl"/>
        </w:rPr>
        <w:t xml:space="preserve"> artísticos</w:t>
      </w:r>
      <w:r w:rsidRPr="00DC7CFE">
        <w:rPr>
          <w:rFonts w:ascii="Verdana" w:hAnsi="Verdana" w:cs="Arial"/>
          <w:color w:val="000000" w:themeColor="text1"/>
          <w:lang w:val="es-ES_tradnl"/>
        </w:rPr>
        <w:t xml:space="preserve"> no involucran ese conocimiento profesional </w:t>
      </w:r>
      <w:r w:rsidRPr="00DC7CFE">
        <w:rPr>
          <w:rFonts w:ascii="Verdana" w:hAnsi="Verdana" w:cs="Arial"/>
          <w:color w:val="000000" w:themeColor="text1"/>
        </w:rPr>
        <w:t xml:space="preserve">o especializados para su ejecución. En los de apoyo a la gestión </w:t>
      </w:r>
      <w:r w:rsidRPr="00DC7CFE">
        <w:rPr>
          <w:rFonts w:ascii="Verdana" w:hAnsi="Verdana" w:cs="Arial"/>
          <w:color w:val="000000" w:themeColor="text1"/>
          <w:lang w:val="es-ES_tradnl"/>
        </w:rPr>
        <w:t xml:space="preserve">el contratista desempeña un esfuerzo o actividad de apoyo, acompañamiento, o soporte, </w:t>
      </w:r>
      <w:r w:rsidRPr="00DC7CFE">
        <w:rPr>
          <w:rFonts w:ascii="Verdana" w:hAnsi="Verdana" w:cs="Arial"/>
          <w:color w:val="000000" w:themeColor="text1"/>
        </w:rPr>
        <w:t xml:space="preserve">en donde </w:t>
      </w:r>
      <w:r w:rsidRPr="00DC7CFE">
        <w:rPr>
          <w:rFonts w:ascii="Verdana" w:hAnsi="Verdana" w:cs="Arial"/>
          <w:color w:val="000000" w:themeColor="text1"/>
          <w:lang w:val="es-ES_tradnl"/>
        </w:rPr>
        <w:t xml:space="preserve">“lo predominante es el actuar como </w:t>
      </w:r>
      <w:r w:rsidRPr="00DC7CFE">
        <w:rPr>
          <w:rFonts w:ascii="Verdana" w:hAnsi="Verdana" w:cs="Arial"/>
          <w:color w:val="000000" w:themeColor="text1"/>
          <w:lang w:val="es-ES_tradnl"/>
        </w:rPr>
        <w:lastRenderedPageBreak/>
        <w:t xml:space="preserve">ejecutor, con el propósito y finalidad de satisfacer necesidades de las entidades estatales en lo relacionado con la gestión administrativa o funcionamiento de esta, por personas no profesionales y que no implican el ejercicio de funciones públicas administrativas”. Igualmente, en el contrato de prestación </w:t>
      </w:r>
      <w:r>
        <w:rPr>
          <w:rFonts w:ascii="Verdana" w:hAnsi="Verdana" w:cs="Arial"/>
          <w:color w:val="000000" w:themeColor="text1"/>
          <w:lang w:val="es-ES_tradnl"/>
        </w:rPr>
        <w:t xml:space="preserve">para la ejecución de trabajos </w:t>
      </w:r>
      <w:r w:rsidRPr="00DC7CFE">
        <w:rPr>
          <w:rFonts w:ascii="Verdana" w:hAnsi="Verdana" w:cs="Arial"/>
          <w:color w:val="000000" w:themeColor="text1"/>
          <w:lang w:val="es-ES_tradnl"/>
        </w:rPr>
        <w:t>artísticos lo prevalente es que la persona que lo ejecute se trate de un artista, es decir, “una persona reconocida como realizador o productor de arte, de obras de arte, ejecutor de trabajos artísticos”, en donde es indiferente el carácter de profesional.</w:t>
      </w:r>
      <w:r>
        <w:rPr>
          <w:rFonts w:ascii="Verdana" w:hAnsi="Verdana" w:cs="Arial"/>
          <w:color w:val="000000" w:themeColor="text1"/>
          <w:lang w:val="es-ES_tradnl"/>
        </w:rPr>
        <w:t xml:space="preserve"> </w:t>
      </w:r>
      <w:r w:rsidRPr="00DC7CFE">
        <w:rPr>
          <w:rFonts w:ascii="Verdana" w:eastAsia="Calibri" w:hAnsi="Verdana" w:cs="Arial"/>
          <w:color w:val="000000" w:themeColor="text1"/>
        </w:rPr>
        <w:t xml:space="preserve">Sobre la ejecución de trabajos artísticos que sólo pueden encomendarse a determinadas personas naturales, conviene citar </w:t>
      </w:r>
      <w:proofErr w:type="gramStart"/>
      <w:r w:rsidRPr="00DC7CFE">
        <w:rPr>
          <w:rFonts w:ascii="Verdana" w:eastAsia="Calibri" w:hAnsi="Verdana" w:cs="Arial"/>
          <w:i/>
          <w:iCs/>
          <w:color w:val="000000" w:themeColor="text1"/>
        </w:rPr>
        <w:t>in extenso</w:t>
      </w:r>
      <w:proofErr w:type="gramEnd"/>
      <w:r w:rsidRPr="00DC7CFE">
        <w:rPr>
          <w:rFonts w:ascii="Verdana" w:eastAsia="Calibri" w:hAnsi="Verdana" w:cs="Arial"/>
          <w:color w:val="000000" w:themeColor="text1"/>
        </w:rPr>
        <w:t xml:space="preserve"> lo expuesto por la Sección Tercera de la Sala de lo Contencioso Administrativo del Consejo de Estado, en Sentencia del 2 de diciembre de 2013, expediente 41.719. Al respecto señaló que:</w:t>
      </w:r>
    </w:p>
    <w:p w14:paraId="5D8EA9E7"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lang w:val="es-ES_tradnl"/>
        </w:rPr>
      </w:pPr>
    </w:p>
    <w:p w14:paraId="4518F4A9" w14:textId="77777777" w:rsidR="00840DEA"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 xml:space="preserve">“El segundo de los elementos normativos que el legislador ha considerado determinante para la configuración de la causal de contratación directa que ocupa la atención de la Sala, es el que se refiere a otra especie de contratos, que en esencia son de prestación de servicios, pero de un contenido prestacional diferente porque corresponden a una modalidad tipificada de negocios cuyo objeto es de por sí especialísimo ya que tienen por objeto la generación de </w:t>
      </w:r>
      <w:r w:rsidRPr="00DC7CFE">
        <w:rPr>
          <w:rFonts w:ascii="Verdana" w:hAnsi="Verdana" w:cs="Arial"/>
          <w:i/>
          <w:color w:val="000000" w:themeColor="text1"/>
          <w:sz w:val="20"/>
          <w:szCs w:val="20"/>
          <w:lang w:val="es-ES_tradnl"/>
        </w:rPr>
        <w:t>patrimonio artístico</w:t>
      </w:r>
      <w:r w:rsidRPr="00DC7CFE">
        <w:rPr>
          <w:rFonts w:ascii="Verdana" w:hAnsi="Verdana" w:cs="Arial"/>
          <w:color w:val="000000" w:themeColor="text1"/>
          <w:sz w:val="20"/>
          <w:szCs w:val="20"/>
          <w:lang w:val="es-ES_tradnl"/>
        </w:rPr>
        <w:t xml:space="preserve"> para la entidad estatal o bien beneficiarla de manifestaciones artísticas, para cuyo efecto se encarga a personas que por sus características, dotes, capacidades o aptitudes resultan ser únicas o especiales en el arte que manejan y que en virtud de esta circunstancia se individualizan en el medio nacional o internacional, mediante el reconocimiento como verdaderos y únicos en las técnicas o el arte que desarrollan.</w:t>
      </w:r>
    </w:p>
    <w:p w14:paraId="696EC6E4"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_tradnl"/>
        </w:rPr>
      </w:pPr>
    </w:p>
    <w:p w14:paraId="59D10E50" w14:textId="77777777" w:rsidR="00840DEA"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r w:rsidRPr="00DC7CFE">
        <w:rPr>
          <w:rFonts w:ascii="Verdana" w:hAnsi="Verdana" w:cs="Arial"/>
          <w:color w:val="000000" w:themeColor="text1"/>
          <w:sz w:val="20"/>
          <w:szCs w:val="20"/>
          <w:lang w:val="es-ES"/>
        </w:rPr>
        <w:t xml:space="preserve">En consecuencia, el contrato, para que sea objeto del trámite de la contratación directa, debe estar determinado por las siguientes variables </w:t>
      </w:r>
      <w:r w:rsidRPr="00DC7CFE">
        <w:rPr>
          <w:rFonts w:ascii="Verdana" w:hAnsi="Verdana" w:cs="Arial"/>
          <w:i/>
          <w:iCs/>
          <w:color w:val="000000" w:themeColor="text1"/>
          <w:sz w:val="20"/>
          <w:szCs w:val="20"/>
          <w:lang w:val="es-ES"/>
        </w:rPr>
        <w:t>(i)</w:t>
      </w:r>
      <w:r w:rsidRPr="00DC7CFE">
        <w:rPr>
          <w:rFonts w:ascii="Verdana" w:hAnsi="Verdana" w:cs="Arial"/>
          <w:color w:val="000000" w:themeColor="text1"/>
          <w:sz w:val="20"/>
          <w:szCs w:val="20"/>
          <w:lang w:val="es-ES"/>
        </w:rPr>
        <w:t xml:space="preserve"> que tengan por objeto la ejecución de </w:t>
      </w:r>
      <w:r w:rsidRPr="00DC7CFE">
        <w:rPr>
          <w:rFonts w:ascii="Verdana" w:hAnsi="Verdana" w:cs="Arial"/>
          <w:i/>
          <w:iCs/>
          <w:color w:val="000000" w:themeColor="text1"/>
          <w:sz w:val="20"/>
          <w:szCs w:val="20"/>
          <w:lang w:val="es-ES"/>
        </w:rPr>
        <w:t>trabajos artísticos</w:t>
      </w:r>
      <w:r w:rsidRPr="00DC7CFE">
        <w:rPr>
          <w:rFonts w:ascii="Verdana" w:hAnsi="Verdana" w:cs="Arial"/>
          <w:color w:val="000000" w:themeColor="text1"/>
          <w:sz w:val="20"/>
          <w:szCs w:val="20"/>
          <w:lang w:val="es-ES"/>
        </w:rPr>
        <w:t xml:space="preserve">, </w:t>
      </w:r>
      <w:r w:rsidRPr="00DC7CFE">
        <w:rPr>
          <w:rFonts w:ascii="Verdana" w:hAnsi="Verdana" w:cs="Arial"/>
          <w:i/>
          <w:iCs/>
          <w:color w:val="000000" w:themeColor="text1"/>
          <w:sz w:val="20"/>
          <w:szCs w:val="20"/>
          <w:lang w:val="es-ES"/>
        </w:rPr>
        <w:t>(</w:t>
      </w:r>
      <w:proofErr w:type="spellStart"/>
      <w:r w:rsidRPr="00DC7CFE">
        <w:rPr>
          <w:rFonts w:ascii="Verdana" w:hAnsi="Verdana" w:cs="Arial"/>
          <w:i/>
          <w:iCs/>
          <w:color w:val="000000" w:themeColor="text1"/>
          <w:sz w:val="20"/>
          <w:szCs w:val="20"/>
          <w:lang w:val="es-ES"/>
        </w:rPr>
        <w:t>ii</w:t>
      </w:r>
      <w:proofErr w:type="spellEnd"/>
      <w:r w:rsidRPr="00DC7CFE">
        <w:rPr>
          <w:rFonts w:ascii="Verdana" w:hAnsi="Verdana" w:cs="Arial"/>
          <w:i/>
          <w:iCs/>
          <w:color w:val="000000" w:themeColor="text1"/>
          <w:sz w:val="20"/>
          <w:szCs w:val="20"/>
          <w:lang w:val="es-ES"/>
        </w:rPr>
        <w:t>)</w:t>
      </w:r>
      <w:r w:rsidRPr="00DC7CFE">
        <w:rPr>
          <w:rFonts w:ascii="Verdana" w:hAnsi="Verdana" w:cs="Arial"/>
          <w:color w:val="000000" w:themeColor="text1"/>
          <w:sz w:val="20"/>
          <w:szCs w:val="20"/>
          <w:lang w:val="es-ES"/>
        </w:rPr>
        <w:t xml:space="preserve"> que el mismo o los mismos sólo puedan encomendarse a determinadas personas naturales.</w:t>
      </w:r>
    </w:p>
    <w:p w14:paraId="441F0C12"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p>
    <w:p w14:paraId="761EF5CA" w14:textId="77777777" w:rsidR="00840DEA"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r w:rsidRPr="00DC7CFE">
        <w:rPr>
          <w:rFonts w:ascii="Verdana" w:hAnsi="Verdana" w:cs="Arial"/>
          <w:color w:val="000000" w:themeColor="text1"/>
          <w:sz w:val="20"/>
          <w:szCs w:val="20"/>
          <w:lang w:val="es-ES"/>
        </w:rPr>
        <w:t xml:space="preserve">En cuanto a la primera de las variables se refiere, se puede afirmar que el concepto que comprende el objeto de </w:t>
      </w:r>
      <w:proofErr w:type="gramStart"/>
      <w:r w:rsidRPr="00DC7CFE">
        <w:rPr>
          <w:rFonts w:ascii="Verdana" w:hAnsi="Verdana" w:cs="Arial"/>
          <w:color w:val="000000" w:themeColor="text1"/>
          <w:sz w:val="20"/>
          <w:szCs w:val="20"/>
          <w:lang w:val="es-ES"/>
        </w:rPr>
        <w:t>esta  modalidad</w:t>
      </w:r>
      <w:proofErr w:type="gramEnd"/>
      <w:r w:rsidRPr="00DC7CFE">
        <w:rPr>
          <w:rFonts w:ascii="Verdana" w:hAnsi="Verdana" w:cs="Arial"/>
          <w:color w:val="000000" w:themeColor="text1"/>
          <w:sz w:val="20"/>
          <w:szCs w:val="20"/>
          <w:lang w:val="es-ES"/>
        </w:rPr>
        <w:t xml:space="preserve">  </w:t>
      </w:r>
      <w:proofErr w:type="gramStart"/>
      <w:r w:rsidRPr="00DC7CFE">
        <w:rPr>
          <w:rFonts w:ascii="Verdana" w:hAnsi="Verdana" w:cs="Arial"/>
          <w:color w:val="000000" w:themeColor="text1"/>
          <w:sz w:val="20"/>
          <w:szCs w:val="20"/>
          <w:lang w:val="es-ES"/>
        </w:rPr>
        <w:t>contractual  es</w:t>
      </w:r>
      <w:proofErr w:type="gramEnd"/>
      <w:r w:rsidRPr="00DC7CFE">
        <w:rPr>
          <w:rFonts w:ascii="Verdana" w:hAnsi="Verdana" w:cs="Arial"/>
          <w:color w:val="000000" w:themeColor="text1"/>
          <w:sz w:val="20"/>
          <w:szCs w:val="20"/>
          <w:lang w:val="es-ES"/>
        </w:rPr>
        <w:t xml:space="preserve">  el    de “trabajo artístico”, pero no en sí mismo, esto es como medio, sino como un resultado real y efectivo. Se contrata y este es el objeto, la realización de una obra artística y no simplemente una ejecución sin resultado. Es el trabajo final, el que pueda ser catalogado como una “obra de arte”, u “obra artística” o pieza de la misma naturaleza, la determinante del objeto para los efectos legales que para la materia a la que se está haciendo referencia, en esto no puede haber confusión de ninguna naturaleza.</w:t>
      </w:r>
    </w:p>
    <w:p w14:paraId="1CC82BC3"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p>
    <w:p w14:paraId="4643A88A" w14:textId="77777777" w:rsidR="00840DEA"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_tradnl"/>
        </w:rPr>
      </w:pPr>
      <w:r w:rsidRPr="00DC7CFE">
        <w:rPr>
          <w:rFonts w:ascii="Verdana" w:hAnsi="Verdana" w:cs="Arial"/>
          <w:color w:val="000000" w:themeColor="text1"/>
          <w:sz w:val="20"/>
          <w:szCs w:val="20"/>
          <w:lang w:val="es-ES_tradnl"/>
        </w:rPr>
        <w:t>Este es el sentido jurídico de la expresión, no otra cosa espera el interés público de un contrato de esta naturaleza, el de enriquecer con la “obra de arte” el patrimonio público a través de la obtención de una verdadera obra de un artista, una creación del hombre en el campo del arte, lo que comprende también actividades propias de las artes escénicas o aquellas culturales, musicales, por citar algunas manifestaciones concretas que satisfacen el referente artístico.</w:t>
      </w:r>
    </w:p>
    <w:p w14:paraId="2CA581A9"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p>
    <w:p w14:paraId="646C0DD4" w14:textId="77777777" w:rsidR="00840DEA"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r w:rsidRPr="00DC7CFE">
        <w:rPr>
          <w:rFonts w:ascii="Verdana" w:hAnsi="Verdana" w:cs="Arial"/>
          <w:color w:val="000000" w:themeColor="text1"/>
          <w:sz w:val="20"/>
          <w:szCs w:val="20"/>
          <w:lang w:val="es-ES"/>
        </w:rPr>
        <w:t xml:space="preserve">Es que </w:t>
      </w:r>
      <w:r w:rsidRPr="00DC7CFE">
        <w:rPr>
          <w:rFonts w:ascii="Verdana" w:hAnsi="Verdana" w:cs="Arial"/>
          <w:b/>
          <w:color w:val="000000" w:themeColor="text1"/>
          <w:sz w:val="20"/>
          <w:szCs w:val="20"/>
          <w:lang w:val="es-ES"/>
        </w:rPr>
        <w:t>el “trabajo artístico” a que se refiere la disposición legal, no puede ser otro que el que se entiende como un conjunto de creaciones humanas que expresan una especial visión del mundo, tanto real como imaginaria, independientemente de la forma o el modo como se exprese por el autor o los autores, en un producto final, en un producto definitivamente con valor y contenido artístico</w:t>
      </w:r>
      <w:r w:rsidRPr="00DC7CFE">
        <w:rPr>
          <w:rFonts w:ascii="Verdana" w:hAnsi="Verdana" w:cs="Arial"/>
          <w:color w:val="000000" w:themeColor="text1"/>
          <w:sz w:val="20"/>
          <w:szCs w:val="20"/>
          <w:lang w:val="es-ES"/>
        </w:rPr>
        <w:t>, no en otro sentido puede ser entendida la disposiciones bajo criterios de excepcionalidad y restricción conforme lo ampliamente explicado en esta providencia.</w:t>
      </w:r>
    </w:p>
    <w:p w14:paraId="205B6B43"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
        </w:rPr>
      </w:pPr>
    </w:p>
    <w:p w14:paraId="6E2EBCBC" w14:textId="77777777" w:rsidR="00840DEA" w:rsidRDefault="00840DEA" w:rsidP="00840DEA">
      <w:pPr>
        <w:widowControl w:val="0"/>
        <w:autoSpaceDE w:val="0"/>
        <w:autoSpaceDN w:val="0"/>
        <w:spacing w:after="0" w:line="240" w:lineRule="auto"/>
        <w:ind w:left="851" w:right="900"/>
        <w:jc w:val="both"/>
        <w:rPr>
          <w:rFonts w:ascii="Verdana" w:hAnsi="Verdana" w:cs="Arial"/>
          <w:color w:val="000000" w:themeColor="text1"/>
          <w:sz w:val="20"/>
          <w:szCs w:val="20"/>
          <w:lang w:val="es-ES"/>
        </w:rPr>
      </w:pPr>
      <w:r w:rsidRPr="00DC7CFE">
        <w:rPr>
          <w:rFonts w:ascii="Verdana" w:hAnsi="Verdana" w:cs="Arial"/>
          <w:color w:val="000000" w:themeColor="text1"/>
          <w:sz w:val="20"/>
          <w:szCs w:val="20"/>
          <w:lang w:val="es-ES"/>
        </w:rPr>
        <w:t>“… El arte es entendido generalmente como cualquier actividad o producto realizado por el ser humano con una finalidad estética o comunicativa, a través del cual se expresan ideas, emociones o, en general, una visión del mundo, mediante diversos recursos, como los plásticos, lingüísticos, sonoros, o mixtos…”.</w:t>
      </w:r>
    </w:p>
    <w:p w14:paraId="120B5882" w14:textId="77777777" w:rsidR="00840DEA" w:rsidRPr="00DC7CFE" w:rsidRDefault="00840DEA" w:rsidP="00840DEA">
      <w:pPr>
        <w:widowControl w:val="0"/>
        <w:autoSpaceDE w:val="0"/>
        <w:autoSpaceDN w:val="0"/>
        <w:spacing w:after="0" w:line="240" w:lineRule="auto"/>
        <w:ind w:left="851" w:right="900"/>
        <w:jc w:val="both"/>
        <w:rPr>
          <w:rFonts w:ascii="Verdana" w:hAnsi="Verdana" w:cs="Arial"/>
          <w:color w:val="000000" w:themeColor="text1"/>
          <w:sz w:val="20"/>
          <w:szCs w:val="20"/>
          <w:lang w:val="es-ES"/>
        </w:rPr>
      </w:pPr>
    </w:p>
    <w:p w14:paraId="584F2F65" w14:textId="77777777" w:rsidR="00840DEA" w:rsidRDefault="00840DEA" w:rsidP="00840DEA">
      <w:pPr>
        <w:widowControl w:val="0"/>
        <w:autoSpaceDE w:val="0"/>
        <w:autoSpaceDN w:val="0"/>
        <w:spacing w:after="0" w:line="240" w:lineRule="auto"/>
        <w:ind w:left="709" w:right="709"/>
        <w:jc w:val="both"/>
        <w:rPr>
          <w:rFonts w:ascii="Verdana" w:hAnsi="Verdana" w:cs="Arial"/>
          <w:bCs/>
          <w:color w:val="000000" w:themeColor="text1"/>
          <w:sz w:val="20"/>
          <w:szCs w:val="20"/>
          <w:lang w:val="es-ES"/>
        </w:rPr>
      </w:pPr>
      <w:r w:rsidRPr="00DC7CFE">
        <w:rPr>
          <w:rFonts w:ascii="Verdana" w:hAnsi="Verdana" w:cs="Arial"/>
          <w:color w:val="000000" w:themeColor="text1"/>
          <w:sz w:val="20"/>
          <w:szCs w:val="20"/>
          <w:lang w:val="es-ES"/>
        </w:rPr>
        <w:t xml:space="preserve">Tratándose  de  la  segunda  de  las  variables,  esto   es,  la   que  indica  que los </w:t>
      </w:r>
      <w:r w:rsidRPr="00DC7CFE">
        <w:rPr>
          <w:rFonts w:ascii="Verdana" w:hAnsi="Verdana" w:cs="Arial"/>
          <w:b/>
          <w:color w:val="000000" w:themeColor="text1"/>
          <w:sz w:val="20"/>
          <w:szCs w:val="20"/>
          <w:lang w:val="es-ES"/>
        </w:rPr>
        <w:t>“trabajos artísticos” (…) “… que sólo puedan encomendarse a determinadas personas naturales…” debe ser entendida en coherencia con lo anterior, en el sentido de que el contratista debe ser sustancialmente un artista, es decir, una persona reconocida como realizador o productor de arte, de obras de arte, ejecutor de trabajos artísticos, un ser humano que dada su sensibilidad en relación con el mundo tiene la aptitud, la capacidad, la disposición natural o adquirida; el talento y estilo o forma original de hacer las cosas; y la genialidad, naturalidad y el carácter que lo hace distinto a otros artistas, esto es, su capacidad de inventiva que lo hace influyente en el medio, un ser único y excepcional, todo esto, para producir obras artísticas</w:t>
      </w:r>
      <w:r w:rsidRPr="00DC7CFE">
        <w:rPr>
          <w:rFonts w:ascii="Verdana" w:hAnsi="Verdana" w:cs="Arial"/>
          <w:color w:val="000000" w:themeColor="text1"/>
          <w:sz w:val="20"/>
          <w:szCs w:val="20"/>
          <w:lang w:val="es-ES"/>
        </w:rPr>
        <w:t>, de aquí la razonabilidad de la expresión utilizada por la disposición en comento según la cual, los trabajos artísticos sólo puedan encomendarse a determinadas personas naturales. En todo caso, destaca la Sala que la motivación para la celebración de este tipo de contratos debe surgir de la ponderada valoración de las necesidades de la Entidad pública, reflejadas, siempre, en los procesos de planeación adelantados con antelación</w:t>
      </w:r>
      <w:r w:rsidRPr="00DC7CFE">
        <w:rPr>
          <w:rFonts w:ascii="Verdana" w:hAnsi="Verdana" w:cs="Arial"/>
          <w:bCs/>
          <w:color w:val="000000" w:themeColor="text1"/>
          <w:sz w:val="20"/>
          <w:szCs w:val="20"/>
          <w:lang w:val="es-ES"/>
        </w:rPr>
        <w:t>»” (Negrilla fuera de texto)</w:t>
      </w:r>
    </w:p>
    <w:p w14:paraId="70DA0A0F" w14:textId="77777777" w:rsidR="00840DEA" w:rsidRPr="00DC7CFE" w:rsidRDefault="00840DEA" w:rsidP="00840DEA">
      <w:pPr>
        <w:widowControl w:val="0"/>
        <w:autoSpaceDE w:val="0"/>
        <w:autoSpaceDN w:val="0"/>
        <w:spacing w:after="0" w:line="240" w:lineRule="auto"/>
        <w:ind w:left="709" w:right="709"/>
        <w:jc w:val="both"/>
        <w:rPr>
          <w:rFonts w:ascii="Verdana" w:hAnsi="Verdana" w:cs="Arial"/>
          <w:color w:val="000000" w:themeColor="text1"/>
          <w:sz w:val="20"/>
          <w:szCs w:val="20"/>
          <w:lang w:val="es-ES_tradnl"/>
        </w:rPr>
      </w:pPr>
    </w:p>
    <w:p w14:paraId="77C0CF84" w14:textId="77777777" w:rsidR="00840DEA" w:rsidRPr="00DC7CFE" w:rsidRDefault="00840DEA" w:rsidP="00840DEA">
      <w:pPr>
        <w:widowControl w:val="0"/>
        <w:autoSpaceDE w:val="0"/>
        <w:autoSpaceDN w:val="0"/>
        <w:spacing w:before="4" w:after="120" w:line="276" w:lineRule="auto"/>
        <w:ind w:firstLine="709"/>
        <w:jc w:val="both"/>
        <w:rPr>
          <w:rFonts w:ascii="Verdana" w:eastAsia="Calibri" w:hAnsi="Verdana" w:cs="Arial"/>
          <w:color w:val="000000" w:themeColor="text1"/>
        </w:rPr>
      </w:pPr>
      <w:r w:rsidRPr="00DC7CFE">
        <w:rPr>
          <w:rFonts w:ascii="Verdana" w:hAnsi="Verdana" w:cs="Arial"/>
          <w:color w:val="000000" w:themeColor="text1"/>
          <w:lang w:val="es-ES_tradnl"/>
        </w:rPr>
        <w:lastRenderedPageBreak/>
        <w:t>Así, la causal en estudio, para acudir a la contratación directa, tiene lugar cuando se va a encomendar la ejecución de un trabajo artístico a una persona natural y no cuando el objeto convencional perseguido, lejos de ser la prestación de un servicio para la elaboración de una obra artística, es la adquisición o compra de un bien calificado como obra de arte. Conforme a lo establecido en</w:t>
      </w:r>
      <w:r w:rsidRPr="00DC7CFE">
        <w:rPr>
          <w:rFonts w:ascii="Verdana" w:eastAsia="Calibri" w:hAnsi="Verdana" w:cs="Arial"/>
          <w:color w:val="000000" w:themeColor="text1"/>
        </w:rPr>
        <w:t xml:space="preserve"> el inciso final del antecitado artículo 2.2.1.2.1.4.9 del Decreto 1082 de 2015–, la aplicación de la causal de contratación directa deberá quedar plenamente justificada en los estudios y documentos previos</w:t>
      </w:r>
      <w:r w:rsidRPr="00DC7CFE">
        <w:rPr>
          <w:rFonts w:ascii="Verdana" w:eastAsia="Calibri" w:hAnsi="Verdana" w:cs="Arial"/>
          <w:color w:val="000000" w:themeColor="text1"/>
          <w:vertAlign w:val="superscript"/>
        </w:rPr>
        <w:footnoteReference w:id="29"/>
      </w:r>
      <w:r w:rsidRPr="00DC7CFE">
        <w:rPr>
          <w:rFonts w:ascii="Verdana" w:eastAsia="Calibri" w:hAnsi="Verdana" w:cs="Arial"/>
          <w:color w:val="000000" w:themeColor="text1"/>
        </w:rPr>
        <w:t xml:space="preserve"> y está deberá sustentarse en el ejercicio de planeación realizado por la Entidad Estatal, el cual debe dar cuenta de una de necesidad que deba satisfacerse a través del respectivo objeto contractual. </w:t>
      </w:r>
    </w:p>
    <w:p w14:paraId="3AE5F4B6" w14:textId="77777777" w:rsidR="00840DEA" w:rsidRPr="00C144C1" w:rsidRDefault="00840DEA" w:rsidP="00840DEA">
      <w:pPr>
        <w:spacing w:after="120" w:line="276" w:lineRule="auto"/>
        <w:jc w:val="both"/>
        <w:textAlignment w:val="baseline"/>
        <w:rPr>
          <w:rFonts w:ascii="Verdana" w:eastAsia="Aptos" w:hAnsi="Verdana" w:cs="Arial"/>
        </w:rPr>
      </w:pPr>
      <w:r>
        <w:rPr>
          <w:rFonts w:ascii="Verdana" w:eastAsia="Aptos" w:hAnsi="Verdana" w:cs="Arial"/>
        </w:rPr>
        <w:tab/>
      </w:r>
      <w:r w:rsidRPr="00C144C1">
        <w:rPr>
          <w:rFonts w:ascii="Verdana" w:eastAsia="Aptos" w:hAnsi="Verdana" w:cs="Arial"/>
        </w:rPr>
        <w:t>A partir de lo expuesto, la tipología contractual aplicable en cada caso concreto depende de la necesidad identificada durante el ejercicio de planeación de la entidad estatal, así como del objeto y de las características del negocio jurídico requerido para satisfacerla. En esa medida, cuando la necesidad corresponde a la ejecución de trabajos artísticos que, por su naturaleza, deban ser realizados por determinadas personas naturales, y se proyecta la celebración de un negocio jurídico conmutativo, es decir, que implique una contraprestación económica a favor del contratista, resulta procedente acudir al contrato de prestación de servicios previsto en el artículo 32.3 de la Ley 80 de 1993 y desarrollado en el artículo 2.2.1.2.1.4.9 del Decreto 1082 de 2015. De igual forma, cuando la entidad requiere la participación de gestores culturales, también es viable la celebración de contratos de prestación de servicios profesionales con personas naturales o jurídicas, conforme al mismo artículo 32.3 de la Ley 80 de 1993.</w:t>
      </w:r>
      <w:r>
        <w:rPr>
          <w:rFonts w:ascii="Verdana" w:eastAsia="Aptos" w:hAnsi="Verdana" w:cs="Arial"/>
        </w:rPr>
        <w:t xml:space="preserve"> </w:t>
      </w:r>
      <w:r w:rsidRPr="00C144C1">
        <w:rPr>
          <w:rFonts w:ascii="Verdana" w:eastAsia="Aptos" w:hAnsi="Verdana" w:cs="Arial"/>
        </w:rPr>
        <w:t xml:space="preserve">En este contexto, el gestor cultural cumple un rol estratégico en la articulación, diseño y sostenibilidad de los proyectos culturales, </w:t>
      </w:r>
      <w:r w:rsidRPr="00C144C1">
        <w:rPr>
          <w:rFonts w:ascii="Verdana" w:eastAsia="Aptos" w:hAnsi="Verdana" w:cs="Arial"/>
        </w:rPr>
        <w:lastRenderedPageBreak/>
        <w:t xml:space="preserve">integrando modelos de economía naranja y esquemas de financiación pública, privada o mixta. Entre sus funciones se encuentran la coordinación de equipos, la supervisión del cumplimiento normativo —incluyendo obligaciones en materia de seguridad y riesgos— y la gestión eficiente de los recursos culturales. </w:t>
      </w:r>
    </w:p>
    <w:p w14:paraId="22E9CA67" w14:textId="77777777" w:rsidR="00840DEA" w:rsidRPr="009E2C1A" w:rsidRDefault="00840DEA" w:rsidP="00840DEA">
      <w:pPr>
        <w:spacing w:after="0" w:line="276" w:lineRule="auto"/>
        <w:ind w:firstLine="709"/>
        <w:jc w:val="both"/>
        <w:rPr>
          <w:rFonts w:ascii="Verdana" w:eastAsia="Aptos" w:hAnsi="Verdana" w:cs="Arial"/>
        </w:rPr>
      </w:pPr>
      <w:r w:rsidRPr="009E2C1A">
        <w:rPr>
          <w:rFonts w:ascii="Verdana" w:eastAsia="Aptos" w:hAnsi="Verdana" w:cs="Arial"/>
        </w:rPr>
        <w:t>Este ejercicio implica valorar de manera objetiva las alternativas de selección de proveedores y las condiciones que permitan garantizar la adecuada ejecución del servicio requerido. De este modo, la elección de la modalidad de contratación constituye una facultad de la administración, cuyo ejercicio debe estar plenamente sometido a los principios que rigen la contratación pública —transparencia, economía, responsabilidad, selección objetiva— evitando decisiones arbitrarias y asegurando que la modalidad escogida sea coherente con las características del objeto contractual y con el interés público comprometido. Adicionalmente, la entidad debe observar las reglas y principios del derecho presupuestal, en particular el principio de anualidad del gasto público, que impone que los compromisos se ajusten estrictamente a la vigencia fiscal correspondiente. Ello implica que la planeación contractual y la determinación de la modalidad de selección deben armonizarse con la disponibilidad de recursos en cada vigencia, garantizando que las obligaciones derivadas del contrato puedan ser atendidas sin comprometer la sostenibilidad financiera ni vulnerar el marco fiscal aplicable.</w:t>
      </w:r>
    </w:p>
    <w:p w14:paraId="7E06948D" w14:textId="77777777" w:rsidR="00840DEA" w:rsidRDefault="00840DEA" w:rsidP="00840DEA">
      <w:pPr>
        <w:spacing w:after="0" w:line="276" w:lineRule="auto"/>
        <w:jc w:val="both"/>
        <w:rPr>
          <w:rFonts w:ascii="Verdana" w:eastAsia="Aptos" w:hAnsi="Verdana" w:cs="Arial"/>
        </w:rPr>
      </w:pPr>
    </w:p>
    <w:p w14:paraId="5D7DDBD5" w14:textId="77777777" w:rsidR="00840DEA" w:rsidRPr="00731AD6" w:rsidRDefault="00840DEA" w:rsidP="00840DEA">
      <w:pPr>
        <w:spacing w:after="120" w:line="276" w:lineRule="auto"/>
        <w:jc w:val="both"/>
        <w:rPr>
          <w:rFonts w:ascii="Verdana" w:eastAsia="Aptos" w:hAnsi="Verdana" w:cs="Arial"/>
        </w:rPr>
      </w:pPr>
      <w:proofErr w:type="spellStart"/>
      <w:r>
        <w:rPr>
          <w:rFonts w:ascii="Verdana" w:eastAsia="Aptos" w:hAnsi="Verdana" w:cs="Arial"/>
        </w:rPr>
        <w:t>iv</w:t>
      </w:r>
      <w:proofErr w:type="spellEnd"/>
      <w:r>
        <w:rPr>
          <w:rFonts w:ascii="Verdana" w:eastAsia="Aptos" w:hAnsi="Verdana" w:cs="Arial"/>
        </w:rPr>
        <w:t xml:space="preserve">. De acuerdo con lo expuesto, </w:t>
      </w:r>
      <w:r w:rsidRPr="004F56FC">
        <w:rPr>
          <w:rFonts w:ascii="Verdana" w:eastAsia="Aptos" w:hAnsi="Verdana" w:cs="Arial"/>
        </w:rPr>
        <w:t>en los contratos de operación logística</w:t>
      </w:r>
      <w:r>
        <w:rPr>
          <w:rFonts w:ascii="Verdana" w:eastAsia="Aptos" w:hAnsi="Verdana" w:cs="Arial"/>
        </w:rPr>
        <w:t>, los convenios regulados en el Decreto 092 de 2017 -convenios de colaboración y convenios de asociación-</w:t>
      </w:r>
      <w:r w:rsidRPr="004F56FC">
        <w:rPr>
          <w:rFonts w:ascii="Verdana" w:eastAsia="Aptos" w:hAnsi="Verdana" w:cs="Arial"/>
        </w:rPr>
        <w:t>,</w:t>
      </w:r>
      <w:r>
        <w:rPr>
          <w:rFonts w:ascii="Verdana" w:eastAsia="Aptos" w:hAnsi="Verdana" w:cs="Arial"/>
        </w:rPr>
        <w:t xml:space="preserve"> así como los contratos de prestación de servicios – profesionales, de apoyo a la gestión y ejecución de trabajos artísticos-</w:t>
      </w:r>
      <w:r w:rsidRPr="004F56FC">
        <w:rPr>
          <w:rFonts w:ascii="Verdana" w:eastAsia="Aptos" w:hAnsi="Verdana" w:cs="Arial"/>
        </w:rPr>
        <w:t xml:space="preserve"> la ejecución debe observar los principios presupuestales de legalidad, destinación específica, anualidad y control del gasto, asegurando que los recursos se utilicen de manera eficiente y conforme a los fines culturales definidos por la entidad. La correcta estructuración contractual implica, además, la elaboración de estudios previos completos, la definición clara de obligaciones, la identificación de riesgos, la adopción de mecanismos de supervisión y la implementación de controles que permitan verificar el cumplimiento de los objetivos culturales y la adecuada realización de los eventos. </w:t>
      </w:r>
      <w:r>
        <w:rPr>
          <w:rFonts w:ascii="Verdana" w:eastAsia="Aptos" w:hAnsi="Verdana" w:cs="Arial"/>
        </w:rPr>
        <w:t xml:space="preserve">En este sentido, en </w:t>
      </w:r>
      <w:r w:rsidRPr="007B228F">
        <w:rPr>
          <w:rFonts w:ascii="Verdana" w:eastAsia="Aptos" w:hAnsi="Verdana" w:cs="Arial"/>
        </w:rPr>
        <w:t>el marco de lo dispuesto en los artículos 4, 5, 12, 14 y 26 de la Ley 80 de 1993, las Entidades Estatales tienen la obligación de velar por</w:t>
      </w:r>
      <w:r w:rsidRPr="00731AD6">
        <w:rPr>
          <w:rFonts w:ascii="Verdana" w:eastAsia="Aptos" w:hAnsi="Verdana" w:cs="Arial"/>
        </w:rPr>
        <w:t xml:space="preserve"> el correcto y oportuno cumplimiento de las prestaciones del contrato,</w:t>
      </w:r>
      <w:r w:rsidRPr="00731AD6">
        <w:rPr>
          <w:rFonts w:ascii="Aptos" w:eastAsia="Aptos" w:hAnsi="Aptos" w:cs="Arial"/>
        </w:rPr>
        <w:t xml:space="preserve"> </w:t>
      </w:r>
      <w:r w:rsidRPr="00731AD6">
        <w:rPr>
          <w:rFonts w:ascii="Verdana" w:eastAsia="Aptos" w:hAnsi="Verdana" w:cs="Arial"/>
        </w:rPr>
        <w:t xml:space="preserve">las especificaciones de los bienes, obras y servicios de </w:t>
      </w:r>
      <w:r w:rsidRPr="00731AD6">
        <w:rPr>
          <w:rFonts w:ascii="Verdana" w:eastAsia="Aptos" w:hAnsi="Verdana" w:cs="Arial"/>
        </w:rPr>
        <w:lastRenderedPageBreak/>
        <w:t xml:space="preserve">este, las condiciones de calidad ofrecidas, </w:t>
      </w:r>
      <w:r>
        <w:rPr>
          <w:rFonts w:ascii="Verdana" w:eastAsia="Aptos" w:hAnsi="Verdana" w:cs="Arial"/>
        </w:rPr>
        <w:t>entre otros</w:t>
      </w:r>
      <w:r w:rsidRPr="00731AD6">
        <w:rPr>
          <w:rFonts w:ascii="Verdana" w:eastAsia="Aptos" w:hAnsi="Verdana" w:cs="Arial"/>
        </w:rPr>
        <w:t>. Esta obligación se predica, en principio, del jefe o representante legal de la entidad, por tener la responsabilidad de la dirección y manejo de la actividad contractual, pero también de los servidores públicos</w:t>
      </w:r>
      <w:r>
        <w:rPr>
          <w:rFonts w:ascii="Verdana" w:eastAsia="Aptos" w:hAnsi="Verdana" w:cs="Arial"/>
        </w:rPr>
        <w:t>, como es el caso de los supervisores, y en su defecto, de los interventores como agentes externos que cumplen deberes de vigilancia y seguimiento contractual</w:t>
      </w:r>
      <w:r w:rsidRPr="00731AD6">
        <w:rPr>
          <w:rFonts w:ascii="Verdana" w:eastAsia="Aptos" w:hAnsi="Verdana" w:cs="Arial"/>
        </w:rPr>
        <w:t xml:space="preserve">. En ese sentido, las Entidades Estatales deben ejercer el control de la ejecución del contrato y, de ser el caso, tomar medidas para exigir su adecuado cumplimiento. </w:t>
      </w:r>
    </w:p>
    <w:p w14:paraId="406768E6" w14:textId="77777777" w:rsidR="00840DEA" w:rsidRPr="00731AD6" w:rsidRDefault="00840DEA" w:rsidP="00840DEA">
      <w:pPr>
        <w:spacing w:after="120" w:line="276" w:lineRule="auto"/>
        <w:ind w:firstLine="709"/>
        <w:jc w:val="both"/>
        <w:rPr>
          <w:rFonts w:ascii="Verdana" w:eastAsia="Aptos" w:hAnsi="Verdana" w:cs="Arial"/>
          <w:lang w:val="es-ES_tradnl" w:eastAsia="es-MX"/>
        </w:rPr>
      </w:pPr>
      <w:r w:rsidRPr="00731AD6">
        <w:rPr>
          <w:rFonts w:ascii="Verdana" w:eastAsia="Aptos" w:hAnsi="Verdana" w:cs="Arial"/>
        </w:rPr>
        <w:t>En ese sentido, 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731AD6">
        <w:rPr>
          <w:rFonts w:ascii="Verdana" w:eastAsia="Aptos" w:hAnsi="Verdana" w:cs="Arial"/>
          <w:vertAlign w:val="superscript"/>
          <w:lang w:val="es-ES_tradnl" w:eastAsia="es-MX"/>
        </w:rPr>
        <w:footnoteReference w:id="30"/>
      </w:r>
      <w:r w:rsidRPr="00731AD6">
        <w:rPr>
          <w:rFonts w:ascii="Verdana" w:eastAsia="Aptos" w:hAnsi="Verdana" w:cs="Arial"/>
          <w:lang w:val="es-ES_tradnl" w:eastAsia="es-MX"/>
        </w:rPr>
        <w:t>.</w:t>
      </w:r>
      <w:r w:rsidRPr="00731AD6">
        <w:rPr>
          <w:rFonts w:ascii="Verdana" w:eastAsia="Aptos" w:hAnsi="Verdana" w:cs="Arial"/>
        </w:rPr>
        <w:t xml:space="preserve"> También se establecen los límites de la responsabilidad del representante legal ante la delegación de sus funciones en materia contractual</w:t>
      </w:r>
      <w:r w:rsidRPr="00731AD6">
        <w:rPr>
          <w:rFonts w:ascii="Verdana" w:eastAsia="Aptos" w:hAnsi="Verdana" w:cs="Arial"/>
          <w:vertAlign w:val="superscript"/>
          <w:lang w:val="es-ES_tradnl" w:eastAsia="es-MX"/>
        </w:rPr>
        <w:footnoteReference w:id="31"/>
      </w:r>
      <w:r w:rsidRPr="00731AD6">
        <w:rPr>
          <w:rFonts w:ascii="Verdana" w:eastAsia="Aptos" w:hAnsi="Verdana" w:cs="Arial"/>
        </w:rPr>
        <w:t xml:space="preserve"> </w:t>
      </w:r>
      <w:r w:rsidRPr="00731AD6">
        <w:rPr>
          <w:rFonts w:ascii="Verdana" w:eastAsia="Aptos" w:hAnsi="Verdana" w:cs="Arial"/>
          <w:lang w:val="es-ES_tradnl" w:eastAsia="es-MX"/>
        </w:rPr>
        <w:t>y se regula la supervisión y la interventoría de los contratos estatales</w:t>
      </w:r>
      <w:r w:rsidRPr="00731AD6">
        <w:rPr>
          <w:rFonts w:ascii="Verdana" w:eastAsia="Aptos" w:hAnsi="Verdana" w:cs="Arial"/>
          <w:vertAlign w:val="superscript"/>
          <w:lang w:val="es-ES_tradnl" w:eastAsia="es-MX"/>
        </w:rPr>
        <w:footnoteReference w:id="32"/>
      </w:r>
      <w:r w:rsidRPr="00731AD6">
        <w:rPr>
          <w:rFonts w:ascii="Verdana" w:eastAsia="Aptos" w:hAnsi="Verdana" w:cs="Arial"/>
          <w:lang w:val="es-ES_tradnl" w:eastAsia="es-MX"/>
        </w:rPr>
        <w:t>.</w:t>
      </w:r>
      <w:r>
        <w:rPr>
          <w:rFonts w:ascii="Verdana" w:eastAsia="Aptos" w:hAnsi="Verdana" w:cs="Arial"/>
          <w:lang w:val="es-ES_tradnl" w:eastAsia="es-MX"/>
        </w:rPr>
        <w:t xml:space="preserve"> </w:t>
      </w:r>
      <w:r w:rsidRPr="00731AD6">
        <w:rPr>
          <w:rFonts w:ascii="Verdana" w:eastAsia="Aptos" w:hAnsi="Verdana" w:cs="Arial"/>
        </w:rPr>
        <w:t xml:space="preserve">En consecuencia, </w:t>
      </w:r>
      <w:r w:rsidRPr="00731AD6">
        <w:rPr>
          <w:rFonts w:ascii="Verdana" w:eastAsia="Aptos" w:hAnsi="Verdana" w:cs="Arial"/>
          <w:lang w:val="es-ES_tradnl" w:eastAsia="es-MX"/>
        </w:rPr>
        <w:t xml:space="preserve">se tiene que, la jurisprudencia contencioso-administrativa, por su parte, ha considerado que la obligación de vigilar la correcta ejecución del objeto contractual es una función de la entidad contratante, en los siguientes términos: </w:t>
      </w:r>
    </w:p>
    <w:p w14:paraId="5A301652" w14:textId="77777777" w:rsidR="00840DEA" w:rsidRPr="00731AD6" w:rsidRDefault="00840DEA" w:rsidP="00840DEA">
      <w:pPr>
        <w:spacing w:after="0"/>
        <w:ind w:left="709" w:rightChars="125" w:right="275"/>
        <w:contextualSpacing/>
        <w:jc w:val="both"/>
        <w:rPr>
          <w:rFonts w:ascii="Verdana" w:eastAsia="Aptos" w:hAnsi="Verdana" w:cs="Arial"/>
          <w:lang w:val="es-ES_tradnl" w:eastAsia="es-MX"/>
        </w:rPr>
      </w:pPr>
    </w:p>
    <w:p w14:paraId="01D52EAB" w14:textId="77777777" w:rsidR="00840DEA" w:rsidRPr="00731AD6" w:rsidRDefault="00840DEA" w:rsidP="00840DEA">
      <w:pPr>
        <w:spacing w:after="0" w:line="240" w:lineRule="auto"/>
        <w:ind w:left="709" w:right="709"/>
        <w:contextualSpacing/>
        <w:jc w:val="both"/>
        <w:rPr>
          <w:rFonts w:ascii="Verdana" w:eastAsia="Aptos" w:hAnsi="Verdana" w:cs="Arial"/>
          <w:sz w:val="20"/>
          <w:szCs w:val="20"/>
          <w:lang w:val="es-ES_tradnl" w:eastAsia="es-MX"/>
        </w:rPr>
      </w:pPr>
      <w:bookmarkStart w:id="5" w:name="_Hlk178671999"/>
      <w:r w:rsidRPr="00731AD6">
        <w:rPr>
          <w:rFonts w:ascii="Verdana" w:eastAsia="Aptos" w:hAnsi="Verdana" w:cs="Arial"/>
          <w:sz w:val="20"/>
          <w:szCs w:val="20"/>
          <w:lang w:val="es-ES_tradnl" w:eastAsia="es-MX"/>
        </w:rPr>
        <w:t>“La función de vigilancia y control del contrato estatal supone el cuidado y la supervisión, de forma tal que en ejercicio de esa función</w:t>
      </w:r>
      <w:bookmarkEnd w:id="5"/>
      <w:r w:rsidRPr="00731AD6">
        <w:rPr>
          <w:rFonts w:ascii="Verdana" w:eastAsia="Aptos" w:hAnsi="Verdana" w:cs="Arial"/>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731AD6">
        <w:rPr>
          <w:rFonts w:ascii="Verdana" w:eastAsia="Aptos" w:hAnsi="Verdana" w:cs="Arial"/>
          <w:sz w:val="20"/>
          <w:szCs w:val="20"/>
          <w:vertAlign w:val="superscript"/>
          <w:lang w:val="es-ES_tradnl" w:eastAsia="es-MX"/>
        </w:rPr>
        <w:footnoteReference w:id="33"/>
      </w:r>
      <w:r w:rsidRPr="00731AD6">
        <w:rPr>
          <w:rFonts w:ascii="Verdana" w:eastAsia="Aptos" w:hAnsi="Verdana" w:cs="Arial"/>
          <w:sz w:val="20"/>
          <w:szCs w:val="20"/>
          <w:lang w:val="es-ES_tradnl" w:eastAsia="es-MX"/>
        </w:rPr>
        <w:t>.</w:t>
      </w:r>
    </w:p>
    <w:p w14:paraId="6A6C18A8" w14:textId="77777777" w:rsidR="00840DEA" w:rsidRPr="00731AD6" w:rsidRDefault="00840DEA" w:rsidP="00840DEA">
      <w:pPr>
        <w:spacing w:after="0" w:line="276" w:lineRule="auto"/>
        <w:ind w:firstLine="708"/>
        <w:jc w:val="both"/>
        <w:rPr>
          <w:rFonts w:ascii="Verdana" w:eastAsia="Aptos" w:hAnsi="Verdana" w:cs="Arial"/>
        </w:rPr>
      </w:pPr>
    </w:p>
    <w:p w14:paraId="4FFACA43" w14:textId="77777777" w:rsidR="00840DEA" w:rsidRPr="00E7254D" w:rsidRDefault="00840DEA" w:rsidP="00840DEA">
      <w:pPr>
        <w:spacing w:after="0" w:line="276" w:lineRule="auto"/>
        <w:ind w:firstLine="709"/>
        <w:jc w:val="both"/>
        <w:rPr>
          <w:rFonts w:ascii="Verdana" w:eastAsia="Times New Roman" w:hAnsi="Verdana" w:cs="Arial"/>
          <w:lang w:val="es-ES" w:eastAsia="es-MX"/>
        </w:rPr>
      </w:pPr>
      <w:r w:rsidRPr="00E7254D">
        <w:rPr>
          <w:rFonts w:ascii="Verdana" w:eastAsia="Times New Roman" w:hAnsi="Verdana" w:cs="Arial"/>
          <w:lang w:val="es-ES" w:eastAsia="es-MX"/>
        </w:rPr>
        <w:t xml:space="preserve">De esta forma, la Ley 1474 de 2011 enmarcó el seguimiento, control y vigilancia de la ejecución del contrato estatal dentro del principio de moralidad administrativa. El artículo 83 de la referida ley, establece que “con el fin de </w:t>
      </w:r>
      <w:r w:rsidRPr="00E7254D">
        <w:rPr>
          <w:rFonts w:ascii="Verdana" w:eastAsia="Times New Roman" w:hAnsi="Verdana" w:cs="Arial"/>
          <w:lang w:val="es-ES" w:eastAsia="es-MX"/>
        </w:rPr>
        <w:lastRenderedPageBreak/>
        <w:t xml:space="preserve">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w:t>
      </w:r>
      <w:r>
        <w:rPr>
          <w:rFonts w:ascii="Verdana" w:eastAsia="Times New Roman" w:hAnsi="Verdana" w:cs="Arial"/>
          <w:lang w:val="es-ES" w:eastAsia="es-MX"/>
        </w:rPr>
        <w:t>e</w:t>
      </w:r>
      <w:r w:rsidRPr="00E7254D">
        <w:rPr>
          <w:rFonts w:ascii="Verdana" w:eastAsia="Times New Roman" w:hAnsi="Verdana" w:cs="Arial"/>
          <w:lang w:val="es-ES" w:eastAsia="es-MX"/>
        </w:rPr>
        <w:t xml:space="preserve">ntidades </w:t>
      </w:r>
      <w:r>
        <w:rPr>
          <w:rFonts w:ascii="Verdana" w:eastAsia="Times New Roman" w:hAnsi="Verdana" w:cs="Arial"/>
          <w:lang w:val="es-ES" w:eastAsia="es-MX"/>
        </w:rPr>
        <w:t>e</w:t>
      </w:r>
      <w:r w:rsidRPr="00E7254D">
        <w:rPr>
          <w:rFonts w:ascii="Verdana" w:eastAsia="Times New Roman" w:hAnsi="Verdana" w:cs="Arial"/>
          <w:lang w:val="es-ES" w:eastAsia="es-MX"/>
        </w:rPr>
        <w:t xml:space="preserve">statales para vigilar el contrato, en estos términos: </w:t>
      </w:r>
    </w:p>
    <w:p w14:paraId="632E4607" w14:textId="77777777" w:rsidR="00840DEA" w:rsidRPr="00E7254D" w:rsidRDefault="00840DEA" w:rsidP="00840DEA">
      <w:pPr>
        <w:spacing w:after="0" w:line="276" w:lineRule="auto"/>
        <w:ind w:left="720"/>
        <w:jc w:val="both"/>
        <w:textAlignment w:val="baseline"/>
        <w:rPr>
          <w:rFonts w:ascii="Verdana" w:eastAsia="Times New Roman" w:hAnsi="Verdana" w:cs="Arial"/>
          <w:lang w:val="es-ES_tradnl" w:eastAsia="es-MX"/>
        </w:rPr>
      </w:pPr>
    </w:p>
    <w:p w14:paraId="014164A5" w14:textId="77777777" w:rsidR="00840DEA" w:rsidRDefault="00840DEA" w:rsidP="00840DEA">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 xml:space="preserve">“La supervisión consistirá en el seguimiento técnico, administrativo, financiero, contable, y jurídico </w:t>
      </w:r>
      <w:proofErr w:type="gramStart"/>
      <w:r w:rsidRPr="00624EEC">
        <w:rPr>
          <w:rFonts w:ascii="Verdana" w:eastAsia="Times New Roman" w:hAnsi="Verdana" w:cs="Arial"/>
          <w:sz w:val="20"/>
          <w:szCs w:val="20"/>
          <w:lang w:val="es-ES" w:eastAsia="es-MX"/>
        </w:rPr>
        <w:t>que</w:t>
      </w:r>
      <w:proofErr w:type="gramEnd"/>
      <w:r w:rsidRPr="00624EEC">
        <w:rPr>
          <w:rFonts w:ascii="Verdana" w:eastAsia="Times New Roman" w:hAnsi="Verdana" w:cs="Arial"/>
          <w:sz w:val="20"/>
          <w:szCs w:val="20"/>
          <w:lang w:val="es-ES" w:eastAsia="es-MX"/>
        </w:rPr>
        <w:t xml:space="preserv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p>
    <w:p w14:paraId="44BEC936" w14:textId="77777777" w:rsidR="00840DEA" w:rsidRPr="00624EEC" w:rsidRDefault="00840DEA" w:rsidP="00840DEA">
      <w:pPr>
        <w:spacing w:after="0" w:line="240" w:lineRule="auto"/>
        <w:ind w:left="709" w:right="709"/>
        <w:jc w:val="both"/>
        <w:textAlignment w:val="baseline"/>
        <w:rPr>
          <w:rFonts w:ascii="Verdana" w:eastAsia="Times New Roman" w:hAnsi="Verdana" w:cs="Arial"/>
          <w:sz w:val="20"/>
          <w:szCs w:val="20"/>
          <w:lang w:val="es-ES" w:eastAsia="es-MX"/>
        </w:rPr>
      </w:pPr>
    </w:p>
    <w:p w14:paraId="6639EA18" w14:textId="77777777" w:rsidR="00840DEA" w:rsidRPr="00624EEC" w:rsidRDefault="00840DEA" w:rsidP="00840DEA">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624EEC">
        <w:rPr>
          <w:rFonts w:ascii="Verdana" w:eastAsia="Times New Roman" w:hAnsi="Verdana" w:cs="Arial"/>
          <w:sz w:val="20"/>
          <w:szCs w:val="20"/>
          <w:lang w:val="es-ES" w:eastAsia="es-MX"/>
        </w:rPr>
        <w:t>del mismo</w:t>
      </w:r>
      <w:proofErr w:type="gramEnd"/>
      <w:r w:rsidRPr="00624EEC">
        <w:rPr>
          <w:rFonts w:ascii="Verdana" w:eastAsia="Times New Roman" w:hAnsi="Verdana" w:cs="Arial"/>
          <w:sz w:val="20"/>
          <w:szCs w:val="20"/>
          <w:lang w:val="es-ES" w:eastAsia="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Pr="00624EEC">
        <w:rPr>
          <w:rFonts w:ascii="Verdana" w:eastAsia="Times New Roman" w:hAnsi="Verdana" w:cs="Arial"/>
          <w:sz w:val="20"/>
          <w:szCs w:val="20"/>
          <w:vertAlign w:val="superscript"/>
          <w:lang w:val="es-ES" w:eastAsia="es-MX"/>
        </w:rPr>
        <w:footnoteReference w:id="34"/>
      </w:r>
      <w:r w:rsidRPr="00624EEC">
        <w:rPr>
          <w:rFonts w:ascii="Verdana" w:eastAsia="Times New Roman" w:hAnsi="Verdana" w:cs="Arial"/>
          <w:sz w:val="20"/>
          <w:szCs w:val="20"/>
          <w:lang w:val="es-ES" w:eastAsia="es-MX"/>
        </w:rPr>
        <w:t>.</w:t>
      </w:r>
    </w:p>
    <w:p w14:paraId="56D678FA" w14:textId="77777777" w:rsidR="00840DEA" w:rsidRPr="00E7254D" w:rsidRDefault="00840DEA" w:rsidP="00840DEA">
      <w:pPr>
        <w:spacing w:after="0" w:line="276" w:lineRule="auto"/>
        <w:ind w:left="720"/>
        <w:contextualSpacing/>
        <w:jc w:val="both"/>
        <w:textAlignment w:val="baseline"/>
        <w:rPr>
          <w:rFonts w:ascii="Verdana" w:eastAsia="Times New Roman" w:hAnsi="Verdana" w:cs="Arial"/>
          <w:lang w:val="es-ES" w:eastAsia="es-MX"/>
        </w:rPr>
      </w:pPr>
    </w:p>
    <w:p w14:paraId="7CEBFBFD" w14:textId="77777777" w:rsidR="00840DEA" w:rsidRPr="00E7254D" w:rsidRDefault="00840DEA" w:rsidP="00840DEA">
      <w:pPr>
        <w:spacing w:after="120" w:line="276" w:lineRule="auto"/>
        <w:ind w:firstLine="709"/>
        <w:jc w:val="both"/>
        <w:rPr>
          <w:rFonts w:ascii="Verdana" w:eastAsia="Times New Roman" w:hAnsi="Verdana" w:cs="Arial"/>
          <w:shd w:val="clear" w:color="auto" w:fill="FFFFFF"/>
          <w:lang w:val="es-ES"/>
        </w:rPr>
      </w:pPr>
      <w:r w:rsidRPr="00E7254D">
        <w:rPr>
          <w:rFonts w:ascii="Verdana" w:eastAsia="Times New Roman" w:hAnsi="Verdana" w:cs="Arial"/>
          <w:bCs/>
          <w:lang w:val="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E7254D">
        <w:rPr>
          <w:rFonts w:ascii="Verdana" w:eastAsia="Times New Roman" w:hAnsi="Verdana" w:cs="Arial"/>
          <w:bCs/>
          <w:vertAlign w:val="superscript"/>
          <w:lang w:val="es-ES"/>
        </w:rPr>
        <w:footnoteReference w:id="35"/>
      </w:r>
      <w:r w:rsidRPr="00E7254D">
        <w:rPr>
          <w:rFonts w:ascii="Verdana" w:eastAsia="Times New Roman" w:hAnsi="Verdana" w:cs="Arial"/>
          <w:bCs/>
          <w:lang w:val="es-ES"/>
        </w:rPr>
        <w:t xml:space="preserve">–; </w:t>
      </w:r>
      <w:proofErr w:type="spellStart"/>
      <w:r w:rsidRPr="00E7254D">
        <w:rPr>
          <w:rFonts w:ascii="Verdana" w:eastAsia="Times New Roman" w:hAnsi="Verdana" w:cs="Arial"/>
          <w:bCs/>
          <w:lang w:val="es-ES"/>
        </w:rPr>
        <w:t>ii</w:t>
      </w:r>
      <w:proofErr w:type="spellEnd"/>
      <w:r w:rsidRPr="00E7254D">
        <w:rPr>
          <w:rFonts w:ascii="Verdana" w:eastAsia="Times New Roman" w:hAnsi="Verdana" w:cs="Arial"/>
          <w:bCs/>
          <w:lang w:val="es-ES"/>
        </w:rPr>
        <w:t xml:space="preserve">) no requiere conocimientos tan especializados como la interventoría; </w:t>
      </w:r>
      <w:proofErr w:type="spellStart"/>
      <w:r w:rsidRPr="00E7254D">
        <w:rPr>
          <w:rFonts w:ascii="Verdana" w:eastAsia="Times New Roman" w:hAnsi="Verdana" w:cs="Arial"/>
          <w:bCs/>
          <w:lang w:val="es-ES"/>
        </w:rPr>
        <w:t>iii</w:t>
      </w:r>
      <w:proofErr w:type="spellEnd"/>
      <w:r w:rsidRPr="00E7254D">
        <w:rPr>
          <w:rFonts w:ascii="Verdana" w:eastAsia="Times New Roman" w:hAnsi="Verdana" w:cs="Arial"/>
          <w:bCs/>
          <w:lang w:val="es-ES"/>
        </w:rPr>
        <w:t xml:space="preserve">) se ejerce por la Entidad Estatal por conducto de la designación de servidores públicos idóneos para cumplir la función; </w:t>
      </w:r>
      <w:proofErr w:type="spellStart"/>
      <w:r w:rsidRPr="00E7254D">
        <w:rPr>
          <w:rFonts w:ascii="Verdana" w:eastAsia="Times New Roman" w:hAnsi="Verdana" w:cs="Arial"/>
          <w:bCs/>
          <w:lang w:val="es-ES"/>
        </w:rPr>
        <w:t>iv</w:t>
      </w:r>
      <w:proofErr w:type="spellEnd"/>
      <w:r w:rsidRPr="00E7254D">
        <w:rPr>
          <w:rFonts w:ascii="Verdana" w:eastAsia="Times New Roman" w:hAnsi="Verdana" w:cs="Arial"/>
          <w:bCs/>
          <w:lang w:val="es-ES"/>
        </w:rPr>
        <w:t xml:space="preserve">) puede recibir apoyo de personal contratado para tal fin mediante contratos de prestación de servicios; y v) le es inseparable </w:t>
      </w:r>
      <w:r w:rsidRPr="00E7254D">
        <w:rPr>
          <w:rFonts w:ascii="Verdana" w:eastAsia="Times New Roman" w:hAnsi="Verdana" w:cs="Arial"/>
          <w:bCs/>
          <w:lang w:val="es-ES"/>
        </w:rPr>
        <w:lastRenderedPageBreak/>
        <w:t>el seguimiento técnico, administrativo, financiero, contable y jurídico del contrato vigilado.</w:t>
      </w:r>
    </w:p>
    <w:p w14:paraId="042F0BB4" w14:textId="77777777" w:rsidR="00840DEA" w:rsidRDefault="00840DEA" w:rsidP="00840DEA">
      <w:pPr>
        <w:spacing w:after="0" w:line="276" w:lineRule="auto"/>
        <w:jc w:val="both"/>
        <w:rPr>
          <w:rFonts w:ascii="Verdana" w:eastAsia="Aptos" w:hAnsi="Verdana" w:cs="Arial"/>
          <w:bCs/>
        </w:rPr>
      </w:pPr>
      <w:r w:rsidRPr="00E7254D">
        <w:rPr>
          <w:rFonts w:ascii="Verdana" w:eastAsia="Aptos" w:hAnsi="Verdana" w:cs="Arial"/>
          <w:bCs/>
          <w:lang w:val="es-ES"/>
        </w:rPr>
        <w:tab/>
        <w:t xml:space="preserve">Por otro lado, </w:t>
      </w:r>
      <w:r w:rsidRPr="00E7254D">
        <w:rPr>
          <w:rFonts w:ascii="Verdana" w:eastAsia="Aptos" w:hAnsi="Verdana" w:cs="Arial"/>
          <w:bCs/>
        </w:rPr>
        <w:t xml:space="preserve">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w:t>
      </w:r>
      <w:proofErr w:type="spellStart"/>
      <w:r w:rsidRPr="00E7254D">
        <w:rPr>
          <w:rFonts w:ascii="Verdana" w:eastAsia="Aptos" w:hAnsi="Verdana" w:cs="Arial"/>
          <w:bCs/>
        </w:rPr>
        <w:t>ii</w:t>
      </w:r>
      <w:proofErr w:type="spellEnd"/>
      <w:r w:rsidRPr="00E7254D">
        <w:rPr>
          <w:rFonts w:ascii="Verdana" w:eastAsia="Aptos" w:hAnsi="Verdana" w:cs="Arial"/>
          <w:bCs/>
        </w:rPr>
        <w:t xml:space="preserve">) es un mecanismo de vigilancia que exige, en su ejecución, la utilización de conocimientos especializados; </w:t>
      </w:r>
      <w:proofErr w:type="spellStart"/>
      <w:r w:rsidRPr="00E7254D">
        <w:rPr>
          <w:rFonts w:ascii="Verdana" w:eastAsia="Aptos" w:hAnsi="Verdana" w:cs="Arial"/>
          <w:bCs/>
        </w:rPr>
        <w:t>iii</w:t>
      </w:r>
      <w:proofErr w:type="spellEnd"/>
      <w:r w:rsidRPr="00E7254D">
        <w:rPr>
          <w:rFonts w:ascii="Verdana" w:eastAsia="Aptos" w:hAnsi="Verdana" w:cs="Arial"/>
          <w:bCs/>
        </w:rPr>
        <w:t>) por lo anterior, la entidad contrata un experto, por regla general, mediante la modalidad de selección de concurso de méritos, al tratarse la interventoría de una especie del contrato de consultoría –art. 32, numeral 2, inciso 2, Ley 80 de 1993</w:t>
      </w:r>
      <w:r w:rsidRPr="00E7254D">
        <w:rPr>
          <w:rFonts w:ascii="Verdana" w:eastAsia="Aptos" w:hAnsi="Verdana" w:cs="Times New Roman"/>
          <w:kern w:val="2"/>
          <w:vertAlign w:val="superscript"/>
          <w14:ligatures w14:val="standardContextual"/>
        </w:rPr>
        <w:footnoteReference w:id="36"/>
      </w:r>
      <w:r w:rsidRPr="00E7254D">
        <w:rPr>
          <w:rFonts w:ascii="Verdana" w:eastAsia="Aptos" w:hAnsi="Verdana" w:cs="Arial"/>
          <w:bCs/>
        </w:rPr>
        <w:t xml:space="preserve">‒, de manera que la interventoría es realizada por “una persona natural o jurídica contratada para tal fin por la Entidad Estatal” –art. 83, Ley 1474–; </w:t>
      </w:r>
      <w:proofErr w:type="spellStart"/>
      <w:r w:rsidRPr="00E7254D">
        <w:rPr>
          <w:rFonts w:ascii="Verdana" w:eastAsia="Aptos" w:hAnsi="Verdana" w:cs="Arial"/>
          <w:bCs/>
        </w:rPr>
        <w:t>iv</w:t>
      </w:r>
      <w:proofErr w:type="spellEnd"/>
      <w:r w:rsidRPr="00E7254D">
        <w:rPr>
          <w:rFonts w:ascii="Verdana" w:eastAsia="Aptos" w:hAnsi="Verdana" w:cs="Arial"/>
          <w:bCs/>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w:t>
      </w:r>
      <w:r>
        <w:rPr>
          <w:rFonts w:ascii="Verdana" w:eastAsia="Aptos" w:hAnsi="Verdana" w:cs="Arial"/>
          <w:bCs/>
        </w:rPr>
        <w:t xml:space="preserve"> </w:t>
      </w:r>
      <w:r w:rsidRPr="00E7254D">
        <w:rPr>
          <w:rFonts w:ascii="Verdana" w:eastAsia="Aptos" w:hAnsi="Verdana" w:cs="Arial"/>
          <w:bCs/>
        </w:rPr>
        <w:t>4–.</w:t>
      </w:r>
    </w:p>
    <w:p w14:paraId="1BE0B65C" w14:textId="77777777" w:rsidR="00840DEA" w:rsidRPr="007647AA" w:rsidRDefault="00840DEA" w:rsidP="00840DEA">
      <w:pPr>
        <w:spacing w:after="0" w:line="276" w:lineRule="auto"/>
        <w:jc w:val="both"/>
        <w:rPr>
          <w:rFonts w:ascii="Verdana" w:eastAsia="Calibri" w:hAnsi="Verdana" w:cs="Arial"/>
          <w:lang w:val="es-ES" w:eastAsia="es-ES_tradnl"/>
        </w:rPr>
      </w:pPr>
    </w:p>
    <w:p w14:paraId="16C0A338" w14:textId="77777777" w:rsidR="00840DEA" w:rsidRPr="00B16AC6" w:rsidRDefault="00840DEA" w:rsidP="00840DEA">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v. 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oblemas específicos en torno a la enajenación de bienes muebles de entidades públicas debe realizarse</w:t>
      </w:r>
      <w:r w:rsidRPr="00B17041">
        <w:rPr>
          <w:rFonts w:ascii="Verdana" w:hAnsi="Verdana" w:cs="Arial"/>
          <w:lang w:val="es-ES_tradnl" w:eastAsia="es-ES"/>
        </w:rPr>
        <w:t xml:space="preserv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w:t>
      </w:r>
      <w:r w:rsidRPr="00B17041">
        <w:rPr>
          <w:rFonts w:ascii="Verdana" w:hAnsi="Verdana" w:cs="Arial"/>
          <w:lang w:val="es-ES_tradnl" w:eastAsia="es-ES"/>
        </w:rPr>
        <w:lastRenderedPageBreak/>
        <w:t>decisión correspondiente y, en caso de conflicto, a las autoridades judiciales, fiscales y disciplinarias.</w:t>
      </w:r>
    </w:p>
    <w:p w14:paraId="77424CDE" w14:textId="77777777" w:rsidR="00840DEA" w:rsidRPr="00B17041" w:rsidRDefault="00840DEA" w:rsidP="00840DEA">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58BE353" w14:textId="77777777" w:rsidR="00840DEA" w:rsidRPr="00CD0DCD" w:rsidRDefault="00840DEA" w:rsidP="00840DEA">
      <w:pPr>
        <w:spacing w:after="0" w:line="276" w:lineRule="auto"/>
        <w:jc w:val="both"/>
        <w:rPr>
          <w:rFonts w:ascii="Verdana" w:eastAsia="Calibri" w:hAnsi="Verdana" w:cs="Arial"/>
          <w:lang w:val="es-ES" w:eastAsia="es-MX"/>
        </w:rPr>
      </w:pPr>
    </w:p>
    <w:p w14:paraId="229CB89A" w14:textId="77777777" w:rsidR="00840DEA" w:rsidRPr="00E5598B" w:rsidRDefault="00840DEA" w:rsidP="00840DE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E5598B">
        <w:rPr>
          <w:rFonts w:ascii="Verdana" w:eastAsia="Century Gothic" w:hAnsi="Verdana" w:cs="Century Gothic"/>
          <w:b/>
          <w:bCs/>
          <w:lang w:val="es-ES"/>
        </w:rPr>
        <w:t>Referencias normativas:</w:t>
      </w:r>
    </w:p>
    <w:p w14:paraId="7162B06D" w14:textId="77777777" w:rsidR="00840DEA" w:rsidRPr="0094491A" w:rsidRDefault="00840DEA" w:rsidP="00840DEA">
      <w:pPr>
        <w:widowControl w:val="0"/>
        <w:autoSpaceDE w:val="0"/>
        <w:autoSpaceDN w:val="0"/>
        <w:spacing w:after="0" w:line="276" w:lineRule="auto"/>
        <w:jc w:val="both"/>
        <w:rPr>
          <w:rFonts w:ascii="Verdana" w:hAnsi="Verdana" w:cs="Arial"/>
          <w:highlight w:val="yellow"/>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40DEA" w:rsidRPr="0094491A" w14:paraId="3811D702" w14:textId="77777777" w:rsidTr="00712508">
        <w:trPr>
          <w:trHeight w:val="487"/>
          <w:jc w:val="center"/>
        </w:trPr>
        <w:tc>
          <w:tcPr>
            <w:tcW w:w="8647" w:type="dxa"/>
          </w:tcPr>
          <w:p w14:paraId="7217468C" w14:textId="77777777" w:rsidR="00840DEA" w:rsidRPr="003E5895"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Constitución Política de 1991. Artículo 355</w:t>
            </w:r>
            <w:r>
              <w:rPr>
                <w:rFonts w:ascii="Verdana" w:eastAsia="Arial MT" w:hAnsi="Verdana" w:cs="Arial"/>
                <w:lang w:eastAsia="es-ES" w:bidi="es-ES"/>
              </w:rPr>
              <w:t>.</w:t>
            </w:r>
          </w:p>
          <w:p w14:paraId="01FA59EE" w14:textId="77777777" w:rsidR="00840DEA" w:rsidRPr="00BA67CD"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 xml:space="preserve">Ley 80 de 1993, </w:t>
            </w:r>
            <w:r>
              <w:rPr>
                <w:rFonts w:ascii="Verdana" w:eastAsia="Arial MT" w:hAnsi="Verdana" w:cs="Arial"/>
                <w:lang w:eastAsia="es-ES" w:bidi="es-ES"/>
              </w:rPr>
              <w:t xml:space="preserve">artículos </w:t>
            </w:r>
            <w:r w:rsidRPr="00BA67CD">
              <w:rPr>
                <w:rFonts w:ascii="Verdana" w:eastAsia="Arial MT" w:hAnsi="Verdana" w:cs="Arial"/>
                <w:lang w:val="es-CO" w:eastAsia="es-ES" w:bidi="es-ES"/>
              </w:rPr>
              <w:t>4, 5, 12, 14</w:t>
            </w:r>
            <w:r>
              <w:rPr>
                <w:rFonts w:ascii="Verdana" w:eastAsia="Arial MT" w:hAnsi="Verdana" w:cs="Arial"/>
                <w:lang w:val="es-CO" w:eastAsia="es-ES" w:bidi="es-ES"/>
              </w:rPr>
              <w:t xml:space="preserve">, </w:t>
            </w:r>
            <w:r w:rsidRPr="00BA67CD">
              <w:rPr>
                <w:rFonts w:ascii="Verdana" w:eastAsia="Arial MT" w:hAnsi="Verdana" w:cs="Arial"/>
                <w:lang w:val="es-CO" w:eastAsia="es-ES" w:bidi="es-ES"/>
              </w:rPr>
              <w:t>26</w:t>
            </w:r>
            <w:r>
              <w:rPr>
                <w:rFonts w:ascii="Verdana" w:eastAsia="Arial MT" w:hAnsi="Verdana" w:cs="Arial"/>
                <w:lang w:val="es-CO" w:eastAsia="es-ES" w:bidi="es-ES"/>
              </w:rPr>
              <w:t xml:space="preserve">, </w:t>
            </w:r>
            <w:r w:rsidRPr="00BA67CD">
              <w:rPr>
                <w:rFonts w:ascii="Verdana" w:eastAsia="Arial MT" w:hAnsi="Verdana" w:cs="Arial"/>
                <w:lang w:eastAsia="es-ES" w:bidi="es-ES"/>
              </w:rPr>
              <w:t>32.</w:t>
            </w:r>
          </w:p>
          <w:p w14:paraId="7C58B6AE" w14:textId="77777777" w:rsidR="00840DEA" w:rsidRPr="00BA67CD"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 xml:space="preserve">Ley 489 de 1998, artículo 96. </w:t>
            </w:r>
          </w:p>
          <w:p w14:paraId="72652C65" w14:textId="77777777" w:rsidR="00840DEA"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 xml:space="preserve">Ley 1150 de 2007, artículo 2. </w:t>
            </w:r>
          </w:p>
          <w:p w14:paraId="2E6500EC" w14:textId="77777777" w:rsidR="00840DEA" w:rsidRPr="00BA67CD"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Pr>
                <w:rFonts w:ascii="Verdana" w:eastAsia="Arial MT" w:hAnsi="Verdana" w:cs="Arial"/>
                <w:lang w:eastAsia="es-ES" w:bidi="es-ES"/>
              </w:rPr>
              <w:t xml:space="preserve">Ley 1474 de 2011, artículos 83 y 84. </w:t>
            </w:r>
          </w:p>
          <w:p w14:paraId="73E13CAA" w14:textId="77777777" w:rsidR="00840DEA" w:rsidRPr="00BA67CD"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 xml:space="preserve">Decreto 1082 de 2015, artículos 2.2.1.2.1.4.1 y 2.2.1.2.1.4.9 </w:t>
            </w:r>
          </w:p>
          <w:p w14:paraId="22E14B48" w14:textId="77777777" w:rsidR="00840DEA" w:rsidRPr="00E5598B" w:rsidRDefault="00840DEA" w:rsidP="00840DEA">
            <w:pPr>
              <w:pStyle w:val="Prrafodelista"/>
              <w:numPr>
                <w:ilvl w:val="0"/>
                <w:numId w:val="19"/>
              </w:numPr>
              <w:spacing w:before="120" w:after="120" w:line="276" w:lineRule="auto"/>
              <w:ind w:left="714" w:hanging="357"/>
              <w:contextualSpacing w:val="0"/>
              <w:rPr>
                <w:rFonts w:ascii="Verdana" w:eastAsia="Arial MT" w:hAnsi="Verdana" w:cs="Arial"/>
                <w:lang w:eastAsia="es-ES" w:bidi="es-ES"/>
              </w:rPr>
            </w:pPr>
            <w:r w:rsidRPr="00BA67CD">
              <w:rPr>
                <w:rFonts w:ascii="Verdana" w:eastAsia="Arial MT" w:hAnsi="Verdana" w:cs="Arial"/>
                <w:lang w:eastAsia="es-ES" w:bidi="es-ES"/>
              </w:rPr>
              <w:t xml:space="preserve">Decreto 092 de 2017, artículos 2, 3, 4 y 5. </w:t>
            </w:r>
          </w:p>
        </w:tc>
      </w:tr>
    </w:tbl>
    <w:p w14:paraId="1F723701" w14:textId="77777777" w:rsidR="00840DEA" w:rsidRPr="0094491A" w:rsidRDefault="00840DEA" w:rsidP="00840DEA">
      <w:pPr>
        <w:widowControl w:val="0"/>
        <w:autoSpaceDE w:val="0"/>
        <w:autoSpaceDN w:val="0"/>
        <w:spacing w:after="0" w:line="276" w:lineRule="auto"/>
        <w:jc w:val="both"/>
        <w:rPr>
          <w:rFonts w:ascii="Verdana" w:hAnsi="Verdana" w:cs="Arial"/>
          <w:highlight w:val="yellow"/>
        </w:rPr>
      </w:pPr>
    </w:p>
    <w:p w14:paraId="7BB4DB94" w14:textId="77777777" w:rsidR="00840DEA" w:rsidRPr="005842C6" w:rsidRDefault="00840DEA" w:rsidP="00840DE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5842C6">
        <w:rPr>
          <w:rFonts w:ascii="Verdana" w:eastAsia="Century Gothic" w:hAnsi="Verdana" w:cs="Century Gothic"/>
          <w:b/>
          <w:bCs/>
          <w:lang w:val="es-ES"/>
        </w:rPr>
        <w:t>Doctrina de la Agencia Nacional de Contratación Pública:</w:t>
      </w:r>
    </w:p>
    <w:p w14:paraId="6458C223" w14:textId="77777777" w:rsidR="00840DEA" w:rsidRPr="0094491A" w:rsidRDefault="00840DEA" w:rsidP="00840DEA">
      <w:pPr>
        <w:widowControl w:val="0"/>
        <w:autoSpaceDE w:val="0"/>
        <w:autoSpaceDN w:val="0"/>
        <w:spacing w:after="0" w:line="276" w:lineRule="auto"/>
        <w:jc w:val="both"/>
        <w:rPr>
          <w:rFonts w:ascii="Verdana" w:hAnsi="Verdana" w:cs="Arial"/>
          <w:highlight w:val="yellow"/>
        </w:rPr>
      </w:pPr>
    </w:p>
    <w:p w14:paraId="3C1C9ED8" w14:textId="77777777" w:rsidR="00840DEA" w:rsidRPr="00530A1F" w:rsidRDefault="00840DEA" w:rsidP="00840DEA">
      <w:pPr>
        <w:widowControl w:val="0"/>
        <w:autoSpaceDE w:val="0"/>
        <w:autoSpaceDN w:val="0"/>
        <w:spacing w:after="0" w:line="276" w:lineRule="auto"/>
        <w:jc w:val="both"/>
        <w:rPr>
          <w:rFonts w:ascii="Verdana" w:hAnsi="Verdana" w:cs="Arial"/>
          <w:bCs/>
          <w:shd w:val="clear" w:color="auto" w:fill="FFFFFF"/>
        </w:rPr>
      </w:pPr>
      <w:r w:rsidRPr="00464D09">
        <w:rPr>
          <w:rFonts w:ascii="Verdana" w:hAnsi="Verdana" w:cs="Arial"/>
          <w:shd w:val="clear" w:color="auto" w:fill="FFFFFF"/>
        </w:rPr>
        <w:t>La Agencia Nacional de Contratación Pública – Colombia Compra Eficiente ha analizado los contratos de prestación de servicios artísticos, así como sus principales elementos, en los conceptos con radicado: C-491 del 14 de septiembre de 2021, C-517 del 30 de septiembre de 2021, C-181 del 07 de abril de 2022, C-966 del 01 de febrero de 2023, C-107 del 28 de mayo de 2024 y C-101 de agosto de 2024</w:t>
      </w:r>
      <w:r>
        <w:rPr>
          <w:rFonts w:ascii="Verdana" w:hAnsi="Verdana" w:cs="Arial"/>
          <w:shd w:val="clear" w:color="auto" w:fill="FFFFFF"/>
        </w:rPr>
        <w:t>, C</w:t>
      </w:r>
      <w:r w:rsidRPr="009276CD">
        <w:rPr>
          <w:rFonts w:ascii="Verdana" w:hAnsi="Verdana" w:cs="Arial"/>
          <w:shd w:val="clear" w:color="auto" w:fill="FFFFFF"/>
          <w:lang w:val="es-ES"/>
        </w:rPr>
        <w:t xml:space="preserve">- 764 del </w:t>
      </w:r>
      <w:r w:rsidRPr="009276CD">
        <w:rPr>
          <w:rFonts w:ascii="Verdana" w:hAnsi="Verdana" w:cs="Arial"/>
          <w:shd w:val="clear" w:color="auto" w:fill="FFFFFF"/>
          <w:lang w:val="es-MX"/>
        </w:rPr>
        <w:t>05 de diciembre de 2024</w:t>
      </w:r>
      <w:r>
        <w:rPr>
          <w:rFonts w:ascii="Verdana" w:hAnsi="Verdana" w:cs="Arial"/>
          <w:shd w:val="clear" w:color="auto" w:fill="FFFFFF"/>
        </w:rPr>
        <w:t xml:space="preserve">, </w:t>
      </w:r>
      <w:r w:rsidRPr="00C7022E">
        <w:rPr>
          <w:rFonts w:ascii="Verdana" w:hAnsi="Verdana" w:cs="Arial"/>
          <w:shd w:val="clear" w:color="auto" w:fill="FFFFFF"/>
        </w:rPr>
        <w:t xml:space="preserve">C-385 </w:t>
      </w:r>
      <w:r w:rsidRPr="00961D14">
        <w:rPr>
          <w:rFonts w:ascii="Verdana" w:hAnsi="Verdana" w:cs="Arial"/>
          <w:shd w:val="clear" w:color="auto" w:fill="FFFFFF"/>
          <w:lang w:val="es-MX"/>
        </w:rPr>
        <w:t>de mayo de 2025</w:t>
      </w:r>
      <w:r>
        <w:rPr>
          <w:rFonts w:ascii="Verdana" w:hAnsi="Verdana" w:cs="Arial"/>
          <w:shd w:val="clear" w:color="auto" w:fill="FFFFFF"/>
          <w:lang w:val="es-MX"/>
        </w:rPr>
        <w:t xml:space="preserve">, C-1847 del 22 de enero de 2026, entre otros. Así mismo, esta Subdirección se ha pronunciado sobre la contratación con entidades privadas sin ánimo de lucro en los conceptos </w:t>
      </w:r>
      <w:r w:rsidRPr="000C21C6">
        <w:rPr>
          <w:rFonts w:ascii="Verdana" w:eastAsia="Aptos" w:hAnsi="Verdana" w:cs="Arial"/>
          <w:shd w:val="clear" w:color="auto" w:fill="FFFFFF"/>
          <w:lang w:val="es-ES"/>
        </w:rPr>
        <w:t xml:space="preserve">4201912000008310 del 26 de diciembre de </w:t>
      </w:r>
      <w:r w:rsidRPr="000C21C6">
        <w:rPr>
          <w:rFonts w:ascii="Verdana" w:eastAsia="Aptos" w:hAnsi="Verdana" w:cs="Arial"/>
          <w:shd w:val="clear" w:color="auto" w:fill="FFFFFF"/>
          <w:lang w:val="es-ES"/>
        </w:rPr>
        <w:lastRenderedPageBreak/>
        <w:t>2019, 4201912000007899 del 27 de diciembre de 2019, 4201912000007901 del 27 de diciembre de 2019, C-070 04 de marzo de 2020, C-094 del 04 de marzo de 2020, C-086 del 16 de marzo de 2020, C-594 del 7 de septiembre de 2020, C-670 del 22 de noviembre de 2020, C-689 del 1 de diciembre de 2020, C-724 de 14 de diciembre de 2020, C-364 de 26 de julio de 2021, C-379 de 20 de julio de 2021, C-537 del 27 de septiembre de 2021,  C-021 del 22 de febrero de 2022, C-236 del 27 de abril de 2022, C-273 del 6 de mayo de 2022, C-274 del 6 de mayo de 2022, C-291 del 18 de mayo de 2022, C-550 del 31 de agosto de 2022, C-560 del 7 de septiembre de 2022, C-853 del 9 de diciembre de 2022, C-351 del 6 de octubre de 2023, , C-064 del 24 de abril de 2024, C-080 del 7 de mayo de 2024, C-281 del 29 de octubre de 2024, C-957 del 17 de diciembre de 2024,</w:t>
      </w:r>
      <w:r w:rsidRPr="000C21C6">
        <w:rPr>
          <w:rFonts w:ascii="Verdana" w:eastAsia="Aptos" w:hAnsi="Verdana" w:cs="Arial"/>
          <w:b/>
          <w:bCs/>
          <w:shd w:val="clear" w:color="auto" w:fill="FFFFFF"/>
          <w:lang w:val="es-ES"/>
        </w:rPr>
        <w:t xml:space="preserve"> </w:t>
      </w:r>
      <w:r w:rsidRPr="000C21C6">
        <w:rPr>
          <w:rFonts w:ascii="Verdana" w:eastAsia="Aptos" w:hAnsi="Verdana" w:cs="Arial"/>
          <w:shd w:val="clear" w:color="auto" w:fill="FFFFFF"/>
          <w:lang w:val="es-ES"/>
        </w:rPr>
        <w:t>C-875 del 13 de agosto de 2025</w:t>
      </w:r>
      <w:r w:rsidRPr="00FA312E">
        <w:rPr>
          <w:rFonts w:ascii="Verdana" w:eastAsia="Aptos" w:hAnsi="Verdana" w:cs="Arial"/>
          <w:shd w:val="clear" w:color="auto" w:fill="FFFFFF"/>
          <w:lang w:val="es-ES"/>
        </w:rPr>
        <w:t xml:space="preserve">, </w:t>
      </w:r>
      <w:r w:rsidRPr="000C21C6">
        <w:rPr>
          <w:rFonts w:ascii="Verdana" w:eastAsia="Aptos" w:hAnsi="Verdana" w:cs="Arial"/>
          <w:shd w:val="clear" w:color="auto" w:fill="FFFFFF"/>
          <w:lang w:val="es-ES"/>
        </w:rPr>
        <w:t>C-1384 del 5 de noviembre de 2025</w:t>
      </w:r>
      <w:r w:rsidRPr="00FA312E">
        <w:rPr>
          <w:rFonts w:ascii="Verdana" w:eastAsia="Aptos" w:hAnsi="Verdana" w:cs="Arial"/>
          <w:shd w:val="clear" w:color="auto" w:fill="FFFFFF"/>
          <w:lang w:val="es-ES"/>
        </w:rPr>
        <w:t xml:space="preserve"> y </w:t>
      </w:r>
      <w:r w:rsidRPr="000C21C6">
        <w:rPr>
          <w:rFonts w:ascii="Verdana" w:eastAsia="Aptos" w:hAnsi="Verdana" w:cs="Arial"/>
          <w:shd w:val="clear" w:color="auto" w:fill="FFFFFF"/>
          <w:lang w:val="es-ES"/>
        </w:rPr>
        <w:t>C-1</w:t>
      </w:r>
      <w:r w:rsidRPr="00FA312E">
        <w:rPr>
          <w:rFonts w:ascii="Verdana" w:eastAsia="Aptos" w:hAnsi="Verdana" w:cs="Arial"/>
          <w:shd w:val="clear" w:color="auto" w:fill="FFFFFF"/>
          <w:lang w:val="es-ES"/>
        </w:rPr>
        <w:t>498</w:t>
      </w:r>
      <w:r w:rsidRPr="000C21C6">
        <w:rPr>
          <w:rFonts w:ascii="Verdana" w:eastAsia="Aptos" w:hAnsi="Verdana" w:cs="Arial"/>
          <w:shd w:val="clear" w:color="auto" w:fill="FFFFFF"/>
          <w:lang w:val="es-ES"/>
        </w:rPr>
        <w:t xml:space="preserve"> del </w:t>
      </w:r>
      <w:r w:rsidRPr="00FA312E">
        <w:rPr>
          <w:rFonts w:ascii="Verdana" w:eastAsia="Aptos" w:hAnsi="Verdana" w:cs="Arial"/>
          <w:shd w:val="clear" w:color="auto" w:fill="FFFFFF"/>
          <w:lang w:val="es-ES"/>
        </w:rPr>
        <w:t>26</w:t>
      </w:r>
      <w:r w:rsidRPr="000C21C6">
        <w:rPr>
          <w:rFonts w:ascii="Verdana" w:eastAsia="Aptos" w:hAnsi="Verdana" w:cs="Arial"/>
          <w:shd w:val="clear" w:color="auto" w:fill="FFFFFF"/>
          <w:lang w:val="es-ES"/>
        </w:rPr>
        <w:t xml:space="preserve"> de noviembre de 2025, </w:t>
      </w:r>
      <w:r w:rsidRPr="007475B9">
        <w:rPr>
          <w:rFonts w:ascii="Verdana" w:eastAsia="Aptos" w:hAnsi="Verdana" w:cs="Arial"/>
          <w:shd w:val="clear" w:color="auto" w:fill="FFFFFF"/>
          <w:lang w:val="es-ES"/>
        </w:rPr>
        <w:t>, C-1709 del 22 de diciembre de 2025, C- 1802 del 22 de diciembre de 2025, entre otros</w:t>
      </w:r>
      <w:r w:rsidRPr="007475B9">
        <w:rPr>
          <w:rFonts w:ascii="Verdana" w:eastAsia="Aptos" w:hAnsi="Verdana" w:cs="Arial"/>
          <w:shd w:val="clear" w:color="auto" w:fill="FFFFFF"/>
        </w:rPr>
        <w:t>.</w:t>
      </w:r>
      <w:r w:rsidRPr="007475B9">
        <w:rPr>
          <w:rFonts w:ascii="Verdana" w:eastAsia="Aptos" w:hAnsi="Verdana" w:cs="Arial"/>
          <w:bCs/>
          <w:shd w:val="clear" w:color="auto" w:fill="FFFFFF"/>
          <w:lang w:val="es-ES"/>
        </w:rPr>
        <w:t xml:space="preserve"> </w:t>
      </w:r>
      <w:r>
        <w:rPr>
          <w:rFonts w:ascii="Verdana" w:eastAsia="Aptos" w:hAnsi="Verdana" w:cs="Arial"/>
          <w:bCs/>
          <w:shd w:val="clear" w:color="auto" w:fill="FFFFFF"/>
          <w:lang w:val="es-ES"/>
        </w:rPr>
        <w:t xml:space="preserve">Por último, sobre los contratos de Operación Logística se expidieron </w:t>
      </w:r>
      <w:r w:rsidRPr="00415922">
        <w:rPr>
          <w:rFonts w:ascii="Verdana" w:eastAsia="Aptos" w:hAnsi="Verdana" w:cs="Arial"/>
          <w:bCs/>
          <w:shd w:val="clear" w:color="auto" w:fill="FFFFFF"/>
          <w:lang w:val="es-ES"/>
        </w:rPr>
        <w:t xml:space="preserve">los Conceptos C-803 del 19 de noviembre de 2024 y C-855 de 2024, C-221 del 28 de marzo de 2025, C-260 del 4 de abril de 2026, entre otros. </w:t>
      </w:r>
      <w:r w:rsidRPr="005842C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31068E0D" w14:textId="77777777" w:rsidR="00840DEA" w:rsidRPr="00185EE9" w:rsidRDefault="00840DEA" w:rsidP="00840DEA">
      <w:pPr>
        <w:spacing w:after="0" w:line="256" w:lineRule="auto"/>
        <w:jc w:val="both"/>
        <w:rPr>
          <w:rFonts w:ascii="Verdana" w:eastAsia="Calibri" w:hAnsi="Verdana" w:cs="Times New Roman"/>
        </w:rPr>
      </w:pPr>
      <w:hyperlink r:id="rId13"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63844A6F" w14:textId="77777777" w:rsidR="00840DEA" w:rsidRPr="00096788" w:rsidRDefault="00840DEA" w:rsidP="00840DEA">
      <w:pPr>
        <w:widowControl w:val="0"/>
        <w:autoSpaceDE w:val="0"/>
        <w:autoSpaceDN w:val="0"/>
        <w:spacing w:after="0" w:line="276" w:lineRule="auto"/>
        <w:jc w:val="both"/>
        <w:rPr>
          <w:rFonts w:ascii="Verdana" w:hAnsi="Verdana" w:cs="Arial"/>
          <w:color w:val="000000" w:themeColor="text1"/>
          <w:shd w:val="clear" w:color="auto" w:fill="FFFFFF"/>
        </w:rPr>
      </w:pPr>
    </w:p>
    <w:p w14:paraId="652869A0" w14:textId="77777777" w:rsidR="00840DEA" w:rsidRDefault="00840DEA" w:rsidP="00840DEA">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5A690F24" w14:textId="77777777" w:rsidR="00840DEA" w:rsidRPr="009A385A" w:rsidRDefault="00840DEA" w:rsidP="00840DEA">
      <w:pPr>
        <w:spacing w:after="0"/>
        <w:jc w:val="both"/>
        <w:rPr>
          <w:rFonts w:ascii="Verdana" w:hAnsi="Verdana"/>
        </w:rPr>
      </w:pPr>
    </w:p>
    <w:p w14:paraId="0B76C720" w14:textId="77777777" w:rsidR="00840DEA" w:rsidRDefault="00840DEA" w:rsidP="00840DEA">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w:t>
      </w:r>
      <w:r w:rsidRPr="009A385A">
        <w:rPr>
          <w:rFonts w:ascii="Verdana" w:hAnsi="Verdana"/>
          <w:b/>
          <w:bCs/>
        </w:rPr>
        <w:lastRenderedPageBreak/>
        <w:t>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66C1D171" w14:textId="77777777" w:rsidR="00840DEA" w:rsidRDefault="00840DEA" w:rsidP="00840DEA">
      <w:pPr>
        <w:spacing w:after="0"/>
        <w:jc w:val="both"/>
        <w:rPr>
          <w:rFonts w:ascii="Verdana" w:hAnsi="Verdana"/>
        </w:rPr>
      </w:pPr>
    </w:p>
    <w:p w14:paraId="348CCC72" w14:textId="77777777" w:rsidR="00840DEA" w:rsidRPr="008E1CD7" w:rsidRDefault="00840DEA" w:rsidP="00840DEA">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88BF693" w14:textId="77777777" w:rsidR="00840DEA" w:rsidRDefault="00840DEA" w:rsidP="00840DEA">
      <w:pPr>
        <w:shd w:val="clear" w:color="auto" w:fill="FFFFFF"/>
        <w:spacing w:after="0" w:line="276" w:lineRule="auto"/>
        <w:jc w:val="both"/>
        <w:rPr>
          <w:rFonts w:ascii="Verdana" w:hAnsi="Verdana"/>
          <w:color w:val="000000"/>
          <w:u w:val="single"/>
        </w:rPr>
      </w:pPr>
    </w:p>
    <w:p w14:paraId="4C7F31FB" w14:textId="77777777" w:rsidR="00840DEA" w:rsidRPr="00116940" w:rsidRDefault="00840DEA" w:rsidP="00840DEA">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6AD3616" w14:textId="77777777" w:rsidR="00840DEA" w:rsidRPr="00116940" w:rsidRDefault="00840DEA" w:rsidP="00840DEA">
      <w:pPr>
        <w:spacing w:after="0"/>
        <w:jc w:val="both"/>
        <w:rPr>
          <w:rFonts w:ascii="Verdana" w:hAnsi="Verdana"/>
        </w:rPr>
      </w:pPr>
    </w:p>
    <w:p w14:paraId="7E00C3E7" w14:textId="77777777" w:rsidR="00840DEA" w:rsidRPr="00116940" w:rsidRDefault="00840DEA" w:rsidP="00840DEA">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E6873EB" w14:textId="77777777" w:rsidR="00840DEA" w:rsidRPr="00116940" w:rsidRDefault="00840DEA" w:rsidP="00840DEA">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833FA15" w14:textId="77777777" w:rsidR="00840DEA" w:rsidRPr="00116940" w:rsidRDefault="00840DEA" w:rsidP="00840DE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4D0DA6E8" w14:textId="77777777" w:rsidR="00840DEA" w:rsidRPr="00116940" w:rsidRDefault="00840DEA" w:rsidP="00840DE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1FC903BA" w14:textId="77777777" w:rsidR="00840DEA" w:rsidRPr="00116940" w:rsidRDefault="00840DEA" w:rsidP="00840DEA">
      <w:pPr>
        <w:spacing w:after="0" w:line="240" w:lineRule="auto"/>
        <w:ind w:left="720"/>
        <w:jc w:val="both"/>
        <w:rPr>
          <w:rFonts w:ascii="Verdana" w:hAnsi="Verdana"/>
        </w:rPr>
      </w:pPr>
    </w:p>
    <w:p w14:paraId="7DA0AA31" w14:textId="77777777" w:rsidR="00840DEA" w:rsidRPr="00116940" w:rsidRDefault="00840DEA" w:rsidP="00840DEA">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7AE1FC6" w14:textId="77777777" w:rsidR="00840DEA" w:rsidRPr="00116940" w:rsidRDefault="00840DEA" w:rsidP="00840DEA">
      <w:pPr>
        <w:spacing w:after="0" w:line="240" w:lineRule="auto"/>
        <w:rPr>
          <w:rFonts w:ascii="Verdana" w:hAnsi="Verdana"/>
        </w:rPr>
      </w:pPr>
    </w:p>
    <w:p w14:paraId="0E05C015" w14:textId="77777777" w:rsidR="00840DEA" w:rsidRPr="00116940" w:rsidRDefault="00840DEA" w:rsidP="00840DEA">
      <w:pPr>
        <w:spacing w:after="0" w:line="240" w:lineRule="auto"/>
        <w:jc w:val="both"/>
        <w:rPr>
          <w:rFonts w:ascii="Verdana" w:hAnsi="Verdana"/>
        </w:rPr>
      </w:pPr>
      <w:r w:rsidRPr="00116940">
        <w:rPr>
          <w:rFonts w:ascii="Verdana" w:hAnsi="Verdana"/>
        </w:rPr>
        <w:lastRenderedPageBreak/>
        <w:t xml:space="preserve">Por último, lo invitamos a seguirnos en las redes sociales en las cuales se difunde información institucional: </w:t>
      </w:r>
    </w:p>
    <w:p w14:paraId="0DA68E3E" w14:textId="77777777" w:rsidR="00840DEA" w:rsidRPr="00116940" w:rsidRDefault="00840DEA" w:rsidP="00840DEA">
      <w:pPr>
        <w:spacing w:after="0" w:line="240" w:lineRule="auto"/>
        <w:jc w:val="both"/>
        <w:rPr>
          <w:rFonts w:ascii="Verdana" w:hAnsi="Verdana"/>
        </w:rPr>
      </w:pPr>
    </w:p>
    <w:p w14:paraId="49ABA53B" w14:textId="77777777" w:rsidR="00840DEA" w:rsidRPr="00116940" w:rsidRDefault="00840DEA" w:rsidP="00840DEA">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58EEB7ED" w14:textId="77777777" w:rsidR="00840DEA" w:rsidRPr="00116940" w:rsidRDefault="00840DEA" w:rsidP="00840DEA">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912E3BA" w14:textId="77777777" w:rsidR="00840DEA" w:rsidRPr="00116940" w:rsidRDefault="00840DEA" w:rsidP="00840DEA">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4B72E3D" w14:textId="77777777" w:rsidR="00840DEA" w:rsidRPr="009C4035" w:rsidRDefault="00840DEA" w:rsidP="00840DEA">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4275A191" w14:textId="77777777" w:rsidR="00840DEA" w:rsidRPr="00593A5F" w:rsidRDefault="00840DEA" w:rsidP="00840DEA">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35C4157D" w14:textId="77777777" w:rsidR="00840DEA" w:rsidRPr="00B57A1B" w:rsidRDefault="00840DEA" w:rsidP="00840DEA">
      <w:pPr>
        <w:spacing w:after="0" w:line="256" w:lineRule="auto"/>
        <w:jc w:val="both"/>
        <w:rPr>
          <w:rFonts w:ascii="Verdana" w:eastAsia="Calibri" w:hAnsi="Verdana" w:cs="Times New Roman"/>
        </w:rPr>
      </w:pPr>
    </w:p>
    <w:p w14:paraId="3E791FC5" w14:textId="77777777" w:rsidR="00840DEA" w:rsidRDefault="00840DEA" w:rsidP="00840DEA">
      <w:pPr>
        <w:spacing w:after="0" w:line="256" w:lineRule="auto"/>
        <w:jc w:val="both"/>
        <w:rPr>
          <w:rFonts w:ascii="Verdana" w:eastAsia="Calibri" w:hAnsi="Verdana" w:cs="Times New Roman"/>
        </w:rPr>
      </w:pPr>
      <w:r w:rsidRPr="00B57A1B">
        <w:rPr>
          <w:rFonts w:ascii="Verdana" w:eastAsia="Calibri" w:hAnsi="Verdana" w:cs="Times New Roman"/>
        </w:rPr>
        <w:t>Atentamente,</w:t>
      </w:r>
    </w:p>
    <w:p w14:paraId="47C4ADB8" w14:textId="77777777" w:rsidR="00840DEA" w:rsidRPr="00B57A1B" w:rsidRDefault="00840DEA" w:rsidP="00840DEA">
      <w:pPr>
        <w:spacing w:after="0" w:line="256" w:lineRule="auto"/>
        <w:jc w:val="both"/>
        <w:rPr>
          <w:rFonts w:ascii="Verdana" w:eastAsia="Calibri" w:hAnsi="Verdana" w:cs="Times New Roman"/>
        </w:rPr>
      </w:pPr>
    </w:p>
    <w:p w14:paraId="5F494DEC" w14:textId="2D5E265E" w:rsidR="00840DEA" w:rsidRDefault="00D24268" w:rsidP="00840DEA">
      <w:pPr>
        <w:spacing w:after="0" w:line="256" w:lineRule="auto"/>
        <w:jc w:val="center"/>
        <w:rPr>
          <w:noProof/>
          <w:lang w:val="en-US"/>
        </w:rPr>
      </w:pPr>
      <w:r w:rsidRPr="002C3AD6">
        <w:rPr>
          <w:rFonts w:ascii="Century Gothic" w:hAnsi="Century Gothic"/>
          <w:noProof/>
          <w:lang w:val="en-US"/>
        </w:rPr>
        <w:drawing>
          <wp:inline distT="0" distB="0" distL="0" distR="0" wp14:anchorId="0FF2BA18" wp14:editId="349963C5">
            <wp:extent cx="3405127" cy="1264024"/>
            <wp:effectExtent l="0" t="0" r="5080" b="0"/>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443887" cy="1278412"/>
                    </a:xfrm>
                    <a:prstGeom prst="rect">
                      <a:avLst/>
                    </a:prstGeom>
                  </pic:spPr>
                </pic:pic>
              </a:graphicData>
            </a:graphic>
          </wp:inline>
        </w:drawing>
      </w:r>
    </w:p>
    <w:p w14:paraId="1A3F4E06" w14:textId="77777777" w:rsidR="00840DEA" w:rsidRPr="008B7171" w:rsidRDefault="00840DEA" w:rsidP="00840DEA">
      <w:pPr>
        <w:spacing w:after="0" w:line="256" w:lineRule="auto"/>
        <w:jc w:val="center"/>
        <w:rPr>
          <w:noProof/>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840DEA" w:rsidRPr="00B57A1B" w14:paraId="4B40BBCD" w14:textId="77777777" w:rsidTr="00712508">
        <w:trPr>
          <w:trHeight w:val="409"/>
        </w:trPr>
        <w:tc>
          <w:tcPr>
            <w:tcW w:w="817" w:type="dxa"/>
            <w:tcBorders>
              <w:top w:val="nil"/>
              <w:left w:val="nil"/>
              <w:bottom w:val="nil"/>
              <w:right w:val="nil"/>
            </w:tcBorders>
            <w:vAlign w:val="center"/>
            <w:hideMark/>
          </w:tcPr>
          <w:p w14:paraId="09A0F641"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7F13C652"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José Luis Sánchez Cardona</w:t>
            </w:r>
          </w:p>
          <w:p w14:paraId="34AC2629"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Contratista de la Subdirección de Gestión Contractual</w:t>
            </w:r>
          </w:p>
        </w:tc>
      </w:tr>
      <w:tr w:rsidR="00840DEA" w:rsidRPr="00B57A1B" w14:paraId="5E1CF6CA" w14:textId="77777777" w:rsidTr="00712508">
        <w:trPr>
          <w:trHeight w:val="409"/>
        </w:trPr>
        <w:tc>
          <w:tcPr>
            <w:tcW w:w="817" w:type="dxa"/>
            <w:tcBorders>
              <w:top w:val="nil"/>
              <w:left w:val="nil"/>
              <w:bottom w:val="nil"/>
              <w:right w:val="nil"/>
            </w:tcBorders>
            <w:vAlign w:val="center"/>
            <w:hideMark/>
          </w:tcPr>
          <w:p w14:paraId="0D717733"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4F69D31"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Alejandro Sarmiento Cantillo</w:t>
            </w:r>
          </w:p>
          <w:p w14:paraId="13F94D73"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Gestor T1-15 de la Subdirección de Gestión Contractual </w:t>
            </w:r>
          </w:p>
        </w:tc>
      </w:tr>
      <w:tr w:rsidR="00840DEA" w:rsidRPr="00B57A1B" w14:paraId="5DE34859" w14:textId="77777777" w:rsidTr="00712508">
        <w:trPr>
          <w:trHeight w:val="389"/>
        </w:trPr>
        <w:tc>
          <w:tcPr>
            <w:tcW w:w="817" w:type="dxa"/>
            <w:tcBorders>
              <w:top w:val="nil"/>
              <w:left w:val="nil"/>
              <w:bottom w:val="nil"/>
              <w:right w:val="nil"/>
            </w:tcBorders>
            <w:vAlign w:val="center"/>
            <w:hideMark/>
          </w:tcPr>
          <w:p w14:paraId="18347E33"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0DA23B3"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Carolina Quintero Gacharná</w:t>
            </w:r>
          </w:p>
          <w:p w14:paraId="3B985435" w14:textId="77777777" w:rsidR="00840DEA" w:rsidRPr="00B57A1B" w:rsidRDefault="00840DEA" w:rsidP="00712508">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Subdirectora de Gestión Contractual ANCP – CCE</w:t>
            </w:r>
          </w:p>
        </w:tc>
      </w:tr>
    </w:tbl>
    <w:p w14:paraId="735B6907" w14:textId="77777777" w:rsidR="00840DEA" w:rsidRPr="000E2B93" w:rsidRDefault="00840DEA" w:rsidP="00840DEA">
      <w:pPr>
        <w:spacing w:after="0" w:line="240" w:lineRule="auto"/>
        <w:textAlignment w:val="baseline"/>
        <w:rPr>
          <w:rFonts w:ascii="Verdana" w:eastAsia="Verdana" w:hAnsi="Verdana" w:cs="Verdana"/>
          <w:lang w:eastAsia="es-CO"/>
        </w:rPr>
      </w:pPr>
    </w:p>
    <w:p w14:paraId="14D92490" w14:textId="3E4F6A9F" w:rsidR="00840DEA" w:rsidRPr="000E2B93" w:rsidRDefault="00840DEA" w:rsidP="00840DEA">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695C54E5" w14:textId="77777777" w:rsidR="00840DEA" w:rsidRPr="00366C9A" w:rsidRDefault="00840DEA" w:rsidP="00840DEA"/>
    <w:p w14:paraId="1631B1F5" w14:textId="77777777" w:rsidR="00840DEA" w:rsidRPr="00B5025F" w:rsidRDefault="00840DEA" w:rsidP="00840DEA"/>
    <w:p w14:paraId="0F293BF4" w14:textId="010BE5DC" w:rsidR="00127233" w:rsidRPr="00840DEA" w:rsidRDefault="00127233" w:rsidP="00840DEA"/>
    <w:sectPr w:rsidR="00127233" w:rsidRPr="00840DEA"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F6751" w14:textId="77777777" w:rsidR="005C5D6C" w:rsidRDefault="005C5D6C" w:rsidP="004A1847">
      <w:pPr>
        <w:spacing w:after="0" w:line="240" w:lineRule="auto"/>
      </w:pPr>
      <w:r>
        <w:separator/>
      </w:r>
    </w:p>
  </w:endnote>
  <w:endnote w:type="continuationSeparator" w:id="0">
    <w:p w14:paraId="038728C1" w14:textId="77777777" w:rsidR="005C5D6C" w:rsidRDefault="005C5D6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AC78D9" w:rsidRDefault="00AC78D9">
    <w:pPr>
      <w:pStyle w:val="Piedepgina"/>
    </w:pPr>
  </w:p>
  <w:p w14:paraId="594D6D9F" w14:textId="7B4CC248" w:rsidR="00AC78D9" w:rsidRPr="00174B77" w:rsidRDefault="00AC78D9"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037881" w:rsidRPr="00037881">
      <w:rPr>
        <w:rFonts w:ascii="Verdana" w:eastAsiaTheme="minorEastAsia" w:hAnsi="Verdana"/>
        <w:b/>
        <w:bCs/>
        <w:noProof/>
        <w:sz w:val="16"/>
        <w:szCs w:val="16"/>
      </w:rPr>
      <w:t>11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AC78D9" w:rsidRDefault="00AC78D9"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AC78D9" w:rsidRPr="00E41027" w:rsidRDefault="00AC78D9"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AC78D9" w:rsidRDefault="00AC78D9"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164F" w14:textId="77777777" w:rsidR="005C5D6C" w:rsidRDefault="005C5D6C" w:rsidP="004A1847">
      <w:pPr>
        <w:spacing w:after="0" w:line="240" w:lineRule="auto"/>
      </w:pPr>
      <w:r>
        <w:separator/>
      </w:r>
    </w:p>
  </w:footnote>
  <w:footnote w:type="continuationSeparator" w:id="0">
    <w:p w14:paraId="4ECDBE15" w14:textId="77777777" w:rsidR="005C5D6C" w:rsidRDefault="005C5D6C" w:rsidP="004A1847">
      <w:pPr>
        <w:spacing w:after="0" w:line="240" w:lineRule="auto"/>
      </w:pPr>
      <w:r>
        <w:continuationSeparator/>
      </w:r>
    </w:p>
  </w:footnote>
  <w:footnote w:id="1">
    <w:p w14:paraId="6CEBF0A1" w14:textId="77777777" w:rsidR="00840DEA" w:rsidRPr="00A86944" w:rsidRDefault="00840DEA" w:rsidP="00840DEA">
      <w:pPr>
        <w:spacing w:after="0" w:line="244" w:lineRule="auto"/>
        <w:ind w:left="120" w:firstLine="707"/>
        <w:jc w:val="both"/>
        <w:rPr>
          <w:rFonts w:ascii="Verdana" w:hAnsi="Verdana" w:cs="Arial"/>
          <w:sz w:val="14"/>
          <w:szCs w:val="14"/>
        </w:rPr>
      </w:pPr>
      <w:r w:rsidRPr="0094491A">
        <w:rPr>
          <w:rStyle w:val="Refdenotaalpie"/>
          <w:rFonts w:ascii="Verdana" w:hAnsi="Verdana" w:cs="Arial"/>
          <w:sz w:val="14"/>
          <w:szCs w:val="14"/>
        </w:rPr>
        <w:footnoteRef/>
      </w:r>
      <w:r w:rsidRPr="0094491A">
        <w:rPr>
          <w:rFonts w:ascii="Verdana" w:hAnsi="Verdana" w:cs="Arial"/>
          <w:position w:val="6"/>
          <w:sz w:val="14"/>
          <w:szCs w:val="14"/>
        </w:rPr>
        <w:t xml:space="preserve"> </w:t>
      </w:r>
      <w:r w:rsidRPr="0094491A">
        <w:rPr>
          <w:rFonts w:ascii="Verdana" w:hAnsi="Verdana" w:cs="Arial"/>
          <w:sz w:val="14"/>
          <w:szCs w:val="14"/>
        </w:rPr>
        <w:t>DEIK ACOSTAMADIEDO, Carolina, Guía de Contratación Estatal: Deber de planeación y modalidades de selección, Buenos Aires, 2015, p. 59.</w:t>
      </w:r>
    </w:p>
  </w:footnote>
  <w:footnote w:id="2">
    <w:p w14:paraId="327B4FF1" w14:textId="77777777" w:rsidR="00840DEA" w:rsidRPr="00A86944" w:rsidRDefault="00840DEA" w:rsidP="00840DEA">
      <w:pPr>
        <w:pStyle w:val="Textoindependiente"/>
        <w:spacing w:after="0"/>
        <w:ind w:right="103" w:firstLine="709"/>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position w:val="6"/>
          <w:sz w:val="14"/>
          <w:szCs w:val="14"/>
        </w:rPr>
        <w:t xml:space="preserve"> </w:t>
      </w:r>
      <w:r w:rsidRPr="0094491A">
        <w:rPr>
          <w:rFonts w:ascii="Verdana" w:hAnsi="Verdana"/>
          <w:sz w:val="14"/>
          <w:szCs w:val="14"/>
        </w:rPr>
        <w:t xml:space="preserve">“Artículo </w:t>
      </w:r>
      <w:bookmarkStart w:id="3" w:name="_Hlk54173885"/>
      <w:r w:rsidRPr="0094491A">
        <w:rPr>
          <w:rFonts w:ascii="Verdana" w:hAnsi="Verdana"/>
          <w:sz w:val="14"/>
          <w:szCs w:val="14"/>
        </w:rPr>
        <w:t>2.2.1.1.2.1.1</w:t>
      </w:r>
      <w:bookmarkEnd w:id="3"/>
      <w:r w:rsidRPr="0094491A">
        <w:rPr>
          <w:rFonts w:ascii="Verdana" w:hAnsi="Verdana"/>
          <w:sz w:val="14"/>
          <w:szCs w:val="14"/>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footnote>
  <w:footnote w:id="3">
    <w:p w14:paraId="3FB6A957" w14:textId="77777777" w:rsidR="00840DEA" w:rsidRPr="0094491A" w:rsidRDefault="00840DEA" w:rsidP="00840DEA">
      <w:pPr>
        <w:pStyle w:val="Textoindependiente"/>
        <w:spacing w:before="1" w:after="0"/>
        <w:ind w:right="108" w:firstLine="709"/>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Consejo de Estado, Sección Tercera, Subsección B, 31 de agosto de 2011, Exp. No. 18080, C.P. Ruth Stella Correa Palacio: “(…) recuérdese que la aplicación de la buena fe en materia negocial implica para las partes la observancia la observancia de una conducta enmarcada dentro del contexto de los deberes de corrección, claridad y recíproca lealtad que se deben los contratantes, para remitir la realización de los efectos finales buscados en el contrato”.</w:t>
      </w:r>
    </w:p>
    <w:p w14:paraId="5D8B51CF" w14:textId="77777777" w:rsidR="00840DEA" w:rsidRPr="0094491A" w:rsidRDefault="00840DEA" w:rsidP="00840DEA">
      <w:pPr>
        <w:pStyle w:val="Textonotapie"/>
        <w:jc w:val="both"/>
        <w:rPr>
          <w:rFonts w:ascii="Verdana" w:hAnsi="Verdana"/>
          <w:sz w:val="14"/>
          <w:szCs w:val="14"/>
          <w:lang w:val="es-CO"/>
        </w:rPr>
      </w:pPr>
    </w:p>
  </w:footnote>
  <w:footnote w:id="4">
    <w:p w14:paraId="44CE5EEC" w14:textId="77777777" w:rsidR="00840DEA" w:rsidRPr="0094491A" w:rsidRDefault="00840DEA" w:rsidP="00840DEA">
      <w:pPr>
        <w:pStyle w:val="Textonotapie"/>
        <w:ind w:firstLine="708"/>
        <w:jc w:val="both"/>
        <w:rPr>
          <w:rFonts w:ascii="Verdana" w:hAnsi="Verdana" w:cs="Arial"/>
          <w:color w:val="000000"/>
          <w:sz w:val="16"/>
          <w:szCs w:val="16"/>
        </w:rPr>
      </w:pPr>
      <w:r w:rsidRPr="0094491A">
        <w:rPr>
          <w:rStyle w:val="Refdenotaalpie"/>
          <w:rFonts w:ascii="Verdana" w:hAnsi="Verdana" w:cs="Arial"/>
          <w:color w:val="000000"/>
          <w:sz w:val="16"/>
          <w:szCs w:val="16"/>
        </w:rPr>
        <w:footnoteRef/>
      </w:r>
      <w:r w:rsidRPr="0094491A">
        <w:rPr>
          <w:rFonts w:ascii="Verdana" w:hAnsi="Verdana" w:cs="Arial"/>
          <w:color w:val="000000"/>
          <w:sz w:val="16"/>
          <w:szCs w:val="16"/>
        </w:rPr>
        <w:t xml:space="preserve"> En el concepto emitido el 5 de febrero de 2019, dentro del radicado No. 2201913000000663, se dijo: «[l]os convenios de asociación del artículo 5 son distintos a los contratos de colaboración del artículo 2 del Decreto 092 de 2017».</w:t>
      </w:r>
    </w:p>
  </w:footnote>
  <w:footnote w:id="5">
    <w:p w14:paraId="3C1C4CB7" w14:textId="77777777" w:rsidR="00840DEA" w:rsidRPr="0094491A" w:rsidRDefault="00840DEA" w:rsidP="00840DEA">
      <w:pPr>
        <w:pStyle w:val="Textonotapie"/>
        <w:ind w:firstLine="708"/>
        <w:jc w:val="both"/>
        <w:rPr>
          <w:rFonts w:ascii="Verdana" w:hAnsi="Verdana"/>
          <w:sz w:val="16"/>
          <w:szCs w:val="16"/>
        </w:rPr>
      </w:pPr>
      <w:r w:rsidRPr="0094491A">
        <w:rPr>
          <w:rStyle w:val="Refdenotaalpie"/>
          <w:rFonts w:ascii="Verdana" w:hAnsi="Verdana"/>
          <w:sz w:val="16"/>
          <w:szCs w:val="16"/>
        </w:rPr>
        <w:footnoteRef/>
      </w:r>
      <w:r w:rsidRPr="0094491A">
        <w:rPr>
          <w:rFonts w:ascii="Verdana" w:hAnsi="Verdana"/>
          <w:sz w:val="16"/>
          <w:szCs w:val="16"/>
        </w:rPr>
        <w:t xml:space="preserve"> Consejo De Estado. Sala de Consulta y Servicio Civil. Concepto del 30 de mayo de 2017. C.P. Edgar González López. Rad. 2.319. </w:t>
      </w:r>
    </w:p>
  </w:footnote>
  <w:footnote w:id="6">
    <w:p w14:paraId="24B7DF2D" w14:textId="77777777" w:rsidR="00840DEA" w:rsidRPr="0094491A" w:rsidRDefault="00840DEA" w:rsidP="00840DEA">
      <w:pPr>
        <w:pStyle w:val="Textonotapie"/>
        <w:ind w:firstLine="709"/>
        <w:jc w:val="both"/>
        <w:rPr>
          <w:rFonts w:ascii="Verdana" w:hAnsi="Verdana" w:cs="Arial"/>
          <w:color w:val="000000" w:themeColor="text1"/>
          <w:sz w:val="16"/>
          <w:szCs w:val="16"/>
        </w:rPr>
      </w:pPr>
      <w:r w:rsidRPr="0094491A">
        <w:rPr>
          <w:rStyle w:val="Refdenotaalpie"/>
          <w:rFonts w:ascii="Verdana" w:hAnsi="Verdana" w:cs="Arial"/>
          <w:color w:val="000000" w:themeColor="text1"/>
          <w:sz w:val="16"/>
          <w:szCs w:val="16"/>
        </w:rPr>
        <w:footnoteRef/>
      </w:r>
      <w:r w:rsidRPr="0094491A">
        <w:rPr>
          <w:rFonts w:ascii="Verdana" w:hAnsi="Verdana" w:cs="Arial"/>
          <w:color w:val="000000" w:themeColor="text1"/>
          <w:sz w:val="16"/>
          <w:szCs w:val="16"/>
        </w:rPr>
        <w:t xml:space="preserve"> Agencia Nacional de Contratación Pública – Colombia Compra Eficiente. Concepto del 3 de septiembre de 2019, con radicado No. 2201913000006512.</w:t>
      </w:r>
    </w:p>
  </w:footnote>
  <w:footnote w:id="7">
    <w:p w14:paraId="3CF97AE5" w14:textId="77777777" w:rsidR="00840DEA" w:rsidRPr="0098174A" w:rsidRDefault="00840DEA" w:rsidP="00840DEA">
      <w:pPr>
        <w:pStyle w:val="Textonotapie"/>
        <w:ind w:firstLine="708"/>
        <w:rPr>
          <w:rFonts w:ascii="Verdana" w:hAnsi="Verdana"/>
          <w:sz w:val="16"/>
          <w:szCs w:val="16"/>
        </w:rPr>
      </w:pPr>
      <w:r w:rsidRPr="0098174A">
        <w:rPr>
          <w:rStyle w:val="Refdenotaalpie"/>
          <w:rFonts w:ascii="Verdana" w:hAnsi="Verdana"/>
          <w:sz w:val="16"/>
          <w:szCs w:val="16"/>
        </w:rPr>
        <w:footnoteRef/>
      </w:r>
      <w:r w:rsidRPr="0098174A">
        <w:rPr>
          <w:rFonts w:ascii="Verdana" w:hAnsi="Verdana"/>
          <w:sz w:val="16"/>
          <w:szCs w:val="16"/>
        </w:rPr>
        <w:t xml:space="preserve"> Ibídem., p. 16. </w:t>
      </w:r>
    </w:p>
  </w:footnote>
  <w:footnote w:id="8">
    <w:p w14:paraId="49EC69D9" w14:textId="77777777" w:rsidR="00840DEA" w:rsidRPr="0098174A" w:rsidRDefault="00840DEA" w:rsidP="00840DEA">
      <w:pPr>
        <w:pStyle w:val="Textonotapie"/>
        <w:ind w:firstLine="708"/>
        <w:jc w:val="both"/>
        <w:rPr>
          <w:rFonts w:ascii="Verdana" w:hAnsi="Verdana"/>
          <w:sz w:val="16"/>
          <w:szCs w:val="16"/>
          <w:lang w:val="es-CO"/>
        </w:rPr>
      </w:pPr>
      <w:r w:rsidRPr="0098174A">
        <w:rPr>
          <w:rStyle w:val="Refdenotaalpie"/>
          <w:rFonts w:ascii="Verdana" w:hAnsi="Verdana"/>
          <w:sz w:val="16"/>
          <w:szCs w:val="16"/>
        </w:rPr>
        <w:footnoteRef/>
      </w:r>
      <w:r w:rsidRPr="0098174A">
        <w:rPr>
          <w:rFonts w:ascii="Verdana" w:hAnsi="Verdana"/>
          <w:sz w:val="16"/>
          <w:szCs w:val="16"/>
        </w:rPr>
        <w:t xml:space="preserve"> En este aspecto, es importante tener en cuenta lo expresado en la “Guía </w:t>
      </w:r>
      <w:r w:rsidRPr="0098174A">
        <w:rPr>
          <w:rFonts w:ascii="Verdana" w:hAnsi="Verdana"/>
          <w:bCs/>
          <w:i/>
          <w:iCs/>
          <w:sz w:val="16"/>
          <w:szCs w:val="16"/>
          <w:lang w:val="es-CO"/>
        </w:rPr>
        <w:t xml:space="preserve">para la contratación con entidades privadas sin ánimo de lucro y de reconocida idoneidad”, </w:t>
      </w:r>
      <w:r w:rsidRPr="0098174A">
        <w:rPr>
          <w:rFonts w:ascii="Verdana" w:hAnsi="Verdana"/>
          <w:sz w:val="16"/>
          <w:szCs w:val="16"/>
          <w:lang w:val="es-CO"/>
        </w:rPr>
        <w:t>la Agencia Nacional de Contratación Pública – Colombia Compra Eficiente considera que durante la etapa de selección las Entidades Estatales tendrán la obligación de: • Diseñar herramientas que permitan la comparación objetiva de las Entidades Privadas Sin Ánimo de Lucro, y que de esta manera puedan determinar cuál es la que tiene las mejores condiciones para alcanzar el resultado esperado con el desarrollo de las actividades objeto del proceso de selección. Estas herramientas podrán incluir aspectos de sostenibilidad ambiental y social (Ibídem., p. 20).</w:t>
      </w:r>
      <w:r>
        <w:rPr>
          <w:rFonts w:ascii="Verdana" w:hAnsi="Verdana"/>
          <w:sz w:val="16"/>
          <w:szCs w:val="16"/>
          <w:lang w:val="es-CO"/>
        </w:rPr>
        <w:t xml:space="preserve"> </w:t>
      </w:r>
    </w:p>
  </w:footnote>
  <w:footnote w:id="9">
    <w:p w14:paraId="0DA58EB0" w14:textId="77777777" w:rsidR="00840DEA" w:rsidRPr="00A86944" w:rsidRDefault="00840DEA" w:rsidP="00840DEA">
      <w:pPr>
        <w:pStyle w:val="Textonotapie"/>
        <w:ind w:firstLine="709"/>
        <w:jc w:val="both"/>
        <w:rPr>
          <w:rFonts w:ascii="Verdana" w:hAnsi="Verdana" w:cs="Arial"/>
          <w:sz w:val="14"/>
          <w:szCs w:val="14"/>
        </w:rPr>
      </w:pPr>
      <w:r w:rsidRPr="0094491A">
        <w:rPr>
          <w:rStyle w:val="Refdenotaalpie"/>
          <w:rFonts w:ascii="Verdana" w:hAnsi="Verdana" w:cs="Arial"/>
          <w:sz w:val="14"/>
          <w:szCs w:val="14"/>
        </w:rPr>
        <w:footnoteRef/>
      </w:r>
      <w:r w:rsidRPr="0094491A">
        <w:rPr>
          <w:rFonts w:ascii="Verdana" w:hAnsi="Verdana" w:cs="Arial"/>
          <w:sz w:val="14"/>
          <w:szCs w:val="14"/>
        </w:rPr>
        <w:t xml:space="preserve"> Así lo señaló el Consejo de Estado en la sentencia de unificación en mención, al indicar que “cualquier contrato de prestación de servicios tiene por objeto genérico “desarrollar actividades relacionadas con la administración o funcionamiento de la entidad”.</w:t>
      </w:r>
    </w:p>
  </w:footnote>
  <w:footnote w:id="10">
    <w:p w14:paraId="235FBC26"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 y remunera, empleador, y la remuneración, cualquiera que sea su forma, salario”.</w:t>
      </w:r>
    </w:p>
  </w:footnote>
  <w:footnote w:id="11">
    <w:p w14:paraId="2AC1B8DA"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64DD3BC4"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164AAD5D"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El Gobierno nacional reglamentará el mecanismo para realizar la mensualización de que trata el presente artículo.</w:t>
      </w:r>
    </w:p>
    <w:p w14:paraId="49E9967C"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w:t>
      </w:r>
    </w:p>
  </w:footnote>
  <w:footnote w:id="12">
    <w:p w14:paraId="213EFAC0" w14:textId="77777777" w:rsidR="00840DEA" w:rsidRPr="00A86944" w:rsidRDefault="00840DEA" w:rsidP="00840DEA">
      <w:pPr>
        <w:pStyle w:val="Textonotapie"/>
        <w:ind w:firstLine="708"/>
        <w:rPr>
          <w:rFonts w:ascii="Verdana" w:hAnsi="Verdana" w:cs="Arial"/>
          <w:color w:val="000000"/>
          <w:sz w:val="14"/>
          <w:szCs w:val="14"/>
          <w:lang w:val="pt-BR"/>
        </w:rPr>
      </w:pPr>
      <w:r w:rsidRPr="0094491A">
        <w:rPr>
          <w:rStyle w:val="Refdenotaalpie"/>
          <w:rFonts w:ascii="Verdana" w:hAnsi="Verdana"/>
          <w:sz w:val="14"/>
          <w:szCs w:val="14"/>
        </w:rPr>
        <w:footnoteRef/>
      </w:r>
      <w:r w:rsidRPr="0094491A">
        <w:rPr>
          <w:rFonts w:ascii="Verdana" w:hAnsi="Verdana"/>
          <w:sz w:val="14"/>
          <w:szCs w:val="14"/>
          <w:lang w:val="pt-BR"/>
        </w:rPr>
        <w:t xml:space="preserve"> </w:t>
      </w:r>
      <w:r w:rsidRPr="0094491A">
        <w:rPr>
          <w:rFonts w:ascii="Verdana" w:hAnsi="Verdana" w:cs="Arial"/>
          <w:color w:val="000000"/>
          <w:sz w:val="14"/>
          <w:szCs w:val="14"/>
          <w:lang w:val="pt-BR"/>
        </w:rPr>
        <w:t>Corte Constitucional. Sentencia C-154 de 1997. M.P. Hernando Herrera Vergara.</w:t>
      </w:r>
    </w:p>
  </w:footnote>
  <w:footnote w:id="13">
    <w:p w14:paraId="08265A37" w14:textId="77777777" w:rsidR="00840DEA" w:rsidRPr="0094491A" w:rsidDel="00A37FEF" w:rsidRDefault="00840DEA" w:rsidP="00840DEA">
      <w:pPr>
        <w:spacing w:after="0" w:line="240" w:lineRule="auto"/>
        <w:ind w:firstLine="708"/>
        <w:jc w:val="both"/>
        <w:rPr>
          <w:rFonts w:ascii="Verdana" w:eastAsia="Arial Nova" w:hAnsi="Verdana" w:cs="Arial"/>
          <w:sz w:val="14"/>
          <w:szCs w:val="14"/>
          <w:lang w:val="pt-BR"/>
        </w:rPr>
      </w:pPr>
      <w:r w:rsidRPr="0094491A">
        <w:rPr>
          <w:rStyle w:val="Refdenotaalpie"/>
          <w:rFonts w:ascii="Verdana" w:hAnsi="Verdana" w:cs="Arial"/>
          <w:sz w:val="14"/>
          <w:szCs w:val="14"/>
        </w:rPr>
        <w:footnoteRef/>
      </w:r>
      <w:r w:rsidRPr="0094491A">
        <w:rPr>
          <w:rFonts w:ascii="Verdana" w:hAnsi="Verdana" w:cs="Arial"/>
          <w:sz w:val="14"/>
          <w:szCs w:val="14"/>
          <w:lang w:val="pt-BR"/>
        </w:rPr>
        <w:t xml:space="preserve"> </w:t>
      </w:r>
      <w:r w:rsidRPr="0094491A">
        <w:rPr>
          <w:rFonts w:ascii="Verdana" w:eastAsia="Arial Nova" w:hAnsi="Verdana" w:cs="Arial"/>
          <w:sz w:val="14"/>
          <w:szCs w:val="14"/>
          <w:lang w:val="pt-BR"/>
        </w:rPr>
        <w:t>Corte Constitucional. Sentencia C-614 de 2009. M.P. Jorge Ignacio Pretelt Chaljub.</w:t>
      </w:r>
    </w:p>
  </w:footnote>
  <w:footnote w:id="14">
    <w:p w14:paraId="425FA7E1" w14:textId="77777777" w:rsidR="00840DEA" w:rsidRPr="0094491A" w:rsidRDefault="00840DEA" w:rsidP="00840DEA">
      <w:pPr>
        <w:pStyle w:val="Textonotapie"/>
        <w:ind w:firstLine="709"/>
        <w:jc w:val="both"/>
        <w:rPr>
          <w:rFonts w:ascii="Verdana" w:hAnsi="Verdana" w:cs="Arial"/>
          <w:color w:val="000000" w:themeColor="text1"/>
          <w:sz w:val="14"/>
          <w:szCs w:val="14"/>
          <w:lang w:val="es-CO"/>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themeColor="text1"/>
          <w:sz w:val="14"/>
          <w:szCs w:val="14"/>
          <w:lang w:val="es-ES"/>
        </w:rPr>
        <w:t xml:space="preserve">Consejo de Estado. Sección Segunda. Sentencia de Unificación Jurisprudencial </w:t>
      </w:r>
      <w:r w:rsidRPr="0094491A">
        <w:rPr>
          <w:rFonts w:ascii="Verdana" w:hAnsi="Verdana" w:cs="Arial"/>
          <w:color w:val="000000" w:themeColor="text1"/>
          <w:sz w:val="14"/>
          <w:szCs w:val="14"/>
          <w:lang w:val="es-CO"/>
        </w:rPr>
        <w:t>SUJ-025-CE-S2-2021.</w:t>
      </w:r>
      <w:r w:rsidRPr="0094491A">
        <w:rPr>
          <w:rFonts w:ascii="Verdana" w:hAnsi="Verdana" w:cs="Arial"/>
          <w:color w:val="000000" w:themeColor="text1"/>
          <w:sz w:val="14"/>
          <w:szCs w:val="14"/>
          <w:lang w:val="es-ES"/>
        </w:rPr>
        <w:t xml:space="preserve"> Radicado (1317-2016). El numeral primero de la parte resolutiva de la sentencia señala lo siguiente:</w:t>
      </w:r>
      <w:r w:rsidRPr="0094491A">
        <w:rPr>
          <w:rFonts w:ascii="Verdana" w:eastAsia="Times New Roman" w:hAnsi="Verdana" w:cs="Times New Roman"/>
          <w:sz w:val="14"/>
          <w:szCs w:val="14"/>
          <w:lang w:val="es-CO" w:eastAsia="es-ES_tradnl"/>
        </w:rPr>
        <w:t xml:space="preserve"> </w:t>
      </w:r>
      <w:r w:rsidRPr="0094491A">
        <w:rPr>
          <w:rFonts w:ascii="Verdana" w:hAnsi="Verdana" w:cs="Arial"/>
          <w:noProof/>
          <w:sz w:val="14"/>
          <w:szCs w:val="14"/>
          <w:lang w:val="es-ES_tradnl"/>
        </w:rPr>
        <w:t>“</w:t>
      </w:r>
      <w:r w:rsidRPr="0094491A">
        <w:rPr>
          <w:rFonts w:ascii="Verdana" w:hAnsi="Verdana" w:cs="Arial"/>
          <w:color w:val="000000" w:themeColor="text1"/>
          <w:sz w:val="14"/>
          <w:szCs w:val="14"/>
          <w:lang w:val="es-CO"/>
        </w:rPr>
        <w:t xml:space="preserve">Unificar la jurisprudencia de la Sección Segunda del Consejo de Estado, en el sentido de precisar las siguientes reglas en las relaciones laborales encubiertas o subyacentes: </w:t>
      </w:r>
    </w:p>
    <w:p w14:paraId="6AB8298B" w14:textId="77777777" w:rsidR="00840DEA" w:rsidRPr="0094491A" w:rsidRDefault="00840DEA" w:rsidP="00840DEA">
      <w:pPr>
        <w:pStyle w:val="Textonotapie"/>
        <w:ind w:firstLine="709"/>
        <w:jc w:val="both"/>
        <w:rPr>
          <w:rFonts w:ascii="Verdana" w:hAnsi="Verdana" w:cs="Arial"/>
          <w:color w:val="000000" w:themeColor="text1"/>
          <w:sz w:val="14"/>
          <w:szCs w:val="14"/>
          <w:lang w:val="es-CO"/>
        </w:rPr>
      </w:pPr>
      <w:r w:rsidRPr="0094491A">
        <w:rPr>
          <w:rFonts w:ascii="Verdana" w:hAnsi="Verdana" w:cs="Arial"/>
          <w:color w:val="000000" w:themeColor="text1"/>
          <w:sz w:val="14"/>
          <w:szCs w:val="14"/>
          <w:lang w:val="es-CO"/>
        </w:rPr>
        <w:t xml:space="preserve">(i) La primera regla define que el concepto de “término estrictamente indispensable”, al que alude el numeral 3.º del artículo 32 de la Ley 80 de 1993, es el señalado en los estudios previos y en el objeto del contrato, el cual, de acuerdo con el principio de planeación, tiene que estar justificado en la necesidad de la prestación del servicio a favor de la Administración, de forma esencialmente temporal y, de ninguna manera, con ánimo de permanencia. </w:t>
      </w:r>
    </w:p>
    <w:p w14:paraId="361EAC4A" w14:textId="77777777" w:rsidR="00840DEA" w:rsidRPr="0094491A" w:rsidRDefault="00840DEA" w:rsidP="00840DEA">
      <w:pPr>
        <w:pStyle w:val="Textonotapie"/>
        <w:ind w:firstLine="709"/>
        <w:jc w:val="both"/>
        <w:rPr>
          <w:rFonts w:ascii="Verdana" w:hAnsi="Verdana" w:cs="Arial"/>
          <w:color w:val="000000" w:themeColor="text1"/>
          <w:sz w:val="14"/>
          <w:szCs w:val="14"/>
          <w:lang w:val="es-CO"/>
        </w:rPr>
      </w:pPr>
      <w:r w:rsidRPr="0094491A">
        <w:rPr>
          <w:rFonts w:ascii="Verdana" w:hAnsi="Verdana" w:cs="Arial"/>
          <w:color w:val="000000" w:themeColor="text1"/>
          <w:sz w:val="14"/>
          <w:szCs w:val="14"/>
          <w:lang w:val="es-CO"/>
        </w:rPr>
        <w:t xml:space="preserve">(ii) La segunda regla establece un periodo de treinta (30) días hábiles, entre la finalización de un contrato y la ejecución del siguiente, como término de la no solución de continuidad, el cual, en los casos que se exceda, podrá flexibilizarse en atención a las especiales circunstancias que el juez encuentre probadas dentro del expediente. </w:t>
      </w:r>
    </w:p>
    <w:p w14:paraId="51C450D9" w14:textId="77777777" w:rsidR="00840DEA" w:rsidRPr="00A86944" w:rsidRDefault="00840DEA" w:rsidP="00840DEA">
      <w:pPr>
        <w:pStyle w:val="Textonotapie"/>
        <w:ind w:firstLine="709"/>
        <w:jc w:val="both"/>
        <w:rPr>
          <w:rFonts w:ascii="Verdana" w:hAnsi="Verdana" w:cs="Arial"/>
          <w:sz w:val="14"/>
          <w:szCs w:val="14"/>
          <w:lang w:val="pt-BR"/>
        </w:rPr>
      </w:pPr>
      <w:r w:rsidRPr="0094491A">
        <w:rPr>
          <w:rFonts w:ascii="Verdana" w:hAnsi="Verdana" w:cs="Arial"/>
          <w:color w:val="000000" w:themeColor="text1"/>
          <w:sz w:val="14"/>
          <w:szCs w:val="14"/>
          <w:lang w:val="es-CO"/>
        </w:rPr>
        <w:t>(iii) La tercera regla determina que frente a la no afiliación al sistema de la Seguridad Social en salud, por parte de la Administración, es improcedente la devolución de los valores que el contratista hubiese asumido de más, en tanto se recaudaron como recursos de naturaleza parafiscal</w:t>
      </w:r>
      <w:r w:rsidRPr="0094491A">
        <w:rPr>
          <w:rFonts w:ascii="Verdana" w:hAnsi="Verdana" w:cs="Arial"/>
          <w:sz w:val="14"/>
          <w:szCs w:val="14"/>
          <w:lang w:val="pt-BR"/>
        </w:rPr>
        <w:t>”.</w:t>
      </w:r>
    </w:p>
  </w:footnote>
  <w:footnote w:id="15">
    <w:p w14:paraId="735E76FC" w14:textId="77777777" w:rsidR="00840DEA" w:rsidRPr="00A86944" w:rsidRDefault="00840DEA" w:rsidP="00840DEA">
      <w:pPr>
        <w:pStyle w:val="Textonotapie"/>
        <w:ind w:firstLine="709"/>
        <w:jc w:val="both"/>
        <w:rPr>
          <w:rFonts w:ascii="Verdana" w:hAnsi="Verdana" w:cs="Arial"/>
          <w:sz w:val="14"/>
          <w:szCs w:val="14"/>
        </w:rPr>
      </w:pPr>
      <w:r w:rsidRPr="0094491A">
        <w:rPr>
          <w:rStyle w:val="Refdenotaalpie"/>
          <w:rFonts w:ascii="Verdana" w:hAnsi="Verdana" w:cs="Arial"/>
          <w:sz w:val="14"/>
          <w:szCs w:val="14"/>
        </w:rPr>
        <w:footnoteRef/>
      </w:r>
      <w:r w:rsidRPr="0094491A">
        <w:rPr>
          <w:rFonts w:ascii="Verdana" w:hAnsi="Verdana" w:cs="Arial"/>
          <w:sz w:val="14"/>
          <w:szCs w:val="14"/>
        </w:rPr>
        <w:t xml:space="preserve"> Particularmente, sobre la regla de unificación número 2, el Consejo de Estado explica que “[…] si no están dados los presupuestos establecidos en el artículo 23 del Código Sustantivo del Trabajo, no puede hablarse de una relación laboral encubierta. Por lo tanto, el término de treinta (30) días hábiles, a que alude la segunda regla de unificación, tal como se dijo en la sentencia del 9 de septiembre de 2021, debe entenderse como un indicador temporal para inferir que no hay solución de continuidad entre un contrato y otro sucedáneo, y </w:t>
      </w:r>
      <w:r w:rsidRPr="0094491A">
        <w:rPr>
          <w:rFonts w:ascii="Verdana" w:hAnsi="Verdana" w:cs="Arial"/>
          <w:b/>
          <w:bCs/>
          <w:sz w:val="14"/>
          <w:szCs w:val="14"/>
        </w:rPr>
        <w:t>solo para efectos de la prescripción de derechos laborales</w:t>
      </w:r>
      <w:r w:rsidRPr="0094491A">
        <w:rPr>
          <w:rFonts w:ascii="Verdana" w:hAnsi="Verdana" w:cs="Arial"/>
          <w:sz w:val="14"/>
          <w:szCs w:val="14"/>
        </w:rPr>
        <w:t>” (Énfasis dentro del texto).</w:t>
      </w:r>
    </w:p>
  </w:footnote>
  <w:footnote w:id="16">
    <w:p w14:paraId="0A079FCE" w14:textId="77777777" w:rsidR="00840DEA" w:rsidRPr="0094491A" w:rsidRDefault="00840DEA" w:rsidP="00840DEA">
      <w:pPr>
        <w:pStyle w:val="Textonotapie"/>
        <w:ind w:firstLine="708"/>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Corte Constitucional. Sentencia C-154 de 1997. Magistrado Ponente: Hernando Herrera Vergara.</w:t>
      </w:r>
    </w:p>
  </w:footnote>
  <w:footnote w:id="17">
    <w:p w14:paraId="618A57DC"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cs="Arial"/>
          <w:color w:val="000000"/>
          <w:sz w:val="14"/>
          <w:szCs w:val="14"/>
        </w:rPr>
        <w:footnoteRef/>
      </w:r>
      <w:r w:rsidRPr="0094491A">
        <w:rPr>
          <w:rFonts w:ascii="Verdana" w:hAnsi="Verdana" w:cs="Arial"/>
          <w:color w:val="000000"/>
          <w:sz w:val="14"/>
          <w:szCs w:val="14"/>
        </w:rPr>
        <w:t xml:space="preserve"> </w:t>
      </w:r>
      <w:r w:rsidRPr="0094491A">
        <w:rPr>
          <w:rFonts w:ascii="Verdana" w:hAnsi="Verdana" w:cs="Arial"/>
          <w:color w:val="000000"/>
          <w:sz w:val="14"/>
          <w:szCs w:val="14"/>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w:t>
      </w:r>
    </w:p>
    <w:p w14:paraId="13596B57" w14:textId="77777777" w:rsidR="00840DEA" w:rsidRPr="00A86944" w:rsidRDefault="00840DEA" w:rsidP="00840DEA">
      <w:pPr>
        <w:pStyle w:val="Textonotapie"/>
        <w:ind w:firstLine="709"/>
        <w:jc w:val="both"/>
        <w:rPr>
          <w:rFonts w:ascii="Verdana" w:hAnsi="Verdana" w:cs="Arial"/>
          <w:color w:val="000000" w:themeColor="text1"/>
          <w:sz w:val="14"/>
          <w:szCs w:val="14"/>
          <w:lang w:val="es-ES"/>
        </w:rPr>
      </w:pPr>
      <w:r w:rsidRPr="0094491A">
        <w:rPr>
          <w:rFonts w:ascii="Verdana" w:hAnsi="Verdana" w:cs="Arial"/>
          <w:color w:val="000000"/>
          <w:sz w:val="14"/>
          <w:szCs w:val="14"/>
          <w:lang w:val="es-ES"/>
        </w:rPr>
        <w:t xml:space="preserve"> En este caso, no es necesario que la Entidad Estatal haya obtenido previamente varias ofertas, de lo cual el ordenador del gasto debe dejar constancia escrita. </w:t>
      </w:r>
      <w:r w:rsidRPr="0094491A">
        <w:rPr>
          <w:rFonts w:ascii="Verdana" w:hAnsi="Verdana" w:cs="Arial"/>
          <w:color w:val="000000" w:themeColor="text1"/>
          <w:sz w:val="14"/>
          <w:szCs w:val="14"/>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r w:rsidRPr="0094491A">
        <w:rPr>
          <w:rFonts w:ascii="Verdana" w:hAnsi="Verdana" w:cs="Arial"/>
          <w:color w:val="000000"/>
          <w:sz w:val="14"/>
          <w:szCs w:val="14"/>
          <w:lang w:val="es-ES"/>
        </w:rPr>
        <w:t xml:space="preserve"> </w:t>
      </w:r>
      <w:r w:rsidRPr="0094491A">
        <w:rPr>
          <w:rFonts w:ascii="Verdana" w:hAnsi="Verdana" w:cs="Arial"/>
          <w:color w:val="000000" w:themeColor="text1"/>
          <w:sz w:val="14"/>
          <w:szCs w:val="14"/>
          <w:lang w:val="es-ES"/>
        </w:rPr>
        <w:t>La Entidad Estatal, para la contratación de trabajos artísticos que solamente puedan en­comendarse a determinadas personas naturales, debe justificar esta situación en los estudios y documentos previos”.</w:t>
      </w:r>
    </w:p>
  </w:footnote>
  <w:footnote w:id="18">
    <w:p w14:paraId="6877A8F7" w14:textId="77777777" w:rsidR="00840DEA" w:rsidRPr="0094491A" w:rsidDel="00A37FEF"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cs="Arial"/>
          <w:color w:val="000000"/>
          <w:sz w:val="14"/>
          <w:szCs w:val="14"/>
        </w:rPr>
        <w:footnoteRef/>
      </w:r>
      <w:r w:rsidRPr="0094491A">
        <w:rPr>
          <w:rFonts w:ascii="Verdana" w:hAnsi="Verdana" w:cs="Arial"/>
          <w:color w:val="000000"/>
          <w:sz w:val="14"/>
          <w:szCs w:val="14"/>
        </w:rPr>
        <w:t xml:space="preserve"> </w:t>
      </w:r>
      <w:r w:rsidRPr="0094491A">
        <w:rPr>
          <w:rFonts w:ascii="Verdana" w:hAnsi="Verdana" w:cs="Arial"/>
          <w:color w:val="000000"/>
          <w:sz w:val="14"/>
          <w:szCs w:val="14"/>
          <w:lang w:val="es-ES"/>
        </w:rPr>
        <w:t>Consejo de Estado. Sección Tercera. Subsección C. Sentencia del 2 de diciembre de 2013. Exp. 41719. C.P. Jaime Orlando Santofimio Gamboa.</w:t>
      </w:r>
    </w:p>
  </w:footnote>
  <w:footnote w:id="19">
    <w:p w14:paraId="519A0D0E"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Ibid.-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1DF3BF8F"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Son también contratos de consultoría los que tienen por objeto la interventoría, asesoría, gerencia de obra o de proyectos, dirección, programación y la ejecución de diseños, planos, anteproyectos y proyectos.</w:t>
      </w:r>
    </w:p>
    <w:p w14:paraId="2B0892E3"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 xml:space="preserve">Ninguna orden del interventor de una obra podrá darse verbalmente. Es obligatorio para el interventor entregar por escrito sus órdenes o sugerencias y ellas deben enmarcarse dentro de los términos del respectivo contrato”. </w:t>
      </w:r>
    </w:p>
  </w:footnote>
  <w:footnote w:id="20">
    <w:p w14:paraId="02F7E250"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Así lo prevé el artículo 2.2.1.2.1.4.1. del Decreto 1082 de 2015: “La Entidad Estatal debe señalar en un acto administrativo la justificación para contratar bajo la modalidad de contratación directa, el cual debe contener:</w:t>
      </w:r>
    </w:p>
    <w:p w14:paraId="7AB1D45A"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1. La causal que invoca para contratar directamente.</w:t>
      </w:r>
    </w:p>
    <w:p w14:paraId="132C70DE"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2. El objeto del contrato.</w:t>
      </w:r>
    </w:p>
    <w:p w14:paraId="2AF2BBE8"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3. El presupuesto para la contratación y las condiciones que exigirá al contratista.</w:t>
      </w:r>
    </w:p>
    <w:p w14:paraId="3D1F8328"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4. El lugar en el cual los interesados pueden consultar los estudios y documentos previos.</w:t>
      </w:r>
    </w:p>
    <w:p w14:paraId="7CF76121"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21">
    <w:p w14:paraId="395639C2"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Esta norma expresa: “</w:t>
      </w:r>
      <w:r w:rsidRPr="0094491A">
        <w:rPr>
          <w:rFonts w:ascii="Verdana" w:hAnsi="Verdana" w:cs="Arial"/>
          <w:color w:val="000000"/>
          <w:sz w:val="14"/>
          <w:szCs w:val="14"/>
        </w:rPr>
        <w:t>P</w:t>
      </w:r>
      <w:r w:rsidRPr="0094491A">
        <w:rPr>
          <w:rFonts w:ascii="Verdana" w:hAnsi="Verdana" w:cs="Arial"/>
          <w:color w:val="000000"/>
          <w:sz w:val="14"/>
          <w:szCs w:val="14"/>
          <w:lang w:val="es-ES"/>
        </w:rPr>
        <w:t>ara el cumplimiento de los fines de la contratación, las entidades estatales al celebrar un contrato:</w:t>
      </w:r>
    </w:p>
    <w:p w14:paraId="3BF28A3D"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w:t>
      </w:r>
    </w:p>
    <w:p w14:paraId="62AE19EE"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4C259C26"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Las entidades estatales podrán pactar estas cláusulas en los contratos de suministro y de prestación de servicios.</w:t>
      </w:r>
    </w:p>
    <w:p w14:paraId="59E42BBB"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Fonts w:ascii="Verdana" w:hAnsi="Verdana" w:cs="Arial"/>
          <w:color w:val="000000"/>
          <w:sz w:val="14"/>
          <w:szCs w:val="14"/>
          <w:lang w:val="es-ES"/>
        </w:rPr>
        <w:t>[…]”.</w:t>
      </w:r>
    </w:p>
  </w:footnote>
  <w:footnote w:id="22">
    <w:p w14:paraId="216E7B2E" w14:textId="77777777" w:rsidR="00840DEA" w:rsidRPr="0094491A" w:rsidRDefault="00840DEA" w:rsidP="00840DEA">
      <w:pPr>
        <w:pStyle w:val="Textonotapie"/>
        <w:ind w:firstLine="708"/>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La norma dispone: “La liquidación a que se refiere el presente artículo no será obligatoria en los contratos de prestación de servicios profesionales y de apoyo a la gestión”.</w:t>
      </w:r>
    </w:p>
  </w:footnote>
  <w:footnote w:id="23">
    <w:p w14:paraId="267849D0" w14:textId="77777777" w:rsidR="00840DEA" w:rsidRPr="0094491A" w:rsidRDefault="00840DEA" w:rsidP="00840DEA">
      <w:pPr>
        <w:pStyle w:val="Textonotapie"/>
        <w:ind w:firstLine="709"/>
        <w:jc w:val="both"/>
        <w:rPr>
          <w:rFonts w:ascii="Verdana" w:hAnsi="Verdana" w:cs="Arial"/>
          <w:color w:val="000000"/>
          <w:sz w:val="14"/>
          <w:szCs w:val="14"/>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6FB46995" w14:textId="77777777" w:rsidR="00840DEA" w:rsidRPr="0094491A" w:rsidRDefault="00840DEA" w:rsidP="00840DEA">
      <w:pPr>
        <w:pStyle w:val="Textonotapie"/>
        <w:ind w:firstLine="709"/>
        <w:jc w:val="both"/>
        <w:rPr>
          <w:rFonts w:ascii="Verdana" w:hAnsi="Verdana" w:cs="Arial"/>
          <w:color w:val="000000"/>
          <w:sz w:val="14"/>
          <w:szCs w:val="14"/>
        </w:rPr>
      </w:pPr>
      <w:r w:rsidRPr="0094491A">
        <w:rPr>
          <w:rFonts w:ascii="Verdana" w:hAnsi="Verdana" w:cs="Arial"/>
          <w:color w:val="000000"/>
          <w:sz w:val="14"/>
          <w:szCs w:val="14"/>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77435BBB" w14:textId="77777777" w:rsidR="00840DEA" w:rsidRPr="0094491A" w:rsidRDefault="00840DEA" w:rsidP="00840DEA">
      <w:pPr>
        <w:pStyle w:val="Textonotapie"/>
        <w:ind w:firstLine="709"/>
        <w:jc w:val="both"/>
        <w:rPr>
          <w:rFonts w:ascii="Verdana" w:hAnsi="Verdana" w:cs="Arial"/>
          <w:color w:val="000000"/>
          <w:sz w:val="14"/>
          <w:szCs w:val="14"/>
        </w:rPr>
      </w:pPr>
      <w:r w:rsidRPr="0094491A">
        <w:rPr>
          <w:rFonts w:ascii="Verdana" w:hAnsi="Verdana" w:cs="Arial"/>
          <w:color w:val="000000"/>
          <w:sz w:val="14"/>
          <w:szCs w:val="14"/>
        </w:rPr>
        <w:t>[…]”.</w:t>
      </w:r>
    </w:p>
  </w:footnote>
  <w:footnote w:id="24">
    <w:p w14:paraId="6E2316A2" w14:textId="77777777" w:rsidR="00840DEA" w:rsidRPr="0094491A" w:rsidRDefault="00840DEA" w:rsidP="00840DEA">
      <w:pPr>
        <w:pStyle w:val="Textonotapie"/>
        <w:ind w:firstLine="709"/>
        <w:jc w:val="both"/>
        <w:rPr>
          <w:rFonts w:ascii="Verdana" w:hAnsi="Verdana" w:cs="Arial"/>
          <w:color w:val="000000"/>
          <w:sz w:val="14"/>
          <w:szCs w:val="14"/>
          <w:lang w:val="es-ES"/>
        </w:rPr>
      </w:pPr>
      <w:r w:rsidRPr="0094491A">
        <w:rPr>
          <w:rStyle w:val="Refdenotaalpie"/>
          <w:rFonts w:ascii="Verdana" w:hAnsi="Verdana"/>
          <w:sz w:val="14"/>
          <w:szCs w:val="14"/>
        </w:rPr>
        <w:footnoteRef/>
      </w:r>
      <w:r w:rsidRPr="0094491A">
        <w:rPr>
          <w:rFonts w:ascii="Verdana" w:hAnsi="Verdana"/>
          <w:sz w:val="14"/>
          <w:szCs w:val="14"/>
        </w:rPr>
        <w:t xml:space="preserve"> </w:t>
      </w:r>
      <w:r w:rsidRPr="0094491A">
        <w:rPr>
          <w:rFonts w:ascii="Verdana" w:hAnsi="Verdana" w:cs="Arial"/>
          <w:color w:val="000000"/>
          <w:sz w:val="14"/>
          <w:szCs w:val="14"/>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footnote>
  <w:footnote w:id="25">
    <w:p w14:paraId="53282EE0"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Style w:val="Refdenotaalpie"/>
          <w:rFonts w:ascii="Verdana" w:hAnsi="Verdana" w:cs="Arial"/>
          <w:color w:val="000000" w:themeColor="text1"/>
          <w:sz w:val="16"/>
          <w:szCs w:val="16"/>
        </w:rPr>
        <w:footnoteRef/>
      </w:r>
      <w:r w:rsidRPr="0094491A">
        <w:rPr>
          <w:rFonts w:ascii="Verdana" w:hAnsi="Verdana" w:cs="Arial"/>
          <w:color w:val="000000" w:themeColor="text1"/>
          <w:sz w:val="16"/>
          <w:szCs w:val="16"/>
        </w:rPr>
        <w:t xml:space="preserve"> </w:t>
      </w:r>
      <w:r w:rsidRPr="0094491A">
        <w:rPr>
          <w:rFonts w:ascii="Verdana" w:hAnsi="Verdana" w:cs="Arial"/>
          <w:color w:val="000000" w:themeColor="text1"/>
          <w:sz w:val="16"/>
          <w:szCs w:val="16"/>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479B221D"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Fonts w:ascii="Verdana" w:hAnsi="Verdana" w:cs="Arial"/>
          <w:color w:val="000000" w:themeColor="text1"/>
          <w:sz w:val="16"/>
          <w:szCs w:val="16"/>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25788B1A"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Fonts w:ascii="Verdana" w:hAnsi="Verdana" w:cs="Arial"/>
          <w:color w:val="000000" w:themeColor="text1"/>
          <w:sz w:val="16"/>
          <w:szCs w:val="16"/>
          <w:lang w:val="es-ES"/>
        </w:rPr>
        <w:t>»La Entidad Estatal, para la contratación de trabajos artísticos que solamente puedan en</w:t>
      </w:r>
      <w:r w:rsidRPr="0094491A">
        <w:rPr>
          <w:rFonts w:ascii="Verdana" w:hAnsi="Verdana" w:cs="Arial"/>
          <w:color w:val="000000" w:themeColor="text1"/>
          <w:sz w:val="16"/>
          <w:szCs w:val="16"/>
          <w:lang w:val="es-ES"/>
        </w:rPr>
        <w:softHyphen/>
        <w:t>comendarse a determinadas personas naturales, debe justificar esta situación en los estudios y documentos previos».</w:t>
      </w:r>
    </w:p>
    <w:p w14:paraId="1C7D32BF"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p>
  </w:footnote>
  <w:footnote w:id="26">
    <w:p w14:paraId="0A109C1C"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Style w:val="Refdenotaalpie"/>
          <w:rFonts w:ascii="Verdana" w:hAnsi="Verdana" w:cs="Arial"/>
          <w:color w:val="000000" w:themeColor="text1"/>
          <w:sz w:val="16"/>
          <w:szCs w:val="16"/>
        </w:rPr>
        <w:footnoteRef/>
      </w:r>
      <w:r w:rsidRPr="0094491A">
        <w:rPr>
          <w:rFonts w:ascii="Verdana" w:hAnsi="Verdana" w:cs="Arial"/>
          <w:color w:val="000000" w:themeColor="text1"/>
          <w:sz w:val="16"/>
          <w:szCs w:val="16"/>
        </w:rPr>
        <w:t xml:space="preserve"> </w:t>
      </w:r>
      <w:r w:rsidRPr="0094491A">
        <w:rPr>
          <w:rFonts w:ascii="Verdana" w:hAnsi="Verdana" w:cs="Arial"/>
          <w:color w:val="000000" w:themeColor="text1"/>
          <w:sz w:val="16"/>
          <w:szCs w:val="16"/>
          <w:lang w:val="es-ES"/>
        </w:rPr>
        <w:t xml:space="preserve">Consejo </w:t>
      </w:r>
      <w:r>
        <w:rPr>
          <w:rFonts w:ascii="Verdana" w:hAnsi="Verdana" w:cs="Arial"/>
          <w:color w:val="000000" w:themeColor="text1"/>
          <w:sz w:val="16"/>
          <w:szCs w:val="16"/>
          <w:lang w:val="es-ES"/>
        </w:rPr>
        <w:t>d</w:t>
      </w:r>
      <w:r w:rsidRPr="0094491A">
        <w:rPr>
          <w:rFonts w:ascii="Verdana" w:hAnsi="Verdana" w:cs="Arial"/>
          <w:color w:val="000000" w:themeColor="text1"/>
          <w:sz w:val="16"/>
          <w:szCs w:val="16"/>
          <w:lang w:val="es-ES"/>
        </w:rPr>
        <w:t>e Estado. Sección Tercera. Subsección C. Sentencia de Unificación del 2 de diciembre de 2013. Exp. 41.719. C.P. Jaime Orlando Santofimio Gamboa.</w:t>
      </w:r>
    </w:p>
  </w:footnote>
  <w:footnote w:id="27">
    <w:p w14:paraId="3A41A607"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Style w:val="Refdenotaalpie"/>
          <w:rFonts w:ascii="Verdana" w:hAnsi="Verdana" w:cs="Arial"/>
          <w:color w:val="000000" w:themeColor="text1"/>
          <w:sz w:val="16"/>
          <w:szCs w:val="16"/>
        </w:rPr>
        <w:footnoteRef/>
      </w:r>
      <w:r w:rsidRPr="0094491A">
        <w:rPr>
          <w:rFonts w:ascii="Verdana" w:hAnsi="Verdana" w:cs="Arial"/>
          <w:color w:val="000000" w:themeColor="text1"/>
          <w:sz w:val="16"/>
          <w:szCs w:val="16"/>
        </w:rPr>
        <w:t xml:space="preserve"> </w:t>
      </w:r>
      <w:r w:rsidRPr="0094491A">
        <w:rPr>
          <w:rFonts w:ascii="Verdana" w:hAnsi="Verdana" w:cs="Arial"/>
          <w:i/>
          <w:iCs/>
          <w:color w:val="000000" w:themeColor="text1"/>
          <w:sz w:val="16"/>
          <w:szCs w:val="16"/>
          <w:lang w:val="es-ES"/>
        </w:rPr>
        <w:t>Ibíd</w:t>
      </w:r>
      <w:r w:rsidRPr="0094491A">
        <w:rPr>
          <w:rFonts w:ascii="Verdana" w:hAnsi="Verdana" w:cs="Arial"/>
          <w:color w:val="000000" w:themeColor="text1"/>
          <w:sz w:val="16"/>
          <w:szCs w:val="16"/>
          <w:lang w:val="es-ES"/>
        </w:rPr>
        <w:t>.</w:t>
      </w:r>
    </w:p>
  </w:footnote>
  <w:footnote w:id="28">
    <w:p w14:paraId="038B3BCE" w14:textId="77777777" w:rsidR="00840DEA" w:rsidRPr="0094491A" w:rsidRDefault="00840DEA" w:rsidP="00840DEA">
      <w:pPr>
        <w:pStyle w:val="Textonotapie"/>
        <w:ind w:firstLine="709"/>
        <w:jc w:val="both"/>
        <w:rPr>
          <w:rFonts w:ascii="Verdana" w:hAnsi="Verdana" w:cs="Arial"/>
          <w:color w:val="000000" w:themeColor="text1"/>
          <w:sz w:val="16"/>
          <w:szCs w:val="16"/>
          <w:lang w:val="es-ES"/>
        </w:rPr>
      </w:pPr>
      <w:r w:rsidRPr="0094491A">
        <w:rPr>
          <w:rStyle w:val="Refdenotaalpie"/>
          <w:rFonts w:ascii="Verdana" w:hAnsi="Verdana" w:cs="Arial"/>
          <w:color w:val="000000" w:themeColor="text1"/>
          <w:sz w:val="16"/>
          <w:szCs w:val="16"/>
        </w:rPr>
        <w:footnoteRef/>
      </w:r>
      <w:r w:rsidRPr="0094491A">
        <w:rPr>
          <w:rFonts w:ascii="Verdana" w:hAnsi="Verdana" w:cs="Arial"/>
          <w:color w:val="000000" w:themeColor="text1"/>
          <w:sz w:val="16"/>
          <w:szCs w:val="16"/>
        </w:rPr>
        <w:t xml:space="preserve"> </w:t>
      </w:r>
      <w:r w:rsidRPr="0094491A">
        <w:rPr>
          <w:rFonts w:ascii="Verdana" w:hAnsi="Verdana" w:cs="Arial"/>
          <w:i/>
          <w:iCs/>
          <w:color w:val="000000" w:themeColor="text1"/>
          <w:sz w:val="16"/>
          <w:szCs w:val="16"/>
          <w:lang w:val="es-ES"/>
        </w:rPr>
        <w:t>Ibíd</w:t>
      </w:r>
      <w:r w:rsidRPr="0094491A">
        <w:rPr>
          <w:rFonts w:ascii="Verdana" w:hAnsi="Verdana" w:cs="Arial"/>
          <w:color w:val="000000" w:themeColor="text1"/>
          <w:sz w:val="16"/>
          <w:szCs w:val="16"/>
          <w:lang w:val="es-ES"/>
        </w:rPr>
        <w:t>.</w:t>
      </w:r>
    </w:p>
  </w:footnote>
  <w:footnote w:id="29">
    <w:p w14:paraId="0F81F879" w14:textId="77777777" w:rsidR="00840DEA" w:rsidRPr="0094491A" w:rsidRDefault="00840DEA" w:rsidP="00840DEA">
      <w:pPr>
        <w:pStyle w:val="Textonotapie"/>
        <w:ind w:firstLine="708"/>
        <w:jc w:val="both"/>
        <w:rPr>
          <w:rFonts w:ascii="Verdana" w:hAnsi="Verdana" w:cs="Arial"/>
          <w:sz w:val="16"/>
          <w:szCs w:val="16"/>
        </w:rPr>
      </w:pPr>
      <w:r w:rsidRPr="0094491A">
        <w:rPr>
          <w:rStyle w:val="Refdenotaalpie"/>
          <w:rFonts w:ascii="Verdana" w:hAnsi="Verdana" w:cs="Arial"/>
          <w:sz w:val="16"/>
          <w:szCs w:val="16"/>
        </w:rPr>
        <w:footnoteRef/>
      </w:r>
      <w:r w:rsidRPr="0094491A">
        <w:rPr>
          <w:rFonts w:ascii="Verdana" w:hAnsi="Verdana" w:cs="Arial"/>
          <w:sz w:val="16"/>
          <w:szCs w:val="16"/>
        </w:rPr>
        <w:t xml:space="preserve"> Respecto al alcance del literal h) del numeral 4 del artículo 2 de la Ley 1150 de 2007, la doctrina considera que «[…] El sentido de este enunciado normativo es que la razón que permite la contratación directa con dichas personas naturales es precisamente el conjunto de habilidades artísticas que reúnen. En tal medida, la expresión “que solo puedan encomendarse a determinadas personas” no puede interpretarse como un mandato de que el contrato de prestación de servicios para la ejecución del trabajo artístico solo sea causal de contratación directa cuando solo exista un único artista en el mercado que pueda encargarse de la labor requerida por la entidad. La contratación directa está permitida aun cuando sean varios los sujetos en la línea artística sobre la que versa el trabajo que contratará la Administración. Lo contrario sería confundir la causal de contratación directa que se viene analizando, con la prevista en el literal anterior, es decir, en el g) del mismo numeral y artículo, que también permite dicha modalidad contractual “cuando no exista pluralidad de oferentes en el mercado”» (Cfr. DÍAZ DÍEZ, Cristian Andrés &amp; GÓMEZ VELÁSQUEZ, Alejandro. El contrato de prestación de servicios en el estatuto general de contratación de la administración pública: un tipo contractual de compleja celebración. Consultado el 27 de septiembre de 2021 en la página </w:t>
      </w:r>
      <w:hyperlink r:id="rId1" w:history="1">
        <w:r w:rsidRPr="0094491A">
          <w:rPr>
            <w:rStyle w:val="Hipervnculo"/>
            <w:rFonts w:ascii="Verdana" w:hAnsi="Verdana" w:cs="Arial"/>
            <w:sz w:val="16"/>
            <w:szCs w:val="16"/>
          </w:rPr>
          <w:t>https://revistas.javeriana.edu.co/files-articulos/VJ/139%20(2019-II)/82562148007/</w:t>
        </w:r>
      </w:hyperlink>
      <w:r w:rsidRPr="0094491A">
        <w:rPr>
          <w:rFonts w:ascii="Verdana" w:hAnsi="Verdana" w:cs="Arial"/>
          <w:sz w:val="16"/>
          <w:szCs w:val="16"/>
        </w:rPr>
        <w:t xml:space="preserve">). </w:t>
      </w:r>
    </w:p>
  </w:footnote>
  <w:footnote w:id="30">
    <w:p w14:paraId="0825FB00" w14:textId="77777777" w:rsidR="00840DEA" w:rsidRPr="00A86944" w:rsidRDefault="00840DEA" w:rsidP="00840DEA">
      <w:pPr>
        <w:pStyle w:val="Textonotapie"/>
        <w:ind w:firstLine="708"/>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Artículo 17 de la Ley 1150 de 2007</w:t>
      </w:r>
    </w:p>
  </w:footnote>
  <w:footnote w:id="31">
    <w:p w14:paraId="341AD597" w14:textId="77777777" w:rsidR="00840DEA" w:rsidRPr="00A86944" w:rsidRDefault="00840DEA" w:rsidP="00840DEA">
      <w:pPr>
        <w:pStyle w:val="Textonotapie"/>
        <w:ind w:firstLine="708"/>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Artículo 21 de la Ley 1150 de 2007</w:t>
      </w:r>
    </w:p>
  </w:footnote>
  <w:footnote w:id="32">
    <w:p w14:paraId="0480CA3D" w14:textId="77777777" w:rsidR="00840DEA" w:rsidRPr="0094491A" w:rsidRDefault="00840DEA" w:rsidP="00840DEA">
      <w:pPr>
        <w:pStyle w:val="Textonotapie"/>
        <w:ind w:firstLine="708"/>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Artículos 83 a 86 de la Ley 1474 de 2011</w:t>
      </w:r>
    </w:p>
  </w:footnote>
  <w:footnote w:id="33">
    <w:p w14:paraId="5BDB4B78" w14:textId="77777777" w:rsidR="00840DEA" w:rsidRPr="00BB1D72" w:rsidRDefault="00840DEA" w:rsidP="00840DEA">
      <w:pPr>
        <w:pStyle w:val="Textonotapie"/>
        <w:ind w:firstLine="708"/>
        <w:jc w:val="both"/>
        <w:rPr>
          <w:rFonts w:ascii="Verdana" w:hAnsi="Verdana"/>
          <w:sz w:val="14"/>
          <w:szCs w:val="14"/>
        </w:rPr>
      </w:pPr>
      <w:r w:rsidRPr="0094491A">
        <w:rPr>
          <w:rStyle w:val="Refdenotaalpie"/>
          <w:rFonts w:ascii="Verdana" w:hAnsi="Verdana"/>
          <w:sz w:val="14"/>
          <w:szCs w:val="14"/>
        </w:rPr>
        <w:footnoteRef/>
      </w:r>
      <w:r w:rsidRPr="0094491A">
        <w:rPr>
          <w:rFonts w:ascii="Verdana" w:hAnsi="Verdana"/>
          <w:sz w:val="14"/>
          <w:szCs w:val="14"/>
        </w:rPr>
        <w:t xml:space="preserve"> Consejo de Estado. Sección 3ª. Sentencia del 27 de noviembre de 2017. M.P. Jaime Orlando Santofimio. Exp. 51.802</w:t>
      </w:r>
    </w:p>
  </w:footnote>
  <w:footnote w:id="34">
    <w:p w14:paraId="06EB151C" w14:textId="77777777" w:rsidR="00840DEA" w:rsidRPr="00FD0A03" w:rsidRDefault="00840DEA" w:rsidP="00840DEA">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83 de la Ley 1474 de 2011</w:t>
      </w:r>
    </w:p>
  </w:footnote>
  <w:footnote w:id="35">
    <w:p w14:paraId="039596D6" w14:textId="77777777" w:rsidR="00840DEA" w:rsidRPr="00FD0A03" w:rsidRDefault="00840DEA" w:rsidP="00840DEA">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 w:id="36">
    <w:p w14:paraId="1CC8440B" w14:textId="77777777" w:rsidR="00840DEA" w:rsidRPr="0087460F" w:rsidRDefault="00840DEA" w:rsidP="00840DEA">
      <w:pPr>
        <w:pStyle w:val="Textonotapie"/>
        <w:adjustRightInd w:val="0"/>
        <w:snapToGrid w:val="0"/>
        <w:ind w:firstLine="709"/>
        <w:jc w:val="both"/>
        <w:rPr>
          <w:rFonts w:ascii="Verdana" w:hAnsi="Verdana" w:cs="Arial"/>
          <w:color w:val="161616"/>
          <w:sz w:val="16"/>
          <w:szCs w:val="16"/>
        </w:rPr>
      </w:pPr>
      <w:r w:rsidRPr="00FD0A03">
        <w:rPr>
          <w:rStyle w:val="Refdenotaalpie"/>
          <w:rFonts w:ascii="Verdana" w:hAnsi="Verdana"/>
          <w:sz w:val="16"/>
          <w:szCs w:val="16"/>
        </w:rPr>
        <w:footnoteRef/>
      </w:r>
      <w:r w:rsidRPr="00FD0A03">
        <w:rPr>
          <w:rFonts w:ascii="Verdana" w:hAnsi="Verdana"/>
          <w:sz w:val="16"/>
          <w:szCs w:val="16"/>
        </w:rPr>
        <w:t xml:space="preserve"> </w:t>
      </w:r>
      <w:r w:rsidRPr="00FD0A03">
        <w:rPr>
          <w:rFonts w:ascii="Verdana" w:hAnsi="Verdana" w:cs="Arial"/>
          <w:color w:val="161616"/>
          <w:sz w:val="16"/>
          <w:szCs w:val="16"/>
        </w:rPr>
        <w:t>“Son también contratos de consultoría los que tienen por objeto la interventoría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AC78D9" w:rsidRDefault="00AC78D9"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AC78D9" w:rsidRDefault="00AC78D9">
    <w:pPr>
      <w:pStyle w:val="Encabezado"/>
    </w:pPr>
  </w:p>
  <w:p w14:paraId="5E18350A" w14:textId="705F7B76" w:rsidR="00AC78D9" w:rsidRPr="004A305D" w:rsidRDefault="00AC78D9" w:rsidP="00B01B1A">
    <w:pPr>
      <w:spacing w:after="0" w:line="120" w:lineRule="auto"/>
      <w:rPr>
        <w:rFonts w:ascii="Century Gothic" w:eastAsia="Geo" w:hAnsi="Century Gothic" w:cs="Geo"/>
        <w:sz w:val="16"/>
        <w:szCs w:val="16"/>
        <w:lang w:eastAsia="es-CO"/>
      </w:rPr>
    </w:pPr>
  </w:p>
  <w:p w14:paraId="211B7F5D" w14:textId="77777777" w:rsidR="00AC78D9" w:rsidRDefault="00AC78D9" w:rsidP="00844AE9">
    <w:pPr>
      <w:spacing w:after="0" w:line="240" w:lineRule="auto"/>
      <w:rPr>
        <w:rFonts w:ascii="Verdana" w:hAnsi="Verdana"/>
        <w:sz w:val="24"/>
        <w:szCs w:val="24"/>
      </w:rPr>
    </w:pPr>
  </w:p>
  <w:p w14:paraId="5A0054B1" w14:textId="77777777" w:rsidR="00AC78D9" w:rsidRPr="00C925AC" w:rsidRDefault="00AC78D9" w:rsidP="00844AE9">
    <w:pPr>
      <w:spacing w:after="0" w:line="240" w:lineRule="auto"/>
      <w:rPr>
        <w:rFonts w:ascii="Verdana" w:hAnsi="Verdana"/>
        <w:sz w:val="24"/>
        <w:szCs w:val="24"/>
      </w:rPr>
    </w:pPr>
  </w:p>
  <w:p w14:paraId="1FD1C243" w14:textId="37C5500A" w:rsidR="00AC78D9" w:rsidRPr="00C925AC" w:rsidRDefault="00AC78D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110008"/>
    <w:multiLevelType w:val="hybridMultilevel"/>
    <w:tmpl w:val="A6BC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543D3"/>
    <w:multiLevelType w:val="multilevel"/>
    <w:tmpl w:val="77B2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2D3058"/>
    <w:multiLevelType w:val="multilevel"/>
    <w:tmpl w:val="96F4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5B752E8"/>
    <w:multiLevelType w:val="multilevel"/>
    <w:tmpl w:val="C638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1866AC"/>
    <w:multiLevelType w:val="hybridMultilevel"/>
    <w:tmpl w:val="3E5CC9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56A231F"/>
    <w:multiLevelType w:val="hybridMultilevel"/>
    <w:tmpl w:val="42E8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210755">
    <w:abstractNumId w:val="8"/>
  </w:num>
  <w:num w:numId="2" w16cid:durableId="25956374">
    <w:abstractNumId w:val="1"/>
  </w:num>
  <w:num w:numId="3" w16cid:durableId="1289318625">
    <w:abstractNumId w:val="5"/>
  </w:num>
  <w:num w:numId="4" w16cid:durableId="1259488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6663789">
    <w:abstractNumId w:val="1"/>
  </w:num>
  <w:num w:numId="6" w16cid:durableId="459346595">
    <w:abstractNumId w:val="17"/>
  </w:num>
  <w:num w:numId="7" w16cid:durableId="1071582235">
    <w:abstractNumId w:val="6"/>
  </w:num>
  <w:num w:numId="8" w16cid:durableId="1658345080">
    <w:abstractNumId w:val="16"/>
  </w:num>
  <w:num w:numId="9" w16cid:durableId="2006743987">
    <w:abstractNumId w:val="10"/>
  </w:num>
  <w:num w:numId="10" w16cid:durableId="988291764">
    <w:abstractNumId w:val="15"/>
  </w:num>
  <w:num w:numId="11" w16cid:durableId="268859016">
    <w:abstractNumId w:val="11"/>
  </w:num>
  <w:num w:numId="12" w16cid:durableId="1244031670">
    <w:abstractNumId w:val="0"/>
  </w:num>
  <w:num w:numId="13" w16cid:durableId="1736968406">
    <w:abstractNumId w:val="3"/>
  </w:num>
  <w:num w:numId="14" w16cid:durableId="553348553">
    <w:abstractNumId w:val="18"/>
  </w:num>
  <w:num w:numId="15" w16cid:durableId="1256745277">
    <w:abstractNumId w:val="14"/>
  </w:num>
  <w:num w:numId="16" w16cid:durableId="1829401630">
    <w:abstractNumId w:val="4"/>
  </w:num>
  <w:num w:numId="17" w16cid:durableId="1136022586">
    <w:abstractNumId w:val="12"/>
  </w:num>
  <w:num w:numId="18" w16cid:durableId="224222630">
    <w:abstractNumId w:val="19"/>
  </w:num>
  <w:num w:numId="19" w16cid:durableId="1478953943">
    <w:abstractNumId w:val="20"/>
  </w:num>
  <w:num w:numId="20" w16cid:durableId="432358919">
    <w:abstractNumId w:val="13"/>
  </w:num>
  <w:num w:numId="21" w16cid:durableId="185214892">
    <w:abstractNumId w:val="9"/>
  </w:num>
  <w:num w:numId="22" w16cid:durableId="412314625">
    <w:abstractNumId w:val="7"/>
  </w:num>
  <w:num w:numId="23" w16cid:durableId="90514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3830"/>
    <w:rsid w:val="00003AE5"/>
    <w:rsid w:val="0000617B"/>
    <w:rsid w:val="00006D2B"/>
    <w:rsid w:val="00006E40"/>
    <w:rsid w:val="00007A17"/>
    <w:rsid w:val="00014C39"/>
    <w:rsid w:val="00016F78"/>
    <w:rsid w:val="000219F8"/>
    <w:rsid w:val="00021D6E"/>
    <w:rsid w:val="000242D6"/>
    <w:rsid w:val="00027CBE"/>
    <w:rsid w:val="00035DF5"/>
    <w:rsid w:val="00037881"/>
    <w:rsid w:val="00037924"/>
    <w:rsid w:val="00042B3F"/>
    <w:rsid w:val="000435D6"/>
    <w:rsid w:val="00043EDB"/>
    <w:rsid w:val="00046945"/>
    <w:rsid w:val="00057892"/>
    <w:rsid w:val="0006027E"/>
    <w:rsid w:val="0006175D"/>
    <w:rsid w:val="00061B2A"/>
    <w:rsid w:val="00064535"/>
    <w:rsid w:val="00067A7E"/>
    <w:rsid w:val="000769CD"/>
    <w:rsid w:val="00082362"/>
    <w:rsid w:val="00086493"/>
    <w:rsid w:val="000970F4"/>
    <w:rsid w:val="00097627"/>
    <w:rsid w:val="000A100F"/>
    <w:rsid w:val="000A11EA"/>
    <w:rsid w:val="000A683E"/>
    <w:rsid w:val="000A6D75"/>
    <w:rsid w:val="000A7361"/>
    <w:rsid w:val="000B19B9"/>
    <w:rsid w:val="000B2F1D"/>
    <w:rsid w:val="000B57F5"/>
    <w:rsid w:val="000C21EE"/>
    <w:rsid w:val="000C58CD"/>
    <w:rsid w:val="000D0334"/>
    <w:rsid w:val="000D180F"/>
    <w:rsid w:val="000D3A65"/>
    <w:rsid w:val="000D5DA7"/>
    <w:rsid w:val="000E7C38"/>
    <w:rsid w:val="000F6486"/>
    <w:rsid w:val="000F79D6"/>
    <w:rsid w:val="00110767"/>
    <w:rsid w:val="00111BE1"/>
    <w:rsid w:val="00114CCE"/>
    <w:rsid w:val="00116940"/>
    <w:rsid w:val="00125105"/>
    <w:rsid w:val="00126B92"/>
    <w:rsid w:val="00127233"/>
    <w:rsid w:val="00130706"/>
    <w:rsid w:val="00133EDB"/>
    <w:rsid w:val="00134EFE"/>
    <w:rsid w:val="001357B2"/>
    <w:rsid w:val="00136941"/>
    <w:rsid w:val="00143629"/>
    <w:rsid w:val="001465A1"/>
    <w:rsid w:val="00153073"/>
    <w:rsid w:val="0015699B"/>
    <w:rsid w:val="00167520"/>
    <w:rsid w:val="00176619"/>
    <w:rsid w:val="00177A37"/>
    <w:rsid w:val="00190C21"/>
    <w:rsid w:val="0019318E"/>
    <w:rsid w:val="001A1137"/>
    <w:rsid w:val="001A33BF"/>
    <w:rsid w:val="001A5624"/>
    <w:rsid w:val="001B31E2"/>
    <w:rsid w:val="001B3639"/>
    <w:rsid w:val="001C0E89"/>
    <w:rsid w:val="001C2B60"/>
    <w:rsid w:val="001C3A38"/>
    <w:rsid w:val="001D099A"/>
    <w:rsid w:val="001D0B34"/>
    <w:rsid w:val="001D17BD"/>
    <w:rsid w:val="001D2619"/>
    <w:rsid w:val="001D5DC3"/>
    <w:rsid w:val="001E1465"/>
    <w:rsid w:val="001E4177"/>
    <w:rsid w:val="001E660C"/>
    <w:rsid w:val="001F0B24"/>
    <w:rsid w:val="001F2E9B"/>
    <w:rsid w:val="001F7DC6"/>
    <w:rsid w:val="00211A60"/>
    <w:rsid w:val="002144A8"/>
    <w:rsid w:val="00220B18"/>
    <w:rsid w:val="002231F4"/>
    <w:rsid w:val="0022400B"/>
    <w:rsid w:val="00230B92"/>
    <w:rsid w:val="00231042"/>
    <w:rsid w:val="00231DD0"/>
    <w:rsid w:val="0023648A"/>
    <w:rsid w:val="002411CD"/>
    <w:rsid w:val="002421BB"/>
    <w:rsid w:val="002461F8"/>
    <w:rsid w:val="00247501"/>
    <w:rsid w:val="00254872"/>
    <w:rsid w:val="002548C3"/>
    <w:rsid w:val="00256D35"/>
    <w:rsid w:val="0025796E"/>
    <w:rsid w:val="00260079"/>
    <w:rsid w:val="002618A0"/>
    <w:rsid w:val="002701A2"/>
    <w:rsid w:val="002707A2"/>
    <w:rsid w:val="00280D75"/>
    <w:rsid w:val="002830A1"/>
    <w:rsid w:val="00284868"/>
    <w:rsid w:val="002951A0"/>
    <w:rsid w:val="002962BC"/>
    <w:rsid w:val="002979EB"/>
    <w:rsid w:val="002A093D"/>
    <w:rsid w:val="002A0DD0"/>
    <w:rsid w:val="002A352B"/>
    <w:rsid w:val="002A49AC"/>
    <w:rsid w:val="002A64FD"/>
    <w:rsid w:val="002B1EF4"/>
    <w:rsid w:val="002B72B5"/>
    <w:rsid w:val="002B730F"/>
    <w:rsid w:val="002C5409"/>
    <w:rsid w:val="002C7A84"/>
    <w:rsid w:val="002D099A"/>
    <w:rsid w:val="002D14E0"/>
    <w:rsid w:val="002D2132"/>
    <w:rsid w:val="002D40BA"/>
    <w:rsid w:val="002D4CED"/>
    <w:rsid w:val="002D53B2"/>
    <w:rsid w:val="002E2BF8"/>
    <w:rsid w:val="002E4E58"/>
    <w:rsid w:val="002E4FD9"/>
    <w:rsid w:val="002E6104"/>
    <w:rsid w:val="002F0EA0"/>
    <w:rsid w:val="002F4390"/>
    <w:rsid w:val="002F4750"/>
    <w:rsid w:val="002F6A6D"/>
    <w:rsid w:val="002F7624"/>
    <w:rsid w:val="00302BC2"/>
    <w:rsid w:val="0030657A"/>
    <w:rsid w:val="00310426"/>
    <w:rsid w:val="003111DE"/>
    <w:rsid w:val="0031251C"/>
    <w:rsid w:val="00316E2E"/>
    <w:rsid w:val="00322A85"/>
    <w:rsid w:val="00324168"/>
    <w:rsid w:val="00330834"/>
    <w:rsid w:val="00330C3F"/>
    <w:rsid w:val="00331E14"/>
    <w:rsid w:val="00333E3E"/>
    <w:rsid w:val="00344313"/>
    <w:rsid w:val="003448F4"/>
    <w:rsid w:val="003456AE"/>
    <w:rsid w:val="00345791"/>
    <w:rsid w:val="003501F2"/>
    <w:rsid w:val="003504CF"/>
    <w:rsid w:val="003525F4"/>
    <w:rsid w:val="0035452E"/>
    <w:rsid w:val="003561D8"/>
    <w:rsid w:val="00362FC7"/>
    <w:rsid w:val="003649F5"/>
    <w:rsid w:val="00366C9A"/>
    <w:rsid w:val="00367CBB"/>
    <w:rsid w:val="0037015E"/>
    <w:rsid w:val="0037065D"/>
    <w:rsid w:val="00374F5E"/>
    <w:rsid w:val="00377B53"/>
    <w:rsid w:val="00377E3E"/>
    <w:rsid w:val="00381DA0"/>
    <w:rsid w:val="003829C1"/>
    <w:rsid w:val="00386C3D"/>
    <w:rsid w:val="003907AC"/>
    <w:rsid w:val="00397E8F"/>
    <w:rsid w:val="003A779E"/>
    <w:rsid w:val="003B1377"/>
    <w:rsid w:val="003B7B1C"/>
    <w:rsid w:val="003C04F0"/>
    <w:rsid w:val="003D0F4D"/>
    <w:rsid w:val="003D394E"/>
    <w:rsid w:val="003D5B0D"/>
    <w:rsid w:val="003D6FB6"/>
    <w:rsid w:val="003E0499"/>
    <w:rsid w:val="003E1AFE"/>
    <w:rsid w:val="003E348A"/>
    <w:rsid w:val="003E4F80"/>
    <w:rsid w:val="003E5895"/>
    <w:rsid w:val="003E6439"/>
    <w:rsid w:val="003E7C68"/>
    <w:rsid w:val="003F3941"/>
    <w:rsid w:val="003F5C29"/>
    <w:rsid w:val="003F70B9"/>
    <w:rsid w:val="00406575"/>
    <w:rsid w:val="00414C74"/>
    <w:rsid w:val="00415922"/>
    <w:rsid w:val="00420D96"/>
    <w:rsid w:val="0042722E"/>
    <w:rsid w:val="00441434"/>
    <w:rsid w:val="004427A2"/>
    <w:rsid w:val="0044528D"/>
    <w:rsid w:val="00451217"/>
    <w:rsid w:val="004577CF"/>
    <w:rsid w:val="00466E39"/>
    <w:rsid w:val="00477089"/>
    <w:rsid w:val="004801AD"/>
    <w:rsid w:val="00482B83"/>
    <w:rsid w:val="004874F3"/>
    <w:rsid w:val="0049135E"/>
    <w:rsid w:val="00491A5F"/>
    <w:rsid w:val="00493A16"/>
    <w:rsid w:val="004976CB"/>
    <w:rsid w:val="004A00ED"/>
    <w:rsid w:val="004A1847"/>
    <w:rsid w:val="004A305D"/>
    <w:rsid w:val="004A5BA3"/>
    <w:rsid w:val="004B4E88"/>
    <w:rsid w:val="004C15F5"/>
    <w:rsid w:val="004C33E4"/>
    <w:rsid w:val="004C53B6"/>
    <w:rsid w:val="004D2033"/>
    <w:rsid w:val="004D2AC7"/>
    <w:rsid w:val="004D3CF2"/>
    <w:rsid w:val="004D4C41"/>
    <w:rsid w:val="004D62C6"/>
    <w:rsid w:val="004F0941"/>
    <w:rsid w:val="004F21C4"/>
    <w:rsid w:val="004F56FC"/>
    <w:rsid w:val="004F685F"/>
    <w:rsid w:val="00500525"/>
    <w:rsid w:val="00501ECC"/>
    <w:rsid w:val="00503FCD"/>
    <w:rsid w:val="00525F8B"/>
    <w:rsid w:val="00526B8C"/>
    <w:rsid w:val="005303B7"/>
    <w:rsid w:val="00530A1F"/>
    <w:rsid w:val="005311C2"/>
    <w:rsid w:val="00533EA5"/>
    <w:rsid w:val="00546668"/>
    <w:rsid w:val="00551FDB"/>
    <w:rsid w:val="005566E8"/>
    <w:rsid w:val="00556C25"/>
    <w:rsid w:val="005668C3"/>
    <w:rsid w:val="0057106A"/>
    <w:rsid w:val="0057135C"/>
    <w:rsid w:val="00574867"/>
    <w:rsid w:val="00577B37"/>
    <w:rsid w:val="00584115"/>
    <w:rsid w:val="005842C6"/>
    <w:rsid w:val="00584D6D"/>
    <w:rsid w:val="00585AD3"/>
    <w:rsid w:val="00586047"/>
    <w:rsid w:val="00591460"/>
    <w:rsid w:val="00596A2B"/>
    <w:rsid w:val="005A65E0"/>
    <w:rsid w:val="005A6DE8"/>
    <w:rsid w:val="005B7638"/>
    <w:rsid w:val="005C0ECF"/>
    <w:rsid w:val="005C3777"/>
    <w:rsid w:val="005C4E07"/>
    <w:rsid w:val="005C5CDC"/>
    <w:rsid w:val="005C5D6C"/>
    <w:rsid w:val="005D1D68"/>
    <w:rsid w:val="005D476C"/>
    <w:rsid w:val="005E2A02"/>
    <w:rsid w:val="005E7BB0"/>
    <w:rsid w:val="005F0096"/>
    <w:rsid w:val="005F0940"/>
    <w:rsid w:val="005F6102"/>
    <w:rsid w:val="006113F3"/>
    <w:rsid w:val="00611DDF"/>
    <w:rsid w:val="00615B67"/>
    <w:rsid w:val="006200BF"/>
    <w:rsid w:val="006219F8"/>
    <w:rsid w:val="0062506B"/>
    <w:rsid w:val="006302F7"/>
    <w:rsid w:val="0063042B"/>
    <w:rsid w:val="0063475B"/>
    <w:rsid w:val="00634A11"/>
    <w:rsid w:val="00636E50"/>
    <w:rsid w:val="00641E24"/>
    <w:rsid w:val="006420BD"/>
    <w:rsid w:val="00643D63"/>
    <w:rsid w:val="00646B9F"/>
    <w:rsid w:val="00650895"/>
    <w:rsid w:val="0066023F"/>
    <w:rsid w:val="00665D70"/>
    <w:rsid w:val="00671107"/>
    <w:rsid w:val="00671F59"/>
    <w:rsid w:val="006745D3"/>
    <w:rsid w:val="00674FF0"/>
    <w:rsid w:val="006827DE"/>
    <w:rsid w:val="00683CB6"/>
    <w:rsid w:val="006858B3"/>
    <w:rsid w:val="00687330"/>
    <w:rsid w:val="00687684"/>
    <w:rsid w:val="006900D9"/>
    <w:rsid w:val="0069331C"/>
    <w:rsid w:val="00694B36"/>
    <w:rsid w:val="006B7D20"/>
    <w:rsid w:val="006C456A"/>
    <w:rsid w:val="006D73AA"/>
    <w:rsid w:val="006E0CA4"/>
    <w:rsid w:val="006F0056"/>
    <w:rsid w:val="006F30F2"/>
    <w:rsid w:val="00701874"/>
    <w:rsid w:val="00706C16"/>
    <w:rsid w:val="00715EB5"/>
    <w:rsid w:val="007210EC"/>
    <w:rsid w:val="007262E5"/>
    <w:rsid w:val="007340C3"/>
    <w:rsid w:val="00736F2A"/>
    <w:rsid w:val="00743969"/>
    <w:rsid w:val="00745363"/>
    <w:rsid w:val="007475B9"/>
    <w:rsid w:val="0075235A"/>
    <w:rsid w:val="0075420C"/>
    <w:rsid w:val="00755C1C"/>
    <w:rsid w:val="00756841"/>
    <w:rsid w:val="00757BEE"/>
    <w:rsid w:val="0076175D"/>
    <w:rsid w:val="007647AA"/>
    <w:rsid w:val="007649AB"/>
    <w:rsid w:val="00771D0C"/>
    <w:rsid w:val="007756C8"/>
    <w:rsid w:val="00776F4C"/>
    <w:rsid w:val="007833AC"/>
    <w:rsid w:val="007A0030"/>
    <w:rsid w:val="007A1830"/>
    <w:rsid w:val="007B2382"/>
    <w:rsid w:val="007B268C"/>
    <w:rsid w:val="007B7171"/>
    <w:rsid w:val="007C0C0F"/>
    <w:rsid w:val="007C3DC2"/>
    <w:rsid w:val="007D3B78"/>
    <w:rsid w:val="007D5B3F"/>
    <w:rsid w:val="007E2A33"/>
    <w:rsid w:val="007E43EA"/>
    <w:rsid w:val="007E5497"/>
    <w:rsid w:val="007F3520"/>
    <w:rsid w:val="00803692"/>
    <w:rsid w:val="00806F5F"/>
    <w:rsid w:val="00820278"/>
    <w:rsid w:val="00824FE6"/>
    <w:rsid w:val="008258C9"/>
    <w:rsid w:val="00827B5E"/>
    <w:rsid w:val="0083378B"/>
    <w:rsid w:val="00840DEA"/>
    <w:rsid w:val="00844AE9"/>
    <w:rsid w:val="00861028"/>
    <w:rsid w:val="00867F95"/>
    <w:rsid w:val="008750DC"/>
    <w:rsid w:val="00877016"/>
    <w:rsid w:val="00881F1B"/>
    <w:rsid w:val="008843B6"/>
    <w:rsid w:val="00884521"/>
    <w:rsid w:val="00891928"/>
    <w:rsid w:val="008A0720"/>
    <w:rsid w:val="008A446D"/>
    <w:rsid w:val="008A4B06"/>
    <w:rsid w:val="008A548D"/>
    <w:rsid w:val="008A659C"/>
    <w:rsid w:val="008A7C4A"/>
    <w:rsid w:val="008B06F4"/>
    <w:rsid w:val="008B1BD7"/>
    <w:rsid w:val="008B25F1"/>
    <w:rsid w:val="008B4DB0"/>
    <w:rsid w:val="008B4FAD"/>
    <w:rsid w:val="008B7171"/>
    <w:rsid w:val="008B76C7"/>
    <w:rsid w:val="008D045D"/>
    <w:rsid w:val="008D180B"/>
    <w:rsid w:val="008D6CC2"/>
    <w:rsid w:val="008E2968"/>
    <w:rsid w:val="008E4521"/>
    <w:rsid w:val="008E7101"/>
    <w:rsid w:val="008F0EA7"/>
    <w:rsid w:val="008F1A09"/>
    <w:rsid w:val="008F3DCB"/>
    <w:rsid w:val="00905896"/>
    <w:rsid w:val="00907143"/>
    <w:rsid w:val="009227CE"/>
    <w:rsid w:val="00922C5D"/>
    <w:rsid w:val="00923EEF"/>
    <w:rsid w:val="00930032"/>
    <w:rsid w:val="00930322"/>
    <w:rsid w:val="009332ED"/>
    <w:rsid w:val="00940783"/>
    <w:rsid w:val="009410CA"/>
    <w:rsid w:val="009419F9"/>
    <w:rsid w:val="0094491A"/>
    <w:rsid w:val="009449A5"/>
    <w:rsid w:val="00952029"/>
    <w:rsid w:val="00954359"/>
    <w:rsid w:val="0095685E"/>
    <w:rsid w:val="00957C34"/>
    <w:rsid w:val="00960423"/>
    <w:rsid w:val="00961597"/>
    <w:rsid w:val="00961802"/>
    <w:rsid w:val="00961B09"/>
    <w:rsid w:val="00964C68"/>
    <w:rsid w:val="00965334"/>
    <w:rsid w:val="0097093E"/>
    <w:rsid w:val="009721AA"/>
    <w:rsid w:val="009748A0"/>
    <w:rsid w:val="00974C01"/>
    <w:rsid w:val="0098174A"/>
    <w:rsid w:val="009817A0"/>
    <w:rsid w:val="00984144"/>
    <w:rsid w:val="00986EDE"/>
    <w:rsid w:val="009877B5"/>
    <w:rsid w:val="00990E41"/>
    <w:rsid w:val="00991138"/>
    <w:rsid w:val="00994B81"/>
    <w:rsid w:val="009953D8"/>
    <w:rsid w:val="00995C18"/>
    <w:rsid w:val="00996C4E"/>
    <w:rsid w:val="009A0DFA"/>
    <w:rsid w:val="009A3571"/>
    <w:rsid w:val="009A74B4"/>
    <w:rsid w:val="009B2D26"/>
    <w:rsid w:val="009B406A"/>
    <w:rsid w:val="009B4089"/>
    <w:rsid w:val="009B5F84"/>
    <w:rsid w:val="009C5598"/>
    <w:rsid w:val="009C71FA"/>
    <w:rsid w:val="009C72E7"/>
    <w:rsid w:val="009C7F7E"/>
    <w:rsid w:val="009D3058"/>
    <w:rsid w:val="009E084A"/>
    <w:rsid w:val="009E2C1A"/>
    <w:rsid w:val="009E3670"/>
    <w:rsid w:val="009F3A13"/>
    <w:rsid w:val="009F451D"/>
    <w:rsid w:val="009F63B2"/>
    <w:rsid w:val="009F64DD"/>
    <w:rsid w:val="00A02303"/>
    <w:rsid w:val="00A0254B"/>
    <w:rsid w:val="00A11695"/>
    <w:rsid w:val="00A122D3"/>
    <w:rsid w:val="00A14468"/>
    <w:rsid w:val="00A17F13"/>
    <w:rsid w:val="00A20739"/>
    <w:rsid w:val="00A22FC4"/>
    <w:rsid w:val="00A23AF9"/>
    <w:rsid w:val="00A33C78"/>
    <w:rsid w:val="00A34F17"/>
    <w:rsid w:val="00A41AD1"/>
    <w:rsid w:val="00A43F2E"/>
    <w:rsid w:val="00A515E1"/>
    <w:rsid w:val="00A52377"/>
    <w:rsid w:val="00A53AD5"/>
    <w:rsid w:val="00A61FB5"/>
    <w:rsid w:val="00A71F85"/>
    <w:rsid w:val="00A77865"/>
    <w:rsid w:val="00A84311"/>
    <w:rsid w:val="00A86944"/>
    <w:rsid w:val="00A90074"/>
    <w:rsid w:val="00AA5BEA"/>
    <w:rsid w:val="00AB0ADB"/>
    <w:rsid w:val="00AC37DA"/>
    <w:rsid w:val="00AC78D9"/>
    <w:rsid w:val="00AE38A7"/>
    <w:rsid w:val="00AF0C9D"/>
    <w:rsid w:val="00AF51F8"/>
    <w:rsid w:val="00AF6EA1"/>
    <w:rsid w:val="00AF6F7D"/>
    <w:rsid w:val="00B0027A"/>
    <w:rsid w:val="00B00C0E"/>
    <w:rsid w:val="00B01B1A"/>
    <w:rsid w:val="00B11281"/>
    <w:rsid w:val="00B12959"/>
    <w:rsid w:val="00B14EE9"/>
    <w:rsid w:val="00B16B6B"/>
    <w:rsid w:val="00B24032"/>
    <w:rsid w:val="00B25927"/>
    <w:rsid w:val="00B30744"/>
    <w:rsid w:val="00B33644"/>
    <w:rsid w:val="00B36343"/>
    <w:rsid w:val="00B37658"/>
    <w:rsid w:val="00B37712"/>
    <w:rsid w:val="00B41411"/>
    <w:rsid w:val="00B41D7F"/>
    <w:rsid w:val="00B43CB7"/>
    <w:rsid w:val="00B44A47"/>
    <w:rsid w:val="00B50CF7"/>
    <w:rsid w:val="00B62E96"/>
    <w:rsid w:val="00B63408"/>
    <w:rsid w:val="00B66EBC"/>
    <w:rsid w:val="00B713CF"/>
    <w:rsid w:val="00B72609"/>
    <w:rsid w:val="00B72CD3"/>
    <w:rsid w:val="00B72EBA"/>
    <w:rsid w:val="00B72FFF"/>
    <w:rsid w:val="00B82DB0"/>
    <w:rsid w:val="00B84385"/>
    <w:rsid w:val="00B862FC"/>
    <w:rsid w:val="00B8696B"/>
    <w:rsid w:val="00B978EC"/>
    <w:rsid w:val="00BA67CD"/>
    <w:rsid w:val="00BB1741"/>
    <w:rsid w:val="00BB18EE"/>
    <w:rsid w:val="00BB3601"/>
    <w:rsid w:val="00BB388F"/>
    <w:rsid w:val="00BC0BB0"/>
    <w:rsid w:val="00BC205A"/>
    <w:rsid w:val="00BC396D"/>
    <w:rsid w:val="00BC3D36"/>
    <w:rsid w:val="00BD394D"/>
    <w:rsid w:val="00BD4FD7"/>
    <w:rsid w:val="00BD54A6"/>
    <w:rsid w:val="00BD7F72"/>
    <w:rsid w:val="00BF057E"/>
    <w:rsid w:val="00BF501D"/>
    <w:rsid w:val="00BF66D6"/>
    <w:rsid w:val="00BF7425"/>
    <w:rsid w:val="00C012D9"/>
    <w:rsid w:val="00C04FB3"/>
    <w:rsid w:val="00C07B02"/>
    <w:rsid w:val="00C11D8B"/>
    <w:rsid w:val="00C120B0"/>
    <w:rsid w:val="00C12AB6"/>
    <w:rsid w:val="00C13FE1"/>
    <w:rsid w:val="00C144C1"/>
    <w:rsid w:val="00C330EB"/>
    <w:rsid w:val="00C33F59"/>
    <w:rsid w:val="00C35B5A"/>
    <w:rsid w:val="00C44263"/>
    <w:rsid w:val="00C50D69"/>
    <w:rsid w:val="00C5365C"/>
    <w:rsid w:val="00C67948"/>
    <w:rsid w:val="00C7039F"/>
    <w:rsid w:val="00C74C2D"/>
    <w:rsid w:val="00C754BE"/>
    <w:rsid w:val="00C76B1C"/>
    <w:rsid w:val="00C80329"/>
    <w:rsid w:val="00C85429"/>
    <w:rsid w:val="00C863EF"/>
    <w:rsid w:val="00C925AC"/>
    <w:rsid w:val="00C97DA4"/>
    <w:rsid w:val="00CA77E0"/>
    <w:rsid w:val="00CB2116"/>
    <w:rsid w:val="00CB5735"/>
    <w:rsid w:val="00CB6357"/>
    <w:rsid w:val="00CC0DE1"/>
    <w:rsid w:val="00CC141E"/>
    <w:rsid w:val="00CC1B26"/>
    <w:rsid w:val="00CC29EC"/>
    <w:rsid w:val="00CC69A1"/>
    <w:rsid w:val="00CE0B8E"/>
    <w:rsid w:val="00CE5539"/>
    <w:rsid w:val="00CF525F"/>
    <w:rsid w:val="00CF5C95"/>
    <w:rsid w:val="00CF766D"/>
    <w:rsid w:val="00D05D9B"/>
    <w:rsid w:val="00D2021B"/>
    <w:rsid w:val="00D24268"/>
    <w:rsid w:val="00D25374"/>
    <w:rsid w:val="00D30E31"/>
    <w:rsid w:val="00D361FD"/>
    <w:rsid w:val="00D4205D"/>
    <w:rsid w:val="00D423A2"/>
    <w:rsid w:val="00D44E26"/>
    <w:rsid w:val="00D46805"/>
    <w:rsid w:val="00D50DDB"/>
    <w:rsid w:val="00D520D8"/>
    <w:rsid w:val="00D532F2"/>
    <w:rsid w:val="00D60251"/>
    <w:rsid w:val="00D62B39"/>
    <w:rsid w:val="00D63AC2"/>
    <w:rsid w:val="00D65500"/>
    <w:rsid w:val="00D72F7D"/>
    <w:rsid w:val="00D7383B"/>
    <w:rsid w:val="00D74B86"/>
    <w:rsid w:val="00D7788A"/>
    <w:rsid w:val="00D77ED5"/>
    <w:rsid w:val="00D80B28"/>
    <w:rsid w:val="00D81802"/>
    <w:rsid w:val="00D85536"/>
    <w:rsid w:val="00D85BC1"/>
    <w:rsid w:val="00D85FA5"/>
    <w:rsid w:val="00D9363F"/>
    <w:rsid w:val="00DA231B"/>
    <w:rsid w:val="00DA3670"/>
    <w:rsid w:val="00DA39D1"/>
    <w:rsid w:val="00DB0EE9"/>
    <w:rsid w:val="00DB1224"/>
    <w:rsid w:val="00DB442D"/>
    <w:rsid w:val="00DC39FC"/>
    <w:rsid w:val="00DC41A5"/>
    <w:rsid w:val="00DC4E14"/>
    <w:rsid w:val="00DC7CFE"/>
    <w:rsid w:val="00DE02B8"/>
    <w:rsid w:val="00DE2BFD"/>
    <w:rsid w:val="00DF2A39"/>
    <w:rsid w:val="00DF4037"/>
    <w:rsid w:val="00DF5254"/>
    <w:rsid w:val="00DF7ADF"/>
    <w:rsid w:val="00E02524"/>
    <w:rsid w:val="00E1311D"/>
    <w:rsid w:val="00E14211"/>
    <w:rsid w:val="00E16408"/>
    <w:rsid w:val="00E20111"/>
    <w:rsid w:val="00E20894"/>
    <w:rsid w:val="00E23620"/>
    <w:rsid w:val="00E245AB"/>
    <w:rsid w:val="00E2764C"/>
    <w:rsid w:val="00E27F2E"/>
    <w:rsid w:val="00E4305B"/>
    <w:rsid w:val="00E50AFE"/>
    <w:rsid w:val="00E5598B"/>
    <w:rsid w:val="00E575FA"/>
    <w:rsid w:val="00E63642"/>
    <w:rsid w:val="00E71F7E"/>
    <w:rsid w:val="00E75C92"/>
    <w:rsid w:val="00E771DC"/>
    <w:rsid w:val="00E81A32"/>
    <w:rsid w:val="00E825E0"/>
    <w:rsid w:val="00E8772A"/>
    <w:rsid w:val="00E906BC"/>
    <w:rsid w:val="00E90F6B"/>
    <w:rsid w:val="00E92924"/>
    <w:rsid w:val="00E92C27"/>
    <w:rsid w:val="00E9727A"/>
    <w:rsid w:val="00EA0E3D"/>
    <w:rsid w:val="00EA2550"/>
    <w:rsid w:val="00EA4556"/>
    <w:rsid w:val="00EB5954"/>
    <w:rsid w:val="00EB73B1"/>
    <w:rsid w:val="00EC38A7"/>
    <w:rsid w:val="00EC4254"/>
    <w:rsid w:val="00EE1AA8"/>
    <w:rsid w:val="00EF46BF"/>
    <w:rsid w:val="00F03ABE"/>
    <w:rsid w:val="00F05FAC"/>
    <w:rsid w:val="00F07C03"/>
    <w:rsid w:val="00F07D57"/>
    <w:rsid w:val="00F10C8B"/>
    <w:rsid w:val="00F11799"/>
    <w:rsid w:val="00F2080B"/>
    <w:rsid w:val="00F22075"/>
    <w:rsid w:val="00F223F4"/>
    <w:rsid w:val="00F23FEA"/>
    <w:rsid w:val="00F268D5"/>
    <w:rsid w:val="00F27984"/>
    <w:rsid w:val="00F27B7B"/>
    <w:rsid w:val="00F309E3"/>
    <w:rsid w:val="00F31EDC"/>
    <w:rsid w:val="00F334DE"/>
    <w:rsid w:val="00F37F82"/>
    <w:rsid w:val="00F456B5"/>
    <w:rsid w:val="00F462B3"/>
    <w:rsid w:val="00F54E0C"/>
    <w:rsid w:val="00F5664F"/>
    <w:rsid w:val="00F62A93"/>
    <w:rsid w:val="00F666C4"/>
    <w:rsid w:val="00F66EA1"/>
    <w:rsid w:val="00F76AFC"/>
    <w:rsid w:val="00F810E6"/>
    <w:rsid w:val="00F838A3"/>
    <w:rsid w:val="00F8569A"/>
    <w:rsid w:val="00F93BFD"/>
    <w:rsid w:val="00F93D51"/>
    <w:rsid w:val="00F94804"/>
    <w:rsid w:val="00F94B69"/>
    <w:rsid w:val="00FA47C0"/>
    <w:rsid w:val="00FA7612"/>
    <w:rsid w:val="00FA782A"/>
    <w:rsid w:val="00FB0D7C"/>
    <w:rsid w:val="00FB5DD1"/>
    <w:rsid w:val="00FC2B5D"/>
    <w:rsid w:val="00FC7855"/>
    <w:rsid w:val="00FD0452"/>
    <w:rsid w:val="00FD6628"/>
    <w:rsid w:val="00FE2BFE"/>
    <w:rsid w:val="00FE638A"/>
    <w:rsid w:val="00FF0E61"/>
    <w:rsid w:val="00FF1449"/>
    <w:rsid w:val="00FF38A4"/>
    <w:rsid w:val="00FF3A70"/>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16093D12-AA21-47C6-95C4-238370BB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0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504CF"/>
    <w:rPr>
      <w:rFonts w:ascii="Geomanist Light" w:hAnsi="Geomanist Light"/>
      <w:lang w:val="es-ES"/>
    </w:rPr>
  </w:style>
  <w:style w:type="character" w:styleId="Fuerte">
    <w:name w:val="Strong"/>
    <w:basedOn w:val="Fuentedeprrafopredeter"/>
    <w:uiPriority w:val="22"/>
    <w:qFormat/>
    <w:rsid w:val="003E348A"/>
    <w:rPr>
      <w:b/>
      <w:bCs/>
    </w:rPr>
  </w:style>
  <w:style w:type="character" w:customStyle="1" w:styleId="NormalWebCar">
    <w:name w:val="Normal (Web) Car"/>
    <w:link w:val="NormalWeb"/>
    <w:uiPriority w:val="99"/>
    <w:locked/>
    <w:rsid w:val="003E348A"/>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99"/>
    <w:unhideWhenUsed/>
    <w:rsid w:val="0083378B"/>
    <w:pPr>
      <w:spacing w:after="120"/>
    </w:pPr>
  </w:style>
  <w:style w:type="character" w:customStyle="1" w:styleId="TextoindependienteCar">
    <w:name w:val="Texto independiente Car"/>
    <w:basedOn w:val="Fuentedeprrafopredeter"/>
    <w:link w:val="Textoindependiente"/>
    <w:uiPriority w:val="99"/>
    <w:rsid w:val="0083378B"/>
  </w:style>
  <w:style w:type="character" w:styleId="Mencinsinresolver">
    <w:name w:val="Unresolved Mention"/>
    <w:basedOn w:val="Fuentedeprrafopredeter"/>
    <w:uiPriority w:val="99"/>
    <w:semiHidden/>
    <w:unhideWhenUsed/>
    <w:rsid w:val="00362FC7"/>
    <w:rPr>
      <w:color w:val="605E5C"/>
      <w:shd w:val="clear" w:color="auto" w:fill="E1DFDD"/>
    </w:rPr>
  </w:style>
  <w:style w:type="character" w:styleId="Refdecomentario">
    <w:name w:val="annotation reference"/>
    <w:basedOn w:val="Fuentedeprrafopredeter"/>
    <w:uiPriority w:val="99"/>
    <w:semiHidden/>
    <w:unhideWhenUsed/>
    <w:rsid w:val="00366C9A"/>
    <w:rPr>
      <w:sz w:val="16"/>
      <w:szCs w:val="16"/>
    </w:rPr>
  </w:style>
  <w:style w:type="paragraph" w:styleId="Textocomentario">
    <w:name w:val="annotation text"/>
    <w:basedOn w:val="Normal"/>
    <w:link w:val="TextocomentarioCar"/>
    <w:uiPriority w:val="99"/>
    <w:unhideWhenUsed/>
    <w:rsid w:val="00366C9A"/>
    <w:pPr>
      <w:spacing w:line="240" w:lineRule="auto"/>
    </w:pPr>
    <w:rPr>
      <w:sz w:val="20"/>
      <w:szCs w:val="20"/>
    </w:rPr>
  </w:style>
  <w:style w:type="character" w:customStyle="1" w:styleId="TextocomentarioCar">
    <w:name w:val="Texto comentario Car"/>
    <w:basedOn w:val="Fuentedeprrafopredeter"/>
    <w:link w:val="Textocomentario"/>
    <w:uiPriority w:val="99"/>
    <w:rsid w:val="00366C9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enifer.prieto@uptc.edu.co"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evistas.javeriana.edu.co/files-articulos/VJ/139%20(2019-II)/8256214800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6182A7-6CD5-409D-A1D3-A9C9309E627F}">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5823415F-28E9-4827-B835-09C6313D3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14557</Words>
  <Characters>80068</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2026-06-23T14:16:00Z</dcterms:created>
  <dcterms:modified xsi:type="dcterms:W3CDTF">2026-06-23T15:45:00Z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