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76A0C" w:rsidR="00176A0C" w:rsidP="00176A0C" w:rsidRDefault="00176A0C" w14:paraId="0C85C55A" w14:textId="77777777">
      <w:pPr>
        <w:spacing w:after="0" w:line="240" w:lineRule="auto"/>
        <w:jc w:val="both"/>
        <w:rPr>
          <w:rFonts w:ascii="Verdana" w:hAnsi="Verdana" w:eastAsia="Aptos" w:cs="Arial"/>
          <w:b/>
          <w:bCs/>
          <w:color w:val="000000"/>
        </w:rPr>
      </w:pPr>
      <w:bookmarkStart w:name="_Hlk214366482" w:id="0"/>
      <w:bookmarkStart w:name="_Hlk143780582" w:id="1"/>
      <w:r w:rsidRPr="00176A0C">
        <w:rPr>
          <w:rFonts w:ascii="Verdana" w:hAnsi="Verdana" w:eastAsia="Aptos" w:cs="Arial"/>
          <w:b/>
          <w:bCs/>
          <w:color w:val="000000"/>
        </w:rPr>
        <w:t xml:space="preserve">LEY DE GARANTÍAS ELECTORALES – Propósito </w:t>
      </w:r>
    </w:p>
    <w:p w:rsidRPr="00176A0C" w:rsidR="00176A0C" w:rsidP="00176A0C" w:rsidRDefault="00176A0C" w14:paraId="02F0BFAD" w14:textId="77777777">
      <w:pPr>
        <w:spacing w:after="0" w:line="240" w:lineRule="auto"/>
        <w:jc w:val="both"/>
        <w:rPr>
          <w:rFonts w:ascii="Verdana" w:hAnsi="Verdana" w:eastAsia="Aptos" w:cs="Arial"/>
          <w:b/>
          <w:bCs/>
          <w:color w:val="000000"/>
        </w:rPr>
      </w:pPr>
    </w:p>
    <w:p w:rsidRPr="00176A0C" w:rsidR="00176A0C" w:rsidP="00176A0C" w:rsidRDefault="00176A0C" w14:paraId="68F6093E" w14:textId="77777777">
      <w:pPr>
        <w:tabs>
          <w:tab w:val="left" w:pos="426"/>
        </w:tabs>
        <w:spacing w:after="0" w:line="240" w:lineRule="auto"/>
        <w:jc w:val="both"/>
        <w:rPr>
          <w:rFonts w:ascii="Verdana" w:hAnsi="Verdana" w:eastAsia="Calibri" w:cs="Arial"/>
          <w:noProof/>
          <w:sz w:val="20"/>
          <w:szCs w:val="20"/>
          <w:lang w:val="es-ES_tradnl"/>
        </w:rPr>
      </w:pPr>
      <w:r w:rsidRPr="00176A0C">
        <w:rPr>
          <w:rFonts w:ascii="Verdana" w:hAnsi="Verdana" w:eastAsia="Aptos" w:cs="Arial"/>
          <w:color w:val="000000"/>
          <w:sz w:val="20"/>
          <w:szCs w:val="20"/>
        </w:rPr>
        <w:t xml:space="preserve">[…] </w:t>
      </w:r>
      <w:r w:rsidRPr="00176A0C">
        <w:rPr>
          <w:rFonts w:ascii="Verdana" w:hAnsi="Verdana" w:eastAsia="Times New Roman" w:cs="Arial"/>
          <w:sz w:val="20"/>
          <w:szCs w:val="20"/>
          <w:lang w:eastAsia="es-CO"/>
        </w:rPr>
        <w:t>la Ley 996 de 2005 […] tiene como propósito evitar cualquier tipo de arbitrariedad, de ventaja injustificada, de uso irregular de los recursos del Estado en las campañas o falta de garantías en la elección presidencial. En esta medida, introduce limitaciones para realizar nombramientos, postulaciones, contrataciones o cualquier otro tipo de actividad que implique destinación de recursos públicos bajo el devenir propio de las entidades estatales.</w:t>
      </w:r>
      <w:r w:rsidRPr="00176A0C">
        <w:rPr>
          <w:rFonts w:ascii="Verdana" w:hAnsi="Verdana" w:eastAsia="Calibri" w:cs="Arial"/>
          <w:noProof/>
          <w:sz w:val="20"/>
          <w:szCs w:val="20"/>
          <w:lang w:val="es-ES_tradnl"/>
        </w:rPr>
        <w:t xml:space="preserve"> </w:t>
      </w:r>
    </w:p>
    <w:p w:rsidRPr="00176A0C" w:rsidR="00176A0C" w:rsidP="00176A0C" w:rsidRDefault="00176A0C" w14:paraId="41CD6E9C" w14:textId="77777777">
      <w:pPr>
        <w:spacing w:after="0" w:line="240" w:lineRule="auto"/>
        <w:jc w:val="both"/>
        <w:rPr>
          <w:rFonts w:ascii="Verdana" w:hAnsi="Verdana" w:eastAsia="Aptos" w:cs="Arial"/>
          <w:b/>
          <w:bCs/>
          <w:color w:val="000000"/>
          <w:lang w:val="es-ES_tradnl"/>
        </w:rPr>
      </w:pPr>
    </w:p>
    <w:p w:rsidRPr="00176A0C" w:rsidR="00176A0C" w:rsidP="00176A0C" w:rsidRDefault="00176A0C" w14:paraId="01193469" w14:textId="77777777">
      <w:pPr>
        <w:spacing w:after="0" w:line="240" w:lineRule="auto"/>
        <w:jc w:val="both"/>
        <w:rPr>
          <w:rFonts w:ascii="Verdana" w:hAnsi="Verdana" w:eastAsia="Aptos" w:cs="Arial"/>
          <w:b/>
          <w:bCs/>
          <w:color w:val="000000"/>
        </w:rPr>
      </w:pPr>
      <w:r w:rsidRPr="00176A0C">
        <w:rPr>
          <w:rFonts w:ascii="Verdana" w:hAnsi="Verdana" w:eastAsia="Aptos" w:cs="Arial"/>
          <w:b/>
          <w:bCs/>
          <w:color w:val="000000"/>
        </w:rPr>
        <w:t xml:space="preserve">LEY DE GARANTÍAS ELECTORALES – Prohibiciones – Restricciones </w:t>
      </w:r>
    </w:p>
    <w:p w:rsidRPr="00176A0C" w:rsidR="00176A0C" w:rsidP="00176A0C" w:rsidRDefault="00176A0C" w14:paraId="3EFC5C8A" w14:textId="77777777">
      <w:pPr>
        <w:spacing w:after="0" w:line="240" w:lineRule="auto"/>
        <w:jc w:val="both"/>
        <w:rPr>
          <w:rFonts w:ascii="Verdana" w:hAnsi="Verdana" w:eastAsia="Aptos" w:cs="Arial"/>
          <w:color w:val="000000"/>
        </w:rPr>
      </w:pPr>
    </w:p>
    <w:p w:rsidRPr="00176A0C" w:rsidR="00176A0C" w:rsidP="00176A0C" w:rsidRDefault="00176A0C" w14:paraId="7276DD0B" w14:textId="77777777">
      <w:pPr>
        <w:spacing w:after="0" w:line="240" w:lineRule="auto"/>
        <w:jc w:val="both"/>
        <w:rPr>
          <w:rFonts w:ascii="Verdana" w:hAnsi="Verdana" w:eastAsia="Arial" w:cs="Arial"/>
          <w:sz w:val="20"/>
          <w:szCs w:val="20"/>
          <w:lang w:val="es-ES" w:eastAsia="es-ES" w:bidi="es-ES"/>
        </w:rPr>
      </w:pPr>
      <w:r w:rsidRPr="00176A0C">
        <w:rPr>
          <w:rFonts w:ascii="Verdana" w:hAnsi="Verdana" w:eastAsia="Arial" w:cs="Arial"/>
          <w:sz w:val="20"/>
          <w:szCs w:val="20"/>
          <w:lang w:val="es-ES" w:eastAsia="es-ES" w:bidi="es-ES"/>
        </w:rPr>
        <w:t>la Ley de Garantías Electorales fijó una serie de regulaciones y prohibiciones dirigidas a los servidores públicos. Así,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w:t>
      </w:r>
    </w:p>
    <w:p w:rsidRPr="00176A0C" w:rsidR="00176A0C" w:rsidP="00176A0C" w:rsidRDefault="00176A0C" w14:paraId="550ADC2A" w14:textId="77777777">
      <w:pPr>
        <w:spacing w:after="0" w:line="240" w:lineRule="auto"/>
        <w:jc w:val="both"/>
        <w:rPr>
          <w:rFonts w:ascii="Verdana" w:hAnsi="Verdana" w:eastAsia="Arial" w:cs="Arial"/>
          <w:sz w:val="20"/>
          <w:szCs w:val="20"/>
          <w:lang w:val="es-ES" w:eastAsia="es-ES" w:bidi="es-ES"/>
        </w:rPr>
      </w:pPr>
    </w:p>
    <w:p w:rsidRPr="00176A0C" w:rsidR="00176A0C" w:rsidP="00176A0C" w:rsidRDefault="00176A0C" w14:paraId="1CAD2A20" w14:textId="77777777">
      <w:pPr>
        <w:spacing w:after="0" w:line="240" w:lineRule="auto"/>
        <w:jc w:val="both"/>
        <w:rPr>
          <w:rFonts w:ascii="Verdana" w:hAnsi="Verdana" w:eastAsia="Aptos" w:cs="Arial"/>
          <w:b/>
          <w:bCs/>
          <w:color w:val="000000"/>
        </w:rPr>
      </w:pPr>
      <w:r w:rsidRPr="00176A0C">
        <w:rPr>
          <w:rFonts w:ascii="Verdana" w:hAnsi="Verdana" w:eastAsia="Aptos" w:cs="Arial"/>
          <w:b/>
          <w:bCs/>
          <w:color w:val="000000"/>
        </w:rPr>
        <w:t xml:space="preserve">LEY DE GARANTÍAS ELECTORALES – Artículo 33 – Ámbito material </w:t>
      </w:r>
    </w:p>
    <w:p w:rsidRPr="00176A0C" w:rsidR="00176A0C" w:rsidP="00176A0C" w:rsidRDefault="00176A0C" w14:paraId="3A35D28F" w14:textId="77777777">
      <w:pPr>
        <w:spacing w:after="0" w:line="240" w:lineRule="auto"/>
        <w:jc w:val="both"/>
        <w:rPr>
          <w:rFonts w:ascii="Verdana" w:hAnsi="Verdana" w:eastAsia="Aptos" w:cs="Arial"/>
          <w:color w:val="000000"/>
        </w:rPr>
      </w:pPr>
    </w:p>
    <w:p w:rsidRPr="00176A0C" w:rsidR="00176A0C" w:rsidP="00176A0C" w:rsidRDefault="00176A0C" w14:paraId="3DDB95FC" w14:textId="77777777">
      <w:pPr>
        <w:spacing w:after="0" w:line="240" w:lineRule="auto"/>
        <w:jc w:val="both"/>
        <w:rPr>
          <w:rFonts w:ascii="Verdana" w:hAnsi="Verdana" w:eastAsia="Aptos" w:cs="Arial"/>
          <w:sz w:val="20"/>
          <w:szCs w:val="20"/>
          <w:lang w:eastAsia="x-none"/>
        </w:rPr>
      </w:pPr>
      <w:r w:rsidRPr="00176A0C">
        <w:rPr>
          <w:rFonts w:ascii="Verdana" w:hAnsi="Verdana" w:eastAsia="Aptos" w:cs="Arial"/>
          <w:bCs/>
          <w:sz w:val="20"/>
          <w:szCs w:val="20"/>
          <w:lang w:eastAsia="x-none"/>
        </w:rPr>
        <w:t xml:space="preserve">El ámbito material de la prohibición contenida en el artículo 33 de la ley 996 de 2005 está delimitado por la expresión </w:t>
      </w:r>
      <w:r w:rsidRPr="00176A0C">
        <w:rPr>
          <w:rFonts w:ascii="Verdana" w:hAnsi="Verdana" w:eastAsia="Calibri" w:cs="Arial"/>
          <w:bCs/>
          <w:i/>
          <w:iCs/>
          <w:sz w:val="20"/>
          <w:szCs w:val="20"/>
        </w:rPr>
        <w:t>“</w:t>
      </w:r>
      <w:r w:rsidRPr="00176A0C">
        <w:rPr>
          <w:rFonts w:ascii="Verdana" w:hAnsi="Verdana" w:eastAsia="Aptos" w:cs="Arial"/>
          <w:bCs/>
          <w:i/>
          <w:iCs/>
          <w:sz w:val="20"/>
          <w:szCs w:val="20"/>
          <w:lang w:eastAsia="x-none"/>
        </w:rPr>
        <w:t>queda prohibida la contratación directa</w:t>
      </w:r>
      <w:r w:rsidRPr="00176A0C">
        <w:rPr>
          <w:rFonts w:ascii="Verdana" w:hAnsi="Verdana" w:eastAsia="Aptos" w:cs="Arial"/>
          <w:sz w:val="20"/>
          <w:szCs w:val="20"/>
        </w:rPr>
        <w:t>”</w:t>
      </w:r>
      <w:r w:rsidRPr="00176A0C">
        <w:rPr>
          <w:rFonts w:ascii="Verdana" w:hAnsi="Verdana" w:eastAsia="Aptos" w:cs="Arial"/>
          <w:bCs/>
          <w:sz w:val="20"/>
          <w:szCs w:val="20"/>
          <w:lang w:eastAsia="x-none"/>
        </w:rPr>
        <w:t xml:space="preserve">. […] </w:t>
      </w:r>
      <w:r w:rsidRPr="00176A0C">
        <w:rPr>
          <w:rFonts w:ascii="Verdana" w:hAnsi="Verdana" w:eastAsia="Aptos" w:cs="Arial"/>
          <w:sz w:val="20"/>
          <w:szCs w:val="20"/>
          <w:lang w:eastAsia="x-none"/>
        </w:rPr>
        <w:t xml:space="preserve">De acuerdo con el citado concepto, la prohibición del artículo 33 de la Ley de Garantías Electorales se refiere a </w:t>
      </w:r>
      <w:r w:rsidRPr="00176A0C">
        <w:rPr>
          <w:rFonts w:ascii="Verdana" w:hAnsi="Verdana" w:eastAsia="Aptos" w:cs="Arial"/>
          <w:sz w:val="20"/>
          <w:szCs w:val="20"/>
          <w:lang w:eastAsia="en-GB"/>
        </w:rPr>
        <w:t>“</w:t>
      </w:r>
      <w:r w:rsidRPr="00176A0C">
        <w:rPr>
          <w:rFonts w:ascii="Verdana" w:hAnsi="Verdana" w:eastAsia="Aptos" w:cs="Arial"/>
          <w:sz w:val="20"/>
          <w:szCs w:val="20"/>
          <w:lang w:eastAsia="x-none"/>
        </w:rPr>
        <w:t>cualquier sistema que no implique convocatoria pública y posibilidad de pluralidad de oferentes</w:t>
      </w:r>
      <w:r w:rsidRPr="00176A0C">
        <w:rPr>
          <w:rFonts w:ascii="Verdana" w:hAnsi="Verdana" w:eastAsia="Aptos" w:cs="Arial"/>
          <w:sz w:val="20"/>
          <w:szCs w:val="20"/>
          <w:lang w:eastAsia="en-GB"/>
        </w:rPr>
        <w:t>”</w:t>
      </w:r>
      <w:r w:rsidRPr="00176A0C">
        <w:rPr>
          <w:rFonts w:ascii="Verdana" w:hAnsi="Verdana" w:eastAsia="Aptos" w:cs="Arial"/>
          <w:sz w:val="20"/>
          <w:szCs w:val="20"/>
          <w:lang w:eastAsia="x-none"/>
        </w:rPr>
        <w:t xml:space="preserve">, por lo que excluye las demás modalidades de contratación previstas en la Ley 1150 de 2007. </w:t>
      </w:r>
    </w:p>
    <w:p w:rsidRPr="00176A0C" w:rsidR="00176A0C" w:rsidP="00176A0C" w:rsidRDefault="00176A0C" w14:paraId="2C15BCD0" w14:textId="77777777">
      <w:pPr>
        <w:spacing w:after="0" w:line="240" w:lineRule="auto"/>
        <w:jc w:val="both"/>
        <w:rPr>
          <w:rFonts w:ascii="Verdana" w:hAnsi="Verdana" w:eastAsia="Aptos" w:cs="Arial"/>
          <w:sz w:val="20"/>
          <w:szCs w:val="20"/>
          <w:lang w:eastAsia="x-none"/>
        </w:rPr>
      </w:pPr>
    </w:p>
    <w:p w:rsidRPr="00176A0C" w:rsidR="00176A0C" w:rsidP="00176A0C" w:rsidRDefault="00176A0C" w14:paraId="58F9505A" w14:textId="77777777">
      <w:pPr>
        <w:spacing w:after="0" w:line="240" w:lineRule="auto"/>
        <w:jc w:val="both"/>
        <w:rPr>
          <w:rFonts w:ascii="Verdana" w:hAnsi="Verdana" w:eastAsia="Aptos" w:cs="Arial"/>
          <w:sz w:val="20"/>
          <w:szCs w:val="20"/>
          <w:lang w:eastAsia="x-none"/>
        </w:rPr>
      </w:pPr>
      <w:r w:rsidRPr="00176A0C">
        <w:rPr>
          <w:rFonts w:ascii="Verdana" w:hAnsi="Verdana" w:eastAsia="Aptos" w:cs="Arial"/>
          <w:sz w:val="20"/>
          <w:szCs w:val="20"/>
          <w:lang w:eastAsia="x-none"/>
        </w:rPr>
        <w:t>[…]</w:t>
      </w:r>
    </w:p>
    <w:p w:rsidRPr="00176A0C" w:rsidR="00176A0C" w:rsidP="00176A0C" w:rsidRDefault="00176A0C" w14:paraId="6F8C6FE6" w14:textId="77777777">
      <w:pPr>
        <w:spacing w:after="0" w:line="240" w:lineRule="auto"/>
        <w:jc w:val="both"/>
        <w:rPr>
          <w:rFonts w:ascii="Verdana" w:hAnsi="Verdana" w:eastAsia="Aptos" w:cs="Arial"/>
          <w:color w:val="000000"/>
          <w:sz w:val="20"/>
          <w:szCs w:val="20"/>
        </w:rPr>
      </w:pPr>
    </w:p>
    <w:p w:rsidRPr="00176A0C" w:rsidR="00176A0C" w:rsidP="00176A0C" w:rsidRDefault="00176A0C" w14:paraId="79ADB746" w14:textId="77777777">
      <w:pPr>
        <w:spacing w:after="0" w:line="240" w:lineRule="auto"/>
        <w:jc w:val="both"/>
        <w:rPr>
          <w:rFonts w:ascii="Verdana" w:hAnsi="Verdana" w:eastAsia="Aptos" w:cs="Arial"/>
          <w:color w:val="000000"/>
          <w:sz w:val="20"/>
          <w:szCs w:val="20"/>
        </w:rPr>
      </w:pPr>
      <w:r w:rsidRPr="00176A0C">
        <w:rPr>
          <w:rFonts w:ascii="Verdana" w:hAnsi="Verdana" w:eastAsia="Aptos" w:cs="Arial"/>
          <w:color w:val="000000"/>
          <w:sz w:val="20"/>
          <w:szCs w:val="20"/>
        </w:rPr>
        <w:t>En efecto, vale la pena mencionar que, 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“contratación directa”, es que la convocatoria para inscribirse en forma previa se haga de manera pública, y que se permita la participación de una pluralidad de oferentes.</w:t>
      </w:r>
    </w:p>
    <w:p w:rsidRPr="00176A0C" w:rsidR="00176A0C" w:rsidP="00176A0C" w:rsidRDefault="00176A0C" w14:paraId="185CE7DA" w14:textId="77777777">
      <w:pPr>
        <w:spacing w:after="0" w:line="240" w:lineRule="auto"/>
        <w:jc w:val="both"/>
        <w:rPr>
          <w:rFonts w:ascii="Verdana" w:hAnsi="Verdana" w:eastAsia="Aptos" w:cs="Arial"/>
          <w:color w:val="000000"/>
          <w:sz w:val="20"/>
          <w:szCs w:val="20"/>
        </w:rPr>
      </w:pPr>
    </w:p>
    <w:p w:rsidRPr="00176A0C" w:rsidR="00176A0C" w:rsidP="00176A0C" w:rsidRDefault="00176A0C" w14:paraId="3F374D91" w14:textId="77777777">
      <w:pPr>
        <w:spacing w:after="0" w:line="240" w:lineRule="auto"/>
        <w:jc w:val="both"/>
        <w:rPr>
          <w:rFonts w:ascii="Verdana" w:hAnsi="Verdana" w:eastAsia="Aptos" w:cs="Arial"/>
          <w:color w:val="000000"/>
          <w:sz w:val="20"/>
          <w:szCs w:val="20"/>
        </w:rPr>
      </w:pPr>
      <w:r w:rsidRPr="00176A0C">
        <w:rPr>
          <w:rFonts w:ascii="Verdana" w:hAnsi="Verdana" w:eastAsia="Aptos" w:cs="Arial"/>
          <w:color w:val="000000"/>
          <w:sz w:val="20"/>
          <w:szCs w:val="20"/>
        </w:rPr>
        <w:t>[…]</w:t>
      </w:r>
    </w:p>
    <w:p w:rsidRPr="00176A0C" w:rsidR="00176A0C" w:rsidP="00176A0C" w:rsidRDefault="00176A0C" w14:paraId="47A7966E" w14:textId="77777777">
      <w:pPr>
        <w:spacing w:after="0" w:line="240" w:lineRule="auto"/>
        <w:jc w:val="both"/>
        <w:rPr>
          <w:rFonts w:ascii="Verdana" w:hAnsi="Verdana" w:eastAsia="Aptos" w:cs="Arial"/>
          <w:color w:val="000000"/>
          <w:sz w:val="20"/>
          <w:szCs w:val="20"/>
        </w:rPr>
      </w:pPr>
    </w:p>
    <w:p w:rsidRPr="00176A0C" w:rsidR="00176A0C" w:rsidP="00176A0C" w:rsidRDefault="00176A0C" w14:paraId="0342E33D" w14:textId="77777777">
      <w:pPr>
        <w:spacing w:after="0" w:line="240" w:lineRule="auto"/>
        <w:jc w:val="both"/>
        <w:rPr>
          <w:rFonts w:ascii="Verdana" w:hAnsi="Verdana" w:eastAsia="Aptos" w:cs="Arial"/>
          <w:color w:val="000000"/>
          <w:sz w:val="20"/>
          <w:szCs w:val="20"/>
        </w:rPr>
      </w:pPr>
      <w:r w:rsidRPr="00176A0C">
        <w:rPr>
          <w:rFonts w:ascii="Verdana" w:hAnsi="Verdana" w:eastAsia="Aptos" w:cs="Arial"/>
          <w:color w:val="000000"/>
          <w:sz w:val="20"/>
          <w:szCs w:val="20"/>
        </w:rPr>
        <w:t xml:space="preserve">Lo anterior supone que, en aquellos procedimientos que contemplen convocatorias o invitaciones para contratar que se limiten a aquellas personas que previamente se hayan inscrito en una lista de precalificados o de interesados, lo determinante para considerar que dicho sistema no constituye “contratación directa”, es que la convocatoria para inscribirse en forma previa se haga de manera pública, y que se permita la participación de una pluralidad de oferentes. Esta circunstancia no se extiende a la contratación directa aplicable en algunos regímenes especiales con listas de precalificados, ya que a </w:t>
      </w:r>
      <w:r w:rsidRPr="00176A0C">
        <w:rPr>
          <w:rFonts w:ascii="Verdana" w:hAnsi="Verdana" w:eastAsia="Aptos" w:cs="Arial"/>
          <w:color w:val="000000"/>
          <w:sz w:val="20"/>
          <w:szCs w:val="20"/>
        </w:rPr>
        <w:t>efecto de que no se configure la contratación directa, la selección del futuro contratista debe darse en términos de competencia.</w:t>
      </w:r>
    </w:p>
    <w:p w:rsidRPr="00176A0C" w:rsidR="00176A0C" w:rsidP="00176A0C" w:rsidRDefault="00176A0C" w14:paraId="38145681" w14:textId="77777777">
      <w:pPr>
        <w:spacing w:after="0" w:line="240" w:lineRule="auto"/>
        <w:jc w:val="both"/>
        <w:rPr>
          <w:rFonts w:ascii="Verdana" w:hAnsi="Verdana" w:eastAsia="Aptos" w:cs="Arial"/>
          <w:color w:val="000000"/>
          <w:sz w:val="20"/>
          <w:szCs w:val="20"/>
        </w:rPr>
      </w:pPr>
    </w:p>
    <w:p w:rsidRPr="00176A0C" w:rsidR="00176A0C" w:rsidP="00176A0C" w:rsidRDefault="00176A0C" w14:paraId="7F47674E" w14:textId="77777777">
      <w:pPr>
        <w:spacing w:after="0" w:line="240" w:lineRule="auto"/>
        <w:jc w:val="both"/>
        <w:rPr>
          <w:rFonts w:ascii="Verdana" w:hAnsi="Verdana" w:eastAsia="Aptos" w:cs="Arial"/>
          <w:b/>
          <w:bCs/>
          <w:color w:val="000000"/>
        </w:rPr>
      </w:pPr>
      <w:r w:rsidRPr="00176A0C">
        <w:rPr>
          <w:rFonts w:ascii="Verdana" w:hAnsi="Verdana" w:eastAsia="Aptos" w:cs="Arial"/>
          <w:b/>
          <w:bCs/>
          <w:color w:val="000000"/>
        </w:rPr>
        <w:t xml:space="preserve">LEY DE GARANTÍAS ELECTORALES – Destinatarios </w:t>
      </w:r>
    </w:p>
    <w:p w:rsidRPr="00176A0C" w:rsidR="00176A0C" w:rsidP="00176A0C" w:rsidRDefault="00176A0C" w14:paraId="71532760" w14:textId="77777777">
      <w:pPr>
        <w:spacing w:after="0" w:line="240" w:lineRule="auto"/>
        <w:jc w:val="both"/>
        <w:rPr>
          <w:rFonts w:ascii="Verdana" w:hAnsi="Verdana" w:eastAsia="Aptos" w:cs="Arial"/>
          <w:color w:val="000000"/>
        </w:rPr>
      </w:pPr>
    </w:p>
    <w:p w:rsidRPr="00176A0C" w:rsidR="00176A0C" w:rsidP="00176A0C" w:rsidRDefault="00176A0C" w14:paraId="1E1A7A73" w14:textId="77777777">
      <w:pPr>
        <w:spacing w:after="0" w:line="240" w:lineRule="auto"/>
        <w:jc w:val="both"/>
        <w:rPr>
          <w:rFonts w:ascii="Verdana" w:hAnsi="Verdana" w:eastAsia="Aptos" w:cs="Arial"/>
          <w:color w:val="000000"/>
          <w:lang w:val="es-MX"/>
        </w:rPr>
      </w:pPr>
      <w:r w:rsidRPr="00176A0C">
        <w:rPr>
          <w:rFonts w:ascii="Verdana" w:hAnsi="Verdana" w:eastAsia="Aptos" w:cs="Arial"/>
          <w:color w:val="000000"/>
          <w:sz w:val="20"/>
          <w:szCs w:val="20"/>
          <w:lang w:val="es-MX"/>
        </w:rPr>
        <w:t>Ahora bien, en relación con los destinatarios de las restricciones, el artículo 33 de la Ley 996 de 2005 los señala expresamente, en el sentido de que son “todos los entes del Estado”, expresión que contempla a los diferentes organismos o entidades autorizadas por la ley para suscribir contratos. En efecto, tal como lo ha sostenido el Consejo de Estado, el vocablo” todos” utilizado por el legislador comprende 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w:t>
      </w:r>
      <w:r w:rsidRPr="00176A0C">
        <w:rPr>
          <w:rFonts w:ascii="Verdana" w:hAnsi="Verdana" w:eastAsia="Aptos" w:cs="Arial"/>
          <w:color w:val="000000"/>
          <w:lang w:val="es-MX"/>
        </w:rPr>
        <w:t>.</w:t>
      </w:r>
    </w:p>
    <w:p w:rsidRPr="00176A0C" w:rsidR="00176A0C" w:rsidP="00176A0C" w:rsidRDefault="00176A0C" w14:paraId="78D848E5" w14:textId="77777777">
      <w:pPr>
        <w:spacing w:after="0" w:line="240" w:lineRule="auto"/>
        <w:jc w:val="both"/>
        <w:rPr>
          <w:rFonts w:ascii="Verdana" w:hAnsi="Verdana" w:eastAsia="Aptos" w:cs="Arial"/>
          <w:color w:val="000000"/>
        </w:rPr>
      </w:pPr>
    </w:p>
    <w:p w:rsidRPr="00176A0C" w:rsidR="00176A0C" w:rsidP="00176A0C" w:rsidRDefault="00176A0C" w14:paraId="1C715F19" w14:textId="77777777">
      <w:pPr>
        <w:spacing w:after="0" w:line="240" w:lineRule="auto"/>
        <w:jc w:val="both"/>
        <w:rPr>
          <w:rFonts w:ascii="Verdana" w:hAnsi="Verdana" w:eastAsia="Aptos" w:cs="Arial"/>
          <w:b/>
          <w:bCs/>
          <w:color w:val="000000"/>
        </w:rPr>
      </w:pPr>
      <w:r w:rsidRPr="00176A0C">
        <w:rPr>
          <w:rFonts w:ascii="Verdana" w:hAnsi="Verdana" w:eastAsia="Aptos" w:cs="Arial"/>
          <w:b/>
          <w:bCs/>
          <w:color w:val="000000"/>
        </w:rPr>
        <w:t xml:space="preserve">LEY DE GARANTÍAS ELECTORALES – Excepciones </w:t>
      </w:r>
    </w:p>
    <w:p w:rsidRPr="00176A0C" w:rsidR="00176A0C" w:rsidP="00176A0C" w:rsidRDefault="00176A0C" w14:paraId="4459F6C2" w14:textId="77777777">
      <w:pPr>
        <w:spacing w:after="0" w:line="240" w:lineRule="auto"/>
        <w:jc w:val="both"/>
        <w:rPr>
          <w:rFonts w:ascii="Verdana" w:hAnsi="Verdana" w:eastAsia="Aptos" w:cs="Arial"/>
          <w:b/>
          <w:bCs/>
          <w:color w:val="000000"/>
          <w:sz w:val="20"/>
          <w:szCs w:val="20"/>
        </w:rPr>
      </w:pPr>
    </w:p>
    <w:p w:rsidRPr="00176A0C" w:rsidR="00176A0C" w:rsidP="00176A0C" w:rsidRDefault="00176A0C" w14:paraId="4A5C3E8D" w14:textId="77777777">
      <w:pPr>
        <w:spacing w:after="0" w:line="240" w:lineRule="auto"/>
        <w:jc w:val="both"/>
        <w:rPr>
          <w:rFonts w:ascii="Verdana" w:hAnsi="Verdana" w:eastAsia="Aptos" w:cs="Arial"/>
          <w:bCs/>
          <w:sz w:val="20"/>
          <w:szCs w:val="20"/>
          <w:lang w:eastAsia="x-none"/>
        </w:rPr>
      </w:pPr>
      <w:r w:rsidRPr="00176A0C">
        <w:rPr>
          <w:rFonts w:ascii="Verdana" w:hAnsi="Verdana" w:eastAsia="Times New Roman" w:cs="Arial"/>
          <w:bCs/>
          <w:sz w:val="20"/>
          <w:szCs w:val="20"/>
          <w:lang w:val="es-ES" w:eastAsia="es-CO" w:bidi="es-ES"/>
        </w:rPr>
        <w:t xml:space="preserve">Ahora bien, las entidades públicas, de acuerdo con el inciso final del artículo 33 de la Ley 996 de 2005 –Ley de Garantías Electorales–, y previo análisis de la naturaleza de las actividades que adelantan, podrán realizar procedimientos de selección directa en períodos previos a la contienda electoral por la Presidencia, cuando el contrato a celebrar se enmarquen dentro de algunas de las excepciones consagradas en dicha disposición, esto es: i) la defensa y seguridad del Estado; ii) los contratos de crédito público; iii) los requeridos para cubrir las emergencias educativas, sanitarias y desastres; iv)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 En todo caso, </w:t>
      </w:r>
      <w:r w:rsidRPr="00176A0C">
        <w:rPr>
          <w:rFonts w:ascii="Verdana" w:hAnsi="Verdana" w:eastAsia="Aptos" w:cs="Arial"/>
          <w:bCs/>
          <w:sz w:val="20"/>
          <w:szCs w:val="20"/>
          <w:lang w:eastAsia="x-none"/>
        </w:rPr>
        <w:t xml:space="preserve">se aclara que, la planeación, los estudios técnicos, jurídicos y económicos, que debe preceder la celebración de cada contrato, y que determinan su viabilidad desde tales perspectivas, son asuntos que competen a las entidades estatales que adelantan los procesos de contratación respectivos, con el apoyo de sus funcionarios y órganos asesores.   </w:t>
      </w:r>
    </w:p>
    <w:p w:rsidRPr="00176A0C" w:rsidR="00176A0C" w:rsidP="00176A0C" w:rsidRDefault="00176A0C" w14:paraId="4FD88B67" w14:textId="77777777">
      <w:pPr>
        <w:spacing w:after="0" w:line="240" w:lineRule="auto"/>
        <w:jc w:val="both"/>
        <w:rPr>
          <w:rFonts w:ascii="Verdana" w:hAnsi="Verdana" w:eastAsia="Aptos" w:cs="Arial"/>
          <w:bCs/>
          <w:sz w:val="20"/>
          <w:szCs w:val="20"/>
          <w:lang w:eastAsia="x-none"/>
        </w:rPr>
      </w:pPr>
    </w:p>
    <w:p w:rsidRPr="00176A0C" w:rsidR="00176A0C" w:rsidP="00176A0C" w:rsidRDefault="00176A0C" w14:paraId="4168C2A3" w14:textId="77777777">
      <w:pPr>
        <w:spacing w:after="0" w:line="240" w:lineRule="auto"/>
        <w:jc w:val="both"/>
        <w:rPr>
          <w:rFonts w:ascii="Verdana" w:hAnsi="Verdana" w:eastAsia="Aptos" w:cs="Arial"/>
          <w:bCs/>
          <w:sz w:val="20"/>
          <w:szCs w:val="20"/>
          <w:lang w:eastAsia="x-none"/>
        </w:rPr>
      </w:pPr>
      <w:r w:rsidRPr="00176A0C">
        <w:rPr>
          <w:rFonts w:ascii="Verdana" w:hAnsi="Verdana" w:eastAsia="Aptos" w:cs="Arial"/>
          <w:bCs/>
          <w:sz w:val="20"/>
          <w:szCs w:val="20"/>
          <w:lang w:eastAsia="x-none"/>
        </w:rPr>
        <w:t xml:space="preserve">[…] </w:t>
      </w:r>
    </w:p>
    <w:p w:rsidRPr="00176A0C" w:rsidR="00176A0C" w:rsidP="00176A0C" w:rsidRDefault="00176A0C" w14:paraId="6AFFC758" w14:textId="77777777">
      <w:pPr>
        <w:spacing w:after="0" w:line="240" w:lineRule="auto"/>
        <w:jc w:val="both"/>
        <w:rPr>
          <w:rFonts w:ascii="Verdana" w:hAnsi="Verdana" w:eastAsia="Aptos" w:cs="Arial"/>
          <w:bCs/>
          <w:sz w:val="20"/>
          <w:szCs w:val="20"/>
          <w:lang w:eastAsia="x-none"/>
        </w:rPr>
      </w:pPr>
    </w:p>
    <w:p w:rsidRPr="00176A0C" w:rsidR="00176A0C" w:rsidP="00176A0C" w:rsidRDefault="00176A0C" w14:paraId="718F7CE4" w14:textId="77777777">
      <w:pPr>
        <w:spacing w:after="0" w:line="240" w:lineRule="auto"/>
        <w:jc w:val="both"/>
        <w:rPr>
          <w:rFonts w:ascii="Verdana" w:hAnsi="Verdana" w:eastAsia="Aptos" w:cs="Arial"/>
          <w:bCs/>
          <w:sz w:val="20"/>
          <w:szCs w:val="20"/>
          <w:lang w:val="es-ES_tradnl" w:eastAsia="x-none"/>
        </w:rPr>
      </w:pPr>
      <w:r w:rsidRPr="00176A0C">
        <w:rPr>
          <w:rFonts w:ascii="Verdana" w:hAnsi="Verdana" w:eastAsia="Aptos" w:cs="Arial"/>
          <w:bCs/>
          <w:sz w:val="20"/>
          <w:szCs w:val="20"/>
          <w:lang w:val="es-ES_tradnl" w:eastAsia="x-none"/>
        </w:rPr>
        <w:t>Por tanto, las excepciones a la prohibición contenida en el inciso segundo de artículo 33 de la ley de garantías electorales tienen por finalidad garantizar la prestación ininterrumpida de algunos servicios públicos que, dada su importancia en el orden interno, se verían irrazonablemente afectados por la restricción explicada. Lo anterior implica que las excepciones al artículo 33 en comento deben interpretarse y aplicarse de manera restrictiva. En otras palabras, que no sería factible hacer interpretaciones extensivas para incluir otros supuestos de hecho similares a las circunstancias previstas en dicho artículo, pues el carácter taxativo implica que solo en los eventos consagrados expresamente en la norma permiten que ciertas entidades estatales se vean exceptuadas de la prohibición.</w:t>
      </w:r>
    </w:p>
    <w:p w:rsidRPr="00176A0C" w:rsidR="00176A0C" w:rsidP="00176A0C" w:rsidRDefault="00176A0C" w14:paraId="28B735D5" w14:textId="77777777">
      <w:pPr>
        <w:spacing w:after="0" w:line="240" w:lineRule="auto"/>
        <w:jc w:val="both"/>
        <w:rPr>
          <w:rFonts w:ascii="Verdana" w:hAnsi="Verdana" w:eastAsia="Aptos" w:cs="Arial"/>
          <w:b/>
          <w:bCs/>
          <w:color w:val="000000"/>
        </w:rPr>
      </w:pPr>
    </w:p>
    <w:p w:rsidRPr="00176A0C" w:rsidR="00176A0C" w:rsidP="00176A0C" w:rsidRDefault="00176A0C" w14:paraId="179901BA" w14:textId="77777777">
      <w:pPr>
        <w:spacing w:after="0" w:line="240" w:lineRule="auto"/>
        <w:jc w:val="both"/>
        <w:rPr>
          <w:rFonts w:ascii="Verdana" w:hAnsi="Verdana" w:eastAsia="Aptos" w:cs="Arial"/>
          <w:b/>
          <w:bCs/>
          <w:color w:val="000000"/>
        </w:rPr>
      </w:pPr>
      <w:r w:rsidRPr="00176A0C">
        <w:rPr>
          <w:rFonts w:ascii="Verdana" w:hAnsi="Verdana" w:eastAsia="Aptos" w:cs="Arial"/>
          <w:b/>
          <w:bCs/>
          <w:color w:val="000000"/>
        </w:rPr>
        <w:t xml:space="preserve">LEY DE GARANTÍAS ELECTORALES – Parágrafo del artículo 38 - Alcance </w:t>
      </w:r>
    </w:p>
    <w:p w:rsidRPr="00176A0C" w:rsidR="00176A0C" w:rsidP="00176A0C" w:rsidRDefault="00176A0C" w14:paraId="63E3EBC6" w14:textId="77777777">
      <w:pPr>
        <w:spacing w:after="0" w:line="240" w:lineRule="auto"/>
        <w:jc w:val="both"/>
        <w:rPr>
          <w:rFonts w:ascii="Verdana" w:hAnsi="Verdana" w:eastAsia="Aptos" w:cs="Arial"/>
          <w:color w:val="000000"/>
        </w:rPr>
      </w:pPr>
    </w:p>
    <w:p w:rsidRPr="00176A0C" w:rsidR="00176A0C" w:rsidP="00176A0C" w:rsidRDefault="00176A0C" w14:paraId="39D8F567" w14:textId="77777777">
      <w:pPr>
        <w:spacing w:after="0" w:line="240" w:lineRule="auto"/>
        <w:jc w:val="both"/>
        <w:rPr>
          <w:rFonts w:ascii="Verdana" w:hAnsi="Verdana" w:eastAsia="Aptos" w:cs="Arial"/>
          <w:sz w:val="20"/>
          <w:szCs w:val="20"/>
        </w:rPr>
      </w:pPr>
      <w:r w:rsidRPr="00176A0C">
        <w:rPr>
          <w:rFonts w:ascii="Verdana" w:hAnsi="Verdana" w:eastAsia="Aptos" w:cs="Arial"/>
          <w:sz w:val="20"/>
          <w:szCs w:val="20"/>
          <w:lang w:val="es-ES"/>
        </w:rPr>
        <w:t xml:space="preserve">[…] respecto del alcance del parágrafo </w:t>
      </w:r>
      <w:r w:rsidRPr="00176A0C">
        <w:rPr>
          <w:rFonts w:ascii="Verdana" w:hAnsi="Verdana" w:eastAsia="Aptos" w:cs="Arial"/>
          <w:sz w:val="20"/>
          <w:szCs w:val="20"/>
        </w:rPr>
        <w:t xml:space="preserve">del artículo 38 de la Ley 996 de 2005, esta prohibición dispone en primera medida que: “[l]os Gobernadores, Alcaldes Municipales y/o Distritales, Secretarios, Gerentes y directores de Entidades Descentralizadas del orden Municipal, Departamental o Distrital, dentro de los cuatro (4) meses anteriores a las elecciones, no podrán celebrar </w:t>
      </w:r>
      <w:r w:rsidRPr="00176A0C">
        <w:rPr>
          <w:rFonts w:ascii="Verdana" w:hAnsi="Verdana" w:eastAsia="Aptos" w:cs="Arial"/>
          <w:i/>
          <w:iCs/>
          <w:sz w:val="20"/>
          <w:szCs w:val="20"/>
        </w:rPr>
        <w:t>convenios interadministrativos</w:t>
      </w:r>
      <w:r w:rsidRPr="00176A0C">
        <w:rPr>
          <w:rFonts w:ascii="Verdana" w:hAnsi="Verdana" w:eastAsia="Aptos" w:cs="Arial"/>
          <w:sz w:val="20"/>
          <w:szCs w:val="20"/>
        </w:rPr>
        <w:t xml:space="preserve"> </w:t>
      </w:r>
      <w:r w:rsidRPr="00176A0C">
        <w:rPr>
          <w:rFonts w:ascii="Verdana" w:hAnsi="Verdana" w:eastAsia="Aptos" w:cs="Arial"/>
          <w:i/>
          <w:iCs/>
          <w:sz w:val="20"/>
          <w:szCs w:val="20"/>
        </w:rPr>
        <w:t>para la ejecución de recursos públicos</w:t>
      </w:r>
      <w:r w:rsidRPr="00176A0C">
        <w:rPr>
          <w:rFonts w:ascii="Verdana" w:hAnsi="Verdana" w:eastAsia="Aptos" w:cs="Arial"/>
          <w:sz w:val="20"/>
          <w:szCs w:val="20"/>
        </w:rPr>
        <w:t>”.</w:t>
      </w:r>
    </w:p>
    <w:p w:rsidRPr="00176A0C" w:rsidR="00176A0C" w:rsidP="00176A0C" w:rsidRDefault="00176A0C" w14:paraId="534B4E87" w14:textId="77777777">
      <w:pPr>
        <w:spacing w:after="0" w:line="240" w:lineRule="auto"/>
        <w:jc w:val="both"/>
        <w:rPr>
          <w:rFonts w:ascii="Verdana" w:hAnsi="Verdana" w:eastAsia="Aptos" w:cs="Arial"/>
          <w:color w:val="000000"/>
        </w:rPr>
      </w:pPr>
    </w:p>
    <w:p w:rsidRPr="00176A0C" w:rsidR="00176A0C" w:rsidP="00176A0C" w:rsidRDefault="00176A0C" w14:paraId="0B107048" w14:textId="77777777">
      <w:pPr>
        <w:spacing w:after="0" w:line="240" w:lineRule="auto"/>
        <w:jc w:val="both"/>
        <w:rPr>
          <w:rFonts w:ascii="Verdana" w:hAnsi="Verdana" w:eastAsia="Aptos" w:cs="Arial"/>
          <w:b/>
          <w:bCs/>
          <w:color w:val="000000"/>
        </w:rPr>
      </w:pPr>
      <w:r w:rsidRPr="00176A0C">
        <w:rPr>
          <w:rFonts w:ascii="Verdana" w:hAnsi="Verdana" w:eastAsia="Aptos" w:cs="Arial"/>
          <w:b/>
          <w:bCs/>
          <w:color w:val="000000"/>
        </w:rPr>
        <w:t xml:space="preserve">LEY DE GARANTÍAS ELECTORALES – Convenios interadministrativos – Contratos interadministrativos </w:t>
      </w:r>
    </w:p>
    <w:p w:rsidRPr="00176A0C" w:rsidR="00176A0C" w:rsidP="00176A0C" w:rsidRDefault="00176A0C" w14:paraId="10B02877" w14:textId="77777777">
      <w:pPr>
        <w:spacing w:after="0" w:line="240" w:lineRule="auto"/>
        <w:jc w:val="both"/>
        <w:rPr>
          <w:rFonts w:ascii="Verdana" w:hAnsi="Verdana" w:eastAsia="Aptos" w:cs="Arial"/>
          <w:color w:val="000000"/>
        </w:rPr>
      </w:pPr>
    </w:p>
    <w:p w:rsidRPr="00176A0C" w:rsidR="00176A0C" w:rsidP="00176A0C" w:rsidRDefault="00176A0C" w14:paraId="510D1A72" w14:textId="77777777">
      <w:pPr>
        <w:spacing w:after="0" w:line="240" w:lineRule="auto"/>
        <w:ind w:firstLine="709"/>
        <w:jc w:val="both"/>
        <w:rPr>
          <w:rFonts w:ascii="Verdana" w:hAnsi="Verdana" w:eastAsia="Aptos" w:cs="Arial"/>
          <w:sz w:val="20"/>
          <w:szCs w:val="20"/>
          <w:lang w:eastAsia="es-ES"/>
        </w:rPr>
      </w:pPr>
      <w:r w:rsidRPr="00176A0C">
        <w:rPr>
          <w:rFonts w:ascii="Verdana" w:hAnsi="Verdana" w:eastAsia="Times New Roman" w:cs="Arial"/>
          <w:sz w:val="20"/>
          <w:szCs w:val="20"/>
          <w:lang w:val="es-ES" w:eastAsia="es-ES"/>
        </w:rPr>
        <w:t xml:space="preserve">Para tales efectos, debe precisarse que </w:t>
      </w:r>
      <w:r w:rsidRPr="00176A0C">
        <w:rPr>
          <w:rFonts w:ascii="Verdana" w:hAnsi="Verdana" w:eastAsia="Times New Roman" w:cs="Arial"/>
          <w:color w:val="000000"/>
          <w:sz w:val="20"/>
          <w:szCs w:val="20"/>
          <w:lang w:val="es-ES" w:eastAsia="es-CO"/>
        </w:rPr>
        <w:t xml:space="preserve">los contratos o convenios interadministrativos están determinados por un criterio orgánico, pues es necesario que los extremos de la relación contractual sean entidades públicas, </w:t>
      </w:r>
      <w:r w:rsidRPr="00176A0C">
        <w:rPr>
          <w:rFonts w:ascii="Verdana" w:hAnsi="Verdana" w:eastAsia="Aptos" w:cs="Arial"/>
          <w:sz w:val="20"/>
          <w:szCs w:val="20"/>
          <w:lang w:eastAsia="es-ES"/>
        </w:rPr>
        <w:t>independientemente de las normas que regulan la relación contractual. En este sentido, los convenios interadministrativos solo pueden ser celebrados entre entidades públicas, pues a éstas corresponde la realización de los fines y tareas que el legislador les ha asignado.</w:t>
      </w:r>
    </w:p>
    <w:p w:rsidRPr="00176A0C" w:rsidR="00176A0C" w:rsidP="00176A0C" w:rsidRDefault="00176A0C" w14:paraId="7EBC709C" w14:textId="77777777">
      <w:pPr>
        <w:spacing w:after="0" w:line="240" w:lineRule="auto"/>
        <w:jc w:val="both"/>
        <w:rPr>
          <w:rFonts w:ascii="Verdana" w:hAnsi="Verdana" w:eastAsia="Calibri" w:cs="Arial"/>
          <w:sz w:val="20"/>
          <w:szCs w:val="20"/>
          <w:lang w:val="es-ES"/>
        </w:rPr>
      </w:pPr>
    </w:p>
    <w:p w:rsidRPr="00176A0C" w:rsidR="00176A0C" w:rsidP="00176A0C" w:rsidRDefault="00176A0C" w14:paraId="1E3911C7" w14:textId="77777777">
      <w:pPr>
        <w:spacing w:after="0" w:line="240" w:lineRule="auto"/>
        <w:jc w:val="both"/>
        <w:rPr>
          <w:rFonts w:ascii="Verdana" w:hAnsi="Verdana" w:eastAsia="Calibri" w:cs="Arial"/>
          <w:sz w:val="20"/>
          <w:szCs w:val="20"/>
          <w:lang w:val="es-ES"/>
        </w:rPr>
      </w:pPr>
      <w:r w:rsidRPr="00176A0C">
        <w:rPr>
          <w:rFonts w:ascii="Verdana" w:hAnsi="Verdana" w:eastAsia="Calibri" w:cs="Arial"/>
          <w:sz w:val="20"/>
          <w:szCs w:val="20"/>
          <w:lang w:val="es-ES"/>
        </w:rPr>
        <w:t>[…]</w:t>
      </w:r>
    </w:p>
    <w:p w:rsidRPr="00176A0C" w:rsidR="00176A0C" w:rsidP="00176A0C" w:rsidRDefault="00176A0C" w14:paraId="0E6BB193" w14:textId="77777777">
      <w:pPr>
        <w:spacing w:after="0" w:line="240" w:lineRule="auto"/>
        <w:jc w:val="both"/>
        <w:rPr>
          <w:rFonts w:ascii="Verdana" w:hAnsi="Verdana" w:eastAsia="Calibri" w:cs="Arial"/>
          <w:sz w:val="20"/>
          <w:szCs w:val="20"/>
          <w:lang w:val="es-ES"/>
        </w:rPr>
      </w:pPr>
    </w:p>
    <w:p w:rsidRPr="00176A0C" w:rsidR="00176A0C" w:rsidP="00176A0C" w:rsidRDefault="00176A0C" w14:paraId="5488034E" w14:textId="77777777">
      <w:pPr>
        <w:spacing w:after="0" w:line="240" w:lineRule="auto"/>
        <w:jc w:val="both"/>
        <w:rPr>
          <w:rFonts w:ascii="Verdana" w:hAnsi="Verdana" w:eastAsia="Aptos" w:cs="Arial"/>
          <w:sz w:val="20"/>
          <w:szCs w:val="20"/>
          <w:lang w:val="es-ES"/>
        </w:rPr>
      </w:pPr>
      <w:r w:rsidRPr="00176A0C">
        <w:rPr>
          <w:rFonts w:ascii="Verdana" w:hAnsi="Verdana" w:eastAsia="Aptos" w:cs="Arial"/>
          <w:sz w:val="20"/>
          <w:szCs w:val="20"/>
          <w:lang w:val="es-ES"/>
        </w:rPr>
        <w:t>Un contrato o convenio interadministrativo no está determinado por la modalidad de selección utilizada para celebrarlo. La Ley 1150 de 2007 establece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susceptible de pluralidad de oferentes. Nótese que, en este caso, lo que cambia es la modalidad de selección y no la naturaleza de contrato interadministrativo.</w:t>
      </w:r>
    </w:p>
    <w:p w:rsidRPr="00176A0C" w:rsidR="00176A0C" w:rsidP="00176A0C" w:rsidRDefault="00176A0C" w14:paraId="00F3BC4E" w14:textId="77777777">
      <w:pPr>
        <w:spacing w:after="0" w:line="240" w:lineRule="auto"/>
        <w:jc w:val="both"/>
        <w:rPr>
          <w:rFonts w:ascii="Verdana" w:hAnsi="Verdana" w:eastAsia="Aptos" w:cs="Arial"/>
          <w:sz w:val="20"/>
          <w:szCs w:val="20"/>
          <w:lang w:val="es-ES"/>
        </w:rPr>
      </w:pPr>
    </w:p>
    <w:p w:rsidRPr="00176A0C" w:rsidR="00176A0C" w:rsidP="00176A0C" w:rsidRDefault="00176A0C" w14:paraId="218B9E35" w14:textId="77777777">
      <w:pPr>
        <w:spacing w:after="0" w:line="240" w:lineRule="auto"/>
        <w:jc w:val="both"/>
        <w:rPr>
          <w:rFonts w:ascii="Verdana" w:hAnsi="Verdana" w:eastAsia="Calibri" w:cs="Arial"/>
          <w:sz w:val="20"/>
          <w:szCs w:val="20"/>
          <w:lang w:val="es-ES"/>
        </w:rPr>
      </w:pPr>
      <w:r w:rsidRPr="00176A0C">
        <w:rPr>
          <w:rFonts w:ascii="Verdana" w:hAnsi="Verdana" w:eastAsia="Calibri" w:cs="Arial"/>
          <w:sz w:val="20"/>
          <w:szCs w:val="20"/>
          <w:lang w:val="es-ES"/>
        </w:rPr>
        <w:t xml:space="preserve">[…] </w:t>
      </w:r>
    </w:p>
    <w:p w:rsidRPr="00176A0C" w:rsidR="00176A0C" w:rsidP="00176A0C" w:rsidRDefault="00176A0C" w14:paraId="04410EA2" w14:textId="77777777">
      <w:pPr>
        <w:spacing w:after="0" w:line="240" w:lineRule="auto"/>
        <w:jc w:val="both"/>
        <w:rPr>
          <w:rFonts w:ascii="Verdana" w:hAnsi="Verdana" w:eastAsia="Calibri" w:cs="Arial"/>
          <w:sz w:val="20"/>
          <w:szCs w:val="20"/>
          <w:lang w:val="es-ES"/>
        </w:rPr>
      </w:pPr>
    </w:p>
    <w:p w:rsidRPr="00176A0C" w:rsidR="00176A0C" w:rsidP="00176A0C" w:rsidRDefault="00176A0C" w14:paraId="4EDAFE62" w14:textId="77777777">
      <w:pPr>
        <w:spacing w:after="0" w:line="240" w:lineRule="auto"/>
        <w:jc w:val="both"/>
        <w:rPr>
          <w:rFonts w:ascii="Verdana" w:hAnsi="Verdana" w:eastAsia="Calibri" w:cs="Arial"/>
          <w:sz w:val="20"/>
          <w:szCs w:val="20"/>
          <w:lang w:val="es-MX"/>
        </w:rPr>
      </w:pPr>
      <w:r w:rsidRPr="00176A0C">
        <w:rPr>
          <w:rFonts w:ascii="Verdana" w:hAnsi="Verdana" w:eastAsia="Calibri" w:cs="Arial"/>
          <w:sz w:val="20"/>
          <w:szCs w:val="20"/>
          <w:lang w:val="es-MX"/>
        </w:rPr>
        <w:t>De esta manera, se observa entonces que el parágrafo del artículo 38 de la Ley 996 de 2005 prohíbe a los Alcaldes, Gobernadores, Secretarios, Gerentes y Directores de las entidades del orden municipal, departamental o distrital celebrar convenios interadministrativos para la ejecución de recursos públicos. En este sentido, si una o ambas partes de la relación contractual es una entidad de aquellas descritas en el parágrafo ibidem, es decir, alcaldías, gobernaciones, secretarías de despacho, así como entidades descentralizadas por servicios del orden municipal, departamental o distrital no podrá celebrar tales convenios durante la aplicación de la Ley de Garantías Electorales, toda vez que la citada disposición se refiere a dicha tipología contractual sin que el legislador hubiere contemplado un efecto extensivo a otra tipología.</w:t>
      </w:r>
    </w:p>
    <w:p w:rsidRPr="00176A0C" w:rsidR="00176A0C" w:rsidP="00176A0C" w:rsidRDefault="00176A0C" w14:paraId="425DC729" w14:textId="77777777">
      <w:pPr>
        <w:spacing w:after="0" w:line="240" w:lineRule="auto"/>
        <w:jc w:val="both"/>
        <w:rPr>
          <w:rFonts w:ascii="Verdana" w:hAnsi="Verdana" w:eastAsia="Calibri" w:cs="Arial"/>
          <w:sz w:val="20"/>
          <w:szCs w:val="20"/>
          <w:lang w:val="es-MX"/>
        </w:rPr>
      </w:pPr>
    </w:p>
    <w:p w:rsidRPr="00176A0C" w:rsidR="00176A0C" w:rsidP="00176A0C" w:rsidRDefault="00176A0C" w14:paraId="22AE520D" w14:textId="77777777">
      <w:pPr>
        <w:spacing w:after="0" w:line="240" w:lineRule="auto"/>
        <w:jc w:val="both"/>
        <w:rPr>
          <w:rFonts w:ascii="Verdana" w:hAnsi="Verdana" w:eastAsia="Calibri" w:cs="Arial"/>
          <w:sz w:val="20"/>
          <w:szCs w:val="20"/>
          <w:lang w:val="es-MX"/>
        </w:rPr>
      </w:pPr>
      <w:r w:rsidRPr="00176A0C">
        <w:rPr>
          <w:rFonts w:ascii="Verdana" w:hAnsi="Verdana" w:eastAsia="Calibri" w:cs="Arial"/>
          <w:sz w:val="20"/>
          <w:szCs w:val="20"/>
          <w:lang w:val="es-MX"/>
        </w:rPr>
        <w:t>[…]</w:t>
      </w:r>
    </w:p>
    <w:p w:rsidRPr="00176A0C" w:rsidR="00176A0C" w:rsidP="00176A0C" w:rsidRDefault="00176A0C" w14:paraId="148E949E" w14:textId="77777777">
      <w:pPr>
        <w:spacing w:after="0" w:line="240" w:lineRule="auto"/>
        <w:jc w:val="both"/>
        <w:rPr>
          <w:rFonts w:ascii="Verdana" w:hAnsi="Verdana" w:eastAsia="Calibri" w:cs="Arial"/>
          <w:sz w:val="20"/>
          <w:szCs w:val="20"/>
          <w:lang w:val="es-ES_tradnl"/>
        </w:rPr>
      </w:pPr>
    </w:p>
    <w:p w:rsidRPr="00176A0C" w:rsidR="00176A0C" w:rsidP="00176A0C" w:rsidRDefault="00176A0C" w14:paraId="3CE82759" w14:textId="77777777">
      <w:pPr>
        <w:spacing w:after="0" w:line="240" w:lineRule="auto"/>
        <w:jc w:val="both"/>
        <w:rPr>
          <w:rFonts w:ascii="Verdana" w:hAnsi="Verdana" w:eastAsia="Calibri" w:cs="Arial"/>
          <w:sz w:val="20"/>
          <w:szCs w:val="20"/>
          <w:lang w:val="es-ES_tradnl"/>
        </w:rPr>
      </w:pPr>
      <w:r w:rsidRPr="00176A0C">
        <w:rPr>
          <w:rFonts w:ascii="Verdana" w:hAnsi="Verdana" w:eastAsia="Times New Roman" w:cs="Arial"/>
          <w:sz w:val="20"/>
          <w:szCs w:val="20"/>
          <w:lang w:eastAsia="es-CO"/>
        </w:rPr>
        <w:t xml:space="preserve">De esta manera, conforme a lo dispuesto en la Circular referida, si se suscriben </w:t>
      </w:r>
      <w:r w:rsidRPr="00176A0C">
        <w:rPr>
          <w:rFonts w:ascii="Verdana" w:hAnsi="Verdana" w:eastAsia="Times New Roman" w:cs="Arial"/>
          <w:i/>
          <w:iCs/>
          <w:sz w:val="20"/>
          <w:szCs w:val="20"/>
          <w:lang w:eastAsia="es-CO"/>
        </w:rPr>
        <w:t>convenios interadministrativos para la ejecución de recursos públicos</w:t>
      </w:r>
      <w:r w:rsidRPr="00176A0C">
        <w:rPr>
          <w:rFonts w:ascii="Verdana" w:hAnsi="Verdana" w:eastAsia="Times New Roman" w:cs="Arial"/>
          <w:sz w:val="20"/>
          <w:szCs w:val="20"/>
          <w:lang w:eastAsia="es-CO"/>
        </w:rPr>
        <w:t xml:space="preserve"> por los alcaldes, </w:t>
      </w:r>
      <w:r w:rsidRPr="00176A0C">
        <w:rPr>
          <w:rFonts w:ascii="Verdana" w:hAnsi="Verdana" w:eastAsia="Times New Roman" w:cs="Arial"/>
          <w:sz w:val="20"/>
          <w:szCs w:val="20"/>
          <w:lang w:eastAsia="es-CO"/>
        </w:rPr>
        <w:t xml:space="preserve">gobernadores, secretarios, gerentes y directores de las entidades del orden municipal, departamental o distrital, aplicará la prohibición del parágrafo del artículo 38 </w:t>
      </w:r>
      <w:r w:rsidRPr="00176A0C">
        <w:rPr>
          <w:rFonts w:ascii="Verdana" w:hAnsi="Verdana" w:eastAsia="Times New Roman" w:cs="Arial"/>
          <w:i/>
          <w:iCs/>
          <w:sz w:val="20"/>
          <w:szCs w:val="20"/>
          <w:lang w:eastAsia="es-CO"/>
        </w:rPr>
        <w:t>ibidem</w:t>
      </w:r>
      <w:r w:rsidRPr="00176A0C">
        <w:rPr>
          <w:rFonts w:ascii="Verdana" w:hAnsi="Verdana" w:eastAsia="Times New Roman" w:cs="Arial"/>
          <w:sz w:val="20"/>
          <w:szCs w:val="20"/>
          <w:lang w:eastAsia="es-CO"/>
        </w:rPr>
        <w:t>, independientemente de que se configure alguno de los supuestos de excepción que señaló el inciso final del artículo 33.</w:t>
      </w:r>
    </w:p>
    <w:p w:rsidRPr="00176A0C" w:rsidR="00176A0C" w:rsidP="00176A0C" w:rsidRDefault="00176A0C" w14:paraId="313A52C8" w14:textId="77777777">
      <w:pPr>
        <w:spacing w:after="0" w:line="240" w:lineRule="auto"/>
        <w:ind w:firstLine="709"/>
        <w:jc w:val="both"/>
        <w:rPr>
          <w:rFonts w:ascii="Verdana" w:hAnsi="Verdana" w:eastAsia="Calibri" w:cs="Arial"/>
          <w:lang w:val="es-ES"/>
        </w:rPr>
      </w:pPr>
    </w:p>
    <w:p w:rsidRPr="00176A0C" w:rsidR="00176A0C" w:rsidP="00176A0C" w:rsidRDefault="00176A0C" w14:paraId="25868725" w14:textId="77777777">
      <w:pPr>
        <w:spacing w:after="0" w:line="240" w:lineRule="auto"/>
        <w:jc w:val="both"/>
        <w:rPr>
          <w:rFonts w:ascii="Verdana" w:hAnsi="Verdana" w:eastAsia="Aptos" w:cs="Arial"/>
          <w:b/>
          <w:bCs/>
          <w:color w:val="000000"/>
        </w:rPr>
      </w:pPr>
      <w:r w:rsidRPr="00176A0C">
        <w:rPr>
          <w:rFonts w:ascii="Verdana" w:hAnsi="Verdana" w:eastAsia="Aptos" w:cs="Arial"/>
          <w:b/>
          <w:bCs/>
          <w:color w:val="000000"/>
        </w:rPr>
        <w:t xml:space="preserve">CONSEJO DE ESTADO - Posición </w:t>
      </w:r>
    </w:p>
    <w:p w:rsidRPr="00176A0C" w:rsidR="00176A0C" w:rsidP="00176A0C" w:rsidRDefault="00176A0C" w14:paraId="34FB4AAB" w14:textId="77777777">
      <w:pPr>
        <w:spacing w:after="0" w:line="240" w:lineRule="auto"/>
        <w:jc w:val="both"/>
        <w:rPr>
          <w:rFonts w:ascii="Verdana" w:hAnsi="Verdana" w:eastAsia="Aptos" w:cs="Arial"/>
          <w:color w:val="000000"/>
        </w:rPr>
      </w:pPr>
    </w:p>
    <w:p w:rsidRPr="00176A0C" w:rsidR="00176A0C" w:rsidP="00176A0C" w:rsidRDefault="00176A0C" w14:paraId="276C4CC0" w14:textId="77777777">
      <w:pPr>
        <w:spacing w:after="0" w:line="240" w:lineRule="auto"/>
        <w:jc w:val="both"/>
        <w:rPr>
          <w:rFonts w:ascii="Verdana" w:hAnsi="Verdana" w:eastAsia="Aptos" w:cs="Arial"/>
          <w:color w:val="000000"/>
          <w:sz w:val="20"/>
          <w:szCs w:val="20"/>
        </w:rPr>
      </w:pPr>
      <w:r w:rsidRPr="00176A0C">
        <w:rPr>
          <w:rFonts w:ascii="Verdana" w:hAnsi="Verdana" w:eastAsia="Aptos" w:cs="Arial"/>
          <w:color w:val="000000"/>
          <w:sz w:val="20"/>
          <w:szCs w:val="20"/>
        </w:rPr>
        <w:t xml:space="preserve">[…] mediante sentencia del 17 de octubre de 2025, emitida por la Sección Tercera del Consejo de Estado, dentro del expediente 11001-03-26-000-2023-00139-00, se declaró la nulidad parcial del numeral 16.2 de la Circular Externa Única de 2022 expedida por la Agencia Nacional de Contratación Pública - Colombia Compra Eficiente que indicaba: “Esta restricción es aplicable tanto a los convenios como a los contratos interadministrativos (…)”. </w:t>
      </w:r>
    </w:p>
    <w:p w:rsidRPr="00176A0C" w:rsidR="00176A0C" w:rsidP="00176A0C" w:rsidRDefault="00176A0C" w14:paraId="00C9384C" w14:textId="77777777">
      <w:pPr>
        <w:spacing w:after="0" w:line="240" w:lineRule="auto"/>
        <w:jc w:val="both"/>
        <w:rPr>
          <w:rFonts w:ascii="Verdana" w:hAnsi="Verdana" w:eastAsia="Aptos" w:cs="Arial"/>
          <w:color w:val="000000"/>
          <w:sz w:val="20"/>
          <w:szCs w:val="20"/>
        </w:rPr>
      </w:pPr>
    </w:p>
    <w:p w:rsidRPr="00176A0C" w:rsidR="00176A0C" w:rsidP="00176A0C" w:rsidRDefault="00176A0C" w14:paraId="42816738" w14:textId="77777777">
      <w:pPr>
        <w:spacing w:after="0" w:line="240" w:lineRule="auto"/>
        <w:jc w:val="both"/>
        <w:rPr>
          <w:rFonts w:ascii="Verdana" w:hAnsi="Verdana" w:eastAsia="Aptos" w:cs="Arial"/>
          <w:color w:val="000000"/>
          <w:sz w:val="20"/>
          <w:szCs w:val="20"/>
        </w:rPr>
      </w:pPr>
      <w:r w:rsidRPr="00176A0C">
        <w:rPr>
          <w:rFonts w:ascii="Verdana" w:hAnsi="Verdana" w:eastAsia="Aptos" w:cs="Arial"/>
          <w:color w:val="000000"/>
          <w:sz w:val="20"/>
          <w:szCs w:val="20"/>
        </w:rPr>
        <w:t>La anterior decisión se adoptó al considerar que la Agencia excedió su competencia material al incluir contratos en una restricción que la Ley de Garantías Electorales solo previó para convenios, cuando no es posible aplicar por analogía o extensión una norma que establece prohibiciones. Sobre el particular, la Sala concluyó que contratos y convenios interadministrativos son figuras distintas en naturaleza, objeto y efectos, pues mientras los contratos implican obligaciones patrimoniales y contraprestación, los convenios se basan en cooperación sin ánimo económico. Por ello, la restricción legal no podía aplicarse extensivamente a los contratos.</w:t>
      </w:r>
    </w:p>
    <w:p w:rsidRPr="00176A0C" w:rsidR="00176A0C" w:rsidP="00176A0C" w:rsidRDefault="00176A0C" w14:paraId="79619E3E" w14:textId="77777777">
      <w:pPr>
        <w:spacing w:after="0" w:line="240" w:lineRule="auto"/>
        <w:jc w:val="both"/>
        <w:rPr>
          <w:rFonts w:ascii="Verdana" w:hAnsi="Verdana" w:eastAsia="Aptos" w:cs="Arial"/>
          <w:color w:val="000000"/>
          <w:sz w:val="20"/>
          <w:szCs w:val="20"/>
        </w:rPr>
      </w:pPr>
    </w:p>
    <w:p w:rsidRPr="00176A0C" w:rsidR="00176A0C" w:rsidP="00176A0C" w:rsidRDefault="00176A0C" w14:paraId="3100A018" w14:textId="77777777">
      <w:pPr>
        <w:spacing w:after="0" w:line="240" w:lineRule="auto"/>
        <w:jc w:val="both"/>
        <w:rPr>
          <w:rFonts w:ascii="Verdana" w:hAnsi="Verdana" w:eastAsia="Aptos" w:cs="Times New Roman"/>
          <w:b/>
          <w:bCs/>
          <w:color w:val="000000"/>
        </w:rPr>
      </w:pPr>
    </w:p>
    <w:p w:rsidRPr="00176A0C" w:rsidR="00176A0C" w:rsidP="00176A0C" w:rsidRDefault="00176A0C" w14:paraId="000A7E08" w14:textId="77777777">
      <w:pPr>
        <w:spacing w:after="0" w:line="240" w:lineRule="auto"/>
        <w:jc w:val="both"/>
        <w:rPr>
          <w:rFonts w:ascii="Verdana" w:hAnsi="Verdana" w:eastAsia="Aptos" w:cs="Times New Roman"/>
          <w:b/>
          <w:bCs/>
          <w:color w:val="000000"/>
        </w:rPr>
      </w:pPr>
    </w:p>
    <w:p w:rsidRPr="00176A0C" w:rsidR="00176A0C" w:rsidP="00176A0C" w:rsidRDefault="00176A0C" w14:paraId="2D91AD0F" w14:textId="77777777">
      <w:pPr>
        <w:spacing w:after="0" w:line="240" w:lineRule="auto"/>
        <w:jc w:val="both"/>
        <w:rPr>
          <w:rFonts w:ascii="Verdana" w:hAnsi="Verdana" w:eastAsia="Aptos" w:cs="Times New Roman"/>
          <w:b/>
          <w:bCs/>
          <w:color w:val="000000"/>
        </w:rPr>
      </w:pPr>
    </w:p>
    <w:p w:rsidRPr="00176A0C" w:rsidR="00176A0C" w:rsidP="00176A0C" w:rsidRDefault="00176A0C" w14:paraId="48A8DC1C" w14:textId="77777777">
      <w:pPr>
        <w:spacing w:after="0" w:line="240" w:lineRule="auto"/>
        <w:jc w:val="both"/>
        <w:rPr>
          <w:rFonts w:ascii="Verdana" w:hAnsi="Verdana" w:eastAsia="Aptos" w:cs="Times New Roman"/>
          <w:b/>
          <w:bCs/>
          <w:color w:val="000000"/>
        </w:rPr>
      </w:pPr>
    </w:p>
    <w:p w:rsidRPr="00176A0C" w:rsidR="00176A0C" w:rsidP="00176A0C" w:rsidRDefault="00176A0C" w14:paraId="1111067A" w14:textId="77777777">
      <w:pPr>
        <w:spacing w:after="0" w:line="240" w:lineRule="auto"/>
        <w:jc w:val="both"/>
        <w:rPr>
          <w:rFonts w:ascii="Verdana" w:hAnsi="Verdana" w:eastAsia="Aptos" w:cs="Times New Roman"/>
          <w:b/>
          <w:bCs/>
          <w:color w:val="000000"/>
        </w:rPr>
      </w:pPr>
    </w:p>
    <w:p w:rsidRPr="00176A0C" w:rsidR="00176A0C" w:rsidP="00176A0C" w:rsidRDefault="00176A0C" w14:paraId="553223CD" w14:textId="77777777">
      <w:pPr>
        <w:spacing w:after="0" w:line="240" w:lineRule="auto"/>
        <w:jc w:val="both"/>
        <w:rPr>
          <w:rFonts w:ascii="Verdana" w:hAnsi="Verdana" w:eastAsia="Aptos" w:cs="Times New Roman"/>
          <w:b/>
          <w:bCs/>
          <w:color w:val="000000"/>
        </w:rPr>
      </w:pPr>
    </w:p>
    <w:p w:rsidRPr="00176A0C" w:rsidR="00176A0C" w:rsidP="00176A0C" w:rsidRDefault="00176A0C" w14:paraId="7F945320" w14:textId="77777777">
      <w:pPr>
        <w:spacing w:after="0" w:line="240" w:lineRule="auto"/>
        <w:jc w:val="both"/>
        <w:rPr>
          <w:rFonts w:ascii="Verdana" w:hAnsi="Verdana" w:eastAsia="Aptos" w:cs="Times New Roman"/>
          <w:b/>
          <w:bCs/>
          <w:color w:val="000000"/>
        </w:rPr>
      </w:pPr>
    </w:p>
    <w:p w:rsidRPr="00176A0C" w:rsidR="00176A0C" w:rsidP="00176A0C" w:rsidRDefault="00176A0C" w14:paraId="7845E2CA" w14:textId="77777777">
      <w:pPr>
        <w:spacing w:after="0" w:line="240" w:lineRule="auto"/>
        <w:jc w:val="both"/>
        <w:rPr>
          <w:rFonts w:ascii="Verdana" w:hAnsi="Verdana" w:eastAsia="Aptos" w:cs="Times New Roman"/>
          <w:b/>
          <w:bCs/>
          <w:color w:val="000000"/>
        </w:rPr>
      </w:pPr>
    </w:p>
    <w:p w:rsidRPr="00176A0C" w:rsidR="00176A0C" w:rsidP="00176A0C" w:rsidRDefault="00176A0C" w14:paraId="5AB0679B" w14:textId="77777777">
      <w:pPr>
        <w:spacing w:after="0" w:line="240" w:lineRule="auto"/>
        <w:jc w:val="both"/>
        <w:rPr>
          <w:rFonts w:ascii="Verdana" w:hAnsi="Verdana" w:eastAsia="Calibri" w:cs="Arial"/>
          <w:lang w:eastAsia="es-ES"/>
        </w:rPr>
      </w:pPr>
    </w:p>
    <w:p w:rsidR="002309B5" w:rsidP="002309B5" w:rsidRDefault="002309B5" w14:paraId="332D705F" w14:textId="77777777">
      <w:pPr>
        <w:spacing w:after="0" w:line="240" w:lineRule="auto"/>
        <w:jc w:val="both"/>
        <w:rPr>
          <w:rFonts w:ascii="Verdana" w:hAnsi="Verdana" w:eastAsia="Calibri" w:cs="Arial"/>
          <w:lang w:eastAsia="es-ES"/>
        </w:rPr>
      </w:pPr>
    </w:p>
    <w:p w:rsidR="002309B5" w:rsidP="002309B5" w:rsidRDefault="002309B5" w14:paraId="10C4448B" w14:textId="77777777">
      <w:pPr>
        <w:spacing w:after="0" w:line="240" w:lineRule="auto"/>
        <w:jc w:val="both"/>
        <w:rPr>
          <w:rFonts w:ascii="Verdana" w:hAnsi="Verdana" w:eastAsia="Calibri" w:cs="Arial"/>
          <w:lang w:eastAsia="es-ES"/>
        </w:rPr>
      </w:pPr>
    </w:p>
    <w:p w:rsidR="002309B5" w:rsidP="002309B5" w:rsidRDefault="002309B5" w14:paraId="3DC0053B" w14:textId="77777777">
      <w:pPr>
        <w:spacing w:after="0" w:line="240" w:lineRule="auto"/>
        <w:jc w:val="both"/>
        <w:rPr>
          <w:rFonts w:ascii="Verdana" w:hAnsi="Verdana" w:eastAsia="Calibri" w:cs="Arial"/>
          <w:lang w:eastAsia="es-ES"/>
        </w:rPr>
      </w:pPr>
    </w:p>
    <w:p w:rsidR="002309B5" w:rsidP="002309B5" w:rsidRDefault="002309B5" w14:paraId="254EC21F" w14:textId="77777777">
      <w:pPr>
        <w:spacing w:after="0" w:line="240" w:lineRule="auto"/>
        <w:jc w:val="both"/>
        <w:rPr>
          <w:rFonts w:ascii="Verdana" w:hAnsi="Verdana" w:eastAsia="Calibri" w:cs="Arial"/>
          <w:lang w:eastAsia="es-ES"/>
        </w:rPr>
      </w:pPr>
    </w:p>
    <w:p w:rsidR="002309B5" w:rsidP="002309B5" w:rsidRDefault="002309B5" w14:paraId="32AA61EB" w14:textId="77777777">
      <w:pPr>
        <w:spacing w:after="0" w:line="240" w:lineRule="auto"/>
        <w:jc w:val="both"/>
        <w:rPr>
          <w:rFonts w:ascii="Verdana" w:hAnsi="Verdana" w:eastAsia="Calibri" w:cs="Arial"/>
          <w:lang w:eastAsia="es-ES"/>
        </w:rPr>
      </w:pPr>
    </w:p>
    <w:p w:rsidR="002309B5" w:rsidP="002309B5" w:rsidRDefault="002309B5" w14:paraId="0C9714C3" w14:textId="77777777">
      <w:pPr>
        <w:spacing w:after="0" w:line="240" w:lineRule="auto"/>
        <w:jc w:val="both"/>
        <w:rPr>
          <w:rFonts w:ascii="Verdana" w:hAnsi="Verdana" w:eastAsia="Calibri" w:cs="Arial"/>
          <w:lang w:eastAsia="es-ES"/>
        </w:rPr>
      </w:pPr>
    </w:p>
    <w:p w:rsidR="002309B5" w:rsidP="002309B5" w:rsidRDefault="002309B5" w14:paraId="09B5F100" w14:textId="77777777">
      <w:pPr>
        <w:spacing w:after="0" w:line="240" w:lineRule="auto"/>
        <w:jc w:val="both"/>
        <w:rPr>
          <w:rFonts w:ascii="Verdana" w:hAnsi="Verdana" w:eastAsia="Calibri" w:cs="Arial"/>
          <w:lang w:eastAsia="es-ES"/>
        </w:rPr>
      </w:pPr>
    </w:p>
    <w:p w:rsidR="002309B5" w:rsidP="002309B5" w:rsidRDefault="002309B5" w14:paraId="1257A288" w14:textId="77777777">
      <w:pPr>
        <w:spacing w:after="0" w:line="240" w:lineRule="auto"/>
        <w:jc w:val="both"/>
        <w:rPr>
          <w:rFonts w:ascii="Verdana" w:hAnsi="Verdana" w:eastAsia="Calibri" w:cs="Arial"/>
          <w:lang w:eastAsia="es-ES"/>
        </w:rPr>
      </w:pPr>
    </w:p>
    <w:p w:rsidR="002309B5" w:rsidP="002309B5" w:rsidRDefault="002309B5" w14:paraId="57062099" w14:textId="77777777">
      <w:pPr>
        <w:spacing w:after="0" w:line="240" w:lineRule="auto"/>
        <w:jc w:val="both"/>
        <w:rPr>
          <w:rFonts w:ascii="Verdana" w:hAnsi="Verdana" w:eastAsia="Calibri" w:cs="Arial"/>
          <w:lang w:eastAsia="es-ES"/>
        </w:rPr>
      </w:pPr>
    </w:p>
    <w:p w:rsidR="002309B5" w:rsidP="002309B5" w:rsidRDefault="002309B5" w14:paraId="040EFE21" w14:textId="77777777">
      <w:pPr>
        <w:spacing w:after="0" w:line="240" w:lineRule="auto"/>
        <w:jc w:val="both"/>
        <w:rPr>
          <w:rFonts w:ascii="Verdana" w:hAnsi="Verdana" w:eastAsia="Calibri" w:cs="Arial"/>
          <w:lang w:eastAsia="es-ES"/>
        </w:rPr>
      </w:pPr>
    </w:p>
    <w:p w:rsidR="002309B5" w:rsidP="002309B5" w:rsidRDefault="002309B5" w14:paraId="5217887D" w14:textId="77777777">
      <w:pPr>
        <w:spacing w:after="0" w:line="240" w:lineRule="auto"/>
        <w:jc w:val="both"/>
        <w:rPr>
          <w:rFonts w:ascii="Verdana" w:hAnsi="Verdana" w:eastAsia="Calibri" w:cs="Arial"/>
          <w:lang w:eastAsia="es-ES"/>
        </w:rPr>
      </w:pPr>
    </w:p>
    <w:p w:rsidR="002309B5" w:rsidP="002309B5" w:rsidRDefault="002309B5" w14:paraId="725888DE" w14:textId="77777777">
      <w:pPr>
        <w:spacing w:after="0" w:line="240" w:lineRule="auto"/>
        <w:jc w:val="both"/>
        <w:rPr>
          <w:rFonts w:ascii="Verdana" w:hAnsi="Verdana" w:eastAsia="Calibri" w:cs="Arial"/>
          <w:lang w:eastAsia="es-ES"/>
        </w:rPr>
      </w:pPr>
    </w:p>
    <w:p w:rsidR="002309B5" w:rsidP="002309B5" w:rsidRDefault="002309B5" w14:paraId="71F11C1E" w14:textId="77777777">
      <w:pPr>
        <w:spacing w:after="0" w:line="240" w:lineRule="auto"/>
        <w:jc w:val="both"/>
        <w:rPr>
          <w:rFonts w:ascii="Verdana" w:hAnsi="Verdana" w:eastAsia="Calibri" w:cs="Arial"/>
          <w:lang w:eastAsia="es-ES"/>
        </w:rPr>
      </w:pPr>
    </w:p>
    <w:p w:rsidR="002309B5" w:rsidP="002309B5" w:rsidRDefault="002309B5" w14:paraId="06A14688" w14:textId="2F515E41">
      <w:pPr>
        <w:spacing w:after="0" w:line="240" w:lineRule="auto"/>
        <w:jc w:val="both"/>
        <w:rPr>
          <w:rFonts w:ascii="Verdana" w:hAnsi="Verdana" w:eastAsia="Verdana" w:cs="Verdana"/>
        </w:rPr>
      </w:pPr>
      <w:r w:rsidRPr="005B6B4C">
        <w:rPr>
          <w:rFonts w:ascii="Verdana" w:hAnsi="Verdana" w:eastAsia="Verdana" w:cs="Verdana"/>
        </w:rPr>
        <w:t xml:space="preserve">Bogotá D.C., </w:t>
      </w:r>
      <w:r>
        <w:rPr>
          <w:rFonts w:ascii="Verdana" w:hAnsi="Verdana" w:eastAsia="Verdana" w:cs="Verdana"/>
        </w:rPr>
        <w:t>22</w:t>
      </w:r>
      <w:r w:rsidRPr="005B6B4C">
        <w:rPr>
          <w:rFonts w:ascii="Verdana" w:hAnsi="Verdana" w:eastAsia="Verdana" w:cs="Verdana"/>
        </w:rPr>
        <w:t xml:space="preserve"> Junio 2026</w:t>
      </w:r>
    </w:p>
    <w:p w:rsidR="002309B5" w:rsidP="00B01D9C" w:rsidRDefault="00380BAB" w14:paraId="58337C0F" w14:textId="6AEF9B01">
      <w:pPr>
        <w:spacing w:after="0" w:line="240" w:lineRule="auto"/>
        <w:ind w:left="3540" w:firstLine="708"/>
        <w:jc w:val="both"/>
        <w:rPr>
          <w:rFonts w:ascii="Verdana" w:hAnsi="Verdana" w:eastAsia="Calibri" w:cs="Arial"/>
          <w:lang w:eastAsia="es-ES"/>
        </w:rPr>
      </w:pPr>
      <w:r w:rsidRPr="00380BAB">
        <w:rPr>
          <w:rFonts w:ascii="Verdana" w:hAnsi="Verdana" w:eastAsia="Calibri" w:cs="Arial"/>
          <w:noProof/>
          <w:lang w:eastAsia="es-ES"/>
        </w:rPr>
        <w:drawing>
          <wp:inline distT="0" distB="0" distL="0" distR="0" wp14:anchorId="0CCDC652" wp14:editId="51112F68">
            <wp:extent cx="2524125" cy="699147"/>
            <wp:effectExtent l="0" t="0" r="0" b="5715"/>
            <wp:docPr id="877499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1875" cy="709603"/>
                    </a:xfrm>
                    <a:prstGeom prst="rect">
                      <a:avLst/>
                    </a:prstGeom>
                    <a:noFill/>
                    <a:ln>
                      <a:noFill/>
                    </a:ln>
                  </pic:spPr>
                </pic:pic>
              </a:graphicData>
            </a:graphic>
          </wp:inline>
        </w:drawing>
      </w:r>
    </w:p>
    <w:p w:rsidRPr="00176A0C" w:rsidR="002309B5" w:rsidP="00176A0C" w:rsidRDefault="00176A0C" w14:paraId="465588F9" w14:textId="2EAA5960">
      <w:pPr>
        <w:spacing w:after="0" w:line="240" w:lineRule="auto"/>
        <w:jc w:val="both"/>
        <w:rPr>
          <w:rFonts w:ascii="Verdana" w:hAnsi="Verdana" w:eastAsia="Calibri" w:cs="Arial"/>
          <w:lang w:eastAsia="es-ES"/>
        </w:rPr>
      </w:pPr>
      <w:r w:rsidRPr="00176A0C">
        <w:rPr>
          <w:rFonts w:ascii="Verdana" w:hAnsi="Verdana" w:eastAsia="Calibri" w:cs="Arial"/>
          <w:lang w:eastAsia="es-ES"/>
        </w:rPr>
        <w:t>Señora</w:t>
      </w:r>
    </w:p>
    <w:p w:rsidRPr="00176A0C" w:rsidR="00176A0C" w:rsidP="00176A0C" w:rsidRDefault="00176A0C" w14:paraId="263123FE" w14:textId="77777777">
      <w:pPr>
        <w:spacing w:after="0" w:line="240" w:lineRule="auto"/>
        <w:jc w:val="both"/>
        <w:rPr>
          <w:rFonts w:ascii="Verdana" w:hAnsi="Verdana" w:eastAsia="Calibri" w:cs="Arial"/>
          <w:b/>
          <w:bCs/>
          <w:lang w:eastAsia="es-ES"/>
        </w:rPr>
      </w:pPr>
      <w:r w:rsidRPr="00176A0C">
        <w:rPr>
          <w:rFonts w:ascii="Verdana" w:hAnsi="Verdana" w:eastAsia="Calibri" w:cs="Arial"/>
          <w:b/>
          <w:bCs/>
          <w:lang w:eastAsia="es-ES"/>
        </w:rPr>
        <w:t>Yessica Lorena Mateus Escobar</w:t>
      </w:r>
    </w:p>
    <w:p w:rsidRPr="00176A0C" w:rsidR="00176A0C" w:rsidP="00176A0C" w:rsidRDefault="00176A0C" w14:paraId="463E7D4C" w14:textId="77777777">
      <w:pPr>
        <w:spacing w:after="0" w:line="240" w:lineRule="auto"/>
        <w:jc w:val="both"/>
        <w:rPr>
          <w:rFonts w:ascii="Verdana" w:hAnsi="Verdana" w:eastAsia="Calibri" w:cs="Arial"/>
          <w:lang w:eastAsia="es-ES"/>
        </w:rPr>
      </w:pPr>
      <w:r w:rsidRPr="00176A0C">
        <w:rPr>
          <w:rFonts w:ascii="Verdana" w:hAnsi="Verdana" w:eastAsia="Calibri" w:cs="Arial"/>
          <w:lang w:eastAsia="es-ES"/>
        </w:rPr>
        <w:t>ymateus10@gmail.com</w:t>
      </w:r>
    </w:p>
    <w:p w:rsidRPr="00176A0C" w:rsidR="00176A0C" w:rsidP="00176A0C" w:rsidRDefault="00176A0C" w14:paraId="6659A506" w14:textId="77777777">
      <w:pPr>
        <w:spacing w:after="0" w:line="240" w:lineRule="auto"/>
        <w:jc w:val="both"/>
        <w:rPr>
          <w:rFonts w:ascii="Verdana" w:hAnsi="Verdana" w:eastAsia="Calibri" w:cs="Arial"/>
          <w:lang w:eastAsia="es-ES"/>
        </w:rPr>
      </w:pPr>
      <w:r w:rsidRPr="00176A0C">
        <w:rPr>
          <w:rFonts w:ascii="Verdana" w:hAnsi="Verdana" w:eastAsia="Calibri" w:cs="Arial"/>
          <w:lang w:eastAsia="es-ES"/>
        </w:rPr>
        <w:t>Ciudad</w:t>
      </w:r>
    </w:p>
    <w:p w:rsidRPr="00176A0C" w:rsidR="00176A0C" w:rsidP="00176A0C" w:rsidRDefault="00176A0C" w14:paraId="181CBDE9" w14:textId="77777777">
      <w:pPr>
        <w:spacing w:after="0" w:line="240" w:lineRule="auto"/>
        <w:jc w:val="both"/>
        <w:rPr>
          <w:rFonts w:ascii="Verdana" w:hAnsi="Verdana" w:eastAsia="Aptos" w:cs="Times New Roman"/>
          <w:lang w:val="it-CH"/>
        </w:rPr>
      </w:pPr>
    </w:p>
    <w:p w:rsidRPr="00176A0C" w:rsidR="00176A0C" w:rsidP="00176A0C" w:rsidRDefault="00176A0C" w14:paraId="21AE483F" w14:textId="77777777">
      <w:pPr>
        <w:spacing w:after="0" w:line="240" w:lineRule="auto"/>
        <w:jc w:val="both"/>
        <w:rPr>
          <w:rFonts w:ascii="Verdana" w:hAnsi="Verdana" w:eastAsia="Calibri" w:cs="Arial"/>
          <w:b/>
          <w:bCs/>
          <w:color w:val="000000"/>
          <w:lang w:val="it-CH" w:eastAsia="es-ES_tradnl"/>
        </w:rPr>
      </w:pPr>
    </w:p>
    <w:tbl>
      <w:tblPr>
        <w:tblStyle w:val="Tablaconcuadrcula"/>
        <w:tblW w:w="87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3119"/>
        <w:gridCol w:w="5670"/>
      </w:tblGrid>
      <w:tr w:rsidRPr="00176A0C" w:rsidR="00176A0C" w:rsidTr="00C9366E" w14:paraId="7D06768A" w14:textId="77777777">
        <w:trPr>
          <w:trHeight w:val="162"/>
        </w:trPr>
        <w:tc>
          <w:tcPr>
            <w:tcW w:w="3119" w:type="dxa"/>
          </w:tcPr>
          <w:p w:rsidRPr="00176A0C" w:rsidR="00176A0C" w:rsidP="00176A0C" w:rsidRDefault="00176A0C" w14:paraId="36165FFF" w14:textId="77777777">
            <w:pPr>
              <w:jc w:val="both"/>
              <w:rPr>
                <w:rFonts w:ascii="Verdana" w:hAnsi="Verdana" w:eastAsia="Calibri" w:cs="Arial"/>
                <w:b/>
                <w:bCs/>
                <w:color w:val="7030A0"/>
                <w:lang w:val="it-CH" w:eastAsia="es-ES_tradnl"/>
              </w:rPr>
            </w:pPr>
          </w:p>
        </w:tc>
        <w:tc>
          <w:tcPr>
            <w:tcW w:w="5670" w:type="dxa"/>
          </w:tcPr>
          <w:p w:rsidRPr="00176A0C" w:rsidR="00176A0C" w:rsidP="00176A0C" w:rsidRDefault="00176A0C" w14:paraId="136D7B94" w14:textId="77777777">
            <w:pPr>
              <w:jc w:val="both"/>
              <w:rPr>
                <w:rFonts w:ascii="Verdana" w:hAnsi="Verdana" w:eastAsia="Calibri" w:cs="Arial"/>
                <w:b/>
                <w:bCs/>
                <w:lang w:eastAsia="es-ES"/>
              </w:rPr>
            </w:pPr>
            <w:r w:rsidRPr="00176A0C">
              <w:rPr>
                <w:rFonts w:ascii="Verdana" w:hAnsi="Verdana" w:eastAsia="Calibri" w:cs="Arial"/>
                <w:b/>
                <w:bCs/>
                <w:lang w:eastAsia="es-ES"/>
              </w:rPr>
              <w:t>Concepto C-782 de 2026</w:t>
            </w:r>
          </w:p>
          <w:p w:rsidRPr="00176A0C" w:rsidR="00176A0C" w:rsidP="00176A0C" w:rsidRDefault="00176A0C" w14:paraId="6A2A8A3F" w14:textId="77777777">
            <w:pPr>
              <w:jc w:val="both"/>
              <w:rPr>
                <w:rFonts w:ascii="Verdana" w:hAnsi="Verdana" w:eastAsia="Calibri" w:cs="Arial"/>
                <w:b/>
                <w:bCs/>
                <w:color w:val="7030A0"/>
                <w:lang w:eastAsia="es-ES"/>
              </w:rPr>
            </w:pPr>
          </w:p>
        </w:tc>
      </w:tr>
      <w:tr w:rsidRPr="00176A0C" w:rsidR="00176A0C" w:rsidTr="00C9366E" w14:paraId="7F2967B8" w14:textId="77777777">
        <w:trPr>
          <w:trHeight w:val="884"/>
        </w:trPr>
        <w:tc>
          <w:tcPr>
            <w:tcW w:w="3119" w:type="dxa"/>
          </w:tcPr>
          <w:p w:rsidRPr="00176A0C" w:rsidR="00176A0C" w:rsidP="00176A0C" w:rsidRDefault="00176A0C" w14:paraId="7BFE7C4C" w14:textId="77777777">
            <w:pPr>
              <w:jc w:val="both"/>
              <w:rPr>
                <w:rFonts w:ascii="Verdana" w:hAnsi="Verdana" w:eastAsia="Calibri" w:cs="Arial"/>
                <w:color w:val="000000"/>
                <w:lang w:eastAsia="es-ES_tradnl"/>
              </w:rPr>
            </w:pPr>
            <w:r w:rsidRPr="00176A0C">
              <w:rPr>
                <w:rFonts w:ascii="Verdana" w:hAnsi="Verdana" w:eastAsia="Calibri" w:cs="Arial"/>
                <w:b/>
                <w:color w:val="000000"/>
                <w:lang w:eastAsia="es-ES_tradnl"/>
              </w:rPr>
              <w:t>Temas:</w:t>
            </w:r>
            <w:r w:rsidRPr="00176A0C">
              <w:rPr>
                <w:rFonts w:ascii="Verdana" w:hAnsi="Verdana" w:eastAsia="Calibri" w:cs="Arial"/>
                <w:color w:val="000000"/>
                <w:lang w:eastAsia="es-ES_tradnl"/>
              </w:rPr>
              <w:t xml:space="preserve">                   </w:t>
            </w:r>
          </w:p>
        </w:tc>
        <w:tc>
          <w:tcPr>
            <w:tcW w:w="5670" w:type="dxa"/>
          </w:tcPr>
          <w:p w:rsidRPr="00176A0C" w:rsidR="00176A0C" w:rsidP="002F59B6" w:rsidRDefault="00176A0C" w14:paraId="6CF36CAA" w14:textId="77777777">
            <w:pPr>
              <w:jc w:val="both"/>
              <w:rPr>
                <w:rFonts w:ascii="Verdana" w:hAnsi="Verdana" w:eastAsia="Aptos" w:cs="Arial"/>
                <w:color w:val="000000"/>
              </w:rPr>
            </w:pPr>
            <w:r w:rsidRPr="00176A0C">
              <w:rPr>
                <w:rFonts w:ascii="Verdana" w:hAnsi="Verdana" w:eastAsia="Aptos" w:cs="Arial"/>
                <w:color w:val="000000"/>
              </w:rPr>
              <w:t xml:space="preserve">LEY DE GARANTÍAS ELECTORALES – Propósito /LEY DE GARANTÍAS ELECTORALES – Prohibiciones – Restricciones / LEY DE GARANTÍAS ELECTORALES – Artículo 33 – Ámbito material / LEY DE GARANTÍAS ELECTORALES – Destinatarios / LEY DE GARANTÍAS ELECTORALES – Excepciones / ley de garantías electorales – Parágrafo del artículo 38 - Alcance / LEY DE GARANTÍAS ELECTORALES – Convenios interadministrativos – Contratos interadministrativos / CONSEJO DE ESTADO posición </w:t>
            </w:r>
          </w:p>
          <w:p w:rsidRPr="00176A0C" w:rsidR="00176A0C" w:rsidP="002F59B6" w:rsidRDefault="00176A0C" w14:paraId="519C95BD" w14:textId="77777777">
            <w:pPr>
              <w:jc w:val="both"/>
              <w:rPr>
                <w:rFonts w:ascii="Verdana" w:hAnsi="Verdana" w:eastAsia="Aptos" w:cs="Arial"/>
                <w:color w:val="000000"/>
              </w:rPr>
            </w:pPr>
          </w:p>
        </w:tc>
      </w:tr>
      <w:tr w:rsidRPr="00176A0C" w:rsidR="00176A0C" w:rsidTr="00C9366E" w14:paraId="0F246738" w14:textId="77777777">
        <w:tc>
          <w:tcPr>
            <w:tcW w:w="3119" w:type="dxa"/>
          </w:tcPr>
          <w:p w:rsidRPr="00176A0C" w:rsidR="00176A0C" w:rsidP="00176A0C" w:rsidRDefault="00176A0C" w14:paraId="727D0BE8" w14:textId="77777777">
            <w:pPr>
              <w:jc w:val="both"/>
              <w:rPr>
                <w:rFonts w:ascii="Verdana" w:hAnsi="Verdana" w:eastAsia="Calibri" w:cs="Arial"/>
                <w:b/>
                <w:lang w:eastAsia="es-ES_tradnl"/>
              </w:rPr>
            </w:pPr>
            <w:r w:rsidRPr="00176A0C">
              <w:rPr>
                <w:rFonts w:ascii="Verdana" w:hAnsi="Verdana" w:eastAsia="Calibri" w:cs="Arial"/>
                <w:b/>
                <w:lang w:eastAsia="es-ES_tradnl"/>
              </w:rPr>
              <w:t>Radicación:</w:t>
            </w:r>
            <w:r w:rsidRPr="00176A0C">
              <w:rPr>
                <w:rFonts w:ascii="Verdana" w:hAnsi="Verdana" w:eastAsia="Calibri" w:cs="Arial"/>
                <w:lang w:eastAsia="es-ES_tradnl"/>
              </w:rPr>
              <w:t xml:space="preserve">               </w:t>
            </w:r>
          </w:p>
        </w:tc>
        <w:tc>
          <w:tcPr>
            <w:tcW w:w="5670" w:type="dxa"/>
          </w:tcPr>
          <w:p w:rsidRPr="00176A0C" w:rsidR="00176A0C" w:rsidP="00176A0C" w:rsidRDefault="00176A0C" w14:paraId="423EAC1B" w14:textId="77777777">
            <w:pPr>
              <w:jc w:val="both"/>
              <w:rPr>
                <w:rFonts w:ascii="Verdana" w:hAnsi="Verdana" w:eastAsia="Calibri" w:cs="Arial"/>
                <w:lang w:eastAsia="es-ES_tradnl"/>
              </w:rPr>
            </w:pPr>
            <w:r w:rsidRPr="00176A0C">
              <w:rPr>
                <w:rFonts w:ascii="Verdana" w:hAnsi="Verdana" w:eastAsia="Calibri" w:cs="Arial"/>
                <w:lang w:eastAsia="es-ES_tradnl"/>
              </w:rPr>
              <w:t xml:space="preserve">Respuesta a consulta con radicado </w:t>
            </w:r>
            <w:r w:rsidRPr="00176A0C">
              <w:rPr>
                <w:rFonts w:ascii="Verdana" w:hAnsi="Verdana" w:eastAsia="Aptos" w:cs="Calibri"/>
                <w:color w:val="000000"/>
              </w:rPr>
              <w:t>1_2026_05_08_006339</w:t>
            </w:r>
          </w:p>
          <w:p w:rsidRPr="00176A0C" w:rsidR="00176A0C" w:rsidP="00176A0C" w:rsidRDefault="00176A0C" w14:paraId="795D6624" w14:textId="77777777">
            <w:pPr>
              <w:jc w:val="both"/>
              <w:rPr>
                <w:rFonts w:ascii="Verdana" w:hAnsi="Verdana" w:eastAsia="Calibri" w:cs="Arial"/>
                <w:lang w:eastAsia="es-ES_tradnl"/>
              </w:rPr>
            </w:pPr>
          </w:p>
        </w:tc>
      </w:tr>
    </w:tbl>
    <w:p w:rsidR="002309B5" w:rsidP="002F59B6" w:rsidRDefault="002309B5" w14:paraId="40CC3C50" w14:textId="77777777">
      <w:pPr>
        <w:spacing w:after="0" w:line="240" w:lineRule="auto"/>
        <w:jc w:val="both"/>
        <w:rPr>
          <w:rFonts w:ascii="Verdana" w:hAnsi="Verdana" w:eastAsia="Calibri" w:cs="Arial"/>
          <w:lang w:eastAsia="es-ES"/>
        </w:rPr>
      </w:pPr>
    </w:p>
    <w:p w:rsidRPr="00176A0C" w:rsidR="00176A0C" w:rsidP="00176A0C" w:rsidRDefault="002309B5" w14:paraId="029897CE" w14:textId="499BFF90">
      <w:pPr>
        <w:spacing w:after="0" w:line="276" w:lineRule="auto"/>
        <w:jc w:val="both"/>
        <w:rPr>
          <w:rFonts w:ascii="Verdana" w:hAnsi="Verdana" w:eastAsia="Calibri" w:cs="Arial"/>
          <w:lang w:eastAsia="es-ES"/>
        </w:rPr>
      </w:pPr>
      <w:r w:rsidRPr="00176A0C">
        <w:rPr>
          <w:rFonts w:ascii="Verdana" w:hAnsi="Verdana" w:eastAsia="Calibri" w:cs="Arial"/>
          <w:lang w:eastAsia="es-ES"/>
        </w:rPr>
        <w:t>Estimad</w:t>
      </w:r>
      <w:r>
        <w:rPr>
          <w:rFonts w:ascii="Verdana" w:hAnsi="Verdana" w:eastAsia="Calibri" w:cs="Arial"/>
          <w:lang w:eastAsia="es-ES"/>
        </w:rPr>
        <w:t xml:space="preserve">a </w:t>
      </w:r>
      <w:r w:rsidRPr="00176A0C">
        <w:rPr>
          <w:rFonts w:ascii="Verdana" w:hAnsi="Verdana" w:eastAsia="Calibri" w:cs="Arial"/>
          <w:lang w:eastAsia="es-ES"/>
        </w:rPr>
        <w:t>señora</w:t>
      </w:r>
      <w:r w:rsidRPr="00176A0C" w:rsidR="00176A0C">
        <w:rPr>
          <w:rFonts w:ascii="Verdana" w:hAnsi="Verdana" w:eastAsia="Calibri" w:cs="Arial"/>
          <w:lang w:eastAsia="es-ES"/>
        </w:rPr>
        <w:t xml:space="preserve"> Mateus: </w:t>
      </w:r>
    </w:p>
    <w:p w:rsidRPr="00176A0C" w:rsidR="00176A0C" w:rsidP="002F59B6" w:rsidRDefault="00176A0C" w14:paraId="33045FC0" w14:textId="77777777">
      <w:pPr>
        <w:spacing w:after="0" w:line="276" w:lineRule="auto"/>
        <w:jc w:val="both"/>
        <w:rPr>
          <w:rFonts w:ascii="Verdana" w:hAnsi="Verdana" w:eastAsia="Aptos" w:cs="Times New Roman"/>
          <w:lang w:val="es-MX"/>
        </w:rPr>
      </w:pPr>
    </w:p>
    <w:p w:rsidR="00176A0C" w:rsidP="002F59B6" w:rsidRDefault="00176A0C" w14:paraId="5217A1C2" w14:textId="290B1D8F">
      <w:pPr>
        <w:spacing w:after="0" w:line="276" w:lineRule="auto"/>
        <w:jc w:val="both"/>
        <w:rPr>
          <w:rFonts w:ascii="Verdana" w:hAnsi="Verdana" w:eastAsia="Calibri" w:cs="Arial"/>
          <w:lang w:eastAsia="es-ES"/>
        </w:rPr>
      </w:pPr>
      <w:r w:rsidRPr="00176A0C">
        <w:rPr>
          <w:rFonts w:ascii="Verdana" w:hAnsi="Verdana" w:eastAsia="Aptos" w:cs="Times New Roman"/>
        </w:rPr>
        <w:t xml:space="preserve">La Agencia Nacional de Contratación Pública – Colombia Compra Eficiente –, en ejercicio de las competencias otorgadas </w:t>
      </w:r>
      <w:r w:rsidRPr="00176A0C">
        <w:rPr>
          <w:rFonts w:ascii="Verdana" w:hAnsi="Verdana" w:eastAsia="Calibri" w:cs="Arial"/>
          <w:lang w:eastAsia="es-ES"/>
        </w:rPr>
        <w:t>por los artículos 3, numeral 5º, y 11, numeral 8º, del Decreto Ley 4170 de 2011,</w:t>
      </w:r>
      <w:r w:rsidRPr="00176A0C">
        <w:rPr>
          <w:rFonts w:ascii="Verdana" w:hAnsi="Verdana" w:eastAsia="Aptos" w:cs="Arial"/>
        </w:rPr>
        <w:t xml:space="preserve"> así como lo establecido en el artículo 4 de la Resolución 1707 de 2018 expedida por esta Entidad</w:t>
      </w:r>
      <w:r w:rsidRPr="00176A0C">
        <w:rPr>
          <w:rFonts w:ascii="Verdana" w:hAnsi="Verdana" w:eastAsia="Aptos" w:cs="Times New Roman"/>
        </w:rPr>
        <w:t xml:space="preserve"> y, de conformidad con las modalidades del derecho de petición contempladas en la Ley 1755 de 2015 y en la resolución </w:t>
      </w:r>
      <w:r w:rsidRPr="00176A0C">
        <w:rPr>
          <w:rFonts w:ascii="Verdana" w:hAnsi="Verdana" w:eastAsia="Times New Roman" w:cs="Segoe UI"/>
          <w:lang w:eastAsia="es-CO"/>
        </w:rPr>
        <w:t xml:space="preserve">N° 469 del 2025 </w:t>
      </w:r>
      <w:r w:rsidRPr="00176A0C">
        <w:rPr>
          <w:rFonts w:ascii="Verdana" w:hAnsi="Verdana" w:eastAsia="Aptos" w:cs="Times New Roman"/>
        </w:rPr>
        <w:t xml:space="preserve">expedida por esta Agencia, </w:t>
      </w:r>
      <w:r w:rsidRPr="00176A0C">
        <w:rPr>
          <w:rFonts w:ascii="Verdana" w:hAnsi="Verdana" w:eastAsia="Calibri" w:cs="Arial"/>
          <w:lang w:eastAsia="es-ES"/>
        </w:rPr>
        <w:t xml:space="preserve">responde su solicitud de consulta de fecha </w:t>
      </w:r>
      <w:r w:rsidR="009A4BA1">
        <w:rPr>
          <w:rFonts w:ascii="Verdana" w:hAnsi="Verdana" w:eastAsia="Calibri" w:cs="Arial"/>
          <w:lang w:eastAsia="es-ES"/>
        </w:rPr>
        <w:t>8</w:t>
      </w:r>
      <w:r w:rsidRPr="00176A0C">
        <w:rPr>
          <w:rFonts w:ascii="Verdana" w:hAnsi="Verdana" w:eastAsia="Calibri" w:cs="Arial"/>
          <w:lang w:eastAsia="es-ES"/>
        </w:rPr>
        <w:t xml:space="preserve"> </w:t>
      </w:r>
      <w:r w:rsidR="006F38F8">
        <w:rPr>
          <w:rFonts w:ascii="Verdana" w:hAnsi="Verdana" w:eastAsia="Calibri" w:cs="Arial"/>
          <w:lang w:eastAsia="es-ES"/>
        </w:rPr>
        <w:t>mayo</w:t>
      </w:r>
      <w:r w:rsidRPr="00176A0C">
        <w:rPr>
          <w:rFonts w:ascii="Verdana" w:hAnsi="Verdana" w:eastAsia="Calibri" w:cs="Arial"/>
          <w:lang w:eastAsia="es-ES"/>
        </w:rPr>
        <w:t xml:space="preserve"> del  2026, en la cual manifiesta lo siguiente</w:t>
      </w:r>
      <w:r w:rsidR="002309B5">
        <w:rPr>
          <w:rFonts w:ascii="Verdana" w:hAnsi="Verdana" w:eastAsia="Calibri" w:cs="Arial"/>
          <w:lang w:eastAsia="es-ES"/>
        </w:rPr>
        <w:t>:</w:t>
      </w:r>
    </w:p>
    <w:p w:rsidRPr="002309B5" w:rsidR="002309B5" w:rsidP="002F59B6" w:rsidRDefault="002309B5" w14:paraId="3D02EC88" w14:textId="77777777">
      <w:pPr>
        <w:spacing w:after="0" w:line="276" w:lineRule="auto"/>
        <w:jc w:val="both"/>
        <w:rPr>
          <w:rFonts w:ascii="Verdana" w:hAnsi="Verdana" w:eastAsia="Calibri" w:cs="Arial"/>
          <w:lang w:eastAsia="es-ES"/>
        </w:rPr>
      </w:pPr>
    </w:p>
    <w:p w:rsidRPr="00176A0C" w:rsidR="00176A0C" w:rsidP="002F59B6" w:rsidRDefault="00176A0C" w14:paraId="6FA573A7" w14:textId="77777777">
      <w:pPr>
        <w:autoSpaceDE w:val="0"/>
        <w:autoSpaceDN w:val="0"/>
        <w:adjustRightInd w:val="0"/>
        <w:spacing w:after="0" w:line="240" w:lineRule="auto"/>
        <w:ind w:left="709" w:right="709"/>
        <w:rPr>
          <w:rFonts w:ascii="Verdana" w:hAnsi="Verdana" w:eastAsia="Aptos" w:cs="DejaVuSansMono"/>
          <w:sz w:val="20"/>
          <w:szCs w:val="20"/>
          <w14:ligatures w14:val="standardContextual"/>
        </w:rPr>
      </w:pPr>
      <w:r w:rsidRPr="00176A0C">
        <w:rPr>
          <w:rFonts w:ascii="Verdana" w:hAnsi="Verdana" w:eastAsia="Aptos" w:cs="DejaVuSansMono"/>
          <w:sz w:val="20"/>
          <w:szCs w:val="20"/>
          <w14:ligatures w14:val="standardContextual"/>
        </w:rPr>
        <w:t>“Cordial Saludo,</w:t>
      </w:r>
    </w:p>
    <w:p w:rsidRPr="00176A0C" w:rsidR="00176A0C" w:rsidP="002F59B6" w:rsidRDefault="00176A0C" w14:paraId="3952C840" w14:textId="77777777">
      <w:pPr>
        <w:autoSpaceDE w:val="0"/>
        <w:autoSpaceDN w:val="0"/>
        <w:adjustRightInd w:val="0"/>
        <w:spacing w:after="0" w:line="240" w:lineRule="auto"/>
        <w:ind w:left="709" w:right="709"/>
        <w:rPr>
          <w:rFonts w:ascii="Verdana" w:hAnsi="Verdana" w:eastAsia="Aptos" w:cs="DejaVuSansMono"/>
          <w:sz w:val="20"/>
          <w:szCs w:val="20"/>
          <w14:ligatures w14:val="standardContextual"/>
        </w:rPr>
      </w:pPr>
    </w:p>
    <w:p w:rsidRPr="00176A0C" w:rsidR="00176A0C" w:rsidP="002F59B6" w:rsidRDefault="00176A0C" w14:paraId="37D91F62" w14:textId="77777777">
      <w:pPr>
        <w:autoSpaceDE w:val="0"/>
        <w:autoSpaceDN w:val="0"/>
        <w:adjustRightInd w:val="0"/>
        <w:spacing w:after="0" w:line="240" w:lineRule="auto"/>
        <w:ind w:left="709" w:right="709"/>
        <w:jc w:val="both"/>
        <w:rPr>
          <w:rFonts w:ascii="Verdana" w:hAnsi="Verdana" w:eastAsia="Century Gothic" w:cs="Century Gothic"/>
          <w:i/>
          <w:iCs/>
          <w:sz w:val="20"/>
          <w:szCs w:val="20"/>
          <w:lang w:val="es-ES"/>
        </w:rPr>
      </w:pPr>
      <w:r w:rsidRPr="00176A0C">
        <w:rPr>
          <w:rFonts w:ascii="Verdana" w:hAnsi="Verdana" w:eastAsia="Century Gothic" w:cs="Century Gothic"/>
          <w:i/>
          <w:iCs/>
          <w:sz w:val="20"/>
          <w:szCs w:val="20"/>
          <w:lang w:val="es-ES"/>
        </w:rPr>
        <w:t xml:space="preserve">SOLICITUD DE CONCEPTO EN EL MARCO DE LA LEY DE GARANTIAS Y UNA SUSCRIPCION DE CONVENIO ENTRE FONVIVIENDA Y EL </w:t>
      </w:r>
      <w:r w:rsidRPr="00176A0C">
        <w:rPr>
          <w:rFonts w:ascii="Verdana" w:hAnsi="Verdana" w:eastAsia="Century Gothic" w:cs="Century Gothic"/>
          <w:sz w:val="20"/>
          <w:szCs w:val="20"/>
          <w:lang w:val="es-ES"/>
        </w:rPr>
        <w:t>FONDO</w:t>
      </w:r>
      <w:r w:rsidRPr="00176A0C">
        <w:rPr>
          <w:rFonts w:ascii="Verdana" w:hAnsi="Verdana" w:eastAsia="Century Gothic" w:cs="Century Gothic"/>
          <w:i/>
          <w:iCs/>
          <w:sz w:val="20"/>
          <w:szCs w:val="20"/>
          <w:lang w:val="es-ES"/>
        </w:rPr>
        <w:t xml:space="preserve"> NACIONAL DEL AHORRO S.A:”.</w:t>
      </w:r>
    </w:p>
    <w:p w:rsidRPr="00176A0C" w:rsidR="00176A0C" w:rsidP="002F59B6" w:rsidRDefault="00176A0C" w14:paraId="1F95CE2B" w14:textId="77777777">
      <w:pPr>
        <w:spacing w:after="0" w:line="276" w:lineRule="auto"/>
        <w:ind w:left="567" w:right="758"/>
        <w:jc w:val="both"/>
        <w:rPr>
          <w:rFonts w:ascii="Verdana" w:hAnsi="Verdana" w:eastAsia="Aptos" w:cs="Times New Roman"/>
          <w:sz w:val="20"/>
          <w:szCs w:val="20"/>
        </w:rPr>
      </w:pPr>
    </w:p>
    <w:p w:rsidRPr="00176A0C" w:rsidR="00176A0C" w:rsidP="00176A0C" w:rsidRDefault="00176A0C" w14:paraId="5112F9BF" w14:textId="77777777">
      <w:pPr>
        <w:spacing w:after="120" w:line="276" w:lineRule="auto"/>
        <w:ind w:firstLine="709"/>
        <w:jc w:val="both"/>
        <w:rPr>
          <w:rFonts w:ascii="Verdana" w:hAnsi="Verdana" w:eastAsia="Calibri" w:cs="Arial"/>
          <w:color w:val="000000"/>
          <w:szCs w:val="24"/>
          <w:lang w:eastAsia="es-ES_tradnl"/>
        </w:rPr>
      </w:pPr>
      <w:r w:rsidRPr="00176A0C">
        <w:rPr>
          <w:rFonts w:ascii="Verdana" w:hAnsi="Verdana" w:eastAsia="Calibri"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rsidRPr="00176A0C" w:rsidR="00176A0C" w:rsidP="00176A0C" w:rsidRDefault="00176A0C" w14:paraId="60040215" w14:textId="77777777">
      <w:pPr>
        <w:spacing w:after="0" w:line="276" w:lineRule="auto"/>
        <w:ind w:firstLine="709"/>
        <w:jc w:val="both"/>
        <w:rPr>
          <w:rFonts w:ascii="Verdana" w:hAnsi="Verdana" w:eastAsia="Calibri" w:cs="Arial"/>
          <w:lang w:eastAsia="es-ES"/>
        </w:rPr>
      </w:pPr>
      <w:r w:rsidRPr="00176A0C">
        <w:rPr>
          <w:rFonts w:ascii="Verdana" w:hAnsi="Verdana" w:eastAsia="Calibri" w:cs="Arial"/>
          <w:color w:val="000000"/>
          <w:lang w:eastAsia="es-ES"/>
        </w:rPr>
        <w:t>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al problema jurídico de su consulta.</w:t>
      </w:r>
      <w:r w:rsidRPr="00176A0C">
        <w:rPr>
          <w:rFonts w:ascii="Verdana" w:hAnsi="Verdana" w:eastAsia="Calibri" w:cs="Arial"/>
          <w:lang w:eastAsia="es-ES"/>
        </w:rPr>
        <w:t xml:space="preserve">  </w:t>
      </w:r>
    </w:p>
    <w:p w:rsidRPr="00176A0C" w:rsidR="006F38F8" w:rsidP="002F59B6" w:rsidRDefault="006F38F8" w14:paraId="18E7E522" w14:textId="77777777">
      <w:pPr>
        <w:spacing w:after="0" w:line="276" w:lineRule="auto"/>
        <w:jc w:val="both"/>
        <w:rPr>
          <w:rFonts w:ascii="Verdana" w:hAnsi="Verdana" w:eastAsia="Calibri" w:cs="Arial"/>
          <w:lang w:eastAsia="es-ES"/>
        </w:rPr>
      </w:pPr>
    </w:p>
    <w:p w:rsidRPr="00176A0C" w:rsidR="00176A0C" w:rsidP="00176A0C" w:rsidRDefault="00176A0C" w14:paraId="25F50771" w14:textId="77777777">
      <w:pPr>
        <w:numPr>
          <w:ilvl w:val="0"/>
          <w:numId w:val="16"/>
        </w:numPr>
        <w:tabs>
          <w:tab w:val="left" w:pos="142"/>
          <w:tab w:val="left" w:pos="284"/>
        </w:tabs>
        <w:spacing w:after="0" w:line="276" w:lineRule="auto"/>
        <w:ind w:left="0" w:firstLine="0"/>
        <w:jc w:val="both"/>
        <w:rPr>
          <w:rFonts w:ascii="Verdana" w:hAnsi="Verdana" w:eastAsia="Century Gothic" w:cs="Century Gothic"/>
          <w:b/>
          <w:bCs/>
        </w:rPr>
      </w:pPr>
      <w:r w:rsidRPr="00176A0C">
        <w:rPr>
          <w:rFonts w:ascii="Verdana" w:hAnsi="Verdana" w:eastAsia="Century Gothic" w:cs="Century Gothic"/>
          <w:b/>
          <w:bCs/>
        </w:rPr>
        <w:t>Problema planteado:</w:t>
      </w:r>
    </w:p>
    <w:p w:rsidRPr="00176A0C" w:rsidR="00176A0C" w:rsidP="00176A0C" w:rsidRDefault="00176A0C" w14:paraId="442B3877" w14:textId="77777777">
      <w:pPr>
        <w:tabs>
          <w:tab w:val="left" w:pos="142"/>
          <w:tab w:val="left" w:pos="284"/>
        </w:tabs>
        <w:spacing w:after="0" w:line="240" w:lineRule="auto"/>
        <w:jc w:val="both"/>
        <w:rPr>
          <w:rFonts w:ascii="Verdana" w:hAnsi="Verdana" w:eastAsia="Century Gothic" w:cs="Century Gothic"/>
          <w:b/>
          <w:bCs/>
        </w:rPr>
      </w:pPr>
    </w:p>
    <w:p w:rsidRPr="00176A0C" w:rsidR="00176A0C" w:rsidP="00176A0C" w:rsidRDefault="00176A0C" w14:paraId="492212D5" w14:textId="77777777">
      <w:pPr>
        <w:spacing w:after="0" w:line="276" w:lineRule="auto"/>
        <w:jc w:val="both"/>
        <w:rPr>
          <w:rFonts w:ascii="Verdana" w:hAnsi="Verdana" w:eastAsia="Century Gothic" w:cs="Century Gothic"/>
        </w:rPr>
      </w:pPr>
      <w:r w:rsidRPr="00176A0C">
        <w:rPr>
          <w:rFonts w:ascii="Verdana" w:hAnsi="Verdana" w:eastAsia="Calibri" w:cs="Arial"/>
          <w:color w:val="000000"/>
          <w:lang w:eastAsia="es-ES"/>
        </w:rPr>
        <w:t xml:space="preserve">De acuerdo con el contenido de su solicitud, esta Agencia resolverá el siguiente problema jurídico: </w:t>
      </w:r>
      <w:r w:rsidRPr="00176A0C">
        <w:rPr>
          <w:rFonts w:ascii="Verdana" w:hAnsi="Verdana" w:eastAsia="Century Gothic" w:cs="Century Gothic"/>
        </w:rPr>
        <w:t>¿Es jurídicamente procedente la suscripción de un convenio entre el Fondo Nacional de Vivienda (Fonvivienda) y el Fondo Nacional del Ahorro S.A. durante la vigencia de las restricciones previstas en la Ley 996 de 2005, y cuál es la naturaleza jurídica de dicho instrumento para efectos de determinar la aplicación de las prohibiciones establecidas en la Ley de Garantías Electorales?</w:t>
      </w:r>
    </w:p>
    <w:p w:rsidRPr="00176A0C" w:rsidR="002309B5" w:rsidP="00176A0C" w:rsidRDefault="002309B5" w14:paraId="6D649C7E" w14:textId="77777777">
      <w:pPr>
        <w:spacing w:after="0" w:line="276" w:lineRule="auto"/>
        <w:jc w:val="both"/>
        <w:rPr>
          <w:rFonts w:ascii="Verdana" w:hAnsi="Verdana" w:eastAsia="Century Gothic" w:cs="Century Gothic"/>
        </w:rPr>
      </w:pPr>
    </w:p>
    <w:p w:rsidRPr="00176A0C" w:rsidR="00176A0C" w:rsidP="00176A0C" w:rsidRDefault="00176A0C" w14:paraId="226154D8" w14:textId="77777777">
      <w:pPr>
        <w:spacing w:after="120" w:line="276" w:lineRule="auto"/>
        <w:jc w:val="both"/>
        <w:rPr>
          <w:rFonts w:ascii="Verdana" w:hAnsi="Verdana" w:eastAsia="Century Gothic" w:cs="Century Gothic"/>
          <w:b/>
          <w:bCs/>
        </w:rPr>
      </w:pPr>
      <w:r w:rsidRPr="00176A0C">
        <w:rPr>
          <w:rFonts w:ascii="Verdana" w:hAnsi="Verdana" w:eastAsia="Century Gothic" w:cs="Century Gothic"/>
          <w:b/>
          <w:bCs/>
        </w:rPr>
        <w:t>2. Respuesta:</w:t>
      </w:r>
    </w:p>
    <w:p w:rsidRPr="00176A0C" w:rsidR="00176A0C" w:rsidP="00176A0C" w:rsidRDefault="00176A0C" w14:paraId="0B009ECA" w14:textId="77777777">
      <w:pPr>
        <w:spacing w:after="0" w:line="240" w:lineRule="auto"/>
        <w:jc w:val="both"/>
        <w:rPr>
          <w:rFonts w:ascii="Verdana" w:hAnsi="Verdana" w:eastAsia="Century Gothic" w:cs="Century Gothic"/>
          <w:b/>
          <w:bCs/>
        </w:rPr>
      </w:pPr>
    </w:p>
    <w:tbl>
      <w:tblPr>
        <w:tblStyle w:val="Tablaconcuadrcula"/>
        <w:tblW w:w="0" w:type="auto"/>
        <w:tblLook w:val="04A0" w:firstRow="1" w:lastRow="0" w:firstColumn="1" w:lastColumn="0" w:noHBand="0" w:noVBand="1"/>
      </w:tblPr>
      <w:tblGrid>
        <w:gridCol w:w="8828"/>
      </w:tblGrid>
      <w:tr w:rsidRPr="00176A0C" w:rsidR="00176A0C" w:rsidTr="00C9366E" w14:paraId="3D46534F" w14:textId="77777777">
        <w:tc>
          <w:tcPr>
            <w:tcW w:w="8828" w:type="dxa"/>
          </w:tcPr>
          <w:p w:rsidRPr="00176A0C" w:rsidR="00176A0C" w:rsidP="00176A0C" w:rsidRDefault="00176A0C" w14:paraId="31D86754" w14:textId="77777777">
            <w:pPr>
              <w:spacing w:after="120" w:line="276" w:lineRule="auto"/>
              <w:jc w:val="both"/>
              <w:rPr>
                <w:rFonts w:ascii="Verdana" w:hAnsi="Verdana" w:eastAsia="Calibri" w:cs="Arial"/>
                <w:lang w:eastAsia="es-ES"/>
              </w:rPr>
            </w:pPr>
            <w:r w:rsidRPr="00176A0C">
              <w:rPr>
                <w:rFonts w:ascii="Verdana" w:hAnsi="Verdana" w:eastAsia="Calibri" w:cs="Arial"/>
                <w:lang w:eastAsia="es-ES"/>
              </w:rPr>
              <w:t xml:space="preserve">Las restricciones contenidas en el artículo 33 de la Ley 996 de 2005 aplican para “la contratación directa” de todos los entes del Estado, </w:t>
            </w:r>
            <w:r w:rsidRPr="00176A0C">
              <w:rPr>
                <w:rFonts w:ascii="Verdana" w:hAnsi="Verdana" w:eastAsia="Aptos" w:cs="Arial"/>
                <w:color w:val="000000"/>
                <w:lang w:val="es-MX"/>
              </w:rPr>
              <w:t xml:space="preserve">sin distinción del régimen jurídico, forma de organización o naturaleza, su pertenencia a una u </w:t>
            </w:r>
            <w:r w:rsidRPr="00176A0C">
              <w:rPr>
                <w:rFonts w:ascii="Verdana" w:hAnsi="Verdana" w:eastAsia="Aptos" w:cs="Arial"/>
                <w:color w:val="000000"/>
                <w:lang w:val="es-MX"/>
              </w:rPr>
              <w:t xml:space="preserve">otra rama del poder público o su autonomía, e incluso si las entidades estatales tienen régimen especial de contratación y están exceptuadas del ámbito de aplicación del Estatuto General de Contratación de la Administración Pública. </w:t>
            </w:r>
            <w:r w:rsidRPr="00176A0C">
              <w:rPr>
                <w:rFonts w:ascii="Verdana" w:hAnsi="Verdana" w:eastAsia="Calibri" w:cs="Arial"/>
                <w:lang w:eastAsia="es-ES"/>
              </w:rPr>
              <w:t xml:space="preserve"> </w:t>
            </w:r>
          </w:p>
          <w:p w:rsidRPr="00176A0C" w:rsidR="00176A0C" w:rsidP="00176A0C" w:rsidRDefault="00176A0C" w14:paraId="5600C0FB" w14:textId="77777777">
            <w:pPr>
              <w:spacing w:after="120" w:line="276" w:lineRule="auto"/>
              <w:jc w:val="both"/>
              <w:rPr>
                <w:rFonts w:ascii="Verdana" w:hAnsi="Verdana" w:eastAsia="Calibri" w:cs="Arial"/>
                <w:lang w:eastAsia="es-ES"/>
              </w:rPr>
            </w:pPr>
            <w:r w:rsidRPr="00176A0C">
              <w:rPr>
                <w:rFonts w:ascii="Verdana" w:hAnsi="Verdana" w:eastAsia="Calibri" w:cs="Arial"/>
                <w:lang w:eastAsia="es-ES"/>
              </w:rPr>
              <w:t xml:space="preserve">Se trata de la prohibición de </w:t>
            </w:r>
            <w:r w:rsidRPr="00176A0C">
              <w:rPr>
                <w:rFonts w:ascii="Verdana" w:hAnsi="Verdana" w:eastAsia="Aptos" w:cs="Arial"/>
                <w:bCs/>
                <w:lang w:eastAsia="x-none"/>
              </w:rPr>
              <w:t>aquellos contratos en los que no exista un proceso abierto y competitivo.</w:t>
            </w:r>
            <w:r w:rsidRPr="00176A0C">
              <w:rPr>
                <w:rFonts w:ascii="Verdana" w:hAnsi="Verdana" w:eastAsia="Aptos" w:cs="Arial"/>
                <w:lang w:eastAsia="x-none"/>
              </w:rPr>
              <w:t xml:space="preserve"> Por lo tanto, no son materia de la prohibición las demás modalidades de selección previstas en la Ley 1150 de 2007, esto es, la licitación pública, el concurso de méritos, la selección abreviada y la contratación de mínima cuantía. Adicionalmente, la celebración de la contratación directa </w:t>
            </w:r>
            <w:r w:rsidRPr="00176A0C">
              <w:rPr>
                <w:rFonts w:ascii="Verdana" w:hAnsi="Verdana" w:eastAsia="Calibri" w:cs="Arial"/>
                <w:lang w:eastAsia="es-ES"/>
              </w:rPr>
              <w:t xml:space="preserve">no se encuentra condicionada por la ejecución de recursos en el marco de los respectivos contratos o el origen de estos, de manera que aplica las restricciones independientemente de que el contrato implique o no la ejecución de recursos o si los recursos destinados son de naturaleza pública o privada. </w:t>
            </w:r>
          </w:p>
          <w:p w:rsidRPr="00176A0C" w:rsidR="00176A0C" w:rsidP="00176A0C" w:rsidRDefault="00176A0C" w14:paraId="75F83140" w14:textId="77777777">
            <w:pPr>
              <w:spacing w:after="120" w:line="276" w:lineRule="auto"/>
              <w:ind w:firstLine="709"/>
              <w:jc w:val="both"/>
              <w:rPr>
                <w:rFonts w:ascii="Verdana" w:hAnsi="Verdana" w:eastAsia="Calibri" w:cs="Arial"/>
                <w:lang w:eastAsia="es-ES"/>
              </w:rPr>
            </w:pPr>
            <w:r w:rsidRPr="00176A0C">
              <w:rPr>
                <w:rFonts w:ascii="Verdana" w:hAnsi="Verdana" w:eastAsia="Calibri" w:cs="Arial"/>
                <w:lang w:eastAsia="es-ES"/>
              </w:rPr>
              <w:t xml:space="preserve">Por su parte, la entidad definirá si la contratación que pretende celebrar se enmarca en alguna de las excepciones definidas en el artículo 33 de la Ley 996 de 2005, esto es, que se pretenda cubrir emergencias sanitarias o los que deban realizar las entidades sanitarias y hospitalarias, de tal manera que las excepciones contempladas no permiten efectuar una interpretación extensiva para incluir otros supuestos. </w:t>
            </w:r>
          </w:p>
          <w:p w:rsidRPr="00176A0C" w:rsidR="00176A0C" w:rsidP="00176A0C" w:rsidRDefault="00176A0C" w14:paraId="4D865CCF" w14:textId="7636464D">
            <w:pPr>
              <w:spacing w:after="120" w:line="276" w:lineRule="auto"/>
              <w:ind w:firstLine="709"/>
              <w:jc w:val="both"/>
              <w:rPr>
                <w:rFonts w:ascii="Verdana" w:hAnsi="Verdana" w:eastAsia="Calibri" w:cs="Arial"/>
                <w:lang w:eastAsia="es-ES"/>
              </w:rPr>
            </w:pPr>
            <w:r w:rsidRPr="00176A0C">
              <w:rPr>
                <w:rFonts w:ascii="Verdana" w:hAnsi="Verdana" w:eastAsia="Calibri" w:cs="Arial"/>
                <w:lang w:eastAsia="es-ES"/>
              </w:rPr>
              <w:t xml:space="preserve">De otro lado, la restricción definida en el artículo 38 de la Ley 996 </w:t>
            </w:r>
            <w:r w:rsidR="00524ED1">
              <w:rPr>
                <w:rFonts w:ascii="Verdana" w:hAnsi="Verdana" w:eastAsia="Calibri" w:cs="Arial"/>
                <w:lang w:eastAsia="es-ES"/>
              </w:rPr>
              <w:t xml:space="preserve">prohíbe a </w:t>
            </w:r>
            <w:r w:rsidRPr="00176A0C" w:rsidR="00524ED1">
              <w:rPr>
                <w:rFonts w:ascii="Verdana" w:hAnsi="Verdana" w:eastAsia="Calibri" w:cs="Arial"/>
                <w:lang w:eastAsia="es-ES"/>
              </w:rPr>
              <w:t>los gobernadores, secretarios, gerentes y directores de las entidades del orden municipal, departamental o distrital celebrar convenios interadministrativos para la ejecución de recursos</w:t>
            </w:r>
            <w:r w:rsidRPr="00176A0C">
              <w:rPr>
                <w:rFonts w:ascii="Verdana" w:hAnsi="Verdana" w:eastAsia="Calibri" w:cs="Arial"/>
                <w:lang w:eastAsia="es-ES"/>
              </w:rPr>
              <w:t xml:space="preserve">, independientemente de que se configuren los supuestos de excepción que señala en artículo 33 de la misma ley. </w:t>
            </w:r>
          </w:p>
          <w:p w:rsidRPr="00176A0C" w:rsidR="00176A0C" w:rsidP="00176A0C" w:rsidRDefault="00176A0C" w14:paraId="36A35514" w14:textId="77777777">
            <w:pPr>
              <w:spacing w:after="120" w:line="276" w:lineRule="auto"/>
              <w:ind w:firstLine="709"/>
              <w:jc w:val="both"/>
              <w:rPr>
                <w:rFonts w:ascii="Verdana" w:hAnsi="Verdana" w:eastAsia="Calibri" w:cs="Arial"/>
                <w:lang w:eastAsia="es-ES"/>
              </w:rPr>
            </w:pPr>
            <w:r w:rsidRPr="00176A0C">
              <w:rPr>
                <w:rFonts w:ascii="Verdana" w:hAnsi="Verdana" w:eastAsia="Calibri" w:cs="Arial"/>
                <w:lang w:eastAsia="es-ES"/>
              </w:rPr>
              <w:t xml:space="preserve">Por último, la posición definida en las decisiones adoptadas por la Sección Tercera del Consejo de Estado se enmarcó en la imposibilidad de extender la aplicación de la restricción a los contratos interadministrativos que, en vigencia de la prohibición del parágrafo del artículo 38 de la Ley de Garantías Electorales se trata, esto es, en las elecciones distintas a las presidenciales. Específicamente, en la sentencia del 17 de octubre de 2025, el alto tribunal declaró la nulidad parcial del numeral 16.2 de la Circular Externa Única de 2022, por lo tanto, cuando dos entidades públicas celebran un contrato interadministrativo, independientemente del objeto, dicho contrato puede suscribirse durante el periodo preelectoral. </w:t>
            </w:r>
          </w:p>
          <w:p w:rsidRPr="00176A0C" w:rsidR="00176A0C" w:rsidP="00176A0C" w:rsidRDefault="00543F60" w14:paraId="3303BEFA" w14:textId="6004D3B7">
            <w:pPr>
              <w:spacing w:after="120" w:line="276" w:lineRule="auto"/>
              <w:ind w:firstLine="709"/>
              <w:jc w:val="both"/>
              <w:rPr>
                <w:rFonts w:ascii="Verdana" w:hAnsi="Verdana" w:eastAsia="Arial" w:cs="Arial"/>
                <w:bCs/>
                <w:color w:val="000000"/>
              </w:rPr>
            </w:pPr>
            <w:r>
              <w:rPr>
                <w:rFonts w:ascii="Verdana" w:hAnsi="Verdana" w:eastAsia="Arial" w:cs="Arial"/>
                <w:bCs/>
                <w:color w:val="000000"/>
              </w:rPr>
              <w:t xml:space="preserve">Asi las cosas, </w:t>
            </w:r>
            <w:r w:rsidRPr="00176A0C" w:rsidR="00176A0C">
              <w:rPr>
                <w:rFonts w:ascii="Verdana" w:hAnsi="Verdana" w:eastAsia="Arial" w:cs="Arial"/>
                <w:bCs/>
                <w:color w:val="000000"/>
              </w:rPr>
              <w:t xml:space="preserve">respecto a la prohibición del </w:t>
            </w:r>
            <w:r w:rsidRPr="00176A0C" w:rsidR="00176A0C">
              <w:rPr>
                <w:rFonts w:ascii="Verdana" w:hAnsi="Verdana" w:eastAsia="Arial" w:cs="Arial"/>
                <w:bCs/>
                <w:i/>
                <w:iCs/>
                <w:color w:val="000000"/>
              </w:rPr>
              <w:t>parágrafo del artículo 38</w:t>
            </w:r>
            <w:r w:rsidRPr="00176A0C" w:rsidR="00176A0C">
              <w:rPr>
                <w:rFonts w:ascii="Verdana" w:hAnsi="Verdana" w:eastAsia="Arial" w:cs="Arial"/>
                <w:bCs/>
                <w:color w:val="000000"/>
              </w:rPr>
              <w:t xml:space="preserve">, es necesario verificar si la contratación es llevada a cabo por los “Alcaldes, Gobernadores, Secretarios, Gerentes y Directores de las entidades del orden municipal, departamental o distrital”; así como determinar si lo que pretende adelantar es un convenio interadministrativo para la ejecución de recursos públicos. Cuando este sea el caso, operará la restricción señalada en el parágrafo y estará prohibido llevar a cabo la celebración de convenios interadministrativos en los cuatro </w:t>
            </w:r>
            <w:r w:rsidR="00524ED1">
              <w:rPr>
                <w:rFonts w:ascii="Verdana" w:hAnsi="Verdana" w:eastAsia="Arial" w:cs="Arial"/>
                <w:bCs/>
                <w:color w:val="000000"/>
              </w:rPr>
              <w:t xml:space="preserve">(4) </w:t>
            </w:r>
            <w:r w:rsidRPr="00176A0C" w:rsidR="00176A0C">
              <w:rPr>
                <w:rFonts w:ascii="Verdana" w:hAnsi="Verdana" w:eastAsia="Arial" w:cs="Arial"/>
                <w:bCs/>
                <w:color w:val="000000"/>
              </w:rPr>
              <w:t xml:space="preserve">meses anteriores a cualquier contienda electoral. En este aspecto, se encuentra que la restricción para la celebración de convenios interadministrativos para la ejecución de recursos públicos no puede aludirse a contratantes o contratistas, sino de partes cooperantes o colaboradoras. </w:t>
            </w:r>
          </w:p>
          <w:p w:rsidRPr="00176A0C" w:rsidR="00176A0C" w:rsidP="00176A0C" w:rsidRDefault="00176A0C" w14:paraId="31C24713" w14:textId="77777777">
            <w:pPr>
              <w:spacing w:before="120" w:after="120" w:line="276" w:lineRule="auto"/>
              <w:jc w:val="both"/>
              <w:rPr>
                <w:rFonts w:ascii="Verdana" w:hAnsi="Verdana" w:eastAsia="Arial" w:cs="Arial"/>
                <w:bCs/>
                <w:color w:val="000000"/>
              </w:rPr>
            </w:pPr>
            <w:r w:rsidRPr="00176A0C">
              <w:rPr>
                <w:rFonts w:ascii="Verdana" w:hAnsi="Verdana" w:eastAsia="Arial" w:cs="Arial"/>
                <w:bCs/>
                <w:color w:val="000000"/>
                <w:lang w:val="es-MX"/>
              </w:rPr>
              <w:tab/>
            </w:r>
            <w:r w:rsidRPr="00176A0C">
              <w:rPr>
                <w:rFonts w:ascii="Verdana" w:hAnsi="Verdana" w:eastAsia="Arial" w:cs="Arial"/>
                <w:bCs/>
                <w:color w:val="000000"/>
                <w:lang w:val="es-MX"/>
              </w:rPr>
              <w:t xml:space="preserve">En cuanto a la celebración de contratos interadministrativos ya no es aplicable la restricción del parágrafo del artículo 38, según la sentencia precitada en consideraciones previas, pero sujeto a las restricciones del artículo 33 si se adelanta la contratación de forma directa, esto es, un procedimiento no competitivo. </w:t>
            </w:r>
            <w:r w:rsidRPr="00176A0C">
              <w:rPr>
                <w:rFonts w:ascii="Verdana" w:hAnsi="Verdana" w:eastAsia="Arial" w:cs="Arial"/>
                <w:bCs/>
                <w:color w:val="000000"/>
              </w:rPr>
              <w:t>En todo caso, vale anotar que es responsabilidad del respectivo ente del Estado examinar en cada caso la naturaleza de las actividades que adelanta y justificar si las mismas se enmarcan en alguna de las excepciones, de manera que pueda realizar la contratación directa durante el periodo de la prohibición. Igualmente, le corresponde a cada entidad establecer si el instrumento jurídico que se pretende suscribir tiene la naturaleza de contrato o de convenio interadministrativo para la ejecución de recursos públicos. En este último supuesto, resulta aplicable la prohibición contenida en el parágrafo del artículo 38 de la Ley de Garantías Electorales, conforme se explicó.</w:t>
            </w:r>
          </w:p>
          <w:p w:rsidRPr="00176A0C" w:rsidR="00176A0C" w:rsidP="00176A0C" w:rsidRDefault="00176A0C" w14:paraId="052D7DF8" w14:textId="77777777">
            <w:pPr>
              <w:spacing w:after="120" w:line="276" w:lineRule="auto"/>
              <w:ind w:firstLine="709"/>
              <w:jc w:val="both"/>
              <w:rPr>
                <w:rFonts w:ascii="Verdana" w:hAnsi="Verdana" w:eastAsia="Calibri" w:cs="Arial"/>
                <w:lang w:val="es-ES" w:eastAsia="es-ES"/>
              </w:rPr>
            </w:pPr>
            <w:r w:rsidRPr="00176A0C">
              <w:rPr>
                <w:rFonts w:ascii="Verdana" w:hAnsi="Verdana" w:eastAsia="Calibri" w:cs="Arial"/>
              </w:rPr>
              <w:t>En particular, cada Entidad Estatal deberá realizar el correspondiente análisis para determinar si aplica o no una determinada excepción a la prohibición del artículo 33 de la Ley de Garantías Electorales, según la situación fáctica y jurídica particular del caso concreto, para lo cual las consideraciones expuestas en el presente concepto constituyen un instrumento orientador. De ser es procedente la excepción, la entidad podrá realizar la contratación directa justificando las razones que avalan su procedencia</w:t>
            </w:r>
            <w:r w:rsidRPr="00176A0C">
              <w:rPr>
                <w:rFonts w:ascii="Verdana" w:hAnsi="Verdana" w:eastAsia="Aptos" w:cs="Arial"/>
                <w:lang w:eastAsia="es-CO"/>
              </w:rPr>
              <w:t xml:space="preserve">. Por el contrario, si el estudio determina que no aplica excepción alguna estará vedada la celebración de contratos de manera directa. Lo </w:t>
            </w:r>
            <w:r w:rsidRPr="00176A0C">
              <w:rPr>
                <w:rFonts w:ascii="Verdana" w:hAnsi="Verdana" w:eastAsia="Aptos" w:cs="Arial"/>
                <w:lang w:eastAsia="es-CO"/>
              </w:rPr>
              <w:t>anterior, sin perjuicio de la prohibición establecida en el parágrafo del artículo 38 de la Ley de Garantías Electorales.</w:t>
            </w:r>
          </w:p>
        </w:tc>
      </w:tr>
    </w:tbl>
    <w:p w:rsidRPr="00176A0C" w:rsidR="00176A0C" w:rsidP="00176A0C" w:rsidRDefault="00176A0C" w14:paraId="4DF6CABA" w14:textId="77777777">
      <w:pPr>
        <w:tabs>
          <w:tab w:val="left" w:pos="142"/>
          <w:tab w:val="left" w:pos="284"/>
        </w:tabs>
        <w:spacing w:after="0" w:line="276" w:lineRule="auto"/>
        <w:jc w:val="both"/>
        <w:rPr>
          <w:rFonts w:ascii="Verdana" w:hAnsi="Verdana" w:eastAsia="Century Gothic" w:cs="Century Gothic"/>
          <w:b/>
          <w:bCs/>
        </w:rPr>
      </w:pPr>
    </w:p>
    <w:p w:rsidRPr="00176A0C" w:rsidR="00176A0C" w:rsidP="00176A0C" w:rsidRDefault="00176A0C" w14:paraId="0FCC10EC" w14:textId="77777777">
      <w:pPr>
        <w:tabs>
          <w:tab w:val="left" w:pos="142"/>
          <w:tab w:val="left" w:pos="284"/>
        </w:tabs>
        <w:spacing w:after="0" w:line="276" w:lineRule="auto"/>
        <w:jc w:val="both"/>
        <w:rPr>
          <w:rFonts w:ascii="Verdana" w:hAnsi="Verdana" w:eastAsia="Century Gothic" w:cs="Century Gothic"/>
          <w:b/>
          <w:bCs/>
        </w:rPr>
      </w:pPr>
      <w:r w:rsidRPr="00176A0C">
        <w:rPr>
          <w:rFonts w:ascii="Verdana" w:hAnsi="Verdana" w:eastAsia="Century Gothic" w:cs="Century Gothic"/>
          <w:b/>
          <w:bCs/>
        </w:rPr>
        <w:t>3. Razones de la respuesta:</w:t>
      </w:r>
    </w:p>
    <w:p w:rsidRPr="00176A0C" w:rsidR="00176A0C" w:rsidP="00176A0C" w:rsidRDefault="00176A0C" w14:paraId="22B1EEED" w14:textId="77777777">
      <w:pPr>
        <w:tabs>
          <w:tab w:val="left" w:pos="142"/>
          <w:tab w:val="left" w:pos="284"/>
        </w:tabs>
        <w:spacing w:after="0" w:line="240" w:lineRule="auto"/>
        <w:jc w:val="both"/>
        <w:rPr>
          <w:rFonts w:ascii="Verdana" w:hAnsi="Verdana" w:eastAsia="Calibri" w:cs="Arial"/>
        </w:rPr>
      </w:pPr>
    </w:p>
    <w:p w:rsidRPr="00176A0C" w:rsidR="00176A0C" w:rsidP="00176A0C" w:rsidRDefault="00176A0C" w14:paraId="1F27AEA0" w14:textId="77777777">
      <w:pPr>
        <w:tabs>
          <w:tab w:val="left" w:pos="142"/>
          <w:tab w:val="left" w:pos="284"/>
          <w:tab w:val="left" w:pos="6975"/>
        </w:tabs>
        <w:spacing w:after="0" w:line="276" w:lineRule="auto"/>
        <w:jc w:val="both"/>
        <w:rPr>
          <w:rFonts w:ascii="Verdana" w:hAnsi="Verdana" w:eastAsia="Calibri" w:cs="Arial"/>
        </w:rPr>
      </w:pPr>
      <w:r w:rsidRPr="00176A0C">
        <w:rPr>
          <w:rFonts w:ascii="Verdana" w:hAnsi="Verdana" w:eastAsia="Calibri" w:cs="Arial"/>
        </w:rPr>
        <w:t>Lo anterior se sustenta en las siguientes consideraciones:</w:t>
      </w:r>
      <w:r w:rsidRPr="00176A0C">
        <w:rPr>
          <w:rFonts w:ascii="Verdana" w:hAnsi="Verdana" w:eastAsia="Calibri" w:cs="Arial"/>
        </w:rPr>
        <w:tab/>
      </w:r>
    </w:p>
    <w:p w:rsidRPr="00176A0C" w:rsidR="00176A0C" w:rsidP="00176A0C" w:rsidRDefault="00176A0C" w14:paraId="5062F043" w14:textId="77777777">
      <w:pPr>
        <w:tabs>
          <w:tab w:val="left" w:pos="142"/>
          <w:tab w:val="left" w:pos="284"/>
          <w:tab w:val="left" w:pos="6912"/>
        </w:tabs>
        <w:spacing w:after="0" w:line="240" w:lineRule="auto"/>
        <w:jc w:val="both"/>
        <w:rPr>
          <w:rFonts w:ascii="Verdana" w:hAnsi="Verdana" w:eastAsia="Times New Roman" w:cs="Arial"/>
          <w:bCs/>
          <w:lang w:eastAsia="es-CO"/>
        </w:rPr>
      </w:pPr>
    </w:p>
    <w:p w:rsidRPr="00176A0C" w:rsidR="00176A0C" w:rsidP="00176A0C" w:rsidRDefault="00176A0C" w14:paraId="7EA826C2" w14:textId="77777777">
      <w:pPr>
        <w:tabs>
          <w:tab w:val="left" w:pos="142"/>
          <w:tab w:val="left" w:pos="284"/>
          <w:tab w:val="left" w:pos="6912"/>
        </w:tabs>
        <w:spacing w:after="120" w:line="276" w:lineRule="auto"/>
        <w:jc w:val="both"/>
        <w:rPr>
          <w:rFonts w:ascii="Verdana" w:hAnsi="Verdana" w:eastAsia="Times New Roman" w:cs="Arial"/>
          <w:bCs/>
          <w:lang w:eastAsia="es-CO"/>
        </w:rPr>
      </w:pPr>
      <w:r w:rsidRPr="00176A0C">
        <w:rPr>
          <w:rFonts w:ascii="Verdana" w:hAnsi="Verdana" w:eastAsia="Times New Roman" w:cs="Arial"/>
          <w:bCs/>
          <w:lang w:eastAsia="es-CO"/>
        </w:rPr>
        <w:t>El ordenamiento jurídico colombiano contempla previsiones claras para evitar la obtención de beneficios personales en asuntos propios de la administración pública. Por ejemplo, el artículo 127 de la Constitución Política establece una prohibición contractual a los servidores públicos y en cuanto a aspectos políticos establece restricciones a ciertos empleados del Estado, incluso en época no electoral</w:t>
      </w:r>
      <w:r w:rsidRPr="00176A0C">
        <w:rPr>
          <w:rFonts w:ascii="Verdana" w:hAnsi="Verdana" w:eastAsia="Calibri" w:cs="Arial"/>
          <w:bCs/>
          <w:vertAlign w:val="superscript"/>
        </w:rPr>
        <w:footnoteReference w:id="1"/>
      </w:r>
      <w:r w:rsidRPr="00176A0C">
        <w:rPr>
          <w:rFonts w:ascii="Verdana" w:hAnsi="Verdana" w:eastAsia="Calibri" w:cs="Arial"/>
          <w:bCs/>
        </w:rPr>
        <w:t xml:space="preserve">. </w:t>
      </w:r>
    </w:p>
    <w:p w:rsidRPr="00176A0C" w:rsidR="00176A0C" w:rsidP="00176A0C" w:rsidRDefault="00176A0C" w14:paraId="13E3DA50" w14:textId="77777777">
      <w:pPr>
        <w:tabs>
          <w:tab w:val="left" w:pos="426"/>
        </w:tabs>
        <w:spacing w:after="120" w:line="276" w:lineRule="auto"/>
        <w:ind w:firstLine="709"/>
        <w:jc w:val="both"/>
        <w:rPr>
          <w:rFonts w:ascii="Verdana" w:hAnsi="Verdana" w:eastAsia="Calibri" w:cs="Arial"/>
          <w:noProof/>
          <w:lang w:val="es-ES_tradnl"/>
        </w:rPr>
      </w:pPr>
      <w:r w:rsidRPr="00176A0C">
        <w:rPr>
          <w:rFonts w:ascii="Verdana" w:hAnsi="Verdana" w:eastAsia="Times New Roman" w:cs="Arial"/>
          <w:bCs/>
          <w:lang w:eastAsia="es-CO"/>
        </w:rPr>
        <w:t>En el mismo sentido, 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176A0C">
        <w:rPr>
          <w:rFonts w:ascii="Verdana" w:hAnsi="Verdana" w:eastAsia="Times New Roman" w:cs="Arial"/>
          <w:bCs/>
          <w:vertAlign w:val="superscript"/>
          <w:lang w:eastAsia="es-CO"/>
        </w:rPr>
        <w:footnoteReference w:id="2"/>
      </w:r>
      <w:r w:rsidRPr="00176A0C">
        <w:rPr>
          <w:rFonts w:ascii="Verdana" w:hAnsi="Verdana" w:eastAsia="Times New Roman" w:cs="Arial"/>
          <w:bCs/>
          <w:lang w:eastAsia="es-CO"/>
        </w:rPr>
        <w:t>. En esta medida, introduce limitaciones para realizar nombramientos, postulaciones, contrataciones o cualquier otro tipo de actividad que implique destinación de recursos públicos bajo el devenir propio de las entidades estatales.</w:t>
      </w:r>
      <w:r w:rsidRPr="00176A0C">
        <w:rPr>
          <w:rFonts w:ascii="Verdana" w:hAnsi="Verdana" w:eastAsia="Calibri" w:cs="Arial"/>
          <w:noProof/>
          <w:lang w:val="es-ES_tradnl"/>
        </w:rPr>
        <w:t xml:space="preserve"> </w:t>
      </w:r>
    </w:p>
    <w:p w:rsidRPr="00176A0C" w:rsidR="00176A0C" w:rsidP="0016793A" w:rsidRDefault="00176A0C" w14:paraId="273AF007" w14:textId="77777777">
      <w:pPr>
        <w:tabs>
          <w:tab w:val="left" w:pos="426"/>
        </w:tabs>
        <w:spacing w:after="0" w:line="276" w:lineRule="auto"/>
        <w:ind w:firstLine="709"/>
        <w:jc w:val="both"/>
        <w:rPr>
          <w:rFonts w:ascii="Verdana" w:hAnsi="Verdana" w:eastAsia="Times New Roman" w:cs="Arial"/>
          <w:bCs/>
          <w:lang w:eastAsia="es-CO"/>
        </w:rPr>
      </w:pPr>
      <w:r w:rsidRPr="00176A0C">
        <w:rPr>
          <w:rFonts w:ascii="Verdana" w:hAnsi="Verdana" w:eastAsia="Times New Roman" w:cs="Arial"/>
          <w:bCs/>
          <w:lang w:eastAsia="es-CO"/>
        </w:rPr>
        <w:t>En armonía con lo anterior, la Corte Constitucional ha abordado la definición de la Ley de Garantías Electorales. De esta manera, explica que tiene como propósito:</w:t>
      </w:r>
    </w:p>
    <w:p w:rsidRPr="00176A0C" w:rsidR="0016793A" w:rsidP="002F59B6" w:rsidRDefault="0016793A" w14:paraId="69644886" w14:textId="77777777">
      <w:pPr>
        <w:tabs>
          <w:tab w:val="left" w:pos="426"/>
        </w:tabs>
        <w:spacing w:after="0" w:line="276" w:lineRule="auto"/>
        <w:ind w:firstLine="709"/>
        <w:jc w:val="both"/>
        <w:rPr>
          <w:rFonts w:ascii="Verdana" w:hAnsi="Verdana" w:eastAsia="Times New Roman" w:cs="Arial"/>
          <w:bCs/>
          <w:lang w:eastAsia="es-CO"/>
        </w:rPr>
      </w:pPr>
    </w:p>
    <w:p w:rsidRPr="00176A0C" w:rsidR="00176A0C" w:rsidP="00176A0C" w:rsidRDefault="00176A0C" w14:paraId="1B170287" w14:textId="77777777">
      <w:pPr>
        <w:spacing w:after="0" w:line="240" w:lineRule="auto"/>
        <w:ind w:left="709" w:right="709"/>
        <w:jc w:val="both"/>
        <w:rPr>
          <w:rFonts w:ascii="Verdana" w:hAnsi="Verdana" w:eastAsia="Times New Roman" w:cs="Arial"/>
          <w:sz w:val="20"/>
          <w:szCs w:val="20"/>
          <w:lang w:val="es-ES" w:eastAsia="es-CO"/>
        </w:rPr>
      </w:pPr>
      <w:r w:rsidRPr="00176A0C">
        <w:rPr>
          <w:rFonts w:ascii="Verdana" w:hAnsi="Verdana" w:eastAsia="Times New Roman" w:cs="Arial"/>
          <w:sz w:val="20"/>
          <w:szCs w:val="20"/>
          <w:lang w:val="es-ES" w:eastAsia="es-CO"/>
        </w:rPr>
        <w:t xml:space="preserve">“(…) </w:t>
      </w:r>
      <w:r w:rsidRPr="00176A0C">
        <w:rPr>
          <w:rFonts w:ascii="Verdana" w:hAnsi="Verdana" w:eastAsia="Times New Roman" w:cs="Arial"/>
          <w:bCs/>
          <w:sz w:val="20"/>
          <w:szCs w:val="20"/>
          <w:lang w:eastAsia="es-CO"/>
        </w:rPr>
        <w:t>La definición de reglas claras que permitan acceder a los canales de expresión democrática de manera efectiva e igualitaria. El objetivo de una ley de garantías es definir esas reglas.</w:t>
      </w:r>
    </w:p>
    <w:p w:rsidRPr="00176A0C" w:rsidR="00176A0C" w:rsidP="00176A0C" w:rsidRDefault="00176A0C" w14:paraId="5CC8C18B" w14:textId="77777777">
      <w:pPr>
        <w:spacing w:after="0" w:line="240" w:lineRule="auto"/>
        <w:ind w:left="709" w:right="709"/>
        <w:jc w:val="both"/>
        <w:rPr>
          <w:rFonts w:ascii="Verdana" w:hAnsi="Verdana" w:eastAsia="Times New Roman" w:cs="Arial"/>
          <w:bCs/>
          <w:sz w:val="20"/>
          <w:szCs w:val="20"/>
          <w:lang w:eastAsia="es-CO"/>
        </w:rPr>
      </w:pPr>
    </w:p>
    <w:p w:rsidRPr="00176A0C" w:rsidR="00176A0C" w:rsidP="00176A0C" w:rsidRDefault="00176A0C" w14:paraId="1CB5DCCC" w14:textId="77777777">
      <w:pPr>
        <w:spacing w:after="0" w:line="240" w:lineRule="auto"/>
        <w:ind w:left="709" w:right="709"/>
        <w:jc w:val="both"/>
        <w:rPr>
          <w:rFonts w:ascii="Verdana" w:hAnsi="Verdana" w:eastAsia="Times New Roman" w:cs="Arial"/>
          <w:bCs/>
          <w:sz w:val="20"/>
          <w:szCs w:val="20"/>
          <w:lang w:eastAsia="es-CO"/>
        </w:rPr>
      </w:pPr>
      <w:r w:rsidRPr="00176A0C">
        <w:rPr>
          <w:rFonts w:ascii="Verdana" w:hAnsi="Verdana" w:eastAsia="Times New Roman" w:cs="Arial"/>
          <w:bCs/>
          <w:sz w:val="20"/>
          <w:szCs w:val="20"/>
          <w:lang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 (…)”</w:t>
      </w:r>
      <w:r w:rsidRPr="00176A0C">
        <w:rPr>
          <w:rFonts w:ascii="Verdana" w:hAnsi="Verdana" w:eastAsia="Aptos" w:cs="Arial"/>
          <w:sz w:val="20"/>
          <w:szCs w:val="20"/>
          <w:vertAlign w:val="superscript"/>
        </w:rPr>
        <w:footnoteReference w:id="3"/>
      </w:r>
      <w:r w:rsidRPr="00176A0C">
        <w:rPr>
          <w:rFonts w:ascii="Verdana" w:hAnsi="Verdana" w:eastAsia="Times New Roman" w:cs="Arial"/>
          <w:bCs/>
          <w:sz w:val="20"/>
          <w:szCs w:val="20"/>
          <w:lang w:eastAsia="es-CO"/>
        </w:rPr>
        <w:t xml:space="preserve">. </w:t>
      </w:r>
      <w:bookmarkStart w:name="_Hlk78818186" w:id="2"/>
    </w:p>
    <w:p w:rsidRPr="00176A0C" w:rsidR="00176A0C" w:rsidP="002F59B6" w:rsidRDefault="00176A0C" w14:paraId="07E435C9" w14:textId="77777777">
      <w:pPr>
        <w:spacing w:after="0" w:line="276" w:lineRule="auto"/>
        <w:ind w:firstLine="709"/>
        <w:jc w:val="both"/>
        <w:rPr>
          <w:rFonts w:ascii="Verdana" w:hAnsi="Verdana" w:eastAsia="Times New Roman" w:cs="Arial"/>
          <w:bCs/>
          <w:lang w:eastAsia="es-CO"/>
        </w:rPr>
      </w:pPr>
    </w:p>
    <w:p w:rsidRPr="00176A0C" w:rsidR="00176A0C" w:rsidP="0016793A" w:rsidRDefault="00176A0C" w14:paraId="58F011EC" w14:textId="77777777">
      <w:pPr>
        <w:spacing w:after="0" w:line="276" w:lineRule="auto"/>
        <w:ind w:firstLine="709"/>
        <w:jc w:val="both"/>
        <w:rPr>
          <w:rFonts w:ascii="Verdana" w:hAnsi="Verdana" w:eastAsia="Times New Roman" w:cs="Arial"/>
          <w:bCs/>
          <w:lang w:eastAsia="es-CO"/>
        </w:rPr>
      </w:pPr>
      <w:r w:rsidRPr="00176A0C">
        <w:rPr>
          <w:rFonts w:ascii="Verdana" w:hAnsi="Verdana" w:eastAsia="Times New Roman" w:cs="Arial"/>
          <w:bCs/>
          <w:lang w:eastAsia="es-CO"/>
        </w:rPr>
        <w:t xml:space="preserve">En este contexto, la Ley de Garantías Electorales establece el marco jurídico para el desarrollo de las elecciones, procurando condiciones de igualdad y transparencia para los aspirantes y paralelamente se incluyen restricciones en el actuar de los servidores públicos, evitando interferencias en la contienda electoral, así como la posible desviación de recursos públicos en aspiraciones electorales. </w:t>
      </w:r>
      <w:bookmarkEnd w:id="2"/>
      <w:r w:rsidRPr="00176A0C">
        <w:rPr>
          <w:rFonts w:ascii="Verdana" w:hAnsi="Verdana" w:eastAsia="Times New Roman" w:cs="Arial"/>
          <w:bCs/>
          <w:lang w:eastAsia="es-CO"/>
        </w:rPr>
        <w:t>Por ello, varias de las disposiciones de la Ley 996 de 2005, al contener normas prohibitivas, no admiten una interpretación amplia, sino que deben interpretarse restrictivamente. En efecto, la Sala de Consulta y Servicio Civil del Consejo de Estado al analizar la referida ley, precisó lo siguiente:</w:t>
      </w:r>
    </w:p>
    <w:p w:rsidRPr="00176A0C" w:rsidR="0016793A" w:rsidP="002F59B6" w:rsidRDefault="0016793A" w14:paraId="010B020D" w14:textId="77777777">
      <w:pPr>
        <w:spacing w:after="0" w:line="276" w:lineRule="auto"/>
        <w:ind w:firstLine="709"/>
        <w:jc w:val="both"/>
        <w:rPr>
          <w:rFonts w:ascii="Verdana" w:hAnsi="Verdana" w:eastAsia="Times New Roman" w:cs="Arial"/>
          <w:bCs/>
          <w:lang w:eastAsia="es-CO"/>
        </w:rPr>
      </w:pPr>
    </w:p>
    <w:p w:rsidRPr="00176A0C" w:rsidR="00176A0C" w:rsidP="00176A0C" w:rsidRDefault="00176A0C" w14:paraId="0CEC6387" w14:textId="77777777">
      <w:pPr>
        <w:spacing w:after="0" w:line="240" w:lineRule="auto"/>
        <w:ind w:left="709" w:right="709"/>
        <w:jc w:val="both"/>
        <w:rPr>
          <w:rFonts w:ascii="Verdana" w:hAnsi="Verdana" w:eastAsia="Times New Roman" w:cs="Arial"/>
          <w:bCs/>
          <w:sz w:val="20"/>
          <w:szCs w:val="20"/>
          <w:lang w:eastAsia="es-CO"/>
        </w:rPr>
      </w:pPr>
      <w:r w:rsidRPr="00176A0C">
        <w:rPr>
          <w:rFonts w:ascii="Verdana" w:hAnsi="Verdana" w:eastAsia="Times New Roman" w:cs="Arial"/>
          <w:bCs/>
          <w:sz w:val="20"/>
          <w:szCs w:val="20"/>
          <w:lang w:eastAsia="es-CO"/>
        </w:rPr>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rsidRPr="00176A0C" w:rsidR="00176A0C" w:rsidP="00176A0C" w:rsidRDefault="00176A0C" w14:paraId="63B2EEE2" w14:textId="77777777">
      <w:pPr>
        <w:spacing w:after="0" w:line="240" w:lineRule="auto"/>
        <w:ind w:left="709" w:right="709"/>
        <w:jc w:val="both"/>
        <w:rPr>
          <w:rFonts w:ascii="Verdana" w:hAnsi="Verdana" w:eastAsia="Times New Roman" w:cs="Arial"/>
          <w:bCs/>
          <w:sz w:val="20"/>
          <w:szCs w:val="20"/>
          <w:lang w:eastAsia="es-CO"/>
        </w:rPr>
      </w:pPr>
    </w:p>
    <w:p w:rsidRPr="00176A0C" w:rsidR="00176A0C" w:rsidP="00176A0C" w:rsidRDefault="00176A0C" w14:paraId="628340D2" w14:textId="77777777">
      <w:pPr>
        <w:spacing w:after="0" w:line="240" w:lineRule="auto"/>
        <w:ind w:left="709" w:right="709"/>
        <w:jc w:val="both"/>
        <w:rPr>
          <w:rFonts w:ascii="Verdana" w:hAnsi="Verdana" w:eastAsia="Times New Roman" w:cs="Arial"/>
          <w:bCs/>
          <w:sz w:val="20"/>
          <w:szCs w:val="20"/>
          <w:lang w:eastAsia="es-CO"/>
        </w:rPr>
      </w:pPr>
      <w:r w:rsidRPr="00176A0C">
        <w:rPr>
          <w:rFonts w:ascii="Verdana" w:hAnsi="Verdana" w:eastAsia="Times New Roman" w:cs="Arial"/>
          <w:bCs/>
          <w:sz w:val="20"/>
          <w:szCs w:val="20"/>
          <w:lang w:eastAsia="es-CO"/>
        </w:rPr>
        <w:t>La jurisprudencia de la Corte Constitucional</w:t>
      </w:r>
      <w:r w:rsidRPr="00176A0C">
        <w:rPr>
          <w:rFonts w:ascii="Verdana" w:hAnsi="Verdana" w:eastAsia="Times New Roman" w:cs="Arial"/>
          <w:bCs/>
          <w:sz w:val="20"/>
          <w:szCs w:val="20"/>
          <w:vertAlign w:val="superscript"/>
          <w:lang w:eastAsia="es-CO"/>
        </w:rPr>
        <w:footnoteReference w:id="4"/>
      </w:r>
      <w:r w:rsidRPr="00176A0C">
        <w:rPr>
          <w:rFonts w:ascii="Verdana" w:hAnsi="Verdana" w:eastAsia="Times New Roman" w:cs="Arial"/>
          <w:bCs/>
          <w:sz w:val="20"/>
          <w:szCs w:val="20"/>
          <w:lang w:eastAsia="es-CO"/>
        </w:rPr>
        <w:t> y del Consejo de Estado</w:t>
      </w:r>
      <w:r w:rsidRPr="00176A0C">
        <w:rPr>
          <w:rFonts w:ascii="Verdana" w:hAnsi="Verdana" w:eastAsia="Times New Roman" w:cs="Arial"/>
          <w:bCs/>
          <w:sz w:val="20"/>
          <w:szCs w:val="20"/>
          <w:vertAlign w:val="superscript"/>
          <w:lang w:eastAsia="es-CO"/>
        </w:rPr>
        <w:footnoteReference w:id="5"/>
      </w:r>
      <w:r w:rsidRPr="00176A0C">
        <w:rPr>
          <w:rFonts w:ascii="Verdana" w:hAnsi="Verdana" w:eastAsia="Times New Roman" w:cs="Arial"/>
          <w:bCs/>
          <w:sz w:val="20"/>
          <w:szCs w:val="20"/>
          <w:lang w:eastAsia="es-CO"/>
        </w:rPr>
        <w:t xml:space="preserve">, coinciden en que las normas que establecen prohibiciones deben estar de manera explícita en la Constitución o en la ley y no podrán ser excesivas ni desproporcionadas. No pueden interpretarse extensivamente sino </w:t>
      </w:r>
      <w:r w:rsidRPr="00176A0C">
        <w:rPr>
          <w:rFonts w:ascii="Verdana" w:hAnsi="Verdana" w:eastAsia="Times New Roman" w:cs="Arial"/>
          <w:bCs/>
          <w:sz w:val="20"/>
          <w:szCs w:val="20"/>
          <w:lang w:eastAsia="es-CO"/>
        </w:rPr>
        <w:t>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176A0C">
        <w:rPr>
          <w:rFonts w:ascii="Verdana" w:hAnsi="Verdana" w:eastAsia="Times New Roman" w:cs="Arial"/>
          <w:bCs/>
          <w:sz w:val="20"/>
          <w:szCs w:val="20"/>
          <w:vertAlign w:val="superscript"/>
          <w:lang w:eastAsia="es-CO"/>
        </w:rPr>
        <w:footnoteReference w:id="6"/>
      </w:r>
      <w:r w:rsidRPr="00176A0C">
        <w:rPr>
          <w:rFonts w:ascii="Verdana" w:hAnsi="Verdana" w:eastAsia="Times New Roman" w:cs="Arial"/>
          <w:bCs/>
          <w:sz w:val="20"/>
          <w:szCs w:val="20"/>
          <w:lang w:eastAsia="es-CO"/>
        </w:rPr>
        <w:t>.</w:t>
      </w:r>
    </w:p>
    <w:p w:rsidRPr="00176A0C" w:rsidR="00176A0C" w:rsidP="00176A0C" w:rsidRDefault="00176A0C" w14:paraId="605AA7A1" w14:textId="77777777">
      <w:pPr>
        <w:spacing w:after="0" w:line="240" w:lineRule="auto"/>
        <w:jc w:val="both"/>
        <w:rPr>
          <w:rFonts w:ascii="Verdana" w:hAnsi="Verdana" w:eastAsia="Times New Roman" w:cs="Arial"/>
          <w:bCs/>
          <w:lang w:eastAsia="es-CO"/>
        </w:rPr>
      </w:pPr>
      <w:r w:rsidRPr="00176A0C">
        <w:rPr>
          <w:rFonts w:ascii="Verdana" w:hAnsi="Verdana" w:eastAsia="Times New Roman" w:cs="Arial"/>
          <w:bCs/>
          <w:lang w:eastAsia="es-CO"/>
        </w:rPr>
        <w:tab/>
      </w:r>
    </w:p>
    <w:p w:rsidRPr="00176A0C" w:rsidR="00176A0C" w:rsidP="00176A0C" w:rsidRDefault="00176A0C" w14:paraId="10DDC88C" w14:textId="77777777">
      <w:pPr>
        <w:spacing w:after="120" w:line="276" w:lineRule="auto"/>
        <w:ind w:firstLine="709"/>
        <w:jc w:val="both"/>
        <w:rPr>
          <w:rFonts w:ascii="Verdana" w:hAnsi="Verdana" w:eastAsia="Arial" w:cs="Arial"/>
          <w:lang w:val="es-ES" w:eastAsia="es-ES" w:bidi="es-ES"/>
        </w:rPr>
      </w:pPr>
      <w:r w:rsidRPr="00176A0C">
        <w:rPr>
          <w:rFonts w:ascii="Verdana" w:hAnsi="Verdana" w:eastAsia="Times New Roman" w:cs="Arial"/>
          <w:bCs/>
          <w:lang w:eastAsia="es-CO"/>
        </w:rPr>
        <w:t>De</w:t>
      </w:r>
      <w:r w:rsidRPr="00176A0C">
        <w:rPr>
          <w:rFonts w:ascii="Verdana" w:hAnsi="Verdana" w:eastAsia="Arial" w:cs="Arial"/>
          <w:lang w:val="es-ES" w:eastAsia="es-ES" w:bidi="es-ES"/>
        </w:rPr>
        <w:t xml:space="preserve"> conformidad con lo anterior, </w:t>
      </w:r>
      <w:bookmarkStart w:name="_Hlk77236098" w:id="3"/>
      <w:r w:rsidRPr="00176A0C">
        <w:rPr>
          <w:rFonts w:ascii="Verdana" w:hAnsi="Verdana" w:eastAsia="Arial" w:cs="Arial"/>
          <w:lang w:val="es-ES" w:eastAsia="es-ES" w:bidi="es-ES"/>
        </w:rPr>
        <w:t xml:space="preserve">la Ley de Garantías Electorales fijó una serie de regulaciones y prohibiciones dirigidas a los servidores públicos. Así,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rsidRPr="00176A0C" w:rsidR="00176A0C" w:rsidP="00176A0C" w:rsidRDefault="00176A0C" w14:paraId="27635C68" w14:textId="77777777">
      <w:pPr>
        <w:spacing w:after="120" w:line="276" w:lineRule="auto"/>
        <w:ind w:firstLine="709"/>
        <w:jc w:val="both"/>
        <w:rPr>
          <w:rFonts w:ascii="Verdana" w:hAnsi="Verdana" w:eastAsia="Arial" w:cs="Arial"/>
          <w:lang w:val="es-ES" w:eastAsia="es-ES" w:bidi="es-ES"/>
        </w:rPr>
      </w:pPr>
      <w:r w:rsidRPr="00176A0C">
        <w:rPr>
          <w:rFonts w:ascii="Verdana" w:hAnsi="Verdana" w:eastAsia="Arial" w:cs="Arial"/>
          <w:lang w:val="es-ES" w:eastAsia="es-ES" w:bidi="es-ES"/>
        </w:rPr>
        <w:t>Específicamente, las restricciones consagradas en la citada ley se dirigen a dos (2) tipos de campañas electorales claramente diferenciadas: las presidenciales y las demás que se adelanten para la elección de los demás cargos de elección popular, tanto a nivel nacional como a nivel territorial.</w:t>
      </w:r>
      <w:bookmarkEnd w:id="3"/>
    </w:p>
    <w:p w:rsidRPr="00176A0C" w:rsidR="00176A0C" w:rsidP="00176A0C" w:rsidRDefault="00176A0C" w14:paraId="29DCC871" w14:textId="77777777">
      <w:pPr>
        <w:spacing w:after="120" w:line="276" w:lineRule="auto"/>
        <w:ind w:firstLine="709"/>
        <w:jc w:val="both"/>
        <w:rPr>
          <w:rFonts w:ascii="Verdana" w:hAnsi="Verdana" w:eastAsia="Calibri" w:cs="Arial"/>
        </w:rPr>
      </w:pPr>
      <w:r w:rsidRPr="00176A0C">
        <w:rPr>
          <w:rFonts w:ascii="Verdana" w:hAnsi="Verdana" w:eastAsia="Calibri" w:cs="Arial"/>
        </w:rPr>
        <w:t>Por un lado, el artículo 33 de la Ley 996 de 2005 prohíbe “</w:t>
      </w:r>
      <w:r w:rsidRPr="00176A0C">
        <w:rPr>
          <w:rFonts w:ascii="Verdana" w:hAnsi="Verdana" w:eastAsia="Calibri" w:cs="Arial"/>
          <w:bCs/>
        </w:rPr>
        <w:t xml:space="preserve">(…) </w:t>
      </w:r>
      <w:r w:rsidRPr="00176A0C">
        <w:rPr>
          <w:rFonts w:ascii="Verdana" w:hAnsi="Verdana" w:eastAsia="Calibri" w:cs="Arial"/>
        </w:rPr>
        <w:t>la contratación directa por parte de todos los entes del Estado</w:t>
      </w:r>
      <w:r w:rsidRPr="00176A0C">
        <w:rPr>
          <w:rFonts w:ascii="Verdana" w:hAnsi="Verdana" w:eastAsia="Calibri" w:cs="Arial"/>
          <w:bCs/>
        </w:rPr>
        <w:t>”</w:t>
      </w:r>
      <w:r w:rsidRPr="00176A0C">
        <w:rPr>
          <w:rFonts w:ascii="Verdana" w:hAnsi="Verdana" w:eastAsia="Calibri" w:cs="Arial"/>
        </w:rPr>
        <w:t xml:space="preserve"> durante los cuatro (4) meses anteriores a las elecciones presidenciales, salvo </w:t>
      </w:r>
      <w:r w:rsidRPr="00176A0C">
        <w:rPr>
          <w:rFonts w:ascii="Verdana" w:hAnsi="Verdana" w:eastAsia="Calibri" w:cs="Arial"/>
          <w:bCs/>
        </w:rPr>
        <w:t xml:space="preserve">“(…) </w:t>
      </w:r>
      <w:r w:rsidRPr="00176A0C">
        <w:rPr>
          <w:rFonts w:ascii="Verdana" w:hAnsi="Verdana" w:eastAsia="Calibri" w:cs="Arial"/>
        </w:rPr>
        <w:t>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176A0C">
        <w:rPr>
          <w:rFonts w:ascii="Verdana" w:hAnsi="Verdana" w:eastAsia="Calibri" w:cs="Arial"/>
          <w:bCs/>
        </w:rPr>
        <w:t>”</w:t>
      </w:r>
      <w:r w:rsidRPr="00176A0C">
        <w:rPr>
          <w:rFonts w:ascii="Verdana" w:hAnsi="Verdana" w:eastAsia="Calibri" w:cs="Arial"/>
          <w:bCs/>
          <w:vertAlign w:val="superscript"/>
        </w:rPr>
        <w:footnoteReference w:id="7"/>
      </w:r>
      <w:r w:rsidRPr="00176A0C">
        <w:rPr>
          <w:rFonts w:ascii="Verdana" w:hAnsi="Verdana" w:eastAsia="Calibri" w:cs="Arial"/>
        </w:rPr>
        <w:t>.</w:t>
      </w:r>
    </w:p>
    <w:p w:rsidRPr="00176A0C" w:rsidR="00176A0C" w:rsidP="00176A0C" w:rsidRDefault="00176A0C" w14:paraId="1602558B" w14:textId="77777777">
      <w:pPr>
        <w:widowControl w:val="0"/>
        <w:autoSpaceDE w:val="0"/>
        <w:autoSpaceDN w:val="0"/>
        <w:spacing w:after="120" w:line="276" w:lineRule="auto"/>
        <w:ind w:firstLine="709"/>
        <w:jc w:val="both"/>
        <w:rPr>
          <w:rFonts w:ascii="Verdana" w:hAnsi="Verdana" w:eastAsia="Arial" w:cs="Arial"/>
          <w:lang w:val="es-ES" w:eastAsia="es-ES" w:bidi="es-ES"/>
        </w:rPr>
      </w:pPr>
      <w:r w:rsidRPr="00176A0C">
        <w:rPr>
          <w:rFonts w:ascii="Verdana" w:hAnsi="Verdana" w:eastAsia="Calibri" w:cs="Arial"/>
        </w:rPr>
        <w:t xml:space="preserve">Por otro lado,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w:t>
      </w:r>
      <w:r w:rsidRPr="00176A0C">
        <w:rPr>
          <w:rFonts w:ascii="Verdana" w:hAnsi="Verdana" w:eastAsia="Calibri" w:cs="Arial"/>
        </w:rPr>
        <w:t xml:space="preserve">departamental o distrital </w:t>
      </w:r>
      <w:r w:rsidRPr="00176A0C">
        <w:rPr>
          <w:rFonts w:ascii="Verdana" w:hAnsi="Verdana" w:eastAsia="Calibri" w:cs="Arial"/>
          <w:bCs/>
        </w:rPr>
        <w:t xml:space="preserve">“(…) </w:t>
      </w:r>
      <w:r w:rsidRPr="00176A0C">
        <w:rPr>
          <w:rFonts w:ascii="Verdana" w:hAnsi="Verdana" w:eastAsia="Calibri" w:cs="Arial"/>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176A0C">
        <w:rPr>
          <w:rFonts w:ascii="Verdana" w:hAnsi="Verdana" w:eastAsia="Calibri" w:cs="Arial"/>
          <w:bCs/>
        </w:rPr>
        <w:t>”</w:t>
      </w:r>
      <w:r w:rsidRPr="00176A0C">
        <w:rPr>
          <w:rFonts w:ascii="Verdana" w:hAnsi="Verdana" w:eastAsia="Calibri" w:cs="Arial"/>
          <w:bCs/>
          <w:vertAlign w:val="superscript"/>
        </w:rPr>
        <w:footnoteReference w:id="8"/>
      </w:r>
      <w:r w:rsidRPr="00176A0C">
        <w:rPr>
          <w:rFonts w:ascii="Verdana" w:hAnsi="Verdana" w:eastAsia="Calibri" w:cs="Arial"/>
        </w:rPr>
        <w:t>.</w:t>
      </w:r>
      <w:r w:rsidRPr="00176A0C">
        <w:rPr>
          <w:rFonts w:ascii="Verdana" w:hAnsi="Verdana" w:eastAsia="Arial" w:cs="Arial"/>
          <w:lang w:val="es-ES" w:eastAsia="es-ES" w:bidi="es-ES"/>
        </w:rPr>
        <w:t xml:space="preserve"> </w:t>
      </w:r>
    </w:p>
    <w:p w:rsidRPr="00176A0C" w:rsidR="00176A0C" w:rsidP="00176A0C" w:rsidRDefault="00176A0C" w14:paraId="72987BB3" w14:textId="77777777">
      <w:pPr>
        <w:spacing w:after="120" w:line="276" w:lineRule="auto"/>
        <w:ind w:firstLine="709"/>
        <w:jc w:val="both"/>
        <w:rPr>
          <w:rFonts w:ascii="Verdana" w:hAnsi="Verdana" w:eastAsia="Times New Roman" w:cs="Arial"/>
          <w:bCs/>
          <w:lang w:eastAsia="es-CO"/>
        </w:rPr>
      </w:pPr>
      <w:r w:rsidRPr="00176A0C">
        <w:rPr>
          <w:rFonts w:ascii="Verdana" w:hAnsi="Verdana" w:eastAsia="Times New Roman" w:cs="Arial"/>
          <w:bCs/>
          <w:lang w:val="es-MX" w:eastAsia="es-CO"/>
        </w:rPr>
        <w:t>Para entender el momento de aplicación de estas restricciones, es preciso señalar que el vocablo “celebrar” es definido por el Diccionario Panhispánico del Español Jurídico como: “</w:t>
      </w:r>
      <w:r w:rsidRPr="00176A0C">
        <w:rPr>
          <w:rFonts w:ascii="Verdana" w:hAnsi="Verdana" w:eastAsia="Times New Roman" w:cs="Arial"/>
          <w:bCs/>
          <w:lang w:eastAsia="es-CO"/>
        </w:rPr>
        <w:t>1. </w:t>
      </w:r>
      <w:r w:rsidRPr="00176A0C">
        <w:rPr>
          <w:rFonts w:ascii="Verdana" w:hAnsi="Verdana" w:eastAsia="Times New Roman" w:cs="Arial"/>
          <w:bCs/>
          <w:i/>
          <w:iCs/>
          <w:lang w:eastAsia="es-CO"/>
        </w:rPr>
        <w:t>Gral.</w:t>
      </w:r>
      <w:r w:rsidRPr="00176A0C">
        <w:rPr>
          <w:rFonts w:ascii="Verdana" w:hAnsi="Verdana" w:eastAsia="Times New Roman" w:cs="Arial"/>
          <w:bCs/>
          <w:lang w:eastAsia="es-CO"/>
        </w:rPr>
        <w:t xml:space="preserve"> Otorgar o firmar un contrato. 2. </w:t>
      </w:r>
      <w:r w:rsidRPr="00176A0C">
        <w:rPr>
          <w:rFonts w:ascii="Verdana" w:hAnsi="Verdana" w:eastAsia="Times New Roman" w:cs="Arial"/>
          <w:bCs/>
          <w:i/>
          <w:iCs/>
          <w:lang w:eastAsia="es-CO"/>
        </w:rPr>
        <w:t>Proc.</w:t>
      </w:r>
      <w:r w:rsidRPr="00176A0C">
        <w:rPr>
          <w:rFonts w:ascii="Verdana" w:hAnsi="Verdana" w:eastAsia="Times New Roman" w:cs="Arial"/>
          <w:bCs/>
          <w:lang w:eastAsia="es-CO"/>
        </w:rPr>
        <w:t xml:space="preserve"> Realizar los actos procesales propios de un juicio o vista”. Dentro de las dos definiciones, la que se acerca a la expresión “celebrar” en el contexto de la Ley de Garantías Electorales es la primera, esto es, al perfeccionamiento del contrato. </w:t>
      </w:r>
    </w:p>
    <w:p w:rsidRPr="00176A0C" w:rsidR="00176A0C" w:rsidP="00176A0C" w:rsidRDefault="00176A0C" w14:paraId="5ECE89CC" w14:textId="77777777">
      <w:pPr>
        <w:spacing w:after="120" w:line="276" w:lineRule="auto"/>
        <w:ind w:firstLine="709"/>
        <w:jc w:val="both"/>
        <w:rPr>
          <w:rFonts w:ascii="Verdana" w:hAnsi="Verdana" w:eastAsia="Times New Roman" w:cs="Arial"/>
          <w:bCs/>
          <w:lang w:val="es-ES" w:eastAsia="es-CO"/>
        </w:rPr>
      </w:pPr>
      <w:r w:rsidRPr="00176A0C">
        <w:rPr>
          <w:rFonts w:ascii="Verdana" w:hAnsi="Verdana" w:eastAsia="Times New Roman" w:cs="Arial"/>
          <w:bCs/>
          <w:lang w:eastAsia="es-CO"/>
        </w:rPr>
        <w:t xml:space="preserve">En efecto, el concepto de celebración en el marco de la contratación estatal se relaciona con el perfeccionamiento, es decir, con los requisitos para que exista un contrato estatal. Al respecto, se destaca que en entidades sometidas al Estatuto General de Contratación de la Administración Pública </w:t>
      </w:r>
      <w:r w:rsidRPr="00176A0C">
        <w:rPr>
          <w:rFonts w:ascii="Verdana" w:hAnsi="Verdana" w:eastAsia="Times New Roman" w:cs="Arial"/>
          <w:bCs/>
          <w:lang w:val="es-ES" w:eastAsia="es-CO"/>
        </w:rPr>
        <w:t xml:space="preserve">la existencia de los contratos estatales, es decir, la producción de efectos jurídicos en los términos del artículo 1501 </w:t>
      </w:r>
      <w:r w:rsidRPr="00176A0C">
        <w:rPr>
          <w:rFonts w:ascii="Verdana" w:hAnsi="Verdana" w:eastAsia="Times New Roman" w:cs="Arial"/>
          <w:bCs/>
          <w:i/>
          <w:lang w:val="es-ES" w:eastAsia="es-CO"/>
        </w:rPr>
        <w:t>ibidem</w:t>
      </w:r>
      <w:r w:rsidRPr="00176A0C">
        <w:rPr>
          <w:rFonts w:ascii="Verdana" w:hAnsi="Verdana" w:eastAsia="Times New Roman" w:cs="Arial"/>
          <w:bCs/>
          <w:lang w:val="es-ES" w:eastAsia="es-CO"/>
        </w:rPr>
        <w:t xml:space="preserve">, depende de la regulación del inciso primero de los artículos 39 y 41 de la Ley 80 de 1993. Por un lado, “Los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Por otra parte, “Los contratos del Estado se perfeccionan cuando se logre acuerdo sobre el objeto y la contraprestación y éste se eleve a escrito”. </w:t>
      </w:r>
    </w:p>
    <w:p w:rsidRPr="00176A0C" w:rsidR="00176A0C" w:rsidP="00176A0C" w:rsidRDefault="00176A0C" w14:paraId="3489360B" w14:textId="77777777">
      <w:pPr>
        <w:spacing w:after="120" w:line="276" w:lineRule="auto"/>
        <w:ind w:firstLine="709"/>
        <w:jc w:val="both"/>
        <w:rPr>
          <w:rFonts w:ascii="Verdana" w:hAnsi="Verdana" w:eastAsia="Times New Roman" w:cs="Arial"/>
          <w:bCs/>
          <w:lang w:val="es-ES" w:eastAsia="es-CO"/>
        </w:rPr>
      </w:pPr>
      <w:r w:rsidRPr="00176A0C">
        <w:rPr>
          <w:rFonts w:ascii="Verdana" w:hAnsi="Verdana" w:eastAsia="Times New Roman" w:cs="Arial"/>
          <w:bCs/>
          <w:lang w:val="es-ES" w:eastAsia="es-CO"/>
        </w:rPr>
        <w:t xml:space="preserve">De este modo, esta Agencia precisa que el concepto “celebrar” para efectos de las restricciones en la contratación dispuesta por la Ley de Garantías Electorales se refiere a los requisitos de perfeccionamiento del contrato estatal. Por tanto, no se refiere a los requisitos de ejecución, es decir, aquellas condiciones para iniciar un contrato, como es la aprobación de las garantías o el </w:t>
      </w:r>
      <w:r w:rsidRPr="00176A0C">
        <w:rPr>
          <w:rFonts w:ascii="Verdana" w:hAnsi="Verdana" w:eastAsia="Times New Roman" w:cs="Arial"/>
          <w:bCs/>
          <w:lang w:val="es-ES" w:eastAsia="es-CO"/>
        </w:rPr>
        <w:t xml:space="preserve">registro presupuestal, o en algunos casos, la firma del acta de inicio, si así se determinó. </w:t>
      </w:r>
    </w:p>
    <w:p w:rsidRPr="00176A0C" w:rsidR="00176A0C" w:rsidP="00176A0C" w:rsidRDefault="00176A0C" w14:paraId="0EEB2329" w14:textId="77777777">
      <w:pPr>
        <w:spacing w:after="120" w:line="276" w:lineRule="auto"/>
        <w:ind w:firstLine="708"/>
        <w:jc w:val="both"/>
        <w:rPr>
          <w:rFonts w:ascii="Verdana" w:hAnsi="Verdana" w:eastAsia="Times New Roman" w:cs="Arial"/>
          <w:bCs/>
          <w:lang w:val="es-ES" w:eastAsia="es-CO"/>
        </w:rPr>
      </w:pPr>
      <w:r w:rsidRPr="00176A0C">
        <w:rPr>
          <w:rFonts w:ascii="Verdana" w:hAnsi="Verdana" w:eastAsia="Times New Roman" w:cs="Arial"/>
          <w:bCs/>
          <w:lang w:val="es-ES" w:eastAsia="es-CO"/>
        </w:rPr>
        <w:t xml:space="preserve">Asimismo, </w:t>
      </w:r>
      <w:r w:rsidRPr="00176A0C">
        <w:rPr>
          <w:rFonts w:ascii="Verdana" w:hAnsi="Verdana" w:eastAsia="Times New Roman" w:cs="Arial"/>
          <w:bCs/>
          <w:lang w:val="es-MX" w:eastAsia="es-CO"/>
        </w:rPr>
        <w:t>como en otras oportunidades lo ha manifestado esta Agencia, las prórrogas, modificaciones o adiciones de los contratos suscritos antes de la entrada en vigencia de las prohibiciones anotadas, así como la cesión de los mismos, pueden tener lugar en el período de aplicación de la Ley de Garantías, sin que ello haga nugatoria la restricción de la contratación directa y siempre que cumplan los principios de planeación, transparencia y responsabilidad</w:t>
      </w:r>
      <w:r w:rsidRPr="00176A0C">
        <w:rPr>
          <w:rFonts w:ascii="Verdana" w:hAnsi="Verdana" w:eastAsia="Times New Roman" w:cs="Arial"/>
          <w:bCs/>
          <w:vertAlign w:val="superscript"/>
          <w:lang w:val="es-MX" w:eastAsia="es-CO"/>
        </w:rPr>
        <w:footnoteReference w:id="9"/>
      </w:r>
      <w:r w:rsidRPr="00176A0C">
        <w:rPr>
          <w:rFonts w:ascii="Verdana" w:hAnsi="Verdana" w:eastAsia="Times New Roman" w:cs="Arial"/>
          <w:bCs/>
          <w:lang w:val="es-MX" w:eastAsia="es-CO"/>
        </w:rPr>
        <w:t xml:space="preserve">. </w:t>
      </w:r>
    </w:p>
    <w:p w:rsidRPr="00176A0C" w:rsidR="00176A0C" w:rsidP="00176A0C" w:rsidRDefault="00176A0C" w14:paraId="6DB0833B" w14:textId="77777777">
      <w:pPr>
        <w:widowControl w:val="0"/>
        <w:autoSpaceDE w:val="0"/>
        <w:autoSpaceDN w:val="0"/>
        <w:spacing w:after="120" w:line="276" w:lineRule="auto"/>
        <w:ind w:firstLine="709"/>
        <w:jc w:val="both"/>
        <w:rPr>
          <w:rFonts w:ascii="Verdana" w:hAnsi="Verdana" w:eastAsia="Arial" w:cs="Arial"/>
          <w:lang w:val="es-ES" w:eastAsia="es-ES" w:bidi="es-ES"/>
        </w:rPr>
      </w:pPr>
      <w:r w:rsidRPr="00176A0C">
        <w:rPr>
          <w:rFonts w:ascii="Verdana" w:hAnsi="Verdana" w:eastAsia="Arial" w:cs="Arial"/>
          <w:lang w:val="es-ES" w:eastAsia="es-ES" w:bidi="es-ES"/>
        </w:rPr>
        <w:t>La Sala de Consulta y Servicio Civil del Consejo de Estado ha aclarado la distinción en la aplicación de las prohibiciones de la Ley 996 de 2005, dependiendo del tipo de elección que se trate. Al respecto, considera que:</w:t>
      </w:r>
    </w:p>
    <w:p w:rsidRPr="00176A0C" w:rsidR="00176A0C" w:rsidP="00176A0C" w:rsidRDefault="00176A0C" w14:paraId="27A75623" w14:textId="77777777">
      <w:pPr>
        <w:widowControl w:val="0"/>
        <w:autoSpaceDE w:val="0"/>
        <w:autoSpaceDN w:val="0"/>
        <w:spacing w:after="0" w:line="240" w:lineRule="auto"/>
        <w:ind w:left="709" w:right="709"/>
        <w:jc w:val="both"/>
        <w:rPr>
          <w:rFonts w:ascii="Verdana" w:hAnsi="Verdana" w:eastAsia="Arial" w:cs="Arial"/>
          <w:sz w:val="20"/>
          <w:szCs w:val="20"/>
          <w:lang w:val="es-ES" w:eastAsia="es-ES" w:bidi="es-ES"/>
        </w:rPr>
      </w:pPr>
      <w:r w:rsidRPr="00176A0C">
        <w:rPr>
          <w:rFonts w:ascii="Verdana" w:hAnsi="Verdana" w:eastAsia="Arial" w:cs="Arial"/>
          <w:sz w:val="20"/>
          <w:szCs w:val="20"/>
          <w:lang w:val="es-ES"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w:t>
      </w:r>
      <w:bookmarkStart w:name="_Hlk76109421" w:id="6"/>
      <w:r w:rsidRPr="00176A0C">
        <w:rPr>
          <w:rFonts w:ascii="Verdana" w:hAnsi="Verdana" w:eastAsia="Arial" w:cs="Arial"/>
          <w:sz w:val="20"/>
          <w:szCs w:val="20"/>
          <w:lang w:val="es-ES" w:eastAsia="es-ES" w:bidi="es-ES"/>
        </w:rPr>
        <w:t>se integran parcialmente</w:t>
      </w:r>
      <w:bookmarkEnd w:id="6"/>
      <w:r w:rsidRPr="00176A0C">
        <w:rPr>
          <w:rFonts w:ascii="Verdana" w:hAnsi="Verdana" w:eastAsia="Arial" w:cs="Arial"/>
          <w:sz w:val="20"/>
          <w:szCs w:val="20"/>
          <w:lang w:val="es-ES" w:eastAsia="es-ES" w:bidi="es-ES"/>
        </w:rPr>
        <w:t xml:space="preserve">, lo que permite concluir que en periodo preelectoral para elección de Presidente de la República, a todos los entes del Estado, incluidos los territoriales, se aplican las restricciones de los artículos 32 y 33 con sus excepciones, así como las del parágrafo del artículo 38. </w:t>
      </w:r>
      <w:r w:rsidRPr="00176A0C">
        <w:rPr>
          <w:rFonts w:ascii="Verdana" w:hAnsi="Verdana" w:eastAsia="Arial" w:cs="Arial"/>
          <w:bCs/>
          <w:sz w:val="20"/>
          <w:szCs w:val="20"/>
          <w:lang w:val="es-ES" w:eastAsia="es-ES" w:bidi="es-ES"/>
        </w:rPr>
        <w:t>En cambio, para elecciones en general, excluyendo las correspondientes a Presidente de la República, a las autoridades territoriales allí mencionadas sólo se aplican las restricciones contenidas en el parágrafo del artículo 38</w:t>
      </w:r>
      <w:r w:rsidRPr="00176A0C">
        <w:rPr>
          <w:rFonts w:ascii="Verdana" w:hAnsi="Verdana" w:eastAsia="Arial" w:cs="Arial"/>
          <w:sz w:val="20"/>
          <w:szCs w:val="20"/>
          <w:lang w:val="es-ES" w:eastAsia="es-ES" w:bidi="es-ES"/>
        </w:rPr>
        <w:t>”</w:t>
      </w:r>
      <w:r w:rsidRPr="00176A0C">
        <w:rPr>
          <w:rFonts w:ascii="Verdana" w:hAnsi="Verdana" w:eastAsia="Arial" w:cs="Arial"/>
          <w:sz w:val="20"/>
          <w:szCs w:val="20"/>
          <w:vertAlign w:val="superscript"/>
          <w:lang w:val="es-ES" w:eastAsia="es-ES" w:bidi="es-ES"/>
        </w:rPr>
        <w:footnoteReference w:id="10"/>
      </w:r>
      <w:r w:rsidRPr="00176A0C">
        <w:rPr>
          <w:rFonts w:ascii="Verdana" w:hAnsi="Verdana" w:eastAsia="Arial" w:cs="Arial"/>
          <w:sz w:val="20"/>
          <w:szCs w:val="20"/>
          <w:lang w:val="es-ES" w:eastAsia="es-ES" w:bidi="es-ES"/>
        </w:rPr>
        <w:t>.</w:t>
      </w:r>
    </w:p>
    <w:p w:rsidRPr="00176A0C" w:rsidR="00176A0C" w:rsidP="00176A0C" w:rsidRDefault="00176A0C" w14:paraId="59A03F2D" w14:textId="77777777">
      <w:pPr>
        <w:spacing w:after="0" w:line="240" w:lineRule="auto"/>
        <w:ind w:firstLine="709"/>
        <w:jc w:val="both"/>
        <w:rPr>
          <w:rFonts w:ascii="Verdana" w:hAnsi="Verdana" w:eastAsia="Arial" w:cs="Arial"/>
          <w:lang w:val="es-ES" w:eastAsia="es-ES" w:bidi="es-ES"/>
        </w:rPr>
      </w:pPr>
    </w:p>
    <w:p w:rsidRPr="00176A0C" w:rsidR="00176A0C" w:rsidP="00176A0C" w:rsidRDefault="00176A0C" w14:paraId="73A47F9B" w14:textId="77777777">
      <w:pPr>
        <w:spacing w:after="120" w:line="276" w:lineRule="auto"/>
        <w:ind w:firstLine="709"/>
        <w:jc w:val="both"/>
        <w:rPr>
          <w:rFonts w:ascii="Verdana" w:hAnsi="Verdana" w:eastAsia="Arial" w:cs="Arial"/>
          <w:lang w:val="es-ES" w:eastAsia="es-ES" w:bidi="es-ES"/>
        </w:rPr>
      </w:pPr>
      <w:r w:rsidRPr="00176A0C">
        <w:rPr>
          <w:rFonts w:ascii="Verdana" w:hAnsi="Verdana" w:eastAsia="Arial" w:cs="Arial"/>
          <w:lang w:val="es-ES" w:eastAsia="es-ES" w:bidi="es-ES"/>
        </w:rPr>
        <w:t>De conformidad con lo anterior</w:t>
      </w:r>
      <w:bookmarkStart w:name="_Hlk99438241" w:id="7"/>
      <w:r w:rsidRPr="00176A0C">
        <w:rPr>
          <w:rFonts w:ascii="Verdana" w:hAnsi="Verdana" w:eastAsia="Arial" w:cs="Arial"/>
          <w:lang w:val="es-ES" w:eastAsia="es-ES" w:bidi="es-ES"/>
        </w:rPr>
        <w:t xml:space="preserve">, </w:t>
      </w:r>
      <w:bookmarkStart w:name="_Hlk77236420" w:id="8"/>
      <w:bookmarkStart w:name="_Hlk78818435" w:id="9"/>
      <w:bookmarkStart w:name="_Hlk75780333" w:id="10"/>
      <w:r w:rsidRPr="00176A0C">
        <w:rPr>
          <w:rFonts w:ascii="Verdana" w:hAnsi="Verdana" w:eastAsia="Arial" w:cs="Arial"/>
          <w:lang w:val="es-ES" w:eastAsia="es-ES" w:bidi="es-ES"/>
        </w:rPr>
        <w:t xml:space="preserve">la Ley 996 de 2005 establece dos (2) tipos de restricciones en materia de contratación, las cuales coinciden parcialmente. </w:t>
      </w:r>
      <w:r w:rsidRPr="00176A0C">
        <w:rPr>
          <w:rFonts w:ascii="Verdana" w:hAnsi="Verdana" w:eastAsia="Arial" w:cs="Arial"/>
          <w:i/>
          <w:iCs/>
          <w:lang w:val="es-ES" w:eastAsia="es-ES" w:bidi="es-ES"/>
        </w:rPr>
        <w:t>En primer lugar</w:t>
      </w:r>
      <w:r w:rsidRPr="00176A0C">
        <w:rPr>
          <w:rFonts w:ascii="Verdana" w:hAnsi="Verdana" w:eastAsia="Arial" w:cs="Arial"/>
          <w:lang w:val="es-ES" w:eastAsia="es-ES" w:bidi="es-ES"/>
        </w:rPr>
        <w:t xml:space="preserve">, la del artículo 33 que opera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semanas más tarde, en la </w:t>
      </w:r>
      <w:r w:rsidRPr="00176A0C">
        <w:rPr>
          <w:rFonts w:ascii="Verdana" w:hAnsi="Verdana" w:eastAsia="Arial" w:cs="Arial"/>
          <w:lang w:val="es-ES" w:eastAsia="es-ES" w:bidi="es-ES"/>
        </w:rPr>
        <w:t xml:space="preserve">que sólo participarán los dos candidatos que hubieren obtenido las votaciones más altas, de conformidad con el artículo 190 de la Constitución Política. Para estos efectos, la restricción se extenderá hasta la fecha en la que se realice la segunda vuelta. </w:t>
      </w:r>
      <w:r w:rsidRPr="00176A0C">
        <w:rPr>
          <w:rFonts w:ascii="Verdana" w:hAnsi="Verdana" w:eastAsia="Arial" w:cs="Arial"/>
          <w:i/>
          <w:iCs/>
          <w:lang w:val="es-ES" w:eastAsia="es-ES" w:bidi="es-ES"/>
        </w:rPr>
        <w:t>En segundo lugar</w:t>
      </w:r>
      <w:r w:rsidRPr="00176A0C">
        <w:rPr>
          <w:rFonts w:ascii="Verdana" w:hAnsi="Verdana" w:eastAsia="Arial"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bookmarkEnd w:id="8"/>
    </w:p>
    <w:bookmarkEnd w:id="7"/>
    <w:bookmarkEnd w:id="9"/>
    <w:p w:rsidRPr="00176A0C" w:rsidR="00176A0C" w:rsidP="00176A0C" w:rsidRDefault="00176A0C" w14:paraId="08C04A7C" w14:textId="77777777">
      <w:pPr>
        <w:spacing w:after="120" w:line="276" w:lineRule="auto"/>
        <w:ind w:firstLine="709"/>
        <w:jc w:val="both"/>
        <w:rPr>
          <w:rFonts w:ascii="Verdana" w:hAnsi="Verdana" w:eastAsia="Arial" w:cs="Arial"/>
          <w:lang w:val="es-ES" w:eastAsia="es-ES" w:bidi="es-ES"/>
        </w:rPr>
      </w:pPr>
      <w:r w:rsidRPr="00176A0C">
        <w:rPr>
          <w:rFonts w:ascii="Verdana" w:hAnsi="Verdana" w:eastAsia="Arial" w:cs="Arial"/>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bookmarkEnd w:id="10"/>
    <w:p w:rsidRPr="00176A0C" w:rsidR="00176A0C" w:rsidP="00176A0C" w:rsidRDefault="00176A0C" w14:paraId="53F61D2F" w14:textId="77777777">
      <w:pPr>
        <w:spacing w:after="120" w:line="276" w:lineRule="auto"/>
        <w:ind w:firstLine="709"/>
        <w:jc w:val="both"/>
        <w:rPr>
          <w:rFonts w:ascii="Verdana" w:hAnsi="Verdana" w:eastAsia="Times New Roman" w:cs="Arial"/>
          <w:bCs/>
          <w:lang w:val="es-ES" w:eastAsia="es-CO"/>
        </w:rPr>
      </w:pPr>
      <w:r w:rsidRPr="00176A0C">
        <w:rPr>
          <w:rFonts w:ascii="Verdana" w:hAnsi="Verdana" w:eastAsia="Arial"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excepto para el Vicepresidente que no haya ejercido la presidencia o que la haya ejercido por un tiempo inferior a tres (3) meses durante el respectivo cuatrienio, en forma continua o discontinua, conforme al artículo 197 de la Constitución Política.  </w:t>
      </w:r>
    </w:p>
    <w:p w:rsidRPr="00176A0C" w:rsidR="00176A0C" w:rsidP="00176A0C" w:rsidRDefault="00176A0C" w14:paraId="23CA7F60" w14:textId="77777777">
      <w:pPr>
        <w:spacing w:after="120" w:line="276" w:lineRule="auto"/>
        <w:ind w:firstLine="709"/>
        <w:jc w:val="both"/>
        <w:rPr>
          <w:rFonts w:ascii="Verdana" w:hAnsi="Verdana" w:eastAsia="Arial" w:cs="Arial"/>
          <w:lang w:val="es-ES" w:eastAsia="es-ES" w:bidi="es-ES"/>
        </w:rPr>
      </w:pPr>
      <w:r w:rsidRPr="00176A0C">
        <w:rPr>
          <w:rFonts w:ascii="Verdana" w:hAnsi="Verdana" w:eastAsia="Times New Roman" w:cs="Arial"/>
          <w:bCs/>
          <w:lang w:val="es-ES" w:eastAsia="es-CO"/>
        </w:rPr>
        <w:t xml:space="preserve">Teniendo en cuenta lo anterior, a continuación, se hará un análisis sobre la aplicación de la prohibición contenida en el artículo 33 y sus excepciones, relacionada con su ámbito de aplicación y sus destinatarios. </w:t>
      </w:r>
    </w:p>
    <w:p w:rsidR="00176A0C" w:rsidP="00B233FF" w:rsidRDefault="00176A0C" w14:paraId="2A853D8C" w14:textId="77777777">
      <w:pPr>
        <w:spacing w:after="0" w:line="276" w:lineRule="auto"/>
        <w:ind w:firstLine="709"/>
        <w:jc w:val="both"/>
        <w:rPr>
          <w:rFonts w:ascii="Verdana" w:hAnsi="Verdana" w:eastAsia="Aptos" w:cs="Arial"/>
          <w:lang w:eastAsia="es-CO" w:bidi="es-ES"/>
        </w:rPr>
      </w:pPr>
      <w:r w:rsidRPr="00176A0C">
        <w:rPr>
          <w:rFonts w:ascii="Verdana" w:hAnsi="Verdana" w:eastAsia="Aptos" w:cs="Arial"/>
          <w:bCs/>
          <w:lang w:eastAsia="x-none"/>
        </w:rPr>
        <w:t xml:space="preserve">El ámbito material de la prohibición contenida </w:t>
      </w:r>
      <w:bookmarkStart w:name="_Hlk75628761" w:id="11"/>
      <w:r w:rsidRPr="00176A0C">
        <w:rPr>
          <w:rFonts w:ascii="Verdana" w:hAnsi="Verdana" w:eastAsia="Aptos" w:cs="Arial"/>
          <w:bCs/>
          <w:lang w:eastAsia="x-none"/>
        </w:rPr>
        <w:t xml:space="preserve">en el artículo 33 de la ley 996 de 2005 </w:t>
      </w:r>
      <w:bookmarkEnd w:id="11"/>
      <w:r w:rsidRPr="00176A0C">
        <w:rPr>
          <w:rFonts w:ascii="Verdana" w:hAnsi="Verdana" w:eastAsia="Aptos" w:cs="Arial"/>
          <w:bCs/>
          <w:lang w:eastAsia="x-none"/>
        </w:rPr>
        <w:t xml:space="preserve">está delimitado por la expresión </w:t>
      </w:r>
      <w:r w:rsidRPr="00176A0C">
        <w:rPr>
          <w:rFonts w:ascii="Verdana" w:hAnsi="Verdana" w:eastAsia="Calibri" w:cs="Arial"/>
          <w:bCs/>
          <w:i/>
          <w:iCs/>
          <w:sz w:val="20"/>
          <w:szCs w:val="20"/>
        </w:rPr>
        <w:t>“</w:t>
      </w:r>
      <w:r w:rsidRPr="00176A0C">
        <w:rPr>
          <w:rFonts w:ascii="Verdana" w:hAnsi="Verdana" w:eastAsia="Aptos" w:cs="Arial"/>
          <w:bCs/>
          <w:i/>
          <w:iCs/>
          <w:lang w:eastAsia="x-none"/>
        </w:rPr>
        <w:t>queda prohibida la contratación directa</w:t>
      </w:r>
      <w:r w:rsidRPr="00176A0C">
        <w:rPr>
          <w:rFonts w:ascii="Verdana" w:hAnsi="Verdana" w:eastAsia="Aptos" w:cs="Arial"/>
          <w:sz w:val="20"/>
          <w:szCs w:val="20"/>
        </w:rPr>
        <w:t>”</w:t>
      </w:r>
      <w:r w:rsidRPr="00176A0C">
        <w:rPr>
          <w:rFonts w:ascii="Verdana" w:hAnsi="Verdana" w:eastAsia="Aptos" w:cs="Arial"/>
          <w:bCs/>
          <w:lang w:eastAsia="x-none"/>
        </w:rPr>
        <w:t>.</w:t>
      </w:r>
      <w:r w:rsidRPr="00176A0C">
        <w:rPr>
          <w:rFonts w:ascii="Verdana" w:hAnsi="Verdana" w:eastAsia="Aptos" w:cs="Arial"/>
          <w:lang w:eastAsia="es-CO"/>
        </w:rPr>
        <w:t xml:space="preserve"> A propósito de esta restricción de la Ley de Garantías Electorales, la Sala de Consulta y Servicio Civil del Consejo de Estado ha considerado que:</w:t>
      </w:r>
    </w:p>
    <w:p w:rsidRPr="00176A0C" w:rsidR="00B233FF" w:rsidP="002F59B6" w:rsidRDefault="00B233FF" w14:paraId="7FC87231" w14:textId="77777777">
      <w:pPr>
        <w:spacing w:after="0" w:line="276" w:lineRule="auto"/>
        <w:ind w:firstLine="709"/>
        <w:jc w:val="both"/>
        <w:rPr>
          <w:rFonts w:ascii="Verdana" w:hAnsi="Verdana" w:eastAsia="Arial" w:cs="Arial"/>
          <w:lang w:val="es-ES" w:eastAsia="es-ES" w:bidi="es-ES"/>
        </w:rPr>
      </w:pPr>
    </w:p>
    <w:p w:rsidRPr="00176A0C" w:rsidR="00176A0C" w:rsidP="00176A0C" w:rsidRDefault="00176A0C" w14:paraId="5496FC20" w14:textId="77777777">
      <w:pPr>
        <w:spacing w:after="0" w:line="240" w:lineRule="auto"/>
        <w:ind w:left="709" w:right="709"/>
        <w:jc w:val="both"/>
        <w:rPr>
          <w:rFonts w:ascii="Verdana" w:hAnsi="Verdana" w:eastAsia="Aptos" w:cs="Arial"/>
          <w:sz w:val="20"/>
          <w:szCs w:val="20"/>
        </w:rPr>
      </w:pPr>
      <w:r w:rsidRPr="00176A0C">
        <w:rPr>
          <w:rFonts w:ascii="Verdana" w:hAnsi="Verdana" w:eastAsia="Aptos" w:cs="Arial"/>
          <w:sz w:val="20"/>
          <w:szCs w:val="20"/>
        </w:rPr>
        <w:t>“(…) 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sidRPr="00176A0C">
        <w:rPr>
          <w:rFonts w:ascii="Verdana" w:hAnsi="Verdana" w:eastAsia="Aptos" w:cs="Arial"/>
          <w:sz w:val="20"/>
          <w:szCs w:val="20"/>
          <w:vertAlign w:val="superscript"/>
          <w:lang w:eastAsia="es-CO"/>
        </w:rPr>
        <w:footnoteReference w:id="11"/>
      </w:r>
      <w:r w:rsidRPr="00176A0C">
        <w:rPr>
          <w:rFonts w:ascii="Verdana" w:hAnsi="Verdana" w:eastAsia="Aptos" w:cs="Arial"/>
          <w:sz w:val="20"/>
          <w:szCs w:val="20"/>
        </w:rPr>
        <w:t>.</w:t>
      </w:r>
    </w:p>
    <w:p w:rsidRPr="00176A0C" w:rsidR="00B233FF" w:rsidP="00B233FF" w:rsidRDefault="00B233FF" w14:paraId="2FC0B69F" w14:textId="77777777">
      <w:pPr>
        <w:spacing w:after="0" w:line="240" w:lineRule="auto"/>
        <w:ind w:left="709" w:right="709"/>
        <w:jc w:val="both"/>
        <w:rPr>
          <w:rFonts w:ascii="Verdana" w:hAnsi="Verdana" w:eastAsia="Aptos" w:cs="Arial"/>
          <w:sz w:val="20"/>
          <w:szCs w:val="20"/>
        </w:rPr>
      </w:pPr>
    </w:p>
    <w:p w:rsidRPr="00176A0C" w:rsidR="00176A0C" w:rsidP="00176A0C" w:rsidRDefault="00176A0C" w14:paraId="3F53306A" w14:textId="77777777">
      <w:pPr>
        <w:spacing w:after="0" w:line="240" w:lineRule="auto"/>
        <w:ind w:left="709" w:right="709"/>
        <w:jc w:val="both"/>
        <w:rPr>
          <w:rFonts w:ascii="Verdana" w:hAnsi="Verdana" w:eastAsia="Aptos" w:cs="Arial"/>
          <w:sz w:val="20"/>
          <w:szCs w:val="20"/>
        </w:rPr>
      </w:pPr>
      <w:r w:rsidRPr="00176A0C">
        <w:rPr>
          <w:rFonts w:ascii="Verdana" w:hAnsi="Verdana" w:eastAsia="Aptos" w:cs="Arial"/>
          <w:sz w:val="20"/>
          <w:szCs w:val="20"/>
        </w:rPr>
        <w:t xml:space="preserve">Esta Sala ha entendido que para los efectos de la ley de garantías, y dada su finalidad, el enunciado ´contratación directa´ es sinónimo </w:t>
      </w:r>
      <w:bookmarkStart w:name="_Hlk75741738" w:id="12"/>
      <w:r w:rsidRPr="00176A0C">
        <w:rPr>
          <w:rFonts w:ascii="Verdana" w:hAnsi="Verdana" w:eastAsia="Aptos" w:cs="Arial"/>
          <w:sz w:val="20"/>
          <w:szCs w:val="20"/>
        </w:rPr>
        <w:t xml:space="preserve">de cualquier sistema que no implique convocatoria pública y posibilidad de pluralidad de oferentes, </w:t>
      </w:r>
      <w:bookmarkEnd w:id="12"/>
      <w:r w:rsidRPr="00176A0C">
        <w:rPr>
          <w:rFonts w:ascii="Verdana" w:hAnsi="Verdana" w:eastAsia="Aptos" w:cs="Arial"/>
          <w:sz w:val="20"/>
          <w:szCs w:val="20"/>
        </w:rPr>
        <w:t>y que, además, no necesariamente hace referencia al procedimiento especial regulado por la ley de contratación estatal, sino a cualquier otro que prescinda de un proceso de licitación pública o concurso</w:t>
      </w:r>
      <w:r w:rsidRPr="00176A0C">
        <w:rPr>
          <w:rFonts w:ascii="Verdana" w:hAnsi="Verdana" w:eastAsia="Aptos" w:cs="Arial"/>
          <w:sz w:val="20"/>
          <w:szCs w:val="20"/>
          <w:vertAlign w:val="superscript"/>
        </w:rPr>
        <w:footnoteReference w:id="12"/>
      </w:r>
      <w:r w:rsidRPr="00176A0C">
        <w:rPr>
          <w:rFonts w:ascii="Verdana" w:hAnsi="Verdana" w:eastAsia="Aptos" w:cs="Arial"/>
          <w:sz w:val="20"/>
          <w:szCs w:val="20"/>
          <w:vertAlign w:val="superscript"/>
        </w:rPr>
        <w:t>.</w:t>
      </w:r>
      <w:r w:rsidRPr="00176A0C">
        <w:rPr>
          <w:rFonts w:ascii="Verdana" w:hAnsi="Verdana" w:eastAsia="Aptos" w:cs="Arial"/>
          <w:sz w:val="20"/>
          <w:szCs w:val="20"/>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sidRPr="00176A0C">
        <w:rPr>
          <w:rFonts w:ascii="Verdana" w:hAnsi="Verdana" w:eastAsia="Aptos" w:cs="Arial"/>
          <w:sz w:val="20"/>
          <w:szCs w:val="20"/>
          <w:vertAlign w:val="superscript"/>
          <w:lang w:eastAsia="es-CO"/>
        </w:rPr>
        <w:footnoteReference w:id="13"/>
      </w:r>
      <w:r w:rsidRPr="00176A0C">
        <w:rPr>
          <w:rFonts w:ascii="Verdana" w:hAnsi="Verdana" w:eastAsia="Aptos" w:cs="Arial"/>
          <w:sz w:val="20"/>
          <w:szCs w:val="20"/>
        </w:rPr>
        <w:t>.</w:t>
      </w:r>
    </w:p>
    <w:p w:rsidRPr="00176A0C" w:rsidR="00176A0C" w:rsidP="00176A0C" w:rsidRDefault="00176A0C" w14:paraId="757535B6" w14:textId="77777777">
      <w:pPr>
        <w:spacing w:after="0" w:line="240" w:lineRule="auto"/>
        <w:ind w:left="709" w:right="709"/>
        <w:jc w:val="both"/>
        <w:rPr>
          <w:rFonts w:ascii="Verdana" w:hAnsi="Verdana" w:eastAsia="Aptos" w:cs="Arial"/>
        </w:rPr>
      </w:pPr>
    </w:p>
    <w:p w:rsidRPr="00176A0C" w:rsidR="00176A0C" w:rsidP="00176A0C" w:rsidRDefault="00176A0C" w14:paraId="2C9A73D7" w14:textId="77777777">
      <w:pPr>
        <w:spacing w:after="120" w:line="276" w:lineRule="auto"/>
        <w:ind w:firstLine="709"/>
        <w:jc w:val="both"/>
        <w:rPr>
          <w:rFonts w:ascii="Verdana" w:hAnsi="Verdana" w:eastAsia="Aptos" w:cs="Arial"/>
          <w:bCs/>
          <w:lang w:eastAsia="x-none"/>
        </w:rPr>
      </w:pPr>
      <w:bookmarkStart w:name="_Hlk94521748" w:id="14"/>
      <w:r w:rsidRPr="00176A0C">
        <w:rPr>
          <w:rFonts w:ascii="Verdana" w:hAnsi="Verdana" w:eastAsia="Aptos" w:cs="Arial"/>
          <w:lang w:eastAsia="x-none"/>
        </w:rPr>
        <w:t xml:space="preserve">De acuerdo con el citado concepto, la prohibición del artículo 33 de la Ley de Garantías Electorales se refiere a </w:t>
      </w:r>
      <w:r w:rsidRPr="00176A0C">
        <w:rPr>
          <w:rFonts w:ascii="Verdana" w:hAnsi="Verdana" w:eastAsia="Aptos" w:cs="Arial"/>
          <w:lang w:eastAsia="en-GB"/>
        </w:rPr>
        <w:t>“</w:t>
      </w:r>
      <w:r w:rsidRPr="00176A0C">
        <w:rPr>
          <w:rFonts w:ascii="Verdana" w:hAnsi="Verdana" w:eastAsia="Aptos" w:cs="Arial"/>
          <w:lang w:eastAsia="x-none"/>
        </w:rPr>
        <w:t>cualquier sistema que no implique convocatoria pública y posibilidad de pluralidad de oferentes</w:t>
      </w:r>
      <w:r w:rsidRPr="00176A0C">
        <w:rPr>
          <w:rFonts w:ascii="Verdana" w:hAnsi="Verdana" w:eastAsia="Aptos" w:cs="Arial"/>
          <w:lang w:eastAsia="en-GB"/>
        </w:rPr>
        <w:t>”</w:t>
      </w:r>
      <w:r w:rsidRPr="00176A0C">
        <w:rPr>
          <w:rFonts w:ascii="Verdana" w:hAnsi="Verdana" w:eastAsia="Aptos" w:cs="Arial"/>
          <w:lang w:eastAsia="x-none"/>
        </w:rPr>
        <w:t xml:space="preserve">, por lo que excluye las demás modalidades de contratación previstas en la Ley 1150 de 2007, es decir, la licitación pública, la selección abreviada, el concurso de méritos </w:t>
      </w:r>
      <w:r w:rsidRPr="00176A0C">
        <w:rPr>
          <w:rFonts w:ascii="Verdana" w:hAnsi="Verdana" w:eastAsia="Aptos" w:cs="Arial"/>
          <w:lang w:val="es-ES_tradnl" w:eastAsia="x-none"/>
        </w:rPr>
        <w:t>y la mínima cuantía</w:t>
      </w:r>
      <w:r w:rsidRPr="00176A0C" w:rsidDel="00A85D9F">
        <w:rPr>
          <w:rFonts w:ascii="Verdana" w:hAnsi="Verdana" w:eastAsia="Aptos" w:cs="Arial"/>
          <w:lang w:eastAsia="x-none"/>
        </w:rPr>
        <w:t xml:space="preserve"> </w:t>
      </w:r>
      <w:r w:rsidRPr="00176A0C">
        <w:rPr>
          <w:rFonts w:ascii="Verdana" w:hAnsi="Verdana" w:eastAsia="Aptos" w:cs="Arial"/>
          <w:lang w:eastAsia="x-none"/>
        </w:rPr>
        <w:t>u otros previstos en normas especiales. Esta posición es congruente con la expedición de la Ley 1150 de 2007 que, entre otras reformas, introdujo la selección abreviada, rediseñó el concurso de méritos</w:t>
      </w:r>
      <w:r w:rsidRPr="00176A0C">
        <w:rPr>
          <w:rFonts w:ascii="Verdana" w:hAnsi="Verdana" w:eastAsia="Aptos" w:cs="Arial"/>
          <w:vertAlign w:val="superscript"/>
          <w:lang w:val="en-GB" w:eastAsia="x-none"/>
        </w:rPr>
        <w:footnoteReference w:id="14"/>
      </w:r>
      <w:r w:rsidRPr="00176A0C">
        <w:rPr>
          <w:rFonts w:ascii="Verdana" w:hAnsi="Verdana" w:eastAsia="Aptos" w:cs="Arial"/>
          <w:lang w:eastAsia="x-none"/>
        </w:rPr>
        <w:t xml:space="preserve"> y sistematizó las causales de contratación directa</w:t>
      </w:r>
      <w:r w:rsidRPr="00176A0C">
        <w:rPr>
          <w:rFonts w:ascii="Verdana" w:hAnsi="Verdana" w:eastAsia="Aptos" w:cs="Arial"/>
          <w:vertAlign w:val="superscript"/>
          <w:lang w:val="en-GB" w:eastAsia="x-none"/>
        </w:rPr>
        <w:footnoteReference w:id="15"/>
      </w:r>
      <w:r w:rsidRPr="00176A0C">
        <w:rPr>
          <w:rFonts w:ascii="Verdana" w:hAnsi="Verdana" w:eastAsia="Aptos" w:cs="Arial"/>
          <w:lang w:eastAsia="x-none"/>
        </w:rPr>
        <w:t>, además lo es con la posterior creación de la modalidad de mínima cuantía establecida actualmente en el numeral 5 del artículo 2 de la Ley 1150 de 2007, de acuerdo con las modificaciones realizadas por leyes posteriores.</w:t>
      </w:r>
    </w:p>
    <w:bookmarkEnd w:id="14"/>
    <w:p w:rsidRPr="00176A0C" w:rsidR="00176A0C" w:rsidP="00176A0C" w:rsidRDefault="00176A0C" w14:paraId="3C5AC829" w14:textId="77777777">
      <w:pPr>
        <w:spacing w:after="120" w:line="276" w:lineRule="auto"/>
        <w:ind w:firstLine="709"/>
        <w:jc w:val="both"/>
        <w:rPr>
          <w:rFonts w:ascii="Verdana" w:hAnsi="Verdana" w:eastAsia="Aptos" w:cs="Arial"/>
          <w:lang w:eastAsia="x-none"/>
        </w:rPr>
      </w:pPr>
      <w:r w:rsidRPr="00176A0C">
        <w:rPr>
          <w:rFonts w:ascii="Verdana" w:hAnsi="Verdana" w:eastAsia="Aptos" w:cs="Arial"/>
          <w:lang w:eastAsia="x-none"/>
        </w:rPr>
        <w:t xml:space="preserve">De esta forma, con fundamento en la evolución de la normativa sobre la contratación pública, se ha depurado la noción de </w:t>
      </w:r>
      <w:r w:rsidRPr="00176A0C">
        <w:rPr>
          <w:rFonts w:ascii="Verdana" w:hAnsi="Verdana" w:eastAsia="Aptos" w:cs="Arial"/>
          <w:i/>
          <w:lang w:eastAsia="en-GB"/>
        </w:rPr>
        <w:t>“</w:t>
      </w:r>
      <w:r w:rsidRPr="00176A0C">
        <w:rPr>
          <w:rFonts w:ascii="Verdana" w:hAnsi="Verdana" w:eastAsia="Aptos" w:cs="Arial"/>
          <w:i/>
          <w:iCs/>
          <w:lang w:eastAsia="x-none"/>
        </w:rPr>
        <w:t>contratación directa</w:t>
      </w:r>
      <w:r w:rsidRPr="00176A0C">
        <w:rPr>
          <w:rFonts w:ascii="Verdana" w:hAnsi="Verdana" w:eastAsia="Aptos" w:cs="Arial"/>
          <w:lang w:eastAsia="en-GB"/>
        </w:rPr>
        <w:t>”</w:t>
      </w:r>
      <w:r w:rsidRPr="00176A0C">
        <w:rPr>
          <w:rFonts w:ascii="Verdana" w:hAnsi="Verdana" w:eastAsia="Aptos" w:cs="Arial"/>
          <w:lang w:eastAsia="x-none"/>
        </w:rPr>
        <w:t>, precisando el Consejo de Estado –en el concepto citado– que, “aun cuando no coincide única y exactamente con la regulación que de dicho sistema de selección hace el artículo 2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176A0C">
        <w:rPr>
          <w:rFonts w:ascii="Verdana" w:hAnsi="Verdana" w:eastAsia="Aptos" w:cs="Arial"/>
          <w:vertAlign w:val="superscript"/>
          <w:lang w:val="en-GB" w:eastAsia="x-none"/>
        </w:rPr>
        <w:footnoteReference w:id="16"/>
      </w:r>
      <w:r w:rsidRPr="00176A0C">
        <w:rPr>
          <w:rFonts w:ascii="Verdana" w:hAnsi="Verdana" w:eastAsia="Aptos" w:cs="Arial"/>
          <w:lang w:eastAsia="x-none"/>
        </w:rPr>
        <w:t>, han establecido sistemas de contratación que implican convocatoria pública y participación de varios oferentes</w:t>
      </w:r>
      <w:r w:rsidRPr="00176A0C">
        <w:rPr>
          <w:rFonts w:ascii="Verdana" w:hAnsi="Verdana" w:eastAsia="Aptos" w:cs="Arial"/>
          <w:lang w:eastAsia="en-GB"/>
        </w:rPr>
        <w:t>”</w:t>
      </w:r>
      <w:r w:rsidRPr="00176A0C">
        <w:rPr>
          <w:rFonts w:ascii="Verdana" w:hAnsi="Verdana" w:eastAsia="Aptos" w:cs="Arial"/>
          <w:lang w:eastAsia="x-none"/>
        </w:rPr>
        <w:t>.</w:t>
      </w:r>
    </w:p>
    <w:p w:rsidRPr="00176A0C" w:rsidR="00176A0C" w:rsidP="00176A0C" w:rsidRDefault="00176A0C" w14:paraId="01BDAA8F" w14:textId="77777777">
      <w:pPr>
        <w:spacing w:after="120" w:line="276" w:lineRule="auto"/>
        <w:ind w:firstLine="709"/>
        <w:jc w:val="both"/>
        <w:rPr>
          <w:rFonts w:ascii="Verdana" w:hAnsi="Verdana" w:eastAsia="Aptos" w:cs="Arial"/>
          <w:bCs/>
          <w:lang w:eastAsia="es-CO"/>
        </w:rPr>
      </w:pPr>
      <w:r w:rsidRPr="00176A0C">
        <w:rPr>
          <w:rFonts w:ascii="Verdana" w:hAnsi="Verdana" w:eastAsia="Aptos" w:cs="Arial"/>
          <w:bCs/>
          <w:lang w:eastAsia="x-none"/>
        </w:rPr>
        <w:t>E</w:t>
      </w:r>
      <w:r w:rsidRPr="00176A0C">
        <w:rPr>
          <w:rFonts w:ascii="Verdana" w:hAnsi="Verdana" w:eastAsia="Aptos" w:cs="Arial"/>
          <w:lang w:eastAsia="x-none"/>
        </w:rPr>
        <w:t xml:space="preserve">n efecto, vale la pena mencionar que, </w:t>
      </w:r>
      <w:bookmarkStart w:name="_Hlk75636073" w:id="15"/>
      <w:r w:rsidRPr="00176A0C">
        <w:rPr>
          <w:rFonts w:ascii="Verdana" w:hAnsi="Verdana" w:eastAsia="Aptos" w:cs="Arial"/>
          <w:lang w:eastAsia="x-none"/>
        </w:rPr>
        <w:t xml:space="preserve">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w:t>
      </w:r>
      <w:r w:rsidRPr="00176A0C">
        <w:rPr>
          <w:rFonts w:ascii="Verdana" w:hAnsi="Verdana" w:eastAsia="Aptos" w:cs="Arial"/>
          <w:i/>
          <w:iCs/>
          <w:lang w:eastAsia="x-none"/>
        </w:rPr>
        <w:t>“contratación directa</w:t>
      </w:r>
      <w:r w:rsidRPr="00176A0C">
        <w:rPr>
          <w:rFonts w:ascii="Verdana" w:hAnsi="Verdana" w:eastAsia="Aptos" w:cs="Arial"/>
          <w:lang w:eastAsia="x-none"/>
        </w:rPr>
        <w:t>”, es que la convocatoria para inscribirse en forma previa se haga de manera pública, y que se permita la participación de una pluralidad de oferentes</w:t>
      </w:r>
      <w:bookmarkEnd w:id="15"/>
      <w:r w:rsidRPr="00176A0C">
        <w:rPr>
          <w:rFonts w:ascii="Verdana" w:hAnsi="Verdana" w:eastAsia="Aptos" w:cs="Arial"/>
          <w:vertAlign w:val="superscript"/>
          <w:lang w:eastAsia="x-none"/>
        </w:rPr>
        <w:footnoteReference w:id="17"/>
      </w:r>
      <w:r w:rsidRPr="00176A0C">
        <w:rPr>
          <w:rFonts w:ascii="Verdana" w:hAnsi="Verdana" w:eastAsia="Aptos" w:cs="Arial"/>
          <w:lang w:eastAsia="x-none"/>
        </w:rPr>
        <w:t xml:space="preserve">. </w:t>
      </w:r>
    </w:p>
    <w:p w:rsidRPr="00176A0C" w:rsidR="00176A0C" w:rsidP="00176A0C" w:rsidRDefault="00176A0C" w14:paraId="6444E55F" w14:textId="77777777">
      <w:pPr>
        <w:spacing w:after="120" w:line="276" w:lineRule="auto"/>
        <w:ind w:firstLine="709"/>
        <w:jc w:val="both"/>
        <w:rPr>
          <w:rFonts w:ascii="Verdana" w:hAnsi="Verdana" w:eastAsia="Aptos" w:cs="Arial"/>
          <w:bCs/>
          <w:lang w:eastAsia="es-CO"/>
        </w:rPr>
      </w:pPr>
      <w:r w:rsidRPr="00176A0C">
        <w:rPr>
          <w:rFonts w:ascii="Verdana" w:hAnsi="Verdana" w:eastAsia="Aptos" w:cs="Arial"/>
          <w:bCs/>
          <w:lang w:eastAsia="es-CO"/>
        </w:rPr>
        <w:t xml:space="preserve">Como se advierte de lo anterior, el Consejo de Estado realiza una interpretación amplia de la contratación directa, para efectos de aplicar las restricciones establecidas en la Ley de Garantías,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w:t>
      </w:r>
      <w:r w:rsidRPr="00176A0C">
        <w:rPr>
          <w:rFonts w:ascii="Verdana" w:hAnsi="Verdana" w:eastAsia="Aptos" w:cs="Arial"/>
          <w:bCs/>
          <w:i/>
          <w:iCs/>
          <w:lang w:eastAsia="es-CO"/>
        </w:rPr>
        <w:t>“contratación directa”.</w:t>
      </w:r>
    </w:p>
    <w:p w:rsidRPr="00176A0C" w:rsidR="00176A0C" w:rsidP="00176A0C" w:rsidRDefault="00176A0C" w14:paraId="42205AE9" w14:textId="77777777">
      <w:pPr>
        <w:spacing w:after="120" w:line="276" w:lineRule="auto"/>
        <w:ind w:firstLine="709"/>
        <w:jc w:val="both"/>
        <w:rPr>
          <w:rFonts w:ascii="Verdana" w:hAnsi="Verdana" w:eastAsia="Aptos" w:cs="Arial"/>
          <w:vertAlign w:val="superscript"/>
          <w:lang w:eastAsia="x-none"/>
        </w:rPr>
      </w:pPr>
      <w:bookmarkStart w:name="_Hlk78818796" w:id="16"/>
      <w:r w:rsidRPr="00176A0C">
        <w:rPr>
          <w:rFonts w:ascii="Verdana" w:hAnsi="Verdana" w:eastAsia="Aptos" w:cs="Arial"/>
          <w:bCs/>
          <w:lang w:eastAsia="x-none"/>
        </w:rPr>
        <w:t xml:space="preserve"> 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w:t>
      </w:r>
      <w:r w:rsidRPr="00176A0C">
        <w:rPr>
          <w:rFonts w:ascii="Verdana" w:hAnsi="Verdana" w:eastAsia="Aptos" w:cs="Arial"/>
          <w:bCs/>
          <w:lang w:eastAsia="x-none"/>
        </w:rPr>
        <w:t>que no incluya la convocatoria pública en alguna de sus etapas, ni permita la participación de una pluralidad de oferentes</w:t>
      </w:r>
      <w:r w:rsidRPr="00176A0C">
        <w:rPr>
          <w:rFonts w:ascii="Verdana" w:hAnsi="Verdana" w:eastAsia="Aptos" w:cs="Arial"/>
          <w:vertAlign w:val="superscript"/>
          <w:lang w:eastAsia="x-none"/>
        </w:rPr>
        <w:footnoteReference w:id="18"/>
      </w:r>
      <w:r w:rsidRPr="00176A0C">
        <w:rPr>
          <w:rFonts w:ascii="Verdana" w:hAnsi="Verdana" w:eastAsia="Aptos" w:cs="Arial"/>
          <w:lang w:eastAsia="x-none"/>
        </w:rPr>
        <w:t>.</w:t>
      </w:r>
      <w:r w:rsidRPr="00176A0C">
        <w:rPr>
          <w:rFonts w:ascii="Verdana" w:hAnsi="Verdana" w:eastAsia="Aptos" w:cs="Arial"/>
          <w:vertAlign w:val="superscript"/>
          <w:lang w:eastAsia="x-none"/>
        </w:rPr>
        <w:t xml:space="preserve"> </w:t>
      </w:r>
    </w:p>
    <w:p w:rsidRPr="00176A0C" w:rsidR="00176A0C" w:rsidP="00176A0C" w:rsidRDefault="00176A0C" w14:paraId="6E4C6E9D" w14:textId="77777777">
      <w:pPr>
        <w:spacing w:after="120" w:line="276" w:lineRule="auto"/>
        <w:ind w:firstLine="709"/>
        <w:jc w:val="both"/>
        <w:rPr>
          <w:rFonts w:ascii="Verdana" w:hAnsi="Verdana" w:eastAsia="Aptos" w:cs="Arial"/>
          <w:lang w:eastAsia="x-none"/>
        </w:rPr>
      </w:pPr>
      <w:r w:rsidRPr="00176A0C">
        <w:rPr>
          <w:rFonts w:ascii="Verdana" w:hAnsi="Verdana" w:eastAsia="Aptos" w:cs="Arial"/>
          <w:lang w:eastAsia="x-none"/>
        </w:rPr>
        <w:t>Lo anterior supone que, en aquellos procedimientos que contemplen convocatorias o invitaciones para contratar que se limiten a aquellas personas que previamente se hayan inscrito en una lista de precalificados o de interesados, lo determinante para considerar que dicho sistema no constituye “contratación directa”, es que la convocatoria para inscribirse en forma previa se haga de manera pública, y que se permita la participación de una pluralidad de oferentes3. Esta circunstancia no se extiende a la contratación directa aplicable en algunos regímenes especiales con listas de precalificados, ya que a efecto de que no se configure la contratación directa, la selección del futuro contratista debe darse en términos de competencia</w:t>
      </w:r>
      <w:r w:rsidRPr="00176A0C">
        <w:rPr>
          <w:rFonts w:ascii="Verdana" w:hAnsi="Verdana" w:eastAsia="Aptos" w:cs="Arial"/>
          <w:vertAlign w:val="superscript"/>
          <w:lang w:eastAsia="x-none"/>
        </w:rPr>
        <w:footnoteReference w:id="19"/>
      </w:r>
      <w:r w:rsidRPr="00176A0C">
        <w:rPr>
          <w:rFonts w:ascii="Verdana" w:hAnsi="Verdana" w:eastAsia="Aptos" w:cs="Arial"/>
          <w:lang w:eastAsia="x-none"/>
        </w:rPr>
        <w:t>.</w:t>
      </w:r>
    </w:p>
    <w:bookmarkEnd w:id="16"/>
    <w:p w:rsidRPr="00176A0C" w:rsidR="00176A0C" w:rsidP="00176A0C" w:rsidRDefault="00176A0C" w14:paraId="053C724D" w14:textId="77777777">
      <w:pPr>
        <w:spacing w:after="120" w:line="276" w:lineRule="auto"/>
        <w:ind w:firstLine="709"/>
        <w:jc w:val="both"/>
        <w:rPr>
          <w:rFonts w:ascii="Verdana" w:hAnsi="Verdana" w:eastAsia="Aptos" w:cs="Arial"/>
          <w:lang w:eastAsia="x-none"/>
        </w:rPr>
      </w:pPr>
      <w:r w:rsidRPr="00176A0C">
        <w:rPr>
          <w:rFonts w:ascii="Verdana" w:hAnsi="Verdana" w:eastAsia="Aptos" w:cs="Arial"/>
          <w:bCs/>
          <w:lang w:eastAsia="x-none"/>
        </w:rPr>
        <w:t>De lo anterior se desprende que la restricción aplica, sin perjuicio de las excepciones establecidas en la misma ley, para celebrar cualquier contrato de forma directa, esto es, sin que exista un proceso abierto y competitivo.</w:t>
      </w:r>
      <w:r w:rsidRPr="00176A0C">
        <w:rPr>
          <w:rFonts w:ascii="Verdana" w:hAnsi="Verdana" w:eastAsia="Aptos" w:cs="Arial"/>
          <w:lang w:eastAsia="x-none"/>
        </w:rPr>
        <w:t xml:space="preserve"> Por tanto, no son materia de la prohibición las demás modalidades de selección previstas en la Ley 1150 de 2007, es decir, la licitación pública, el concurso de méritos, la selección abreviada y la contratación de mínima cuantía, razón por la cual en el período preelectoral de que trata la disposición las entidades públicas pueden seguir contratando bajo estos sistemas.</w:t>
      </w:r>
    </w:p>
    <w:p w:rsidRPr="00176A0C" w:rsidR="00176A0C" w:rsidP="00176A0C" w:rsidRDefault="00176A0C" w14:paraId="7AF9B1C9" w14:textId="77777777">
      <w:pPr>
        <w:spacing w:after="120" w:line="276" w:lineRule="auto"/>
        <w:ind w:firstLine="709"/>
        <w:jc w:val="both"/>
        <w:rPr>
          <w:rFonts w:ascii="Verdana" w:hAnsi="Verdana" w:eastAsia="Aptos" w:cs="Arial"/>
          <w:bCs/>
          <w:color w:val="000000"/>
          <w:lang w:val="es-MX" w:eastAsia="x-none"/>
        </w:rPr>
      </w:pPr>
      <w:r w:rsidRPr="00176A0C">
        <w:rPr>
          <w:rFonts w:ascii="Verdana" w:hAnsi="Verdana" w:eastAsia="Aptos" w:cs="Arial"/>
          <w:color w:val="000000"/>
          <w:lang w:val="es-MX"/>
        </w:rPr>
        <w:t>Ahora bien, en relación con los destinatarios de las restricciones, el artículo 33 de la Ley 996 de 2005 los señala expresamente, en el sentido de que son “</w:t>
      </w:r>
      <w:r w:rsidRPr="00176A0C">
        <w:rPr>
          <w:rFonts w:ascii="Verdana" w:hAnsi="Verdana" w:eastAsia="Aptos" w:cs="Arial"/>
          <w:i/>
          <w:color w:val="000000"/>
          <w:lang w:val="es-MX"/>
        </w:rPr>
        <w:t>todos los entes del Estado</w:t>
      </w:r>
      <w:r w:rsidRPr="00176A0C">
        <w:rPr>
          <w:rFonts w:ascii="Verdana" w:hAnsi="Verdana" w:eastAsia="Aptos" w:cs="Arial"/>
          <w:color w:val="000000"/>
          <w:lang w:val="es-MX"/>
        </w:rPr>
        <w:t xml:space="preserve">”, expresión que contempla a los diferentes organismos o entidades autorizadas por la ley para suscribir contratos. En efecto, tal como lo ha sostenido el Consejo de Estado, el vocablo” todos” utilizado por el legislador comprende 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p>
    <w:p w:rsidRPr="00176A0C" w:rsidR="00176A0C" w:rsidP="00176A0C" w:rsidRDefault="00176A0C" w14:paraId="5826669A" w14:textId="343AF0C4">
      <w:pPr>
        <w:spacing w:after="120" w:line="276" w:lineRule="auto"/>
        <w:ind w:firstLine="709"/>
        <w:jc w:val="both"/>
        <w:rPr>
          <w:rFonts w:ascii="Verdana" w:hAnsi="Verdana" w:eastAsia="Aptos" w:cs="Arial"/>
          <w:color w:val="000000"/>
          <w:lang w:val="es-MX"/>
        </w:rPr>
      </w:pPr>
      <w:r w:rsidRPr="00176A0C">
        <w:rPr>
          <w:rFonts w:ascii="Verdana" w:hAnsi="Verdana" w:eastAsia="Aptos" w:cs="Arial"/>
          <w:color w:val="000000"/>
          <w:lang w:val="es-MX"/>
        </w:rPr>
        <w:t xml:space="preserve">La Sala de Consulta y Servicio Civil del Consejo de Estado, en Concepto 1727 del 20 de febrero de 2006, consideró que el artículo 33 de la </w:t>
      </w:r>
      <w:r w:rsidR="00827696">
        <w:rPr>
          <w:rFonts w:ascii="Verdana" w:hAnsi="Verdana" w:eastAsia="Aptos" w:cs="Arial"/>
          <w:color w:val="000000"/>
          <w:lang w:val="es-MX"/>
        </w:rPr>
        <w:t>L</w:t>
      </w:r>
      <w:r w:rsidRPr="00176A0C">
        <w:rPr>
          <w:rFonts w:ascii="Verdana" w:hAnsi="Verdana" w:eastAsia="Aptos" w:cs="Arial"/>
          <w:color w:val="000000"/>
          <w:lang w:val="es-MX"/>
        </w:rPr>
        <w:t>ey 996 de 2005, efectivamente se aplica incluso a las Entidades Estatales con régimen especial de contratación y que están exceptuadas del ámbito de aplicación del Estatuto General de Contratación de la Administración Pública, como por ejemplo “los prestadores de servicios públicos domiciliarios (empresas de servicios públicos oficiales y empresas industriales y comerciales del Estado) y a los municipios prestadores directos, incluyendo las excepciones contenidas en el segundo inciso de esta norma”</w:t>
      </w:r>
      <w:r w:rsidRPr="00176A0C">
        <w:rPr>
          <w:rFonts w:ascii="Verdana" w:hAnsi="Verdana" w:eastAsia="Aptos" w:cs="Arial"/>
          <w:color w:val="000000"/>
          <w:vertAlign w:val="superscript"/>
          <w:lang w:val="es-MX"/>
        </w:rPr>
        <w:footnoteReference w:id="20"/>
      </w:r>
      <w:r w:rsidRPr="00176A0C">
        <w:rPr>
          <w:rFonts w:ascii="Verdana" w:hAnsi="Verdana" w:eastAsia="Aptos" w:cs="Arial"/>
          <w:color w:val="000000"/>
          <w:lang w:val="es-MX"/>
        </w:rPr>
        <w:t xml:space="preserve">. </w:t>
      </w:r>
    </w:p>
    <w:p w:rsidRPr="00176A0C" w:rsidR="00176A0C" w:rsidP="00827696" w:rsidRDefault="00176A0C" w14:paraId="543B0214" w14:textId="77777777">
      <w:pPr>
        <w:spacing w:after="0" w:line="276" w:lineRule="auto"/>
        <w:ind w:firstLine="709"/>
        <w:jc w:val="both"/>
        <w:rPr>
          <w:rFonts w:ascii="Verdana" w:hAnsi="Verdana" w:eastAsia="Aptos" w:cs="Arial"/>
          <w:color w:val="000000"/>
          <w:lang w:val="es-MX"/>
        </w:rPr>
      </w:pPr>
      <w:r w:rsidRPr="00176A0C">
        <w:rPr>
          <w:rFonts w:ascii="Verdana" w:hAnsi="Verdana" w:eastAsia="Aptos" w:cs="Arial"/>
          <w:color w:val="000000"/>
          <w:lang w:val="es-MX"/>
        </w:rPr>
        <w:t>De igual forma, en Concepto con radicado 1738 del 6 de abril de 2006, esa misma Corporación manifestó que “Las restricciones de la Ley de Garantías en materia de contratación directa y celebración de convenios interadministrativos, se aplican a las empresas industriales y comerciales del Estado y a las Sociedades de Economía Mixta, salvo cuando la celebración de un convenio interadministrativo sea ordenada, para ambas partes, por el Legislador”</w:t>
      </w:r>
      <w:r w:rsidRPr="00176A0C">
        <w:rPr>
          <w:rFonts w:ascii="Verdana" w:hAnsi="Verdana" w:eastAsia="Aptos" w:cs="Arial"/>
          <w:color w:val="000000"/>
          <w:vertAlign w:val="superscript"/>
          <w:lang w:val="es-MX"/>
        </w:rPr>
        <w:footnoteReference w:id="21"/>
      </w:r>
      <w:r w:rsidRPr="00176A0C">
        <w:rPr>
          <w:rFonts w:ascii="Verdana" w:hAnsi="Verdana" w:eastAsia="Aptos" w:cs="Arial"/>
          <w:color w:val="000000"/>
          <w:lang w:val="es-MX"/>
        </w:rPr>
        <w:t>. Además, la Sala de Consulta y Servicio Civil del Consejo de Estado realizó la siguiente distinción, retomando el pronunciamiento de la misma sala del 20 de febrero de 2006, citado anteriormente:</w:t>
      </w:r>
    </w:p>
    <w:p w:rsidRPr="00176A0C" w:rsidR="00827696" w:rsidP="002F59B6" w:rsidRDefault="00827696" w14:paraId="5DBD4C0F" w14:textId="77777777">
      <w:pPr>
        <w:spacing w:after="0" w:line="276" w:lineRule="auto"/>
        <w:ind w:firstLine="709"/>
        <w:jc w:val="both"/>
        <w:rPr>
          <w:rFonts w:ascii="Verdana" w:hAnsi="Verdana" w:eastAsia="Aptos" w:cs="Arial"/>
          <w:color w:val="000000"/>
          <w:lang w:val="es-MX"/>
        </w:rPr>
      </w:pPr>
    </w:p>
    <w:p w:rsidRPr="00176A0C" w:rsidR="00176A0C" w:rsidP="00176A0C" w:rsidRDefault="00176A0C" w14:paraId="76CB94D3" w14:textId="77777777">
      <w:pPr>
        <w:spacing w:after="0" w:line="240" w:lineRule="auto"/>
        <w:ind w:left="709" w:right="709"/>
        <w:jc w:val="both"/>
        <w:rPr>
          <w:rFonts w:ascii="Verdana" w:hAnsi="Verdana" w:eastAsia="Aptos" w:cs="Arial"/>
          <w:color w:val="000000"/>
          <w:sz w:val="20"/>
          <w:szCs w:val="20"/>
          <w:lang w:val="es-MX"/>
        </w:rPr>
      </w:pPr>
      <w:r w:rsidRPr="00176A0C">
        <w:rPr>
          <w:rFonts w:ascii="Verdana" w:hAnsi="Verdana" w:eastAsia="Aptos" w:cs="Arial"/>
          <w:color w:val="000000"/>
          <w:sz w:val="20"/>
          <w:szCs w:val="20"/>
          <w:lang w:val="es-MX"/>
        </w:rPr>
        <w:t xml:space="preserve">“(…) En el concepto No. 1727 de fecha 20 de febrero de 2006, ésta Sala distinguió dos clases de contratos en relación con las empresas de servicios públicos domiciliarios: unos, en los que la posición de la empresa es la de consumidora de las prestaciones objeto del contrato, que utiliza para la prestación de los servicios a su cargo, y los otros, en los que la empresa entrega esos servicios a los usuarios, conforme a unas reglas uniformes para todos ellos y sin que haya privilegios o tratos desiguales. En los primeros contratos, es claro que la empresa debe adquirir esos bienes previa licitación pública, según se expuso anteriormente, pero en el segundo caso, las empresas no pueden dejar de entregar los servicios públicos a su cargo a nuevas personas, ni dejar de renovar los contratos </w:t>
      </w:r>
      <w:r w:rsidRPr="00176A0C">
        <w:rPr>
          <w:rFonts w:ascii="Verdana" w:hAnsi="Verdana" w:eastAsia="Aptos" w:cs="Arial"/>
          <w:color w:val="000000"/>
          <w:sz w:val="20"/>
          <w:szCs w:val="20"/>
          <w:lang w:val="es-MX"/>
        </w:rPr>
        <w:t>existentes, pues significaría la parálisis de una actividad propia de la administración, que incluso podría desconocer los derechos fundamentales.</w:t>
      </w:r>
    </w:p>
    <w:p w:rsidRPr="00176A0C" w:rsidR="00176A0C" w:rsidP="00176A0C" w:rsidRDefault="00176A0C" w14:paraId="7B196181" w14:textId="77777777">
      <w:pPr>
        <w:spacing w:after="0" w:line="240" w:lineRule="auto"/>
        <w:ind w:left="709" w:right="709"/>
        <w:jc w:val="both"/>
        <w:rPr>
          <w:rFonts w:ascii="Verdana" w:hAnsi="Verdana" w:eastAsia="Aptos" w:cs="Arial"/>
          <w:color w:val="000000"/>
          <w:sz w:val="20"/>
          <w:szCs w:val="20"/>
          <w:lang w:val="es-MX"/>
        </w:rPr>
      </w:pPr>
    </w:p>
    <w:p w:rsidRPr="00176A0C" w:rsidR="00176A0C" w:rsidP="00176A0C" w:rsidRDefault="00176A0C" w14:paraId="17BE7FA3" w14:textId="77777777">
      <w:pPr>
        <w:spacing w:after="0" w:line="240" w:lineRule="auto"/>
        <w:ind w:left="709" w:right="709"/>
        <w:jc w:val="both"/>
        <w:rPr>
          <w:rFonts w:ascii="Verdana" w:hAnsi="Verdana" w:eastAsia="Aptos" w:cs="Arial"/>
          <w:color w:val="000000"/>
          <w:sz w:val="20"/>
          <w:szCs w:val="20"/>
          <w:lang w:val="es-MX" w:eastAsia="x-none"/>
        </w:rPr>
      </w:pPr>
      <w:r w:rsidRPr="00176A0C">
        <w:rPr>
          <w:rFonts w:ascii="Verdana" w:hAnsi="Verdana" w:eastAsia="Aptos" w:cs="Arial"/>
          <w:color w:val="000000"/>
          <w:sz w:val="20"/>
          <w:szCs w:val="20"/>
          <w:lang w:val="es-MX"/>
        </w:rPr>
        <w:t>Aplicando este razonamiento a los establecimientos de crédito, a las sociedades de servicios financieros y a las entidades aseguradoras, encontramos que no pueden adquirir los suministros de bienes y servicios necesarios para la realización de su actividad por contratación directa sino por el mecanismo de la licitación pública, pero es obvio que si una de éstas entidades va a prestar un servicio financiero o de seguros a un particular, lo puede hacer, pues éstos se ofrecen a toda la comunidad en condiciones de igualdad. Si se supusiera que está prohibida su contratación directa, significaría la parálisis de tal actividad de interés público, lo que de ninguna manera es lo querido por la ley 996 de 2005”</w:t>
      </w:r>
      <w:r w:rsidRPr="00176A0C">
        <w:rPr>
          <w:rFonts w:ascii="Verdana" w:hAnsi="Verdana" w:eastAsia="Aptos" w:cs="Arial"/>
          <w:color w:val="000000"/>
          <w:sz w:val="20"/>
          <w:szCs w:val="20"/>
          <w:vertAlign w:val="superscript"/>
          <w:lang w:val="es-MX"/>
        </w:rPr>
        <w:footnoteReference w:id="22"/>
      </w:r>
      <w:r w:rsidRPr="00176A0C">
        <w:rPr>
          <w:rFonts w:ascii="Verdana" w:hAnsi="Verdana" w:eastAsia="Aptos" w:cs="Arial"/>
          <w:color w:val="000000"/>
          <w:sz w:val="20"/>
          <w:szCs w:val="20"/>
          <w:lang w:val="es-MX" w:eastAsia="x-none"/>
        </w:rPr>
        <w:t>.</w:t>
      </w:r>
    </w:p>
    <w:p w:rsidRPr="00176A0C" w:rsidR="00176A0C" w:rsidP="00176A0C" w:rsidRDefault="00176A0C" w14:paraId="023347BE" w14:textId="77777777">
      <w:pPr>
        <w:spacing w:after="0" w:line="240" w:lineRule="auto"/>
        <w:ind w:firstLine="709"/>
        <w:jc w:val="both"/>
        <w:rPr>
          <w:rFonts w:ascii="Verdana" w:hAnsi="Verdana" w:eastAsia="Aptos" w:cs="Arial"/>
          <w:color w:val="000000"/>
          <w:lang w:val="es-MX"/>
        </w:rPr>
      </w:pPr>
    </w:p>
    <w:p w:rsidRPr="00176A0C" w:rsidR="00176A0C" w:rsidP="00176A0C" w:rsidRDefault="00176A0C" w14:paraId="0453E7FE" w14:textId="77777777">
      <w:pPr>
        <w:spacing w:after="120" w:line="276" w:lineRule="auto"/>
        <w:ind w:firstLine="709"/>
        <w:jc w:val="both"/>
        <w:rPr>
          <w:rFonts w:ascii="Verdana" w:hAnsi="Verdana" w:eastAsia="Aptos" w:cs="Arial"/>
          <w:color w:val="000000"/>
          <w:lang w:eastAsia="es-CO"/>
        </w:rPr>
      </w:pPr>
      <w:r w:rsidRPr="00176A0C">
        <w:rPr>
          <w:rFonts w:ascii="Verdana" w:hAnsi="Verdana" w:eastAsia="Aptos" w:cs="Arial"/>
          <w:color w:val="000000"/>
          <w:lang w:val="es-MX"/>
        </w:rPr>
        <w:t>De acuerdo con estos pronunciamientos de la Sala de Consulta y Servicio Civil del Consejo de Estado, la prohibición de la contratación directa también aplica frente a las entidades exceptuadas del Estatuto General de Contratación de la Administración Pública y que se rigen en materia contractual por el derecho privado. Sin embargo, señaló que algunas de estas entidades, como sucede con las empresas de servicios públicos domiciliarios, los establecimientos de crédito, las sociedades de servicios financieros y las entidades aseguradoras no 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r w:rsidRPr="00176A0C">
        <w:rPr>
          <w:rFonts w:ascii="Verdana" w:hAnsi="Verdana" w:eastAsia="Aptos" w:cs="Arial"/>
          <w:color w:val="000000"/>
          <w:vertAlign w:val="superscript"/>
          <w:lang w:val="es-MX"/>
        </w:rPr>
        <w:footnoteReference w:id="23"/>
      </w:r>
      <w:r w:rsidRPr="00176A0C">
        <w:rPr>
          <w:rFonts w:ascii="Verdana" w:hAnsi="Verdana" w:eastAsia="Aptos" w:cs="Arial"/>
          <w:color w:val="000000"/>
          <w:lang w:val="es-MX"/>
        </w:rPr>
        <w:t>.</w:t>
      </w:r>
      <w:r w:rsidRPr="00176A0C">
        <w:rPr>
          <w:rFonts w:ascii="Verdana" w:hAnsi="Verdana" w:eastAsia="Aptos" w:cs="Arial"/>
          <w:color w:val="000000"/>
          <w:lang w:eastAsia="es-CO"/>
        </w:rPr>
        <w:t xml:space="preserve"> </w:t>
      </w:r>
    </w:p>
    <w:p w:rsidRPr="00176A0C" w:rsidR="00176A0C" w:rsidP="00176A0C" w:rsidRDefault="00176A0C" w14:paraId="21F7B5F2" w14:textId="77777777">
      <w:pPr>
        <w:spacing w:after="120" w:line="276" w:lineRule="auto"/>
        <w:ind w:firstLine="709"/>
        <w:jc w:val="both"/>
        <w:rPr>
          <w:rFonts w:ascii="Verdana" w:hAnsi="Verdana" w:eastAsia="Aptos" w:cs="Arial"/>
          <w:color w:val="000000"/>
          <w:lang w:eastAsia="es-CO"/>
        </w:rPr>
      </w:pPr>
      <w:r w:rsidRPr="00176A0C">
        <w:rPr>
          <w:rFonts w:ascii="Verdana" w:hAnsi="Verdana" w:eastAsia="Aptos" w:cs="Arial"/>
          <w:color w:val="000000"/>
          <w:lang w:eastAsia="es-CO"/>
        </w:rPr>
        <w:t>Sin perjuicio de estos pronunciamientos de la Sala de Consulta y Servicio Civil</w:t>
      </w:r>
      <w:r w:rsidRPr="00176A0C">
        <w:rPr>
          <w:rFonts w:ascii="Verdana" w:hAnsi="Verdana" w:eastAsia="Aptos" w:cs="Arial"/>
          <w:color w:val="000000"/>
          <w:lang w:val="es-MX"/>
        </w:rPr>
        <w:t xml:space="preserve">, como la ha señalado esa misma Corporación, la restricción prevista en la Ley 996 de 2005 </w:t>
      </w:r>
      <w:r w:rsidRPr="00176A0C">
        <w:rPr>
          <w:rFonts w:ascii="Verdana" w:hAnsi="Verdana" w:eastAsia="Aptos" w:cs="Arial"/>
          <w:bCs/>
          <w:color w:val="000000"/>
          <w:lang w:val="es-MX" w:eastAsia="x-none"/>
        </w:rPr>
        <w:t xml:space="preserve">cobija a cualquier entidad pública independiente del régimen jurídico, que pueda mediante la contratación directa romper el equilibrio entre los candidatos en desarrollo de las elecciones presidenciales. </w:t>
      </w:r>
    </w:p>
    <w:p w:rsidRPr="00176A0C" w:rsidR="00176A0C" w:rsidP="00176A0C" w:rsidRDefault="00176A0C" w14:paraId="370BD800" w14:textId="77777777">
      <w:pPr>
        <w:spacing w:after="120" w:line="276" w:lineRule="auto"/>
        <w:ind w:firstLine="709"/>
        <w:jc w:val="both"/>
        <w:rPr>
          <w:rFonts w:ascii="Verdana" w:hAnsi="Verdana" w:eastAsia="Aptos" w:cs="Arial"/>
          <w:bCs/>
          <w:color w:val="000000"/>
          <w:lang w:val="es-MX" w:eastAsia="x-none"/>
        </w:rPr>
      </w:pPr>
      <w:r w:rsidRPr="00176A0C">
        <w:rPr>
          <w:rFonts w:ascii="Verdana" w:hAnsi="Verdana" w:eastAsia="Aptos" w:cs="Arial"/>
          <w:color w:val="000000"/>
          <w:lang w:val="es-MX"/>
        </w:rPr>
        <w:t xml:space="preserve">Tampoco existe un supuesto de exoneración a la prohibición por tener un régimen especial de los actos o contratos, pues, la posibilidad de que los entes </w:t>
      </w:r>
      <w:r w:rsidRPr="00176A0C">
        <w:rPr>
          <w:rFonts w:ascii="Verdana" w:hAnsi="Verdana" w:eastAsia="Aptos" w:cs="Arial"/>
          <w:color w:val="000000"/>
          <w:lang w:val="es-MX"/>
        </w:rPr>
        <w:t xml:space="preserve">del Estado utilicen la contratación con fines políticos, esto es, con la intención de influir a los electores y alterar la voluntad popular en las contiendas electorales, puede presentarse tanto en la contratación regulada por la Ley 80 de 1993 como en la regida por normas especiales. </w:t>
      </w:r>
    </w:p>
    <w:p w:rsidRPr="00176A0C" w:rsidR="00176A0C" w:rsidP="00176A0C" w:rsidRDefault="00176A0C" w14:paraId="5C6A5373" w14:textId="77777777">
      <w:pPr>
        <w:spacing w:after="120" w:line="276" w:lineRule="auto"/>
        <w:ind w:firstLine="709"/>
        <w:jc w:val="both"/>
        <w:rPr>
          <w:rFonts w:ascii="Verdana" w:hAnsi="Verdana" w:eastAsia="Aptos" w:cs="Arial"/>
          <w:bCs/>
          <w:lang w:eastAsia="x-none"/>
        </w:rPr>
      </w:pPr>
      <w:r w:rsidRPr="00176A0C">
        <w:rPr>
          <w:rFonts w:ascii="Verdana" w:hAnsi="Verdana" w:eastAsia="Times New Roman" w:cs="Arial"/>
          <w:bCs/>
          <w:lang w:val="es-ES" w:eastAsia="es-CO" w:bidi="es-ES"/>
        </w:rPr>
        <w:t xml:space="preserve">Ahora bien, las entidades públicas, de acuerdo con el inciso final del artículo 33 de la Ley 996 de 2005 –Ley de Garantías Electorales–, y previo análisis de la naturaleza de las actividades que adelantan, podrán realizar procedimientos de selección directa en períodos previos a la contienda electoral por la Presidencia, cuando el contrato a celebrar se enmarquen dentro de algunas de las excepciones consagradas en dicha disposición, esto es: i) la defensa y seguridad del Estado; ii) los contratos de crédito público; iii) los requeridos para cubrir las emergencias educativas, sanitarias y desastres; iv)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 En todo caso, </w:t>
      </w:r>
      <w:r w:rsidRPr="00176A0C">
        <w:rPr>
          <w:rFonts w:ascii="Verdana" w:hAnsi="Verdana" w:eastAsia="Aptos" w:cs="Arial"/>
          <w:bCs/>
          <w:lang w:eastAsia="x-none"/>
        </w:rPr>
        <w:t xml:space="preserve">se aclara que, la planeación, los estudios técnicos, jurídicos y económicos, que debe preceder la celebración de cada contrato, y que determinan su viabilidad desde tales perspectivas, son asuntos que competen a las entidades estatales que adelantan los procesos de contratación respectivos, con el apoyo de sus funcionarios y órganos asesores.   </w:t>
      </w:r>
    </w:p>
    <w:p w:rsidRPr="00176A0C" w:rsidR="00176A0C" w:rsidP="00176A0C" w:rsidRDefault="00176A0C" w14:paraId="76104408" w14:textId="77777777">
      <w:pPr>
        <w:spacing w:after="120" w:line="276" w:lineRule="auto"/>
        <w:ind w:firstLine="709"/>
        <w:jc w:val="both"/>
        <w:rPr>
          <w:rFonts w:ascii="Verdana" w:hAnsi="Verdana" w:eastAsia="Aptos" w:cs="Arial"/>
          <w:bCs/>
          <w:lang w:val="es-MX" w:eastAsia="x-none"/>
        </w:rPr>
      </w:pPr>
      <w:r w:rsidRPr="00176A0C">
        <w:rPr>
          <w:rFonts w:ascii="Verdana" w:hAnsi="Verdana" w:eastAsia="Aptos" w:cs="Arial"/>
          <w:bCs/>
          <w:lang w:val="es-MX" w:eastAsia="x-none"/>
        </w:rPr>
        <w:t xml:space="preserve">En esta labor es importante tener en cuenta, como lo anotó la Corte Constitucional, en Sentencia C-1153 de noviembre 11 de 2005 </w:t>
      </w:r>
      <w:bookmarkStart w:name="_Hlk74309042" w:id="18"/>
      <w:r w:rsidRPr="00176A0C">
        <w:rPr>
          <w:rFonts w:ascii="Verdana" w:hAnsi="Verdana" w:eastAsia="Aptos" w:cs="Arial"/>
          <w:bCs/>
          <w:lang w:val="es-MX" w:eastAsia="x-none"/>
        </w:rPr>
        <w:t>que “</w:t>
      </w:r>
      <w:bookmarkEnd w:id="18"/>
      <w:r w:rsidRPr="00176A0C">
        <w:rPr>
          <w:rFonts w:ascii="Verdana" w:hAnsi="Verdana" w:eastAsia="Aptos" w:cs="Arial"/>
          <w:bCs/>
          <w:lang w:val="es-MX" w:eastAsia="x-none"/>
        </w:rPr>
        <w:t xml:space="preserve">si bien la limitación garantiza la igualdad de condiciones, también es necesario que tal limitación que pretende la igualdad </w:t>
      </w:r>
      <w:bookmarkStart w:name="_Hlk75768308" w:id="19"/>
      <w:r w:rsidRPr="00176A0C">
        <w:rPr>
          <w:rFonts w:ascii="Verdana" w:hAnsi="Verdana" w:eastAsia="Aptos" w:cs="Arial"/>
          <w:bCs/>
          <w:lang w:val="es-MX" w:eastAsia="x-none"/>
        </w:rPr>
        <w:t>no termine yendo en detrimento de intereses públicos, cuya garantía está en cabeza del ejecutivo, como son los inmersos en las excepciones para la prohibición de contratación”</w:t>
      </w:r>
      <w:r w:rsidRPr="00176A0C">
        <w:rPr>
          <w:rFonts w:ascii="Verdana" w:hAnsi="Verdana" w:eastAsia="Aptos" w:cs="Arial"/>
          <w:vertAlign w:val="superscript"/>
          <w:lang w:val="es-MX"/>
        </w:rPr>
        <w:footnoteReference w:id="24"/>
      </w:r>
      <w:r w:rsidRPr="00176A0C">
        <w:rPr>
          <w:rFonts w:ascii="Verdana" w:hAnsi="Verdana" w:eastAsia="Aptos" w:cs="Arial"/>
          <w:bCs/>
          <w:lang w:val="es-MX" w:eastAsia="x-none"/>
        </w:rPr>
        <w:t>. De ahí que la Corte haya señalado que las excepciones a la restricción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bookmarkEnd w:id="19"/>
    </w:p>
    <w:p w:rsidRPr="00176A0C" w:rsidR="00176A0C" w:rsidP="00176A0C" w:rsidRDefault="00176A0C" w14:paraId="690EDE44" w14:textId="77777777">
      <w:pPr>
        <w:spacing w:after="120" w:line="276" w:lineRule="auto"/>
        <w:ind w:firstLine="709"/>
        <w:jc w:val="both"/>
        <w:rPr>
          <w:rFonts w:ascii="Verdana" w:hAnsi="Verdana" w:eastAsia="Aptos" w:cs="Arial"/>
          <w:bCs/>
          <w:lang w:val="es-MX" w:eastAsia="x-none"/>
        </w:rPr>
      </w:pPr>
      <w:r w:rsidRPr="00176A0C">
        <w:rPr>
          <w:rFonts w:ascii="Verdana" w:hAnsi="Verdana" w:eastAsia="Aptos" w:cs="Arial"/>
          <w:bCs/>
          <w:lang w:val="es-MX" w:eastAsia="x-none"/>
        </w:rPr>
        <w:t>Es importante reiterar que el segundo inciso del artículo 33 de la Ley de Garantías Electorales consagró las excepciones aplicables a la prohibición de contratación directa establecida en el mismo artículo. La Sala de Consulta y Servicio Civil del Consejo de Estado, en Concepto del 4 de febrero de 2010, explica que “(…) Las excepciones establecidas en los artículos 32 y 33 en comento, guardan relación, exclusivamente, con algunos servicios públicos que por su naturaleza no admiten postergaciones en la atención de sus necesidades de personal, bienes y servicios (…)”</w:t>
      </w:r>
      <w:r w:rsidRPr="00176A0C">
        <w:rPr>
          <w:rFonts w:ascii="Verdana" w:hAnsi="Verdana" w:eastAsia="Aptos" w:cs="Arial"/>
          <w:vertAlign w:val="superscript"/>
          <w:lang w:val="es-ES_tradnl" w:eastAsia="es-CO"/>
        </w:rPr>
        <w:footnoteReference w:id="25"/>
      </w:r>
      <w:r w:rsidRPr="00176A0C">
        <w:rPr>
          <w:rFonts w:ascii="Verdana" w:hAnsi="Verdana" w:eastAsia="Aptos" w:cs="Arial"/>
          <w:bCs/>
          <w:lang w:val="es-MX" w:eastAsia="x-none"/>
        </w:rPr>
        <w:t>.</w:t>
      </w:r>
    </w:p>
    <w:p w:rsidRPr="00176A0C" w:rsidR="00176A0C" w:rsidP="00176A0C" w:rsidRDefault="00176A0C" w14:paraId="7A71BE2D" w14:textId="77777777">
      <w:pPr>
        <w:shd w:val="clear" w:color="auto" w:fill="FFFFFF"/>
        <w:spacing w:line="276" w:lineRule="auto"/>
        <w:ind w:firstLine="709"/>
        <w:jc w:val="both"/>
        <w:rPr>
          <w:rFonts w:ascii="Verdana" w:hAnsi="Verdana" w:eastAsia="Aptos" w:cs="Arial"/>
          <w:lang w:val="es-ES" w:eastAsia="es-CO"/>
        </w:rPr>
      </w:pPr>
      <w:r w:rsidRPr="00176A0C">
        <w:rPr>
          <w:rFonts w:ascii="Verdana" w:hAnsi="Verdana" w:eastAsia="Aptos" w:cs="Arial"/>
          <w:lang w:val="es-ES" w:eastAsia="es-CO"/>
        </w:rPr>
        <w:t>A su vez, la Corte Constitucional, al analizar la constitucionalidad de la Ley de Garantías Electorales, consideró que las prohibiciones consagradas en los artículos 32 y 33 de la ley mencionada no pueden ir en detrimento de intereses públicos. Por lo anterior, la Alta Corte consideró que las excepciones para la prohibición de contratación se encontraban justificadas, declarando su exequibilidad. Así, por ejemplo, la Corte Constitucional explicó que “(…) las excepciones de limitación protegen diversos tipos de urgencias de defensa, salud, educación, infraestructura vial y de servicios públicos y ecológicas tienden a no limitar desproporcionadamente la acción del Estado en el cumplimiento de sus fines, en procura de la igualdad entre candidatos como garantía electoral”</w:t>
      </w:r>
      <w:r w:rsidRPr="00176A0C">
        <w:rPr>
          <w:rFonts w:ascii="Verdana" w:hAnsi="Verdana" w:eastAsia="Aptos" w:cs="Arial"/>
          <w:vertAlign w:val="superscript"/>
          <w:lang w:val="es-ES" w:eastAsia="es-CO"/>
        </w:rPr>
        <w:footnoteReference w:id="26"/>
      </w:r>
      <w:r w:rsidRPr="00176A0C">
        <w:rPr>
          <w:rFonts w:ascii="Verdana" w:hAnsi="Verdana" w:eastAsia="Aptos" w:cs="Arial"/>
          <w:lang w:val="es-ES" w:eastAsia="es-CO"/>
        </w:rPr>
        <w:t xml:space="preserve">. </w:t>
      </w:r>
    </w:p>
    <w:p w:rsidRPr="00176A0C" w:rsidR="00176A0C" w:rsidP="002F59B6" w:rsidRDefault="00176A0C" w14:paraId="7899BEA1" w14:textId="77777777">
      <w:pPr>
        <w:shd w:val="clear" w:color="auto" w:fill="FFFFFF"/>
        <w:spacing w:after="120" w:line="276" w:lineRule="auto"/>
        <w:ind w:firstLine="709"/>
        <w:jc w:val="both"/>
        <w:rPr>
          <w:rFonts w:ascii="Verdana" w:hAnsi="Verdana" w:eastAsia="Aptos" w:cs="Arial"/>
          <w:lang w:val="es-ES_tradnl" w:eastAsia="es-CO"/>
        </w:rPr>
      </w:pPr>
      <w:r w:rsidRPr="00176A0C">
        <w:rPr>
          <w:rFonts w:ascii="Verdana" w:hAnsi="Verdana" w:eastAsia="Aptos" w:cs="Arial"/>
          <w:bCs/>
          <w:lang w:val="es-ES_tradnl"/>
        </w:rPr>
        <w:t>Por tanto, las excepciones a la prohibición contenida en el inciso segundo de artículo 33 de la ley de garantías electorales tienen por finalidad garantizar la prestación ininterrumpida de algunos servicios públicos que, dada su importancia en el orden interno, se verían irrazonablemente afectados por la restricción explicada. Lo anterior implica que las excepciones al artículo 33 en comento deben interpretarse y aplicarse de manera restrictiva. En otras palabras, que no sería factible hacer interpretaciones extensivas para incluir otros supuestos de hecho similares a las circunstancias previstas en dicho artículo, pues el carácter taxativo implica que solo en los eventos consagrados expresamente en la norma permiten que ciertas entidades estatales se vean exceptuadas de la prohibición.</w:t>
      </w:r>
    </w:p>
    <w:p w:rsidRPr="00176A0C" w:rsidR="00176A0C" w:rsidP="002F59B6" w:rsidRDefault="00176A0C" w14:paraId="3D33111D" w14:textId="77777777">
      <w:pPr>
        <w:spacing w:after="120" w:line="276" w:lineRule="auto"/>
        <w:ind w:firstLine="709"/>
        <w:jc w:val="both"/>
        <w:rPr>
          <w:rFonts w:ascii="Verdana" w:hAnsi="Verdana" w:eastAsia="Calibri" w:cs="Arial"/>
          <w:lang w:val="es-ES"/>
        </w:rPr>
      </w:pPr>
      <w:r w:rsidRPr="00176A0C">
        <w:rPr>
          <w:rFonts w:ascii="Verdana" w:hAnsi="Verdana" w:eastAsia="Aptos" w:cs="Arial"/>
          <w:lang w:val="es-ES"/>
        </w:rPr>
        <w:t xml:space="preserve">Ahora bien, respecto del alcance del parágrafo </w:t>
      </w:r>
      <w:r w:rsidRPr="00176A0C">
        <w:rPr>
          <w:rFonts w:ascii="Verdana" w:hAnsi="Verdana" w:eastAsia="Aptos" w:cs="Arial"/>
        </w:rPr>
        <w:t xml:space="preserve">del artículo 38 de la Ley 996 de 2005, esta prohibición dispone en primera medida que: “[l]os Gobernadores, Alcaldes Municipales y/o Distritales, Secretarios, Gerentes y </w:t>
      </w:r>
      <w:r w:rsidRPr="00176A0C">
        <w:rPr>
          <w:rFonts w:ascii="Verdana" w:hAnsi="Verdana" w:eastAsia="Aptos" w:cs="Arial"/>
        </w:rPr>
        <w:t xml:space="preserve">directores de Entidades Descentralizadas del orden Municipal, Departamental o Distrital, dentro de los cuatro (4) meses anteriores a las elecciones, no podrán celebrar </w:t>
      </w:r>
      <w:r w:rsidRPr="00176A0C">
        <w:rPr>
          <w:rFonts w:ascii="Verdana" w:hAnsi="Verdana" w:eastAsia="Aptos" w:cs="Arial"/>
          <w:i/>
          <w:iCs/>
        </w:rPr>
        <w:t>convenios interadministrativos</w:t>
      </w:r>
      <w:r w:rsidRPr="00176A0C">
        <w:rPr>
          <w:rFonts w:ascii="Verdana" w:hAnsi="Verdana" w:eastAsia="Aptos" w:cs="Arial"/>
        </w:rPr>
        <w:t xml:space="preserve"> </w:t>
      </w:r>
      <w:r w:rsidRPr="00176A0C">
        <w:rPr>
          <w:rFonts w:ascii="Verdana" w:hAnsi="Verdana" w:eastAsia="Aptos" w:cs="Arial"/>
          <w:i/>
          <w:iCs/>
        </w:rPr>
        <w:t>para la ejecución de recursos públicos</w:t>
      </w:r>
      <w:r w:rsidRPr="00176A0C">
        <w:rPr>
          <w:rFonts w:ascii="Verdana" w:hAnsi="Verdana" w:eastAsia="Aptos" w:cs="Arial"/>
        </w:rPr>
        <w:t>”.</w:t>
      </w:r>
      <w:r w:rsidRPr="00176A0C">
        <w:rPr>
          <w:rFonts w:ascii="Verdana" w:hAnsi="Verdana" w:eastAsia="Times New Roman" w:cs="Arial"/>
          <w:lang w:val="es-MX" w:eastAsia="x-none"/>
        </w:rPr>
        <w:t xml:space="preserve"> (Énfasis fuera del texto original)</w:t>
      </w:r>
    </w:p>
    <w:p w:rsidRPr="00176A0C" w:rsidR="00176A0C" w:rsidP="002F59B6" w:rsidRDefault="00176A0C" w14:paraId="6A695A34" w14:textId="77777777">
      <w:pPr>
        <w:spacing w:after="120" w:line="276" w:lineRule="auto"/>
        <w:ind w:firstLine="709"/>
        <w:jc w:val="both"/>
        <w:rPr>
          <w:rFonts w:ascii="Verdana" w:hAnsi="Verdana" w:eastAsia="Calibri" w:cs="Arial"/>
          <w:lang w:val="es-ES"/>
        </w:rPr>
      </w:pPr>
      <w:r w:rsidRPr="00176A0C">
        <w:rPr>
          <w:rFonts w:ascii="Verdana" w:hAnsi="Verdana" w:eastAsia="Times New Roman" w:cs="Arial"/>
          <w:lang w:val="es-ES" w:eastAsia="es-ES"/>
        </w:rPr>
        <w:t xml:space="preserve">Para tales efectos, debe precisarse que </w:t>
      </w:r>
      <w:r w:rsidRPr="00176A0C">
        <w:rPr>
          <w:rFonts w:ascii="Verdana" w:hAnsi="Verdana" w:eastAsia="Times New Roman" w:cs="Arial"/>
          <w:color w:val="000000"/>
          <w:lang w:val="es-ES" w:eastAsia="es-CO"/>
        </w:rPr>
        <w:t xml:space="preserve">los contratos o convenios interadministrativos están determinados por un criterio orgánico, pues es necesario que los extremos de la relación contractual sean entidades públicas, </w:t>
      </w:r>
      <w:r w:rsidRPr="00176A0C">
        <w:rPr>
          <w:rFonts w:ascii="Verdana" w:hAnsi="Verdana" w:eastAsia="Aptos" w:cs="Arial"/>
          <w:lang w:eastAsia="es-ES"/>
        </w:rPr>
        <w:t>independientemente de las normas que regulan la relación contractual. En este sentido, los convenios interadministrativos solo pueden ser celebrados entre entidades públicas, pues a éstas corresponde la realización de los fines y tareas que el legislador les ha asignado</w:t>
      </w:r>
      <w:r w:rsidRPr="00176A0C">
        <w:rPr>
          <w:rFonts w:ascii="Verdana" w:hAnsi="Verdana" w:eastAsia="Aptos" w:cs="Arial"/>
          <w:vertAlign w:val="superscript"/>
          <w:lang w:eastAsia="es-ES"/>
        </w:rPr>
        <w:footnoteReference w:id="27"/>
      </w:r>
      <w:r w:rsidRPr="00176A0C">
        <w:rPr>
          <w:rFonts w:ascii="Verdana" w:hAnsi="Verdana" w:eastAsia="Aptos" w:cs="Arial"/>
          <w:lang w:eastAsia="es-ES"/>
        </w:rPr>
        <w:t>.</w:t>
      </w:r>
    </w:p>
    <w:p w:rsidRPr="00176A0C" w:rsidR="00176A0C" w:rsidP="00176A0C" w:rsidRDefault="00176A0C" w14:paraId="00A7E1E1" w14:textId="77777777">
      <w:pPr>
        <w:spacing w:after="0" w:line="276" w:lineRule="auto"/>
        <w:ind w:firstLine="709"/>
        <w:jc w:val="both"/>
        <w:rPr>
          <w:rFonts w:ascii="Verdana" w:hAnsi="Verdana" w:eastAsia="Calibri" w:cs="Arial"/>
          <w:lang w:val="es-ES"/>
        </w:rPr>
      </w:pPr>
      <w:r w:rsidRPr="00176A0C">
        <w:rPr>
          <w:rFonts w:ascii="Verdana" w:hAnsi="Verdana" w:eastAsia="Aptos" w:cs="Arial"/>
          <w:color w:val="000000"/>
          <w:lang w:val="es-ES_tradnl"/>
        </w:rPr>
        <w:t>Si bien los contratos o convenios interadministrativos están previstos en la Ley 80 de 1993, en la Ley 1150 de 2007 y en el Decreto 1082 de 2015, no quiere decir que solo puedan celebrarse entre Entidades Estatales que apliquen el régimen de contratación allí previsto. En efecto, una Entidad Estatal de la Ley 80 de 1993 – como es el caso de un municipio – bien puede celebrar esta clase de convenios con una Entidad Estatal de régimen especial y no por ello dejará de ser un contrato o convenio interadministrativo.</w:t>
      </w:r>
    </w:p>
    <w:p w:rsidRPr="00176A0C" w:rsidR="00176A0C" w:rsidP="00176A0C" w:rsidRDefault="00176A0C" w14:paraId="439128F7" w14:textId="77777777">
      <w:pPr>
        <w:spacing w:before="120" w:after="0" w:line="276" w:lineRule="auto"/>
        <w:ind w:firstLine="708"/>
        <w:jc w:val="both"/>
        <w:rPr>
          <w:rFonts w:ascii="Verdana" w:hAnsi="Verdana" w:eastAsia="Aptos" w:cs="Arial"/>
          <w:lang w:val="es-ES_tradnl"/>
        </w:rPr>
      </w:pPr>
      <w:r w:rsidRPr="00176A0C">
        <w:rPr>
          <w:rFonts w:ascii="Verdana" w:hAnsi="Verdana" w:eastAsia="Aptos" w:cs="Arial"/>
          <w:lang w:val="es-ES"/>
        </w:rPr>
        <w:t>Un contrato o convenio interadministrativo no está determinado por la modalidad de selección utilizada para celebrarlo. La Ley 1150 de 2007 establece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susceptible de pluralidad de oferentes</w:t>
      </w:r>
      <w:r w:rsidRPr="00176A0C">
        <w:rPr>
          <w:rFonts w:ascii="Verdana" w:hAnsi="Verdana" w:eastAsia="Aptos" w:cs="Arial"/>
          <w:vertAlign w:val="superscript"/>
          <w:lang w:val="es-ES"/>
        </w:rPr>
        <w:footnoteReference w:id="28"/>
      </w:r>
      <w:r w:rsidRPr="00176A0C">
        <w:rPr>
          <w:rFonts w:ascii="Verdana" w:hAnsi="Verdana" w:eastAsia="Aptos" w:cs="Arial"/>
          <w:lang w:val="es-ES"/>
        </w:rPr>
        <w:t>. Nótese que, en este caso, lo que cambia es la modalidad de selección y no la naturaleza de contrato interadministrativo.</w:t>
      </w:r>
    </w:p>
    <w:p w:rsidRPr="00176A0C" w:rsidR="00176A0C" w:rsidP="00176A0C" w:rsidRDefault="00176A0C" w14:paraId="32DD565D" w14:textId="77777777">
      <w:pPr>
        <w:spacing w:before="120" w:after="0" w:line="276" w:lineRule="auto"/>
        <w:ind w:firstLine="708"/>
        <w:jc w:val="both"/>
        <w:rPr>
          <w:rFonts w:ascii="Verdana" w:hAnsi="Verdana" w:eastAsia="Aptos" w:cs="Arial"/>
          <w:lang w:val="es-ES_tradnl"/>
        </w:rPr>
      </w:pPr>
      <w:r w:rsidRPr="00176A0C">
        <w:rPr>
          <w:rFonts w:ascii="Verdana" w:hAnsi="Verdana" w:eastAsia="Aptos" w:cs="Arial"/>
          <w:lang w:val="es-ES"/>
        </w:rPr>
        <w:t xml:space="preserve">Además, es necesario tener en cuenta que para que un contrato o convenio interadministrativo exista debe cumplir con los siguientes elementos: </w:t>
      </w:r>
      <w:r w:rsidRPr="00176A0C">
        <w:rPr>
          <w:rFonts w:ascii="Verdana" w:hAnsi="Verdana" w:eastAsia="Aptos" w:cs="Arial"/>
          <w:lang w:val="es-ES"/>
        </w:rPr>
        <w:t>acuerdo sobre el objeto y la contraprestación y que conste por escrito</w:t>
      </w:r>
      <w:r w:rsidRPr="00176A0C">
        <w:rPr>
          <w:rFonts w:ascii="Verdana" w:hAnsi="Verdana" w:eastAsia="Aptos" w:cs="Arial"/>
          <w:vertAlign w:val="superscript"/>
          <w:lang w:val="es-ES"/>
        </w:rPr>
        <w:footnoteReference w:id="29"/>
      </w:r>
      <w:r w:rsidRPr="00176A0C">
        <w:rPr>
          <w:rFonts w:ascii="Verdana" w:hAnsi="Verdana" w:eastAsia="Aptos" w:cs="Arial"/>
          <w:lang w:val="es-ES"/>
        </w:rPr>
        <w:t>. Entonces, si ambas partes son entidades estatales, pueden celebrar convenios interadministrativos, porque las disposiciones que regulan esta tipología hacen referencia a la calidad de los sujetos que intervienen en la contratación, que deben ser entidades estatales o de derecho público.</w:t>
      </w:r>
    </w:p>
    <w:p w:rsidRPr="00176A0C" w:rsidR="00176A0C" w:rsidP="00176A0C" w:rsidRDefault="00176A0C" w14:paraId="7046E96D" w14:textId="77777777">
      <w:pPr>
        <w:spacing w:before="120" w:after="0" w:line="276" w:lineRule="auto"/>
        <w:ind w:firstLine="708"/>
        <w:jc w:val="both"/>
        <w:rPr>
          <w:rFonts w:ascii="Verdana" w:hAnsi="Verdana" w:eastAsia="Aptos" w:cs="Times New Roman"/>
          <w:sz w:val="24"/>
          <w:szCs w:val="24"/>
          <w:lang w:eastAsia="es-CO"/>
        </w:rPr>
      </w:pPr>
      <w:r w:rsidRPr="00176A0C">
        <w:rPr>
          <w:rFonts w:ascii="Verdana" w:hAnsi="Verdana" w:eastAsia="Aptos" w:cs="Arial"/>
          <w:lang w:val="es-ES"/>
        </w:rPr>
        <w:t>Sobre este aspecto, se resalta que la Corte Constitucional señaló en la Sentencia C–671 de 2015 que “Lo que hace interadministrativo a un contrato o convenio no es el procedimiento de selección aplicable, sino la calidad de los sujetos contratantes, esto es que las dos partes de la relación jurídica contractual formen parte de la administración pública”. Así las cosas, atendiendo a la literalidad de las normas enunciadas, no cabe una interpretación diferente</w:t>
      </w:r>
      <w:r w:rsidRPr="00176A0C">
        <w:rPr>
          <w:rFonts w:ascii="Verdana" w:hAnsi="Verdana" w:eastAsia="Aptos" w:cs="Arial"/>
          <w:vertAlign w:val="superscript"/>
          <w:lang w:val="es-ES"/>
        </w:rPr>
        <w:footnoteReference w:id="30"/>
      </w:r>
      <w:r w:rsidRPr="00176A0C">
        <w:rPr>
          <w:rFonts w:ascii="Verdana" w:hAnsi="Verdana" w:eastAsia="Aptos" w:cs="Arial"/>
          <w:lang w:val="es-ES"/>
        </w:rPr>
        <w:t>, pues, de acuerdo con lo anotado, esta clase de acuerdos de voluntades se definen por un criterio orgánico, por lo que uno de sus elementos esenciales es que en los extremos de la relación jurídico negocial concurran personas de derecho público</w:t>
      </w:r>
      <w:r w:rsidRPr="00176A0C">
        <w:rPr>
          <w:rFonts w:ascii="Verdana" w:hAnsi="Verdana" w:eastAsia="Aptos" w:cs="Times New Roman"/>
          <w:sz w:val="24"/>
          <w:szCs w:val="24"/>
          <w:lang w:eastAsia="es-CO"/>
        </w:rPr>
        <w:t>.</w:t>
      </w:r>
    </w:p>
    <w:p w:rsidRPr="00176A0C" w:rsidR="00176A0C" w:rsidP="00176A0C" w:rsidRDefault="00176A0C" w14:paraId="6B75EAEA" w14:textId="77777777">
      <w:pPr>
        <w:spacing w:before="120" w:after="0" w:line="276" w:lineRule="auto"/>
        <w:ind w:firstLine="708"/>
        <w:jc w:val="both"/>
        <w:rPr>
          <w:rFonts w:ascii="Verdana" w:hAnsi="Verdana" w:eastAsia="Times New Roman" w:cs="Arial"/>
          <w:lang w:val="es-MX" w:eastAsia="es-CO"/>
        </w:rPr>
      </w:pPr>
      <w:r w:rsidRPr="00176A0C">
        <w:rPr>
          <w:rFonts w:ascii="Verdana" w:hAnsi="Verdana" w:eastAsia="Arial" w:cs="Arial"/>
          <w:lang w:val="es-MX" w:eastAsia="es-ES" w:bidi="es-ES"/>
        </w:rPr>
        <w:t>De esta manera, se</w:t>
      </w:r>
      <w:r w:rsidRPr="00176A0C">
        <w:rPr>
          <w:rFonts w:ascii="Verdana" w:hAnsi="Verdana" w:eastAsia="Times New Roman" w:cs="Arial"/>
          <w:lang w:eastAsia="es-CO"/>
        </w:rPr>
        <w:t xml:space="preserve"> observa entonces que </w:t>
      </w:r>
      <w:r w:rsidRPr="00176A0C">
        <w:rPr>
          <w:rFonts w:ascii="Verdana" w:hAnsi="Verdana" w:eastAsia="Times New Roman" w:cs="Arial"/>
          <w:lang w:val="es-MX" w:eastAsia="es-CO"/>
        </w:rPr>
        <w:t xml:space="preserve">el parágrafo del artículo 38 de la Ley 996 de 2005 prohíbe a los Alcaldes, Gobernadores, Secretarios, Gerentes y Directores de las entidades del orden municipal, departamental o distrital celebrar </w:t>
      </w:r>
      <w:r w:rsidRPr="00176A0C">
        <w:rPr>
          <w:rFonts w:ascii="Verdana" w:hAnsi="Verdana" w:eastAsia="Times New Roman" w:cs="Arial"/>
          <w:i/>
          <w:iCs/>
          <w:lang w:val="es-MX" w:eastAsia="es-CO"/>
        </w:rPr>
        <w:t>convenios interadministrativos</w:t>
      </w:r>
      <w:r w:rsidRPr="00176A0C">
        <w:rPr>
          <w:rFonts w:ascii="Verdana" w:hAnsi="Verdana" w:eastAsia="Times New Roman" w:cs="Arial"/>
          <w:lang w:val="es-MX" w:eastAsia="es-CO"/>
        </w:rPr>
        <w:t xml:space="preserve"> para la ejecución de recursos públicos. En este sentido, si una o ambas partes de la relación contractual es una entidad de aquellas descritas en el parágrafo </w:t>
      </w:r>
      <w:r w:rsidRPr="00176A0C">
        <w:rPr>
          <w:rFonts w:ascii="Verdana" w:hAnsi="Verdana" w:eastAsia="Times New Roman" w:cs="Arial"/>
          <w:i/>
          <w:lang w:val="es-MX" w:eastAsia="es-CO"/>
        </w:rPr>
        <w:t>ibidem</w:t>
      </w:r>
      <w:r w:rsidRPr="00176A0C">
        <w:rPr>
          <w:rFonts w:ascii="Verdana" w:hAnsi="Verdana" w:eastAsia="Times New Roman" w:cs="Arial"/>
          <w:lang w:val="es-MX" w:eastAsia="es-CO"/>
        </w:rPr>
        <w:t xml:space="preserve">, es decir, </w:t>
      </w:r>
      <w:r w:rsidRPr="00176A0C">
        <w:rPr>
          <w:rFonts w:ascii="Verdana" w:hAnsi="Verdana" w:eastAsia="Times New Roman" w:cs="Arial"/>
          <w:lang w:eastAsia="es-CO"/>
        </w:rPr>
        <w:t xml:space="preserve">alcaldías, gobernaciones, secretarías de despacho, así como entidades descentralizadas por servicios del orden municipal, departamental o distrital </w:t>
      </w:r>
      <w:r w:rsidRPr="00176A0C">
        <w:rPr>
          <w:rFonts w:ascii="Verdana" w:hAnsi="Verdana" w:eastAsia="Times New Roman" w:cs="Arial"/>
          <w:lang w:val="es-MX" w:eastAsia="es-CO"/>
        </w:rPr>
        <w:t xml:space="preserve">no podrá celebrar tales </w:t>
      </w:r>
      <w:r w:rsidRPr="00176A0C">
        <w:rPr>
          <w:rFonts w:ascii="Verdana" w:hAnsi="Verdana" w:eastAsia="Times New Roman" w:cs="Arial"/>
          <w:i/>
          <w:iCs/>
          <w:lang w:val="es-MX" w:eastAsia="es-CO"/>
        </w:rPr>
        <w:t>convenios</w:t>
      </w:r>
      <w:r w:rsidRPr="00176A0C">
        <w:rPr>
          <w:rFonts w:ascii="Verdana" w:hAnsi="Verdana" w:eastAsia="Times New Roman" w:cs="Arial"/>
          <w:lang w:val="es-MX" w:eastAsia="es-CO"/>
        </w:rPr>
        <w:t xml:space="preserve"> durante la aplicación de la Ley de Garantías Electorales, toda vez que la citada disposición se refiere a dicha tipología contractual sin que el legislador hubiere contemplado un efecto extensivo a otra tipología. </w:t>
      </w:r>
    </w:p>
    <w:p w:rsidRPr="00176A0C" w:rsidR="00176A0C" w:rsidP="00176A0C" w:rsidRDefault="00176A0C" w14:paraId="25C1F7A3" w14:textId="77777777">
      <w:pPr>
        <w:spacing w:before="120" w:after="0" w:line="276" w:lineRule="auto"/>
        <w:ind w:firstLine="708"/>
        <w:jc w:val="both"/>
        <w:rPr>
          <w:rFonts w:ascii="Verdana" w:hAnsi="Verdana" w:eastAsia="Times New Roman" w:cs="Arial"/>
          <w:lang w:eastAsia="es-CO"/>
        </w:rPr>
      </w:pPr>
      <w:r w:rsidRPr="00176A0C">
        <w:rPr>
          <w:rFonts w:ascii="Verdana" w:hAnsi="Verdana" w:eastAsia="Times New Roman" w:cs="Arial"/>
          <w:lang w:val="es-MX" w:eastAsia="es-CO"/>
        </w:rPr>
        <w:t>Respecto del alcance de esta prohibición la Circular Externa No. 006 de 2025 expedida por la ANCP -CCE, en los literales ii) y iv) del numeral 2</w:t>
      </w:r>
      <w:r w:rsidRPr="00176A0C">
        <w:rPr>
          <w:rFonts w:ascii="Verdana" w:hAnsi="Verdana" w:eastAsia="Times New Roman" w:cs="Arial"/>
          <w:lang w:eastAsia="es-CO"/>
        </w:rPr>
        <w:t>,</w:t>
      </w:r>
      <w:r w:rsidRPr="00176A0C">
        <w:rPr>
          <w:rFonts w:ascii="Verdana" w:hAnsi="Verdana" w:eastAsia="Times New Roman" w:cs="Arial"/>
          <w:lang w:val="es-MX" w:eastAsia="es-CO"/>
        </w:rPr>
        <w:t xml:space="preserve"> indica que el </w:t>
      </w:r>
      <w:r w:rsidRPr="00176A0C">
        <w:rPr>
          <w:rFonts w:ascii="Verdana" w:hAnsi="Verdana" w:eastAsia="Times New Roman" w:cs="Arial"/>
          <w:lang w:eastAsia="es-CO"/>
        </w:rPr>
        <w:t xml:space="preserve">parágrafo del artículo 38 de la Ley 996 de 2005 cobija expresamente a los </w:t>
      </w:r>
      <w:r w:rsidRPr="00176A0C">
        <w:rPr>
          <w:rFonts w:ascii="Verdana" w:hAnsi="Verdana" w:eastAsia="Times New Roman" w:cs="Arial"/>
          <w:i/>
          <w:iCs/>
          <w:lang w:eastAsia="es-CO"/>
        </w:rPr>
        <w:t>convenios interadministrativos</w:t>
      </w:r>
      <w:r w:rsidRPr="00176A0C">
        <w:rPr>
          <w:rFonts w:ascii="Verdana" w:hAnsi="Verdana" w:eastAsia="Times New Roman" w:cs="Arial"/>
          <w:lang w:eastAsia="es-CO"/>
        </w:rPr>
        <w:t xml:space="preserve"> en los que se contemple la ejecución de recursos públicos. Además, precisa que el parágrafo referido no estableció ningún supuesto que exceptúe la aplicación de esta prohibición, por lo que la </w:t>
      </w:r>
      <w:r w:rsidRPr="00176A0C">
        <w:rPr>
          <w:rFonts w:ascii="Verdana" w:hAnsi="Verdana" w:eastAsia="Times New Roman" w:cs="Arial"/>
          <w:lang w:eastAsia="es-CO"/>
        </w:rPr>
        <w:t xml:space="preserve">restricción referida a la celebración de convenios interadministrativos aplicará a los sujetos allí señalados, </w:t>
      </w:r>
      <w:r w:rsidRPr="00176A0C">
        <w:rPr>
          <w:rFonts w:ascii="Verdana" w:hAnsi="Verdana" w:eastAsia="Times New Roman" w:cs="Arial"/>
          <w:i/>
          <w:iCs/>
          <w:lang w:eastAsia="es-CO"/>
        </w:rPr>
        <w:t>“aunque se configure alguno de los supuestos de excepción que señaló el inciso final del artículo 33”.</w:t>
      </w:r>
      <w:r w:rsidRPr="00176A0C">
        <w:rPr>
          <w:rFonts w:ascii="Verdana" w:hAnsi="Verdana" w:eastAsia="Times New Roman" w:cs="Arial"/>
          <w:lang w:eastAsia="es-CO"/>
        </w:rPr>
        <w:t xml:space="preserve"> </w:t>
      </w:r>
    </w:p>
    <w:p w:rsidRPr="00176A0C" w:rsidR="00176A0C" w:rsidP="00176A0C" w:rsidRDefault="00176A0C" w14:paraId="1D45FFF5" w14:textId="77777777">
      <w:pPr>
        <w:spacing w:before="120" w:after="0" w:line="276" w:lineRule="auto"/>
        <w:ind w:firstLine="708"/>
        <w:jc w:val="both"/>
        <w:rPr>
          <w:rFonts w:ascii="Verdana" w:hAnsi="Verdana" w:eastAsia="Times New Roman" w:cs="Arial"/>
          <w:lang w:eastAsia="es-CO"/>
        </w:rPr>
      </w:pPr>
      <w:r w:rsidRPr="00176A0C">
        <w:rPr>
          <w:rFonts w:ascii="Verdana" w:hAnsi="Verdana" w:eastAsia="Times New Roman" w:cs="Arial"/>
          <w:lang w:eastAsia="es-CO"/>
        </w:rPr>
        <w:t xml:space="preserve">Sin embargo, el ámbito de aplicación de la restricción prevista en el parágrafo del artículo 38 de la Ley 996 de 2005 comprende a los </w:t>
      </w:r>
      <w:r w:rsidRPr="00176A0C">
        <w:rPr>
          <w:rFonts w:ascii="Verdana" w:hAnsi="Verdana" w:eastAsia="Times New Roman" w:cs="Arial"/>
          <w:i/>
          <w:iCs/>
          <w:lang w:eastAsia="es-CO"/>
        </w:rPr>
        <w:t>convenios interadministrativos</w:t>
      </w:r>
      <w:r w:rsidRPr="00176A0C">
        <w:rPr>
          <w:rFonts w:ascii="Verdana" w:hAnsi="Verdana" w:eastAsia="Times New Roman" w:cs="Arial"/>
          <w:lang w:eastAsia="es-CO"/>
        </w:rPr>
        <w:t xml:space="preserve"> en los que exista </w:t>
      </w:r>
      <w:r w:rsidRPr="00176A0C">
        <w:rPr>
          <w:rFonts w:ascii="Verdana" w:hAnsi="Verdana" w:eastAsia="Times New Roman" w:cs="Arial"/>
          <w:i/>
          <w:iCs/>
          <w:lang w:eastAsia="es-CO"/>
        </w:rPr>
        <w:t>ejecución de recursos públicos</w:t>
      </w:r>
      <w:r w:rsidRPr="00176A0C">
        <w:rPr>
          <w:rFonts w:ascii="Verdana" w:hAnsi="Verdana" w:eastAsia="Times New Roman" w:cs="Arial"/>
          <w:lang w:eastAsia="es-CO"/>
        </w:rPr>
        <w:t xml:space="preserve">, sin importar de que estos sean en dinero o en especie, ya que la norma no distingue. </w:t>
      </w:r>
      <w:r w:rsidRPr="00176A0C">
        <w:rPr>
          <w:rFonts w:ascii="Verdana" w:hAnsi="Verdana" w:eastAsia="Times New Roman" w:cs="Arial"/>
          <w:lang w:val="es-ES" w:eastAsia="es-CO"/>
        </w:rPr>
        <w:t>Lo anterior conforme a la directriz interpretativa del artículo 31 del Código Civil, según la cual “Lo favorable u odioso de una disposición no se tomará en cuenta para ampliar o restringir su interpretación. La extensión que deba darse a toda ley se determinará por su genuino sentido, y según las reglas de interpretación precedentes”</w:t>
      </w:r>
      <w:r w:rsidRPr="00176A0C">
        <w:rPr>
          <w:rFonts w:ascii="Verdana" w:hAnsi="Verdana" w:eastAsia="Aptos" w:cs="Arial"/>
          <w:vertAlign w:val="superscript"/>
          <w:lang w:val="es-ES"/>
        </w:rPr>
        <w:footnoteReference w:id="31"/>
      </w:r>
      <w:r w:rsidRPr="00176A0C">
        <w:rPr>
          <w:rFonts w:ascii="Verdana" w:hAnsi="Verdana" w:eastAsia="Times New Roman" w:cs="Arial"/>
          <w:lang w:val="es-ES" w:eastAsia="es-CO"/>
        </w:rPr>
        <w:t>.</w:t>
      </w:r>
      <w:r w:rsidRPr="00176A0C">
        <w:rPr>
          <w:rFonts w:ascii="Verdana" w:hAnsi="Verdana" w:eastAsia="Times New Roman" w:cs="Arial"/>
          <w:lang w:eastAsia="es-CO"/>
        </w:rPr>
        <w:t xml:space="preserve"> Por ello, en el Concepto 2201913000006634 del 6 de septiembre de 2019, la Agencia sostuvo que la ejecución de recursos no se agota en el “[…] el dinero que integra el ciclo presupuestal de la entidad […]”, pues “[…] también los bienes muebles, inmuebles y personal hacen parte del concepto de ‘recursos públicos’”.</w:t>
      </w:r>
    </w:p>
    <w:p w:rsidRPr="00176A0C" w:rsidR="00176A0C" w:rsidP="00176A0C" w:rsidRDefault="00176A0C" w14:paraId="21792862" w14:textId="77777777">
      <w:pPr>
        <w:spacing w:before="120" w:after="0" w:line="276" w:lineRule="auto"/>
        <w:ind w:firstLine="708"/>
        <w:jc w:val="both"/>
        <w:rPr>
          <w:rFonts w:ascii="Verdana" w:hAnsi="Verdana" w:eastAsia="Times New Roman" w:cs="Arial"/>
          <w:lang w:eastAsia="es-CO"/>
        </w:rPr>
      </w:pPr>
      <w:r w:rsidRPr="00176A0C">
        <w:rPr>
          <w:rFonts w:ascii="Verdana" w:hAnsi="Verdana" w:eastAsia="Times New Roman" w:cs="Arial"/>
          <w:lang w:eastAsia="es-CO"/>
        </w:rPr>
        <w:t xml:space="preserve">De esta manera, conforme a lo dispuesto en la Circular referida, si se suscriben </w:t>
      </w:r>
      <w:r w:rsidRPr="00176A0C">
        <w:rPr>
          <w:rFonts w:ascii="Verdana" w:hAnsi="Verdana" w:eastAsia="Times New Roman" w:cs="Arial"/>
          <w:i/>
          <w:iCs/>
          <w:lang w:eastAsia="es-CO"/>
        </w:rPr>
        <w:t>convenios interadministrativos para la ejecución de recursos públicos</w:t>
      </w:r>
      <w:r w:rsidRPr="00176A0C">
        <w:rPr>
          <w:rFonts w:ascii="Verdana" w:hAnsi="Verdana" w:eastAsia="Times New Roman" w:cs="Arial"/>
          <w:lang w:eastAsia="es-CO"/>
        </w:rPr>
        <w:t xml:space="preserve"> por los alcaldes, gobernadores, secretarios, gerentes y directores de las entidades del orden municipal, departamental o distrital, aplicará la prohibición del parágrafo del artículo 38 </w:t>
      </w:r>
      <w:r w:rsidRPr="00176A0C">
        <w:rPr>
          <w:rFonts w:ascii="Verdana" w:hAnsi="Verdana" w:eastAsia="Times New Roman" w:cs="Arial"/>
          <w:i/>
          <w:iCs/>
          <w:lang w:eastAsia="es-CO"/>
        </w:rPr>
        <w:t>ibidem</w:t>
      </w:r>
      <w:r w:rsidRPr="00176A0C">
        <w:rPr>
          <w:rFonts w:ascii="Verdana" w:hAnsi="Verdana" w:eastAsia="Times New Roman" w:cs="Arial"/>
          <w:lang w:eastAsia="es-CO"/>
        </w:rPr>
        <w:t>, independientemente de que se configure alguno de los supuestos de excepción que señaló el inciso final del artículo 33, es decir, que se trate de:</w:t>
      </w:r>
      <w:r w:rsidRPr="00176A0C">
        <w:rPr>
          <w:rFonts w:ascii="Verdana" w:hAnsi="Verdana" w:eastAsia="Aptos" w:cs="Arial"/>
          <w:bCs/>
          <w:lang w:val="es-MX" w:eastAsia="x-none"/>
        </w:rPr>
        <w:t xml:space="preserve"> i) la defensa y seguridad del Estado; ii) los contratos de crédito público; iii) los requeridos para cubrir las emergencias educativas, sanitarias y desastres; iv) los utilizados para la reconstrucción de vías, puentes, carreteras, infraestructura energética y de comunicaciones, en caso de que hayan sido objeto de atentados, acciones terroristas, desastres naturales o casos </w:t>
      </w:r>
      <w:r w:rsidRPr="00176A0C">
        <w:rPr>
          <w:rFonts w:ascii="Verdana" w:hAnsi="Verdana" w:eastAsia="Aptos" w:cs="Arial"/>
          <w:bCs/>
          <w:lang w:val="es-MX" w:eastAsia="x-none"/>
        </w:rPr>
        <w:t>de fuerza mayor; y, v) los que deban realizar las entidades sanitarias y hospitalarias.</w:t>
      </w:r>
      <w:r w:rsidRPr="00176A0C">
        <w:rPr>
          <w:rFonts w:ascii="Verdana" w:hAnsi="Verdana" w:eastAsia="Aptos" w:cs="Arial"/>
          <w:bCs/>
          <w:lang w:val="es-MX" w:eastAsia="es-CO"/>
        </w:rPr>
        <w:t xml:space="preserve"> </w:t>
      </w:r>
      <w:r w:rsidRPr="00176A0C">
        <w:rPr>
          <w:rFonts w:ascii="Verdana" w:hAnsi="Verdana" w:eastAsia="Times New Roman" w:cs="Arial"/>
          <w:lang w:eastAsia="es-CO"/>
        </w:rPr>
        <w:t xml:space="preserve">  </w:t>
      </w:r>
    </w:p>
    <w:p w:rsidRPr="00176A0C" w:rsidR="00176A0C" w:rsidP="00176A0C" w:rsidRDefault="00176A0C" w14:paraId="400EEAEE" w14:textId="77777777">
      <w:pPr>
        <w:spacing w:before="120" w:after="0" w:line="276" w:lineRule="auto"/>
        <w:ind w:firstLine="708"/>
        <w:jc w:val="both"/>
        <w:rPr>
          <w:rFonts w:ascii="Verdana" w:hAnsi="Verdana" w:eastAsia="Times New Roman" w:cs="Arial"/>
          <w:lang w:eastAsia="es-CO"/>
        </w:rPr>
      </w:pPr>
      <w:r w:rsidRPr="00176A0C">
        <w:rPr>
          <w:rFonts w:ascii="Verdana" w:hAnsi="Verdana" w:eastAsia="Times New Roman" w:cs="Arial"/>
          <w:lang w:eastAsia="es-CO"/>
        </w:rPr>
        <w:t xml:space="preserve">En este punto, vale la pena destacar que </w:t>
      </w:r>
      <w:r w:rsidRPr="00176A0C">
        <w:rPr>
          <w:rFonts w:ascii="Verdana" w:hAnsi="Verdana" w:eastAsia="Arial" w:cs="Arial"/>
          <w:lang w:val="es-MX" w:eastAsia="es-ES" w:bidi="es-ES"/>
        </w:rPr>
        <w:t xml:space="preserve">mediante auto de 4 de octubre del 2024, el Consejo de Estado, Subsección C de la Sección Tercera, decretó medida de suspensión provisional parcial del </w:t>
      </w:r>
      <w:r w:rsidRPr="00176A0C">
        <w:rPr>
          <w:rFonts w:ascii="Verdana" w:hAnsi="Verdana" w:eastAsia="Aptos" w:cs="Arial"/>
        </w:rPr>
        <w:t>numeral 16.2 de la Circular Externa Única de 2022 expedida por la Agencia Nacional de Contratación Pública – Colombia Compra Eficiente, concretamente, respecto de los siguientes apartes normativos</w:t>
      </w:r>
      <w:r w:rsidRPr="00176A0C">
        <w:rPr>
          <w:rFonts w:ascii="Verdana" w:hAnsi="Verdana" w:eastAsia="Aptos" w:cs="Arial"/>
          <w:vertAlign w:val="superscript"/>
        </w:rPr>
        <w:footnoteReference w:id="32"/>
      </w:r>
      <w:r w:rsidRPr="00176A0C">
        <w:rPr>
          <w:rFonts w:ascii="Verdana" w:hAnsi="Verdana" w:eastAsia="Aptos" w:cs="Arial"/>
        </w:rPr>
        <w:t xml:space="preserve">: </w:t>
      </w:r>
    </w:p>
    <w:p w:rsidRPr="00176A0C" w:rsidR="00176A0C" w:rsidP="00176A0C" w:rsidRDefault="00176A0C" w14:paraId="17577033" w14:textId="77777777">
      <w:pPr>
        <w:spacing w:after="0" w:line="240" w:lineRule="auto"/>
        <w:ind w:firstLine="709"/>
        <w:jc w:val="both"/>
        <w:rPr>
          <w:rFonts w:ascii="Verdana" w:hAnsi="Verdana" w:eastAsia="Aptos" w:cs="Arial"/>
        </w:rPr>
      </w:pPr>
    </w:p>
    <w:p w:rsidRPr="00176A0C" w:rsidR="00176A0C" w:rsidP="00176A0C" w:rsidRDefault="00176A0C" w14:paraId="10780FCD" w14:textId="77777777">
      <w:pPr>
        <w:spacing w:after="0" w:line="240" w:lineRule="auto"/>
        <w:ind w:left="709" w:right="709"/>
        <w:jc w:val="both"/>
        <w:rPr>
          <w:rFonts w:ascii="Verdana" w:hAnsi="Verdana" w:eastAsia="Aptos" w:cs="Arial"/>
          <w:sz w:val="20"/>
          <w:szCs w:val="20"/>
        </w:rPr>
      </w:pPr>
      <w:r w:rsidRPr="00176A0C">
        <w:rPr>
          <w:rFonts w:ascii="Verdana" w:hAnsi="Verdana" w:eastAsia="Aptos" w:cs="Arial"/>
          <w:sz w:val="20"/>
          <w:szCs w:val="20"/>
          <w:lang w:val="es-MX"/>
        </w:rPr>
        <w:t>“i)</w:t>
      </w:r>
      <w:r w:rsidRPr="00176A0C">
        <w:rPr>
          <w:rFonts w:ascii="Verdana" w:hAnsi="Verdana" w:eastAsia="Aptos" w:cs="Arial"/>
          <w:sz w:val="20"/>
          <w:szCs w:val="20"/>
        </w:rPr>
        <w:t xml:space="preserve"> el inciso segundo 2 que dispone: ‘Esta restricción es aplicable tanto a los convenios como a los contratos interadministrativos, toda vez que, al no existir definición legal que diferencie el concepto de convenio del concepto de contrato, la denominación prevista por la Ley 80 de 1993 y la Ley 1150 de 2007 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figuras jurídicas’ y, </w:t>
      </w:r>
    </w:p>
    <w:p w:rsidRPr="00176A0C" w:rsidR="00176A0C" w:rsidP="00176A0C" w:rsidRDefault="00176A0C" w14:paraId="6902D295" w14:textId="77777777">
      <w:pPr>
        <w:spacing w:after="0" w:line="240" w:lineRule="auto"/>
        <w:ind w:left="709" w:right="709"/>
        <w:jc w:val="both"/>
        <w:rPr>
          <w:rFonts w:ascii="Verdana" w:hAnsi="Verdana" w:eastAsia="Aptos" w:cs="Arial"/>
          <w:sz w:val="20"/>
          <w:szCs w:val="20"/>
        </w:rPr>
      </w:pPr>
    </w:p>
    <w:p w:rsidRPr="00176A0C" w:rsidR="00176A0C" w:rsidP="00176A0C" w:rsidRDefault="00176A0C" w14:paraId="2C55974A" w14:textId="77777777">
      <w:pPr>
        <w:spacing w:after="0" w:line="240" w:lineRule="auto"/>
        <w:ind w:left="709" w:right="709"/>
        <w:jc w:val="both"/>
        <w:rPr>
          <w:rFonts w:ascii="Verdana" w:hAnsi="Verdana" w:eastAsia="Aptos" w:cs="Arial"/>
          <w:sz w:val="20"/>
          <w:szCs w:val="20"/>
        </w:rPr>
      </w:pPr>
      <w:r w:rsidRPr="00176A0C">
        <w:rPr>
          <w:rFonts w:ascii="Verdana" w:hAnsi="Verdana" w:eastAsia="Aptos" w:cs="Arial"/>
          <w:sz w:val="20"/>
          <w:szCs w:val="20"/>
        </w:rPr>
        <w:t xml:space="preserve">ii) la expresión y el siguiente párrafo contenidos en el inciso cuarto ‘contratos’ y ‘En este sentido, la prohibición que establece el parágrafo del artículo 38 de la Ley de Garantías consiste en evitar que los recursos del Estado se ejecuten para lograr apoyos indebidos mediante la suscripción de contratos y/o convenios, que, para efectos de la Ley de Garantías, tienen la misma connotación y propósito”. </w:t>
      </w:r>
    </w:p>
    <w:p w:rsidRPr="00176A0C" w:rsidR="00176A0C" w:rsidP="00176A0C" w:rsidRDefault="00176A0C" w14:paraId="6A99C0B5" w14:textId="77777777">
      <w:pPr>
        <w:spacing w:after="0" w:line="276" w:lineRule="auto"/>
        <w:ind w:left="709" w:right="709"/>
        <w:jc w:val="both"/>
        <w:rPr>
          <w:rFonts w:ascii="Verdana" w:hAnsi="Verdana" w:eastAsia="Aptos" w:cs="Arial"/>
        </w:rPr>
      </w:pPr>
    </w:p>
    <w:p w:rsidRPr="00176A0C" w:rsidR="00176A0C" w:rsidP="00176A0C" w:rsidRDefault="00176A0C" w14:paraId="2782BCE4" w14:textId="77777777">
      <w:pPr>
        <w:spacing w:after="120" w:line="276" w:lineRule="auto"/>
        <w:ind w:firstLine="709"/>
        <w:jc w:val="both"/>
        <w:rPr>
          <w:rFonts w:ascii="Verdana" w:hAnsi="Verdana" w:eastAsia="Arial" w:cs="Arial"/>
          <w:i/>
          <w:iCs/>
          <w:lang w:eastAsia="es-ES" w:bidi="es-ES"/>
        </w:rPr>
      </w:pPr>
      <w:r w:rsidRPr="00176A0C">
        <w:rPr>
          <w:rFonts w:ascii="Verdana" w:hAnsi="Verdana" w:eastAsia="Arial" w:cs="Arial"/>
          <w:lang w:val="es-MX" w:eastAsia="es-ES" w:bidi="es-ES"/>
        </w:rPr>
        <w:t xml:space="preserve">De conformidad con los argumentos de dicha providencia, se parte de la distinción entre los conceptos </w:t>
      </w:r>
      <w:r w:rsidRPr="00176A0C">
        <w:rPr>
          <w:rFonts w:ascii="Verdana" w:hAnsi="Verdana" w:eastAsia="Arial" w:cs="Arial"/>
          <w:lang w:eastAsia="es-ES" w:bidi="es-ES"/>
        </w:rPr>
        <w:t>de “convenio” y “contrato” interadministrativos, para diferenciarlos en su naturaleza, contenido y alcance, lo cual ha servido de fundamento para que tanto la Sección Tercera como también la Sala de Consulta y Servicio Civil de esa Corporación hayan realzado la distinción entre uno y otro negocio jurídico.</w:t>
      </w:r>
      <w:r w:rsidRPr="00176A0C">
        <w:rPr>
          <w:rFonts w:ascii="Verdana" w:hAnsi="Verdana" w:eastAsia="Aptos" w:cs="Times New Roman"/>
          <w:sz w:val="24"/>
          <w:szCs w:val="24"/>
          <w:lang w:eastAsia="es-CO"/>
        </w:rPr>
        <w:t xml:space="preserve"> </w:t>
      </w:r>
      <w:r w:rsidRPr="00176A0C">
        <w:rPr>
          <w:rFonts w:ascii="Verdana" w:hAnsi="Verdana" w:eastAsia="Arial" w:cs="Arial"/>
          <w:lang w:eastAsia="es-ES" w:bidi="es-ES"/>
        </w:rPr>
        <w:t xml:space="preserve">En este sentido, en relación con el parágrafo del artículo 38 de la Ley 996 de 2005 concluyó que </w:t>
      </w:r>
      <w:r w:rsidRPr="00176A0C">
        <w:rPr>
          <w:rFonts w:ascii="Verdana" w:hAnsi="Verdana" w:eastAsia="Arial" w:cs="Arial"/>
          <w:i/>
          <w:iCs/>
          <w:lang w:eastAsia="es-ES" w:bidi="es-ES"/>
        </w:rPr>
        <w:t xml:space="preserve">“si el legislador no diferenció al establecer la prohibición o la restricción, mal haría el reglamento en aplicar un efecto expansivo o extensivo para incluir una categoría no cobijada con la limitación, (…)”. </w:t>
      </w:r>
      <w:r w:rsidRPr="00176A0C">
        <w:rPr>
          <w:rFonts w:ascii="Verdana" w:hAnsi="Verdana" w:eastAsia="Arial" w:cs="Arial"/>
          <w:lang w:eastAsia="es-ES" w:bidi="es-ES"/>
        </w:rPr>
        <w:t xml:space="preserve">Por tal motivo, para efectos de decretar la medida de suspensión provisional de los apartes señalados del numeral 16.2 de la Circular Externa Única, argumentó que </w:t>
      </w:r>
      <w:r w:rsidRPr="00176A0C">
        <w:rPr>
          <w:rFonts w:ascii="Verdana" w:hAnsi="Verdana" w:eastAsia="Arial" w:cs="Arial"/>
          <w:i/>
          <w:iCs/>
          <w:lang w:eastAsia="es-ES" w:bidi="es-ES"/>
        </w:rPr>
        <w:t xml:space="preserve">“con independencia del propósito loable o plausible de la </w:t>
      </w:r>
      <w:r w:rsidRPr="00176A0C">
        <w:rPr>
          <w:rFonts w:ascii="Verdana" w:hAnsi="Verdana" w:eastAsia="Arial" w:cs="Arial"/>
          <w:i/>
          <w:iCs/>
          <w:lang w:eastAsia="es-ES" w:bidi="es-ES"/>
        </w:rPr>
        <w:t>disposición ya que, procura que no se usen los recursos estatales para incidir o afectar la contienda electoral, no cabe duda de que la entidad demandada incorporó en la prohibición una categoría que no quedó comprendida expresa e inequívocamente en la ley</w:t>
      </w:r>
      <w:r w:rsidRPr="00176A0C">
        <w:rPr>
          <w:rFonts w:ascii="Verdana" w:hAnsi="Verdana" w:eastAsia="Arial" w:cs="Arial"/>
          <w:lang w:eastAsia="es-ES" w:bidi="es-ES"/>
        </w:rPr>
        <w:t>”</w:t>
      </w:r>
      <w:r w:rsidRPr="00176A0C">
        <w:rPr>
          <w:rFonts w:ascii="Verdana" w:hAnsi="Verdana" w:eastAsia="Arial" w:cs="Arial"/>
          <w:i/>
          <w:iCs/>
          <w:lang w:eastAsia="es-ES" w:bidi="es-ES"/>
        </w:rPr>
        <w:t xml:space="preserve">. </w:t>
      </w:r>
    </w:p>
    <w:p w:rsidRPr="00176A0C" w:rsidR="00176A0C" w:rsidP="00176A0C" w:rsidRDefault="00176A0C" w14:paraId="5D954833" w14:textId="77777777">
      <w:pPr>
        <w:spacing w:after="120" w:line="276" w:lineRule="auto"/>
        <w:ind w:firstLine="709"/>
        <w:jc w:val="both"/>
        <w:rPr>
          <w:rFonts w:ascii="Verdana" w:hAnsi="Verdana" w:eastAsia="Arial" w:cs="Arial"/>
          <w:lang w:eastAsia="es-ES" w:bidi="es-ES"/>
        </w:rPr>
      </w:pPr>
      <w:r w:rsidRPr="00176A0C">
        <w:rPr>
          <w:rFonts w:ascii="Verdana" w:hAnsi="Verdana" w:eastAsia="Arial" w:cs="Arial"/>
          <w:lang w:eastAsia="es-ES" w:bidi="es-ES"/>
        </w:rPr>
        <w:t>De igual manera, mediante auto del 6 de noviembre de 2025, el Consejo de Estado, Subsección A de la Sección Tercera, decretó</w:t>
      </w:r>
      <w:r w:rsidRPr="00176A0C">
        <w:rPr>
          <w:rFonts w:ascii="Verdana" w:hAnsi="Verdana" w:eastAsia="Arial" w:cs="Arial"/>
          <w:b/>
          <w:bCs/>
          <w:lang w:eastAsia="es-ES" w:bidi="es-ES"/>
        </w:rPr>
        <w:t xml:space="preserve"> </w:t>
      </w:r>
      <w:r w:rsidRPr="00176A0C">
        <w:rPr>
          <w:rFonts w:ascii="Verdana" w:hAnsi="Verdana" w:eastAsia="Arial" w:cs="Arial"/>
          <w:lang w:eastAsia="es-ES" w:bidi="es-ES"/>
        </w:rPr>
        <w:t>la suspensión provisional de los apartes cuestionados del inciso segundo y del inciso cuarto del numeral 16.2 de la Circular Externa Única, versión 3 del 27 de diciembre de 2023, expedida por la Agencia Nacional de Contratación Pública – Colombia Compra Eficiente relacionados con los contratos interadministrativos</w:t>
      </w:r>
      <w:r w:rsidRPr="00176A0C">
        <w:rPr>
          <w:rFonts w:ascii="Verdana" w:hAnsi="Verdana" w:eastAsia="Arial" w:cs="Arial"/>
          <w:vertAlign w:val="superscript"/>
          <w:lang w:eastAsia="es-ES" w:bidi="es-ES"/>
        </w:rPr>
        <w:footnoteReference w:id="33"/>
      </w:r>
      <w:r w:rsidRPr="00176A0C">
        <w:rPr>
          <w:rFonts w:ascii="Verdana" w:hAnsi="Verdana" w:eastAsia="Arial" w:cs="Arial"/>
          <w:lang w:eastAsia="es-ES" w:bidi="es-ES"/>
        </w:rPr>
        <w:t xml:space="preserve">. Para tales efectos, el alto tribunal resaltó la interpretación restrictiva de las normas que contienen prohibiciones, como la del parágrafo del artículo 38 de la Ley 996 de 2005, por manera que se excluye la analogía legis o iuris y la interpretación extensiva y reiteró los argumentos sobre la diferencia entre contratos y convenios interadministrativos. </w:t>
      </w:r>
    </w:p>
    <w:p w:rsidRPr="00176A0C" w:rsidR="00176A0C" w:rsidP="00176A0C" w:rsidRDefault="00176A0C" w14:paraId="42FFB068" w14:textId="77777777">
      <w:pPr>
        <w:spacing w:after="120" w:line="276" w:lineRule="auto"/>
        <w:ind w:firstLine="709"/>
        <w:jc w:val="both"/>
        <w:rPr>
          <w:rFonts w:ascii="Verdana" w:hAnsi="Verdana" w:eastAsia="Times New Roman" w:cs="Times New Roman"/>
          <w:lang w:eastAsia="es-ES"/>
        </w:rPr>
      </w:pPr>
      <w:r w:rsidRPr="00176A0C">
        <w:rPr>
          <w:rFonts w:ascii="Verdana" w:hAnsi="Verdana" w:eastAsia="Arial" w:cs="Arial"/>
          <w:lang w:eastAsia="es-ES" w:bidi="es-ES"/>
        </w:rPr>
        <w:t xml:space="preserve">Finalmente, mediante sentencia del 17 de octubre de 2025, emitida por la Sección Tercera del Consejo de Estado, dentro del expediente </w:t>
      </w:r>
      <w:r w:rsidRPr="00176A0C">
        <w:rPr>
          <w:rFonts w:ascii="Verdana" w:hAnsi="Verdana" w:eastAsia="Times New Roman" w:cs="Times New Roman"/>
          <w:lang w:eastAsia="es-ES"/>
        </w:rPr>
        <w:t xml:space="preserve">11001-03-26-000-2023-00139-00, se declaró la nulidad parcial del numeral 16.2 de la Circular Externa Única de 2022 expedida por la Agencia Nacional de Contratación Pública - Colombia Compra Eficiente que indicaba: “Esta restricción es aplicable tanto a los convenios como a los contratos interadministrativos (…)”. </w:t>
      </w:r>
    </w:p>
    <w:p w:rsidRPr="00176A0C" w:rsidR="00176A0C" w:rsidP="00176A0C" w:rsidRDefault="00176A0C" w14:paraId="661F647D" w14:textId="77777777">
      <w:pPr>
        <w:spacing w:after="120" w:line="276" w:lineRule="auto"/>
        <w:ind w:firstLine="709"/>
        <w:jc w:val="both"/>
        <w:rPr>
          <w:rFonts w:ascii="Verdana" w:hAnsi="Verdana" w:eastAsia="Times New Roman" w:cs="Times New Roman"/>
          <w:lang w:eastAsia="es-ES"/>
        </w:rPr>
      </w:pPr>
      <w:r w:rsidRPr="00176A0C">
        <w:rPr>
          <w:rFonts w:ascii="Verdana" w:hAnsi="Verdana" w:eastAsia="Times New Roman" w:cs="Times New Roman"/>
          <w:lang w:eastAsia="es-ES"/>
        </w:rPr>
        <w:t>La anterior decisión se adoptó al considerar que la Agencia excedió su competencia material al incluir contratos en una restricción que la Ley de Garantías Electorales solo previó para convenios, cuando no es posible aplicar por analogía o extensión una norma que establece prohibiciones</w:t>
      </w:r>
      <w:r w:rsidRPr="00176A0C">
        <w:rPr>
          <w:rFonts w:ascii="Verdana" w:hAnsi="Verdana" w:eastAsia="Times New Roman" w:cs="Times New Roman"/>
          <w:vertAlign w:val="superscript"/>
          <w:lang w:eastAsia="es-ES"/>
        </w:rPr>
        <w:footnoteReference w:id="34"/>
      </w:r>
      <w:r w:rsidRPr="00176A0C">
        <w:rPr>
          <w:rFonts w:ascii="Verdana" w:hAnsi="Verdana" w:eastAsia="Times New Roman" w:cs="Times New Roman"/>
          <w:lang w:eastAsia="es-ES"/>
        </w:rPr>
        <w:t xml:space="preserve">. Sobre el </w:t>
      </w:r>
      <w:r w:rsidRPr="00176A0C">
        <w:rPr>
          <w:rFonts w:ascii="Verdana" w:hAnsi="Verdana" w:eastAsia="Times New Roman" w:cs="Times New Roman"/>
          <w:lang w:eastAsia="es-ES"/>
        </w:rPr>
        <w:t xml:space="preserve">particular, la Sala concluyó que contratos y convenios interadministrativos son figuras distintas en naturaleza, objeto y efectos, pues mientras los contratos implican obligaciones patrimoniales y contraprestación, los convenios se basan en cooperación sin ánimo económico. Por ello, la restricción legal no podía aplicarse extensivamente a los contratos. </w:t>
      </w:r>
    </w:p>
    <w:p w:rsidRPr="00176A0C" w:rsidR="00176A0C" w:rsidP="00176A0C" w:rsidRDefault="00176A0C" w14:paraId="5D5F0007" w14:textId="77777777">
      <w:pPr>
        <w:spacing w:after="120" w:line="276" w:lineRule="auto"/>
        <w:ind w:firstLine="709"/>
        <w:jc w:val="both"/>
        <w:rPr>
          <w:rFonts w:ascii="Verdana" w:hAnsi="Verdana" w:eastAsia="Times New Roman" w:cs="Arial"/>
          <w:lang w:eastAsia="es-CO"/>
        </w:rPr>
      </w:pPr>
      <w:r w:rsidRPr="00176A0C">
        <w:rPr>
          <w:rFonts w:ascii="Verdana" w:hAnsi="Verdana" w:eastAsia="Times New Roman" w:cs="Times New Roman"/>
          <w:lang w:eastAsia="es-ES"/>
        </w:rPr>
        <w:t xml:space="preserve">A juicio de la Sala, aunque el propósito de la Circular Externa era legítimo –evitar el uso indebido de recursos en época electoral–, el numeral 16.2. desconoció el alcance literal del artículo 38 de la Ley 996 de 2005 y los límites de la potestad reglamentaria, lo que configuró un vicio de contenido. </w:t>
      </w:r>
      <w:r w:rsidRPr="00176A0C">
        <w:rPr>
          <w:rFonts w:ascii="Verdana" w:hAnsi="Verdana" w:eastAsia="Times New Roman" w:cs="Arial"/>
          <w:lang w:eastAsia="es-CO"/>
        </w:rPr>
        <w:t xml:space="preserve">Así las cosas, a la luz de lo expuesto por el Consejo de Estado, en la sentencia expedida por la Sección Tercera de la Sala de lo Contencioso Administrativo del 17 de octubre de 2025, en los autos del 4 de octubre de 2024 y 6 de noviembre de 2025, no resultaría aplicable la prohibición del parágrafo del artículo 38 de la Ley de Garantías Electorales a los </w:t>
      </w:r>
      <w:r w:rsidRPr="00176A0C">
        <w:rPr>
          <w:rFonts w:ascii="Verdana" w:hAnsi="Verdana" w:eastAsia="Times New Roman" w:cs="Arial"/>
          <w:i/>
          <w:iCs/>
          <w:lang w:eastAsia="es-CO"/>
        </w:rPr>
        <w:t>contratos interadministrativos</w:t>
      </w:r>
      <w:r w:rsidRPr="00176A0C">
        <w:rPr>
          <w:rFonts w:ascii="Verdana" w:hAnsi="Verdana" w:eastAsia="Times New Roman" w:cs="Arial"/>
          <w:lang w:eastAsia="es-CO"/>
        </w:rPr>
        <w:t>, esta prohibición solo aplicaría a los convenios interadministrativos que impliquen la ejecución de recursos públicos</w:t>
      </w:r>
      <w:r w:rsidRPr="00176A0C">
        <w:rPr>
          <w:rFonts w:ascii="Verdana" w:hAnsi="Verdana" w:eastAsia="Times New Roman" w:cs="Arial"/>
          <w:vertAlign w:val="superscript"/>
          <w:lang w:eastAsia="es-CO"/>
        </w:rPr>
        <w:footnoteReference w:id="35"/>
      </w:r>
      <w:r w:rsidRPr="00176A0C">
        <w:rPr>
          <w:rFonts w:ascii="Verdana" w:hAnsi="Verdana" w:eastAsia="Times New Roman" w:cs="Arial"/>
          <w:lang w:eastAsia="es-CO"/>
        </w:rPr>
        <w:t xml:space="preserve">. Conforme a lo señalado por el Consejo de Estado, cuando dos entidades públicas celebren un </w:t>
      </w:r>
      <w:r w:rsidRPr="00176A0C">
        <w:rPr>
          <w:rFonts w:ascii="Verdana" w:hAnsi="Verdana" w:eastAsia="Times New Roman" w:cs="Arial"/>
          <w:i/>
          <w:iCs/>
          <w:lang w:eastAsia="es-CO"/>
        </w:rPr>
        <w:t>contrato interadministrativo,</w:t>
      </w:r>
      <w:r w:rsidRPr="00176A0C">
        <w:rPr>
          <w:rFonts w:ascii="Verdana" w:hAnsi="Verdana" w:eastAsia="Times New Roman" w:cs="Arial"/>
          <w:lang w:eastAsia="es-CO"/>
        </w:rPr>
        <w:t xml:space="preserve"> independientemente del objeto, dicho contrato puede suscribirse durante el periodo preelectoral.</w:t>
      </w:r>
    </w:p>
    <w:p w:rsidRPr="00176A0C" w:rsidR="00176A0C" w:rsidP="00176A0C" w:rsidRDefault="00176A0C" w14:paraId="2090E69C" w14:textId="77777777">
      <w:pPr>
        <w:spacing w:after="120" w:line="276" w:lineRule="auto"/>
        <w:ind w:firstLine="708"/>
        <w:jc w:val="both"/>
        <w:rPr>
          <w:rFonts w:ascii="Verdana" w:hAnsi="Verdana" w:eastAsia="Times New Roman" w:cs="Arial"/>
          <w:lang w:eastAsia="es-CO"/>
        </w:rPr>
      </w:pPr>
      <w:r w:rsidRPr="00176A0C">
        <w:rPr>
          <w:rFonts w:ascii="Verdana" w:hAnsi="Verdana" w:eastAsia="Times New Roman" w:cs="Arial"/>
          <w:lang w:eastAsia="es-CO"/>
        </w:rPr>
        <w:t>En este aspecto, se encuentra que la restricción para la celebración de convenios interadministrativos para la ejecución de recursos públicos no puede aludirse a contratantes o contratistas, sino de partes cooperantes o colaboradoras. Así mismo, aplica para cualquier tipo de elección, lo que implica que la restricción del parágrafo del artículo 38</w:t>
      </w:r>
      <w:r w:rsidRPr="00176A0C">
        <w:rPr>
          <w:rFonts w:ascii="Verdana" w:hAnsi="Verdana" w:eastAsia="Times New Roman" w:cs="Arial"/>
          <w:bCs/>
          <w:lang w:val="es-MX" w:eastAsia="x-none"/>
        </w:rPr>
        <w:t xml:space="preserve"> aplica desde el 8 de noviembre de 2025, teniendo en cuenta que la Resolución 02580 del 5 de marzo de 2025 de la Registraduría Nacional del Estado Civil dispuso que las elecciones de senado y cámara se celebrarán el 8 de marzo de 2026. Esta restricción se extiende a las elecciones presidenciales que se celebrarán el 31 de mayo de </w:t>
      </w:r>
      <w:r w:rsidRPr="00176A0C">
        <w:rPr>
          <w:rFonts w:ascii="Verdana" w:hAnsi="Verdana" w:eastAsia="Times New Roman" w:cs="Arial"/>
          <w:bCs/>
          <w:lang w:val="es-MX" w:eastAsia="x-none"/>
        </w:rPr>
        <w:t xml:space="preserve">2026, así como una posible segunda vuelta tres semanas después, es decir, el 21 de junio de 2026. </w:t>
      </w:r>
    </w:p>
    <w:p w:rsidRPr="00176A0C" w:rsidR="00176A0C" w:rsidP="002F59B6" w:rsidRDefault="00176A0C" w14:paraId="71EBAEE2" w14:textId="77777777">
      <w:pPr>
        <w:spacing w:after="120" w:line="276" w:lineRule="auto"/>
        <w:ind w:firstLine="708"/>
        <w:jc w:val="both"/>
        <w:rPr>
          <w:rFonts w:ascii="Verdana" w:hAnsi="Verdana" w:eastAsia="Calibri" w:cs="Arial"/>
          <w:lang w:val="es-ES" w:eastAsia="es-ES"/>
        </w:rPr>
      </w:pPr>
      <w:r w:rsidRPr="00176A0C">
        <w:rPr>
          <w:rFonts w:ascii="Verdana" w:hAnsi="Verdana" w:eastAsia="Times New Roman" w:cs="Arial"/>
          <w:lang w:eastAsia="es-CO"/>
        </w:rPr>
        <w:t xml:space="preserve"> No obstante, es importante mencionar que aún se encuentra por definir la demanda </w:t>
      </w:r>
      <w:r w:rsidRPr="00176A0C">
        <w:rPr>
          <w:rFonts w:ascii="Verdana" w:hAnsi="Verdana" w:eastAsia="Calibri" w:cs="Arial"/>
          <w:lang w:val="es-ES" w:eastAsia="es-ES"/>
        </w:rPr>
        <w:t xml:space="preserve">de nulidad simple, identificada con el Radicado número 11001-03-26-000-2025-00016-00, en la cual se cuestiona </w:t>
      </w:r>
      <w:r w:rsidRPr="00176A0C">
        <w:rPr>
          <w:rFonts w:ascii="Verdana" w:hAnsi="Verdana" w:eastAsia="Calibri" w:cs="Arial"/>
          <w:lang w:eastAsia="es-ES"/>
        </w:rPr>
        <w:t>parcialmente el numeral 16.2 de la Circular Externa Única CCE-EICP-MA-06, Versión 03 del 27 de diciembre de 2023.</w:t>
      </w:r>
      <w:r w:rsidRPr="00176A0C">
        <w:rPr>
          <w:rFonts w:ascii="Verdana" w:hAnsi="Verdana" w:eastAsia="Calibri" w:cs="Arial"/>
          <w:lang w:val="es-ES" w:eastAsia="es-ES"/>
        </w:rPr>
        <w:t xml:space="preserve"> </w:t>
      </w:r>
    </w:p>
    <w:p w:rsidRPr="00176A0C" w:rsidR="00176A0C" w:rsidP="00176A0C" w:rsidRDefault="00176A0C" w14:paraId="31A93C20" w14:textId="77777777">
      <w:pPr>
        <w:spacing w:after="120" w:line="276" w:lineRule="auto"/>
        <w:ind w:firstLine="709"/>
        <w:jc w:val="both"/>
        <w:rPr>
          <w:rFonts w:ascii="Verdana" w:hAnsi="Verdana" w:eastAsia="Arial" w:cs="Arial"/>
          <w:bCs/>
          <w:color w:val="000000"/>
        </w:rPr>
      </w:pPr>
      <w:r w:rsidRPr="00176A0C">
        <w:rPr>
          <w:rFonts w:ascii="Verdana" w:hAnsi="Verdana" w:eastAsia="Arial" w:cs="Arial"/>
          <w:bCs/>
          <w:color w:val="000000"/>
        </w:rPr>
        <w:t xml:space="preserve">Con respecto a la prohibición del </w:t>
      </w:r>
      <w:r w:rsidRPr="00176A0C">
        <w:rPr>
          <w:rFonts w:ascii="Verdana" w:hAnsi="Verdana" w:eastAsia="Arial" w:cs="Arial"/>
          <w:bCs/>
          <w:i/>
          <w:iCs/>
          <w:color w:val="000000"/>
        </w:rPr>
        <w:t>parágrafo del artículo 38</w:t>
      </w:r>
      <w:r w:rsidRPr="00176A0C">
        <w:rPr>
          <w:rFonts w:ascii="Verdana" w:hAnsi="Verdana" w:eastAsia="Arial" w:cs="Arial"/>
          <w:bCs/>
          <w:color w:val="000000"/>
        </w:rPr>
        <w:t>, es necesario verificar si la contratación es llevada a cabo por los “Alcaldes, Gobernadores, Secretarios, Gerentes y Directores de las entidades del orden municipal, departamental o distrital”; así como determinar si lo que pretende adelantar es un convenio interadministrativo para la ejecución de recursos públicos. Cuando este sea el caso, operará la restricción señalada en el parágrafo y estará prohibido llevar a cabo la celebración de convenios interadministrativos</w:t>
      </w:r>
      <w:r w:rsidRPr="00176A0C">
        <w:rPr>
          <w:rFonts w:ascii="Verdana" w:hAnsi="Verdana" w:eastAsia="Arial" w:cs="Arial"/>
          <w:bCs/>
          <w:color w:val="000000"/>
          <w:vertAlign w:val="superscript"/>
        </w:rPr>
        <w:footnoteReference w:id="36"/>
      </w:r>
      <w:r w:rsidRPr="00176A0C">
        <w:rPr>
          <w:rFonts w:ascii="Verdana" w:hAnsi="Verdana" w:eastAsia="Arial" w:cs="Arial"/>
          <w:bCs/>
          <w:color w:val="000000"/>
        </w:rPr>
        <w:t xml:space="preserve"> en los cuatro meses anteriores a cualquier contienda electoral. En este aspecto, se encuentra que la restricción para la celebración de convenios interadministrativos para la ejecución de recursos públicos no puede aludirse a contratantes o contratistas, sino de partes cooperantes o colaboradoras. </w:t>
      </w:r>
      <w:r w:rsidRPr="00176A0C">
        <w:rPr>
          <w:rFonts w:ascii="Verdana" w:hAnsi="Verdana" w:eastAsia="Arial" w:cs="Arial"/>
          <w:bCs/>
          <w:color w:val="000000"/>
          <w:lang w:val="es-MX"/>
        </w:rPr>
        <w:t>Esta restricción se extiende a las elecciones presidenciales que se celebrarán el 31 de mayo de 2026, así como una posible segunda vuelta tres semanas después, es decir, el 21 de junio de 2026.</w:t>
      </w:r>
    </w:p>
    <w:p w:rsidRPr="00176A0C" w:rsidR="00176A0C" w:rsidP="00176A0C" w:rsidRDefault="00176A0C" w14:paraId="447458E3" w14:textId="77777777">
      <w:pPr>
        <w:spacing w:before="120" w:after="120" w:line="276" w:lineRule="auto"/>
        <w:jc w:val="both"/>
        <w:rPr>
          <w:rFonts w:ascii="Verdana" w:hAnsi="Verdana" w:eastAsia="Arial" w:cs="Arial"/>
          <w:bCs/>
          <w:color w:val="000000"/>
        </w:rPr>
      </w:pPr>
      <w:r w:rsidRPr="00176A0C">
        <w:rPr>
          <w:rFonts w:ascii="Verdana" w:hAnsi="Verdana" w:eastAsia="Arial" w:cs="Arial"/>
          <w:bCs/>
          <w:color w:val="000000"/>
          <w:lang w:val="es-MX"/>
        </w:rPr>
        <w:tab/>
      </w:r>
      <w:r w:rsidRPr="00176A0C">
        <w:rPr>
          <w:rFonts w:ascii="Verdana" w:hAnsi="Verdana" w:eastAsia="Arial" w:cs="Arial"/>
          <w:bCs/>
          <w:color w:val="000000"/>
          <w:lang w:val="es-MX"/>
        </w:rPr>
        <w:t xml:space="preserve">En cuanto a la celebración de contratos interadministrativos ya no es aplicable la restricción del parágrafo del artículo 38, según la sentencia precitada en consideraciones previas, pero sujeto a las restricciones del artículo 33 si se adelanta la contratación de forma directa, esto es, un procedimiento no competitivo. </w:t>
      </w:r>
      <w:r w:rsidRPr="00176A0C">
        <w:rPr>
          <w:rFonts w:ascii="Verdana" w:hAnsi="Verdana" w:eastAsia="Arial" w:cs="Arial"/>
          <w:bCs/>
          <w:color w:val="000000"/>
        </w:rPr>
        <w:t>En todo caso, vale anotar que es responsabilidad del respectivo ente del Estado examinar en cada caso la naturaleza de las actividades que adelanta y justificar si las mismas se enmarcan en alguna de las excepciones, de manera que pueda realizar la contratación directa durante el periodo de la prohibición. Igualmente, le corresponde a cada entidad establecer si el instrumento jurídico que se pretende suscribir tiene la naturaleza de contrato o de convenio interadministrativo para la ejecución de recursos públicos. En este último supuesto, resulta aplicable la prohibición contenida en el parágrafo del artículo 38 de la Ley de Garantías Electorales, conforme se explicó.</w:t>
      </w:r>
    </w:p>
    <w:p w:rsidRPr="00176A0C" w:rsidR="00176A0C" w:rsidP="00176A0C" w:rsidRDefault="00176A0C" w14:paraId="3E82DE52" w14:textId="77777777">
      <w:pPr>
        <w:spacing w:after="120" w:line="276" w:lineRule="auto"/>
        <w:ind w:firstLine="709"/>
        <w:jc w:val="both"/>
        <w:rPr>
          <w:rFonts w:ascii="Verdana" w:hAnsi="Verdana" w:eastAsia="Calibri" w:cs="Arial"/>
          <w:lang w:val="es-ES" w:eastAsia="es-ES"/>
        </w:rPr>
      </w:pPr>
      <w:r w:rsidRPr="00176A0C">
        <w:rPr>
          <w:rFonts w:ascii="Verdana" w:hAnsi="Verdana" w:eastAsia="Calibri" w:cs="Arial"/>
        </w:rPr>
        <w:t>En particular, cada Entidad Estatal deberá realizar el correspondiente análisis para determinar si aplica o no una determinada excepción a la prohibición del artículo 33 de la Ley de Garantías Electorales, según la situación fáctica y jurídica particular del caso concreto, para lo cual las consideraciones expuestas en el presente concepto constituyen un instrumento orientador. De ser es procedente la excepción, la entidad podrá realizar la contratación directa justificando las razones que avalan su procedencia</w:t>
      </w:r>
      <w:r w:rsidRPr="00176A0C">
        <w:rPr>
          <w:rFonts w:ascii="Verdana" w:hAnsi="Verdana" w:eastAsia="Aptos" w:cs="Arial"/>
          <w:lang w:eastAsia="es-CO"/>
        </w:rPr>
        <w:t>. Por el contrario, si el estudio determina que no aplica excepción alguna estará vedada la celebración de contratos de manera directa. Lo anterior, sin perjuicio de la prohibición establecida en el parágrafo del artículo 38 de la Ley de Garantías Electorales.</w:t>
      </w:r>
    </w:p>
    <w:p w:rsidRPr="00176A0C" w:rsidR="00176A0C" w:rsidP="00176A0C" w:rsidRDefault="00176A0C" w14:paraId="3D97D22C" w14:textId="77777777">
      <w:pPr>
        <w:spacing w:after="120" w:line="276" w:lineRule="auto"/>
        <w:ind w:firstLine="709"/>
        <w:jc w:val="both"/>
        <w:rPr>
          <w:rFonts w:ascii="Verdana" w:hAnsi="Verdana" w:eastAsia="Times New Roman" w:cs="Arial"/>
          <w:lang w:eastAsia="es-CO"/>
        </w:rPr>
      </w:pPr>
      <w:r w:rsidRPr="00176A0C">
        <w:rPr>
          <w:rFonts w:ascii="Verdana" w:hAnsi="Verdana" w:eastAsia="Aptos" w:cs="Arial"/>
          <w:bCs/>
          <w:color w:val="000000"/>
        </w:rPr>
        <w:t>Al margen de la explicación precedente, debe advertirse que el análisis requerido para resolver problemas específicos en torno a la gestión contractual de las entidades públicas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rsidR="00176A0C" w:rsidP="00450A66" w:rsidRDefault="00176A0C" w14:paraId="0466A86C" w14:textId="77777777">
      <w:pPr>
        <w:spacing w:after="0" w:line="276" w:lineRule="auto"/>
        <w:ind w:firstLine="709"/>
        <w:jc w:val="both"/>
        <w:rPr>
          <w:rFonts w:ascii="Verdana" w:hAnsi="Verdana" w:eastAsia="Aptos" w:cs="Arial"/>
          <w:color w:val="000000"/>
        </w:rPr>
      </w:pPr>
      <w:r w:rsidRPr="00176A0C">
        <w:rPr>
          <w:rFonts w:ascii="Verdana" w:hAnsi="Verdana" w:eastAsia="Aptos" w:cs="Arial"/>
          <w:bCs/>
          <w:color w:val="000000"/>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rsidRPr="00160F44" w:rsidR="00450A66" w:rsidP="002F59B6" w:rsidRDefault="00450A66" w14:paraId="0EB7EB31" w14:textId="77777777">
      <w:pPr>
        <w:spacing w:after="0" w:line="276" w:lineRule="auto"/>
        <w:ind w:firstLine="709"/>
        <w:jc w:val="both"/>
        <w:rPr>
          <w:rFonts w:ascii="Verdana" w:hAnsi="Verdana" w:eastAsia="Times New Roman" w:cs="Arial"/>
          <w:lang w:eastAsia="es-CO"/>
        </w:rPr>
      </w:pPr>
    </w:p>
    <w:p w:rsidRPr="00176A0C" w:rsidR="00176A0C" w:rsidP="00176A0C" w:rsidRDefault="00176A0C" w14:paraId="7157E0D1" w14:textId="77777777">
      <w:pPr>
        <w:spacing w:after="0" w:line="276" w:lineRule="auto"/>
        <w:jc w:val="both"/>
        <w:rPr>
          <w:rFonts w:ascii="Verdana" w:hAnsi="Verdana" w:eastAsia="Century Gothic" w:cs="Century Gothic"/>
          <w:b/>
          <w:bCs/>
        </w:rPr>
      </w:pPr>
      <w:bookmarkStart w:name="_Hlk204854194" w:id="20"/>
      <w:r w:rsidRPr="00176A0C">
        <w:rPr>
          <w:rFonts w:ascii="Verdana" w:hAnsi="Verdana" w:eastAsia="Aptos" w:cs="Arial"/>
          <w:b/>
          <w:color w:val="000000"/>
        </w:rPr>
        <w:t>4.</w:t>
      </w:r>
      <w:r w:rsidRPr="00176A0C">
        <w:rPr>
          <w:rFonts w:ascii="Verdana" w:hAnsi="Verdana" w:eastAsia="Aptos" w:cs="Arial"/>
          <w:bCs/>
          <w:color w:val="000000"/>
        </w:rPr>
        <w:t xml:space="preserve"> </w:t>
      </w:r>
      <w:r w:rsidRPr="00176A0C">
        <w:rPr>
          <w:rFonts w:ascii="Verdana" w:hAnsi="Verdana" w:eastAsia="Century Gothic" w:cs="Century Gothic"/>
          <w:b/>
          <w:bCs/>
        </w:rPr>
        <w:t>Referencias normativas y jurisprudenciales:</w:t>
      </w:r>
      <w:bookmarkEnd w:id="20"/>
    </w:p>
    <w:p w:rsidRPr="00176A0C" w:rsidR="00176A0C" w:rsidP="00176A0C" w:rsidRDefault="00176A0C" w14:paraId="5358AADC" w14:textId="77777777">
      <w:pPr>
        <w:spacing w:after="0" w:line="276" w:lineRule="auto"/>
        <w:jc w:val="both"/>
        <w:rPr>
          <w:rFonts w:ascii="Verdana" w:hAnsi="Verdana" w:eastAsia="Aptos" w:cs="Arial"/>
          <w:bCs/>
          <w:color w:val="000000"/>
        </w:rPr>
      </w:pPr>
    </w:p>
    <w:tbl>
      <w:tblPr>
        <w:tblStyle w:val="Tablaconcuadrcula"/>
        <w:tblW w:w="8647"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8647"/>
      </w:tblGrid>
      <w:tr w:rsidRPr="00176A0C" w:rsidR="00176A0C" w:rsidTr="00C9366E" w14:paraId="782F355C" w14:textId="77777777">
        <w:trPr>
          <w:trHeight w:val="56"/>
          <w:jc w:val="center"/>
        </w:trPr>
        <w:tc>
          <w:tcPr>
            <w:tcW w:w="8647" w:type="dxa"/>
          </w:tcPr>
          <w:p w:rsidRPr="00176A0C" w:rsidR="00176A0C" w:rsidP="002F59B6" w:rsidRDefault="00176A0C" w14:paraId="0B9F9A5C"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 xml:space="preserve">Constitución Política. Artículo 127. </w:t>
            </w:r>
          </w:p>
          <w:p w:rsidRPr="00176A0C" w:rsidR="00176A0C" w:rsidP="002F59B6" w:rsidRDefault="00176A0C" w14:paraId="04F16623"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Ley 80 de 1993 artículos 41 y 42.</w:t>
            </w:r>
          </w:p>
          <w:p w:rsidRPr="00176A0C" w:rsidR="00176A0C" w:rsidP="002F59B6" w:rsidRDefault="00176A0C" w14:paraId="3BE7EE5C"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 xml:space="preserve">Ley 1150 de 2007. Artículo 2 numeral 4 literal c. </w:t>
            </w:r>
          </w:p>
          <w:p w:rsidRPr="00176A0C" w:rsidR="00176A0C" w:rsidP="002F59B6" w:rsidRDefault="00176A0C" w14:paraId="4BB00840"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Ley 996 de 2005. Artículos 33 y parágrafo del artículo 38.</w:t>
            </w:r>
          </w:p>
          <w:p w:rsidRPr="00176A0C" w:rsidR="00176A0C" w:rsidP="002F59B6" w:rsidRDefault="00176A0C" w14:paraId="3B396E5F"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 xml:space="preserve">Consejo de Estado. Sala de lo Contencioso Administrativo. Sección Primera. Sentencia de 3 de marzo de 2005. Radicado: 25001-23-15-000-2004-00823-01 (PI). C.P: Camilo Arciniegas Andrade. </w:t>
            </w:r>
          </w:p>
          <w:p w:rsidRPr="00176A0C" w:rsidR="00176A0C" w:rsidP="002F59B6" w:rsidRDefault="00176A0C" w14:paraId="254BF44D"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 xml:space="preserve">Consejo de Estado. Sala de lo Contencioso Administrativo. Sección Tercera. Sentencia de 22 de enero de 2002, expediente número 2001-0148-01 </w:t>
            </w:r>
          </w:p>
          <w:p w:rsidRPr="00176A0C" w:rsidR="00176A0C" w:rsidP="002F59B6" w:rsidRDefault="00176A0C" w14:paraId="6DE7F3E1"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Consejo de Estado. Sala de lo Contencioso Administrativo. Sección Tercera. Sentencia de 20 de noviembre de 2001, expediente número 2001-0130-01(PI).</w:t>
            </w:r>
          </w:p>
          <w:p w:rsidRPr="00176A0C" w:rsidR="00176A0C" w:rsidP="002F59B6" w:rsidRDefault="00176A0C" w14:paraId="7683EAA2"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 xml:space="preserve">Consejo de Estado, Sala de Consulta y Servicio Civil. 24 de julio de 2013. Radicado: 11001-03-06-000-2013-00407-00 (2166). C.P. Álvaro Namén Vargas.  </w:t>
            </w:r>
          </w:p>
          <w:p w:rsidRPr="00176A0C" w:rsidR="00176A0C" w:rsidP="002F59B6" w:rsidRDefault="00176A0C" w14:paraId="3DCD3845"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Consejo de Estado. Sala de Consulta y Servicio Civil. Concepto del 17 de febrero de 2015. Radicado: 11001-03-06-000-2015-00164-00 (2269). C.P. William Zambrano Cetina.</w:t>
            </w:r>
          </w:p>
          <w:p w:rsidRPr="00176A0C" w:rsidR="00176A0C" w:rsidP="002F59B6" w:rsidRDefault="00176A0C" w14:paraId="04F48CCE"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Consejo de Estado. Sala de Consulta y Servicio Civil. Concepto del 2 de septiembre de 2013. Radicación número: 11001-03-06-000-2013-00412-00 (2168). C.P: Álvaro Namén Vargas.</w:t>
            </w:r>
          </w:p>
          <w:p w:rsidRPr="00176A0C" w:rsidR="00176A0C" w:rsidP="002F59B6" w:rsidRDefault="00176A0C" w14:paraId="34CA773B"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Consejo de Estado. Sala de Consulta y Servicio Civil, Concepto de 8 de mayo de 2018. Radicación Número: 11001-03-06-000-2018-00095-00 (2382). C.P: Álvaro Namén Vargas.</w:t>
            </w:r>
          </w:p>
          <w:p w:rsidRPr="00176A0C" w:rsidR="00176A0C" w:rsidP="002F59B6" w:rsidRDefault="00176A0C" w14:paraId="564CD558"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Consejo de Estado. Sala de Consulta y Servicio Civil. Concepto de 20 de febrero de 2006. Radicación Número: 11001-03-06-000-2006-00026-00 (1727). C.P: Enrique José Arboleda Perdomo.</w:t>
            </w:r>
          </w:p>
          <w:p w:rsidRPr="00176A0C" w:rsidR="00176A0C" w:rsidP="002F59B6" w:rsidRDefault="00176A0C" w14:paraId="5CA172AC"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Consejo de Estado. Sala de Consulta y Servicio Civil. Concepto de 6 de abril de 2006. Radicación Número: 11001-03-06-000-2006-00038-00 (1738). C.P: Enrique José Arboleda Perdomo.</w:t>
            </w:r>
          </w:p>
          <w:p w:rsidRPr="00176A0C" w:rsidR="00176A0C" w:rsidP="002F59B6" w:rsidRDefault="00176A0C" w14:paraId="38B92B4B"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Consejo de Estado. Sala de Consulta y Servicio Civil. Concepto del 18 de febrero 2010. Rad. 11001-03-06-000-2010-00006-00 (1985). C.P. Enrique José Arboleda Perdomo.</w:t>
            </w:r>
          </w:p>
          <w:p w:rsidRPr="00176A0C" w:rsidR="00176A0C" w:rsidP="002F59B6" w:rsidRDefault="00176A0C" w14:paraId="32BEAAEC"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Consejo de Estado. Sala de lo Contencioso Administrativo. Sección Tercera. Sentencia del 21 de febrero de 2025. Exp. 68.280. CP: José Roberto Sáchica Méndez.</w:t>
            </w:r>
          </w:p>
          <w:p w:rsidRPr="00176A0C" w:rsidR="00176A0C" w:rsidP="002F59B6" w:rsidRDefault="00176A0C" w14:paraId="57AFEEEF"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Times New Roman"/>
              </w:rPr>
              <w:t>Consejo de Estado. Sala de lo Contencioso Administrativo. Sección Tercera. Subsección B. Auto del 4 de octubre de 2024. Exp. 70.313. C.P: Fredy Ibarra Martínez.</w:t>
            </w:r>
          </w:p>
          <w:p w:rsidRPr="00176A0C" w:rsidR="00176A0C" w:rsidP="002F59B6" w:rsidRDefault="00176A0C" w14:paraId="136E2071"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Consejo de Estado. Sala de lo Contencioso Administrativo. Sección Tercera. Subsección B. 17 de octubre de 2025. C.P. Fredy Ibarra Martínez.</w:t>
            </w:r>
          </w:p>
          <w:p w:rsidRPr="00176A0C" w:rsidR="00176A0C" w:rsidP="002F59B6" w:rsidRDefault="00176A0C" w14:paraId="02DF4BD2"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 xml:space="preserve">Consejo de Estado. Sala de Consulta y Servicio Civil. Concepto del 12 de junio de 2018. Radicación: 11001-03-06-000-2018-0043-00. (2371). C.P: Oscar Darío Amaya Navas. </w:t>
            </w:r>
          </w:p>
          <w:p w:rsidRPr="00176A0C" w:rsidR="00176A0C" w:rsidP="002F59B6" w:rsidRDefault="00176A0C" w14:paraId="4B6C76AE"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Corte Constitucional. Sentencia C- 1153 de 2005, M.P: Marco Gerardo Monroy Cabra.</w:t>
            </w:r>
            <w:r w:rsidRPr="00176A0C">
              <w:rPr>
                <w:rFonts w:ascii="Verdana" w:hAnsi="Verdana" w:eastAsia="Aptos" w:cs="Arial"/>
                <w:lang w:eastAsia="es-ES"/>
              </w:rPr>
              <w:tab/>
            </w:r>
          </w:p>
          <w:p w:rsidRPr="00176A0C" w:rsidR="00176A0C" w:rsidP="002F59B6" w:rsidRDefault="00176A0C" w14:paraId="1B11BE51"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Corte Constitucional. Sentencia C-233 de 4 de abril de 2002. M.P: Álvaro Tafur Galvis.</w:t>
            </w:r>
          </w:p>
          <w:p w:rsidRPr="00176A0C" w:rsidR="00176A0C" w:rsidP="002F59B6" w:rsidRDefault="00176A0C" w14:paraId="12BEF063"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Corte Constitucional. Sentencia C-551 de 9 de julio de 2003. M.P: Eduardo Montealegre Lynnet.</w:t>
            </w:r>
          </w:p>
          <w:p w:rsidRPr="00176A0C" w:rsidR="00176A0C" w:rsidP="002F59B6" w:rsidRDefault="00176A0C" w14:paraId="4218B9F7"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Corte Constitucional. Sentencia C-353 de 20 de mayo de 2009. M.P: Jorge Iván Palacio Palacio.</w:t>
            </w:r>
          </w:p>
          <w:p w:rsidRPr="00176A0C" w:rsidR="00176A0C" w:rsidP="002F59B6" w:rsidRDefault="00176A0C" w14:paraId="49A314D1"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Corte Constitucional. Sentencia C-541 de 30 de junio de 2010. M.P: Gabriel Eduardo Mendoza Martelo.</w:t>
            </w:r>
          </w:p>
          <w:p w:rsidRPr="00176A0C" w:rsidR="00176A0C" w:rsidP="002F59B6" w:rsidRDefault="00176A0C" w14:paraId="106278D6"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rPr>
              <w:t>Corte Suprema de Justicia. Sala de Casación Civil. Sentencia 20 de noviembre de 1989. MP. Alberto Ospina Botero.</w:t>
            </w:r>
            <w:r w:rsidRPr="00176A0C">
              <w:rPr>
                <w:rFonts w:ascii="Verdana" w:hAnsi="Verdana" w:eastAsia="Aptos" w:cs="Times New Roman"/>
              </w:rPr>
              <w:t xml:space="preserve"> </w:t>
            </w:r>
          </w:p>
          <w:p w:rsidRPr="00176A0C" w:rsidR="00176A0C" w:rsidP="002F59B6" w:rsidRDefault="00176A0C" w14:paraId="2CC2543A"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Times New Roman"/>
              </w:rPr>
              <w:t xml:space="preserve">Agencia Nacional de Contratación Pública. Circular Externa 006 del 25 de septiembre de 2025. Disponible en </w:t>
            </w:r>
            <w:hyperlink w:history="1" r:id="rId12">
              <w:r w:rsidRPr="00176A0C">
                <w:rPr>
                  <w:rFonts w:ascii="Verdana" w:hAnsi="Verdana" w:eastAsia="Aptos" w:cs="Times New Roman"/>
                  <w:color w:val="0000FF"/>
                  <w:u w:val="single"/>
                </w:rPr>
                <w:t>006-de-2025-Circular-Externa-L996-ajustado-comentarios-BM-BID-Rev-ARSC-V3.d-1.pdf</w:t>
              </w:r>
            </w:hyperlink>
          </w:p>
          <w:p w:rsidRPr="00176A0C" w:rsidR="00176A0C" w:rsidP="002F59B6" w:rsidRDefault="00176A0C" w14:paraId="36260E89"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Times New Roman"/>
              </w:rPr>
              <w:t xml:space="preserve">Lineamiento técnico- operativo de equipos básicos de salud: conformación, operación y seguimiento. Puede consultarse en </w:t>
            </w:r>
            <w:hyperlink w:history="1" r:id="rId13">
              <w:r w:rsidRPr="00176A0C">
                <w:rPr>
                  <w:rFonts w:ascii="Verdana" w:hAnsi="Verdana" w:eastAsia="Aptos" w:cs="Times New Roman"/>
                  <w:color w:val="0000FF"/>
                  <w:u w:val="single"/>
                </w:rPr>
                <w:t>Lineamientos para el fortalecimiento del nivel primario basado en Atención Primaria en Salud</w:t>
              </w:r>
            </w:hyperlink>
          </w:p>
          <w:p w:rsidRPr="00176A0C" w:rsidR="00176A0C" w:rsidP="002F59B6" w:rsidRDefault="00176A0C" w14:paraId="6D0872F6" w14:textId="77777777">
            <w:pPr>
              <w:numPr>
                <w:ilvl w:val="0"/>
                <w:numId w:val="17"/>
              </w:numPr>
              <w:spacing w:line="276" w:lineRule="auto"/>
              <w:contextualSpacing/>
              <w:jc w:val="both"/>
              <w:rPr>
                <w:rFonts w:ascii="Verdana" w:hAnsi="Verdana" w:eastAsia="Aptos" w:cs="Arial"/>
                <w:lang w:eastAsia="es-ES"/>
              </w:rPr>
            </w:pPr>
            <w:r w:rsidRPr="00176A0C">
              <w:rPr>
                <w:rFonts w:ascii="Verdana" w:hAnsi="Verdana" w:eastAsia="Aptos" w:cs="Arial"/>
                <w:lang w:eastAsia="es-ES"/>
              </w:rPr>
              <w:t>CLARO SOLAR, Luis. Explicaciones de derecho civil chileno y comparado. Volumen I. Tomo I. Santiago: Editorial Jurídica de Chile, 2013.</w:t>
            </w:r>
          </w:p>
        </w:tc>
      </w:tr>
    </w:tbl>
    <w:p w:rsidRPr="00176A0C" w:rsidR="00176A0C" w:rsidP="00176A0C" w:rsidRDefault="00176A0C" w14:paraId="461EFD23" w14:textId="77777777">
      <w:pPr>
        <w:tabs>
          <w:tab w:val="left" w:pos="142"/>
          <w:tab w:val="left" w:pos="284"/>
          <w:tab w:val="left" w:pos="3828"/>
        </w:tabs>
        <w:spacing w:after="0" w:line="276" w:lineRule="auto"/>
        <w:jc w:val="both"/>
        <w:rPr>
          <w:rFonts w:ascii="Verdana" w:hAnsi="Verdana" w:eastAsia="Century Gothic" w:cs="Century Gothic"/>
          <w:b/>
          <w:bCs/>
        </w:rPr>
      </w:pPr>
    </w:p>
    <w:p w:rsidRPr="00176A0C" w:rsidR="00176A0C" w:rsidP="00176A0C" w:rsidRDefault="00176A0C" w14:paraId="2DE20527" w14:textId="77777777">
      <w:pPr>
        <w:tabs>
          <w:tab w:val="left" w:pos="142"/>
          <w:tab w:val="left" w:pos="284"/>
          <w:tab w:val="left" w:pos="3828"/>
        </w:tabs>
        <w:spacing w:after="0" w:line="276" w:lineRule="auto"/>
        <w:jc w:val="both"/>
        <w:rPr>
          <w:rFonts w:ascii="Verdana" w:hAnsi="Verdana" w:eastAsia="Century Gothic" w:cs="Century Gothic"/>
          <w:b/>
          <w:bCs/>
        </w:rPr>
      </w:pPr>
      <w:r w:rsidRPr="00176A0C">
        <w:rPr>
          <w:rFonts w:ascii="Verdana" w:hAnsi="Verdana" w:eastAsia="Century Gothic" w:cs="Century Gothic"/>
          <w:b/>
          <w:bCs/>
        </w:rPr>
        <w:t>5. Doctrina de la Agencia Nacional de Contratación Pública:</w:t>
      </w:r>
    </w:p>
    <w:p w:rsidRPr="00176A0C" w:rsidR="00176A0C" w:rsidP="002F59B6" w:rsidRDefault="00176A0C" w14:paraId="52EC700D" w14:textId="77777777">
      <w:pPr>
        <w:widowControl w:val="0"/>
        <w:autoSpaceDE w:val="0"/>
        <w:autoSpaceDN w:val="0"/>
        <w:spacing w:after="0" w:line="276" w:lineRule="auto"/>
        <w:jc w:val="both"/>
        <w:rPr>
          <w:rFonts w:ascii="Verdana" w:hAnsi="Verdana" w:eastAsia="Aptos" w:cs="Arial"/>
          <w:shd w:val="clear" w:color="auto" w:fill="FFFFFF"/>
          <w:lang w:val="es-ES"/>
        </w:rPr>
      </w:pPr>
    </w:p>
    <w:p w:rsidRPr="00176A0C" w:rsidR="00176A0C" w:rsidP="002F59B6" w:rsidRDefault="00176A0C" w14:paraId="5393761E" w14:textId="77777777">
      <w:pPr>
        <w:widowControl w:val="0"/>
        <w:autoSpaceDE w:val="0"/>
        <w:autoSpaceDN w:val="0"/>
        <w:spacing w:after="0" w:line="276" w:lineRule="auto"/>
        <w:jc w:val="both"/>
        <w:rPr>
          <w:rFonts w:ascii="Verdana" w:hAnsi="Verdana" w:eastAsia="Aptos" w:cs="Arial"/>
          <w:shd w:val="clear" w:color="auto" w:fill="FFFFFF"/>
          <w:lang w:val="es-ES"/>
        </w:rPr>
      </w:pPr>
      <w:r w:rsidRPr="00176A0C">
        <w:rPr>
          <w:rFonts w:ascii="Verdana" w:hAnsi="Verdana" w:eastAsia="Calibri" w:cs="Arial"/>
        </w:rPr>
        <w:t xml:space="preserve">La Agencia Nacional de Contratación Pública – Colombia Compra Eficiente se ha referido </w:t>
      </w:r>
      <w:r w:rsidRPr="00176A0C">
        <w:rPr>
          <w:rFonts w:ascii="Verdana" w:hAnsi="Verdana" w:eastAsia="Aptos" w:cs="Arial"/>
          <w:shd w:val="clear" w:color="auto" w:fill="FFFFFF"/>
        </w:rPr>
        <w:t xml:space="preserve">sobre la Ley de Garantías Electorales en los conceptos con radicado 4201913000006306 del 21 de octubre de 2019, 4201912000006552 del 07 de noviembre de 2019, 4201913000006604 del 17 de diciembre de 2019,  C-227 del 24 de mayo de 2021 y 396 del 13 de agosto de 2021, C-439 del 27 de agosto de 2021, C-456 del 3 de septiembre, C-481 del 9 de septiembre de 2021, C- </w:t>
      </w:r>
      <w:r w:rsidRPr="00176A0C">
        <w:rPr>
          <w:rFonts w:ascii="Verdana" w:hAnsi="Verdana" w:eastAsia="Aptos" w:cs="Arial"/>
          <w:shd w:val="clear" w:color="auto" w:fill="FFFFFF"/>
        </w:rPr>
        <w:t xml:space="preserve">528 del 27 de septiembre de 2021, C-550 del 5 de octubre de 2021, C-523 del 10 de octubre de 2021, C-606 del 28 de octubre de 2021, C-614 del 2 de noviembre de 2021, C-636 del 16 de noviembre de 2021, C-681 del 7 de diciembre de 2021, C-686 del 21 de diciembre de 2021, C-697 del 3 de enero de 2022, C-180 del 21 de marzo de 2025, C-317 del 25 de abril de 2025, C-510 del 4 de junio de 2025, C -635 del 27 de junio de 2025, C–750 de 17 de julio 2025, C-868 del 12 de agosto de 2025, C-1124 del 18 de septiembre de 2025, C-1491 del 20 de noviembre de 2025, C- 1492 del </w:t>
      </w:r>
      <w:r w:rsidRPr="00176A0C">
        <w:rPr>
          <w:rFonts w:ascii="Verdana" w:hAnsi="Verdana" w:eastAsia="Aptos" w:cs="Times New Roman"/>
        </w:rPr>
        <w:t>21 de noviembre del 2025, C-1629, C-1646 del 17 de diciembre de 2025, C-1662 del 22 de diciembre de 2025</w:t>
      </w:r>
      <w:r w:rsidRPr="00176A0C">
        <w:rPr>
          <w:rFonts w:ascii="Verdana" w:hAnsi="Verdana" w:eastAsia="Aptos" w:cs="Arial"/>
          <w:shd w:val="clear" w:color="auto" w:fill="FFFFFF"/>
          <w:lang w:val="es-ES"/>
        </w:rPr>
        <w:t xml:space="preserve">, C-160 del 24 de febrero de 2026, C-108 del 4 de marzo de 2026, y C-177 del 16  de marzo de 2026, entre otros. </w:t>
      </w:r>
      <w:r w:rsidRPr="00176A0C">
        <w:rPr>
          <w:rFonts w:ascii="Verdana" w:hAnsi="Verdana" w:eastAsia="Aptos" w:cs="Arial"/>
        </w:rPr>
        <w:t xml:space="preserve">Estos y otros </w:t>
      </w:r>
      <w:r w:rsidRPr="00176A0C">
        <w:rPr>
          <w:rFonts w:ascii="Verdana" w:hAnsi="Verdana" w:eastAsia="Aptos" w:cs="Times New Roman"/>
        </w:rPr>
        <w:t>conceptos se encuentran disponibles para consulta en el Sistema de relatoría de la Agencia, al cual se puede acceder a través del siguiente enlace:</w:t>
      </w:r>
      <w:r w:rsidRPr="00176A0C">
        <w:rPr>
          <w:rFonts w:ascii="Verdana" w:hAnsi="Verdana" w:eastAsia="Aptos" w:cs="Arial"/>
          <w:shd w:val="clear" w:color="auto" w:fill="FFFFFF"/>
        </w:rPr>
        <w:t xml:space="preserve"> </w:t>
      </w:r>
      <w:hyperlink w:history="1" r:id="rId14">
        <w:r w:rsidRPr="00176A0C">
          <w:rPr>
            <w:rFonts w:ascii="Verdana" w:hAnsi="Verdana" w:eastAsia="Aptos" w:cs="Arial"/>
            <w:color w:val="467886"/>
            <w:u w:val="single"/>
            <w:shd w:val="clear" w:color="auto" w:fill="FFFFFF"/>
          </w:rPr>
          <w:t>https://relatoria.colombiacompra.gov.co/busqueda/conceptos</w:t>
        </w:r>
      </w:hyperlink>
      <w:r w:rsidRPr="00176A0C">
        <w:rPr>
          <w:rFonts w:ascii="Verdana" w:hAnsi="Verdana" w:eastAsia="Aptos" w:cs="Arial"/>
          <w:shd w:val="clear" w:color="auto" w:fill="FFFFFF"/>
        </w:rPr>
        <w:t>.</w:t>
      </w:r>
      <w:r w:rsidRPr="00176A0C">
        <w:rPr>
          <w:rFonts w:ascii="Verdana" w:hAnsi="Verdana" w:eastAsia="Aptos" w:cs="Arial"/>
          <w:color w:val="FF0000"/>
          <w:shd w:val="clear" w:color="auto" w:fill="FFFFFF"/>
        </w:rPr>
        <w:t xml:space="preserve"> </w:t>
      </w:r>
      <w:r w:rsidRPr="00176A0C">
        <w:rPr>
          <w:rFonts w:ascii="Verdana" w:hAnsi="Verdana" w:eastAsia="Aptos" w:cs="Arial"/>
          <w:color w:val="000000"/>
          <w:shd w:val="clear" w:color="auto" w:fill="FFFFFF"/>
        </w:rPr>
        <w:t>  </w:t>
      </w:r>
    </w:p>
    <w:p w:rsidRPr="00176A0C" w:rsidR="00176A0C" w:rsidP="002F59B6" w:rsidRDefault="00176A0C" w14:paraId="5B273D1B" w14:textId="77777777">
      <w:pPr>
        <w:widowControl w:val="0"/>
        <w:autoSpaceDE w:val="0"/>
        <w:autoSpaceDN w:val="0"/>
        <w:spacing w:after="0" w:line="276" w:lineRule="auto"/>
        <w:jc w:val="both"/>
        <w:rPr>
          <w:rFonts w:ascii="Verdana" w:hAnsi="Verdana" w:eastAsia="Aptos" w:cs="Times New Roman"/>
          <w:lang w:val="es-ES"/>
        </w:rPr>
      </w:pPr>
    </w:p>
    <w:p w:rsidRPr="00176A0C" w:rsidR="00176A0C" w:rsidP="002F59B6" w:rsidRDefault="00176A0C" w14:paraId="0B601758" w14:textId="77777777">
      <w:pPr>
        <w:spacing w:after="0" w:line="276" w:lineRule="auto"/>
        <w:jc w:val="both"/>
        <w:rPr>
          <w:rFonts w:ascii="Verdana" w:hAnsi="Verdana" w:eastAsia="Aptos" w:cs="Times New Roman"/>
        </w:rPr>
      </w:pPr>
      <w:r w:rsidRPr="00176A0C">
        <w:rPr>
          <w:rFonts w:ascii="Verdana" w:hAnsi="Verdana" w:eastAsia="Aptos" w:cs="Times New Roman"/>
        </w:rPr>
        <w:t xml:space="preserve">La sostenibilidad no es una opción, es una obligación. Por ello, la Agencia Nacional de Contratación Pública –Colombia Compra Eficiente– te invita a realizar el </w:t>
      </w:r>
      <w:r w:rsidRPr="00176A0C">
        <w:rPr>
          <w:rFonts w:ascii="Verdana" w:hAnsi="Verdana" w:eastAsia="Aptos" w:cs="Times New Roman"/>
          <w:b/>
          <w:bCs/>
        </w:rPr>
        <w:t>Curso de Contratación Pública Sostenible y Socialmente Responsable</w:t>
      </w:r>
      <w:r w:rsidRPr="00176A0C">
        <w:rPr>
          <w:rFonts w:ascii="Verdana" w:hAnsi="Verdana" w:eastAsia="Aptos"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176A0C">
        <w:rPr>
          <w:rFonts w:ascii="Verdana" w:hAnsi="Verdana" w:eastAsia="Aptos" w:cs="Times New Roman"/>
        </w:rPr>
        <w:br/>
      </w:r>
      <w:hyperlink w:tgtFrame="_new" w:history="1" r:id="rId15">
        <w:r w:rsidRPr="00176A0C">
          <w:rPr>
            <w:rFonts w:ascii="Verdana" w:hAnsi="Verdana" w:eastAsia="Aptos" w:cs="Times New Roman"/>
            <w:color w:val="0000FF"/>
            <w:u w:val="single"/>
          </w:rPr>
          <w:t>https://formacionvirtual.colombiacompra.gov.co/mod/page/view.php?id=3718</w:t>
        </w:r>
      </w:hyperlink>
    </w:p>
    <w:p w:rsidR="00160F44" w:rsidP="00160F44" w:rsidRDefault="00160F44" w14:paraId="1040C45D" w14:textId="77777777">
      <w:pPr>
        <w:spacing w:after="0" w:line="276" w:lineRule="auto"/>
        <w:jc w:val="both"/>
        <w:rPr>
          <w:rFonts w:ascii="Verdana" w:hAnsi="Verdana" w:eastAsia="Aptos" w:cs="Times New Roman"/>
        </w:rPr>
      </w:pPr>
    </w:p>
    <w:p w:rsidRPr="00176A0C" w:rsidR="00176A0C" w:rsidP="002F59B6" w:rsidRDefault="00176A0C" w14:paraId="006C38FB" w14:textId="3B06D5B1">
      <w:pPr>
        <w:spacing w:after="0" w:line="276" w:lineRule="auto"/>
        <w:jc w:val="both"/>
        <w:rPr>
          <w:rFonts w:ascii="Verdana" w:hAnsi="Verdana" w:eastAsia="Aptos" w:cs="Times New Roman"/>
        </w:rPr>
      </w:pPr>
      <w:r w:rsidRPr="00176A0C">
        <w:rPr>
          <w:rFonts w:ascii="Verdana" w:hAnsi="Verdana" w:eastAsia="Aptos" w:cs="Times New Roman"/>
        </w:rPr>
        <w:t xml:space="preserve">De otro lado, te contamos que esta Agencia ha dado un paso decisivo en la estandarización y modernización del </w:t>
      </w:r>
      <w:r w:rsidRPr="00176A0C">
        <w:rPr>
          <w:rFonts w:ascii="Verdana" w:hAnsi="Verdana" w:eastAsia="Aptos" w:cs="Times New Roman"/>
          <w:b/>
          <w:bCs/>
        </w:rPr>
        <w:t>sector social</w:t>
      </w:r>
      <w:r w:rsidRPr="00176A0C">
        <w:rPr>
          <w:rFonts w:ascii="Verdana" w:hAnsi="Verdana" w:eastAsia="Aptos" w:cs="Times New Roman"/>
        </w:rPr>
        <w:t xml:space="preserve"> con la expedición de las </w:t>
      </w:r>
      <w:r w:rsidRPr="00176A0C">
        <w:rPr>
          <w:rFonts w:ascii="Verdana" w:hAnsi="Verdana" w:eastAsia="Aptos" w:cs="Times New Roman"/>
          <w:b/>
          <w:bCs/>
        </w:rPr>
        <w:t>Resoluciones 539, 540, 541, 952 y 953 de 2025</w:t>
      </w:r>
      <w:r w:rsidRPr="00176A0C">
        <w:rPr>
          <w:rFonts w:ascii="Verdana" w:hAnsi="Verdana" w:eastAsia="Aptos" w:cs="Times New Roman"/>
        </w:rPr>
        <w:t xml:space="preserve">, </w:t>
      </w:r>
      <w:r w:rsidRPr="00176A0C">
        <w:rPr>
          <w:rFonts w:ascii="Verdana" w:hAnsi="Verdana" w:eastAsia="Aptos" w:cs="Times New Roman"/>
          <w:b/>
          <w:bCs/>
        </w:rPr>
        <w:t>mediante las cuales adoptó Documentos Tipo</w:t>
      </w:r>
      <w:r w:rsidRPr="00176A0C">
        <w:rPr>
          <w:rFonts w:ascii="Verdana" w:hAnsi="Verdana" w:eastAsia="Aptos" w:cs="Times New Roman"/>
        </w:rPr>
        <w:t xml:space="preserve"> para las modalidades de selección de</w:t>
      </w:r>
      <w:r w:rsidRPr="00176A0C">
        <w:rPr>
          <w:rFonts w:ascii="Verdana" w:hAnsi="Verdana" w:eastAsia="Aptos" w:cs="Times New Roman"/>
          <w:b/>
          <w:bCs/>
        </w:rPr>
        <w:t xml:space="preserve"> licitación pública (versión 2), selección abreviada de menor cuantía, mínima cuantía, consultoría e interventoría</w:t>
      </w:r>
      <w:r w:rsidRPr="00176A0C">
        <w:rPr>
          <w:rFonts w:ascii="Verdana" w:hAnsi="Verdana" w:eastAsia="Aptos"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w:tgtFrame="_new" w:history="1" r:id="rId16">
        <w:r w:rsidRPr="00176A0C">
          <w:rPr>
            <w:rFonts w:ascii="Verdana" w:hAnsi="Verdana" w:eastAsia="Aptos" w:cs="Times New Roman"/>
            <w:color w:val="0000FF"/>
            <w:u w:val="single"/>
          </w:rPr>
          <w:t>https://www.colombiacompra.gov.co/normativa-y-relatoria/documentos-tipo</w:t>
        </w:r>
      </w:hyperlink>
    </w:p>
    <w:p w:rsidR="00160F44" w:rsidP="00160F44" w:rsidRDefault="00160F44" w14:paraId="32D4D230" w14:textId="77777777">
      <w:pPr>
        <w:spacing w:after="0" w:line="276" w:lineRule="auto"/>
        <w:jc w:val="both"/>
        <w:rPr>
          <w:rFonts w:ascii="Verdana" w:hAnsi="Verdana" w:eastAsia="Aptos" w:cs="Times New Roman"/>
        </w:rPr>
      </w:pPr>
    </w:p>
    <w:p w:rsidR="00176A0C" w:rsidP="00160F44" w:rsidRDefault="00176A0C" w14:paraId="52D29687" w14:textId="2589CEF2">
      <w:pPr>
        <w:spacing w:after="0" w:line="276" w:lineRule="auto"/>
        <w:jc w:val="both"/>
        <w:rPr>
          <w:rFonts w:ascii="Verdana" w:hAnsi="Verdana"/>
        </w:rPr>
      </w:pPr>
      <w:r w:rsidRPr="00176A0C">
        <w:rPr>
          <w:rFonts w:ascii="Verdana" w:hAnsi="Verdana" w:eastAsia="Aptos" w:cs="Times New Roman"/>
        </w:rPr>
        <w:t xml:space="preserve">Si quieres conocer más sobre la aplicación de Documentos Tipo puedes consultar la última versión de la </w:t>
      </w:r>
      <w:r w:rsidRPr="00176A0C">
        <w:rPr>
          <w:rFonts w:ascii="Verdana" w:hAnsi="Verdana" w:eastAsia="Aptos" w:cs="Times New Roman"/>
          <w:b/>
          <w:bCs/>
        </w:rPr>
        <w:t xml:space="preserve">Guía para la comprensión e implementación de los </w:t>
      </w:r>
      <w:r w:rsidRPr="00176A0C">
        <w:rPr>
          <w:rFonts w:ascii="Verdana" w:hAnsi="Verdana" w:eastAsia="Aptos" w:cs="Times New Roman"/>
          <w:b/>
          <w:bCs/>
        </w:rPr>
        <w:t>Documentos Tipo de obra pública de infraestructura de transporte</w:t>
      </w:r>
      <w:r w:rsidRPr="00176A0C">
        <w:rPr>
          <w:rFonts w:ascii="Verdana" w:hAnsi="Verdana" w:eastAsia="Aptos"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176A0C">
        <w:rPr>
          <w:rFonts w:ascii="Verdana" w:hAnsi="Verdana" w:eastAsia="Aptos" w:cs="Times New Roman"/>
        </w:rPr>
        <w:br/>
      </w:r>
      <w:hyperlink w:tgtFrame="_new" w:history="1" r:id="rId17">
        <w:r w:rsidRPr="00176A0C">
          <w:rPr>
            <w:rFonts w:ascii="Verdana" w:hAnsi="Verdana" w:eastAsia="Aptos" w:cs="Times New Roman"/>
            <w:color w:val="0000FF"/>
            <w:u w:val="single"/>
          </w:rPr>
          <w:t>https://www.colombiacompra.gov.co/archivos/manual/guia-para-la-comprension-e-implementacion-de-los-documentos-tipo-de-obra-publica-de-infraestructura-de-transporte-bajo-las-diferentes-modalidades-de-contratacion-vigentes</w:t>
        </w:r>
      </w:hyperlink>
    </w:p>
    <w:p w:rsidRPr="00160F44" w:rsidR="00160F44" w:rsidP="002F59B6" w:rsidRDefault="00160F44" w14:paraId="68B1161C" w14:textId="77777777">
      <w:pPr>
        <w:spacing w:after="0" w:line="276" w:lineRule="auto"/>
        <w:jc w:val="both"/>
        <w:rPr>
          <w:rFonts w:ascii="Verdana" w:hAnsi="Verdana" w:eastAsia="Aptos" w:cs="Times New Roman"/>
        </w:rPr>
      </w:pPr>
    </w:p>
    <w:p w:rsidR="00176A0C" w:rsidP="00160F44" w:rsidRDefault="00176A0C" w14:paraId="73E58C5D" w14:textId="77777777">
      <w:pPr>
        <w:widowControl w:val="0"/>
        <w:autoSpaceDE w:val="0"/>
        <w:autoSpaceDN w:val="0"/>
        <w:spacing w:after="0" w:line="276" w:lineRule="auto"/>
        <w:jc w:val="both"/>
        <w:rPr>
          <w:rFonts w:ascii="Verdana" w:hAnsi="Verdana" w:eastAsia="Aptos" w:cs="Times New Roman"/>
        </w:rPr>
      </w:pPr>
      <w:r w:rsidRPr="00176A0C">
        <w:rPr>
          <w:rFonts w:ascii="Verdana" w:hAnsi="Verdana" w:eastAsia="Aptos" w:cs="Times New Roman"/>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rsidRPr="00160F44" w:rsidR="00160F44" w:rsidP="002F59B6" w:rsidRDefault="00160F44" w14:paraId="14B920E2" w14:textId="77777777">
      <w:pPr>
        <w:widowControl w:val="0"/>
        <w:autoSpaceDE w:val="0"/>
        <w:autoSpaceDN w:val="0"/>
        <w:spacing w:after="0" w:line="276" w:lineRule="auto"/>
        <w:jc w:val="both"/>
        <w:rPr>
          <w:rFonts w:ascii="Verdana" w:hAnsi="Verdana" w:eastAsia="Aptos" w:cs="Arial"/>
          <w:highlight w:val="yellow"/>
          <w:shd w:val="clear" w:color="auto" w:fill="FFFFFF"/>
          <w:lang w:val="es-MX"/>
        </w:rPr>
      </w:pPr>
    </w:p>
    <w:p w:rsidRPr="00176A0C" w:rsidR="00176A0C" w:rsidP="002F59B6" w:rsidRDefault="00176A0C" w14:paraId="4846B07D" w14:textId="77777777">
      <w:pPr>
        <w:numPr>
          <w:ilvl w:val="0"/>
          <w:numId w:val="15"/>
        </w:numPr>
        <w:spacing w:after="0" w:line="276" w:lineRule="auto"/>
        <w:contextualSpacing/>
        <w:jc w:val="both"/>
        <w:rPr>
          <w:rFonts w:ascii="Verdana" w:hAnsi="Verdana" w:eastAsia="Verdana" w:cs="Verdana"/>
          <w:color w:val="156082"/>
          <w:u w:val="single"/>
          <w:lang w:val="es-MX"/>
        </w:rPr>
      </w:pPr>
      <w:r w:rsidRPr="00176A0C">
        <w:rPr>
          <w:rFonts w:ascii="Verdana" w:hAnsi="Verdana" w:eastAsia="Verdana" w:cs="Verdana"/>
          <w:lang w:val="es-MX"/>
        </w:rPr>
        <w:t xml:space="preserve">Línea nacional gratuita o servicio a la ciudadanía (Mesa de servicio): </w:t>
      </w:r>
      <w:r w:rsidRPr="00176A0C">
        <w:rPr>
          <w:rFonts w:ascii="Verdana" w:hAnsi="Verdana" w:eastAsia="Aptos" w:cs="Times New Roman"/>
          <w:color w:val="0000FF"/>
          <w:u w:val="single"/>
        </w:rPr>
        <w:t>01800 0520808</w:t>
      </w:r>
    </w:p>
    <w:p w:rsidRPr="00176A0C" w:rsidR="00176A0C" w:rsidP="002F59B6" w:rsidRDefault="00176A0C" w14:paraId="5AED8A0B" w14:textId="77777777">
      <w:pPr>
        <w:numPr>
          <w:ilvl w:val="0"/>
          <w:numId w:val="15"/>
        </w:numPr>
        <w:spacing w:after="0" w:line="276" w:lineRule="auto"/>
        <w:contextualSpacing/>
        <w:rPr>
          <w:rFonts w:ascii="Verdana" w:hAnsi="Verdana" w:eastAsia="Verdana" w:cs="Verdana"/>
          <w:color w:val="156082"/>
          <w:u w:val="single"/>
          <w:lang w:val="es-MX"/>
        </w:rPr>
      </w:pPr>
      <w:r w:rsidRPr="00176A0C">
        <w:rPr>
          <w:rFonts w:ascii="Verdana" w:hAnsi="Verdana" w:eastAsia="Verdana" w:cs="Verdana"/>
          <w:lang w:val="es-MX"/>
        </w:rPr>
        <w:t>Línea en Bogotá (Mesa de servicio):</w:t>
      </w:r>
      <w:r w:rsidRPr="00176A0C">
        <w:rPr>
          <w:rFonts w:ascii="Verdana" w:hAnsi="Verdana" w:eastAsia="Aptos" w:cs="Times New Roman"/>
          <w:color w:val="0000FF"/>
          <w:u w:val="single"/>
        </w:rPr>
        <w:t>+57 601 7456788</w:t>
      </w:r>
    </w:p>
    <w:p w:rsidRPr="00176A0C" w:rsidR="00176A0C" w:rsidP="002F59B6" w:rsidRDefault="00176A0C" w14:paraId="65D5B1A5" w14:textId="77777777">
      <w:pPr>
        <w:numPr>
          <w:ilvl w:val="0"/>
          <w:numId w:val="15"/>
        </w:numPr>
        <w:spacing w:after="0" w:line="276" w:lineRule="auto"/>
        <w:contextualSpacing/>
        <w:rPr>
          <w:rFonts w:ascii="Verdana" w:hAnsi="Verdana" w:eastAsia="Verdana" w:cs="Verdana"/>
          <w:color w:val="0000FF"/>
          <w:u w:val="single"/>
          <w:lang w:val="es-MX"/>
        </w:rPr>
      </w:pPr>
      <w:r w:rsidRPr="00176A0C">
        <w:rPr>
          <w:rFonts w:ascii="Verdana" w:hAnsi="Verdana" w:eastAsia="Verdana" w:cs="Verdana"/>
          <w:lang w:val="es-MX"/>
        </w:rPr>
        <w:t xml:space="preserve">Correo de radicación de correspondencia: </w:t>
      </w:r>
      <w:hyperlink r:id="rId18">
        <w:r w:rsidRPr="00176A0C">
          <w:rPr>
            <w:rFonts w:ascii="Verdana" w:hAnsi="Verdana" w:eastAsia="Verdana" w:cs="Verdana"/>
            <w:color w:val="0000FF"/>
            <w:u w:val="single"/>
            <w:lang w:val="es-MX"/>
          </w:rPr>
          <w:t>ventanilladeradicacion@colombiacompra.gov.co</w:t>
        </w:r>
      </w:hyperlink>
    </w:p>
    <w:p w:rsidRPr="00176A0C" w:rsidR="00176A0C" w:rsidP="002F59B6" w:rsidRDefault="00176A0C" w14:paraId="520CE520" w14:textId="77777777">
      <w:pPr>
        <w:numPr>
          <w:ilvl w:val="0"/>
          <w:numId w:val="15"/>
        </w:numPr>
        <w:spacing w:after="0" w:line="276" w:lineRule="auto"/>
        <w:contextualSpacing/>
        <w:rPr>
          <w:rFonts w:ascii="Verdana" w:hAnsi="Verdana" w:eastAsia="Verdana" w:cs="Verdana"/>
          <w:color w:val="0000FF"/>
          <w:u w:val="single"/>
          <w:lang w:val="es-MX"/>
        </w:rPr>
      </w:pPr>
      <w:r w:rsidRPr="00176A0C">
        <w:rPr>
          <w:rFonts w:ascii="Verdana" w:hAnsi="Verdana" w:eastAsia="Verdana" w:cs="Verdana"/>
        </w:rPr>
        <w:t>Formulario web para</w:t>
      </w:r>
      <w:r w:rsidRPr="00176A0C">
        <w:rPr>
          <w:rFonts w:ascii="Verdana" w:hAnsi="Verdana" w:eastAsia="Verdana" w:cs="Verdana"/>
          <w:lang w:val="es"/>
        </w:rPr>
        <w:t xml:space="preserve"> PQRSD: </w:t>
      </w:r>
      <w:hyperlink r:id="rId19">
        <w:r w:rsidRPr="00176A0C">
          <w:rPr>
            <w:rFonts w:ascii="Verdana" w:hAnsi="Verdana" w:eastAsia="Verdana" w:cs="Verdana"/>
            <w:color w:val="0000FF"/>
            <w:u w:val="single"/>
            <w:lang w:val="es-MX"/>
          </w:rPr>
          <w:t>https://www.colombiacompra.gov.co/pqrsd/informacion-importante-antes-de-formular-una-pqrsd</w:t>
        </w:r>
      </w:hyperlink>
    </w:p>
    <w:p w:rsidRPr="00176A0C" w:rsidR="00176A0C" w:rsidP="002F59B6" w:rsidRDefault="00176A0C" w14:paraId="53BEE2D4" w14:textId="77777777">
      <w:pPr>
        <w:spacing w:after="0" w:line="276" w:lineRule="auto"/>
        <w:ind w:left="720"/>
        <w:jc w:val="both"/>
        <w:rPr>
          <w:rFonts w:ascii="Verdana" w:hAnsi="Verdana" w:eastAsia="Aptos" w:cs="Times New Roman"/>
        </w:rPr>
      </w:pPr>
    </w:p>
    <w:p w:rsidRPr="00176A0C" w:rsidR="00176A0C" w:rsidP="002F59B6" w:rsidRDefault="00176A0C" w14:paraId="5D10AF90" w14:textId="77777777">
      <w:pPr>
        <w:spacing w:after="0" w:line="276" w:lineRule="auto"/>
        <w:jc w:val="both"/>
        <w:rPr>
          <w:rFonts w:ascii="Verdana" w:hAnsi="Verdana" w:eastAsia="Aptos" w:cs="Times New Roman"/>
        </w:rPr>
      </w:pPr>
      <w:r w:rsidRPr="00176A0C">
        <w:rPr>
          <w:rFonts w:ascii="Verdana" w:hAnsi="Verdana" w:eastAsia="Aptos" w:cs="Times New Roman"/>
        </w:rPr>
        <w:t xml:space="preserve">Evalúa el servicio que ofrece la Agencia por el canal de atención de PQRSD en el siguiente enlace: </w:t>
      </w:r>
      <w:hyperlink w:history="1" r:id="rId20">
        <w:r w:rsidRPr="00176A0C">
          <w:rPr>
            <w:rFonts w:ascii="Verdana" w:hAnsi="Verdana" w:eastAsia="Verdana" w:cs="Verdana"/>
            <w:color w:val="0000FF"/>
            <w:u w:val="single"/>
            <w:lang w:val="es-MX"/>
          </w:rPr>
          <w:t>https://forms.office.com/r/pPHyWVs2SZ</w:t>
        </w:r>
      </w:hyperlink>
      <w:r w:rsidRPr="00176A0C">
        <w:rPr>
          <w:rFonts w:ascii="Verdana" w:hAnsi="Verdana" w:eastAsia="Verdana" w:cs="Verdana"/>
          <w:color w:val="0000FF"/>
          <w:u w:val="single"/>
          <w:lang w:val="es-MX"/>
        </w:rPr>
        <w:t>.</w:t>
      </w:r>
      <w:r w:rsidRPr="00176A0C">
        <w:rPr>
          <w:rFonts w:ascii="Verdana" w:hAnsi="Verdana" w:eastAsia="Aptos" w:cs="Times New Roman"/>
        </w:rPr>
        <w:t xml:space="preserve"> ¡Ayúdanos a mejorar porque el compromiso es de todos!</w:t>
      </w:r>
    </w:p>
    <w:p w:rsidR="00160F44" w:rsidP="00160F44" w:rsidRDefault="00160F44" w14:paraId="26A03CFE" w14:textId="77777777">
      <w:pPr>
        <w:spacing w:after="0" w:line="276" w:lineRule="auto"/>
        <w:jc w:val="both"/>
        <w:rPr>
          <w:rFonts w:ascii="Verdana" w:hAnsi="Verdana" w:eastAsia="Aptos" w:cs="Times New Roman"/>
        </w:rPr>
      </w:pPr>
    </w:p>
    <w:p w:rsidRPr="00176A0C" w:rsidR="00176A0C" w:rsidP="002F59B6" w:rsidRDefault="00176A0C" w14:paraId="642C0B44" w14:textId="797C0A33">
      <w:pPr>
        <w:spacing w:after="0" w:line="276" w:lineRule="auto"/>
        <w:jc w:val="both"/>
        <w:rPr>
          <w:rFonts w:ascii="Verdana" w:hAnsi="Verdana" w:eastAsia="Aptos" w:cs="Times New Roman"/>
        </w:rPr>
      </w:pPr>
      <w:r w:rsidRPr="00176A0C">
        <w:rPr>
          <w:rFonts w:ascii="Verdana" w:hAnsi="Verdana" w:eastAsia="Aptos" w:cs="Times New Roman"/>
        </w:rPr>
        <w:t xml:space="preserve">Por último, lo invitamos a seguirnos en las redes sociales en las cuales se difunde información institucional: </w:t>
      </w:r>
    </w:p>
    <w:p w:rsidRPr="00176A0C" w:rsidR="00176A0C" w:rsidP="002F59B6" w:rsidRDefault="00176A0C" w14:paraId="08B91562" w14:textId="77777777">
      <w:pPr>
        <w:spacing w:after="0" w:line="276" w:lineRule="auto"/>
        <w:jc w:val="both"/>
        <w:rPr>
          <w:rFonts w:ascii="Verdana" w:hAnsi="Verdana" w:eastAsia="Aptos" w:cs="Times New Roman"/>
        </w:rPr>
      </w:pPr>
      <w:r w:rsidRPr="00176A0C">
        <w:rPr>
          <w:rFonts w:ascii="Verdana" w:hAnsi="Verdana" w:eastAsia="Aptos" w:cs="Times New Roman"/>
        </w:rPr>
        <w:t xml:space="preserve">Twitter: </w:t>
      </w:r>
      <w:r w:rsidRPr="00176A0C">
        <w:rPr>
          <w:rFonts w:ascii="Verdana" w:hAnsi="Verdana" w:eastAsia="Aptos" w:cs="Times New Roman"/>
          <w:color w:val="0000FF"/>
          <w:u w:val="single"/>
        </w:rPr>
        <w:t>@colombiacompra</w:t>
      </w:r>
      <w:r w:rsidRPr="00176A0C">
        <w:rPr>
          <w:rFonts w:ascii="Verdana" w:hAnsi="Verdana" w:eastAsia="Aptos" w:cs="Times New Roman"/>
        </w:rPr>
        <w:t xml:space="preserve"> </w:t>
      </w:r>
    </w:p>
    <w:p w:rsidRPr="00176A0C" w:rsidR="00176A0C" w:rsidP="002F59B6" w:rsidRDefault="00176A0C" w14:paraId="3F7616BC" w14:textId="77777777">
      <w:pPr>
        <w:spacing w:after="0" w:line="276" w:lineRule="auto"/>
        <w:jc w:val="both"/>
        <w:rPr>
          <w:rFonts w:ascii="Verdana" w:hAnsi="Verdana" w:eastAsia="Aptos" w:cs="Times New Roman"/>
        </w:rPr>
      </w:pPr>
      <w:r w:rsidRPr="00176A0C">
        <w:rPr>
          <w:rFonts w:ascii="Verdana" w:hAnsi="Verdana" w:eastAsia="Aptos" w:cs="Times New Roman"/>
        </w:rPr>
        <w:t xml:space="preserve">Facebook: </w:t>
      </w:r>
      <w:r w:rsidRPr="00176A0C">
        <w:rPr>
          <w:rFonts w:ascii="Verdana" w:hAnsi="Verdana" w:eastAsia="Aptos" w:cs="Times New Roman"/>
          <w:color w:val="0000FF"/>
          <w:u w:val="single"/>
        </w:rPr>
        <w:t>ColombiaCompraEficiente</w:t>
      </w:r>
    </w:p>
    <w:p w:rsidRPr="00176A0C" w:rsidR="00176A0C" w:rsidP="002F59B6" w:rsidRDefault="00176A0C" w14:paraId="305304BD" w14:textId="77777777">
      <w:pPr>
        <w:spacing w:after="0" w:line="276" w:lineRule="auto"/>
        <w:jc w:val="both"/>
        <w:rPr>
          <w:rFonts w:ascii="Verdana" w:hAnsi="Verdana" w:eastAsia="Aptos" w:cs="Times New Roman"/>
        </w:rPr>
      </w:pPr>
      <w:r w:rsidRPr="00176A0C">
        <w:rPr>
          <w:rFonts w:ascii="Verdana" w:hAnsi="Verdana" w:eastAsia="Aptos" w:cs="Times New Roman"/>
        </w:rPr>
        <w:t xml:space="preserve">LinkedIn: </w:t>
      </w:r>
      <w:r w:rsidRPr="00176A0C">
        <w:rPr>
          <w:rFonts w:ascii="Verdana" w:hAnsi="Verdana" w:eastAsia="Aptos" w:cs="Times New Roman"/>
          <w:color w:val="0000FF"/>
          <w:u w:val="single"/>
        </w:rPr>
        <w:t>Agencia Nacional de Contratación Pública - Colombia Compra Eficiente</w:t>
      </w:r>
      <w:r w:rsidRPr="00176A0C">
        <w:rPr>
          <w:rFonts w:ascii="Verdana" w:hAnsi="Verdana" w:eastAsia="Aptos" w:cs="Times New Roman"/>
        </w:rPr>
        <w:t xml:space="preserve"> Instagram: </w:t>
      </w:r>
      <w:r w:rsidRPr="00176A0C">
        <w:rPr>
          <w:rFonts w:ascii="Verdana" w:hAnsi="Verdana" w:eastAsia="Aptos" w:cs="Times New Roman"/>
          <w:color w:val="0000FF"/>
          <w:u w:val="single"/>
        </w:rPr>
        <w:t>@colombiacompraeficiente_cce</w:t>
      </w:r>
    </w:p>
    <w:p w:rsidRPr="00176A0C" w:rsidR="00176A0C" w:rsidP="002F59B6" w:rsidRDefault="00176A0C" w14:paraId="7BE98359" w14:textId="77777777">
      <w:pPr>
        <w:spacing w:after="0" w:line="276" w:lineRule="auto"/>
        <w:jc w:val="both"/>
        <w:rPr>
          <w:rFonts w:ascii="Verdana" w:hAnsi="Verdana" w:eastAsia="Aptos" w:cs="Times New Roman"/>
          <w:lang w:val="es-MX"/>
        </w:rPr>
      </w:pPr>
    </w:p>
    <w:p w:rsidRPr="00176A0C" w:rsidR="00176A0C" w:rsidP="002F59B6" w:rsidRDefault="00176A0C" w14:paraId="4860F27B" w14:textId="77777777">
      <w:pPr>
        <w:spacing w:after="0" w:line="276" w:lineRule="auto"/>
        <w:jc w:val="both"/>
        <w:rPr>
          <w:rFonts w:ascii="Verdana" w:hAnsi="Verdana" w:eastAsia="Aptos" w:cs="Times New Roman"/>
          <w:lang w:val="es-MX"/>
        </w:rPr>
      </w:pPr>
      <w:r w:rsidRPr="00176A0C">
        <w:rPr>
          <w:rFonts w:ascii="Verdana" w:hAnsi="Verdana" w:eastAsia="Aptos" w:cs="Times New Roman"/>
          <w:lang w:val="es-MX"/>
        </w:rPr>
        <w:t>Cordialmente,</w:t>
      </w:r>
    </w:p>
    <w:bookmarkEnd w:id="0"/>
    <w:p w:rsidR="00176A0C" w:rsidP="00FF6EB7" w:rsidRDefault="00FF6EB7" w14:paraId="7AA4902D" w14:textId="04077560">
      <w:pPr>
        <w:jc w:val="center"/>
        <w:rPr>
          <w:rFonts w:ascii="Aptos" w:hAnsi="Aptos" w:eastAsia="Aptos" w:cs="Times New Roman"/>
        </w:rPr>
      </w:pPr>
      <w:r>
        <w:rPr>
          <w:noProof/>
        </w:rPr>
        <w:drawing>
          <wp:inline distT="0" distB="0" distL="0" distR="0" wp14:anchorId="4EE6BECE" wp14:editId="7824600E">
            <wp:extent cx="2771193" cy="1028700"/>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1"/>
                    <a:stretch>
                      <a:fillRect/>
                    </a:stretch>
                  </pic:blipFill>
                  <pic:spPr>
                    <a:xfrm>
                      <a:off x="0" y="0"/>
                      <a:ext cx="2776605" cy="1030709"/>
                    </a:xfrm>
                    <a:prstGeom prst="rect">
                      <a:avLst/>
                    </a:prstGeom>
                  </pic:spPr>
                </pic:pic>
              </a:graphicData>
            </a:graphic>
          </wp:inline>
        </w:drawing>
      </w:r>
    </w:p>
    <w:tbl>
      <w:tblPr>
        <w:tblStyle w:val="Tablaconcuadrcula"/>
        <w:tblW w:w="65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93"/>
        <w:gridCol w:w="5628"/>
      </w:tblGrid>
      <w:tr w:rsidRPr="00176A0C" w:rsidR="00176A0C" w:rsidTr="00176A0C" w14:paraId="2FF4C844" w14:textId="77777777">
        <w:trPr>
          <w:trHeight w:val="315"/>
        </w:trPr>
        <w:tc>
          <w:tcPr>
            <w:tcW w:w="893" w:type="dxa"/>
            <w:vAlign w:val="center"/>
            <w:hideMark/>
          </w:tcPr>
          <w:p w:rsidRPr="00176A0C" w:rsidR="00176A0C" w:rsidP="00176A0C" w:rsidRDefault="00176A0C" w14:paraId="163C1778" w14:textId="77777777">
            <w:pPr>
              <w:contextualSpacing/>
              <w:rPr>
                <w:rFonts w:ascii="Verdana" w:hAnsi="Verdana" w:eastAsia="Aptos" w:cs="Arial"/>
                <w:sz w:val="16"/>
                <w:szCs w:val="16"/>
                <w:lang w:val="es-ES" w:eastAsia="es-ES"/>
              </w:rPr>
            </w:pPr>
            <w:r w:rsidRPr="00176A0C">
              <w:rPr>
                <w:rFonts w:ascii="Verdana" w:hAnsi="Verdana" w:eastAsia="Aptos" w:cs="Arial"/>
                <w:sz w:val="16"/>
                <w:szCs w:val="16"/>
                <w:lang w:val="es-ES" w:eastAsia="es-ES"/>
              </w:rPr>
              <w:t>Elaboró:</w:t>
            </w:r>
          </w:p>
        </w:tc>
        <w:tc>
          <w:tcPr>
            <w:tcW w:w="5628" w:type="dxa"/>
            <w:tcBorders>
              <w:top w:val="nil"/>
              <w:left w:val="nil"/>
              <w:bottom w:val="dotted" w:color="7F7F7F" w:sz="4" w:space="0"/>
              <w:right w:val="nil"/>
            </w:tcBorders>
            <w:vAlign w:val="center"/>
            <w:hideMark/>
          </w:tcPr>
          <w:p w:rsidRPr="00176A0C" w:rsidR="00176A0C" w:rsidP="00176A0C" w:rsidRDefault="00176A0C" w14:paraId="1A5D19A8" w14:textId="77777777">
            <w:pPr>
              <w:rPr>
                <w:rFonts w:ascii="Verdana" w:hAnsi="Verdana" w:eastAsia="Times New Roman" w:cs="Arial"/>
                <w:sz w:val="16"/>
                <w:szCs w:val="16"/>
                <w:lang w:eastAsia="es-ES"/>
              </w:rPr>
            </w:pPr>
            <w:r w:rsidRPr="00176A0C">
              <w:rPr>
                <w:rFonts w:ascii="Verdana" w:hAnsi="Verdana" w:eastAsia="Times New Roman" w:cs="Arial"/>
                <w:sz w:val="16"/>
                <w:szCs w:val="16"/>
                <w:lang w:eastAsia="es-ES"/>
              </w:rPr>
              <w:t>Oscar David Morelo Pedrozo</w:t>
            </w:r>
          </w:p>
          <w:p w:rsidRPr="00176A0C" w:rsidR="00176A0C" w:rsidP="00176A0C" w:rsidRDefault="00176A0C" w14:paraId="00AE0B51" w14:textId="77777777">
            <w:pPr>
              <w:rPr>
                <w:rFonts w:ascii="Verdana" w:hAnsi="Verdana" w:eastAsia="Times New Roman" w:cs="Arial"/>
                <w:sz w:val="16"/>
                <w:szCs w:val="16"/>
                <w:lang w:eastAsia="es-ES"/>
              </w:rPr>
            </w:pPr>
            <w:r w:rsidRPr="00176A0C">
              <w:rPr>
                <w:rFonts w:ascii="Verdana" w:hAnsi="Verdana" w:eastAsia="Times New Roman" w:cs="Arial"/>
                <w:sz w:val="16"/>
                <w:szCs w:val="16"/>
                <w:lang w:eastAsia="es-ES"/>
              </w:rPr>
              <w:t>Analista T2 –02 de la Subdirección de Gestión Contractual</w:t>
            </w:r>
          </w:p>
        </w:tc>
      </w:tr>
      <w:tr w:rsidRPr="00176A0C" w:rsidR="00176A0C" w:rsidTr="00176A0C" w14:paraId="0A87B270" w14:textId="77777777">
        <w:trPr>
          <w:trHeight w:val="330"/>
        </w:trPr>
        <w:tc>
          <w:tcPr>
            <w:tcW w:w="893" w:type="dxa"/>
            <w:vAlign w:val="center"/>
            <w:hideMark/>
          </w:tcPr>
          <w:p w:rsidRPr="00176A0C" w:rsidR="00176A0C" w:rsidP="00176A0C" w:rsidRDefault="00176A0C" w14:paraId="5CB3A820" w14:textId="77777777">
            <w:pPr>
              <w:contextualSpacing/>
              <w:rPr>
                <w:rFonts w:ascii="Verdana" w:hAnsi="Verdana" w:eastAsia="Aptos" w:cs="Arial"/>
                <w:color w:val="000000"/>
                <w:sz w:val="16"/>
                <w:szCs w:val="16"/>
                <w:lang w:val="es-ES" w:eastAsia="es-ES"/>
              </w:rPr>
            </w:pPr>
            <w:r w:rsidRPr="00176A0C">
              <w:rPr>
                <w:rFonts w:ascii="Verdana" w:hAnsi="Verdana" w:eastAsia="Aptos" w:cs="Arial"/>
                <w:color w:val="000000"/>
                <w:sz w:val="16"/>
                <w:szCs w:val="16"/>
                <w:lang w:val="es-ES" w:eastAsia="es-ES"/>
              </w:rPr>
              <w:t>Revisó:</w:t>
            </w:r>
          </w:p>
        </w:tc>
        <w:tc>
          <w:tcPr>
            <w:tcW w:w="5628" w:type="dxa"/>
            <w:tcBorders>
              <w:top w:val="dotted" w:color="7F7F7F" w:sz="4" w:space="0"/>
              <w:left w:val="nil"/>
              <w:bottom w:val="dotted" w:color="7F7F7F" w:sz="4" w:space="0"/>
              <w:right w:val="nil"/>
            </w:tcBorders>
            <w:vAlign w:val="center"/>
            <w:hideMark/>
          </w:tcPr>
          <w:p w:rsidRPr="00176A0C" w:rsidR="00176A0C" w:rsidP="00176A0C" w:rsidRDefault="00176A0C" w14:paraId="7345CDA5" w14:textId="77777777">
            <w:pPr>
              <w:rPr>
                <w:rFonts w:ascii="Verdana" w:hAnsi="Verdana" w:eastAsia="Times New Roman" w:cs="Arial"/>
                <w:color w:val="000000"/>
                <w:sz w:val="16"/>
                <w:szCs w:val="16"/>
                <w:lang w:eastAsia="es-ES"/>
              </w:rPr>
            </w:pPr>
            <w:r w:rsidRPr="00176A0C">
              <w:rPr>
                <w:rFonts w:ascii="Verdana" w:hAnsi="Verdana" w:eastAsia="Times New Roman" w:cs="Arial"/>
                <w:color w:val="000000"/>
                <w:sz w:val="16"/>
                <w:szCs w:val="16"/>
                <w:lang w:eastAsia="es-ES"/>
              </w:rPr>
              <w:t>Diana Lucia Saavedra Castañeda</w:t>
            </w:r>
          </w:p>
          <w:p w:rsidRPr="00176A0C" w:rsidR="00176A0C" w:rsidP="00176A0C" w:rsidRDefault="00176A0C" w14:paraId="57EF1865" w14:textId="77777777">
            <w:pPr>
              <w:contextualSpacing/>
              <w:textAlignment w:val="baseline"/>
              <w:rPr>
                <w:rFonts w:ascii="Verdana" w:hAnsi="Verdana" w:eastAsia="Times New Roman" w:cs="Segoe UI"/>
                <w:color w:val="000000"/>
                <w:sz w:val="16"/>
                <w:szCs w:val="16"/>
                <w:lang w:val="es-ES" w:eastAsia="es-CO"/>
              </w:rPr>
            </w:pPr>
            <w:r w:rsidRPr="00176A0C">
              <w:rPr>
                <w:rFonts w:ascii="Verdana" w:hAnsi="Verdana" w:eastAsia="Times New Roman" w:cs="Arial"/>
                <w:color w:val="000000"/>
                <w:sz w:val="16"/>
                <w:szCs w:val="16"/>
                <w:lang w:eastAsia="es-ES"/>
              </w:rPr>
              <w:t>Contratista de la Subdirección de Gestión Contractual</w:t>
            </w:r>
          </w:p>
        </w:tc>
      </w:tr>
      <w:tr w:rsidRPr="00176A0C" w:rsidR="00176A0C" w:rsidTr="00176A0C" w14:paraId="2E29DB66" w14:textId="77777777">
        <w:trPr>
          <w:trHeight w:val="300"/>
        </w:trPr>
        <w:tc>
          <w:tcPr>
            <w:tcW w:w="893" w:type="dxa"/>
            <w:vAlign w:val="center"/>
          </w:tcPr>
          <w:p w:rsidRPr="00176A0C" w:rsidR="00176A0C" w:rsidP="00176A0C" w:rsidRDefault="00176A0C" w14:paraId="12D51AB4" w14:textId="77777777">
            <w:pPr>
              <w:contextualSpacing/>
              <w:rPr>
                <w:rFonts w:ascii="Verdana" w:hAnsi="Verdana" w:eastAsia="Aptos" w:cs="Arial"/>
                <w:sz w:val="16"/>
                <w:szCs w:val="16"/>
                <w:lang w:val="es-ES" w:eastAsia="es-ES"/>
              </w:rPr>
            </w:pPr>
            <w:r w:rsidRPr="00176A0C">
              <w:rPr>
                <w:rFonts w:ascii="Verdana" w:hAnsi="Verdana" w:eastAsia="Aptos" w:cs="Arial"/>
                <w:sz w:val="16"/>
                <w:szCs w:val="16"/>
                <w:lang w:val="es-ES" w:eastAsia="es-ES"/>
              </w:rPr>
              <w:t>Aprobó:</w:t>
            </w:r>
          </w:p>
        </w:tc>
        <w:tc>
          <w:tcPr>
            <w:tcW w:w="5628" w:type="dxa"/>
            <w:tcBorders>
              <w:top w:val="dotted" w:color="7F7F7F" w:sz="4" w:space="0"/>
              <w:left w:val="nil"/>
              <w:bottom w:val="dotted" w:color="7F7F7F" w:sz="4" w:space="0"/>
              <w:right w:val="nil"/>
            </w:tcBorders>
            <w:vAlign w:val="center"/>
          </w:tcPr>
          <w:p w:rsidRPr="00176A0C" w:rsidR="00176A0C" w:rsidP="00176A0C" w:rsidRDefault="00176A0C" w14:paraId="146E1EB8" w14:textId="77777777">
            <w:pPr>
              <w:contextualSpacing/>
              <w:rPr>
                <w:rFonts w:ascii="Verdana" w:hAnsi="Verdana" w:eastAsia="Calibri" w:cs="Arial"/>
                <w:sz w:val="16"/>
                <w:szCs w:val="16"/>
                <w:lang w:val="es-ES" w:eastAsia="es-ES"/>
              </w:rPr>
            </w:pPr>
            <w:r w:rsidRPr="00176A0C">
              <w:rPr>
                <w:rFonts w:ascii="Verdana" w:hAnsi="Verdana" w:eastAsia="Calibri" w:cs="Arial"/>
                <w:sz w:val="16"/>
                <w:szCs w:val="16"/>
                <w:lang w:val="es-ES" w:eastAsia="es-ES"/>
              </w:rPr>
              <w:t>Carolina Quintero Gacharná</w:t>
            </w:r>
          </w:p>
          <w:p w:rsidRPr="00176A0C" w:rsidR="00176A0C" w:rsidP="00176A0C" w:rsidRDefault="00176A0C" w14:paraId="5F9D3C94" w14:textId="77777777">
            <w:pPr>
              <w:contextualSpacing/>
              <w:rPr>
                <w:rFonts w:ascii="Verdana" w:hAnsi="Verdana" w:eastAsia="Calibri" w:cs="Arial"/>
                <w:sz w:val="16"/>
                <w:szCs w:val="16"/>
                <w:lang w:val="es-ES" w:eastAsia="es-ES"/>
              </w:rPr>
            </w:pPr>
            <w:r w:rsidRPr="00176A0C">
              <w:rPr>
                <w:rFonts w:ascii="Verdana" w:hAnsi="Verdana" w:eastAsia="Calibri" w:cs="Arial"/>
                <w:sz w:val="16"/>
                <w:szCs w:val="16"/>
                <w:lang w:val="es-ES" w:eastAsia="es-ES"/>
              </w:rPr>
              <w:t>Subdirectora de Gestión Contractual ANCP – CCE</w:t>
            </w:r>
          </w:p>
        </w:tc>
      </w:tr>
    </w:tbl>
    <w:p w:rsidRPr="00176A0C" w:rsidR="00176A0C" w:rsidP="00176A0C" w:rsidRDefault="00176A0C" w14:paraId="2A252534" w14:textId="46F96440">
      <w:pPr>
        <w:rPr>
          <w:rFonts w:ascii="Aptos" w:hAnsi="Aptos" w:eastAsia="Aptos" w:cs="Times New Roman"/>
        </w:rPr>
      </w:pPr>
    </w:p>
    <w:p w:rsidRPr="00176A0C" w:rsidR="00176A0C" w:rsidP="00176A0C" w:rsidRDefault="00176A0C" w14:paraId="6E110AB6" w14:textId="77777777">
      <w:pPr>
        <w:rPr>
          <w:rFonts w:ascii="Aptos" w:hAnsi="Aptos" w:eastAsia="Aptos" w:cs="Times New Roman"/>
        </w:rPr>
      </w:pPr>
    </w:p>
    <w:p w:rsidRPr="00176A0C" w:rsidR="00176A0C" w:rsidP="00176A0C" w:rsidRDefault="00176A0C" w14:paraId="1ED4EB9E" w14:textId="77777777">
      <w:pPr>
        <w:rPr>
          <w:rFonts w:ascii="Aptos" w:hAnsi="Aptos" w:eastAsia="Aptos" w:cs="Times New Roman"/>
        </w:rPr>
      </w:pPr>
    </w:p>
    <w:p w:rsidRPr="00176A0C" w:rsidR="00176A0C" w:rsidP="00176A0C" w:rsidRDefault="00176A0C" w14:paraId="695FDDD8" w14:textId="77777777">
      <w:pPr>
        <w:rPr>
          <w:rFonts w:ascii="Aptos" w:hAnsi="Aptos" w:eastAsia="Aptos" w:cs="Times New Roman"/>
        </w:rPr>
      </w:pPr>
    </w:p>
    <w:bookmarkEnd w:id="1"/>
    <w:p w:rsidRPr="0024624F" w:rsidR="00C15139" w:rsidP="30821638" w:rsidRDefault="00C15139" w14:paraId="12443EE0" w14:textId="77777777">
      <w:pPr>
        <w:spacing w:after="0"/>
        <w:rPr>
          <w:rFonts w:ascii="Verdana" w:hAnsi="Verdana" w:eastAsia="Verdana" w:cs="Verdana"/>
        </w:rPr>
      </w:pPr>
    </w:p>
    <w:sectPr w:rsidRPr="0024624F" w:rsidR="00C15139" w:rsidSect="007C0C0F">
      <w:headerReference w:type="default" r:id="rId22"/>
      <w:footerReference w:type="default" r:id="rId23"/>
      <w:pgSz w:w="12240" w:h="15840" w:orient="portrait"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6679" w:rsidP="004A1847" w:rsidRDefault="006B6679" w14:paraId="731C30B2" w14:textId="77777777">
      <w:pPr>
        <w:spacing w:after="0" w:line="240" w:lineRule="auto"/>
      </w:pPr>
      <w:r>
        <w:separator/>
      </w:r>
    </w:p>
  </w:endnote>
  <w:endnote w:type="continuationSeparator" w:id="0">
    <w:p w:rsidR="006B6679" w:rsidP="004A1847" w:rsidRDefault="006B6679" w14:paraId="59E8627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DejaVuSansMono">
    <w:altName w:val="Calibri"/>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847" w:rsidRDefault="004A1847" w14:paraId="18911A32" w14:textId="6CE791A4">
    <w:pPr>
      <w:pStyle w:val="Piedepgina"/>
    </w:pPr>
  </w:p>
  <w:p w:rsidRPr="00174B77" w:rsidR="00D520D8" w:rsidP="07C73DD1" w:rsidRDefault="07C73DD1" w14:paraId="594D6D9F" w14:textId="77777777">
    <w:pPr>
      <w:pBdr>
        <w:top w:val="single" w:color="000000" w:sz="4" w:space="1"/>
      </w:pBdr>
      <w:spacing w:after="0"/>
      <w:rPr>
        <w:rFonts w:ascii="Verdana" w:hAnsi="Verdana" w:eastAsia="Verdana" w:cs="Verdana"/>
        <w:b/>
        <w:bCs/>
        <w:sz w:val="18"/>
        <w:szCs w:val="18"/>
      </w:rPr>
    </w:pPr>
    <w:r w:rsidRPr="07C73DD1">
      <w:rPr>
        <w:rFonts w:ascii="Verdana" w:hAnsi="Verdana" w:eastAsia="Verdana" w:cs="Verdana"/>
        <w:b/>
        <w:bCs/>
        <w:sz w:val="18"/>
        <w:szCs w:val="18"/>
      </w:rPr>
      <w:t xml:space="preserve">Agencia Nacional de Contratación Pública                                              </w:t>
    </w:r>
    <w:r w:rsidRPr="07C73DD1">
      <w:rPr>
        <w:rFonts w:ascii="Verdana" w:hAnsi="Verdana" w:eastAsia="Verdana" w:cs="Verdana"/>
        <w:b/>
        <w:bCs/>
        <w:sz w:val="18"/>
        <w:szCs w:val="18"/>
        <w:lang w:val="es-ES"/>
      </w:rPr>
      <w:t xml:space="preserve">pág. </w:t>
    </w:r>
    <w:r w:rsidRPr="07C73DD1" w:rsidR="00D520D8">
      <w:rPr>
        <w:rFonts w:ascii="Verdana" w:hAnsi="Verdana" w:eastAsia="Verdana" w:cs="Verdana"/>
        <w:b/>
        <w:bCs/>
        <w:sz w:val="18"/>
        <w:szCs w:val="18"/>
      </w:rPr>
      <w:fldChar w:fldCharType="begin"/>
    </w:r>
    <w:r w:rsidRPr="07C73DD1" w:rsidR="00D520D8">
      <w:rPr>
        <w:rFonts w:ascii="Verdana" w:hAnsi="Verdana"/>
        <w:b/>
        <w:bCs/>
        <w:sz w:val="16"/>
        <w:szCs w:val="16"/>
      </w:rPr>
      <w:instrText>PAGE    \* MERGEFORMAT</w:instrText>
    </w:r>
    <w:r w:rsidRPr="07C73DD1" w:rsidR="00D520D8">
      <w:rPr>
        <w:rFonts w:ascii="Verdana" w:hAnsi="Verdana" w:eastAsiaTheme="minorEastAsia"/>
        <w:b/>
        <w:bCs/>
        <w:sz w:val="16"/>
        <w:szCs w:val="16"/>
      </w:rPr>
      <w:fldChar w:fldCharType="separate"/>
    </w:r>
    <w:r w:rsidRPr="07C73DD1">
      <w:rPr>
        <w:rFonts w:ascii="Verdana" w:hAnsi="Verdana" w:eastAsia="Verdana" w:cs="Verdana"/>
        <w:b/>
        <w:bCs/>
        <w:sz w:val="18"/>
        <w:szCs w:val="18"/>
      </w:rPr>
      <w:t>1</w:t>
    </w:r>
    <w:r w:rsidRPr="07C73DD1" w:rsidR="00D520D8">
      <w:rPr>
        <w:rFonts w:ascii="Verdana" w:hAnsi="Verdana" w:eastAsia="Verdana" w:cs="Verdana"/>
        <w:b/>
        <w:bCs/>
        <w:sz w:val="18"/>
        <w:szCs w:val="18"/>
      </w:rPr>
      <w:fldChar w:fldCharType="end"/>
    </w:r>
    <w:r w:rsidRPr="07C73DD1">
      <w:rPr>
        <w:rFonts w:ascii="Verdana" w:hAnsi="Verdana" w:eastAsia="Verdana" w:cs="Verdana"/>
        <w:b/>
        <w:bCs/>
        <w:sz w:val="18"/>
        <w:szCs w:val="18"/>
      </w:rPr>
      <w:t xml:space="preserve">              Colombia Compra Eficiente         </w:t>
    </w:r>
    <w:r w:rsidRPr="07C73DD1">
      <w:rPr>
        <w:rFonts w:ascii="Verdana" w:hAnsi="Verdana" w:eastAsia="Verdana" w:cs="Verdana"/>
        <w:b/>
        <w:bCs/>
        <w:sz w:val="18"/>
        <w:szCs w:val="18"/>
        <w:lang w:val="es-ES"/>
      </w:rPr>
      <w:t xml:space="preserve"> </w:t>
    </w:r>
    <w:r w:rsidRPr="07C73DD1">
      <w:rPr>
        <w:rFonts w:ascii="Verdana" w:hAnsi="Verdana" w:eastAsia="Verdana" w:cs="Verdana"/>
        <w:b/>
        <w:bCs/>
        <w:sz w:val="18"/>
        <w:szCs w:val="18"/>
      </w:rPr>
      <w:t xml:space="preserve">                                                  </w:t>
    </w:r>
  </w:p>
  <w:p w:rsidR="00D520D8" w:rsidP="07C73DD1" w:rsidRDefault="07C73DD1" w14:paraId="0A735DD5" w14:textId="77777777">
    <w:pPr>
      <w:spacing w:after="0"/>
      <w:jc w:val="both"/>
      <w:rPr>
        <w:rFonts w:ascii="Verdana" w:hAnsi="Verdana" w:eastAsia="Verdana" w:cs="Verdana"/>
        <w:sz w:val="18"/>
        <w:szCs w:val="18"/>
      </w:rPr>
    </w:pPr>
    <w:r w:rsidRPr="07C73DD1">
      <w:rPr>
        <w:rFonts w:ascii="Verdana" w:hAnsi="Verdana" w:eastAsia="Verdana" w:cs="Verdana"/>
        <w:sz w:val="18"/>
        <w:szCs w:val="18"/>
      </w:rPr>
      <w:t>Dirección: Carrera 7 # 26 – 20 - Bogotá, Colombia</w:t>
    </w:r>
  </w:p>
  <w:p w:rsidRPr="00E41027" w:rsidR="00D520D8" w:rsidP="07C73DD1" w:rsidRDefault="07C73DD1" w14:paraId="06E36B88" w14:textId="77777777">
    <w:pPr>
      <w:spacing w:after="0"/>
      <w:jc w:val="both"/>
      <w:rPr>
        <w:rFonts w:ascii="Verdana" w:hAnsi="Verdana" w:eastAsia="Verdana" w:cs="Verdana"/>
        <w:sz w:val="18"/>
        <w:szCs w:val="18"/>
      </w:rPr>
    </w:pPr>
    <w:r w:rsidRPr="07C73DD1">
      <w:rPr>
        <w:rFonts w:ascii="Verdana" w:hAnsi="Verdana" w:eastAsia="Verdana" w:cs="Verdana"/>
        <w:sz w:val="18"/>
        <w:szCs w:val="18"/>
      </w:rPr>
      <w:t>Mesa de servicio: (+57) 601 7456788</w:t>
    </w:r>
  </w:p>
  <w:p w:rsidR="006219F8" w:rsidP="07C73DD1" w:rsidRDefault="07C73DD1" w14:paraId="744661F5" w14:textId="22B9E88F">
    <w:pPr>
      <w:pBdr>
        <w:top w:val="nil"/>
        <w:left w:val="nil"/>
        <w:bottom w:val="nil"/>
        <w:right w:val="nil"/>
        <w:between w:val="nil"/>
      </w:pBdr>
      <w:tabs>
        <w:tab w:val="center" w:pos="4419"/>
        <w:tab w:val="right" w:pos="8838"/>
        <w:tab w:val="center" w:pos="5400"/>
      </w:tabs>
      <w:spacing w:after="0"/>
      <w:jc w:val="right"/>
      <w:rPr>
        <w:rFonts w:ascii="Verdana" w:hAnsi="Verdana" w:eastAsia="Verdana" w:cs="Verdana"/>
        <w:sz w:val="18"/>
        <w:szCs w:val="18"/>
        <w:lang w:eastAsia="es-CO"/>
      </w:rPr>
    </w:pPr>
    <w:r w:rsidRPr="07C73DD1">
      <w:rPr>
        <w:rFonts w:ascii="Verdana" w:hAnsi="Verdana" w:eastAsia="Verdana" w:cs="Verdana"/>
        <w:b/>
        <w:bCs/>
        <w:color w:val="000000" w:themeColor="text1"/>
        <w:sz w:val="18"/>
        <w:szCs w:val="18"/>
        <w:lang w:eastAsia="es-CO"/>
      </w:rPr>
      <w:t xml:space="preserve">Código: </w:t>
    </w:r>
    <w:r w:rsidRPr="07C73DD1">
      <w:rPr>
        <w:rFonts w:ascii="Verdana" w:hAnsi="Verdana" w:eastAsia="Verdana" w:cs="Verdana"/>
        <w:color w:val="000000" w:themeColor="text1"/>
        <w:sz w:val="18"/>
        <w:szCs w:val="18"/>
        <w:lang w:eastAsia="es-CO"/>
      </w:rPr>
      <w:t xml:space="preserve">CCE-REC-FM-17 </w:t>
    </w:r>
    <w:r w:rsidRPr="07C73DD1">
      <w:rPr>
        <w:rFonts w:ascii="Verdana" w:hAnsi="Verdana" w:eastAsia="Verdana" w:cs="Verdana"/>
        <w:b/>
        <w:bCs/>
        <w:color w:val="000000" w:themeColor="text1"/>
        <w:sz w:val="18"/>
        <w:szCs w:val="18"/>
        <w:lang w:eastAsia="es-CO"/>
      </w:rPr>
      <w:t xml:space="preserve">V: </w:t>
    </w:r>
    <w:r w:rsidRPr="07C73DD1">
      <w:rPr>
        <w:rFonts w:ascii="Verdana" w:hAnsi="Verdana" w:eastAsia="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6679" w:rsidP="004A1847" w:rsidRDefault="006B6679" w14:paraId="09245983" w14:textId="77777777">
      <w:pPr>
        <w:spacing w:after="0" w:line="240" w:lineRule="auto"/>
      </w:pPr>
      <w:r>
        <w:separator/>
      </w:r>
    </w:p>
  </w:footnote>
  <w:footnote w:type="continuationSeparator" w:id="0">
    <w:p w:rsidR="006B6679" w:rsidP="004A1847" w:rsidRDefault="006B6679" w14:paraId="2E268EC7" w14:textId="77777777">
      <w:pPr>
        <w:spacing w:after="0" w:line="240" w:lineRule="auto"/>
      </w:pPr>
      <w:r>
        <w:continuationSeparator/>
      </w:r>
    </w:p>
  </w:footnote>
  <w:footnote w:id="1">
    <w:p w:rsidRPr="00435A6A" w:rsidR="00176A0C" w:rsidP="00176A0C" w:rsidRDefault="00176A0C" w14:paraId="25F1A208" w14:textId="77777777">
      <w:pPr>
        <w:pStyle w:val="Textonotapie"/>
        <w:ind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rsidRPr="00435A6A" w:rsidR="00176A0C" w:rsidP="00176A0C" w:rsidRDefault="00176A0C" w14:paraId="41E1E2D9" w14:textId="77777777">
      <w:pPr>
        <w:pStyle w:val="Textonotapie"/>
        <w:ind w:firstLine="709"/>
        <w:jc w:val="both"/>
        <w:rPr>
          <w:rFonts w:ascii="Verdana" w:hAnsi="Verdana" w:cs="Arial"/>
          <w:sz w:val="14"/>
          <w:szCs w:val="14"/>
        </w:rPr>
      </w:pPr>
      <w:r w:rsidRPr="00435A6A">
        <w:rPr>
          <w:rFonts w:ascii="Verdana" w:hAnsi="Verdana" w:cs="Arial"/>
          <w:sz w:val="14"/>
          <w:szCs w:val="14"/>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p w:rsidRPr="00435A6A" w:rsidR="00176A0C" w:rsidP="00176A0C" w:rsidRDefault="00176A0C" w14:paraId="11C885C9" w14:textId="77777777">
      <w:pPr>
        <w:pStyle w:val="Textonotapie"/>
        <w:ind w:firstLine="709"/>
        <w:jc w:val="both"/>
        <w:rPr>
          <w:rFonts w:ascii="Verdana" w:hAnsi="Verdana" w:cs="Arial"/>
          <w:sz w:val="14"/>
          <w:szCs w:val="14"/>
        </w:rPr>
      </w:pPr>
    </w:p>
  </w:footnote>
  <w:footnote w:id="2">
    <w:p w:rsidRPr="00435A6A" w:rsidR="00176A0C" w:rsidP="00176A0C" w:rsidRDefault="00176A0C" w14:paraId="54C13986" w14:textId="77777777">
      <w:pPr>
        <w:pStyle w:val="Textonotapie"/>
        <w:ind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Gaceta del Congreso de la República No. 71 del 2005.</w:t>
      </w:r>
    </w:p>
    <w:p w:rsidRPr="00435A6A" w:rsidR="00176A0C" w:rsidP="00176A0C" w:rsidRDefault="00176A0C" w14:paraId="13C8AACA" w14:textId="77777777">
      <w:pPr>
        <w:pStyle w:val="Textonotapie"/>
        <w:ind w:firstLine="709"/>
        <w:jc w:val="both"/>
        <w:rPr>
          <w:rFonts w:ascii="Verdana" w:hAnsi="Verdana" w:cs="Arial"/>
          <w:sz w:val="14"/>
          <w:szCs w:val="14"/>
        </w:rPr>
      </w:pPr>
    </w:p>
  </w:footnote>
  <w:footnote w:id="3">
    <w:p w:rsidRPr="00435A6A" w:rsidR="00176A0C" w:rsidP="00176A0C" w:rsidRDefault="00176A0C" w14:paraId="144CCA72" w14:textId="77777777">
      <w:pPr>
        <w:pStyle w:val="Textonotapie"/>
        <w:tabs>
          <w:tab w:val="left" w:pos="8145"/>
        </w:tabs>
        <w:ind w:firstLine="709"/>
        <w:jc w:val="both"/>
        <w:rPr>
          <w:rFonts w:ascii="Verdana" w:hAnsi="Verdana" w:cs="Arial"/>
          <w:sz w:val="14"/>
          <w:szCs w:val="14"/>
          <w:lang w:val="pt-PT"/>
        </w:rPr>
      </w:pPr>
      <w:r w:rsidRPr="00435A6A">
        <w:rPr>
          <w:rStyle w:val="Refdenotaalpie"/>
          <w:rFonts w:ascii="Verdana" w:hAnsi="Verdana" w:cs="Arial"/>
          <w:sz w:val="14"/>
          <w:szCs w:val="14"/>
        </w:rPr>
        <w:footnoteRef/>
      </w:r>
      <w:r w:rsidRPr="00435A6A">
        <w:rPr>
          <w:rFonts w:ascii="Verdana" w:hAnsi="Verdana" w:cs="Arial"/>
          <w:sz w:val="14"/>
          <w:szCs w:val="14"/>
          <w:lang w:val="pt-PT"/>
        </w:rPr>
        <w:t xml:space="preserve"> Corte Constitucional. Sentencia C- 1153 de 2005, M.P: Marco Gerardo Monroy Cabra.</w:t>
      </w:r>
      <w:r w:rsidRPr="00435A6A">
        <w:rPr>
          <w:rFonts w:ascii="Verdana" w:hAnsi="Verdana" w:cs="Arial"/>
          <w:sz w:val="14"/>
          <w:szCs w:val="14"/>
          <w:lang w:val="pt-PT"/>
        </w:rPr>
        <w:tab/>
      </w:r>
    </w:p>
    <w:p w:rsidRPr="00435A6A" w:rsidR="00176A0C" w:rsidP="00176A0C" w:rsidRDefault="00176A0C" w14:paraId="60FF40B1" w14:textId="77777777">
      <w:pPr>
        <w:pStyle w:val="Textonotapie"/>
        <w:tabs>
          <w:tab w:val="left" w:pos="8145"/>
        </w:tabs>
        <w:ind w:firstLine="709"/>
        <w:jc w:val="both"/>
        <w:rPr>
          <w:rFonts w:ascii="Verdana" w:hAnsi="Verdana" w:cs="Arial"/>
          <w:sz w:val="14"/>
          <w:szCs w:val="14"/>
          <w:lang w:val="pt-PT"/>
        </w:rPr>
      </w:pPr>
    </w:p>
  </w:footnote>
  <w:footnote w:id="4">
    <w:p w:rsidRPr="00435A6A" w:rsidR="00176A0C" w:rsidP="00176A0C" w:rsidRDefault="00176A0C" w14:paraId="3B61B8DE" w14:textId="77777777">
      <w:pPr>
        <w:pStyle w:val="Textonotapie"/>
        <w:ind w:firstLine="709"/>
        <w:jc w:val="both"/>
        <w:rPr>
          <w:rFonts w:ascii="Verdana" w:hAnsi="Verdana" w:cs="Arial"/>
          <w:sz w:val="14"/>
          <w:szCs w:val="14"/>
          <w:lang w:val="pt-PT"/>
        </w:rPr>
      </w:pPr>
      <w:r w:rsidRPr="00435A6A">
        <w:rPr>
          <w:rStyle w:val="Refdenotaalpie"/>
          <w:rFonts w:ascii="Verdana" w:hAnsi="Verdana" w:cs="Arial"/>
          <w:sz w:val="14"/>
          <w:szCs w:val="14"/>
        </w:rPr>
        <w:footnoteRef/>
      </w:r>
      <w:r w:rsidRPr="00435A6A">
        <w:rPr>
          <w:rFonts w:ascii="Verdana" w:hAnsi="Verdana" w:cs="Arial"/>
          <w:sz w:val="14"/>
          <w:szCs w:val="14"/>
          <w:lang w:val="pt-PT"/>
        </w:rPr>
        <w:t xml:space="preserve"> </w:t>
      </w:r>
      <w:r w:rsidRPr="00435A6A">
        <w:rPr>
          <w:rFonts w:ascii="Verdana" w:hAnsi="Verdana" w:cs="Arial"/>
          <w:sz w:val="14"/>
          <w:szCs w:val="14"/>
          <w:lang w:val="es-CO"/>
        </w:rPr>
        <w:t>Corte Constitucional. Sentencias: C-233 de 4 de abril de 2002. M.P: Álvaro Tafur Galvis; C-551 de 9 de julio de 2003. M.P: Eduardo Montealegre Lynnet; C-353 de 20 de mayo de 2009. M.P: Jorge Iván Palacio Palacio; C-541 de 30 de junio de 2010. M.P: Gabriel Eduardo Mendoza Martelo; entre otras.</w:t>
      </w:r>
    </w:p>
    <w:p w:rsidRPr="00435A6A" w:rsidR="00176A0C" w:rsidP="00176A0C" w:rsidRDefault="00176A0C" w14:paraId="2EFDEC13" w14:textId="77777777">
      <w:pPr>
        <w:pStyle w:val="Textonotapie"/>
        <w:ind w:firstLine="709"/>
        <w:jc w:val="both"/>
        <w:rPr>
          <w:rFonts w:ascii="Verdana" w:hAnsi="Verdana" w:cs="Arial"/>
          <w:sz w:val="14"/>
          <w:szCs w:val="14"/>
          <w:lang w:val="pt-PT"/>
        </w:rPr>
      </w:pPr>
    </w:p>
  </w:footnote>
  <w:footnote w:id="5">
    <w:p w:rsidRPr="00435A6A" w:rsidR="00176A0C" w:rsidP="00176A0C" w:rsidRDefault="00176A0C" w14:paraId="5E565D0F" w14:textId="77777777">
      <w:pPr>
        <w:pStyle w:val="Textonotapie"/>
        <w:ind w:firstLine="709"/>
        <w:jc w:val="both"/>
        <w:rPr>
          <w:rFonts w:ascii="Verdana" w:hAnsi="Verdana" w:cs="Arial"/>
          <w:sz w:val="14"/>
          <w:szCs w:val="14"/>
          <w:lang w:val="es-CO"/>
        </w:rPr>
      </w:pPr>
      <w:r w:rsidRPr="00435A6A">
        <w:rPr>
          <w:rStyle w:val="Refdenotaalpie"/>
          <w:rFonts w:ascii="Verdana" w:hAnsi="Verdana" w:cs="Arial"/>
          <w:sz w:val="14"/>
          <w:szCs w:val="14"/>
        </w:rPr>
        <w:footnoteRef/>
      </w:r>
      <w:r w:rsidRPr="00435A6A">
        <w:rPr>
          <w:rFonts w:ascii="Verdana" w:hAnsi="Verdana" w:cs="Arial"/>
          <w:sz w:val="14"/>
          <w:szCs w:val="14"/>
          <w:lang w:val="es-CO"/>
        </w:rPr>
        <w:t xml:space="preserve"> Consejo de Estado. Sala de lo Contencioso Administrativo. Sección Primera. Sentencia de 3 de marzo de 2005. Radicado: </w:t>
      </w:r>
      <w:r w:rsidRPr="00435A6A">
        <w:rPr>
          <w:rFonts w:ascii="Verdana" w:hAnsi="Verdana" w:cs="Arial"/>
          <w:sz w:val="14"/>
          <w:szCs w:val="14"/>
          <w:lang w:val="es-ES"/>
        </w:rPr>
        <w:t xml:space="preserve">25001-23-15-000-2004-00823-01 (PI). </w:t>
      </w:r>
      <w:r w:rsidRPr="00435A6A">
        <w:rPr>
          <w:rFonts w:ascii="Verdana" w:hAnsi="Verdana" w:cs="Arial"/>
          <w:sz w:val="14"/>
          <w:szCs w:val="14"/>
          <w:lang w:val="es-CO"/>
        </w:rPr>
        <w:t>C.P: Camilo Arciniegas Andrade. Ver también, de la Sección Tercera. Sentencia de 22 de enero de 2002, expediente número 2001-0148-01 y, Sección Tercera. Sentencia de 20 de noviembre de 2001, expediente número 2001-0130-01(PI), entre otras.</w:t>
      </w:r>
    </w:p>
    <w:p w:rsidRPr="00435A6A" w:rsidR="00176A0C" w:rsidP="00176A0C" w:rsidRDefault="00176A0C" w14:paraId="323CDF38" w14:textId="77777777">
      <w:pPr>
        <w:pStyle w:val="Textonotapie"/>
        <w:ind w:firstLine="709"/>
        <w:jc w:val="both"/>
        <w:rPr>
          <w:rFonts w:ascii="Verdana" w:hAnsi="Verdana" w:cs="Arial"/>
          <w:sz w:val="14"/>
          <w:szCs w:val="14"/>
          <w:lang w:val="es-CO"/>
        </w:rPr>
      </w:pPr>
    </w:p>
  </w:footnote>
  <w:footnote w:id="6">
    <w:p w:rsidRPr="00435A6A" w:rsidR="00176A0C" w:rsidP="00176A0C" w:rsidRDefault="00176A0C" w14:paraId="644C27DB" w14:textId="77777777">
      <w:pPr>
        <w:pStyle w:val="Textonotapie"/>
        <w:ind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Consejo de Estado, Sala de Consulta y Servicio Civil. 24 de julio de 2013. Radicado: </w:t>
      </w:r>
      <w:r w:rsidRPr="00435A6A">
        <w:rPr>
          <w:rFonts w:ascii="Verdana" w:hAnsi="Verdana" w:cs="Arial"/>
          <w:sz w:val="14"/>
          <w:szCs w:val="14"/>
          <w:lang w:val="es-CO"/>
        </w:rPr>
        <w:t xml:space="preserve">11001-03-06-000-2013-00407-00 </w:t>
      </w:r>
      <w:r w:rsidRPr="00435A6A">
        <w:rPr>
          <w:rFonts w:ascii="Verdana" w:hAnsi="Verdana" w:cs="Arial"/>
          <w:sz w:val="14"/>
          <w:szCs w:val="14"/>
        </w:rPr>
        <w:t xml:space="preserve">(2166). C.P. Álvaro Namén Vargas.  </w:t>
      </w:r>
    </w:p>
    <w:p w:rsidRPr="00435A6A" w:rsidR="00176A0C" w:rsidP="00176A0C" w:rsidRDefault="00176A0C" w14:paraId="58A1E575" w14:textId="77777777">
      <w:pPr>
        <w:pStyle w:val="Textonotapie"/>
        <w:ind w:firstLine="709"/>
        <w:jc w:val="both"/>
        <w:rPr>
          <w:rFonts w:ascii="Verdana" w:hAnsi="Verdana" w:cs="Arial"/>
          <w:sz w:val="14"/>
          <w:szCs w:val="14"/>
        </w:rPr>
      </w:pPr>
    </w:p>
  </w:footnote>
  <w:footnote w:id="7">
    <w:p w:rsidRPr="00435A6A" w:rsidR="00176A0C" w:rsidP="00176A0C" w:rsidRDefault="00176A0C" w14:paraId="55EC9EBB" w14:textId="77777777">
      <w:pPr>
        <w:spacing w:after="0" w:line="240" w:lineRule="auto"/>
        <w:ind w:firstLine="709"/>
        <w:jc w:val="both"/>
        <w:rPr>
          <w:rFonts w:ascii="Verdana" w:hAnsi="Verdana" w:eastAsia="Times New Roman"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w:t>
      </w:r>
      <w:bookmarkStart w:name="33" w:id="4"/>
      <w:r w:rsidRPr="00435A6A">
        <w:rPr>
          <w:rFonts w:ascii="Verdana" w:hAnsi="Verdana" w:eastAsia="Calibri" w:cs="Arial"/>
          <w:color w:val="000000"/>
          <w:sz w:val="14"/>
          <w:szCs w:val="14"/>
        </w:rPr>
        <w:t>“</w:t>
      </w:r>
      <w:r w:rsidRPr="00435A6A">
        <w:rPr>
          <w:rFonts w:ascii="Verdana" w:hAnsi="Verdana" w:eastAsia="Times New Roman" w:cs="Arial"/>
          <w:sz w:val="14"/>
          <w:szCs w:val="14"/>
        </w:rPr>
        <w:t>Artículo 33. Restricciones a la contratación pública.</w:t>
      </w:r>
      <w:bookmarkEnd w:id="4"/>
      <w:r w:rsidRPr="00435A6A">
        <w:rPr>
          <w:rFonts w:ascii="Verdana" w:hAnsi="Verdana" w:eastAsia="Times New Roman" w:cs="Arial"/>
          <w:sz w:val="14"/>
          <w:szCs w:val="14"/>
        </w:rPr>
        <w:t> Durante los cuatro (4) meses anteriores a la elección presidencial y hasta la realización de la elección en la segunda vuelta, si fuere el caso, queda prohibida la contratación directa por parte de todos los entes del Estado.</w:t>
      </w:r>
    </w:p>
    <w:p w:rsidRPr="00435A6A" w:rsidR="00176A0C" w:rsidP="00176A0C" w:rsidRDefault="00176A0C" w14:paraId="719254FB" w14:textId="77777777">
      <w:pPr>
        <w:spacing w:after="0" w:line="240" w:lineRule="auto"/>
        <w:ind w:firstLine="709"/>
        <w:jc w:val="both"/>
        <w:rPr>
          <w:rFonts w:ascii="Verdana" w:hAnsi="Verdana" w:eastAsia="Times New Roman" w:cs="Arial"/>
          <w:sz w:val="14"/>
          <w:szCs w:val="14"/>
        </w:rPr>
      </w:pPr>
      <w:r w:rsidRPr="00435A6A">
        <w:rPr>
          <w:rFonts w:ascii="Verdana" w:hAnsi="Verdana" w:eastAsia="Times New Roman" w:cs="Arial"/>
          <w:sz w:val="14"/>
          <w:szCs w:val="14"/>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rsidRPr="00435A6A" w:rsidR="00176A0C" w:rsidP="00176A0C" w:rsidRDefault="00176A0C" w14:paraId="15D3145A" w14:textId="77777777">
      <w:pPr>
        <w:spacing w:after="0" w:line="240" w:lineRule="auto"/>
        <w:ind w:firstLine="709"/>
        <w:jc w:val="both"/>
        <w:rPr>
          <w:rFonts w:ascii="Verdana" w:hAnsi="Verdana" w:eastAsia="Times New Roman" w:cs="Arial"/>
          <w:sz w:val="14"/>
          <w:szCs w:val="14"/>
        </w:rPr>
      </w:pPr>
    </w:p>
  </w:footnote>
  <w:footnote w:id="8">
    <w:p w:rsidRPr="00435A6A" w:rsidR="00176A0C" w:rsidP="00176A0C" w:rsidRDefault="00176A0C" w14:paraId="5DC07B36" w14:textId="77777777">
      <w:pPr>
        <w:pStyle w:val="NormalWeb"/>
        <w:spacing w:before="0" w:beforeAutospacing="0" w:after="0" w:afterAutospacing="0"/>
        <w:ind w:firstLine="709"/>
        <w:jc w:val="both"/>
        <w:rPr>
          <w:rFonts w:ascii="Verdana" w:hAnsi="Verdana" w:cs="Arial"/>
          <w:sz w:val="14"/>
          <w:szCs w:val="14"/>
          <w:lang w:val="es-MX"/>
        </w:rPr>
      </w:pPr>
      <w:r w:rsidRPr="00176A0C">
        <w:rPr>
          <w:rStyle w:val="Refdenotaalpie"/>
          <w:rFonts w:ascii="Verdana" w:hAnsi="Verdana" w:cs="Arial"/>
          <w:sz w:val="14"/>
          <w:szCs w:val="14"/>
        </w:rPr>
        <w:footnoteRef/>
      </w:r>
      <w:r w:rsidRPr="00435A6A">
        <w:rPr>
          <w:rFonts w:ascii="Verdana" w:hAnsi="Verdana" w:cs="Arial"/>
          <w:sz w:val="14"/>
          <w:szCs w:val="14"/>
        </w:rPr>
        <w:t xml:space="preserve"> </w:t>
      </w:r>
      <w:bookmarkStart w:name="38" w:id="5"/>
      <w:r w:rsidRPr="00435A6A">
        <w:rPr>
          <w:rFonts w:ascii="Verdana" w:hAnsi="Verdana" w:eastAsia="Calibri" w:cs="Arial"/>
          <w:color w:val="000000"/>
          <w:sz w:val="14"/>
          <w:szCs w:val="14"/>
        </w:rPr>
        <w:t>“</w:t>
      </w:r>
      <w:r w:rsidRPr="00435A6A">
        <w:rPr>
          <w:rFonts w:ascii="Verdana" w:hAnsi="Verdana" w:cs="Arial"/>
          <w:sz w:val="14"/>
          <w:szCs w:val="14"/>
          <w:lang w:val="es-MX"/>
        </w:rPr>
        <w:t>Artículo 38. Prohibiciones para los servidores públicos. A los empleados del Estado les está prohibido:</w:t>
      </w:r>
      <w:bookmarkEnd w:id="5"/>
    </w:p>
    <w:p w:rsidRPr="00435A6A" w:rsidR="00176A0C" w:rsidP="00176A0C" w:rsidRDefault="00176A0C" w14:paraId="3C43C180" w14:textId="77777777">
      <w:pPr>
        <w:pStyle w:val="NormalWeb"/>
        <w:spacing w:before="0" w:beforeAutospacing="0" w:after="0" w:afterAutospacing="0"/>
        <w:ind w:firstLine="709"/>
        <w:jc w:val="both"/>
        <w:rPr>
          <w:rFonts w:ascii="Verdana" w:hAnsi="Verdana" w:cs="Arial"/>
          <w:sz w:val="14"/>
          <w:szCs w:val="14"/>
          <w:lang w:val="es-MX"/>
        </w:rPr>
      </w:pPr>
      <w:r w:rsidRPr="00435A6A">
        <w:rPr>
          <w:rFonts w:ascii="Verdana" w:hAnsi="Verdana" w:cs="Arial"/>
          <w:sz w:val="14"/>
          <w:szCs w:val="14"/>
          <w:lang w:val="es-MX"/>
        </w:rPr>
        <w:t>(…)</w:t>
      </w:r>
    </w:p>
    <w:p w:rsidRPr="00435A6A" w:rsidR="00176A0C" w:rsidP="00176A0C" w:rsidRDefault="00176A0C" w14:paraId="0E632125" w14:textId="77777777">
      <w:pPr>
        <w:pStyle w:val="NormalWeb"/>
        <w:spacing w:before="0" w:beforeAutospacing="0" w:after="0" w:afterAutospacing="0"/>
        <w:ind w:firstLine="709"/>
        <w:jc w:val="both"/>
        <w:rPr>
          <w:rFonts w:ascii="Verdana" w:hAnsi="Verdana" w:eastAsia="Calibri" w:cs="Arial"/>
          <w:color w:val="000000"/>
          <w:sz w:val="14"/>
          <w:szCs w:val="14"/>
        </w:rPr>
      </w:pPr>
      <w:r w:rsidRPr="00435A6A">
        <w:rPr>
          <w:rStyle w:val="baj"/>
          <w:rFonts w:ascii="Verdana" w:hAnsi="Verdana" w:cs="Arial"/>
          <w:sz w:val="14"/>
          <w:szCs w:val="14"/>
          <w:lang w:val="es-MX"/>
        </w:rPr>
        <w:t>Parágrafo.</w:t>
      </w:r>
      <w:r w:rsidRPr="00435A6A">
        <w:rPr>
          <w:rFonts w:ascii="Verdana" w:hAnsi="Verdana" w:cs="Arial"/>
          <w:sz w:val="14"/>
          <w:szCs w:val="14"/>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435A6A">
        <w:rPr>
          <w:rFonts w:ascii="Verdana" w:hAnsi="Verdana" w:eastAsia="Calibri" w:cs="Arial"/>
          <w:color w:val="000000"/>
          <w:sz w:val="14"/>
          <w:szCs w:val="14"/>
        </w:rPr>
        <w:t>”.</w:t>
      </w:r>
    </w:p>
    <w:p w:rsidRPr="00435A6A" w:rsidR="00176A0C" w:rsidP="00176A0C" w:rsidRDefault="00176A0C" w14:paraId="0BFB5386" w14:textId="77777777">
      <w:pPr>
        <w:pStyle w:val="NormalWeb"/>
        <w:spacing w:before="0" w:beforeAutospacing="0" w:after="0" w:afterAutospacing="0"/>
        <w:ind w:firstLine="709"/>
        <w:jc w:val="both"/>
        <w:rPr>
          <w:rFonts w:ascii="Verdana" w:hAnsi="Verdana" w:cs="Arial"/>
          <w:sz w:val="14"/>
          <w:szCs w:val="14"/>
          <w:lang w:val="es-MX"/>
        </w:rPr>
      </w:pPr>
    </w:p>
  </w:footnote>
  <w:footnote w:id="9">
    <w:p w:rsidRPr="00AA5D69" w:rsidR="00176A0C" w:rsidP="00176A0C" w:rsidRDefault="00176A0C" w14:paraId="43BFEF4E" w14:textId="77777777">
      <w:pPr>
        <w:pStyle w:val="Textonotapie"/>
        <w:ind w:firstLine="708"/>
        <w:jc w:val="both"/>
        <w:rPr>
          <w:rFonts w:ascii="Verdana" w:hAnsi="Verdana" w:cs="Arial"/>
          <w:sz w:val="14"/>
          <w:szCs w:val="14"/>
        </w:rPr>
      </w:pPr>
      <w:r w:rsidRPr="00AA5D69">
        <w:rPr>
          <w:rStyle w:val="Refdenotaalpie"/>
          <w:rFonts w:ascii="Verdana" w:hAnsi="Verdana" w:cs="Arial"/>
          <w:sz w:val="14"/>
          <w:szCs w:val="14"/>
        </w:rPr>
        <w:footnoteRef/>
      </w:r>
      <w:r w:rsidRPr="00AA5D69">
        <w:rPr>
          <w:rFonts w:ascii="Verdana" w:hAnsi="Verdana" w:cs="Arial"/>
          <w:sz w:val="14"/>
          <w:szCs w:val="14"/>
        </w:rPr>
        <w:t xml:space="preserve"> Colombia Compra Eficiente. Circular Externa Única. Numeral 16.5. </w:t>
      </w:r>
    </w:p>
  </w:footnote>
  <w:footnote w:id="10">
    <w:p w:rsidRPr="00435A6A" w:rsidR="00176A0C" w:rsidP="00176A0C" w:rsidRDefault="00176A0C" w14:paraId="354C62F2" w14:textId="77777777">
      <w:pPr>
        <w:tabs>
          <w:tab w:val="left" w:pos="2127"/>
        </w:tabs>
        <w:spacing w:after="0" w:line="240" w:lineRule="auto"/>
        <w:ind w:left="100" w:right="244"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Consejo de Estado. Sala de Consulta y Servicio Civil. Concepto del 17 de febrero de 2015. Radicado: 11001-03-06-000-2015-00164-00 (2269). C.P. William Zambrano Cetina.</w:t>
      </w:r>
    </w:p>
    <w:p w:rsidRPr="00435A6A" w:rsidR="00176A0C" w:rsidP="00176A0C" w:rsidRDefault="00176A0C" w14:paraId="4E7CAF10" w14:textId="77777777">
      <w:pPr>
        <w:spacing w:after="0" w:line="240" w:lineRule="auto"/>
        <w:ind w:left="100" w:right="244" w:firstLine="709"/>
        <w:jc w:val="both"/>
        <w:rPr>
          <w:rFonts w:ascii="Verdana" w:hAnsi="Verdana" w:cs="Arial"/>
          <w:sz w:val="14"/>
          <w:szCs w:val="14"/>
          <w:lang w:val="es-ES"/>
        </w:rPr>
      </w:pPr>
    </w:p>
  </w:footnote>
  <w:footnote w:id="11">
    <w:p w:rsidRPr="00435A6A" w:rsidR="00176A0C" w:rsidP="00176A0C" w:rsidRDefault="00176A0C" w14:paraId="2054C7CA" w14:textId="77777777">
      <w:pPr>
        <w:pStyle w:val="Textonotapie"/>
        <w:ind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w:t>
      </w:r>
      <w:r w:rsidRPr="00435A6A">
        <w:rPr>
          <w:rFonts w:ascii="Verdana" w:hAnsi="Verdana" w:cs="Arial"/>
          <w:sz w:val="14"/>
          <w:szCs w:val="14"/>
          <w:lang w:val="es-ES"/>
        </w:rPr>
        <w:t xml:space="preserve">[25] </w:t>
      </w:r>
      <w:r w:rsidRPr="00435A6A">
        <w:rPr>
          <w:rFonts w:ascii="Verdana" w:hAnsi="Verdana" w:cs="Arial"/>
          <w:sz w:val="14"/>
          <w:szCs w:val="14"/>
        </w:rPr>
        <w:t>Cfr. Consejo de Estado. Sección Tercera. Sentencia de 3 de diciembre de 2007. Radicados: 24.715, 25.206, 25.409, 24.524, 27.834, 25.410, 26.105, 28.244, 31.447 -acumulados-“.</w:t>
      </w:r>
    </w:p>
    <w:p w:rsidRPr="00435A6A" w:rsidR="00176A0C" w:rsidP="00176A0C" w:rsidRDefault="00176A0C" w14:paraId="6F815517" w14:textId="77777777">
      <w:pPr>
        <w:pStyle w:val="Textonotapie"/>
        <w:ind w:firstLine="709"/>
        <w:jc w:val="both"/>
        <w:rPr>
          <w:rFonts w:ascii="Verdana" w:hAnsi="Verdana" w:cs="Arial"/>
          <w:sz w:val="14"/>
          <w:szCs w:val="14"/>
        </w:rPr>
      </w:pPr>
    </w:p>
  </w:footnote>
  <w:footnote w:id="12">
    <w:p w:rsidRPr="00435A6A" w:rsidR="00176A0C" w:rsidP="00176A0C" w:rsidRDefault="00176A0C" w14:paraId="4FAA42D9" w14:textId="77777777">
      <w:pPr>
        <w:pStyle w:val="Textonotapie"/>
        <w:ind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w:t>
      </w:r>
      <w:bookmarkStart w:name="_Hlk74294506" w:id="13"/>
      <w:r w:rsidRPr="00435A6A">
        <w:rPr>
          <w:rFonts w:ascii="Verdana" w:hAnsi="Verdana" w:cs="Arial"/>
          <w:sz w:val="14"/>
          <w:szCs w:val="14"/>
        </w:rPr>
        <w:t>“</w:t>
      </w:r>
      <w:r w:rsidRPr="00435A6A">
        <w:rPr>
          <w:rFonts w:ascii="Verdana" w:hAnsi="Verdana" w:cs="Arial"/>
          <w:sz w:val="14"/>
          <w:szCs w:val="14"/>
          <w:lang w:val="es-ES"/>
        </w:rPr>
        <w:t xml:space="preserve">[26] </w:t>
      </w:r>
      <w:bookmarkEnd w:id="13"/>
      <w:r w:rsidRPr="00435A6A">
        <w:rPr>
          <w:rFonts w:ascii="Verdana" w:hAnsi="Verdana" w:cs="Arial"/>
          <w:sz w:val="14"/>
          <w:szCs w:val="14"/>
        </w:rPr>
        <w:t>Al respecto ver el concepto 1712 de 2 de febrero de 2006. Consejo de Estado Sala de Consulta y Servicio Civil”.</w:t>
      </w:r>
    </w:p>
    <w:p w:rsidRPr="00435A6A" w:rsidR="00176A0C" w:rsidP="00176A0C" w:rsidRDefault="00176A0C" w14:paraId="51D36376" w14:textId="77777777">
      <w:pPr>
        <w:pStyle w:val="Textonotapie"/>
        <w:ind w:firstLine="709"/>
        <w:jc w:val="both"/>
        <w:rPr>
          <w:rFonts w:ascii="Verdana" w:hAnsi="Verdana" w:cs="Arial"/>
          <w:sz w:val="14"/>
          <w:szCs w:val="14"/>
        </w:rPr>
      </w:pPr>
    </w:p>
  </w:footnote>
  <w:footnote w:id="13">
    <w:p w:rsidRPr="00435A6A" w:rsidR="00176A0C" w:rsidP="00176A0C" w:rsidRDefault="00176A0C" w14:paraId="359B7D89" w14:textId="77777777">
      <w:pPr>
        <w:pStyle w:val="Textonotapie"/>
        <w:ind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Consejo de Estado. Sala de Consulta y Servicio Civil. Concepto del 2 de septiembre de 2013. Radicación número: 11001-03-06-000-2013-00412-00 (2168). C.P: Álvaro Namén Vargas.</w:t>
      </w:r>
    </w:p>
    <w:p w:rsidRPr="00435A6A" w:rsidR="00176A0C" w:rsidP="00176A0C" w:rsidRDefault="00176A0C" w14:paraId="292BB82E" w14:textId="77777777">
      <w:pPr>
        <w:pStyle w:val="Textonotapie"/>
        <w:ind w:firstLine="709"/>
        <w:jc w:val="both"/>
        <w:rPr>
          <w:rFonts w:ascii="Verdana" w:hAnsi="Verdana" w:cs="Arial"/>
          <w:sz w:val="14"/>
          <w:szCs w:val="14"/>
        </w:rPr>
      </w:pPr>
    </w:p>
  </w:footnote>
  <w:footnote w:id="14">
    <w:p w:rsidRPr="00435A6A" w:rsidR="00176A0C" w:rsidP="00176A0C" w:rsidRDefault="00176A0C" w14:paraId="0D457429" w14:textId="77777777">
      <w:pPr>
        <w:pStyle w:val="Textonotapie"/>
        <w:ind w:firstLine="709"/>
        <w:rPr>
          <w:rFonts w:ascii="Verdana" w:hAnsi="Verdana" w:cs="Arial"/>
          <w:sz w:val="14"/>
          <w:szCs w:val="14"/>
          <w:lang w:val="es-ES"/>
        </w:rPr>
      </w:pPr>
      <w:r w:rsidRPr="00435A6A">
        <w:rPr>
          <w:rStyle w:val="Refdenotaalpie"/>
          <w:rFonts w:ascii="Verdana" w:hAnsi="Verdana" w:cs="Arial"/>
          <w:sz w:val="14"/>
          <w:szCs w:val="14"/>
        </w:rPr>
        <w:footnoteRef/>
      </w:r>
      <w:r w:rsidRPr="00435A6A">
        <w:rPr>
          <w:rFonts w:ascii="Verdana" w:hAnsi="Verdana" w:cs="Arial"/>
          <w:sz w:val="14"/>
          <w:szCs w:val="14"/>
        </w:rPr>
        <w:t xml:space="preserve"> </w:t>
      </w:r>
      <w:r w:rsidRPr="00435A6A">
        <w:rPr>
          <w:rFonts w:ascii="Verdana" w:hAnsi="Verdana" w:cs="Arial"/>
          <w:sz w:val="14"/>
          <w:szCs w:val="14"/>
          <w:lang w:val="es-ES"/>
        </w:rPr>
        <w:t xml:space="preserve">Artículo 2. </w:t>
      </w:r>
    </w:p>
    <w:p w:rsidRPr="00435A6A" w:rsidR="00176A0C" w:rsidP="00176A0C" w:rsidRDefault="00176A0C" w14:paraId="3C860C41" w14:textId="77777777">
      <w:pPr>
        <w:pStyle w:val="Textonotapie"/>
        <w:ind w:firstLine="709"/>
        <w:rPr>
          <w:rFonts w:ascii="Verdana" w:hAnsi="Verdana" w:cs="Arial"/>
          <w:sz w:val="14"/>
          <w:szCs w:val="14"/>
          <w:lang w:val="es-ES"/>
        </w:rPr>
      </w:pPr>
    </w:p>
  </w:footnote>
  <w:footnote w:id="15">
    <w:p w:rsidR="00176A0C" w:rsidP="00176A0C" w:rsidRDefault="00176A0C" w14:paraId="7D90FEC3" w14:textId="77777777">
      <w:pPr>
        <w:pStyle w:val="Textonotapie"/>
        <w:ind w:firstLine="709"/>
        <w:rPr>
          <w:rFonts w:ascii="Verdana" w:hAnsi="Verdana" w:cs="Arial"/>
          <w:sz w:val="14"/>
          <w:szCs w:val="14"/>
          <w:lang w:val="es-ES"/>
        </w:rPr>
      </w:pPr>
      <w:r w:rsidRPr="00435A6A">
        <w:rPr>
          <w:rStyle w:val="Refdenotaalpie"/>
          <w:rFonts w:ascii="Verdana" w:hAnsi="Verdana" w:cs="Arial"/>
          <w:sz w:val="14"/>
          <w:szCs w:val="14"/>
        </w:rPr>
        <w:footnoteRef/>
      </w:r>
      <w:r w:rsidRPr="00435A6A">
        <w:rPr>
          <w:rFonts w:ascii="Verdana" w:hAnsi="Verdana" w:cs="Arial"/>
          <w:sz w:val="14"/>
          <w:szCs w:val="14"/>
        </w:rPr>
        <w:t xml:space="preserve"> </w:t>
      </w:r>
      <w:r w:rsidRPr="00435A6A">
        <w:rPr>
          <w:rFonts w:ascii="Verdana" w:hAnsi="Verdana" w:cs="Arial"/>
          <w:i/>
          <w:sz w:val="14"/>
          <w:szCs w:val="14"/>
          <w:lang w:val="es-ES"/>
        </w:rPr>
        <w:t>Ídem</w:t>
      </w:r>
      <w:r w:rsidRPr="00435A6A">
        <w:rPr>
          <w:rFonts w:ascii="Verdana" w:hAnsi="Verdana" w:cs="Arial"/>
          <w:sz w:val="14"/>
          <w:szCs w:val="14"/>
          <w:lang w:val="es-ES"/>
        </w:rPr>
        <w:t>.</w:t>
      </w:r>
    </w:p>
    <w:p w:rsidRPr="00435A6A" w:rsidR="00176A0C" w:rsidP="00176A0C" w:rsidRDefault="00176A0C" w14:paraId="3E8A8749" w14:textId="77777777">
      <w:pPr>
        <w:pStyle w:val="Textonotapie"/>
        <w:ind w:firstLine="709"/>
        <w:rPr>
          <w:rFonts w:ascii="Verdana" w:hAnsi="Verdana" w:cs="Arial"/>
          <w:sz w:val="14"/>
          <w:szCs w:val="14"/>
          <w:lang w:val="es-ES"/>
        </w:rPr>
      </w:pPr>
    </w:p>
  </w:footnote>
  <w:footnote w:id="16">
    <w:p w:rsidRPr="00435A6A" w:rsidR="00176A0C" w:rsidP="00176A0C" w:rsidRDefault="00176A0C" w14:paraId="6374CC84" w14:textId="77777777">
      <w:pPr>
        <w:pStyle w:val="Textonotapie"/>
        <w:ind w:firstLine="709"/>
        <w:rPr>
          <w:rFonts w:ascii="Verdana" w:hAnsi="Verdana" w:cs="Arial"/>
          <w:sz w:val="14"/>
          <w:szCs w:val="14"/>
          <w:lang w:val="es-ES"/>
        </w:rPr>
      </w:pPr>
      <w:r w:rsidRPr="00435A6A">
        <w:rPr>
          <w:rStyle w:val="Refdenotaalpie"/>
          <w:rFonts w:ascii="Verdana" w:hAnsi="Verdana" w:cs="Arial"/>
          <w:sz w:val="14"/>
          <w:szCs w:val="14"/>
        </w:rPr>
        <w:footnoteRef/>
      </w:r>
      <w:r w:rsidRPr="00435A6A">
        <w:rPr>
          <w:rStyle w:val="Refdenotaalpie"/>
          <w:rFonts w:ascii="Verdana" w:hAnsi="Verdana" w:cs="Arial"/>
          <w:sz w:val="14"/>
          <w:szCs w:val="14"/>
        </w:rPr>
        <w:t xml:space="preserve"> </w:t>
      </w:r>
      <w:r w:rsidRPr="00435A6A">
        <w:rPr>
          <w:rFonts w:ascii="Verdana" w:hAnsi="Verdana" w:cs="Arial"/>
          <w:sz w:val="14"/>
          <w:szCs w:val="14"/>
          <w:lang w:val="es-ES"/>
        </w:rPr>
        <w:t xml:space="preserve">[…] A este respecto, cabe recordar que el artículo 860 del Código de Comercio regula la licitación en el derecho privado. </w:t>
      </w:r>
    </w:p>
    <w:p w:rsidRPr="00435A6A" w:rsidR="00176A0C" w:rsidP="00176A0C" w:rsidRDefault="00176A0C" w14:paraId="12D6CB5B" w14:textId="77777777">
      <w:pPr>
        <w:pStyle w:val="Textonotapie"/>
        <w:ind w:firstLine="709"/>
        <w:rPr>
          <w:rFonts w:ascii="Verdana" w:hAnsi="Verdana" w:cs="Arial"/>
          <w:sz w:val="14"/>
          <w:szCs w:val="14"/>
          <w:lang w:val="es-ES"/>
        </w:rPr>
      </w:pPr>
    </w:p>
  </w:footnote>
  <w:footnote w:id="17">
    <w:p w:rsidRPr="00435A6A" w:rsidR="00176A0C" w:rsidP="00176A0C" w:rsidRDefault="00176A0C" w14:paraId="55442F02" w14:textId="77777777">
      <w:pPr>
        <w:shd w:val="clear" w:color="auto" w:fill="FFFFFF"/>
        <w:spacing w:after="0" w:line="240" w:lineRule="auto"/>
        <w:ind w:firstLine="709"/>
        <w:jc w:val="both"/>
        <w:rPr>
          <w:rFonts w:ascii="Verdana" w:hAnsi="Verdana" w:cs="Arial"/>
          <w:sz w:val="14"/>
          <w:szCs w:val="14"/>
          <w:lang w:val="es-ES"/>
        </w:rPr>
      </w:pPr>
      <w:r w:rsidRPr="00435A6A">
        <w:rPr>
          <w:rStyle w:val="Refdenotaalpie"/>
          <w:rFonts w:ascii="Verdana" w:hAnsi="Verdana" w:cs="Arial"/>
          <w:sz w:val="14"/>
          <w:szCs w:val="14"/>
        </w:rPr>
        <w:footnoteRef/>
      </w:r>
      <w:r w:rsidRPr="00435A6A">
        <w:rPr>
          <w:rStyle w:val="Refdenotaalpie"/>
          <w:rFonts w:ascii="Verdana" w:hAnsi="Verdana" w:cs="Arial"/>
          <w:sz w:val="14"/>
          <w:szCs w:val="14"/>
        </w:rPr>
        <w:t xml:space="preserve"> </w:t>
      </w:r>
      <w:r w:rsidRPr="00435A6A">
        <w:rPr>
          <w:rFonts w:ascii="Verdana" w:hAnsi="Verdana" w:cs="Arial"/>
          <w:sz w:val="14"/>
          <w:szCs w:val="14"/>
          <w:lang w:val="es-ES"/>
        </w:rPr>
        <w:t>Consejo de Estado. Sala de Consulta y Servicio Civil, Concepto de 8 de mayo de 2018. Radicación Número: 11001-03-06-000-2018-00095-00 (2382). C.P: Álvaro Namén Vargas.</w:t>
      </w:r>
    </w:p>
    <w:p w:rsidRPr="00435A6A" w:rsidR="00176A0C" w:rsidP="00176A0C" w:rsidRDefault="00176A0C" w14:paraId="33CC4E79" w14:textId="77777777">
      <w:pPr>
        <w:shd w:val="clear" w:color="auto" w:fill="FFFFFF"/>
        <w:spacing w:after="0" w:line="240" w:lineRule="auto"/>
        <w:ind w:firstLine="709"/>
        <w:jc w:val="both"/>
        <w:rPr>
          <w:rFonts w:ascii="Verdana" w:hAnsi="Verdana" w:cs="Arial"/>
          <w:sz w:val="14"/>
          <w:szCs w:val="14"/>
          <w:lang w:val="es-ES"/>
        </w:rPr>
      </w:pPr>
    </w:p>
  </w:footnote>
  <w:footnote w:id="18">
    <w:p w:rsidRPr="00435A6A" w:rsidR="00176A0C" w:rsidP="00176A0C" w:rsidRDefault="00176A0C" w14:paraId="3FEB3D44" w14:textId="77777777">
      <w:pPr>
        <w:pStyle w:val="Textonotapie"/>
        <w:ind w:firstLine="709"/>
        <w:jc w:val="both"/>
        <w:rPr>
          <w:rFonts w:ascii="Verdana" w:hAnsi="Verdana" w:cs="Arial"/>
          <w:sz w:val="14"/>
          <w:szCs w:val="14"/>
        </w:rPr>
      </w:pPr>
      <w:r w:rsidRPr="00435A6A">
        <w:rPr>
          <w:rStyle w:val="Refdenotaalpie"/>
          <w:rFonts w:ascii="Verdana" w:hAnsi="Verdana" w:cs="Arial"/>
          <w:sz w:val="14"/>
          <w:szCs w:val="14"/>
        </w:rPr>
        <w:footnoteRef/>
      </w:r>
      <w:r w:rsidRPr="00435A6A">
        <w:rPr>
          <w:rFonts w:ascii="Verdana" w:hAnsi="Verdana" w:cs="Arial"/>
          <w:sz w:val="14"/>
          <w:szCs w:val="14"/>
        </w:rPr>
        <w:t xml:space="preserve"> Consejo de Estado. Sala de Consulta y Servicio Civil. Concepto del 08 de mayo de 2018. Exp. 2.382. C.P. Álvaro Namén Vargas.</w:t>
      </w:r>
    </w:p>
    <w:p w:rsidRPr="00435A6A" w:rsidR="00176A0C" w:rsidP="00176A0C" w:rsidRDefault="00176A0C" w14:paraId="3E9A3438" w14:textId="77777777">
      <w:pPr>
        <w:pStyle w:val="Textonotapie"/>
        <w:ind w:firstLine="709"/>
        <w:jc w:val="both"/>
        <w:rPr>
          <w:rFonts w:ascii="Verdana" w:hAnsi="Verdana" w:cs="Arial"/>
          <w:sz w:val="14"/>
          <w:szCs w:val="14"/>
        </w:rPr>
      </w:pPr>
    </w:p>
  </w:footnote>
  <w:footnote w:id="19">
    <w:p w:rsidRPr="00AD17FF" w:rsidR="00176A0C" w:rsidP="00176A0C" w:rsidRDefault="00176A0C" w14:paraId="3CD20C01" w14:textId="77777777">
      <w:pPr>
        <w:pStyle w:val="Textonotapie"/>
        <w:ind w:firstLine="709"/>
        <w:rPr>
          <w:rFonts w:ascii="Verdana" w:hAnsi="Verdana"/>
          <w:sz w:val="14"/>
          <w:szCs w:val="14"/>
          <w:lang w:val="es-ES"/>
        </w:rPr>
      </w:pPr>
      <w:r w:rsidRPr="00AD17FF">
        <w:rPr>
          <w:rStyle w:val="Refdenotaalpie"/>
          <w:rFonts w:ascii="Verdana" w:hAnsi="Verdana"/>
          <w:sz w:val="14"/>
          <w:szCs w:val="14"/>
        </w:rPr>
        <w:footnoteRef/>
      </w:r>
      <w:r w:rsidRPr="00AD17FF">
        <w:rPr>
          <w:rFonts w:ascii="Verdana" w:hAnsi="Verdana"/>
          <w:sz w:val="14"/>
          <w:szCs w:val="14"/>
        </w:rPr>
        <w:t xml:space="preserve"> </w:t>
      </w:r>
      <w:r w:rsidRPr="00AD17FF">
        <w:rPr>
          <w:rFonts w:ascii="Verdana" w:hAnsi="Verdana"/>
          <w:sz w:val="14"/>
          <w:szCs w:val="14"/>
          <w:lang w:val="es-ES"/>
        </w:rPr>
        <w:t xml:space="preserve">Agencia Nacional de Contratación Pública. Circular Externa 006 del 25 de septiembre de 2025. Disponible en </w:t>
      </w:r>
      <w:hyperlink w:history="1" r:id="rId1">
        <w:r w:rsidRPr="00AD17FF">
          <w:rPr>
            <w:rStyle w:val="Hipervnculo"/>
            <w:rFonts w:ascii="Verdana" w:hAnsi="Verdana"/>
            <w:sz w:val="14"/>
            <w:szCs w:val="14"/>
            <w:lang w:val="es-CO"/>
          </w:rPr>
          <w:t>006-de-2025-Circular-Externa-L996-ajustado-comentarios-BM-BID-Rev-ARSC-V3.d-1.pdf</w:t>
        </w:r>
      </w:hyperlink>
    </w:p>
    <w:p w:rsidRPr="00AD17FF" w:rsidR="00176A0C" w:rsidP="00176A0C" w:rsidRDefault="00176A0C" w14:paraId="61235D06" w14:textId="77777777">
      <w:pPr>
        <w:pStyle w:val="Textonotapie"/>
        <w:rPr>
          <w:rFonts w:ascii="Verdana" w:hAnsi="Verdana"/>
          <w:sz w:val="14"/>
          <w:szCs w:val="14"/>
          <w:lang w:val="es-ES"/>
        </w:rPr>
      </w:pPr>
    </w:p>
  </w:footnote>
  <w:footnote w:id="20">
    <w:p w:rsidRPr="00176A0C" w:rsidR="00176A0C" w:rsidP="00176A0C" w:rsidRDefault="00176A0C" w14:paraId="24B4A724" w14:textId="77777777">
      <w:pPr>
        <w:spacing w:after="0" w:line="240" w:lineRule="auto"/>
        <w:ind w:firstLine="709"/>
        <w:jc w:val="both"/>
        <w:rPr>
          <w:rFonts w:ascii="Verdana" w:hAnsi="Verdana" w:cs="Arial"/>
          <w:color w:val="000000"/>
          <w:sz w:val="14"/>
          <w:szCs w:val="14"/>
        </w:rPr>
      </w:pPr>
      <w:r w:rsidRPr="00176A0C">
        <w:rPr>
          <w:rStyle w:val="Refdenotaalpie"/>
          <w:rFonts w:ascii="Verdana" w:hAnsi="Verdana" w:cs="Arial"/>
          <w:color w:val="000000"/>
          <w:sz w:val="14"/>
          <w:szCs w:val="14"/>
        </w:rPr>
        <w:footnoteRef/>
      </w:r>
      <w:r w:rsidRPr="00176A0C">
        <w:rPr>
          <w:rFonts w:ascii="Verdana" w:hAnsi="Verdana" w:cs="Arial"/>
          <w:color w:val="000000"/>
          <w:sz w:val="14"/>
          <w:szCs w:val="14"/>
        </w:rPr>
        <w:t xml:space="preserve"> Consejo de Estado. Sala de Consulta y Servicio Civil. Concepto de 20 de febrero de 2006. Radicación Número: 11001-03-06-000-2006-00026-00 (1727). C.P: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p w:rsidRPr="00176A0C" w:rsidR="00176A0C" w:rsidP="00176A0C" w:rsidRDefault="00176A0C" w14:paraId="417CE280" w14:textId="77777777">
      <w:pPr>
        <w:spacing w:after="0" w:line="240" w:lineRule="auto"/>
        <w:ind w:firstLine="709"/>
        <w:jc w:val="both"/>
        <w:rPr>
          <w:rFonts w:ascii="Verdana" w:hAnsi="Verdana" w:cs="Arial"/>
          <w:color w:val="000000"/>
          <w:sz w:val="14"/>
          <w:szCs w:val="14"/>
        </w:rPr>
      </w:pPr>
    </w:p>
  </w:footnote>
  <w:footnote w:id="21">
    <w:p w:rsidRPr="00176A0C" w:rsidR="00176A0C" w:rsidP="00176A0C" w:rsidRDefault="00176A0C" w14:paraId="6F0A1AD8" w14:textId="77777777">
      <w:pPr>
        <w:pStyle w:val="Textonotapie"/>
        <w:ind w:firstLine="709"/>
        <w:jc w:val="both"/>
        <w:rPr>
          <w:rFonts w:ascii="Verdana" w:hAnsi="Verdana" w:eastAsia="Times New Roman" w:cs="Arial"/>
          <w:color w:val="000000"/>
          <w:sz w:val="14"/>
          <w:szCs w:val="14"/>
          <w:lang w:eastAsia="x-none"/>
        </w:rPr>
      </w:pPr>
      <w:r w:rsidRPr="00176A0C">
        <w:rPr>
          <w:rStyle w:val="Refdenotaalpie"/>
          <w:rFonts w:ascii="Verdana" w:hAnsi="Verdana" w:cs="Arial"/>
          <w:color w:val="000000"/>
          <w:sz w:val="14"/>
          <w:szCs w:val="14"/>
        </w:rPr>
        <w:footnoteRef/>
      </w:r>
      <w:r w:rsidRPr="00176A0C">
        <w:rPr>
          <w:rFonts w:ascii="Verdana" w:hAnsi="Verdana" w:cs="Arial"/>
          <w:color w:val="000000"/>
          <w:sz w:val="14"/>
          <w:szCs w:val="14"/>
        </w:rPr>
        <w:t xml:space="preserve"> Consejo de Estado. Sala de Consulta y Servicio Civil. Concepto de 6 de abril de 2006. Radicación Número: 11001-03-06-000-2006-00038-00 (1738). C.P: Enrique José Arboleda Perdomo:</w:t>
      </w:r>
      <w:r w:rsidRPr="00176A0C">
        <w:rPr>
          <w:rFonts w:ascii="Verdana" w:hAnsi="Verdana" w:eastAsia="Times New Roman" w:cs="Arial"/>
          <w:color w:val="000000"/>
          <w:sz w:val="14"/>
          <w:szCs w:val="14"/>
          <w:lang w:eastAsia="x-none"/>
        </w:rPr>
        <w:t xml:space="preserve"> </w:t>
      </w:r>
      <w:bookmarkStart w:name="_Hlk97890572" w:id="17"/>
      <w:r w:rsidRPr="00176A0C">
        <w:rPr>
          <w:rFonts w:ascii="Verdana" w:hAnsi="Verdana" w:eastAsia="Times New Roman" w:cs="Arial"/>
          <w:color w:val="000000"/>
          <w:sz w:val="14"/>
          <w:szCs w:val="14"/>
          <w:lang w:eastAsia="x-none"/>
        </w:rPr>
        <w:t>“</w:t>
      </w:r>
      <w:r w:rsidRPr="00176A0C">
        <w:rPr>
          <w:rFonts w:ascii="Verdana" w:hAnsi="Verdana" w:cs="Arial"/>
          <w:color w:val="000000"/>
          <w:sz w:val="14"/>
          <w:szCs w:val="14"/>
        </w:rPr>
        <w:t xml:space="preserve">Si bien en el tema del concepto del que se extractaron </w:t>
      </w:r>
      <w:bookmarkEnd w:id="17"/>
      <w:r w:rsidRPr="00176A0C">
        <w:rPr>
          <w:rFonts w:ascii="Verdana" w:hAnsi="Verdana" w:cs="Arial"/>
          <w:color w:val="000000"/>
          <w:sz w:val="14"/>
          <w:szCs w:val="14"/>
        </w:rPr>
        <w:t>los párrafos transcritos, se hacía referencia a las empresas de servicios públicos domiciliarios mixtas, la explicación dada cobija también a las empresas industriales y comerciales del estado y a las de crédito, pues todas ellas hacen parte de la definición de administración pública de la ley 489 de 1998, y además encajan dentro de la noción de todos los entes del Estado que trae la ley 996 de 2005 en el artículo 33, de manera que no es lógico pretender exonerarse de ésta prohibición alegando un régimen especial de los actos o contratos</w:t>
      </w:r>
      <w:r w:rsidRPr="00176A0C">
        <w:rPr>
          <w:rFonts w:ascii="Verdana" w:hAnsi="Verdana" w:eastAsia="Times New Roman" w:cs="Arial"/>
          <w:color w:val="000000"/>
          <w:sz w:val="14"/>
          <w:szCs w:val="14"/>
          <w:lang w:eastAsia="x-none"/>
        </w:rPr>
        <w:t>”.</w:t>
      </w:r>
    </w:p>
    <w:p w:rsidRPr="00176A0C" w:rsidR="00176A0C" w:rsidP="00176A0C" w:rsidRDefault="00176A0C" w14:paraId="71B4C235" w14:textId="77777777">
      <w:pPr>
        <w:pStyle w:val="Textonotapie"/>
        <w:ind w:firstLine="709"/>
        <w:jc w:val="both"/>
        <w:rPr>
          <w:rFonts w:ascii="Verdana" w:hAnsi="Verdana" w:cs="Arial"/>
          <w:color w:val="000000"/>
          <w:sz w:val="14"/>
          <w:szCs w:val="14"/>
        </w:rPr>
      </w:pPr>
    </w:p>
  </w:footnote>
  <w:footnote w:id="22">
    <w:p w:rsidRPr="00176A0C" w:rsidR="00176A0C" w:rsidP="00176A0C" w:rsidRDefault="00176A0C" w14:paraId="3E8B6144" w14:textId="77777777">
      <w:pPr>
        <w:spacing w:after="0" w:line="240" w:lineRule="auto"/>
        <w:ind w:firstLine="709"/>
        <w:jc w:val="both"/>
        <w:rPr>
          <w:rFonts w:ascii="Verdana" w:hAnsi="Verdana" w:cs="Arial"/>
          <w:color w:val="000000"/>
          <w:sz w:val="14"/>
          <w:szCs w:val="14"/>
        </w:rPr>
      </w:pPr>
      <w:r w:rsidRPr="00176A0C">
        <w:rPr>
          <w:rStyle w:val="Refdenotaalpie"/>
          <w:rFonts w:ascii="Verdana" w:hAnsi="Verdana" w:cs="Arial"/>
          <w:color w:val="000000"/>
          <w:sz w:val="14"/>
          <w:szCs w:val="14"/>
        </w:rPr>
        <w:footnoteRef/>
      </w:r>
      <w:r w:rsidRPr="00176A0C">
        <w:rPr>
          <w:rFonts w:ascii="Verdana" w:hAnsi="Verdana" w:cs="Arial"/>
          <w:color w:val="000000"/>
          <w:sz w:val="14"/>
          <w:szCs w:val="14"/>
        </w:rPr>
        <w:t xml:space="preserve"> Consejo de Estado. Sala de Consulta y Servicio Civil. Concepto de 6 de abril de 2006. Radicación Número: 11001-03-06-000-2006-00038-00(1738). C.P: Enrique José Arboleda Perdomo. </w:t>
      </w:r>
    </w:p>
    <w:p w:rsidRPr="00176A0C" w:rsidR="00176A0C" w:rsidP="00176A0C" w:rsidRDefault="00176A0C" w14:paraId="041F4AD8" w14:textId="77777777">
      <w:pPr>
        <w:spacing w:after="0" w:line="240" w:lineRule="auto"/>
        <w:ind w:firstLine="709"/>
        <w:jc w:val="both"/>
        <w:rPr>
          <w:rFonts w:ascii="Verdana" w:hAnsi="Verdana" w:cs="Arial"/>
          <w:color w:val="000000"/>
          <w:sz w:val="14"/>
          <w:szCs w:val="14"/>
        </w:rPr>
      </w:pPr>
    </w:p>
  </w:footnote>
  <w:footnote w:id="23">
    <w:p w:rsidRPr="00176A0C" w:rsidR="00176A0C" w:rsidP="00176A0C" w:rsidRDefault="00176A0C" w14:paraId="3F86EB7A" w14:textId="77777777">
      <w:pPr>
        <w:pStyle w:val="Textonotapie"/>
        <w:ind w:firstLine="709"/>
        <w:rPr>
          <w:rFonts w:ascii="Verdana" w:hAnsi="Verdana" w:cs="Arial"/>
          <w:color w:val="000000"/>
          <w:sz w:val="14"/>
          <w:szCs w:val="14"/>
        </w:rPr>
      </w:pPr>
      <w:r w:rsidRPr="00176A0C">
        <w:rPr>
          <w:rStyle w:val="Refdenotaalpie"/>
          <w:rFonts w:ascii="Verdana" w:hAnsi="Verdana" w:cs="Arial"/>
          <w:color w:val="000000"/>
          <w:sz w:val="14"/>
          <w:szCs w:val="14"/>
        </w:rPr>
        <w:footnoteRef/>
      </w:r>
      <w:r w:rsidRPr="00176A0C">
        <w:rPr>
          <w:rFonts w:ascii="Verdana" w:hAnsi="Verdana" w:cs="Arial"/>
          <w:color w:val="000000"/>
          <w:sz w:val="14"/>
          <w:szCs w:val="14"/>
        </w:rPr>
        <w:t xml:space="preserve"> Consejo de Estado. Sala de Consulta y Servicio Civil, ídem.</w:t>
      </w:r>
    </w:p>
    <w:p w:rsidRPr="00176A0C" w:rsidR="00176A0C" w:rsidP="00176A0C" w:rsidRDefault="00176A0C" w14:paraId="36048B33" w14:textId="77777777">
      <w:pPr>
        <w:pStyle w:val="Textonotapie"/>
        <w:ind w:firstLine="709"/>
        <w:rPr>
          <w:rFonts w:ascii="Verdana" w:hAnsi="Verdana" w:cs="Arial"/>
          <w:color w:val="000000"/>
          <w:sz w:val="14"/>
          <w:szCs w:val="14"/>
        </w:rPr>
      </w:pPr>
    </w:p>
  </w:footnote>
  <w:footnote w:id="24">
    <w:p w:rsidR="00176A0C" w:rsidP="00176A0C" w:rsidRDefault="00176A0C" w14:paraId="675D023C" w14:textId="77777777">
      <w:pPr>
        <w:pStyle w:val="Textonotapie"/>
        <w:ind w:firstLine="709"/>
        <w:jc w:val="both"/>
        <w:rPr>
          <w:rFonts w:ascii="Verdana" w:hAnsi="Verdana" w:cs="Arial"/>
          <w:sz w:val="14"/>
          <w:szCs w:val="14"/>
        </w:rPr>
      </w:pPr>
      <w:r w:rsidRPr="00FB5770">
        <w:rPr>
          <w:rStyle w:val="Refdenotaalpie"/>
          <w:rFonts w:ascii="Verdana" w:hAnsi="Verdana" w:cs="Arial"/>
          <w:sz w:val="14"/>
          <w:szCs w:val="14"/>
        </w:rPr>
        <w:footnoteRef/>
      </w:r>
      <w:r w:rsidRPr="00FB5770">
        <w:rPr>
          <w:rFonts w:ascii="Verdana" w:hAnsi="Verdana" w:cs="Arial"/>
          <w:sz w:val="14"/>
          <w:szCs w:val="14"/>
        </w:rPr>
        <w:t xml:space="preserve"> La Corte Constitucional mediante Sentencia C-1153-05 de 11 de noviembre de 2005, Magistrado Ponente Marco Gerardo Monroy Cabra, efectuó el Control constitucional al Proyecto de Ley Estatutaria N° 216/05 Senado, N° 235-Cámara que dio lugar a la Ley de Garantías Electorales.</w:t>
      </w:r>
    </w:p>
    <w:p w:rsidRPr="00FB5770" w:rsidR="00176A0C" w:rsidP="00176A0C" w:rsidRDefault="00176A0C" w14:paraId="762BA869" w14:textId="77777777">
      <w:pPr>
        <w:pStyle w:val="Textonotapie"/>
        <w:ind w:firstLine="709"/>
        <w:jc w:val="both"/>
        <w:rPr>
          <w:rFonts w:ascii="Verdana" w:hAnsi="Verdana" w:cs="Arial"/>
          <w:sz w:val="14"/>
          <w:szCs w:val="14"/>
        </w:rPr>
      </w:pPr>
    </w:p>
  </w:footnote>
  <w:footnote w:id="25">
    <w:p w:rsidR="00176A0C" w:rsidP="00176A0C" w:rsidRDefault="00176A0C" w14:paraId="03E8C493" w14:textId="77777777">
      <w:pPr>
        <w:pStyle w:val="Textonotapie"/>
        <w:ind w:firstLine="708"/>
        <w:jc w:val="both"/>
        <w:rPr>
          <w:rFonts w:ascii="Verdana" w:hAnsi="Verdana" w:cs="Arial"/>
          <w:sz w:val="14"/>
          <w:szCs w:val="14"/>
        </w:rPr>
      </w:pPr>
      <w:r w:rsidRPr="00FB5770">
        <w:rPr>
          <w:rStyle w:val="Refdenotaalpie"/>
          <w:rFonts w:ascii="Verdana" w:hAnsi="Verdana" w:cs="Arial"/>
          <w:sz w:val="14"/>
          <w:szCs w:val="14"/>
        </w:rPr>
        <w:footnoteRef/>
      </w:r>
      <w:r w:rsidRPr="00FB5770">
        <w:rPr>
          <w:rFonts w:ascii="Verdana" w:hAnsi="Verdana" w:cs="Arial"/>
          <w:sz w:val="14"/>
          <w:szCs w:val="14"/>
        </w:rPr>
        <w:t xml:space="preserve"> Consejo de Estado. Sala de Consulta y Servicio Civil. Concepto del 18 de febrero 2010. Rad. 11001-03-06-000-2010-00006-00 (1985). C.P. Enrique José Arboleda Perdomo.</w:t>
      </w:r>
    </w:p>
    <w:p w:rsidRPr="00FB5770" w:rsidR="00176A0C" w:rsidP="00176A0C" w:rsidRDefault="00176A0C" w14:paraId="13C9FBC5" w14:textId="77777777">
      <w:pPr>
        <w:pStyle w:val="Textonotapie"/>
        <w:ind w:firstLine="708"/>
        <w:jc w:val="both"/>
        <w:rPr>
          <w:rFonts w:ascii="Verdana" w:hAnsi="Verdana" w:cs="Arial"/>
          <w:sz w:val="14"/>
          <w:szCs w:val="14"/>
        </w:rPr>
      </w:pPr>
    </w:p>
  </w:footnote>
  <w:footnote w:id="26">
    <w:p w:rsidRPr="00FB5770" w:rsidR="00176A0C" w:rsidP="00176A0C" w:rsidRDefault="00176A0C" w14:paraId="46CC692A" w14:textId="77777777">
      <w:pPr>
        <w:pStyle w:val="Textonotapie"/>
        <w:ind w:firstLine="708"/>
        <w:jc w:val="both"/>
        <w:rPr>
          <w:rFonts w:ascii="Verdana" w:hAnsi="Verdana" w:cs="Arial"/>
          <w:sz w:val="14"/>
          <w:szCs w:val="14"/>
        </w:rPr>
      </w:pPr>
      <w:r w:rsidRPr="00FB5770">
        <w:rPr>
          <w:rStyle w:val="Refdenotaalpie"/>
          <w:rFonts w:ascii="Verdana" w:hAnsi="Verdana" w:cs="Arial"/>
          <w:sz w:val="14"/>
          <w:szCs w:val="14"/>
        </w:rPr>
        <w:footnoteRef/>
      </w:r>
      <w:r w:rsidRPr="00FB5770">
        <w:rPr>
          <w:rFonts w:ascii="Verdana" w:hAnsi="Verdana" w:cs="Arial"/>
          <w:sz w:val="14"/>
          <w:szCs w:val="14"/>
        </w:rPr>
        <w:t xml:space="preserve"> Corte Constitucional. Sentencia C-1153 de 2005 M.P. Marco Gerardo Monroy Cabra. </w:t>
      </w:r>
    </w:p>
    <w:p w:rsidRPr="00FB5770" w:rsidR="00176A0C" w:rsidP="00176A0C" w:rsidRDefault="00176A0C" w14:paraId="2AEB5DBB" w14:textId="77777777">
      <w:pPr>
        <w:pStyle w:val="Textonotapie"/>
        <w:ind w:firstLine="708"/>
        <w:jc w:val="both"/>
        <w:rPr>
          <w:rFonts w:ascii="Verdana" w:hAnsi="Verdana" w:cs="Arial"/>
          <w:sz w:val="14"/>
          <w:szCs w:val="14"/>
        </w:rPr>
      </w:pPr>
    </w:p>
  </w:footnote>
  <w:footnote w:id="27">
    <w:p w:rsidR="00176A0C" w:rsidP="00176A0C" w:rsidRDefault="00176A0C" w14:paraId="227790DF" w14:textId="77777777">
      <w:pPr>
        <w:pStyle w:val="Textonotapie"/>
        <w:ind w:firstLine="709"/>
        <w:contextualSpacing/>
        <w:jc w:val="both"/>
        <w:rPr>
          <w:rFonts w:ascii="Verdana" w:hAnsi="Verdana" w:cs="Arial"/>
          <w:sz w:val="14"/>
          <w:szCs w:val="14"/>
        </w:rPr>
      </w:pPr>
      <w:r w:rsidRPr="00FB5770">
        <w:rPr>
          <w:rStyle w:val="Refdenotaalpie"/>
          <w:rFonts w:ascii="Verdana" w:hAnsi="Verdana"/>
          <w:sz w:val="14"/>
          <w:szCs w:val="14"/>
        </w:rPr>
        <w:footnoteRef/>
      </w:r>
      <w:r w:rsidRPr="00FB5770">
        <w:rPr>
          <w:rFonts w:ascii="Verdana" w:hAnsi="Verdana"/>
          <w:sz w:val="14"/>
          <w:szCs w:val="14"/>
        </w:rPr>
        <w:t xml:space="preserve"> </w:t>
      </w:r>
      <w:r w:rsidRPr="00FB5770">
        <w:rPr>
          <w:rFonts w:ascii="Verdana" w:hAnsi="Verdana" w:cs="Arial"/>
          <w:sz w:val="14"/>
          <w:szCs w:val="14"/>
        </w:rPr>
        <w:t>Consejo de Estado. Sala de lo Contencioso Administrativo. Sección Tercera. Sentencia del 21 de febrero de 2025. Exp. 68.280. CP: José Roberto Sáchica Méndez.</w:t>
      </w:r>
    </w:p>
    <w:p w:rsidRPr="009D0D83" w:rsidR="00176A0C" w:rsidP="00176A0C" w:rsidRDefault="00176A0C" w14:paraId="5FFD8EDB" w14:textId="77777777">
      <w:pPr>
        <w:pStyle w:val="Textonotapie"/>
        <w:ind w:firstLine="709"/>
        <w:contextualSpacing/>
        <w:jc w:val="both"/>
        <w:rPr>
          <w:rFonts w:ascii="Verdana" w:hAnsi="Verdana" w:cs="Arial"/>
          <w:sz w:val="16"/>
          <w:szCs w:val="16"/>
        </w:rPr>
      </w:pPr>
    </w:p>
  </w:footnote>
  <w:footnote w:id="28">
    <w:p w:rsidRPr="00FB5770" w:rsidR="00176A0C" w:rsidP="00176A0C" w:rsidRDefault="00176A0C" w14:paraId="1D5E4B37" w14:textId="77777777">
      <w:pPr>
        <w:pStyle w:val="Textonotapie"/>
        <w:ind w:firstLine="709"/>
        <w:contextualSpacing/>
        <w:jc w:val="both"/>
        <w:rPr>
          <w:rFonts w:ascii="Verdana" w:hAnsi="Verdana" w:cs="Arial"/>
          <w:sz w:val="14"/>
          <w:szCs w:val="14"/>
        </w:rPr>
      </w:pPr>
      <w:r w:rsidRPr="00FB5770">
        <w:rPr>
          <w:rFonts w:ascii="Verdana" w:hAnsi="Verdana"/>
          <w:sz w:val="14"/>
          <w:szCs w:val="14"/>
          <w:vertAlign w:val="superscript"/>
        </w:rPr>
        <w:footnoteRef/>
      </w:r>
      <w:r w:rsidRPr="00FB5770">
        <w:rPr>
          <w:rFonts w:ascii="Verdana" w:hAnsi="Verdana"/>
          <w:sz w:val="14"/>
          <w:szCs w:val="14"/>
          <w:vertAlign w:val="superscript"/>
        </w:rPr>
        <w:t xml:space="preserve"> </w:t>
      </w:r>
      <w:r w:rsidRPr="00FB5770">
        <w:rPr>
          <w:rFonts w:ascii="Verdana" w:hAnsi="Verdana" w:cs="Arial"/>
          <w:sz w:val="14"/>
          <w:szCs w:val="14"/>
        </w:rPr>
        <w:t>Ley 1150 de 2007: Artículo 2, numeral 4, literal c. […] 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w:t>
      </w:r>
    </w:p>
    <w:p w:rsidRPr="00FB5770" w:rsidR="00176A0C" w:rsidP="00176A0C" w:rsidRDefault="00176A0C" w14:paraId="457846C9" w14:textId="77777777">
      <w:pPr>
        <w:pStyle w:val="Textonotapie"/>
        <w:ind w:firstLine="709"/>
        <w:contextualSpacing/>
        <w:jc w:val="both"/>
        <w:rPr>
          <w:rFonts w:ascii="Verdana" w:hAnsi="Verdana" w:cs="Arial"/>
          <w:sz w:val="14"/>
          <w:szCs w:val="14"/>
        </w:rPr>
      </w:pPr>
    </w:p>
  </w:footnote>
  <w:footnote w:id="29">
    <w:p w:rsidRPr="00FB5770" w:rsidR="00176A0C" w:rsidP="00176A0C" w:rsidRDefault="00176A0C" w14:paraId="324063A3" w14:textId="77777777">
      <w:pPr>
        <w:pStyle w:val="Textonotapie"/>
        <w:ind w:firstLine="709"/>
        <w:contextualSpacing/>
        <w:jc w:val="both"/>
        <w:rPr>
          <w:rFonts w:ascii="Verdana" w:hAnsi="Verdana" w:cs="Arial"/>
          <w:sz w:val="14"/>
          <w:szCs w:val="14"/>
        </w:rPr>
      </w:pPr>
      <w:r w:rsidRPr="00FB5770">
        <w:rPr>
          <w:rFonts w:ascii="Verdana" w:hAnsi="Verdana"/>
          <w:sz w:val="14"/>
          <w:szCs w:val="14"/>
          <w:vertAlign w:val="superscript"/>
        </w:rPr>
        <w:footnoteRef/>
      </w:r>
      <w:r w:rsidRPr="00FB5770">
        <w:rPr>
          <w:rFonts w:ascii="Verdana" w:hAnsi="Verdana" w:cs="Arial"/>
          <w:sz w:val="14"/>
          <w:szCs w:val="14"/>
          <w:vertAlign w:val="superscript"/>
        </w:rPr>
        <w:t xml:space="preserve"> </w:t>
      </w:r>
      <w:r w:rsidRPr="00FB5770">
        <w:rPr>
          <w:rFonts w:ascii="Verdana" w:hAnsi="Verdana" w:cs="Arial"/>
          <w:sz w:val="14"/>
          <w:szCs w:val="14"/>
        </w:rPr>
        <w:t>Ley 80 de 1993: “Artículo 41. Del perfeccionamiento del contrato. Los contratos del Estado se perfeccionan cuando se logre acuerdo sobre el objeto y la contraprestación y éste se eleve a escrito.</w:t>
      </w:r>
    </w:p>
    <w:p w:rsidRPr="00FB5770" w:rsidR="00176A0C" w:rsidP="00176A0C" w:rsidRDefault="00176A0C" w14:paraId="6B3B3D27" w14:textId="77777777">
      <w:pPr>
        <w:pStyle w:val="Textonotapie"/>
        <w:ind w:firstLine="709"/>
        <w:contextualSpacing/>
        <w:jc w:val="both"/>
        <w:rPr>
          <w:rFonts w:ascii="Verdana" w:hAnsi="Verdana" w:cs="Arial"/>
          <w:sz w:val="14"/>
          <w:szCs w:val="14"/>
        </w:rPr>
      </w:pPr>
    </w:p>
  </w:footnote>
  <w:footnote w:id="30">
    <w:p w:rsidRPr="00FB5770" w:rsidR="00176A0C" w:rsidP="00176A0C" w:rsidRDefault="00176A0C" w14:paraId="5AA5F24F" w14:textId="77777777">
      <w:pPr>
        <w:pStyle w:val="Textonotapie"/>
        <w:ind w:firstLine="709"/>
        <w:contextualSpacing/>
        <w:jc w:val="both"/>
        <w:rPr>
          <w:rFonts w:ascii="Verdana" w:hAnsi="Verdana" w:cs="Arial"/>
          <w:sz w:val="14"/>
          <w:szCs w:val="14"/>
        </w:rPr>
      </w:pPr>
      <w:r w:rsidRPr="00FB5770">
        <w:rPr>
          <w:rFonts w:ascii="Verdana" w:hAnsi="Verdana"/>
          <w:sz w:val="14"/>
          <w:szCs w:val="14"/>
          <w:vertAlign w:val="superscript"/>
        </w:rPr>
        <w:footnoteRef/>
      </w:r>
      <w:r w:rsidRPr="00FB5770">
        <w:rPr>
          <w:rFonts w:ascii="Verdana" w:hAnsi="Verdana" w:cs="Arial"/>
          <w:sz w:val="14"/>
          <w:szCs w:val="14"/>
          <w:vertAlign w:val="superscript"/>
        </w:rPr>
        <w:t xml:space="preserve"> </w:t>
      </w:r>
      <w:r w:rsidRPr="00FB5770">
        <w:rPr>
          <w:rFonts w:ascii="Verdana" w:hAnsi="Verdana" w:cs="Arial"/>
          <w:sz w:val="14"/>
          <w:szCs w:val="14"/>
        </w:rPr>
        <w:t>Código Civil: “Artículo 27. Cuando el sentido de la ley sea claro, no se desatenderá su tenor a pretexto de consultar su espíritu”.</w:t>
      </w:r>
    </w:p>
  </w:footnote>
  <w:footnote w:id="31">
    <w:p w:rsidRPr="00FB5770" w:rsidR="00176A0C" w:rsidP="00176A0C" w:rsidRDefault="00176A0C" w14:paraId="2B4DA554" w14:textId="77777777">
      <w:pPr>
        <w:pStyle w:val="Textonotapie"/>
        <w:ind w:firstLine="708"/>
        <w:jc w:val="both"/>
        <w:rPr>
          <w:rFonts w:ascii="Verdana" w:hAnsi="Verdana"/>
          <w:sz w:val="14"/>
          <w:szCs w:val="14"/>
          <w:lang w:val="es-ES"/>
        </w:rPr>
      </w:pPr>
      <w:r w:rsidRPr="00FB5770">
        <w:rPr>
          <w:rStyle w:val="Refdenotaalpie"/>
          <w:rFonts w:ascii="Verdana" w:hAnsi="Verdana"/>
          <w:sz w:val="14"/>
          <w:szCs w:val="14"/>
        </w:rPr>
        <w:footnoteRef/>
      </w:r>
      <w:r w:rsidRPr="00FB5770">
        <w:rPr>
          <w:rFonts w:ascii="Verdana" w:hAnsi="Verdana"/>
          <w:sz w:val="14"/>
          <w:szCs w:val="14"/>
        </w:rPr>
        <w:t xml:space="preserve"> </w:t>
      </w:r>
      <w:r w:rsidRPr="00FB5770">
        <w:rPr>
          <w:rFonts w:ascii="Verdana" w:hAnsi="Verdana"/>
          <w:sz w:val="14"/>
          <w:szCs w:val="14"/>
          <w:lang w:val="es-ES"/>
        </w:rPr>
        <w:t xml:space="preserve">La doctrina chilena ilustra su aplicación en los siguientes términos: “La ley se ha de entender general e indistintamente. Cuando la ley no hace excepción alguna, pudiendo haberla hecho, no podemos separarnos de su disposición general por medio de una distinción que ella no ha formulado. </w:t>
      </w:r>
      <w:r w:rsidRPr="00FB5770">
        <w:rPr>
          <w:rFonts w:ascii="Verdana" w:hAnsi="Verdana"/>
          <w:i/>
          <w:iCs/>
          <w:sz w:val="14"/>
          <w:szCs w:val="14"/>
          <w:lang w:val="es-ES"/>
        </w:rPr>
        <w:t>Ubi lex non distinguit nec nos distinguere debemus</w:t>
      </w:r>
      <w:r w:rsidRPr="00FB5770">
        <w:rPr>
          <w:rFonts w:ascii="Verdana" w:hAnsi="Verdana"/>
          <w:sz w:val="14"/>
          <w:szCs w:val="14"/>
          <w:lang w:val="es-ES"/>
        </w:rPr>
        <w:t>, ‘donde la ley no distingue no puede el hombre distinguir’. ‘La extensión que deba dársele a la ley se determinará por su genuino sentido y según las reglas de interpretación precedentes’, dice el artículo 23.</w:t>
      </w:r>
    </w:p>
    <w:p w:rsidR="00176A0C" w:rsidP="00176A0C" w:rsidRDefault="00176A0C" w14:paraId="5CCC5F2E" w14:textId="77777777">
      <w:pPr>
        <w:pStyle w:val="Textonotapie"/>
        <w:ind w:firstLine="708"/>
        <w:jc w:val="both"/>
        <w:rPr>
          <w:rFonts w:ascii="Verdana" w:hAnsi="Verdana"/>
          <w:sz w:val="14"/>
          <w:szCs w:val="14"/>
        </w:rPr>
      </w:pPr>
      <w:r w:rsidRPr="00FB5770">
        <w:rPr>
          <w:rFonts w:ascii="Verdana" w:hAnsi="Verdana"/>
          <w:sz w:val="14"/>
          <w:szCs w:val="14"/>
          <w:lang w:val="es-ES"/>
        </w:rPr>
        <w:t xml:space="preserve">En el derecho antiguo y en el derecho canónico se distinguían las leyes en favorables y odiosas, para ampliar o restringir su interpretación. </w:t>
      </w:r>
      <w:r w:rsidRPr="00FB5770">
        <w:rPr>
          <w:rFonts w:ascii="Verdana" w:hAnsi="Verdana"/>
          <w:i/>
          <w:iCs/>
          <w:sz w:val="14"/>
          <w:szCs w:val="14"/>
          <w:lang w:val="es-ES"/>
        </w:rPr>
        <w:t>Odia restringí et favores convenit ampliari</w:t>
      </w:r>
      <w:r w:rsidRPr="00FB5770">
        <w:rPr>
          <w:rFonts w:ascii="Verdana" w:hAnsi="Verdana"/>
          <w:sz w:val="14"/>
          <w:szCs w:val="14"/>
          <w:lang w:val="es-ES"/>
        </w:rPr>
        <w:t xml:space="preserve">. Según esto se tomaban las palabras en su más amplia y extensa significación en materia favorable y se procuraba limitar en lo posible, en caso de duda, en materia odiosa. Estas reglas de aplicación de las leyes eran contrarias a los principios de una correcta interpretación, que no tiene otro objeto que reconstruir el pensamiento del legislador y llegar por este medio al conocimiento completo de la ley. Por este motivo el Código no las admite […]” (Cfr. </w:t>
      </w:r>
      <w:r w:rsidRPr="00FB5770">
        <w:rPr>
          <w:rFonts w:ascii="Verdana" w:hAnsi="Verdana"/>
          <w:sz w:val="14"/>
          <w:szCs w:val="14"/>
        </w:rPr>
        <w:t>CLARO SOLAR, Luis. Explicaciones de derecho civil chileno y comparado. Volumen I. Tomo I. Santiago: Editorial Jurídica de Chile, 2013. p. 119. Énfasis dentro del texto).</w:t>
      </w:r>
    </w:p>
    <w:p w:rsidRPr="00FB5770" w:rsidR="00176A0C" w:rsidP="00176A0C" w:rsidRDefault="00176A0C" w14:paraId="276C557C" w14:textId="77777777">
      <w:pPr>
        <w:pStyle w:val="Textonotapie"/>
        <w:ind w:firstLine="708"/>
        <w:jc w:val="both"/>
        <w:rPr>
          <w:rFonts w:ascii="Verdana" w:hAnsi="Verdana"/>
          <w:sz w:val="14"/>
          <w:szCs w:val="14"/>
          <w:lang w:val="es-CO"/>
        </w:rPr>
      </w:pPr>
    </w:p>
  </w:footnote>
  <w:footnote w:id="32">
    <w:p w:rsidRPr="00FB5770" w:rsidR="00176A0C" w:rsidP="00176A0C" w:rsidRDefault="00176A0C" w14:paraId="02182D7F" w14:textId="77777777">
      <w:pPr>
        <w:spacing w:after="0" w:line="240" w:lineRule="auto"/>
        <w:ind w:firstLine="709"/>
        <w:jc w:val="both"/>
        <w:rPr>
          <w:rFonts w:ascii="Verdana" w:hAnsi="Verdana" w:cs="Arial"/>
          <w:sz w:val="14"/>
          <w:szCs w:val="14"/>
          <w:lang w:eastAsia="es-ES"/>
        </w:rPr>
      </w:pPr>
      <w:r w:rsidRPr="00FB5770">
        <w:rPr>
          <w:rStyle w:val="Refdenotaalpie"/>
          <w:rFonts w:ascii="Verdana" w:hAnsi="Verdana"/>
          <w:sz w:val="14"/>
          <w:szCs w:val="14"/>
        </w:rPr>
        <w:footnoteRef/>
      </w:r>
      <w:r w:rsidRPr="00FB5770">
        <w:rPr>
          <w:rFonts w:ascii="Verdana" w:hAnsi="Verdana"/>
          <w:sz w:val="14"/>
          <w:szCs w:val="14"/>
        </w:rPr>
        <w:t xml:space="preserve"> Consejo de Estado. Sala de lo Contencioso Administrativo. Sección Tercera. Subsección B. Auto del 4 de octubre de 2024. Exp. 70.313. C.P: Fredy Ibarra Martínez.</w:t>
      </w:r>
    </w:p>
    <w:p w:rsidRPr="00FB5770" w:rsidR="00176A0C" w:rsidP="00176A0C" w:rsidRDefault="00176A0C" w14:paraId="7496247F" w14:textId="77777777">
      <w:pPr>
        <w:pStyle w:val="Textonotapie"/>
        <w:ind w:firstLine="709"/>
        <w:contextualSpacing/>
        <w:jc w:val="both"/>
        <w:rPr>
          <w:rFonts w:ascii="Verdana" w:hAnsi="Verdana"/>
          <w:sz w:val="14"/>
          <w:szCs w:val="14"/>
          <w:lang w:val="es-CO"/>
        </w:rPr>
      </w:pPr>
    </w:p>
  </w:footnote>
  <w:footnote w:id="33">
    <w:p w:rsidRPr="00FB5770" w:rsidR="00176A0C" w:rsidP="00176A0C" w:rsidRDefault="00176A0C" w14:paraId="3F03014B" w14:textId="77777777">
      <w:pPr>
        <w:pStyle w:val="Textonotapie"/>
        <w:ind w:firstLine="709"/>
        <w:contextualSpacing/>
        <w:jc w:val="both"/>
        <w:rPr>
          <w:rFonts w:ascii="Verdana" w:hAnsi="Verdana"/>
          <w:sz w:val="14"/>
          <w:szCs w:val="14"/>
          <w:lang w:val="es-CO"/>
        </w:rPr>
      </w:pPr>
      <w:r w:rsidRPr="00FB5770">
        <w:rPr>
          <w:rStyle w:val="Refdenotaalpie"/>
          <w:rFonts w:ascii="Verdana" w:hAnsi="Verdana"/>
          <w:sz w:val="14"/>
          <w:szCs w:val="14"/>
        </w:rPr>
        <w:footnoteRef/>
      </w:r>
      <w:r w:rsidRPr="00FB5770">
        <w:rPr>
          <w:rFonts w:ascii="Verdana" w:hAnsi="Verdana"/>
          <w:sz w:val="14"/>
          <w:szCs w:val="14"/>
        </w:rPr>
        <w:t xml:space="preserve"> La parte resolutiva del auto dispone lo siguiente; “</w:t>
      </w:r>
      <w:r w:rsidRPr="00FB5770">
        <w:rPr>
          <w:rFonts w:ascii="Verdana" w:hAnsi="Verdana"/>
          <w:b/>
          <w:sz w:val="14"/>
          <w:szCs w:val="14"/>
          <w:lang w:val="es-CO"/>
        </w:rPr>
        <w:t xml:space="preserve">PRIMERO: DECRETAR </w:t>
      </w:r>
      <w:r w:rsidRPr="00FB5770">
        <w:rPr>
          <w:rFonts w:ascii="Verdana" w:hAnsi="Verdana"/>
          <w:sz w:val="14"/>
          <w:szCs w:val="14"/>
          <w:lang w:val="es-CO"/>
        </w:rPr>
        <w:t xml:space="preserve">la suspensión provisional de los apartes cuestionados del inciso segundo del numeral 16.2 de la Circular Externa única, versión 3 del 27 de diciembre de 2023, expedida por la Agencia Nacional de Contratación Pública – Colombia Compra Eficiente, según el cual </w:t>
      </w:r>
      <w:r w:rsidRPr="00FB5770">
        <w:rPr>
          <w:rFonts w:ascii="Verdana" w:hAnsi="Verdana"/>
          <w:i/>
          <w:sz w:val="14"/>
          <w:szCs w:val="14"/>
          <w:lang w:val="es-CO"/>
        </w:rPr>
        <w:t>“[e]sta restricción es aplicable (…) como a los contratos interadministrativos, toda vez que, al no existir definición legal que diferencie el concepto de convenio del concepto de contrato, la denominación prevista por la Ley 80 de 1993 y la Ley 1150 de 2007 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figuras jurídicas”</w:t>
      </w:r>
      <w:r w:rsidRPr="00FB5770">
        <w:rPr>
          <w:rFonts w:ascii="Verdana" w:hAnsi="Verdana"/>
          <w:sz w:val="14"/>
          <w:szCs w:val="14"/>
          <w:lang w:val="es-CO"/>
        </w:rPr>
        <w:t xml:space="preserve">, por las razones expuestas en precedencia. </w:t>
      </w:r>
    </w:p>
    <w:p w:rsidR="00176A0C" w:rsidP="00176A0C" w:rsidRDefault="00176A0C" w14:paraId="71556D0A" w14:textId="77777777">
      <w:pPr>
        <w:pStyle w:val="Textonotapie"/>
        <w:ind w:firstLine="709"/>
        <w:contextualSpacing/>
        <w:jc w:val="both"/>
        <w:rPr>
          <w:rFonts w:ascii="Verdana" w:hAnsi="Verdana"/>
          <w:sz w:val="16"/>
          <w:szCs w:val="16"/>
          <w:lang w:val="es-CO"/>
        </w:rPr>
      </w:pPr>
      <w:r w:rsidRPr="00FB5770">
        <w:rPr>
          <w:rFonts w:ascii="Verdana" w:hAnsi="Verdana"/>
          <w:b/>
          <w:sz w:val="14"/>
          <w:szCs w:val="14"/>
          <w:lang w:val="es-CO"/>
        </w:rPr>
        <w:t xml:space="preserve">SEGUNDO: DECRETAR </w:t>
      </w:r>
      <w:r w:rsidRPr="00FB5770">
        <w:rPr>
          <w:rFonts w:ascii="Verdana" w:hAnsi="Verdana"/>
          <w:sz w:val="14"/>
          <w:szCs w:val="14"/>
          <w:lang w:val="es-CO"/>
        </w:rPr>
        <w:t>la suspensión provisional de la expresión “</w:t>
      </w:r>
      <w:r w:rsidRPr="00FB5770">
        <w:rPr>
          <w:rFonts w:ascii="Verdana" w:hAnsi="Verdana"/>
          <w:i/>
          <w:sz w:val="14"/>
          <w:szCs w:val="14"/>
          <w:lang w:val="es-CO"/>
        </w:rPr>
        <w:t>contratos</w:t>
      </w:r>
      <w:r w:rsidRPr="00FB5770">
        <w:rPr>
          <w:rFonts w:ascii="Verdana" w:hAnsi="Verdana"/>
          <w:sz w:val="14"/>
          <w:szCs w:val="14"/>
          <w:lang w:val="es-CO"/>
        </w:rPr>
        <w:t xml:space="preserve">” y del párrafo </w:t>
      </w:r>
      <w:r w:rsidRPr="00FB5770">
        <w:rPr>
          <w:rFonts w:ascii="Verdana" w:hAnsi="Verdana"/>
          <w:i/>
          <w:sz w:val="14"/>
          <w:szCs w:val="14"/>
          <w:lang w:val="es-CO"/>
        </w:rPr>
        <w:t>“[e]n este sentido, la prohibición que establece el parágrafo del artículo 38 de la Ley de Garantías consiste en evitar que los recursos del Estado se ejecuten para lograr apoyos indebidos mediante la suscripción de contratos (…) que, para efectos de la Ley de Garantías, tienen la misma connotación y propósito</w:t>
      </w:r>
      <w:r w:rsidRPr="00FB5770">
        <w:rPr>
          <w:rFonts w:ascii="Verdana" w:hAnsi="Verdana"/>
          <w:sz w:val="14"/>
          <w:szCs w:val="14"/>
          <w:lang w:val="es-CO"/>
        </w:rPr>
        <w:t>”, contenidos en el inciso cuarto del numeral 16.2 de la Circular Externa única, versión 3 del 27 de diciembre de 2023, expedida por la Agencia Nacional de Contratación Pública – Colombia Compra Eficiente, por las razones expuestas de manera precedente”. Consejo de Estado, Sección Tercera. Auto del 6 de noviembre de 2025. Exp. 72.424. C.P: Fernando Alexei Pardo Flórez.</w:t>
      </w:r>
      <w:r w:rsidRPr="009D0D83">
        <w:rPr>
          <w:rFonts w:ascii="Verdana" w:hAnsi="Verdana"/>
          <w:sz w:val="16"/>
          <w:szCs w:val="16"/>
          <w:lang w:val="es-CO"/>
        </w:rPr>
        <w:t xml:space="preserve"> </w:t>
      </w:r>
    </w:p>
    <w:p w:rsidRPr="009D0D83" w:rsidR="00176A0C" w:rsidP="00176A0C" w:rsidRDefault="00176A0C" w14:paraId="75450DD1" w14:textId="77777777">
      <w:pPr>
        <w:pStyle w:val="Textonotapie"/>
        <w:ind w:firstLine="709"/>
        <w:contextualSpacing/>
        <w:jc w:val="both"/>
        <w:rPr>
          <w:rFonts w:ascii="Verdana" w:hAnsi="Verdana"/>
          <w:sz w:val="16"/>
          <w:szCs w:val="16"/>
          <w:lang w:val="es-CO"/>
        </w:rPr>
      </w:pPr>
    </w:p>
  </w:footnote>
  <w:footnote w:id="34">
    <w:p w:rsidR="00176A0C" w:rsidP="00176A0C" w:rsidRDefault="00176A0C" w14:paraId="75300E6C" w14:textId="77777777">
      <w:pPr>
        <w:spacing w:after="0" w:line="240" w:lineRule="auto"/>
        <w:ind w:firstLine="709"/>
        <w:contextualSpacing/>
        <w:jc w:val="both"/>
        <w:rPr>
          <w:rFonts w:ascii="Verdana" w:hAnsi="Verdana" w:eastAsia="Times New Roman" w:cs="Times New Roman"/>
          <w:sz w:val="14"/>
          <w:szCs w:val="14"/>
          <w:lang w:eastAsia="es-ES"/>
        </w:rPr>
      </w:pPr>
      <w:r w:rsidRPr="00FB5770">
        <w:rPr>
          <w:rStyle w:val="Refdenotaalpie"/>
          <w:rFonts w:ascii="Verdana" w:hAnsi="Verdana"/>
          <w:sz w:val="14"/>
          <w:szCs w:val="14"/>
        </w:rPr>
        <w:footnoteRef/>
      </w:r>
      <w:r w:rsidRPr="00FB5770">
        <w:rPr>
          <w:rFonts w:ascii="Verdana" w:hAnsi="Verdana"/>
          <w:sz w:val="14"/>
          <w:szCs w:val="14"/>
        </w:rPr>
        <w:t xml:space="preserve"> </w:t>
      </w:r>
      <w:r w:rsidRPr="00FB5770">
        <w:rPr>
          <w:rFonts w:ascii="Verdana" w:hAnsi="Verdana" w:eastAsia="Times New Roman" w:cs="Times New Roman"/>
          <w:sz w:val="14"/>
          <w:szCs w:val="14"/>
          <w:lang w:eastAsia="es-ES"/>
        </w:rPr>
        <w:t xml:space="preserve">Consejo de Estado. </w:t>
      </w:r>
      <w:r>
        <w:rPr>
          <w:rFonts w:ascii="Verdana" w:hAnsi="Verdana" w:eastAsia="Times New Roman" w:cs="Times New Roman"/>
          <w:sz w:val="14"/>
          <w:szCs w:val="14"/>
          <w:lang w:eastAsia="es-ES"/>
        </w:rPr>
        <w:t xml:space="preserve">Sala de lo Contencioso Administrativo. </w:t>
      </w:r>
      <w:r w:rsidRPr="00FB5770">
        <w:rPr>
          <w:rFonts w:ascii="Verdana" w:hAnsi="Verdana" w:eastAsia="Times New Roman" w:cs="Times New Roman"/>
          <w:sz w:val="14"/>
          <w:szCs w:val="14"/>
          <w:lang w:eastAsia="es-ES"/>
        </w:rPr>
        <w:t xml:space="preserve">Sección Tercera. Subsección B. 17 de octubre de 2025. C.P. Fredy Ibarra Martínez. </w:t>
      </w:r>
      <w:r w:rsidRPr="00FB5770">
        <w:rPr>
          <w:rFonts w:ascii="Verdana" w:hAnsi="Verdana"/>
          <w:sz w:val="14"/>
          <w:szCs w:val="14"/>
        </w:rPr>
        <w:t xml:space="preserve">La parte de la providencia señala: </w:t>
      </w:r>
      <w:r w:rsidRPr="00FB5770">
        <w:rPr>
          <w:rFonts w:ascii="Verdana" w:hAnsi="Verdana" w:eastAsia="Times New Roman" w:cs="Times New Roman"/>
          <w:sz w:val="14"/>
          <w:szCs w:val="14"/>
          <w:lang w:eastAsia="es-ES"/>
        </w:rPr>
        <w:t>Declárase la nulidad parcial del numeral 16.2 de la Circular Externa Única de 2022 expedida por la Agencia Nacional de Contratación Pública -Colombia Compra Eficiente-, concretamente, de los siguientes apartes normativos: i) el inciso tercero que dispone: “Esta restricción es aplicable tanto a los convenios como a los contratos interadministrativos, toda vez que, al no existir definición legal que diferencie el concepto de convenio del concepto de contrato, la denominación prevista por la Ley 80 de 1993 y la Ley 1150 de 2007 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figuras jurídicas” y, ii) la expresión y el siguiente párrafo contenidos en el inciso quinto “contratos” y “En este sentido, la prohibición que establece el parágrafo del artículo 38 de la Ley de Garantías consiste en evitar que los recursos del Estado se ejecuten para lograr apoyos indebidos mediante la suscripción de contratos y/o convenios, que, para efectos de la Ley de Garantías, tienen la misma connotación y propósito”.</w:t>
      </w:r>
    </w:p>
    <w:p w:rsidRPr="00FB5770" w:rsidR="00176A0C" w:rsidP="00176A0C" w:rsidRDefault="00176A0C" w14:paraId="4FA63D0B" w14:textId="77777777">
      <w:pPr>
        <w:spacing w:after="0" w:line="240" w:lineRule="auto"/>
        <w:ind w:firstLine="709"/>
        <w:contextualSpacing/>
        <w:jc w:val="both"/>
        <w:rPr>
          <w:rFonts w:ascii="Verdana" w:hAnsi="Verdana" w:eastAsia="Times New Roman" w:cs="Times New Roman"/>
          <w:sz w:val="14"/>
          <w:szCs w:val="14"/>
          <w:lang w:eastAsia="es-ES"/>
        </w:rPr>
      </w:pPr>
    </w:p>
  </w:footnote>
  <w:footnote w:id="35">
    <w:p w:rsidRPr="00FB5770" w:rsidR="00176A0C" w:rsidP="00176A0C" w:rsidRDefault="00176A0C" w14:paraId="3780B9EB" w14:textId="77777777">
      <w:pPr>
        <w:pStyle w:val="Textonotapie"/>
        <w:ind w:firstLine="709"/>
        <w:jc w:val="both"/>
        <w:rPr>
          <w:rFonts w:ascii="Verdana" w:hAnsi="Verdana"/>
          <w:sz w:val="14"/>
          <w:szCs w:val="14"/>
          <w:lang w:val="es-CO"/>
        </w:rPr>
      </w:pPr>
      <w:r w:rsidRPr="00FB5770">
        <w:rPr>
          <w:rStyle w:val="Refdenotaalpie"/>
          <w:rFonts w:ascii="Verdana" w:hAnsi="Verdana"/>
          <w:sz w:val="14"/>
          <w:szCs w:val="14"/>
        </w:rPr>
        <w:footnoteRef/>
      </w:r>
      <w:r w:rsidRPr="00FB5770">
        <w:rPr>
          <w:rFonts w:ascii="Verdana" w:hAnsi="Verdana"/>
          <w:sz w:val="14"/>
          <w:szCs w:val="14"/>
        </w:rPr>
        <w:t xml:space="preserve"> No obstante lo anterior, es importante mencionar que aún se encuentra por definir la demanda de nulidad simple, identificada con el Radicado número 11001-03-26-000-2025-00016-00, en la cual se cuestiona parcialmente el numeral 16.2 de la Circular Externa Única CCE-EICP-MA-06, Versión 03 del 27 de diciembre de 2023.</w:t>
      </w:r>
    </w:p>
  </w:footnote>
  <w:footnote w:id="36">
    <w:p w:rsidRPr="006A09E3" w:rsidR="00176A0C" w:rsidP="00176A0C" w:rsidRDefault="00176A0C" w14:paraId="60694DED" w14:textId="77777777">
      <w:pPr>
        <w:pStyle w:val="Textonotapie"/>
        <w:ind w:firstLine="709"/>
        <w:rPr>
          <w:rFonts w:ascii="Verdana" w:hAnsi="Verdana"/>
          <w:sz w:val="14"/>
          <w:szCs w:val="14"/>
        </w:rPr>
      </w:pPr>
      <w:r w:rsidRPr="006A09E3">
        <w:rPr>
          <w:rStyle w:val="Refdenotaalpie"/>
          <w:rFonts w:ascii="Verdana" w:hAnsi="Verdana"/>
          <w:sz w:val="14"/>
          <w:szCs w:val="14"/>
        </w:rPr>
        <w:footnoteRef/>
      </w:r>
      <w:r w:rsidRPr="006A09E3">
        <w:rPr>
          <w:rFonts w:ascii="Verdana" w:hAnsi="Verdana"/>
          <w:sz w:val="14"/>
          <w:szCs w:val="14"/>
        </w:rPr>
        <w:t xml:space="preserve"> Esto en el entendido de la posición de la Agencia Nacional descrito en la presente comunicación.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56841" w:rsidP="00844AE9" w:rsidRDefault="009D3058" w14:paraId="435F4D03" w14:textId="0903BF04">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rsidR="00756841" w:rsidRDefault="00756841" w14:paraId="1BE2B9AE" w14:textId="4B94DB3B">
    <w:pPr>
      <w:pStyle w:val="Encabezado"/>
    </w:pPr>
  </w:p>
  <w:p w:rsidRPr="004A305D" w:rsidR="004A305D" w:rsidP="00B01B1A" w:rsidRDefault="004A305D" w14:paraId="5E18350A" w14:textId="705F7B76">
    <w:pPr>
      <w:spacing w:after="0" w:line="120" w:lineRule="auto"/>
      <w:rPr>
        <w:rFonts w:ascii="Century Gothic" w:hAnsi="Century Gothic" w:eastAsia="Geo" w:cs="Geo"/>
        <w:sz w:val="16"/>
        <w:szCs w:val="16"/>
        <w:lang w:eastAsia="es-CO"/>
      </w:rPr>
    </w:pPr>
  </w:p>
  <w:p w:rsidR="00C925AC" w:rsidP="00844AE9" w:rsidRDefault="00C925AC" w14:paraId="211B7F5D" w14:textId="77777777">
    <w:pPr>
      <w:spacing w:after="0" w:line="240" w:lineRule="auto"/>
      <w:rPr>
        <w:rFonts w:ascii="Verdana" w:hAnsi="Verdana"/>
        <w:sz w:val="24"/>
        <w:szCs w:val="24"/>
      </w:rPr>
    </w:pPr>
  </w:p>
  <w:p w:rsidRPr="00C925AC" w:rsidR="005B0C9A" w:rsidP="000D5DA7" w:rsidRDefault="005B0C9A" w14:paraId="7E818D9C" w14:textId="77777777">
    <w:pPr>
      <w:spacing w:after="0" w:line="480" w:lineRule="auto"/>
      <w:rPr>
        <w:rFonts w:ascii="Verdana" w:hAnsi="Verdana"/>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2pt;height:12pt" o:bullet="t" type="#_x0000_t75">
        <v:imagedata o:title="mso1B13" r:id="rId1"/>
      </v:shape>
    </w:pict>
  </w:numPicBullet>
  <w:abstractNum w:abstractNumId="0" w15:restartNumberingAfterBreak="0">
    <w:nsid w:val="01C06310"/>
    <w:multiLevelType w:val="multilevel"/>
    <w:tmpl w:val="92EC0BC6"/>
    <w:lvl w:ilvl="0">
      <w:start w:val="1"/>
      <w:numFmt w:val="decimal"/>
      <w:lvlText w:val="%1."/>
      <w:lvlJc w:val="left"/>
      <w:pPr>
        <w:ind w:left="6601" w:hanging="360"/>
      </w:pPr>
      <w:rPr>
        <w:b/>
        <w:color w:val="000000" w:themeColor="text1"/>
        <w:lang w:val="es-CO"/>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hint="default" w:ascii="Arial" w:hAnsi="Arial" w:eastAsia="Times New Roman" w:cs="Arial"/>
        <w:b/>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3" w15:restartNumberingAfterBreak="0">
    <w:nsid w:val="1FBC25EC"/>
    <w:multiLevelType w:val="hybridMultilevel"/>
    <w:tmpl w:val="116E127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hint="default" w:ascii="Symbol" w:hAnsi="Symbol"/>
        <w:color w:val="auto"/>
      </w:rPr>
    </w:lvl>
    <w:lvl w:ilvl="1" w:tplc="240A0003" w:tentative="1">
      <w:start w:val="1"/>
      <w:numFmt w:val="bullet"/>
      <w:lvlText w:val="o"/>
      <w:lvlJc w:val="left"/>
      <w:pPr>
        <w:ind w:left="1505" w:hanging="360"/>
      </w:pPr>
      <w:rPr>
        <w:rFonts w:hint="default" w:ascii="Courier New" w:hAnsi="Courier New" w:cs="Courier New"/>
      </w:rPr>
    </w:lvl>
    <w:lvl w:ilvl="2" w:tplc="240A0005" w:tentative="1">
      <w:start w:val="1"/>
      <w:numFmt w:val="bullet"/>
      <w:lvlText w:val=""/>
      <w:lvlJc w:val="left"/>
      <w:pPr>
        <w:ind w:left="2225" w:hanging="360"/>
      </w:pPr>
      <w:rPr>
        <w:rFonts w:hint="default" w:ascii="Wingdings" w:hAnsi="Wingdings"/>
      </w:rPr>
    </w:lvl>
    <w:lvl w:ilvl="3" w:tplc="240A0001" w:tentative="1">
      <w:start w:val="1"/>
      <w:numFmt w:val="bullet"/>
      <w:lvlText w:val=""/>
      <w:lvlJc w:val="left"/>
      <w:pPr>
        <w:ind w:left="2945" w:hanging="360"/>
      </w:pPr>
      <w:rPr>
        <w:rFonts w:hint="default" w:ascii="Symbol" w:hAnsi="Symbol"/>
      </w:rPr>
    </w:lvl>
    <w:lvl w:ilvl="4" w:tplc="240A0003" w:tentative="1">
      <w:start w:val="1"/>
      <w:numFmt w:val="bullet"/>
      <w:lvlText w:val="o"/>
      <w:lvlJc w:val="left"/>
      <w:pPr>
        <w:ind w:left="3665" w:hanging="360"/>
      </w:pPr>
      <w:rPr>
        <w:rFonts w:hint="default" w:ascii="Courier New" w:hAnsi="Courier New" w:cs="Courier New"/>
      </w:rPr>
    </w:lvl>
    <w:lvl w:ilvl="5" w:tplc="240A0005" w:tentative="1">
      <w:start w:val="1"/>
      <w:numFmt w:val="bullet"/>
      <w:lvlText w:val=""/>
      <w:lvlJc w:val="left"/>
      <w:pPr>
        <w:ind w:left="4385" w:hanging="360"/>
      </w:pPr>
      <w:rPr>
        <w:rFonts w:hint="default" w:ascii="Wingdings" w:hAnsi="Wingdings"/>
      </w:rPr>
    </w:lvl>
    <w:lvl w:ilvl="6" w:tplc="240A0001" w:tentative="1">
      <w:start w:val="1"/>
      <w:numFmt w:val="bullet"/>
      <w:lvlText w:val=""/>
      <w:lvlJc w:val="left"/>
      <w:pPr>
        <w:ind w:left="5105" w:hanging="360"/>
      </w:pPr>
      <w:rPr>
        <w:rFonts w:hint="default" w:ascii="Symbol" w:hAnsi="Symbol"/>
      </w:rPr>
    </w:lvl>
    <w:lvl w:ilvl="7" w:tplc="240A0003" w:tentative="1">
      <w:start w:val="1"/>
      <w:numFmt w:val="bullet"/>
      <w:lvlText w:val="o"/>
      <w:lvlJc w:val="left"/>
      <w:pPr>
        <w:ind w:left="5825" w:hanging="360"/>
      </w:pPr>
      <w:rPr>
        <w:rFonts w:hint="default" w:ascii="Courier New" w:hAnsi="Courier New" w:cs="Courier New"/>
      </w:rPr>
    </w:lvl>
    <w:lvl w:ilvl="8" w:tplc="240A0005" w:tentative="1">
      <w:start w:val="1"/>
      <w:numFmt w:val="bullet"/>
      <w:lvlText w:val=""/>
      <w:lvlJc w:val="left"/>
      <w:pPr>
        <w:ind w:left="6545" w:hanging="360"/>
      </w:pPr>
      <w:rPr>
        <w:rFonts w:hint="default" w:ascii="Wingdings" w:hAnsi="Wingdings"/>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135843154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E7A31"/>
    <w:rsid w:val="000F6486"/>
    <w:rsid w:val="00116940"/>
    <w:rsid w:val="00117A9B"/>
    <w:rsid w:val="00125105"/>
    <w:rsid w:val="00127233"/>
    <w:rsid w:val="0015699B"/>
    <w:rsid w:val="00160F44"/>
    <w:rsid w:val="0016793A"/>
    <w:rsid w:val="00171CF1"/>
    <w:rsid w:val="00176A0C"/>
    <w:rsid w:val="001A33BF"/>
    <w:rsid w:val="001E4177"/>
    <w:rsid w:val="001F0B24"/>
    <w:rsid w:val="001F7DC6"/>
    <w:rsid w:val="0022009F"/>
    <w:rsid w:val="0022400B"/>
    <w:rsid w:val="002309B5"/>
    <w:rsid w:val="002421BB"/>
    <w:rsid w:val="0025796E"/>
    <w:rsid w:val="002707A2"/>
    <w:rsid w:val="002951A0"/>
    <w:rsid w:val="002962BC"/>
    <w:rsid w:val="002A093D"/>
    <w:rsid w:val="002A0DD0"/>
    <w:rsid w:val="002A49AC"/>
    <w:rsid w:val="002A64FD"/>
    <w:rsid w:val="002C320B"/>
    <w:rsid w:val="002C7A84"/>
    <w:rsid w:val="002E2BF8"/>
    <w:rsid w:val="002E4FD9"/>
    <w:rsid w:val="002F59B6"/>
    <w:rsid w:val="0030657A"/>
    <w:rsid w:val="00322A85"/>
    <w:rsid w:val="00324168"/>
    <w:rsid w:val="00330834"/>
    <w:rsid w:val="003448F4"/>
    <w:rsid w:val="00374F5E"/>
    <w:rsid w:val="00377E3E"/>
    <w:rsid w:val="00380BAB"/>
    <w:rsid w:val="003A779E"/>
    <w:rsid w:val="003D0F4D"/>
    <w:rsid w:val="003D5B0D"/>
    <w:rsid w:val="003E0499"/>
    <w:rsid w:val="003E4F80"/>
    <w:rsid w:val="003E6439"/>
    <w:rsid w:val="003F3941"/>
    <w:rsid w:val="00406575"/>
    <w:rsid w:val="00414C74"/>
    <w:rsid w:val="0042722E"/>
    <w:rsid w:val="0042747E"/>
    <w:rsid w:val="0044528D"/>
    <w:rsid w:val="00450A66"/>
    <w:rsid w:val="004602B7"/>
    <w:rsid w:val="00466E39"/>
    <w:rsid w:val="004A1847"/>
    <w:rsid w:val="004A305D"/>
    <w:rsid w:val="004E0531"/>
    <w:rsid w:val="004F21C4"/>
    <w:rsid w:val="004F685F"/>
    <w:rsid w:val="00524ED1"/>
    <w:rsid w:val="00543F60"/>
    <w:rsid w:val="005566E8"/>
    <w:rsid w:val="005651F5"/>
    <w:rsid w:val="00574867"/>
    <w:rsid w:val="00591460"/>
    <w:rsid w:val="005A65E0"/>
    <w:rsid w:val="005B0C9A"/>
    <w:rsid w:val="005C3777"/>
    <w:rsid w:val="005C5CDC"/>
    <w:rsid w:val="005D476C"/>
    <w:rsid w:val="005D7838"/>
    <w:rsid w:val="006200BF"/>
    <w:rsid w:val="006219F8"/>
    <w:rsid w:val="006302F7"/>
    <w:rsid w:val="00646B9F"/>
    <w:rsid w:val="00665D70"/>
    <w:rsid w:val="006900D9"/>
    <w:rsid w:val="006A700C"/>
    <w:rsid w:val="006B6679"/>
    <w:rsid w:val="006D2468"/>
    <w:rsid w:val="006F38F8"/>
    <w:rsid w:val="006F40B5"/>
    <w:rsid w:val="00706C16"/>
    <w:rsid w:val="007340C3"/>
    <w:rsid w:val="0075235A"/>
    <w:rsid w:val="007543CB"/>
    <w:rsid w:val="00756841"/>
    <w:rsid w:val="007649AB"/>
    <w:rsid w:val="00771D0C"/>
    <w:rsid w:val="007833AC"/>
    <w:rsid w:val="007B268C"/>
    <w:rsid w:val="007B7171"/>
    <w:rsid w:val="007C0C0F"/>
    <w:rsid w:val="007C3DC2"/>
    <w:rsid w:val="007E5497"/>
    <w:rsid w:val="00806F5F"/>
    <w:rsid w:val="00820278"/>
    <w:rsid w:val="008258C9"/>
    <w:rsid w:val="00827696"/>
    <w:rsid w:val="00844AE9"/>
    <w:rsid w:val="0085119B"/>
    <w:rsid w:val="00867F95"/>
    <w:rsid w:val="008843B6"/>
    <w:rsid w:val="00891928"/>
    <w:rsid w:val="008A446D"/>
    <w:rsid w:val="008B25F1"/>
    <w:rsid w:val="008D180B"/>
    <w:rsid w:val="008F0EA7"/>
    <w:rsid w:val="00922E04"/>
    <w:rsid w:val="00923EEF"/>
    <w:rsid w:val="009419F9"/>
    <w:rsid w:val="0095685E"/>
    <w:rsid w:val="00961B09"/>
    <w:rsid w:val="00965334"/>
    <w:rsid w:val="0097093E"/>
    <w:rsid w:val="00984B2E"/>
    <w:rsid w:val="009A0DFA"/>
    <w:rsid w:val="009A1C6F"/>
    <w:rsid w:val="009A4BA1"/>
    <w:rsid w:val="009B2D26"/>
    <w:rsid w:val="009C71FA"/>
    <w:rsid w:val="009C72E7"/>
    <w:rsid w:val="009C7F7E"/>
    <w:rsid w:val="009D3058"/>
    <w:rsid w:val="009F3A13"/>
    <w:rsid w:val="00A122D3"/>
    <w:rsid w:val="00A14468"/>
    <w:rsid w:val="00A17F13"/>
    <w:rsid w:val="00A20739"/>
    <w:rsid w:val="00A23AF9"/>
    <w:rsid w:val="00A33C78"/>
    <w:rsid w:val="00A662A9"/>
    <w:rsid w:val="00A9077C"/>
    <w:rsid w:val="00AB0ADB"/>
    <w:rsid w:val="00AB6E07"/>
    <w:rsid w:val="00AE3E58"/>
    <w:rsid w:val="00B00C0E"/>
    <w:rsid w:val="00B01B1A"/>
    <w:rsid w:val="00B01D9C"/>
    <w:rsid w:val="00B0381D"/>
    <w:rsid w:val="00B0533D"/>
    <w:rsid w:val="00B2184F"/>
    <w:rsid w:val="00B233FF"/>
    <w:rsid w:val="00B40142"/>
    <w:rsid w:val="00B44A47"/>
    <w:rsid w:val="00B72CD3"/>
    <w:rsid w:val="00B72FFF"/>
    <w:rsid w:val="00BC3D36"/>
    <w:rsid w:val="00BD54A6"/>
    <w:rsid w:val="00BD7F72"/>
    <w:rsid w:val="00BF7425"/>
    <w:rsid w:val="00C04FB3"/>
    <w:rsid w:val="00C11D8B"/>
    <w:rsid w:val="00C15139"/>
    <w:rsid w:val="00C330EB"/>
    <w:rsid w:val="00C50D69"/>
    <w:rsid w:val="00C5365C"/>
    <w:rsid w:val="00C72A6B"/>
    <w:rsid w:val="00C754BE"/>
    <w:rsid w:val="00C76B1C"/>
    <w:rsid w:val="00C925AC"/>
    <w:rsid w:val="00CB6357"/>
    <w:rsid w:val="00CC1B26"/>
    <w:rsid w:val="00D2100B"/>
    <w:rsid w:val="00D274E0"/>
    <w:rsid w:val="00D361FD"/>
    <w:rsid w:val="00D423A2"/>
    <w:rsid w:val="00D44E26"/>
    <w:rsid w:val="00D520D8"/>
    <w:rsid w:val="00D63AC2"/>
    <w:rsid w:val="00D64C49"/>
    <w:rsid w:val="00D7383B"/>
    <w:rsid w:val="00D7788A"/>
    <w:rsid w:val="00DA0CF2"/>
    <w:rsid w:val="00DA231B"/>
    <w:rsid w:val="00DC39FC"/>
    <w:rsid w:val="00DF5254"/>
    <w:rsid w:val="00E02524"/>
    <w:rsid w:val="00E04C0A"/>
    <w:rsid w:val="00E16408"/>
    <w:rsid w:val="00E20894"/>
    <w:rsid w:val="00E245AB"/>
    <w:rsid w:val="00E2764C"/>
    <w:rsid w:val="00E27F2E"/>
    <w:rsid w:val="00E328C4"/>
    <w:rsid w:val="00E50AFE"/>
    <w:rsid w:val="00E75C92"/>
    <w:rsid w:val="00E771DC"/>
    <w:rsid w:val="00E83526"/>
    <w:rsid w:val="00E8772A"/>
    <w:rsid w:val="00E90F6B"/>
    <w:rsid w:val="00E92C27"/>
    <w:rsid w:val="00E9340A"/>
    <w:rsid w:val="00EA0E3D"/>
    <w:rsid w:val="00EC38A7"/>
    <w:rsid w:val="00EE1AA8"/>
    <w:rsid w:val="00EF3F67"/>
    <w:rsid w:val="00F23FEA"/>
    <w:rsid w:val="00F31EDC"/>
    <w:rsid w:val="00F462B3"/>
    <w:rsid w:val="00F5664F"/>
    <w:rsid w:val="00F666C4"/>
    <w:rsid w:val="00F74647"/>
    <w:rsid w:val="00F76AFC"/>
    <w:rsid w:val="00F85B0F"/>
    <w:rsid w:val="00F92641"/>
    <w:rsid w:val="00FA47C0"/>
    <w:rsid w:val="00FB5DD1"/>
    <w:rsid w:val="00FC2B5D"/>
    <w:rsid w:val="00FD5363"/>
    <w:rsid w:val="00FF1449"/>
    <w:rsid w:val="00FF1CEA"/>
    <w:rsid w:val="00FF6EB7"/>
    <w:rsid w:val="00FF7963"/>
    <w:rsid w:val="071B8F93"/>
    <w:rsid w:val="07C73DD1"/>
    <w:rsid w:val="09908A09"/>
    <w:rsid w:val="0E0AF0F4"/>
    <w:rsid w:val="0EFE6349"/>
    <w:rsid w:val="0FF4CCA8"/>
    <w:rsid w:val="13CFC91B"/>
    <w:rsid w:val="14AFDE08"/>
    <w:rsid w:val="19A2EC2C"/>
    <w:rsid w:val="21779BE6"/>
    <w:rsid w:val="24767F0C"/>
    <w:rsid w:val="2859CA1B"/>
    <w:rsid w:val="2C4D2425"/>
    <w:rsid w:val="2EE1E026"/>
    <w:rsid w:val="2F44F38F"/>
    <w:rsid w:val="30821638"/>
    <w:rsid w:val="32A4F9CF"/>
    <w:rsid w:val="33A1FF93"/>
    <w:rsid w:val="33A6BBB2"/>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45AB"/>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4A1847"/>
  </w:style>
  <w:style w:type="paragraph" w:styleId="Default" w:customStyle="1">
    <w:name w:val="Default"/>
    <w:rsid w:val="006219F8"/>
    <w:pPr>
      <w:autoSpaceDE w:val="0"/>
      <w:autoSpaceDN w:val="0"/>
      <w:adjustRightInd w:val="0"/>
      <w:spacing w:after="0" w:line="240" w:lineRule="auto"/>
    </w:pPr>
    <w:rPr>
      <w:rFonts w:ascii="Arial" w:hAnsi="Arial" w:cs="Arial"/>
      <w:color w:val="000000"/>
      <w:sz w:val="24"/>
      <w:szCs w:val="24"/>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styleId="TextonotapieCar1" w:customStyle="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styleId="normaltextrun" w:customStyle="1">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hAnsi="Geomanist" w:eastAsiaTheme="majorEastAsia" w:cstheme="majorBidi"/>
      <w:spacing w:val="-10"/>
      <w:kern w:val="28"/>
      <w:szCs w:val="56"/>
      <w:lang w:val="es-ES"/>
    </w:rPr>
  </w:style>
  <w:style w:type="character" w:styleId="TtuloCar" w:customStyle="1">
    <w:name w:val="Título Car"/>
    <w:basedOn w:val="Fuentedeprrafopredeter"/>
    <w:link w:val="Ttulo"/>
    <w:uiPriority w:val="10"/>
    <w:rsid w:val="005566E8"/>
    <w:rPr>
      <w:rFonts w:ascii="Geomanist" w:hAnsi="Geomanist" w:eastAsiaTheme="majorEastAsia" w:cstheme="majorBidi"/>
      <w:spacing w:val="-10"/>
      <w:kern w:val="28"/>
      <w:szCs w:val="56"/>
      <w:lang w:val="es-ES"/>
    </w:rPr>
  </w:style>
  <w:style w:type="character" w:styleId="ui-provider" w:customStyle="1">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styleId="paragraph" w:customStyle="1">
    <w:name w:val="paragraph"/>
    <w:basedOn w:val="Normal"/>
    <w:rsid w:val="00322A85"/>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styleId="tabchar" w:customStyle="1">
    <w:name w:val="tabchar"/>
    <w:basedOn w:val="Fuentedeprrafopredeter"/>
    <w:rsid w:val="00322A85"/>
  </w:style>
  <w:style w:type="character" w:styleId="eop" w:customStyle="1">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blanco" w:customStyle="1">
    <w:name w:val="blanco"/>
    <w:basedOn w:val="Normal"/>
    <w:rsid w:val="00C76B1C"/>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styleId="Appelnotedebasde" w:customStyle="1">
    <w:name w:val="Appel note de bas de..."/>
    <w:basedOn w:val="Normal"/>
    <w:link w:val="Refdenotaalpie"/>
    <w:uiPriority w:val="99"/>
    <w:rsid w:val="00176A0C"/>
    <w:pPr>
      <w:spacing w:line="240" w:lineRule="exact"/>
    </w:pPr>
    <w:rPr>
      <w:vertAlign w:val="superscript"/>
    </w:rPr>
  </w:style>
  <w:style w:type="character" w:styleId="NormalWebCar" w:customStyle="1">
    <w:name w:val="Normal (Web) Car"/>
    <w:link w:val="NormalWeb"/>
    <w:uiPriority w:val="99"/>
    <w:locked/>
    <w:rsid w:val="00176A0C"/>
    <w:rPr>
      <w:rFonts w:ascii="Times New Roman" w:hAnsi="Times New Roman" w:eastAsia="Times New Roman" w:cs="Times New Roman"/>
      <w:sz w:val="24"/>
      <w:szCs w:val="24"/>
      <w:lang w:eastAsia="es-CO"/>
    </w:rPr>
  </w:style>
  <w:style w:type="character" w:styleId="baj" w:customStyle="1">
    <w:name w:val="b_aj"/>
    <w:basedOn w:val="Fuentedeprrafopredeter"/>
    <w:rsid w:val="00176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minsalud.gov.co/sites/rid/Lists/BibliotecaDigital/RIDE/VS/PP/lineamiento-tecnico-operativo-equipos-basicos-salud-modelo-pp.pdf" TargetMode="External" Id="rId13" /><Relationship Type="http://schemas.openxmlformats.org/officeDocument/2006/relationships/hyperlink" Target="mailto:ventanilladeradicacion@colombiacompra.gov.co" TargetMode="External" Id="rId18" /><Relationship Type="http://schemas.openxmlformats.org/officeDocument/2006/relationships/customXml" Target="../customXml/item3.xml" Id="rId3" /><Relationship Type="http://schemas.openxmlformats.org/officeDocument/2006/relationships/image" Target="media/image3.png" Id="rId21" /><Relationship Type="http://schemas.openxmlformats.org/officeDocument/2006/relationships/settings" Target="settings.xml" Id="rId7" /><Relationship Type="http://schemas.openxmlformats.org/officeDocument/2006/relationships/hyperlink" Target="https://colombiacompra.gov.co/wp-content/uploads/2025/09/006-de-2025-Circular-Externa-L996-ajustado-comentarios-BM-BID-Rev-ARSC-V3.d-1.pdf" TargetMode="External" Id="rId12" /><Relationship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colombiacompra.gov.co/normativa-y-relatoria/documentos-tipo" TargetMode="External" Id="rId16" /><Relationship Type="http://schemas.openxmlformats.org/officeDocument/2006/relationships/hyperlink" Target="https://forms.office.com/r/pPHyWVs2SZ"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emf"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formacionvirtual.colombiacompra.gov.co/mod/page/view.php?id=3718" TargetMode="External" Id="rId15" /><Relationship Type="http://schemas.openxmlformats.org/officeDocument/2006/relationships/footer" Target="footer1.xml" Id="rId23" /><Relationship Type="http://schemas.openxmlformats.org/officeDocument/2006/relationships/endnotes" Target="endnotes.xml" Id="rId10" /><Relationship Type="http://schemas.openxmlformats.org/officeDocument/2006/relationships/hyperlink" Target="https://www.colombiacompra.gov.co/pqrsd/informacion-importante-antes-de-formular-una-pqrsd"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relatoria.colombiacompra.gov.co/busqueda/conceptos" TargetMode="External" Id="rId14" /><Relationship Type="http://schemas.openxmlformats.org/officeDocument/2006/relationships/header" Target="header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colombiacompra.gov.co/wp-content/uploads/2025/09/006-de-2025-Circular-Externa-L996-ajustado-comentarios-BM-BID-Rev-ARSC-V3.d-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27BA3B-B10D-4F58-8702-7CB6AE16A6D3}"/>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5C52BB71-1EB8-4B7D-967C-E361FE9EDD90}">
  <ds:schemaRefs>
    <ds:schemaRef ds:uri="http://schemas.openxmlformats.org/officeDocument/2006/bibliography"/>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Andrés Felipe Ospina Acosta</dc:creator>
  <keywords/>
  <dc:description/>
  <lastModifiedBy>Oscar David Mórelo Pedroza</lastModifiedBy>
  <revision>7</revision>
  <lastPrinted>2023-01-10T21:18:00.0000000Z</lastPrinted>
  <dcterms:created xsi:type="dcterms:W3CDTF">2026-06-23T15:17:00.0000000Z</dcterms:created>
  <dcterms:modified xsi:type="dcterms:W3CDTF">2026-06-24T14:38:34.5499372Z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