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66004" w:rsidR="008F361B" w:rsidP="008F361B" w:rsidRDefault="008F361B" w14:paraId="152B606B" w14:textId="77777777">
      <w:pPr>
        <w:spacing w:before="120" w:after="120" w:line="276" w:lineRule="auto"/>
        <w:rPr>
          <w:rFonts w:ascii="Verdana" w:hAnsi="Verdana" w:eastAsia="Calibri" w:cs="Arial"/>
          <w:b/>
          <w:bCs/>
          <w:lang w:val="es-ES" w:eastAsia="es-ES"/>
        </w:rPr>
      </w:pPr>
      <w:bookmarkStart w:name="_Hlk143780582" w:id="0"/>
      <w:r w:rsidRPr="00666004">
        <w:rPr>
          <w:rFonts w:ascii="Verdana" w:hAnsi="Verdana" w:eastAsia="Calibri" w:cs="Arial"/>
          <w:b/>
          <w:bCs/>
          <w:lang w:val="es-ES" w:eastAsia="es-ES"/>
        </w:rPr>
        <w:t xml:space="preserve">CAPACIDAD RESIDUAL – Cálculo – Capacidad de Organización </w:t>
      </w:r>
    </w:p>
    <w:p w:rsidR="008F361B" w:rsidP="008F361B" w:rsidRDefault="008F361B" w14:paraId="3C1EB42D" w14:textId="77777777">
      <w:pPr>
        <w:spacing w:after="0" w:line="240" w:lineRule="auto"/>
        <w:jc w:val="both"/>
        <w:rPr>
          <w:rFonts w:ascii="Verdana" w:hAnsi="Verdana" w:eastAsia="Calibri" w:cs="Arial"/>
          <w:sz w:val="20"/>
          <w:szCs w:val="20"/>
          <w:lang w:val="es-ES"/>
        </w:rPr>
      </w:pPr>
      <w:r w:rsidRPr="00666004">
        <w:rPr>
          <w:rFonts w:ascii="Verdana" w:hAnsi="Verdana" w:eastAsia="Calibri" w:cs="Arial"/>
          <w:sz w:val="20"/>
          <w:szCs w:val="20"/>
          <w:lang w:val="es-ES"/>
        </w:rPr>
        <w:t xml:space="preserve">[…] el artículo 2.2.1.1.1.6.4 del Decreto 1082 de 2015 dispuso que las entidades estatales deben calcular la capacidad residual conforme a la metodología definida por Colombia Compra Eficiente y precisó que, para tales fines, resulta necesario tener en cuenta los factores de: i) experiencia; ii) capacidad financiera; iii) capacidad técnica; </w:t>
      </w:r>
      <w:proofErr w:type="spellStart"/>
      <w:r w:rsidRPr="00666004">
        <w:rPr>
          <w:rFonts w:ascii="Verdana" w:hAnsi="Verdana" w:eastAsia="Calibri" w:cs="Arial"/>
          <w:sz w:val="20"/>
          <w:szCs w:val="20"/>
          <w:lang w:val="es-ES"/>
        </w:rPr>
        <w:t>iv</w:t>
      </w:r>
      <w:proofErr w:type="spellEnd"/>
      <w:r w:rsidRPr="00666004">
        <w:rPr>
          <w:rFonts w:ascii="Verdana" w:hAnsi="Verdana" w:eastAsia="Calibri" w:cs="Arial"/>
          <w:sz w:val="20"/>
          <w:szCs w:val="20"/>
          <w:lang w:val="es-ES"/>
        </w:rPr>
        <w:t>) capacidad de organización; y v) los saldos de los contratos en ejecución, así:</w:t>
      </w:r>
    </w:p>
    <w:p w:rsidRPr="00666004" w:rsidR="008F361B" w:rsidP="008F361B" w:rsidRDefault="008F361B" w14:paraId="00F2EAE2" w14:textId="77777777">
      <w:pPr>
        <w:spacing w:after="0" w:line="240" w:lineRule="auto"/>
        <w:jc w:val="both"/>
        <w:rPr>
          <w:rFonts w:ascii="Verdana" w:hAnsi="Verdana" w:eastAsia="Calibri" w:cs="Arial"/>
          <w:sz w:val="20"/>
          <w:szCs w:val="20"/>
          <w:lang w:val="es-ES"/>
        </w:rPr>
      </w:pPr>
    </w:p>
    <w:p w:rsidRPr="00666004" w:rsidR="008F361B" w:rsidP="008F361B" w:rsidRDefault="008F361B" w14:paraId="02298CFD" w14:textId="77777777">
      <w:pPr>
        <w:spacing w:after="0" w:line="240" w:lineRule="auto"/>
        <w:jc w:val="both"/>
        <w:rPr>
          <w:rFonts w:ascii="Verdana" w:hAnsi="Verdana" w:eastAsia="Calibri" w:cs="Arial"/>
          <w:i/>
          <w:iCs/>
          <w:sz w:val="20"/>
          <w:szCs w:val="20"/>
          <w:lang w:val="es-ES"/>
        </w:rPr>
      </w:pPr>
      <w:r w:rsidRPr="00666004">
        <w:rPr>
          <w:rFonts w:ascii="Verdana" w:hAnsi="Verdana" w:eastAsia="Calibri" w:cs="Arial"/>
          <w:i/>
          <w:iCs/>
          <w:sz w:val="20"/>
          <w:szCs w:val="20"/>
          <w:lang w:val="es-ES"/>
        </w:rPr>
        <w:t>“Artículo 2.2.1.1.1.6.4. Capacidad Residual. El interesado en celebrar contratos de obra pública con Entidades Estatales debe acreditar su Capacidad Residual o K de Contratación con los siguientes documentos: (…)</w:t>
      </w:r>
    </w:p>
    <w:p w:rsidRPr="00666004" w:rsidR="008F361B" w:rsidP="008F361B" w:rsidRDefault="008F361B" w14:paraId="0F1271D3" w14:textId="77777777">
      <w:pPr>
        <w:spacing w:after="0" w:line="240" w:lineRule="auto"/>
        <w:jc w:val="both"/>
        <w:rPr>
          <w:rFonts w:ascii="Verdana" w:hAnsi="Verdana" w:eastAsia="Calibri" w:cs="Arial"/>
          <w:i/>
          <w:iCs/>
          <w:sz w:val="20"/>
          <w:szCs w:val="20"/>
          <w:lang w:val="es-ES"/>
        </w:rPr>
      </w:pPr>
      <w:r w:rsidRPr="00666004">
        <w:rPr>
          <w:rFonts w:ascii="Verdana" w:hAnsi="Verdana" w:eastAsia="Calibri" w:cs="Arial"/>
          <w:i/>
          <w:iCs/>
          <w:sz w:val="20"/>
          <w:szCs w:val="20"/>
          <w:lang w:val="es-ES"/>
        </w:rPr>
        <w:t>La Entidad Estatal debe calcular la Capacidad Residual del proponente de acuerdo con la metodología que defina Colombia Compra Eficiente, teniendo en cuenta los factores de: Experiencia (E), Capacidad Financiera (CF), Capacidad Técnica (CT), Capacidad de Organización (CO), y los saldos de los contratos en ejecución (SCE).”</w:t>
      </w:r>
    </w:p>
    <w:p w:rsidRPr="00666004" w:rsidR="008F361B" w:rsidP="008F361B" w:rsidRDefault="008F361B" w14:paraId="51A55532" w14:textId="77777777">
      <w:pPr>
        <w:spacing w:after="0" w:line="240" w:lineRule="auto"/>
        <w:jc w:val="both"/>
        <w:rPr>
          <w:rFonts w:ascii="Verdana" w:hAnsi="Verdana" w:eastAsia="Calibri" w:cs="Arial"/>
          <w:sz w:val="20"/>
          <w:szCs w:val="20"/>
          <w:lang w:val="es-ES"/>
        </w:rPr>
      </w:pPr>
    </w:p>
    <w:p w:rsidRPr="00666004" w:rsidR="008F361B" w:rsidP="008F361B" w:rsidRDefault="008F361B" w14:paraId="4EC250CB" w14:textId="77777777">
      <w:pPr>
        <w:spacing w:after="0" w:line="240" w:lineRule="auto"/>
        <w:jc w:val="both"/>
        <w:rPr>
          <w:rFonts w:ascii="Verdana" w:hAnsi="Verdana" w:eastAsia="Calibri" w:cs="Arial"/>
          <w:sz w:val="20"/>
          <w:szCs w:val="20"/>
          <w:lang w:val="es-ES"/>
        </w:rPr>
      </w:pPr>
      <w:r w:rsidRPr="00666004">
        <w:rPr>
          <w:rFonts w:ascii="Verdana" w:hAnsi="Verdana" w:eastAsia="Calibri" w:cs="Arial"/>
          <w:sz w:val="20"/>
          <w:szCs w:val="20"/>
          <w:lang w:val="es-ES"/>
        </w:rPr>
        <w:t>[…]</w:t>
      </w:r>
    </w:p>
    <w:p w:rsidRPr="00666004" w:rsidR="008F361B" w:rsidP="008F361B" w:rsidRDefault="008F361B" w14:paraId="0FA25404" w14:textId="77777777">
      <w:pPr>
        <w:spacing w:after="0" w:line="240" w:lineRule="auto"/>
        <w:jc w:val="both"/>
        <w:rPr>
          <w:rFonts w:ascii="Verdana" w:hAnsi="Verdana" w:eastAsia="Calibri" w:cs="Arial"/>
          <w:sz w:val="20"/>
          <w:szCs w:val="20"/>
          <w:lang w:val="es-ES"/>
        </w:rPr>
      </w:pPr>
    </w:p>
    <w:p w:rsidRPr="000F3233" w:rsidR="008F361B" w:rsidP="008F361B" w:rsidRDefault="008F361B" w14:paraId="617DCFE1" w14:textId="77777777">
      <w:pPr>
        <w:spacing w:after="0" w:line="240" w:lineRule="auto"/>
        <w:jc w:val="both"/>
        <w:rPr>
          <w:rFonts w:ascii="Verdana" w:hAnsi="Verdana" w:eastAsia="Calibri" w:cs="Arial"/>
          <w:sz w:val="20"/>
          <w:szCs w:val="20"/>
          <w:lang w:val="es-ES"/>
        </w:rPr>
      </w:pPr>
      <w:r w:rsidRPr="00666004">
        <w:rPr>
          <w:rFonts w:ascii="Verdana" w:hAnsi="Verdana" w:eastAsia="Calibri" w:cs="Arial"/>
          <w:sz w:val="20"/>
          <w:szCs w:val="20"/>
          <w:lang w:val="es-ES"/>
        </w:rPr>
        <w:t xml:space="preserve">[…] </w:t>
      </w:r>
      <w:r w:rsidRPr="000F3233">
        <w:rPr>
          <w:rFonts w:ascii="Verdana" w:hAnsi="Verdana" w:eastAsia="Calibri" w:cs="Arial"/>
          <w:sz w:val="20"/>
          <w:szCs w:val="20"/>
          <w:lang w:val="es-ES"/>
        </w:rPr>
        <w:t xml:space="preserve">para verificar que cada proponente cumple con la CRPC, la entidad pública debe verificar que la capacidad residual del proponente “CRP” sea igual o superior a la capacidad referida en el párrafo precedente. De todas formas, previamente debe establecer la CRP, con fundamento en los siguientes factores: i) experiencia “E”; ii) capacidad financiera “CF”; iii) capacidad técnica “CT”, </w:t>
      </w:r>
      <w:proofErr w:type="spellStart"/>
      <w:r w:rsidRPr="000F3233">
        <w:rPr>
          <w:rFonts w:ascii="Verdana" w:hAnsi="Verdana" w:eastAsia="Calibri" w:cs="Arial"/>
          <w:sz w:val="20"/>
          <w:szCs w:val="20"/>
          <w:lang w:val="es-ES"/>
        </w:rPr>
        <w:t>iv</w:t>
      </w:r>
      <w:proofErr w:type="spellEnd"/>
      <w:r w:rsidRPr="000F3233">
        <w:rPr>
          <w:rFonts w:ascii="Verdana" w:hAnsi="Verdana" w:eastAsia="Calibri" w:cs="Arial"/>
          <w:sz w:val="20"/>
          <w:szCs w:val="20"/>
          <w:lang w:val="es-ES"/>
        </w:rPr>
        <w:t>) capacidad de organización “CO”; y v) los saldos de los contratos en ejecución “SCE”, según la siguiente fórmula:</w:t>
      </w:r>
    </w:p>
    <w:p w:rsidRPr="000F3233" w:rsidR="008F361B" w:rsidP="008F361B" w:rsidRDefault="008F361B" w14:paraId="329CCDF2" w14:textId="77777777">
      <w:pPr>
        <w:spacing w:after="0" w:line="240" w:lineRule="auto"/>
        <w:jc w:val="both"/>
        <w:rPr>
          <w:rFonts w:ascii="Verdana" w:hAnsi="Verdana" w:eastAsia="Calibri" w:cs="Arial"/>
          <w:sz w:val="20"/>
          <w:szCs w:val="20"/>
          <w:lang w:val="es-ES"/>
        </w:rPr>
      </w:pPr>
      <w:r w:rsidRPr="000F3233">
        <w:rPr>
          <w:rFonts w:ascii="Verdana" w:hAnsi="Verdana" w:eastAsia="Calibri" w:cs="Arial"/>
          <w:sz w:val="20"/>
          <w:szCs w:val="20"/>
          <w:lang w:val="es-ES"/>
        </w:rPr>
        <w:t> </w:t>
      </w:r>
    </w:p>
    <w:p w:rsidRPr="000F3233" w:rsidR="008F361B" w:rsidP="008F361B" w:rsidRDefault="008F361B" w14:paraId="44958346" w14:textId="77777777">
      <w:pPr>
        <w:spacing w:after="0" w:line="240" w:lineRule="auto"/>
        <w:jc w:val="center"/>
        <w:rPr>
          <w:rFonts w:ascii="Verdana" w:hAnsi="Verdana" w:eastAsia="Calibri" w:cs="Arial"/>
          <w:sz w:val="20"/>
          <w:szCs w:val="20"/>
          <w:lang w:val="es-ES"/>
        </w:rPr>
      </w:pPr>
      <w:r w:rsidRPr="00666004">
        <w:rPr>
          <w:rFonts w:ascii="Verdana" w:hAnsi="Verdana" w:eastAsia="Calibri" w:cs="Arial"/>
          <w:noProof/>
          <w:sz w:val="20"/>
          <w:szCs w:val="20"/>
          <w:lang w:val="es-ES"/>
        </w:rPr>
        <w:drawing>
          <wp:inline distT="0" distB="0" distL="0" distR="0" wp14:anchorId="1FE6B4F3" wp14:editId="70B8802D">
            <wp:extent cx="4638675" cy="676275"/>
            <wp:effectExtent l="0" t="0" r="9525" b="9525"/>
            <wp:docPr id="1262697888" name="Imagen 2" descr="Icono  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ono  Descripción generada automáticamente con confianza med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8675" cy="676275"/>
                    </a:xfrm>
                    <a:prstGeom prst="rect">
                      <a:avLst/>
                    </a:prstGeom>
                    <a:noFill/>
                    <a:ln>
                      <a:noFill/>
                    </a:ln>
                  </pic:spPr>
                </pic:pic>
              </a:graphicData>
            </a:graphic>
          </wp:inline>
        </w:drawing>
      </w:r>
    </w:p>
    <w:p w:rsidRPr="000F3233" w:rsidR="008F361B" w:rsidP="008F361B" w:rsidRDefault="008F361B" w14:paraId="36D9DD69" w14:textId="77777777">
      <w:pPr>
        <w:spacing w:after="0" w:line="240" w:lineRule="auto"/>
        <w:jc w:val="both"/>
        <w:rPr>
          <w:rFonts w:ascii="Verdana" w:hAnsi="Verdana" w:eastAsia="Calibri" w:cs="Arial"/>
          <w:sz w:val="20"/>
          <w:szCs w:val="20"/>
          <w:lang w:val="es-ES"/>
        </w:rPr>
      </w:pPr>
      <w:r w:rsidRPr="000F3233">
        <w:rPr>
          <w:rFonts w:ascii="Verdana" w:hAnsi="Verdana" w:eastAsia="Calibri" w:cs="Arial"/>
          <w:sz w:val="20"/>
          <w:szCs w:val="20"/>
          <w:lang w:val="es-ES"/>
        </w:rPr>
        <w:t> </w:t>
      </w:r>
    </w:p>
    <w:p w:rsidRPr="00666004" w:rsidR="008F361B" w:rsidP="008F361B" w:rsidRDefault="008F361B" w14:paraId="5F0FDBD6" w14:textId="77777777">
      <w:pPr>
        <w:spacing w:after="0" w:line="240" w:lineRule="auto"/>
        <w:jc w:val="both"/>
        <w:rPr>
          <w:rFonts w:ascii="Verdana" w:hAnsi="Verdana" w:eastAsia="Calibri" w:cs="Arial"/>
          <w:sz w:val="20"/>
          <w:szCs w:val="20"/>
          <w:lang w:val="es-ES"/>
        </w:rPr>
      </w:pPr>
      <w:r w:rsidRPr="000F3233">
        <w:rPr>
          <w:rFonts w:ascii="Verdana" w:hAnsi="Verdana" w:eastAsia="Calibri" w:cs="Arial"/>
          <w:sz w:val="20"/>
          <w:szCs w:val="20"/>
          <w:lang w:val="es-ES"/>
        </w:rPr>
        <w:t>A cada uno de estos factores se les debe asignar el siguiente puntaje máximo: i) “E” 120; ii) “CF” 40; y iii) “CT” 40. La “CO” no tiene asignación de puntaje en la fórmula, por un lado, porque su unidad de medida es en pesos colombianos “COP” y, por el otro, debido a que el mismo constituye un factor multiplicador de los demás factores en la fórmula. A continuación, se explicará, en términos generales, cómo calcular cada factor:</w:t>
      </w:r>
    </w:p>
    <w:p w:rsidRPr="00666004" w:rsidR="008F361B" w:rsidP="008F361B" w:rsidRDefault="008F361B" w14:paraId="7E7180A6" w14:textId="77777777">
      <w:pPr>
        <w:spacing w:after="0" w:line="240" w:lineRule="auto"/>
        <w:jc w:val="both"/>
        <w:rPr>
          <w:rFonts w:ascii="Verdana" w:hAnsi="Verdana" w:eastAsia="Calibri" w:cs="Arial"/>
          <w:sz w:val="20"/>
          <w:szCs w:val="20"/>
          <w:lang w:val="es-ES"/>
        </w:rPr>
      </w:pPr>
      <w:r w:rsidRPr="00666004">
        <w:rPr>
          <w:rFonts w:ascii="Verdana" w:hAnsi="Verdana" w:eastAsia="Calibri" w:cs="Arial"/>
          <w:sz w:val="20"/>
          <w:szCs w:val="20"/>
          <w:lang w:val="es-ES"/>
        </w:rPr>
        <w:t>[…]</w:t>
      </w:r>
    </w:p>
    <w:p w:rsidRPr="000F3233" w:rsidR="008F361B" w:rsidP="008F361B" w:rsidRDefault="008F361B" w14:paraId="63614D53" w14:textId="77777777">
      <w:pPr>
        <w:spacing w:after="0" w:line="240" w:lineRule="auto"/>
        <w:jc w:val="both"/>
        <w:rPr>
          <w:rFonts w:ascii="Verdana" w:hAnsi="Verdana" w:eastAsia="Calibri" w:cs="Arial"/>
          <w:sz w:val="20"/>
          <w:szCs w:val="20"/>
          <w:lang w:val="es-ES"/>
        </w:rPr>
      </w:pPr>
    </w:p>
    <w:p w:rsidRPr="0067592F" w:rsidR="008F361B" w:rsidP="008F361B" w:rsidRDefault="008F361B" w14:paraId="26E04E15" w14:textId="77777777">
      <w:pPr>
        <w:spacing w:after="0" w:line="240" w:lineRule="auto"/>
        <w:contextualSpacing/>
        <w:jc w:val="both"/>
        <w:rPr>
          <w:rFonts w:ascii="Verdana" w:hAnsi="Verdana" w:cs="Arial"/>
          <w:sz w:val="20"/>
          <w:szCs w:val="20"/>
          <w:lang w:val="es-ES"/>
        </w:rPr>
      </w:pPr>
      <w:r w:rsidRPr="00666004">
        <w:rPr>
          <w:rFonts w:ascii="Verdana" w:hAnsi="Verdana" w:cs="Arial"/>
          <w:i/>
          <w:iCs/>
          <w:sz w:val="20"/>
          <w:szCs w:val="20"/>
          <w:lang w:val="es-ES"/>
        </w:rPr>
        <w:t xml:space="preserve">iii) </w:t>
      </w:r>
      <w:r w:rsidRPr="0067592F">
        <w:rPr>
          <w:rFonts w:ascii="Verdana" w:hAnsi="Verdana" w:cs="Arial"/>
          <w:i/>
          <w:iCs/>
          <w:sz w:val="20"/>
          <w:szCs w:val="20"/>
          <w:lang w:val="es-ES"/>
        </w:rPr>
        <w:t>Capacidad de organización.</w:t>
      </w:r>
      <w:r w:rsidRPr="0067592F">
        <w:rPr>
          <w:rFonts w:ascii="Verdana" w:hAnsi="Verdana" w:cs="Arial"/>
          <w:sz w:val="20"/>
          <w:szCs w:val="20"/>
          <w:lang w:val="es-ES"/>
        </w:rPr>
        <w:t xml:space="preserve"> Corresponde a los ingresos operacionales, según el siguiente cuadro:</w:t>
      </w:r>
    </w:p>
    <w:p w:rsidRPr="0067592F" w:rsidR="008F361B" w:rsidP="008F361B" w:rsidRDefault="008F361B" w14:paraId="062048CF" w14:textId="77777777">
      <w:pPr>
        <w:spacing w:after="0" w:line="240" w:lineRule="auto"/>
        <w:contextualSpacing/>
        <w:jc w:val="both"/>
        <w:rPr>
          <w:rFonts w:ascii="Verdana" w:hAnsi="Verdana" w:cs="Arial"/>
          <w:sz w:val="20"/>
          <w:szCs w:val="20"/>
          <w:lang w:val="es-ES"/>
        </w:rPr>
      </w:pPr>
    </w:p>
    <w:tbl>
      <w:tblPr>
        <w:tblStyle w:val="Tablaconcuadrcula1"/>
        <w:tblW w:w="7522" w:type="dxa"/>
        <w:jc w:val="center"/>
        <w:tblInd w:w="0" w:type="dxa"/>
        <w:tblLook w:val="04A0" w:firstRow="1" w:lastRow="0" w:firstColumn="1" w:lastColumn="0" w:noHBand="0" w:noVBand="1"/>
      </w:tblPr>
      <w:tblGrid>
        <w:gridCol w:w="2481"/>
        <w:gridCol w:w="5041"/>
      </w:tblGrid>
      <w:tr w:rsidRPr="00666004" w:rsidR="008F361B" w:rsidTr="00A54D30" w14:paraId="1C1BB4AE" w14:textId="77777777">
        <w:trPr>
          <w:jc w:val="center"/>
        </w:trPr>
        <w:tc>
          <w:tcPr>
            <w:tcW w:w="2481" w:type="dxa"/>
            <w:tcBorders>
              <w:top w:val="single" w:color="auto" w:sz="4" w:space="0"/>
              <w:left w:val="single" w:color="auto" w:sz="4" w:space="0"/>
              <w:bottom w:val="single" w:color="auto" w:sz="4" w:space="0"/>
              <w:right w:val="single" w:color="auto" w:sz="4" w:space="0"/>
            </w:tcBorders>
            <w:shd w:val="clear" w:color="auto" w:fill="4472C4" w:themeFill="accent1"/>
            <w:vAlign w:val="center"/>
            <w:hideMark/>
          </w:tcPr>
          <w:p w:rsidRPr="0067592F" w:rsidR="008F361B" w:rsidP="00A54D30" w:rsidRDefault="008F361B" w14:paraId="1F95E420" w14:textId="77777777">
            <w:pPr>
              <w:contextualSpacing/>
              <w:jc w:val="center"/>
              <w:rPr>
                <w:rFonts w:ascii="Verdana" w:hAnsi="Verdana" w:cs="Arial"/>
                <w:color w:val="FFFFFF" w:themeColor="background1"/>
                <w:sz w:val="20"/>
                <w:szCs w:val="20"/>
                <w:lang w:val="es-ES"/>
              </w:rPr>
            </w:pPr>
            <w:r w:rsidRPr="0067592F">
              <w:rPr>
                <w:rFonts w:ascii="Verdana" w:hAnsi="Verdana" w:cs="Arial"/>
                <w:color w:val="FFFFFF" w:themeColor="background1"/>
                <w:sz w:val="20"/>
                <w:szCs w:val="20"/>
                <w:lang w:val="es-ES"/>
              </w:rPr>
              <w:t>Años de información financiera</w:t>
            </w:r>
          </w:p>
        </w:tc>
        <w:tc>
          <w:tcPr>
            <w:tcW w:w="5041" w:type="dxa"/>
            <w:tcBorders>
              <w:top w:val="single" w:color="auto" w:sz="4" w:space="0"/>
              <w:left w:val="single" w:color="auto" w:sz="4" w:space="0"/>
              <w:bottom w:val="single" w:color="auto" w:sz="4" w:space="0"/>
              <w:right w:val="single" w:color="auto" w:sz="4" w:space="0"/>
            </w:tcBorders>
            <w:shd w:val="clear" w:color="auto" w:fill="4472C4" w:themeFill="accent1"/>
            <w:vAlign w:val="center"/>
            <w:hideMark/>
          </w:tcPr>
          <w:p w:rsidRPr="0067592F" w:rsidR="008F361B" w:rsidP="00A54D30" w:rsidRDefault="008F361B" w14:paraId="545D5892" w14:textId="77777777">
            <w:pPr>
              <w:contextualSpacing/>
              <w:jc w:val="center"/>
              <w:rPr>
                <w:rFonts w:ascii="Verdana" w:hAnsi="Verdana" w:cs="Arial"/>
                <w:color w:val="FFFFFF" w:themeColor="background1"/>
                <w:sz w:val="20"/>
                <w:szCs w:val="20"/>
                <w:lang w:val="es-ES"/>
              </w:rPr>
            </w:pPr>
            <w:r w:rsidRPr="0067592F">
              <w:rPr>
                <w:rFonts w:ascii="Verdana" w:hAnsi="Verdana" w:cs="Arial"/>
                <w:color w:val="FFFFFF" w:themeColor="background1"/>
                <w:sz w:val="20"/>
                <w:szCs w:val="20"/>
                <w:lang w:val="es-ES"/>
              </w:rPr>
              <w:t>Capacidad de Organización (CO)</w:t>
            </w:r>
          </w:p>
        </w:tc>
      </w:tr>
      <w:tr w:rsidRPr="00666004" w:rsidR="008F361B" w:rsidTr="00A54D30" w14:paraId="511206EF" w14:textId="77777777">
        <w:trPr>
          <w:jc w:val="center"/>
        </w:trPr>
        <w:tc>
          <w:tcPr>
            <w:tcW w:w="2481" w:type="dxa"/>
            <w:tcBorders>
              <w:top w:val="single" w:color="auto" w:sz="4" w:space="0"/>
              <w:left w:val="single" w:color="auto" w:sz="4" w:space="0"/>
              <w:bottom w:val="single" w:color="auto" w:sz="4" w:space="0"/>
              <w:right w:val="single" w:color="auto" w:sz="4" w:space="0"/>
            </w:tcBorders>
            <w:vAlign w:val="center"/>
            <w:hideMark/>
          </w:tcPr>
          <w:p w:rsidRPr="0067592F" w:rsidR="008F361B" w:rsidP="00A54D30" w:rsidRDefault="008F361B" w14:paraId="6DEF304E" w14:textId="77777777">
            <w:pPr>
              <w:contextualSpacing/>
              <w:rPr>
                <w:rFonts w:ascii="Verdana" w:hAnsi="Verdana" w:cs="Arial"/>
                <w:sz w:val="20"/>
                <w:szCs w:val="20"/>
                <w:lang w:val="es-ES"/>
              </w:rPr>
            </w:pPr>
            <w:r w:rsidRPr="0067592F">
              <w:rPr>
                <w:rFonts w:ascii="Verdana" w:hAnsi="Verdana" w:cs="Arial"/>
                <w:sz w:val="20"/>
                <w:szCs w:val="20"/>
                <w:lang w:val="es-ES"/>
              </w:rPr>
              <w:t>Cinco (5) años o más</w:t>
            </w:r>
          </w:p>
        </w:tc>
        <w:tc>
          <w:tcPr>
            <w:tcW w:w="5041" w:type="dxa"/>
            <w:tcBorders>
              <w:top w:val="single" w:color="auto" w:sz="4" w:space="0"/>
              <w:left w:val="single" w:color="auto" w:sz="4" w:space="0"/>
              <w:bottom w:val="single" w:color="auto" w:sz="4" w:space="0"/>
              <w:right w:val="single" w:color="auto" w:sz="4" w:space="0"/>
            </w:tcBorders>
            <w:vAlign w:val="center"/>
            <w:hideMark/>
          </w:tcPr>
          <w:p w:rsidRPr="0067592F" w:rsidR="008F361B" w:rsidP="00A54D30" w:rsidRDefault="008F361B" w14:paraId="0C1D09EA" w14:textId="77777777">
            <w:pPr>
              <w:contextualSpacing/>
              <w:rPr>
                <w:rFonts w:ascii="Verdana" w:hAnsi="Verdana" w:cs="Arial"/>
                <w:sz w:val="20"/>
                <w:szCs w:val="20"/>
                <w:lang w:val="es-ES"/>
              </w:rPr>
            </w:pPr>
            <w:r w:rsidRPr="0067592F">
              <w:rPr>
                <w:rFonts w:ascii="Verdana" w:hAnsi="Verdana" w:cs="Arial"/>
                <w:sz w:val="20"/>
                <w:szCs w:val="20"/>
                <w:lang w:val="es-ES"/>
              </w:rPr>
              <w:t>Mayor ingreso operacional de los últimos cinco (5) años.</w:t>
            </w:r>
          </w:p>
        </w:tc>
      </w:tr>
      <w:tr w:rsidRPr="00666004" w:rsidR="008F361B" w:rsidTr="00A54D30" w14:paraId="3401A421" w14:textId="77777777">
        <w:trPr>
          <w:jc w:val="center"/>
        </w:trPr>
        <w:tc>
          <w:tcPr>
            <w:tcW w:w="2481" w:type="dxa"/>
            <w:tcBorders>
              <w:top w:val="single" w:color="auto" w:sz="4" w:space="0"/>
              <w:left w:val="single" w:color="auto" w:sz="4" w:space="0"/>
              <w:bottom w:val="single" w:color="auto" w:sz="4" w:space="0"/>
              <w:right w:val="single" w:color="auto" w:sz="4" w:space="0"/>
            </w:tcBorders>
            <w:vAlign w:val="center"/>
            <w:hideMark/>
          </w:tcPr>
          <w:p w:rsidRPr="0067592F" w:rsidR="008F361B" w:rsidP="00A54D30" w:rsidRDefault="008F361B" w14:paraId="3BA0F01E" w14:textId="77777777">
            <w:pPr>
              <w:contextualSpacing/>
              <w:rPr>
                <w:rFonts w:ascii="Verdana" w:hAnsi="Verdana" w:cs="Arial"/>
                <w:sz w:val="20"/>
                <w:szCs w:val="20"/>
                <w:lang w:val="es-ES"/>
              </w:rPr>
            </w:pPr>
            <w:r w:rsidRPr="0067592F">
              <w:rPr>
                <w:rFonts w:ascii="Verdana" w:hAnsi="Verdana" w:cs="Arial"/>
                <w:sz w:val="20"/>
                <w:szCs w:val="20"/>
              </w:rPr>
              <w:lastRenderedPageBreak/>
              <w:t>Entre uno (1) y cinco (5) años</w:t>
            </w:r>
          </w:p>
        </w:tc>
        <w:tc>
          <w:tcPr>
            <w:tcW w:w="5041" w:type="dxa"/>
            <w:tcBorders>
              <w:top w:val="single" w:color="auto" w:sz="4" w:space="0"/>
              <w:left w:val="single" w:color="auto" w:sz="4" w:space="0"/>
              <w:bottom w:val="single" w:color="auto" w:sz="4" w:space="0"/>
              <w:right w:val="single" w:color="auto" w:sz="4" w:space="0"/>
            </w:tcBorders>
            <w:vAlign w:val="center"/>
            <w:hideMark/>
          </w:tcPr>
          <w:p w:rsidRPr="0067592F" w:rsidR="008F361B" w:rsidP="00A54D30" w:rsidRDefault="008F361B" w14:paraId="28287AF4" w14:textId="77777777">
            <w:pPr>
              <w:contextualSpacing/>
              <w:rPr>
                <w:rFonts w:ascii="Verdana" w:hAnsi="Verdana" w:cs="Arial"/>
                <w:sz w:val="20"/>
                <w:szCs w:val="20"/>
                <w:lang w:val="es-ES"/>
              </w:rPr>
            </w:pPr>
            <w:r w:rsidRPr="0067592F">
              <w:rPr>
                <w:rFonts w:ascii="Verdana" w:hAnsi="Verdana" w:cs="Arial"/>
                <w:sz w:val="20"/>
                <w:szCs w:val="20"/>
              </w:rPr>
              <w:t>Mayor ingreso operacional de los años de vida del oferente</w:t>
            </w:r>
          </w:p>
        </w:tc>
      </w:tr>
      <w:tr w:rsidRPr="00666004" w:rsidR="008F361B" w:rsidTr="00A54D30" w14:paraId="22F5301B" w14:textId="77777777">
        <w:trPr>
          <w:jc w:val="center"/>
        </w:trPr>
        <w:tc>
          <w:tcPr>
            <w:tcW w:w="2481" w:type="dxa"/>
            <w:tcBorders>
              <w:top w:val="single" w:color="auto" w:sz="4" w:space="0"/>
              <w:left w:val="single" w:color="auto" w:sz="4" w:space="0"/>
              <w:bottom w:val="single" w:color="auto" w:sz="4" w:space="0"/>
              <w:right w:val="single" w:color="auto" w:sz="4" w:space="0"/>
            </w:tcBorders>
            <w:vAlign w:val="center"/>
            <w:hideMark/>
          </w:tcPr>
          <w:p w:rsidRPr="0067592F" w:rsidR="008F361B" w:rsidP="00A54D30" w:rsidRDefault="008F361B" w14:paraId="3E025663" w14:textId="77777777">
            <w:pPr>
              <w:contextualSpacing/>
              <w:rPr>
                <w:rFonts w:ascii="Verdana" w:hAnsi="Verdana" w:cs="Arial"/>
                <w:sz w:val="20"/>
                <w:szCs w:val="20"/>
                <w:lang w:val="es-ES"/>
              </w:rPr>
            </w:pPr>
            <w:r w:rsidRPr="0067592F">
              <w:rPr>
                <w:rFonts w:ascii="Verdana" w:hAnsi="Verdana" w:cs="Arial"/>
                <w:sz w:val="20"/>
                <w:szCs w:val="20"/>
              </w:rPr>
              <w:t>Menos de un (1) año</w:t>
            </w:r>
          </w:p>
        </w:tc>
        <w:tc>
          <w:tcPr>
            <w:tcW w:w="5041" w:type="dxa"/>
            <w:tcBorders>
              <w:top w:val="single" w:color="auto" w:sz="4" w:space="0"/>
              <w:left w:val="single" w:color="auto" w:sz="4" w:space="0"/>
              <w:bottom w:val="single" w:color="auto" w:sz="4" w:space="0"/>
              <w:right w:val="single" w:color="auto" w:sz="4" w:space="0"/>
            </w:tcBorders>
            <w:vAlign w:val="center"/>
            <w:hideMark/>
          </w:tcPr>
          <w:p w:rsidRPr="0067592F" w:rsidR="008F361B" w:rsidP="00A54D30" w:rsidRDefault="008F361B" w14:paraId="7AB8E9FB" w14:textId="77777777">
            <w:pPr>
              <w:contextualSpacing/>
              <w:rPr>
                <w:rFonts w:ascii="Verdana" w:hAnsi="Verdana" w:cs="Arial"/>
                <w:sz w:val="20"/>
                <w:szCs w:val="20"/>
                <w:lang w:val="es-ES"/>
              </w:rPr>
            </w:pPr>
            <w:r w:rsidRPr="0067592F">
              <w:rPr>
                <w:rFonts w:ascii="Verdana" w:hAnsi="Verdana" w:cs="Arial"/>
                <w:sz w:val="20"/>
                <w:szCs w:val="20"/>
              </w:rPr>
              <w:t>USD 125.000 (Liquidados a la tasa de cambio determinada por el Ministerio de Comercio, Industria y Turismo cada 2 años para efectos del umbral del beneficio de las Mipyme.)</w:t>
            </w:r>
          </w:p>
        </w:tc>
      </w:tr>
    </w:tbl>
    <w:p w:rsidRPr="00666004" w:rsidR="008F361B" w:rsidP="008F361B" w:rsidRDefault="008F361B" w14:paraId="33434145" w14:textId="77777777">
      <w:pPr>
        <w:spacing w:after="0" w:line="240" w:lineRule="auto"/>
        <w:jc w:val="both"/>
        <w:rPr>
          <w:rFonts w:ascii="Verdana" w:hAnsi="Verdana" w:eastAsia="Calibri" w:cs="Arial"/>
          <w:sz w:val="20"/>
          <w:szCs w:val="20"/>
          <w:lang w:val="es-ES"/>
        </w:rPr>
      </w:pPr>
    </w:p>
    <w:p w:rsidRPr="00666004" w:rsidR="008F361B" w:rsidP="008F361B" w:rsidRDefault="008F361B" w14:paraId="362BB627" w14:textId="77777777">
      <w:pPr>
        <w:spacing w:before="120" w:after="120" w:line="276" w:lineRule="auto"/>
        <w:jc w:val="both"/>
        <w:rPr>
          <w:rFonts w:ascii="Verdana" w:hAnsi="Verdana" w:eastAsia="Calibri" w:cs="Arial"/>
          <w:b/>
          <w:bCs/>
        </w:rPr>
      </w:pPr>
      <w:r w:rsidRPr="00666004">
        <w:rPr>
          <w:rFonts w:ascii="Verdana" w:hAnsi="Verdana" w:eastAsia="Calibri" w:cs="Arial"/>
          <w:b/>
          <w:bCs/>
          <w:lang w:val="es-ES" w:eastAsia="es-ES"/>
        </w:rPr>
        <w:t>GUÍA PARA DETERMINAR Y VERIFICAR LA CAPACIDAD RESIDUAL DEL PROPONENTE EN LOS PROCESOS DE CONTRATACIÓN DE OBRA PÚBLICA – Cálculo de la Capacidad Residual del Proponente – Capacidad de Organización</w:t>
      </w:r>
    </w:p>
    <w:p w:rsidR="008F361B" w:rsidP="008F361B" w:rsidRDefault="008F361B" w14:paraId="45F7D7F3" w14:textId="77777777">
      <w:pPr>
        <w:spacing w:after="0" w:line="240" w:lineRule="auto"/>
        <w:jc w:val="both"/>
        <w:rPr>
          <w:rFonts w:ascii="Verdana" w:hAnsi="Verdana" w:eastAsia="Calibri" w:cs="Arial"/>
          <w:sz w:val="20"/>
          <w:szCs w:val="20"/>
          <w:lang w:val="es-ES"/>
        </w:rPr>
      </w:pPr>
      <w:r w:rsidRPr="00666004">
        <w:rPr>
          <w:rFonts w:ascii="Verdana" w:hAnsi="Verdana" w:eastAsia="Calibri" w:cs="Arial"/>
          <w:sz w:val="20"/>
          <w:szCs w:val="20"/>
          <w:lang w:val="es-ES"/>
        </w:rPr>
        <w:t>[…] esta Agencia expidió la “Guía para Determinar y Verificar la Capacidad Residual del Proponente en los Procesos de Contratación de Obra Pública”. En este documento se establece, entre otras cuestiones, que a la entidad contratante le corresponde, primero, establecer la capacidad residual del proceso de contratación “CRPC” y, segundo, determinar si los proponentes cumplen con la capacidad residual del proceso de contratación, claro está, teniendo en cuenta la siguiente información aportada por el proponente: i) La lista de los Contratos en Ejecución, así como el valor y plazo de tales contratos. ii) La lista de los Contratos en Ejecución, suscritos por sociedades, consorcios o uniones temporales, en los cuales el proponente tenga participación, así como el valor y plazo de tales contratos. iii) El estado de resultados auditado que contiene el mejor ingreso operacional de los últimos cinco (5) años y el balance general auditado del último año, suscrito por el interesado o su representante legal y el revisor fiscal si está obligado a tenerlo, o el auditor o contador si no está obligado a tener revisor fiscal. Si se trata de proponentes obligados a tener RUP, las Entidades Estatales solo deben solicitar como documento adicional el estado de resultados que contiene el mejor ingreso operacional de los últimos cinco (5) años puesto que la información de la liquidez se encuentra en el RUP.</w:t>
      </w:r>
    </w:p>
    <w:p w:rsidRPr="00666004" w:rsidR="008F361B" w:rsidP="008F361B" w:rsidRDefault="008F361B" w14:paraId="502460B0" w14:textId="77777777">
      <w:pPr>
        <w:spacing w:after="0" w:line="240" w:lineRule="auto"/>
        <w:jc w:val="both"/>
        <w:rPr>
          <w:rFonts w:ascii="Verdana" w:hAnsi="Verdana" w:eastAsia="Calibri" w:cs="Arial"/>
          <w:sz w:val="20"/>
          <w:szCs w:val="20"/>
          <w:lang w:val="es-ES"/>
        </w:rPr>
      </w:pPr>
    </w:p>
    <w:p w:rsidRPr="00666004" w:rsidR="008F361B" w:rsidP="008F361B" w:rsidRDefault="008F361B" w14:paraId="1E9E30DB" w14:textId="77777777">
      <w:pPr>
        <w:spacing w:before="120" w:after="120" w:line="276" w:lineRule="auto"/>
        <w:jc w:val="both"/>
        <w:rPr>
          <w:rFonts w:ascii="Verdana" w:hAnsi="Verdana" w:eastAsia="Calibri" w:cs="Arial"/>
          <w:b/>
          <w:bCs/>
          <w:lang w:val="es-ES" w:eastAsia="es-ES"/>
        </w:rPr>
      </w:pPr>
      <w:r w:rsidRPr="00666004">
        <w:rPr>
          <w:rFonts w:ascii="Verdana" w:hAnsi="Verdana" w:eastAsia="Calibri" w:cs="Arial"/>
          <w:b/>
          <w:bCs/>
          <w:lang w:val="es-ES" w:eastAsia="es-ES"/>
        </w:rPr>
        <w:t>PLIEGO DE CONDICIONES – Facultad de interpretación o Hermenéutica</w:t>
      </w:r>
    </w:p>
    <w:p w:rsidRPr="000E748E" w:rsidR="008F361B" w:rsidP="008F361B" w:rsidRDefault="008F361B" w14:paraId="35C51122" w14:textId="77777777">
      <w:pPr>
        <w:spacing w:after="0" w:line="240" w:lineRule="auto"/>
        <w:jc w:val="both"/>
        <w:rPr>
          <w:rFonts w:ascii="Verdana" w:hAnsi="Verdana" w:eastAsia="Calibri" w:cs="Arial"/>
          <w:sz w:val="20"/>
          <w:szCs w:val="20"/>
          <w:lang w:val="es-ES"/>
        </w:rPr>
      </w:pPr>
      <w:r w:rsidRPr="000E748E">
        <w:rPr>
          <w:rFonts w:ascii="Verdana" w:hAnsi="Verdana" w:eastAsia="Calibri" w:cs="Arial"/>
          <w:sz w:val="20"/>
          <w:szCs w:val="20"/>
          <w:lang w:val="es-ES"/>
        </w:rPr>
        <w:t>El Consejo de Estado respecto de la facultad de interpretación o hermenéutica de los pliegos de condiciones ha indicado:</w:t>
      </w:r>
    </w:p>
    <w:p w:rsidRPr="000E748E" w:rsidR="008F361B" w:rsidP="008F361B" w:rsidRDefault="008F361B" w14:paraId="642F1B71" w14:textId="77777777">
      <w:pPr>
        <w:spacing w:after="0" w:line="240" w:lineRule="auto"/>
        <w:jc w:val="both"/>
        <w:rPr>
          <w:rFonts w:ascii="Verdana" w:hAnsi="Verdana" w:eastAsia="Calibri" w:cs="Arial"/>
          <w:sz w:val="20"/>
          <w:szCs w:val="20"/>
          <w:lang w:val="es-ES"/>
        </w:rPr>
      </w:pPr>
    </w:p>
    <w:p w:rsidRPr="000E748E" w:rsidR="008F361B" w:rsidP="008F361B" w:rsidRDefault="008F361B" w14:paraId="7E3CB2EF" w14:textId="77777777">
      <w:pPr>
        <w:spacing w:after="0" w:line="240" w:lineRule="auto"/>
        <w:jc w:val="both"/>
        <w:rPr>
          <w:rFonts w:ascii="Verdana" w:hAnsi="Verdana" w:eastAsia="Calibri" w:cs="Arial"/>
          <w:sz w:val="20"/>
          <w:szCs w:val="20"/>
          <w:lang w:val="es-ES"/>
        </w:rPr>
      </w:pPr>
      <w:r w:rsidRPr="000E748E">
        <w:rPr>
          <w:rFonts w:ascii="Verdana" w:hAnsi="Verdana" w:eastAsia="Calibri" w:cs="Arial"/>
          <w:i/>
          <w:iCs/>
          <w:sz w:val="20"/>
          <w:szCs w:val="20"/>
          <w:lang w:val="es-ES"/>
        </w:rPr>
        <w:t xml:space="preserve">“De allí que haya lugar a diferenciar entre la potestad discrecional de la administración, de la facultad de interpretación o hermenéutica, esta última permitida no sólo por la ley –de manera expresa– sino necesaria para llenar los vacíos o lagunas que se presenten en el pliego o, en su defecto, las antinomias que puedan desprenderse del texto, exégesis que estará ceñida a los principios generales del derecho (público y privado), a los de la función administrativa, a la finalidad del pliego, y a la protección del interés general. Como se aprecia, </w:t>
      </w:r>
      <w:r w:rsidRPr="000E748E">
        <w:rPr>
          <w:rFonts w:ascii="Verdana" w:hAnsi="Verdana" w:eastAsia="Calibri" w:cs="Arial"/>
          <w:b/>
          <w:bCs/>
          <w:i/>
          <w:iCs/>
          <w:sz w:val="20"/>
          <w:szCs w:val="20"/>
          <w:u w:val="single"/>
          <w:lang w:val="es-ES"/>
        </w:rPr>
        <w:t>la ley avala la posibilidad de que la administración interprete el pliego de condiciones, con miras a que ciertas formalidades no sacrifiquen la eficiencia y eficacia del proceso de escogencia del contratista</w:t>
      </w:r>
      <w:r w:rsidRPr="000E748E">
        <w:rPr>
          <w:rFonts w:ascii="Verdana" w:hAnsi="Verdana" w:eastAsia="Calibri" w:cs="Arial"/>
          <w:i/>
          <w:iCs/>
          <w:sz w:val="20"/>
          <w:szCs w:val="20"/>
          <w:lang w:val="es-ES"/>
        </w:rPr>
        <w:t>; corresponderá, por ende, a la entidad respectiva la valoración de la respectiva disposición para determinar si el requisito inobservado es sustancial o simplemente formal y, por lo tanto, si es posible su subsanación sin afectar los principios de igualdad y de selección objetiva. Así las cosas, los pliegos de condiciones al estar contenidos en un acto jurídico mixto que, en cierto modo, contienen descripciones generales –sin que ello lo convierta en un reglamento– para que se surta el proceso de selección, es posible que sea viable su hermenéutica o interpretación, bien porque se hace necesario para solucionar un problema estrictamente formal de una propuesta –y por consiguiente determinar su admisibilidad y evaluación– ora porque es preciso determinar el contenido y alcance de una de las cláusulas o disposiciones fijadas.” (negrilla y subrayado no son del texto original).</w:t>
      </w:r>
    </w:p>
    <w:p w:rsidR="008F361B" w:rsidP="008F361B" w:rsidRDefault="008F361B" w14:paraId="79A988CF" w14:textId="77777777">
      <w:pPr>
        <w:spacing w:after="0" w:line="240" w:lineRule="auto"/>
        <w:jc w:val="both"/>
        <w:rPr>
          <w:rFonts w:ascii="Verdana" w:hAnsi="Verdana" w:eastAsia="Calibri" w:cs="Arial"/>
          <w:sz w:val="20"/>
          <w:szCs w:val="20"/>
          <w:lang w:val="es-ES"/>
        </w:rPr>
      </w:pPr>
    </w:p>
    <w:p w:rsidRPr="00666004" w:rsidR="008F361B" w:rsidP="008F361B" w:rsidRDefault="008F361B" w14:paraId="77F2757E" w14:textId="77777777">
      <w:pPr>
        <w:spacing w:after="0" w:line="240" w:lineRule="auto"/>
        <w:jc w:val="both"/>
        <w:rPr>
          <w:rFonts w:ascii="Verdana" w:hAnsi="Verdana" w:eastAsia="Calibri" w:cs="Arial"/>
          <w:sz w:val="20"/>
          <w:szCs w:val="20"/>
          <w:lang w:val="es-ES"/>
        </w:rPr>
      </w:pPr>
      <w:r w:rsidRPr="00666004">
        <w:rPr>
          <w:rFonts w:ascii="Verdana" w:hAnsi="Verdana" w:eastAsia="Calibri" w:cs="Arial"/>
          <w:sz w:val="20"/>
          <w:szCs w:val="20"/>
          <w:lang w:val="es-ES"/>
        </w:rPr>
        <w:t>[…]</w:t>
      </w:r>
    </w:p>
    <w:p w:rsidR="008F361B" w:rsidP="008F361B" w:rsidRDefault="008F361B" w14:paraId="2B924C33" w14:textId="77777777">
      <w:pPr>
        <w:spacing w:after="0" w:line="240" w:lineRule="auto"/>
        <w:jc w:val="both"/>
        <w:rPr>
          <w:rFonts w:ascii="Verdana" w:hAnsi="Verdana" w:eastAsia="Calibri" w:cs="Arial"/>
          <w:sz w:val="20"/>
          <w:szCs w:val="20"/>
          <w:lang w:val="es-ES"/>
        </w:rPr>
      </w:pPr>
    </w:p>
    <w:p w:rsidRPr="00900C27" w:rsidR="008F361B" w:rsidP="008F361B" w:rsidRDefault="008F361B" w14:paraId="268209E2" w14:textId="77777777">
      <w:pPr>
        <w:spacing w:after="0" w:line="240" w:lineRule="auto"/>
        <w:jc w:val="both"/>
        <w:rPr>
          <w:rFonts w:ascii="Verdana" w:hAnsi="Verdana" w:eastAsia="Calibri" w:cs="Arial"/>
          <w:sz w:val="20"/>
          <w:szCs w:val="20"/>
          <w:lang w:val="es-ES"/>
        </w:rPr>
      </w:pPr>
      <w:r w:rsidRPr="00900C27">
        <w:rPr>
          <w:rFonts w:ascii="Verdana" w:hAnsi="Verdana" w:eastAsia="Calibri" w:cs="Arial"/>
          <w:sz w:val="20"/>
          <w:szCs w:val="20"/>
          <w:lang w:val="es-ES"/>
        </w:rPr>
        <w:t>Si bien el pliego de condiciones debe contener toda la información necesaria para que el proyecto se lleve a cabo, es posible que en su confección se dejen vacíos, los cuales al momento de evaluación de las ofertas pueden ser llenados vía interpretación por las entidades estatales siempre y cuando se respeten los principios de la contratación estatal.</w:t>
      </w:r>
    </w:p>
    <w:p w:rsidRPr="00666004" w:rsidR="008F361B" w:rsidP="008F361B" w:rsidRDefault="008F361B" w14:paraId="65C1F645" w14:textId="77777777">
      <w:pPr>
        <w:spacing w:after="0" w:line="240" w:lineRule="auto"/>
        <w:jc w:val="both"/>
        <w:rPr>
          <w:rFonts w:ascii="Verdana" w:hAnsi="Verdana" w:eastAsia="Calibri" w:cs="Arial"/>
          <w:sz w:val="20"/>
          <w:szCs w:val="20"/>
          <w:lang w:val="es-ES"/>
        </w:rPr>
      </w:pPr>
    </w:p>
    <w:p w:rsidR="008F361B" w:rsidP="008F361B" w:rsidRDefault="008F361B" w14:paraId="5D11A6BB" w14:textId="77777777">
      <w:pPr>
        <w:spacing w:after="0" w:line="240" w:lineRule="auto"/>
        <w:rPr>
          <w:rFonts w:ascii="Verdana" w:hAnsi="Verdana" w:eastAsia="Calibri" w:cs="Arial"/>
          <w:color w:val="7030A0"/>
          <w:sz w:val="20"/>
          <w:szCs w:val="20"/>
          <w:lang w:val="es-ES"/>
        </w:rPr>
      </w:pPr>
    </w:p>
    <w:p w:rsidR="008F361B" w:rsidP="008F361B" w:rsidRDefault="008F361B" w14:paraId="093642D5" w14:textId="77777777">
      <w:pPr>
        <w:spacing w:after="0" w:line="240" w:lineRule="auto"/>
        <w:rPr>
          <w:rFonts w:ascii="Verdana" w:hAnsi="Verdana" w:eastAsia="Calibri" w:cs="Arial"/>
          <w:color w:val="7030A0"/>
          <w:sz w:val="20"/>
          <w:szCs w:val="20"/>
          <w:lang w:val="es-ES"/>
        </w:rPr>
      </w:pPr>
    </w:p>
    <w:p w:rsidR="008F361B" w:rsidP="008F361B" w:rsidRDefault="008F361B" w14:paraId="01AE9244" w14:textId="77777777">
      <w:pPr>
        <w:spacing w:after="0" w:line="240" w:lineRule="auto"/>
        <w:rPr>
          <w:rFonts w:ascii="Verdana" w:hAnsi="Verdana" w:eastAsia="Calibri" w:cs="Arial"/>
          <w:color w:val="7030A0"/>
          <w:sz w:val="20"/>
          <w:szCs w:val="20"/>
          <w:lang w:val="es-ES"/>
        </w:rPr>
      </w:pPr>
    </w:p>
    <w:p w:rsidR="008F361B" w:rsidP="008F361B" w:rsidRDefault="008F361B" w14:paraId="212DE69D" w14:textId="77777777">
      <w:pPr>
        <w:spacing w:after="0" w:line="240" w:lineRule="auto"/>
        <w:rPr>
          <w:rFonts w:ascii="Verdana" w:hAnsi="Verdana" w:eastAsia="Calibri" w:cs="Arial"/>
          <w:color w:val="7030A0"/>
          <w:sz w:val="20"/>
          <w:szCs w:val="20"/>
          <w:lang w:val="es-ES"/>
        </w:rPr>
      </w:pPr>
    </w:p>
    <w:p w:rsidR="008F361B" w:rsidP="008F361B" w:rsidRDefault="008F361B" w14:paraId="78F4D972" w14:textId="77777777">
      <w:pPr>
        <w:spacing w:after="0" w:line="240" w:lineRule="auto"/>
        <w:rPr>
          <w:rFonts w:ascii="Verdana" w:hAnsi="Verdana" w:eastAsia="Calibri" w:cs="Arial"/>
          <w:color w:val="7030A0"/>
          <w:sz w:val="20"/>
          <w:szCs w:val="20"/>
          <w:lang w:val="es-ES"/>
        </w:rPr>
      </w:pPr>
    </w:p>
    <w:p w:rsidR="008F361B" w:rsidP="008F361B" w:rsidRDefault="008F361B" w14:paraId="6446D509" w14:textId="77777777">
      <w:pPr>
        <w:spacing w:after="0" w:line="240" w:lineRule="auto"/>
        <w:rPr>
          <w:rFonts w:ascii="Verdana" w:hAnsi="Verdana" w:eastAsia="Calibri" w:cs="Arial"/>
          <w:color w:val="7030A0"/>
          <w:sz w:val="20"/>
          <w:szCs w:val="20"/>
          <w:lang w:val="es-ES"/>
        </w:rPr>
      </w:pPr>
    </w:p>
    <w:p w:rsidR="008F361B" w:rsidP="008F361B" w:rsidRDefault="008F361B" w14:paraId="0C67A665" w14:textId="77777777">
      <w:pPr>
        <w:spacing w:after="0" w:line="240" w:lineRule="auto"/>
        <w:rPr>
          <w:rFonts w:ascii="Verdana" w:hAnsi="Verdana" w:eastAsia="Calibri" w:cs="Arial"/>
          <w:color w:val="7030A0"/>
          <w:sz w:val="20"/>
          <w:szCs w:val="20"/>
          <w:lang w:val="es-ES"/>
        </w:rPr>
      </w:pPr>
    </w:p>
    <w:p w:rsidR="008F361B" w:rsidP="008F361B" w:rsidRDefault="008F361B" w14:paraId="7F672849" w14:textId="77777777">
      <w:pPr>
        <w:spacing w:after="0" w:line="240" w:lineRule="auto"/>
        <w:rPr>
          <w:rFonts w:ascii="Verdana" w:hAnsi="Verdana" w:eastAsia="Calibri" w:cs="Arial"/>
          <w:color w:val="7030A0"/>
          <w:sz w:val="20"/>
          <w:szCs w:val="20"/>
          <w:lang w:val="es-ES"/>
        </w:rPr>
      </w:pPr>
    </w:p>
    <w:p w:rsidR="008F361B" w:rsidP="008F361B" w:rsidRDefault="008F361B" w14:paraId="3381702E" w14:textId="77777777">
      <w:pPr>
        <w:spacing w:after="0" w:line="240" w:lineRule="auto"/>
        <w:rPr>
          <w:rFonts w:ascii="Verdana" w:hAnsi="Verdana" w:eastAsia="Calibri" w:cs="Arial"/>
          <w:color w:val="7030A0"/>
          <w:sz w:val="20"/>
          <w:szCs w:val="20"/>
          <w:lang w:val="es-ES"/>
        </w:rPr>
      </w:pPr>
    </w:p>
    <w:p w:rsidR="008F361B" w:rsidP="008F361B" w:rsidRDefault="008F361B" w14:paraId="07B971B3" w14:textId="77777777">
      <w:pPr>
        <w:spacing w:after="0" w:line="240" w:lineRule="auto"/>
        <w:rPr>
          <w:rFonts w:ascii="Verdana" w:hAnsi="Verdana" w:eastAsia="Calibri" w:cs="Arial"/>
          <w:color w:val="7030A0"/>
          <w:sz w:val="20"/>
          <w:szCs w:val="20"/>
          <w:lang w:val="es-ES"/>
        </w:rPr>
      </w:pPr>
    </w:p>
    <w:p w:rsidR="008F361B" w:rsidP="008F361B" w:rsidRDefault="008F361B" w14:paraId="704BA376" w14:textId="77777777">
      <w:pPr>
        <w:spacing w:after="0" w:line="240" w:lineRule="auto"/>
        <w:rPr>
          <w:rFonts w:ascii="Verdana" w:hAnsi="Verdana" w:eastAsia="Calibri" w:cs="Arial"/>
          <w:color w:val="7030A0"/>
          <w:sz w:val="20"/>
          <w:szCs w:val="20"/>
          <w:lang w:val="es-ES"/>
        </w:rPr>
      </w:pPr>
    </w:p>
    <w:p w:rsidR="008F361B" w:rsidP="008F361B" w:rsidRDefault="008F361B" w14:paraId="20CAD1FE" w14:textId="77777777">
      <w:pPr>
        <w:spacing w:after="0" w:line="240" w:lineRule="auto"/>
        <w:rPr>
          <w:rFonts w:ascii="Verdana" w:hAnsi="Verdana" w:eastAsia="Calibri" w:cs="Arial"/>
          <w:color w:val="7030A0"/>
          <w:sz w:val="20"/>
          <w:szCs w:val="20"/>
          <w:lang w:val="es-ES"/>
        </w:rPr>
      </w:pPr>
    </w:p>
    <w:p w:rsidR="00213636" w:rsidP="30821638" w:rsidRDefault="00213636" w14:paraId="0CCD883C" w14:textId="77777777">
      <w:pPr>
        <w:spacing w:after="0"/>
        <w:rPr>
          <w:rFonts w:ascii="Verdana" w:hAnsi="Verdana" w:eastAsia="Geomanist Light" w:cs="Arial"/>
          <w:color w:val="000000" w:themeColor="text1"/>
          <w:sz w:val="20"/>
          <w:szCs w:val="20"/>
        </w:rPr>
      </w:pPr>
    </w:p>
    <w:p w:rsidR="008F361B" w:rsidP="30821638" w:rsidRDefault="008F361B" w14:paraId="314A531C" w14:textId="77777777">
      <w:pPr>
        <w:spacing w:after="0"/>
        <w:rPr>
          <w:rFonts w:ascii="Verdana" w:hAnsi="Verdana" w:eastAsia="Verdana" w:cs="Verdana"/>
        </w:rPr>
      </w:pPr>
    </w:p>
    <w:p w:rsidR="00213636" w:rsidP="30821638" w:rsidRDefault="00213636" w14:paraId="6D681FB4" w14:textId="77777777">
      <w:pPr>
        <w:spacing w:after="0"/>
        <w:rPr>
          <w:rFonts w:ascii="Verdana" w:hAnsi="Verdana" w:eastAsia="Verdana" w:cs="Verdana"/>
        </w:rPr>
      </w:pPr>
    </w:p>
    <w:p w:rsidR="00213636" w:rsidP="30821638" w:rsidRDefault="00213636" w14:paraId="4A7110F0" w14:textId="77777777">
      <w:pPr>
        <w:spacing w:after="0"/>
        <w:rPr>
          <w:rFonts w:ascii="Verdana" w:hAnsi="Verdana" w:eastAsia="Verdana" w:cs="Verdana"/>
        </w:rPr>
      </w:pPr>
    </w:p>
    <w:p w:rsidR="00213636" w:rsidP="30821638" w:rsidRDefault="00213636" w14:paraId="14A20F86" w14:textId="77777777">
      <w:pPr>
        <w:spacing w:after="0"/>
        <w:rPr>
          <w:rFonts w:ascii="Verdana" w:hAnsi="Verdana" w:eastAsia="Verdana" w:cs="Verdana"/>
        </w:rPr>
      </w:pPr>
    </w:p>
    <w:p w:rsidR="00213636" w:rsidP="30821638" w:rsidRDefault="00213636" w14:paraId="5C2788C6" w14:textId="77777777">
      <w:pPr>
        <w:spacing w:after="0"/>
        <w:rPr>
          <w:rFonts w:ascii="Verdana" w:hAnsi="Verdana" w:eastAsia="Verdana" w:cs="Verdana"/>
        </w:rPr>
      </w:pPr>
    </w:p>
    <w:p w:rsidR="00B12AC3" w:rsidP="30821638" w:rsidRDefault="00B12AC3" w14:paraId="653CF63C" w14:textId="77777777">
      <w:pPr>
        <w:spacing w:after="0"/>
        <w:rPr>
          <w:rFonts w:ascii="Verdana" w:hAnsi="Verdana" w:eastAsia="Verdana" w:cs="Verdana"/>
        </w:rPr>
      </w:pPr>
    </w:p>
    <w:p w:rsidR="00B12AC3" w:rsidP="30821638" w:rsidRDefault="00B12AC3" w14:paraId="3A062E0A" w14:textId="77777777">
      <w:pPr>
        <w:spacing w:after="0"/>
        <w:rPr>
          <w:rFonts w:ascii="Verdana" w:hAnsi="Verdana" w:eastAsia="Verdana" w:cs="Verdana"/>
        </w:rPr>
      </w:pPr>
    </w:p>
    <w:p w:rsidR="00B12AC3" w:rsidP="30821638" w:rsidRDefault="00B12AC3" w14:paraId="024CDBC5" w14:textId="77777777">
      <w:pPr>
        <w:spacing w:after="0"/>
        <w:rPr>
          <w:rFonts w:ascii="Verdana" w:hAnsi="Verdana" w:eastAsia="Verdana" w:cs="Verdana"/>
        </w:rPr>
      </w:pPr>
    </w:p>
    <w:p w:rsidR="00B12AC3" w:rsidP="30821638" w:rsidRDefault="00B12AC3" w14:paraId="2EAE6200" w14:textId="77777777">
      <w:pPr>
        <w:spacing w:after="0"/>
        <w:rPr>
          <w:rFonts w:ascii="Verdana" w:hAnsi="Verdana" w:eastAsia="Verdana" w:cs="Verdana"/>
        </w:rPr>
      </w:pPr>
    </w:p>
    <w:p w:rsidR="00B61188" w:rsidP="30821638" w:rsidRDefault="00B61188" w14:paraId="77F00367" w14:textId="77777777">
      <w:pPr>
        <w:spacing w:after="0"/>
        <w:rPr>
          <w:rFonts w:ascii="Verdana" w:hAnsi="Verdana" w:eastAsia="Verdana" w:cs="Verdana"/>
        </w:rPr>
      </w:pPr>
    </w:p>
    <w:p w:rsidRPr="0024624F" w:rsidR="00E60209" w:rsidP="30821638" w:rsidRDefault="004A4742" w14:paraId="569B6FB5" w14:textId="1483CC93">
      <w:pPr>
        <w:spacing w:after="0"/>
        <w:rPr>
          <w:rFonts w:ascii="Verdana" w:hAnsi="Verdana" w:eastAsia="Verdana" w:cs="Verdana"/>
        </w:rPr>
      </w:pPr>
      <w:r w:rsidRPr="004A4742">
        <w:rPr>
          <w:rFonts w:ascii="Verdana" w:hAnsi="Verdana" w:eastAsia="Verdana" w:cs="Verdana"/>
          <w:noProof/>
        </w:rPr>
        <w:drawing>
          <wp:anchor distT="0" distB="0" distL="114300" distR="114300" simplePos="0" relativeHeight="251659265" behindDoc="1" locked="0" layoutInCell="1" allowOverlap="1" wp14:anchorId="1A353794" wp14:editId="4C67AAA0">
            <wp:simplePos x="0" y="0"/>
            <wp:positionH relativeFrom="column">
              <wp:posOffset>3768090</wp:posOffset>
            </wp:positionH>
            <wp:positionV relativeFrom="paragraph">
              <wp:posOffset>0</wp:posOffset>
            </wp:positionV>
            <wp:extent cx="2280920" cy="836295"/>
            <wp:effectExtent l="0" t="0" r="5080" b="1905"/>
            <wp:wrapTight wrapText="bothSides">
              <wp:wrapPolygon edited="0">
                <wp:start x="0" y="0"/>
                <wp:lineTo x="0" y="21157"/>
                <wp:lineTo x="21468" y="21157"/>
                <wp:lineTo x="21468" y="0"/>
                <wp:lineTo x="0" y="0"/>
              </wp:wrapPolygon>
            </wp:wrapTight>
            <wp:docPr id="21077666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0920" cy="836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30821638" w:rsidR="00C15139">
        <w:rPr>
          <w:rFonts w:ascii="Verdana" w:hAnsi="Verdana" w:eastAsia="Verdana" w:cs="Verdana"/>
        </w:rPr>
        <w:t xml:space="preserve">Bogotá D.C., </w:t>
      </w:r>
      <w:r>
        <w:rPr>
          <w:rFonts w:ascii="Verdana" w:hAnsi="Verdana" w:eastAsia="Verdana" w:cs="Verdana"/>
        </w:rPr>
        <w:t xml:space="preserve">22 junio 2026 </w:t>
      </w:r>
      <w:r w:rsidR="00C15139">
        <w:tab/>
      </w:r>
      <w:r w:rsidR="00C15139">
        <w:br/>
      </w:r>
      <w:r w:rsidR="00C15139">
        <w:tab/>
      </w:r>
    </w:p>
    <w:p w:rsidRPr="00AF1D02" w:rsidR="002A0DD0" w:rsidP="30821638" w:rsidRDefault="00AF1D02" w14:paraId="3B27AFCD" w14:textId="72D6E903">
      <w:pPr>
        <w:spacing w:after="0" w:line="240" w:lineRule="auto"/>
        <w:jc w:val="both"/>
        <w:rPr>
          <w:rFonts w:ascii="Verdana" w:hAnsi="Verdana" w:eastAsia="Verdana" w:cs="Verdana"/>
          <w:lang w:val="es-MX"/>
        </w:rPr>
      </w:pPr>
      <w:r w:rsidRPr="00AF1D02">
        <w:rPr>
          <w:rFonts w:ascii="Verdana" w:hAnsi="Verdana" w:eastAsia="Verdana" w:cs="Verdana"/>
          <w:lang w:val="es-MX"/>
        </w:rPr>
        <w:t xml:space="preserve">Señora </w:t>
      </w:r>
    </w:p>
    <w:p w:rsidR="00AF1D02" w:rsidP="30821638" w:rsidRDefault="00AF1D02" w14:paraId="39D91C1E" w14:textId="77777777">
      <w:pPr>
        <w:spacing w:after="0" w:line="240" w:lineRule="auto"/>
        <w:jc w:val="both"/>
        <w:rPr>
          <w:rFonts w:ascii="Verdana" w:hAnsi="Verdana" w:eastAsia="Verdana" w:cs="Verdana"/>
          <w:b/>
          <w:bCs/>
          <w:lang w:val="es-MX"/>
        </w:rPr>
      </w:pPr>
      <w:r>
        <w:rPr>
          <w:rFonts w:ascii="Verdana" w:hAnsi="Verdana" w:eastAsia="Verdana" w:cs="Verdana"/>
          <w:b/>
          <w:bCs/>
          <w:lang w:val="es-MX"/>
        </w:rPr>
        <w:t>Cammila Martínez Montoya</w:t>
      </w:r>
    </w:p>
    <w:p w:rsidR="0039075E" w:rsidP="30821638" w:rsidRDefault="0039075E" w14:paraId="3E625561" w14:textId="39771AFF">
      <w:pPr>
        <w:spacing w:after="0" w:line="240" w:lineRule="auto"/>
        <w:jc w:val="both"/>
        <w:rPr>
          <w:rFonts w:ascii="Verdana" w:hAnsi="Verdana" w:eastAsia="Verdana" w:cs="Verdana"/>
          <w:b/>
          <w:bCs/>
          <w:lang w:val="es-MX"/>
        </w:rPr>
      </w:pPr>
      <w:hyperlink w:history="1" r:id="rId12">
        <w:r w:rsidRPr="00D93B5D">
          <w:rPr>
            <w:rStyle w:val="Hipervnculo"/>
            <w:rFonts w:ascii="Verdana" w:hAnsi="Verdana" w:eastAsia="Verdana" w:cs="Verdana"/>
            <w:lang w:val="es-MX"/>
          </w:rPr>
          <w:t>Camimartinezm04@gmail.com</w:t>
        </w:r>
      </w:hyperlink>
    </w:p>
    <w:p w:rsidRPr="00B61188" w:rsidR="00AF1D02" w:rsidP="30821638" w:rsidRDefault="00000610" w14:paraId="3FF859E8" w14:textId="79ED7498">
      <w:pPr>
        <w:spacing w:after="0" w:line="240" w:lineRule="auto"/>
        <w:jc w:val="both"/>
        <w:rPr>
          <w:rFonts w:ascii="Verdana" w:hAnsi="Verdana" w:eastAsia="Verdana" w:cs="Verdana"/>
          <w:lang w:val="es-MX"/>
        </w:rPr>
      </w:pPr>
      <w:r w:rsidRPr="00000610">
        <w:rPr>
          <w:rFonts w:ascii="Verdana" w:hAnsi="Verdana" w:eastAsia="Verdana" w:cs="Verdana"/>
          <w:lang w:val="es-MX"/>
        </w:rPr>
        <w:t>Ciudad</w:t>
      </w:r>
    </w:p>
    <w:p w:rsidR="00000610" w:rsidP="30821638" w:rsidRDefault="00000610" w14:paraId="583C0CAE" w14:textId="77777777">
      <w:pPr>
        <w:spacing w:after="0" w:line="240" w:lineRule="auto"/>
        <w:jc w:val="both"/>
        <w:rPr>
          <w:rFonts w:ascii="Verdana" w:hAnsi="Verdana" w:eastAsia="Verdana" w:cs="Verdana"/>
          <w:b/>
          <w:bCs/>
          <w:lang w:val="es-MX"/>
        </w:rPr>
      </w:pPr>
    </w:p>
    <w:tbl>
      <w:tblPr>
        <w:tblStyle w:val="Tablaconcuadrcula"/>
        <w:tblW w:w="8510"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2410"/>
        <w:gridCol w:w="6100"/>
      </w:tblGrid>
      <w:tr w:rsidRPr="00274444" w:rsidR="00E5712B" w:rsidTr="00A54D30" w14:paraId="14DEEEC3" w14:textId="77777777">
        <w:trPr>
          <w:trHeight w:val="300"/>
        </w:trPr>
        <w:tc>
          <w:tcPr>
            <w:tcW w:w="2410" w:type="dxa"/>
          </w:tcPr>
          <w:p w:rsidRPr="00274444" w:rsidR="00E5712B" w:rsidP="005042BD" w:rsidRDefault="00E5712B" w14:paraId="79B1ED0E" w14:textId="77777777">
            <w:pPr>
              <w:jc w:val="both"/>
              <w:rPr>
                <w:rFonts w:ascii="Verdana" w:hAnsi="Verdana" w:eastAsia="Calibri" w:cs="Arial"/>
                <w:b/>
                <w:bCs/>
                <w:color w:val="000000" w:themeColor="text1"/>
                <w:lang w:val="es-ES" w:eastAsia="es-ES_tradnl"/>
              </w:rPr>
            </w:pPr>
          </w:p>
        </w:tc>
        <w:tc>
          <w:tcPr>
            <w:tcW w:w="6100" w:type="dxa"/>
          </w:tcPr>
          <w:p w:rsidRPr="00274444" w:rsidR="00E5712B" w:rsidP="00B61188" w:rsidRDefault="00E5712B" w14:paraId="39E03B5B" w14:textId="77777777">
            <w:pPr>
              <w:jc w:val="both"/>
              <w:rPr>
                <w:rFonts w:ascii="Verdana" w:hAnsi="Verdana" w:eastAsia="Calibri" w:cs="Arial"/>
                <w:b/>
                <w:bCs/>
                <w:color w:val="000000" w:themeColor="text1"/>
                <w:lang w:val="es-ES" w:eastAsia="es-ES"/>
              </w:rPr>
            </w:pPr>
          </w:p>
          <w:p w:rsidR="00E5712B" w:rsidP="00A54D30" w:rsidRDefault="00E5712B" w14:paraId="6A51E2E7" w14:textId="77777777">
            <w:pPr>
              <w:ind w:left="3"/>
              <w:jc w:val="both"/>
              <w:rPr>
                <w:rFonts w:ascii="Verdana" w:hAnsi="Verdana" w:eastAsia="Calibri" w:cs="Arial"/>
                <w:b/>
                <w:bCs/>
                <w:color w:val="000000" w:themeColor="text1"/>
                <w:lang w:val="es-ES" w:eastAsia="es-ES"/>
              </w:rPr>
            </w:pPr>
          </w:p>
          <w:p w:rsidRPr="00274444" w:rsidR="00E5712B" w:rsidP="00A54D30" w:rsidRDefault="00E5712B" w14:paraId="627AB7BE" w14:textId="0DDFA132">
            <w:pPr>
              <w:ind w:left="3"/>
              <w:jc w:val="both"/>
              <w:rPr>
                <w:rFonts w:ascii="Verdana" w:hAnsi="Verdana" w:eastAsia="Calibri" w:cs="Arial"/>
                <w:b/>
                <w:bCs/>
                <w:color w:val="000000" w:themeColor="text1"/>
                <w:lang w:val="es-ES" w:eastAsia="es-ES"/>
              </w:rPr>
            </w:pPr>
            <w:r w:rsidRPr="00274444">
              <w:rPr>
                <w:rFonts w:ascii="Verdana" w:hAnsi="Verdana" w:eastAsia="Calibri" w:cs="Arial"/>
                <w:b/>
                <w:bCs/>
                <w:color w:val="000000" w:themeColor="text1"/>
                <w:lang w:val="es-ES" w:eastAsia="es-ES"/>
              </w:rPr>
              <w:t>Concepto C-</w:t>
            </w:r>
            <w:r w:rsidR="00291414">
              <w:rPr>
                <w:rFonts w:ascii="Verdana" w:hAnsi="Verdana" w:eastAsia="Calibri" w:cs="Arial"/>
                <w:b/>
                <w:bCs/>
                <w:color w:val="000000" w:themeColor="text1"/>
                <w:lang w:val="es-ES" w:eastAsia="es-ES"/>
              </w:rPr>
              <w:t>785</w:t>
            </w:r>
            <w:r w:rsidRPr="00274444">
              <w:rPr>
                <w:rFonts w:ascii="Verdana" w:hAnsi="Verdana" w:eastAsia="Calibri" w:cs="Arial"/>
                <w:b/>
                <w:bCs/>
                <w:color w:val="000000" w:themeColor="text1"/>
                <w:lang w:val="es-ES" w:eastAsia="es-ES"/>
              </w:rPr>
              <w:t xml:space="preserve"> de 2026</w:t>
            </w:r>
          </w:p>
          <w:p w:rsidRPr="00274444" w:rsidR="00E5712B" w:rsidP="00A54D30" w:rsidRDefault="00E5712B" w14:paraId="18E7EF95" w14:textId="77777777">
            <w:pPr>
              <w:ind w:left="3"/>
              <w:jc w:val="both"/>
              <w:rPr>
                <w:rFonts w:ascii="Verdana" w:hAnsi="Verdana" w:eastAsia="Calibri" w:cs="Arial"/>
                <w:b/>
                <w:bCs/>
                <w:color w:val="000000" w:themeColor="text1"/>
                <w:lang w:val="es-ES" w:eastAsia="es-ES"/>
              </w:rPr>
            </w:pPr>
          </w:p>
        </w:tc>
      </w:tr>
      <w:tr w:rsidRPr="00274444" w:rsidR="00314BE7" w:rsidTr="00A54D30" w14:paraId="741B727F" w14:textId="77777777">
        <w:trPr>
          <w:trHeight w:val="300"/>
        </w:trPr>
        <w:tc>
          <w:tcPr>
            <w:tcW w:w="2410" w:type="dxa"/>
          </w:tcPr>
          <w:p w:rsidRPr="00274444" w:rsidR="00314BE7" w:rsidP="00314BE7" w:rsidRDefault="00314BE7" w14:paraId="477A7B31" w14:textId="77777777">
            <w:pPr>
              <w:ind w:left="424" w:firstLine="142"/>
              <w:jc w:val="both"/>
              <w:rPr>
                <w:rFonts w:ascii="Verdana" w:hAnsi="Verdana" w:eastAsia="Calibri" w:cs="Arial"/>
                <w:color w:val="000000" w:themeColor="text1"/>
                <w:lang w:val="es-ES" w:eastAsia="es-ES_tradnl"/>
              </w:rPr>
            </w:pPr>
            <w:r w:rsidRPr="00274444">
              <w:rPr>
                <w:rFonts w:ascii="Verdana" w:hAnsi="Verdana" w:eastAsia="Calibri" w:cs="Arial"/>
                <w:b/>
                <w:color w:val="000000" w:themeColor="text1"/>
                <w:lang w:val="es-ES" w:eastAsia="es-ES_tradnl"/>
              </w:rPr>
              <w:t>Temas:</w:t>
            </w:r>
            <w:r w:rsidRPr="00274444">
              <w:rPr>
                <w:rFonts w:ascii="Verdana" w:hAnsi="Verdana" w:eastAsia="Calibri" w:cs="Arial"/>
                <w:color w:val="000000" w:themeColor="text1"/>
                <w:lang w:val="es-ES" w:eastAsia="es-ES_tradnl"/>
              </w:rPr>
              <w:t xml:space="preserve">                  </w:t>
            </w:r>
          </w:p>
        </w:tc>
        <w:tc>
          <w:tcPr>
            <w:tcW w:w="6100" w:type="dxa"/>
          </w:tcPr>
          <w:p w:rsidRPr="000F60AB" w:rsidR="00314BE7" w:rsidP="00314BE7" w:rsidRDefault="00314BE7" w14:paraId="3CEE402B" w14:textId="77777777">
            <w:pPr>
              <w:spacing w:line="276" w:lineRule="auto"/>
              <w:jc w:val="both"/>
              <w:rPr>
                <w:rFonts w:ascii="Verdana" w:hAnsi="Verdana" w:eastAsia="Calibri" w:cs="Arial"/>
                <w:lang w:val="es-ES" w:eastAsia="es-ES"/>
              </w:rPr>
            </w:pPr>
            <w:r w:rsidRPr="000F60AB">
              <w:rPr>
                <w:rFonts w:ascii="Verdana" w:hAnsi="Verdana" w:eastAsia="Calibri" w:cs="Arial"/>
                <w:lang w:val="es-ES" w:eastAsia="es-ES"/>
              </w:rPr>
              <w:t>CAPACIDAD RESIDUAL – Cálculo – Capacidad de Organización / GUÍA PARA DETERMINAR Y VERIFICAR LA CAPACIDAD RESIDUAL DEL PROPONENTE EN LOS PROCESOS DE CONTRATACIÓN DE OBRA PÚBLICA – Cálculo de la Capacidad Residual del Proponente – Capacidad de Organización / PLIEGO DE CONDICIONES – Facultad de interpretación o Hermenéutica</w:t>
            </w:r>
          </w:p>
          <w:p w:rsidRPr="00274444" w:rsidR="00314BE7" w:rsidP="00314BE7" w:rsidRDefault="00314BE7" w14:paraId="4241DF2C" w14:textId="77777777">
            <w:pPr>
              <w:spacing w:line="276" w:lineRule="auto"/>
              <w:jc w:val="both"/>
              <w:rPr>
                <w:rFonts w:ascii="Verdana" w:hAnsi="Verdana" w:eastAsia="Calibri" w:cs="Arial"/>
                <w:color w:val="000000" w:themeColor="text1"/>
                <w:lang w:val="es-ES" w:eastAsia="es-ES"/>
              </w:rPr>
            </w:pPr>
          </w:p>
        </w:tc>
      </w:tr>
      <w:tr w:rsidRPr="00274444" w:rsidR="00314BE7" w:rsidTr="00A54D30" w14:paraId="55A9854E" w14:textId="77777777">
        <w:tc>
          <w:tcPr>
            <w:tcW w:w="2410" w:type="dxa"/>
          </w:tcPr>
          <w:p w:rsidRPr="00274444" w:rsidR="00314BE7" w:rsidP="00314BE7" w:rsidRDefault="00314BE7" w14:paraId="5C047855" w14:textId="77777777">
            <w:pPr>
              <w:ind w:left="561"/>
              <w:jc w:val="both"/>
              <w:rPr>
                <w:rFonts w:ascii="Verdana" w:hAnsi="Verdana" w:eastAsia="Calibri" w:cs="Arial"/>
                <w:b/>
                <w:bCs/>
                <w:color w:val="000000" w:themeColor="text1"/>
                <w:lang w:val="es-ES" w:eastAsia="es-ES"/>
              </w:rPr>
            </w:pPr>
            <w:r w:rsidRPr="00274444">
              <w:rPr>
                <w:rFonts w:ascii="Verdana" w:hAnsi="Verdana" w:eastAsia="Calibri" w:cs="Arial"/>
                <w:b/>
                <w:bCs/>
                <w:color w:val="000000" w:themeColor="text1"/>
                <w:lang w:val="es-ES" w:eastAsia="es-ES"/>
              </w:rPr>
              <w:t xml:space="preserve">Radicación:              </w:t>
            </w:r>
          </w:p>
        </w:tc>
        <w:tc>
          <w:tcPr>
            <w:tcW w:w="6100" w:type="dxa"/>
          </w:tcPr>
          <w:p w:rsidRPr="00815DB0" w:rsidR="00314BE7" w:rsidP="00314BE7" w:rsidRDefault="00314BE7" w14:paraId="3021F591" w14:textId="67031D7D">
            <w:pPr>
              <w:ind w:left="3"/>
              <w:jc w:val="both"/>
              <w:rPr>
                <w:rFonts w:ascii="Verdana" w:hAnsi="Verdana" w:eastAsia="Calibri" w:cs="Arial"/>
                <w:color w:val="000000" w:themeColor="text1"/>
                <w:lang w:val="es-ES" w:eastAsia="es-ES"/>
              </w:rPr>
            </w:pPr>
            <w:r w:rsidRPr="00274444">
              <w:rPr>
                <w:rFonts w:ascii="Verdana" w:hAnsi="Verdana" w:eastAsia="Calibri" w:cs="Arial"/>
                <w:color w:val="000000" w:themeColor="text1"/>
                <w:lang w:val="es-ES" w:eastAsia="es-ES"/>
              </w:rPr>
              <w:t>Respuesta a consulta con radicado No.</w:t>
            </w:r>
            <w:r>
              <w:rPr>
                <w:rFonts w:ascii="Verdana" w:hAnsi="Verdana" w:eastAsia="Calibri" w:cs="Arial"/>
                <w:color w:val="000000" w:themeColor="text1"/>
                <w:lang w:val="es-ES" w:eastAsia="es-ES"/>
              </w:rPr>
              <w:t xml:space="preserve"> </w:t>
            </w:r>
            <w:r>
              <w:rPr>
                <w:rFonts w:ascii="Verdana" w:hAnsi="Verdana" w:cs="Calibri"/>
              </w:rPr>
              <w:t>1_2026_05_11_006363</w:t>
            </w:r>
          </w:p>
          <w:p w:rsidRPr="00274444" w:rsidR="00314BE7" w:rsidP="00314BE7" w:rsidRDefault="00314BE7" w14:paraId="32893B02" w14:textId="030E5A01">
            <w:pPr>
              <w:ind w:left="3"/>
              <w:jc w:val="both"/>
              <w:rPr>
                <w:rFonts w:ascii="Verdana" w:hAnsi="Verdana" w:eastAsia="Calibri" w:cs="Arial"/>
                <w:color w:val="000000" w:themeColor="text1"/>
                <w:lang w:val="es-ES" w:eastAsia="es-ES"/>
              </w:rPr>
            </w:pPr>
          </w:p>
        </w:tc>
      </w:tr>
    </w:tbl>
    <w:p w:rsidR="005042BD" w:rsidP="00E5712B" w:rsidRDefault="005042BD" w14:paraId="19D53FB9" w14:textId="77777777">
      <w:pPr>
        <w:spacing w:after="0" w:line="276" w:lineRule="auto"/>
        <w:jc w:val="both"/>
        <w:rPr>
          <w:rFonts w:ascii="Verdana" w:hAnsi="Verdana" w:eastAsia="Calibri" w:cs="Arial"/>
          <w:color w:val="000000" w:themeColor="text1"/>
          <w:lang w:val="es-ES" w:eastAsia="es-ES"/>
        </w:rPr>
      </w:pPr>
    </w:p>
    <w:p w:rsidRPr="00274444" w:rsidR="00E5712B" w:rsidP="00E5712B" w:rsidRDefault="00E5712B" w14:paraId="3DE64673" w14:textId="08A41564">
      <w:pPr>
        <w:spacing w:after="0" w:line="276" w:lineRule="auto"/>
        <w:jc w:val="both"/>
        <w:rPr>
          <w:rFonts w:ascii="Verdana" w:hAnsi="Verdana" w:eastAsia="Calibri" w:cs="Arial"/>
          <w:color w:val="000000" w:themeColor="text1"/>
          <w:lang w:val="es-ES" w:eastAsia="es-ES"/>
        </w:rPr>
      </w:pPr>
      <w:r w:rsidRPr="00274444">
        <w:rPr>
          <w:rFonts w:ascii="Verdana" w:hAnsi="Verdana" w:eastAsia="Calibri" w:cs="Arial"/>
          <w:color w:val="000000" w:themeColor="text1"/>
          <w:lang w:val="es-ES" w:eastAsia="es-ES"/>
        </w:rPr>
        <w:t xml:space="preserve">Estimada </w:t>
      </w:r>
      <w:r>
        <w:rPr>
          <w:rFonts w:ascii="Verdana" w:hAnsi="Verdana" w:eastAsia="Calibri" w:cs="Arial"/>
          <w:color w:val="000000" w:themeColor="text1"/>
          <w:lang w:val="es-ES" w:eastAsia="es-ES"/>
        </w:rPr>
        <w:t>señora</w:t>
      </w:r>
      <w:r w:rsidRPr="00274444">
        <w:rPr>
          <w:rFonts w:ascii="Verdana" w:hAnsi="Verdana" w:eastAsia="Calibri" w:cs="Arial"/>
          <w:color w:val="000000" w:themeColor="text1"/>
          <w:lang w:val="es-ES" w:eastAsia="es-ES"/>
        </w:rPr>
        <w:t xml:space="preserve"> </w:t>
      </w:r>
      <w:r w:rsidR="00815DB0">
        <w:rPr>
          <w:rFonts w:ascii="Verdana" w:hAnsi="Verdana" w:eastAsia="Calibri" w:cs="Arial"/>
          <w:color w:val="000000" w:themeColor="text1"/>
          <w:lang w:val="es-ES" w:eastAsia="es-ES"/>
        </w:rPr>
        <w:t>Martínez</w:t>
      </w:r>
      <w:r w:rsidRPr="00274444">
        <w:rPr>
          <w:rFonts w:ascii="Verdana" w:hAnsi="Verdana" w:eastAsia="Calibri" w:cs="Arial"/>
          <w:color w:val="000000" w:themeColor="text1"/>
          <w:lang w:val="es-ES" w:eastAsia="es-ES"/>
        </w:rPr>
        <w:t xml:space="preserve">: </w:t>
      </w:r>
    </w:p>
    <w:p w:rsidRPr="00274444" w:rsidR="00E5712B" w:rsidP="00E5712B" w:rsidRDefault="00E5712B" w14:paraId="4629736F" w14:textId="77777777">
      <w:pPr>
        <w:tabs>
          <w:tab w:val="left" w:pos="3768"/>
        </w:tabs>
        <w:spacing w:after="0" w:line="276" w:lineRule="auto"/>
        <w:jc w:val="both"/>
        <w:rPr>
          <w:rFonts w:ascii="Verdana" w:hAnsi="Verdana" w:eastAsia="Calibri" w:cs="Arial"/>
          <w:color w:val="000000" w:themeColor="text1"/>
          <w:lang w:val="es-ES" w:eastAsia="es-ES"/>
        </w:rPr>
      </w:pPr>
      <w:r w:rsidRPr="00274444">
        <w:rPr>
          <w:rFonts w:ascii="Verdana" w:hAnsi="Verdana" w:eastAsia="Calibri" w:cs="Arial"/>
          <w:color w:val="000000" w:themeColor="text1"/>
          <w:lang w:val="es-ES" w:eastAsia="es-ES"/>
        </w:rPr>
        <w:tab/>
      </w:r>
    </w:p>
    <w:p w:rsidRPr="00274444" w:rsidR="00E5712B" w:rsidP="00E5712B" w:rsidRDefault="00E5712B" w14:paraId="3F3E3201" w14:textId="3748EC19">
      <w:pPr>
        <w:spacing w:after="0" w:line="276" w:lineRule="auto"/>
        <w:jc w:val="both"/>
        <w:rPr>
          <w:rFonts w:ascii="Verdana" w:hAnsi="Verdana" w:eastAsia="Calibri" w:cs="Arial"/>
          <w:color w:val="000000" w:themeColor="text1"/>
          <w:lang w:val="es-ES" w:eastAsia="es-ES"/>
        </w:rPr>
      </w:pPr>
      <w:r w:rsidRPr="00274444">
        <w:rPr>
          <w:rFonts w:ascii="Verdana" w:hAnsi="Verdana" w:eastAsia="Calibri" w:cs="Arial"/>
          <w:color w:val="000000" w:themeColor="text1"/>
          <w:lang w:val="es-ES" w:eastAsia="es-ES"/>
        </w:rPr>
        <w:t>En ejercicio de la competencia otorgada por los artículos 3, numeral 5º, y 11, numeral 8º, del Decreto Ley 4170 de 2011,</w:t>
      </w:r>
      <w:r w:rsidRPr="00274444">
        <w:rPr>
          <w:rFonts w:ascii="Verdana" w:hAnsi="Verdana" w:eastAsia="Arial MT" w:cs="Arial MT"/>
          <w:color w:val="000000" w:themeColor="text1"/>
          <w:lang w:val="es-ES" w:eastAsia="es-ES"/>
        </w:rPr>
        <w:t xml:space="preserve"> </w:t>
      </w:r>
      <w:r w:rsidRPr="00274444">
        <w:rPr>
          <w:rFonts w:ascii="Verdana" w:hAnsi="Verdana" w:cs="Arial"/>
          <w:color w:val="000000" w:themeColor="text1"/>
          <w:lang w:val="es-ES"/>
        </w:rPr>
        <w:t xml:space="preserve">así como lo establecido en el artículo 4 de la Resolución 1707 de 2018 expedida por esta Entidad, </w:t>
      </w:r>
      <w:r w:rsidRPr="00274444">
        <w:rPr>
          <w:rFonts w:ascii="Verdana" w:hAnsi="Verdana" w:eastAsia="Calibri" w:cs="Arial"/>
          <w:color w:val="000000" w:themeColor="text1"/>
          <w:lang w:val="es-ES" w:eastAsia="es-ES"/>
        </w:rPr>
        <w:t xml:space="preserve">la Agencia Nacional de Contratación Pública – Colombia Compra Eficiente– responde su solicitud de consulta de fecha </w:t>
      </w:r>
      <w:r w:rsidR="00815DB0">
        <w:rPr>
          <w:rFonts w:ascii="Verdana" w:hAnsi="Verdana" w:eastAsia="Calibri" w:cs="Arial"/>
          <w:color w:val="000000" w:themeColor="text1"/>
          <w:lang w:val="es-ES" w:eastAsia="es-ES"/>
        </w:rPr>
        <w:t>11</w:t>
      </w:r>
      <w:r w:rsidRPr="00274444">
        <w:rPr>
          <w:rFonts w:ascii="Verdana" w:hAnsi="Verdana" w:eastAsia="Calibri" w:cs="Arial"/>
          <w:color w:val="000000" w:themeColor="text1"/>
          <w:lang w:val="es-ES" w:eastAsia="es-ES"/>
        </w:rPr>
        <w:t xml:space="preserve"> de ma</w:t>
      </w:r>
      <w:r w:rsidR="00815DB0">
        <w:rPr>
          <w:rFonts w:ascii="Verdana" w:hAnsi="Verdana" w:eastAsia="Calibri" w:cs="Arial"/>
          <w:color w:val="000000" w:themeColor="text1"/>
          <w:lang w:val="es-ES" w:eastAsia="es-ES"/>
        </w:rPr>
        <w:t>y</w:t>
      </w:r>
      <w:r w:rsidRPr="00274444">
        <w:rPr>
          <w:rFonts w:ascii="Verdana" w:hAnsi="Verdana" w:eastAsia="Calibri" w:cs="Arial"/>
          <w:color w:val="000000" w:themeColor="text1"/>
          <w:lang w:val="es-ES" w:eastAsia="es-ES"/>
        </w:rPr>
        <w:t xml:space="preserve">o de 2026, en la cual manifiesta lo siguiente: </w:t>
      </w:r>
    </w:p>
    <w:p w:rsidRPr="005042BD" w:rsidR="00E5712B" w:rsidP="005042BD" w:rsidRDefault="00E5712B" w14:paraId="5011318B" w14:textId="2C54D71E">
      <w:pPr>
        <w:tabs>
          <w:tab w:val="left" w:pos="142"/>
          <w:tab w:val="left" w:pos="284"/>
        </w:tabs>
        <w:spacing w:after="0" w:line="240" w:lineRule="auto"/>
        <w:ind w:left="709" w:right="709"/>
        <w:contextualSpacing/>
        <w:jc w:val="both"/>
        <w:rPr>
          <w:rFonts w:ascii="Verdana" w:hAnsi="Verdana" w:eastAsia="Century Gothic" w:cs="Century Gothic"/>
          <w:b/>
          <w:color w:val="000000" w:themeColor="text1"/>
          <w:sz w:val="21"/>
          <w:szCs w:val="21"/>
          <w:lang w:val="es-ES"/>
        </w:rPr>
      </w:pPr>
    </w:p>
    <w:p w:rsidRPr="005042BD" w:rsidR="00E5712B" w:rsidP="005042BD" w:rsidRDefault="00E5712B" w14:paraId="3EA691E4" w14:textId="284D924A">
      <w:pPr>
        <w:spacing w:after="0" w:line="240" w:lineRule="auto"/>
        <w:ind w:left="709" w:right="709"/>
        <w:jc w:val="both"/>
        <w:rPr>
          <w:rFonts w:ascii="Verdana" w:hAnsi="Verdana" w:eastAsia="Century Gothic" w:cs="Century Gothic"/>
          <w:i/>
          <w:color w:val="000000" w:themeColor="text1"/>
          <w:sz w:val="21"/>
          <w:szCs w:val="21"/>
          <w:lang w:val="es-ES"/>
        </w:rPr>
      </w:pPr>
      <w:r w:rsidRPr="005042BD">
        <w:rPr>
          <w:rFonts w:ascii="Verdana" w:hAnsi="Verdana" w:eastAsia="Century Gothic" w:cs="Century Gothic"/>
          <w:i/>
          <w:color w:val="000000" w:themeColor="text1"/>
          <w:sz w:val="21"/>
          <w:szCs w:val="21"/>
          <w:lang w:val="es-ES"/>
        </w:rPr>
        <w:t>“</w:t>
      </w:r>
      <w:r w:rsidRPr="005042BD" w:rsidR="00415B07">
        <w:rPr>
          <w:rFonts w:ascii="Verdana" w:hAnsi="Verdana" w:eastAsia="Century Gothic" w:cs="Century Gothic"/>
          <w:i/>
          <w:color w:val="000000" w:themeColor="text1"/>
          <w:sz w:val="21"/>
          <w:szCs w:val="21"/>
          <w:lang w:val="es-ES"/>
        </w:rPr>
        <w:t xml:space="preserve">De manera atenta, </w:t>
      </w:r>
      <w:r w:rsidRPr="005042BD" w:rsidR="003030BC">
        <w:rPr>
          <w:rFonts w:ascii="Verdana" w:hAnsi="Verdana" w:eastAsia="Century Gothic" w:cs="Century Gothic"/>
          <w:i/>
          <w:color w:val="000000" w:themeColor="text1"/>
          <w:sz w:val="21"/>
          <w:szCs w:val="21"/>
          <w:lang w:val="es-ES"/>
        </w:rPr>
        <w:t>me permito solicitar su orientación respecto al siguiente aspecto</w:t>
      </w:r>
      <w:r w:rsidRPr="005042BD" w:rsidR="00C7215A">
        <w:rPr>
          <w:rFonts w:ascii="Verdana" w:hAnsi="Verdana" w:eastAsia="Century Gothic" w:cs="Century Gothic"/>
          <w:i/>
          <w:color w:val="000000" w:themeColor="text1"/>
          <w:sz w:val="21"/>
          <w:szCs w:val="21"/>
          <w:lang w:val="es-ES"/>
        </w:rPr>
        <w:t xml:space="preserve"> relacionado con los procesos de evaluación en contratación estatal: </w:t>
      </w:r>
    </w:p>
    <w:p w:rsidRPr="005042BD" w:rsidR="00C7215A" w:rsidP="005042BD" w:rsidRDefault="00C7215A" w14:paraId="58297D02" w14:textId="77777777">
      <w:pPr>
        <w:spacing w:after="0" w:line="240" w:lineRule="auto"/>
        <w:ind w:left="709" w:right="709"/>
        <w:jc w:val="both"/>
        <w:rPr>
          <w:rFonts w:ascii="Verdana" w:hAnsi="Verdana" w:eastAsia="Century Gothic" w:cs="Century Gothic"/>
          <w:i/>
          <w:color w:val="000000" w:themeColor="text1"/>
          <w:sz w:val="21"/>
          <w:szCs w:val="21"/>
          <w:lang w:val="es-ES"/>
        </w:rPr>
      </w:pPr>
    </w:p>
    <w:p w:rsidRPr="005042BD" w:rsidR="00C7215A" w:rsidP="005042BD" w:rsidRDefault="00C7215A" w14:paraId="7FF65902" w14:textId="0998C7A5">
      <w:pPr>
        <w:pStyle w:val="Prrafodelista"/>
        <w:numPr>
          <w:ilvl w:val="0"/>
          <w:numId w:val="17"/>
        </w:numPr>
        <w:spacing w:after="0" w:line="240" w:lineRule="auto"/>
        <w:ind w:left="709" w:right="709" w:firstLine="0"/>
        <w:jc w:val="both"/>
        <w:rPr>
          <w:rFonts w:ascii="Verdana" w:hAnsi="Verdana" w:eastAsia="Century Gothic" w:cs="Century Gothic"/>
          <w:b/>
          <w:bCs/>
          <w:i/>
          <w:color w:val="000000" w:themeColor="text1"/>
          <w:sz w:val="21"/>
          <w:szCs w:val="21"/>
        </w:rPr>
      </w:pPr>
      <w:r w:rsidRPr="005042BD">
        <w:rPr>
          <w:rFonts w:ascii="Verdana" w:hAnsi="Verdana" w:eastAsia="Century Gothic" w:cs="Century Gothic"/>
          <w:b/>
          <w:bCs/>
          <w:i/>
          <w:color w:val="000000" w:themeColor="text1"/>
          <w:sz w:val="21"/>
          <w:szCs w:val="21"/>
        </w:rPr>
        <w:t>Capacidad organizacional:</w:t>
      </w:r>
    </w:p>
    <w:p w:rsidRPr="005042BD" w:rsidR="007502D6" w:rsidP="005042BD" w:rsidRDefault="007502D6" w14:paraId="3F25E07D" w14:textId="77777777">
      <w:pPr>
        <w:pStyle w:val="Prrafodelista"/>
        <w:spacing w:after="0" w:line="240" w:lineRule="auto"/>
        <w:ind w:left="709" w:right="709"/>
        <w:jc w:val="both"/>
        <w:rPr>
          <w:rFonts w:ascii="Verdana" w:hAnsi="Verdana" w:eastAsia="Century Gothic" w:cs="Century Gothic"/>
          <w:b/>
          <w:bCs/>
          <w:i/>
          <w:color w:val="000000" w:themeColor="text1"/>
          <w:sz w:val="21"/>
          <w:szCs w:val="21"/>
        </w:rPr>
      </w:pPr>
    </w:p>
    <w:p w:rsidRPr="005042BD" w:rsidR="00A921CE" w:rsidP="005042BD" w:rsidRDefault="007D5D0D" w14:paraId="4CF08979" w14:textId="1CBB61AD">
      <w:pPr>
        <w:pStyle w:val="Prrafodelista"/>
        <w:spacing w:after="0" w:line="240" w:lineRule="auto"/>
        <w:ind w:left="709" w:right="709"/>
        <w:jc w:val="both"/>
        <w:rPr>
          <w:rFonts w:ascii="Verdana" w:hAnsi="Verdana" w:eastAsia="Century Gothic" w:cs="Century Gothic"/>
          <w:i/>
          <w:color w:val="000000" w:themeColor="text1"/>
          <w:sz w:val="21"/>
          <w:szCs w:val="21"/>
        </w:rPr>
      </w:pPr>
      <w:r w:rsidRPr="005042BD">
        <w:rPr>
          <w:rFonts w:ascii="Verdana" w:hAnsi="Verdana" w:eastAsia="Century Gothic" w:cs="Century Gothic"/>
          <w:i/>
          <w:color w:val="000000" w:themeColor="text1"/>
          <w:sz w:val="21"/>
          <w:szCs w:val="21"/>
        </w:rPr>
        <w:t>Agradezco confirmar si la siguiente disposición</w:t>
      </w:r>
      <w:r w:rsidRPr="005042BD" w:rsidR="009141F8">
        <w:rPr>
          <w:rFonts w:ascii="Verdana" w:hAnsi="Verdana" w:eastAsia="Century Gothic" w:cs="Century Gothic"/>
          <w:i/>
          <w:color w:val="000000" w:themeColor="text1"/>
          <w:sz w:val="21"/>
          <w:szCs w:val="21"/>
        </w:rPr>
        <w:t xml:space="preserve">, </w:t>
      </w:r>
      <w:r w:rsidRPr="005042BD" w:rsidR="006112DA">
        <w:rPr>
          <w:rFonts w:ascii="Verdana" w:hAnsi="Verdana" w:eastAsia="Century Gothic" w:cs="Century Gothic"/>
          <w:i/>
          <w:color w:val="000000" w:themeColor="text1"/>
          <w:sz w:val="21"/>
          <w:szCs w:val="21"/>
        </w:rPr>
        <w:t xml:space="preserve">relacionada con la </w:t>
      </w:r>
      <w:r w:rsidRPr="005042BD" w:rsidR="007844DB">
        <w:rPr>
          <w:rFonts w:ascii="Verdana" w:hAnsi="Verdana" w:eastAsia="Century Gothic" w:cs="Century Gothic"/>
          <w:i/>
          <w:color w:val="000000" w:themeColor="text1"/>
          <w:sz w:val="21"/>
          <w:szCs w:val="21"/>
        </w:rPr>
        <w:t xml:space="preserve">acreditación de la </w:t>
      </w:r>
      <w:r w:rsidRPr="005042BD" w:rsidR="006112DA">
        <w:rPr>
          <w:rFonts w:ascii="Verdana" w:hAnsi="Verdana" w:eastAsia="Century Gothic" w:cs="Century Gothic"/>
          <w:i/>
          <w:color w:val="000000" w:themeColor="text1"/>
          <w:sz w:val="21"/>
          <w:szCs w:val="21"/>
        </w:rPr>
        <w:t>capacidad organizacional</w:t>
      </w:r>
      <w:r w:rsidRPr="005042BD" w:rsidR="00A921CE">
        <w:rPr>
          <w:rFonts w:ascii="Verdana" w:hAnsi="Verdana" w:eastAsia="Century Gothic" w:cs="Century Gothic"/>
          <w:i/>
          <w:color w:val="000000" w:themeColor="text1"/>
          <w:sz w:val="21"/>
          <w:szCs w:val="21"/>
        </w:rPr>
        <w:t xml:space="preserve">, se mantiene vigente en los mismos </w:t>
      </w:r>
      <w:r w:rsidRPr="005042BD" w:rsidR="00D22ADC">
        <w:rPr>
          <w:rFonts w:ascii="Verdana" w:hAnsi="Verdana" w:eastAsia="Century Gothic" w:cs="Century Gothic"/>
          <w:i/>
          <w:color w:val="000000" w:themeColor="text1"/>
          <w:sz w:val="21"/>
          <w:szCs w:val="21"/>
        </w:rPr>
        <w:t>términos, especialmente en lo referente</w:t>
      </w:r>
      <w:r w:rsidRPr="005042BD" w:rsidR="00554604">
        <w:rPr>
          <w:rFonts w:ascii="Verdana" w:hAnsi="Verdana" w:eastAsia="Century Gothic" w:cs="Century Gothic"/>
          <w:i/>
          <w:color w:val="000000" w:themeColor="text1"/>
          <w:sz w:val="21"/>
          <w:szCs w:val="21"/>
        </w:rPr>
        <w:t xml:space="preserve"> </w:t>
      </w:r>
      <w:r w:rsidRPr="005042BD" w:rsidR="00DD562F">
        <w:rPr>
          <w:rFonts w:ascii="Verdana" w:hAnsi="Verdana" w:eastAsia="Century Gothic" w:cs="Century Gothic"/>
          <w:i/>
          <w:color w:val="000000" w:themeColor="text1"/>
          <w:sz w:val="21"/>
          <w:szCs w:val="21"/>
        </w:rPr>
        <w:t xml:space="preserve">a la selección del </w:t>
      </w:r>
      <w:r w:rsidRPr="005042BD" w:rsidR="0025385A">
        <w:rPr>
          <w:rFonts w:ascii="Verdana" w:hAnsi="Verdana" w:eastAsia="Century Gothic" w:cs="Century Gothic"/>
          <w:i/>
          <w:color w:val="000000" w:themeColor="text1"/>
          <w:sz w:val="21"/>
          <w:szCs w:val="21"/>
        </w:rPr>
        <w:t>año con</w:t>
      </w:r>
      <w:r w:rsidRPr="005042BD" w:rsidR="00DD562F">
        <w:rPr>
          <w:rFonts w:ascii="Verdana" w:hAnsi="Verdana" w:eastAsia="Century Gothic" w:cs="Century Gothic"/>
          <w:i/>
          <w:color w:val="000000" w:themeColor="text1"/>
          <w:sz w:val="21"/>
          <w:szCs w:val="21"/>
        </w:rPr>
        <w:t xml:space="preserve"> mayor ingreso operacional dentro de los últimos cinco</w:t>
      </w:r>
      <w:r w:rsidRPr="005042BD" w:rsidR="0025385A">
        <w:rPr>
          <w:rFonts w:ascii="Verdana" w:hAnsi="Verdana" w:eastAsia="Century Gothic" w:cs="Century Gothic"/>
          <w:i/>
          <w:color w:val="000000" w:themeColor="text1"/>
          <w:sz w:val="21"/>
          <w:szCs w:val="21"/>
        </w:rPr>
        <w:t xml:space="preserve"> (5) años:</w:t>
      </w:r>
    </w:p>
    <w:p w:rsidRPr="005042BD" w:rsidR="005E167F" w:rsidP="005042BD" w:rsidRDefault="000F5CA5" w14:paraId="4C6D6FBB" w14:textId="77777777">
      <w:pPr>
        <w:pStyle w:val="Prrafodelista"/>
        <w:spacing w:after="0" w:line="240" w:lineRule="auto"/>
        <w:ind w:left="709" w:right="709"/>
        <w:jc w:val="both"/>
        <w:rPr>
          <w:rFonts w:ascii="Verdana" w:hAnsi="Verdana" w:eastAsia="Century Gothic" w:cs="Century Gothic"/>
          <w:i/>
          <w:color w:val="000000" w:themeColor="text1"/>
          <w:sz w:val="21"/>
          <w:szCs w:val="21"/>
        </w:rPr>
      </w:pPr>
      <w:r w:rsidRPr="005042BD">
        <w:rPr>
          <w:rFonts w:ascii="Verdana" w:hAnsi="Verdana" w:eastAsia="Century Gothic" w:cs="Century Gothic"/>
          <w:i/>
          <w:color w:val="000000" w:themeColor="text1"/>
          <w:sz w:val="21"/>
          <w:szCs w:val="21"/>
        </w:rPr>
        <w:t xml:space="preserve">Para acreditar el factor de capacidad organizacional </w:t>
      </w:r>
      <w:r w:rsidRPr="005042BD" w:rsidR="00CD5D8E">
        <w:rPr>
          <w:rFonts w:ascii="Verdana" w:hAnsi="Verdana" w:eastAsia="Century Gothic" w:cs="Century Gothic"/>
          <w:i/>
          <w:color w:val="000000" w:themeColor="text1"/>
          <w:sz w:val="21"/>
          <w:szCs w:val="21"/>
        </w:rPr>
        <w:t>(CO)</w:t>
      </w:r>
      <w:r w:rsidRPr="005042BD" w:rsidR="006D75ED">
        <w:rPr>
          <w:rFonts w:ascii="Verdana" w:hAnsi="Verdana" w:eastAsia="Century Gothic" w:cs="Century Gothic"/>
          <w:i/>
          <w:color w:val="000000" w:themeColor="text1"/>
          <w:sz w:val="21"/>
          <w:szCs w:val="21"/>
        </w:rPr>
        <w:t xml:space="preserve">, el proponente obligado a contar con el Registro Único de Proponentes </w:t>
      </w:r>
      <w:r w:rsidRPr="005042BD" w:rsidR="008D153A">
        <w:rPr>
          <w:rFonts w:ascii="Verdana" w:hAnsi="Verdana" w:eastAsia="Century Gothic" w:cs="Century Gothic"/>
          <w:i/>
          <w:color w:val="000000" w:themeColor="text1"/>
          <w:sz w:val="21"/>
          <w:szCs w:val="21"/>
        </w:rPr>
        <w:t>(</w:t>
      </w:r>
      <w:r w:rsidRPr="005042BD" w:rsidR="006D75ED">
        <w:rPr>
          <w:rFonts w:ascii="Verdana" w:hAnsi="Verdana" w:eastAsia="Century Gothic" w:cs="Century Gothic"/>
          <w:i/>
          <w:color w:val="000000" w:themeColor="text1"/>
          <w:sz w:val="21"/>
          <w:szCs w:val="21"/>
        </w:rPr>
        <w:t>RUP</w:t>
      </w:r>
      <w:r w:rsidRPr="005042BD" w:rsidR="008D153A">
        <w:rPr>
          <w:rFonts w:ascii="Verdana" w:hAnsi="Verdana" w:eastAsia="Century Gothic" w:cs="Century Gothic"/>
          <w:i/>
          <w:color w:val="000000" w:themeColor="text1"/>
          <w:sz w:val="21"/>
          <w:szCs w:val="21"/>
        </w:rPr>
        <w:t>)</w:t>
      </w:r>
      <w:r w:rsidRPr="005042BD" w:rsidR="006D75ED">
        <w:rPr>
          <w:rFonts w:ascii="Verdana" w:hAnsi="Verdana" w:eastAsia="Century Gothic" w:cs="Century Gothic"/>
          <w:i/>
          <w:color w:val="000000" w:themeColor="text1"/>
          <w:sz w:val="21"/>
          <w:szCs w:val="21"/>
        </w:rPr>
        <w:t xml:space="preserve"> </w:t>
      </w:r>
      <w:r w:rsidRPr="005042BD" w:rsidR="002001C1">
        <w:rPr>
          <w:rFonts w:ascii="Verdana" w:hAnsi="Verdana" w:eastAsia="Century Gothic" w:cs="Century Gothic"/>
          <w:i/>
          <w:color w:val="000000" w:themeColor="text1"/>
          <w:sz w:val="21"/>
          <w:szCs w:val="21"/>
        </w:rPr>
        <w:t>debe pre</w:t>
      </w:r>
      <w:r w:rsidRPr="005042BD" w:rsidR="0018760A">
        <w:rPr>
          <w:rFonts w:ascii="Verdana" w:hAnsi="Verdana" w:eastAsia="Century Gothic" w:cs="Century Gothic"/>
          <w:i/>
          <w:color w:val="000000" w:themeColor="text1"/>
          <w:sz w:val="21"/>
          <w:szCs w:val="21"/>
        </w:rPr>
        <w:t>sentar el</w:t>
      </w:r>
      <w:r w:rsidRPr="005042BD" w:rsidR="008C751C">
        <w:rPr>
          <w:rFonts w:ascii="Verdana" w:hAnsi="Verdana" w:eastAsia="Century Gothic" w:cs="Century Gothic"/>
          <w:i/>
          <w:color w:val="000000" w:themeColor="text1"/>
          <w:sz w:val="21"/>
          <w:szCs w:val="21"/>
        </w:rPr>
        <w:t xml:space="preserve"> estado de</w:t>
      </w:r>
      <w:r w:rsidRPr="005042BD" w:rsidR="0018760A">
        <w:rPr>
          <w:rFonts w:ascii="Verdana" w:hAnsi="Verdana" w:eastAsia="Century Gothic" w:cs="Century Gothic"/>
          <w:i/>
          <w:color w:val="000000" w:themeColor="text1"/>
          <w:sz w:val="21"/>
          <w:szCs w:val="21"/>
        </w:rPr>
        <w:t xml:space="preserve"> resultado</w:t>
      </w:r>
      <w:r w:rsidRPr="005042BD" w:rsidR="008C751C">
        <w:rPr>
          <w:rFonts w:ascii="Verdana" w:hAnsi="Verdana" w:eastAsia="Century Gothic" w:cs="Century Gothic"/>
          <w:i/>
          <w:color w:val="000000" w:themeColor="text1"/>
          <w:sz w:val="21"/>
          <w:szCs w:val="21"/>
        </w:rPr>
        <w:t>s integral</w:t>
      </w:r>
      <w:r w:rsidRPr="005042BD" w:rsidR="008D153A">
        <w:rPr>
          <w:rFonts w:ascii="Verdana" w:hAnsi="Verdana" w:eastAsia="Century Gothic" w:cs="Century Gothic"/>
          <w:i/>
          <w:color w:val="000000" w:themeColor="text1"/>
          <w:sz w:val="21"/>
          <w:szCs w:val="21"/>
        </w:rPr>
        <w:t xml:space="preserve"> (estados de resultados o perdida y </w:t>
      </w:r>
      <w:r w:rsidRPr="005042BD" w:rsidR="00844082">
        <w:rPr>
          <w:rFonts w:ascii="Verdana" w:hAnsi="Verdana" w:eastAsia="Century Gothic" w:cs="Century Gothic"/>
          <w:i/>
          <w:color w:val="000000" w:themeColor="text1"/>
          <w:sz w:val="21"/>
          <w:szCs w:val="21"/>
        </w:rPr>
        <w:t>ganancias) correspondiente</w:t>
      </w:r>
      <w:r w:rsidRPr="005042BD" w:rsidR="00353003">
        <w:rPr>
          <w:rFonts w:ascii="Verdana" w:hAnsi="Verdana" w:eastAsia="Century Gothic" w:cs="Century Gothic"/>
          <w:i/>
          <w:color w:val="000000" w:themeColor="text1"/>
          <w:sz w:val="21"/>
          <w:szCs w:val="21"/>
        </w:rPr>
        <w:t xml:space="preserve"> al año en el que haya obtenido </w:t>
      </w:r>
      <w:r w:rsidRPr="005042BD" w:rsidR="007462E2">
        <w:rPr>
          <w:rFonts w:ascii="Verdana" w:hAnsi="Verdana" w:eastAsia="Century Gothic" w:cs="Century Gothic"/>
          <w:i/>
          <w:color w:val="000000" w:themeColor="text1"/>
          <w:sz w:val="21"/>
          <w:szCs w:val="21"/>
        </w:rPr>
        <w:t>el mayor ingreso operacional dentro de los últimos cinco (5) años</w:t>
      </w:r>
      <w:r w:rsidRPr="005042BD" w:rsidR="003A6FBD">
        <w:rPr>
          <w:rFonts w:ascii="Verdana" w:hAnsi="Verdana" w:eastAsia="Century Gothic" w:cs="Century Gothic"/>
          <w:i/>
          <w:color w:val="000000" w:themeColor="text1"/>
          <w:sz w:val="21"/>
          <w:szCs w:val="21"/>
        </w:rPr>
        <w:t xml:space="preserve">. Dicho documento debe estar debidamente firmado por el representante legal y el contador </w:t>
      </w:r>
      <w:r w:rsidRPr="005042BD" w:rsidR="00844082">
        <w:rPr>
          <w:rFonts w:ascii="Verdana" w:hAnsi="Verdana" w:eastAsia="Century Gothic" w:cs="Century Gothic"/>
          <w:i/>
          <w:color w:val="000000" w:themeColor="text1"/>
          <w:sz w:val="21"/>
          <w:szCs w:val="21"/>
        </w:rPr>
        <w:t>responsable de su preparación, así como por el revisor fiscal</w:t>
      </w:r>
      <w:r w:rsidRPr="005042BD" w:rsidR="006B430B">
        <w:rPr>
          <w:rFonts w:ascii="Verdana" w:hAnsi="Verdana" w:eastAsia="Century Gothic" w:cs="Century Gothic"/>
          <w:i/>
          <w:color w:val="000000" w:themeColor="text1"/>
          <w:sz w:val="21"/>
          <w:szCs w:val="21"/>
        </w:rPr>
        <w:t>: o, en caso de no estar obligado a tenerlo</w:t>
      </w:r>
      <w:r w:rsidRPr="005042BD" w:rsidR="00C220F6">
        <w:rPr>
          <w:rFonts w:ascii="Verdana" w:hAnsi="Verdana" w:eastAsia="Century Gothic" w:cs="Century Gothic"/>
          <w:i/>
          <w:color w:val="000000" w:themeColor="text1"/>
          <w:sz w:val="21"/>
          <w:szCs w:val="21"/>
        </w:rPr>
        <w:t>, por contador público independiente,</w:t>
      </w:r>
      <w:r w:rsidRPr="005042BD" w:rsidR="00FA1948">
        <w:rPr>
          <w:rFonts w:ascii="Verdana" w:hAnsi="Verdana" w:eastAsia="Century Gothic" w:cs="Century Gothic"/>
          <w:i/>
          <w:color w:val="000000" w:themeColor="text1"/>
          <w:sz w:val="21"/>
          <w:szCs w:val="21"/>
        </w:rPr>
        <w:t xml:space="preserve"> acompañado de su respectivo dictamen, u opinión conforme a lo establecido en </w:t>
      </w:r>
      <w:r w:rsidRPr="005042BD" w:rsidR="00E80645">
        <w:rPr>
          <w:rFonts w:ascii="Verdana" w:hAnsi="Verdana" w:eastAsia="Century Gothic" w:cs="Century Gothic"/>
          <w:i/>
          <w:color w:val="000000" w:themeColor="text1"/>
          <w:sz w:val="21"/>
          <w:szCs w:val="21"/>
        </w:rPr>
        <w:t xml:space="preserve">el artículo 38 de la Ley 222 de </w:t>
      </w:r>
      <w:r w:rsidRPr="005042BD" w:rsidR="005E167F">
        <w:rPr>
          <w:rFonts w:ascii="Verdana" w:hAnsi="Verdana" w:eastAsia="Century Gothic" w:cs="Century Gothic"/>
          <w:i/>
          <w:color w:val="000000" w:themeColor="text1"/>
          <w:sz w:val="21"/>
          <w:szCs w:val="21"/>
        </w:rPr>
        <w:t>1995”.</w:t>
      </w:r>
    </w:p>
    <w:p w:rsidR="005E167F" w:rsidP="003A6FBD" w:rsidRDefault="005E167F" w14:paraId="2AA02936" w14:textId="77777777">
      <w:pPr>
        <w:pStyle w:val="Prrafodelista"/>
        <w:spacing w:after="0" w:line="240" w:lineRule="auto"/>
        <w:ind w:left="1069" w:right="709"/>
        <w:jc w:val="both"/>
        <w:rPr>
          <w:rFonts w:ascii="Verdana" w:hAnsi="Verdana" w:eastAsia="Century Gothic" w:cs="Century Gothic"/>
          <w:i/>
          <w:color w:val="000000" w:themeColor="text1"/>
          <w:sz w:val="20"/>
          <w:szCs w:val="20"/>
        </w:rPr>
      </w:pPr>
    </w:p>
    <w:p w:rsidR="005E167F" w:rsidP="003A6FBD" w:rsidRDefault="005E167F" w14:paraId="590C891E" w14:textId="77777777">
      <w:pPr>
        <w:pStyle w:val="Prrafodelista"/>
        <w:spacing w:after="0" w:line="240" w:lineRule="auto"/>
        <w:ind w:left="1069" w:right="709"/>
        <w:jc w:val="both"/>
        <w:rPr>
          <w:rFonts w:ascii="Verdana" w:hAnsi="Verdana" w:eastAsia="Century Gothic" w:cs="Century Gothic"/>
          <w:i/>
          <w:color w:val="000000" w:themeColor="text1"/>
          <w:sz w:val="20"/>
          <w:szCs w:val="20"/>
        </w:rPr>
      </w:pPr>
    </w:p>
    <w:p w:rsidRPr="00274444" w:rsidR="00513506" w:rsidP="00513506" w:rsidRDefault="00513506" w14:paraId="6AA0BA30" w14:textId="77777777">
      <w:pPr>
        <w:spacing w:after="120" w:line="276" w:lineRule="auto"/>
        <w:ind w:firstLine="708"/>
        <w:jc w:val="both"/>
        <w:rPr>
          <w:rFonts w:ascii="Verdana" w:hAnsi="Verdana" w:eastAsia="Calibri" w:cs="Arial"/>
          <w:color w:val="000000" w:themeColor="text1"/>
          <w:lang w:val="es-ES" w:eastAsia="es-ES"/>
        </w:rPr>
      </w:pPr>
      <w:r w:rsidRPr="00274444">
        <w:rPr>
          <w:rFonts w:ascii="Verdana" w:hAnsi="Verdana" w:eastAsia="Calibri" w:cs="Arial"/>
          <w:color w:val="000000" w:themeColor="text1"/>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274444">
        <w:rPr>
          <w:lang w:val="es-ES"/>
        </w:rPr>
        <w:tab/>
      </w:r>
    </w:p>
    <w:p w:rsidRPr="00274444" w:rsidR="00513506" w:rsidP="00513506" w:rsidRDefault="00513506" w14:paraId="3313B75A" w14:textId="77777777">
      <w:pPr>
        <w:spacing w:after="0" w:line="276" w:lineRule="auto"/>
        <w:ind w:firstLine="709"/>
        <w:jc w:val="both"/>
        <w:rPr>
          <w:rFonts w:ascii="Verdana" w:hAnsi="Verdana" w:eastAsia="Calibri" w:cs="Arial"/>
          <w:color w:val="000000" w:themeColor="text1"/>
          <w:lang w:val="es-ES" w:eastAsia="es-ES"/>
        </w:rPr>
      </w:pPr>
      <w:r w:rsidRPr="00274444">
        <w:rPr>
          <w:rFonts w:ascii="Verdana" w:hAnsi="Verdana" w:eastAsia="Calibri"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w:t>
      </w:r>
      <w:r>
        <w:rPr>
          <w:rFonts w:ascii="Verdana" w:hAnsi="Verdana" w:eastAsia="Calibri" w:cs="Arial"/>
          <w:color w:val="000000" w:themeColor="text1"/>
          <w:lang w:val="es-ES" w:eastAsia="es-ES"/>
        </w:rPr>
        <w:t>el</w:t>
      </w:r>
      <w:r w:rsidRPr="00274444">
        <w:rPr>
          <w:rFonts w:ascii="Verdana" w:hAnsi="Verdana" w:eastAsia="Calibri" w:cs="Arial"/>
          <w:color w:val="000000" w:themeColor="text1"/>
          <w:lang w:val="es-ES" w:eastAsia="es-ES"/>
        </w:rPr>
        <w:t xml:space="preserve"> problema jurídico de su consulta. </w:t>
      </w:r>
    </w:p>
    <w:p w:rsidRPr="00274444" w:rsidR="00513506" w:rsidP="00513506" w:rsidRDefault="00513506" w14:paraId="166DD176" w14:textId="77777777">
      <w:pPr>
        <w:spacing w:after="0" w:line="276" w:lineRule="auto"/>
        <w:jc w:val="both"/>
        <w:rPr>
          <w:rFonts w:ascii="Verdana" w:hAnsi="Verdana" w:eastAsia="Calibri" w:cs="Arial"/>
          <w:color w:val="000000" w:themeColor="text1"/>
          <w:lang w:val="es-ES" w:eastAsia="es-ES"/>
        </w:rPr>
      </w:pPr>
    </w:p>
    <w:p w:rsidRPr="00274444" w:rsidR="00513506" w:rsidP="00513506" w:rsidRDefault="00513506" w14:paraId="0E096693" w14:textId="77777777">
      <w:pPr>
        <w:pStyle w:val="Prrafodelista"/>
        <w:numPr>
          <w:ilvl w:val="0"/>
          <w:numId w:val="16"/>
        </w:numPr>
        <w:tabs>
          <w:tab w:val="left" w:pos="142"/>
          <w:tab w:val="left" w:pos="284"/>
        </w:tabs>
        <w:spacing w:after="0" w:line="276" w:lineRule="auto"/>
        <w:jc w:val="both"/>
        <w:rPr>
          <w:rFonts w:ascii="Verdana" w:hAnsi="Verdana" w:eastAsia="Century Gothic" w:cs="Century Gothic"/>
          <w:b/>
          <w:color w:val="000000" w:themeColor="text1"/>
        </w:rPr>
      </w:pPr>
      <w:r w:rsidRPr="00274444">
        <w:rPr>
          <w:rFonts w:ascii="Verdana" w:hAnsi="Verdana" w:eastAsia="Century Gothic" w:cs="Century Gothic"/>
          <w:b/>
          <w:color w:val="000000" w:themeColor="text1"/>
        </w:rPr>
        <w:t>Problema planteado:</w:t>
      </w:r>
    </w:p>
    <w:p w:rsidRPr="00274444" w:rsidR="00513506" w:rsidP="00513506" w:rsidRDefault="00513506" w14:paraId="19B0CC8D" w14:textId="77777777">
      <w:pPr>
        <w:tabs>
          <w:tab w:val="left" w:pos="426"/>
        </w:tabs>
        <w:spacing w:after="0" w:line="276" w:lineRule="auto"/>
        <w:jc w:val="both"/>
        <w:rPr>
          <w:rFonts w:ascii="Verdana" w:hAnsi="Verdana" w:eastAsia="Century Gothic" w:cs="Century Gothic"/>
          <w:color w:val="000000" w:themeColor="text1"/>
          <w:lang w:val="es-ES"/>
        </w:rPr>
      </w:pPr>
    </w:p>
    <w:p w:rsidRPr="00274444" w:rsidR="00513506" w:rsidP="00513506" w:rsidRDefault="00513506" w14:paraId="2EA40B13" w14:textId="0443F0A2">
      <w:pPr>
        <w:spacing w:after="0" w:line="276" w:lineRule="auto"/>
        <w:jc w:val="both"/>
        <w:rPr>
          <w:rFonts w:ascii="Verdana" w:hAnsi="Verdana" w:eastAsia="Century Gothic" w:cs="Century Gothic"/>
          <w:color w:val="000000" w:themeColor="text1"/>
          <w:lang w:val="es-ES"/>
        </w:rPr>
      </w:pPr>
      <w:r w:rsidRPr="00274444">
        <w:rPr>
          <w:rFonts w:ascii="Verdana" w:hAnsi="Verdana" w:eastAsia="Century Gothic" w:cs="Century Gothic"/>
          <w:color w:val="000000" w:themeColor="text1"/>
          <w:lang w:val="es-ES"/>
        </w:rPr>
        <w:t xml:space="preserve">De acuerdo con el contenido de su solicitud, esta Agencia resolverá </w:t>
      </w:r>
      <w:r>
        <w:rPr>
          <w:rFonts w:ascii="Verdana" w:hAnsi="Verdana" w:eastAsia="Century Gothic" w:cs="Century Gothic"/>
          <w:color w:val="000000" w:themeColor="text1"/>
          <w:lang w:val="es-ES"/>
        </w:rPr>
        <w:t>el</w:t>
      </w:r>
      <w:r w:rsidRPr="00274444">
        <w:rPr>
          <w:rFonts w:ascii="Verdana" w:hAnsi="Verdana" w:eastAsia="Century Gothic" w:cs="Century Gothic"/>
          <w:color w:val="000000" w:themeColor="text1"/>
          <w:lang w:val="es-ES"/>
        </w:rPr>
        <w:t xml:space="preserve"> siguiente problema jurídico:</w:t>
      </w:r>
      <w:r w:rsidR="00990FED">
        <w:rPr>
          <w:rFonts w:ascii="Verdana" w:hAnsi="Verdana" w:eastAsia="Century Gothic" w:cs="Century Gothic"/>
          <w:color w:val="000000" w:themeColor="text1"/>
          <w:lang w:val="es-ES"/>
        </w:rPr>
        <w:t xml:space="preserve"> </w:t>
      </w:r>
      <w:r w:rsidR="006D3C75">
        <w:rPr>
          <w:rFonts w:ascii="Verdana" w:hAnsi="Verdana" w:eastAsia="Century Gothic" w:cs="Century Gothic"/>
          <w:color w:val="000000" w:themeColor="text1"/>
          <w:lang w:val="es-ES"/>
        </w:rPr>
        <w:t>¿Se puede mantener</w:t>
      </w:r>
      <w:r w:rsidR="004F3B89">
        <w:rPr>
          <w:rFonts w:ascii="Verdana" w:hAnsi="Verdana" w:eastAsia="Century Gothic" w:cs="Century Gothic"/>
          <w:color w:val="000000" w:themeColor="text1"/>
          <w:lang w:val="es-ES"/>
        </w:rPr>
        <w:t xml:space="preserve"> vigente</w:t>
      </w:r>
      <w:r w:rsidR="00990FED">
        <w:rPr>
          <w:rFonts w:ascii="Verdana" w:hAnsi="Verdana" w:eastAsia="Century Gothic" w:cs="Century Gothic"/>
          <w:color w:val="000000" w:themeColor="text1"/>
          <w:lang w:val="es-ES"/>
        </w:rPr>
        <w:t xml:space="preserve"> la regla de </w:t>
      </w:r>
      <w:r w:rsidR="004F3B89">
        <w:rPr>
          <w:rFonts w:ascii="Verdana" w:hAnsi="Verdana" w:eastAsia="Century Gothic" w:cs="Century Gothic"/>
          <w:color w:val="000000" w:themeColor="text1"/>
          <w:lang w:val="es-ES"/>
        </w:rPr>
        <w:t xml:space="preserve">para acreditar </w:t>
      </w:r>
      <w:r w:rsidR="00990FED">
        <w:rPr>
          <w:rFonts w:ascii="Verdana" w:hAnsi="Verdana" w:eastAsia="Century Gothic" w:cs="Century Gothic"/>
          <w:color w:val="000000" w:themeColor="text1"/>
          <w:lang w:val="es-ES"/>
        </w:rPr>
        <w:t xml:space="preserve">la capacidad organizacional </w:t>
      </w:r>
      <w:r w:rsidR="008C55C4">
        <w:rPr>
          <w:rFonts w:ascii="Verdana" w:hAnsi="Verdana" w:eastAsia="Century Gothic" w:cs="Century Gothic"/>
          <w:color w:val="000000" w:themeColor="text1"/>
          <w:lang w:val="es-ES"/>
        </w:rPr>
        <w:t xml:space="preserve">con el año de mayor ingreso operacional dentro de los últimos cinco (5) años </w:t>
      </w:r>
      <w:r w:rsidR="0094774F">
        <w:rPr>
          <w:rFonts w:ascii="Verdana" w:hAnsi="Verdana" w:eastAsia="Century Gothic" w:cs="Century Gothic"/>
          <w:color w:val="000000" w:themeColor="text1"/>
          <w:lang w:val="es-ES"/>
        </w:rPr>
        <w:t>en un proponente?</w:t>
      </w:r>
    </w:p>
    <w:p w:rsidRPr="00274444" w:rsidR="00513506" w:rsidP="00513506" w:rsidRDefault="00513506" w14:paraId="6649A72D" w14:textId="77777777">
      <w:pPr>
        <w:spacing w:after="0" w:line="276" w:lineRule="auto"/>
        <w:jc w:val="both"/>
        <w:rPr>
          <w:rFonts w:ascii="Verdana" w:hAnsi="Verdana" w:eastAsia="Calibri" w:cs="Arial"/>
          <w:color w:val="000000" w:themeColor="text1"/>
          <w:lang w:val="es-ES"/>
        </w:rPr>
      </w:pPr>
    </w:p>
    <w:p w:rsidRPr="00AB27C9" w:rsidR="00EE604A" w:rsidP="00AB27C9" w:rsidRDefault="00513506" w14:paraId="2E06066C" w14:textId="20058DA1">
      <w:pPr>
        <w:pStyle w:val="Prrafodelista"/>
        <w:numPr>
          <w:ilvl w:val="0"/>
          <w:numId w:val="16"/>
        </w:numPr>
        <w:tabs>
          <w:tab w:val="left" w:pos="142"/>
          <w:tab w:val="left" w:pos="284"/>
        </w:tabs>
        <w:spacing w:after="0" w:line="276" w:lineRule="auto"/>
        <w:jc w:val="both"/>
        <w:rPr>
          <w:rFonts w:ascii="Verdana" w:hAnsi="Verdana" w:eastAsia="Century Gothic" w:cs="Century Gothic"/>
          <w:b/>
          <w:color w:val="000000" w:themeColor="text1"/>
        </w:rPr>
      </w:pPr>
      <w:r w:rsidRPr="00274444">
        <w:rPr>
          <w:rFonts w:ascii="Verdana" w:hAnsi="Verdana" w:eastAsia="Century Gothic" w:cs="Century Gothic"/>
          <w:b/>
          <w:color w:val="000000" w:themeColor="text1"/>
        </w:rPr>
        <w:t>Respuesta:</w:t>
      </w:r>
    </w:p>
    <w:p w:rsidRPr="000F60AB" w:rsidR="00EE604A" w:rsidP="00EE604A" w:rsidRDefault="00EE604A" w14:paraId="629AB3D6" w14:textId="77777777">
      <w:pPr>
        <w:tabs>
          <w:tab w:val="left" w:pos="142"/>
          <w:tab w:val="left" w:pos="284"/>
        </w:tabs>
        <w:spacing w:after="0" w:line="276" w:lineRule="auto"/>
        <w:jc w:val="both"/>
        <w:rPr>
          <w:rFonts w:ascii="Verdana" w:hAnsi="Verdana" w:eastAsia="Century Gothic" w:cs="Century Gothic"/>
          <w:b/>
          <w:bCs/>
          <w:lang w:val="es-ES"/>
        </w:rPr>
      </w:pPr>
    </w:p>
    <w:tbl>
      <w:tblPr>
        <w:tblStyle w:val="Tablaconcuadrcula"/>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8828"/>
      </w:tblGrid>
      <w:tr w:rsidRPr="000F60AB" w:rsidR="00EE604A" w:rsidTr="00A54D30" w14:paraId="574F5124" w14:textId="77777777">
        <w:tc>
          <w:tcPr>
            <w:tcW w:w="8828" w:type="dxa"/>
          </w:tcPr>
          <w:p w:rsidRPr="00782265" w:rsidR="00EE604A" w:rsidP="00782265" w:rsidRDefault="00EE604A" w14:paraId="5580BDF4" w14:textId="6133CDBC">
            <w:pPr>
              <w:spacing w:line="276" w:lineRule="auto"/>
              <w:jc w:val="both"/>
              <w:rPr>
                <w:rFonts w:ascii="Verdana" w:hAnsi="Verdana" w:eastAsia="Calibri" w:cs="Arial"/>
              </w:rPr>
            </w:pPr>
          </w:p>
          <w:p w:rsidR="00C838D5" w:rsidP="00CE1AE5" w:rsidRDefault="004A2AFB" w14:paraId="260F8683" w14:textId="00FCEDDD">
            <w:pPr>
              <w:spacing w:after="120" w:line="276" w:lineRule="auto"/>
              <w:ind w:firstLine="709"/>
              <w:jc w:val="both"/>
              <w:rPr>
                <w:rFonts w:ascii="Verdana" w:hAnsi="Verdana" w:eastAsia="Calibri" w:cs="Arial"/>
              </w:rPr>
            </w:pPr>
            <w:r w:rsidRPr="00AB27C9">
              <w:rPr>
                <w:rFonts w:ascii="Verdana" w:hAnsi="Verdana" w:eastAsia="Calibri" w:cs="Arial"/>
              </w:rPr>
              <w:t>De acuerdo con el p</w:t>
            </w:r>
            <w:r w:rsidRPr="00AB27C9" w:rsidR="0041741A">
              <w:rPr>
                <w:rFonts w:ascii="Verdana" w:hAnsi="Verdana" w:eastAsia="Calibri" w:cs="Arial"/>
              </w:rPr>
              <w:t>roblema jurídico planteado, es menester tener en cuenta lo estipulado en la</w:t>
            </w:r>
            <w:r w:rsidRPr="00AB27C9" w:rsidR="00EE604A">
              <w:rPr>
                <w:rFonts w:ascii="Verdana" w:hAnsi="Verdana" w:eastAsia="Calibri" w:cs="Arial"/>
              </w:rPr>
              <w:t xml:space="preserve"> “Guía para Determinar y Verificar la Capacidad Residual del Proponente en los Procesos de Contratación de Obra Pública” para la determinación de la CO expedida por esta agencia</w:t>
            </w:r>
          </w:p>
          <w:p w:rsidRPr="00AB27C9" w:rsidR="00EE604A" w:rsidP="00AB27C9" w:rsidRDefault="00CE1AE5" w14:paraId="39496644" w14:textId="39DB641F">
            <w:pPr>
              <w:spacing w:after="120" w:line="276" w:lineRule="auto"/>
              <w:ind w:firstLine="709"/>
              <w:jc w:val="both"/>
              <w:rPr>
                <w:rFonts w:ascii="Verdana" w:hAnsi="Verdana" w:eastAsia="Calibri" w:cs="Arial"/>
              </w:rPr>
            </w:pPr>
            <w:r>
              <w:rPr>
                <w:rFonts w:ascii="Verdana" w:hAnsi="Verdana" w:eastAsia="Calibri" w:cs="Arial"/>
              </w:rPr>
              <w:t xml:space="preserve">Ahora bien, </w:t>
            </w:r>
            <w:r w:rsidRPr="00AB27C9" w:rsidR="00EE604A">
              <w:rPr>
                <w:rFonts w:ascii="Verdana" w:hAnsi="Verdana" w:eastAsia="Calibri" w:cs="Arial"/>
              </w:rPr>
              <w:t>especto a cómo se establece la CO, es menester reiterar que la guía citada previamente establece la siguiente fórmula para la determinación de la capacidad residual del proponente:</w:t>
            </w:r>
          </w:p>
          <w:p w:rsidRPr="00AB27C9" w:rsidR="00EE604A" w:rsidP="00AB27C9" w:rsidRDefault="00EE604A" w14:paraId="4FE50609" w14:textId="77777777">
            <w:pPr>
              <w:spacing w:line="276" w:lineRule="auto"/>
              <w:jc w:val="both"/>
              <w:rPr>
                <w:rFonts w:ascii="Verdana" w:hAnsi="Verdana" w:eastAsia="Calibri" w:cs="Arial"/>
                <w:color w:val="7030A0"/>
              </w:rPr>
            </w:pPr>
            <w:r w:rsidRPr="000F60AB">
              <w:rPr>
                <w:noProof/>
              </w:rPr>
              <w:drawing>
                <wp:inline distT="0" distB="0" distL="0" distR="0" wp14:anchorId="443EEBEA" wp14:editId="3CED4128">
                  <wp:extent cx="4638095" cy="676190"/>
                  <wp:effectExtent l="0" t="0" r="0" b="0"/>
                  <wp:docPr id="616372302"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372302" name="Imagen 1" descr="Icono&#10;&#10;Descripción generada automáticamente"/>
                          <pic:cNvPicPr/>
                        </pic:nvPicPr>
                        <pic:blipFill>
                          <a:blip r:embed="rId13"/>
                          <a:stretch>
                            <a:fillRect/>
                          </a:stretch>
                        </pic:blipFill>
                        <pic:spPr>
                          <a:xfrm>
                            <a:off x="0" y="0"/>
                            <a:ext cx="4638095" cy="676190"/>
                          </a:xfrm>
                          <a:prstGeom prst="rect">
                            <a:avLst/>
                          </a:prstGeom>
                        </pic:spPr>
                      </pic:pic>
                    </a:graphicData>
                  </a:graphic>
                </wp:inline>
              </w:drawing>
            </w:r>
          </w:p>
          <w:p w:rsidRPr="000F60AB" w:rsidR="00EE604A" w:rsidP="00A54D30" w:rsidRDefault="00EE604A" w14:paraId="20255E1D" w14:textId="77777777">
            <w:pPr>
              <w:pStyle w:val="Prrafodelista"/>
              <w:spacing w:line="276" w:lineRule="auto"/>
              <w:ind w:left="1080"/>
              <w:jc w:val="both"/>
              <w:rPr>
                <w:rFonts w:ascii="Verdana" w:hAnsi="Verdana" w:eastAsia="Calibri" w:cs="Arial"/>
                <w:color w:val="7030A0"/>
              </w:rPr>
            </w:pPr>
          </w:p>
          <w:p w:rsidRPr="00AB27C9" w:rsidR="00EE604A" w:rsidP="00CE1AE5" w:rsidRDefault="00EE604A" w14:paraId="54984604" w14:textId="77777777">
            <w:pPr>
              <w:spacing w:after="120" w:line="276" w:lineRule="auto"/>
              <w:ind w:firstLine="709"/>
              <w:jc w:val="both"/>
              <w:rPr>
                <w:rFonts w:ascii="Verdana" w:hAnsi="Verdana" w:eastAsia="Calibri" w:cs="Arial"/>
              </w:rPr>
            </w:pPr>
            <w:r w:rsidRPr="00AB27C9">
              <w:rPr>
                <w:rFonts w:ascii="Verdana" w:hAnsi="Verdana" w:eastAsia="Calibri" w:cs="Arial"/>
              </w:rPr>
              <w:t xml:space="preserve">Teniendo en cuenta que la “CO” no tiene asignación de puntaje en la fórmula, por un lado, porque su unidad de medida es en pesos colombianos “COP” y, por el otro, debido a que el mismo constituye un factor multiplicador de los demás factores en la fórmula, es menester resaltar que </w:t>
            </w:r>
            <w:r w:rsidRPr="00AB27C9">
              <w:rPr>
                <w:rFonts w:ascii="Verdana" w:hAnsi="Verdana" w:eastAsia="Calibri" w:cs="Arial"/>
                <w:u w:val="single"/>
              </w:rPr>
              <w:t>la CO se establece teniendo en cuenta la información financiera del proponente de los últimos 5 años</w:t>
            </w:r>
            <w:r w:rsidRPr="00AB27C9">
              <w:rPr>
                <w:rFonts w:ascii="Verdana" w:hAnsi="Verdana" w:eastAsia="Calibri" w:cs="Arial"/>
              </w:rPr>
              <w:t>, o, en su defecto, si la antigüedad del proponente es inferior a los 5 años, la citada guía establece la siguiente tabla para tal fin:</w:t>
            </w:r>
          </w:p>
          <w:p w:rsidRPr="000F60AB" w:rsidR="00EE604A" w:rsidP="00A54D30" w:rsidRDefault="00EE604A" w14:paraId="70C2EC3B" w14:textId="77777777">
            <w:pPr>
              <w:pStyle w:val="Prrafodelista"/>
              <w:spacing w:line="276" w:lineRule="auto"/>
              <w:ind w:left="1080"/>
              <w:jc w:val="both"/>
              <w:rPr>
                <w:rFonts w:ascii="Verdana" w:hAnsi="Verdana" w:eastAsia="Calibri" w:cs="Arial"/>
                <w:color w:val="7030A0"/>
              </w:rPr>
            </w:pPr>
          </w:p>
          <w:tbl>
            <w:tblPr>
              <w:tblStyle w:val="Tablaconcuadrcula"/>
              <w:tblW w:w="9729" w:type="dxa"/>
              <w:tblLook w:val="04A0" w:firstRow="1" w:lastRow="0" w:firstColumn="1" w:lastColumn="0" w:noHBand="0" w:noVBand="1"/>
            </w:tblPr>
            <w:tblGrid>
              <w:gridCol w:w="282"/>
              <w:gridCol w:w="4172"/>
              <w:gridCol w:w="5275"/>
            </w:tblGrid>
            <w:tr w:rsidRPr="000F60AB" w:rsidR="00EE604A" w:rsidTr="002641E9" w14:paraId="6054F7AB" w14:textId="77777777">
              <w:trPr>
                <w:trHeight w:val="961"/>
              </w:trPr>
              <w:tc>
                <w:tcPr>
                  <w:tcW w:w="4453" w:type="dxa"/>
                  <w:gridSpan w:val="2"/>
                  <w:shd w:val="clear" w:color="auto" w:fill="4472C4" w:themeFill="accent1"/>
                  <w:vAlign w:val="center"/>
                </w:tcPr>
                <w:p w:rsidRPr="000F60AB" w:rsidR="00EE604A" w:rsidP="00A54D30" w:rsidRDefault="00EE604A" w14:paraId="00ED790A" w14:textId="77777777">
                  <w:pPr>
                    <w:pStyle w:val="Prrafodelista"/>
                    <w:spacing w:line="276" w:lineRule="auto"/>
                    <w:ind w:left="0"/>
                    <w:jc w:val="center"/>
                    <w:rPr>
                      <w:rFonts w:ascii="Verdana" w:hAnsi="Verdana" w:eastAsia="Calibri" w:cs="Arial"/>
                      <w:color w:val="FFFFFF" w:themeColor="background1"/>
                    </w:rPr>
                  </w:pPr>
                  <w:r w:rsidRPr="000F60AB">
                    <w:rPr>
                      <w:rFonts w:ascii="Verdana" w:hAnsi="Verdana" w:eastAsia="Calibri" w:cs="Arial"/>
                      <w:color w:val="FFFFFF" w:themeColor="background1"/>
                    </w:rPr>
                    <w:t>Años de información financiera</w:t>
                  </w:r>
                </w:p>
              </w:tc>
              <w:tc>
                <w:tcPr>
                  <w:tcW w:w="5275" w:type="dxa"/>
                  <w:shd w:val="clear" w:color="auto" w:fill="4472C4" w:themeFill="accent1"/>
                  <w:vAlign w:val="center"/>
                </w:tcPr>
                <w:p w:rsidRPr="000F60AB" w:rsidR="00EE604A" w:rsidP="00A54D30" w:rsidRDefault="00EE604A" w14:paraId="314933CC" w14:textId="77777777">
                  <w:pPr>
                    <w:pStyle w:val="Prrafodelista"/>
                    <w:spacing w:line="276" w:lineRule="auto"/>
                    <w:ind w:left="0"/>
                    <w:jc w:val="center"/>
                    <w:rPr>
                      <w:rFonts w:ascii="Verdana" w:hAnsi="Verdana" w:eastAsia="Calibri" w:cs="Arial"/>
                      <w:color w:val="FFFFFF" w:themeColor="background1"/>
                    </w:rPr>
                  </w:pPr>
                  <w:r w:rsidRPr="000F60AB">
                    <w:rPr>
                      <w:rFonts w:ascii="Verdana" w:hAnsi="Verdana" w:eastAsia="Calibri" w:cs="Arial"/>
                      <w:color w:val="FFFFFF" w:themeColor="background1"/>
                    </w:rPr>
                    <w:t>Capacidad de Organización (CO)</w:t>
                  </w:r>
                </w:p>
              </w:tc>
            </w:tr>
            <w:tr w:rsidRPr="000F60AB" w:rsidR="00EE604A" w:rsidTr="002641E9" w14:paraId="26EE7D46" w14:textId="77777777">
              <w:trPr>
                <w:trHeight w:val="1229"/>
              </w:trPr>
              <w:tc>
                <w:tcPr>
                  <w:tcW w:w="4453" w:type="dxa"/>
                  <w:gridSpan w:val="2"/>
                  <w:vAlign w:val="center"/>
                </w:tcPr>
                <w:p w:rsidRPr="000F60AB" w:rsidR="00EE604A" w:rsidP="00A54D30" w:rsidRDefault="00EE604A" w14:paraId="36AE494E" w14:textId="77777777">
                  <w:pPr>
                    <w:pStyle w:val="Prrafodelista"/>
                    <w:spacing w:line="276" w:lineRule="auto"/>
                    <w:ind w:left="0"/>
                    <w:rPr>
                      <w:rFonts w:ascii="Verdana" w:hAnsi="Verdana" w:eastAsia="Calibri" w:cs="Arial"/>
                    </w:rPr>
                  </w:pPr>
                  <w:r w:rsidRPr="000F60AB">
                    <w:rPr>
                      <w:rFonts w:ascii="Verdana" w:hAnsi="Verdana" w:eastAsia="Calibri" w:cs="Arial"/>
                    </w:rPr>
                    <w:t>Cinco (5) años o más</w:t>
                  </w:r>
                </w:p>
              </w:tc>
              <w:tc>
                <w:tcPr>
                  <w:tcW w:w="5275" w:type="dxa"/>
                  <w:vAlign w:val="center"/>
                </w:tcPr>
                <w:p w:rsidRPr="000F60AB" w:rsidR="00EE604A" w:rsidP="00A54D30" w:rsidRDefault="00EE604A" w14:paraId="573EFFF7" w14:textId="77777777">
                  <w:pPr>
                    <w:pStyle w:val="Prrafodelista"/>
                    <w:spacing w:line="276" w:lineRule="auto"/>
                    <w:ind w:left="0"/>
                    <w:rPr>
                      <w:rFonts w:ascii="Verdana" w:hAnsi="Verdana" w:eastAsia="Calibri" w:cs="Arial"/>
                    </w:rPr>
                  </w:pPr>
                  <w:r w:rsidRPr="000F60AB">
                    <w:rPr>
                      <w:rFonts w:ascii="Verdana" w:hAnsi="Verdana" w:eastAsia="Calibri" w:cs="Arial"/>
                    </w:rPr>
                    <w:t>Mayor ingreso operacional de los últimos cinco (5) años.</w:t>
                  </w:r>
                </w:p>
              </w:tc>
            </w:tr>
            <w:tr w:rsidRPr="000F60AB" w:rsidR="00EE604A" w:rsidTr="002641E9" w14:paraId="2C800588" w14:textId="77777777">
              <w:trPr>
                <w:trHeight w:val="978"/>
              </w:trPr>
              <w:tc>
                <w:tcPr>
                  <w:tcW w:w="4453" w:type="dxa"/>
                  <w:gridSpan w:val="2"/>
                  <w:vAlign w:val="center"/>
                </w:tcPr>
                <w:p w:rsidRPr="000F60AB" w:rsidR="00EE604A" w:rsidP="00A54D30" w:rsidRDefault="00EE604A" w14:paraId="2648B867" w14:textId="77777777">
                  <w:pPr>
                    <w:pStyle w:val="Prrafodelista"/>
                    <w:spacing w:line="276" w:lineRule="auto"/>
                    <w:ind w:left="0"/>
                    <w:rPr>
                      <w:rFonts w:ascii="Verdana" w:hAnsi="Verdana" w:eastAsia="Calibri" w:cs="Arial"/>
                    </w:rPr>
                  </w:pPr>
                  <w:r w:rsidRPr="000F60AB">
                    <w:rPr>
                      <w:rFonts w:ascii="Verdana" w:hAnsi="Verdana" w:eastAsia="Calibri" w:cs="Arial"/>
                      <w:lang w:val="es-CO"/>
                    </w:rPr>
                    <w:t>Entre uno (1) y cinco (5) años</w:t>
                  </w:r>
                </w:p>
              </w:tc>
              <w:tc>
                <w:tcPr>
                  <w:tcW w:w="5275" w:type="dxa"/>
                  <w:vAlign w:val="center"/>
                </w:tcPr>
                <w:p w:rsidRPr="000F60AB" w:rsidR="00EE604A" w:rsidP="00A54D30" w:rsidRDefault="00EE604A" w14:paraId="4ED71651" w14:textId="77777777">
                  <w:pPr>
                    <w:pStyle w:val="Prrafodelista"/>
                    <w:spacing w:line="276" w:lineRule="auto"/>
                    <w:ind w:left="0"/>
                    <w:rPr>
                      <w:rFonts w:ascii="Verdana" w:hAnsi="Verdana" w:eastAsia="Calibri" w:cs="Arial"/>
                    </w:rPr>
                  </w:pPr>
                  <w:r w:rsidRPr="000F60AB">
                    <w:rPr>
                      <w:rFonts w:ascii="Verdana" w:hAnsi="Verdana" w:eastAsia="Calibri" w:cs="Arial"/>
                      <w:lang w:val="es-CO"/>
                    </w:rPr>
                    <w:t>Mayor ingreso operacional de los años de vida del oferente</w:t>
                  </w:r>
                </w:p>
              </w:tc>
            </w:tr>
            <w:tr w:rsidRPr="000F60AB" w:rsidR="00EE604A" w:rsidTr="002641E9" w14:paraId="3DDD2FB5" w14:textId="77777777">
              <w:trPr>
                <w:gridBefore w:val="1"/>
                <w:wBefore w:w="282" w:type="dxa"/>
                <w:trHeight w:val="2414"/>
              </w:trPr>
              <w:tc>
                <w:tcPr>
                  <w:tcW w:w="4172" w:type="dxa"/>
                  <w:vAlign w:val="center"/>
                </w:tcPr>
                <w:p w:rsidRPr="000F60AB" w:rsidR="00EE604A" w:rsidP="00A54D30" w:rsidRDefault="00EE604A" w14:paraId="4660FFA8" w14:textId="77777777">
                  <w:pPr>
                    <w:pStyle w:val="Prrafodelista"/>
                    <w:spacing w:line="276" w:lineRule="auto"/>
                    <w:ind w:left="0"/>
                    <w:rPr>
                      <w:rFonts w:ascii="Verdana" w:hAnsi="Verdana" w:eastAsia="Calibri" w:cs="Arial"/>
                    </w:rPr>
                  </w:pPr>
                  <w:r w:rsidRPr="000F60AB">
                    <w:rPr>
                      <w:rFonts w:ascii="Verdana" w:hAnsi="Verdana" w:eastAsia="Calibri" w:cs="Arial"/>
                      <w:lang w:val="es-CO"/>
                    </w:rPr>
                    <w:t>Menos de un (1) año</w:t>
                  </w:r>
                </w:p>
              </w:tc>
              <w:tc>
                <w:tcPr>
                  <w:tcW w:w="5275" w:type="dxa"/>
                  <w:vAlign w:val="center"/>
                </w:tcPr>
                <w:p w:rsidRPr="002641E9" w:rsidR="002641E9" w:rsidP="00A54D30" w:rsidRDefault="00EE604A" w14:paraId="123CB44A" w14:textId="667948DB">
                  <w:pPr>
                    <w:pStyle w:val="Prrafodelista"/>
                    <w:spacing w:line="276" w:lineRule="auto"/>
                    <w:ind w:left="0"/>
                    <w:rPr>
                      <w:rFonts w:ascii="Verdana" w:hAnsi="Verdana" w:eastAsia="Calibri" w:cs="Arial"/>
                      <w:lang w:val="es-CO"/>
                    </w:rPr>
                  </w:pPr>
                  <w:r w:rsidRPr="000F60AB">
                    <w:rPr>
                      <w:rFonts w:ascii="Verdana" w:hAnsi="Verdana" w:eastAsia="Calibri" w:cs="Arial"/>
                      <w:lang w:val="es-CO"/>
                    </w:rPr>
                    <w:t>USD 125.000 (Liquidados a la tasa de cambio determinada por el Ministerio de Comercio, Industria y Turismo cada 2 años para efectos del umbral del beneficio de las Mipyme.</w:t>
                  </w:r>
                </w:p>
              </w:tc>
            </w:tr>
          </w:tbl>
          <w:p w:rsidR="002641E9" w:rsidP="002641E9" w:rsidRDefault="002641E9" w14:paraId="03BB563C" w14:textId="77777777">
            <w:pPr>
              <w:spacing w:line="276" w:lineRule="auto"/>
              <w:jc w:val="both"/>
              <w:rPr>
                <w:rFonts w:ascii="Verdana" w:hAnsi="Verdana" w:eastAsia="Calibri" w:cs="Arial"/>
                <w:color w:val="000000" w:themeColor="text1"/>
                <w:lang w:val="es-ES"/>
              </w:rPr>
            </w:pPr>
            <w:r w:rsidRPr="002641E9">
              <w:rPr>
                <w:rFonts w:ascii="Verdana" w:hAnsi="Verdana" w:eastAsia="Calibri" w:cs="Arial"/>
                <w:color w:val="000000" w:themeColor="text1"/>
                <w:lang w:val="es-ES"/>
              </w:rPr>
              <w:t xml:space="preserve"> </w:t>
            </w:r>
          </w:p>
          <w:p w:rsidR="002641E9" w:rsidP="00E15E17" w:rsidRDefault="002641E9" w14:paraId="75B1AAF2" w14:textId="039B9BF9">
            <w:pPr>
              <w:spacing w:after="120" w:line="276" w:lineRule="auto"/>
              <w:ind w:firstLine="709"/>
              <w:jc w:val="both"/>
              <w:rPr>
                <w:rFonts w:ascii="Verdana" w:hAnsi="Verdana" w:eastAsia="Calibri" w:cs="Arial"/>
              </w:rPr>
            </w:pPr>
            <w:r w:rsidRPr="002641E9">
              <w:rPr>
                <w:rFonts w:ascii="Verdana" w:hAnsi="Verdana" w:eastAsia="Calibri" w:cs="Arial"/>
                <w:color w:val="000000" w:themeColor="text1"/>
                <w:lang w:val="es-ES"/>
              </w:rPr>
              <w:t>Con todo lo anterior</w:t>
            </w:r>
            <w:r>
              <w:rPr>
                <w:rFonts w:ascii="Verdana" w:hAnsi="Verdana" w:eastAsia="Calibri" w:cs="Arial"/>
                <w:color w:val="7030A0"/>
                <w:lang w:val="es-ES"/>
              </w:rPr>
              <w:t>,</w:t>
            </w:r>
            <w:r w:rsidRPr="000F60AB" w:rsidR="00EE604A">
              <w:rPr>
                <w:rFonts w:ascii="Verdana" w:hAnsi="Verdana" w:eastAsia="Calibri" w:cs="Arial"/>
                <w:color w:val="7030A0"/>
                <w:lang w:val="es-ES"/>
              </w:rPr>
              <w:t xml:space="preserve"> </w:t>
            </w:r>
            <w:r w:rsidRPr="00152133">
              <w:rPr>
                <w:rFonts w:ascii="Verdana" w:hAnsi="Verdana" w:eastAsia="Calibri" w:cs="Arial"/>
              </w:rPr>
              <w:t>Hay que mencionar que los numerales I y II, indican los documentos adicionales que deben presentar los oferentes obligados a tener RUP, es decir, en donde señala: “las Entidades Estatales solo deben solicitar como documento adicional el estado de resultados que contiene el mejor ingreso operacional de los últimos cinco (5) años puesto que la información de la liquidez se encuentra contenida en el RUP.”</w:t>
            </w:r>
          </w:p>
          <w:p w:rsidR="000B4345" w:rsidP="000B4345" w:rsidRDefault="000B4345" w14:paraId="4475AFC1" w14:textId="77777777">
            <w:pPr>
              <w:spacing w:after="120" w:line="276" w:lineRule="auto"/>
              <w:ind w:firstLine="709"/>
              <w:jc w:val="both"/>
              <w:rPr>
                <w:rFonts w:ascii="Verdana" w:hAnsi="Verdana" w:eastAsia="Verdana" w:cs="Verdana"/>
              </w:rPr>
            </w:pPr>
            <w:r w:rsidRPr="00F96B5E">
              <w:rPr>
                <w:rFonts w:ascii="Verdana" w:hAnsi="Verdana" w:eastAsia="Verdana" w:cs="Verdana"/>
              </w:rPr>
              <w:t>Finalmente se precisa, que el análisis sobre situaciones derivadas de la gestión contractual de las Entidades Estatales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w:t>
            </w:r>
            <w:r>
              <w:rPr>
                <w:rFonts w:ascii="Verdana" w:hAnsi="Verdana" w:eastAsia="Verdana" w:cs="Verdana"/>
              </w:rPr>
              <w:t xml:space="preserve"> </w:t>
            </w:r>
            <w:r w:rsidRPr="00F96B5E">
              <w:rPr>
                <w:rFonts w:ascii="Verdana" w:hAnsi="Verdana" w:eastAsia="Verdana" w:cs="Verdana"/>
              </w:rPr>
              <w:t>a los interesados adoptar la decisión correspondiente y, en caso de conflicto, a las autoridades judiciales, fiscales y disciplinarias.</w:t>
            </w:r>
          </w:p>
          <w:p w:rsidRPr="000B4345" w:rsidR="00EE604A" w:rsidP="000B4345" w:rsidRDefault="000B4345" w14:paraId="697C0EC3" w14:textId="6C58AA77">
            <w:pPr>
              <w:spacing w:after="120" w:line="276" w:lineRule="auto"/>
              <w:ind w:firstLine="709"/>
              <w:jc w:val="both"/>
              <w:rPr>
                <w:rFonts w:ascii="Verdana" w:hAnsi="Verdana" w:eastAsia="Calibri" w:cs="Arial"/>
              </w:rPr>
            </w:pPr>
            <w:r w:rsidRPr="00F96B5E">
              <w:rPr>
                <w:rFonts w:ascii="Verdana" w:hAnsi="Verdana" w:eastAsia="Verdana" w:cs="Verdana"/>
              </w:rPr>
              <w:t>Dentro de este marco, el consultante definirá en cada caso concreto lo relacionado con el tema objeto de consulta. Al tratarse de un análisis que debe realizarse en el procedimiento contractual específico, la Agencia sólo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r>
              <w:rPr>
                <w:rFonts w:ascii="Verdana" w:hAnsi="Verdana" w:eastAsia="Verdana" w:cs="Verdana"/>
              </w:rPr>
              <w:t>.</w:t>
            </w:r>
          </w:p>
        </w:tc>
      </w:tr>
    </w:tbl>
    <w:p w:rsidRPr="000F60AB" w:rsidR="00EE604A" w:rsidP="00EE604A" w:rsidRDefault="00EE604A" w14:paraId="18E8A70D" w14:textId="77777777">
      <w:pPr>
        <w:tabs>
          <w:tab w:val="left" w:pos="142"/>
          <w:tab w:val="left" w:pos="284"/>
        </w:tabs>
        <w:spacing w:after="0" w:line="276" w:lineRule="auto"/>
        <w:jc w:val="both"/>
        <w:rPr>
          <w:rFonts w:ascii="Verdana" w:hAnsi="Verdana" w:eastAsia="Century Gothic" w:cs="Century Gothic"/>
          <w:b/>
          <w:bCs/>
          <w:lang w:val="es-ES"/>
        </w:rPr>
      </w:pPr>
    </w:p>
    <w:p w:rsidRPr="00D871A5" w:rsidR="00EE604A" w:rsidP="00D871A5" w:rsidRDefault="00EE604A" w14:paraId="305D5073" w14:textId="13CC7E6C">
      <w:pPr>
        <w:pStyle w:val="Prrafodelista"/>
        <w:numPr>
          <w:ilvl w:val="0"/>
          <w:numId w:val="16"/>
        </w:numPr>
        <w:tabs>
          <w:tab w:val="left" w:pos="142"/>
          <w:tab w:val="left" w:pos="284"/>
        </w:tabs>
        <w:spacing w:after="0" w:line="276" w:lineRule="auto"/>
        <w:jc w:val="both"/>
        <w:rPr>
          <w:rFonts w:ascii="Verdana" w:hAnsi="Verdana" w:eastAsia="Century Gothic" w:cs="Century Gothic"/>
          <w:b/>
          <w:bCs/>
        </w:rPr>
      </w:pPr>
      <w:r w:rsidRPr="00D871A5">
        <w:rPr>
          <w:rFonts w:ascii="Verdana" w:hAnsi="Verdana" w:eastAsia="Century Gothic" w:cs="Century Gothic"/>
          <w:b/>
          <w:bCs/>
        </w:rPr>
        <w:t>Razones de la respuesta:</w:t>
      </w:r>
    </w:p>
    <w:p w:rsidRPr="000F60AB" w:rsidR="00EE604A" w:rsidP="00EE604A" w:rsidRDefault="00EE604A" w14:paraId="06E4247F" w14:textId="77777777">
      <w:pPr>
        <w:spacing w:after="0" w:line="276" w:lineRule="auto"/>
        <w:jc w:val="both"/>
        <w:rPr>
          <w:rFonts w:ascii="Verdana" w:hAnsi="Verdana" w:eastAsia="Calibri" w:cs="Arial"/>
          <w:color w:val="7030A0"/>
          <w:lang w:val="es-ES"/>
        </w:rPr>
      </w:pPr>
    </w:p>
    <w:p w:rsidRPr="000F60AB" w:rsidR="00EE604A" w:rsidP="00EE604A" w:rsidRDefault="00EE604A" w14:paraId="7958D202" w14:textId="77777777">
      <w:pPr>
        <w:spacing w:after="0" w:line="276" w:lineRule="auto"/>
        <w:jc w:val="both"/>
        <w:rPr>
          <w:rFonts w:ascii="Verdana" w:hAnsi="Verdana" w:eastAsia="Calibri" w:cs="Arial"/>
          <w:lang w:val="es-ES"/>
        </w:rPr>
      </w:pPr>
      <w:r w:rsidRPr="000F60AB">
        <w:rPr>
          <w:rFonts w:ascii="Verdana" w:hAnsi="Verdana" w:eastAsia="Calibri" w:cs="Arial"/>
          <w:lang w:val="es-ES"/>
        </w:rPr>
        <w:t xml:space="preserve">Lo anterior se sustenta en las siguientes consideraciones: </w:t>
      </w:r>
    </w:p>
    <w:p w:rsidRPr="000F60AB" w:rsidR="00EE604A" w:rsidP="00EE604A" w:rsidRDefault="00EE604A" w14:paraId="5F7D8791" w14:textId="77777777">
      <w:pPr>
        <w:spacing w:after="0" w:line="276" w:lineRule="auto"/>
        <w:jc w:val="both"/>
        <w:rPr>
          <w:rFonts w:ascii="Verdana" w:hAnsi="Verdana" w:eastAsia="Calibri" w:cs="Arial"/>
          <w:lang w:val="es-ES"/>
        </w:rPr>
      </w:pPr>
    </w:p>
    <w:p w:rsidR="00AB27C9" w:rsidP="00D871A5" w:rsidRDefault="00EE604A" w14:paraId="3CF2A7B7" w14:textId="77777777">
      <w:pPr>
        <w:spacing w:after="120" w:line="276" w:lineRule="auto"/>
        <w:ind w:firstLine="709"/>
        <w:jc w:val="both"/>
        <w:rPr>
          <w:rFonts w:ascii="Verdana" w:hAnsi="Verdana" w:eastAsia="Calibri" w:cs="Arial"/>
        </w:rPr>
      </w:pPr>
      <w:r w:rsidRPr="00AB27C9">
        <w:rPr>
          <w:rFonts w:ascii="Verdana" w:hAnsi="Verdana" w:eastAsia="Calibri" w:cs="Arial"/>
        </w:rPr>
        <w:t>La capacidad residual es una aptitud que se exige a los oferentes en los procesos de selección contractual con el objetivo de establecer o determinar si éstos pueden o no cumplir de manera oportuna y a cabalidad con las obligaciones derivadas del contrato de obra pública, sin que los demás compromisos contractuales que hubieran adquirido con anterioridad afecten su capacidad para cumplir con el objeto del contrato que está en proceso de selección1</w:t>
      </w:r>
      <w:r w:rsidRPr="000F60AB">
        <w:rPr>
          <w:rStyle w:val="Refdenotaalpie"/>
          <w:rFonts w:ascii="Verdana" w:hAnsi="Verdana" w:eastAsia="Calibri" w:cs="Arial"/>
        </w:rPr>
        <w:footnoteReference w:id="2"/>
      </w:r>
      <w:r w:rsidRPr="00AB27C9">
        <w:rPr>
          <w:rFonts w:ascii="Verdana" w:hAnsi="Verdana" w:eastAsia="Calibri" w:cs="Arial"/>
        </w:rPr>
        <w:t>. El Consejo de Estado ha definido la capacidad residual como “la diferencia que existe entre el potencial de contratación que se tiene y los compromisos que haya adquirido y que se encuentren en ejecución, para la fecha de presentación de la oferta”</w:t>
      </w:r>
      <w:r w:rsidRPr="000F60AB">
        <w:rPr>
          <w:rStyle w:val="Refdenotaalpie"/>
          <w:rFonts w:ascii="Verdana" w:hAnsi="Verdana" w:eastAsia="Calibri" w:cs="Arial"/>
        </w:rPr>
        <w:footnoteReference w:id="3"/>
      </w:r>
    </w:p>
    <w:p w:rsidRPr="00AB27C9" w:rsidR="00EE604A" w:rsidP="00D871A5" w:rsidRDefault="00EE604A" w14:paraId="1825B89E" w14:textId="61600D7F">
      <w:pPr>
        <w:spacing w:after="120" w:line="276" w:lineRule="auto"/>
        <w:ind w:firstLine="709"/>
        <w:jc w:val="both"/>
        <w:rPr>
          <w:rFonts w:ascii="Verdana" w:hAnsi="Verdana" w:eastAsia="Calibri" w:cs="Arial"/>
        </w:rPr>
      </w:pPr>
      <w:r w:rsidRPr="00AB27C9">
        <w:rPr>
          <w:rFonts w:ascii="Verdana" w:hAnsi="Verdana" w:eastAsia="Calibri" w:cs="Arial"/>
        </w:rPr>
        <w:t xml:space="preserve">Por su parte, el artículo 2.2.1.1.1.6.4 del Decreto 1082 de 2015 dispuso que las entidades estatales deben calcular la capacidad residual conforme a la metodología definida por Colombia Compra Eficiente y precisó que, para tales fines, resulta necesario tener en cuenta los factores de: i) experiencia; ii) capacidad financiera; iii) capacidad técnica; </w:t>
      </w:r>
      <w:proofErr w:type="spellStart"/>
      <w:r w:rsidRPr="00AB27C9">
        <w:rPr>
          <w:rFonts w:ascii="Verdana" w:hAnsi="Verdana" w:eastAsia="Calibri" w:cs="Arial"/>
        </w:rPr>
        <w:t>iv</w:t>
      </w:r>
      <w:proofErr w:type="spellEnd"/>
      <w:r w:rsidRPr="00AB27C9">
        <w:rPr>
          <w:rFonts w:ascii="Verdana" w:hAnsi="Verdana" w:eastAsia="Calibri" w:cs="Arial"/>
        </w:rPr>
        <w:t>) capacidad de organización; y v) los saldos de los contratos en ejecución, así:</w:t>
      </w:r>
    </w:p>
    <w:p w:rsidRPr="000F60AB" w:rsidR="00EE604A" w:rsidP="00EE604A" w:rsidRDefault="00EE604A" w14:paraId="7A283294" w14:textId="77777777">
      <w:pPr>
        <w:pStyle w:val="Prrafodelista"/>
        <w:jc w:val="both"/>
        <w:rPr>
          <w:rFonts w:ascii="Verdana" w:hAnsi="Verdana" w:eastAsia="Calibri" w:cs="Arial"/>
        </w:rPr>
      </w:pPr>
    </w:p>
    <w:p w:rsidRPr="00D871A5" w:rsidR="00EE604A" w:rsidP="00D871A5" w:rsidRDefault="00EE604A" w14:paraId="732945E8" w14:textId="77777777">
      <w:pPr>
        <w:pStyle w:val="Prrafodelista"/>
        <w:spacing w:after="0" w:line="240" w:lineRule="auto"/>
        <w:ind w:left="709" w:right="709"/>
        <w:jc w:val="both"/>
        <w:rPr>
          <w:rFonts w:ascii="Verdana" w:hAnsi="Verdana" w:eastAsia="Calibri" w:cs="Arial"/>
          <w:sz w:val="21"/>
          <w:szCs w:val="21"/>
        </w:rPr>
      </w:pPr>
      <w:r w:rsidRPr="00D871A5">
        <w:rPr>
          <w:rFonts w:ascii="Verdana" w:hAnsi="Verdana" w:eastAsia="Calibri" w:cs="Arial"/>
          <w:sz w:val="21"/>
          <w:szCs w:val="21"/>
        </w:rPr>
        <w:t>“Artículo 2.2.1.1.1.6.4. Capacidad Residual. El interesado en celebrar contratos de obra pública con Entidades Estatales debe acreditar su Capacidad Residual o K de Contratación con los siguientes documentos: (…)</w:t>
      </w:r>
    </w:p>
    <w:p w:rsidRPr="00D871A5" w:rsidR="00EE604A" w:rsidP="00D871A5" w:rsidRDefault="00EE604A" w14:paraId="116BD616" w14:textId="77777777">
      <w:pPr>
        <w:pStyle w:val="Prrafodelista"/>
        <w:spacing w:after="0" w:line="240" w:lineRule="auto"/>
        <w:ind w:left="709" w:right="709"/>
        <w:jc w:val="both"/>
        <w:rPr>
          <w:rFonts w:ascii="Verdana" w:hAnsi="Verdana" w:eastAsia="Calibri" w:cs="Arial"/>
          <w:sz w:val="21"/>
          <w:szCs w:val="21"/>
        </w:rPr>
      </w:pPr>
      <w:r w:rsidRPr="00D871A5">
        <w:rPr>
          <w:rFonts w:ascii="Verdana" w:hAnsi="Verdana" w:eastAsia="Calibri" w:cs="Arial"/>
          <w:sz w:val="21"/>
          <w:szCs w:val="21"/>
        </w:rPr>
        <w:t>La Entidad Estatal debe calcular la Capacidad Residual del proponente de acuerdo con la metodología que defina Colombia Compra Eficiente, teniendo en cuenta los factores de: Experiencia (E), Capacidad Financiera (CF), Capacidad Técnica (CT), Capacidad de Organización (CO), y los saldos de los contratos en ejecución (SCE).”</w:t>
      </w:r>
    </w:p>
    <w:p w:rsidRPr="000F60AB" w:rsidR="00EE604A" w:rsidP="00EE604A" w:rsidRDefault="00EE604A" w14:paraId="7100C6C2" w14:textId="77777777">
      <w:pPr>
        <w:pStyle w:val="Prrafodelista"/>
        <w:spacing w:line="240" w:lineRule="auto"/>
        <w:ind w:left="1491" w:right="357"/>
        <w:jc w:val="both"/>
        <w:rPr>
          <w:rFonts w:ascii="Verdana" w:hAnsi="Verdana" w:eastAsia="Calibri" w:cs="Arial"/>
          <w:sz w:val="20"/>
          <w:szCs w:val="20"/>
        </w:rPr>
      </w:pPr>
    </w:p>
    <w:p w:rsidR="00D871A5" w:rsidP="00D871A5" w:rsidRDefault="00EE604A" w14:paraId="21180D01" w14:textId="77777777">
      <w:pPr>
        <w:spacing w:after="120"/>
        <w:ind w:firstLine="709"/>
        <w:jc w:val="both"/>
        <w:rPr>
          <w:rFonts w:ascii="Verdana" w:hAnsi="Verdana" w:eastAsia="Calibri" w:cs="Arial"/>
        </w:rPr>
      </w:pPr>
      <w:r w:rsidRPr="00D871A5">
        <w:rPr>
          <w:rFonts w:ascii="Verdana" w:hAnsi="Verdana" w:eastAsia="Calibri" w:cs="Arial"/>
        </w:rPr>
        <w:t>De conformidad con lo anterior, esta Agencia expidió la “Guía para Determinar y Verificar la Capacidad Residual del Proponente en los Procesos de Contratación de Obra Pública”. En este documento se establece, entre otras cuestiones, que a la entidad contratante le corresponde, primero, establecer la capacidad residual del proceso de contratación “CRPC” y, segundo, determinar si los proponentes cumplen con la capacidad residual del proceso de contratación, claro está, teniendo en cuenta la siguiente información aportada por el proponente: i) La lista de los Contratos en Ejecución, así como el valor y plazo de tales contratos. ii) La lista de los Contratos en Ejecución, suscritos por sociedades, consorcios o uniones temporales, en los cuales el proponente tenga participación, así como el valor y plazo de tales contratos. iii) El estado de resultados auditado que contiene el mejor ingreso operacional de los últimos cinco (5) años y el balance general auditado del último año, suscrito por el interesado o su representante legal y el revisor fiscal si está obligado a tenerlo, o el auditor o contador si no está obligado a tener revisor fiscal. Si se trata de proponentes obligados a tener RUP, las Entidades Estatales solo deben solicitar como documento adicional el estado de resultados que contiene el mejor ingreso operacional de los últimos cinco (5) años puesto que la información de la liquidez se encuentra en el RUP.</w:t>
      </w:r>
    </w:p>
    <w:p w:rsidR="00D871A5" w:rsidP="00D871A5" w:rsidRDefault="00EE604A" w14:paraId="6CF9B449" w14:textId="77777777">
      <w:pPr>
        <w:spacing w:after="120"/>
        <w:ind w:firstLine="709"/>
        <w:jc w:val="both"/>
        <w:rPr>
          <w:rFonts w:ascii="Verdana" w:hAnsi="Verdana" w:eastAsia="Calibri" w:cs="Arial"/>
        </w:rPr>
      </w:pPr>
      <w:r w:rsidRPr="00D871A5">
        <w:rPr>
          <w:rFonts w:ascii="Verdana" w:hAnsi="Verdana" w:eastAsia="Calibri" w:cs="Arial"/>
        </w:rPr>
        <w:t>Ahora bien, para lo primero, esto es, para establecer la capacidad residual del proceso de contratación “CRPC”, se debe determinar si el plazo del contrato es superior a doce meses. Si no lo es, la CRPC equivale al presupuesto oficial estimado del Proceso de Contratación menos el anticipo o pago anticipado cuando haya lugar. Si lo es, equivale a la proporción lineal de 12 meses del presupuesto oficial estimado menos el anticipo o pago anticipado.</w:t>
      </w:r>
    </w:p>
    <w:p w:rsidRPr="00D871A5" w:rsidR="00EE604A" w:rsidP="00D871A5" w:rsidRDefault="00EE604A" w14:paraId="5DE085E7" w14:textId="07E16559">
      <w:pPr>
        <w:spacing w:after="120"/>
        <w:ind w:firstLine="709"/>
        <w:jc w:val="both"/>
        <w:rPr>
          <w:rFonts w:ascii="Verdana" w:hAnsi="Verdana" w:eastAsia="Calibri" w:cs="Arial"/>
        </w:rPr>
      </w:pPr>
      <w:r w:rsidRPr="00D871A5">
        <w:rPr>
          <w:rFonts w:ascii="Verdana" w:hAnsi="Verdana" w:eastAsia="Calibri" w:cs="Arial"/>
        </w:rPr>
        <w:t xml:space="preserve">Para lo segundo, es decir, para verificar que cada proponente cumple con la CRPC, la entidad pública debe verificar que la capacidad residual del proponente “CRP” sea igual o superior a la capacidad referida en el párrafo precedente. De todas formas, previamente debe establecer la CRP, con fundamento en los siguientes factores: i) experiencia “E”; ii) capacidad financiera “CF”; iii) capacidad técnica “CT”, </w:t>
      </w:r>
      <w:proofErr w:type="spellStart"/>
      <w:r w:rsidRPr="00D871A5">
        <w:rPr>
          <w:rFonts w:ascii="Verdana" w:hAnsi="Verdana" w:eastAsia="Calibri" w:cs="Arial"/>
        </w:rPr>
        <w:t>iv</w:t>
      </w:r>
      <w:proofErr w:type="spellEnd"/>
      <w:r w:rsidRPr="00D871A5">
        <w:rPr>
          <w:rFonts w:ascii="Verdana" w:hAnsi="Verdana" w:eastAsia="Calibri" w:cs="Arial"/>
        </w:rPr>
        <w:t>) capacidad de organización “CO”; y v) los saldos de los contratos en ejecución “SCE”, según la siguiente fórmula:</w:t>
      </w:r>
    </w:p>
    <w:p w:rsidRPr="000F60AB" w:rsidR="00EE604A" w:rsidP="00D871A5" w:rsidRDefault="00EE604A" w14:paraId="097DE1F0" w14:textId="77777777">
      <w:pPr>
        <w:pStyle w:val="Prrafodelista"/>
        <w:spacing w:after="120"/>
        <w:ind w:left="0" w:firstLine="709"/>
        <w:rPr>
          <w:rFonts w:ascii="Verdana" w:hAnsi="Verdana" w:eastAsia="Calibri" w:cs="Arial"/>
        </w:rPr>
      </w:pPr>
    </w:p>
    <w:p w:rsidRPr="000F60AB" w:rsidR="00EE604A" w:rsidP="00EE604A" w:rsidRDefault="00EE604A" w14:paraId="3D5160B2" w14:textId="77777777">
      <w:pPr>
        <w:pStyle w:val="Prrafodelista"/>
        <w:rPr>
          <w:rFonts w:ascii="Verdana" w:hAnsi="Verdana" w:eastAsia="Calibri" w:cs="Arial"/>
        </w:rPr>
      </w:pPr>
      <w:r w:rsidRPr="000F60AB">
        <w:rPr>
          <w:rFonts w:ascii="Verdana" w:hAnsi="Verdana"/>
          <w:noProof/>
          <w:sz w:val="20"/>
        </w:rPr>
        <w:drawing>
          <wp:inline distT="0" distB="0" distL="0" distR="0" wp14:anchorId="74E96A81" wp14:editId="39A7C1F0">
            <wp:extent cx="4641315" cy="674846"/>
            <wp:effectExtent l="0" t="0" r="0" b="0"/>
            <wp:docPr id="5" name="image3.png"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descr="Icono&#10;&#10;Descripción generada automáticamente con confianza media"/>
                    <pic:cNvPicPr/>
                  </pic:nvPicPr>
                  <pic:blipFill>
                    <a:blip r:embed="rId14" cstate="print"/>
                    <a:stretch>
                      <a:fillRect/>
                    </a:stretch>
                  </pic:blipFill>
                  <pic:spPr>
                    <a:xfrm>
                      <a:off x="0" y="0"/>
                      <a:ext cx="4641315" cy="674846"/>
                    </a:xfrm>
                    <a:prstGeom prst="rect">
                      <a:avLst/>
                    </a:prstGeom>
                  </pic:spPr>
                </pic:pic>
              </a:graphicData>
            </a:graphic>
          </wp:inline>
        </w:drawing>
      </w:r>
    </w:p>
    <w:p w:rsidR="00EE604A" w:rsidP="004E521F" w:rsidRDefault="00EE604A" w14:paraId="2E88FB85" w14:textId="77777777">
      <w:pPr>
        <w:spacing w:after="0" w:line="276" w:lineRule="auto"/>
        <w:ind w:firstLine="708"/>
        <w:jc w:val="both"/>
        <w:rPr>
          <w:rFonts w:ascii="Verdana" w:hAnsi="Verdana" w:eastAsia="Calibri" w:cs="Arial"/>
        </w:rPr>
      </w:pPr>
      <w:r w:rsidRPr="00D871A5">
        <w:rPr>
          <w:rFonts w:ascii="Verdana" w:hAnsi="Verdana" w:eastAsia="Calibri" w:cs="Arial"/>
        </w:rPr>
        <w:t>A cada uno de estos factores se les debe asignar el siguiente puntaje máximo: i) “E” 120; ii) “CF” 40; y iii) “CT” 40. La “CO” no tiene asignación de puntaje en la fórmula, por un lado, porque su unidad de medida es en pesos colombianos “COP” y, por el otro, debido a que el mismo constituye un factor multiplicador de los demás factores en la fórmula. A continuación, se explicará, en términos generales, cómo calcular cada factor:</w:t>
      </w:r>
    </w:p>
    <w:p w:rsidRPr="00D871A5" w:rsidR="004E521F" w:rsidP="00D871A5" w:rsidRDefault="004E521F" w14:paraId="5DE25598" w14:textId="77777777">
      <w:pPr>
        <w:spacing w:after="0" w:line="276" w:lineRule="auto"/>
        <w:jc w:val="both"/>
        <w:rPr>
          <w:rFonts w:ascii="Verdana" w:hAnsi="Verdana" w:eastAsia="Calibri" w:cs="Arial"/>
        </w:rPr>
      </w:pPr>
    </w:p>
    <w:p w:rsidRPr="004E521F" w:rsidR="00EE604A" w:rsidP="004E521F" w:rsidRDefault="00EE604A" w14:paraId="5825EF10" w14:textId="332E2761">
      <w:pPr>
        <w:pStyle w:val="Prrafodelista"/>
        <w:numPr>
          <w:ilvl w:val="0"/>
          <w:numId w:val="21"/>
        </w:numPr>
        <w:spacing w:after="0" w:line="276" w:lineRule="auto"/>
        <w:jc w:val="both"/>
        <w:rPr>
          <w:rFonts w:ascii="Verdana" w:hAnsi="Verdana" w:eastAsia="Calibri" w:cs="Arial"/>
        </w:rPr>
      </w:pPr>
      <w:r w:rsidRPr="004E521F">
        <w:rPr>
          <w:rFonts w:ascii="Verdana" w:hAnsi="Verdana" w:eastAsia="Calibri" w:cs="Arial"/>
          <w:i/>
          <w:iCs/>
        </w:rPr>
        <w:t xml:space="preserve">Capacidad financiera. </w:t>
      </w:r>
      <w:r w:rsidRPr="004E521F">
        <w:rPr>
          <w:rFonts w:ascii="Verdana" w:hAnsi="Verdana" w:eastAsia="Calibri" w:cs="Arial"/>
        </w:rPr>
        <w:t>Se mide por el “índice de liquidez” y este, a su vez, corresponde al resultado de dividir el “activo corriente” sobre el “pasivo corriente”. El resultado puede ser calificado entre 20 y cuarenta puntos, según se explica en la Guía.</w:t>
      </w:r>
    </w:p>
    <w:p w:rsidRPr="000F60AB" w:rsidR="00EE604A" w:rsidP="00EE604A" w:rsidRDefault="00EE604A" w14:paraId="4251192C" w14:textId="77777777">
      <w:pPr>
        <w:pStyle w:val="Prrafodelista"/>
        <w:spacing w:after="0" w:line="276" w:lineRule="auto"/>
        <w:ind w:left="1440"/>
        <w:jc w:val="both"/>
        <w:rPr>
          <w:rFonts w:ascii="Verdana" w:hAnsi="Verdana" w:eastAsia="Calibri" w:cs="Arial"/>
        </w:rPr>
      </w:pPr>
    </w:p>
    <w:p w:rsidRPr="000F60AB" w:rsidR="00EE604A" w:rsidP="00EE604A" w:rsidRDefault="00EE604A" w14:paraId="3C3F7717" w14:textId="77777777">
      <w:pPr>
        <w:pStyle w:val="Prrafodelista"/>
        <w:numPr>
          <w:ilvl w:val="0"/>
          <w:numId w:val="21"/>
        </w:numPr>
        <w:spacing w:after="0" w:line="276" w:lineRule="auto"/>
        <w:jc w:val="both"/>
        <w:rPr>
          <w:rFonts w:ascii="Verdana" w:hAnsi="Verdana" w:eastAsia="Calibri" w:cs="Arial"/>
        </w:rPr>
      </w:pPr>
      <w:r w:rsidRPr="6C4B7E1C">
        <w:rPr>
          <w:rFonts w:ascii="Verdana" w:hAnsi="Verdana" w:eastAsia="Calibri" w:cs="Arial"/>
          <w:i/>
          <w:iCs/>
        </w:rPr>
        <w:t>Capacidad técnica.</w:t>
      </w:r>
      <w:r w:rsidRPr="6C4B7E1C">
        <w:rPr>
          <w:rFonts w:ascii="Verdana" w:hAnsi="Verdana" w:eastAsia="Calibri" w:cs="Arial"/>
        </w:rPr>
        <w:t xml:space="preserve"> Se determina teniendo en cuenta el número de socios y profesionales de la arquitectura, ingeniería y geología vinculados mediante una relación laboral o contractual. </w:t>
      </w:r>
      <w:bookmarkStart w:name="_Int_RGopuZvY" w:id="1"/>
      <w:proofErr w:type="gramStart"/>
      <w:r w:rsidRPr="6C4B7E1C">
        <w:rPr>
          <w:rFonts w:ascii="Verdana" w:hAnsi="Verdana" w:eastAsia="Calibri" w:cs="Arial"/>
        </w:rPr>
        <w:t>El puntaje a asignar</w:t>
      </w:r>
      <w:bookmarkEnd w:id="1"/>
      <w:proofErr w:type="gramEnd"/>
      <w:r w:rsidRPr="6C4B7E1C">
        <w:rPr>
          <w:rFonts w:ascii="Verdana" w:hAnsi="Verdana" w:eastAsia="Calibri" w:cs="Arial"/>
        </w:rPr>
        <w:t>, según la Guía, oscila entre 20 y 40 puntos. Para tales fines, se aclara que el proponente debe diligenciar el Anexo 2 de la “Guía para Determinar y Verificar la Capacidad Residual del Proponente en los Procesos de Contratación de Obra Pública” −este es diferente al Anexo 2 de los Documentos Tipo−.</w:t>
      </w:r>
    </w:p>
    <w:p w:rsidRPr="000F60AB" w:rsidR="00EE604A" w:rsidP="00EE604A" w:rsidRDefault="00EE604A" w14:paraId="69C8797B" w14:textId="77777777">
      <w:pPr>
        <w:pStyle w:val="Prrafodelista"/>
        <w:rPr>
          <w:rFonts w:ascii="Verdana" w:hAnsi="Verdana" w:eastAsia="Calibri" w:cs="Arial"/>
        </w:rPr>
      </w:pPr>
    </w:p>
    <w:p w:rsidRPr="000F60AB" w:rsidR="00EE604A" w:rsidP="00EE604A" w:rsidRDefault="00EE604A" w14:paraId="4AE95281" w14:textId="77777777">
      <w:pPr>
        <w:pStyle w:val="Prrafodelista"/>
        <w:numPr>
          <w:ilvl w:val="0"/>
          <w:numId w:val="21"/>
        </w:numPr>
        <w:spacing w:after="0" w:line="276" w:lineRule="auto"/>
        <w:jc w:val="both"/>
        <w:rPr>
          <w:rFonts w:ascii="Verdana" w:hAnsi="Verdana" w:eastAsia="Calibri" w:cs="Arial"/>
        </w:rPr>
      </w:pPr>
      <w:r w:rsidRPr="000F60AB">
        <w:rPr>
          <w:rFonts w:ascii="Verdana" w:hAnsi="Verdana" w:eastAsia="Calibri" w:cs="Arial"/>
          <w:i/>
          <w:iCs/>
        </w:rPr>
        <w:t>Capacidad de organización.</w:t>
      </w:r>
      <w:r w:rsidRPr="000F60AB">
        <w:rPr>
          <w:rFonts w:ascii="Verdana" w:hAnsi="Verdana" w:eastAsia="Calibri" w:cs="Arial"/>
        </w:rPr>
        <w:t xml:space="preserve"> Corresponde a los ingresos operacionales, según el siguiente cuadro:</w:t>
      </w:r>
    </w:p>
    <w:p w:rsidRPr="000F60AB" w:rsidR="00EE604A" w:rsidP="00EE604A" w:rsidRDefault="00EE604A" w14:paraId="740EEB23" w14:textId="77777777">
      <w:pPr>
        <w:pStyle w:val="Prrafodelista"/>
        <w:spacing w:line="276" w:lineRule="auto"/>
        <w:ind w:left="1440"/>
        <w:jc w:val="both"/>
        <w:rPr>
          <w:rFonts w:ascii="Verdana" w:hAnsi="Verdana" w:eastAsia="Calibri" w:cs="Arial"/>
          <w:color w:val="7030A0"/>
        </w:rPr>
      </w:pPr>
    </w:p>
    <w:tbl>
      <w:tblPr>
        <w:tblStyle w:val="Tablaconcuadrcula"/>
        <w:tblW w:w="7522" w:type="dxa"/>
        <w:tblInd w:w="1317" w:type="dxa"/>
        <w:tblLook w:val="04A0" w:firstRow="1" w:lastRow="0" w:firstColumn="1" w:lastColumn="0" w:noHBand="0" w:noVBand="1"/>
      </w:tblPr>
      <w:tblGrid>
        <w:gridCol w:w="2481"/>
        <w:gridCol w:w="5041"/>
      </w:tblGrid>
      <w:tr w:rsidRPr="000F60AB" w:rsidR="00EE604A" w:rsidTr="00A54D30" w14:paraId="642EE25C" w14:textId="77777777">
        <w:tc>
          <w:tcPr>
            <w:tcW w:w="2481" w:type="dxa"/>
            <w:shd w:val="clear" w:color="auto" w:fill="4472C4" w:themeFill="accent1"/>
            <w:vAlign w:val="center"/>
          </w:tcPr>
          <w:p w:rsidRPr="000F60AB" w:rsidR="00EE604A" w:rsidP="00A54D30" w:rsidRDefault="00EE604A" w14:paraId="7B5F9A78" w14:textId="77777777">
            <w:pPr>
              <w:pStyle w:val="Prrafodelista"/>
              <w:spacing w:line="276" w:lineRule="auto"/>
              <w:ind w:left="0"/>
              <w:jc w:val="center"/>
              <w:rPr>
                <w:rFonts w:ascii="Verdana" w:hAnsi="Verdana" w:eastAsia="Calibri" w:cs="Arial"/>
                <w:color w:val="FFFFFF" w:themeColor="background1"/>
              </w:rPr>
            </w:pPr>
            <w:r w:rsidRPr="000F60AB">
              <w:rPr>
                <w:rFonts w:ascii="Verdana" w:hAnsi="Verdana" w:eastAsia="Calibri" w:cs="Arial"/>
                <w:color w:val="FFFFFF" w:themeColor="background1"/>
              </w:rPr>
              <w:t>Años de información financiera</w:t>
            </w:r>
          </w:p>
        </w:tc>
        <w:tc>
          <w:tcPr>
            <w:tcW w:w="5041" w:type="dxa"/>
            <w:shd w:val="clear" w:color="auto" w:fill="4472C4" w:themeFill="accent1"/>
            <w:vAlign w:val="center"/>
          </w:tcPr>
          <w:p w:rsidRPr="000F60AB" w:rsidR="00EE604A" w:rsidP="00A54D30" w:rsidRDefault="00EE604A" w14:paraId="1DB5D812" w14:textId="77777777">
            <w:pPr>
              <w:pStyle w:val="Prrafodelista"/>
              <w:spacing w:line="276" w:lineRule="auto"/>
              <w:ind w:left="0"/>
              <w:jc w:val="center"/>
              <w:rPr>
                <w:rFonts w:ascii="Verdana" w:hAnsi="Verdana" w:eastAsia="Calibri" w:cs="Arial"/>
                <w:color w:val="FFFFFF" w:themeColor="background1"/>
              </w:rPr>
            </w:pPr>
            <w:r w:rsidRPr="000F60AB">
              <w:rPr>
                <w:rFonts w:ascii="Verdana" w:hAnsi="Verdana" w:eastAsia="Calibri" w:cs="Arial"/>
                <w:color w:val="FFFFFF" w:themeColor="background1"/>
              </w:rPr>
              <w:t>Capacidad de Organización (CO)</w:t>
            </w:r>
          </w:p>
        </w:tc>
      </w:tr>
      <w:tr w:rsidRPr="000F60AB" w:rsidR="00EE604A" w:rsidTr="00A54D30" w14:paraId="5520DD83" w14:textId="77777777">
        <w:tc>
          <w:tcPr>
            <w:tcW w:w="2481" w:type="dxa"/>
            <w:vAlign w:val="center"/>
          </w:tcPr>
          <w:p w:rsidRPr="000F60AB" w:rsidR="00EE604A" w:rsidP="00A54D30" w:rsidRDefault="00EE604A" w14:paraId="75AEC99F" w14:textId="77777777">
            <w:pPr>
              <w:pStyle w:val="Prrafodelista"/>
              <w:spacing w:line="276" w:lineRule="auto"/>
              <w:ind w:left="0"/>
              <w:rPr>
                <w:rFonts w:ascii="Verdana" w:hAnsi="Verdana" w:eastAsia="Calibri" w:cs="Arial"/>
              </w:rPr>
            </w:pPr>
            <w:r w:rsidRPr="000F60AB">
              <w:rPr>
                <w:rFonts w:ascii="Verdana" w:hAnsi="Verdana" w:eastAsia="Calibri" w:cs="Arial"/>
              </w:rPr>
              <w:t>Cinco (5) años o más</w:t>
            </w:r>
          </w:p>
        </w:tc>
        <w:tc>
          <w:tcPr>
            <w:tcW w:w="5041" w:type="dxa"/>
            <w:vAlign w:val="center"/>
          </w:tcPr>
          <w:p w:rsidRPr="000F60AB" w:rsidR="00EE604A" w:rsidP="00A54D30" w:rsidRDefault="00EE604A" w14:paraId="4D79CFAC" w14:textId="77777777">
            <w:pPr>
              <w:pStyle w:val="Prrafodelista"/>
              <w:spacing w:line="276" w:lineRule="auto"/>
              <w:ind w:left="0"/>
              <w:rPr>
                <w:rFonts w:ascii="Verdana" w:hAnsi="Verdana" w:eastAsia="Calibri" w:cs="Arial"/>
              </w:rPr>
            </w:pPr>
            <w:r w:rsidRPr="000F60AB">
              <w:rPr>
                <w:rFonts w:ascii="Verdana" w:hAnsi="Verdana" w:eastAsia="Calibri" w:cs="Arial"/>
              </w:rPr>
              <w:t>Mayor ingreso operacional de los últimos cinco (5) años.</w:t>
            </w:r>
          </w:p>
        </w:tc>
      </w:tr>
      <w:tr w:rsidRPr="000F60AB" w:rsidR="00EE604A" w:rsidTr="00A54D30" w14:paraId="76DDCFCB" w14:textId="77777777">
        <w:tc>
          <w:tcPr>
            <w:tcW w:w="2481" w:type="dxa"/>
            <w:vAlign w:val="center"/>
          </w:tcPr>
          <w:p w:rsidRPr="000F60AB" w:rsidR="00EE604A" w:rsidP="00A54D30" w:rsidRDefault="00EE604A" w14:paraId="68DED73C" w14:textId="77777777">
            <w:pPr>
              <w:pStyle w:val="Prrafodelista"/>
              <w:spacing w:line="276" w:lineRule="auto"/>
              <w:ind w:left="0"/>
              <w:rPr>
                <w:rFonts w:ascii="Verdana" w:hAnsi="Verdana" w:eastAsia="Calibri" w:cs="Arial"/>
              </w:rPr>
            </w:pPr>
            <w:r w:rsidRPr="000F60AB">
              <w:rPr>
                <w:rFonts w:ascii="Verdana" w:hAnsi="Verdana" w:eastAsia="Calibri" w:cs="Arial"/>
                <w:lang w:val="es-CO"/>
              </w:rPr>
              <w:t>Entre uno (1) y cinco (5) años</w:t>
            </w:r>
          </w:p>
        </w:tc>
        <w:tc>
          <w:tcPr>
            <w:tcW w:w="5041" w:type="dxa"/>
            <w:vAlign w:val="center"/>
          </w:tcPr>
          <w:p w:rsidRPr="000F60AB" w:rsidR="00EE604A" w:rsidP="00A54D30" w:rsidRDefault="00EE604A" w14:paraId="47F4012C" w14:textId="77777777">
            <w:pPr>
              <w:pStyle w:val="Prrafodelista"/>
              <w:spacing w:line="276" w:lineRule="auto"/>
              <w:ind w:left="0"/>
              <w:rPr>
                <w:rFonts w:ascii="Verdana" w:hAnsi="Verdana" w:eastAsia="Calibri" w:cs="Arial"/>
              </w:rPr>
            </w:pPr>
            <w:r w:rsidRPr="000F60AB">
              <w:rPr>
                <w:rFonts w:ascii="Verdana" w:hAnsi="Verdana" w:eastAsia="Calibri" w:cs="Arial"/>
                <w:lang w:val="es-CO"/>
              </w:rPr>
              <w:t>Mayor ingreso operacional de los años de vida del oferente</w:t>
            </w:r>
          </w:p>
        </w:tc>
      </w:tr>
      <w:tr w:rsidRPr="000F60AB" w:rsidR="00EE604A" w:rsidTr="00A54D30" w14:paraId="78E3103A" w14:textId="77777777">
        <w:tc>
          <w:tcPr>
            <w:tcW w:w="2481" w:type="dxa"/>
            <w:vAlign w:val="center"/>
          </w:tcPr>
          <w:p w:rsidRPr="000F60AB" w:rsidR="00EE604A" w:rsidP="00A54D30" w:rsidRDefault="00EE604A" w14:paraId="3679A4A5" w14:textId="77777777">
            <w:pPr>
              <w:pStyle w:val="Prrafodelista"/>
              <w:spacing w:line="276" w:lineRule="auto"/>
              <w:ind w:left="0"/>
              <w:rPr>
                <w:rFonts w:ascii="Verdana" w:hAnsi="Verdana" w:eastAsia="Calibri" w:cs="Arial"/>
              </w:rPr>
            </w:pPr>
            <w:r w:rsidRPr="000F60AB">
              <w:rPr>
                <w:rFonts w:ascii="Verdana" w:hAnsi="Verdana" w:eastAsia="Calibri" w:cs="Arial"/>
                <w:lang w:val="es-CO"/>
              </w:rPr>
              <w:t>Menos de un (1) año</w:t>
            </w:r>
          </w:p>
        </w:tc>
        <w:tc>
          <w:tcPr>
            <w:tcW w:w="5041" w:type="dxa"/>
            <w:vAlign w:val="center"/>
          </w:tcPr>
          <w:p w:rsidRPr="000F60AB" w:rsidR="00EE604A" w:rsidP="00A54D30" w:rsidRDefault="00EE604A" w14:paraId="73AE1831" w14:textId="77777777">
            <w:pPr>
              <w:pStyle w:val="Prrafodelista"/>
              <w:spacing w:line="276" w:lineRule="auto"/>
              <w:ind w:left="0"/>
              <w:rPr>
                <w:rFonts w:ascii="Verdana" w:hAnsi="Verdana" w:eastAsia="Calibri" w:cs="Arial"/>
              </w:rPr>
            </w:pPr>
            <w:r w:rsidRPr="000F60AB">
              <w:rPr>
                <w:rFonts w:ascii="Verdana" w:hAnsi="Verdana" w:eastAsia="Calibri" w:cs="Arial"/>
                <w:lang w:val="es-CO"/>
              </w:rPr>
              <w:t>USD 125.000 (Liquidados a la tasa de cambio determinada por el Ministerio de Comercio, Industria y Turismo cada 2 años para efectos del umbral del beneficio de las Mipyme.)</w:t>
            </w:r>
          </w:p>
        </w:tc>
      </w:tr>
    </w:tbl>
    <w:p w:rsidRPr="000F60AB" w:rsidR="00EE604A" w:rsidP="00EE604A" w:rsidRDefault="00EE604A" w14:paraId="39F267CC" w14:textId="77777777">
      <w:pPr>
        <w:pStyle w:val="Prrafodelista"/>
        <w:spacing w:after="0" w:line="276" w:lineRule="auto"/>
        <w:ind w:left="1440"/>
        <w:jc w:val="both"/>
        <w:rPr>
          <w:rFonts w:ascii="Verdana" w:hAnsi="Verdana" w:eastAsia="Calibri" w:cs="Arial"/>
        </w:rPr>
      </w:pPr>
    </w:p>
    <w:p w:rsidRPr="000F60AB" w:rsidR="00EE604A" w:rsidP="00EE604A" w:rsidRDefault="00EE604A" w14:paraId="2384D826" w14:textId="77777777">
      <w:pPr>
        <w:pStyle w:val="Prrafodelista"/>
        <w:rPr>
          <w:rFonts w:ascii="Verdana" w:hAnsi="Verdana" w:eastAsia="Calibri" w:cs="Arial"/>
        </w:rPr>
      </w:pPr>
    </w:p>
    <w:p w:rsidRPr="000F60AB" w:rsidR="00EE604A" w:rsidP="00EE604A" w:rsidRDefault="00EE604A" w14:paraId="3A64F7E1" w14:textId="77777777">
      <w:pPr>
        <w:pStyle w:val="Prrafodelista"/>
        <w:numPr>
          <w:ilvl w:val="0"/>
          <w:numId w:val="21"/>
        </w:numPr>
        <w:spacing w:after="0" w:line="276" w:lineRule="auto"/>
        <w:jc w:val="both"/>
        <w:rPr>
          <w:rFonts w:ascii="Verdana" w:hAnsi="Verdana" w:eastAsia="Calibri" w:cs="Arial"/>
        </w:rPr>
      </w:pPr>
      <w:r w:rsidRPr="000F60AB">
        <w:rPr>
          <w:rFonts w:ascii="Verdana" w:hAnsi="Verdana" w:eastAsia="Calibri" w:cs="Arial"/>
          <w:i/>
          <w:iCs/>
        </w:rPr>
        <w:t xml:space="preserve">Saldos de los contratos en ejecución. </w:t>
      </w:r>
      <w:r w:rsidRPr="000F60AB">
        <w:rPr>
          <w:rFonts w:ascii="Verdana" w:hAnsi="Verdana" w:eastAsia="Calibri" w:cs="Arial"/>
        </w:rPr>
        <w:t>Debe hacerse linealmente y calculando una “ejecución diaria equivalente al valor del contrato dividido por el plazo del contrato expresado en días”. El resultado obtenido se debe multiplicar por el número de días pendientes para cumplir el plazo del contrato. Si el número de días por ejecutar un contrato es superior a 360 días, solo se tendrá en cuenta la proporción lineal de 12 meses.</w:t>
      </w:r>
    </w:p>
    <w:p w:rsidRPr="000F60AB" w:rsidR="00EE604A" w:rsidP="00EE604A" w:rsidRDefault="00EE604A" w14:paraId="4E8656EB" w14:textId="77777777">
      <w:pPr>
        <w:pStyle w:val="Prrafodelista"/>
        <w:spacing w:after="0" w:line="276" w:lineRule="auto"/>
        <w:ind w:left="1440"/>
        <w:jc w:val="both"/>
        <w:rPr>
          <w:rFonts w:ascii="Verdana" w:hAnsi="Verdana" w:eastAsia="Calibri" w:cs="Arial"/>
        </w:rPr>
      </w:pPr>
    </w:p>
    <w:p w:rsidRPr="00242CC9" w:rsidR="00242CC9" w:rsidP="00242CC9" w:rsidRDefault="00EE604A" w14:paraId="5D3AEA87" w14:textId="61F7CF59">
      <w:pPr>
        <w:pStyle w:val="Prrafodelista"/>
        <w:numPr>
          <w:ilvl w:val="0"/>
          <w:numId w:val="21"/>
        </w:numPr>
        <w:spacing w:after="0" w:line="276" w:lineRule="auto"/>
        <w:jc w:val="both"/>
        <w:rPr>
          <w:rFonts w:ascii="Verdana" w:hAnsi="Verdana" w:eastAsia="Calibri" w:cs="Arial"/>
        </w:rPr>
      </w:pPr>
      <w:r w:rsidRPr="000F60AB">
        <w:rPr>
          <w:rFonts w:ascii="Verdana" w:hAnsi="Verdana" w:eastAsia="Calibri" w:cs="Arial"/>
          <w:i/>
          <w:iCs/>
        </w:rPr>
        <w:t>Experiencia.</w:t>
      </w:r>
      <w:r w:rsidRPr="000F60AB">
        <w:rPr>
          <w:rFonts w:ascii="Verdana" w:hAnsi="Verdana" w:eastAsia="Calibri" w:cs="Arial"/>
        </w:rPr>
        <w:t xml:space="preserve"> Para los efectos de la capacidad residual −no para la experiencia general que debe acreditar el contratista según la Matriz 1−, corresponde de un lado, a la relación entre “el valor total en pesos de los contratos relacionados con la actividad de la construcción inscritos por el proponente en el Registro Único de Proponentes “RUP” en el segmento 72 […] del Clasificador de Bienes y Servicios”, y del otro, al presupuesto oficial estimado del Proceso de Contratación. La relación indica el número de veces que el proponente ha ejecutado contratos equivalentes a la cuantía del proceso de contratación.</w:t>
      </w:r>
    </w:p>
    <w:p w:rsidRPr="000F60AB" w:rsidR="00EE604A" w:rsidP="00EE604A" w:rsidRDefault="00EE604A" w14:paraId="1C3105FE" w14:textId="77777777">
      <w:pPr>
        <w:pStyle w:val="Prrafodelista"/>
        <w:spacing w:after="0" w:line="276" w:lineRule="auto"/>
        <w:ind w:left="1440"/>
        <w:jc w:val="both"/>
        <w:rPr>
          <w:rFonts w:ascii="Verdana" w:hAnsi="Verdana" w:eastAsia="Calibri" w:cs="Arial"/>
        </w:rPr>
      </w:pPr>
      <w:r w:rsidRPr="000F60AB">
        <w:rPr>
          <w:rFonts w:ascii="Verdana" w:hAnsi="Verdana" w:eastAsia="Calibri" w:cs="Arial"/>
        </w:rPr>
        <w:t>En este contexto, resulta oportuno precisar que, si bien es cierto la entidad estatal es la que debe calcular la capacidad residual de los proponentes, también lo es que estos últimos, como se referenció, tienen la carga de aportar los documentos para acreditar su capacidad residual.</w:t>
      </w:r>
    </w:p>
    <w:p w:rsidRPr="000F60AB" w:rsidR="00EE604A" w:rsidP="00EE604A" w:rsidRDefault="00EE604A" w14:paraId="1FBF967A" w14:textId="77777777">
      <w:pPr>
        <w:pStyle w:val="Prrafodelista"/>
        <w:spacing w:after="0" w:line="276" w:lineRule="auto"/>
        <w:ind w:left="1440"/>
        <w:jc w:val="both"/>
        <w:rPr>
          <w:rFonts w:ascii="Verdana" w:hAnsi="Verdana" w:eastAsia="Calibri" w:cs="Arial"/>
        </w:rPr>
      </w:pPr>
    </w:p>
    <w:p w:rsidRPr="004E521F" w:rsidR="00EE604A" w:rsidP="004E521F" w:rsidRDefault="00EE604A" w14:paraId="13FC7873" w14:textId="77777777">
      <w:pPr>
        <w:spacing w:after="0" w:line="276" w:lineRule="auto"/>
        <w:ind w:firstLine="708"/>
        <w:jc w:val="both"/>
        <w:rPr>
          <w:rFonts w:ascii="Verdana" w:hAnsi="Verdana" w:eastAsia="Calibri" w:cs="Arial"/>
        </w:rPr>
      </w:pPr>
      <w:r w:rsidRPr="004E521F">
        <w:rPr>
          <w:rFonts w:ascii="Verdana" w:hAnsi="Verdana" w:eastAsia="Calibri" w:cs="Arial"/>
        </w:rPr>
        <w:t>El Consejo de Estado</w:t>
      </w:r>
      <w:r w:rsidRPr="000F60AB">
        <w:rPr>
          <w:rStyle w:val="Refdenotaalpie"/>
          <w:rFonts w:ascii="Verdana" w:hAnsi="Verdana" w:eastAsia="Calibri" w:cs="Arial"/>
        </w:rPr>
        <w:footnoteReference w:id="4"/>
      </w:r>
      <w:r w:rsidRPr="004E521F">
        <w:rPr>
          <w:rFonts w:ascii="Verdana" w:hAnsi="Verdana" w:eastAsia="Calibri" w:cs="Arial"/>
        </w:rPr>
        <w:t xml:space="preserve"> respecto de la facultad de interpretación o hermenéutica de los pliegos de condiciones ha indicado:</w:t>
      </w:r>
    </w:p>
    <w:p w:rsidRPr="000F60AB" w:rsidR="00EE604A" w:rsidP="00EE604A" w:rsidRDefault="00EE604A" w14:paraId="57A59B1C" w14:textId="77777777">
      <w:pPr>
        <w:pStyle w:val="Prrafodelista"/>
        <w:spacing w:after="0" w:line="276" w:lineRule="auto"/>
        <w:jc w:val="both"/>
        <w:rPr>
          <w:rFonts w:ascii="Verdana" w:hAnsi="Verdana" w:eastAsia="Calibri" w:cs="Arial"/>
        </w:rPr>
      </w:pPr>
    </w:p>
    <w:p w:rsidRPr="004E521F" w:rsidR="00EE604A" w:rsidP="004E521F" w:rsidRDefault="00EE604A" w14:paraId="073C5804" w14:textId="77777777">
      <w:pPr>
        <w:pStyle w:val="Prrafodelista"/>
        <w:spacing w:after="0" w:line="240" w:lineRule="auto"/>
        <w:ind w:left="709" w:right="709"/>
        <w:jc w:val="both"/>
        <w:rPr>
          <w:rFonts w:ascii="Verdana" w:hAnsi="Verdana" w:eastAsia="Calibri" w:cs="Arial"/>
          <w:sz w:val="21"/>
          <w:szCs w:val="21"/>
        </w:rPr>
      </w:pPr>
      <w:r w:rsidRPr="004E521F">
        <w:rPr>
          <w:rFonts w:ascii="Verdana" w:hAnsi="Verdana" w:eastAsia="Calibri" w:cs="Arial"/>
          <w:sz w:val="21"/>
          <w:szCs w:val="21"/>
        </w:rPr>
        <w:t xml:space="preserve">“De allí que haya lugar a diferenciar entre la potestad discrecional de la administración, de la facultad de interpretación o hermenéutica, esta última permitida no sólo por la ley –de manera expresa– sino necesaria para llenar los vacíos o lagunas que se presenten en el pliego o, en su defecto, las antinomias que puedan desprenderse del texto, exégesis que estará ceñida a los principios generales del derecho (público y privado), a los de la función administrativa, a la finalidad del pliego, y a la protección del interés general. Como se aprecia, </w:t>
      </w:r>
      <w:r w:rsidRPr="004E521F">
        <w:rPr>
          <w:rFonts w:ascii="Verdana" w:hAnsi="Verdana" w:eastAsia="Calibri" w:cs="Arial"/>
          <w:b/>
          <w:bCs/>
          <w:sz w:val="21"/>
          <w:szCs w:val="21"/>
          <w:u w:val="single"/>
        </w:rPr>
        <w:t>la ley avala la posibilidad de que la administración interprete el pliego de condiciones, con miras a que ciertas formalidades no sacrifiquen la eficiencia y eficacia del proceso de escogencia del contratista</w:t>
      </w:r>
      <w:r w:rsidRPr="004E521F">
        <w:rPr>
          <w:rFonts w:ascii="Verdana" w:hAnsi="Verdana" w:eastAsia="Calibri" w:cs="Arial"/>
          <w:sz w:val="21"/>
          <w:szCs w:val="21"/>
        </w:rPr>
        <w:t>; corresponderá, por ende, a la entidad respectiva la valoración de la respectiva disposición para determinar si el requisito inobservado es sustancial o simplemente formal y, por lo tanto, si es posible su subsanación sin afectar los principios de igualdad y de selección objetiva. Así las cosas, los pliegos de condiciones al estar contenidos en un acto jurídico mixto que, en cierto modo, contienen descripciones generales –sin que ello lo convierta en un reglamento– para que se surta el proceso de selección, es posible que sea viable su hermenéutica o interpretación, bien porque se hace necesario para solucionar un problema estrictamente formal de una propuesta –y por consiguiente determinar su admisibilidad y evaluación– ora porque es preciso determinar el contenido y alcance de una de las cláusulas o disposiciones fijadas.” (negrilla y subrayado no son del texto original).</w:t>
      </w:r>
    </w:p>
    <w:p w:rsidR="004E521F" w:rsidP="004E521F" w:rsidRDefault="004E521F" w14:paraId="43315023" w14:textId="77777777">
      <w:pPr>
        <w:spacing w:after="0" w:line="276" w:lineRule="auto"/>
        <w:jc w:val="both"/>
        <w:rPr>
          <w:rFonts w:ascii="Verdana" w:hAnsi="Verdana" w:eastAsia="Calibri" w:cs="Arial"/>
        </w:rPr>
      </w:pPr>
    </w:p>
    <w:p w:rsidRPr="004E521F" w:rsidR="00EE604A" w:rsidP="00152133" w:rsidRDefault="00EE604A" w14:paraId="4EA5AD9A" w14:textId="4C4D0E7B">
      <w:pPr>
        <w:spacing w:after="120" w:line="276" w:lineRule="auto"/>
        <w:ind w:firstLine="709"/>
        <w:jc w:val="both"/>
        <w:rPr>
          <w:rFonts w:ascii="Verdana" w:hAnsi="Verdana" w:eastAsia="Calibri" w:cs="Arial"/>
        </w:rPr>
      </w:pPr>
      <w:r w:rsidRPr="004E521F">
        <w:rPr>
          <w:rFonts w:ascii="Verdana" w:hAnsi="Verdana" w:eastAsia="Calibri" w:cs="Arial"/>
        </w:rPr>
        <w:t>En síntesis los pliegos de condiciones deben cumplir con el ordenamiento jurídico, especialmente con la ley, el reglamento y la Constitución, adicional a ello el Estatuto General de la Contratación Pública establece que los pliegos de condiciones deben ajustarse a lo que allí se dispone, por lo cual se puede indicar que el pliego de condiciones es un conjunto de normas que rigen el proceso de selección y el contrato, en el que se establecen las condiciones objetivas, los plazos y los procedimientos para que los proponentes formulen su oferta, el cual está sujeto a interpretación según el contexto indicado en la jurisprudencia .</w:t>
      </w:r>
    </w:p>
    <w:p w:rsidR="004E521F" w:rsidP="00152133" w:rsidRDefault="004E521F" w14:paraId="42CC97B6" w14:textId="77777777">
      <w:pPr>
        <w:spacing w:after="120" w:line="276" w:lineRule="auto"/>
        <w:ind w:firstLine="709"/>
        <w:jc w:val="both"/>
        <w:rPr>
          <w:rFonts w:ascii="Verdana" w:hAnsi="Verdana" w:eastAsia="Calibri" w:cs="Arial"/>
        </w:rPr>
      </w:pPr>
    </w:p>
    <w:p w:rsidR="00B61188" w:rsidP="00B61188" w:rsidRDefault="00EE604A" w14:paraId="401DE8EA" w14:textId="77777777">
      <w:pPr>
        <w:spacing w:after="120" w:line="276" w:lineRule="auto"/>
        <w:ind w:firstLine="709"/>
        <w:jc w:val="both"/>
        <w:rPr>
          <w:rFonts w:ascii="Verdana" w:hAnsi="Verdana" w:eastAsia="Calibri" w:cs="Arial"/>
        </w:rPr>
      </w:pPr>
      <w:r w:rsidRPr="004E521F">
        <w:rPr>
          <w:rFonts w:ascii="Verdana" w:hAnsi="Verdana" w:eastAsia="Calibri" w:cs="Arial"/>
        </w:rPr>
        <w:t>Si bien el pliego de condiciones debe contener toda la información necesaria para que el proyecto se lleve a cabo, es posible que en su confección se dejen vacíos, los cuales al momento de evaluación de las ofertas pueden ser llenados vía interpretación por las entidades estatales siempre y cuando se respeten los principios de la contratación estatal.</w:t>
      </w:r>
    </w:p>
    <w:p w:rsidR="00152133" w:rsidP="00B61188" w:rsidRDefault="00EE604A" w14:paraId="11583907" w14:textId="2060E42A">
      <w:pPr>
        <w:spacing w:after="120" w:line="276" w:lineRule="auto"/>
        <w:ind w:firstLine="709"/>
        <w:jc w:val="both"/>
        <w:rPr>
          <w:rFonts w:ascii="Verdana" w:hAnsi="Verdana" w:eastAsia="Calibri" w:cs="Arial"/>
        </w:rPr>
      </w:pPr>
      <w:r w:rsidRPr="004E521F">
        <w:rPr>
          <w:rFonts w:ascii="Verdana" w:hAnsi="Verdana" w:eastAsia="Calibri" w:cs="Arial"/>
        </w:rPr>
        <w:t xml:space="preserve">Finalmente, es menester concluir que, para acreditar el factor Capacidad Organizacional (CO), el proponente obligado a tener RUP debe presentar los siguientes documentos: </w:t>
      </w:r>
    </w:p>
    <w:p w:rsidRPr="00152133" w:rsidR="00EE604A" w:rsidP="00152133" w:rsidRDefault="00EE604A" w14:paraId="76DE752D" w14:textId="7F58A242">
      <w:pPr>
        <w:pStyle w:val="Prrafodelista"/>
        <w:numPr>
          <w:ilvl w:val="0"/>
          <w:numId w:val="23"/>
        </w:numPr>
        <w:spacing w:after="120" w:line="276" w:lineRule="auto"/>
        <w:jc w:val="both"/>
        <w:rPr>
          <w:rFonts w:ascii="Verdana" w:hAnsi="Verdana" w:eastAsia="Calibri" w:cs="Arial"/>
        </w:rPr>
      </w:pPr>
      <w:r w:rsidRPr="00152133">
        <w:rPr>
          <w:rFonts w:ascii="Verdana" w:hAnsi="Verdana" w:eastAsia="Calibri" w:cs="Arial"/>
        </w:rPr>
        <w:t xml:space="preserve">Estado de resultados integral (estado de resultado o pérdida o ganancias) del año en que hayan obtenido el mayor ingreso operacional en los últimos cinco (5) años o de los años de vida del oferente, según corresponda, debidamente firmado por el representante legal y el contador público bajo cuya responsabilidad se han preparado y por el revisor fiscal o, en caso de no haberlo, por no estar obligado a tenerlo, por contador público independiente, acompañados de su dictamen u opinión de conformidad con el artículo 38 de la Ley 222 de 1995. </w:t>
      </w:r>
    </w:p>
    <w:p w:rsidRPr="00F478C8" w:rsidR="00EE604A" w:rsidP="00EE604A" w:rsidRDefault="00EE604A" w14:paraId="4F423A87" w14:textId="77777777">
      <w:pPr>
        <w:pStyle w:val="Prrafodelista"/>
        <w:numPr>
          <w:ilvl w:val="0"/>
          <w:numId w:val="23"/>
        </w:numPr>
        <w:spacing w:after="0" w:line="276" w:lineRule="auto"/>
        <w:jc w:val="both"/>
        <w:rPr>
          <w:rFonts w:ascii="Verdana" w:hAnsi="Verdana" w:eastAsia="Calibri" w:cs="Arial"/>
        </w:rPr>
      </w:pPr>
      <w:r w:rsidRPr="00F478C8">
        <w:rPr>
          <w:rFonts w:ascii="Verdana" w:hAnsi="Verdana" w:eastAsia="Calibri" w:cs="Arial"/>
        </w:rPr>
        <w:t>Copia de la tarjeta profesional y certificado de antecedentes disciplinarios vigentes de los Contadores Públicos, Revisores Fiscales, Contadores independientes (externos), quienes suscribieron los documentos señalados en el presente literal.</w:t>
      </w:r>
    </w:p>
    <w:p w:rsidR="00152133" w:rsidP="00152133" w:rsidRDefault="00152133" w14:paraId="2AF2C895" w14:textId="77777777">
      <w:pPr>
        <w:spacing w:after="0" w:line="276" w:lineRule="auto"/>
        <w:jc w:val="both"/>
        <w:rPr>
          <w:rFonts w:ascii="Verdana" w:hAnsi="Verdana" w:eastAsia="Calibri" w:cs="Arial"/>
        </w:rPr>
      </w:pPr>
    </w:p>
    <w:p w:rsidRPr="00152133" w:rsidR="00EE604A" w:rsidP="00152133" w:rsidRDefault="00EE604A" w14:paraId="4888D4E8" w14:textId="01E435DB">
      <w:pPr>
        <w:spacing w:after="0" w:line="276" w:lineRule="auto"/>
        <w:ind w:firstLine="708"/>
        <w:jc w:val="both"/>
        <w:rPr>
          <w:rFonts w:ascii="Verdana" w:hAnsi="Verdana" w:eastAsia="Calibri" w:cs="Arial"/>
        </w:rPr>
      </w:pPr>
      <w:r w:rsidRPr="00152133">
        <w:rPr>
          <w:rFonts w:ascii="Verdana" w:hAnsi="Verdana" w:eastAsia="Calibri" w:cs="Arial"/>
        </w:rPr>
        <w:t>Hay que mencionar que los numerales I y II, indican los documentos adicionales que deben presentar los oferentes obligados a tener RUP, es decir, en donde señala: “las Entidades Estatales solo deben solicitar como documento adicional el estado de resultados que contiene el mejor ingreso operacional de los últimos cinco (5) años puesto que la información de la liquidez se encuentra contenida en el RUP.”</w:t>
      </w:r>
    </w:p>
    <w:p w:rsidRPr="000F60AB" w:rsidR="00EE604A" w:rsidP="00EE604A" w:rsidRDefault="00EE604A" w14:paraId="445CA3C5" w14:textId="77777777">
      <w:pPr>
        <w:pStyle w:val="Prrafodelista"/>
        <w:spacing w:after="0" w:line="276" w:lineRule="auto"/>
        <w:jc w:val="both"/>
        <w:rPr>
          <w:rFonts w:ascii="Verdana" w:hAnsi="Verdana" w:eastAsia="Calibri" w:cs="Arial"/>
        </w:rPr>
      </w:pPr>
    </w:p>
    <w:p w:rsidRPr="000F60AB" w:rsidR="00EE604A" w:rsidP="00EE604A" w:rsidRDefault="00EE604A" w14:paraId="31038E17" w14:textId="77777777">
      <w:pPr>
        <w:widowControl w:val="0"/>
        <w:autoSpaceDE w:val="0"/>
        <w:autoSpaceDN w:val="0"/>
        <w:spacing w:after="0" w:line="276" w:lineRule="auto"/>
        <w:jc w:val="both"/>
        <w:rPr>
          <w:rFonts w:ascii="Verdana" w:hAnsi="Verdana" w:cs="Arial"/>
        </w:rPr>
      </w:pPr>
    </w:p>
    <w:p w:rsidRPr="000F60AB" w:rsidR="00EE604A" w:rsidP="00EE604A" w:rsidRDefault="00EE604A" w14:paraId="706ED3CE" w14:textId="77777777">
      <w:pPr>
        <w:widowControl w:val="0"/>
        <w:autoSpaceDE w:val="0"/>
        <w:autoSpaceDN w:val="0"/>
        <w:spacing w:after="0" w:line="276" w:lineRule="auto"/>
        <w:jc w:val="both"/>
        <w:rPr>
          <w:rFonts w:ascii="Verdana" w:hAnsi="Verdana" w:cs="Arial"/>
        </w:rPr>
      </w:pPr>
    </w:p>
    <w:p w:rsidRPr="000F60AB" w:rsidR="00EE604A" w:rsidP="00D871A5" w:rsidRDefault="00EE604A" w14:paraId="66C082AA" w14:textId="77777777">
      <w:pPr>
        <w:pStyle w:val="Prrafodelista"/>
        <w:numPr>
          <w:ilvl w:val="0"/>
          <w:numId w:val="16"/>
        </w:numPr>
        <w:tabs>
          <w:tab w:val="left" w:pos="142"/>
          <w:tab w:val="left" w:pos="284"/>
        </w:tabs>
        <w:spacing w:after="0" w:line="276" w:lineRule="auto"/>
        <w:ind w:left="0" w:firstLine="0"/>
        <w:contextualSpacing w:val="0"/>
        <w:jc w:val="both"/>
        <w:rPr>
          <w:rFonts w:ascii="Verdana" w:hAnsi="Verdana" w:eastAsia="Century Gothic" w:cs="Century Gothic"/>
          <w:b/>
          <w:bCs/>
        </w:rPr>
      </w:pPr>
      <w:r w:rsidRPr="000F60AB">
        <w:rPr>
          <w:rFonts w:ascii="Verdana" w:hAnsi="Verdana" w:eastAsia="Century Gothic" w:cs="Century Gothic"/>
          <w:b/>
          <w:bCs/>
        </w:rPr>
        <w:t>Referencias normativas, jurisprudenciales y otras fuentes:</w:t>
      </w:r>
    </w:p>
    <w:p w:rsidRPr="000F60AB" w:rsidR="00EE604A" w:rsidP="00EE604A" w:rsidRDefault="00EE604A" w14:paraId="0261A547" w14:textId="77777777">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4A0" w:firstRow="1" w:lastRow="0" w:firstColumn="1" w:lastColumn="0" w:noHBand="0" w:noVBand="1"/>
      </w:tblPr>
      <w:tblGrid>
        <w:gridCol w:w="8647"/>
      </w:tblGrid>
      <w:tr w:rsidRPr="000F60AB" w:rsidR="00EE604A" w:rsidTr="00A54D30" w14:paraId="34C025EA" w14:textId="77777777">
        <w:trPr>
          <w:trHeight w:val="870"/>
        </w:trPr>
        <w:tc>
          <w:tcPr>
            <w:tcW w:w="8647" w:type="dxa"/>
          </w:tcPr>
          <w:p w:rsidRPr="000F60AB" w:rsidR="00EE604A" w:rsidP="00A54D30" w:rsidRDefault="00EE604A" w14:paraId="770E4F62" w14:textId="77777777">
            <w:pPr>
              <w:pStyle w:val="Prrafodelista"/>
              <w:widowControl w:val="0"/>
              <w:autoSpaceDE w:val="0"/>
              <w:autoSpaceDN w:val="0"/>
              <w:spacing w:after="120" w:line="276" w:lineRule="auto"/>
              <w:jc w:val="both"/>
              <w:rPr>
                <w:rFonts w:ascii="Verdana" w:hAnsi="Verdana" w:cs="Arial"/>
                <w:color w:val="7030A0"/>
              </w:rPr>
            </w:pPr>
          </w:p>
          <w:p w:rsidRPr="000F60AB" w:rsidR="00EE604A" w:rsidP="00EE604A" w:rsidRDefault="00EE604A" w14:paraId="7B086474" w14:textId="77777777">
            <w:pPr>
              <w:pStyle w:val="Prrafodelista"/>
              <w:widowControl w:val="0"/>
              <w:numPr>
                <w:ilvl w:val="0"/>
                <w:numId w:val="20"/>
              </w:numPr>
              <w:autoSpaceDE w:val="0"/>
              <w:autoSpaceDN w:val="0"/>
              <w:spacing w:after="120" w:line="276" w:lineRule="auto"/>
              <w:jc w:val="both"/>
              <w:rPr>
                <w:rFonts w:ascii="Verdana" w:hAnsi="Verdana" w:cs="Arial"/>
              </w:rPr>
            </w:pPr>
            <w:r w:rsidRPr="000F60AB">
              <w:rPr>
                <w:rFonts w:ascii="Verdana" w:hAnsi="Verdana" w:cs="Arial"/>
              </w:rPr>
              <w:t>Ley 2022 de 2020, artículo 1.</w:t>
            </w:r>
          </w:p>
          <w:p w:rsidRPr="000F60AB" w:rsidR="00EE604A" w:rsidP="00A54D30" w:rsidRDefault="00EE604A" w14:paraId="0C029EAB" w14:textId="77777777">
            <w:pPr>
              <w:pStyle w:val="Prrafodelista"/>
              <w:rPr>
                <w:rFonts w:ascii="Verdana" w:hAnsi="Verdana" w:cs="Arial"/>
              </w:rPr>
            </w:pPr>
          </w:p>
          <w:p w:rsidRPr="000F60AB" w:rsidR="00EE604A" w:rsidP="00EE604A" w:rsidRDefault="00EE604A" w14:paraId="5B8DC895" w14:textId="77777777">
            <w:pPr>
              <w:pStyle w:val="Prrafodelista"/>
              <w:widowControl w:val="0"/>
              <w:numPr>
                <w:ilvl w:val="0"/>
                <w:numId w:val="20"/>
              </w:numPr>
              <w:autoSpaceDE w:val="0"/>
              <w:autoSpaceDN w:val="0"/>
              <w:spacing w:after="120" w:line="276" w:lineRule="auto"/>
              <w:jc w:val="both"/>
              <w:rPr>
                <w:rFonts w:ascii="Verdana" w:hAnsi="Verdana" w:cs="Arial"/>
              </w:rPr>
            </w:pPr>
            <w:r w:rsidRPr="000F60AB">
              <w:rPr>
                <w:rFonts w:ascii="Verdana" w:hAnsi="Verdana" w:cs="Arial"/>
              </w:rPr>
              <w:t>Ley 1150 de 2007, artículo 5.</w:t>
            </w:r>
          </w:p>
          <w:p w:rsidRPr="000F60AB" w:rsidR="00EE604A" w:rsidP="00A54D30" w:rsidRDefault="00EE604A" w14:paraId="6954DA63" w14:textId="77777777">
            <w:pPr>
              <w:pStyle w:val="Prrafodelista"/>
              <w:rPr>
                <w:rFonts w:ascii="Verdana" w:hAnsi="Verdana" w:cs="Arial"/>
              </w:rPr>
            </w:pPr>
          </w:p>
          <w:p w:rsidRPr="000F60AB" w:rsidR="00EE604A" w:rsidP="00EE604A" w:rsidRDefault="00EE604A" w14:paraId="774AF522" w14:textId="77777777">
            <w:pPr>
              <w:pStyle w:val="Prrafodelista"/>
              <w:numPr>
                <w:ilvl w:val="0"/>
                <w:numId w:val="20"/>
              </w:numPr>
              <w:rPr>
                <w:rFonts w:ascii="Verdana" w:hAnsi="Verdana" w:cs="Arial"/>
              </w:rPr>
            </w:pPr>
            <w:r w:rsidRPr="000F60AB">
              <w:rPr>
                <w:rFonts w:ascii="Verdana" w:hAnsi="Verdana" w:cs="Arial"/>
              </w:rPr>
              <w:t>Consejo de Estado. Sección Tercera. Providencia del 26 de junio de 2003. Exp. 13.354.</w:t>
            </w:r>
          </w:p>
          <w:p w:rsidRPr="000F60AB" w:rsidR="00EE604A" w:rsidP="00A54D30" w:rsidRDefault="00EE604A" w14:paraId="11AB0C25" w14:textId="77777777">
            <w:pPr>
              <w:pStyle w:val="Prrafodelista"/>
              <w:rPr>
                <w:rFonts w:ascii="Verdana" w:hAnsi="Verdana" w:cs="Arial"/>
              </w:rPr>
            </w:pPr>
          </w:p>
          <w:p w:rsidRPr="000F60AB" w:rsidR="00EE604A" w:rsidP="00EE604A" w:rsidRDefault="00EE604A" w14:paraId="69FDA568" w14:textId="77777777">
            <w:pPr>
              <w:pStyle w:val="Prrafodelista"/>
              <w:numPr>
                <w:ilvl w:val="0"/>
                <w:numId w:val="20"/>
              </w:numPr>
              <w:rPr>
                <w:rFonts w:ascii="Verdana" w:hAnsi="Verdana" w:cs="Arial"/>
              </w:rPr>
            </w:pPr>
            <w:r w:rsidRPr="000F60AB">
              <w:rPr>
                <w:rFonts w:ascii="Verdana" w:hAnsi="Verdana" w:cs="Arial"/>
              </w:rPr>
              <w:t>Consejo de Estado. Sección Tercera. Sentencia del 24 de julio de 2013. Exp. 25.642. C.P. Enrique Gil Botero.</w:t>
            </w:r>
          </w:p>
          <w:p w:rsidRPr="000F60AB" w:rsidR="00EE604A" w:rsidP="00A54D30" w:rsidRDefault="00EE604A" w14:paraId="42BF68F0" w14:textId="77777777">
            <w:pPr>
              <w:pStyle w:val="Prrafodelista"/>
              <w:rPr>
                <w:rFonts w:ascii="Verdana" w:hAnsi="Verdana" w:cs="Arial"/>
              </w:rPr>
            </w:pPr>
          </w:p>
          <w:p w:rsidRPr="000F60AB" w:rsidR="00EE604A" w:rsidP="00EE604A" w:rsidRDefault="00EE604A" w14:paraId="44299714" w14:textId="77777777">
            <w:pPr>
              <w:pStyle w:val="Prrafodelista"/>
              <w:widowControl w:val="0"/>
              <w:numPr>
                <w:ilvl w:val="0"/>
                <w:numId w:val="20"/>
              </w:numPr>
              <w:autoSpaceDE w:val="0"/>
              <w:autoSpaceDN w:val="0"/>
              <w:spacing w:after="120" w:line="276" w:lineRule="auto"/>
              <w:contextualSpacing w:val="0"/>
              <w:jc w:val="both"/>
              <w:rPr>
                <w:rFonts w:ascii="Verdana" w:hAnsi="Verdana" w:cs="Arial"/>
              </w:rPr>
            </w:pPr>
            <w:r w:rsidRPr="000F60AB">
              <w:rPr>
                <w:rFonts w:ascii="Verdana" w:hAnsi="Verdana" w:cs="Arial"/>
              </w:rPr>
              <w:t xml:space="preserve">Guía para Determinar y Verificar la Capacidad Residual del Proponente en los Procesos de Contratación de Obra Pública. Disponible en: </w:t>
            </w:r>
            <w:hyperlink w:history="1" r:id="rId15">
              <w:r w:rsidRPr="000F60AB">
                <w:rPr>
                  <w:rStyle w:val="Hipervnculo"/>
                  <w:rFonts w:ascii="Verdana" w:hAnsi="Verdana" w:cs="Arial"/>
                  <w:color w:val="4472C4" w:themeColor="accent1"/>
                </w:rPr>
                <w:t>https://www.colombiacompra.gov.co/manuales-guias-y-pliegos-tipo/manuales-y-guias</w:t>
              </w:r>
            </w:hyperlink>
            <w:r w:rsidRPr="000F60AB">
              <w:rPr>
                <w:rFonts w:ascii="Verdana" w:hAnsi="Verdana" w:cs="Arial"/>
                <w:color w:val="4472C4" w:themeColor="accent1"/>
              </w:rPr>
              <w:t xml:space="preserve"> </w:t>
            </w:r>
          </w:p>
          <w:p w:rsidRPr="000F60AB" w:rsidR="00EE604A" w:rsidP="00A54D30" w:rsidRDefault="00EE604A" w14:paraId="0A95B695" w14:textId="77777777">
            <w:pPr>
              <w:pStyle w:val="Prrafodelista"/>
              <w:rPr>
                <w:rFonts w:ascii="Verdana" w:hAnsi="Verdana" w:cs="Arial"/>
                <w:color w:val="7030A0"/>
              </w:rPr>
            </w:pPr>
          </w:p>
          <w:p w:rsidRPr="000F60AB" w:rsidR="00EE604A" w:rsidP="00EE604A" w:rsidRDefault="00EE604A" w14:paraId="2C8A1D37" w14:textId="77777777">
            <w:pPr>
              <w:pStyle w:val="Prrafodelista"/>
              <w:widowControl w:val="0"/>
              <w:numPr>
                <w:ilvl w:val="0"/>
                <w:numId w:val="20"/>
              </w:numPr>
              <w:autoSpaceDE w:val="0"/>
              <w:autoSpaceDN w:val="0"/>
              <w:spacing w:after="120" w:line="276" w:lineRule="auto"/>
              <w:contextualSpacing w:val="0"/>
              <w:jc w:val="both"/>
              <w:rPr>
                <w:rFonts w:ascii="Verdana" w:hAnsi="Verdana" w:cs="Arial"/>
              </w:rPr>
            </w:pPr>
            <w:r w:rsidRPr="000F60AB">
              <w:rPr>
                <w:rFonts w:ascii="Verdana" w:hAnsi="Verdana" w:cs="Arial"/>
              </w:rPr>
              <w:t xml:space="preserve">Jurisprudencia del Consejo de Estado. Disponible en: </w:t>
            </w:r>
            <w:hyperlink w:history="1" r:id="rId16">
              <w:r w:rsidRPr="000F60AB">
                <w:rPr>
                  <w:rStyle w:val="Hipervnculo"/>
                  <w:rFonts w:ascii="Verdana" w:hAnsi="Verdana" w:cs="Arial"/>
                  <w:color w:val="4472C4" w:themeColor="accent1"/>
                </w:rPr>
                <w:t>https://relatoria.colombiacompra.gov.co/providencias-consejo-de-estado/</w:t>
              </w:r>
            </w:hyperlink>
            <w:r w:rsidRPr="000F60AB">
              <w:rPr>
                <w:rFonts w:ascii="Verdana" w:hAnsi="Verdana" w:cs="Arial"/>
                <w:color w:val="4472C4" w:themeColor="accent1"/>
              </w:rPr>
              <w:t xml:space="preserve"> </w:t>
            </w:r>
          </w:p>
          <w:p w:rsidRPr="000F60AB" w:rsidR="00EE604A" w:rsidP="00A54D30" w:rsidRDefault="00EE604A" w14:paraId="498F8B77" w14:textId="77777777">
            <w:pPr>
              <w:pStyle w:val="Prrafodelista"/>
              <w:widowControl w:val="0"/>
              <w:autoSpaceDE w:val="0"/>
              <w:autoSpaceDN w:val="0"/>
              <w:spacing w:after="120" w:line="276" w:lineRule="auto"/>
              <w:contextualSpacing w:val="0"/>
              <w:jc w:val="both"/>
              <w:rPr>
                <w:rFonts w:ascii="Verdana" w:hAnsi="Verdana" w:cs="Arial"/>
              </w:rPr>
            </w:pPr>
          </w:p>
          <w:p w:rsidRPr="000F60AB" w:rsidR="00EE604A" w:rsidP="00EE604A" w:rsidRDefault="00EE604A" w14:paraId="22E62ED2" w14:textId="77777777">
            <w:pPr>
              <w:pStyle w:val="Prrafodelista"/>
              <w:widowControl w:val="0"/>
              <w:numPr>
                <w:ilvl w:val="0"/>
                <w:numId w:val="20"/>
              </w:numPr>
              <w:autoSpaceDE w:val="0"/>
              <w:autoSpaceDN w:val="0"/>
              <w:spacing w:after="120" w:line="276" w:lineRule="auto"/>
              <w:contextualSpacing w:val="0"/>
              <w:jc w:val="both"/>
              <w:rPr>
                <w:rFonts w:ascii="Verdana" w:hAnsi="Verdana" w:cs="Arial"/>
              </w:rPr>
            </w:pPr>
            <w:r w:rsidRPr="000F60AB">
              <w:rPr>
                <w:rFonts w:ascii="Verdana" w:hAnsi="Verdana" w:cs="Arial"/>
              </w:rPr>
              <w:t>Guías y manuales expedidos por la ANCP-CCE. Disponible en:</w:t>
            </w:r>
            <w:r w:rsidRPr="000F60AB">
              <w:rPr>
                <w:rFonts w:ascii="Verdana" w:hAnsi="Verdana"/>
              </w:rPr>
              <w:t xml:space="preserve"> </w:t>
            </w:r>
            <w:hyperlink w:history="1" r:id="rId17">
              <w:r w:rsidRPr="000F60AB">
                <w:rPr>
                  <w:rStyle w:val="Hipervnculo"/>
                  <w:rFonts w:ascii="Verdana" w:hAnsi="Verdana" w:cs="Arial"/>
                  <w:color w:val="4472C4" w:themeColor="accent1"/>
                </w:rPr>
                <w:t>https://www.colombiacompra.gov.co/manuales-guias-y-pliegos-tipo/manuales-y-guias</w:t>
              </w:r>
            </w:hyperlink>
            <w:r w:rsidRPr="000F60AB">
              <w:rPr>
                <w:rFonts w:ascii="Verdana" w:hAnsi="Verdana" w:cs="Arial"/>
                <w:color w:val="4472C4" w:themeColor="accent1"/>
              </w:rPr>
              <w:t xml:space="preserve"> </w:t>
            </w:r>
          </w:p>
          <w:p w:rsidRPr="000F60AB" w:rsidR="00EE604A" w:rsidP="00A54D30" w:rsidRDefault="00EE604A" w14:paraId="739EF8EA" w14:textId="77777777">
            <w:pPr>
              <w:widowControl w:val="0"/>
              <w:autoSpaceDE w:val="0"/>
              <w:autoSpaceDN w:val="0"/>
              <w:spacing w:after="120" w:line="276" w:lineRule="auto"/>
              <w:ind w:left="360"/>
              <w:jc w:val="both"/>
              <w:rPr>
                <w:rFonts w:ascii="Verdana" w:hAnsi="Verdana" w:cs="Arial"/>
              </w:rPr>
            </w:pPr>
          </w:p>
        </w:tc>
      </w:tr>
    </w:tbl>
    <w:p w:rsidRPr="000F60AB" w:rsidR="00EE604A" w:rsidP="00EE604A" w:rsidRDefault="00EE604A" w14:paraId="4A7B540E" w14:textId="77777777">
      <w:pPr>
        <w:widowControl w:val="0"/>
        <w:autoSpaceDE w:val="0"/>
        <w:autoSpaceDN w:val="0"/>
        <w:spacing w:after="0" w:line="276" w:lineRule="auto"/>
        <w:jc w:val="both"/>
        <w:rPr>
          <w:rFonts w:ascii="Verdana" w:hAnsi="Verdana" w:cs="Arial"/>
        </w:rPr>
      </w:pPr>
    </w:p>
    <w:p w:rsidRPr="000F60AB" w:rsidR="00EE604A" w:rsidP="00D871A5" w:rsidRDefault="00EE604A" w14:paraId="785472F3" w14:textId="77777777">
      <w:pPr>
        <w:pStyle w:val="Prrafodelista"/>
        <w:numPr>
          <w:ilvl w:val="0"/>
          <w:numId w:val="16"/>
        </w:numPr>
        <w:tabs>
          <w:tab w:val="left" w:pos="142"/>
          <w:tab w:val="left" w:pos="284"/>
        </w:tabs>
        <w:spacing w:after="0" w:line="276" w:lineRule="auto"/>
        <w:ind w:left="0" w:firstLine="0"/>
        <w:contextualSpacing w:val="0"/>
        <w:jc w:val="both"/>
        <w:rPr>
          <w:rFonts w:ascii="Verdana" w:hAnsi="Verdana" w:eastAsia="Century Gothic" w:cs="Century Gothic"/>
          <w:b/>
          <w:bCs/>
        </w:rPr>
      </w:pPr>
      <w:r w:rsidRPr="000F60AB">
        <w:rPr>
          <w:rFonts w:ascii="Verdana" w:hAnsi="Verdana" w:eastAsia="Century Gothic" w:cs="Century Gothic"/>
          <w:b/>
          <w:bCs/>
        </w:rPr>
        <w:t>Doctrina de la Agencia Nacional de Contratación Pública:</w:t>
      </w:r>
    </w:p>
    <w:p w:rsidRPr="000F60AB" w:rsidR="00EE604A" w:rsidP="00EE604A" w:rsidRDefault="00EE604A" w14:paraId="5ACADA9F" w14:textId="77777777">
      <w:pPr>
        <w:widowControl w:val="0"/>
        <w:autoSpaceDE w:val="0"/>
        <w:autoSpaceDN w:val="0"/>
        <w:spacing w:after="0" w:line="276" w:lineRule="auto"/>
        <w:jc w:val="both"/>
        <w:rPr>
          <w:rFonts w:ascii="Verdana" w:hAnsi="Verdana" w:cs="Arial"/>
        </w:rPr>
      </w:pPr>
    </w:p>
    <w:p w:rsidRPr="000F60AB" w:rsidR="00EE604A" w:rsidP="00EE604A" w:rsidRDefault="00EE604A" w14:paraId="3331F9D4" w14:textId="77777777">
      <w:pPr>
        <w:widowControl w:val="0"/>
        <w:autoSpaceDE w:val="0"/>
        <w:autoSpaceDN w:val="0"/>
        <w:spacing w:after="0" w:line="276" w:lineRule="auto"/>
        <w:jc w:val="both"/>
        <w:rPr>
          <w:rStyle w:val="normaltextrun"/>
          <w:rFonts w:ascii="Verdana" w:hAnsi="Verdana" w:cs="Arial"/>
          <w:color w:val="FF0000"/>
          <w:shd w:val="clear" w:color="auto" w:fill="FFFFFF"/>
          <w:lang w:val="es-ES"/>
        </w:rPr>
      </w:pPr>
      <w:r w:rsidRPr="000F60AB">
        <w:rPr>
          <w:rStyle w:val="normaltextrun"/>
          <w:rFonts w:ascii="Verdana" w:hAnsi="Verdana" w:cs="Arial"/>
          <w:shd w:val="clear" w:color="auto" w:fill="FFFFFF"/>
          <w:lang w:val="es-ES"/>
        </w:rPr>
        <w:t>Sobre la capacidad residual y la forma como esta se debe acreditar se pronunció esta Subdirección en los conceptos</w:t>
      </w:r>
      <w:r w:rsidRPr="000F60AB">
        <w:rPr>
          <w:rStyle w:val="normaltextrun"/>
          <w:rFonts w:ascii="Verdana" w:hAnsi="Verdana" w:cs="Calibri"/>
          <w:shd w:val="clear" w:color="auto" w:fill="FFFFFF"/>
        </w:rPr>
        <w:t xml:space="preserve"> </w:t>
      </w:r>
      <w:r w:rsidRPr="000F60AB">
        <w:rPr>
          <w:rStyle w:val="normaltextrun"/>
          <w:rFonts w:ascii="Verdana" w:hAnsi="Verdana" w:cs="Arial"/>
          <w:shd w:val="clear" w:color="auto" w:fill="FFFFFF"/>
          <w:lang w:val="es-ES"/>
        </w:rPr>
        <w:t>2201913000006275 del 27 de agosto y el 20 y 26 del 2 de diciembre de 2019 −radicados Nos., 2201913000009465, 2201913000009642 y 2201913000009640−; así como en los conceptos C–022 del 20 de febrero de 2020, C–089 del 4 de marzo de 2020, C–112 del 16 de marzo del 2020, C–133 del 25 de marzo del 2020, C – 194 de 2020 del 21 de abril de 2020, C–326 del 9 de junio de 2020 y C-446 del 6 de julio de 2020, C-045 del 5 de marzo de 2021, C-003 del 26 de marzo de 2021, C-143 del 9 de abril de 2021 C–202 del 7 de mayo de 2021, C–219 del 19 de mayo de 2021, C–368 del 28 de julio de 2021, C–392 del 5 de agosto de 2021, C–513 del 23 de septiembre de 2021, C–590 del 12 de octubre de 2021, C-068 del 9 de marzo de 2022, C-220 del 22 de abril de 2022, C-306 de 16 de mayo de 2022, C-351 de 23 de mayo de 2022, C-392 del 16 de junio de 2022, C-402 del 28 de junio de 2022, C-463 del 19 de julio de 2022 y C-615 del 19 de agosto de 2022, entre otros. Es</w:t>
      </w:r>
      <w:r w:rsidRPr="000F60AB">
        <w:rPr>
          <w:rFonts w:ascii="Verdana" w:hAnsi="Verdana"/>
        </w:rPr>
        <w:t>tos y otros conceptos se encuentran disponibles para consulta en el Sistema de relatoría de la Agencia, al cual se puede acceder a través del siguiente enlace:</w:t>
      </w:r>
      <w:r w:rsidRPr="000F60AB">
        <w:rPr>
          <w:rStyle w:val="normaltextrun"/>
          <w:rFonts w:ascii="Verdana" w:hAnsi="Verdana" w:cs="Arial"/>
          <w:shd w:val="clear" w:color="auto" w:fill="FFFFFF"/>
          <w:lang w:val="es-ES"/>
        </w:rPr>
        <w:t xml:space="preserve"> </w:t>
      </w:r>
      <w:hyperlink w:history="1" r:id="rId18">
        <w:r w:rsidRPr="000F60AB">
          <w:rPr>
            <w:rStyle w:val="Hipervnculo"/>
            <w:rFonts w:ascii="Verdana" w:hAnsi="Verdana" w:cs="Arial"/>
            <w:color w:val="4472C4" w:themeColor="accent1"/>
            <w:shd w:val="clear" w:color="auto" w:fill="FFFFFF"/>
            <w:lang w:val="es-ES"/>
          </w:rPr>
          <w:t>https://relatoria.colombiacompra.gov.co/busqueda/conceptos</w:t>
        </w:r>
      </w:hyperlink>
      <w:r w:rsidRPr="000F60AB">
        <w:rPr>
          <w:rStyle w:val="normaltextrun"/>
          <w:rFonts w:ascii="Verdana" w:hAnsi="Verdana" w:cs="Arial"/>
          <w:color w:val="4472C4" w:themeColor="accent1"/>
          <w:shd w:val="clear" w:color="auto" w:fill="FFFFFF"/>
          <w:lang w:val="es-ES"/>
        </w:rPr>
        <w:t xml:space="preserve">. </w:t>
      </w:r>
    </w:p>
    <w:p w:rsidRPr="000F60AB" w:rsidR="00EE604A" w:rsidP="00EE604A" w:rsidRDefault="00EE604A" w14:paraId="1F49FB5B" w14:textId="77777777">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rsidRPr="009A385A" w:rsidR="001A463E" w:rsidP="001A463E" w:rsidRDefault="001A463E" w14:paraId="70ED0099" w14:textId="77777777">
      <w:pPr>
        <w:spacing w:after="0" w:line="276" w:lineRule="auto"/>
        <w:jc w:val="both"/>
        <w:rPr>
          <w:rFonts w:ascii="Verdana" w:hAnsi="Verdana"/>
        </w:rPr>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w:tgtFrame="_new" w:history="1" r:id="rId19">
        <w:r w:rsidRPr="009A385A">
          <w:rPr>
            <w:rStyle w:val="Hipervnculo"/>
            <w:rFonts w:ascii="Verdana" w:hAnsi="Verdana"/>
          </w:rPr>
          <w:t>https://formacionvirtual.colombiacompra.gov.co/mod/page/view.php?id=3718</w:t>
        </w:r>
      </w:hyperlink>
    </w:p>
    <w:p w:rsidR="001A463E" w:rsidP="001A463E" w:rsidRDefault="001A463E" w14:paraId="4F3CD0C9" w14:textId="77777777">
      <w:pPr>
        <w:spacing w:after="0" w:line="276" w:lineRule="auto"/>
        <w:jc w:val="both"/>
        <w:rPr>
          <w:rFonts w:ascii="Verdana" w:hAnsi="Verdana"/>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w:tgtFrame="_new" w:history="1" r:id="rId20">
        <w:r w:rsidRPr="00635F16">
          <w:rPr>
            <w:rStyle w:val="Hipervnculo"/>
            <w:rFonts w:ascii="Verdana" w:hAnsi="Verdana"/>
          </w:rPr>
          <w:t>https://www.colombiacompra.gov.co/normativa-y-relatoria/documentos-tipo</w:t>
        </w:r>
      </w:hyperlink>
    </w:p>
    <w:p w:rsidRPr="00C25CDD" w:rsidR="001A463E" w:rsidP="001A463E" w:rsidRDefault="001A463E" w14:paraId="6B229BBD" w14:textId="77777777">
      <w:pPr>
        <w:spacing w:after="0" w:line="276" w:lineRule="auto"/>
        <w:jc w:val="both"/>
        <w:rPr>
          <w:rFonts w:ascii="Verdana" w:hAnsi="Verdana"/>
        </w:rPr>
      </w:pPr>
    </w:p>
    <w:p w:rsidR="001A463E" w:rsidP="001A463E" w:rsidRDefault="001A463E" w14:paraId="29BD9101" w14:textId="77777777">
      <w:pPr>
        <w:spacing w:after="0" w:line="276" w:lineRule="auto"/>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w:tgtFrame="_new" w:history="1" r:id="rId2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rsidRPr="00605E0D" w:rsidR="001A463E" w:rsidP="001A463E" w:rsidRDefault="001A463E" w14:paraId="6870AA34" w14:textId="77777777">
      <w:pPr>
        <w:spacing w:after="0" w:line="276" w:lineRule="auto"/>
        <w:jc w:val="both"/>
        <w:rPr>
          <w:rFonts w:ascii="Verdana" w:hAnsi="Verdana"/>
        </w:rPr>
      </w:pPr>
      <w:r w:rsidRPr="00284526">
        <w:rPr>
          <w:rFonts w:ascii="Verdana" w:hAnsi="Verdana" w:cs="Arial"/>
          <w:shd w:val="clear" w:color="auto" w:fill="FFFFFF"/>
        </w:rPr>
        <w:t xml:space="preserve">Por último, lo invitamos a seguirnos en las redes sociales en las cuales se difunde información institucional: </w:t>
      </w:r>
    </w:p>
    <w:p w:rsidRPr="00284526" w:rsidR="001A463E" w:rsidP="001A463E" w:rsidRDefault="001A463E" w14:paraId="453E7ABC" w14:textId="77777777">
      <w:pPr>
        <w:spacing w:after="0" w:line="276" w:lineRule="auto"/>
        <w:jc w:val="both"/>
        <w:rPr>
          <w:rFonts w:ascii="Verdana" w:hAnsi="Verdana" w:cs="Arial"/>
          <w:shd w:val="clear" w:color="auto" w:fill="FFFFFF"/>
        </w:rPr>
      </w:pPr>
    </w:p>
    <w:p w:rsidRPr="00284526" w:rsidR="001A463E" w:rsidP="001A463E" w:rsidRDefault="001A463E" w14:paraId="08F76314" w14:textId="77777777">
      <w:pPr>
        <w:spacing w:after="0" w:line="276" w:lineRule="auto"/>
        <w:jc w:val="both"/>
        <w:rPr>
          <w:rFonts w:ascii="Verdana" w:hAnsi="Verdana" w:cs="Arial"/>
          <w:shd w:val="clear" w:color="auto" w:fill="FFFFFF"/>
        </w:rPr>
      </w:pPr>
      <w:r w:rsidRPr="00284526">
        <w:rPr>
          <w:rFonts w:ascii="Verdana" w:hAnsi="Verdana" w:cs="Arial"/>
          <w:shd w:val="clear" w:color="auto" w:fill="FFFFFF"/>
        </w:rPr>
        <w:t xml:space="preserve">Twitter: </w:t>
      </w:r>
      <w:r w:rsidRPr="00284526">
        <w:rPr>
          <w:rStyle w:val="Hipervnculo"/>
          <w:rFonts w:ascii="Verdana" w:hAnsi="Verdana"/>
          <w:lang w:val="es-ES"/>
        </w:rPr>
        <w:t xml:space="preserve">@colombiacompra </w:t>
      </w:r>
    </w:p>
    <w:p w:rsidRPr="00284526" w:rsidR="001A463E" w:rsidP="001A463E" w:rsidRDefault="001A463E" w14:paraId="15A0B582" w14:textId="77777777">
      <w:pPr>
        <w:spacing w:after="0" w:line="276" w:lineRule="auto"/>
        <w:jc w:val="both"/>
        <w:rPr>
          <w:rFonts w:ascii="Verdana" w:hAnsi="Verdana" w:cs="Arial"/>
          <w:shd w:val="clear" w:color="auto" w:fill="FFFFFF"/>
        </w:rPr>
      </w:pPr>
      <w:r w:rsidRPr="00284526">
        <w:rPr>
          <w:rFonts w:ascii="Verdana" w:hAnsi="Verdana" w:cs="Arial"/>
          <w:shd w:val="clear" w:color="auto" w:fill="FFFFFF"/>
        </w:rPr>
        <w:t>Facebook:</w:t>
      </w:r>
      <w:r w:rsidRPr="00284526">
        <w:rPr>
          <w:rStyle w:val="Hipervnculo"/>
          <w:rFonts w:ascii="Verdana" w:hAnsi="Verdana"/>
          <w:color w:val="auto"/>
          <w:lang w:val="es-ES"/>
        </w:rPr>
        <w:t xml:space="preserve"> </w:t>
      </w:r>
      <w:proofErr w:type="spellStart"/>
      <w:r w:rsidRPr="00284526">
        <w:rPr>
          <w:rStyle w:val="Hipervnculo"/>
          <w:rFonts w:ascii="Verdana" w:hAnsi="Verdana"/>
          <w:lang w:val="es-ES"/>
        </w:rPr>
        <w:t>ColombiaCompraEficiente</w:t>
      </w:r>
      <w:proofErr w:type="spellEnd"/>
    </w:p>
    <w:p w:rsidRPr="00284526" w:rsidR="001A463E" w:rsidP="001A463E" w:rsidRDefault="001A463E" w14:paraId="515FFB64" w14:textId="77777777">
      <w:pPr>
        <w:spacing w:after="0" w:line="276" w:lineRule="auto"/>
        <w:jc w:val="both"/>
        <w:rPr>
          <w:rFonts w:ascii="Verdana" w:hAnsi="Verdana" w:cs="Arial"/>
          <w:color w:val="0000FF"/>
          <w:shd w:val="clear" w:color="auto" w:fill="FFFFFF"/>
        </w:rPr>
      </w:pPr>
      <w:r w:rsidRPr="00284526">
        <w:rPr>
          <w:rFonts w:ascii="Verdana" w:hAnsi="Verdana" w:cs="Arial"/>
          <w:shd w:val="clear" w:color="auto" w:fill="FFFFFF"/>
        </w:rPr>
        <w:t xml:space="preserve">LinkedIn: </w:t>
      </w:r>
      <w:r w:rsidRPr="00284526">
        <w:rPr>
          <w:rStyle w:val="Hipervnculo"/>
          <w:rFonts w:ascii="Verdana" w:hAnsi="Verdana"/>
          <w:lang w:val="es-ES"/>
        </w:rPr>
        <w:t>Agencia Nacional de Contratación Pública - Colombia Compra Eficiente</w:t>
      </w:r>
      <w:r w:rsidRPr="00284526">
        <w:rPr>
          <w:rFonts w:ascii="Verdana" w:hAnsi="Verdana" w:cs="Arial"/>
          <w:color w:val="0000FF"/>
          <w:shd w:val="clear" w:color="auto" w:fill="FFFFFF"/>
        </w:rPr>
        <w:t xml:space="preserve"> </w:t>
      </w:r>
    </w:p>
    <w:p w:rsidRPr="00284526" w:rsidR="001A463E" w:rsidP="001A463E" w:rsidRDefault="001A463E" w14:paraId="6A3C09E3" w14:textId="77777777">
      <w:pPr>
        <w:spacing w:after="0" w:line="276" w:lineRule="auto"/>
        <w:jc w:val="both"/>
        <w:rPr>
          <w:rFonts w:ascii="Verdana" w:hAnsi="Verdana" w:cs="Arial"/>
          <w:shd w:val="clear" w:color="auto" w:fill="FFFFFF"/>
        </w:rPr>
      </w:pPr>
      <w:r w:rsidRPr="00284526">
        <w:rPr>
          <w:rFonts w:ascii="Verdana" w:hAnsi="Verdana" w:cs="Arial"/>
          <w:shd w:val="clear" w:color="auto" w:fill="FFFFFF"/>
        </w:rPr>
        <w:t xml:space="preserve">Instagram: </w:t>
      </w:r>
      <w:r w:rsidRPr="00284526">
        <w:rPr>
          <w:rStyle w:val="Hipervnculo"/>
          <w:rFonts w:ascii="Verdana" w:hAnsi="Verdana"/>
          <w:lang w:val="es-ES"/>
        </w:rPr>
        <w:t>@colombiacompraeficiente_cce</w:t>
      </w:r>
    </w:p>
    <w:p w:rsidRPr="00284526" w:rsidR="001A463E" w:rsidP="001A463E" w:rsidRDefault="001A463E" w14:paraId="1C542C26" w14:textId="77777777">
      <w:pPr>
        <w:widowControl w:val="0"/>
        <w:autoSpaceDE w:val="0"/>
        <w:autoSpaceDN w:val="0"/>
        <w:spacing w:after="0" w:line="276" w:lineRule="auto"/>
        <w:jc w:val="both"/>
        <w:rPr>
          <w:rFonts w:ascii="Verdana" w:hAnsi="Verdana" w:cs="Arial"/>
          <w:lang w:val="es-ES"/>
        </w:rPr>
      </w:pPr>
    </w:p>
    <w:p w:rsidRPr="00284526" w:rsidR="001A463E" w:rsidP="001A463E" w:rsidRDefault="001A463E" w14:paraId="642E69BF" w14:textId="77777777">
      <w:pPr>
        <w:widowControl w:val="0"/>
        <w:autoSpaceDE w:val="0"/>
        <w:autoSpaceDN w:val="0"/>
        <w:spacing w:after="0" w:line="276" w:lineRule="auto"/>
        <w:jc w:val="both"/>
        <w:rPr>
          <w:rFonts w:ascii="Verdana" w:hAnsi="Verdana" w:cs="Arial"/>
          <w:lang w:val="es-ES"/>
        </w:rPr>
      </w:pPr>
      <w:r w:rsidRPr="00284526">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rsidRPr="00116940" w:rsidR="001A463E" w:rsidP="001A463E" w:rsidRDefault="001A463E" w14:paraId="639BAA36" w14:textId="77777777">
      <w:pPr>
        <w:spacing w:after="0" w:line="276" w:lineRule="auto"/>
        <w:jc w:val="both"/>
        <w:rPr>
          <w:rFonts w:ascii="Verdana" w:hAnsi="Verdana" w:eastAsia="Verdana" w:cs="Verdana"/>
        </w:rPr>
      </w:pPr>
    </w:p>
    <w:p w:rsidRPr="00116940" w:rsidR="001A463E" w:rsidP="001A463E" w:rsidRDefault="001A463E" w14:paraId="65DDD40C" w14:textId="77777777">
      <w:pPr>
        <w:spacing w:after="0" w:line="276" w:lineRule="auto"/>
        <w:rPr>
          <w:rFonts w:ascii="Verdana" w:hAnsi="Verdana" w:eastAsia="Verdana" w:cs="Verdana"/>
        </w:rPr>
      </w:pPr>
      <w:r w:rsidRPr="30821638">
        <w:rPr>
          <w:rFonts w:ascii="Verdana" w:hAnsi="Verdana" w:eastAsia="Verdana" w:cs="Verdana"/>
        </w:rPr>
        <w:t>Evalúa el servicio que ofrece la Agencia por el canal de atención de PQRSD en el siguiente enlace</w:t>
      </w:r>
      <w:r w:rsidRPr="00C25CDD">
        <w:rPr>
          <w:rFonts w:ascii="Verdana" w:hAnsi="Verdana" w:eastAsia="Verdana" w:cs="Verdana"/>
        </w:rPr>
        <w:t>:</w:t>
      </w:r>
      <w:r>
        <w:rPr>
          <w:rFonts w:ascii="Verdana" w:hAnsi="Verdana" w:eastAsia="Verdana" w:cs="Verdana"/>
        </w:rPr>
        <w:t xml:space="preserve"> </w:t>
      </w:r>
      <w:hyperlink w:history="1" r:id="rId22">
        <w:r w:rsidRPr="00C25CDD">
          <w:rPr>
            <w:rStyle w:val="Hipervnculo"/>
            <w:rFonts w:ascii="Verdana" w:hAnsi="Verdana" w:eastAsia="Verdana" w:cs="Verdana"/>
          </w:rPr>
          <w:t>https://forms.office.com/r/pPHyWVs2SZ</w:t>
        </w:r>
      </w:hyperlink>
      <w:r w:rsidRPr="30821638">
        <w:rPr>
          <w:rFonts w:ascii="Verdana" w:hAnsi="Verdana" w:eastAsia="Verdana" w:cs="Verdana"/>
        </w:rPr>
        <w:t xml:space="preserve"> .¡Ayúdanos a mejorar porque el compromiso es de todos!</w:t>
      </w:r>
    </w:p>
    <w:p w:rsidRPr="00116940" w:rsidR="001A463E" w:rsidP="001A463E" w:rsidRDefault="001A463E" w14:paraId="0A1CC8EC" w14:textId="77777777">
      <w:pPr>
        <w:spacing w:after="0" w:line="276" w:lineRule="auto"/>
        <w:rPr>
          <w:rFonts w:ascii="Verdana" w:hAnsi="Verdana" w:eastAsia="Verdana" w:cs="Verdana"/>
        </w:rPr>
      </w:pPr>
    </w:p>
    <w:p w:rsidR="001A463E" w:rsidP="001A463E" w:rsidRDefault="001A463E" w14:paraId="0D54C32E" w14:textId="4F49102F">
      <w:pPr>
        <w:spacing w:after="0" w:line="276" w:lineRule="auto"/>
        <w:jc w:val="both"/>
        <w:rPr>
          <w:rFonts w:ascii="Verdana" w:hAnsi="Verdana" w:eastAsia="Verdana" w:cs="Verdana"/>
          <w:lang w:val="es-MX"/>
        </w:rPr>
      </w:pPr>
      <w:r w:rsidRPr="30821638">
        <w:rPr>
          <w:rFonts w:ascii="Verdana" w:hAnsi="Verdana" w:eastAsia="Verdana" w:cs="Verdana"/>
          <w:lang w:val="es-MX"/>
        </w:rPr>
        <w:t>Cordialmente,</w:t>
      </w:r>
      <w:r>
        <w:rPr>
          <w:rFonts w:ascii="Verdana" w:hAnsi="Verdana" w:eastAsia="Verdana" w:cs="Verdana"/>
          <w:lang w:val="es-MX"/>
        </w:rPr>
        <w:t xml:space="preserve"> </w:t>
      </w:r>
    </w:p>
    <w:p w:rsidR="001A463E" w:rsidP="001A463E" w:rsidRDefault="004A4742" w14:paraId="07D06D18" w14:textId="40FEAFAB">
      <w:pPr>
        <w:spacing w:after="0" w:line="276" w:lineRule="auto"/>
        <w:jc w:val="both"/>
        <w:rPr>
          <w:rFonts w:ascii="Verdana" w:hAnsi="Verdana" w:eastAsia="Century Gothic" w:cs="Century Gothic"/>
        </w:rPr>
      </w:pPr>
      <w:r>
        <w:rPr>
          <w:noProof/>
        </w:rPr>
        <w:drawing>
          <wp:anchor distT="0" distB="0" distL="114300" distR="114300" simplePos="0" relativeHeight="251660289" behindDoc="1" locked="0" layoutInCell="1" allowOverlap="1" wp14:anchorId="20CD6A93" wp14:editId="299DD1D7">
            <wp:simplePos x="0" y="0"/>
            <wp:positionH relativeFrom="column">
              <wp:posOffset>1231121</wp:posOffset>
            </wp:positionH>
            <wp:positionV relativeFrom="paragraph">
              <wp:posOffset>28575</wp:posOffset>
            </wp:positionV>
            <wp:extent cx="3550920" cy="1172210"/>
            <wp:effectExtent l="0" t="0" r="0" b="8890"/>
            <wp:wrapTight wrapText="bothSides">
              <wp:wrapPolygon edited="0">
                <wp:start x="0" y="0"/>
                <wp:lineTo x="0" y="21413"/>
                <wp:lineTo x="21438" y="21413"/>
                <wp:lineTo x="21438" y="0"/>
                <wp:lineTo x="0" y="0"/>
              </wp:wrapPolygon>
            </wp:wrapTight>
            <wp:docPr id="3441576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157612" name="Imagen 344157612"/>
                    <pic:cNvPicPr/>
                  </pic:nvPicPr>
                  <pic:blipFill>
                    <a:blip r:embed="rId23">
                      <a:extLst>
                        <a:ext uri="{28A0092B-C50C-407E-A947-70E740481C1C}">
                          <a14:useLocalDpi xmlns:a14="http://schemas.microsoft.com/office/drawing/2010/main" val="0"/>
                        </a:ext>
                      </a:extLst>
                    </a:blip>
                    <a:stretch>
                      <a:fillRect/>
                    </a:stretch>
                  </pic:blipFill>
                  <pic:spPr>
                    <a:xfrm>
                      <a:off x="0" y="0"/>
                      <a:ext cx="3550920" cy="1172210"/>
                    </a:xfrm>
                    <a:prstGeom prst="rect">
                      <a:avLst/>
                    </a:prstGeom>
                  </pic:spPr>
                </pic:pic>
              </a:graphicData>
            </a:graphic>
            <wp14:sizeRelH relativeFrom="margin">
              <wp14:pctWidth>0</wp14:pctWidth>
            </wp14:sizeRelH>
            <wp14:sizeRelV relativeFrom="margin">
              <wp14:pctHeight>0</wp14:pctHeight>
            </wp14:sizeRelV>
          </wp:anchor>
        </w:drawing>
      </w:r>
    </w:p>
    <w:p w:rsidR="001A463E" w:rsidP="001A463E" w:rsidRDefault="001A463E" w14:paraId="61F5D9BB" w14:textId="77777777">
      <w:pPr>
        <w:spacing w:after="0" w:line="276" w:lineRule="auto"/>
        <w:jc w:val="both"/>
        <w:rPr>
          <w:rFonts w:ascii="Verdana" w:hAnsi="Verdana" w:eastAsia="Century Gothic" w:cs="Century Gothic"/>
        </w:rPr>
      </w:pPr>
    </w:p>
    <w:p w:rsidR="001A463E" w:rsidP="001A463E" w:rsidRDefault="001A463E" w14:paraId="2FAEB4A0" w14:textId="77777777">
      <w:pPr>
        <w:spacing w:after="0" w:line="276" w:lineRule="auto"/>
        <w:jc w:val="both"/>
        <w:rPr>
          <w:rFonts w:ascii="Verdana" w:hAnsi="Verdana" w:eastAsia="Century Gothic" w:cs="Century Gothic"/>
        </w:rPr>
      </w:pPr>
    </w:p>
    <w:p w:rsidR="001A463E" w:rsidP="001A463E" w:rsidRDefault="001A463E" w14:paraId="5C5421DC" w14:textId="77777777">
      <w:pPr>
        <w:spacing w:after="0" w:line="276" w:lineRule="auto"/>
        <w:jc w:val="both"/>
        <w:rPr>
          <w:rFonts w:ascii="Verdana" w:hAnsi="Verdana" w:eastAsia="Century Gothic" w:cs="Century Gothic"/>
        </w:rPr>
      </w:pPr>
    </w:p>
    <w:p w:rsidR="001A463E" w:rsidP="001A463E" w:rsidRDefault="001A463E" w14:paraId="22A3D68E" w14:textId="77777777">
      <w:pPr>
        <w:spacing w:after="0" w:line="276" w:lineRule="auto"/>
        <w:jc w:val="both"/>
        <w:rPr>
          <w:rFonts w:ascii="Verdana" w:hAnsi="Verdana" w:eastAsia="Century Gothic" w:cs="Century Gothic"/>
        </w:rPr>
      </w:pPr>
    </w:p>
    <w:p w:rsidR="001A463E" w:rsidP="001A463E" w:rsidRDefault="001A463E" w14:paraId="026AD311" w14:textId="400989E7">
      <w:pPr>
        <w:spacing w:after="120" w:line="276" w:lineRule="auto"/>
        <w:contextualSpacing/>
        <w:jc w:val="both"/>
        <w:rPr>
          <w:rFonts w:ascii="Verdana" w:hAnsi="Verdana" w:eastAsia="Aptos" w:cs="Arial"/>
          <w:shd w:val="clear" w:color="auto" w:fill="FFFFFF"/>
          <w:lang w:val="es-ES"/>
        </w:rPr>
      </w:pPr>
    </w:p>
    <w:p w:rsidR="004A4742" w:rsidP="001A463E" w:rsidRDefault="004A4742" w14:paraId="46555171" w14:textId="77777777">
      <w:pPr>
        <w:spacing w:after="120" w:line="276" w:lineRule="auto"/>
        <w:contextualSpacing/>
        <w:jc w:val="both"/>
        <w:rPr>
          <w:rFonts w:ascii="Verdana" w:hAnsi="Verdana" w:eastAsia="Aptos" w:cs="Arial"/>
          <w:shd w:val="clear" w:color="auto" w:fill="FFFFFF"/>
          <w:lang w:val="es-ES"/>
        </w:rPr>
      </w:pPr>
    </w:p>
    <w:tbl>
      <w:tblPr>
        <w:tblStyle w:val="Tablaconcuadrcula"/>
        <w:tblW w:w="632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93"/>
        <w:gridCol w:w="5436"/>
      </w:tblGrid>
      <w:tr w:rsidRPr="004C0111" w:rsidR="001A463E" w:rsidTr="00A54D30" w14:paraId="4D90BEA7" w14:textId="77777777">
        <w:trPr>
          <w:trHeight w:val="622"/>
        </w:trPr>
        <w:tc>
          <w:tcPr>
            <w:tcW w:w="893" w:type="dxa"/>
            <w:vAlign w:val="center"/>
            <w:hideMark/>
          </w:tcPr>
          <w:p w:rsidRPr="004C0111" w:rsidR="001A463E" w:rsidP="00A54D30" w:rsidRDefault="001A463E" w14:paraId="572FDF9B" w14:textId="77777777">
            <w:pPr>
              <w:rPr>
                <w:rFonts w:ascii="Verdana" w:hAnsi="Verdana" w:eastAsia="Calibri" w:cs="Arial"/>
                <w:sz w:val="16"/>
                <w:szCs w:val="16"/>
                <w:lang w:val="es-ES_tradnl"/>
              </w:rPr>
            </w:pPr>
            <w:r w:rsidRPr="004C0111">
              <w:rPr>
                <w:rFonts w:ascii="Verdana" w:hAnsi="Verdana" w:eastAsia="Calibri" w:cs="Arial"/>
                <w:sz w:val="16"/>
                <w:szCs w:val="16"/>
                <w:lang w:val="es-ES_tradnl"/>
              </w:rPr>
              <w:t>Elaboró:</w:t>
            </w:r>
          </w:p>
        </w:tc>
        <w:tc>
          <w:tcPr>
            <w:tcW w:w="5436" w:type="dxa"/>
            <w:tcBorders>
              <w:top w:val="nil"/>
              <w:left w:val="nil"/>
              <w:bottom w:val="dotted" w:color="7F7F7F" w:themeColor="text1" w:themeTint="80" w:sz="4" w:space="0"/>
              <w:right w:val="nil"/>
            </w:tcBorders>
            <w:vAlign w:val="center"/>
            <w:hideMark/>
          </w:tcPr>
          <w:tbl>
            <w:tblPr>
              <w:tblW w:w="5091"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091"/>
            </w:tblGrid>
            <w:tr w:rsidRPr="004C0111" w:rsidR="001A463E" w:rsidTr="00A54D30" w14:paraId="33613A1A" w14:textId="77777777">
              <w:trPr>
                <w:trHeight w:val="45"/>
              </w:trPr>
              <w:tc>
                <w:tcPr>
                  <w:tcW w:w="5091" w:type="dxa"/>
                  <w:tcBorders>
                    <w:top w:val="dotted" w:color="7F7F7F" w:themeColor="text1" w:themeTint="80" w:sz="6" w:space="0"/>
                    <w:left w:val="nil"/>
                    <w:bottom w:val="dotted" w:color="7F7F7F" w:themeColor="text1" w:themeTint="80" w:sz="6" w:space="0"/>
                    <w:right w:val="nil"/>
                  </w:tcBorders>
                  <w:vAlign w:val="center"/>
                  <w:hideMark/>
                </w:tcPr>
                <w:p w:rsidRPr="004C0111" w:rsidR="001A463E" w:rsidP="00A54D30" w:rsidRDefault="001A463E" w14:paraId="62A2327F" w14:textId="77777777">
                  <w:pPr>
                    <w:spacing w:after="0" w:line="240" w:lineRule="auto"/>
                    <w:rPr>
                      <w:rFonts w:ascii="Verdana" w:hAnsi="Verdana" w:eastAsia="Times New Roman" w:cs="Arial"/>
                      <w:sz w:val="16"/>
                      <w:szCs w:val="16"/>
                      <w:lang w:val="es-ES" w:eastAsia="es-ES"/>
                    </w:rPr>
                  </w:pPr>
                  <w:r w:rsidRPr="731A4B47">
                    <w:rPr>
                      <w:rFonts w:ascii="Verdana" w:hAnsi="Verdana" w:eastAsia="Times New Roman" w:cs="Arial"/>
                      <w:sz w:val="16"/>
                      <w:szCs w:val="16"/>
                      <w:lang w:val="es-ES" w:eastAsia="es-ES"/>
                    </w:rPr>
                    <w:t>Kelmis Yirama Brugés Alvarado</w:t>
                  </w:r>
                </w:p>
                <w:p w:rsidRPr="004C0111" w:rsidR="001A463E" w:rsidP="00A54D30" w:rsidRDefault="001A463E" w14:paraId="03782648" w14:textId="77777777">
                  <w:pPr>
                    <w:spacing w:after="0" w:line="240" w:lineRule="auto"/>
                    <w:rPr>
                      <w:rFonts w:ascii="Verdana" w:hAnsi="Verdana" w:eastAsia="Times New Roman" w:cs="Arial"/>
                      <w:sz w:val="16"/>
                      <w:szCs w:val="16"/>
                      <w:lang w:val="es-MX" w:eastAsia="es-CO"/>
                    </w:rPr>
                  </w:pPr>
                  <w:r w:rsidRPr="004C0111">
                    <w:rPr>
                      <w:rFonts w:ascii="Verdana" w:hAnsi="Verdana" w:eastAsia="Times New Roman" w:cs="Arial"/>
                      <w:sz w:val="16"/>
                      <w:szCs w:val="16"/>
                      <w:lang w:eastAsia="es-ES"/>
                    </w:rPr>
                    <w:t>Analista T2-</w:t>
                  </w:r>
                  <w:r>
                    <w:rPr>
                      <w:rFonts w:ascii="Verdana" w:hAnsi="Verdana" w:eastAsia="Times New Roman" w:cs="Arial"/>
                      <w:sz w:val="16"/>
                      <w:szCs w:val="16"/>
                      <w:lang w:eastAsia="es-ES"/>
                    </w:rPr>
                    <w:t>04</w:t>
                  </w:r>
                  <w:r w:rsidRPr="004C0111">
                    <w:rPr>
                      <w:rFonts w:ascii="Verdana" w:hAnsi="Verdana" w:eastAsia="Times New Roman" w:cs="Arial"/>
                      <w:sz w:val="16"/>
                      <w:szCs w:val="16"/>
                      <w:lang w:eastAsia="es-ES"/>
                    </w:rPr>
                    <w:t xml:space="preserve"> de la Subdirección de Gestión Contractual</w:t>
                  </w:r>
                </w:p>
              </w:tc>
            </w:tr>
          </w:tbl>
          <w:p w:rsidRPr="004C0111" w:rsidR="001A463E" w:rsidP="00A54D30" w:rsidRDefault="001A463E" w14:paraId="33FEB5C9" w14:textId="77777777">
            <w:pPr>
              <w:rPr>
                <w:rFonts w:ascii="Verdana" w:hAnsi="Verdana" w:eastAsia="Calibri" w:cs="Arial"/>
                <w:sz w:val="16"/>
                <w:szCs w:val="16"/>
                <w:lang w:val="es-MX"/>
              </w:rPr>
            </w:pPr>
          </w:p>
        </w:tc>
      </w:tr>
      <w:tr w:rsidRPr="004C0111" w:rsidR="001A463E" w:rsidTr="00A54D30" w14:paraId="1FF966ED" w14:textId="77777777">
        <w:trPr>
          <w:trHeight w:val="330"/>
        </w:trPr>
        <w:tc>
          <w:tcPr>
            <w:tcW w:w="893" w:type="dxa"/>
            <w:vAlign w:val="center"/>
            <w:hideMark/>
          </w:tcPr>
          <w:p w:rsidRPr="004C0111" w:rsidR="001A463E" w:rsidP="00A54D30" w:rsidRDefault="001A463E" w14:paraId="44EEF651" w14:textId="77777777">
            <w:pPr>
              <w:rPr>
                <w:rFonts w:ascii="Verdana" w:hAnsi="Verdana" w:eastAsia="Calibri" w:cs="Arial"/>
                <w:sz w:val="16"/>
                <w:szCs w:val="16"/>
                <w:lang w:val="es-ES_tradnl"/>
              </w:rPr>
            </w:pPr>
            <w:r w:rsidRPr="004C0111">
              <w:rPr>
                <w:rFonts w:ascii="Verdana" w:hAnsi="Verdana" w:eastAsia="Calibri" w:cs="Arial"/>
                <w:sz w:val="16"/>
                <w:szCs w:val="16"/>
                <w:lang w:val="es-ES_tradnl"/>
              </w:rPr>
              <w:t>Revisó:</w:t>
            </w:r>
          </w:p>
        </w:tc>
        <w:tc>
          <w:tcPr>
            <w:tcW w:w="5436" w:type="dxa"/>
            <w:tcBorders>
              <w:top w:val="dotted" w:color="7F7F7F" w:themeColor="text1" w:themeTint="80" w:sz="4" w:space="0"/>
              <w:left w:val="nil"/>
              <w:bottom w:val="dotted" w:color="7F7F7F" w:themeColor="text1" w:themeTint="80" w:sz="4" w:space="0"/>
              <w:right w:val="nil"/>
            </w:tcBorders>
            <w:vAlign w:val="center"/>
            <w:hideMark/>
          </w:tcPr>
          <w:p w:rsidRPr="004C0111" w:rsidR="001A463E" w:rsidP="00A54D30" w:rsidRDefault="001A463E" w14:paraId="1E6C5F9D" w14:textId="77777777">
            <w:pPr>
              <w:textAlignment w:val="baseline"/>
              <w:rPr>
                <w:rFonts w:ascii="Verdana" w:hAnsi="Verdana" w:eastAsia="Times New Roman" w:cs="Arial"/>
                <w:sz w:val="16"/>
                <w:szCs w:val="16"/>
                <w:lang w:eastAsia="es-CO"/>
              </w:rPr>
            </w:pPr>
            <w:r>
              <w:rPr>
                <w:rFonts w:ascii="Verdana" w:hAnsi="Verdana" w:eastAsia="Times New Roman" w:cs="Arial"/>
                <w:sz w:val="16"/>
                <w:szCs w:val="16"/>
                <w:lang w:eastAsia="es-CO"/>
              </w:rPr>
              <w:t xml:space="preserve">Adriana López Rodríguez  </w:t>
            </w:r>
          </w:p>
          <w:p w:rsidRPr="004C0111" w:rsidR="001A463E" w:rsidP="00A54D30" w:rsidRDefault="001A463E" w14:paraId="3E9CC9E0" w14:textId="77777777">
            <w:pPr>
              <w:textAlignment w:val="baseline"/>
              <w:rPr>
                <w:rFonts w:ascii="Verdana" w:hAnsi="Verdana" w:eastAsia="Times New Roman" w:cs="Arial"/>
                <w:sz w:val="16"/>
                <w:szCs w:val="16"/>
                <w:lang w:val="es-MX" w:eastAsia="es-CO"/>
              </w:rPr>
            </w:pPr>
            <w:r>
              <w:rPr>
                <w:rFonts w:ascii="Verdana" w:hAnsi="Verdana" w:eastAsia="Times New Roman" w:cs="Arial"/>
                <w:sz w:val="16"/>
                <w:szCs w:val="16"/>
                <w:lang w:eastAsia="es-CO"/>
              </w:rPr>
              <w:t xml:space="preserve">Contratista </w:t>
            </w:r>
            <w:r w:rsidRPr="004C0111">
              <w:rPr>
                <w:rFonts w:ascii="Verdana" w:hAnsi="Verdana" w:eastAsia="Times New Roman" w:cs="Arial"/>
                <w:sz w:val="16"/>
                <w:szCs w:val="16"/>
                <w:lang w:eastAsia="es-CO"/>
              </w:rPr>
              <w:t>de la Subdirección de Gestión Contractual</w:t>
            </w:r>
          </w:p>
        </w:tc>
      </w:tr>
      <w:tr w:rsidRPr="004C0111" w:rsidR="001A463E" w:rsidTr="00A54D30" w14:paraId="2B96BAD9" w14:textId="77777777">
        <w:trPr>
          <w:trHeight w:val="77"/>
        </w:trPr>
        <w:tc>
          <w:tcPr>
            <w:tcW w:w="893" w:type="dxa"/>
            <w:vAlign w:val="center"/>
          </w:tcPr>
          <w:p w:rsidRPr="004C0111" w:rsidR="001A463E" w:rsidP="00A54D30" w:rsidRDefault="001A463E" w14:paraId="3DEE4FB0" w14:textId="77777777">
            <w:pPr>
              <w:rPr>
                <w:rFonts w:ascii="Verdana" w:hAnsi="Verdana" w:eastAsia="Calibri" w:cs="Arial"/>
                <w:sz w:val="16"/>
                <w:szCs w:val="16"/>
                <w:lang w:val="es-ES_tradnl"/>
              </w:rPr>
            </w:pPr>
            <w:r w:rsidRPr="004C0111">
              <w:rPr>
                <w:rFonts w:ascii="Verdana" w:hAnsi="Verdana" w:eastAsia="Calibri" w:cs="Arial"/>
                <w:sz w:val="16"/>
                <w:szCs w:val="16"/>
                <w:lang w:val="es-ES_tradnl"/>
              </w:rPr>
              <w:t>Aprobó:</w:t>
            </w:r>
          </w:p>
        </w:tc>
        <w:tc>
          <w:tcPr>
            <w:tcW w:w="5436" w:type="dxa"/>
            <w:tcBorders>
              <w:top w:val="dotted" w:color="7F7F7F" w:themeColor="text1" w:themeTint="80" w:sz="4" w:space="0"/>
              <w:left w:val="nil"/>
              <w:bottom w:val="dotted" w:color="7F7F7F" w:themeColor="text1" w:themeTint="80" w:sz="4" w:space="0"/>
              <w:right w:val="nil"/>
            </w:tcBorders>
            <w:vAlign w:val="center"/>
          </w:tcPr>
          <w:p w:rsidRPr="002F2853" w:rsidR="001A463E" w:rsidP="00A54D30" w:rsidRDefault="001A463E" w14:paraId="7A73F89D" w14:textId="77777777">
            <w:pPr>
              <w:rPr>
                <w:rFonts w:ascii="Verdana" w:hAnsi="Verdana" w:eastAsia="Times New Roman" w:cs="Arial"/>
                <w:sz w:val="16"/>
                <w:szCs w:val="16"/>
                <w:lang w:eastAsia="es-ES"/>
              </w:rPr>
            </w:pPr>
            <w:r w:rsidRPr="002F2853">
              <w:rPr>
                <w:rFonts w:ascii="Verdana" w:hAnsi="Verdana" w:eastAsia="Times New Roman" w:cs="Arial"/>
                <w:sz w:val="16"/>
                <w:szCs w:val="16"/>
                <w:lang w:eastAsia="es-ES"/>
              </w:rPr>
              <w:t>Carolina Quintero Gacharná</w:t>
            </w:r>
          </w:p>
          <w:p w:rsidRPr="004C0111" w:rsidR="001A463E" w:rsidP="00A54D30" w:rsidRDefault="001A463E" w14:paraId="4E158B88" w14:textId="77777777">
            <w:pPr>
              <w:rPr>
                <w:rFonts w:ascii="Verdana" w:hAnsi="Verdana" w:eastAsia="Calibri" w:cs="Arial"/>
                <w:sz w:val="16"/>
                <w:szCs w:val="16"/>
                <w:lang w:val="es-ES_tradnl"/>
              </w:rPr>
            </w:pPr>
            <w:r w:rsidRPr="002F2853">
              <w:rPr>
                <w:rFonts w:ascii="Verdana" w:hAnsi="Verdana" w:eastAsia="Times New Roman" w:cs="Arial"/>
                <w:sz w:val="16"/>
                <w:szCs w:val="16"/>
                <w:lang w:eastAsia="es-ES"/>
              </w:rPr>
              <w:t>Subdirectora de Gestión Contractual ANCP – CCE</w:t>
            </w:r>
          </w:p>
        </w:tc>
      </w:tr>
    </w:tbl>
    <w:p w:rsidRPr="000E2B93" w:rsidR="00C15139" w:rsidP="30821638" w:rsidRDefault="00C15139" w14:paraId="1006A388" w14:textId="16B6C7E7">
      <w:pPr>
        <w:spacing w:after="0" w:line="240" w:lineRule="auto"/>
        <w:jc w:val="both"/>
        <w:textAlignment w:val="baseline"/>
        <w:rPr>
          <w:rFonts w:ascii="Verdana" w:hAnsi="Verdana" w:eastAsia="Verdana" w:cs="Verdana"/>
          <w:lang w:eastAsia="es-CO"/>
        </w:rPr>
      </w:pPr>
    </w:p>
    <w:p w:rsidRPr="000E2B93" w:rsidR="00C15139" w:rsidP="30821638" w:rsidRDefault="00C15139" w14:paraId="69BC4D14" w14:textId="69F41062">
      <w:pPr>
        <w:spacing w:after="0" w:line="240" w:lineRule="auto"/>
        <w:textAlignment w:val="baseline"/>
        <w:rPr>
          <w:rFonts w:ascii="Verdana" w:hAnsi="Verdana" w:eastAsia="Verdana" w:cs="Verdana"/>
          <w:lang w:eastAsia="es-CO"/>
        </w:rPr>
      </w:pPr>
      <w:r w:rsidRPr="30821638">
        <w:rPr>
          <w:rFonts w:ascii="Verdana" w:hAnsi="Verdana" w:eastAsia="Verdana" w:cs="Verdana"/>
          <w:lang w:eastAsia="es-CO"/>
        </w:rPr>
        <w:t> </w:t>
      </w:r>
      <w:bookmarkEnd w:id="0"/>
    </w:p>
    <w:sectPr w:rsidRPr="000E2B93" w:rsidR="00C15139" w:rsidSect="007C0C0F">
      <w:headerReference w:type="default" r:id="rId24"/>
      <w:footerReference w:type="default" r:id="rId25"/>
      <w:pgSz w:w="12240" w:h="15840" w:orient="portrait"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11DB" w:rsidP="004A1847" w:rsidRDefault="003911DB" w14:paraId="79CDA42F" w14:textId="77777777">
      <w:pPr>
        <w:spacing w:after="0" w:line="240" w:lineRule="auto"/>
      </w:pPr>
      <w:r>
        <w:separator/>
      </w:r>
    </w:p>
  </w:endnote>
  <w:endnote w:type="continuationSeparator" w:id="0">
    <w:p w:rsidR="003911DB" w:rsidP="004A1847" w:rsidRDefault="003911DB" w14:paraId="3C968C70" w14:textId="77777777">
      <w:pPr>
        <w:spacing w:after="0" w:line="240" w:lineRule="auto"/>
      </w:pPr>
      <w:r>
        <w:continuationSeparator/>
      </w:r>
    </w:p>
  </w:endnote>
  <w:endnote w:type="continuationNotice" w:id="1">
    <w:p w:rsidR="003911DB" w:rsidRDefault="003911DB" w14:paraId="067DF2D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847" w:rsidRDefault="004A1847" w14:paraId="18911A32" w14:textId="6CE791A4">
    <w:pPr>
      <w:pStyle w:val="Piedepgina"/>
    </w:pPr>
  </w:p>
  <w:p w:rsidRPr="00174B77" w:rsidR="00D520D8" w:rsidP="07C73DD1" w:rsidRDefault="07C73DD1" w14:paraId="594D6D9F" w14:textId="77777777">
    <w:pPr>
      <w:pBdr>
        <w:top w:val="single" w:color="000000" w:sz="4" w:space="1"/>
      </w:pBdr>
      <w:spacing w:after="0"/>
      <w:rPr>
        <w:rFonts w:ascii="Verdana" w:hAnsi="Verdana" w:eastAsia="Verdana" w:cs="Verdana"/>
        <w:b/>
        <w:bCs/>
        <w:sz w:val="18"/>
        <w:szCs w:val="18"/>
      </w:rPr>
    </w:pPr>
    <w:r w:rsidRPr="07C73DD1">
      <w:rPr>
        <w:rFonts w:ascii="Verdana" w:hAnsi="Verdana" w:eastAsia="Verdana" w:cs="Verdana"/>
        <w:b/>
        <w:bCs/>
        <w:sz w:val="18"/>
        <w:szCs w:val="18"/>
      </w:rPr>
      <w:t xml:space="preserve">Agencia Nacional de Contratación Pública                                              </w:t>
    </w:r>
    <w:r w:rsidRPr="07C73DD1">
      <w:rPr>
        <w:rFonts w:ascii="Verdana" w:hAnsi="Verdana" w:eastAsia="Verdana" w:cs="Verdana"/>
        <w:b/>
        <w:bCs/>
        <w:sz w:val="18"/>
        <w:szCs w:val="18"/>
        <w:lang w:val="es-ES"/>
      </w:rPr>
      <w:t xml:space="preserve">pág. </w:t>
    </w:r>
    <w:r w:rsidRPr="07C73DD1" w:rsidR="00D520D8">
      <w:rPr>
        <w:rFonts w:ascii="Verdana" w:hAnsi="Verdana" w:eastAsia="Verdana" w:cs="Verdana"/>
        <w:b/>
        <w:bCs/>
        <w:sz w:val="18"/>
        <w:szCs w:val="18"/>
      </w:rPr>
      <w:fldChar w:fldCharType="begin"/>
    </w:r>
    <w:r w:rsidRPr="07C73DD1" w:rsidR="00D520D8">
      <w:rPr>
        <w:rFonts w:ascii="Verdana" w:hAnsi="Verdana"/>
        <w:b/>
        <w:bCs/>
        <w:sz w:val="16"/>
        <w:szCs w:val="16"/>
      </w:rPr>
      <w:instrText>PAGE    \* MERGEFORMAT</w:instrText>
    </w:r>
    <w:r w:rsidRPr="07C73DD1" w:rsidR="00D520D8">
      <w:rPr>
        <w:rFonts w:ascii="Verdana" w:hAnsi="Verdana" w:eastAsiaTheme="minorEastAsia"/>
        <w:b/>
        <w:bCs/>
        <w:sz w:val="16"/>
        <w:szCs w:val="16"/>
      </w:rPr>
      <w:fldChar w:fldCharType="separate"/>
    </w:r>
    <w:r w:rsidRPr="07C73DD1">
      <w:rPr>
        <w:rFonts w:ascii="Verdana" w:hAnsi="Verdana" w:eastAsia="Verdana" w:cs="Verdana"/>
        <w:b/>
        <w:bCs/>
        <w:sz w:val="18"/>
        <w:szCs w:val="18"/>
      </w:rPr>
      <w:t>1</w:t>
    </w:r>
    <w:r w:rsidRPr="07C73DD1" w:rsidR="00D520D8">
      <w:rPr>
        <w:rFonts w:ascii="Verdana" w:hAnsi="Verdana" w:eastAsia="Verdana" w:cs="Verdana"/>
        <w:b/>
        <w:bCs/>
        <w:sz w:val="18"/>
        <w:szCs w:val="18"/>
      </w:rPr>
      <w:fldChar w:fldCharType="end"/>
    </w:r>
    <w:r w:rsidRPr="07C73DD1">
      <w:rPr>
        <w:rFonts w:ascii="Verdana" w:hAnsi="Verdana" w:eastAsia="Verdana" w:cs="Verdana"/>
        <w:b/>
        <w:bCs/>
        <w:sz w:val="18"/>
        <w:szCs w:val="18"/>
      </w:rPr>
      <w:t xml:space="preserve">              Colombia Compra Eficiente         </w:t>
    </w:r>
    <w:r w:rsidRPr="07C73DD1">
      <w:rPr>
        <w:rFonts w:ascii="Verdana" w:hAnsi="Verdana" w:eastAsia="Verdana" w:cs="Verdana"/>
        <w:b/>
        <w:bCs/>
        <w:sz w:val="18"/>
        <w:szCs w:val="18"/>
        <w:lang w:val="es-ES"/>
      </w:rPr>
      <w:t xml:space="preserve"> </w:t>
    </w:r>
    <w:r w:rsidRPr="07C73DD1">
      <w:rPr>
        <w:rFonts w:ascii="Verdana" w:hAnsi="Verdana" w:eastAsia="Verdana" w:cs="Verdana"/>
        <w:b/>
        <w:bCs/>
        <w:sz w:val="18"/>
        <w:szCs w:val="18"/>
      </w:rPr>
      <w:t xml:space="preserve">                                                  </w:t>
    </w:r>
  </w:p>
  <w:p w:rsidR="00D520D8" w:rsidP="07C73DD1" w:rsidRDefault="07C73DD1" w14:paraId="0A735DD5" w14:textId="77777777">
    <w:pPr>
      <w:spacing w:after="0"/>
      <w:jc w:val="both"/>
      <w:rPr>
        <w:rFonts w:ascii="Verdana" w:hAnsi="Verdana" w:eastAsia="Verdana" w:cs="Verdana"/>
        <w:sz w:val="18"/>
        <w:szCs w:val="18"/>
      </w:rPr>
    </w:pPr>
    <w:r w:rsidRPr="07C73DD1">
      <w:rPr>
        <w:rFonts w:ascii="Verdana" w:hAnsi="Verdana" w:eastAsia="Verdana" w:cs="Verdana"/>
        <w:sz w:val="18"/>
        <w:szCs w:val="18"/>
      </w:rPr>
      <w:t>Dirección: Carrera 7 # 26 – 20 - Bogotá, Colombia</w:t>
    </w:r>
  </w:p>
  <w:p w:rsidRPr="00E41027" w:rsidR="00D520D8" w:rsidP="07C73DD1" w:rsidRDefault="07C73DD1" w14:paraId="06E36B88" w14:textId="77777777">
    <w:pPr>
      <w:spacing w:after="0"/>
      <w:jc w:val="both"/>
      <w:rPr>
        <w:rFonts w:ascii="Verdana" w:hAnsi="Verdana" w:eastAsia="Verdana" w:cs="Verdana"/>
        <w:sz w:val="18"/>
        <w:szCs w:val="18"/>
      </w:rPr>
    </w:pPr>
    <w:r w:rsidRPr="07C73DD1">
      <w:rPr>
        <w:rFonts w:ascii="Verdana" w:hAnsi="Verdana" w:eastAsia="Verdana" w:cs="Verdana"/>
        <w:sz w:val="18"/>
        <w:szCs w:val="18"/>
      </w:rPr>
      <w:t>Mesa de servicio: (+57) 601 7456788</w:t>
    </w:r>
  </w:p>
  <w:p w:rsidR="006219F8" w:rsidP="07C73DD1" w:rsidRDefault="07C73DD1" w14:paraId="744661F5" w14:textId="22B9E88F">
    <w:pPr>
      <w:pBdr>
        <w:top w:val="nil"/>
        <w:left w:val="nil"/>
        <w:bottom w:val="nil"/>
        <w:right w:val="nil"/>
        <w:between w:val="nil"/>
      </w:pBdr>
      <w:tabs>
        <w:tab w:val="center" w:pos="4419"/>
        <w:tab w:val="right" w:pos="8838"/>
        <w:tab w:val="center" w:pos="5400"/>
      </w:tabs>
      <w:spacing w:after="0"/>
      <w:jc w:val="right"/>
      <w:rPr>
        <w:rFonts w:ascii="Verdana" w:hAnsi="Verdana" w:eastAsia="Verdana" w:cs="Verdana"/>
        <w:sz w:val="18"/>
        <w:szCs w:val="18"/>
        <w:lang w:eastAsia="es-CO"/>
      </w:rPr>
    </w:pPr>
    <w:r w:rsidRPr="07C73DD1">
      <w:rPr>
        <w:rFonts w:ascii="Verdana" w:hAnsi="Verdana" w:eastAsia="Verdana" w:cs="Verdana"/>
        <w:b/>
        <w:bCs/>
        <w:color w:val="000000" w:themeColor="text1"/>
        <w:sz w:val="18"/>
        <w:szCs w:val="18"/>
        <w:lang w:eastAsia="es-CO"/>
      </w:rPr>
      <w:t xml:space="preserve">Código: </w:t>
    </w:r>
    <w:r w:rsidRPr="07C73DD1">
      <w:rPr>
        <w:rFonts w:ascii="Verdana" w:hAnsi="Verdana" w:eastAsia="Verdana" w:cs="Verdana"/>
        <w:color w:val="000000" w:themeColor="text1"/>
        <w:sz w:val="18"/>
        <w:szCs w:val="18"/>
        <w:lang w:eastAsia="es-CO"/>
      </w:rPr>
      <w:t xml:space="preserve">CCE-REC-FM-17 </w:t>
    </w:r>
    <w:r w:rsidRPr="07C73DD1">
      <w:rPr>
        <w:rFonts w:ascii="Verdana" w:hAnsi="Verdana" w:eastAsia="Verdana" w:cs="Verdana"/>
        <w:b/>
        <w:bCs/>
        <w:color w:val="000000" w:themeColor="text1"/>
        <w:sz w:val="18"/>
        <w:szCs w:val="18"/>
        <w:lang w:eastAsia="es-CO"/>
      </w:rPr>
      <w:t xml:space="preserve">V: </w:t>
    </w:r>
    <w:r w:rsidRPr="07C73DD1">
      <w:rPr>
        <w:rFonts w:ascii="Verdana" w:hAnsi="Verdana" w:eastAsia="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11DB" w:rsidP="004A1847" w:rsidRDefault="003911DB" w14:paraId="2D4EC139" w14:textId="77777777">
      <w:pPr>
        <w:spacing w:after="0" w:line="240" w:lineRule="auto"/>
      </w:pPr>
      <w:r>
        <w:separator/>
      </w:r>
    </w:p>
  </w:footnote>
  <w:footnote w:type="continuationSeparator" w:id="0">
    <w:p w:rsidR="003911DB" w:rsidP="004A1847" w:rsidRDefault="003911DB" w14:paraId="5549B702" w14:textId="77777777">
      <w:pPr>
        <w:spacing w:after="0" w:line="240" w:lineRule="auto"/>
      </w:pPr>
      <w:r>
        <w:continuationSeparator/>
      </w:r>
    </w:p>
  </w:footnote>
  <w:footnote w:type="continuationNotice" w:id="1">
    <w:p w:rsidR="003911DB" w:rsidRDefault="003911DB" w14:paraId="50CACF5A" w14:textId="77777777">
      <w:pPr>
        <w:spacing w:after="0" w:line="240" w:lineRule="auto"/>
      </w:pPr>
    </w:p>
  </w:footnote>
  <w:footnote w:id="2">
    <w:p w:rsidRPr="003D4667" w:rsidR="00EE604A" w:rsidP="00EE604A" w:rsidRDefault="00EE604A" w14:paraId="73C7DD64" w14:textId="77777777">
      <w:pPr>
        <w:pStyle w:val="Textonotapie"/>
        <w:ind w:firstLine="708"/>
        <w:jc w:val="both"/>
        <w:rPr>
          <w:rFonts w:ascii="Verdana" w:hAnsi="Verdana"/>
          <w:sz w:val="16"/>
          <w:szCs w:val="16"/>
        </w:rPr>
      </w:pPr>
      <w:r w:rsidRPr="003D4667">
        <w:rPr>
          <w:rStyle w:val="Refdenotaalpie"/>
          <w:rFonts w:ascii="Verdana" w:hAnsi="Verdana"/>
          <w:sz w:val="16"/>
          <w:szCs w:val="16"/>
        </w:rPr>
        <w:footnoteRef/>
      </w:r>
      <w:r w:rsidRPr="003D4667">
        <w:rPr>
          <w:rFonts w:ascii="Verdana" w:hAnsi="Verdana"/>
          <w:sz w:val="16"/>
          <w:szCs w:val="16"/>
        </w:rPr>
        <w:t>Decreto 1082 de 2015: «Articulo 2.2.1.1.1.3.1. Definiciones. Los términos no definidos en el Título I de la Parte 2 del presente decreto y utilizados frecuentemente deben entenderse de acuerdo con su significado natural y obvio. Para la interpretación del presente Título I, las expresiones aquí utilizadas con mayúscula inicial deben ser entendidas con el significado que a continuación se indica. Los términos definidos son utilizados en singular y en plural de acuerdo como lo requiera el contexto en el cual son utilizados.</w:t>
      </w:r>
    </w:p>
    <w:p w:rsidRPr="003D4667" w:rsidR="00EE604A" w:rsidP="00EE604A" w:rsidRDefault="00EE604A" w14:paraId="558530ED" w14:textId="77777777">
      <w:pPr>
        <w:pStyle w:val="Textonotapie"/>
        <w:jc w:val="both"/>
        <w:rPr>
          <w:rFonts w:ascii="Verdana" w:hAnsi="Verdana"/>
          <w:sz w:val="16"/>
          <w:szCs w:val="16"/>
          <w:lang w:val="es-CO"/>
        </w:rPr>
      </w:pPr>
      <w:r w:rsidRPr="003D4667">
        <w:rPr>
          <w:rFonts w:ascii="Verdana" w:hAnsi="Verdana"/>
          <w:sz w:val="16"/>
          <w:szCs w:val="16"/>
        </w:rPr>
        <w:t>[…] “Capacidad Residual o K de Contratación: Aptitud de un oferente para cumplir oportuna y cabalmente con el objeto de un contrato de obra, sin que sus otros compromisos contractuales afecten su habilidad de cumplir con el contrato que está en proceso de selección”.</w:t>
      </w:r>
    </w:p>
  </w:footnote>
  <w:footnote w:id="3">
    <w:p w:rsidRPr="003D4667" w:rsidR="00EE604A" w:rsidP="00EE604A" w:rsidRDefault="00EE604A" w14:paraId="71B2C7A4" w14:textId="77777777">
      <w:pPr>
        <w:pStyle w:val="Textonotapie"/>
        <w:ind w:firstLine="708"/>
        <w:jc w:val="both"/>
        <w:rPr>
          <w:rFonts w:ascii="Verdana" w:hAnsi="Verdana"/>
          <w:sz w:val="16"/>
          <w:szCs w:val="16"/>
          <w:lang w:val="es-CO"/>
        </w:rPr>
      </w:pPr>
      <w:r w:rsidRPr="003D4667">
        <w:rPr>
          <w:rStyle w:val="Refdenotaalpie"/>
          <w:rFonts w:ascii="Verdana" w:hAnsi="Verdana"/>
          <w:sz w:val="16"/>
          <w:szCs w:val="16"/>
        </w:rPr>
        <w:footnoteRef/>
      </w:r>
      <w:r w:rsidRPr="003D4667">
        <w:rPr>
          <w:rFonts w:ascii="Verdana" w:hAnsi="Verdana"/>
          <w:sz w:val="16"/>
          <w:szCs w:val="16"/>
        </w:rPr>
        <w:t>Consejo de Estado. Sección Tercera. Providencia del 26 de junio de 2003. Exp. 13.354.</w:t>
      </w:r>
    </w:p>
  </w:footnote>
  <w:footnote w:id="4">
    <w:p w:rsidRPr="003D4667" w:rsidR="00EE604A" w:rsidP="00EE604A" w:rsidRDefault="00EE604A" w14:paraId="72A1CCB8" w14:textId="77777777">
      <w:pPr>
        <w:pStyle w:val="Textonotapie"/>
        <w:ind w:firstLine="708"/>
        <w:jc w:val="both"/>
        <w:rPr>
          <w:rFonts w:ascii="Verdana" w:hAnsi="Verdana"/>
          <w:sz w:val="16"/>
          <w:szCs w:val="16"/>
          <w:lang w:val="es-CO"/>
        </w:rPr>
      </w:pPr>
      <w:r w:rsidRPr="003D4667">
        <w:rPr>
          <w:rStyle w:val="Refdenotaalpie"/>
          <w:rFonts w:ascii="Verdana" w:hAnsi="Verdana"/>
          <w:sz w:val="16"/>
          <w:szCs w:val="16"/>
        </w:rPr>
        <w:footnoteRef/>
      </w:r>
      <w:r w:rsidRPr="003D4667">
        <w:rPr>
          <w:rFonts w:ascii="Verdana" w:hAnsi="Verdana"/>
          <w:sz w:val="16"/>
          <w:szCs w:val="16"/>
        </w:rPr>
        <w:t>Consejo de Estado. Sección Tercera. Sentencia del 24 de julio de 2013. Exp. 25.642 C.P. Enrique Gil Botero.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56841" w:rsidP="00844AE9" w:rsidRDefault="009D3058" w14:paraId="435F4D03" w14:textId="0903BF04">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rsidR="00756841" w:rsidRDefault="00756841" w14:paraId="1BE2B9AE" w14:textId="4B94DB3B">
    <w:pPr>
      <w:pStyle w:val="Encabezado"/>
    </w:pPr>
  </w:p>
  <w:p w:rsidRPr="004A305D" w:rsidR="004A305D" w:rsidP="00B01B1A" w:rsidRDefault="004A305D" w14:paraId="5E18350A" w14:textId="705F7B76">
    <w:pPr>
      <w:spacing w:after="0" w:line="120" w:lineRule="auto"/>
      <w:rPr>
        <w:rFonts w:ascii="Century Gothic" w:hAnsi="Century Gothic" w:eastAsia="Geo" w:cs="Geo"/>
        <w:sz w:val="16"/>
        <w:szCs w:val="16"/>
        <w:lang w:eastAsia="es-CO"/>
      </w:rPr>
    </w:pPr>
  </w:p>
  <w:p w:rsidR="00C925AC" w:rsidP="00844AE9" w:rsidRDefault="00C925AC" w14:paraId="211B7F5D" w14:textId="77777777">
    <w:pPr>
      <w:spacing w:after="0" w:line="240" w:lineRule="auto"/>
      <w:rPr>
        <w:rFonts w:ascii="Verdana" w:hAnsi="Verdana"/>
        <w:sz w:val="24"/>
        <w:szCs w:val="24"/>
      </w:rPr>
    </w:pPr>
  </w:p>
  <w:p w:rsidRPr="00C925AC" w:rsidR="00A14468" w:rsidP="00844AE9" w:rsidRDefault="00A14468" w14:paraId="5A0054B1" w14:textId="77777777">
    <w:pPr>
      <w:spacing w:after="0" w:line="240" w:lineRule="auto"/>
      <w:rPr>
        <w:rFonts w:ascii="Verdana" w:hAnsi="Verdana"/>
        <w:sz w:val="24"/>
        <w:szCs w:val="24"/>
      </w:rPr>
    </w:pPr>
  </w:p>
  <w:p w:rsidRPr="00C925AC" w:rsidR="008A446D" w:rsidP="000D5DA7" w:rsidRDefault="00C925AC" w14:paraId="1FD1C243" w14:textId="37C5500A">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2.15pt;height:12.15pt" o:bullet="t" type="#_x0000_t75">
        <v:imagedata o:title="mso1B13" r:id="rId1"/>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hint="default" w:ascii="Arial" w:hAnsi="Arial" w:eastAsia="Times New Roman" w:cs="Arial"/>
        <w:b/>
      </w:rPr>
    </w:lvl>
    <w:lvl w:ilvl="1" w:tplc="0C0A0003" w:tentative="1">
      <w:start w:val="1"/>
      <w:numFmt w:val="bullet"/>
      <w:lvlText w:val="o"/>
      <w:lvlJc w:val="left"/>
      <w:pPr>
        <w:ind w:left="1800" w:hanging="360"/>
      </w:pPr>
      <w:rPr>
        <w:rFonts w:hint="default" w:ascii="Courier New" w:hAnsi="Courier New" w:cs="Courier New"/>
      </w:rPr>
    </w:lvl>
    <w:lvl w:ilvl="2" w:tplc="0C0A0005" w:tentative="1">
      <w:start w:val="1"/>
      <w:numFmt w:val="bullet"/>
      <w:lvlText w:val=""/>
      <w:lvlJc w:val="left"/>
      <w:pPr>
        <w:ind w:left="2520" w:hanging="360"/>
      </w:pPr>
      <w:rPr>
        <w:rFonts w:hint="default" w:ascii="Wingdings" w:hAnsi="Wingdings"/>
      </w:rPr>
    </w:lvl>
    <w:lvl w:ilvl="3" w:tplc="0C0A0001" w:tentative="1">
      <w:start w:val="1"/>
      <w:numFmt w:val="bullet"/>
      <w:lvlText w:val=""/>
      <w:lvlJc w:val="left"/>
      <w:pPr>
        <w:ind w:left="3240" w:hanging="360"/>
      </w:pPr>
      <w:rPr>
        <w:rFonts w:hint="default" w:ascii="Symbol" w:hAnsi="Symbol"/>
      </w:rPr>
    </w:lvl>
    <w:lvl w:ilvl="4" w:tplc="0C0A0003" w:tentative="1">
      <w:start w:val="1"/>
      <w:numFmt w:val="bullet"/>
      <w:lvlText w:val="o"/>
      <w:lvlJc w:val="left"/>
      <w:pPr>
        <w:ind w:left="3960" w:hanging="360"/>
      </w:pPr>
      <w:rPr>
        <w:rFonts w:hint="default" w:ascii="Courier New" w:hAnsi="Courier New" w:cs="Courier New"/>
      </w:rPr>
    </w:lvl>
    <w:lvl w:ilvl="5" w:tplc="0C0A0005" w:tentative="1">
      <w:start w:val="1"/>
      <w:numFmt w:val="bullet"/>
      <w:lvlText w:val=""/>
      <w:lvlJc w:val="left"/>
      <w:pPr>
        <w:ind w:left="4680" w:hanging="360"/>
      </w:pPr>
      <w:rPr>
        <w:rFonts w:hint="default" w:ascii="Wingdings" w:hAnsi="Wingdings"/>
      </w:rPr>
    </w:lvl>
    <w:lvl w:ilvl="6" w:tplc="0C0A0001" w:tentative="1">
      <w:start w:val="1"/>
      <w:numFmt w:val="bullet"/>
      <w:lvlText w:val=""/>
      <w:lvlJc w:val="left"/>
      <w:pPr>
        <w:ind w:left="5400" w:hanging="360"/>
      </w:pPr>
      <w:rPr>
        <w:rFonts w:hint="default" w:ascii="Symbol" w:hAnsi="Symbol"/>
      </w:rPr>
    </w:lvl>
    <w:lvl w:ilvl="7" w:tplc="0C0A0003" w:tentative="1">
      <w:start w:val="1"/>
      <w:numFmt w:val="bullet"/>
      <w:lvlText w:val="o"/>
      <w:lvlJc w:val="left"/>
      <w:pPr>
        <w:ind w:left="6120" w:hanging="360"/>
      </w:pPr>
      <w:rPr>
        <w:rFonts w:hint="default" w:ascii="Courier New" w:hAnsi="Courier New" w:cs="Courier New"/>
      </w:rPr>
    </w:lvl>
    <w:lvl w:ilvl="8" w:tplc="0C0A0005" w:tentative="1">
      <w:start w:val="1"/>
      <w:numFmt w:val="bullet"/>
      <w:lvlText w:val=""/>
      <w:lvlJc w:val="left"/>
      <w:pPr>
        <w:ind w:left="6840" w:hanging="360"/>
      </w:pPr>
      <w:rPr>
        <w:rFonts w:hint="default" w:ascii="Wingdings" w:hAnsi="Wingdings"/>
      </w:rPr>
    </w:lvl>
  </w:abstractNum>
  <w:abstractNum w:abstractNumId="3" w15:restartNumberingAfterBreak="0">
    <w:nsid w:val="09FD629D"/>
    <w:multiLevelType w:val="hybridMultilevel"/>
    <w:tmpl w:val="438CB8EC"/>
    <w:lvl w:ilvl="0" w:tplc="C6F09802">
      <w:start w:val="1"/>
      <w:numFmt w:val="lowerRoman"/>
      <w:lvlText w:val="%1)"/>
      <w:lvlJc w:val="left"/>
      <w:pPr>
        <w:ind w:left="1080" w:hanging="72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18E5EF0"/>
    <w:multiLevelType w:val="hybridMultilevel"/>
    <w:tmpl w:val="BAEA2E58"/>
    <w:lvl w:ilvl="0" w:tplc="040A0001">
      <w:start w:val="1"/>
      <w:numFmt w:val="bullet"/>
      <w:lvlText w:val=""/>
      <w:lvlJc w:val="left"/>
      <w:pPr>
        <w:ind w:left="720" w:hanging="360"/>
      </w:pPr>
      <w:rPr>
        <w:rFonts w:hint="default" w:ascii="Symbol" w:hAnsi="Symbol"/>
      </w:rPr>
    </w:lvl>
    <w:lvl w:ilvl="1" w:tplc="040A0003">
      <w:start w:val="1"/>
      <w:numFmt w:val="bullet"/>
      <w:lvlText w:val="o"/>
      <w:lvlJc w:val="left"/>
      <w:pPr>
        <w:ind w:left="1440" w:hanging="360"/>
      </w:pPr>
      <w:rPr>
        <w:rFonts w:hint="default" w:ascii="Courier New" w:hAnsi="Courier New" w:cs="Courier New"/>
      </w:rPr>
    </w:lvl>
    <w:lvl w:ilvl="2" w:tplc="040A0005" w:tentative="1">
      <w:start w:val="1"/>
      <w:numFmt w:val="bullet"/>
      <w:lvlText w:val=""/>
      <w:lvlJc w:val="left"/>
      <w:pPr>
        <w:ind w:left="2160" w:hanging="360"/>
      </w:pPr>
      <w:rPr>
        <w:rFonts w:hint="default" w:ascii="Wingdings" w:hAnsi="Wingdings"/>
      </w:rPr>
    </w:lvl>
    <w:lvl w:ilvl="3" w:tplc="040A0001" w:tentative="1">
      <w:start w:val="1"/>
      <w:numFmt w:val="bullet"/>
      <w:lvlText w:val=""/>
      <w:lvlJc w:val="left"/>
      <w:pPr>
        <w:ind w:left="2880" w:hanging="360"/>
      </w:pPr>
      <w:rPr>
        <w:rFonts w:hint="default" w:ascii="Symbol" w:hAnsi="Symbol"/>
      </w:rPr>
    </w:lvl>
    <w:lvl w:ilvl="4" w:tplc="040A0003" w:tentative="1">
      <w:start w:val="1"/>
      <w:numFmt w:val="bullet"/>
      <w:lvlText w:val="o"/>
      <w:lvlJc w:val="left"/>
      <w:pPr>
        <w:ind w:left="3600" w:hanging="360"/>
      </w:pPr>
      <w:rPr>
        <w:rFonts w:hint="default" w:ascii="Courier New" w:hAnsi="Courier New" w:cs="Courier New"/>
      </w:rPr>
    </w:lvl>
    <w:lvl w:ilvl="5" w:tplc="040A0005" w:tentative="1">
      <w:start w:val="1"/>
      <w:numFmt w:val="bullet"/>
      <w:lvlText w:val=""/>
      <w:lvlJc w:val="left"/>
      <w:pPr>
        <w:ind w:left="4320" w:hanging="360"/>
      </w:pPr>
      <w:rPr>
        <w:rFonts w:hint="default" w:ascii="Wingdings" w:hAnsi="Wingdings"/>
      </w:rPr>
    </w:lvl>
    <w:lvl w:ilvl="6" w:tplc="040A0001" w:tentative="1">
      <w:start w:val="1"/>
      <w:numFmt w:val="bullet"/>
      <w:lvlText w:val=""/>
      <w:lvlJc w:val="left"/>
      <w:pPr>
        <w:ind w:left="5040" w:hanging="360"/>
      </w:pPr>
      <w:rPr>
        <w:rFonts w:hint="default" w:ascii="Symbol" w:hAnsi="Symbol"/>
      </w:rPr>
    </w:lvl>
    <w:lvl w:ilvl="7" w:tplc="040A0003" w:tentative="1">
      <w:start w:val="1"/>
      <w:numFmt w:val="bullet"/>
      <w:lvlText w:val="o"/>
      <w:lvlJc w:val="left"/>
      <w:pPr>
        <w:ind w:left="5760" w:hanging="360"/>
      </w:pPr>
      <w:rPr>
        <w:rFonts w:hint="default" w:ascii="Courier New" w:hAnsi="Courier New" w:cs="Courier New"/>
      </w:rPr>
    </w:lvl>
    <w:lvl w:ilvl="8" w:tplc="040A0005" w:tentative="1">
      <w:start w:val="1"/>
      <w:numFmt w:val="bullet"/>
      <w:lvlText w:val=""/>
      <w:lvlJc w:val="left"/>
      <w:pPr>
        <w:ind w:left="6480" w:hanging="360"/>
      </w:pPr>
      <w:rPr>
        <w:rFonts w:hint="default" w:ascii="Wingdings" w:hAnsi="Wingdings"/>
      </w:rPr>
    </w:lvl>
  </w:abstractNum>
  <w:abstractNum w:abstractNumId="7"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D726F5"/>
    <w:multiLevelType w:val="hybridMultilevel"/>
    <w:tmpl w:val="7BDC1A10"/>
    <w:lvl w:ilvl="0" w:tplc="040A0001">
      <w:start w:val="1"/>
      <w:numFmt w:val="bullet"/>
      <w:lvlText w:val=""/>
      <w:lvlJc w:val="left"/>
      <w:pPr>
        <w:ind w:left="720" w:hanging="360"/>
      </w:pPr>
      <w:rPr>
        <w:rFonts w:hint="default" w:ascii="Symbol" w:hAnsi="Symbol"/>
      </w:rPr>
    </w:lvl>
    <w:lvl w:ilvl="1" w:tplc="040A0003" w:tentative="1">
      <w:start w:val="1"/>
      <w:numFmt w:val="bullet"/>
      <w:lvlText w:val="o"/>
      <w:lvlJc w:val="left"/>
      <w:pPr>
        <w:ind w:left="1440" w:hanging="360"/>
      </w:pPr>
      <w:rPr>
        <w:rFonts w:hint="default" w:ascii="Courier New" w:hAnsi="Courier New" w:cs="Courier New"/>
      </w:rPr>
    </w:lvl>
    <w:lvl w:ilvl="2" w:tplc="040A0005" w:tentative="1">
      <w:start w:val="1"/>
      <w:numFmt w:val="bullet"/>
      <w:lvlText w:val=""/>
      <w:lvlJc w:val="left"/>
      <w:pPr>
        <w:ind w:left="2160" w:hanging="360"/>
      </w:pPr>
      <w:rPr>
        <w:rFonts w:hint="default" w:ascii="Wingdings" w:hAnsi="Wingdings"/>
      </w:rPr>
    </w:lvl>
    <w:lvl w:ilvl="3" w:tplc="040A0001" w:tentative="1">
      <w:start w:val="1"/>
      <w:numFmt w:val="bullet"/>
      <w:lvlText w:val=""/>
      <w:lvlJc w:val="left"/>
      <w:pPr>
        <w:ind w:left="2880" w:hanging="360"/>
      </w:pPr>
      <w:rPr>
        <w:rFonts w:hint="default" w:ascii="Symbol" w:hAnsi="Symbol"/>
      </w:rPr>
    </w:lvl>
    <w:lvl w:ilvl="4" w:tplc="040A0003" w:tentative="1">
      <w:start w:val="1"/>
      <w:numFmt w:val="bullet"/>
      <w:lvlText w:val="o"/>
      <w:lvlJc w:val="left"/>
      <w:pPr>
        <w:ind w:left="3600" w:hanging="360"/>
      </w:pPr>
      <w:rPr>
        <w:rFonts w:hint="default" w:ascii="Courier New" w:hAnsi="Courier New" w:cs="Courier New"/>
      </w:rPr>
    </w:lvl>
    <w:lvl w:ilvl="5" w:tplc="040A0005" w:tentative="1">
      <w:start w:val="1"/>
      <w:numFmt w:val="bullet"/>
      <w:lvlText w:val=""/>
      <w:lvlJc w:val="left"/>
      <w:pPr>
        <w:ind w:left="4320" w:hanging="360"/>
      </w:pPr>
      <w:rPr>
        <w:rFonts w:hint="default" w:ascii="Wingdings" w:hAnsi="Wingdings"/>
      </w:rPr>
    </w:lvl>
    <w:lvl w:ilvl="6" w:tplc="040A0001" w:tentative="1">
      <w:start w:val="1"/>
      <w:numFmt w:val="bullet"/>
      <w:lvlText w:val=""/>
      <w:lvlJc w:val="left"/>
      <w:pPr>
        <w:ind w:left="5040" w:hanging="360"/>
      </w:pPr>
      <w:rPr>
        <w:rFonts w:hint="default" w:ascii="Symbol" w:hAnsi="Symbol"/>
      </w:rPr>
    </w:lvl>
    <w:lvl w:ilvl="7" w:tplc="040A0003" w:tentative="1">
      <w:start w:val="1"/>
      <w:numFmt w:val="bullet"/>
      <w:lvlText w:val="o"/>
      <w:lvlJc w:val="left"/>
      <w:pPr>
        <w:ind w:left="5760" w:hanging="360"/>
      </w:pPr>
      <w:rPr>
        <w:rFonts w:hint="default" w:ascii="Courier New" w:hAnsi="Courier New" w:cs="Courier New"/>
      </w:rPr>
    </w:lvl>
    <w:lvl w:ilvl="8" w:tplc="040A0005" w:tentative="1">
      <w:start w:val="1"/>
      <w:numFmt w:val="bullet"/>
      <w:lvlText w:val=""/>
      <w:lvlJc w:val="left"/>
      <w:pPr>
        <w:ind w:left="6480" w:hanging="360"/>
      </w:pPr>
      <w:rPr>
        <w:rFonts w:hint="default" w:ascii="Wingdings" w:hAnsi="Wingdings"/>
      </w:rPr>
    </w:lvl>
  </w:abstractNum>
  <w:abstractNum w:abstractNumId="12" w15:restartNumberingAfterBreak="0">
    <w:nsid w:val="48FF23A1"/>
    <w:multiLevelType w:val="hybridMultilevel"/>
    <w:tmpl w:val="886C3FF8"/>
    <w:lvl w:ilvl="0" w:tplc="F9F27FFC">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3" w15:restartNumberingAfterBreak="0">
    <w:nsid w:val="497E2709"/>
    <w:multiLevelType w:val="hybridMultilevel"/>
    <w:tmpl w:val="527A8C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A6A4D59"/>
    <w:multiLevelType w:val="hybridMultilevel"/>
    <w:tmpl w:val="95EE3E8C"/>
    <w:lvl w:ilvl="0" w:tplc="08E83104">
      <w:start w:val="1"/>
      <w:numFmt w:val="lowerRoman"/>
      <w:lvlText w:val="%1)"/>
      <w:lvlJc w:val="left"/>
      <w:pPr>
        <w:ind w:left="1440" w:hanging="720"/>
      </w:pPr>
      <w:rPr>
        <w:rFonts w:ascii="Verdana" w:hAnsi="Verdana" w:eastAsia="Calibri" w:cs="Arial"/>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5" w15:restartNumberingAfterBreak="0">
    <w:nsid w:val="636C03B0"/>
    <w:multiLevelType w:val="hybridMultilevel"/>
    <w:tmpl w:val="53AC8484"/>
    <w:lvl w:ilvl="0" w:tplc="1F14B5D2">
      <w:start w:val="1"/>
      <w:numFmt w:val="bullet"/>
      <w:lvlText w:val="·"/>
      <w:lvlJc w:val="left"/>
      <w:pPr>
        <w:ind w:left="785" w:hanging="360"/>
      </w:pPr>
      <w:rPr>
        <w:rFonts w:hint="default" w:ascii="Symbol" w:hAnsi="Symbol"/>
        <w:color w:val="auto"/>
      </w:rPr>
    </w:lvl>
    <w:lvl w:ilvl="1" w:tplc="240A0003" w:tentative="1">
      <w:start w:val="1"/>
      <w:numFmt w:val="bullet"/>
      <w:lvlText w:val="o"/>
      <w:lvlJc w:val="left"/>
      <w:pPr>
        <w:ind w:left="1505" w:hanging="360"/>
      </w:pPr>
      <w:rPr>
        <w:rFonts w:hint="default" w:ascii="Courier New" w:hAnsi="Courier New" w:cs="Courier New"/>
      </w:rPr>
    </w:lvl>
    <w:lvl w:ilvl="2" w:tplc="240A0005" w:tentative="1">
      <w:start w:val="1"/>
      <w:numFmt w:val="bullet"/>
      <w:lvlText w:val=""/>
      <w:lvlJc w:val="left"/>
      <w:pPr>
        <w:ind w:left="2225" w:hanging="360"/>
      </w:pPr>
      <w:rPr>
        <w:rFonts w:hint="default" w:ascii="Wingdings" w:hAnsi="Wingdings"/>
      </w:rPr>
    </w:lvl>
    <w:lvl w:ilvl="3" w:tplc="240A0001" w:tentative="1">
      <w:start w:val="1"/>
      <w:numFmt w:val="bullet"/>
      <w:lvlText w:val=""/>
      <w:lvlJc w:val="left"/>
      <w:pPr>
        <w:ind w:left="2945" w:hanging="360"/>
      </w:pPr>
      <w:rPr>
        <w:rFonts w:hint="default" w:ascii="Symbol" w:hAnsi="Symbol"/>
      </w:rPr>
    </w:lvl>
    <w:lvl w:ilvl="4" w:tplc="240A0003" w:tentative="1">
      <w:start w:val="1"/>
      <w:numFmt w:val="bullet"/>
      <w:lvlText w:val="o"/>
      <w:lvlJc w:val="left"/>
      <w:pPr>
        <w:ind w:left="3665" w:hanging="360"/>
      </w:pPr>
      <w:rPr>
        <w:rFonts w:hint="default" w:ascii="Courier New" w:hAnsi="Courier New" w:cs="Courier New"/>
      </w:rPr>
    </w:lvl>
    <w:lvl w:ilvl="5" w:tplc="240A0005" w:tentative="1">
      <w:start w:val="1"/>
      <w:numFmt w:val="bullet"/>
      <w:lvlText w:val=""/>
      <w:lvlJc w:val="left"/>
      <w:pPr>
        <w:ind w:left="4385" w:hanging="360"/>
      </w:pPr>
      <w:rPr>
        <w:rFonts w:hint="default" w:ascii="Wingdings" w:hAnsi="Wingdings"/>
      </w:rPr>
    </w:lvl>
    <w:lvl w:ilvl="6" w:tplc="240A0001" w:tentative="1">
      <w:start w:val="1"/>
      <w:numFmt w:val="bullet"/>
      <w:lvlText w:val=""/>
      <w:lvlJc w:val="left"/>
      <w:pPr>
        <w:ind w:left="5105" w:hanging="360"/>
      </w:pPr>
      <w:rPr>
        <w:rFonts w:hint="default" w:ascii="Symbol" w:hAnsi="Symbol"/>
      </w:rPr>
    </w:lvl>
    <w:lvl w:ilvl="7" w:tplc="240A0003" w:tentative="1">
      <w:start w:val="1"/>
      <w:numFmt w:val="bullet"/>
      <w:lvlText w:val="o"/>
      <w:lvlJc w:val="left"/>
      <w:pPr>
        <w:ind w:left="5825" w:hanging="360"/>
      </w:pPr>
      <w:rPr>
        <w:rFonts w:hint="default" w:ascii="Courier New" w:hAnsi="Courier New" w:cs="Courier New"/>
      </w:rPr>
    </w:lvl>
    <w:lvl w:ilvl="8" w:tplc="240A0005" w:tentative="1">
      <w:start w:val="1"/>
      <w:numFmt w:val="bullet"/>
      <w:lvlText w:val=""/>
      <w:lvlJc w:val="left"/>
      <w:pPr>
        <w:ind w:left="6545" w:hanging="360"/>
      </w:pPr>
      <w:rPr>
        <w:rFonts w:hint="default" w:ascii="Wingdings" w:hAnsi="Wingdings"/>
      </w:rPr>
    </w:lvl>
  </w:abstractNum>
  <w:abstractNum w:abstractNumId="16"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222F1F"/>
    <w:multiLevelType w:val="hybridMultilevel"/>
    <w:tmpl w:val="604E00E4"/>
    <w:lvl w:ilvl="0" w:tplc="33467770">
      <w:start w:val="1"/>
      <w:numFmt w:val="lowerRoman"/>
      <w:lvlText w:val="%1)"/>
      <w:lvlJc w:val="left"/>
      <w:pPr>
        <w:ind w:left="1440" w:hanging="720"/>
      </w:pPr>
      <w:rPr>
        <w:rFonts w:hint="default"/>
        <w:i/>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16cid:durableId="948779781">
    <w:abstractNumId w:val="8"/>
  </w:num>
  <w:num w:numId="2" w16cid:durableId="19822139">
    <w:abstractNumId w:val="2"/>
  </w:num>
  <w:num w:numId="3" w16cid:durableId="876742304">
    <w:abstractNumId w:val="5"/>
  </w:num>
  <w:num w:numId="4" w16cid:durableId="245186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8"/>
  </w:num>
  <w:num w:numId="7" w16cid:durableId="1946422806">
    <w:abstractNumId w:val="7"/>
  </w:num>
  <w:num w:numId="8" w16cid:durableId="152644682">
    <w:abstractNumId w:val="17"/>
  </w:num>
  <w:num w:numId="9" w16cid:durableId="1317221377">
    <w:abstractNumId w:val="9"/>
  </w:num>
  <w:num w:numId="10" w16cid:durableId="1471245386">
    <w:abstractNumId w:val="16"/>
  </w:num>
  <w:num w:numId="11" w16cid:durableId="289172385">
    <w:abstractNumId w:val="10"/>
  </w:num>
  <w:num w:numId="12" w16cid:durableId="1470781324">
    <w:abstractNumId w:val="1"/>
  </w:num>
  <w:num w:numId="13" w16cid:durableId="1512908409">
    <w:abstractNumId w:val="4"/>
  </w:num>
  <w:num w:numId="14" w16cid:durableId="895897244">
    <w:abstractNumId w:val="19"/>
  </w:num>
  <w:num w:numId="15" w16cid:durableId="390349800">
    <w:abstractNumId w:val="15"/>
  </w:num>
  <w:num w:numId="16" w16cid:durableId="1337683695">
    <w:abstractNumId w:val="13"/>
  </w:num>
  <w:num w:numId="17" w16cid:durableId="473183605">
    <w:abstractNumId w:val="12"/>
  </w:num>
  <w:num w:numId="18" w16cid:durableId="341274352">
    <w:abstractNumId w:val="0"/>
  </w:num>
  <w:num w:numId="19" w16cid:durableId="1492209491">
    <w:abstractNumId w:val="6"/>
  </w:num>
  <w:num w:numId="20" w16cid:durableId="679089576">
    <w:abstractNumId w:val="11"/>
  </w:num>
  <w:num w:numId="21" w16cid:durableId="492261668">
    <w:abstractNumId w:val="20"/>
  </w:num>
  <w:num w:numId="22" w16cid:durableId="2083599039">
    <w:abstractNumId w:val="3"/>
  </w:num>
  <w:num w:numId="23" w16cid:durableId="2267707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0610"/>
    <w:rsid w:val="00016F78"/>
    <w:rsid w:val="00017047"/>
    <w:rsid w:val="00037606"/>
    <w:rsid w:val="00046945"/>
    <w:rsid w:val="00061B2A"/>
    <w:rsid w:val="00082362"/>
    <w:rsid w:val="000A683E"/>
    <w:rsid w:val="000B19B9"/>
    <w:rsid w:val="000B4345"/>
    <w:rsid w:val="000D0334"/>
    <w:rsid w:val="000D5DA7"/>
    <w:rsid w:val="000F5CA5"/>
    <w:rsid w:val="000F6486"/>
    <w:rsid w:val="00116940"/>
    <w:rsid w:val="00125105"/>
    <w:rsid w:val="00127233"/>
    <w:rsid w:val="0014286B"/>
    <w:rsid w:val="00152133"/>
    <w:rsid w:val="0015699B"/>
    <w:rsid w:val="00177914"/>
    <w:rsid w:val="0018760A"/>
    <w:rsid w:val="00195D17"/>
    <w:rsid w:val="001A33BF"/>
    <w:rsid w:val="001A463E"/>
    <w:rsid w:val="001E4177"/>
    <w:rsid w:val="001E4ACF"/>
    <w:rsid w:val="001F0B24"/>
    <w:rsid w:val="001F7DC6"/>
    <w:rsid w:val="002001C1"/>
    <w:rsid w:val="00201E41"/>
    <w:rsid w:val="00213636"/>
    <w:rsid w:val="0022400B"/>
    <w:rsid w:val="0023530C"/>
    <w:rsid w:val="002421BB"/>
    <w:rsid w:val="00242CC9"/>
    <w:rsid w:val="0025385A"/>
    <w:rsid w:val="0025796E"/>
    <w:rsid w:val="00261529"/>
    <w:rsid w:val="002641E9"/>
    <w:rsid w:val="002707A2"/>
    <w:rsid w:val="00291414"/>
    <w:rsid w:val="002951A0"/>
    <w:rsid w:val="002962BC"/>
    <w:rsid w:val="002A093D"/>
    <w:rsid w:val="002A0DD0"/>
    <w:rsid w:val="002A49AC"/>
    <w:rsid w:val="002A64FD"/>
    <w:rsid w:val="002C58E2"/>
    <w:rsid w:val="002C7A84"/>
    <w:rsid w:val="002E2BF8"/>
    <w:rsid w:val="002E4FD9"/>
    <w:rsid w:val="003030BC"/>
    <w:rsid w:val="0030657A"/>
    <w:rsid w:val="00314BE7"/>
    <w:rsid w:val="00322A85"/>
    <w:rsid w:val="00324168"/>
    <w:rsid w:val="00325D5B"/>
    <w:rsid w:val="00330834"/>
    <w:rsid w:val="003448F4"/>
    <w:rsid w:val="00353003"/>
    <w:rsid w:val="00374F5E"/>
    <w:rsid w:val="00377E3E"/>
    <w:rsid w:val="0039075E"/>
    <w:rsid w:val="003911DB"/>
    <w:rsid w:val="003A6FBD"/>
    <w:rsid w:val="003A779E"/>
    <w:rsid w:val="003D0F4D"/>
    <w:rsid w:val="003D5B0D"/>
    <w:rsid w:val="003E0499"/>
    <w:rsid w:val="003E4F80"/>
    <w:rsid w:val="003E6439"/>
    <w:rsid w:val="003F3941"/>
    <w:rsid w:val="00406575"/>
    <w:rsid w:val="00414C74"/>
    <w:rsid w:val="00415B07"/>
    <w:rsid w:val="0041741A"/>
    <w:rsid w:val="0042722E"/>
    <w:rsid w:val="0044528D"/>
    <w:rsid w:val="00457AF3"/>
    <w:rsid w:val="004623B1"/>
    <w:rsid w:val="00466E39"/>
    <w:rsid w:val="004A1847"/>
    <w:rsid w:val="004A2AFB"/>
    <w:rsid w:val="004A305D"/>
    <w:rsid w:val="004A4742"/>
    <w:rsid w:val="004E521F"/>
    <w:rsid w:val="004F21C4"/>
    <w:rsid w:val="004F3B89"/>
    <w:rsid w:val="004F685F"/>
    <w:rsid w:val="005042BD"/>
    <w:rsid w:val="00513506"/>
    <w:rsid w:val="00550768"/>
    <w:rsid w:val="00554604"/>
    <w:rsid w:val="00554634"/>
    <w:rsid w:val="0055500D"/>
    <w:rsid w:val="005566E8"/>
    <w:rsid w:val="005658D8"/>
    <w:rsid w:val="00573DD5"/>
    <w:rsid w:val="00574867"/>
    <w:rsid w:val="00591460"/>
    <w:rsid w:val="005A65E0"/>
    <w:rsid w:val="005C3777"/>
    <w:rsid w:val="005C5CDC"/>
    <w:rsid w:val="005C6027"/>
    <w:rsid w:val="005D476C"/>
    <w:rsid w:val="005E167F"/>
    <w:rsid w:val="006025E3"/>
    <w:rsid w:val="006042A2"/>
    <w:rsid w:val="006112DA"/>
    <w:rsid w:val="00617B98"/>
    <w:rsid w:val="006200BF"/>
    <w:rsid w:val="006216E0"/>
    <w:rsid w:val="006219F8"/>
    <w:rsid w:val="00624C94"/>
    <w:rsid w:val="006302F7"/>
    <w:rsid w:val="006370BB"/>
    <w:rsid w:val="00646B9F"/>
    <w:rsid w:val="00665D70"/>
    <w:rsid w:val="006900D9"/>
    <w:rsid w:val="006B430B"/>
    <w:rsid w:val="006D3C75"/>
    <w:rsid w:val="006D75ED"/>
    <w:rsid w:val="006E3933"/>
    <w:rsid w:val="006F72E0"/>
    <w:rsid w:val="00706C16"/>
    <w:rsid w:val="007340C3"/>
    <w:rsid w:val="007462E2"/>
    <w:rsid w:val="007502D6"/>
    <w:rsid w:val="0075235A"/>
    <w:rsid w:val="00756841"/>
    <w:rsid w:val="007649AB"/>
    <w:rsid w:val="00771D0C"/>
    <w:rsid w:val="007817B9"/>
    <w:rsid w:val="00782265"/>
    <w:rsid w:val="007833AC"/>
    <w:rsid w:val="007844DB"/>
    <w:rsid w:val="007B268C"/>
    <w:rsid w:val="007B7171"/>
    <w:rsid w:val="007C0C0F"/>
    <w:rsid w:val="007C3DC2"/>
    <w:rsid w:val="007C76C6"/>
    <w:rsid w:val="007D5D0D"/>
    <w:rsid w:val="007E5497"/>
    <w:rsid w:val="00806F5F"/>
    <w:rsid w:val="00815DB0"/>
    <w:rsid w:val="00820278"/>
    <w:rsid w:val="008258C9"/>
    <w:rsid w:val="00844082"/>
    <w:rsid w:val="00844AE9"/>
    <w:rsid w:val="00867F95"/>
    <w:rsid w:val="008843B6"/>
    <w:rsid w:val="00891928"/>
    <w:rsid w:val="0089638C"/>
    <w:rsid w:val="008A446D"/>
    <w:rsid w:val="008B25F1"/>
    <w:rsid w:val="008C55C4"/>
    <w:rsid w:val="008C751C"/>
    <w:rsid w:val="008D153A"/>
    <w:rsid w:val="008D180B"/>
    <w:rsid w:val="008F0EA7"/>
    <w:rsid w:val="008F361B"/>
    <w:rsid w:val="009141F8"/>
    <w:rsid w:val="00923EEF"/>
    <w:rsid w:val="009419F9"/>
    <w:rsid w:val="0094774F"/>
    <w:rsid w:val="009564DE"/>
    <w:rsid w:val="0095685E"/>
    <w:rsid w:val="00961B09"/>
    <w:rsid w:val="00964AD7"/>
    <w:rsid w:val="00965334"/>
    <w:rsid w:val="0097093E"/>
    <w:rsid w:val="00987844"/>
    <w:rsid w:val="00990FED"/>
    <w:rsid w:val="009A0DFA"/>
    <w:rsid w:val="009A1C6F"/>
    <w:rsid w:val="009B2D26"/>
    <w:rsid w:val="009C71FA"/>
    <w:rsid w:val="009C72E7"/>
    <w:rsid w:val="009C7F7E"/>
    <w:rsid w:val="009D05FF"/>
    <w:rsid w:val="009D3058"/>
    <w:rsid w:val="009F3A13"/>
    <w:rsid w:val="00A019E3"/>
    <w:rsid w:val="00A122D3"/>
    <w:rsid w:val="00A14468"/>
    <w:rsid w:val="00A17F13"/>
    <w:rsid w:val="00A20739"/>
    <w:rsid w:val="00A23AF9"/>
    <w:rsid w:val="00A33C78"/>
    <w:rsid w:val="00A921CE"/>
    <w:rsid w:val="00AA1074"/>
    <w:rsid w:val="00AB0ADB"/>
    <w:rsid w:val="00AB27C9"/>
    <w:rsid w:val="00AB59E9"/>
    <w:rsid w:val="00AC40B7"/>
    <w:rsid w:val="00AE7F82"/>
    <w:rsid w:val="00AF1D02"/>
    <w:rsid w:val="00B00C0E"/>
    <w:rsid w:val="00B01B1A"/>
    <w:rsid w:val="00B0381D"/>
    <w:rsid w:val="00B108E1"/>
    <w:rsid w:val="00B12AC3"/>
    <w:rsid w:val="00B44A47"/>
    <w:rsid w:val="00B56903"/>
    <w:rsid w:val="00B61188"/>
    <w:rsid w:val="00B72CD3"/>
    <w:rsid w:val="00B72FFF"/>
    <w:rsid w:val="00BA3FB8"/>
    <w:rsid w:val="00BC3D36"/>
    <w:rsid w:val="00BD50B0"/>
    <w:rsid w:val="00BD54A6"/>
    <w:rsid w:val="00BD7F72"/>
    <w:rsid w:val="00BF7425"/>
    <w:rsid w:val="00C04FB3"/>
    <w:rsid w:val="00C11D8B"/>
    <w:rsid w:val="00C15139"/>
    <w:rsid w:val="00C220F6"/>
    <w:rsid w:val="00C330EB"/>
    <w:rsid w:val="00C50D69"/>
    <w:rsid w:val="00C5365C"/>
    <w:rsid w:val="00C56D89"/>
    <w:rsid w:val="00C7215A"/>
    <w:rsid w:val="00C754BE"/>
    <w:rsid w:val="00C76B1C"/>
    <w:rsid w:val="00C838D5"/>
    <w:rsid w:val="00C925AC"/>
    <w:rsid w:val="00CA36FB"/>
    <w:rsid w:val="00CB6357"/>
    <w:rsid w:val="00CC1B26"/>
    <w:rsid w:val="00CD5D8E"/>
    <w:rsid w:val="00CE1AE5"/>
    <w:rsid w:val="00CE3315"/>
    <w:rsid w:val="00D174FD"/>
    <w:rsid w:val="00D22ADC"/>
    <w:rsid w:val="00D361FD"/>
    <w:rsid w:val="00D423A2"/>
    <w:rsid w:val="00D44E26"/>
    <w:rsid w:val="00D520D8"/>
    <w:rsid w:val="00D63AC2"/>
    <w:rsid w:val="00D7383B"/>
    <w:rsid w:val="00D7788A"/>
    <w:rsid w:val="00D871A5"/>
    <w:rsid w:val="00D907A0"/>
    <w:rsid w:val="00DA231B"/>
    <w:rsid w:val="00DC39FC"/>
    <w:rsid w:val="00DD562F"/>
    <w:rsid w:val="00DD5A6A"/>
    <w:rsid w:val="00DD6CC0"/>
    <w:rsid w:val="00DF5254"/>
    <w:rsid w:val="00E02524"/>
    <w:rsid w:val="00E06FF2"/>
    <w:rsid w:val="00E13ACE"/>
    <w:rsid w:val="00E15E17"/>
    <w:rsid w:val="00E16408"/>
    <w:rsid w:val="00E20894"/>
    <w:rsid w:val="00E245AB"/>
    <w:rsid w:val="00E2764C"/>
    <w:rsid w:val="00E27F2E"/>
    <w:rsid w:val="00E468CC"/>
    <w:rsid w:val="00E50AFE"/>
    <w:rsid w:val="00E5712B"/>
    <w:rsid w:val="00E60209"/>
    <w:rsid w:val="00E6314F"/>
    <w:rsid w:val="00E75C92"/>
    <w:rsid w:val="00E771DC"/>
    <w:rsid w:val="00E80645"/>
    <w:rsid w:val="00E84763"/>
    <w:rsid w:val="00E8772A"/>
    <w:rsid w:val="00E90F6B"/>
    <w:rsid w:val="00E92C27"/>
    <w:rsid w:val="00EA0E3D"/>
    <w:rsid w:val="00EC38A7"/>
    <w:rsid w:val="00EC6474"/>
    <w:rsid w:val="00EE1AA8"/>
    <w:rsid w:val="00EE604A"/>
    <w:rsid w:val="00F12209"/>
    <w:rsid w:val="00F23FEA"/>
    <w:rsid w:val="00F31EDC"/>
    <w:rsid w:val="00F462B3"/>
    <w:rsid w:val="00F5664F"/>
    <w:rsid w:val="00F666C4"/>
    <w:rsid w:val="00F76AFC"/>
    <w:rsid w:val="00F84134"/>
    <w:rsid w:val="00FA1948"/>
    <w:rsid w:val="00FA21A5"/>
    <w:rsid w:val="00FA47C0"/>
    <w:rsid w:val="00FB5DD1"/>
    <w:rsid w:val="00FB7ABF"/>
    <w:rsid w:val="00FC2B5D"/>
    <w:rsid w:val="00FF1449"/>
    <w:rsid w:val="00FF7963"/>
    <w:rsid w:val="071B8F93"/>
    <w:rsid w:val="07C73DD1"/>
    <w:rsid w:val="09908A09"/>
    <w:rsid w:val="0EFE6349"/>
    <w:rsid w:val="0FF4CCA8"/>
    <w:rsid w:val="13CFC91B"/>
    <w:rsid w:val="19A2EC2C"/>
    <w:rsid w:val="1D79C807"/>
    <w:rsid w:val="21779BE6"/>
    <w:rsid w:val="2859CA1B"/>
    <w:rsid w:val="2C4D2425"/>
    <w:rsid w:val="2EE1E026"/>
    <w:rsid w:val="2F44F38F"/>
    <w:rsid w:val="2FADD640"/>
    <w:rsid w:val="30821638"/>
    <w:rsid w:val="32A4F9CF"/>
    <w:rsid w:val="33A1FF93"/>
    <w:rsid w:val="356CEDFD"/>
    <w:rsid w:val="3C591AFD"/>
    <w:rsid w:val="42183F0A"/>
    <w:rsid w:val="545B112A"/>
    <w:rsid w:val="5BEB1497"/>
    <w:rsid w:val="5EA72915"/>
    <w:rsid w:val="682B2C82"/>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245AB"/>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4A1847"/>
  </w:style>
  <w:style w:type="paragraph" w:styleId="Default" w:customStyle="1">
    <w:name w:val="Default"/>
    <w:rsid w:val="006219F8"/>
    <w:pPr>
      <w:autoSpaceDE w:val="0"/>
      <w:autoSpaceDN w:val="0"/>
      <w:adjustRightInd w:val="0"/>
      <w:spacing w:after="0" w:line="240" w:lineRule="auto"/>
    </w:pPr>
    <w:rPr>
      <w:rFonts w:ascii="Arial" w:hAnsi="Arial" w:cs="Arial"/>
      <w:color w:val="000000"/>
      <w:sz w:val="24"/>
      <w:szCs w:val="24"/>
    </w:rPr>
  </w:style>
  <w:style w:type="character" w:styleId="TextonotapieCar" w:customStyle="1">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styleId="TextonotapieCar1" w:customStyle="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styleId="normaltextrun" w:customStyle="1">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1"/>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hAnsi="Geomanist" w:eastAsiaTheme="majorEastAsia" w:cstheme="majorBidi"/>
      <w:spacing w:val="-10"/>
      <w:kern w:val="28"/>
      <w:szCs w:val="56"/>
      <w:lang w:val="es-ES"/>
    </w:rPr>
  </w:style>
  <w:style w:type="character" w:styleId="TtuloCar" w:customStyle="1">
    <w:name w:val="Título Car"/>
    <w:basedOn w:val="Fuentedeprrafopredeter"/>
    <w:link w:val="Ttulo"/>
    <w:uiPriority w:val="10"/>
    <w:rsid w:val="005566E8"/>
    <w:rPr>
      <w:rFonts w:ascii="Geomanist" w:hAnsi="Geomanist" w:eastAsiaTheme="majorEastAsia" w:cstheme="majorBidi"/>
      <w:spacing w:val="-10"/>
      <w:kern w:val="28"/>
      <w:szCs w:val="56"/>
      <w:lang w:val="es-ES"/>
    </w:rPr>
  </w:style>
  <w:style w:type="character" w:styleId="ui-provider" w:customStyle="1">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styleId="paragraph" w:customStyle="1">
    <w:name w:val="paragraph"/>
    <w:basedOn w:val="Normal"/>
    <w:rsid w:val="00322A85"/>
    <w:pPr>
      <w:spacing w:before="100" w:beforeAutospacing="1" w:after="100" w:afterAutospacing="1" w:line="240" w:lineRule="auto"/>
    </w:pPr>
    <w:rPr>
      <w:rFonts w:ascii="Times New Roman" w:hAnsi="Times New Roman" w:eastAsia="Times New Roman" w:cs="Times New Roman"/>
      <w:sz w:val="24"/>
      <w:szCs w:val="24"/>
      <w:lang w:eastAsia="es-CO"/>
    </w:rPr>
  </w:style>
  <w:style w:type="character" w:styleId="tabchar" w:customStyle="1">
    <w:name w:val="tabchar"/>
    <w:basedOn w:val="Fuentedeprrafopredeter"/>
    <w:rsid w:val="00322A85"/>
  </w:style>
  <w:style w:type="character" w:styleId="eop" w:customStyle="1">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hAnsi="Times New Roman" w:eastAsia="Times New Roman" w:cs="Times New Roman"/>
      <w:sz w:val="24"/>
      <w:szCs w:val="24"/>
      <w:lang w:eastAsia="es-CO"/>
    </w:rPr>
  </w:style>
  <w:style w:type="paragraph" w:styleId="blanco" w:customStyle="1">
    <w:name w:val="blanco"/>
    <w:basedOn w:val="Normal"/>
    <w:rsid w:val="00C76B1C"/>
    <w:pPr>
      <w:spacing w:before="100" w:beforeAutospacing="1" w:after="100" w:afterAutospacing="1" w:line="240" w:lineRule="auto"/>
    </w:pPr>
    <w:rPr>
      <w:rFonts w:ascii="Times New Roman" w:hAnsi="Times New Roman" w:eastAsia="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styleId="PrrafodelistaCar" w:customStyle="1">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E5712B"/>
    <w:rPr>
      <w:rFonts w:ascii="Geomanist Light" w:hAnsi="Geomanist Light"/>
      <w:lang w:val="es-ES"/>
    </w:rPr>
  </w:style>
  <w:style w:type="paragraph" w:styleId="Appelnotedebasde" w:customStyle="1">
    <w:name w:val="Appel note de bas de..."/>
    <w:basedOn w:val="Normal"/>
    <w:link w:val="Refdenotaalpie"/>
    <w:uiPriority w:val="99"/>
    <w:rsid w:val="00EE604A"/>
    <w:pPr>
      <w:spacing w:line="240" w:lineRule="exact"/>
    </w:pPr>
    <w:rPr>
      <w:vertAlign w:val="superscript"/>
    </w:rPr>
  </w:style>
  <w:style w:type="table" w:styleId="Tablaconcuadrcula1" w:customStyle="1">
    <w:name w:val="Tabla con cuadrícula1"/>
    <w:basedOn w:val="Tablanormal"/>
    <w:next w:val="Tablaconcuadrcula"/>
    <w:uiPriority w:val="39"/>
    <w:qFormat/>
    <w:rsid w:val="008F361B"/>
    <w:pPr>
      <w:spacing w:after="0" w:line="240" w:lineRule="auto"/>
    </w:pPr>
    <w:rPr>
      <w:rFonts w:ascii="Calibri" w:hAnsi="Calibri" w:eastAsia="Calibri" w:cs="Times New Roman"/>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efdecomentario">
    <w:name w:val="annotation reference"/>
    <w:basedOn w:val="Fuentedeprrafopredeter"/>
    <w:uiPriority w:val="99"/>
    <w:semiHidden/>
    <w:unhideWhenUsed/>
    <w:rsid w:val="0089638C"/>
    <w:rPr>
      <w:sz w:val="16"/>
      <w:szCs w:val="16"/>
    </w:rPr>
  </w:style>
  <w:style w:type="paragraph" w:styleId="Textocomentario">
    <w:name w:val="annotation text"/>
    <w:basedOn w:val="Normal"/>
    <w:link w:val="TextocomentarioCar"/>
    <w:uiPriority w:val="99"/>
    <w:semiHidden/>
    <w:unhideWhenUsed/>
    <w:rsid w:val="0089638C"/>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89638C"/>
    <w:rPr>
      <w:sz w:val="20"/>
      <w:szCs w:val="20"/>
    </w:rPr>
  </w:style>
  <w:style w:type="paragraph" w:styleId="Asuntodelcomentario">
    <w:name w:val="annotation subject"/>
    <w:basedOn w:val="Textocomentario"/>
    <w:next w:val="Textocomentario"/>
    <w:link w:val="AsuntodelcomentarioCar"/>
    <w:uiPriority w:val="99"/>
    <w:semiHidden/>
    <w:unhideWhenUsed/>
    <w:rsid w:val="0089638C"/>
    <w:rPr>
      <w:b/>
      <w:bCs/>
    </w:rPr>
  </w:style>
  <w:style w:type="character" w:styleId="AsuntodelcomentarioCar" w:customStyle="1">
    <w:name w:val="Asunto del comentario Car"/>
    <w:basedOn w:val="TextocomentarioCar"/>
    <w:link w:val="Asuntodelcomentario"/>
    <w:uiPriority w:val="99"/>
    <w:semiHidden/>
    <w:rsid w:val="008963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021661354">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openxmlformats.org/officeDocument/2006/relationships/hyperlink" Target="https://relatoria.colombiacompra.gov.co/busqueda/conceptos"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 Id="rId21" /><Relationship Type="http://schemas.openxmlformats.org/officeDocument/2006/relationships/webSettings" Target="webSettings.xml" Id="rId7" /><Relationship Type="http://schemas.openxmlformats.org/officeDocument/2006/relationships/hyperlink" Target="mailto:Camimartinezm04@gmail.com" TargetMode="External" Id="rId12" /><Relationship Type="http://schemas.openxmlformats.org/officeDocument/2006/relationships/hyperlink" Target="https://www.colombiacompra.gov.co/manuales-guias-y-pliegos-tipo/manuales-y-guias" TargetMode="External"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hyperlink" Target="https://relatoria.colombiacompra.gov.co/providencias-consejo-de-estado/" TargetMode="External" Id="rId16" /><Relationship Type="http://schemas.openxmlformats.org/officeDocument/2006/relationships/hyperlink" Target="https://www.colombiacompra.gov.co/normativa-y-relatoria/documentos-tipo"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3.emf" Id="rId11" /><Relationship Type="http://schemas.openxmlformats.org/officeDocument/2006/relationships/header" Target="header1.xml" Id="rId24" /><Relationship Type="http://schemas.openxmlformats.org/officeDocument/2006/relationships/styles" Target="styles.xml" Id="rId5" /><Relationship Type="http://schemas.openxmlformats.org/officeDocument/2006/relationships/hyperlink" Target="https://www.colombiacompra.gov.co/manuales-guias-y-pliegos-tipo/manuales-y-guias" TargetMode="External" Id="rId15" /><Relationship Type="http://schemas.openxmlformats.org/officeDocument/2006/relationships/image" Target="media/image6.jpeg" Id="rId23" /><Relationship Type="http://schemas.openxmlformats.org/officeDocument/2006/relationships/image" Target="media/image2.png" Id="rId10" /><Relationship Type="http://schemas.openxmlformats.org/officeDocument/2006/relationships/hyperlink" Target="https://formacionvirtual.colombiacompra.gov.co/mod/page/view.php?id=3718"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png" Id="rId14" /><Relationship Type="http://schemas.openxmlformats.org/officeDocument/2006/relationships/hyperlink" Target="https://forms.office.com/r/pPHyWVs2SZ" TargetMode="External" Id="rId22" /><Relationship Type="http://schemas.openxmlformats.org/officeDocument/2006/relationships/theme" Target="theme/theme1.xml" Id="rId27" /></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AACF88-AFB3-4D85-A478-13A5DEF406AE}"/>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Andrés Felipe Ospina Acosta</dc:creator>
  <keywords/>
  <dc:description/>
  <lastModifiedBy>Kelmis Yimara Bruges Alvarado</lastModifiedBy>
  <revision>4</revision>
  <lastPrinted>2023-01-10T21:18:00.0000000Z</lastPrinted>
  <dcterms:created xsi:type="dcterms:W3CDTF">2026-06-22T16:52:00.0000000Z</dcterms:created>
  <dcterms:modified xsi:type="dcterms:W3CDTF">2026-06-22T16:42:01.7122777Z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