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0A604" w14:textId="77777777" w:rsidR="00AB47EC" w:rsidRPr="00AB47EC" w:rsidRDefault="00AB47EC" w:rsidP="00AB47EC">
      <w:pPr>
        <w:spacing w:after="0" w:line="240" w:lineRule="auto"/>
        <w:contextualSpacing/>
        <w:jc w:val="both"/>
        <w:rPr>
          <w:rFonts w:ascii="Verdana" w:hAnsi="Verdana" w:cs="Arial"/>
          <w:b/>
          <w:bCs/>
          <w:lang w:val="es-ES_tradnl" w:eastAsia="en-US"/>
        </w:rPr>
      </w:pPr>
      <w:bookmarkStart w:id="0" w:name="_Hlk143780582"/>
      <w:r w:rsidRPr="00AB47EC">
        <w:rPr>
          <w:rFonts w:ascii="Verdana" w:hAnsi="Verdana" w:cs="Arial"/>
          <w:b/>
          <w:bCs/>
          <w:lang w:val="es-CO" w:eastAsia="en-US"/>
        </w:rPr>
        <w:t xml:space="preserve">CONTRATO DE PRESTACIÓN DE SERVICIOS – Concepto </w:t>
      </w:r>
      <w:r w:rsidRPr="00AB47EC">
        <w:rPr>
          <w:rFonts w:ascii="Verdana" w:hAnsi="Verdana" w:cs="Arial"/>
          <w:b/>
          <w:bCs/>
          <w:lang w:val="es-ES_tradnl" w:eastAsia="en-US"/>
        </w:rPr>
        <w:t xml:space="preserve"> </w:t>
      </w:r>
    </w:p>
    <w:p w14:paraId="3F1DA9EA" w14:textId="77777777" w:rsidR="00AB47EC" w:rsidRPr="00AB47EC" w:rsidRDefault="00AB47EC" w:rsidP="00AB47EC">
      <w:pPr>
        <w:spacing w:after="0" w:line="240" w:lineRule="auto"/>
        <w:contextualSpacing/>
        <w:jc w:val="both"/>
        <w:rPr>
          <w:rFonts w:ascii="Verdana" w:hAnsi="Verdana" w:cs="Arial"/>
          <w:sz w:val="20"/>
          <w:szCs w:val="20"/>
          <w:lang w:val="es-ES_tradnl" w:eastAsia="en-US"/>
        </w:rPr>
      </w:pPr>
    </w:p>
    <w:p w14:paraId="700C5444" w14:textId="77777777" w:rsidR="00AB47EC" w:rsidRPr="00AB47EC" w:rsidRDefault="00AB47EC" w:rsidP="00AB47EC">
      <w:pPr>
        <w:spacing w:after="0" w:line="240" w:lineRule="auto"/>
        <w:contextualSpacing/>
        <w:jc w:val="both"/>
        <w:rPr>
          <w:rFonts w:ascii="Verdana" w:hAnsi="Verdana" w:cs="Arial"/>
          <w:sz w:val="20"/>
          <w:szCs w:val="20"/>
          <w:lang w:val="es-ES_tradnl" w:eastAsia="en-US"/>
        </w:rPr>
      </w:pPr>
      <w:r w:rsidRPr="00AB47EC">
        <w:rPr>
          <w:rFonts w:ascii="Verdana" w:hAnsi="Verdana" w:cs="Arial"/>
          <w:sz w:val="20"/>
          <w:szCs w:val="20"/>
          <w:lang w:val="es-CO" w:eastAsia="en-US"/>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r w:rsidRPr="00AB47EC">
        <w:rPr>
          <w:rFonts w:ascii="Verdana" w:hAnsi="Verdana" w:cs="Arial"/>
          <w:sz w:val="20"/>
          <w:szCs w:val="20"/>
          <w:lang w:val="es-ES_tradnl" w:eastAsia="en-US"/>
        </w:rPr>
        <w:t xml:space="preserve"> </w:t>
      </w:r>
      <w:r w:rsidRPr="00AB47EC">
        <w:rPr>
          <w:rFonts w:ascii="Verdana" w:hAnsi="Verdana" w:cs="Arial"/>
          <w:sz w:val="20"/>
          <w:szCs w:val="20"/>
          <w:lang w:val="es-CO" w:eastAsia="en-US"/>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r w:rsidRPr="00AB47EC">
        <w:rPr>
          <w:rFonts w:ascii="Verdana" w:hAnsi="Verdana" w:cs="Arial"/>
          <w:sz w:val="20"/>
          <w:szCs w:val="20"/>
          <w:lang w:val="es-ES_tradnl" w:eastAsia="en-US"/>
        </w:rPr>
        <w:t xml:space="preserve"> </w:t>
      </w:r>
      <w:r w:rsidRPr="00AB47EC">
        <w:rPr>
          <w:rFonts w:ascii="Verdana" w:hAnsi="Verdana" w:cs="Arial"/>
          <w:sz w:val="20"/>
          <w:szCs w:val="20"/>
          <w:lang w:val="es-CO" w:eastAsia="en-US"/>
        </w:rPr>
        <w:t>En ningún caso estos contratos generan relación laboral ni prestaciones sociales y se celebrarán por el término estrictamente indispensable.</w:t>
      </w:r>
    </w:p>
    <w:p w14:paraId="2409A1E0" w14:textId="77777777" w:rsidR="00AB47EC" w:rsidRPr="00AB47EC" w:rsidRDefault="00AB47EC" w:rsidP="00AB47EC">
      <w:pPr>
        <w:spacing w:after="0"/>
        <w:jc w:val="both"/>
        <w:rPr>
          <w:rFonts w:ascii="Verdana" w:eastAsia="Verdana" w:hAnsi="Verdana" w:cs="Verdana"/>
          <w:b/>
          <w:highlight w:val="lightGray"/>
          <w:lang w:val="es-ES_tradnl" w:eastAsia="en-US"/>
        </w:rPr>
      </w:pPr>
    </w:p>
    <w:p w14:paraId="2093DAE1" w14:textId="77777777" w:rsidR="00AB47EC" w:rsidRPr="00AB47EC" w:rsidRDefault="00AB47EC" w:rsidP="00AB47EC">
      <w:pPr>
        <w:spacing w:after="0" w:line="240" w:lineRule="auto"/>
        <w:contextualSpacing/>
        <w:jc w:val="both"/>
        <w:rPr>
          <w:rFonts w:ascii="Verdana" w:hAnsi="Verdana" w:cs="Arial"/>
          <w:b/>
          <w:bCs/>
          <w:lang w:val="es-ES_tradnl" w:eastAsia="en-US"/>
        </w:rPr>
      </w:pPr>
      <w:r w:rsidRPr="00AB47EC">
        <w:rPr>
          <w:rFonts w:ascii="Verdana" w:hAnsi="Verdana" w:cs="Arial"/>
          <w:b/>
          <w:bCs/>
          <w:lang w:val="es-ES_tradnl" w:eastAsia="en-US"/>
        </w:rPr>
        <w:t>CONTRATO DE PRESTACIÓN DE SERVICIOS – Características</w:t>
      </w:r>
    </w:p>
    <w:p w14:paraId="6340AEAC" w14:textId="77777777" w:rsidR="00AB47EC" w:rsidRPr="00AB47EC" w:rsidRDefault="00AB47EC" w:rsidP="00AB47EC">
      <w:pPr>
        <w:spacing w:after="0" w:line="240" w:lineRule="auto"/>
        <w:contextualSpacing/>
        <w:jc w:val="both"/>
        <w:rPr>
          <w:rFonts w:ascii="Verdana" w:hAnsi="Verdana" w:cs="Arial"/>
          <w:b/>
          <w:bCs/>
          <w:sz w:val="20"/>
          <w:szCs w:val="20"/>
          <w:lang w:val="es-ES_tradnl" w:eastAsia="en-US"/>
        </w:rPr>
      </w:pPr>
    </w:p>
    <w:p w14:paraId="4379DA85" w14:textId="77777777" w:rsidR="00AB47EC" w:rsidRPr="00AB47EC" w:rsidRDefault="00AB47EC" w:rsidP="00AB47EC">
      <w:pPr>
        <w:spacing w:after="0" w:line="240" w:lineRule="auto"/>
        <w:jc w:val="both"/>
        <w:rPr>
          <w:rFonts w:ascii="Verdana" w:eastAsia="Verdana" w:hAnsi="Verdana" w:cs="Verdana"/>
          <w:color w:val="EE0000"/>
          <w:sz w:val="20"/>
          <w:szCs w:val="20"/>
          <w:lang w:val="es-MX" w:eastAsia="en-US"/>
        </w:rPr>
      </w:pPr>
      <w:r w:rsidRPr="00AB47EC">
        <w:rPr>
          <w:rFonts w:ascii="Verdana" w:eastAsia="Times New Roman" w:hAnsi="Verdana" w:cs="Times New Roman"/>
          <w:sz w:val="20"/>
          <w:szCs w:val="20"/>
          <w:lang w:val="es-ES_tradnl" w:eastAsia="es-ES_tradnl"/>
        </w:rPr>
        <w:t>a) Solo puede celebrarse para realizar “actividades relacionadas con la administración o funcionamiento de la entidad”; b) Admite que se suscriba tanto con personas naturales, como con personas jurídicas; c) se diferencian del contrato de trabajo, de acuerdo con los argumentos expuesto en este concepto; d) Deben ser temporales, por lo que no puede referirse a un contrato de prestación de servicios indefinido que resulta contrario a su naturaleza; e) Como especies del género prestación de servicios, se incluyen los contratos de prestación de servicios profesionales, los contratos de prestación de servicios apoyo a la gestión y los contratos de prestación de servicios artísticos que solo pueden encomendarse a determinadas personas naturales; f) Su celebración debe realizarse a través de la modalidad de contratación directa; g) Para su celebración no se requiere la expedición del acto administrativo de justificación de la contratación directa; h) Admiten el pacto de cláusulas excepcionales; i) No es obligatoria la liquidación, sin perjuicio de que esta se pueda efectuar de manera facultativa cuando así se considere necesario; j) Para su celebración no se requiere inscripción en el Registro Único de Proponentes (RUP); k) No son necesarias las garantías.</w:t>
      </w:r>
    </w:p>
    <w:p w14:paraId="2D34015D" w14:textId="77777777" w:rsidR="00AB47EC" w:rsidRDefault="00AB47EC" w:rsidP="004E6FE2">
      <w:pPr>
        <w:spacing w:after="0"/>
        <w:rPr>
          <w:rFonts w:ascii="Verdana" w:eastAsia="Verdana" w:hAnsi="Verdana" w:cs="Verdana"/>
          <w:lang w:val="es-MX" w:eastAsia="en-US"/>
        </w:rPr>
      </w:pPr>
    </w:p>
    <w:p w14:paraId="27CE58C0" w14:textId="77777777" w:rsidR="009B21E8" w:rsidRPr="009B21E8" w:rsidRDefault="009B21E8" w:rsidP="009B21E8">
      <w:pPr>
        <w:spacing w:after="0"/>
        <w:jc w:val="both"/>
        <w:rPr>
          <w:rFonts w:ascii="Verdana" w:eastAsia="Verdana" w:hAnsi="Verdana" w:cs="Verdana"/>
          <w:b/>
          <w:bCs/>
          <w:lang w:eastAsia="en-US"/>
        </w:rPr>
      </w:pPr>
      <w:r w:rsidRPr="009B21E8">
        <w:rPr>
          <w:rFonts w:ascii="Verdana" w:eastAsia="Verdana" w:hAnsi="Verdana" w:cs="Verdana"/>
          <w:b/>
          <w:bCs/>
          <w:lang w:eastAsia="en-US"/>
        </w:rPr>
        <w:t>CONTRATO DE PRESTACIÓN DE SERVICIOS – Persona natural extranjera – Idoneidad – Ejecución en el territorio nacional – Ejecución desde el exterior</w:t>
      </w:r>
    </w:p>
    <w:p w14:paraId="65A0DB7E" w14:textId="77777777" w:rsidR="009B21E8" w:rsidRPr="009B21E8" w:rsidRDefault="009B21E8" w:rsidP="009B21E8">
      <w:pPr>
        <w:spacing w:after="0" w:line="240" w:lineRule="auto"/>
        <w:jc w:val="both"/>
        <w:rPr>
          <w:rFonts w:ascii="Verdana" w:eastAsia="Verdana" w:hAnsi="Verdana" w:cs="Verdana"/>
          <w:sz w:val="20"/>
          <w:szCs w:val="20"/>
          <w:lang w:eastAsia="en-US"/>
        </w:rPr>
      </w:pPr>
    </w:p>
    <w:p w14:paraId="79D16C60" w14:textId="77777777" w:rsidR="009B21E8" w:rsidRDefault="009B21E8" w:rsidP="009B21E8">
      <w:pPr>
        <w:spacing w:after="0" w:line="240" w:lineRule="auto"/>
        <w:jc w:val="both"/>
        <w:rPr>
          <w:rFonts w:ascii="Verdana" w:eastAsia="Verdana" w:hAnsi="Verdana" w:cs="Verdana"/>
          <w:sz w:val="20"/>
          <w:szCs w:val="20"/>
          <w:lang w:val="es-ES" w:eastAsia="en-US"/>
        </w:rPr>
      </w:pPr>
      <w:r w:rsidRPr="009B21E8">
        <w:rPr>
          <w:rFonts w:ascii="Verdana" w:eastAsia="Verdana" w:hAnsi="Verdana" w:cs="Verdana"/>
          <w:sz w:val="20"/>
          <w:szCs w:val="20"/>
          <w:lang w:val="es-ES" w:eastAsia="en-US"/>
        </w:rPr>
        <w:t>Siempre que el objeto contractual no exija la ejecución presencial de las actividades, es posible que el contrato de prestación de servicios sea ejecutado desde el exterior. De igual manera, resulta plausible que un ciudadano extranjero sea contratado bajo esta modalidad para el desarrollo del objeto contractual dentro del territorio nacional. Esto se encuentra alineado con la Constitución Política de Colombia, cuyo primer inciso del artículo 100 establece que “</w:t>
      </w:r>
      <w:r w:rsidRPr="009B21E8">
        <w:rPr>
          <w:rFonts w:ascii="Verdana" w:eastAsia="Verdana" w:hAnsi="Verdana" w:cs="Verdana"/>
          <w:i/>
          <w:sz w:val="20"/>
          <w:szCs w:val="20"/>
          <w:lang w:val="es-ES" w:eastAsia="en-US"/>
        </w:rPr>
        <w:t>Los extranjeros disfrutarán en Colombia de los mismos derechos civiles que se conceden a los colombianos</w:t>
      </w:r>
      <w:r w:rsidRPr="009B21E8">
        <w:rPr>
          <w:rFonts w:ascii="Verdana" w:eastAsia="Verdana" w:hAnsi="Verdana" w:cs="Verdana"/>
          <w:sz w:val="20"/>
          <w:szCs w:val="20"/>
          <w:lang w:val="es-ES" w:eastAsia="en-US"/>
        </w:rPr>
        <w:t xml:space="preserve">. No obstante, la ley podrá, por razones de orden público, subordinar a condiciones especiales o negar el ejercicio de determinados derechos civiles a los extranjeros”. </w:t>
      </w:r>
    </w:p>
    <w:p w14:paraId="6BF306F4" w14:textId="77777777" w:rsidR="009B21E8" w:rsidRPr="009B21E8" w:rsidRDefault="009B21E8" w:rsidP="009B21E8">
      <w:pPr>
        <w:spacing w:after="0" w:line="240" w:lineRule="auto"/>
        <w:jc w:val="both"/>
        <w:rPr>
          <w:rFonts w:ascii="Verdana" w:eastAsia="Verdana" w:hAnsi="Verdana" w:cs="Verdana"/>
          <w:sz w:val="20"/>
          <w:szCs w:val="20"/>
          <w:lang w:val="es-ES" w:eastAsia="en-US"/>
        </w:rPr>
      </w:pPr>
    </w:p>
    <w:p w14:paraId="72378899" w14:textId="6BDDCD87" w:rsidR="009B21E8" w:rsidRPr="009B21E8" w:rsidRDefault="009B21E8" w:rsidP="009B21E8">
      <w:pPr>
        <w:spacing w:after="0" w:line="240" w:lineRule="auto"/>
        <w:jc w:val="both"/>
        <w:rPr>
          <w:rFonts w:ascii="Verdana" w:eastAsia="Verdana" w:hAnsi="Verdana" w:cs="Verdana"/>
          <w:sz w:val="20"/>
          <w:szCs w:val="20"/>
          <w:lang w:eastAsia="en-US"/>
        </w:rPr>
      </w:pPr>
      <w:r w:rsidRPr="009B21E8">
        <w:rPr>
          <w:rFonts w:ascii="Verdana" w:eastAsia="Verdana" w:hAnsi="Verdana" w:cs="Verdana"/>
          <w:sz w:val="20"/>
          <w:szCs w:val="20"/>
          <w:lang w:eastAsia="en-US"/>
        </w:rPr>
        <w:lastRenderedPageBreak/>
        <w:t>Por otra parte, de conformidad con el artículo 1502 (numeral 1) del Código Civil</w:t>
      </w:r>
      <w:r w:rsidRPr="009B21E8">
        <w:rPr>
          <w:rFonts w:ascii="Verdana" w:eastAsia="Verdana" w:hAnsi="Verdana" w:cs="Verdana"/>
          <w:sz w:val="20"/>
          <w:szCs w:val="20"/>
          <w:vertAlign w:val="superscript"/>
          <w:lang w:eastAsia="en-US"/>
        </w:rPr>
        <w:t xml:space="preserve"> </w:t>
      </w:r>
      <w:r w:rsidRPr="009B21E8">
        <w:rPr>
          <w:rFonts w:ascii="Verdana" w:eastAsia="Verdana" w:hAnsi="Verdana" w:cs="Verdana"/>
          <w:sz w:val="20"/>
          <w:szCs w:val="20"/>
          <w:lang w:eastAsia="en-US"/>
        </w:rPr>
        <w:t xml:space="preserve">y el inciso primero del artículo 6 de la Ley 80 de 1993 —modificado por el artículo 1 de la Ley 2160 de 2021—, están facultadas para contratar con las entidades estatales aquellas personas consideradas legalmente capaces bajo las disposiciones vigentes. En consecuencia, dado que el artículo 74 del Código Civil define como personas a todos los individuos de la especie humana, sin distinción de edad, sexo, estirpe o condición, se concluye que los extranjeros gozan de plena capacidad jurídica para celebrar contratos estatales, a menos que se configuren causales de inhabilidad que restrinjan dicha capacidad. Del régimen jurídico aplicable, también se infiere que las personas extranjeras domiciliadas en el exterior pueden ser contratistas. Para estos efectos, el artículo 13 de la Ley 80 de 1993 dispone que “Los contratos celebrados en el exterior se podrán regir en su ejecución por las reglas del país en donde se hayan suscrito, a menos que deban cumplirse en Colombia” y que “Los contratos que se celebren en Colombia y deban ejecutarse o cumplirse en el extranjero, podrán someterse a la ley extranjera”. </w:t>
      </w:r>
    </w:p>
    <w:p w14:paraId="20CC53A7" w14:textId="77777777" w:rsidR="009B21E8" w:rsidRPr="009B21E8" w:rsidRDefault="009B21E8" w:rsidP="009B21E8">
      <w:pPr>
        <w:spacing w:after="0"/>
        <w:jc w:val="both"/>
        <w:rPr>
          <w:rFonts w:ascii="Verdana" w:eastAsia="Verdana" w:hAnsi="Verdana" w:cs="Verdana"/>
          <w:b/>
          <w:bCs/>
          <w:lang w:eastAsia="en-US"/>
        </w:rPr>
      </w:pPr>
    </w:p>
    <w:p w14:paraId="5B2E9039" w14:textId="77777777" w:rsidR="009B21E8" w:rsidRPr="009B21E8" w:rsidRDefault="009B21E8" w:rsidP="009B21E8">
      <w:pPr>
        <w:spacing w:after="0"/>
        <w:jc w:val="both"/>
        <w:rPr>
          <w:rFonts w:ascii="Verdana" w:eastAsia="Verdana" w:hAnsi="Verdana" w:cs="Verdana"/>
          <w:b/>
          <w:bCs/>
          <w:lang w:eastAsia="en-US"/>
        </w:rPr>
      </w:pPr>
      <w:r w:rsidRPr="009B21E8">
        <w:rPr>
          <w:rFonts w:ascii="Verdana" w:eastAsia="Verdana" w:hAnsi="Verdana" w:cs="Verdana"/>
          <w:b/>
          <w:bCs/>
          <w:lang w:val="es-ES_tradnl" w:eastAsia="en-US"/>
        </w:rPr>
        <w:t xml:space="preserve">CONTRATO DE PRESTACIÓN DE SERVICIOS – Permiso de trabajo – Visa </w:t>
      </w:r>
    </w:p>
    <w:p w14:paraId="080E1FFB" w14:textId="77777777" w:rsidR="009B21E8" w:rsidRPr="003F280A" w:rsidRDefault="009B21E8" w:rsidP="003F280A">
      <w:pPr>
        <w:spacing w:after="0" w:line="240" w:lineRule="auto"/>
        <w:jc w:val="both"/>
        <w:rPr>
          <w:rFonts w:ascii="Verdana" w:eastAsia="Verdana" w:hAnsi="Verdana" w:cs="Verdana"/>
          <w:sz w:val="20"/>
          <w:szCs w:val="20"/>
          <w:lang w:eastAsia="en-US"/>
        </w:rPr>
      </w:pPr>
    </w:p>
    <w:p w14:paraId="372291C7" w14:textId="77777777" w:rsidR="00F6376F" w:rsidRPr="003F280A" w:rsidRDefault="00F6376F" w:rsidP="003F280A">
      <w:pPr>
        <w:spacing w:after="0" w:line="240" w:lineRule="auto"/>
        <w:jc w:val="both"/>
        <w:rPr>
          <w:rFonts w:ascii="Verdana" w:eastAsia="Verdana" w:hAnsi="Verdana" w:cs="Verdana"/>
          <w:sz w:val="20"/>
          <w:szCs w:val="20"/>
          <w:lang w:val="es-ES" w:eastAsia="en-US"/>
        </w:rPr>
      </w:pPr>
      <w:r w:rsidRPr="003F280A">
        <w:rPr>
          <w:rFonts w:ascii="Verdana" w:eastAsia="Verdana" w:hAnsi="Verdana" w:cs="Verdana"/>
          <w:sz w:val="20"/>
          <w:szCs w:val="20"/>
          <w:lang w:val="es-ES" w:eastAsia="en-US"/>
        </w:rPr>
        <w:t xml:space="preserve">De lo anterior, se extrae que existe un deber de las entidades contratantes, ya sean públicas o privadas de exigir la presentación de la visa que le permita desarrollar la actividad, ocupación u oficio declarado en la solicitud de la visa. De igual modo, debe exigirle al extranjero la presentación de la Cédula de Extranjería cuando se esté en la obligación de tramitarla en cumplimiento de los requisitos migratorios, como son los casos de las visas con vigencia superior a tres [3] meses, excepto los titulares de las visas que se establezcan para tal fin por parte del Ministerio de Relaciones Exteriores. En el evento de presentarse una desvinculación antes del término previsto en la relación debe informar por escrito o por los medios electrónicos establecidos para tal fin a la Unidad Administrativa Especial Migración Colombia acerca de dicha terminación en un término de hasta quince (15) días calendario siguientes a la ocurrencia del hecho. De igual manera, esta misma norma, establece que toda persona natural o jurídica que vincule, contrate, emplee o admita un extranjero para que preste sus servicios mediante cualquier modalidad debe suministrar la información que le solicite la autoridad de control migratorio. </w:t>
      </w:r>
    </w:p>
    <w:p w14:paraId="1437D000" w14:textId="77777777" w:rsidR="00F6376F" w:rsidRPr="00F6376F" w:rsidRDefault="00F6376F" w:rsidP="00F6376F">
      <w:pPr>
        <w:spacing w:after="0"/>
        <w:jc w:val="both"/>
        <w:rPr>
          <w:rFonts w:ascii="Verdana" w:eastAsia="Verdana" w:hAnsi="Verdana" w:cs="Verdana"/>
          <w:b/>
          <w:bCs/>
          <w:lang w:val="es-ES" w:eastAsia="en-US"/>
        </w:rPr>
      </w:pPr>
    </w:p>
    <w:p w14:paraId="1857A70D" w14:textId="77777777" w:rsidR="009B21E8" w:rsidRPr="009B21E8" w:rsidRDefault="009B21E8" w:rsidP="009B21E8">
      <w:pPr>
        <w:spacing w:after="0"/>
        <w:jc w:val="both"/>
        <w:rPr>
          <w:rFonts w:ascii="Verdana" w:eastAsia="Verdana" w:hAnsi="Verdana" w:cs="Verdana"/>
          <w:b/>
          <w:bCs/>
          <w:lang w:eastAsia="en-US"/>
        </w:rPr>
      </w:pPr>
      <w:r w:rsidRPr="009B21E8">
        <w:rPr>
          <w:rFonts w:ascii="Verdana" w:eastAsia="Verdana" w:hAnsi="Verdana" w:cs="Verdana"/>
          <w:b/>
          <w:bCs/>
          <w:lang w:eastAsia="en-US"/>
        </w:rPr>
        <w:t xml:space="preserve">RÉGIMEN DE INHABILIDADES E INCOMPATIBILIDADES – Aplicabilidad a extranjeros – Falta de registros nacionales – Declaración bajo gravedad de juramento – Principio de responsabilidad </w:t>
      </w:r>
    </w:p>
    <w:p w14:paraId="08F6D9E4" w14:textId="77777777" w:rsidR="009B21E8" w:rsidRPr="00C74EA0" w:rsidRDefault="009B21E8" w:rsidP="009B21E8">
      <w:pPr>
        <w:spacing w:after="0"/>
        <w:jc w:val="both"/>
        <w:rPr>
          <w:rFonts w:ascii="Verdana" w:eastAsia="Verdana" w:hAnsi="Verdana" w:cs="Verdana"/>
          <w:sz w:val="20"/>
          <w:szCs w:val="20"/>
          <w:lang w:eastAsia="en-US"/>
        </w:rPr>
      </w:pPr>
    </w:p>
    <w:p w14:paraId="704D4128" w14:textId="77777777" w:rsidR="00C74EA0" w:rsidRDefault="00C74EA0" w:rsidP="00C74EA0">
      <w:pPr>
        <w:spacing w:after="0"/>
        <w:jc w:val="both"/>
        <w:rPr>
          <w:rFonts w:ascii="Verdana" w:eastAsia="Verdana" w:hAnsi="Verdana" w:cs="Verdana"/>
          <w:sz w:val="20"/>
          <w:szCs w:val="20"/>
          <w:lang w:val="es-ES" w:eastAsia="en-US"/>
        </w:rPr>
      </w:pPr>
      <w:r w:rsidRPr="00C74EA0">
        <w:rPr>
          <w:rFonts w:ascii="Verdana" w:eastAsia="Verdana" w:hAnsi="Verdana" w:cs="Verdana"/>
          <w:sz w:val="20"/>
          <w:szCs w:val="20"/>
          <w:lang w:val="es-ES" w:eastAsia="en-US"/>
        </w:rPr>
        <w:t xml:space="preserve">Conforme a lo anterior, las inhabilidades e incompatibilidades se encuentran consagradas de forma amplia en el ordenamiento jurídico en múltiples disposiciones legales y constitucionales. En tal sentido, el análisis de una posible restricción para un contratista de prestación de servicios extranjero no puede basarse en una regla general, sino que exige una revisión y un análisis propio por parte de la entidad contratante frente a cada causal en el caso concreto. De esta manera, se configura un primer escenario cuando el contratista extranjero se encuentra dentro del territorio colombiano y, por </w:t>
      </w:r>
      <w:r w:rsidRPr="00C74EA0">
        <w:rPr>
          <w:rFonts w:ascii="Verdana" w:eastAsia="Verdana" w:hAnsi="Verdana" w:cs="Verdana"/>
          <w:sz w:val="20"/>
          <w:szCs w:val="20"/>
          <w:lang w:val="es-ES" w:eastAsia="en-US"/>
        </w:rPr>
        <w:lastRenderedPageBreak/>
        <w:t xml:space="preserve">razones de su estatus migratorio o permanencia, tiene la obligación legal de portar cédula de extranjería u otro documento de identificación válido en el país. En este supuesto, la entidad estatal tiene el deber de agotar de forma integral la verificación y contrastar la información en las bases de datos de las distintas autoridades del Estado colombiano (como antecedentes fiscales, disciplinarios y judiciales), siendo esta una actuación obligatoria y de debida diligencia de las entidades públicas. </w:t>
      </w:r>
    </w:p>
    <w:p w14:paraId="4CC7EE35" w14:textId="77777777" w:rsidR="00C74EA0" w:rsidRPr="00C74EA0" w:rsidRDefault="00C74EA0" w:rsidP="00C74EA0">
      <w:pPr>
        <w:spacing w:after="0"/>
        <w:jc w:val="both"/>
        <w:rPr>
          <w:rFonts w:ascii="Verdana" w:eastAsia="Verdana" w:hAnsi="Verdana" w:cs="Verdana"/>
          <w:sz w:val="20"/>
          <w:szCs w:val="20"/>
          <w:lang w:val="es-ES" w:eastAsia="en-US"/>
        </w:rPr>
      </w:pPr>
    </w:p>
    <w:p w14:paraId="5EC99104" w14:textId="77777777" w:rsidR="00C74EA0" w:rsidRPr="00C74EA0" w:rsidRDefault="00C74EA0" w:rsidP="00C74EA0">
      <w:pPr>
        <w:spacing w:after="0"/>
        <w:jc w:val="both"/>
        <w:rPr>
          <w:rFonts w:ascii="Verdana" w:eastAsia="Verdana" w:hAnsi="Verdana" w:cs="Verdana"/>
          <w:sz w:val="20"/>
          <w:szCs w:val="20"/>
          <w:lang w:val="es-ES" w:eastAsia="en-US"/>
        </w:rPr>
      </w:pPr>
      <w:r w:rsidRPr="00C74EA0">
        <w:rPr>
          <w:rFonts w:ascii="Verdana" w:eastAsia="Verdana" w:hAnsi="Verdana" w:cs="Verdana"/>
          <w:sz w:val="20"/>
          <w:szCs w:val="20"/>
          <w:lang w:val="es-ES" w:eastAsia="en-US"/>
        </w:rPr>
        <w:t xml:space="preserve">Por otro lado, se plantea un segundo escenario cuando el contratista de prestación de servicios es extranjero, ejecuta el objeto contractual íntegramente desde el exterior y no cuenta con una cédula de extranjería ni documentos que permitan verificación alguna en las plataformas nacionales de información. En tal escenario, y ante registros que son de carácter nacional tales como el Registro de Deudores Alimentarios Morosos (REDAM) y el Registro Nacional de Medidas Correctivas (RNMC), los sistemas de consulta se enmarcan necesariamente en la existencia de un documento de identidad nacional, cédula de extranjería, permiso especial de permanencia, permiso por protección temporal, entre otros. Por consiguiente, ante la ausencia de estos documentos de identificación del eventual contratista extranjero, las entidades públicas se enfrentan a una imposibilidad material para realizar la consulta ordinaria. Ahora bien, frente a esta barrera, lo procedente no es exigir certificaciones homólogas de su país de origen, pues obligar al contratista a aportar documentos que muy probablemente no existen en su legislación de origen constituiría una interpretación extensiva y desproporcionada de la norma, vulnerando el principio de selección objetiva al imponer un obstáculo insubsanable ajeno al contratista.  </w:t>
      </w:r>
    </w:p>
    <w:p w14:paraId="2093F7F0" w14:textId="77777777" w:rsidR="009B21E8" w:rsidRPr="00C74EA0" w:rsidRDefault="009B21E8" w:rsidP="009B21E8">
      <w:pPr>
        <w:spacing w:after="0"/>
        <w:jc w:val="both"/>
        <w:rPr>
          <w:rFonts w:ascii="Verdana" w:eastAsia="Verdana" w:hAnsi="Verdana" w:cs="Verdana"/>
          <w:b/>
          <w:bCs/>
          <w:lang w:val="es-ES" w:eastAsia="en-US"/>
        </w:rPr>
      </w:pPr>
    </w:p>
    <w:p w14:paraId="0A5112F6" w14:textId="603FC365" w:rsidR="00AB47EC" w:rsidRDefault="009B21E8" w:rsidP="009B21E8">
      <w:pPr>
        <w:spacing w:after="0"/>
        <w:jc w:val="both"/>
        <w:rPr>
          <w:rFonts w:ascii="Verdana" w:eastAsia="Verdana" w:hAnsi="Verdana" w:cs="Verdana"/>
          <w:b/>
          <w:bCs/>
          <w:lang w:eastAsia="en-US"/>
        </w:rPr>
      </w:pPr>
      <w:r w:rsidRPr="009B21E8">
        <w:rPr>
          <w:rFonts w:ascii="Verdana" w:eastAsia="Verdana" w:hAnsi="Verdana" w:cs="Verdana"/>
          <w:b/>
          <w:bCs/>
          <w:lang w:eastAsia="en-US"/>
        </w:rPr>
        <w:t xml:space="preserve">SISTEMA DE SEGURIDAD SOCIAL INTEGRAL – Obligación de cotizar – Territorialidad – Escenarios </w:t>
      </w:r>
      <w:r w:rsidR="00D24DCF" w:rsidRPr="00D24DCF">
        <w:rPr>
          <w:rFonts w:ascii="Verdana" w:eastAsia="Verdana" w:hAnsi="Verdana" w:cs="Verdana"/>
          <w:b/>
          <w:bCs/>
          <w:lang w:val="es-ES" w:eastAsia="en-US"/>
        </w:rPr>
        <w:t>–</w:t>
      </w:r>
      <w:r w:rsidRPr="009B21E8">
        <w:rPr>
          <w:rFonts w:ascii="Verdana" w:eastAsia="Verdana" w:hAnsi="Verdana" w:cs="Verdana"/>
          <w:b/>
          <w:bCs/>
          <w:lang w:eastAsia="en-US"/>
        </w:rPr>
        <w:t xml:space="preserve"> Procedencia</w:t>
      </w:r>
    </w:p>
    <w:p w14:paraId="543E1264" w14:textId="77777777" w:rsidR="009B21E8" w:rsidRPr="003F280A" w:rsidRDefault="009B21E8" w:rsidP="003F280A">
      <w:pPr>
        <w:spacing w:after="0" w:line="240" w:lineRule="auto"/>
        <w:jc w:val="both"/>
        <w:rPr>
          <w:rFonts w:ascii="Verdana" w:eastAsia="Verdana" w:hAnsi="Verdana" w:cs="Verdana"/>
          <w:sz w:val="20"/>
          <w:szCs w:val="20"/>
          <w:lang w:eastAsia="en-US"/>
        </w:rPr>
      </w:pPr>
    </w:p>
    <w:p w14:paraId="23ED91ED" w14:textId="3D6D6A37" w:rsidR="003F280A" w:rsidRDefault="003F280A" w:rsidP="003F280A">
      <w:pPr>
        <w:spacing w:after="0" w:line="240" w:lineRule="auto"/>
        <w:jc w:val="both"/>
        <w:rPr>
          <w:rFonts w:ascii="Verdana" w:eastAsia="Verdana" w:hAnsi="Verdana" w:cs="Verdana"/>
          <w:sz w:val="20"/>
          <w:szCs w:val="20"/>
          <w:lang w:eastAsia="en-US"/>
        </w:rPr>
      </w:pPr>
      <w:r w:rsidRPr="003F280A">
        <w:rPr>
          <w:rFonts w:ascii="Verdana" w:eastAsia="Verdana" w:hAnsi="Verdana" w:cs="Verdana"/>
          <w:sz w:val="20"/>
          <w:szCs w:val="20"/>
          <w:lang w:eastAsia="en-US"/>
        </w:rPr>
        <w:t xml:space="preserve">Ahora bien, cuando el contratista extranjero, persona natural, ejecuta el objeto del contrato de prestación de servicios dentro del territorio colombiano, es claro que debe afiliarse y cotizar en los distintos subsistemas, según corresponda. En materia de salud, el artículo 157 de la Ley 100 de 1993 impone la afiliación obligatoria a todos quienes tengan capacidad de pago, categoría en la que se encuadra el contratista independiente, sea nacional o extranjero.  </w:t>
      </w:r>
    </w:p>
    <w:p w14:paraId="5D4322A7" w14:textId="77777777" w:rsidR="003F280A" w:rsidRPr="003F280A" w:rsidRDefault="003F280A" w:rsidP="003F280A">
      <w:pPr>
        <w:spacing w:after="0" w:line="240" w:lineRule="auto"/>
        <w:jc w:val="both"/>
        <w:rPr>
          <w:rFonts w:ascii="Verdana" w:eastAsia="Verdana" w:hAnsi="Verdana" w:cs="Verdana"/>
          <w:sz w:val="20"/>
          <w:szCs w:val="20"/>
          <w:lang w:eastAsia="en-US"/>
        </w:rPr>
      </w:pPr>
    </w:p>
    <w:p w14:paraId="6C03E6F8" w14:textId="5E8F8FFD" w:rsidR="003F280A" w:rsidRDefault="003F280A" w:rsidP="003F280A">
      <w:pPr>
        <w:spacing w:after="0" w:line="240" w:lineRule="auto"/>
        <w:jc w:val="both"/>
        <w:rPr>
          <w:rFonts w:ascii="Verdana" w:eastAsia="Verdana" w:hAnsi="Verdana" w:cs="Verdana"/>
          <w:sz w:val="20"/>
          <w:szCs w:val="20"/>
          <w:lang w:eastAsia="en-US"/>
        </w:rPr>
      </w:pPr>
      <w:r w:rsidRPr="003F280A">
        <w:rPr>
          <w:rFonts w:ascii="Verdana" w:eastAsia="Verdana" w:hAnsi="Verdana" w:cs="Verdana"/>
          <w:sz w:val="20"/>
          <w:szCs w:val="20"/>
          <w:lang w:eastAsia="en-US"/>
        </w:rPr>
        <w:t xml:space="preserve">Para el sistema de pensiones, el artículo 15 de la misma ley prevé que los extranjeros vinculados mediante contrato en Colombia son afiliados obligatorios, con la única excepción de quienes acrediten que ya cotizan a un régimen pensional en su país de origen, supuesto en el cual quedan exentos de la cotización pensional colombiana mediante la figura de “extranjero no obligado a cotizar a pensiones” en la planilla PILA y conforme a las orientaciones propias del Ministerio de Salud y Protección Social.  En materia de salud, el artículo 2.1.4.1 del Decreto Único Reglamentario 780 de 2016 dispone que pertenecen al Régimen Contributivo, entre otros, todas las personas nacionales o extranjeras residentes en Colombia vinculadas mediante contrato de </w:t>
      </w:r>
      <w:r w:rsidRPr="003F280A">
        <w:rPr>
          <w:rFonts w:ascii="Verdana" w:eastAsia="Verdana" w:hAnsi="Verdana" w:cs="Verdana"/>
          <w:sz w:val="20"/>
          <w:szCs w:val="20"/>
          <w:lang w:eastAsia="en-US"/>
        </w:rPr>
        <w:lastRenderedPageBreak/>
        <w:t xml:space="preserve">trabajo o como trabajadores independientes con ingresos superiores a un salario mínimo. </w:t>
      </w:r>
    </w:p>
    <w:p w14:paraId="41ACF67A" w14:textId="77777777" w:rsidR="003F280A" w:rsidRPr="003F280A" w:rsidRDefault="003F280A" w:rsidP="003F280A">
      <w:pPr>
        <w:spacing w:after="0" w:line="240" w:lineRule="auto"/>
        <w:jc w:val="both"/>
        <w:rPr>
          <w:rFonts w:ascii="Verdana" w:eastAsia="Verdana" w:hAnsi="Verdana" w:cs="Verdana"/>
          <w:sz w:val="20"/>
          <w:szCs w:val="20"/>
          <w:lang w:eastAsia="en-US"/>
        </w:rPr>
      </w:pPr>
    </w:p>
    <w:p w14:paraId="6CC0A8EF" w14:textId="47542CE1" w:rsidR="003F280A" w:rsidRPr="003F280A" w:rsidRDefault="003F280A" w:rsidP="003F280A">
      <w:pPr>
        <w:spacing w:after="0" w:line="240" w:lineRule="auto"/>
        <w:jc w:val="both"/>
        <w:rPr>
          <w:rFonts w:ascii="Verdana" w:eastAsia="Verdana" w:hAnsi="Verdana" w:cs="Verdana"/>
          <w:sz w:val="20"/>
          <w:szCs w:val="20"/>
          <w:lang w:eastAsia="en-US"/>
        </w:rPr>
      </w:pPr>
      <w:r w:rsidRPr="003F280A">
        <w:rPr>
          <w:rFonts w:ascii="Verdana" w:eastAsia="Verdana" w:hAnsi="Verdana" w:cs="Verdana"/>
          <w:sz w:val="20"/>
          <w:szCs w:val="20"/>
          <w:lang w:eastAsia="en-US"/>
        </w:rPr>
        <w:t xml:space="preserve">En materia de riesgos laborales, el numeral 1 del literal a) del artículo 2° de la Ley 1562 de 2012, dispone que son afiliados obligatorios al SGRL las personas vinculadas mediante contrato formal de prestación de servicios con entidades públicas o privadas, con duración superior a un mes. Cabe precisar que todas estas obligaciones se activan únicamente cuando el extranjero cuenta con estatus migratorio habilitante para desarrollar actividades económicas en Colombia, como ya se explicó anteriormente. </w:t>
      </w:r>
    </w:p>
    <w:p w14:paraId="7B61CA25" w14:textId="77777777" w:rsidR="009B21E8" w:rsidRDefault="009B21E8" w:rsidP="009B21E8">
      <w:pPr>
        <w:spacing w:after="0"/>
        <w:jc w:val="both"/>
        <w:rPr>
          <w:rFonts w:ascii="Verdana" w:eastAsia="Verdana" w:hAnsi="Verdana" w:cs="Verdana"/>
          <w:b/>
          <w:bCs/>
          <w:lang w:eastAsia="en-US"/>
        </w:rPr>
      </w:pPr>
    </w:p>
    <w:p w14:paraId="3898F200" w14:textId="77777777" w:rsidR="007D442F" w:rsidRDefault="007D442F" w:rsidP="009B21E8">
      <w:pPr>
        <w:spacing w:after="0"/>
        <w:jc w:val="both"/>
        <w:rPr>
          <w:rFonts w:ascii="Verdana" w:eastAsia="Verdana" w:hAnsi="Verdana" w:cs="Verdana"/>
          <w:b/>
          <w:bCs/>
          <w:lang w:eastAsia="en-US"/>
        </w:rPr>
      </w:pPr>
    </w:p>
    <w:p w14:paraId="3FFEBE94" w14:textId="77777777" w:rsidR="007D442F" w:rsidRDefault="007D442F" w:rsidP="009B21E8">
      <w:pPr>
        <w:spacing w:after="0"/>
        <w:jc w:val="both"/>
        <w:rPr>
          <w:rFonts w:ascii="Verdana" w:eastAsia="Verdana" w:hAnsi="Verdana" w:cs="Verdana"/>
          <w:b/>
          <w:bCs/>
          <w:lang w:eastAsia="en-US"/>
        </w:rPr>
      </w:pPr>
    </w:p>
    <w:p w14:paraId="3E1F5A3F" w14:textId="77777777" w:rsidR="007D442F" w:rsidRDefault="007D442F" w:rsidP="009B21E8">
      <w:pPr>
        <w:spacing w:after="0"/>
        <w:jc w:val="both"/>
        <w:rPr>
          <w:rFonts w:ascii="Verdana" w:eastAsia="Verdana" w:hAnsi="Verdana" w:cs="Verdana"/>
          <w:b/>
          <w:bCs/>
          <w:lang w:eastAsia="en-US"/>
        </w:rPr>
      </w:pPr>
    </w:p>
    <w:p w14:paraId="53B79875" w14:textId="77777777" w:rsidR="007D442F" w:rsidRDefault="007D442F" w:rsidP="009B21E8">
      <w:pPr>
        <w:spacing w:after="0"/>
        <w:jc w:val="both"/>
        <w:rPr>
          <w:rFonts w:ascii="Verdana" w:eastAsia="Verdana" w:hAnsi="Verdana" w:cs="Verdana"/>
          <w:b/>
          <w:bCs/>
          <w:lang w:eastAsia="en-US"/>
        </w:rPr>
      </w:pPr>
    </w:p>
    <w:p w14:paraId="262212BD" w14:textId="77777777" w:rsidR="007D442F" w:rsidRDefault="007D442F" w:rsidP="009B21E8">
      <w:pPr>
        <w:spacing w:after="0"/>
        <w:jc w:val="both"/>
        <w:rPr>
          <w:rFonts w:ascii="Verdana" w:eastAsia="Verdana" w:hAnsi="Verdana" w:cs="Verdana"/>
          <w:b/>
          <w:bCs/>
          <w:lang w:eastAsia="en-US"/>
        </w:rPr>
      </w:pPr>
    </w:p>
    <w:p w14:paraId="174330BE" w14:textId="77777777" w:rsidR="007D442F" w:rsidRDefault="007D442F" w:rsidP="009B21E8">
      <w:pPr>
        <w:spacing w:after="0"/>
        <w:jc w:val="both"/>
        <w:rPr>
          <w:rFonts w:ascii="Verdana" w:eastAsia="Verdana" w:hAnsi="Verdana" w:cs="Verdana"/>
          <w:b/>
          <w:bCs/>
          <w:lang w:eastAsia="en-US"/>
        </w:rPr>
      </w:pPr>
    </w:p>
    <w:p w14:paraId="43BF4CD2" w14:textId="77777777" w:rsidR="007D442F" w:rsidRDefault="007D442F" w:rsidP="009B21E8">
      <w:pPr>
        <w:spacing w:after="0"/>
        <w:jc w:val="both"/>
        <w:rPr>
          <w:rFonts w:ascii="Verdana" w:eastAsia="Verdana" w:hAnsi="Verdana" w:cs="Verdana"/>
          <w:b/>
          <w:bCs/>
          <w:lang w:eastAsia="en-US"/>
        </w:rPr>
      </w:pPr>
    </w:p>
    <w:p w14:paraId="2BEBB916" w14:textId="77777777" w:rsidR="007D442F" w:rsidRDefault="007D442F" w:rsidP="009B21E8">
      <w:pPr>
        <w:spacing w:after="0"/>
        <w:jc w:val="both"/>
        <w:rPr>
          <w:rFonts w:ascii="Verdana" w:eastAsia="Verdana" w:hAnsi="Verdana" w:cs="Verdana"/>
          <w:b/>
          <w:bCs/>
          <w:lang w:eastAsia="en-US"/>
        </w:rPr>
      </w:pPr>
    </w:p>
    <w:p w14:paraId="60B888F9" w14:textId="77777777" w:rsidR="007D442F" w:rsidRDefault="007D442F" w:rsidP="009B21E8">
      <w:pPr>
        <w:spacing w:after="0"/>
        <w:jc w:val="both"/>
        <w:rPr>
          <w:rFonts w:ascii="Verdana" w:eastAsia="Verdana" w:hAnsi="Verdana" w:cs="Verdana"/>
          <w:b/>
          <w:bCs/>
          <w:lang w:eastAsia="en-US"/>
        </w:rPr>
      </w:pPr>
    </w:p>
    <w:p w14:paraId="137F234B" w14:textId="77777777" w:rsidR="007D442F" w:rsidRDefault="007D442F" w:rsidP="009B21E8">
      <w:pPr>
        <w:spacing w:after="0"/>
        <w:jc w:val="both"/>
        <w:rPr>
          <w:rFonts w:ascii="Verdana" w:eastAsia="Verdana" w:hAnsi="Verdana" w:cs="Verdana"/>
          <w:b/>
          <w:bCs/>
          <w:lang w:eastAsia="en-US"/>
        </w:rPr>
      </w:pPr>
    </w:p>
    <w:p w14:paraId="4AF8C0CC" w14:textId="77777777" w:rsidR="007D442F" w:rsidRDefault="007D442F" w:rsidP="009B21E8">
      <w:pPr>
        <w:spacing w:after="0"/>
        <w:jc w:val="both"/>
        <w:rPr>
          <w:rFonts w:ascii="Verdana" w:eastAsia="Verdana" w:hAnsi="Verdana" w:cs="Verdana"/>
          <w:b/>
          <w:bCs/>
          <w:lang w:eastAsia="en-US"/>
        </w:rPr>
      </w:pPr>
    </w:p>
    <w:p w14:paraId="31A81B44" w14:textId="77777777" w:rsidR="007D442F" w:rsidRDefault="007D442F" w:rsidP="009B21E8">
      <w:pPr>
        <w:spacing w:after="0"/>
        <w:jc w:val="both"/>
        <w:rPr>
          <w:rFonts w:ascii="Verdana" w:eastAsia="Verdana" w:hAnsi="Verdana" w:cs="Verdana"/>
          <w:b/>
          <w:bCs/>
          <w:lang w:eastAsia="en-US"/>
        </w:rPr>
      </w:pPr>
    </w:p>
    <w:p w14:paraId="1A02B107" w14:textId="77777777" w:rsidR="007D442F" w:rsidRDefault="007D442F" w:rsidP="009B21E8">
      <w:pPr>
        <w:spacing w:after="0"/>
        <w:jc w:val="both"/>
        <w:rPr>
          <w:rFonts w:ascii="Verdana" w:eastAsia="Verdana" w:hAnsi="Verdana" w:cs="Verdana"/>
          <w:b/>
          <w:bCs/>
          <w:lang w:eastAsia="en-US"/>
        </w:rPr>
      </w:pPr>
    </w:p>
    <w:p w14:paraId="7228210B" w14:textId="77777777" w:rsidR="007D442F" w:rsidRDefault="007D442F" w:rsidP="009B21E8">
      <w:pPr>
        <w:spacing w:after="0"/>
        <w:jc w:val="both"/>
        <w:rPr>
          <w:rFonts w:ascii="Verdana" w:eastAsia="Verdana" w:hAnsi="Verdana" w:cs="Verdana"/>
          <w:b/>
          <w:bCs/>
          <w:lang w:eastAsia="en-US"/>
        </w:rPr>
      </w:pPr>
    </w:p>
    <w:p w14:paraId="7DC42371" w14:textId="77777777" w:rsidR="007D442F" w:rsidRDefault="007D442F" w:rsidP="009B21E8">
      <w:pPr>
        <w:spacing w:after="0"/>
        <w:jc w:val="both"/>
        <w:rPr>
          <w:rFonts w:ascii="Verdana" w:eastAsia="Verdana" w:hAnsi="Verdana" w:cs="Verdana"/>
          <w:b/>
          <w:bCs/>
          <w:lang w:eastAsia="en-US"/>
        </w:rPr>
      </w:pPr>
    </w:p>
    <w:p w14:paraId="104F7D0D" w14:textId="77777777" w:rsidR="007D442F" w:rsidRDefault="007D442F" w:rsidP="009B21E8">
      <w:pPr>
        <w:spacing w:after="0"/>
        <w:jc w:val="both"/>
        <w:rPr>
          <w:rFonts w:ascii="Verdana" w:eastAsia="Verdana" w:hAnsi="Verdana" w:cs="Verdana"/>
          <w:b/>
          <w:bCs/>
          <w:lang w:eastAsia="en-US"/>
        </w:rPr>
      </w:pPr>
    </w:p>
    <w:p w14:paraId="5CE80742" w14:textId="77777777" w:rsidR="007D442F" w:rsidRDefault="007D442F" w:rsidP="009B21E8">
      <w:pPr>
        <w:spacing w:after="0"/>
        <w:jc w:val="both"/>
        <w:rPr>
          <w:rFonts w:ascii="Verdana" w:eastAsia="Verdana" w:hAnsi="Verdana" w:cs="Verdana"/>
          <w:b/>
          <w:bCs/>
          <w:lang w:eastAsia="en-US"/>
        </w:rPr>
      </w:pPr>
    </w:p>
    <w:p w14:paraId="4D0012A3" w14:textId="77777777" w:rsidR="007D442F" w:rsidRDefault="007D442F" w:rsidP="009B21E8">
      <w:pPr>
        <w:spacing w:after="0"/>
        <w:jc w:val="both"/>
        <w:rPr>
          <w:rFonts w:ascii="Verdana" w:eastAsia="Verdana" w:hAnsi="Verdana" w:cs="Verdana"/>
          <w:b/>
          <w:bCs/>
          <w:lang w:eastAsia="en-US"/>
        </w:rPr>
      </w:pPr>
    </w:p>
    <w:p w14:paraId="71F466D0" w14:textId="77777777" w:rsidR="007D442F" w:rsidRDefault="007D442F" w:rsidP="009B21E8">
      <w:pPr>
        <w:spacing w:after="0"/>
        <w:jc w:val="both"/>
        <w:rPr>
          <w:rFonts w:ascii="Verdana" w:eastAsia="Verdana" w:hAnsi="Verdana" w:cs="Verdana"/>
          <w:b/>
          <w:bCs/>
          <w:lang w:eastAsia="en-US"/>
        </w:rPr>
      </w:pPr>
    </w:p>
    <w:p w14:paraId="0A4E4B71" w14:textId="77777777" w:rsidR="007D442F" w:rsidRDefault="007D442F" w:rsidP="009B21E8">
      <w:pPr>
        <w:spacing w:after="0"/>
        <w:jc w:val="both"/>
        <w:rPr>
          <w:rFonts w:ascii="Verdana" w:eastAsia="Verdana" w:hAnsi="Verdana" w:cs="Verdana"/>
          <w:b/>
          <w:bCs/>
          <w:lang w:eastAsia="en-US"/>
        </w:rPr>
      </w:pPr>
    </w:p>
    <w:p w14:paraId="328703B6" w14:textId="77777777" w:rsidR="007D442F" w:rsidRDefault="007D442F" w:rsidP="009B21E8">
      <w:pPr>
        <w:spacing w:after="0"/>
        <w:jc w:val="both"/>
        <w:rPr>
          <w:rFonts w:ascii="Verdana" w:eastAsia="Verdana" w:hAnsi="Verdana" w:cs="Verdana"/>
          <w:b/>
          <w:bCs/>
          <w:lang w:eastAsia="en-US"/>
        </w:rPr>
      </w:pPr>
    </w:p>
    <w:p w14:paraId="0130025B" w14:textId="77777777" w:rsidR="007D442F" w:rsidRDefault="007D442F" w:rsidP="009B21E8">
      <w:pPr>
        <w:spacing w:after="0"/>
        <w:jc w:val="both"/>
        <w:rPr>
          <w:rFonts w:ascii="Verdana" w:eastAsia="Verdana" w:hAnsi="Verdana" w:cs="Verdana"/>
          <w:b/>
          <w:bCs/>
          <w:lang w:eastAsia="en-US"/>
        </w:rPr>
      </w:pPr>
    </w:p>
    <w:p w14:paraId="3A7FB67E" w14:textId="77777777" w:rsidR="007D442F" w:rsidRDefault="007D442F" w:rsidP="009B21E8">
      <w:pPr>
        <w:spacing w:after="0"/>
        <w:jc w:val="both"/>
        <w:rPr>
          <w:rFonts w:ascii="Verdana" w:eastAsia="Verdana" w:hAnsi="Verdana" w:cs="Verdana"/>
          <w:b/>
          <w:bCs/>
          <w:lang w:eastAsia="en-US"/>
        </w:rPr>
      </w:pPr>
    </w:p>
    <w:p w14:paraId="2D68D9BA" w14:textId="77777777" w:rsidR="007D442F" w:rsidRDefault="007D442F" w:rsidP="009B21E8">
      <w:pPr>
        <w:spacing w:after="0"/>
        <w:jc w:val="both"/>
        <w:rPr>
          <w:rFonts w:ascii="Verdana" w:eastAsia="Verdana" w:hAnsi="Verdana" w:cs="Verdana"/>
          <w:b/>
          <w:bCs/>
          <w:lang w:eastAsia="en-US"/>
        </w:rPr>
      </w:pPr>
    </w:p>
    <w:p w14:paraId="78B77CE7" w14:textId="77777777" w:rsidR="007D442F" w:rsidRDefault="007D442F" w:rsidP="009B21E8">
      <w:pPr>
        <w:spacing w:after="0"/>
        <w:jc w:val="both"/>
        <w:rPr>
          <w:rFonts w:ascii="Verdana" w:eastAsia="Verdana" w:hAnsi="Verdana" w:cs="Verdana"/>
          <w:b/>
          <w:bCs/>
          <w:lang w:eastAsia="en-US"/>
        </w:rPr>
      </w:pPr>
    </w:p>
    <w:p w14:paraId="4E714463" w14:textId="77777777" w:rsidR="007D442F" w:rsidRDefault="007D442F" w:rsidP="009B21E8">
      <w:pPr>
        <w:spacing w:after="0"/>
        <w:jc w:val="both"/>
        <w:rPr>
          <w:rFonts w:ascii="Verdana" w:eastAsia="Verdana" w:hAnsi="Verdana" w:cs="Verdana"/>
          <w:b/>
          <w:bCs/>
          <w:lang w:eastAsia="en-US"/>
        </w:rPr>
      </w:pPr>
    </w:p>
    <w:p w14:paraId="05EB9E42" w14:textId="77777777" w:rsidR="007D442F" w:rsidRDefault="007D442F" w:rsidP="009B21E8">
      <w:pPr>
        <w:spacing w:after="0"/>
        <w:jc w:val="both"/>
        <w:rPr>
          <w:rFonts w:ascii="Verdana" w:eastAsia="Verdana" w:hAnsi="Verdana" w:cs="Verdana"/>
          <w:b/>
          <w:bCs/>
          <w:lang w:eastAsia="en-US"/>
        </w:rPr>
      </w:pPr>
    </w:p>
    <w:p w14:paraId="46C70F4E" w14:textId="77777777" w:rsidR="007D442F" w:rsidRDefault="007D442F" w:rsidP="009B21E8">
      <w:pPr>
        <w:spacing w:after="0"/>
        <w:jc w:val="both"/>
        <w:rPr>
          <w:rFonts w:ascii="Verdana" w:eastAsia="Verdana" w:hAnsi="Verdana" w:cs="Verdana"/>
          <w:b/>
          <w:bCs/>
          <w:lang w:eastAsia="en-US"/>
        </w:rPr>
      </w:pPr>
    </w:p>
    <w:p w14:paraId="52DA01DF" w14:textId="77777777" w:rsidR="007D442F" w:rsidRDefault="007D442F" w:rsidP="009B21E8">
      <w:pPr>
        <w:spacing w:after="0"/>
        <w:jc w:val="both"/>
        <w:rPr>
          <w:rFonts w:ascii="Verdana" w:eastAsia="Verdana" w:hAnsi="Verdana" w:cs="Verdana"/>
          <w:b/>
          <w:bCs/>
          <w:lang w:eastAsia="en-US"/>
        </w:rPr>
      </w:pPr>
    </w:p>
    <w:p w14:paraId="1BE5BE56" w14:textId="77777777" w:rsidR="007D442F" w:rsidRPr="003F280A" w:rsidRDefault="007D442F" w:rsidP="009B21E8">
      <w:pPr>
        <w:spacing w:after="0"/>
        <w:jc w:val="both"/>
        <w:rPr>
          <w:rFonts w:ascii="Verdana" w:eastAsia="Verdana" w:hAnsi="Verdana" w:cs="Verdana"/>
          <w:b/>
          <w:bCs/>
          <w:lang w:eastAsia="en-US"/>
        </w:rPr>
      </w:pPr>
    </w:p>
    <w:p w14:paraId="34E49C46" w14:textId="3F250582" w:rsidR="004E6FE2" w:rsidRPr="004E6FE2" w:rsidRDefault="00BA63B9" w:rsidP="004E6FE2">
      <w:pPr>
        <w:spacing w:after="0"/>
        <w:rPr>
          <w:rFonts w:ascii="Verdana" w:eastAsia="Verdana" w:hAnsi="Verdana" w:cs="Verdana"/>
          <w:color w:val="000000"/>
          <w:highlight w:val="yellow"/>
        </w:rPr>
      </w:pPr>
      <w:r w:rsidRPr="007D0CE2">
        <w:rPr>
          <w:rFonts w:ascii="Verdana" w:eastAsia="Verdana" w:hAnsi="Verdana" w:cs="Verdana"/>
          <w:noProof/>
          <w:color w:val="000000"/>
          <w:highlight w:val="yellow"/>
        </w:rPr>
        <w:lastRenderedPageBreak/>
        <w:drawing>
          <wp:anchor distT="0" distB="0" distL="114300" distR="114300" simplePos="0" relativeHeight="251658240" behindDoc="0" locked="0" layoutInCell="1" allowOverlap="1" wp14:anchorId="60C74D64" wp14:editId="7B572965">
            <wp:simplePos x="0" y="0"/>
            <wp:positionH relativeFrom="column">
              <wp:posOffset>2660015</wp:posOffset>
            </wp:positionH>
            <wp:positionV relativeFrom="paragraph">
              <wp:posOffset>5080</wp:posOffset>
            </wp:positionV>
            <wp:extent cx="3038475" cy="839470"/>
            <wp:effectExtent l="0" t="0" r="9525" b="0"/>
            <wp:wrapSquare wrapText="bothSides"/>
            <wp:docPr id="645545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847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FE2" w:rsidRPr="004E6FE2">
        <w:rPr>
          <w:rFonts w:ascii="Verdana" w:eastAsia="Verdana" w:hAnsi="Verdana" w:cs="Verdana"/>
          <w:lang w:val="es-CO" w:eastAsia="en-US"/>
        </w:rPr>
        <w:t xml:space="preserve">Bogotá D.C., </w:t>
      </w:r>
      <w:r w:rsidR="00003459">
        <w:rPr>
          <w:rFonts w:ascii="Verdana" w:eastAsia="Verdana" w:hAnsi="Verdana" w:cs="Verdana"/>
          <w:lang w:val="es-CO" w:eastAsia="en-US"/>
        </w:rPr>
        <w:t>25 de junio de 2026</w:t>
      </w:r>
      <w:r w:rsidR="004E6FE2" w:rsidRPr="004E6FE2">
        <w:rPr>
          <w:rFonts w:cs="Times New Roman"/>
          <w:lang w:val="es-CO" w:eastAsia="en-US"/>
        </w:rPr>
        <w:br/>
      </w:r>
    </w:p>
    <w:p w14:paraId="414C0777" w14:textId="33E8C1B2" w:rsidR="004E6FE2" w:rsidRDefault="004E6FE2" w:rsidP="004E6FE2">
      <w:pPr>
        <w:spacing w:after="0" w:line="240" w:lineRule="auto"/>
        <w:rPr>
          <w:rFonts w:ascii="Verdana" w:eastAsia="Verdana" w:hAnsi="Verdana" w:cs="Verdana"/>
          <w:color w:val="000000"/>
          <w:highlight w:val="yellow"/>
        </w:rPr>
      </w:pPr>
    </w:p>
    <w:p w14:paraId="7F8504A5" w14:textId="77777777" w:rsidR="00BA63B9" w:rsidRPr="004E6FE2" w:rsidRDefault="00BA63B9" w:rsidP="004E6FE2">
      <w:pPr>
        <w:spacing w:after="0" w:line="240" w:lineRule="auto"/>
        <w:rPr>
          <w:rFonts w:ascii="Verdana" w:eastAsia="Verdana" w:hAnsi="Verdana" w:cs="Verdana"/>
          <w:color w:val="000000"/>
          <w:highlight w:val="yellow"/>
        </w:rPr>
      </w:pPr>
    </w:p>
    <w:p w14:paraId="1CC73880" w14:textId="77777777" w:rsidR="004E6FE2" w:rsidRPr="004E6FE2" w:rsidRDefault="004E6FE2" w:rsidP="004E6FE2">
      <w:pPr>
        <w:spacing w:after="0" w:line="240" w:lineRule="auto"/>
        <w:jc w:val="both"/>
        <w:rPr>
          <w:rFonts w:ascii="Verdana" w:eastAsia="Verdana" w:hAnsi="Verdana" w:cs="Verdana"/>
          <w:b/>
          <w:bCs/>
          <w:highlight w:val="white"/>
        </w:rPr>
      </w:pPr>
      <w:r w:rsidRPr="004E6FE2">
        <w:rPr>
          <w:rFonts w:ascii="Verdana" w:eastAsia="Verdana" w:hAnsi="Verdana" w:cs="Verdana"/>
          <w:highlight w:val="white"/>
        </w:rPr>
        <w:t xml:space="preserve">Señora </w:t>
      </w:r>
    </w:p>
    <w:p w14:paraId="21CF38EE" w14:textId="1597B76D" w:rsidR="004E6FE2" w:rsidRPr="004E6FE2" w:rsidRDefault="00BA63B9" w:rsidP="004E6FE2">
      <w:pPr>
        <w:spacing w:after="0" w:line="240" w:lineRule="auto"/>
        <w:rPr>
          <w:rFonts w:ascii="Verdana" w:eastAsia="Verdana" w:hAnsi="Verdana" w:cs="Verdana"/>
          <w:b/>
          <w:bCs/>
          <w:highlight w:val="white"/>
        </w:rPr>
      </w:pPr>
      <w:r w:rsidRPr="00BA63B9">
        <w:rPr>
          <w:rFonts w:ascii="Verdana" w:eastAsia="Verdana" w:hAnsi="Verdana" w:cs="Verdana"/>
          <w:noProof/>
          <w:color w:val="000000"/>
          <w:highlight w:val="yellow"/>
        </w:rPr>
        <w:drawing>
          <wp:anchor distT="0" distB="0" distL="114300" distR="114300" simplePos="0" relativeHeight="251659264" behindDoc="0" locked="0" layoutInCell="1" allowOverlap="1" wp14:anchorId="1DD196BB" wp14:editId="06887218">
            <wp:simplePos x="0" y="0"/>
            <wp:positionH relativeFrom="column">
              <wp:posOffset>2655281</wp:posOffset>
            </wp:positionH>
            <wp:positionV relativeFrom="paragraph">
              <wp:posOffset>9583</wp:posOffset>
            </wp:positionV>
            <wp:extent cx="3023235" cy="775335"/>
            <wp:effectExtent l="0" t="0" r="5715" b="5715"/>
            <wp:wrapSquare wrapText="bothSides"/>
            <wp:docPr id="18760901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3235" cy="77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FE2" w:rsidRPr="004E6FE2">
        <w:rPr>
          <w:rFonts w:ascii="Verdana" w:eastAsia="Verdana" w:hAnsi="Verdana" w:cs="Verdana"/>
          <w:b/>
          <w:bCs/>
          <w:highlight w:val="white"/>
        </w:rPr>
        <w:t>Cindy Jineth Corredor Castañeda</w:t>
      </w:r>
    </w:p>
    <w:p w14:paraId="25C7BF4E" w14:textId="27522665" w:rsidR="004E6FE2" w:rsidRPr="004E6FE2" w:rsidRDefault="004E6FE2" w:rsidP="004E6FE2">
      <w:pPr>
        <w:spacing w:after="0" w:line="240" w:lineRule="auto"/>
        <w:rPr>
          <w:rFonts w:ascii="Verdana" w:eastAsia="Verdana" w:hAnsi="Verdana" w:cs="Verdana"/>
        </w:rPr>
      </w:pPr>
      <w:r w:rsidRPr="004E6FE2">
        <w:rPr>
          <w:rFonts w:ascii="Verdana" w:eastAsia="Verdana" w:hAnsi="Verdana" w:cs="Verdana"/>
        </w:rPr>
        <w:t>Bogotá D.C.</w:t>
      </w:r>
    </w:p>
    <w:p w14:paraId="7B02D9B1" w14:textId="77777777" w:rsidR="004E6FE2" w:rsidRPr="004E6FE2" w:rsidRDefault="004E6FE2" w:rsidP="004E6FE2">
      <w:pPr>
        <w:spacing w:after="0" w:line="240" w:lineRule="auto"/>
        <w:rPr>
          <w:rFonts w:ascii="Verdana" w:eastAsia="Verdana" w:hAnsi="Verdana" w:cs="Verdana"/>
          <w:b/>
          <w:bCs/>
          <w:color w:val="000000"/>
          <w:highlight w:val="yellow"/>
        </w:rPr>
      </w:pPr>
    </w:p>
    <w:p w14:paraId="37664AA5" w14:textId="77777777" w:rsidR="004E6FE2" w:rsidRPr="004E6FE2" w:rsidRDefault="004E6FE2" w:rsidP="004E6FE2">
      <w:pPr>
        <w:spacing w:after="0" w:line="240" w:lineRule="auto"/>
        <w:rPr>
          <w:rFonts w:ascii="Verdana" w:eastAsia="Verdana" w:hAnsi="Verdana" w:cs="Verdana"/>
          <w:b/>
          <w:bCs/>
          <w:color w:val="000000"/>
          <w:highlight w:val="yellow"/>
        </w:rPr>
      </w:pPr>
    </w:p>
    <w:tbl>
      <w:tblPr>
        <w:tblW w:w="8838" w:type="dxa"/>
        <w:tblBorders>
          <w:top w:val="nil"/>
          <w:left w:val="nil"/>
          <w:bottom w:val="nil"/>
          <w:right w:val="nil"/>
          <w:insideH w:val="nil"/>
          <w:insideV w:val="nil"/>
        </w:tblBorders>
        <w:tblLayout w:type="fixed"/>
        <w:tblLook w:val="0400" w:firstRow="0" w:lastRow="0" w:firstColumn="0" w:lastColumn="0" w:noHBand="0" w:noVBand="1"/>
      </w:tblPr>
      <w:tblGrid>
        <w:gridCol w:w="2738"/>
        <w:gridCol w:w="6100"/>
      </w:tblGrid>
      <w:tr w:rsidR="004E6FE2" w:rsidRPr="004E6FE2" w14:paraId="05914066" w14:textId="77777777" w:rsidTr="005E6732">
        <w:trPr>
          <w:trHeight w:val="194"/>
        </w:trPr>
        <w:tc>
          <w:tcPr>
            <w:tcW w:w="2738" w:type="dxa"/>
          </w:tcPr>
          <w:p w14:paraId="6A4A72C8" w14:textId="77777777" w:rsidR="004E6FE2" w:rsidRPr="004E6FE2" w:rsidRDefault="004E6FE2" w:rsidP="004E6FE2">
            <w:pPr>
              <w:spacing w:after="0" w:line="240" w:lineRule="auto"/>
              <w:jc w:val="both"/>
              <w:rPr>
                <w:rFonts w:ascii="Verdana" w:eastAsia="Verdana" w:hAnsi="Verdana" w:cs="Verdana"/>
                <w:b/>
                <w:bCs/>
                <w:color w:val="7030A0"/>
              </w:rPr>
            </w:pPr>
          </w:p>
        </w:tc>
        <w:tc>
          <w:tcPr>
            <w:tcW w:w="6100" w:type="dxa"/>
          </w:tcPr>
          <w:p w14:paraId="45225080" w14:textId="77777777" w:rsidR="004E6FE2" w:rsidRPr="004E6FE2" w:rsidRDefault="004E6FE2" w:rsidP="004E6FE2">
            <w:pPr>
              <w:spacing w:after="0" w:line="240" w:lineRule="auto"/>
              <w:jc w:val="both"/>
              <w:rPr>
                <w:rFonts w:ascii="Verdana" w:eastAsia="Verdana" w:hAnsi="Verdana" w:cs="Verdana"/>
                <w:b/>
                <w:bCs/>
              </w:rPr>
            </w:pPr>
            <w:r w:rsidRPr="004E6FE2">
              <w:rPr>
                <w:rFonts w:ascii="Verdana" w:eastAsia="Verdana" w:hAnsi="Verdana" w:cs="Verdana"/>
                <w:b/>
                <w:bCs/>
              </w:rPr>
              <w:t>Concepto C –786 de 2026</w:t>
            </w:r>
          </w:p>
          <w:p w14:paraId="50772347" w14:textId="77777777" w:rsidR="004E6FE2" w:rsidRPr="004E6FE2" w:rsidRDefault="004E6FE2" w:rsidP="004E6FE2">
            <w:pPr>
              <w:spacing w:after="0" w:line="240" w:lineRule="auto"/>
              <w:jc w:val="both"/>
              <w:rPr>
                <w:rFonts w:ascii="Verdana" w:eastAsia="Verdana" w:hAnsi="Verdana" w:cs="Verdana"/>
                <w:b/>
                <w:bCs/>
                <w:color w:val="7030A0"/>
              </w:rPr>
            </w:pPr>
          </w:p>
        </w:tc>
      </w:tr>
      <w:tr w:rsidR="004E6FE2" w:rsidRPr="004E6FE2" w14:paraId="76468F29" w14:textId="77777777" w:rsidTr="005E6732">
        <w:trPr>
          <w:trHeight w:val="884"/>
        </w:trPr>
        <w:tc>
          <w:tcPr>
            <w:tcW w:w="2738" w:type="dxa"/>
          </w:tcPr>
          <w:p w14:paraId="30604838" w14:textId="77777777" w:rsidR="004E6FE2" w:rsidRPr="004E6FE2" w:rsidRDefault="004E6FE2" w:rsidP="004E6FE2">
            <w:pPr>
              <w:spacing w:after="0" w:line="276" w:lineRule="auto"/>
              <w:jc w:val="both"/>
              <w:rPr>
                <w:rFonts w:ascii="Verdana" w:eastAsia="Verdana" w:hAnsi="Verdana" w:cs="Verdana"/>
                <w:color w:val="000000"/>
              </w:rPr>
            </w:pPr>
            <w:r w:rsidRPr="004E6FE2">
              <w:rPr>
                <w:rFonts w:ascii="Verdana" w:eastAsia="Verdana" w:hAnsi="Verdana" w:cs="Verdana"/>
                <w:b/>
                <w:bCs/>
                <w:color w:val="000000"/>
              </w:rPr>
              <w:t>Temas:</w:t>
            </w:r>
            <w:r w:rsidRPr="004E6FE2">
              <w:rPr>
                <w:rFonts w:ascii="Verdana" w:eastAsia="Verdana" w:hAnsi="Verdana" w:cs="Verdana"/>
                <w:color w:val="000000"/>
              </w:rPr>
              <w:t xml:space="preserve">                   </w:t>
            </w:r>
          </w:p>
        </w:tc>
        <w:tc>
          <w:tcPr>
            <w:tcW w:w="6100" w:type="dxa"/>
          </w:tcPr>
          <w:p w14:paraId="78BF6AE6" w14:textId="7CCD61AF" w:rsidR="004E6FE2" w:rsidRPr="004E6FE2" w:rsidRDefault="004E6FE2" w:rsidP="004E6FE2">
            <w:pPr>
              <w:spacing w:after="0" w:line="276" w:lineRule="auto"/>
              <w:jc w:val="both"/>
              <w:rPr>
                <w:rFonts w:ascii="Verdana" w:eastAsia="Arial" w:hAnsi="Verdana" w:cs="Arial"/>
                <w:color w:val="1F1F1F"/>
              </w:rPr>
            </w:pPr>
            <w:r w:rsidRPr="004E6FE2">
              <w:rPr>
                <w:rFonts w:ascii="Verdana" w:eastAsia="Arial" w:hAnsi="Verdana" w:cs="Arial"/>
                <w:color w:val="1F1F1F"/>
                <w:lang w:val="es-ES"/>
              </w:rPr>
              <w:t xml:space="preserve">CONTRATO DE PRESTACIÓN DE SERVICIOS – Concepto / CONTRATO DE PRESTACIÓN DE SERVICIOS – Características / </w:t>
            </w:r>
            <w:r w:rsidRPr="004E6FE2">
              <w:rPr>
                <w:rFonts w:ascii="Verdana" w:eastAsia="Arial" w:hAnsi="Verdana" w:cs="Arial"/>
                <w:color w:val="1F1F1F"/>
              </w:rPr>
              <w:t xml:space="preserve">CONTRATO DE PRESTACIÓN DE SERVICIOS – Persona natural extranjera – Idoneidad – Ejecución en el territorio nacional – Ejecución desde el exterior / </w:t>
            </w:r>
            <w:r w:rsidRPr="004E6FE2">
              <w:rPr>
                <w:rFonts w:ascii="Verdana" w:eastAsia="Arial" w:hAnsi="Verdana" w:cs="Arial"/>
                <w:bCs/>
                <w:color w:val="1F1F1F"/>
                <w:lang w:val="es-ES_tradnl"/>
              </w:rPr>
              <w:t xml:space="preserve">CONTRATO DE PRESTACIÓN DE SERVICIOS – Permiso de trabajo – Visa </w:t>
            </w:r>
            <w:r w:rsidRPr="004E6FE2">
              <w:rPr>
                <w:rFonts w:ascii="Verdana" w:eastAsia="Arial" w:hAnsi="Verdana" w:cs="Arial"/>
                <w:color w:val="1F1F1F"/>
              </w:rPr>
              <w:t>/ RÉGIMEN DE INHABILIDADES E INCOMPATIBILIDADES – Aplicabilidad a extranjeros – Falta de registros nacionales – Declaración bajo gravedad de juramento – Principio de responsabilidad / SISTEMA DE SEGURIDAD SOCIAL INTEGRAL – Obligación de cotizar – Territorialidad – Escenarios - Procedencia</w:t>
            </w:r>
          </w:p>
          <w:p w14:paraId="62750299" w14:textId="77777777" w:rsidR="004E6FE2" w:rsidRPr="004E6FE2" w:rsidRDefault="004E6FE2" w:rsidP="004E6FE2">
            <w:pPr>
              <w:spacing w:after="0" w:line="276" w:lineRule="auto"/>
              <w:jc w:val="both"/>
              <w:rPr>
                <w:rFonts w:ascii="Verdana" w:eastAsia="Verdana" w:hAnsi="Verdana" w:cs="Verdana"/>
              </w:rPr>
            </w:pPr>
          </w:p>
          <w:p w14:paraId="3DF189F7" w14:textId="77777777" w:rsidR="004E6FE2" w:rsidRPr="004E6FE2" w:rsidRDefault="004E6FE2" w:rsidP="004E6FE2">
            <w:pPr>
              <w:spacing w:after="0" w:line="276" w:lineRule="auto"/>
              <w:jc w:val="both"/>
              <w:rPr>
                <w:rFonts w:ascii="Verdana" w:eastAsia="Verdana" w:hAnsi="Verdana" w:cs="Verdana"/>
              </w:rPr>
            </w:pPr>
          </w:p>
        </w:tc>
      </w:tr>
      <w:tr w:rsidR="004E6FE2" w:rsidRPr="004E6FE2" w14:paraId="54B433CE" w14:textId="77777777" w:rsidTr="005E6732">
        <w:trPr>
          <w:trHeight w:val="644"/>
        </w:trPr>
        <w:tc>
          <w:tcPr>
            <w:tcW w:w="2738" w:type="dxa"/>
          </w:tcPr>
          <w:p w14:paraId="0BEF0E36" w14:textId="77777777" w:rsidR="004E6FE2" w:rsidRPr="004E6FE2" w:rsidRDefault="004E6FE2" w:rsidP="004E6FE2">
            <w:pPr>
              <w:spacing w:after="0" w:line="240" w:lineRule="auto"/>
              <w:jc w:val="both"/>
              <w:rPr>
                <w:rFonts w:ascii="Verdana" w:eastAsia="Verdana" w:hAnsi="Verdana" w:cs="Verdana"/>
                <w:b/>
                <w:bCs/>
                <w:highlight w:val="white"/>
              </w:rPr>
            </w:pPr>
            <w:r w:rsidRPr="004E6FE2">
              <w:rPr>
                <w:rFonts w:ascii="Verdana" w:eastAsia="Verdana" w:hAnsi="Verdana" w:cs="Verdana"/>
                <w:b/>
                <w:bCs/>
                <w:highlight w:val="white"/>
              </w:rPr>
              <w:t>Radicación:</w:t>
            </w:r>
            <w:r w:rsidRPr="004E6FE2">
              <w:rPr>
                <w:rFonts w:ascii="Verdana" w:eastAsia="Verdana" w:hAnsi="Verdana" w:cs="Verdana"/>
                <w:highlight w:val="white"/>
              </w:rPr>
              <w:t xml:space="preserve">               </w:t>
            </w:r>
          </w:p>
        </w:tc>
        <w:tc>
          <w:tcPr>
            <w:tcW w:w="6100" w:type="dxa"/>
          </w:tcPr>
          <w:p w14:paraId="6D00D9E6" w14:textId="21018C10" w:rsidR="004E6FE2" w:rsidRPr="004E6FE2" w:rsidRDefault="004E6FE2" w:rsidP="004E6FE2">
            <w:pPr>
              <w:spacing w:after="0" w:line="240" w:lineRule="auto"/>
              <w:jc w:val="both"/>
              <w:rPr>
                <w:rFonts w:ascii="Verdana" w:eastAsia="Verdana" w:hAnsi="Verdana" w:cs="Verdana"/>
                <w:highlight w:val="yellow"/>
              </w:rPr>
            </w:pPr>
            <w:r w:rsidRPr="004E6FE2">
              <w:rPr>
                <w:rFonts w:ascii="Verdana" w:eastAsia="Verdana" w:hAnsi="Verdana" w:cs="Verdana"/>
                <w:highlight w:val="white"/>
              </w:rPr>
              <w:t>Respuesta a la consulta con radicado No. 1_2026_05_11_006364</w:t>
            </w:r>
            <w:r w:rsidR="003A532B">
              <w:rPr>
                <w:rFonts w:ascii="Verdana" w:eastAsia="Verdana" w:hAnsi="Verdana" w:cs="Verdana"/>
                <w:highlight w:val="white"/>
              </w:rPr>
              <w:t xml:space="preserve">, </w:t>
            </w:r>
            <w:r w:rsidR="003A532B" w:rsidRPr="003A532B">
              <w:rPr>
                <w:rFonts w:ascii="Verdana" w:eastAsia="Verdana" w:hAnsi="Verdana" w:cs="Verdana"/>
                <w:highlight w:val="white"/>
              </w:rPr>
              <w:t>1_2026_05_25_007024</w:t>
            </w:r>
            <w:r w:rsidR="009926F7">
              <w:rPr>
                <w:rFonts w:ascii="Verdana" w:eastAsia="Verdana" w:hAnsi="Verdana" w:cs="Verdana"/>
                <w:highlight w:val="white"/>
              </w:rPr>
              <w:t xml:space="preserve"> y </w:t>
            </w:r>
            <w:r w:rsidR="009926F7" w:rsidRPr="009926F7">
              <w:rPr>
                <w:rFonts w:ascii="Verdana" w:eastAsia="Verdana" w:hAnsi="Verdana" w:cs="Verdana"/>
                <w:highlight w:val="white"/>
              </w:rPr>
              <w:t>1_2026_05_25_007006</w:t>
            </w:r>
            <w:r w:rsidR="009926F7">
              <w:rPr>
                <w:rFonts w:ascii="Verdana" w:eastAsia="Verdana" w:hAnsi="Verdana" w:cs="Verdana"/>
                <w:highlight w:val="white"/>
              </w:rPr>
              <w:t xml:space="preserve"> (acumulados)</w:t>
            </w:r>
          </w:p>
        </w:tc>
      </w:tr>
    </w:tbl>
    <w:p w14:paraId="20344B5E" w14:textId="77777777" w:rsidR="004E6FE2" w:rsidRPr="004E6FE2" w:rsidRDefault="004E6FE2" w:rsidP="004E6FE2">
      <w:pPr>
        <w:spacing w:after="0" w:line="240" w:lineRule="auto"/>
        <w:jc w:val="both"/>
        <w:rPr>
          <w:rFonts w:ascii="Verdana" w:eastAsia="Verdana" w:hAnsi="Verdana" w:cs="Verdana"/>
          <w:color w:val="000000"/>
        </w:rPr>
      </w:pPr>
    </w:p>
    <w:p w14:paraId="113C0D59" w14:textId="77777777" w:rsidR="004E6FE2" w:rsidRPr="004E6FE2" w:rsidRDefault="004E6FE2" w:rsidP="004E6FE2">
      <w:pPr>
        <w:spacing w:after="0" w:line="276" w:lineRule="auto"/>
        <w:jc w:val="both"/>
        <w:rPr>
          <w:rFonts w:ascii="Verdana" w:eastAsia="Verdana" w:hAnsi="Verdana" w:cs="Verdana"/>
          <w:highlight w:val="white"/>
        </w:rPr>
      </w:pPr>
      <w:r w:rsidRPr="004E6FE2">
        <w:rPr>
          <w:rFonts w:ascii="Verdana" w:eastAsia="Verdana" w:hAnsi="Verdana" w:cs="Verdana"/>
          <w:highlight w:val="white"/>
        </w:rPr>
        <w:t xml:space="preserve">Estimada Señora Corredor: </w:t>
      </w:r>
    </w:p>
    <w:p w14:paraId="47D8CBA6" w14:textId="77777777" w:rsidR="004E6FE2" w:rsidRPr="004E6FE2" w:rsidRDefault="004E6FE2" w:rsidP="004E6FE2">
      <w:pPr>
        <w:spacing w:after="0" w:line="276" w:lineRule="auto"/>
        <w:jc w:val="both"/>
        <w:rPr>
          <w:rFonts w:ascii="Verdana" w:eastAsia="Verdana" w:hAnsi="Verdana" w:cs="Verdana"/>
        </w:rPr>
      </w:pPr>
    </w:p>
    <w:p w14:paraId="6309819C" w14:textId="77777777" w:rsidR="004E6FE2" w:rsidRPr="004E6FE2" w:rsidRDefault="004E6FE2" w:rsidP="004E6FE2">
      <w:pPr>
        <w:spacing w:after="0" w:line="276" w:lineRule="auto"/>
        <w:jc w:val="both"/>
        <w:rPr>
          <w:rFonts w:ascii="Verdana" w:eastAsia="Verdana" w:hAnsi="Verdana" w:cs="Verdana"/>
          <w:color w:val="000000"/>
          <w:highlight w:val="white"/>
        </w:rPr>
      </w:pPr>
      <w:r w:rsidRPr="004E6FE2">
        <w:rPr>
          <w:rFonts w:ascii="Verdana" w:eastAsia="Verdana" w:hAnsi="Verdana" w:cs="Verdana"/>
          <w:color w:val="000000"/>
        </w:rPr>
        <w:t xml:space="preserve">En ejercicio de la competencia otorgada por los artículos 3, numeral 5º, y 11, numeral 8º, del Decreto Ley 4170 de 2011, así como lo establecido por la Resolución 469 de 2025 expedida por esta Entidad, la Agencia Nacional de </w:t>
      </w:r>
      <w:r w:rsidRPr="004E6FE2">
        <w:rPr>
          <w:rFonts w:ascii="Verdana" w:eastAsia="Verdana" w:hAnsi="Verdana" w:cs="Verdana"/>
          <w:color w:val="000000"/>
        </w:rPr>
        <w:lastRenderedPageBreak/>
        <w:t xml:space="preserve">Contratación Pública –Colombia Compra Eficiente– responde a la solicitud de consulta presentada el 11 de mayo de 2026, </w:t>
      </w:r>
      <w:r w:rsidRPr="004E6FE2">
        <w:rPr>
          <w:rFonts w:ascii="Verdana" w:eastAsia="Verdana" w:hAnsi="Verdana" w:cs="Verdana"/>
          <w:color w:val="000000"/>
          <w:highlight w:val="white"/>
        </w:rPr>
        <w:t xml:space="preserve">en el ámbito de sus competencias: </w:t>
      </w:r>
    </w:p>
    <w:p w14:paraId="7EBE237F" w14:textId="77777777" w:rsidR="004E6FE2" w:rsidRPr="004E6FE2" w:rsidRDefault="004E6FE2" w:rsidP="004E6FE2">
      <w:pPr>
        <w:spacing w:after="120" w:line="240" w:lineRule="auto"/>
        <w:jc w:val="both"/>
        <w:rPr>
          <w:rFonts w:ascii="Verdana" w:eastAsia="Verdana" w:hAnsi="Verdana" w:cs="Verdana"/>
          <w:b/>
          <w:bCs/>
          <w:color w:val="000000"/>
          <w:highlight w:val="white"/>
        </w:rPr>
      </w:pPr>
    </w:p>
    <w:p w14:paraId="5F64B991" w14:textId="77777777" w:rsidR="004E6FE2" w:rsidRPr="004E6FE2" w:rsidRDefault="004E6FE2" w:rsidP="004E6FE2">
      <w:pPr>
        <w:numPr>
          <w:ilvl w:val="0"/>
          <w:numId w:val="5"/>
        </w:numPr>
        <w:spacing w:after="0" w:line="240" w:lineRule="auto"/>
        <w:ind w:left="709" w:right="709"/>
        <w:jc w:val="both"/>
        <w:rPr>
          <w:rFonts w:ascii="Verdana" w:eastAsia="Verdana" w:hAnsi="Verdana" w:cs="Verdana"/>
          <w:b/>
          <w:bCs/>
          <w:color w:val="000000"/>
          <w:sz w:val="20"/>
          <w:szCs w:val="20"/>
        </w:rPr>
      </w:pPr>
      <w:r w:rsidRPr="004E6FE2">
        <w:rPr>
          <w:rFonts w:ascii="Verdana" w:eastAsia="Verdana" w:hAnsi="Verdana" w:cs="Verdana"/>
          <w:b/>
          <w:bCs/>
          <w:color w:val="000000"/>
          <w:sz w:val="20"/>
          <w:szCs w:val="20"/>
        </w:rPr>
        <w:t>Verificación de requisitos en contratación con extranjeros</w:t>
      </w:r>
    </w:p>
    <w:p w14:paraId="362FE863"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66F2E957"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el marco de vinculaciones contractuales de personas naturales extranjeras con entidades públicas colombianas mediante contratos de prestación de servicios:</w:t>
      </w:r>
    </w:p>
    <w:p w14:paraId="0FEEA479" w14:textId="77777777" w:rsidR="004E6FE2" w:rsidRPr="004E6FE2" w:rsidRDefault="004E6FE2" w:rsidP="004E6FE2">
      <w:pPr>
        <w:numPr>
          <w:ilvl w:val="0"/>
          <w:numId w:val="6"/>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¿Cuál es el alcance del deber de verificación que tienen las entidades estatales respecto de antecedentes judiciales, disciplinarios, fiscales o cualquier otro requisito de idoneidad de personas naturales extranjeras?</w:t>
      </w:r>
    </w:p>
    <w:p w14:paraId="51285EB8" w14:textId="77777777" w:rsidR="004E6FE2" w:rsidRPr="004E6FE2" w:rsidRDefault="004E6FE2" w:rsidP="004E6FE2">
      <w:pPr>
        <w:numPr>
          <w:ilvl w:val="0"/>
          <w:numId w:val="6"/>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¿Qué fuentes, sistemas o mecanismos oficiales deben consultar las entidades públicas para verificar el cumplimiento de requisitos habilitantes de personas naturales extranjeras que contraten con el Estado y no residen en Colombia?</w:t>
      </w:r>
    </w:p>
    <w:p w14:paraId="14C68B7E"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1FE221AA" w14:textId="77777777" w:rsidR="004E6FE2" w:rsidRPr="004E6FE2" w:rsidRDefault="004E6FE2" w:rsidP="004E6FE2">
      <w:pPr>
        <w:numPr>
          <w:ilvl w:val="0"/>
          <w:numId w:val="5"/>
        </w:numPr>
        <w:spacing w:after="0" w:line="240" w:lineRule="auto"/>
        <w:ind w:left="709" w:right="709"/>
        <w:jc w:val="both"/>
        <w:rPr>
          <w:rFonts w:ascii="Verdana" w:eastAsia="Verdana" w:hAnsi="Verdana" w:cs="Verdana"/>
          <w:b/>
          <w:bCs/>
          <w:color w:val="000000"/>
          <w:sz w:val="20"/>
          <w:szCs w:val="20"/>
        </w:rPr>
      </w:pPr>
      <w:r w:rsidRPr="004E6FE2">
        <w:rPr>
          <w:rFonts w:ascii="Verdana" w:eastAsia="Verdana" w:hAnsi="Verdana" w:cs="Verdana"/>
          <w:b/>
          <w:bCs/>
          <w:color w:val="000000"/>
          <w:sz w:val="20"/>
          <w:szCs w:val="20"/>
        </w:rPr>
        <w:t>Inhabilidades e incompatibilidades en contratistas extranjeros</w:t>
      </w:r>
    </w:p>
    <w:p w14:paraId="413235C6"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3E45BD8E" w14:textId="77777777" w:rsidR="004E6FE2" w:rsidRPr="004E6FE2" w:rsidRDefault="004E6FE2" w:rsidP="004E6FE2">
      <w:pPr>
        <w:numPr>
          <w:ilvl w:val="0"/>
          <w:numId w:val="7"/>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¿El régimen de inhabilidades e incompatibilidades aplicable a la contratación estatal en Colombia es plenamente exigible a personas naturales extranjeras no residentes en Colombia?</w:t>
      </w:r>
    </w:p>
    <w:p w14:paraId="1485B526" w14:textId="77777777" w:rsidR="004E6FE2" w:rsidRPr="004E6FE2" w:rsidRDefault="004E6FE2" w:rsidP="004E6FE2">
      <w:pPr>
        <w:numPr>
          <w:ilvl w:val="0"/>
          <w:numId w:val="7"/>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caso afirmativo, ¿qué mecanismos o procedimientos deben adelantar las entidades estatales para verificar la ausencia de inhabilidades e incompatibilidades cuando se trata de extranjeros sin registros en bases de datos nacionales?</w:t>
      </w:r>
    </w:p>
    <w:p w14:paraId="68832DFF" w14:textId="77777777" w:rsidR="004E6FE2" w:rsidRPr="004E6FE2" w:rsidRDefault="004E6FE2" w:rsidP="004E6FE2">
      <w:pPr>
        <w:numPr>
          <w:ilvl w:val="0"/>
          <w:numId w:val="7"/>
        </w:numPr>
        <w:spacing w:after="0" w:line="240" w:lineRule="auto"/>
        <w:ind w:left="709" w:right="709"/>
        <w:jc w:val="both"/>
        <w:rPr>
          <w:rFonts w:ascii="Verdana" w:eastAsia="Verdana" w:hAnsi="Verdana" w:cs="Verdana"/>
          <w:color w:val="000000"/>
          <w:sz w:val="20"/>
          <w:szCs w:val="20"/>
          <w:lang w:val="es-ES"/>
        </w:rPr>
      </w:pPr>
      <w:r w:rsidRPr="004E6FE2">
        <w:rPr>
          <w:rFonts w:ascii="Verdana" w:eastAsia="Verdana" w:hAnsi="Verdana" w:cs="Verdana"/>
          <w:color w:val="000000"/>
          <w:sz w:val="20"/>
          <w:szCs w:val="20"/>
          <w:lang w:val="es-ES"/>
        </w:rPr>
        <w:t xml:space="preserve">¿Existe algún lineamiento específico de Colombia Compra Eficiente sobre la verificación de inhabilidades en contratistas extranjeros?. </w:t>
      </w:r>
    </w:p>
    <w:p w14:paraId="0B887C83" w14:textId="77777777" w:rsidR="004E6FE2" w:rsidRPr="004E6FE2" w:rsidRDefault="004E6FE2" w:rsidP="004E6FE2">
      <w:pPr>
        <w:numPr>
          <w:ilvl w:val="0"/>
          <w:numId w:val="7"/>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¿Cuál es el sustento normativo aplicable para estos casos?</w:t>
      </w:r>
    </w:p>
    <w:p w14:paraId="0E1D5E26"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17B17FE5" w14:textId="77777777" w:rsidR="004E6FE2" w:rsidRPr="004E6FE2" w:rsidRDefault="004E6FE2" w:rsidP="004E6FE2">
      <w:pPr>
        <w:numPr>
          <w:ilvl w:val="0"/>
          <w:numId w:val="5"/>
        </w:numPr>
        <w:spacing w:after="0" w:line="240" w:lineRule="auto"/>
        <w:ind w:left="709" w:right="709"/>
        <w:jc w:val="both"/>
        <w:rPr>
          <w:rFonts w:ascii="Verdana" w:eastAsia="Verdana" w:hAnsi="Verdana" w:cs="Verdana"/>
          <w:b/>
          <w:bCs/>
          <w:color w:val="000000"/>
          <w:sz w:val="20"/>
          <w:szCs w:val="20"/>
        </w:rPr>
      </w:pPr>
      <w:r w:rsidRPr="004E6FE2">
        <w:rPr>
          <w:rFonts w:ascii="Verdana" w:eastAsia="Verdana" w:hAnsi="Verdana" w:cs="Verdana"/>
          <w:b/>
          <w:bCs/>
          <w:color w:val="000000"/>
          <w:sz w:val="20"/>
          <w:szCs w:val="20"/>
        </w:rPr>
        <w:t>Soportes y documentos idóneos</w:t>
      </w:r>
    </w:p>
    <w:p w14:paraId="0F842E7D"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5CF83106"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¿Qué documentos o soportes pueden exigir las entidades públicas a personas naturales extranjeras para acreditar la ausencia de inhabilidades en procesos de contratación?</w:t>
      </w:r>
    </w:p>
    <w:p w14:paraId="387D9530"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¿Es procedente aceptar certificaciones o antecedentes emitidos por autoridades del país de origen o residencia del extranjero? En caso afirmativo ¿qué criterios de validez deben cumplirse?</w:t>
      </w:r>
    </w:p>
    <w:p w14:paraId="44D11C64"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¿Las entidades estatales deben o pueden exigir la verificación de antecedentes penales, fiscales, disciplinarios o equivalentes del país de origen o residencia del contratista extranjero?</w:t>
      </w:r>
    </w:p>
    <w:p w14:paraId="253B0CE2"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¿Existe algún lineamiento o estándar definido por Colombia Compra Eficiente para este tipo de verificaciones internacionales?</w:t>
      </w:r>
    </w:p>
    <w:p w14:paraId="656A0ACC"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En los casos en que no sea posible la verificación de antecedentes en bases de datos nacionales, por ausencia de documento de identificación colombiano, ¿qué mecanismos alternativos pueden o deben emplear las </w:t>
      </w:r>
      <w:r w:rsidRPr="004E6FE2">
        <w:rPr>
          <w:rFonts w:ascii="Verdana" w:eastAsia="Verdana" w:hAnsi="Verdana" w:cs="Verdana"/>
          <w:color w:val="000000"/>
          <w:sz w:val="20"/>
          <w:szCs w:val="20"/>
        </w:rPr>
        <w:lastRenderedPageBreak/>
        <w:t>entidades públicas (por ejemplo, declaraciones bajo grado de juramento u otras instrucciones)</w:t>
      </w:r>
    </w:p>
    <w:p w14:paraId="302D2600" w14:textId="77777777" w:rsidR="004E6FE2" w:rsidRPr="004E6FE2" w:rsidRDefault="004E6FE2" w:rsidP="004E6FE2">
      <w:pPr>
        <w:numPr>
          <w:ilvl w:val="0"/>
          <w:numId w:val="8"/>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los eventos en que el contrato sea ejecutado en el exterior, ¿se mantiene la exigencia de estas verificaciones o su aplicación se modula en función del criterio de territorialidad?</w:t>
      </w:r>
    </w:p>
    <w:p w14:paraId="4F17AB6F"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5A18AE92" w14:textId="77777777" w:rsidR="004E6FE2" w:rsidRPr="004E6FE2" w:rsidRDefault="004E6FE2" w:rsidP="004E6FE2">
      <w:pPr>
        <w:numPr>
          <w:ilvl w:val="0"/>
          <w:numId w:val="5"/>
        </w:numPr>
        <w:spacing w:after="0" w:line="240" w:lineRule="auto"/>
        <w:ind w:left="709" w:right="709"/>
        <w:jc w:val="both"/>
        <w:rPr>
          <w:rFonts w:ascii="Verdana" w:eastAsia="Verdana" w:hAnsi="Verdana" w:cs="Verdana"/>
          <w:b/>
          <w:bCs/>
          <w:color w:val="000000"/>
          <w:sz w:val="20"/>
          <w:szCs w:val="20"/>
        </w:rPr>
      </w:pPr>
      <w:r w:rsidRPr="004E6FE2">
        <w:rPr>
          <w:rFonts w:ascii="Verdana" w:eastAsia="Verdana" w:hAnsi="Verdana" w:cs="Verdana"/>
          <w:b/>
          <w:bCs/>
          <w:color w:val="000000"/>
          <w:sz w:val="20"/>
          <w:szCs w:val="20"/>
        </w:rPr>
        <w:t>Verificación de registros de deudores alimentarios y medidas correctivas</w:t>
      </w:r>
    </w:p>
    <w:p w14:paraId="7FEDEA6E" w14:textId="77777777" w:rsidR="004E6FE2" w:rsidRPr="004E6FE2" w:rsidRDefault="004E6FE2" w:rsidP="004E6FE2">
      <w:pPr>
        <w:spacing w:after="0" w:line="240" w:lineRule="auto"/>
        <w:ind w:left="709" w:right="709"/>
        <w:jc w:val="both"/>
        <w:rPr>
          <w:rFonts w:ascii="Verdana" w:eastAsia="Verdana" w:hAnsi="Verdana" w:cs="Verdana"/>
          <w:b/>
          <w:bCs/>
          <w:color w:val="000000"/>
          <w:sz w:val="20"/>
          <w:szCs w:val="20"/>
        </w:rPr>
      </w:pPr>
    </w:p>
    <w:p w14:paraId="65478488"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Teniendo en cuenta la exigibilidad del Registro de Deudores Alimentarios Morosos (REDAM) y del Registro Nacional de Medidas Correctivas (RNMC) para los procesos contractuales, y considerando el caso de que las personas naturales extranjeras que no cuentan con cédula de extranjería no pueden ser consultadas o registradas a dichos sistemas bajo los parámetros ordinarios, se solicita: </w:t>
      </w:r>
    </w:p>
    <w:p w14:paraId="03B437F1"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33D2C68F"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¿Es obligatorio para las entidades estatales verificar la inscripción en el REDAM y en el RNMC tratándose de contratistas extranjeros sin documento de identificación colombiano?</w:t>
      </w:r>
    </w:p>
    <w:p w14:paraId="381823A8"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caso de no ser posible la consulta en dichos registros por ausencia de cédula de extranjería, ¿qué mecanismos alternativos de verificación deben aplicar las entidades públicas para efectos de acreditar la inexistencia de inhabilidades o restricciones asociadas a dichos registros?</w:t>
      </w:r>
    </w:p>
    <w:p w14:paraId="111CB75B"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¿Es procedente exigir declaraciones bajo gravedad de juramento, certificaciones equivalentes del país de origen o residencia, o algún otro tipo de documento sustitutivo? En caso afirmativo, ¿cuáles serían los criterios de suficiencia y validez?</w:t>
      </w:r>
    </w:p>
    <w:p w14:paraId="15B2D0F0"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¿La imposibilidad material de consultar estos registros constituye una limitación para contratar, o puede ser suplida mediante otros mecanismos de verificación sin afectar el principio de selección objetiva? </w:t>
      </w:r>
    </w:p>
    <w:p w14:paraId="0806477B"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¿Existe algún lineamiento específico emitido por Colombia Compra Eficiente o por otra autoridad competente sobre la forma en que debe realizarse esta verificación en el caso de personas extranjeras?</w:t>
      </w:r>
    </w:p>
    <w:p w14:paraId="73F0E750" w14:textId="77777777" w:rsidR="004E6FE2" w:rsidRPr="004E6FE2" w:rsidRDefault="004E6FE2" w:rsidP="004E6FE2">
      <w:pPr>
        <w:numPr>
          <w:ilvl w:val="0"/>
          <w:numId w:val="9"/>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los eventos en que el contrato sea total o parcialmente desde el exterior por parte del contratista extranjero, ¿resulta exigible la verificación de REDAM y en el RNMC, o dicha obligación se entiende inaplicable por ausencia de conexión territorial suficiente con el ordenamiento jurídico colombiano? En caso de considerarse exigible ¿cómo debe materializarse dicha verificación?</w:t>
      </w:r>
    </w:p>
    <w:p w14:paraId="7BE6D9A7"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6238C397" w14:textId="77777777" w:rsidR="004E6FE2" w:rsidRPr="004E6FE2" w:rsidRDefault="004E6FE2" w:rsidP="004E6FE2">
      <w:pPr>
        <w:numPr>
          <w:ilvl w:val="0"/>
          <w:numId w:val="5"/>
        </w:numPr>
        <w:spacing w:after="0" w:line="240" w:lineRule="auto"/>
        <w:ind w:left="709" w:right="709"/>
        <w:jc w:val="both"/>
        <w:rPr>
          <w:rFonts w:ascii="Verdana" w:eastAsia="Verdana" w:hAnsi="Verdana" w:cs="Verdana"/>
          <w:b/>
          <w:bCs/>
          <w:color w:val="000000"/>
          <w:sz w:val="20"/>
          <w:szCs w:val="20"/>
        </w:rPr>
      </w:pPr>
      <w:r w:rsidRPr="004E6FE2">
        <w:rPr>
          <w:rFonts w:ascii="Verdana" w:eastAsia="Verdana" w:hAnsi="Verdana" w:cs="Verdana"/>
          <w:b/>
          <w:bCs/>
          <w:color w:val="000000"/>
          <w:sz w:val="20"/>
          <w:szCs w:val="20"/>
        </w:rPr>
        <w:t>Exigibilidad del pago de seguridad social en contratos de prestación de servicios con extranjeros</w:t>
      </w:r>
    </w:p>
    <w:p w14:paraId="36B475A9"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4412AD42"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En los caos en que una persona natural extranjera ejecute un contrato de prestación de servicios en el territorio colombiano: </w:t>
      </w:r>
    </w:p>
    <w:p w14:paraId="1B8DA727"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24524568" w14:textId="77777777" w:rsidR="004E6FE2" w:rsidRPr="004E6FE2" w:rsidRDefault="004E6FE2" w:rsidP="004E6FE2">
      <w:pPr>
        <w:numPr>
          <w:ilvl w:val="0"/>
          <w:numId w:val="10"/>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lastRenderedPageBreak/>
        <w:t>¿Se encuentra obligada a afiliarse y cotizar al Sistema de Seguridad Social Integral en Colombia?</w:t>
      </w:r>
    </w:p>
    <w:p w14:paraId="033D7024" w14:textId="77777777" w:rsidR="004E6FE2" w:rsidRPr="004E6FE2" w:rsidRDefault="004E6FE2" w:rsidP="004E6FE2">
      <w:pPr>
        <w:numPr>
          <w:ilvl w:val="0"/>
          <w:numId w:val="10"/>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En caso afirmativo, por favor indique el fundamento normativo aplicable y si dicha obligación depende de la condición migratoria del extranjero (por ejemplo, tipo de visa o permanencia). </w:t>
      </w:r>
    </w:p>
    <w:p w14:paraId="6703C1E2"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los caos en que una persona natural extranjera ejecute un contrato de prestación de servicios desde el exterior, sin presencia física en Colombia:</w:t>
      </w:r>
    </w:p>
    <w:p w14:paraId="1631ECC6" w14:textId="77777777" w:rsidR="004E6FE2" w:rsidRPr="004E6FE2" w:rsidRDefault="004E6FE2" w:rsidP="004E6FE2">
      <w:pPr>
        <w:numPr>
          <w:ilvl w:val="0"/>
          <w:numId w:val="11"/>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¿Existe obligación de afiliación y cotización al Sistema de Seguridad Social Integral en Colombia?</w:t>
      </w:r>
    </w:p>
    <w:p w14:paraId="1455211A" w14:textId="77777777" w:rsidR="004E6FE2" w:rsidRPr="004E6FE2" w:rsidRDefault="004E6FE2" w:rsidP="004E6FE2">
      <w:pPr>
        <w:numPr>
          <w:ilvl w:val="0"/>
          <w:numId w:val="11"/>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caso negativo, por favor indique si la entidad contratante en Colombia tiene algún deber de verificación o exigencia frente a aportes a seguridad social en el país de residencia del contratista.</w:t>
      </w:r>
    </w:p>
    <w:p w14:paraId="20E3ACA0" w14:textId="77777777" w:rsidR="004E6FE2" w:rsidRPr="004E6FE2" w:rsidRDefault="004E6FE2" w:rsidP="004E6FE2">
      <w:pPr>
        <w:numPr>
          <w:ilvl w:val="0"/>
          <w:numId w:val="11"/>
        </w:num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¿Cuál es el sustento normativo aplicable para estos casos?</w:t>
      </w:r>
    </w:p>
    <w:p w14:paraId="59624938" w14:textId="77777777" w:rsidR="004E6FE2" w:rsidRPr="004E6FE2" w:rsidRDefault="004E6FE2" w:rsidP="004E6FE2">
      <w:pPr>
        <w:spacing w:after="120" w:line="240" w:lineRule="auto"/>
        <w:jc w:val="both"/>
        <w:rPr>
          <w:rFonts w:ascii="Verdana" w:eastAsia="Verdana" w:hAnsi="Verdana" w:cs="Verdana"/>
          <w:color w:val="000000"/>
        </w:rPr>
      </w:pPr>
    </w:p>
    <w:p w14:paraId="2A9FD40B" w14:textId="77777777" w:rsidR="004E6FE2" w:rsidRPr="004E6FE2" w:rsidRDefault="004E6FE2" w:rsidP="004E6FE2">
      <w:pPr>
        <w:spacing w:after="120" w:line="276" w:lineRule="auto"/>
        <w:ind w:firstLine="709"/>
        <w:jc w:val="both"/>
        <w:rPr>
          <w:rFonts w:ascii="Verdana" w:eastAsia="Verdana" w:hAnsi="Verdana" w:cs="Verdana"/>
          <w:color w:val="000000"/>
        </w:rPr>
      </w:pPr>
      <w:r w:rsidRPr="004E6FE2">
        <w:rPr>
          <w:rFonts w:ascii="Verdana" w:eastAsia="Verdana" w:hAnsi="Verdana" w:cs="Verdana"/>
          <w:color w:val="000000"/>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4E6FE2">
        <w:rPr>
          <w:rFonts w:ascii="Verdana" w:eastAsia="Verdana" w:hAnsi="Verdana" w:cs="Verdana"/>
          <w:color w:val="000000"/>
        </w:rPr>
        <w:tab/>
      </w:r>
    </w:p>
    <w:p w14:paraId="509676A6" w14:textId="77777777" w:rsidR="004E6FE2" w:rsidRPr="004E6FE2" w:rsidRDefault="004E6FE2" w:rsidP="004E6FE2">
      <w:pPr>
        <w:spacing w:after="0" w:line="276" w:lineRule="auto"/>
        <w:ind w:firstLine="708"/>
        <w:jc w:val="both"/>
        <w:rPr>
          <w:rFonts w:ascii="Verdana" w:eastAsia="Verdana" w:hAnsi="Verdana" w:cs="Verdana"/>
        </w:rPr>
      </w:pPr>
      <w:r w:rsidRPr="004E6FE2">
        <w:rPr>
          <w:rFonts w:ascii="Verdana" w:eastAsia="Verdana" w:hAnsi="Verdana" w:cs="Verdana"/>
          <w:color w:val="000000"/>
        </w:rPr>
        <w:t xml:space="preserve">Conforme lo expuesto, en aras de satisfacer el derecho fundamental de petición se resolverá su consulta dentro de los límites de la referida competencia consultiva, esto es, haciendo abstracción de las circunstancias específicas que la hayan motivado, pero señalando algunas consideraciones sobre las normas generales relacionadas con los problemas jurídicos de su consulta. </w:t>
      </w:r>
    </w:p>
    <w:p w14:paraId="3752912D" w14:textId="77777777" w:rsidR="004E6FE2" w:rsidRPr="004E6FE2" w:rsidRDefault="004E6FE2" w:rsidP="004E6FE2">
      <w:pPr>
        <w:spacing w:after="0" w:line="276" w:lineRule="auto"/>
        <w:jc w:val="both"/>
        <w:rPr>
          <w:rFonts w:ascii="Verdana" w:eastAsia="Verdana" w:hAnsi="Verdana" w:cs="Verdana"/>
          <w:color w:val="000000"/>
        </w:rPr>
      </w:pPr>
    </w:p>
    <w:p w14:paraId="75984123" w14:textId="77777777" w:rsidR="004E6FE2" w:rsidRPr="004E6FE2" w:rsidRDefault="004E6FE2" w:rsidP="004E6FE2">
      <w:pPr>
        <w:numPr>
          <w:ilvl w:val="0"/>
          <w:numId w:val="4"/>
        </w:numPr>
        <w:tabs>
          <w:tab w:val="left" w:pos="142"/>
          <w:tab w:val="left" w:pos="284"/>
        </w:tabs>
        <w:spacing w:after="0" w:line="276" w:lineRule="auto"/>
        <w:jc w:val="both"/>
        <w:rPr>
          <w:rFonts w:ascii="Verdana" w:eastAsia="Verdana" w:hAnsi="Verdana" w:cs="Verdana"/>
          <w:b/>
          <w:bCs/>
        </w:rPr>
      </w:pPr>
      <w:r w:rsidRPr="004E6FE2">
        <w:rPr>
          <w:rFonts w:ascii="Verdana" w:eastAsia="Verdana" w:hAnsi="Verdana" w:cs="Verdana"/>
          <w:b/>
          <w:bCs/>
        </w:rPr>
        <w:t xml:space="preserve"> Problema planteado:</w:t>
      </w:r>
    </w:p>
    <w:p w14:paraId="6D07DB17" w14:textId="77777777" w:rsidR="004E6FE2" w:rsidRPr="004E6FE2" w:rsidRDefault="004E6FE2" w:rsidP="004E6FE2">
      <w:pPr>
        <w:tabs>
          <w:tab w:val="left" w:pos="426"/>
        </w:tabs>
        <w:spacing w:after="0" w:line="276" w:lineRule="auto"/>
        <w:jc w:val="both"/>
        <w:rPr>
          <w:rFonts w:ascii="Verdana" w:eastAsia="Verdana" w:hAnsi="Verdana" w:cs="Verdana"/>
          <w:highlight w:val="white"/>
        </w:rPr>
      </w:pPr>
    </w:p>
    <w:p w14:paraId="616CF977" w14:textId="77777777" w:rsidR="004E6FE2" w:rsidRPr="004E6FE2" w:rsidRDefault="004E6FE2" w:rsidP="004E6FE2">
      <w:pPr>
        <w:spacing w:after="0" w:line="276" w:lineRule="auto"/>
        <w:jc w:val="both"/>
        <w:rPr>
          <w:rFonts w:ascii="Verdana" w:eastAsia="Verdana" w:hAnsi="Verdana" w:cs="Verdana"/>
          <w:highlight w:val="white"/>
          <w:lang w:val="es-CO"/>
        </w:rPr>
      </w:pPr>
      <w:r w:rsidRPr="004E6FE2">
        <w:rPr>
          <w:rFonts w:ascii="Verdana" w:eastAsia="Verdana" w:hAnsi="Verdana" w:cs="Verdana"/>
          <w:highlight w:val="white"/>
        </w:rPr>
        <w:t xml:space="preserve">De acuerdo con el contenido de su solicitud, esta Agencia resolverá los siguientes problemas jurídicos: </w:t>
      </w:r>
      <w:r w:rsidRPr="004E6FE2">
        <w:rPr>
          <w:rFonts w:ascii="Verdana" w:eastAsia="Verdana" w:hAnsi="Verdana" w:cs="Verdana"/>
          <w:highlight w:val="white"/>
          <w:lang w:val="es-CO"/>
        </w:rPr>
        <w:t xml:space="preserve">i) ¿Cuáles son las condiciones y criterios que deben tener en cuenta las entidades estatales cuando el contratista de prestación de servicios </w:t>
      </w:r>
      <w:r w:rsidRPr="004E6FE2">
        <w:rPr>
          <w:rFonts w:ascii="Verdana" w:eastAsia="Verdana" w:hAnsi="Verdana" w:cs="Verdana"/>
          <w:highlight w:val="white"/>
          <w:lang w:val="es-CO"/>
        </w:rPr>
        <w:lastRenderedPageBreak/>
        <w:t>es una persona natural extranjera, ya sea que ejecute el contrato dentro del territorio colombiano o de manera remota desde el exterior?; ii) ¿En qué medida resulta aplicable el régimen de inhabilidades e incompatibilidades a la contratación de personas naturales extranjeras y qué mecanismos deben emplear las entidades públicas para comprobar su cumplimiento cuando el contratista no cuenta con registros en las bases de datos nacionales?; iii) ¿Qué obligaciones debe acreditar un contratista extranjero respecto del pago y los aportes al Sistema de Seguridad Social Integral durante la ejecución de un contrato estatal?</w:t>
      </w:r>
    </w:p>
    <w:p w14:paraId="2CAB2AAA" w14:textId="77777777" w:rsidR="004E6FE2" w:rsidRPr="004E6FE2" w:rsidRDefault="004E6FE2" w:rsidP="004E6FE2">
      <w:pPr>
        <w:spacing w:after="0" w:line="276" w:lineRule="auto"/>
        <w:jc w:val="both"/>
        <w:rPr>
          <w:rFonts w:ascii="Verdana" w:eastAsia="Verdana" w:hAnsi="Verdana" w:cs="Verdana"/>
          <w:highlight w:val="yellow"/>
        </w:rPr>
      </w:pPr>
    </w:p>
    <w:p w14:paraId="3D908CD5" w14:textId="77777777" w:rsidR="004E6FE2" w:rsidRPr="004E6FE2" w:rsidRDefault="004E6FE2" w:rsidP="004E6FE2">
      <w:pPr>
        <w:numPr>
          <w:ilvl w:val="0"/>
          <w:numId w:val="4"/>
        </w:numPr>
        <w:tabs>
          <w:tab w:val="left" w:pos="142"/>
          <w:tab w:val="left" w:pos="284"/>
        </w:tabs>
        <w:spacing w:after="0" w:line="276" w:lineRule="auto"/>
        <w:jc w:val="both"/>
        <w:rPr>
          <w:rFonts w:ascii="Verdana" w:eastAsia="Verdana" w:hAnsi="Verdana" w:cs="Verdana"/>
          <w:b/>
          <w:bCs/>
        </w:rPr>
      </w:pPr>
      <w:r w:rsidRPr="004E6FE2">
        <w:rPr>
          <w:rFonts w:ascii="Verdana" w:eastAsia="Verdana" w:hAnsi="Verdana" w:cs="Verdana"/>
          <w:b/>
          <w:bCs/>
        </w:rPr>
        <w:t xml:space="preserve"> Respuesta:</w:t>
      </w:r>
    </w:p>
    <w:p w14:paraId="6D778F62" w14:textId="77777777" w:rsidR="004E6FE2" w:rsidRPr="004E6FE2" w:rsidRDefault="004E6FE2" w:rsidP="004E6FE2">
      <w:pPr>
        <w:tabs>
          <w:tab w:val="left" w:pos="142"/>
          <w:tab w:val="left" w:pos="284"/>
        </w:tabs>
        <w:spacing w:after="0" w:line="276" w:lineRule="auto"/>
        <w:jc w:val="both"/>
        <w:rPr>
          <w:rFonts w:ascii="Verdana" w:eastAsia="Verdana" w:hAnsi="Verdana" w:cs="Verdana"/>
          <w:b/>
          <w:bCs/>
        </w:rPr>
      </w:pPr>
    </w:p>
    <w:tbl>
      <w:tblPr>
        <w:tblW w:w="8828"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828"/>
      </w:tblGrid>
      <w:tr w:rsidR="004E6FE2" w:rsidRPr="004E6FE2" w14:paraId="265C7DBD" w14:textId="77777777" w:rsidTr="004E6FE2">
        <w:trPr>
          <w:jc w:val="center"/>
        </w:trPr>
        <w:tc>
          <w:tcPr>
            <w:tcW w:w="8828" w:type="dxa"/>
            <w:tcBorders>
              <w:top w:val="dotted" w:sz="4" w:space="0" w:color="000000"/>
              <w:left w:val="dotted" w:sz="4" w:space="0" w:color="000000"/>
              <w:bottom w:val="dotted" w:sz="4" w:space="0" w:color="000000"/>
              <w:right w:val="dotted" w:sz="4" w:space="0" w:color="000000"/>
            </w:tcBorders>
          </w:tcPr>
          <w:p w14:paraId="1EC491CC" w14:textId="77777777" w:rsidR="004E6FE2" w:rsidRPr="004E6FE2" w:rsidRDefault="004E6FE2" w:rsidP="004E6FE2">
            <w:pPr>
              <w:spacing w:line="276" w:lineRule="auto"/>
              <w:rPr>
                <w:rFonts w:ascii="Verdana" w:eastAsia="Arial" w:hAnsi="Verdana" w:cs="Times New Roman"/>
                <w:color w:val="1F1F1F"/>
              </w:rPr>
            </w:pPr>
            <w:r w:rsidRPr="004E6FE2">
              <w:rPr>
                <w:rFonts w:ascii="Verdana" w:eastAsia="Arial" w:hAnsi="Verdana" w:cs="Times New Roman"/>
                <w:color w:val="1F1F1F"/>
              </w:rPr>
              <w:t>Conforme a los problemas jurídicos de su consulta, se expone lo siguiente:</w:t>
            </w:r>
          </w:p>
          <w:p w14:paraId="761A07DD" w14:textId="77777777" w:rsidR="004E6FE2" w:rsidRPr="004E6FE2" w:rsidRDefault="004E6FE2" w:rsidP="004E6FE2">
            <w:pPr>
              <w:spacing w:after="120" w:line="276" w:lineRule="auto"/>
              <w:jc w:val="both"/>
              <w:rPr>
                <w:rFonts w:ascii="Verdana" w:eastAsia="Verdana" w:hAnsi="Verdana" w:cs="Verdana"/>
              </w:rPr>
            </w:pPr>
            <w:bookmarkStart w:id="1" w:name="_heading=h.bq8xsfflb72r" w:colFirst="0" w:colLast="0"/>
            <w:bookmarkEnd w:id="1"/>
            <w:r w:rsidRPr="004E6FE2">
              <w:rPr>
                <w:rFonts w:ascii="Verdana" w:eastAsia="Verdana" w:hAnsi="Verdana" w:cs="Verdana"/>
                <w:highlight w:val="white"/>
              </w:rPr>
              <w:t>i</w:t>
            </w:r>
            <w:r w:rsidRPr="004E6FE2">
              <w:rPr>
                <w:rFonts w:ascii="Verdana" w:eastAsia="Verdana" w:hAnsi="Verdana" w:cs="Verdana"/>
              </w:rPr>
              <w:t>. Con respecto al primer problema jurídico de su consulta se expone que, de conformidad con el artículo 1502 (numeral 1) del Código Civil</w:t>
            </w:r>
            <w:r w:rsidRPr="004E6FE2">
              <w:rPr>
                <w:rFonts w:ascii="Verdana" w:eastAsia="Verdana" w:hAnsi="Verdana" w:cs="Verdana"/>
                <w:vertAlign w:val="superscript"/>
              </w:rPr>
              <w:t xml:space="preserve"> </w:t>
            </w:r>
            <w:r w:rsidRPr="004E6FE2">
              <w:rPr>
                <w:rFonts w:ascii="Verdana" w:eastAsia="Verdana" w:hAnsi="Verdana" w:cs="Verdana"/>
              </w:rPr>
              <w:t>y el inciso primero del artículo 6 de la Ley 80 de 1993 —modificado por el artículo 1 de la Ley 2160 de 2021—, están facultadas para contratar con las entidades estatales aquellas personas consideradas legalmente capaces bajo las disposiciones vigentes. En consecuencia, dado que el artículo 74 del Código Civil define como personas a todos los individuos de la especie humana, sin distinción de edad, sexo, estirpe o condición, se concluye que los extranjeros gozan de plena capacidad jurídica para celebrar contratos estatales, a menos que se configuren causales de inhabilidad que restrinjan dicha capacidad</w:t>
            </w:r>
            <w:r w:rsidRPr="004E6FE2">
              <w:rPr>
                <w:rFonts w:ascii="Verdana" w:eastAsia="Verdana" w:hAnsi="Verdana" w:cs="Verdana"/>
                <w:highlight w:val="white"/>
              </w:rPr>
              <w:t>. Del rég</w:t>
            </w:r>
            <w:r w:rsidRPr="004E6FE2">
              <w:rPr>
                <w:rFonts w:ascii="Verdana" w:eastAsia="Verdana" w:hAnsi="Verdana" w:cs="Verdana"/>
              </w:rPr>
              <w:t xml:space="preserve">imen jurídico aplicable, también se infiere que las personas extranjeras domiciliadas en el exterior pueden ser contratistas. Para estos </w:t>
            </w:r>
            <w:r w:rsidRPr="004E6FE2">
              <w:rPr>
                <w:rFonts w:ascii="Verdana" w:eastAsia="Verdana" w:hAnsi="Verdana" w:cs="Verdana"/>
                <w:highlight w:val="white"/>
              </w:rPr>
              <w:t>efectos, el artículo 13 de la Ley 80 de 1993 dispone que “Los contratos celebrados en el exterior se podrán regir en su ejecución por las reglas del país en donde se hayan suscrito, a menos que deban cumplirse en Colombia” y que “Los contratos que se celebren en Colombia y deban ejecutarse o cumplirse en el extranjero, podrán someterse a la ley extranjera”.</w:t>
            </w:r>
            <w:r w:rsidRPr="004E6FE2">
              <w:rPr>
                <w:rFonts w:ascii="Verdana" w:eastAsia="Verdana" w:hAnsi="Verdana" w:cs="Verdana"/>
              </w:rPr>
              <w:t xml:space="preserve"> </w:t>
            </w:r>
          </w:p>
          <w:p w14:paraId="5FAC916F" w14:textId="77777777" w:rsidR="004E6FE2" w:rsidRPr="004E6FE2" w:rsidRDefault="004E6FE2" w:rsidP="004E6FE2">
            <w:pPr>
              <w:spacing w:before="120" w:after="120" w:line="276" w:lineRule="auto"/>
              <w:ind w:firstLine="708"/>
              <w:jc w:val="both"/>
              <w:rPr>
                <w:rFonts w:ascii="Verdana" w:eastAsia="Verdana" w:hAnsi="Verdana" w:cs="Verdana"/>
              </w:rPr>
            </w:pPr>
            <w:r w:rsidRPr="004E6FE2">
              <w:rPr>
                <w:rFonts w:ascii="Verdana" w:eastAsia="Verdana" w:hAnsi="Verdana" w:cs="Verdana"/>
              </w:rPr>
              <w:t xml:space="preserve">Como se observa, la capacidad para celebrar contratos estatales no se reserva exclusivamente a los nacionales. Por tanto, para efectos de la causal de contratación directa del artículo 2, numeral 4º, literal h), de la Ley 1150 de 2007, es posible celebrar un contrato de prestación de servicios con una persona extranjera. Ahora bien, sin perjuicio de los incisos 2 y 3 del artículo </w:t>
            </w:r>
            <w:r w:rsidRPr="004E6FE2">
              <w:rPr>
                <w:rFonts w:ascii="Verdana" w:eastAsia="Verdana" w:hAnsi="Verdana" w:cs="Verdana"/>
              </w:rPr>
              <w:lastRenderedPageBreak/>
              <w:t xml:space="preserve">13 de la Ley 80 de 1993, los contratos de prestación de servicios con extranjeros suponen requisitos y formalidades similares que aquellos celebrados con contratistas colombianos, aunado a los temas de permiso de trabajo y convalidación. Sin embargo, es preciso señalar que la existencia de algún matiz en el caso particular debe analizarse por la entidad contratante. En efecto, la competencia de Colombia Compra Eficiente se fija con límites claros con el propósito de evitar que la Agencia actúe como una instancia de validación de las actuaciones de las entidades sujetas a la Ley 80 de 1993 o de los demás participantes de la contratación pública. </w:t>
            </w:r>
          </w:p>
          <w:p w14:paraId="7A543BBE"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 xml:space="preserve">Teniendo en cuenta lo expuesto, frente a la contratación de ciudadanos extranjeros, es importante precisar que cuando estos se encuentran en el territorio colombiano, gozan de las mismas garantías concedidas a los nacionales, salvo las mismas excepciones o limitaciones que establezca el ordenamiento jurídico. En ese sentido, vale la pena resaltar la Ley 146 de 1994 “Por medio del cual se aprueba la Convención Internacional sobre la Protección de los Derechos de todos los Trabajadores Migratorios y de sus familiares”, en la que se define específicamente como trabajador migratorio a toda persona que vaya a realizar, realice o haya realizado alguna actividad remunerada por un Estado del que no es nacional y establece que los Estados parte deben colaborar entre sí para contrarrestar la ilegalidad del empleo de los trabajadores migratorios en situación irregular, así como para adoptar medidas apropiadas para que la situación irregular no persista. </w:t>
            </w:r>
          </w:p>
          <w:p w14:paraId="0C84E1DC" w14:textId="77777777" w:rsidR="004E6FE2" w:rsidRPr="004E6FE2" w:rsidRDefault="004E6FE2" w:rsidP="004E6FE2">
            <w:pPr>
              <w:spacing w:after="120" w:line="276" w:lineRule="auto"/>
              <w:ind w:firstLine="709"/>
              <w:jc w:val="both"/>
              <w:rPr>
                <w:rFonts w:ascii="Verdana" w:eastAsia="Verdana" w:hAnsi="Verdana" w:cs="Verdana"/>
                <w:sz w:val="21"/>
                <w:szCs w:val="21"/>
                <w:lang w:val="es-ES"/>
              </w:rPr>
            </w:pPr>
            <w:r w:rsidRPr="004E6FE2">
              <w:rPr>
                <w:rFonts w:ascii="Verdana" w:eastAsia="Verdana" w:hAnsi="Verdana" w:cs="Verdana"/>
                <w:lang w:val="es-ES"/>
              </w:rPr>
              <w:t xml:space="preserve">En el marco de la normativa que regula el sistema migratorio en Colombia, es decir, aquellas que regulan el ingreso y salida de las personas del territorio colombiano, se destaca el Decreto 1067 de 2015, “por medio del cual se expide el Decreto Único Reglamentario del Sector Administrativo de Relaciones Exteriores”. En este decreto compilatorio, particularmente, en su artículo 2.2.1.11.5.1, se establecen las obligaciones y exigencias para cualquier entidad, pública o privada, que contrate, vincule o admita a un extranjero bajo cualquier modalidad. </w:t>
            </w:r>
            <w:r w:rsidRPr="004E6FE2">
              <w:rPr>
                <w:rFonts w:ascii="Verdana" w:eastAsia="Verdana" w:hAnsi="Verdana" w:cs="Verdana"/>
                <w:sz w:val="21"/>
                <w:szCs w:val="21"/>
                <w:lang w:val="es-ES"/>
              </w:rPr>
              <w:t>Dicho precepto</w:t>
            </w:r>
            <w:r w:rsidRPr="004E6FE2">
              <w:rPr>
                <w:rFonts w:ascii="Verdana" w:eastAsia="Verdana" w:hAnsi="Verdana" w:cs="Verdana"/>
                <w:lang w:val="es-ES"/>
              </w:rPr>
              <w:t xml:space="preserve"> implica un deber de las entidades contratantes, ya sean públicas o privadas de exigir la presentación de la visa que le permita desarrollar la actividad, ocupación u oficio declarado en la solicitud de la visa. De igual modo, debe exigirle al extranjero la presentación de la Cédula de Extranjería cuando se esté en la obligación de tramitarla en cumplimiento de los requisitos migratorios, como son los casos </w:t>
            </w:r>
            <w:r w:rsidRPr="004E6FE2">
              <w:rPr>
                <w:rFonts w:ascii="Verdana" w:eastAsia="Verdana" w:hAnsi="Verdana" w:cs="Verdana"/>
                <w:lang w:val="es-ES"/>
              </w:rPr>
              <w:lastRenderedPageBreak/>
              <w:t>de las visas con vigencia superior a tres [3] meses, excepto los titulares de las visas que se establezcan para tal fin por parte del Ministerio de Relaciones Exteriores. En el evento de presentarse una desvinculación antes del término previsto en la relación debe informar por escrito o por los medios electrónicos establecidos para tal fin a la Unidad Administrativa Especial Migración Colombia acerca de dicha terminación en un término de hasta quince (15) días calendario siguientes a la ocurrencia del hecho. De igual manera, esta misma norma, establece que toda persona natural o jurídica que vincule, contrate, emplee o admita un extranjero para que preste sus servicios mediante cualquier modalidad debe suministrar la información que le solicite la autoridad de control migratorio.</w:t>
            </w:r>
            <w:r w:rsidRPr="004E6FE2">
              <w:rPr>
                <w:rFonts w:ascii="Verdana" w:eastAsia="Verdana" w:hAnsi="Verdana" w:cs="Verdana"/>
                <w:sz w:val="21"/>
                <w:szCs w:val="21"/>
                <w:lang w:val="es-ES"/>
              </w:rPr>
              <w:t xml:space="preserve"> </w:t>
            </w:r>
          </w:p>
          <w:p w14:paraId="60D975E2" w14:textId="77777777" w:rsidR="004E6FE2" w:rsidRPr="004E6FE2" w:rsidRDefault="004E6FE2" w:rsidP="004E6FE2">
            <w:pPr>
              <w:spacing w:line="276" w:lineRule="auto"/>
              <w:ind w:firstLine="709"/>
              <w:jc w:val="both"/>
              <w:rPr>
                <w:rFonts w:ascii="Verdana" w:eastAsia="Verdana" w:hAnsi="Verdana" w:cs="Verdana"/>
                <w:lang w:val="es-CO"/>
              </w:rPr>
            </w:pPr>
            <w:r w:rsidRPr="004E6FE2">
              <w:rPr>
                <w:rFonts w:ascii="Verdana" w:eastAsia="Verdana" w:hAnsi="Verdana" w:cs="Verdana"/>
              </w:rPr>
              <w:t xml:space="preserve">En el marco de lo dispuesto, el Ministerio de Relaciones Exteriores expidió la Resolución 5477 de 2022, “Por la cual se dictan disposiciones en materia de visas y se deroga la Resolución </w:t>
            </w:r>
            <w:hyperlink r:id="rId14" w:anchor="INICIO">
              <w:r w:rsidRPr="004E6FE2">
                <w:rPr>
                  <w:rFonts w:ascii="Verdana" w:eastAsia="Verdana" w:hAnsi="Verdana" w:cs="Verdana"/>
                </w:rPr>
                <w:t>1980</w:t>
              </w:r>
            </w:hyperlink>
            <w:r w:rsidRPr="004E6FE2">
              <w:rPr>
                <w:rFonts w:ascii="Verdana" w:eastAsia="Verdana" w:hAnsi="Verdana" w:cs="Verdana"/>
              </w:rPr>
              <w:t xml:space="preserve"> del 19 de marzo de 2014 y la Resolución </w:t>
            </w:r>
            <w:hyperlink r:id="rId15" w:anchor="INICIO">
              <w:r w:rsidRPr="004E6FE2">
                <w:rPr>
                  <w:rFonts w:ascii="Verdana" w:eastAsia="Verdana" w:hAnsi="Verdana" w:cs="Verdana"/>
                </w:rPr>
                <w:t>6045</w:t>
              </w:r>
            </w:hyperlink>
            <w:r w:rsidRPr="004E6FE2">
              <w:rPr>
                <w:rFonts w:ascii="Verdana" w:eastAsia="Verdana" w:hAnsi="Verdana" w:cs="Verdana"/>
              </w:rPr>
              <w:t xml:space="preserve"> del 2 de agosto de 2017”. En esta Resolución, se establecen diferentes tipos de visas que habilitan al ciudadano extranjero para trabajar en Colombia, como lo prescribe el artículo 16: “Cuando se trate de visas que otorgan autorización para trabajar, tanto el extranjero, como el empleador o contratante, deberán cumplir con las normas laborales del Estado colombiano, con las normas específicas para el ejercicio de cada profesión u oficio y con las obligaciones respecto a reporte y registro establecidas en el Decreto </w:t>
            </w:r>
            <w:hyperlink r:id="rId16" w:anchor="INICIO">
              <w:r w:rsidRPr="004E6FE2">
                <w:rPr>
                  <w:rFonts w:ascii="Verdana" w:eastAsia="Verdana" w:hAnsi="Verdana" w:cs="Verdana"/>
                </w:rPr>
                <w:t>1067</w:t>
              </w:r>
            </w:hyperlink>
            <w:r w:rsidRPr="004E6FE2">
              <w:rPr>
                <w:rFonts w:ascii="Verdana" w:eastAsia="Verdana" w:hAnsi="Verdana" w:cs="Verdana"/>
              </w:rPr>
              <w:t xml:space="preserve"> de 2015, o norma que lo sustituya”. Esto, sin perjuicio de las condiciones especiales que pueden tener cierto tipo de migrantes, como es el caso de la población venezolana.</w:t>
            </w:r>
            <w:r w:rsidRPr="004E6FE2">
              <w:rPr>
                <w:rFonts w:ascii="Verdana" w:eastAsia="Verdana" w:hAnsi="Verdana" w:cs="Verdana"/>
                <w:lang w:val="es-CO"/>
              </w:rPr>
              <w:t xml:space="preserve"> </w:t>
            </w:r>
          </w:p>
          <w:p w14:paraId="118C4B73" w14:textId="77777777" w:rsidR="004E6FE2" w:rsidRPr="004E6FE2" w:rsidRDefault="004E6FE2" w:rsidP="004E6FE2">
            <w:pPr>
              <w:spacing w:after="120" w:line="276" w:lineRule="auto"/>
              <w:jc w:val="both"/>
              <w:rPr>
                <w:rFonts w:ascii="Verdana" w:eastAsia="Verdana" w:hAnsi="Verdana" w:cs="Verdana"/>
                <w:highlight w:val="white"/>
                <w:lang w:val="es-ES"/>
              </w:rPr>
            </w:pPr>
            <w:r w:rsidRPr="004E6FE2">
              <w:rPr>
                <w:rFonts w:ascii="Verdana" w:eastAsia="Verdana" w:hAnsi="Verdana" w:cs="Verdana"/>
                <w:highlight w:val="white"/>
                <w:lang w:val="es-ES"/>
              </w:rPr>
              <w:t xml:space="preserve">ii. Conforme al segundo problema jurídico de su consulta, las inhabilidades e incompatibilidades se encuentran consagradas de forma amplia en el ordenamiento jurídico en múltiples disposiciones legales y constitucionales. En tal sentido, el análisis de una posible restricción para un contratista de prestación de servicios extranjero no puede basarse en una regla general, sino que exige una revisión y un análisis propio por parte de la entidad contratante frente a cada causal en el caso concreto. De esta manera, se configura un primer escenario cuando el contratista extranjero se encuentra dentro del territorio colombiano y, por razones de su estatus migratorio o permanencia, tiene la obligación legal de portar cédula de extranjería u otro documento de identificación válido en el país. En este supuesto, la entidad estatal tiene el </w:t>
            </w:r>
            <w:r w:rsidRPr="004E6FE2">
              <w:rPr>
                <w:rFonts w:ascii="Verdana" w:eastAsia="Verdana" w:hAnsi="Verdana" w:cs="Verdana"/>
                <w:highlight w:val="white"/>
                <w:lang w:val="es-ES"/>
              </w:rPr>
              <w:lastRenderedPageBreak/>
              <w:t xml:space="preserve">deber de agotar de forma integral la verificación y contrastar la información en las bases de datos de las distintas autoridades del Estado colombiano (como antecedentes fiscales, disciplinarios y judiciales), siendo esta una actuación obligatoria y de debida diligencia de las entidades públicas. </w:t>
            </w:r>
          </w:p>
          <w:p w14:paraId="4E374747" w14:textId="77777777" w:rsidR="004E6FE2" w:rsidRPr="004E6FE2" w:rsidRDefault="004E6FE2" w:rsidP="004E6FE2">
            <w:pPr>
              <w:spacing w:after="120" w:line="276" w:lineRule="auto"/>
              <w:ind w:firstLine="720"/>
              <w:jc w:val="both"/>
              <w:rPr>
                <w:rFonts w:ascii="Verdana" w:eastAsia="Verdana" w:hAnsi="Verdana" w:cs="Verdana"/>
                <w:highlight w:val="white"/>
                <w:lang w:val="es-ES"/>
              </w:rPr>
            </w:pPr>
            <w:r w:rsidRPr="004E6FE2">
              <w:rPr>
                <w:rFonts w:ascii="Verdana" w:eastAsia="Verdana" w:hAnsi="Verdana" w:cs="Verdana"/>
                <w:highlight w:val="white"/>
                <w:lang w:val="es-ES"/>
              </w:rPr>
              <w:t xml:space="preserve">Por otro lado, se plantea un segundo escenario cuando el contratista de prestación de servicios es extranjero, ejecuta el objeto contractual íntegramente desde el exterior y no cuenta con una cédula de extranjería ni documentos que permitan verificación alguna en las plataformas nacionales de información. En tal escenario, y ante registros que son de carácter nacional tales como el Registro de Deudores Alimentarios Morosos (REDAM) y el Registro Nacional de Medidas Correctivas (RNMC), los sistemas de consulta se enmarcan necesariamente en la existencia de un documento de identidad nacional, cédula de extranjería, permiso especial de permanencia, permiso por protección temporal, entre otros. Por consiguiente, ante la ausencia de estos documentos de identificación del eventual contratista extranjero, las entidades públicas se enfrentan a una imposibilidad material para realizar la consulta ordinaria. Ahora bien, frente a esta barrera, lo procedente no es exigir certificaciones homólogas de su país de origen, pues obligar al contratista a aportar documentos que muy probablemente no existen en su legislación de origen constituiría una interpretación extensiva y desproporcionada de la norma, vulnerando el principio de selección objetiva al imponer un obstáculo insubsanable ajeno al contratista.  </w:t>
            </w:r>
          </w:p>
          <w:p w14:paraId="39B65A17" w14:textId="77777777" w:rsidR="004E6FE2" w:rsidRPr="004E6FE2" w:rsidRDefault="004E6FE2" w:rsidP="004E6FE2">
            <w:pPr>
              <w:spacing w:after="120" w:line="276" w:lineRule="auto"/>
              <w:ind w:firstLine="709"/>
              <w:jc w:val="both"/>
              <w:rPr>
                <w:rFonts w:ascii="Verdana" w:eastAsia="Verdana" w:hAnsi="Verdana" w:cs="Verdana"/>
                <w:highlight w:val="white"/>
                <w:lang w:val="es-ES"/>
              </w:rPr>
            </w:pPr>
            <w:r w:rsidRPr="004E6FE2">
              <w:rPr>
                <w:rFonts w:ascii="Verdana" w:eastAsia="Verdana" w:hAnsi="Verdana" w:cs="Verdana"/>
                <w:highlight w:val="white"/>
                <w:lang w:val="es-ES"/>
              </w:rPr>
              <w:t>No obstante, para suplir esta imposibilidad material de consulta en el segundo escenario y salvaguardar los principios rectores de la contratación estatal, resulta necesario e indispensable la manifestación bajo gravedad de juramento por parte del eventual contratista de prestación de servicios. En efecto, tal como lo dispone el artículo</w:t>
            </w:r>
            <w:r w:rsidRPr="004E6FE2">
              <w:rPr>
                <w:rFonts w:ascii="Verdana" w:eastAsia="Verdana" w:hAnsi="Verdana" w:cs="Verdana"/>
                <w:lang w:val="es-ES"/>
              </w:rPr>
              <w:t xml:space="preserve"> 1 de la Ley 190 de 1995, </w:t>
            </w:r>
            <w:r w:rsidRPr="004E6FE2">
              <w:rPr>
                <w:rFonts w:ascii="Verdana" w:eastAsia="Verdana" w:hAnsi="Verdana" w:cs="Verdana"/>
                <w:highlight w:val="white"/>
                <w:lang w:val="es-ES"/>
              </w:rPr>
              <w:t xml:space="preserve">es obligatoria esta manifestación para celebrar cualquier contrato de prestación de servicios con el Estado, debiendo el interesado declarar bajo la gravedad del juramento que no se encuentra incurso en ninguna causal de inhabilidad o incompatibilidad de orden constitucional o legal. Conforme a esta disposición, el juramento se consolida como el mecanismo legal para acreditar la idoneidad del contratista en estos escenarios, evento en el cual el contratista podrá implicar su responsabilidad si entrega información errónea o insuficiente. </w:t>
            </w:r>
          </w:p>
          <w:p w14:paraId="23AB0264" w14:textId="77777777" w:rsidR="004E6FE2" w:rsidRPr="004E6FE2" w:rsidRDefault="004E6FE2" w:rsidP="004E6FE2">
            <w:pPr>
              <w:spacing w:after="120" w:line="276" w:lineRule="auto"/>
              <w:ind w:firstLine="709"/>
              <w:jc w:val="both"/>
              <w:rPr>
                <w:rFonts w:ascii="Verdana" w:eastAsia="Verdana" w:hAnsi="Verdana" w:cs="Verdana"/>
                <w:highlight w:val="white"/>
              </w:rPr>
            </w:pPr>
            <w:r w:rsidRPr="004E6FE2">
              <w:rPr>
                <w:rFonts w:ascii="Verdana" w:eastAsia="Verdana" w:hAnsi="Verdana" w:cs="Verdana"/>
                <w:highlight w:val="white"/>
              </w:rPr>
              <w:lastRenderedPageBreak/>
              <w:t xml:space="preserve">La trascendencia de entregar información veraz al Estado es de tal magnitud que el ordenamiento jurídico sanciona el ocultamiento de estas inhabilidades, creando incluso nuevas restricciones autónomas para quienes defrauden la confianza pública. Ante este tipo de eventos, el numeral 7 del artículo 26 de la Ley 80 de 1993 consagra el principio de responsabilidad de los contratistas, estableciendo que estos deben responder cuando, al momento de contratar con el Estado, oculten la existencia de inhabilidades, incompatibilidades o prohibiciones, o suministren información falsa. En esta norma se impone un deber de transparencia y veracidad en la etapa precontractual, de modo que el contratista está obligado a revelar cualquier circunstancia que pueda afectar su capacidad jurídica para contratar. Esto implica que, ante eventos de falsedad en el juramento o en las declaraciones, el contratista extranjero asumirá las sanciones penales por fraude y las inhabilidades para contratar con el Estado derivadas de esta actuación. </w:t>
            </w:r>
          </w:p>
          <w:p w14:paraId="72878E97" w14:textId="77777777" w:rsidR="004E6FE2" w:rsidRPr="004E6FE2" w:rsidRDefault="004E6FE2" w:rsidP="004E6FE2">
            <w:pPr>
              <w:spacing w:line="276" w:lineRule="auto"/>
              <w:ind w:firstLine="709"/>
              <w:jc w:val="both"/>
              <w:rPr>
                <w:rFonts w:ascii="Verdana" w:eastAsia="Verdana" w:hAnsi="Verdana" w:cs="Verdana"/>
                <w:highlight w:val="white"/>
              </w:rPr>
            </w:pPr>
            <w:r w:rsidRPr="004E6FE2">
              <w:rPr>
                <w:rFonts w:ascii="Verdana" w:eastAsia="Verdana" w:hAnsi="Verdana" w:cs="Verdana"/>
                <w:highlight w:val="white"/>
              </w:rPr>
              <w:t xml:space="preserve">En conclusión, es fundamental subrayar que el hecho de que el contratista extranjero tenga la obligación legal de suministrar información verídica no exime, en ninguna circunstancia, a la entidad estatal de sus propias obligaciones de control y transparencia, de acuerdo con los escenarios planteados. La responsabilidad del contratista no debe generar la flexibilización de las obligaciones de debida diligencia por parte de las distintas entidades. Por lo tanto, la entidad contratante no puede limitarse a recibir pasivamente las declaraciones del interesado para salvar su propia responsabilidad, sino que está obligada a agotar los mecanismos, contrastar la información y hacer uso de los canales institucionales disponibles a su alcance para validar la información.  </w:t>
            </w:r>
          </w:p>
          <w:p w14:paraId="55763602" w14:textId="77777777" w:rsidR="004E6FE2" w:rsidRPr="004E6FE2" w:rsidRDefault="004E6FE2" w:rsidP="004E6FE2">
            <w:pPr>
              <w:spacing w:after="120" w:line="276" w:lineRule="auto"/>
              <w:jc w:val="both"/>
              <w:rPr>
                <w:rFonts w:ascii="Verdana" w:eastAsia="Verdana" w:hAnsi="Verdana" w:cs="Verdana"/>
                <w:lang w:val="es-ES"/>
              </w:rPr>
            </w:pPr>
            <w:r w:rsidRPr="004E6FE2">
              <w:rPr>
                <w:rFonts w:ascii="Verdana" w:eastAsia="Verdana" w:hAnsi="Verdana" w:cs="Verdana"/>
                <w:highlight w:val="white"/>
                <w:lang w:val="es-ES"/>
              </w:rPr>
              <w:t xml:space="preserve">iii. Para resolver el tercer problema jurídico de su consulta se explica que </w:t>
            </w:r>
            <w:r w:rsidRPr="004E6FE2">
              <w:rPr>
                <w:rFonts w:ascii="Verdana" w:eastAsia="Verdana" w:hAnsi="Verdana" w:cs="Verdana"/>
                <w:lang w:val="es-ES"/>
              </w:rPr>
              <w:t xml:space="preserve">cuando el contratista extranjero, persona natural, ejecuta el objeto del contrato de prestación de servicios dentro del territorio colombiano, es claro que debe afiliarse y cotizar en los distintos subsistemas, según corresponda. En materia de salud, el artículo 157 de la Ley 100 de 1993 impone la afiliación obligatoria a todos quienes tengan capacidad de pago, categoría en la que se encuadra el contratista independiente, sea nacional o extranjero.  </w:t>
            </w:r>
          </w:p>
          <w:p w14:paraId="3302CE02"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 xml:space="preserve">Para el sistema de pensiones, el artículo 15 de la misma ley prevé que los extranjeros vinculados mediante contrato en Colombia son afiliados obligatorios, con la única excepción de quienes acrediten que ya cotizan a un </w:t>
            </w:r>
            <w:r w:rsidRPr="004E6FE2">
              <w:rPr>
                <w:rFonts w:ascii="Verdana" w:eastAsia="Verdana" w:hAnsi="Verdana" w:cs="Verdana"/>
              </w:rPr>
              <w:lastRenderedPageBreak/>
              <w:t xml:space="preserve">régimen pensional en su país de origen, supuesto en el cual quedan exentos de la cotización pensional colombiana mediante la figura de “extranjero no obligado a cotizar a pensiones” en la planilla PILA y conforme a las orientaciones propias del Ministerio de Salud y Protección Social.  En materia de salud, el artículo 2.1.4.1 del Decreto Único Reglamentario 780 de 2016 dispone que pertenecen al Régimen Contributivo, entre otros, todas las personas nacionales o extranjeras residentes en Colombia vinculadas mediante contrato de trabajo o como trabajadores independientes con ingresos superiores a un salario mínimo. </w:t>
            </w:r>
          </w:p>
          <w:p w14:paraId="0DA5F00E"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 xml:space="preserve">En materia de riesgos laborales, el numeral 1 del literal a) del artículo 2° de la Ley 1562 de 2012, dispone que son afiliados obligatorios al SGRL las personas vinculadas mediante contrato formal de prestación de servicios con entidades públicas o privadas, con duración superior a un mes. Cabe precisar que todas estas obligaciones se activan únicamente cuando el extranjero cuenta con estatus migratorio habilitante para desarrollar actividades económicas en Colombia, como ya se explicó anteriormente. </w:t>
            </w:r>
          </w:p>
          <w:p w14:paraId="31F70DF2"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Por otro lado, frente al segundo escenario, en el cual el contratista extranjero ejecuta el objeto contractual de forma completa en el extranjero y carece de domicilio en Colombia, la exigencia se modula por el criterio de territorialidad y cumplimiento. De conformidad con el artículo 13 de la Ley 80 de 1993, los contratos estatales que se celebran para ser ejecutados o cumplidos directamente en el exterior pueden someterse y regirse por las leyes extranjeras del país donde se desarrollan las actividades. Al no materializarse el servicio dentro del territorio colombianas ni generar nexos de afiliación obligatoria en los esquemas locales de salud o riesgos, en primera medida, no resulta procedente exigirle la cotización formal al sistema colombiano, rigiéndose su protección social bajo las reglas del lugar de ejecución.</w:t>
            </w:r>
          </w:p>
          <w:p w14:paraId="6DDED3FA" w14:textId="77777777" w:rsidR="004E6FE2" w:rsidRPr="004E6FE2" w:rsidRDefault="004E6FE2" w:rsidP="004E6FE2">
            <w:pPr>
              <w:spacing w:line="276" w:lineRule="auto"/>
              <w:ind w:firstLine="720"/>
              <w:jc w:val="both"/>
              <w:rPr>
                <w:rFonts w:ascii="Verdana" w:eastAsia="Verdana" w:hAnsi="Verdana" w:cs="Verdana"/>
              </w:rPr>
            </w:pPr>
            <w:r w:rsidRPr="004E6FE2">
              <w:rPr>
                <w:rFonts w:ascii="Verdana" w:eastAsia="Verdana" w:hAnsi="Verdana" w:cs="Verdana"/>
              </w:rPr>
              <w:t xml:space="preserve">Lo anterior se entiende sin perjuicio de las directrices que emitan las autoridades competentes, en particular el Ministerio de Salud, respecto de situaciones excepcionales que puedan generar obligaciones específicas o requerir verificaciones adicionales por parte de la entidad contratante. En todo caso, la administración debe garantizar que la ausencia de exigibilidad de aportes en Colombia no implique desprotección del contratista ni afecte los principios de responsabilidad, planeación y selección objetiva. Por ello, resulta </w:t>
            </w:r>
            <w:r w:rsidRPr="004E6FE2">
              <w:rPr>
                <w:rFonts w:ascii="Verdana" w:eastAsia="Verdana" w:hAnsi="Verdana" w:cs="Verdana"/>
              </w:rPr>
              <w:lastRenderedPageBreak/>
              <w:t xml:space="preserve">razonable que la entidad verifique, cuando sea pertinente, la existencia de mecanismos de aseguramiento en el país de ejecución o, al menos, la manifestación formal del contratista sobre su cobertura, siempre dentro de los límites de la competencia y sin imponer cargas que desconozcan el marco normativo aplicable a la contratación ejecutada en el exterior.  </w:t>
            </w:r>
          </w:p>
          <w:p w14:paraId="18772093" w14:textId="77777777" w:rsidR="004E6FE2" w:rsidRPr="004E6FE2" w:rsidRDefault="004E6FE2" w:rsidP="004E6FE2">
            <w:pPr>
              <w:spacing w:after="120" w:line="276" w:lineRule="auto"/>
              <w:jc w:val="both"/>
              <w:rPr>
                <w:rFonts w:ascii="Verdana" w:eastAsia="Verdana" w:hAnsi="Verdana" w:cs="Verdana"/>
                <w:lang w:val="es-CO"/>
              </w:rPr>
            </w:pPr>
            <w:r w:rsidRPr="004E6FE2">
              <w:rPr>
                <w:rFonts w:ascii="Verdana" w:eastAsia="Verdana" w:hAnsi="Verdana" w:cs="Verdana"/>
              </w:rPr>
              <w:t>iv.</w:t>
            </w:r>
            <w:r w:rsidRPr="004E6FE2">
              <w:rPr>
                <w:rFonts w:ascii="Verdana" w:eastAsia="Verdana" w:hAnsi="Verdana" w:cs="Verdana"/>
                <w:lang w:val="es-CO"/>
              </w:rPr>
              <w:t>Por último, es importante señalar que, tratándose de contratistas extranjeros vinculados mediante contratos de prestación de servicios, las entidades estatales deben observar no solo el régimen general de contratación pública, sino también las reglas especiales que expidan las autoridades competentes en materia migratoria, salud y laboral. En particular, resultan determinantes las disposiciones y lineamientos del Ministerio de Relaciones Exteriores, del Ministerio de Salud, y de otras entidades con competencia regulatoria, cuyas directrices pueden incidir en los requisitos de permanencia, habilitación, aseguramiento y condiciones de ejecución contractual. Por ello, la administración está obligada a revisar de manera sistemática la normativa vigente, los conceptos técnicos y los criterios interpretativos emitidos por dichas autoridades, a fin de garantizar que la vinculación del contratista extranjero se ajuste plenamente al ordenamiento jurídico colombiano.</w:t>
            </w:r>
          </w:p>
          <w:p w14:paraId="2D295988" w14:textId="77777777" w:rsidR="004E6FE2" w:rsidRPr="004E6FE2" w:rsidRDefault="004E6FE2" w:rsidP="004E6FE2">
            <w:pPr>
              <w:spacing w:after="120" w:line="276" w:lineRule="auto"/>
              <w:ind w:firstLine="720"/>
              <w:jc w:val="both"/>
              <w:rPr>
                <w:rFonts w:ascii="Verdana" w:eastAsia="Verdana" w:hAnsi="Verdana" w:cs="Verdana"/>
                <w:lang w:val="es-CO"/>
              </w:rPr>
            </w:pPr>
            <w:r w:rsidRPr="004E6FE2">
              <w:rPr>
                <w:rFonts w:ascii="Verdana" w:eastAsia="Verdana" w:hAnsi="Verdana" w:cs="Verdana"/>
                <w:lang w:val="es-CO"/>
              </w:rPr>
              <w:t>Adicionalmente, la verificación de estos requisitos no puede limitarse a un control formal, sino que debe incorporar un análisis integral que considere la naturaleza del servicio contratado, el lugar de ejecución, la condición migratoria del extranjero y los eventuales efectos en materia de seguridad social, riesgos laborales y protección de derechos fundamentales. Por tanto, corresponde a las entidades públicas identificar las obligaciones aplicables en cada caso, determinar los documentos idóneos para acreditarlas y adoptar las medidas necesarias para asegurar el cumplimiento de la normatividad nacional, sin imponer cargas desproporcionadas ni desconocer las particularidades propias de la contratación con personas naturales extranjeras.</w:t>
            </w:r>
            <w:r w:rsidRPr="004E6FE2">
              <w:rPr>
                <w:rFonts w:ascii="Verdana" w:eastAsia="Verdana" w:hAnsi="Verdana" w:cs="Verdana"/>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w:t>
            </w:r>
          </w:p>
        </w:tc>
      </w:tr>
    </w:tbl>
    <w:p w14:paraId="45509281" w14:textId="77777777" w:rsidR="004E6FE2" w:rsidRPr="004E6FE2" w:rsidRDefault="004E6FE2" w:rsidP="004E6FE2">
      <w:pPr>
        <w:tabs>
          <w:tab w:val="left" w:pos="142"/>
          <w:tab w:val="left" w:pos="284"/>
        </w:tabs>
        <w:spacing w:after="0" w:line="276" w:lineRule="auto"/>
        <w:jc w:val="both"/>
        <w:rPr>
          <w:rFonts w:ascii="Verdana" w:eastAsia="Verdana" w:hAnsi="Verdana" w:cs="Verdana"/>
          <w:b/>
          <w:bCs/>
        </w:rPr>
      </w:pPr>
    </w:p>
    <w:p w14:paraId="3F112658" w14:textId="77777777" w:rsidR="004E6FE2" w:rsidRPr="004E6FE2" w:rsidRDefault="004E6FE2" w:rsidP="004E6FE2">
      <w:pPr>
        <w:numPr>
          <w:ilvl w:val="0"/>
          <w:numId w:val="4"/>
        </w:numPr>
        <w:tabs>
          <w:tab w:val="left" w:pos="142"/>
          <w:tab w:val="left" w:pos="284"/>
        </w:tabs>
        <w:spacing w:after="0" w:line="276" w:lineRule="auto"/>
        <w:jc w:val="both"/>
        <w:rPr>
          <w:rFonts w:ascii="Verdana" w:eastAsia="Verdana" w:hAnsi="Verdana" w:cs="Verdana"/>
          <w:b/>
          <w:bCs/>
        </w:rPr>
      </w:pPr>
      <w:r w:rsidRPr="004E6FE2">
        <w:rPr>
          <w:rFonts w:ascii="Verdana" w:eastAsia="Verdana" w:hAnsi="Verdana" w:cs="Verdana"/>
          <w:b/>
          <w:bCs/>
        </w:rPr>
        <w:t>Razones de la respuesta:</w:t>
      </w:r>
    </w:p>
    <w:p w14:paraId="0FF8E2C0" w14:textId="77777777" w:rsidR="004E6FE2" w:rsidRPr="004E6FE2" w:rsidRDefault="004E6FE2" w:rsidP="004E6FE2">
      <w:pPr>
        <w:tabs>
          <w:tab w:val="left" w:pos="142"/>
          <w:tab w:val="left" w:pos="284"/>
        </w:tabs>
        <w:spacing w:after="0" w:line="276" w:lineRule="auto"/>
        <w:jc w:val="both"/>
        <w:rPr>
          <w:rFonts w:ascii="Verdana" w:eastAsia="Verdana" w:hAnsi="Verdana" w:cs="Verdana"/>
          <w:b/>
          <w:bCs/>
        </w:rPr>
      </w:pPr>
    </w:p>
    <w:p w14:paraId="5A1F9EFD" w14:textId="77777777" w:rsidR="004E6FE2" w:rsidRPr="004E6FE2" w:rsidRDefault="004E6FE2" w:rsidP="004E6FE2">
      <w:pPr>
        <w:spacing w:after="0" w:line="276" w:lineRule="auto"/>
        <w:jc w:val="both"/>
        <w:rPr>
          <w:rFonts w:ascii="Verdana" w:hAnsi="Verdana" w:cs="Arial"/>
          <w:lang w:val="es-ES" w:eastAsia="en-US"/>
        </w:rPr>
      </w:pPr>
      <w:r w:rsidRPr="004E6FE2">
        <w:rPr>
          <w:rFonts w:ascii="Verdana" w:hAnsi="Verdana" w:cs="Arial"/>
          <w:lang w:val="es-ES" w:eastAsia="en-US"/>
        </w:rPr>
        <w:t>Lo anterior se sustenta en las siguientes consideraciones:</w:t>
      </w:r>
    </w:p>
    <w:p w14:paraId="0A233571" w14:textId="77777777" w:rsidR="004E6FE2" w:rsidRPr="004E6FE2" w:rsidRDefault="004E6FE2" w:rsidP="004E6FE2">
      <w:pPr>
        <w:tabs>
          <w:tab w:val="left" w:pos="142"/>
          <w:tab w:val="left" w:pos="284"/>
        </w:tabs>
        <w:spacing w:after="0" w:line="276" w:lineRule="auto"/>
        <w:jc w:val="both"/>
        <w:rPr>
          <w:rFonts w:ascii="Verdana" w:eastAsia="Verdana" w:hAnsi="Verdana" w:cs="Verdana"/>
          <w:b/>
          <w:bCs/>
          <w:lang w:val="es-ES"/>
        </w:rPr>
      </w:pPr>
    </w:p>
    <w:p w14:paraId="03C5E840" w14:textId="77777777" w:rsidR="004E6FE2" w:rsidRPr="004E6FE2" w:rsidRDefault="004E6FE2" w:rsidP="004E6FE2">
      <w:pPr>
        <w:spacing w:after="0" w:line="276" w:lineRule="auto"/>
        <w:jc w:val="both"/>
        <w:rPr>
          <w:rFonts w:ascii="Verdana" w:eastAsia="Verdana" w:hAnsi="Verdana" w:cs="Verdana"/>
          <w:color w:val="000000"/>
        </w:rPr>
      </w:pPr>
      <w:r w:rsidRPr="004E6FE2">
        <w:rPr>
          <w:rFonts w:ascii="Verdana" w:eastAsia="Verdana" w:hAnsi="Verdana" w:cs="Verdana"/>
          <w:color w:val="000000"/>
        </w:rPr>
        <w:t>i. 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5A6B9B91" w14:textId="77777777" w:rsidR="004E6FE2" w:rsidRPr="004E6FE2" w:rsidRDefault="004E6FE2" w:rsidP="004E6FE2">
      <w:pPr>
        <w:spacing w:after="0" w:line="240" w:lineRule="auto"/>
        <w:jc w:val="both"/>
        <w:rPr>
          <w:rFonts w:ascii="Verdana" w:eastAsia="Verdana" w:hAnsi="Verdana" w:cs="Verdana"/>
          <w:color w:val="000000"/>
        </w:rPr>
      </w:pPr>
    </w:p>
    <w:p w14:paraId="6D3BEBFB"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2ED8E203"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5163613C"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En ningún caso estos contratos generan relación laboral ni prestaciones sociales y se celebrarán por el término estrictamente indispensable”.</w:t>
      </w:r>
    </w:p>
    <w:p w14:paraId="6C9613F6" w14:textId="77777777" w:rsidR="004E6FE2" w:rsidRPr="004E6FE2" w:rsidRDefault="004E6FE2" w:rsidP="004E6FE2">
      <w:pPr>
        <w:tabs>
          <w:tab w:val="left" w:pos="284"/>
        </w:tabs>
        <w:spacing w:after="0" w:line="240" w:lineRule="auto"/>
        <w:jc w:val="both"/>
        <w:rPr>
          <w:rFonts w:ascii="Verdana" w:eastAsia="Verdana" w:hAnsi="Verdana" w:cs="Verdana"/>
          <w:b/>
          <w:bCs/>
          <w:color w:val="000000"/>
        </w:rPr>
      </w:pPr>
    </w:p>
    <w:p w14:paraId="5488A40D" w14:textId="77777777" w:rsidR="004E6FE2" w:rsidRPr="004E6FE2" w:rsidRDefault="004E6FE2" w:rsidP="004E6FE2">
      <w:pPr>
        <w:spacing w:after="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De otro lado, la celebración de dicho contrato debe efectuarse a través de la modalidad de la contratación directa. Así lo prevé el artículo 2, numeral 4º, literal h), de la Ley 1150 de 2007, que dispone:</w:t>
      </w:r>
    </w:p>
    <w:p w14:paraId="190A5EEA" w14:textId="77777777" w:rsidR="004E6FE2" w:rsidRPr="004E6FE2" w:rsidRDefault="004E6FE2" w:rsidP="004E6FE2">
      <w:pPr>
        <w:spacing w:after="0" w:line="276" w:lineRule="auto"/>
        <w:ind w:firstLine="709"/>
        <w:jc w:val="both"/>
        <w:rPr>
          <w:rFonts w:ascii="Verdana" w:eastAsia="Verdana" w:hAnsi="Verdana" w:cs="Verdana"/>
          <w:color w:val="000000"/>
          <w:sz w:val="21"/>
          <w:szCs w:val="21"/>
        </w:rPr>
      </w:pPr>
    </w:p>
    <w:p w14:paraId="3DE808D4"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w:t>
      </w:r>
    </w:p>
    <w:p w14:paraId="09A79458"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Contratación directa. La modalidad de selección de contratación directa solamente procederá en los siguientes casos:</w:t>
      </w:r>
    </w:p>
    <w:p w14:paraId="7CF2B9F3"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06D49225"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w:t>
      </w:r>
    </w:p>
    <w:p w14:paraId="23F75A74"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6355D2C7"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h) Para la prestación de servicios profesionales y de apoyo a la gestión, o para la ejecución de trabajos artísticos que sólo puedan encomendarse a determinadas personas naturales”.</w:t>
      </w:r>
    </w:p>
    <w:p w14:paraId="6E8416CC" w14:textId="77777777" w:rsidR="004E6FE2" w:rsidRPr="004E6FE2" w:rsidRDefault="004E6FE2" w:rsidP="004E6FE2">
      <w:pPr>
        <w:spacing w:after="0" w:line="240" w:lineRule="auto"/>
        <w:ind w:right="709"/>
        <w:jc w:val="both"/>
        <w:rPr>
          <w:rFonts w:ascii="Verdana" w:eastAsia="Verdana" w:hAnsi="Verdana" w:cs="Verdana"/>
          <w:color w:val="000000"/>
        </w:rPr>
      </w:pPr>
    </w:p>
    <w:p w14:paraId="5C6B8FA3" w14:textId="77777777" w:rsidR="004E6FE2" w:rsidRPr="004E6FE2" w:rsidRDefault="004E6FE2" w:rsidP="004E6FE2">
      <w:pPr>
        <w:spacing w:after="0" w:line="276" w:lineRule="auto"/>
        <w:ind w:firstLine="709"/>
        <w:jc w:val="both"/>
        <w:rPr>
          <w:rFonts w:ascii="Verdana" w:eastAsia="Verdana" w:hAnsi="Verdana" w:cs="Verdana"/>
          <w:color w:val="000000"/>
        </w:rPr>
      </w:pPr>
      <w:r w:rsidRPr="004E6FE2">
        <w:rPr>
          <w:rFonts w:ascii="Verdana" w:eastAsia="Verdana" w:hAnsi="Verdana" w:cs="Verdana"/>
          <w:color w:val="00000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2572400D" w14:textId="77777777" w:rsidR="004E6FE2" w:rsidRPr="004E6FE2" w:rsidRDefault="004E6FE2" w:rsidP="004E6FE2">
      <w:pPr>
        <w:spacing w:before="120" w:after="120" w:line="276" w:lineRule="auto"/>
        <w:ind w:firstLine="709"/>
        <w:jc w:val="both"/>
        <w:rPr>
          <w:rFonts w:ascii="Verdana" w:eastAsia="Verdana" w:hAnsi="Verdana" w:cs="Verdana"/>
          <w:color w:val="000000"/>
        </w:rPr>
      </w:pPr>
      <w:r w:rsidRPr="004E6FE2">
        <w:rPr>
          <w:rFonts w:ascii="Verdana" w:eastAsia="Verdana" w:hAnsi="Verdana" w:cs="Verdana"/>
          <w:color w:val="000000"/>
        </w:rPr>
        <w:lastRenderedPageBreak/>
        <w:t>i) Solo puede celebrarse para realizar “actividades relacionadas con la administración o funcionamiento de la entidad”, es decir, que hagan parte de su giro ordinario o quehacer cotidiano.</w:t>
      </w:r>
    </w:p>
    <w:p w14:paraId="2B0FF26A" w14:textId="77777777" w:rsidR="004E6FE2" w:rsidRPr="004E6FE2" w:rsidRDefault="004E6FE2" w:rsidP="004E6FE2">
      <w:pPr>
        <w:spacing w:before="120"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ii) Admite que se suscriba tanto con personas naturales como con personas jurídicas y requiere que la entidad estatal justifique en los estudios previos que las actividades que buscan encomendarse a aquella “no puedan realizarse con personal de planta o requieran conocimientos especializados”.</w:t>
      </w:r>
      <w:r w:rsidRPr="004E6FE2">
        <w:rPr>
          <w:rFonts w:ascii="Verdana" w:eastAsia="Verdana" w:hAnsi="Verdana" w:cs="Verdana"/>
          <w:color w:val="000000"/>
          <w:vertAlign w:val="superscript"/>
          <w:lang w:val="es-ES"/>
        </w:rPr>
        <w:footnoteReference w:id="1"/>
      </w:r>
      <w:r w:rsidRPr="004E6FE2">
        <w:rPr>
          <w:rFonts w:ascii="Verdana" w:eastAsia="Verdana" w:hAnsi="Verdana" w:cs="Verdana"/>
          <w:color w:val="000000"/>
          <w:lang w:val="es-ES"/>
        </w:rPr>
        <w:t xml:space="preserve">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1DD38F1F" w14:textId="77777777" w:rsidR="004E6FE2" w:rsidRPr="004E6FE2" w:rsidRDefault="004E6FE2" w:rsidP="004E6FE2">
      <w:pPr>
        <w:spacing w:before="120"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iii) Si bien se celebran para obtener la prestación personal de un servicio, se diferencian del contrato de trabajo</w:t>
      </w:r>
      <w:r w:rsidRPr="004E6FE2">
        <w:rPr>
          <w:rFonts w:ascii="Verdana" w:eastAsia="Verdana" w:hAnsi="Verdana" w:cs="Verdana"/>
          <w:vertAlign w:val="superscript"/>
          <w:lang w:val="es-ES"/>
        </w:rPr>
        <w:footnoteReference w:id="2"/>
      </w:r>
      <w:r w:rsidRPr="004E6FE2">
        <w:rPr>
          <w:rFonts w:ascii="Verdana" w:eastAsia="Verdana" w:hAnsi="Verdana" w:cs="Verdana"/>
          <w:color w:val="000000"/>
          <w:lang w:val="es-ES"/>
        </w:rPr>
        <w:t xml:space="preserve"> en que quien celebra el contrato de prestación de servicios debe mantener autonomía e independencia en la ejecución de la labor, lo que significa que no puede existir la </w:t>
      </w:r>
      <w:r w:rsidRPr="004E6FE2">
        <w:rPr>
          <w:rFonts w:ascii="Verdana" w:eastAsia="Verdana" w:hAnsi="Verdana" w:cs="Verdana"/>
          <w:i/>
          <w:color w:val="000000"/>
          <w:lang w:val="es-ES"/>
        </w:rPr>
        <w:t>subordinación y dependencia</w:t>
      </w:r>
      <w:r w:rsidRPr="004E6FE2">
        <w:rPr>
          <w:rFonts w:ascii="Verdana" w:eastAsia="Verdana" w:hAnsi="Verdana" w:cs="Verdana"/>
          <w:color w:val="000000"/>
          <w:lang w:val="es-ES"/>
        </w:rPr>
        <w:t xml:space="preserve">, que es uno de los elementos constitutivos del vínculo laboral. Por ello el artículo 32, numeral 3º, de la Ley 80 de 1993 establece que “En ningún caso estos contratos generan relación laboral ni prestaciones sociales”, inciso que debe interpretarse en el sentido de que los contratos de prestación de servicios profesionales </w:t>
      </w:r>
      <w:r w:rsidRPr="004E6FE2">
        <w:rPr>
          <w:rFonts w:ascii="Verdana" w:eastAsia="Verdana" w:hAnsi="Verdana" w:cs="Verdana"/>
          <w:i/>
          <w:color w:val="000000"/>
          <w:lang w:val="es-ES"/>
        </w:rPr>
        <w:t>no pueden</w:t>
      </w:r>
      <w:r w:rsidRPr="004E6FE2">
        <w:rPr>
          <w:rFonts w:ascii="Verdana" w:eastAsia="Verdana" w:hAnsi="Verdana" w:cs="Verdana"/>
          <w:color w:val="000000"/>
          <w:lang w:val="es-ES"/>
        </w:rPr>
        <w:t xml:space="preserve"> generar relación laboral, ni dar lugar a que las </w:t>
      </w:r>
      <w:r w:rsidRPr="004E6FE2">
        <w:rPr>
          <w:rFonts w:ascii="Verdana" w:eastAsia="Verdana" w:hAnsi="Verdana" w:cs="Verdana"/>
          <w:color w:val="000000"/>
          <w:lang w:val="es-ES"/>
        </w:rPr>
        <w:lastRenderedPageBreak/>
        <w:t xml:space="preserve">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58265E18" w14:textId="77777777" w:rsidR="004E6FE2" w:rsidRPr="004E6FE2" w:rsidRDefault="004E6FE2" w:rsidP="004E6FE2">
      <w:pPr>
        <w:spacing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iv) Deben ser temporales. Así lo señaló la Corte Constitucional en la misma providencia a la que se aludió previamente, expresando que: “La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4E6FE2">
        <w:rPr>
          <w:rFonts w:ascii="Verdana" w:eastAsia="Verdana" w:hAnsi="Verdana" w:cs="Verdana"/>
          <w:vertAlign w:val="superscript"/>
          <w:lang w:val="es-ES"/>
        </w:rPr>
        <w:footnoteReference w:id="3"/>
      </w:r>
      <w:r w:rsidRPr="004E6FE2">
        <w:rPr>
          <w:rFonts w:ascii="Verdana" w:eastAsia="Verdana" w:hAnsi="Verdana" w:cs="Verdana"/>
          <w:color w:val="000000"/>
          <w:lang w:val="es-ES"/>
        </w:rPr>
        <w:t>.</w:t>
      </w:r>
    </w:p>
    <w:p w14:paraId="52F4A3A5" w14:textId="77777777" w:rsidR="004E6FE2" w:rsidRPr="004E6FE2" w:rsidRDefault="004E6FE2" w:rsidP="004E6FE2">
      <w:pPr>
        <w:spacing w:after="0" w:line="276" w:lineRule="auto"/>
        <w:ind w:firstLine="709"/>
        <w:jc w:val="both"/>
        <w:rPr>
          <w:rFonts w:ascii="Verdana" w:eastAsia="Verdana" w:hAnsi="Verdana" w:cs="Verdana"/>
          <w:color w:val="000000"/>
        </w:rPr>
      </w:pPr>
      <w:r w:rsidRPr="004E6FE2">
        <w:rPr>
          <w:rFonts w:ascii="Verdana" w:eastAsia="Verdana" w:hAnsi="Verdana" w:cs="Verdana"/>
          <w:color w:val="000000"/>
        </w:rPr>
        <w:t xml:space="preserve">v) Los contratos de prestación de servicios constituyen un </w:t>
      </w:r>
      <w:r w:rsidRPr="004E6FE2">
        <w:rPr>
          <w:rFonts w:ascii="Verdana" w:eastAsia="Verdana" w:hAnsi="Verdana" w:cs="Verdana"/>
          <w:i/>
          <w:iCs/>
          <w:color w:val="000000"/>
        </w:rPr>
        <w:t>género</w:t>
      </w:r>
      <w:r w:rsidRPr="004E6FE2">
        <w:rPr>
          <w:rFonts w:ascii="Verdana" w:eastAsia="Verdana" w:hAnsi="Verdana" w:cs="Verdana"/>
          <w:color w:val="000000"/>
        </w:rPr>
        <w:t xml:space="preserve"> que incluye, como </w:t>
      </w:r>
      <w:r w:rsidRPr="004E6FE2">
        <w:rPr>
          <w:rFonts w:ascii="Verdana" w:eastAsia="Verdana" w:hAnsi="Verdana" w:cs="Verdana"/>
          <w:i/>
          <w:iCs/>
          <w:color w:val="000000"/>
        </w:rPr>
        <w:t>especies</w:t>
      </w:r>
      <w:r w:rsidRPr="004E6FE2">
        <w:rPr>
          <w:rFonts w:ascii="Verdana" w:eastAsia="Verdana" w:hAnsi="Verdana" w:cs="Verdana"/>
          <w:color w:val="000000"/>
        </w:rPr>
        <w:t>, los contratos de prestación de servicios profesionales, los contratos de prestación de servicios de apoyo a la gestión y los contratos para la ejecución de trabajos artísticos que solo pueden encomendarse a determinadas personas naturales</w:t>
      </w:r>
      <w:r w:rsidRPr="004E6FE2">
        <w:rPr>
          <w:rFonts w:ascii="Verdana" w:eastAsia="Verdana" w:hAnsi="Verdana" w:cs="Verdana"/>
          <w:vertAlign w:val="superscript"/>
        </w:rPr>
        <w:footnoteReference w:id="4"/>
      </w:r>
      <w:r w:rsidRPr="004E6FE2">
        <w:rPr>
          <w:rFonts w:ascii="Verdana" w:eastAsia="Verdana" w:hAnsi="Verdana" w:cs="Verdana"/>
          <w:color w:val="000000"/>
        </w:rPr>
        <w:t xml:space="preserve">. La diferencia entre el contrato de prestación de servicios </w:t>
      </w:r>
      <w:r w:rsidRPr="004E6FE2">
        <w:rPr>
          <w:rFonts w:ascii="Verdana" w:eastAsia="Verdana" w:hAnsi="Verdana" w:cs="Verdana"/>
          <w:i/>
          <w:iCs/>
          <w:color w:val="000000"/>
        </w:rPr>
        <w:t>profesionales</w:t>
      </w:r>
      <w:r w:rsidRPr="004E6FE2">
        <w:rPr>
          <w:rFonts w:ascii="Verdana" w:eastAsia="Verdana" w:hAnsi="Verdana" w:cs="Verdana"/>
          <w:color w:val="000000"/>
        </w:rPr>
        <w:t xml:space="preserve"> con las otras dos especies del género en el cual se ubican radica en su contenido intelectual intangible y, al mismo tiempo, en la formación profesional que se exige para desempeñar la labor. Así lo consideró </w:t>
      </w:r>
      <w:r w:rsidRPr="004E6FE2">
        <w:rPr>
          <w:rFonts w:ascii="Verdana" w:eastAsia="Verdana" w:hAnsi="Verdana" w:cs="Verdana"/>
          <w:color w:val="000000"/>
        </w:rPr>
        <w:lastRenderedPageBreak/>
        <w:t>el Consejo de Estado en sentencia de unificación jurisprudencial del 2 de diciembre de 2013, al indicar, respecto del contrato de prestación de servicios profesionales, que:</w:t>
      </w:r>
    </w:p>
    <w:p w14:paraId="0E36E47C" w14:textId="77777777" w:rsidR="004E6FE2" w:rsidRPr="004E6FE2" w:rsidRDefault="004E6FE2" w:rsidP="004E6FE2">
      <w:pPr>
        <w:spacing w:after="0" w:line="276" w:lineRule="auto"/>
        <w:ind w:firstLine="709"/>
        <w:jc w:val="both"/>
        <w:rPr>
          <w:rFonts w:ascii="Verdana" w:eastAsia="Verdana" w:hAnsi="Verdana" w:cs="Verdana"/>
          <w:color w:val="000000"/>
          <w:sz w:val="20"/>
          <w:szCs w:val="20"/>
        </w:rPr>
      </w:pPr>
    </w:p>
    <w:p w14:paraId="6AE81FF8"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4E6FE2">
        <w:rPr>
          <w:rFonts w:ascii="Verdana" w:eastAsia="Verdana" w:hAnsi="Verdana" w:cs="Verdana"/>
          <w:sz w:val="20"/>
          <w:szCs w:val="20"/>
          <w:vertAlign w:val="superscript"/>
        </w:rPr>
        <w:footnoteReference w:id="5"/>
      </w:r>
      <w:r w:rsidRPr="004E6FE2">
        <w:rPr>
          <w:rFonts w:ascii="Verdana" w:eastAsia="Verdana" w:hAnsi="Verdana" w:cs="Verdana"/>
          <w:color w:val="000000"/>
          <w:sz w:val="20"/>
          <w:szCs w:val="20"/>
        </w:rPr>
        <w:t>.</w:t>
      </w:r>
    </w:p>
    <w:p w14:paraId="661F4C67" w14:textId="77777777" w:rsidR="004E6FE2" w:rsidRPr="004E6FE2" w:rsidRDefault="004E6FE2" w:rsidP="004E6FE2">
      <w:pPr>
        <w:spacing w:after="0" w:line="276" w:lineRule="auto"/>
        <w:ind w:firstLine="709"/>
        <w:jc w:val="both"/>
        <w:rPr>
          <w:rFonts w:ascii="Verdana" w:eastAsia="Verdana" w:hAnsi="Verdana" w:cs="Verdana"/>
          <w:color w:val="000000"/>
        </w:rPr>
      </w:pPr>
    </w:p>
    <w:p w14:paraId="59C2E70E" w14:textId="77777777" w:rsidR="004E6FE2" w:rsidRPr="004E6FE2" w:rsidRDefault="004E6FE2" w:rsidP="004E6FE2">
      <w:pPr>
        <w:spacing w:after="0" w:line="276" w:lineRule="auto"/>
        <w:ind w:firstLine="709"/>
        <w:jc w:val="both"/>
        <w:rPr>
          <w:rFonts w:ascii="Verdana" w:eastAsia="Verdana" w:hAnsi="Verdana" w:cs="Verdana"/>
          <w:color w:val="000000"/>
        </w:rPr>
      </w:pPr>
      <w:r w:rsidRPr="004E6FE2">
        <w:rPr>
          <w:rFonts w:ascii="Verdana" w:eastAsia="Verdana" w:hAnsi="Verdana" w:cs="Verdana"/>
          <w:color w:val="000000"/>
        </w:rPr>
        <w:t>Objeto que, según la sentencia que se cita, se diferencia del objeto del contrato de prestación de servicios de apoyo a la gestión, porque en este:</w:t>
      </w:r>
    </w:p>
    <w:p w14:paraId="2526E38C" w14:textId="77777777" w:rsidR="004E6FE2" w:rsidRPr="004E6FE2" w:rsidRDefault="004E6FE2" w:rsidP="004E6FE2">
      <w:pPr>
        <w:spacing w:after="0" w:line="276" w:lineRule="auto"/>
        <w:ind w:firstLine="709"/>
        <w:jc w:val="both"/>
        <w:rPr>
          <w:rFonts w:ascii="Verdana" w:eastAsia="Verdana" w:hAnsi="Verdana" w:cs="Verdana"/>
          <w:color w:val="000000"/>
          <w:sz w:val="20"/>
          <w:szCs w:val="20"/>
        </w:rPr>
      </w:pPr>
    </w:p>
    <w:p w14:paraId="5FF43512"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36A4CAC2"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p>
    <w:p w14:paraId="6B03386F"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lang w:val="es-ES"/>
        </w:rPr>
      </w:pPr>
      <w:r w:rsidRPr="004E6FE2">
        <w:rPr>
          <w:rFonts w:ascii="Verdana" w:eastAsia="Verdana" w:hAnsi="Verdana" w:cs="Verdana"/>
          <w:color w:val="000000"/>
          <w:sz w:val="20"/>
          <w:szCs w:val="20"/>
          <w:lang w:val="es-ES"/>
        </w:rPr>
        <w:t>Aunque también se caracteriza por el desempeño de actividad intelectiva, ésta se enmarca dentro de un saber propiamente técnico; igualmente involucra actividades en donde prima el esfuerzo físico o mecánico, en donde no se requiere de personal profesional.</w:t>
      </w:r>
    </w:p>
    <w:p w14:paraId="7598F0DC" w14:textId="77777777" w:rsidR="004E6FE2" w:rsidRPr="004E6FE2" w:rsidRDefault="004E6FE2" w:rsidP="004E6FE2">
      <w:pPr>
        <w:spacing w:after="0" w:line="240" w:lineRule="auto"/>
        <w:ind w:right="709"/>
        <w:jc w:val="both"/>
        <w:rPr>
          <w:rFonts w:ascii="Verdana" w:eastAsia="Verdana" w:hAnsi="Verdana" w:cs="Verdana"/>
          <w:color w:val="000000"/>
          <w:sz w:val="20"/>
          <w:szCs w:val="20"/>
        </w:rPr>
      </w:pPr>
    </w:p>
    <w:p w14:paraId="075D0F8D"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r w:rsidRPr="004E6FE2">
        <w:rPr>
          <w:rFonts w:ascii="Verdana" w:eastAsia="Verdana" w:hAnsi="Verdana" w:cs="Verdana"/>
          <w:sz w:val="20"/>
          <w:szCs w:val="20"/>
          <w:vertAlign w:val="superscript"/>
        </w:rPr>
        <w:footnoteReference w:id="6"/>
      </w:r>
      <w:r w:rsidRPr="004E6FE2">
        <w:rPr>
          <w:rFonts w:ascii="Verdana" w:eastAsia="Verdana" w:hAnsi="Verdana" w:cs="Verdana"/>
          <w:color w:val="000000"/>
          <w:sz w:val="20"/>
          <w:szCs w:val="20"/>
        </w:rPr>
        <w:t>.</w:t>
      </w:r>
    </w:p>
    <w:p w14:paraId="182A4FCB" w14:textId="77777777" w:rsidR="004E6FE2" w:rsidRPr="004E6FE2" w:rsidRDefault="004E6FE2" w:rsidP="004E6FE2">
      <w:pPr>
        <w:spacing w:after="0" w:line="276" w:lineRule="auto"/>
        <w:ind w:firstLine="709"/>
        <w:jc w:val="both"/>
        <w:rPr>
          <w:rFonts w:ascii="Verdana" w:eastAsia="Verdana" w:hAnsi="Verdana" w:cs="Verdana"/>
          <w:color w:val="000000"/>
        </w:rPr>
      </w:pPr>
    </w:p>
    <w:p w14:paraId="2A43E1BC" w14:textId="77777777" w:rsidR="004E6FE2" w:rsidRPr="004E6FE2" w:rsidRDefault="004E6FE2" w:rsidP="004E6FE2">
      <w:pPr>
        <w:spacing w:after="0" w:line="276" w:lineRule="auto"/>
        <w:ind w:firstLine="709"/>
        <w:jc w:val="both"/>
        <w:rPr>
          <w:rFonts w:ascii="Verdana" w:eastAsia="Verdana" w:hAnsi="Verdana" w:cs="Verdana"/>
          <w:color w:val="000000"/>
        </w:rPr>
      </w:pPr>
      <w:r w:rsidRPr="004E6FE2">
        <w:rPr>
          <w:rFonts w:ascii="Verdana" w:eastAsia="Verdana" w:hAnsi="Verdana" w:cs="Verdana"/>
          <w:color w:val="000000"/>
        </w:rPr>
        <w:t>En relación con el contrato de prestación para la ejecución de trabajos artísticos que solo pueden encomendarse a determinadas personas naturales, señala el mencionado fallo que:</w:t>
      </w:r>
    </w:p>
    <w:p w14:paraId="0937AB9D" w14:textId="77777777" w:rsidR="004E6FE2" w:rsidRPr="004E6FE2" w:rsidRDefault="004E6FE2" w:rsidP="004E6FE2">
      <w:pPr>
        <w:spacing w:after="0" w:line="240" w:lineRule="auto"/>
        <w:ind w:left="709" w:right="709"/>
        <w:jc w:val="both"/>
        <w:rPr>
          <w:rFonts w:ascii="Verdana" w:eastAsia="Verdana" w:hAnsi="Verdana" w:cs="Verdana"/>
          <w:color w:val="000000"/>
        </w:rPr>
      </w:pPr>
    </w:p>
    <w:p w14:paraId="37BF4FFF" w14:textId="77777777" w:rsidR="004E6FE2" w:rsidRPr="004E6FE2" w:rsidRDefault="004E6FE2" w:rsidP="004E6FE2">
      <w:pP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 xml:space="preserve">“Tienen lugar dentro de esta categoría los contratos de prestación de servicios que tengan por objeto la ejecución de trabajos artísticos, esto es, trabajos que corresponden al conjunto de creaciones humanas que </w:t>
      </w:r>
      <w:r w:rsidRPr="004E6FE2">
        <w:rPr>
          <w:rFonts w:ascii="Verdana" w:eastAsia="Verdana" w:hAnsi="Verdana" w:cs="Verdana"/>
          <w:color w:val="000000"/>
          <w:sz w:val="20"/>
          <w:szCs w:val="20"/>
        </w:rPr>
        <w:lastRenderedPageBreak/>
        <w:t>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4E6FE2">
        <w:rPr>
          <w:rFonts w:ascii="Verdana" w:eastAsia="Verdana" w:hAnsi="Verdana" w:cs="Verdana"/>
          <w:sz w:val="20"/>
          <w:szCs w:val="20"/>
          <w:vertAlign w:val="superscript"/>
        </w:rPr>
        <w:footnoteReference w:id="7"/>
      </w:r>
      <w:r w:rsidRPr="004E6FE2">
        <w:rPr>
          <w:rFonts w:ascii="Verdana" w:eastAsia="Verdana" w:hAnsi="Verdana" w:cs="Verdana"/>
          <w:color w:val="000000"/>
          <w:sz w:val="20"/>
          <w:szCs w:val="20"/>
        </w:rPr>
        <w:t>.</w:t>
      </w:r>
    </w:p>
    <w:p w14:paraId="416CB8B0" w14:textId="77777777" w:rsidR="004E6FE2" w:rsidRPr="004E6FE2" w:rsidRDefault="004E6FE2" w:rsidP="004E6FE2">
      <w:pPr>
        <w:spacing w:after="0" w:line="240" w:lineRule="auto"/>
        <w:ind w:left="709" w:right="709"/>
        <w:jc w:val="both"/>
        <w:rPr>
          <w:rFonts w:ascii="Verdana" w:eastAsia="Verdana" w:hAnsi="Verdana" w:cs="Verdana"/>
          <w:color w:val="000000"/>
        </w:rPr>
      </w:pPr>
    </w:p>
    <w:p w14:paraId="02F6039E" w14:textId="77777777" w:rsidR="004E6FE2" w:rsidRPr="004E6FE2" w:rsidRDefault="004E6FE2" w:rsidP="004E6FE2">
      <w:pPr>
        <w:spacing w:after="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vi)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a la que se hizo referencia, si bien en ambos existe un componente intelectual intangible, el objeto del contrato de consultoría es especial y debe celebrarse, por regla general, precedido de un concurso de méritos</w:t>
      </w:r>
      <w:r w:rsidRPr="004E6FE2">
        <w:rPr>
          <w:rFonts w:ascii="Verdana" w:eastAsia="Verdana" w:hAnsi="Verdana" w:cs="Verdana"/>
          <w:vertAlign w:val="superscript"/>
          <w:lang w:val="es-ES"/>
        </w:rPr>
        <w:footnoteReference w:id="8"/>
      </w:r>
      <w:r w:rsidRPr="004E6FE2">
        <w:rPr>
          <w:rFonts w:ascii="Verdana" w:eastAsia="Verdana" w:hAnsi="Verdana" w:cs="Verdana"/>
          <w:color w:val="000000"/>
          <w:lang w:val="es-ES"/>
        </w:rPr>
        <w:t>.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w:t>
      </w:r>
    </w:p>
    <w:p w14:paraId="32F58969" w14:textId="77777777" w:rsidR="004E6FE2" w:rsidRPr="004E6FE2" w:rsidRDefault="004E6FE2" w:rsidP="004E6FE2">
      <w:pPr>
        <w:spacing w:before="120"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vii) Para su celebración no se requiere en algunos casos la expedición del acto administrativo de justificación de la contratación directa</w:t>
      </w:r>
      <w:r w:rsidRPr="004E6FE2">
        <w:rPr>
          <w:rFonts w:ascii="Verdana" w:eastAsia="Verdana" w:hAnsi="Verdana" w:cs="Verdana"/>
          <w:vertAlign w:val="superscript"/>
          <w:lang w:val="es-ES"/>
        </w:rPr>
        <w:footnoteReference w:id="9"/>
      </w:r>
      <w:r w:rsidRPr="004E6FE2">
        <w:rPr>
          <w:rFonts w:ascii="Verdana" w:eastAsia="Verdana" w:hAnsi="Verdana" w:cs="Verdana"/>
          <w:color w:val="000000"/>
          <w:lang w:val="es-ES"/>
        </w:rPr>
        <w:t xml:space="preserve">. </w:t>
      </w:r>
    </w:p>
    <w:p w14:paraId="10A53FCA" w14:textId="77777777" w:rsidR="004E6FE2" w:rsidRPr="004E6FE2" w:rsidRDefault="004E6FE2" w:rsidP="004E6FE2">
      <w:pPr>
        <w:spacing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 xml:space="preserve">viii)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w:t>
      </w:r>
      <w:r w:rsidRPr="004E6FE2">
        <w:rPr>
          <w:rFonts w:ascii="Verdana" w:eastAsia="Verdana" w:hAnsi="Verdana" w:cs="Verdana"/>
          <w:color w:val="000000"/>
          <w:lang w:val="es-ES"/>
        </w:rPr>
        <w:lastRenderedPageBreak/>
        <w:t>debido quedar incluidas expresamente en el contrato, ya que no se entienden pactadas por naturaleza. Así se infiere del artículo 14, numeral 2º, de la Ley 80 de 1993</w:t>
      </w:r>
      <w:r w:rsidRPr="004E6FE2">
        <w:rPr>
          <w:rFonts w:ascii="Verdana" w:eastAsia="Verdana" w:hAnsi="Verdana" w:cs="Verdana"/>
          <w:vertAlign w:val="superscript"/>
          <w:lang w:val="es-ES"/>
        </w:rPr>
        <w:footnoteReference w:id="10"/>
      </w:r>
      <w:r w:rsidRPr="004E6FE2">
        <w:rPr>
          <w:rFonts w:ascii="Verdana" w:eastAsia="Verdana" w:hAnsi="Verdana" w:cs="Verdana"/>
          <w:color w:val="000000"/>
          <w:lang w:val="es-ES"/>
        </w:rPr>
        <w:t>.</w:t>
      </w:r>
    </w:p>
    <w:p w14:paraId="2E8CED2B" w14:textId="77777777" w:rsidR="004E6FE2" w:rsidRPr="004E6FE2" w:rsidRDefault="004E6FE2" w:rsidP="004E6FE2">
      <w:pPr>
        <w:spacing w:after="120" w:line="276" w:lineRule="auto"/>
        <w:ind w:firstLine="709"/>
        <w:jc w:val="both"/>
        <w:rPr>
          <w:rFonts w:ascii="Verdana" w:eastAsia="Verdana" w:hAnsi="Verdana" w:cs="Verdana"/>
          <w:color w:val="000000"/>
          <w:lang w:val="es-ES"/>
        </w:rPr>
      </w:pPr>
      <w:r w:rsidRPr="004E6FE2">
        <w:rPr>
          <w:rFonts w:ascii="Verdana" w:eastAsia="Verdana" w:hAnsi="Verdana" w:cs="Verdana"/>
          <w:color w:val="000000"/>
          <w:lang w:val="es-ES"/>
        </w:rPr>
        <w:t>ix) En algunos casos no es obligatoria la liquidación, pues así lo estableció el artículo 217 del Decreto 019 de 2012, que modificó el artículo 60 de la Ley 80 de 1993</w:t>
      </w:r>
      <w:r w:rsidRPr="004E6FE2">
        <w:rPr>
          <w:rFonts w:ascii="Verdana" w:eastAsia="Verdana" w:hAnsi="Verdana" w:cs="Verdana"/>
          <w:vertAlign w:val="superscript"/>
          <w:lang w:val="es-ES"/>
        </w:rPr>
        <w:footnoteReference w:id="11"/>
      </w:r>
      <w:r w:rsidRPr="004E6FE2">
        <w:rPr>
          <w:rFonts w:ascii="Verdana" w:eastAsia="Verdana" w:hAnsi="Verdana" w:cs="Verdana"/>
          <w:color w:val="000000"/>
          <w:lang w:val="es-ES"/>
        </w:rPr>
        <w:t>, refiriéndose a los contratos de prestación de servicios profesionales y de apoyo a la gestión.</w:t>
      </w:r>
    </w:p>
    <w:p w14:paraId="6F735AB8" w14:textId="77777777" w:rsidR="004E6FE2" w:rsidRPr="004E6FE2" w:rsidRDefault="004E6FE2" w:rsidP="004E6FE2">
      <w:pPr>
        <w:spacing w:after="120" w:line="276" w:lineRule="auto"/>
        <w:ind w:firstLine="709"/>
        <w:jc w:val="both"/>
        <w:rPr>
          <w:rFonts w:ascii="Verdana" w:eastAsia="Verdana" w:hAnsi="Verdana" w:cs="Verdana"/>
          <w:color w:val="000000"/>
        </w:rPr>
      </w:pPr>
      <w:r w:rsidRPr="004E6FE2">
        <w:rPr>
          <w:rFonts w:ascii="Verdana" w:eastAsia="Verdana" w:hAnsi="Verdana" w:cs="Verdana"/>
          <w:color w:val="000000"/>
        </w:rPr>
        <w:t>x) Para su celebración no se requiere inscripción en el Registro Único de Proponentes (RUP), según lo prevé el artículo 6 de la Ley 1150 de 2007</w:t>
      </w:r>
      <w:r w:rsidRPr="004E6FE2">
        <w:rPr>
          <w:rFonts w:ascii="Verdana" w:eastAsia="Verdana" w:hAnsi="Verdana" w:cs="Verdana"/>
          <w:vertAlign w:val="superscript"/>
        </w:rPr>
        <w:footnoteReference w:id="12"/>
      </w:r>
      <w:r w:rsidRPr="004E6FE2">
        <w:rPr>
          <w:rFonts w:ascii="Verdana" w:eastAsia="Verdana" w:hAnsi="Verdana" w:cs="Verdana"/>
          <w:color w:val="000000"/>
        </w:rPr>
        <w:t>.</w:t>
      </w:r>
    </w:p>
    <w:p w14:paraId="376C255A" w14:textId="77777777" w:rsidR="004E6FE2" w:rsidRPr="004E6FE2" w:rsidRDefault="004E6FE2" w:rsidP="004E6FE2">
      <w:pPr>
        <w:spacing w:after="120" w:line="276" w:lineRule="auto"/>
        <w:ind w:firstLine="709"/>
        <w:jc w:val="both"/>
        <w:rPr>
          <w:rFonts w:ascii="Verdana" w:eastAsia="Verdana" w:hAnsi="Verdana" w:cs="Verdana"/>
          <w:color w:val="000000"/>
        </w:rPr>
      </w:pPr>
      <w:r w:rsidRPr="004E6FE2">
        <w:rPr>
          <w:rFonts w:ascii="Verdana" w:eastAsia="Verdana" w:hAnsi="Verdana" w:cs="Verdana"/>
          <w:color w:val="000000"/>
        </w:rPr>
        <w:t>xi) En ellos no son necesarias las garantías</w:t>
      </w:r>
      <w:r w:rsidRPr="004E6FE2">
        <w:rPr>
          <w:rFonts w:ascii="Verdana" w:eastAsia="Verdana" w:hAnsi="Verdana" w:cs="Verdana"/>
          <w:vertAlign w:val="superscript"/>
        </w:rPr>
        <w:footnoteReference w:id="13"/>
      </w:r>
      <w:r w:rsidRPr="004E6FE2">
        <w:rPr>
          <w:rFonts w:ascii="Verdana" w:eastAsia="Verdana" w:hAnsi="Verdana" w:cs="Verdana"/>
          <w:color w:val="000000"/>
        </w:rPr>
        <w:t>.</w:t>
      </w:r>
    </w:p>
    <w:p w14:paraId="4AE1C5BC" w14:textId="77777777" w:rsidR="004E6FE2" w:rsidRPr="004E6FE2" w:rsidRDefault="004E6FE2" w:rsidP="004E6FE2">
      <w:pPr>
        <w:spacing w:before="120" w:after="120" w:line="276" w:lineRule="auto"/>
        <w:ind w:firstLine="708"/>
        <w:jc w:val="both"/>
        <w:rPr>
          <w:rFonts w:ascii="Verdana" w:eastAsia="Verdana" w:hAnsi="Verdana" w:cs="Verdana"/>
          <w:color w:val="000000"/>
        </w:rPr>
      </w:pPr>
      <w:r w:rsidRPr="004E6FE2">
        <w:rPr>
          <w:rFonts w:ascii="Verdana" w:hAnsi="Verdana" w:cs="Arial"/>
          <w:color w:val="000000"/>
          <w:lang w:val="es-ES_tradnl" w:eastAsia="en-US"/>
        </w:rPr>
        <w:t xml:space="preserve">De las características mencionadas, en especial, </w:t>
      </w:r>
      <w:r w:rsidRPr="004E6FE2">
        <w:rPr>
          <w:rFonts w:ascii="Verdana" w:eastAsia="Verdana" w:hAnsi="Verdana" w:cs="Verdana"/>
          <w:color w:val="000000"/>
        </w:rPr>
        <w:t xml:space="preserve">aquellas que se refieren a la autonomía del contratista de prestación de servicios y su diferencia con un vínculo meramente laboral, se tiene que es posible que las actividades para la ejecución del objeto laboral se desarrollen por fuera de las instalaciones de la </w:t>
      </w:r>
      <w:r w:rsidRPr="004E6FE2">
        <w:rPr>
          <w:rFonts w:ascii="Verdana" w:eastAsia="Verdana" w:hAnsi="Verdana" w:cs="Verdana"/>
          <w:color w:val="000000"/>
        </w:rPr>
        <w:lastRenderedPageBreak/>
        <w:t xml:space="preserve">entidad, bien sea porque el contratista se encuentre domiciliado en otra ciudad del territorio nacional o, incluso, que las ejecute desde el extranjero. </w:t>
      </w:r>
    </w:p>
    <w:p w14:paraId="526BA78B" w14:textId="77777777" w:rsidR="004E6FE2" w:rsidRPr="004E6FE2" w:rsidRDefault="004E6FE2" w:rsidP="004E6FE2">
      <w:pPr>
        <w:spacing w:before="120" w:after="120" w:line="276" w:lineRule="auto"/>
        <w:jc w:val="both"/>
        <w:rPr>
          <w:rFonts w:ascii="Verdana" w:eastAsia="Verdana" w:hAnsi="Verdana" w:cs="Verdana"/>
          <w:lang w:val="es-ES"/>
        </w:rPr>
      </w:pPr>
      <w:r w:rsidRPr="004E6FE2">
        <w:rPr>
          <w:rFonts w:ascii="Verdana" w:eastAsia="Verdana" w:hAnsi="Verdana" w:cs="Verdana"/>
          <w:color w:val="000000"/>
          <w:lang w:val="es-ES"/>
        </w:rPr>
        <w:t xml:space="preserve"> </w:t>
      </w:r>
      <w:r w:rsidRPr="004E6FE2">
        <w:rPr>
          <w:rFonts w:cs="Times New Roman"/>
          <w:lang w:val="es-CO" w:eastAsia="en-US"/>
        </w:rPr>
        <w:tab/>
      </w:r>
      <w:r w:rsidRPr="004E6FE2">
        <w:rPr>
          <w:rFonts w:ascii="Verdana" w:eastAsia="Verdana" w:hAnsi="Verdana" w:cs="Verdana"/>
          <w:color w:val="000000"/>
          <w:lang w:val="es-ES"/>
        </w:rPr>
        <w:t xml:space="preserve"> </w:t>
      </w:r>
      <w:r w:rsidRPr="004E6FE2">
        <w:rPr>
          <w:rFonts w:ascii="Verdana" w:eastAsia="Verdana" w:hAnsi="Verdana" w:cs="Verdana"/>
          <w:lang w:val="es-ES"/>
        </w:rPr>
        <w:t>S</w:t>
      </w:r>
      <w:r w:rsidRPr="004E6FE2">
        <w:rPr>
          <w:rFonts w:ascii="Verdana" w:eastAsia="Verdana" w:hAnsi="Verdana" w:cs="Verdana"/>
          <w:color w:val="000000"/>
          <w:lang w:val="es-ES"/>
        </w:rPr>
        <w:t>iempre que el objeto contractual no exija la ejecución presencial de las actividades, es posible que el contrato de prestación de servicios sea ejecutado desde el exterior. De igual manera, resulta plausible que un ciudadano extranjero sea contratado bajo esta modalidad para el desarrollo del objeto contractual dentro del territorio nacional. Esto se encuentra alineado con la Constitución Política de Colombia, cuyo primer inciso del artículo 100 establece que “</w:t>
      </w:r>
      <w:r w:rsidRPr="004E6FE2">
        <w:rPr>
          <w:rFonts w:ascii="Verdana" w:eastAsia="Verdana" w:hAnsi="Verdana" w:cs="Verdana"/>
          <w:i/>
          <w:color w:val="000000"/>
          <w:lang w:val="es-ES"/>
        </w:rPr>
        <w:t>Los extranjeros disfrutarán en Colombia de los mismos derechos civiles que se conceden a los colombianos</w:t>
      </w:r>
      <w:r w:rsidRPr="004E6FE2">
        <w:rPr>
          <w:rFonts w:ascii="Verdana" w:eastAsia="Verdana" w:hAnsi="Verdana" w:cs="Verdana"/>
          <w:color w:val="000000"/>
          <w:lang w:val="es-ES"/>
        </w:rPr>
        <w:t xml:space="preserve">. No obstante, la ley podrá, por razones de orden público, subordinar a condiciones especiales o negar el ejercicio de determinados derechos civiles a los extranjeros”. </w:t>
      </w:r>
    </w:p>
    <w:p w14:paraId="07076F11" w14:textId="77777777" w:rsidR="004E6FE2" w:rsidRPr="004E6FE2" w:rsidRDefault="004E6FE2" w:rsidP="004E6FE2">
      <w:pPr>
        <w:spacing w:before="120" w:after="120" w:line="276" w:lineRule="auto"/>
        <w:ind w:firstLine="720"/>
        <w:jc w:val="both"/>
        <w:rPr>
          <w:rFonts w:ascii="Verdana" w:eastAsia="Verdana" w:hAnsi="Verdana" w:cs="Verdana"/>
          <w:color w:val="000000"/>
        </w:rPr>
      </w:pPr>
      <w:r w:rsidRPr="004E6FE2">
        <w:rPr>
          <w:rFonts w:ascii="Verdana" w:eastAsia="Verdana" w:hAnsi="Verdana" w:cs="Verdana"/>
          <w:color w:val="000000"/>
        </w:rPr>
        <w:t>Por otra parte, de conformidad con el artículo 1502 (numeral 1) del Código Civil</w:t>
      </w:r>
      <w:r w:rsidRPr="004E6FE2">
        <w:rPr>
          <w:rFonts w:ascii="Verdana" w:hAnsi="Verdana"/>
          <w:color w:val="000000"/>
          <w:vertAlign w:val="superscript"/>
        </w:rPr>
        <w:footnoteReference w:id="14"/>
      </w:r>
      <w:r w:rsidRPr="004E6FE2">
        <w:rPr>
          <w:rFonts w:ascii="Verdana" w:eastAsia="Verdana" w:hAnsi="Verdana" w:cs="Verdana"/>
          <w:color w:val="000000"/>
          <w:vertAlign w:val="superscript"/>
        </w:rPr>
        <w:t xml:space="preserve"> </w:t>
      </w:r>
      <w:r w:rsidRPr="004E6FE2">
        <w:rPr>
          <w:rFonts w:ascii="Verdana" w:eastAsia="Verdana" w:hAnsi="Verdana" w:cs="Verdana"/>
          <w:color w:val="000000"/>
        </w:rPr>
        <w:t>y el inciso primero del artículo 6 de la Ley 80 de 1993 —modificado por el artículo 1 de la Ley 2160 de 2021—, están facultadas para contratar con las entidades estatales aquellas personas consideradas legalmente capaces bajo las disposiciones vigentes. En consecuencia, dado que el artículo 74 del Código Civil define como personas a todos los individuos de la especie humana, sin distinción de edad, sexo, estirpe o condición, se concluye que los extranjeros gozan de plena capacidad jurídica para celebrar contratos estatales, a menos que se configuren causales de inhabilidad que restrinjan dicha capacidad</w:t>
      </w:r>
      <w:r w:rsidRPr="004E6FE2">
        <w:rPr>
          <w:rFonts w:ascii="Verdana" w:hAnsi="Verdana"/>
          <w:vertAlign w:val="superscript"/>
        </w:rPr>
        <w:footnoteReference w:id="15"/>
      </w:r>
      <w:r w:rsidRPr="004E6FE2">
        <w:rPr>
          <w:rFonts w:ascii="Verdana" w:eastAsia="Verdana" w:hAnsi="Verdana" w:cs="Verdana"/>
          <w:highlight w:val="white"/>
        </w:rPr>
        <w:t>. Del rég</w:t>
      </w:r>
      <w:r w:rsidRPr="004E6FE2">
        <w:rPr>
          <w:rFonts w:ascii="Verdana" w:eastAsia="Verdana" w:hAnsi="Verdana" w:cs="Verdana"/>
          <w:color w:val="000000"/>
        </w:rPr>
        <w:t xml:space="preserve">imen jurídico aplicable, también se infiere que las personas extranjeras domiciliadas en el exterior pueden ser contratistas. Para estos </w:t>
      </w:r>
      <w:r w:rsidRPr="004E6FE2">
        <w:rPr>
          <w:rFonts w:ascii="Verdana" w:eastAsia="Verdana" w:hAnsi="Verdana" w:cs="Verdana"/>
          <w:color w:val="000000"/>
          <w:highlight w:val="white"/>
        </w:rPr>
        <w:t xml:space="preserve">efectos, el artículo 13 de la Ley 80 de 1993 dispone que “Los contratos celebrados en el exterior se podrán regir en su ejecución por las reglas del país en donde se hayan suscrito, a menos que deban cumplirse en Colombia” y que “Los contratos que se celebren en </w:t>
      </w:r>
      <w:r w:rsidRPr="004E6FE2">
        <w:rPr>
          <w:rFonts w:ascii="Verdana" w:eastAsia="Verdana" w:hAnsi="Verdana" w:cs="Verdana"/>
          <w:color w:val="000000"/>
          <w:highlight w:val="white"/>
        </w:rPr>
        <w:lastRenderedPageBreak/>
        <w:t>Colombia y deban ejecutarse o cumplirse en el extranjero, podrán someterse a la ley extranjera”.</w:t>
      </w:r>
      <w:r w:rsidRPr="004E6FE2">
        <w:rPr>
          <w:rFonts w:ascii="Verdana" w:eastAsia="Verdana" w:hAnsi="Verdana" w:cs="Verdana"/>
          <w:color w:val="000000"/>
        </w:rPr>
        <w:t xml:space="preserve"> </w:t>
      </w:r>
    </w:p>
    <w:p w14:paraId="433CA469" w14:textId="77777777" w:rsidR="004E6FE2" w:rsidRPr="004E6FE2" w:rsidRDefault="004E6FE2" w:rsidP="004E6FE2">
      <w:pPr>
        <w:spacing w:before="120" w:after="120" w:line="276" w:lineRule="auto"/>
        <w:ind w:firstLine="708"/>
        <w:jc w:val="both"/>
        <w:rPr>
          <w:rFonts w:ascii="Verdana" w:eastAsia="Verdana" w:hAnsi="Verdana" w:cs="Verdana"/>
          <w:color w:val="000000"/>
        </w:rPr>
      </w:pPr>
      <w:r w:rsidRPr="004E6FE2">
        <w:rPr>
          <w:rFonts w:ascii="Verdana" w:eastAsia="Verdana" w:hAnsi="Verdana" w:cs="Verdana"/>
          <w:color w:val="000000"/>
        </w:rPr>
        <w:t xml:space="preserve">Como se observa, la capacidad para celebrar contratos estatales no se reserva exclusivamente a los nacionales. Por tanto, para efectos de la causal de contratación directa del artículo 2, numeral 4º, literal h), de la Ley 1150 de 2007, es posible celebrar un contrato de prestación de servicios con una persona extranjera. Ahora bien, sin perjuicio de los incisos 2 y 3 del artículo 13 de la Ley 80 de 1993, los contratos de prestación de servicios con extranjeros suponen requisitos y formalidades similares que aquellos celebrados con contratistas colombianos, aunado a los temas de permiso de trabajo y convalidación. Sin embargo, es preciso señalar que la existencia de algún matiz en el caso particular debe analizarse por la entidad contratante. En efecto, </w:t>
      </w:r>
      <w:r w:rsidRPr="004E6FE2">
        <w:rPr>
          <w:rFonts w:ascii="Verdana" w:eastAsia="Verdana" w:hAnsi="Verdana" w:cs="Verdana"/>
        </w:rPr>
        <w:t>la competencia de Colombia Compra Eficiente se fija con límites claros con el propósito de evitar que la Agencia actúe como una instancia de validación de las actuaciones de las entidades sujetas a la Ley 80 de 1993 o de los demás participantes de la contratación pública</w:t>
      </w:r>
      <w:r w:rsidRPr="004E6FE2">
        <w:rPr>
          <w:rFonts w:ascii="Verdana" w:eastAsia="Verdana" w:hAnsi="Verdana" w:cs="Verdana"/>
          <w:vertAlign w:val="superscript"/>
        </w:rPr>
        <w:footnoteReference w:id="16"/>
      </w:r>
      <w:r w:rsidRPr="004E6FE2">
        <w:rPr>
          <w:rFonts w:ascii="Verdana" w:eastAsia="Verdana" w:hAnsi="Verdana" w:cs="Verdana"/>
        </w:rPr>
        <w:t xml:space="preserve">. Esta competencia de interpretación de normas generales, por definición, no puede extenderse a brindar asesorías sobre casos puntuales. </w:t>
      </w:r>
    </w:p>
    <w:p w14:paraId="087C23B1" w14:textId="77777777" w:rsidR="004E6FE2" w:rsidRPr="004E6FE2" w:rsidRDefault="004E6FE2" w:rsidP="004E6FE2">
      <w:pPr>
        <w:spacing w:after="120" w:line="276" w:lineRule="auto"/>
        <w:ind w:firstLine="709"/>
        <w:jc w:val="both"/>
        <w:rPr>
          <w:rFonts w:ascii="Verdana" w:eastAsia="Verdana" w:hAnsi="Verdana" w:cs="Verdana"/>
        </w:rPr>
      </w:pPr>
      <w:r w:rsidRPr="004E6FE2">
        <w:rPr>
          <w:rFonts w:ascii="Verdana" w:eastAsia="Verdana" w:hAnsi="Verdana" w:cs="Verdana"/>
        </w:rPr>
        <w:t xml:space="preserve">Ahora bien, frente a la contratación de ciudadanos extranjeros, es importante precisar que cuando estos se encuentran en el territorio colombiano, gozan de las mismas garantías concedidas a los nacionales, salvo las mismas excepciones o limitaciones que establezca el ordenamiento jurídico. En ese sentido, vale la pena resaltar la Ley 146 de 1994 “Por medio del cual se aprueba la Convención Internacional sobre la Protección de los Derechos de todos los Trabajadores Migratorios y de sus familiares”, en la que se define específicamente como trabajador migratorio a toda persona que vaya a realizar, realice o haya realizado alguna actividad remunerada por un Estado del que no es nacional y establece que los Estados parte deben colaborar entre sí para contrarrestar la ilegalidad del empleo de los trabajadores migratorios en </w:t>
      </w:r>
      <w:r w:rsidRPr="004E6FE2">
        <w:rPr>
          <w:rFonts w:ascii="Verdana" w:eastAsia="Verdana" w:hAnsi="Verdana" w:cs="Verdana"/>
        </w:rPr>
        <w:lastRenderedPageBreak/>
        <w:t xml:space="preserve">situación irregular, así como para adoptar medidas apropiadas para que la situación irregular no persista. </w:t>
      </w:r>
    </w:p>
    <w:p w14:paraId="1D720516" w14:textId="77777777" w:rsidR="004E6FE2" w:rsidRPr="004E6FE2" w:rsidRDefault="004E6FE2" w:rsidP="004E6FE2">
      <w:pPr>
        <w:spacing w:after="0" w:line="276" w:lineRule="auto"/>
        <w:ind w:firstLine="709"/>
        <w:jc w:val="both"/>
        <w:rPr>
          <w:rFonts w:ascii="Verdana" w:eastAsia="Verdana" w:hAnsi="Verdana" w:cs="Verdana"/>
        </w:rPr>
      </w:pPr>
      <w:r w:rsidRPr="004E6FE2">
        <w:rPr>
          <w:rFonts w:ascii="Verdana" w:eastAsia="Verdana" w:hAnsi="Verdana" w:cs="Verdana"/>
        </w:rPr>
        <w:t>En el marco de la normativa que regula el sistema migratorio en Colombia, es decir, aquellas que regulan el ingreso y salida de las personas del territorio colombiano, se destaca el Decreto 1067 de 2015, “por medio del cual se expide el Decreto Único Reglamentario del Sector Administrativo de Relaciones Exteriores”. En este decreto compilatorio, particularmente, en su artículo 2.2.1.11.5.1, se establecen las obligaciones y exigencias para cualquier entidad, pública o privada, que contrate, vincule o admita a un extranjero bajo cualquier modalidad. Al respecto, dicha disposición prescribe:</w:t>
      </w:r>
    </w:p>
    <w:p w14:paraId="3A39D0EB" w14:textId="77777777" w:rsidR="004E6FE2" w:rsidRPr="004E6FE2" w:rsidRDefault="004E6FE2" w:rsidP="004E6FE2">
      <w:pPr>
        <w:spacing w:after="0" w:line="276" w:lineRule="auto"/>
        <w:ind w:firstLine="709"/>
        <w:jc w:val="both"/>
        <w:rPr>
          <w:rFonts w:ascii="Verdana" w:eastAsia="Verdana" w:hAnsi="Verdana" w:cs="Verdana"/>
        </w:rPr>
      </w:pPr>
    </w:p>
    <w:p w14:paraId="57109C7D"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“Artículo 2.2.1.11.5.1. </w:t>
      </w:r>
      <w:r w:rsidRPr="004E6FE2">
        <w:rPr>
          <w:rFonts w:ascii="Verdana" w:eastAsia="Verdana" w:hAnsi="Verdana" w:cs="Verdana"/>
          <w:i/>
          <w:color w:val="000000"/>
          <w:sz w:val="20"/>
          <w:szCs w:val="20"/>
        </w:rPr>
        <w:t>De las actividades que generen beneficio. </w:t>
      </w:r>
      <w:r w:rsidRPr="004E6FE2">
        <w:rPr>
          <w:rFonts w:ascii="Verdana" w:eastAsia="Verdana" w:hAnsi="Verdana" w:cs="Verdana"/>
          <w:color w:val="000000"/>
          <w:sz w:val="20"/>
          <w:szCs w:val="20"/>
        </w:rPr>
        <w:t xml:space="preserve">Toda persona, natural o jurídica que vincule, contrate, emplee o admita un extranjero mediante cualquier modalidad, en especial, relación laboral, cooperativa o civil que genere un beneficio, </w:t>
      </w:r>
      <w:r w:rsidRPr="004E6FE2">
        <w:rPr>
          <w:rFonts w:ascii="Verdana" w:eastAsia="Verdana" w:hAnsi="Verdana" w:cs="Verdana"/>
          <w:i/>
          <w:color w:val="000000"/>
          <w:sz w:val="20"/>
          <w:szCs w:val="20"/>
        </w:rPr>
        <w:t>deberá exigirle la presentación de la visa que le permita desarrollar la actividad, ocupación u oficio declarado en la solicitud de la visa. Así mismo, deberá solicitarle al extranjero la presentación de la Cédula de Extranjería cuando se esté en la obligación de tramitarla en cumplimiento de los requisitos migratorios (visas con vigencia superior a tres [3] meses con excepción de los titulares de las visas que se establezcan para tal fin por parte del Ministerio de Relaciones Exteriores)</w:t>
      </w:r>
      <w:r w:rsidRPr="004E6FE2">
        <w:rPr>
          <w:rFonts w:ascii="Verdana" w:eastAsia="Verdana" w:hAnsi="Verdana" w:cs="Verdana"/>
          <w:color w:val="000000"/>
          <w:sz w:val="20"/>
          <w:szCs w:val="20"/>
        </w:rPr>
        <w:t>.</w:t>
      </w:r>
    </w:p>
    <w:p w14:paraId="33504E70"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p>
    <w:p w14:paraId="2ADDEF29"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lang w:val="es-ES"/>
        </w:rPr>
      </w:pPr>
      <w:r w:rsidRPr="004E6FE2">
        <w:rPr>
          <w:rFonts w:ascii="Verdana" w:eastAsia="Verdana" w:hAnsi="Verdana" w:cs="Verdana"/>
          <w:color w:val="000000"/>
          <w:sz w:val="20"/>
          <w:szCs w:val="20"/>
          <w:lang w:val="es-ES"/>
        </w:rPr>
        <w:t>En el caso de presentarse una desvinculación antes del término previsto en la relación laboral, cooperativa o civil, que genere beneficio, deberá informar por escrito o por los medios electrónicos establecidos para tal fin a la Unidad Administrativa Especial Migración Colombia acerca de dicha terminación en un término de hasta quince (15) días calendario siguientes a la ocurrencia del hecho.</w:t>
      </w:r>
    </w:p>
    <w:p w14:paraId="1F2CD4E2"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p>
    <w:p w14:paraId="15EFA58A"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lang w:val="es-ES"/>
        </w:rPr>
      </w:pPr>
      <w:r w:rsidRPr="004E6FE2">
        <w:rPr>
          <w:rFonts w:ascii="Verdana" w:eastAsia="Verdana" w:hAnsi="Verdana" w:cs="Verdana"/>
          <w:color w:val="000000"/>
          <w:sz w:val="20"/>
          <w:szCs w:val="20"/>
          <w:lang w:val="es-ES"/>
        </w:rPr>
        <w:t>Toda persona natural o jurídica que vincule, contrate, emplee o admita un extranjero mediante cualquier modalidad, en especial, relación laboral, cooperativa o civil que genere un beneficio, deberá suministrar la información que le solicite la autoridad de control migratorio.</w:t>
      </w:r>
    </w:p>
    <w:p w14:paraId="25AE64E5"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p>
    <w:p w14:paraId="2E615CCA" w14:textId="77777777" w:rsidR="004E6FE2" w:rsidRPr="004E6FE2" w:rsidRDefault="004E6FE2" w:rsidP="004E6FE2">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4E6FE2">
        <w:rPr>
          <w:rFonts w:ascii="Verdana" w:eastAsia="Verdana" w:hAnsi="Verdana" w:cs="Verdana"/>
          <w:color w:val="000000"/>
          <w:sz w:val="20"/>
          <w:szCs w:val="20"/>
        </w:rPr>
        <w:t>Parágrafo transitorio</w:t>
      </w:r>
      <w:r w:rsidRPr="004E6FE2">
        <w:rPr>
          <w:rFonts w:ascii="Verdana" w:eastAsia="Verdana" w:hAnsi="Verdana" w:cs="Verdana"/>
          <w:b/>
          <w:color w:val="000000"/>
          <w:sz w:val="20"/>
          <w:szCs w:val="20"/>
        </w:rPr>
        <w:t>.</w:t>
      </w:r>
      <w:r w:rsidRPr="004E6FE2">
        <w:rPr>
          <w:rFonts w:ascii="Verdana" w:eastAsia="Verdana" w:hAnsi="Verdana" w:cs="Verdana"/>
          <w:color w:val="000000"/>
          <w:sz w:val="20"/>
          <w:szCs w:val="20"/>
        </w:rPr>
        <w:t xml:space="preserve"> Hasta tanto se establezca la comunicación de bases de datos del Ministerio de Relaciones Exteriores y la Unidad Administrativa Especial Migración Colombia, toda persona, natural o jurídica que vincule, contrate, emplee o admita a un extranjero mediante cualquier modalidad o relación que genere un beneficio, en especial laboral, cooperativa o civil, deberá informar por escrito o por los medios establecidos para tal fin a la Unidad Administrativa Especial Migración Colombia, sobre su vinculación, </w:t>
      </w:r>
      <w:r w:rsidRPr="004E6FE2">
        <w:rPr>
          <w:rFonts w:ascii="Verdana" w:eastAsia="Verdana" w:hAnsi="Verdana" w:cs="Verdana"/>
          <w:color w:val="000000"/>
          <w:sz w:val="20"/>
          <w:szCs w:val="20"/>
        </w:rPr>
        <w:lastRenderedPageBreak/>
        <w:t xml:space="preserve">contratación o admisión, dentro de los quince (15) días calendario siguientes a la iniciación o terminación de labores”. </w:t>
      </w:r>
    </w:p>
    <w:p w14:paraId="683182AE" w14:textId="77777777" w:rsidR="004E6FE2" w:rsidRPr="004E6FE2" w:rsidRDefault="004E6FE2" w:rsidP="004E6FE2">
      <w:pPr>
        <w:pBdr>
          <w:top w:val="nil"/>
          <w:left w:val="nil"/>
          <w:bottom w:val="nil"/>
          <w:right w:val="nil"/>
          <w:between w:val="nil"/>
        </w:pBdr>
        <w:spacing w:after="0" w:line="240" w:lineRule="auto"/>
        <w:ind w:right="709"/>
        <w:jc w:val="both"/>
        <w:rPr>
          <w:rFonts w:ascii="Verdana" w:eastAsia="Verdana" w:hAnsi="Verdana" w:cs="Verdana"/>
        </w:rPr>
      </w:pPr>
    </w:p>
    <w:p w14:paraId="4E6F2A1F" w14:textId="77777777" w:rsidR="004E6FE2" w:rsidRPr="004E6FE2" w:rsidRDefault="004E6FE2" w:rsidP="004E6FE2">
      <w:pPr>
        <w:pBdr>
          <w:top w:val="nil"/>
          <w:left w:val="nil"/>
          <w:bottom w:val="nil"/>
          <w:right w:val="nil"/>
          <w:between w:val="nil"/>
        </w:pBdr>
        <w:spacing w:after="120" w:line="276" w:lineRule="auto"/>
        <w:ind w:right="-79"/>
        <w:jc w:val="both"/>
        <w:rPr>
          <w:rFonts w:ascii="Verdana" w:eastAsia="Verdana" w:hAnsi="Verdana" w:cs="Verdana"/>
          <w:color w:val="000000"/>
          <w:sz w:val="21"/>
          <w:szCs w:val="21"/>
          <w:lang w:val="es-ES"/>
        </w:rPr>
      </w:pPr>
      <w:r w:rsidRPr="004E6FE2">
        <w:rPr>
          <w:rFonts w:ascii="Verdana" w:eastAsia="Verdana" w:hAnsi="Verdana" w:cs="Verdana"/>
        </w:rPr>
        <w:tab/>
      </w:r>
      <w:r w:rsidRPr="004E6FE2">
        <w:rPr>
          <w:rFonts w:ascii="Verdana" w:eastAsia="Verdana" w:hAnsi="Verdana" w:cs="Verdana"/>
          <w:lang w:val="es-ES"/>
        </w:rPr>
        <w:t>De lo anterior, se extrae que existe un deber de las entidades contratantes, ya sean públicas o privadas de exigir la presentación de la visa que le permita desarrollar la actividad, ocupación u oficio declarado en la solicitud de la visa. De igual modo, debe exigirle al extranjero la presentación de la Cédula de Extranjería cuando se esté en la obligación de tramitarla en cumplimiento de los requisitos migratorios, como son los casos de las visas con vigencia superior a tres [3] meses, excepto los titulares de las visas que se establezcan para tal fin por parte del Ministerio de Relaciones Exteriores. En el evento de presentarse una desvinculación antes del término previsto en la relación debe informar por escrito o por los medios electrónicos establecidos para tal fin a la Unidad Administrativa Especial Migración Colombia acerca de dicha terminación en un término de hasta quince (15) días calendario siguientes a la ocurrencia del hecho. De igual manera, esta misma norma, establece que toda persona natural o jurídica que vincule, contrate, emplee o admita un extranjero para que preste sus servicios mediante cualquier modalidad debe suministrar la información que le solicite la autoridad de control migratorio.</w:t>
      </w:r>
      <w:r w:rsidRPr="004E6FE2">
        <w:rPr>
          <w:rFonts w:ascii="Verdana" w:eastAsia="Verdana" w:hAnsi="Verdana" w:cs="Verdana"/>
          <w:color w:val="000000"/>
          <w:sz w:val="21"/>
          <w:szCs w:val="21"/>
          <w:lang w:val="es-ES"/>
        </w:rPr>
        <w:t xml:space="preserve"> </w:t>
      </w:r>
    </w:p>
    <w:p w14:paraId="19AFCA18" w14:textId="77777777" w:rsidR="004E6FE2" w:rsidRPr="004E6FE2" w:rsidRDefault="004E6FE2" w:rsidP="004E6FE2">
      <w:pPr>
        <w:spacing w:after="120" w:line="276" w:lineRule="auto"/>
        <w:ind w:firstLine="709"/>
        <w:jc w:val="both"/>
        <w:rPr>
          <w:rFonts w:ascii="Verdana" w:eastAsia="Verdana" w:hAnsi="Verdana" w:cs="Verdana"/>
          <w:color w:val="000000"/>
        </w:rPr>
      </w:pPr>
      <w:r w:rsidRPr="004E6FE2">
        <w:rPr>
          <w:rFonts w:ascii="Verdana" w:eastAsia="Verdana" w:hAnsi="Verdana" w:cs="Verdana"/>
        </w:rPr>
        <w:t xml:space="preserve">En el marco de lo dispuesto, el Ministerio de Relaciones Exteriores expidió la Resolución 5477 de 2022, “Por la cual se dictan disposiciones en materia de visas y se deroga la Resolución </w:t>
      </w:r>
      <w:hyperlink r:id="rId17" w:anchor="INICIO">
        <w:r w:rsidRPr="004E6FE2">
          <w:rPr>
            <w:rFonts w:ascii="Verdana" w:eastAsia="Verdana" w:hAnsi="Verdana" w:cs="Verdana"/>
            <w:color w:val="000000"/>
          </w:rPr>
          <w:t>1980</w:t>
        </w:r>
      </w:hyperlink>
      <w:r w:rsidRPr="004E6FE2">
        <w:rPr>
          <w:rFonts w:ascii="Verdana" w:eastAsia="Verdana" w:hAnsi="Verdana" w:cs="Verdana"/>
        </w:rPr>
        <w:t xml:space="preserve"> del 19 de marzo de 2014 y la Resolución </w:t>
      </w:r>
      <w:hyperlink r:id="rId18" w:anchor="INICIO">
        <w:r w:rsidRPr="004E6FE2">
          <w:rPr>
            <w:rFonts w:ascii="Verdana" w:eastAsia="Verdana" w:hAnsi="Verdana" w:cs="Verdana"/>
            <w:color w:val="000000"/>
          </w:rPr>
          <w:t>6045</w:t>
        </w:r>
      </w:hyperlink>
      <w:r w:rsidRPr="004E6FE2">
        <w:rPr>
          <w:rFonts w:ascii="Verdana" w:eastAsia="Verdana" w:hAnsi="Verdana" w:cs="Verdana"/>
        </w:rPr>
        <w:t xml:space="preserve"> del 2 de agosto de 2017”. En esta Resolución, se establecen diferentes tipos de visas que habilitan al ciudadano extranjero para trabajar en Colombia, como lo prescribe el artículo 16: “Cuando se trate de visas que otorgan autorización para trabajar, tanto el extranjero, como el empleador o contratante, deberán cumplir con las normas laborales del Estado colombiano, con las normas específicas para el ejercicio de cada profesión u oficio y con las obligaciones respecto a reporte y registro establecidas en el Decreto </w:t>
      </w:r>
      <w:hyperlink r:id="rId19" w:anchor="INICIO">
        <w:r w:rsidRPr="004E6FE2">
          <w:rPr>
            <w:rFonts w:ascii="Verdana" w:eastAsia="Verdana" w:hAnsi="Verdana" w:cs="Verdana"/>
          </w:rPr>
          <w:t>1067</w:t>
        </w:r>
      </w:hyperlink>
      <w:r w:rsidRPr="004E6FE2">
        <w:rPr>
          <w:rFonts w:ascii="Verdana" w:eastAsia="Verdana" w:hAnsi="Verdana" w:cs="Verdana"/>
        </w:rPr>
        <w:t xml:space="preserve"> de 2015, o norma que lo sustituya”. </w:t>
      </w:r>
      <w:r w:rsidRPr="004E6FE2">
        <w:rPr>
          <w:rFonts w:ascii="Verdana" w:eastAsia="Verdana" w:hAnsi="Verdana" w:cs="Verdana"/>
          <w:color w:val="000000"/>
        </w:rPr>
        <w:t>Esto, sin perjuicio de las condiciones especiales que pueden tener cierto tipo de migrantes</w:t>
      </w:r>
      <w:r w:rsidRPr="004E6FE2">
        <w:rPr>
          <w:rFonts w:ascii="Verdana" w:eastAsia="Verdana" w:hAnsi="Verdana" w:cs="Verdana"/>
          <w:color w:val="000000"/>
          <w:vertAlign w:val="superscript"/>
        </w:rPr>
        <w:footnoteReference w:id="17"/>
      </w:r>
      <w:r w:rsidRPr="004E6FE2">
        <w:rPr>
          <w:rFonts w:ascii="Verdana" w:eastAsia="Verdana" w:hAnsi="Verdana" w:cs="Verdana"/>
          <w:color w:val="000000"/>
        </w:rPr>
        <w:t>.</w:t>
      </w:r>
    </w:p>
    <w:p w14:paraId="07E8C49A" w14:textId="77777777" w:rsidR="004E6FE2" w:rsidRPr="004E6FE2" w:rsidRDefault="004E6FE2" w:rsidP="004E6FE2">
      <w:pPr>
        <w:tabs>
          <w:tab w:val="num" w:pos="720"/>
        </w:tabs>
        <w:spacing w:after="0" w:line="276" w:lineRule="auto"/>
        <w:ind w:firstLine="709"/>
        <w:jc w:val="both"/>
        <w:rPr>
          <w:rFonts w:ascii="Verdana" w:eastAsia="Verdana" w:hAnsi="Verdana" w:cs="Verdana"/>
          <w:color w:val="000000"/>
          <w:lang w:val="es-CO"/>
        </w:rPr>
      </w:pPr>
      <w:r w:rsidRPr="004E6FE2">
        <w:rPr>
          <w:rFonts w:ascii="Verdana" w:eastAsia="Verdana" w:hAnsi="Verdana" w:cs="Verdana"/>
          <w:color w:val="000000"/>
        </w:rPr>
        <w:lastRenderedPageBreak/>
        <w:t xml:space="preserve">De igual manera, en el momento de celebrar un contrato de prestación de servicios de apoyo con un extranjero hay que tener cuenta el procedimiento y todos los aspectos relacionados con la forma de acreditación de los títulos académicos en Colombia que es competencia del legislador y no de esta Agencia. En tal sentido, al Ministerio de Educación le fue asignada la función de convalidar los títulos académicos obtenidos en el extranjero. En efecto, el Decreto 2269 de 2023 señala que son funciones de Dirección de Calidad para la Educación Preescolar, Básica y Media en su artículo 21 numeral 2: “[…] </w:t>
      </w:r>
      <w:r w:rsidRPr="004E6FE2">
        <w:rPr>
          <w:rFonts w:ascii="Verdana" w:eastAsia="Verdana" w:hAnsi="Verdana" w:cs="Verdana"/>
          <w:color w:val="000000"/>
          <w:lang w:val="es-CO"/>
        </w:rPr>
        <w:t>Homologar y convalidar títulos de estudios de preescolar, básica y media cursados en el exterior de conformidad con la ley”.</w:t>
      </w:r>
      <w:r w:rsidRPr="004E6FE2">
        <w:rPr>
          <w:rFonts w:ascii="Verdana" w:eastAsia="Verdana" w:hAnsi="Verdana" w:cs="Verdana"/>
          <w:color w:val="000000"/>
        </w:rPr>
        <w:t xml:space="preserve"> Por otro lado, se establece como función de la Subdirección de Aseguramiento de la Educación Superior </w:t>
      </w:r>
      <w:r w:rsidRPr="004E6FE2">
        <w:rPr>
          <w:rFonts w:ascii="Verdana" w:eastAsia="Verdana" w:hAnsi="Verdana" w:cs="Verdana"/>
          <w:color w:val="000000"/>
          <w:lang w:val="es-CO"/>
        </w:rPr>
        <w:t xml:space="preserve">en su artículo 32 numeral 1 lo siguiente: “Gestionar y desarrollar con el apoyo de la Comisión Nacional Intersectorial de Aseguramiento de la Calidad de la Educación Superior -CONACES, el proceso de convalidación de títulos de educación superior otorgados por instituciones de educación superior extranjeras, para efectos académicos y legales en el territorio nacional”. </w:t>
      </w:r>
      <w:r w:rsidRPr="004E6FE2">
        <w:rPr>
          <w:rFonts w:ascii="Verdana" w:eastAsia="Verdana" w:hAnsi="Verdana" w:cs="Verdana"/>
          <w:color w:val="000000"/>
        </w:rPr>
        <w:t xml:space="preserve">Asimismo, el Decreto Único Reglamentario 1075 de 2015, que regula el sector de Educación, contiene varias normas que contemplan la convalidación del título obtenido en el extranjero, como un requisito para que este tenga validez en Colombia.  </w:t>
      </w:r>
    </w:p>
    <w:p w14:paraId="07CAFF2C" w14:textId="77777777" w:rsidR="004E6FE2" w:rsidRPr="004E6FE2" w:rsidRDefault="004E6FE2" w:rsidP="004E6FE2">
      <w:pPr>
        <w:spacing w:after="0" w:line="276" w:lineRule="auto"/>
        <w:jc w:val="both"/>
        <w:rPr>
          <w:rFonts w:ascii="Verdana" w:eastAsia="Verdana" w:hAnsi="Verdana" w:cs="Verdana"/>
        </w:rPr>
      </w:pPr>
    </w:p>
    <w:p w14:paraId="11ABE971" w14:textId="77777777" w:rsidR="004E6FE2" w:rsidRPr="004E6FE2" w:rsidRDefault="004E6FE2" w:rsidP="004E6FE2">
      <w:pPr>
        <w:spacing w:after="120" w:line="276" w:lineRule="auto"/>
        <w:jc w:val="both"/>
        <w:rPr>
          <w:rFonts w:ascii="Verdana" w:eastAsia="Verdana" w:hAnsi="Verdana" w:cs="Verdana"/>
          <w:lang w:val="es-ES"/>
        </w:rPr>
      </w:pPr>
      <w:r w:rsidRPr="004E6FE2">
        <w:rPr>
          <w:rFonts w:ascii="Verdana" w:eastAsia="Verdana" w:hAnsi="Verdana" w:cs="Verdana"/>
          <w:lang w:val="es-ES"/>
        </w:rPr>
        <w:t xml:space="preserve">ii. Ahora bien, para el desarrollo de las distintas modalidades de contratación, resulta necesario verificar aquellas condiciones que impiden seleccionar al eventual contratista o que este continúe ejecutando el objeto contractual. Tales limitaciones y restricciones se encuentran desarrolladas bajo un régimen de inhabilidades, incompatibilidades y prohibiciones que buscan asegurar la transparencia, la imparcialidad, la igualdad y la moralidad en la gestión de los negocios a cargo de las entidades del Estado. </w:t>
      </w:r>
    </w:p>
    <w:p w14:paraId="0B275F35" w14:textId="77777777" w:rsidR="004E6FE2" w:rsidRPr="004E6FE2" w:rsidRDefault="004E6FE2" w:rsidP="004E6FE2">
      <w:pPr>
        <w:spacing w:after="0" w:line="276" w:lineRule="auto"/>
        <w:ind w:firstLine="709"/>
        <w:jc w:val="both"/>
        <w:rPr>
          <w:rFonts w:ascii="Verdana" w:eastAsia="Verdana" w:hAnsi="Verdana" w:cs="Verdana"/>
        </w:rPr>
      </w:pPr>
      <w:r w:rsidRPr="004E6FE2">
        <w:rPr>
          <w:rFonts w:ascii="Verdana" w:eastAsia="Verdana" w:hAnsi="Verdana" w:cs="Verdana"/>
        </w:rPr>
        <w:t xml:space="preserve">De forma manera general, se tiene que las inhabilidades, en el marco de la contratación estatal, constituyen circunstancias de inelegibilidad que prohíben la suscripción de contratos con quienes se hallen inmersos en tales causales, o en otros casos, por ser estas sobrevinientes, impiden que la persona inhabilitada continúe desarrollando el objeto contractual. Frente a la definición de inhabilidades, la Corte Constitucional ha señalado lo siguiente: </w:t>
      </w:r>
    </w:p>
    <w:p w14:paraId="007C2EDA" w14:textId="77777777" w:rsidR="004E6FE2" w:rsidRPr="004E6FE2" w:rsidRDefault="004E6FE2" w:rsidP="004E6FE2">
      <w:pPr>
        <w:spacing w:after="0" w:line="276" w:lineRule="auto"/>
        <w:jc w:val="both"/>
        <w:rPr>
          <w:rFonts w:ascii="Verdana" w:eastAsia="Verdana" w:hAnsi="Verdana" w:cs="Verdana"/>
        </w:rPr>
      </w:pPr>
    </w:p>
    <w:p w14:paraId="371E1652" w14:textId="77777777" w:rsidR="004E6FE2" w:rsidRPr="004E6FE2" w:rsidRDefault="004E6FE2" w:rsidP="004E6FE2">
      <w:pPr>
        <w:spacing w:after="0" w:line="240" w:lineRule="auto"/>
        <w:ind w:left="708" w:right="709"/>
        <w:jc w:val="both"/>
        <w:rPr>
          <w:rFonts w:ascii="Verdana" w:eastAsia="Verdana" w:hAnsi="Verdana" w:cs="Verdana"/>
          <w:sz w:val="20"/>
          <w:szCs w:val="20"/>
        </w:rPr>
      </w:pPr>
      <w:r w:rsidRPr="004E6FE2">
        <w:rPr>
          <w:rFonts w:ascii="Verdana" w:eastAsia="Verdana" w:hAnsi="Verdana" w:cs="Verdana"/>
          <w:sz w:val="20"/>
          <w:szCs w:val="20"/>
        </w:rPr>
        <w:lastRenderedPageBreak/>
        <w:t>“[…] Las inhabilidades constituyen una limitación de la capacidad para contratar con las entidades estatales que de modo general se reconoce a las personas naturales y jurídicas, y obedecen a la falta de aptitud o a la carencia de una cualidad, calidad o requisito del sujeto que lo incapacita para poder ser parte en una relación contractual con dichas entidades, por razones vinculadas con los altos intereses públicos envueltos en las operaciones contractuales que exigen que éstas se realicen con arreglo a criterios de imparcialidad, eficacia, eficiencia, moralidad y transparencia”</w:t>
      </w:r>
      <w:r w:rsidRPr="004E6FE2">
        <w:rPr>
          <w:rFonts w:ascii="Verdana" w:eastAsia="Verdana" w:hAnsi="Verdana" w:cs="Verdana"/>
          <w:sz w:val="20"/>
          <w:szCs w:val="20"/>
          <w:vertAlign w:val="superscript"/>
        </w:rPr>
        <w:footnoteReference w:id="18"/>
      </w:r>
      <w:r w:rsidRPr="004E6FE2">
        <w:rPr>
          <w:color w:val="2D2D2D"/>
          <w:sz w:val="20"/>
          <w:szCs w:val="20"/>
          <w:highlight w:val="white"/>
        </w:rPr>
        <w:t>.</w:t>
      </w:r>
    </w:p>
    <w:p w14:paraId="184B1951" w14:textId="77777777" w:rsidR="004E6FE2" w:rsidRPr="004E6FE2" w:rsidRDefault="004E6FE2" w:rsidP="004E6FE2">
      <w:pPr>
        <w:spacing w:after="0" w:line="276" w:lineRule="auto"/>
        <w:ind w:firstLine="708"/>
        <w:jc w:val="both"/>
        <w:rPr>
          <w:rFonts w:ascii="Verdana" w:eastAsia="Verdana" w:hAnsi="Verdana" w:cs="Verdana"/>
        </w:rPr>
      </w:pPr>
    </w:p>
    <w:p w14:paraId="1416E8FB" w14:textId="77777777" w:rsidR="004E6FE2" w:rsidRPr="004E6FE2" w:rsidRDefault="004E6FE2" w:rsidP="004E6FE2">
      <w:pPr>
        <w:spacing w:after="0" w:line="276" w:lineRule="auto"/>
        <w:ind w:firstLine="708"/>
        <w:jc w:val="both"/>
        <w:rPr>
          <w:rFonts w:ascii="Verdana" w:eastAsia="Verdana" w:hAnsi="Verdana" w:cs="Verdana"/>
        </w:rPr>
      </w:pPr>
      <w:r w:rsidRPr="004E6FE2">
        <w:rPr>
          <w:rFonts w:ascii="Verdana" w:eastAsia="Verdana" w:hAnsi="Verdana" w:cs="Verdana"/>
        </w:rPr>
        <w:t xml:space="preserve">De igual manera, en torno a las incompatibilidades, la Corte Constitucional ha señalado lo siguiente frente a su definición: </w:t>
      </w:r>
    </w:p>
    <w:p w14:paraId="4DF4B3A2" w14:textId="77777777" w:rsidR="004E6FE2" w:rsidRPr="004E6FE2" w:rsidRDefault="004E6FE2" w:rsidP="004E6FE2">
      <w:pPr>
        <w:spacing w:after="0" w:line="276" w:lineRule="auto"/>
        <w:jc w:val="both"/>
        <w:rPr>
          <w:rFonts w:ascii="Verdana" w:eastAsia="Verdana" w:hAnsi="Verdana" w:cs="Verdana"/>
          <w:sz w:val="20"/>
          <w:szCs w:val="20"/>
        </w:rPr>
      </w:pPr>
    </w:p>
    <w:p w14:paraId="3F9C2E82" w14:textId="77777777" w:rsidR="004E6FE2" w:rsidRPr="004E6FE2" w:rsidRDefault="004E6FE2" w:rsidP="004E6FE2">
      <w:pPr>
        <w:spacing w:after="0" w:line="240" w:lineRule="auto"/>
        <w:ind w:left="709" w:right="709"/>
        <w:jc w:val="both"/>
        <w:rPr>
          <w:rFonts w:ascii="Verdana" w:eastAsia="Verdana" w:hAnsi="Verdana" w:cs="Verdana"/>
          <w:sz w:val="20"/>
          <w:szCs w:val="20"/>
        </w:rPr>
      </w:pPr>
      <w:r w:rsidRPr="004E6FE2">
        <w:rPr>
          <w:rFonts w:ascii="Verdana" w:eastAsia="Verdana" w:hAnsi="Verdana" w:cs="Verdana"/>
          <w:sz w:val="20"/>
          <w:szCs w:val="20"/>
        </w:rPr>
        <w:t xml:space="preserve"> “[…]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4E6FE2">
        <w:rPr>
          <w:rFonts w:ascii="Verdana" w:eastAsia="Verdana" w:hAnsi="Verdana" w:cs="Verdana"/>
          <w:sz w:val="20"/>
          <w:szCs w:val="20"/>
          <w:vertAlign w:val="superscript"/>
        </w:rPr>
        <w:footnoteReference w:id="19"/>
      </w:r>
      <w:r w:rsidRPr="004E6FE2">
        <w:rPr>
          <w:rFonts w:ascii="Verdana" w:eastAsia="Verdana" w:hAnsi="Verdana" w:cs="Verdana"/>
          <w:sz w:val="20"/>
          <w:szCs w:val="20"/>
        </w:rPr>
        <w:t xml:space="preserve">. </w:t>
      </w:r>
    </w:p>
    <w:p w14:paraId="65B11734" w14:textId="77777777" w:rsidR="004E6FE2" w:rsidRPr="004E6FE2" w:rsidRDefault="004E6FE2" w:rsidP="004E6FE2">
      <w:pPr>
        <w:spacing w:after="0" w:line="240" w:lineRule="auto"/>
        <w:ind w:left="709" w:right="709"/>
        <w:jc w:val="both"/>
        <w:rPr>
          <w:rFonts w:ascii="Verdana" w:eastAsia="Verdana" w:hAnsi="Verdana" w:cs="Verdana"/>
          <w:sz w:val="20"/>
          <w:szCs w:val="20"/>
        </w:rPr>
      </w:pPr>
    </w:p>
    <w:p w14:paraId="55D407E5" w14:textId="77777777" w:rsidR="004E6FE2" w:rsidRPr="004E6FE2" w:rsidRDefault="004E6FE2" w:rsidP="004E6FE2">
      <w:pPr>
        <w:spacing w:before="120" w:after="120" w:line="276" w:lineRule="auto"/>
        <w:ind w:firstLine="708"/>
        <w:jc w:val="both"/>
        <w:rPr>
          <w:rFonts w:ascii="Verdana" w:eastAsia="Verdana" w:hAnsi="Verdana" w:cs="Verdana"/>
          <w:sz w:val="20"/>
          <w:szCs w:val="20"/>
          <w:lang w:val="es-ES"/>
        </w:rPr>
      </w:pPr>
      <w:r w:rsidRPr="004E6FE2">
        <w:rPr>
          <w:rFonts w:ascii="Verdana" w:eastAsia="Verdana" w:hAnsi="Verdana" w:cs="Verdana"/>
          <w:lang w:val="es-ES"/>
        </w:rPr>
        <w:t>La regulación de las inhabilidades que implican limitaciones a la capacidad jurídica para contratar, desarrolla los principios de la función administrativa consagrados en el artículo 209 de la Constitución Política, con énfasis especial en el principio de igualdad, transparencia y moralidad</w:t>
      </w:r>
      <w:r w:rsidRPr="004E6FE2">
        <w:rPr>
          <w:rFonts w:ascii="Verdana" w:eastAsia="Verdana" w:hAnsi="Verdana" w:cs="Verdana"/>
          <w:vertAlign w:val="superscript"/>
          <w:lang w:val="es-ES"/>
        </w:rPr>
        <w:footnoteReference w:id="20"/>
      </w:r>
      <w:r w:rsidRPr="004E6FE2">
        <w:rPr>
          <w:rFonts w:ascii="Verdana" w:eastAsia="Verdana" w:hAnsi="Verdana" w:cs="Verdana"/>
          <w:lang w:val="es-ES"/>
        </w:rPr>
        <w:t xml:space="preserve">.  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w:t>
      </w:r>
    </w:p>
    <w:p w14:paraId="423FCC82" w14:textId="77777777" w:rsidR="004E6FE2" w:rsidRPr="004E6FE2" w:rsidRDefault="004E6FE2" w:rsidP="004E6FE2">
      <w:pPr>
        <w:spacing w:after="120" w:line="276" w:lineRule="auto"/>
        <w:ind w:firstLine="709"/>
        <w:jc w:val="both"/>
        <w:rPr>
          <w:rFonts w:ascii="Verdana" w:eastAsia="Verdana" w:hAnsi="Verdana" w:cs="Verdana"/>
          <w:lang w:val="es-ES"/>
        </w:rPr>
      </w:pPr>
      <w:r w:rsidRPr="004E6FE2">
        <w:rPr>
          <w:rFonts w:ascii="Verdana" w:eastAsia="Verdana" w:hAnsi="Verdana" w:cs="Verdana"/>
          <w:lang w:val="es-ES"/>
        </w:rPr>
        <w:t xml:space="preserve">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disciplinario, fiscal, contravencional o de pérdida de investidura. En el segundo </w:t>
      </w:r>
      <w:r w:rsidRPr="004E6FE2">
        <w:rPr>
          <w:rFonts w:ascii="Verdana" w:eastAsia="Verdana" w:hAnsi="Verdana" w:cs="Verdana"/>
          <w:lang w:val="es-ES"/>
        </w:rPr>
        <w:lastRenderedPageBreak/>
        <w:t>grupo están aquellas que no devienen de un proceso sancionatorio, sino de condiciones propias de la persona y garantizan la moralidad, la imparcialidad, la eficacia y la transparencia</w:t>
      </w:r>
      <w:r w:rsidRPr="004E6FE2">
        <w:rPr>
          <w:rFonts w:ascii="Verdana" w:eastAsia="Verdana" w:hAnsi="Verdana" w:cs="Verdana"/>
          <w:vertAlign w:val="superscript"/>
          <w:lang w:val="es-ES"/>
        </w:rPr>
        <w:footnoteReference w:id="21"/>
      </w:r>
      <w:r w:rsidRPr="004E6FE2">
        <w:rPr>
          <w:rFonts w:ascii="Verdana" w:eastAsia="Verdana" w:hAnsi="Verdana" w:cs="Verdana"/>
          <w:lang w:val="es-ES"/>
        </w:rPr>
        <w:t xml:space="preserve">. </w:t>
      </w:r>
    </w:p>
    <w:p w14:paraId="24957BC8" w14:textId="77777777" w:rsidR="004E6FE2" w:rsidRPr="004E6FE2" w:rsidRDefault="004E6FE2" w:rsidP="004E6FE2">
      <w:pPr>
        <w:spacing w:after="120" w:line="276" w:lineRule="auto"/>
        <w:ind w:firstLine="709"/>
        <w:jc w:val="both"/>
        <w:rPr>
          <w:rFonts w:ascii="Verdana" w:eastAsia="Verdana" w:hAnsi="Verdana" w:cs="Verdana"/>
        </w:rPr>
      </w:pPr>
      <w:r w:rsidRPr="004E6FE2">
        <w:rPr>
          <w:rFonts w:ascii="Verdana" w:eastAsia="Verdana" w:hAnsi="Verdana" w:cs="Verdana"/>
        </w:rPr>
        <w:t xml:space="preserve">Ahora bien, las inhabilidades e incompatibilidades al ser restricciones o límites especiales a la capacidad para presentar ofertas y celebrar contratos estatales, sólo pueden tipificarse en la ley o la Constitución –o sea, deben satisfacer el principio de legalidad– y su interpretación debe ser </w:t>
      </w:r>
      <w:r w:rsidRPr="004E6FE2">
        <w:rPr>
          <w:rFonts w:ascii="Verdana" w:eastAsia="Verdana" w:hAnsi="Verdana" w:cs="Verdana"/>
          <w:i/>
          <w:iCs/>
        </w:rPr>
        <w:t>restrictiva</w:t>
      </w:r>
      <w:r w:rsidRPr="004E6FE2">
        <w:rPr>
          <w:rFonts w:ascii="Verdana" w:eastAsia="Verdana" w:hAnsi="Verdana" w:cs="Verdana"/>
          <w:i/>
          <w:iCs/>
          <w:vertAlign w:val="superscript"/>
        </w:rPr>
        <w:footnoteReference w:id="22"/>
      </w:r>
      <w:r w:rsidRPr="004E6FE2">
        <w:rPr>
          <w:rFonts w:ascii="Verdana" w:eastAsia="Verdana" w:hAnsi="Verdana" w:cs="Verdana"/>
          <w:i/>
          <w:iCs/>
        </w:rPr>
        <w:t xml:space="preserve">, </w:t>
      </w:r>
      <w:r w:rsidRPr="004E6FE2">
        <w:rPr>
          <w:rFonts w:ascii="Verdana" w:eastAsia="Verdana" w:hAnsi="Verdana" w:cs="Verdana"/>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15BA785B" w14:textId="77777777" w:rsidR="004E6FE2" w:rsidRPr="004E6FE2" w:rsidRDefault="004E6FE2" w:rsidP="004E6FE2">
      <w:pPr>
        <w:spacing w:after="120" w:line="276" w:lineRule="auto"/>
        <w:ind w:firstLine="709"/>
        <w:jc w:val="both"/>
        <w:rPr>
          <w:rFonts w:ascii="Verdana" w:eastAsia="Verdana" w:hAnsi="Verdana" w:cs="Verdana"/>
          <w:color w:val="000000"/>
          <w:highlight w:val="white"/>
        </w:rPr>
      </w:pPr>
      <w:r w:rsidRPr="004E6FE2">
        <w:rPr>
          <w:rFonts w:ascii="Verdana" w:eastAsia="Verdana" w:hAnsi="Verdana" w:cs="Verdana"/>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4E6FE2">
        <w:rPr>
          <w:rFonts w:ascii="Verdana" w:eastAsia="Verdana" w:hAnsi="Verdana" w:cs="Verdana"/>
          <w:vertAlign w:val="superscript"/>
        </w:rPr>
        <w:footnoteReference w:id="23"/>
      </w:r>
      <w:r w:rsidRPr="004E6FE2">
        <w:rPr>
          <w:rFonts w:ascii="Verdana" w:eastAsia="Verdana" w:hAnsi="Verdana" w:cs="Verdana"/>
        </w:rPr>
        <w:t xml:space="preserve">. </w:t>
      </w:r>
    </w:p>
    <w:p w14:paraId="2DA80696" w14:textId="77777777" w:rsidR="004E6FE2" w:rsidRPr="004E6FE2" w:rsidRDefault="004E6FE2" w:rsidP="004E6FE2">
      <w:pPr>
        <w:spacing w:after="120" w:line="276" w:lineRule="auto"/>
        <w:ind w:firstLine="709"/>
        <w:jc w:val="both"/>
        <w:rPr>
          <w:rFonts w:ascii="Verdana" w:eastAsia="Verdana" w:hAnsi="Verdana" w:cs="Verdana"/>
          <w:highlight w:val="white"/>
          <w:lang w:val="es-ES"/>
        </w:rPr>
      </w:pPr>
      <w:r w:rsidRPr="004E6FE2">
        <w:rPr>
          <w:rFonts w:ascii="Verdana" w:eastAsia="Verdana" w:hAnsi="Verdana" w:cs="Verdana"/>
          <w:color w:val="000000"/>
          <w:highlight w:val="white"/>
          <w:lang w:val="es-ES"/>
        </w:rPr>
        <w:t>Conforme a lo anterior, las inhabilidades</w:t>
      </w:r>
      <w:r w:rsidRPr="004E6FE2">
        <w:rPr>
          <w:rFonts w:ascii="Verdana" w:eastAsia="Verdana" w:hAnsi="Verdana" w:cs="Verdana"/>
          <w:highlight w:val="white"/>
          <w:lang w:val="es-ES"/>
        </w:rPr>
        <w:t xml:space="preserve"> e</w:t>
      </w:r>
      <w:r w:rsidRPr="004E6FE2">
        <w:rPr>
          <w:rFonts w:ascii="Verdana" w:eastAsia="Verdana" w:hAnsi="Verdana" w:cs="Verdana"/>
          <w:color w:val="000000"/>
          <w:highlight w:val="white"/>
          <w:lang w:val="es-ES"/>
        </w:rPr>
        <w:t xml:space="preserve"> incompatibilidades se encuentran consagradas de forma amplia en el ordenamiento jurídico en múltiples disposiciones legales y constitucionales. En tal sentido, el análisis de una posible restricción para un contratista de prestación de servicios extranjero no puede basarse en una regla general, sino que exige una revisión y un análisis propio por parte de la entidad contratante frente a cada causal en el caso </w:t>
      </w:r>
      <w:r w:rsidRPr="004E6FE2">
        <w:rPr>
          <w:rFonts w:ascii="Verdana" w:eastAsia="Verdana" w:hAnsi="Verdana" w:cs="Verdana"/>
          <w:color w:val="000000"/>
          <w:highlight w:val="white"/>
          <w:lang w:val="es-ES"/>
        </w:rPr>
        <w:lastRenderedPageBreak/>
        <w:t xml:space="preserve">concreto. De esta manera, </w:t>
      </w:r>
      <w:r w:rsidRPr="004E6FE2">
        <w:rPr>
          <w:rFonts w:ascii="Verdana" w:eastAsia="Verdana" w:hAnsi="Verdana" w:cs="Verdana"/>
          <w:highlight w:val="white"/>
          <w:lang w:val="es-ES"/>
        </w:rPr>
        <w:t xml:space="preserve">se configura un primer escenario cuando el contratista extranjero se encuentra dentro del territorio colombiano y, por razones de su estatus migratorio o permanencia, tiene la obligación legal de portar cédula de extranjería u otro documento de identificación válido en el país. En este supuesto, la entidad estatal tiene el deber de agotar de forma integral la verificación y contrastar la información en las bases de datos de las distintas autoridades del Estado colombiano (como antecedentes fiscales, disciplinarios y judiciales), siendo esta una actuación obligatoria y de debida diligencia de las entidades públicas. </w:t>
      </w:r>
    </w:p>
    <w:p w14:paraId="221185EE" w14:textId="77777777" w:rsidR="004E6FE2" w:rsidRPr="004E6FE2" w:rsidRDefault="004E6FE2" w:rsidP="004E6FE2">
      <w:pPr>
        <w:spacing w:after="120" w:line="276" w:lineRule="auto"/>
        <w:ind w:firstLine="720"/>
        <w:jc w:val="both"/>
        <w:rPr>
          <w:rFonts w:ascii="Verdana" w:eastAsia="Verdana" w:hAnsi="Verdana" w:cs="Verdana"/>
          <w:highlight w:val="white"/>
          <w:lang w:val="es-ES"/>
        </w:rPr>
      </w:pPr>
      <w:r w:rsidRPr="004E6FE2">
        <w:rPr>
          <w:rFonts w:ascii="Verdana" w:eastAsia="Verdana" w:hAnsi="Verdana" w:cs="Verdana"/>
          <w:highlight w:val="white"/>
          <w:lang w:val="es-ES"/>
        </w:rPr>
        <w:t xml:space="preserve">Por otro lado, se plantea un segundo escenario cuando el contratista de prestación de servicios es extranjero, ejecuta el objeto contractual íntegramente desde el exterior y no cuenta con una cédula de extranjería ni documentos que permitan verificación alguna en las plataformas nacionales de información. En tal escenario, y ante registros que son de carácter nacional tales como el Registro de Deudores Alimentarios Morosos (REDAM) y el Registro Nacional de Medidas Correctivas (RNMC), los sistemas de consulta se enmarcan necesariamente en la existencia de un documento de identidad nacional, cédula de extranjería, permiso especial de permanencia, permiso por protección temporal, entre otros. Por consiguiente, ante la ausencia de estos documentos de identificación del eventual contratista extranjero, las entidades públicas se enfrentan a una imposibilidad material para realizar la consulta ordinaria. Ahora bien, frente a esta barrera, lo procedente no es exigir certificaciones homólogas de su país de origen, pues obligar al contratista a aportar documentos que muy probablemente no existen en su legislación de origen constituiría una interpretación extensiva y desproporcionada de la norma, vulnerando el principio de selección objetiva al imponer un obstáculo insubsanable ajeno al contratista.  </w:t>
      </w:r>
    </w:p>
    <w:p w14:paraId="154BC259" w14:textId="77777777" w:rsidR="004E6FE2" w:rsidRPr="004E6FE2" w:rsidRDefault="004E6FE2" w:rsidP="004E6FE2">
      <w:pPr>
        <w:spacing w:after="120" w:line="276" w:lineRule="auto"/>
        <w:ind w:firstLine="709"/>
        <w:jc w:val="both"/>
        <w:rPr>
          <w:rFonts w:ascii="Verdana" w:eastAsia="Verdana" w:hAnsi="Verdana" w:cs="Verdana"/>
          <w:highlight w:val="white"/>
          <w:lang w:val="es-ES"/>
        </w:rPr>
      </w:pPr>
      <w:r w:rsidRPr="004E6FE2">
        <w:rPr>
          <w:rFonts w:ascii="Verdana" w:eastAsia="Verdana" w:hAnsi="Verdana" w:cs="Verdana"/>
          <w:highlight w:val="white"/>
          <w:lang w:val="es-ES"/>
        </w:rPr>
        <w:t>No obstante, para suplir esta imposibilidad material de consulta en el segundo escenario y salvaguardar los principios rectores de la contratación estatal, resulta necesario e indispensable la manifestación bajo gravedad de juramento por parte del eventual contratista de prestación de servicios. En efecto, tal como lo dispone el artículo</w:t>
      </w:r>
      <w:r w:rsidRPr="004E6FE2">
        <w:rPr>
          <w:rFonts w:ascii="Verdana" w:eastAsia="Verdana" w:hAnsi="Verdana" w:cs="Verdana"/>
          <w:lang w:val="es-ES"/>
        </w:rPr>
        <w:t xml:space="preserve"> 1 de la Ley 190 de 1995, </w:t>
      </w:r>
      <w:r w:rsidRPr="004E6FE2">
        <w:rPr>
          <w:rFonts w:ascii="Verdana" w:eastAsia="Verdana" w:hAnsi="Verdana" w:cs="Verdana"/>
          <w:highlight w:val="white"/>
          <w:lang w:val="es-ES"/>
        </w:rPr>
        <w:t xml:space="preserve">es obligatoria esta manifestación para celebrar cualquier contrato de prestación de servicios con el Estado, debiendo el interesado declarar bajo la gravedad del juramento que no se encuentra incurso en ninguna causal de inhabilidad o incompatibilidad de orden constitucional o legal. Conforme a esta disposición, el juramento se consolida como el mecanismo legal para acreditar la idoneidad del contratista en </w:t>
      </w:r>
      <w:r w:rsidRPr="004E6FE2">
        <w:rPr>
          <w:rFonts w:ascii="Verdana" w:eastAsia="Verdana" w:hAnsi="Verdana" w:cs="Verdana"/>
          <w:highlight w:val="white"/>
          <w:lang w:val="es-ES"/>
        </w:rPr>
        <w:lastRenderedPageBreak/>
        <w:t xml:space="preserve">estos escenarios, evento en el cual el contratista podrá implicar su responsabilidad si entrega información errónea o insuficiente. </w:t>
      </w:r>
    </w:p>
    <w:p w14:paraId="166B7D5E" w14:textId="77777777" w:rsidR="004E6FE2" w:rsidRPr="004E6FE2" w:rsidRDefault="004E6FE2" w:rsidP="004E6FE2">
      <w:pPr>
        <w:spacing w:after="120" w:line="276" w:lineRule="auto"/>
        <w:ind w:firstLine="709"/>
        <w:jc w:val="both"/>
        <w:rPr>
          <w:rFonts w:ascii="Verdana" w:eastAsia="Verdana" w:hAnsi="Verdana" w:cs="Verdana"/>
          <w:highlight w:val="white"/>
        </w:rPr>
      </w:pPr>
      <w:r w:rsidRPr="004E6FE2">
        <w:rPr>
          <w:rFonts w:ascii="Verdana" w:eastAsia="Verdana" w:hAnsi="Verdana" w:cs="Verdana"/>
          <w:highlight w:val="white"/>
        </w:rPr>
        <w:t xml:space="preserve">La trascendencia de entregar información veraz al Estado es de tal magnitud que el ordenamiento jurídico sanciona el ocultamiento de estas inhabilidades, creando incluso nuevas restricciones autónomas para quienes defrauden la confianza pública. Ante este tipo de eventos, el numeral 7 del artículo 26 de la Ley 80 de 1993 consagra el principio de responsabilidad de los contratistas, estableciendo que estos deben responder cuando, al momento de contratar con el Estado, oculten la existencia de inhabilidades, incompatibilidades o prohibiciones, o suministren información falsa. En esta norma se impone un deber de transparencia y veracidad en la etapa precontractual, de modo que el contratista está obligado a revelar cualquier circunstancia que pueda afectar su capacidad jurídica para contratar. Esto implica que, ante eventos de falsedad en el juramento o en las declaraciones, el contratista extranjero asumirá las sanciones penales por fraude y las inhabilidades para contratar con el Estado derivadas de esta actuación. </w:t>
      </w:r>
    </w:p>
    <w:p w14:paraId="34B538FE" w14:textId="77777777" w:rsidR="004E6FE2" w:rsidRPr="004E6FE2" w:rsidRDefault="004E6FE2" w:rsidP="004E6FE2">
      <w:pPr>
        <w:spacing w:after="0" w:line="276" w:lineRule="auto"/>
        <w:ind w:firstLine="709"/>
        <w:jc w:val="both"/>
        <w:rPr>
          <w:rFonts w:ascii="Verdana" w:eastAsia="Verdana" w:hAnsi="Verdana" w:cs="Verdana"/>
          <w:highlight w:val="white"/>
        </w:rPr>
      </w:pPr>
      <w:r w:rsidRPr="004E6FE2">
        <w:rPr>
          <w:rFonts w:ascii="Verdana" w:eastAsia="Verdana" w:hAnsi="Verdana" w:cs="Verdana"/>
          <w:highlight w:val="white"/>
        </w:rPr>
        <w:t xml:space="preserve">En conclusión, es fundamental subrayar que el hecho de que el contratista extranjero tenga la obligación legal de suministrar información verídica no exime, en ninguna circunstancia, a la entidad estatal de sus propias obligaciones de control y transparencia, de acuerdo con los escenarios planteados. La responsabilidad del contratista no debe generar la flexibilización de las obligaciones de debida diligencia por parte de las distintas entidades. Por lo tanto, la entidad contratante no puede limitarse a recibir pasivamente las declaraciones del interesado para salvar su propia responsabilidad, sino que está obligada a agotar los mecanismos, contrastar la información y hacer uso de los canales institucionales disponibles a su alcance para validar la información.  </w:t>
      </w:r>
    </w:p>
    <w:p w14:paraId="27584ACE" w14:textId="77777777" w:rsidR="004E6FE2" w:rsidRPr="004E6FE2" w:rsidRDefault="004E6FE2" w:rsidP="004E6FE2">
      <w:pPr>
        <w:spacing w:after="0" w:line="276" w:lineRule="auto"/>
        <w:ind w:firstLine="709"/>
        <w:jc w:val="both"/>
        <w:rPr>
          <w:rFonts w:ascii="Verdana" w:eastAsia="Verdana" w:hAnsi="Verdana" w:cs="Verdana"/>
          <w:highlight w:val="white"/>
        </w:rPr>
      </w:pPr>
    </w:p>
    <w:p w14:paraId="013A9536" w14:textId="77777777" w:rsidR="004E6FE2" w:rsidRPr="004E6FE2" w:rsidRDefault="004E6FE2" w:rsidP="004E6FE2">
      <w:pPr>
        <w:spacing w:after="120" w:line="276" w:lineRule="auto"/>
        <w:jc w:val="both"/>
        <w:rPr>
          <w:rFonts w:ascii="Verdana" w:eastAsia="Verdana" w:hAnsi="Verdana" w:cs="Verdana"/>
          <w:color w:val="000000"/>
          <w:lang w:val="es-ES"/>
        </w:rPr>
      </w:pPr>
      <w:r w:rsidRPr="004E6FE2">
        <w:rPr>
          <w:rFonts w:ascii="Verdana" w:eastAsia="Verdana" w:hAnsi="Verdana" w:cs="Verdana"/>
          <w:lang w:val="es-ES"/>
        </w:rPr>
        <w:t xml:space="preserve">iii. </w:t>
      </w:r>
      <w:r w:rsidRPr="004E6FE2">
        <w:rPr>
          <w:rFonts w:ascii="Verdana" w:eastAsia="Verdana" w:hAnsi="Verdana" w:cs="Verdana"/>
          <w:color w:val="000000"/>
          <w:lang w:val="es-ES"/>
        </w:rPr>
        <w:t xml:space="preserve">El artículo 48 de la Constitución Política establece que la seguridad social es un servicio público obligatorio y un derecho irrenunciable, guiado por los principios de eficiencia, universalidad y solidaridad, y cuyos recursos no pueden destinarse a fines distintos a ella. Para cumplir a este mandato constitucional, el Congreso expidió la Ley 100 de 1993, la cual creó el Sistema de Seguridad Social Integral (SSSI) </w:t>
      </w:r>
      <w:r w:rsidRPr="004E6FE2">
        <w:rPr>
          <w:rFonts w:ascii="Verdana" w:eastAsia="Verdana" w:hAnsi="Verdana" w:cs="Verdana"/>
          <w:lang w:val="es-ES"/>
        </w:rPr>
        <w:t>que</w:t>
      </w:r>
      <w:r w:rsidRPr="004E6FE2">
        <w:rPr>
          <w:rFonts w:ascii="Verdana" w:eastAsia="Verdana" w:hAnsi="Verdana" w:cs="Verdana"/>
          <w:color w:val="000000"/>
          <w:lang w:val="es-ES"/>
        </w:rPr>
        <w:t xml:space="preserve"> se estructura mediante cuatro componentes esenciales: el Sistema General de Pensiones (SGP) —integrado de forma excluyente por el Régimen de Prima Media (RPM) y el Régimen de Ahorro Individual con Solidaridad (RAIS)—, el Sistema General de Seguridad Social en Salud (SGSSS), </w:t>
      </w:r>
      <w:r w:rsidRPr="004E6FE2">
        <w:rPr>
          <w:rFonts w:ascii="Verdana" w:eastAsia="Verdana" w:hAnsi="Verdana" w:cs="Verdana"/>
          <w:color w:val="000000"/>
          <w:lang w:val="es-ES"/>
        </w:rPr>
        <w:lastRenderedPageBreak/>
        <w:t>el Sistema General de Riesgos Laborales (SGRL) y los Servicios Sociales Complementarios (SSC).</w:t>
      </w:r>
    </w:p>
    <w:p w14:paraId="3F7AD9F6" w14:textId="77777777" w:rsidR="004E6FE2" w:rsidRPr="004E6FE2" w:rsidRDefault="004E6FE2" w:rsidP="004E6FE2">
      <w:pPr>
        <w:spacing w:after="120" w:line="276" w:lineRule="auto"/>
        <w:ind w:firstLine="708"/>
        <w:jc w:val="both"/>
        <w:rPr>
          <w:rFonts w:ascii="Verdana" w:eastAsia="Verdana" w:hAnsi="Verdana" w:cs="Verdana"/>
          <w:color w:val="000000"/>
        </w:rPr>
      </w:pPr>
      <w:r w:rsidRPr="004E6FE2">
        <w:rPr>
          <w:rFonts w:ascii="Verdana" w:eastAsia="Verdana" w:hAnsi="Verdana" w:cs="Verdana"/>
          <w:color w:val="000000"/>
        </w:rPr>
        <w:t xml:space="preserve">La Ley 789 de 2002, en el artículo 50, estableció como obligación de quien quiere </w:t>
      </w:r>
      <w:r w:rsidRPr="004E6FE2">
        <w:rPr>
          <w:rFonts w:ascii="Verdana" w:eastAsia="Verdana" w:hAnsi="Verdana" w:cs="Verdana"/>
          <w:i/>
          <w:iCs/>
          <w:color w:val="000000"/>
        </w:rPr>
        <w:t>celebrar, renovar o liquidar</w:t>
      </w:r>
      <w:r w:rsidRPr="004E6FE2">
        <w:rPr>
          <w:rFonts w:ascii="Verdana" w:eastAsia="Verdana" w:hAnsi="Verdana" w:cs="Verdana"/>
          <w:color w:val="000000"/>
        </w:rPr>
        <w:t xml:space="preserve"> contratos de cualquier naturaleza con entidades del sector público, cumplir con las obligaciones a los sistemas de salud, riesgos profesionales, pensiones y aportes a la Caja de Compensación Familiar, Instituto Colombiano de Bienestar Familiar y Servicio Nacional de Aprendizaje cuando sea</w:t>
      </w:r>
      <w:r w:rsidRPr="004E6FE2">
        <w:rPr>
          <w:rFonts w:ascii="Verdana" w:eastAsia="Verdana" w:hAnsi="Verdana" w:cs="Verdana"/>
        </w:rPr>
        <w:t xml:space="preserve"> procedente</w:t>
      </w:r>
      <w:r w:rsidRPr="004E6FE2">
        <w:rPr>
          <w:rFonts w:ascii="Verdana" w:eastAsia="Verdana" w:hAnsi="Verdana" w:cs="Verdana"/>
          <w:color w:val="000000"/>
        </w:rPr>
        <w:t xml:space="preserve">. Asimismo, faculta a la entidad estatal, al momento de </w:t>
      </w:r>
      <w:r w:rsidRPr="004E6FE2">
        <w:rPr>
          <w:rFonts w:ascii="Verdana" w:eastAsia="Verdana" w:hAnsi="Verdana" w:cs="Verdana"/>
          <w:i/>
          <w:iCs/>
          <w:color w:val="000000"/>
        </w:rPr>
        <w:t>liquidar</w:t>
      </w:r>
      <w:r w:rsidRPr="004E6FE2">
        <w:rPr>
          <w:rFonts w:ascii="Verdana" w:eastAsia="Verdana" w:hAnsi="Verdana" w:cs="Verdana"/>
          <w:color w:val="000000"/>
        </w:rPr>
        <w:t xml:space="preserve"> los contratos, para verificar y dejar constancia del cumplimiento de las obligaciones del contratista frente a los aportes mencionados durante toda su vigencia, estableciendo una correcta relación entre el monto cancelado y las sumas que debió cotizar</w:t>
      </w:r>
      <w:r w:rsidRPr="004E6FE2">
        <w:rPr>
          <w:rFonts w:ascii="Verdana" w:eastAsia="Verdana" w:hAnsi="Verdana" w:cs="Verdana"/>
          <w:color w:val="000000"/>
          <w:vertAlign w:val="superscript"/>
        </w:rPr>
        <w:footnoteReference w:id="24"/>
      </w:r>
      <w:r w:rsidRPr="004E6FE2">
        <w:rPr>
          <w:rFonts w:ascii="Verdana" w:eastAsia="Verdana" w:hAnsi="Verdana" w:cs="Verdana"/>
          <w:color w:val="000000"/>
        </w:rPr>
        <w:t xml:space="preserve">. </w:t>
      </w:r>
    </w:p>
    <w:p w14:paraId="670885B0" w14:textId="77777777" w:rsidR="004E6FE2" w:rsidRPr="004E6FE2" w:rsidRDefault="004E6FE2" w:rsidP="004E6FE2">
      <w:pPr>
        <w:spacing w:after="120" w:line="276" w:lineRule="auto"/>
        <w:ind w:firstLine="709"/>
        <w:jc w:val="both"/>
        <w:rPr>
          <w:rFonts w:ascii="Verdana" w:eastAsia="Verdana" w:hAnsi="Verdana" w:cs="Verdana"/>
          <w:color w:val="000000"/>
        </w:rPr>
      </w:pPr>
      <w:r w:rsidRPr="004E6FE2">
        <w:rPr>
          <w:rFonts w:ascii="Verdana" w:eastAsia="Verdana" w:hAnsi="Verdana" w:cs="Verdana"/>
          <w:color w:val="000000"/>
        </w:rPr>
        <w:t xml:space="preserve">Esta norma fue analizada por la Sección Tercera del Consejo de Estado, que consideró que el artículo 50 de la Ley 789 de 2002 tiene por objeto evitar la evasión por parte de los empleadores de las cotizaciones al sistema de seguridad social y de los aportes parafiscales, y para lograr esa finalidad el legislador impuso a las entidades estatales la obligación de verificar, en los procesos de selección de contratistas y durante la ejecución y liquidación de los contratos, que tanto los oferentes como los contratistas hayan realizado los aportes al </w:t>
      </w:r>
      <w:r w:rsidRPr="004E6FE2">
        <w:rPr>
          <w:rFonts w:ascii="Verdana" w:eastAsia="Verdana" w:hAnsi="Verdana" w:cs="Verdana"/>
          <w:color w:val="000000"/>
        </w:rPr>
        <w:lastRenderedPageBreak/>
        <w:t>Sistema de Seguridad Social Integral</w:t>
      </w:r>
      <w:r w:rsidRPr="004E6FE2">
        <w:rPr>
          <w:rFonts w:ascii="Verdana" w:eastAsia="Verdana" w:hAnsi="Verdana" w:cs="Verdana"/>
          <w:color w:val="000000"/>
          <w:vertAlign w:val="superscript"/>
        </w:rPr>
        <w:footnoteReference w:id="25"/>
      </w:r>
      <w:r w:rsidRPr="004E6FE2">
        <w:rPr>
          <w:rFonts w:ascii="Verdana" w:eastAsia="Verdana" w:hAnsi="Verdana" w:cs="Verdana"/>
          <w:color w:val="000000"/>
        </w:rPr>
        <w:t xml:space="preserve">. Por lo tanto, la jurisprudencia reiteró la necesidad de que las entidades estatales, </w:t>
      </w:r>
      <w:r w:rsidRPr="004E6FE2">
        <w:rPr>
          <w:rFonts w:ascii="Verdana" w:eastAsia="Verdana" w:hAnsi="Verdana" w:cs="Verdana"/>
          <w:i/>
          <w:iCs/>
          <w:color w:val="000000"/>
        </w:rPr>
        <w:t>durante la ejecución de un contrato</w:t>
      </w:r>
      <w:r w:rsidRPr="004E6FE2">
        <w:rPr>
          <w:rFonts w:ascii="Verdana" w:eastAsia="Verdana" w:hAnsi="Verdana" w:cs="Verdana"/>
          <w:color w:val="000000"/>
        </w:rPr>
        <w:t xml:space="preserve">, verifiquen el cumplimiento de las obligaciones del sistema de seguridad social por parte de los oferentes. De esta manera, el artículo 23 de la Ley 1150 de 2007 que modificó el inciso segundo del artículo 41 de la Ley 80 de 1993, incluye la obligación, para los proponentes y contratistas, de estar a paz y salvo con los aportes parafiscales al Sistema de Seguridad Social Integral. </w:t>
      </w:r>
    </w:p>
    <w:p w14:paraId="4CFD95A4" w14:textId="77777777" w:rsidR="004E6FE2" w:rsidRPr="004E6FE2" w:rsidRDefault="004E6FE2" w:rsidP="004E6FE2">
      <w:pPr>
        <w:spacing w:after="120" w:line="276" w:lineRule="auto"/>
        <w:ind w:firstLine="708"/>
        <w:jc w:val="both"/>
        <w:rPr>
          <w:rFonts w:ascii="Verdana" w:eastAsia="Verdana" w:hAnsi="Verdana" w:cs="Verdana"/>
          <w:color w:val="000000"/>
        </w:rPr>
      </w:pPr>
      <w:r w:rsidRPr="004E6FE2">
        <w:rPr>
          <w:rFonts w:ascii="Verdana" w:eastAsia="Verdana" w:hAnsi="Verdana" w:cs="Verdana"/>
          <w:color w:val="000000"/>
        </w:rPr>
        <w:t>Del artículo 23 de la Ley 1150 de 2007 se concluye que, si bien los proponentes y los contratistas deben estar al día en el pago al Sistema de Seguridad Social, la verificación de este requisito, por parte de las entidades estatales, se realizará como requisito para iniciar la ejecución de los contratos –inciso primero– y cuando realicen cada pago originado en el contrato estatal –parágrafo 1–, es decir, durante la ejecución del contrato</w:t>
      </w:r>
      <w:r w:rsidRPr="004E6FE2">
        <w:rPr>
          <w:rFonts w:ascii="Verdana" w:eastAsia="Verdana" w:hAnsi="Verdana" w:cs="Verdana"/>
          <w:color w:val="000000"/>
          <w:vertAlign w:val="superscript"/>
        </w:rPr>
        <w:footnoteReference w:id="26"/>
      </w:r>
      <w:r w:rsidRPr="004E6FE2">
        <w:rPr>
          <w:rFonts w:ascii="Verdana" w:eastAsia="Verdana" w:hAnsi="Verdana" w:cs="Verdana"/>
          <w:color w:val="000000"/>
        </w:rPr>
        <w:t xml:space="preserve">. En estos términos, la obligación de estar al día en el pago al Sistema de Seguridad Social Integral es un requisito de ejecución de los contratos estatales; pero eso no significa que no se solicite en momentos previos y posteriores a la celebración del contrato, teniendo en cuenta lo prescrito en el artículo 50 de la Ley 789 de 2002. </w:t>
      </w:r>
    </w:p>
    <w:p w14:paraId="37629337" w14:textId="77777777" w:rsidR="004E6FE2" w:rsidRPr="004E6FE2" w:rsidRDefault="004E6FE2" w:rsidP="004E6FE2">
      <w:pPr>
        <w:widowControl w:val="0"/>
        <w:spacing w:after="120" w:line="276" w:lineRule="auto"/>
        <w:ind w:firstLine="709"/>
        <w:jc w:val="both"/>
        <w:rPr>
          <w:rFonts w:ascii="Verdana" w:eastAsia="Verdana" w:hAnsi="Verdana" w:cs="Verdana"/>
        </w:rPr>
      </w:pPr>
      <w:r w:rsidRPr="004E6FE2">
        <w:rPr>
          <w:rFonts w:ascii="Verdana" w:eastAsia="Verdana" w:hAnsi="Verdana" w:cs="Verdana"/>
        </w:rPr>
        <w:t xml:space="preserve">De esta manera, integrando las diferentes disposiciones que regulan el deber de acreditar el cumplimiento de las obligaciones relacionadas con el Sistema de Seguridad Social Integral, en concreto, el artículo 50 de la Ley 789 de 2002 y el artículo 41 de la Ley 80 de 1993, modificado por el artículo 23 de la Ley 1150 de 2007, es posible concluir que la acreditación de dicho requisito se realiza en diferentes momentos del proceso contractual. </w:t>
      </w:r>
    </w:p>
    <w:p w14:paraId="5BB66844"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 xml:space="preserve">Ahora bien, cuando el contratista extranjero, persona natural, ejecuta el objeto del contrato de prestación de servicios dentro del territorio colombiano, es claro que debe afiliarse y cotizar en los distintos subsistemas, según corresponda. En materia de salud, el artículo 157 de la Ley 100 de 1993 impone </w:t>
      </w:r>
      <w:r w:rsidRPr="004E6FE2">
        <w:rPr>
          <w:rFonts w:ascii="Verdana" w:eastAsia="Verdana" w:hAnsi="Verdana" w:cs="Verdana"/>
        </w:rPr>
        <w:lastRenderedPageBreak/>
        <w:t>la afiliación obligatoria a todos quienes tengan capacidad de pago, categoría en la que se encuadra el contratista independiente, sea nacional o extranjero</w:t>
      </w:r>
      <w:r w:rsidRPr="004E6FE2">
        <w:rPr>
          <w:rFonts w:ascii="Verdana" w:eastAsia="Verdana" w:hAnsi="Verdana" w:cs="Verdana"/>
          <w:vertAlign w:val="superscript"/>
        </w:rPr>
        <w:footnoteReference w:id="27"/>
      </w:r>
      <w:r w:rsidRPr="004E6FE2">
        <w:rPr>
          <w:rFonts w:ascii="Verdana" w:eastAsia="Verdana" w:hAnsi="Verdana" w:cs="Verdana"/>
        </w:rPr>
        <w:t xml:space="preserve">.  </w:t>
      </w:r>
    </w:p>
    <w:p w14:paraId="7FCAD6E2"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Para el sistema de pensiones, el artículo 15 de la misma ley prevé que los extranjeros vinculados mediante contrato en Colombia son afiliados obligatorios, con la única excepción de quienes acrediten que ya cotizan a un régimen pensional en su país de origen, supuesto en el cual quedan exentos de la cotización pensional colombiana mediante la figura de “extranjero no obligado a cotizar a pensiones” en la planilla PILA y conforme a las orientaciones propias del Ministerio de Salud y Protección Social.  En materia de salud, el artículo 2.1.4.1 del Decreto Único Reglamentario 780 de 2016 dispone que pertenecen al Régimen Contributivo, entre otros, todas las personas nacionales o extranjeras residentes en Colombia vinculadas mediante contrato de trabajo o como trabajadores independientes con ingresos superiores a un salario mínimo</w:t>
      </w:r>
      <w:r w:rsidRPr="004E6FE2">
        <w:rPr>
          <w:rFonts w:ascii="Verdana" w:eastAsia="Verdana" w:hAnsi="Verdana" w:cs="Verdana"/>
          <w:vertAlign w:val="superscript"/>
        </w:rPr>
        <w:footnoteReference w:id="28"/>
      </w:r>
      <w:r w:rsidRPr="004E6FE2">
        <w:rPr>
          <w:rFonts w:ascii="Verdana" w:eastAsia="Verdana" w:hAnsi="Verdana" w:cs="Verdana"/>
        </w:rPr>
        <w:t xml:space="preserve">. </w:t>
      </w:r>
    </w:p>
    <w:p w14:paraId="23A2A8AB"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En materia de riesgos laborales, el numeral 1 del literal a) del artículo 2° de la Ley 1562 de 2012</w:t>
      </w:r>
      <w:r w:rsidRPr="004E6FE2">
        <w:rPr>
          <w:rFonts w:ascii="Verdana" w:eastAsia="Verdana" w:hAnsi="Verdana" w:cs="Verdana"/>
          <w:vertAlign w:val="superscript"/>
        </w:rPr>
        <w:footnoteReference w:id="29"/>
      </w:r>
      <w:r w:rsidRPr="004E6FE2">
        <w:rPr>
          <w:rFonts w:ascii="Verdana" w:eastAsia="Verdana" w:hAnsi="Verdana" w:cs="Verdana"/>
        </w:rPr>
        <w:t xml:space="preserve">, dispone que son afiliados obligatorios al SGRL las </w:t>
      </w:r>
      <w:r w:rsidRPr="004E6FE2">
        <w:rPr>
          <w:rFonts w:ascii="Verdana" w:eastAsia="Verdana" w:hAnsi="Verdana" w:cs="Verdana"/>
        </w:rPr>
        <w:lastRenderedPageBreak/>
        <w:t xml:space="preserve">personas vinculadas mediante contrato formal de prestación de servicios con entidades públicas o privadas, con duración superior a un mes. Cabe precisar que todas estas obligaciones se activan únicamente cuando el extranjero cuenta con estatus migratorio habilitante para desarrollar actividades económicas en Colombia, como ya se explicó anteriormente. </w:t>
      </w:r>
    </w:p>
    <w:p w14:paraId="322D78AC"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rPr>
        <w:t>Por otro lado, frente al segundo escenario, en el cual el contratista extranjero ejecuta el objeto contractual de forma completa en el extranjero y carece de domicilio en Colombia, la exigencia se modula por el criterio de territorialidad y cumplimiento. De conformidad con el artículo 13 de la Ley 80 de 1993, los contratos estatales que se celebran para ser ejecutados o cumplidos directamente en el exterior pueden someterse y regirse por las leyes extranjeras del país donde se desarrollan las actividades. Al no materializarse el servicio dentro del territorio colombianas ni generar nexos de afiliación obligatoria en los esquemas locales de salud o riesgos, en primera medida, no resulta procedente exigirle la cotización formal al sistema colombiano, rigiéndose su protección social bajo las reglas del lugar de ejecución.</w:t>
      </w:r>
    </w:p>
    <w:p w14:paraId="157B1C14" w14:textId="77777777" w:rsidR="004E6FE2" w:rsidRPr="004E6FE2" w:rsidRDefault="004E6FE2" w:rsidP="004E6FE2">
      <w:pPr>
        <w:spacing w:after="0" w:line="276" w:lineRule="auto"/>
        <w:ind w:firstLine="720"/>
        <w:jc w:val="both"/>
        <w:rPr>
          <w:rFonts w:ascii="Verdana" w:eastAsia="Verdana" w:hAnsi="Verdana" w:cs="Verdana"/>
        </w:rPr>
      </w:pPr>
      <w:r w:rsidRPr="004E6FE2">
        <w:rPr>
          <w:rFonts w:ascii="Verdana" w:eastAsia="Verdana" w:hAnsi="Verdana" w:cs="Verdana"/>
        </w:rPr>
        <w:t xml:space="preserve"> Lo anterior se entiende sin perjuicio de las directrices que emitan las autoridades competentes, en particular el Ministerio de Salud, respecto de situaciones excepcionales que puedan generar obligaciones específicas o requerir verificaciones adicionales por parte de la entidad contratante. En todo caso, la administración debe garantizar que la ausencia de exigibilidad de aportes en Colombia no implique desprotección del contratista ni afecte los principios de responsabilidad, planeación y selección objetiva. Por ello, resulta razonable que la entidad verifique, cuando sea pertinente, la existencia de mecanismos de aseguramiento en el país de ejecución o, al menos, la manifestación formal del contratista sobre su cobertura, siempre dentro de los límites de la competencia y sin imponer cargas que desconozcan el marco normativo aplicable a la contratación ejecutada en el exterior. </w:t>
      </w:r>
    </w:p>
    <w:p w14:paraId="2EF0EA95" w14:textId="77777777" w:rsidR="004E6FE2" w:rsidRPr="004E6FE2" w:rsidRDefault="004E6FE2" w:rsidP="004E6FE2">
      <w:pPr>
        <w:spacing w:after="0" w:line="276" w:lineRule="auto"/>
        <w:jc w:val="both"/>
        <w:rPr>
          <w:rFonts w:ascii="Verdana" w:eastAsia="Verdana" w:hAnsi="Verdana" w:cs="Verdana"/>
          <w:color w:val="000000"/>
        </w:rPr>
      </w:pPr>
    </w:p>
    <w:p w14:paraId="6B641C42" w14:textId="77777777" w:rsidR="004E6FE2" w:rsidRPr="004E6FE2" w:rsidRDefault="004E6FE2" w:rsidP="004E6FE2">
      <w:pPr>
        <w:spacing w:after="120" w:line="276" w:lineRule="auto"/>
        <w:jc w:val="both"/>
        <w:rPr>
          <w:rFonts w:ascii="Verdana" w:eastAsia="Verdana" w:hAnsi="Verdana" w:cs="Verdana"/>
          <w:color w:val="000000"/>
          <w:lang w:val="es-CO"/>
        </w:rPr>
      </w:pPr>
      <w:r w:rsidRPr="004E6FE2">
        <w:rPr>
          <w:rFonts w:ascii="Verdana" w:eastAsia="Verdana" w:hAnsi="Verdana" w:cs="Verdana"/>
          <w:color w:val="000000"/>
        </w:rPr>
        <w:t xml:space="preserve">iv. </w:t>
      </w:r>
      <w:r w:rsidRPr="004E6FE2">
        <w:rPr>
          <w:rFonts w:ascii="Verdana" w:eastAsia="Verdana" w:hAnsi="Verdana" w:cs="Verdana"/>
          <w:color w:val="000000"/>
          <w:lang w:val="es-CO"/>
        </w:rPr>
        <w:t xml:space="preserve">Es importante señalar que, tratándose de contratistas extranjeros vinculados mediante contratos de prestación de servicios, las entidades estatales deben observar no solo el régimen general de contratación pública, sino también las reglas especiales que expidan las autoridades competentes en materia migratoria, sanitaria y laboral. En particular, resultan determinantes las </w:t>
      </w:r>
      <w:r w:rsidRPr="004E6FE2">
        <w:rPr>
          <w:rFonts w:ascii="Verdana" w:eastAsia="Verdana" w:hAnsi="Verdana" w:cs="Verdana"/>
          <w:color w:val="000000"/>
          <w:lang w:val="es-CO"/>
        </w:rPr>
        <w:lastRenderedPageBreak/>
        <w:t>disposiciones y lineamientos del Ministerio de Relaciones Exteriores, del Ministerio de Salud y de otras entidades con competencia regulatoria, cuyas directrices pueden incidir en los requisitos de permanencia, habilitación, aseguramiento y condiciones de ejecución contractual. Por ello, la administración está obligada a revisar de manera sistemática la normativa vigente, los conceptos técnicos y los criterios interpretativos emitidos por dichas autoridades, a fin de garantizar que la vinculación del contratista extranjero se ajuste plenamente al ordenamiento jurídico colombiano. Adicionalmente, la verificación de estos requisitos no puede limitarse a un control formal, sino que debe incorporar un análisis integral que considere la naturaleza del servicio contratado, el lugar de ejecución, la condición migratoria del extranjero y los eventuales efectos en materia de seguridad social, riesgos laborales y protección de derechos fundamentales. Por tanto, corresponde a las entidades públicas identificar las obligaciones aplicables en cada caso, determinar los documentos idóneos para acreditarlas y adoptar las medidas necesarias para asegurar el cumplimiento de la normatividad nacional, sin imponer cargas desproporcionadas ni desconocer las particularidades propias de la contratación con personas naturales extranjeras.</w:t>
      </w:r>
    </w:p>
    <w:p w14:paraId="7A9D10C6" w14:textId="77777777" w:rsidR="004E6FE2" w:rsidRPr="004E6FE2" w:rsidRDefault="004E6FE2" w:rsidP="004E6FE2">
      <w:pPr>
        <w:spacing w:after="120" w:line="276" w:lineRule="auto"/>
        <w:ind w:firstLine="720"/>
        <w:jc w:val="both"/>
        <w:rPr>
          <w:rFonts w:ascii="Verdana" w:eastAsia="Verdana" w:hAnsi="Verdana" w:cs="Verdana"/>
        </w:rPr>
      </w:pPr>
      <w:r w:rsidRPr="004E6FE2">
        <w:rPr>
          <w:rFonts w:ascii="Verdana" w:eastAsia="Verdana" w:hAnsi="Verdana" w:cs="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Dentro de este marco, el consultante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699856C" w14:textId="77777777" w:rsidR="004E6FE2" w:rsidRPr="004E6FE2" w:rsidRDefault="004E6FE2" w:rsidP="004E6FE2">
      <w:pPr>
        <w:spacing w:after="0" w:line="276" w:lineRule="auto"/>
        <w:jc w:val="both"/>
        <w:rPr>
          <w:rFonts w:ascii="Verdana" w:eastAsia="Verdana" w:hAnsi="Verdana" w:cs="Verdana"/>
          <w:color w:val="000000"/>
        </w:rPr>
      </w:pPr>
    </w:p>
    <w:p w14:paraId="7AA0660F" w14:textId="77777777" w:rsidR="004E6FE2" w:rsidRPr="004E6FE2" w:rsidRDefault="004E6FE2" w:rsidP="004E6FE2">
      <w:pPr>
        <w:numPr>
          <w:ilvl w:val="0"/>
          <w:numId w:val="4"/>
        </w:numPr>
        <w:tabs>
          <w:tab w:val="left" w:pos="142"/>
          <w:tab w:val="left" w:pos="284"/>
        </w:tabs>
        <w:spacing w:after="0" w:line="276" w:lineRule="auto"/>
        <w:ind w:left="426"/>
        <w:jc w:val="both"/>
        <w:rPr>
          <w:rFonts w:ascii="Verdana" w:eastAsia="Verdana" w:hAnsi="Verdana" w:cs="Verdana"/>
          <w:b/>
          <w:bCs/>
        </w:rPr>
      </w:pPr>
      <w:r w:rsidRPr="004E6FE2">
        <w:rPr>
          <w:rFonts w:ascii="Verdana" w:eastAsia="Verdana" w:hAnsi="Verdana" w:cs="Verdana"/>
          <w:b/>
          <w:bCs/>
        </w:rPr>
        <w:t>Referencias normativas:</w:t>
      </w:r>
    </w:p>
    <w:p w14:paraId="767847F4" w14:textId="77777777" w:rsidR="004E6FE2" w:rsidRPr="004E6FE2" w:rsidRDefault="004E6FE2" w:rsidP="004E6FE2">
      <w:pPr>
        <w:tabs>
          <w:tab w:val="left" w:pos="142"/>
          <w:tab w:val="left" w:pos="284"/>
        </w:tabs>
        <w:spacing w:after="0" w:line="276" w:lineRule="auto"/>
        <w:ind w:left="1068"/>
        <w:jc w:val="both"/>
        <w:rPr>
          <w:rFonts w:ascii="Verdana" w:eastAsia="Verdana" w:hAnsi="Verdana" w:cs="Verdana"/>
          <w:b/>
          <w:bCs/>
        </w:rPr>
      </w:pPr>
    </w:p>
    <w:tbl>
      <w:tblPr>
        <w:tblW w:w="8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0"/>
      </w:tblGrid>
      <w:tr w:rsidR="004E6FE2" w:rsidRPr="004E6FE2" w14:paraId="6EE60C17" w14:textId="77777777" w:rsidTr="005E6732">
        <w:trPr>
          <w:trHeight w:val="870"/>
          <w:jc w:val="center"/>
        </w:trPr>
        <w:tc>
          <w:tcPr>
            <w:tcW w:w="8640" w:type="dxa"/>
            <w:tcBorders>
              <w:top w:val="dotted" w:sz="4" w:space="0" w:color="000000"/>
              <w:left w:val="dotted" w:sz="4" w:space="0" w:color="000000"/>
              <w:bottom w:val="dotted" w:sz="4" w:space="0" w:color="000000"/>
              <w:right w:val="dotted" w:sz="4" w:space="0" w:color="000000"/>
            </w:tcBorders>
          </w:tcPr>
          <w:p w14:paraId="7F6D5B3D"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Constitución Política de Colombia: Artículos 48, 100 y 209.</w:t>
            </w:r>
          </w:p>
          <w:p w14:paraId="21524041" w14:textId="77777777" w:rsidR="004E6FE2" w:rsidRPr="004E6FE2" w:rsidRDefault="004E6FE2" w:rsidP="004E6FE2">
            <w:pPr>
              <w:numPr>
                <w:ilvl w:val="0"/>
                <w:numId w:val="2"/>
              </w:numPr>
              <w:spacing w:before="120" w:after="120" w:line="276" w:lineRule="auto"/>
              <w:ind w:left="714" w:hanging="357"/>
              <w:jc w:val="both"/>
              <w:rPr>
                <w:rFonts w:ascii="Verdana" w:eastAsia="Verdana" w:hAnsi="Verdana" w:cs="Verdana"/>
              </w:rPr>
            </w:pPr>
            <w:r w:rsidRPr="004E6FE2">
              <w:rPr>
                <w:rFonts w:ascii="Verdana" w:eastAsia="Verdana" w:hAnsi="Verdana" w:cs="Verdana"/>
              </w:rPr>
              <w:t>Código Civil: Artículos 74 y 1502.</w:t>
            </w:r>
          </w:p>
          <w:p w14:paraId="6B77B249"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80 de 1993, artículos 6, 8, 9, 13, 26, 32, 41 y 60.</w:t>
            </w:r>
          </w:p>
          <w:p w14:paraId="69FF8EF5"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100 de 1993, artículo 157.</w:t>
            </w:r>
          </w:p>
          <w:p w14:paraId="0C1C3156" w14:textId="77777777" w:rsidR="004E6FE2" w:rsidRPr="004E6FE2" w:rsidRDefault="004E6FE2" w:rsidP="004E6FE2">
            <w:pPr>
              <w:numPr>
                <w:ilvl w:val="0"/>
                <w:numId w:val="2"/>
              </w:numPr>
              <w:spacing w:before="120" w:after="120" w:line="240" w:lineRule="auto"/>
              <w:jc w:val="both"/>
              <w:rPr>
                <w:rFonts w:ascii="Verdana" w:hAnsi="Verdana"/>
              </w:rPr>
            </w:pPr>
            <w:r w:rsidRPr="004E6FE2">
              <w:rPr>
                <w:rFonts w:ascii="Verdana" w:hAnsi="Verdana"/>
              </w:rPr>
              <w:t>Ley 146 de 1994.</w:t>
            </w:r>
          </w:p>
          <w:p w14:paraId="309D6C09"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190 de 1995, artículo 1º.</w:t>
            </w:r>
          </w:p>
          <w:p w14:paraId="22466D2A"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789 de 2002, artículo 50.</w:t>
            </w:r>
          </w:p>
          <w:p w14:paraId="02D69A36"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1150 de 2007, artículos 2, 6 y 23.</w:t>
            </w:r>
          </w:p>
          <w:p w14:paraId="7DE6B4B3"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Ley 1562 de 2012, artículo 2.</w:t>
            </w:r>
          </w:p>
          <w:p w14:paraId="16AF21E1"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Decreto 1067 de 2015, artículo 2.2.1.11.5.1.</w:t>
            </w:r>
          </w:p>
          <w:p w14:paraId="57B3800A"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rPr>
              <w:t>Decreto 780 de 2016, artículo 2.1.4.1.</w:t>
            </w:r>
          </w:p>
          <w:p w14:paraId="1C43EE87" w14:textId="77777777" w:rsidR="004E6FE2" w:rsidRPr="004E6FE2" w:rsidRDefault="004E6FE2" w:rsidP="004E6FE2">
            <w:pPr>
              <w:numPr>
                <w:ilvl w:val="0"/>
                <w:numId w:val="2"/>
              </w:numPr>
              <w:spacing w:before="120" w:after="120" w:line="276" w:lineRule="auto"/>
              <w:ind w:left="714" w:hanging="357"/>
              <w:jc w:val="both"/>
              <w:rPr>
                <w:rFonts w:ascii="Verdana" w:hAnsi="Verdana"/>
              </w:rPr>
            </w:pPr>
            <w:r w:rsidRPr="004E6FE2">
              <w:rPr>
                <w:rFonts w:ascii="Verdana" w:eastAsia="Verdana" w:hAnsi="Verdana" w:cs="Verdana"/>
                <w:lang w:val="es-CO"/>
              </w:rPr>
              <w:t>Decreto 1072 de 2015, artículo 2.2.6.8.3.1.</w:t>
            </w:r>
          </w:p>
          <w:p w14:paraId="75228449" w14:textId="77777777" w:rsidR="004E6FE2" w:rsidRPr="004E6FE2" w:rsidRDefault="004E6FE2" w:rsidP="004E6FE2">
            <w:pPr>
              <w:numPr>
                <w:ilvl w:val="0"/>
                <w:numId w:val="2"/>
              </w:numPr>
              <w:spacing w:before="120" w:after="120" w:line="276" w:lineRule="auto"/>
              <w:ind w:left="714" w:hanging="357"/>
              <w:jc w:val="both"/>
            </w:pPr>
            <w:r w:rsidRPr="004E6FE2">
              <w:rPr>
                <w:rFonts w:ascii="Verdana" w:eastAsia="Verdana" w:hAnsi="Verdana" w:cs="Verdana"/>
              </w:rPr>
              <w:t>Resolución 5477 de 2022 del Ministerio de Relaciones Exteriores, artículo 16.</w:t>
            </w:r>
          </w:p>
          <w:p w14:paraId="4839DD27" w14:textId="77777777" w:rsidR="004E6FE2" w:rsidRPr="004E6FE2" w:rsidRDefault="004E6FE2" w:rsidP="004E6FE2">
            <w:pPr>
              <w:numPr>
                <w:ilvl w:val="0"/>
                <w:numId w:val="2"/>
              </w:numPr>
              <w:spacing w:before="120" w:after="120" w:line="276" w:lineRule="auto"/>
              <w:ind w:left="714" w:hanging="357"/>
              <w:jc w:val="both"/>
            </w:pPr>
            <w:r w:rsidRPr="004E6FE2">
              <w:rPr>
                <w:rFonts w:ascii="Verdana" w:eastAsia="Verdana" w:hAnsi="Verdana" w:cs="Verdana"/>
              </w:rPr>
              <w:t xml:space="preserve">Decreto 2269 de 2023 del Ministerio de Educación Nacional, artículos 21 y 32. </w:t>
            </w:r>
          </w:p>
        </w:tc>
      </w:tr>
    </w:tbl>
    <w:p w14:paraId="0A6AAFEA" w14:textId="77777777" w:rsidR="004E6FE2" w:rsidRPr="004E6FE2" w:rsidRDefault="004E6FE2" w:rsidP="004E6FE2">
      <w:pPr>
        <w:spacing w:after="0" w:line="240" w:lineRule="auto"/>
        <w:jc w:val="both"/>
        <w:rPr>
          <w:rFonts w:ascii="Verdana" w:eastAsia="Verdana" w:hAnsi="Verdana" w:cs="Verdana"/>
          <w:color w:val="000000"/>
        </w:rPr>
      </w:pPr>
    </w:p>
    <w:p w14:paraId="39EB6AAA" w14:textId="77777777" w:rsidR="004E6FE2" w:rsidRPr="004E6FE2" w:rsidRDefault="004E6FE2" w:rsidP="004E6FE2">
      <w:pPr>
        <w:numPr>
          <w:ilvl w:val="0"/>
          <w:numId w:val="4"/>
        </w:numPr>
        <w:tabs>
          <w:tab w:val="left" w:pos="142"/>
          <w:tab w:val="left" w:pos="284"/>
        </w:tabs>
        <w:spacing w:after="0" w:line="240" w:lineRule="auto"/>
        <w:jc w:val="both"/>
        <w:rPr>
          <w:rFonts w:ascii="Verdana" w:eastAsia="Verdana" w:hAnsi="Verdana" w:cs="Verdana"/>
          <w:b/>
          <w:bCs/>
        </w:rPr>
      </w:pPr>
      <w:r w:rsidRPr="004E6FE2">
        <w:rPr>
          <w:rFonts w:ascii="Verdana" w:eastAsia="Verdana" w:hAnsi="Verdana" w:cs="Verdana"/>
          <w:b/>
          <w:bCs/>
        </w:rPr>
        <w:t>Doctrina de la Agencia Nacional de Contratación Pública:</w:t>
      </w:r>
    </w:p>
    <w:p w14:paraId="1767E09D" w14:textId="77777777" w:rsidR="004E6FE2" w:rsidRPr="004E6FE2" w:rsidRDefault="004E6FE2" w:rsidP="004E6FE2">
      <w:pPr>
        <w:widowControl w:val="0"/>
        <w:spacing w:after="0" w:line="240" w:lineRule="auto"/>
        <w:jc w:val="both"/>
        <w:rPr>
          <w:rFonts w:ascii="Verdana" w:eastAsia="Verdana" w:hAnsi="Verdana" w:cs="Verdana"/>
        </w:rPr>
      </w:pPr>
    </w:p>
    <w:p w14:paraId="0720AD3F" w14:textId="77777777" w:rsidR="004E6FE2" w:rsidRPr="004E6FE2" w:rsidRDefault="004E6FE2" w:rsidP="004E6FE2">
      <w:pPr>
        <w:spacing w:after="0" w:line="276" w:lineRule="auto"/>
        <w:jc w:val="both"/>
        <w:rPr>
          <w:rFonts w:ascii="Verdana" w:hAnsi="Verdana" w:cs="Arial"/>
          <w:shd w:val="clear" w:color="auto" w:fill="FFFFFF"/>
          <w:lang w:val="es-ES" w:eastAsia="en-US"/>
        </w:rPr>
      </w:pPr>
      <w:r w:rsidRPr="004E6FE2">
        <w:rPr>
          <w:rFonts w:ascii="Verdana" w:hAnsi="Verdana" w:cs="Arial"/>
          <w:shd w:val="clear" w:color="auto" w:fill="FFFFFF"/>
          <w:lang w:val="es-ES" w:eastAsia="en-US"/>
        </w:rPr>
        <w:t xml:space="preserve">La Agencia Nacional de Contratación Pública – Colombia Compra ha analizado los contratos de prestación de servicios, así como los requisitos para su celebración, entre otros, en los conceptos con radicado: 4201913000006452 del 07 de octubre de 2019, 4201912000006434 del 30 de octubre de 2019, 4201913000006444 del 01 de noviembre de 2019, 4201913000006331 del 07 de noviembre de 2019, 4201912000006692 del 12 de noviembre de 2019de noviembre de 2019, 4201912000006692 del 12 de noviembre  de 20194201912000007378 del 11 de diciembre de 2019, 4201912000007781 del 26 de diciembre de 2019, C−047 del 19 de febrero de 2020, C−105 del 12 de </w:t>
      </w:r>
      <w:r w:rsidRPr="004E6FE2">
        <w:rPr>
          <w:rFonts w:ascii="Verdana" w:hAnsi="Verdana" w:cs="Arial"/>
          <w:shd w:val="clear" w:color="auto" w:fill="FFFFFF"/>
          <w:lang w:val="es-ES" w:eastAsia="en-US"/>
        </w:rPr>
        <w:lastRenderedPageBreak/>
        <w:t xml:space="preserve">marzo de 2020, C−208 del 24 de marzo de 2020, C−005 del 11 de mayo de 2020, C−006 del 11 de mayo de 2020, C−018 del 11 de mayo de 2020, C−138 del 11 de mayo de 2020, C−053 del 12 de mayo de 2020, C−175 del 12 de mayo de 2020, C−320 del 12 de mayo de 2020, C−255 del 12 de mayo de 2020, C−282del 12 de mayo de 2020, C−238 del 18 de mayo de 2020, C−260 del 18 de mayo de 2020, C−288 del 21 de mayo de 2020, C−293 del 12 de mayo de 2020, C−313 del 21 de mayo de 2020, C−345 del 21 de mayo de 2020, C−359 del 04de junio de 2020, C−379 del 30 de junio de 2020, C−414 del 30 de junio de 2020,C-661 del 17 de noviembre de 2020 C−685 del 18 de diciembre de 2020, C- 004 del 12 de febrero de 2021, C−106 del 7 de abril de 2021, C-181 del 07 de abril de 2022, C-214 del 22 de abril de 2022 y C-491 de 01 de agosto de 2022, , C-966 del 1 de febrero de 2023, C-135 del 25 de mayo de 2023, C-414 del 11 de septiembre de 2024, C-079 del 4 de marzo de 2025, C-441 del 16 de mayo de 2025, C-1838 del 16 de diciembre de 2025, C-491 del 25 de marzo de 2026 y C-550 del 15 de mayo de 2025, entre otros. Así mismo, </w:t>
      </w:r>
      <w:r w:rsidRPr="004E6FE2">
        <w:rPr>
          <w:rFonts w:ascii="Verdana" w:eastAsia="Arial MT" w:hAnsi="Verdana" w:cs="Arial MT"/>
          <w:lang w:val="es-ES" w:eastAsia="en-US"/>
        </w:rPr>
        <w:t>Agencia Nacional de Contratación Pública ― Colombia Compra Eficiente se</w:t>
      </w:r>
      <w:r w:rsidRPr="004E6FE2">
        <w:rPr>
          <w:rFonts w:ascii="Verdana" w:eastAsia="Arial MT" w:hAnsi="Verdana" w:cs="Arial MT"/>
          <w:spacing w:val="1"/>
          <w:lang w:val="es-ES" w:eastAsia="en-US"/>
        </w:rPr>
        <w:t xml:space="preserve"> </w:t>
      </w:r>
      <w:r w:rsidRPr="004E6FE2">
        <w:rPr>
          <w:rFonts w:ascii="Verdana" w:eastAsia="Arial MT" w:hAnsi="Verdana" w:cs="Arial MT"/>
          <w:spacing w:val="-1"/>
          <w:lang w:val="es-ES" w:eastAsia="en-US"/>
        </w:rPr>
        <w:t>pronunció</w:t>
      </w:r>
      <w:r w:rsidRPr="004E6FE2">
        <w:rPr>
          <w:rFonts w:ascii="Verdana" w:eastAsia="Arial MT" w:hAnsi="Verdana" w:cs="Arial MT"/>
          <w:spacing w:val="-14"/>
          <w:lang w:val="es-ES" w:eastAsia="en-US"/>
        </w:rPr>
        <w:t xml:space="preserve"> </w:t>
      </w:r>
      <w:r w:rsidRPr="004E6FE2">
        <w:rPr>
          <w:rFonts w:ascii="Verdana" w:eastAsia="Arial MT" w:hAnsi="Verdana" w:cs="Arial MT"/>
          <w:spacing w:val="-1"/>
          <w:lang w:val="es-ES" w:eastAsia="en-US"/>
        </w:rPr>
        <w:t>sobre</w:t>
      </w:r>
      <w:r w:rsidRPr="004E6FE2">
        <w:rPr>
          <w:rFonts w:ascii="Verdana" w:eastAsia="Arial MT" w:hAnsi="Verdana" w:cs="Arial MT"/>
          <w:spacing w:val="-15"/>
          <w:lang w:val="es-ES" w:eastAsia="en-US"/>
        </w:rPr>
        <w:t xml:space="preserve"> </w:t>
      </w:r>
      <w:r w:rsidRPr="004E6FE2">
        <w:rPr>
          <w:rFonts w:ascii="Verdana" w:eastAsia="Arial MT" w:hAnsi="Verdana" w:cs="Arial MT"/>
          <w:spacing w:val="-1"/>
          <w:lang w:val="es-ES" w:eastAsia="en-US"/>
        </w:rPr>
        <w:t xml:space="preserve">los requisitos para contratar prestación de servicios con extranjeros, se encuentra en los Conceptos C-155 del 2 de junio de 2023, C-035 del 24 de abril de 2024, C-470 del 2 de mayo de 2025, C-504 del 3 de junio de 2025, entre otros. </w:t>
      </w:r>
      <w:r w:rsidRPr="004E6FE2">
        <w:rPr>
          <w:rFonts w:ascii="Verdana" w:eastAsia="Verdana" w:hAnsi="Verdana" w:cs="Verdana"/>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BA304EF" w14:textId="77777777" w:rsidR="004E6FE2" w:rsidRPr="004E6FE2" w:rsidRDefault="004E6FE2" w:rsidP="004E6FE2">
      <w:pPr>
        <w:spacing w:after="0" w:line="276" w:lineRule="auto"/>
        <w:jc w:val="both"/>
        <w:rPr>
          <w:rFonts w:ascii="Verdana" w:eastAsia="Verdana" w:hAnsi="Verdana" w:cs="Verdana"/>
        </w:rPr>
      </w:pPr>
      <w:hyperlink r:id="rId20">
        <w:r w:rsidRPr="004E6FE2">
          <w:rPr>
            <w:rFonts w:ascii="Verdana" w:eastAsia="Verdana" w:hAnsi="Verdana" w:cs="Verdana"/>
            <w:color w:val="0000FF"/>
            <w:u w:val="single"/>
          </w:rPr>
          <w:t>https://www.colombiacompra.gov.co/normativa-y-relatoria/conoce-la-relatoria</w:t>
        </w:r>
      </w:hyperlink>
      <w:r w:rsidRPr="004E6FE2">
        <w:rPr>
          <w:rFonts w:ascii="Verdana" w:eastAsia="Verdana" w:hAnsi="Verdana" w:cs="Verdana"/>
        </w:rPr>
        <w:t xml:space="preserve"> </w:t>
      </w:r>
    </w:p>
    <w:p w14:paraId="0800FD66" w14:textId="77777777" w:rsidR="004E6FE2" w:rsidRPr="004E6FE2" w:rsidRDefault="004E6FE2" w:rsidP="004E6FE2">
      <w:pPr>
        <w:spacing w:after="0" w:line="276" w:lineRule="auto"/>
        <w:jc w:val="both"/>
        <w:rPr>
          <w:rFonts w:ascii="Verdana" w:eastAsia="Verdana" w:hAnsi="Verdana" w:cs="Verdana"/>
        </w:rPr>
      </w:pPr>
    </w:p>
    <w:p w14:paraId="2905EADA"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La sostenibilidad no es una opción, es una obligación. Por ello, la Agencia Nacional de Contratación Pública –Colombia Compra Eficiente– te invita a realizar el </w:t>
      </w:r>
      <w:r w:rsidRPr="004E6FE2">
        <w:rPr>
          <w:rFonts w:ascii="Verdana" w:eastAsia="Verdana" w:hAnsi="Verdana" w:cs="Verdana"/>
          <w:b/>
          <w:bCs/>
        </w:rPr>
        <w:t>Curso de Contratación Pública Sostenible y Socialmente Responsable</w:t>
      </w:r>
      <w:r w:rsidRPr="004E6FE2">
        <w:rPr>
          <w:rFonts w:ascii="Verdana" w:eastAsia="Verdana" w:hAnsi="Verdana" w:cs="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4E6FE2">
        <w:rPr>
          <w:rFonts w:ascii="Verdana" w:eastAsia="Verdana" w:hAnsi="Verdana" w:cs="Verdana"/>
        </w:rPr>
        <w:br/>
      </w:r>
      <w:hyperlink r:id="rId21">
        <w:r w:rsidRPr="004E6FE2">
          <w:rPr>
            <w:rFonts w:ascii="Verdana" w:eastAsia="Verdana" w:hAnsi="Verdana" w:cs="Verdana"/>
            <w:color w:val="0000FF"/>
            <w:u w:val="single"/>
          </w:rPr>
          <w:t>https://formacionvirtual.colombiacompra.gov.co/mod/page/view.php?id=3718</w:t>
        </w:r>
      </w:hyperlink>
    </w:p>
    <w:p w14:paraId="630F7AE5" w14:textId="77777777" w:rsidR="004E6FE2" w:rsidRPr="004E6FE2" w:rsidRDefault="004E6FE2" w:rsidP="004E6FE2">
      <w:pPr>
        <w:spacing w:after="0" w:line="276" w:lineRule="auto"/>
        <w:jc w:val="both"/>
        <w:rPr>
          <w:rFonts w:ascii="Verdana" w:eastAsia="Verdana" w:hAnsi="Verdana" w:cs="Verdana"/>
        </w:rPr>
      </w:pPr>
    </w:p>
    <w:p w14:paraId="63EA8AE4"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lastRenderedPageBreak/>
        <w:t xml:space="preserve">De otro lado, te contamos que esta Agencia ha da un paso decisivo en la estandarización y modernización del </w:t>
      </w:r>
      <w:r w:rsidRPr="004E6FE2">
        <w:rPr>
          <w:rFonts w:ascii="Verdana" w:eastAsia="Verdana" w:hAnsi="Verdana" w:cs="Verdana"/>
          <w:b/>
          <w:bCs/>
        </w:rPr>
        <w:t>sector  social</w:t>
      </w:r>
      <w:r w:rsidRPr="004E6FE2">
        <w:rPr>
          <w:rFonts w:ascii="Verdana" w:eastAsia="Verdana" w:hAnsi="Verdana" w:cs="Verdana"/>
        </w:rPr>
        <w:t xml:space="preserve"> con la expedición de las </w:t>
      </w:r>
      <w:r w:rsidRPr="004E6FE2">
        <w:rPr>
          <w:rFonts w:ascii="Verdana" w:eastAsia="Verdana" w:hAnsi="Verdana" w:cs="Verdana"/>
          <w:b/>
          <w:bCs/>
        </w:rPr>
        <w:t>Resoluciones 539, 540, 541, 952 y 953 de 2025</w:t>
      </w:r>
      <w:r w:rsidRPr="004E6FE2">
        <w:rPr>
          <w:rFonts w:ascii="Verdana" w:eastAsia="Verdana" w:hAnsi="Verdana" w:cs="Verdana"/>
        </w:rPr>
        <w:t xml:space="preserve">, </w:t>
      </w:r>
      <w:r w:rsidRPr="004E6FE2">
        <w:rPr>
          <w:rFonts w:ascii="Verdana" w:eastAsia="Verdana" w:hAnsi="Verdana" w:cs="Verdana"/>
          <w:b/>
          <w:bCs/>
        </w:rPr>
        <w:t>mediante las cuales adoptó Documentos Tipo</w:t>
      </w:r>
      <w:r w:rsidRPr="004E6FE2">
        <w:rPr>
          <w:rFonts w:ascii="Verdana" w:eastAsia="Verdana" w:hAnsi="Verdana" w:cs="Verdana"/>
        </w:rPr>
        <w:t xml:space="preserve"> para las modalidades de selección de</w:t>
      </w:r>
      <w:r w:rsidRPr="004E6FE2">
        <w:rPr>
          <w:rFonts w:ascii="Verdana" w:eastAsia="Verdana" w:hAnsi="Verdana" w:cs="Verdana"/>
          <w:b/>
          <w:bCs/>
        </w:rPr>
        <w:t xml:space="preserve"> licitación pública (versión 2), selección abreviada de menor cuantía, mínima cuantía, consultoría e interventoría</w:t>
      </w:r>
      <w:r w:rsidRPr="004E6FE2">
        <w:rPr>
          <w:rFonts w:ascii="Verdana" w:eastAsia="Verdana" w:hAnsi="Verdana" w:cs="Verdana"/>
        </w:rPr>
        <w:t xml:space="preserve">, promoviendo procesos más transparentes, eficientes  competitivos y sostenibles en sectores estratégicos como educación, salud, cultura, recreación, deporte, institucional y vivienda. Consulta y descarga los documentos aquí: </w:t>
      </w:r>
      <w:hyperlink r:id="rId22">
        <w:r w:rsidRPr="004E6FE2">
          <w:rPr>
            <w:rFonts w:ascii="Verdana" w:eastAsia="Verdana" w:hAnsi="Verdana" w:cs="Verdana"/>
            <w:color w:val="0000FF"/>
            <w:u w:val="single"/>
          </w:rPr>
          <w:t>https://www.colombiacompra.gov.co/normativa-y-relatoria/documentos-tipo</w:t>
        </w:r>
      </w:hyperlink>
    </w:p>
    <w:p w14:paraId="37DF35A7" w14:textId="77777777" w:rsidR="004E6FE2" w:rsidRPr="004E6FE2" w:rsidRDefault="004E6FE2" w:rsidP="004E6FE2">
      <w:pPr>
        <w:spacing w:after="0" w:line="276" w:lineRule="auto"/>
        <w:jc w:val="both"/>
        <w:rPr>
          <w:rFonts w:ascii="Verdana" w:eastAsia="Verdana" w:hAnsi="Verdana" w:cs="Verdana"/>
        </w:rPr>
      </w:pPr>
    </w:p>
    <w:p w14:paraId="091A25EE"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Si quieres conocer más sobre la aplicación de Documentos Tipo puedes consultar la última versión de la </w:t>
      </w:r>
      <w:r w:rsidRPr="004E6FE2">
        <w:rPr>
          <w:rFonts w:ascii="Verdana" w:eastAsia="Verdana" w:hAnsi="Verdana" w:cs="Verdana"/>
          <w:b/>
          <w:bCs/>
        </w:rPr>
        <w:t>Guía para la comprensión e implementación de los Documentos Tipo de obra pública de infraestructura de transporte</w:t>
      </w:r>
      <w:r w:rsidRPr="004E6FE2">
        <w:rPr>
          <w:rFonts w:ascii="Verdana" w:eastAsia="Verdana" w:hAnsi="Verdana" w:cs="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4E6FE2">
        <w:rPr>
          <w:rFonts w:ascii="Verdana" w:eastAsia="Verdana" w:hAnsi="Verdana" w:cs="Verdana"/>
        </w:rPr>
        <w:br/>
      </w:r>
      <w:hyperlink r:id="rId23">
        <w:r w:rsidRPr="004E6FE2">
          <w:rPr>
            <w:rFonts w:ascii="Verdana" w:eastAsia="Verdana" w:hAnsi="Verdana" w:cs="Verdana"/>
            <w:color w:val="0000FF"/>
            <w:u w:val="single"/>
          </w:rPr>
          <w:t>https://www.colombiacompra.gov.co/archivos/manual/guia-para-la-comprension-e-implementacion-de-los-documentos-tipo-de-obra-publica-de-infraestructura-de-transporte-bajo-las-diferentes-modalidades-de-contratacion-vigentes</w:t>
        </w:r>
      </w:hyperlink>
    </w:p>
    <w:p w14:paraId="4B2DE245" w14:textId="77777777" w:rsidR="004E6FE2" w:rsidRPr="004E6FE2" w:rsidRDefault="004E6FE2" w:rsidP="004E6FE2">
      <w:pPr>
        <w:spacing w:after="0" w:line="276" w:lineRule="auto"/>
        <w:jc w:val="both"/>
        <w:rPr>
          <w:rFonts w:ascii="Verdana" w:eastAsia="Verdana" w:hAnsi="Verdana" w:cs="Verdana"/>
        </w:rPr>
      </w:pPr>
    </w:p>
    <w:p w14:paraId="3A4E3D7E"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699EF1A" w14:textId="77777777" w:rsidR="004E6FE2" w:rsidRPr="004E6FE2" w:rsidRDefault="004E6FE2" w:rsidP="004E6FE2">
      <w:pPr>
        <w:spacing w:after="0" w:line="276" w:lineRule="auto"/>
        <w:jc w:val="both"/>
        <w:rPr>
          <w:rFonts w:ascii="Verdana" w:eastAsia="Verdana" w:hAnsi="Verdana" w:cs="Verdana"/>
        </w:rPr>
      </w:pPr>
    </w:p>
    <w:p w14:paraId="3A769A9A" w14:textId="77777777" w:rsidR="004E6FE2" w:rsidRPr="004E6FE2" w:rsidRDefault="004E6FE2" w:rsidP="004E6FE2">
      <w:pPr>
        <w:numPr>
          <w:ilvl w:val="0"/>
          <w:numId w:val="3"/>
        </w:numPr>
        <w:spacing w:after="0" w:line="276" w:lineRule="auto"/>
        <w:jc w:val="both"/>
        <w:rPr>
          <w:rFonts w:ascii="Verdana" w:eastAsia="Verdana" w:hAnsi="Verdana" w:cs="Verdana"/>
          <w:color w:val="4472C4"/>
          <w:u w:val="single"/>
        </w:rPr>
      </w:pPr>
      <w:r w:rsidRPr="004E6FE2">
        <w:rPr>
          <w:rFonts w:ascii="Verdana" w:eastAsia="Verdana" w:hAnsi="Verdana" w:cs="Verdana"/>
        </w:rPr>
        <w:t xml:space="preserve">Línea nacional gratuita o servicio a la ciudadanía (Mesa de servicio): </w:t>
      </w:r>
      <w:r w:rsidRPr="004E6FE2">
        <w:rPr>
          <w:rFonts w:ascii="Verdana" w:eastAsia="Verdana" w:hAnsi="Verdana" w:cs="Verdana"/>
          <w:color w:val="0000FF"/>
          <w:u w:val="single"/>
        </w:rPr>
        <w:t>01800 0520808</w:t>
      </w:r>
    </w:p>
    <w:p w14:paraId="7315DDD5" w14:textId="77777777" w:rsidR="004E6FE2" w:rsidRPr="004E6FE2" w:rsidRDefault="004E6FE2" w:rsidP="004E6FE2">
      <w:pPr>
        <w:numPr>
          <w:ilvl w:val="0"/>
          <w:numId w:val="3"/>
        </w:numPr>
        <w:spacing w:after="0" w:line="276" w:lineRule="auto"/>
        <w:jc w:val="both"/>
        <w:rPr>
          <w:rFonts w:ascii="Verdana" w:eastAsia="Verdana" w:hAnsi="Verdana" w:cs="Verdana"/>
          <w:color w:val="4472C4"/>
          <w:u w:val="single"/>
        </w:rPr>
      </w:pPr>
      <w:r w:rsidRPr="004E6FE2">
        <w:rPr>
          <w:rFonts w:ascii="Verdana" w:eastAsia="Verdana" w:hAnsi="Verdana" w:cs="Verdana"/>
        </w:rPr>
        <w:t>Línea en Bogotá (Mesa de servicio):</w:t>
      </w:r>
      <w:r w:rsidRPr="004E6FE2">
        <w:rPr>
          <w:rFonts w:ascii="Verdana" w:eastAsia="Verdana" w:hAnsi="Verdana" w:cs="Verdana"/>
          <w:color w:val="0000FF"/>
          <w:u w:val="single"/>
        </w:rPr>
        <w:t>+57 601 7456788</w:t>
      </w:r>
    </w:p>
    <w:p w14:paraId="28EC370E" w14:textId="77777777" w:rsidR="004E6FE2" w:rsidRPr="004E6FE2" w:rsidRDefault="004E6FE2" w:rsidP="004E6FE2">
      <w:pPr>
        <w:numPr>
          <w:ilvl w:val="0"/>
          <w:numId w:val="3"/>
        </w:numPr>
        <w:spacing w:after="0" w:line="276" w:lineRule="auto"/>
        <w:jc w:val="both"/>
        <w:rPr>
          <w:rFonts w:ascii="Verdana" w:eastAsia="Verdana" w:hAnsi="Verdana" w:cs="Verdana"/>
          <w:color w:val="0000FF"/>
          <w:u w:val="single"/>
        </w:rPr>
      </w:pPr>
      <w:r w:rsidRPr="004E6FE2">
        <w:rPr>
          <w:rFonts w:ascii="Verdana" w:eastAsia="Verdana" w:hAnsi="Verdana" w:cs="Verdana"/>
        </w:rPr>
        <w:t xml:space="preserve">Correo de radicación de correspondencia: </w:t>
      </w:r>
      <w:hyperlink r:id="rId24">
        <w:r w:rsidRPr="004E6FE2">
          <w:rPr>
            <w:rFonts w:ascii="Verdana" w:eastAsia="Verdana" w:hAnsi="Verdana" w:cs="Verdana"/>
            <w:color w:val="0000FF"/>
            <w:u w:val="single"/>
          </w:rPr>
          <w:t>ventanilladeradicacion@colombiacompra.gov.co</w:t>
        </w:r>
      </w:hyperlink>
    </w:p>
    <w:p w14:paraId="0908E589" w14:textId="77777777" w:rsidR="004E6FE2" w:rsidRPr="004E6FE2" w:rsidRDefault="004E6FE2" w:rsidP="004E6FE2">
      <w:pPr>
        <w:numPr>
          <w:ilvl w:val="0"/>
          <w:numId w:val="3"/>
        </w:numPr>
        <w:spacing w:after="0" w:line="276" w:lineRule="auto"/>
        <w:jc w:val="both"/>
        <w:rPr>
          <w:rFonts w:ascii="Verdana" w:eastAsia="Verdana" w:hAnsi="Verdana" w:cs="Verdana"/>
          <w:color w:val="0000FF"/>
          <w:u w:val="single"/>
        </w:rPr>
      </w:pPr>
      <w:r w:rsidRPr="004E6FE2">
        <w:rPr>
          <w:rFonts w:ascii="Verdana" w:eastAsia="Verdana" w:hAnsi="Verdana" w:cs="Verdana"/>
        </w:rPr>
        <w:lastRenderedPageBreak/>
        <w:t xml:space="preserve">Formulario web para PQRSD: </w:t>
      </w:r>
      <w:hyperlink r:id="rId25">
        <w:r w:rsidRPr="004E6FE2">
          <w:rPr>
            <w:rFonts w:ascii="Verdana" w:eastAsia="Verdana" w:hAnsi="Verdana" w:cs="Verdana"/>
            <w:color w:val="0000FF"/>
            <w:u w:val="single"/>
          </w:rPr>
          <w:t>https://www.colombiacompra.gov.co/pqrsd/informacion-importante-antes-de-formular-una-pqrsd</w:t>
        </w:r>
      </w:hyperlink>
    </w:p>
    <w:p w14:paraId="355A7D41" w14:textId="77777777" w:rsidR="004E6FE2" w:rsidRPr="004E6FE2" w:rsidRDefault="004E6FE2" w:rsidP="004E6FE2">
      <w:pPr>
        <w:spacing w:after="0" w:line="276" w:lineRule="auto"/>
        <w:ind w:left="720"/>
        <w:jc w:val="both"/>
        <w:rPr>
          <w:rFonts w:ascii="Verdana" w:eastAsia="Verdana" w:hAnsi="Verdana" w:cs="Verdana"/>
        </w:rPr>
      </w:pPr>
    </w:p>
    <w:p w14:paraId="6B840133"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Evalúa el servicio que ofrece la Agencia por el canal de atención de PQRSD en el siguiente enlace :</w:t>
      </w:r>
      <w:hyperlink r:id="rId26">
        <w:r w:rsidRPr="004E6FE2">
          <w:rPr>
            <w:rFonts w:ascii="Verdana" w:eastAsia="Verdana" w:hAnsi="Verdana" w:cs="Verdana"/>
            <w:color w:val="0000FF"/>
            <w:u w:val="single"/>
          </w:rPr>
          <w:t>https://forms.office.com/r/pPHyWVs2SZ</w:t>
        </w:r>
      </w:hyperlink>
      <w:r w:rsidRPr="004E6FE2">
        <w:rPr>
          <w:rFonts w:ascii="Verdana" w:eastAsia="Verdana" w:hAnsi="Verdana" w:cs="Verdana"/>
        </w:rPr>
        <w:t xml:space="preserve"> .¡Ayúdanos a mejorar porque el compromiso es de todos!</w:t>
      </w:r>
    </w:p>
    <w:p w14:paraId="422EF285" w14:textId="77777777" w:rsidR="004E6FE2" w:rsidRPr="004E6FE2" w:rsidRDefault="004E6FE2" w:rsidP="004E6FE2">
      <w:pPr>
        <w:spacing w:after="0" w:line="276" w:lineRule="auto"/>
        <w:jc w:val="both"/>
        <w:rPr>
          <w:rFonts w:ascii="Verdana" w:eastAsia="Verdana" w:hAnsi="Verdana" w:cs="Verdana"/>
        </w:rPr>
      </w:pPr>
    </w:p>
    <w:p w14:paraId="1E1AAEDC"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Por último, lo invitamos a seguirnos en las redes sociales en las cuales se difunde información institucional: </w:t>
      </w:r>
    </w:p>
    <w:p w14:paraId="00B2FFE6" w14:textId="77777777" w:rsidR="004E6FE2" w:rsidRPr="004E6FE2" w:rsidRDefault="004E6FE2" w:rsidP="004E6FE2">
      <w:pPr>
        <w:spacing w:after="0" w:line="276" w:lineRule="auto"/>
        <w:jc w:val="both"/>
        <w:rPr>
          <w:rFonts w:ascii="Verdana" w:eastAsia="Verdana" w:hAnsi="Verdana" w:cs="Verdana"/>
        </w:rPr>
      </w:pPr>
    </w:p>
    <w:p w14:paraId="6E0FC317"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Twitter: </w:t>
      </w:r>
      <w:r w:rsidRPr="004E6FE2">
        <w:rPr>
          <w:rFonts w:ascii="Verdana" w:eastAsia="Verdana" w:hAnsi="Verdana" w:cs="Verdana"/>
          <w:color w:val="0000FF"/>
          <w:u w:val="single"/>
        </w:rPr>
        <w:t>@colombiacompra</w:t>
      </w:r>
      <w:r w:rsidRPr="004E6FE2">
        <w:rPr>
          <w:rFonts w:ascii="Verdana" w:eastAsia="Verdana" w:hAnsi="Verdana" w:cs="Verdana"/>
        </w:rPr>
        <w:t xml:space="preserve"> </w:t>
      </w:r>
    </w:p>
    <w:p w14:paraId="6DBC2D75" w14:textId="77777777" w:rsidR="004E6FE2" w:rsidRPr="004E6FE2" w:rsidRDefault="004E6FE2" w:rsidP="004E6FE2">
      <w:pPr>
        <w:spacing w:after="0" w:line="276" w:lineRule="auto"/>
        <w:jc w:val="both"/>
        <w:rPr>
          <w:rFonts w:ascii="Verdana" w:eastAsia="Verdana" w:hAnsi="Verdana" w:cs="Verdana"/>
          <w:lang w:val="es-ES"/>
        </w:rPr>
      </w:pPr>
      <w:r w:rsidRPr="004E6FE2">
        <w:rPr>
          <w:rFonts w:ascii="Verdana" w:eastAsia="Verdana" w:hAnsi="Verdana" w:cs="Verdana"/>
          <w:lang w:val="es-ES"/>
        </w:rPr>
        <w:t xml:space="preserve">Facebook: </w:t>
      </w:r>
      <w:r w:rsidRPr="004E6FE2">
        <w:rPr>
          <w:rFonts w:ascii="Verdana" w:eastAsia="Verdana" w:hAnsi="Verdana" w:cs="Verdana"/>
          <w:color w:val="0000FF"/>
          <w:u w:val="single"/>
          <w:lang w:val="es-ES"/>
        </w:rPr>
        <w:t>ColombiaCompraEficiente</w:t>
      </w:r>
    </w:p>
    <w:p w14:paraId="6728E0A8"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 xml:space="preserve">LinkedIn: </w:t>
      </w:r>
      <w:r w:rsidRPr="004E6FE2">
        <w:rPr>
          <w:rFonts w:ascii="Verdana" w:eastAsia="Verdana" w:hAnsi="Verdana" w:cs="Verdana"/>
          <w:color w:val="0000FF"/>
          <w:u w:val="single"/>
        </w:rPr>
        <w:t>Agencia Nacional de Contratación Pública - Colombia Compra Eficiente</w:t>
      </w:r>
      <w:r w:rsidRPr="004E6FE2">
        <w:rPr>
          <w:rFonts w:ascii="Verdana" w:eastAsia="Verdana" w:hAnsi="Verdana" w:cs="Verdana"/>
        </w:rPr>
        <w:t xml:space="preserve"> Instagram: </w:t>
      </w:r>
      <w:r w:rsidRPr="004E6FE2">
        <w:rPr>
          <w:rFonts w:ascii="Verdana" w:eastAsia="Verdana" w:hAnsi="Verdana" w:cs="Verdana"/>
          <w:color w:val="0000FF"/>
          <w:u w:val="single"/>
        </w:rPr>
        <w:t>@colombiacompraeficiente_cce</w:t>
      </w:r>
    </w:p>
    <w:p w14:paraId="263F7050" w14:textId="77777777" w:rsidR="004E6FE2" w:rsidRPr="004E6FE2" w:rsidRDefault="004E6FE2" w:rsidP="004E6FE2">
      <w:pPr>
        <w:spacing w:after="0" w:line="276" w:lineRule="auto"/>
        <w:jc w:val="both"/>
        <w:rPr>
          <w:rFonts w:ascii="Verdana" w:eastAsia="Verdana" w:hAnsi="Verdana" w:cs="Verdana"/>
        </w:rPr>
      </w:pPr>
    </w:p>
    <w:p w14:paraId="6AC47A63"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E981331" w14:textId="77777777" w:rsidR="004E6FE2" w:rsidRPr="004E6FE2" w:rsidRDefault="004E6FE2" w:rsidP="004E6FE2">
      <w:pPr>
        <w:spacing w:after="0" w:line="276" w:lineRule="auto"/>
        <w:jc w:val="both"/>
        <w:rPr>
          <w:rFonts w:ascii="Verdana" w:eastAsia="Verdana" w:hAnsi="Verdana" w:cs="Verdana"/>
        </w:rPr>
      </w:pPr>
    </w:p>
    <w:p w14:paraId="7B24EF93" w14:textId="77777777" w:rsidR="004E6FE2" w:rsidRPr="004E6FE2" w:rsidRDefault="004E6FE2" w:rsidP="004E6FE2">
      <w:pPr>
        <w:spacing w:after="0" w:line="276" w:lineRule="auto"/>
        <w:jc w:val="both"/>
        <w:rPr>
          <w:rFonts w:ascii="Verdana" w:eastAsia="Verdana" w:hAnsi="Verdana" w:cs="Verdana"/>
        </w:rPr>
      </w:pPr>
      <w:r w:rsidRPr="004E6FE2">
        <w:rPr>
          <w:rFonts w:ascii="Verdana" w:eastAsia="Verdana" w:hAnsi="Verdana" w:cs="Verdana"/>
        </w:rPr>
        <w:t>Atentamente,</w:t>
      </w:r>
    </w:p>
    <w:p w14:paraId="5307E41F" w14:textId="590363B4" w:rsidR="004E6FE2" w:rsidRPr="004E6FE2" w:rsidRDefault="00624D4D" w:rsidP="004E6FE2">
      <w:pPr>
        <w:spacing w:after="0" w:line="256" w:lineRule="auto"/>
        <w:jc w:val="center"/>
        <w:rPr>
          <w:rFonts w:cs="Times New Roman"/>
          <w:noProof/>
          <w:lang w:val="en-US" w:eastAsia="en-US"/>
        </w:rPr>
      </w:pPr>
      <w:r w:rsidRPr="00624D4D">
        <w:rPr>
          <w:rFonts w:ascii="Verdana" w:hAnsi="Verdana" w:cs="Arial"/>
          <w:noProof/>
          <w:color w:val="EE0000"/>
          <w:lang w:val="es-ES"/>
        </w:rPr>
        <w:drawing>
          <wp:inline distT="0" distB="0" distL="0" distR="0" wp14:anchorId="7214D491" wp14:editId="7C58DE56">
            <wp:extent cx="3020038" cy="1108364"/>
            <wp:effectExtent l="0" t="0" r="0" b="0"/>
            <wp:docPr id="18374342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34210" name=""/>
                    <pic:cNvPicPr/>
                  </pic:nvPicPr>
                  <pic:blipFill>
                    <a:blip r:embed="rId27"/>
                    <a:stretch>
                      <a:fillRect/>
                    </a:stretch>
                  </pic:blipFill>
                  <pic:spPr>
                    <a:xfrm>
                      <a:off x="0" y="0"/>
                      <a:ext cx="3032518" cy="1112944"/>
                    </a:xfrm>
                    <a:prstGeom prst="rect">
                      <a:avLst/>
                    </a:prstGeom>
                  </pic:spPr>
                </pic:pic>
              </a:graphicData>
            </a:graphic>
          </wp:inline>
        </w:drawing>
      </w:r>
    </w:p>
    <w:p w14:paraId="70C74DB4" w14:textId="77777777" w:rsidR="004E6FE2" w:rsidRPr="004E6FE2" w:rsidRDefault="004E6FE2" w:rsidP="004E6FE2">
      <w:pPr>
        <w:spacing w:after="0" w:line="256" w:lineRule="auto"/>
        <w:jc w:val="center"/>
        <w:rPr>
          <w:rFonts w:ascii="Verdana" w:hAnsi="Verdana" w:cs="Times New Roman"/>
          <w:noProof/>
          <w:sz w:val="16"/>
          <w:szCs w:val="16"/>
          <w:lang w:val="en-US" w:eastAsia="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4E6FE2" w:rsidRPr="004E6FE2" w14:paraId="450EDE23" w14:textId="77777777" w:rsidTr="005E6732">
        <w:trPr>
          <w:trHeight w:val="409"/>
        </w:trPr>
        <w:tc>
          <w:tcPr>
            <w:tcW w:w="817" w:type="dxa"/>
            <w:tcBorders>
              <w:top w:val="nil"/>
              <w:left w:val="nil"/>
              <w:bottom w:val="nil"/>
              <w:right w:val="nil"/>
            </w:tcBorders>
            <w:vAlign w:val="center"/>
            <w:hideMark/>
          </w:tcPr>
          <w:p w14:paraId="28FCE76E"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Elaboró: </w:t>
            </w:r>
          </w:p>
        </w:tc>
        <w:tc>
          <w:tcPr>
            <w:tcW w:w="4937" w:type="dxa"/>
            <w:tcBorders>
              <w:top w:val="nil"/>
              <w:left w:val="nil"/>
              <w:bottom w:val="dotted" w:sz="6" w:space="0" w:color="7F7F7F"/>
              <w:right w:val="nil"/>
            </w:tcBorders>
            <w:vAlign w:val="center"/>
            <w:hideMark/>
          </w:tcPr>
          <w:p w14:paraId="09473650"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José Luis Sánchez Cardona</w:t>
            </w:r>
          </w:p>
          <w:p w14:paraId="0BFB5C41"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Contratista de la Subdirección de Gestión Contractual</w:t>
            </w:r>
          </w:p>
        </w:tc>
      </w:tr>
      <w:tr w:rsidR="004E6FE2" w:rsidRPr="004E6FE2" w14:paraId="2F96D6CB" w14:textId="77777777" w:rsidTr="005E6732">
        <w:trPr>
          <w:trHeight w:val="409"/>
        </w:trPr>
        <w:tc>
          <w:tcPr>
            <w:tcW w:w="817" w:type="dxa"/>
            <w:tcBorders>
              <w:top w:val="nil"/>
              <w:left w:val="nil"/>
              <w:bottom w:val="nil"/>
              <w:right w:val="nil"/>
            </w:tcBorders>
            <w:vAlign w:val="center"/>
            <w:hideMark/>
          </w:tcPr>
          <w:p w14:paraId="666CCB37"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Revisó </w:t>
            </w:r>
          </w:p>
        </w:tc>
        <w:tc>
          <w:tcPr>
            <w:tcW w:w="4937" w:type="dxa"/>
            <w:tcBorders>
              <w:top w:val="dotted" w:sz="6" w:space="0" w:color="7F7F7F"/>
              <w:left w:val="nil"/>
              <w:bottom w:val="dotted" w:sz="6" w:space="0" w:color="7F7F7F"/>
              <w:right w:val="nil"/>
            </w:tcBorders>
            <w:vAlign w:val="center"/>
            <w:hideMark/>
          </w:tcPr>
          <w:p w14:paraId="76BCE966"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Alejandro Sarmiento Cantillo</w:t>
            </w:r>
          </w:p>
          <w:p w14:paraId="4852E7E3"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Gestor T1-15 de la Subdirección de Gestión Contractual </w:t>
            </w:r>
          </w:p>
        </w:tc>
      </w:tr>
      <w:tr w:rsidR="004E6FE2" w:rsidRPr="004E6FE2" w14:paraId="6F4477CB" w14:textId="77777777" w:rsidTr="005E6732">
        <w:trPr>
          <w:trHeight w:val="389"/>
        </w:trPr>
        <w:tc>
          <w:tcPr>
            <w:tcW w:w="817" w:type="dxa"/>
            <w:tcBorders>
              <w:top w:val="nil"/>
              <w:left w:val="nil"/>
              <w:bottom w:val="nil"/>
              <w:right w:val="nil"/>
            </w:tcBorders>
            <w:vAlign w:val="center"/>
            <w:hideMark/>
          </w:tcPr>
          <w:p w14:paraId="48BAEFBB"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Aprobó: </w:t>
            </w:r>
          </w:p>
        </w:tc>
        <w:tc>
          <w:tcPr>
            <w:tcW w:w="4937" w:type="dxa"/>
            <w:tcBorders>
              <w:top w:val="dotted" w:sz="6" w:space="0" w:color="7F7F7F"/>
              <w:left w:val="nil"/>
              <w:bottom w:val="dotted" w:sz="6" w:space="0" w:color="7F7F7F"/>
              <w:right w:val="nil"/>
            </w:tcBorders>
            <w:vAlign w:val="center"/>
            <w:hideMark/>
          </w:tcPr>
          <w:p w14:paraId="468BA56F"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Carolina Quintero Gacharná</w:t>
            </w:r>
          </w:p>
          <w:p w14:paraId="76567E9E" w14:textId="77777777" w:rsidR="004E6FE2" w:rsidRPr="004E6FE2" w:rsidRDefault="004E6FE2" w:rsidP="004E6FE2">
            <w:pPr>
              <w:spacing w:after="0" w:line="256" w:lineRule="auto"/>
              <w:rPr>
                <w:rFonts w:ascii="Verdana" w:hAnsi="Verdana" w:cs="Times New Roman"/>
                <w:sz w:val="16"/>
                <w:szCs w:val="16"/>
                <w:lang w:val="es-CO" w:eastAsia="en-US"/>
              </w:rPr>
            </w:pPr>
            <w:r w:rsidRPr="004E6FE2">
              <w:rPr>
                <w:rFonts w:ascii="Verdana" w:hAnsi="Verdana" w:cs="Times New Roman"/>
                <w:sz w:val="16"/>
                <w:szCs w:val="16"/>
                <w:lang w:val="es-CO" w:eastAsia="en-US"/>
              </w:rPr>
              <w:t>Subdirectora de Gestión Contractual ANCP – CCE</w:t>
            </w:r>
          </w:p>
        </w:tc>
      </w:tr>
      <w:bookmarkEnd w:id="0"/>
    </w:tbl>
    <w:p w14:paraId="77520D8D" w14:textId="7CE50F17" w:rsidR="00865FCE" w:rsidRPr="00624D4D" w:rsidRDefault="00865FCE" w:rsidP="00624D4D">
      <w:pPr>
        <w:spacing w:after="0" w:line="240" w:lineRule="auto"/>
        <w:textAlignment w:val="baseline"/>
        <w:rPr>
          <w:rFonts w:ascii="Verdana" w:eastAsia="Verdana" w:hAnsi="Verdana" w:cs="Verdana"/>
          <w:lang w:val="es-CO"/>
        </w:rPr>
      </w:pPr>
    </w:p>
    <w:sectPr w:rsidR="00865FCE" w:rsidRPr="00624D4D">
      <w:headerReference w:type="default" r:id="rId28"/>
      <w:footerReference w:type="default" r:id="rId29"/>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E34E" w14:textId="77777777" w:rsidR="00FD293A" w:rsidRDefault="00FD293A">
      <w:pPr>
        <w:spacing w:after="0" w:line="240" w:lineRule="auto"/>
      </w:pPr>
      <w:r>
        <w:separator/>
      </w:r>
    </w:p>
  </w:endnote>
  <w:endnote w:type="continuationSeparator" w:id="0">
    <w:p w14:paraId="71F9DF83" w14:textId="77777777" w:rsidR="00FD293A" w:rsidRDefault="00FD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87072E53-2C48-4309-BCD9-D093BA625FE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6EC35BB-8872-4515-A958-5004194AC7A5}"/>
    <w:embedBold r:id="rId3" w:fontKey="{15E0F464-CC88-4AD3-921A-7CF88D15DE0E}"/>
    <w:embedItalic r:id="rId4" w:fontKey="{2C5D1F96-079E-494E-8105-C53A8B1FB83D}"/>
  </w:font>
  <w:font w:name="Geom">
    <w:charset w:val="00"/>
    <w:family w:val="auto"/>
    <w:pitch w:val="default"/>
    <w:embedRegular r:id="rId5" w:fontKey="{D19B0307-65E8-4EDA-B34E-6B17E415EF93}"/>
    <w:embedBold r:id="rId6" w:fontKey="{50079F31-7472-481C-ACEE-3C7371B54484}"/>
  </w:font>
  <w:font w:name="Georgia">
    <w:panose1 w:val="02040502050405020303"/>
    <w:charset w:val="00"/>
    <w:family w:val="roman"/>
    <w:pitch w:val="variable"/>
    <w:sig w:usb0="00000287" w:usb1="00000000" w:usb2="00000000" w:usb3="00000000" w:csb0="0000009F" w:csb1="00000000"/>
    <w:embedItalic r:id="rId7" w:fontKey="{D78A2A1B-4E0C-48A3-85AF-4F03E56B6BF5}"/>
  </w:font>
  <w:font w:name="Verdana">
    <w:panose1 w:val="020B0604030504040204"/>
    <w:charset w:val="00"/>
    <w:family w:val="swiss"/>
    <w:pitch w:val="variable"/>
    <w:sig w:usb0="A00006FF" w:usb1="4000205B" w:usb2="00000010" w:usb3="00000000" w:csb0="0000019F" w:csb1="00000000"/>
    <w:embedRegular r:id="rId8" w:fontKey="{4AD78D74-3EF1-4B61-BD1B-38086EE021F7}"/>
    <w:embedBold r:id="rId9" w:fontKey="{77C9127C-DB80-4F13-ADA7-9583D6193D89}"/>
    <w:embedItalic r:id="rId10" w:fontKey="{CD0032B9-3771-402A-AFFB-33E86A41CC4D}"/>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embedRegular r:id="rId11" w:fontKey="{66E8864E-3FA6-4AAE-8722-241928D3CDF9}"/>
  </w:font>
  <w:font w:name="Cambria">
    <w:panose1 w:val="02040503050406030204"/>
    <w:charset w:val="00"/>
    <w:family w:val="roman"/>
    <w:pitch w:val="variable"/>
    <w:sig w:usb0="E00006FF" w:usb1="420024FF" w:usb2="02000000" w:usb3="00000000" w:csb0="0000019F" w:csb1="00000000"/>
    <w:embedRegular r:id="rId12" w:fontKey="{95D8B88E-650A-4D6F-A743-2D73AA8355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AE3F" w14:textId="77777777" w:rsidR="00865FCE" w:rsidRDefault="00865FCE">
    <w:pPr>
      <w:pBdr>
        <w:top w:val="nil"/>
        <w:left w:val="nil"/>
        <w:bottom w:val="nil"/>
        <w:right w:val="nil"/>
        <w:between w:val="nil"/>
      </w:pBdr>
      <w:tabs>
        <w:tab w:val="center" w:pos="4419"/>
        <w:tab w:val="right" w:pos="8838"/>
      </w:tabs>
      <w:spacing w:after="0" w:line="240" w:lineRule="auto"/>
      <w:rPr>
        <w:color w:val="000000"/>
      </w:rPr>
    </w:pPr>
  </w:p>
  <w:p w14:paraId="7B3B66DF" w14:textId="77777777" w:rsidR="00865FCE" w:rsidRDefault="00F74249">
    <w:pPr>
      <w:pBdr>
        <w:top w:val="single" w:sz="4" w:space="1" w:color="000000"/>
      </w:pBdr>
      <w:spacing w:after="0"/>
      <w:rPr>
        <w:rFonts w:ascii="Verdana" w:eastAsia="Verdana" w:hAnsi="Verdana" w:cs="Verdana"/>
        <w:b/>
        <w:bCs/>
        <w:sz w:val="18"/>
        <w:szCs w:val="18"/>
      </w:rPr>
    </w:pPr>
    <w:r>
      <w:rPr>
        <w:rFonts w:ascii="Verdana" w:eastAsia="Verdana" w:hAnsi="Verdana" w:cs="Verdana"/>
        <w:b/>
        <w:bCs/>
        <w:sz w:val="18"/>
        <w:szCs w:val="18"/>
      </w:rPr>
      <w:t xml:space="preserve">Agencia Nacional de Contratación Pública                                              pág. </w:t>
    </w:r>
    <w:r>
      <w:rPr>
        <w:rFonts w:ascii="Verdana" w:eastAsia="Verdana" w:hAnsi="Verdana" w:cs="Verdana"/>
        <w:b/>
        <w:bCs/>
        <w:sz w:val="16"/>
        <w:szCs w:val="16"/>
      </w:rPr>
      <w:fldChar w:fldCharType="begin"/>
    </w:r>
    <w:r>
      <w:rPr>
        <w:rFonts w:ascii="Verdana" w:eastAsia="Verdana" w:hAnsi="Verdana" w:cs="Verdana"/>
        <w:b/>
        <w:bCs/>
        <w:sz w:val="16"/>
        <w:szCs w:val="16"/>
      </w:rPr>
      <w:instrText>PAGE</w:instrText>
    </w:r>
    <w:r>
      <w:rPr>
        <w:rFonts w:ascii="Verdana" w:eastAsia="Verdana" w:hAnsi="Verdana" w:cs="Verdana"/>
        <w:b/>
        <w:bCs/>
        <w:sz w:val="16"/>
        <w:szCs w:val="16"/>
      </w:rPr>
      <w:fldChar w:fldCharType="separate"/>
    </w:r>
    <w:r w:rsidR="003F1A41">
      <w:rPr>
        <w:rFonts w:ascii="Verdana" w:eastAsia="Verdana" w:hAnsi="Verdana" w:cs="Verdana"/>
        <w:b/>
        <w:bCs/>
        <w:noProof/>
        <w:sz w:val="16"/>
        <w:szCs w:val="16"/>
      </w:rPr>
      <w:t>1</w:t>
    </w:r>
    <w:r>
      <w:rPr>
        <w:rFonts w:ascii="Verdana" w:eastAsia="Verdana" w:hAnsi="Verdana" w:cs="Verdana"/>
        <w:b/>
        <w:bCs/>
        <w:sz w:val="16"/>
        <w:szCs w:val="16"/>
      </w:rPr>
      <w:fldChar w:fldCharType="end"/>
    </w:r>
    <w:r>
      <w:rPr>
        <w:rFonts w:ascii="Verdana" w:eastAsia="Verdana" w:hAnsi="Verdana" w:cs="Verdana"/>
        <w:b/>
        <w:bCs/>
        <w:sz w:val="18"/>
        <w:szCs w:val="18"/>
      </w:rPr>
      <w:t xml:space="preserve">              Colombia Compra Eficiente                                                            </w:t>
    </w:r>
  </w:p>
  <w:p w14:paraId="30E67DDC" w14:textId="77777777" w:rsidR="00865FCE" w:rsidRDefault="00F74249">
    <w:pPr>
      <w:spacing w:after="0"/>
      <w:jc w:val="both"/>
      <w:rPr>
        <w:rFonts w:ascii="Verdana" w:eastAsia="Verdana" w:hAnsi="Verdana" w:cs="Verdana"/>
        <w:sz w:val="18"/>
        <w:szCs w:val="18"/>
      </w:rPr>
    </w:pPr>
    <w:r>
      <w:rPr>
        <w:rFonts w:ascii="Verdana" w:eastAsia="Verdana" w:hAnsi="Verdana" w:cs="Verdana"/>
        <w:sz w:val="18"/>
        <w:szCs w:val="18"/>
      </w:rPr>
      <w:t>Dirección: Carrera 7 # 26 – 20 - Bogotá, Colombia</w:t>
    </w:r>
  </w:p>
  <w:p w14:paraId="15773CB6" w14:textId="77777777" w:rsidR="00865FCE" w:rsidRDefault="00F74249">
    <w:pPr>
      <w:spacing w:after="0"/>
      <w:jc w:val="both"/>
      <w:rPr>
        <w:rFonts w:ascii="Verdana" w:eastAsia="Verdana" w:hAnsi="Verdana" w:cs="Verdana"/>
        <w:sz w:val="18"/>
        <w:szCs w:val="18"/>
      </w:rPr>
    </w:pPr>
    <w:r>
      <w:rPr>
        <w:rFonts w:ascii="Verdana" w:eastAsia="Verdana" w:hAnsi="Verdana" w:cs="Verdana"/>
        <w:sz w:val="18"/>
        <w:szCs w:val="18"/>
      </w:rPr>
      <w:t>Mesa de servicio: (+57) 601 7456788</w:t>
    </w:r>
  </w:p>
  <w:p w14:paraId="1A60D927" w14:textId="77777777" w:rsidR="00865FCE" w:rsidRDefault="00F74249">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rPr>
    </w:pPr>
    <w:r>
      <w:rPr>
        <w:rFonts w:ascii="Verdana" w:eastAsia="Verdana" w:hAnsi="Verdana" w:cs="Verdana"/>
        <w:b/>
        <w:bCs/>
        <w:color w:val="000000"/>
        <w:sz w:val="18"/>
        <w:szCs w:val="18"/>
      </w:rPr>
      <w:t xml:space="preserve">Código: </w:t>
    </w:r>
    <w:r>
      <w:rPr>
        <w:rFonts w:ascii="Verdana" w:eastAsia="Verdana" w:hAnsi="Verdana" w:cs="Verdana"/>
        <w:color w:val="000000"/>
        <w:sz w:val="18"/>
        <w:szCs w:val="18"/>
      </w:rPr>
      <w:t xml:space="preserve">CCE-REC-FM-17 </w:t>
    </w:r>
    <w:r>
      <w:rPr>
        <w:rFonts w:ascii="Verdana" w:eastAsia="Verdana" w:hAnsi="Verdana" w:cs="Verdana"/>
        <w:b/>
        <w:bCs/>
        <w:color w:val="000000"/>
        <w:sz w:val="18"/>
        <w:szCs w:val="18"/>
      </w:rPr>
      <w:t xml:space="preserve">V: </w:t>
    </w:r>
    <w:r>
      <w:rPr>
        <w:rFonts w:ascii="Verdana" w:eastAsia="Verdana" w:hAnsi="Verdana" w:cs="Verdana"/>
        <w:sz w:val="18"/>
        <w:szCs w:val="18"/>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C254" w14:textId="77777777" w:rsidR="00FD293A" w:rsidRDefault="00FD293A">
      <w:pPr>
        <w:spacing w:after="0" w:line="240" w:lineRule="auto"/>
      </w:pPr>
      <w:r>
        <w:separator/>
      </w:r>
    </w:p>
  </w:footnote>
  <w:footnote w:type="continuationSeparator" w:id="0">
    <w:p w14:paraId="4CAAE389" w14:textId="77777777" w:rsidR="00FD293A" w:rsidRDefault="00FD293A">
      <w:pPr>
        <w:spacing w:after="0" w:line="240" w:lineRule="auto"/>
      </w:pPr>
      <w:r>
        <w:continuationSeparator/>
      </w:r>
    </w:p>
  </w:footnote>
  <w:footnote w:id="1">
    <w:p w14:paraId="2A029536"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Decreto 1068 de 2015: “Artículo 2.8.4.4.5. Condiciones para contratar la prestación de servicios. Los contratos de prestación de servicios con personas naturales o jurídicas, sólo se podrán celebrar cuando no exista personal de planta con capacidad para realizar las actividades que se contratarán. </w:t>
      </w:r>
    </w:p>
    <w:p w14:paraId="402305CB"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 xml:space="preserve">Se entiende que no existe personal de planta en el respectivo organismo, entidad, ente público o persona jurídica, es imposible atender la actividad con personal de planta, porque de acuerdo con los manuales específicos, no existe personal que pueda desarrollar la actividad para la cual se requiere contratar la prestación del servicio, o cuando el desarrollo de la actividad requiere un grado de especialización que implica la contratación del servicio, o cuando aun existiendo personal en la planta, éste no sea suficiente, la inexistencia de personal suficiente deberá acreditarse por el jefe del respectivo organismo. </w:t>
      </w:r>
    </w:p>
    <w:p w14:paraId="1AA21A09"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eastAsia="Verdana" w:hAnsi="Verdana" w:cs="Arial"/>
          <w:color w:val="000000"/>
          <w:sz w:val="16"/>
          <w:szCs w:val="16"/>
        </w:rPr>
        <w:t>Tampoco se podrán 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w:t>
      </w:r>
    </w:p>
    <w:p w14:paraId="57CD8437"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p>
  </w:footnote>
  <w:footnote w:id="2">
    <w:p w14:paraId="02560D9F"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w:t>
      </w:r>
    </w:p>
    <w:p w14:paraId="3A5545DC"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2. Quien presta el servicio se denomina trabajador, quien lo recibe y remunera, empleador, y la remuneración, cualquiera que sea su forma, salario”.</w:t>
      </w:r>
    </w:p>
  </w:footnote>
  <w:footnote w:id="3">
    <w:p w14:paraId="7465CC22"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Ibíd.</w:t>
      </w:r>
    </w:p>
    <w:p w14:paraId="00552293"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p>
  </w:footnote>
  <w:footnote w:id="4">
    <w:p w14:paraId="5D1C1C5F"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1A79407B"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38AB79FD"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La Entidad Estatal, para la contratación de trabajos artísticos que solamente puedan en­comendarse a determinadas personas naturales, debe justificar esta situación en los estudios y documentos previos”.</w:t>
      </w:r>
    </w:p>
  </w:footnote>
  <w:footnote w:id="5">
    <w:p w14:paraId="2573A771"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Consejo de Estado. Sección Tercera. Subsección C. Sentencia del 2 de diciembre de 2013. Exp. 41719. Consejero Ponente: Jaime Orlando Santofimio Gamboa.</w:t>
      </w:r>
    </w:p>
  </w:footnote>
  <w:footnote w:id="6">
    <w:p w14:paraId="60EB6D4B"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Pr>
          <w:rFonts w:ascii="Verdana" w:eastAsia="Verdana" w:hAnsi="Verdana" w:cs="Arial"/>
          <w:color w:val="000000"/>
          <w:sz w:val="16"/>
          <w:szCs w:val="16"/>
        </w:rPr>
        <w:t xml:space="preserve"> </w:t>
      </w:r>
      <w:r w:rsidRPr="00EF359E">
        <w:rPr>
          <w:rFonts w:ascii="Verdana" w:eastAsia="Verdana" w:hAnsi="Verdana" w:cs="Arial"/>
          <w:color w:val="000000"/>
          <w:sz w:val="16"/>
          <w:szCs w:val="16"/>
        </w:rPr>
        <w:t xml:space="preserve"> Ibíd.</w:t>
      </w:r>
    </w:p>
  </w:footnote>
  <w:footnote w:id="7">
    <w:p w14:paraId="42CCCEE1"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Ibíd.</w:t>
      </w:r>
    </w:p>
  </w:footnote>
  <w:footnote w:id="8">
    <w:p w14:paraId="46297883"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p>
    <w:p w14:paraId="40010D36"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 xml:space="preserve"> 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03649F5F"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Son también contratos de consultoría los que tienen por objeto la interventoría, asesoría, gerencia de obra o de proyectos, dirección, programación y la ejecución de diseños, planos, anteproyectos y proyectos.</w:t>
      </w:r>
    </w:p>
    <w:p w14:paraId="4642AF51"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 xml:space="preserve">Ninguna orden del interventor de una obra podrá darse verbalmente. Es obligatorio para el interventor entregar por escrito sus órdenes o sugerencias y ellas deben enmarcarse dentro de los términos del respectivo contrato”. </w:t>
      </w:r>
    </w:p>
  </w:footnote>
  <w:footnote w:id="9">
    <w:p w14:paraId="074C8BEC"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Así lo prevé el artículo 2.2.1.2.1.4.1. del Decreto 1082 de 2015: “La Entidad Estatal debe señalar en un acto administrativo la justificación para contratar bajo la modalidad de contratación directa, el cual debe contener:</w:t>
      </w:r>
    </w:p>
    <w:p w14:paraId="1EA099E1"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1. La causal que invoca para contratar directamente.</w:t>
      </w:r>
    </w:p>
    <w:p w14:paraId="123C089C"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2. El objeto del contrato.</w:t>
      </w:r>
    </w:p>
    <w:p w14:paraId="2423012B"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3. El presupuesto para la contratación y las condiciones que exigirá al contratista.</w:t>
      </w:r>
    </w:p>
    <w:p w14:paraId="6DF0A6CF"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4. El lugar en el cual los interesados pueden consultar los estudios y documentos previos.</w:t>
      </w:r>
    </w:p>
    <w:p w14:paraId="443C4B62"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Este acto administrativo no es necesario cuando el contrato a celebrar es de prestación de servicios profesionales y de apoyo a la gestión, y para los contratos de que tratan los literales (a) y (b) del artículo 2.2.1.2.1.4.3 del presente decreto.</w:t>
      </w:r>
    </w:p>
  </w:footnote>
  <w:footnote w:id="10">
    <w:p w14:paraId="5824D5ED"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Esta norma expresa: “Para el cumplimiento de los fines de la contratación, las entidades estatales al celebrar un contrato:</w:t>
      </w:r>
    </w:p>
    <w:p w14:paraId="182FD172"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w:t>
      </w:r>
    </w:p>
    <w:p w14:paraId="7D82CEEA"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1E48D24F"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Las entidades estatales podrán pactar estas cláusulas en los contratos de suministro y de prestación de servicios.</w:t>
      </w:r>
    </w:p>
    <w:p w14:paraId="6AB8D85E"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w:t>
      </w:r>
    </w:p>
  </w:footnote>
  <w:footnote w:id="11">
    <w:p w14:paraId="50518CC7"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La norma dispone: “La liquidación a que se refiere el presente artículo no será obligatoria en los contratos de prestación de servicios profesionales y de apoyo a la gestión”.</w:t>
      </w:r>
    </w:p>
  </w:footnote>
  <w:footnote w:id="12">
    <w:p w14:paraId="63928715"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075513D6"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eastAsia="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footnote>
  <w:footnote w:id="13">
    <w:p w14:paraId="65E6BF19"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603E116D" w14:textId="77777777" w:rsidR="004E6FE2" w:rsidRPr="00EF359E" w:rsidRDefault="004E6FE2" w:rsidP="004E6FE2">
      <w:pPr>
        <w:pBdr>
          <w:top w:val="nil"/>
          <w:left w:val="nil"/>
          <w:bottom w:val="nil"/>
          <w:right w:val="nil"/>
          <w:between w:val="nil"/>
        </w:pBdr>
        <w:spacing w:after="0" w:line="240" w:lineRule="auto"/>
        <w:ind w:firstLine="709"/>
        <w:jc w:val="both"/>
        <w:rPr>
          <w:rFonts w:ascii="Verdana" w:eastAsia="Verdana" w:hAnsi="Verdana" w:cs="Arial"/>
          <w:color w:val="000000"/>
          <w:sz w:val="16"/>
          <w:szCs w:val="16"/>
        </w:rPr>
      </w:pPr>
    </w:p>
  </w:footnote>
  <w:footnote w:id="14">
    <w:p w14:paraId="482F594A"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Esta norma prescribe que “Para que una persona se obligue a otra por un acto o declaración de voluntad, es necesario:1o.) que sea legalmente capaz;</w:t>
      </w:r>
      <w:r w:rsidRPr="00EF359E">
        <w:rPr>
          <w:rFonts w:ascii="Verdana" w:eastAsia="Verdana" w:hAnsi="Verdana" w:cs="Arial"/>
          <w:sz w:val="16"/>
          <w:szCs w:val="16"/>
        </w:rPr>
        <w:t xml:space="preserve"> </w:t>
      </w:r>
      <w:r w:rsidRPr="00EF359E">
        <w:rPr>
          <w:rFonts w:ascii="Verdana" w:eastAsia="Verdana" w:hAnsi="Verdana" w:cs="Arial"/>
          <w:color w:val="000000"/>
          <w:sz w:val="16"/>
          <w:szCs w:val="16"/>
        </w:rPr>
        <w:t>2o.) que consienta en dicho acto o declaración y su consentimiento no adolezca de vicio;</w:t>
      </w:r>
      <w:r w:rsidRPr="00EF359E">
        <w:rPr>
          <w:rFonts w:ascii="Verdana" w:eastAsia="Verdana" w:hAnsi="Verdana" w:cs="Arial"/>
          <w:sz w:val="16"/>
          <w:szCs w:val="16"/>
        </w:rPr>
        <w:t xml:space="preserve"> </w:t>
      </w:r>
      <w:r w:rsidRPr="00EF359E">
        <w:rPr>
          <w:rFonts w:ascii="Verdana" w:eastAsia="Verdana" w:hAnsi="Verdana" w:cs="Arial"/>
          <w:color w:val="000000"/>
          <w:sz w:val="16"/>
          <w:szCs w:val="16"/>
        </w:rPr>
        <w:t>3o.) que recaiga sobre un objeto lícito;</w:t>
      </w:r>
      <w:r w:rsidRPr="00EF359E">
        <w:rPr>
          <w:rFonts w:ascii="Verdana" w:eastAsia="Verdana" w:hAnsi="Verdana" w:cs="Arial"/>
          <w:sz w:val="16"/>
          <w:szCs w:val="16"/>
        </w:rPr>
        <w:t xml:space="preserve"> </w:t>
      </w:r>
      <w:r w:rsidRPr="00EF359E">
        <w:rPr>
          <w:rFonts w:ascii="Verdana" w:eastAsia="Verdana" w:hAnsi="Verdana" w:cs="Arial"/>
          <w:color w:val="000000"/>
          <w:sz w:val="16"/>
          <w:szCs w:val="16"/>
        </w:rPr>
        <w:t>4o.) que tenga una causa lícita.</w:t>
      </w:r>
    </w:p>
    <w:p w14:paraId="5B814BCA"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eastAsia="Verdana" w:hAnsi="Verdana" w:cs="Arial"/>
          <w:color w:val="000000"/>
          <w:sz w:val="16"/>
          <w:szCs w:val="16"/>
        </w:rPr>
        <w:t>La capacidad legal de una persona consiste en poderse obligar por sí misma, y sin el ministerio o la autorización de otra”.</w:t>
      </w:r>
    </w:p>
  </w:footnote>
  <w:footnote w:id="15">
    <w:p w14:paraId="0A457168"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Para el Consejo de Estado “[…] 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intervenir en el iter contractual” (CONSEJO DE ESTADO. Sección Tercera. Sentencia del 26 de enero de 2011. Rad. 36.408. C.P. Jaime Orlando Santofimio Gamboa).</w:t>
      </w:r>
    </w:p>
  </w:footnote>
  <w:footnote w:id="16">
    <w:p w14:paraId="251C6146"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La Agencia Nacional de Contratación Pública ‒ Colombia Compra Eficiente</w:t>
      </w:r>
      <w:r>
        <w:rPr>
          <w:rFonts w:ascii="Verdana" w:eastAsia="Verdana" w:hAnsi="Verdana" w:cs="Arial"/>
          <w:color w:val="000000"/>
          <w:sz w:val="16"/>
          <w:szCs w:val="16"/>
        </w:rPr>
        <w:t>–</w:t>
      </w:r>
      <w:r w:rsidRPr="00EF359E">
        <w:rPr>
          <w:rFonts w:ascii="Verdana" w:eastAsia="Verdana" w:hAnsi="Verdana" w:cs="Arial"/>
          <w:color w:val="000000"/>
          <w:sz w:val="16"/>
          <w:szCs w:val="16"/>
        </w:rPr>
        <w:t xml:space="preserv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EF359E">
        <w:rPr>
          <w:rFonts w:ascii="Verdana" w:eastAsia="Verdana" w:hAnsi="Verdana" w:cs="Arial"/>
          <w:i/>
          <w:iCs/>
          <w:color w:val="000000"/>
          <w:sz w:val="16"/>
          <w:szCs w:val="16"/>
        </w:rPr>
        <w:t xml:space="preserve">ibidem </w:t>
      </w:r>
      <w:r w:rsidRPr="00EF359E">
        <w:rPr>
          <w:rFonts w:ascii="Verdana" w:eastAsia="Verdana" w:hAnsi="Verdana" w:cs="Arial"/>
          <w:color w:val="000000"/>
          <w:sz w:val="16"/>
          <w:szCs w:val="16"/>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p w14:paraId="4CCC80A3"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p>
  </w:footnote>
  <w:footnote w:id="17">
    <w:p w14:paraId="5C6FCE9F"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hAnsi="Verdana" w:cs="Arial"/>
          <w:color w:val="000000"/>
          <w:sz w:val="16"/>
          <w:szCs w:val="16"/>
        </w:rPr>
      </w:pPr>
      <w:r w:rsidRPr="00D85E50">
        <w:rPr>
          <w:rFonts w:ascii="Verdana" w:hAnsi="Verdana" w:cs="Arial"/>
          <w:sz w:val="16"/>
          <w:szCs w:val="16"/>
          <w:vertAlign w:val="superscript"/>
        </w:rPr>
        <w:footnoteRef/>
      </w:r>
      <w:r w:rsidRPr="00D85E50">
        <w:rPr>
          <w:rFonts w:ascii="Verdana" w:eastAsia="Verdana" w:hAnsi="Verdana" w:cs="Arial"/>
          <w:sz w:val="16"/>
          <w:szCs w:val="16"/>
        </w:rPr>
        <w:t xml:space="preserve"> Un ejemplo de ello, son los migrantes venezolanos que en el artículo 2.2.6.8.3.1. del Decreto 1072 de 2015 </w:t>
      </w:r>
      <w:r w:rsidRPr="00D85E50">
        <w:rPr>
          <w:rFonts w:ascii="Verdana" w:eastAsia="Verdana" w:hAnsi="Verdana" w:cs="Arial"/>
          <w:color w:val="000000"/>
          <w:sz w:val="16"/>
          <w:szCs w:val="16"/>
        </w:rPr>
        <w:t>“Por medio del cual se expide el Decreto Único Reglamentario del Sector Trabajo”,</w:t>
      </w:r>
      <w:r w:rsidRPr="00D85E50">
        <w:rPr>
          <w:rFonts w:ascii="Verdana" w:eastAsia="Verdana" w:hAnsi="Verdana" w:cs="Arial"/>
          <w:b/>
          <w:bCs/>
          <w:color w:val="000000"/>
          <w:sz w:val="16"/>
          <w:szCs w:val="16"/>
        </w:rPr>
        <w:t xml:space="preserve"> </w:t>
      </w:r>
      <w:r w:rsidRPr="00D85E50">
        <w:rPr>
          <w:rFonts w:ascii="Verdana" w:eastAsia="Verdana" w:hAnsi="Verdana" w:cs="Arial"/>
          <w:color w:val="000000"/>
          <w:sz w:val="16"/>
          <w:szCs w:val="16"/>
        </w:rPr>
        <w:t xml:space="preserve">que crea un Permiso Especial de Permanencia para el Fomento de la Formalización –PEPFF-, el cual es un mecanismo excepcional y transitorio dirigido a facilitar la regularidad migratoria de los migrantes venezolanos en Colombia, ya sea para suscribir contratos laborales o contratos de prestación de servicios. </w:t>
      </w:r>
      <w:r w:rsidRPr="00D85E50">
        <w:rPr>
          <w:rFonts w:ascii="Verdana" w:eastAsia="Verdana" w:hAnsi="Verdana" w:cs="Arial"/>
          <w:sz w:val="16"/>
          <w:szCs w:val="16"/>
        </w:rPr>
        <w:t>Artículo 2.2.6.8.3.1. </w:t>
      </w:r>
      <w:r w:rsidRPr="00D85E50">
        <w:rPr>
          <w:rFonts w:ascii="Verdana" w:eastAsia="Verdana" w:hAnsi="Verdana" w:cs="Arial"/>
          <w:i/>
          <w:iCs/>
          <w:sz w:val="16"/>
          <w:szCs w:val="16"/>
        </w:rPr>
        <w:t>Permiso Especial de Permanencia para el Fomento de la Formalización (PEPFF)</w:t>
      </w:r>
      <w:r w:rsidRPr="00D85E50">
        <w:rPr>
          <w:rFonts w:ascii="Verdana" w:eastAsia="Verdana" w:hAnsi="Verdana" w:cs="Arial"/>
          <w:sz w:val="16"/>
          <w:szCs w:val="16"/>
        </w:rPr>
        <w:t>. Créase el Permiso Especial de Permanencia para el Fomento de la Formalización (PEPFF) como un mecanismo excepcional y transitorio dirigido a facilitar la regularidad migratoria de los nacionales venezolanos en territorio colombiano, mediante el acceso, de manera alternativa según corresponda en cada caso, a contratos laborales o a contratos de prestación de servicios. </w:t>
      </w:r>
    </w:p>
  </w:footnote>
  <w:footnote w:id="18">
    <w:p w14:paraId="485688B2" w14:textId="77777777" w:rsidR="004E6FE2" w:rsidRPr="00EF359E" w:rsidRDefault="004E6FE2" w:rsidP="004E6FE2">
      <w:pPr>
        <w:pBdr>
          <w:top w:val="nil"/>
          <w:left w:val="nil"/>
          <w:bottom w:val="nil"/>
          <w:right w:val="nil"/>
          <w:between w:val="nil"/>
        </w:pBdr>
        <w:spacing w:after="0" w:line="240" w:lineRule="auto"/>
        <w:ind w:left="708"/>
        <w:rPr>
          <w:rFonts w:ascii="Verdana" w:hAnsi="Verdana" w:cs="Arial"/>
          <w:color w:val="000000"/>
          <w:sz w:val="16"/>
          <w:szCs w:val="16"/>
        </w:rPr>
      </w:pPr>
      <w:r w:rsidRPr="00EF359E">
        <w:rPr>
          <w:rFonts w:ascii="Verdana" w:hAnsi="Verdana" w:cs="Arial"/>
          <w:sz w:val="16"/>
          <w:szCs w:val="16"/>
          <w:vertAlign w:val="superscript"/>
        </w:rPr>
        <w:footnoteRef/>
      </w:r>
      <w:r w:rsidRPr="00EF359E">
        <w:rPr>
          <w:rFonts w:ascii="Verdana" w:hAnsi="Verdana" w:cs="Arial"/>
          <w:color w:val="000000"/>
          <w:sz w:val="16"/>
          <w:szCs w:val="16"/>
        </w:rPr>
        <w:t xml:space="preserve"> Corte Constitucional. Sentencia C- 489 de 1996. M.P. Antonio Barrera Carbonell. </w:t>
      </w:r>
      <w:r w:rsidRPr="00EF359E">
        <w:rPr>
          <w:rFonts w:ascii="Verdana" w:eastAsia="Verdana" w:hAnsi="Verdana" w:cs="Arial"/>
          <w:color w:val="000000"/>
          <w:sz w:val="16"/>
          <w:szCs w:val="16"/>
        </w:rPr>
        <w:t>Ver también  Sentencia C-1016 de 2012.</w:t>
      </w:r>
    </w:p>
  </w:footnote>
  <w:footnote w:id="19">
    <w:p w14:paraId="3AC6F3D3"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Corte Constitucional. Sentencia C-181 de 1997. M.P. Fabio Morón Díaz. Ver también las Sentencias C-540 de 2001, C-893 de 2003 y C-903 de 2008, entre otras.</w:t>
      </w:r>
    </w:p>
  </w:footnote>
  <w:footnote w:id="20">
    <w:p w14:paraId="7D84B359" w14:textId="77777777" w:rsidR="004E6FE2" w:rsidRPr="00EF359E" w:rsidRDefault="004E6FE2" w:rsidP="004E6FE2">
      <w:pPr>
        <w:spacing w:after="0" w:line="240" w:lineRule="auto"/>
        <w:ind w:firstLine="708"/>
        <w:rPr>
          <w:rFonts w:ascii="Verdana" w:hAnsi="Verdana" w:cs="Arial"/>
          <w:sz w:val="16"/>
          <w:szCs w:val="16"/>
        </w:rPr>
      </w:pPr>
      <w:r w:rsidRPr="00EF359E">
        <w:rPr>
          <w:rFonts w:ascii="Verdana" w:hAnsi="Verdana" w:cs="Arial"/>
          <w:sz w:val="16"/>
          <w:szCs w:val="16"/>
          <w:vertAlign w:val="superscript"/>
        </w:rPr>
        <w:footnoteRef/>
      </w:r>
      <w:r w:rsidRPr="00EF359E">
        <w:rPr>
          <w:rFonts w:ascii="Verdana" w:hAnsi="Verdana" w:cs="Arial"/>
          <w:sz w:val="16"/>
          <w:szCs w:val="16"/>
        </w:rPr>
        <w:t xml:space="preserve"> </w:t>
      </w:r>
      <w:r w:rsidRPr="00EF359E">
        <w:rPr>
          <w:rFonts w:ascii="Verdana" w:eastAsia="Verdana" w:hAnsi="Verdana" w:cs="Arial"/>
          <w:sz w:val="16"/>
          <w:szCs w:val="16"/>
        </w:rPr>
        <w:t xml:space="preserve">Consejo de Estado. Sección Tercera. Subsección A. Sentencia del 13 de noviembre de 2013. Rad. 25.646. C.P. Mauricio Fajardo Gómez. </w:t>
      </w:r>
    </w:p>
  </w:footnote>
  <w:footnote w:id="21">
    <w:p w14:paraId="66E16B65"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sz w:val="16"/>
          <w:szCs w:val="16"/>
        </w:rPr>
        <w:t xml:space="preserve"> Corte Constitucional. Sentencia C-780 de 2001. M.P. Jaime Córdoba Triviño. A manera de ejemplo, en materia contractual, los literales c), d) y j) del numeral 1 del artículo 8 de la Ley 80 de 1993 establecen inhabilidades-sanción, 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w:t>
      </w:r>
    </w:p>
  </w:footnote>
  <w:footnote w:id="22">
    <w:p w14:paraId="70E1EA83"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w:t>
      </w:r>
      <w:r w:rsidRPr="00EF359E">
        <w:rPr>
          <w:rFonts w:ascii="Verdana" w:eastAsia="Verdana" w:hAnsi="Verdana" w:cs="Arial"/>
          <w:sz w:val="16"/>
          <w:szCs w:val="16"/>
        </w:rPr>
        <w:t xml:space="preserve"> Corte Constitucional. Sentencia C-415 de 1994. M.P. Eduardo Cifuentes Muñoz. </w:t>
      </w:r>
    </w:p>
  </w:footnote>
  <w:footnote w:id="23">
    <w:p w14:paraId="25EEA837"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Consejo de Estado. Sala de Consulta y Servicio Civil. Concepto del 30 de abril de 2015. Exp. 2251. C.P. Álvaro Namén Vargas.</w:t>
      </w:r>
    </w:p>
  </w:footnote>
  <w:footnote w:id="24">
    <w:p w14:paraId="4FB80CF0" w14:textId="77777777" w:rsidR="004E6FE2" w:rsidRPr="00EF359E" w:rsidRDefault="004E6FE2" w:rsidP="004E6FE2">
      <w:pPr>
        <w:widowControl w:val="0"/>
        <w:spacing w:after="0" w:line="240" w:lineRule="auto"/>
        <w:ind w:firstLine="708"/>
        <w:jc w:val="both"/>
        <w:rPr>
          <w:rFonts w:ascii="Verdana" w:eastAsia="Verdana" w:hAnsi="Verdana" w:cs="Arial"/>
          <w:sz w:val="16"/>
          <w:szCs w:val="16"/>
        </w:rPr>
      </w:pPr>
      <w:r w:rsidRPr="00EF359E">
        <w:rPr>
          <w:rFonts w:ascii="Verdana" w:hAnsi="Verdana" w:cs="Arial"/>
          <w:sz w:val="16"/>
          <w:szCs w:val="16"/>
          <w:vertAlign w:val="superscript"/>
        </w:rPr>
        <w:footnoteRef/>
      </w:r>
      <w:r w:rsidRPr="00EF359E">
        <w:rPr>
          <w:rFonts w:ascii="Verdana" w:eastAsia="Verdana" w:hAnsi="Verdana" w:cs="Arial"/>
          <w:sz w:val="16"/>
          <w:szCs w:val="16"/>
        </w:rPr>
        <w:t xml:space="preserve">  Ley 789 de 2002: “Artículo 50. Control a la evasión de los recursos parafiscales. La celebración, renovación o liquidación por parte de un particular, de contratos de cualquier naturaleza con Entidades del sector público, requerirá para el efecto, del cumplimiento por parte del contratista de sus obligaciones con los sistemas de salud, riesgos profesionales, pensiones y aportes a las Cajas de Compensación Familiar, Instituto Colombiano de Bienestar Familiar y Servicio Nacional de Aprendizaje, cuando a ello haya lugar. Las Entidades públicas en el momento de liquidar los contratos deberán verificar y dejar constancia del cumplimiento de las obligaciones del contratista frente a los aportes mencionados durante toda su vigencia, estableciendo una correcta relación entre el monto cancelado y las sumas que debieron haber sido cotizadas.</w:t>
      </w:r>
    </w:p>
    <w:p w14:paraId="62D52D8D" w14:textId="77777777" w:rsidR="004E6FE2" w:rsidRPr="00EF359E" w:rsidRDefault="004E6FE2" w:rsidP="004E6FE2">
      <w:pPr>
        <w:widowControl w:val="0"/>
        <w:spacing w:after="0" w:line="240" w:lineRule="auto"/>
        <w:ind w:firstLine="708"/>
        <w:jc w:val="both"/>
        <w:rPr>
          <w:rFonts w:ascii="Verdana" w:eastAsia="Verdana" w:hAnsi="Verdana" w:cs="Arial"/>
          <w:sz w:val="16"/>
          <w:szCs w:val="16"/>
        </w:rPr>
      </w:pPr>
      <w:r w:rsidRPr="00EF359E">
        <w:rPr>
          <w:rFonts w:ascii="Verdana" w:eastAsia="Verdana" w:hAnsi="Verdana" w:cs="Arial"/>
          <w:sz w:val="16"/>
          <w:szCs w:val="16"/>
        </w:rPr>
        <w:t>En el evento en que no se hubieran realizado totalmente los aportes correspondientes, la Entidad pública deberá retener las sumas adeudadas al sistema en el momento de la liquidación y efectuará el giro directo de dichos recursos a los correspondientes sistemas con prioridad a los regímenes de salud y pensiones, conforme lo define el reglamento.</w:t>
      </w:r>
    </w:p>
    <w:p w14:paraId="27415650" w14:textId="77777777" w:rsidR="004E6FE2" w:rsidRPr="00167C9D" w:rsidRDefault="004E6FE2" w:rsidP="004E6FE2">
      <w:pPr>
        <w:widowControl w:val="0"/>
        <w:spacing w:after="0" w:line="240" w:lineRule="auto"/>
        <w:ind w:firstLine="708"/>
        <w:jc w:val="both"/>
        <w:rPr>
          <w:rFonts w:ascii="Verdana" w:eastAsia="Verdana" w:hAnsi="Verdana" w:cs="Arial"/>
          <w:sz w:val="16"/>
          <w:szCs w:val="16"/>
        </w:rPr>
      </w:pPr>
      <w:r w:rsidRPr="00EF359E">
        <w:rPr>
          <w:rFonts w:ascii="Verdana" w:eastAsia="Verdana" w:hAnsi="Verdana" w:cs="Arial"/>
          <w:sz w:val="16"/>
          <w:szCs w:val="16"/>
        </w:rPr>
        <w:t>Cuando la contratación se realice con personas jurídicas, se deberá acreditar el pago de los aportes de sus empleados, a los sistemas mencionados mediante certificación expedida por el revisor fiscal, cuando este exista de acuerdo con los requerimientos de ley, o por el representante legal durante un lapso equivalente al que exija el respectivo régimen de contratación para que se hubiera constituido la sociedad, el cual en todo caso no será inferior a los seis (6) meses anteriores a la celebración del contrato. En el evento en que la sociedad no tenga más de seis (6) meses de constituida, deberá acreditar los pagos a partir de la fecha de su constitución”.</w:t>
      </w:r>
    </w:p>
    <w:p w14:paraId="1098F79C"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eastAsia="Verdana" w:hAnsi="Verdana" w:cs="Arial"/>
          <w:color w:val="000000"/>
          <w:sz w:val="16"/>
          <w:szCs w:val="16"/>
        </w:rPr>
        <w:t>Para la presentación de ofertas por parte de personas jurídicas será indispensable acreditar el requisito señalado anteriormente. El funcionario que no deje constancia de la verificación del cumplimiento de este requisito incurrirá en causal de mala conducta […]”</w:t>
      </w:r>
    </w:p>
  </w:footnote>
  <w:footnote w:id="25">
    <w:p w14:paraId="575FC628" w14:textId="77777777" w:rsidR="004E6FE2" w:rsidRPr="00EF359E" w:rsidRDefault="004E6FE2" w:rsidP="004E6FE2">
      <w:pPr>
        <w:pBdr>
          <w:top w:val="nil"/>
          <w:left w:val="nil"/>
          <w:bottom w:val="nil"/>
          <w:right w:val="nil"/>
          <w:between w:val="nil"/>
        </w:pBdr>
        <w:spacing w:after="0" w:line="240" w:lineRule="auto"/>
        <w:ind w:firstLine="708"/>
        <w:jc w:val="both"/>
        <w:rPr>
          <w:rFonts w:ascii="Verdana" w:eastAsia="Verdana" w:hAnsi="Verdana" w:cs="Arial"/>
          <w:color w:val="000000"/>
          <w:sz w:val="16"/>
          <w:szCs w:val="16"/>
        </w:rPr>
      </w:pPr>
      <w:r w:rsidRPr="00EF359E">
        <w:rPr>
          <w:rFonts w:ascii="Verdana" w:hAnsi="Verdana" w:cs="Arial"/>
          <w:sz w:val="16"/>
          <w:szCs w:val="16"/>
          <w:vertAlign w:val="superscript"/>
        </w:rPr>
        <w:footnoteRef/>
      </w:r>
      <w:r w:rsidRPr="00EF359E">
        <w:rPr>
          <w:rFonts w:ascii="Verdana" w:eastAsia="Verdana" w:hAnsi="Verdana" w:cs="Arial"/>
          <w:color w:val="000000"/>
          <w:sz w:val="16"/>
          <w:szCs w:val="16"/>
        </w:rPr>
        <w:t xml:space="preserve"> Consejo de Estado. Sección Tercera. Subsección C. Sentencia del 8 de junio de 2011. Exp. 20001-23-31-000-2005-00409-01(AP), C.P. Enrique Gil Botero.</w:t>
      </w:r>
    </w:p>
  </w:footnote>
  <w:footnote w:id="26">
    <w:p w14:paraId="1041C600" w14:textId="77777777" w:rsidR="004E6FE2" w:rsidRPr="00167C9D" w:rsidRDefault="004E6FE2" w:rsidP="004E6FE2">
      <w:pPr>
        <w:spacing w:after="0" w:line="240" w:lineRule="auto"/>
        <w:ind w:firstLine="708"/>
        <w:jc w:val="both"/>
        <w:rPr>
          <w:rFonts w:ascii="Verdana" w:eastAsia="Arial" w:hAnsi="Verdana" w:cs="Arial"/>
          <w:sz w:val="16"/>
          <w:szCs w:val="16"/>
        </w:rPr>
      </w:pPr>
      <w:r w:rsidRPr="00167C9D">
        <w:rPr>
          <w:rFonts w:ascii="Verdana" w:hAnsi="Verdana" w:cs="Arial"/>
          <w:sz w:val="16"/>
          <w:szCs w:val="16"/>
          <w:vertAlign w:val="superscript"/>
        </w:rPr>
        <w:footnoteRef/>
      </w:r>
      <w:r w:rsidRPr="00167C9D">
        <w:rPr>
          <w:rFonts w:ascii="Verdana" w:hAnsi="Verdana" w:cs="Arial"/>
          <w:sz w:val="16"/>
          <w:szCs w:val="16"/>
        </w:rPr>
        <w:t xml:space="preserve"> </w:t>
      </w:r>
      <w:r w:rsidRPr="00167C9D">
        <w:rPr>
          <w:rFonts w:ascii="Verdana" w:eastAsia="Arial" w:hAnsi="Verdana" w:cs="Arial"/>
          <w:sz w:val="16"/>
          <w:szCs w:val="16"/>
        </w:rPr>
        <w:t>“</w:t>
      </w:r>
      <w:r w:rsidRPr="00167C9D">
        <w:rPr>
          <w:rFonts w:ascii="Verdana" w:eastAsia="Verdana" w:hAnsi="Verdana" w:cs="Arial"/>
          <w:sz w:val="16"/>
          <w:szCs w:val="16"/>
        </w:rPr>
        <w:t xml:space="preserve">[…] </w:t>
      </w:r>
      <w:r w:rsidRPr="00167C9D">
        <w:rPr>
          <w:rFonts w:ascii="Verdana" w:eastAsia="Arial" w:hAnsi="Verdana" w:cs="Arial"/>
          <w:sz w:val="16"/>
          <w:szCs w:val="16"/>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46559CD5" w14:textId="77777777" w:rsidR="004E6FE2" w:rsidRPr="00167C9D" w:rsidRDefault="004E6FE2" w:rsidP="004E6FE2">
      <w:pPr>
        <w:spacing w:after="0" w:line="240" w:lineRule="auto"/>
        <w:ind w:firstLine="708"/>
        <w:jc w:val="both"/>
        <w:rPr>
          <w:rFonts w:ascii="Verdana" w:eastAsia="Arial" w:hAnsi="Verdana" w:cs="Arial"/>
          <w:sz w:val="16"/>
          <w:szCs w:val="16"/>
        </w:rPr>
      </w:pPr>
      <w:r w:rsidRPr="00167C9D">
        <w:rPr>
          <w:rFonts w:ascii="Verdana" w:eastAsia="Arial" w:hAnsi="Verdana" w:cs="Arial"/>
          <w:sz w:val="16"/>
          <w:szCs w:val="16"/>
        </w:rPr>
        <w:t>PARÁGRAFO 1. El requisito establecido en la parte final del inciso segundo de este artículo, deberá acreditarse para la realización de cada pago derivado del contrato estatal.</w:t>
      </w:r>
    </w:p>
    <w:p w14:paraId="5D6E5F02" w14:textId="77777777" w:rsidR="004E6FE2" w:rsidRPr="00157C02" w:rsidRDefault="004E6FE2" w:rsidP="004E6FE2">
      <w:pPr>
        <w:spacing w:after="0" w:line="240" w:lineRule="auto"/>
        <w:jc w:val="both"/>
        <w:rPr>
          <w:rFonts w:ascii="Verdana" w:eastAsia="Arial" w:hAnsi="Verdana" w:cs="Arial"/>
          <w:sz w:val="16"/>
          <w:szCs w:val="16"/>
        </w:rPr>
      </w:pPr>
      <w:r w:rsidRPr="00167C9D">
        <w:rPr>
          <w:rFonts w:ascii="Verdana" w:eastAsia="Arial" w:hAnsi="Verdana" w:cs="Arial"/>
          <w:sz w:val="16"/>
          <w:szCs w:val="16"/>
        </w:rPr>
        <w:t xml:space="preserve">El servidor público que sin justa causa no verifique el pago de los aportes a que se refiere el presente artículo, incurrirá en causal de mala conducta, que será sancionada con arreglo al régimen disciplinario vigente”. </w:t>
      </w:r>
    </w:p>
  </w:footnote>
  <w:footnote w:id="27">
    <w:p w14:paraId="6E3FC270" w14:textId="77777777" w:rsidR="004E6FE2" w:rsidRDefault="004E6FE2" w:rsidP="004E6FE2">
      <w:pPr>
        <w:spacing w:after="0" w:line="240" w:lineRule="auto"/>
        <w:ind w:firstLine="720"/>
        <w:jc w:val="both"/>
        <w:rPr>
          <w:sz w:val="20"/>
          <w:szCs w:val="20"/>
        </w:rPr>
      </w:pPr>
      <w:r w:rsidRPr="00EF359E">
        <w:rPr>
          <w:rFonts w:ascii="Verdana" w:hAnsi="Verdana" w:cs="Arial"/>
          <w:sz w:val="16"/>
          <w:szCs w:val="16"/>
          <w:vertAlign w:val="superscript"/>
        </w:rPr>
        <w:footnoteRef/>
      </w:r>
      <w:r w:rsidRPr="00EF359E">
        <w:rPr>
          <w:rFonts w:ascii="Verdana" w:hAnsi="Verdana" w:cs="Arial"/>
          <w:sz w:val="16"/>
          <w:szCs w:val="16"/>
        </w:rPr>
        <w:t xml:space="preserve"> </w:t>
      </w:r>
      <w:r w:rsidRPr="00EF359E">
        <w:rPr>
          <w:rFonts w:ascii="Verdana" w:eastAsia="Arial" w:hAnsi="Verdana" w:cs="Arial"/>
          <w:color w:val="333333"/>
          <w:sz w:val="16"/>
          <w:szCs w:val="16"/>
        </w:rPr>
        <w:t>“</w:t>
      </w:r>
      <w:r w:rsidRPr="00EF359E">
        <w:rPr>
          <w:rFonts w:ascii="Verdana" w:eastAsia="Verdana" w:hAnsi="Verdana" w:cs="Arial"/>
          <w:sz w:val="16"/>
          <w:szCs w:val="16"/>
        </w:rPr>
        <w:t>[…] A. Afiliados al Sistema de Seguridad Social. Existirán dos tipos de afiliados al Sistema General de Seguridad Social en salud: 1. Los afiliados al Sistema mediante el régimen contributivo son las personas vinculadas a través de contrato de trabajo, los servidores públicos, los pensionados y jubilados y los trabajadores independientes con capacidad de pago. Estas personas deberán afiliarse al Sistema mediante las normas del régimen contributivo de que trata el capítulo I del Título III de la presente Ley”.</w:t>
      </w:r>
    </w:p>
  </w:footnote>
  <w:footnote w:id="28">
    <w:p w14:paraId="1F13466A" w14:textId="77777777" w:rsidR="004E6FE2" w:rsidRPr="001E6975" w:rsidRDefault="004E6FE2" w:rsidP="004E6FE2">
      <w:pPr>
        <w:pStyle w:val="Textonotapie"/>
        <w:ind w:firstLine="720"/>
        <w:jc w:val="both"/>
        <w:rPr>
          <w:rFonts w:ascii="Verdana" w:hAnsi="Verdana"/>
          <w:sz w:val="16"/>
          <w:szCs w:val="16"/>
          <w:lang w:val="es-CO"/>
        </w:rPr>
      </w:pPr>
      <w:r w:rsidRPr="001E6975">
        <w:rPr>
          <w:rStyle w:val="Refdenotaalpie"/>
          <w:rFonts w:ascii="Verdana" w:hAnsi="Verdana"/>
          <w:sz w:val="16"/>
          <w:szCs w:val="16"/>
        </w:rPr>
        <w:footnoteRef/>
      </w:r>
      <w:r w:rsidRPr="001E6975">
        <w:rPr>
          <w:rFonts w:ascii="Verdana" w:hAnsi="Verdana"/>
          <w:sz w:val="16"/>
          <w:szCs w:val="16"/>
        </w:rPr>
        <w:t xml:space="preserve"> </w:t>
      </w:r>
      <w:r w:rsidRPr="001E6975">
        <w:rPr>
          <w:rFonts w:ascii="Verdana" w:hAnsi="Verdana"/>
          <w:sz w:val="16"/>
          <w:szCs w:val="16"/>
          <w:lang w:val="es-CO"/>
        </w:rPr>
        <w:t>Artículo 2.1.4.1.</w:t>
      </w:r>
      <w:r w:rsidRPr="001E6975">
        <w:rPr>
          <w:rFonts w:ascii="Verdana" w:hAnsi="Verdana"/>
          <w:i/>
          <w:iCs/>
          <w:sz w:val="16"/>
          <w:szCs w:val="16"/>
          <w:lang w:val="es-CO"/>
        </w:rPr>
        <w:t>Afiliados al régimen contributivo. </w:t>
      </w:r>
      <w:r w:rsidRPr="001E6975">
        <w:rPr>
          <w:rFonts w:ascii="Verdana" w:hAnsi="Verdana"/>
          <w:sz w:val="16"/>
          <w:szCs w:val="16"/>
          <w:lang w:val="es-CO"/>
        </w:rPr>
        <w:t>Pertenecerán al Régimen Contributivo del Sistema General de Seguridad Social en Salud: </w:t>
      </w:r>
    </w:p>
    <w:p w14:paraId="41811092"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1. Como cotizantes: </w:t>
      </w:r>
    </w:p>
    <w:p w14:paraId="0F65967F"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1.1. Todas aquellas personas nacionales o extranjeras, residentes en Colombia, vinculadas mediante contrato de trabajo que se rija por las normas colombianas, incluidas aquellas personas que presten sus servicios en las sedes diplomáticas y organismos internacionales acreditados en el país. </w:t>
      </w:r>
    </w:p>
    <w:p w14:paraId="474B375D"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1.2. Los servidores públicos. </w:t>
      </w:r>
    </w:p>
    <w:p w14:paraId="2B97D197"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1.3. Los pensionados por jubilación, vejez, invalidez, sobrevivientes, sustitutos o pensión gracia tanto del sector público como del sector privado. En los casos de sustitución pensional o pensión de sobrevivientes deberá afiliarse la persona beneficiaria de dicha sustitución o pensión o el cabeza de los beneficiarios. </w:t>
      </w:r>
    </w:p>
    <w:p w14:paraId="7A50496C"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1.4 Los trabajadores independientes, los rentistas, los propietarios de las empresas y en general todas las personas residentes en el país, que no tengan vínculo contractual y reglamentario con algún empleador y cuyos ingresos mensuales sean iguales o superiores a un salario mínimo mensual legal vigente. </w:t>
      </w:r>
    </w:p>
    <w:p w14:paraId="751D9D95"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2. Como beneficiarios: </w:t>
      </w:r>
    </w:p>
    <w:p w14:paraId="0C3345F5" w14:textId="77777777" w:rsidR="004E6FE2" w:rsidRPr="001E6975" w:rsidRDefault="004E6FE2" w:rsidP="004E6FE2">
      <w:pPr>
        <w:pStyle w:val="Textonotapie"/>
        <w:ind w:firstLine="720"/>
        <w:jc w:val="both"/>
        <w:rPr>
          <w:rFonts w:ascii="Verdana" w:hAnsi="Verdana"/>
          <w:sz w:val="16"/>
          <w:szCs w:val="16"/>
          <w:lang w:val="es-CO"/>
        </w:rPr>
      </w:pPr>
      <w:r w:rsidRPr="001E6975">
        <w:rPr>
          <w:rFonts w:ascii="Verdana" w:hAnsi="Verdana"/>
          <w:sz w:val="16"/>
          <w:szCs w:val="16"/>
          <w:lang w:val="es-CO"/>
        </w:rPr>
        <w:t>2.1 Los miembros del núcleo familiar del cotizante, de conformidad con lo previsto en el presente decreto, siempre y cuando no cumplan con alguna de las condiciones señaladas en el numeral 1 del presente artículo.</w:t>
      </w:r>
    </w:p>
  </w:footnote>
  <w:footnote w:id="29">
    <w:p w14:paraId="260F7FFA" w14:textId="77777777" w:rsidR="004E6FE2" w:rsidRDefault="004E6FE2" w:rsidP="004E6FE2">
      <w:pPr>
        <w:pStyle w:val="Textonotapie"/>
        <w:ind w:firstLine="720"/>
        <w:rPr>
          <w:rFonts w:ascii="Verdana" w:hAnsi="Verdana"/>
          <w:sz w:val="16"/>
          <w:szCs w:val="16"/>
        </w:rPr>
      </w:pPr>
      <w:r w:rsidRPr="001E6975">
        <w:rPr>
          <w:rStyle w:val="Refdenotaalpie"/>
          <w:rFonts w:ascii="Verdana" w:hAnsi="Verdana"/>
          <w:sz w:val="16"/>
          <w:szCs w:val="16"/>
        </w:rPr>
        <w:footnoteRef/>
      </w:r>
      <w:r w:rsidRPr="001E6975">
        <w:rPr>
          <w:rFonts w:ascii="Verdana" w:hAnsi="Verdana"/>
          <w:sz w:val="16"/>
          <w:szCs w:val="16"/>
        </w:rPr>
        <w:t xml:space="preserve"> </w:t>
      </w:r>
      <w:r w:rsidRPr="00D302B6">
        <w:rPr>
          <w:rFonts w:ascii="Verdana" w:hAnsi="Verdana"/>
          <w:sz w:val="16"/>
          <w:szCs w:val="16"/>
        </w:rPr>
        <w:t>Artículo 2°. Modifíquese el artículo 13 del Decreto-ley 1295 de 1994, el cual quedará así: </w:t>
      </w:r>
    </w:p>
    <w:p w14:paraId="3BAD6799" w14:textId="77777777" w:rsidR="004E6FE2" w:rsidRPr="001E6975" w:rsidRDefault="004E6FE2" w:rsidP="004E6FE2">
      <w:pPr>
        <w:pStyle w:val="Textonotapie"/>
        <w:ind w:firstLine="720"/>
        <w:rPr>
          <w:rFonts w:ascii="Verdana" w:hAnsi="Verdana"/>
          <w:sz w:val="16"/>
          <w:szCs w:val="16"/>
          <w:lang w:val="es-CO"/>
        </w:rPr>
      </w:pPr>
      <w:r w:rsidRPr="001E6975">
        <w:rPr>
          <w:rFonts w:ascii="Verdana" w:hAnsi="Verdana"/>
          <w:sz w:val="16"/>
          <w:szCs w:val="16"/>
          <w:lang w:val="es-CO"/>
        </w:rPr>
        <w:t>Artículo 13.</w:t>
      </w:r>
      <w:r w:rsidRPr="001E6975">
        <w:rPr>
          <w:rFonts w:ascii="Verdana" w:hAnsi="Verdana"/>
          <w:b/>
          <w:bCs/>
          <w:sz w:val="16"/>
          <w:szCs w:val="16"/>
          <w:lang w:val="es-CO"/>
        </w:rPr>
        <w:t xml:space="preserve"> </w:t>
      </w:r>
      <w:r w:rsidRPr="001E6975">
        <w:rPr>
          <w:rFonts w:ascii="Verdana" w:hAnsi="Verdana"/>
          <w:i/>
          <w:iCs/>
          <w:sz w:val="16"/>
          <w:szCs w:val="16"/>
          <w:lang w:val="es-CO"/>
        </w:rPr>
        <w:t>Afiliados</w:t>
      </w:r>
      <w:r w:rsidRPr="001E6975">
        <w:rPr>
          <w:rFonts w:ascii="Verdana" w:hAnsi="Verdana"/>
          <w:sz w:val="16"/>
          <w:szCs w:val="16"/>
          <w:lang w:val="es-CO"/>
        </w:rPr>
        <w:t>. Son afiliados al Sistema General de Riesgos Laborales: </w:t>
      </w:r>
    </w:p>
    <w:p w14:paraId="066C20E4" w14:textId="77777777" w:rsidR="004E6FE2" w:rsidRPr="001E6975" w:rsidRDefault="004E6FE2" w:rsidP="004E6FE2">
      <w:pPr>
        <w:pStyle w:val="Textonotapie"/>
        <w:ind w:firstLine="720"/>
        <w:rPr>
          <w:rFonts w:ascii="Verdana" w:hAnsi="Verdana"/>
          <w:sz w:val="16"/>
          <w:szCs w:val="16"/>
          <w:lang w:val="es-CO"/>
        </w:rPr>
      </w:pPr>
      <w:r w:rsidRPr="001E6975">
        <w:rPr>
          <w:rFonts w:ascii="Verdana" w:hAnsi="Verdana"/>
          <w:sz w:val="16"/>
          <w:szCs w:val="16"/>
          <w:lang w:val="es-CO"/>
        </w:rPr>
        <w:t>a) En forma obligatoria: </w:t>
      </w:r>
    </w:p>
    <w:p w14:paraId="7D36892A" w14:textId="77777777" w:rsidR="004E6FE2" w:rsidRPr="001E6975" w:rsidRDefault="004E6FE2" w:rsidP="004E6FE2">
      <w:pPr>
        <w:pStyle w:val="Textonotapie"/>
        <w:ind w:firstLine="720"/>
        <w:rPr>
          <w:rFonts w:ascii="Verdana" w:hAnsi="Verdana"/>
          <w:sz w:val="16"/>
          <w:szCs w:val="16"/>
          <w:lang w:val="es-CO"/>
        </w:rPr>
      </w:pPr>
      <w:r w:rsidRPr="001E6975">
        <w:rPr>
          <w:rFonts w:ascii="Verdana" w:hAnsi="Verdana"/>
          <w:sz w:val="16"/>
          <w:szCs w:val="16"/>
          <w:lang w:val="es-CO"/>
        </w:rPr>
        <w:t>1. Los trabajadores dependientes nacionales o extranjeros, vinculados mediante contrato de trabajo escrito o verbal y los servidores públicos; las personas vinculadas a través de un contrato formal de prestación de servicios con entidades o instituciones públicas o privadas, tales como contratos civiles, comerciales o administrativos, con una duración superior a un mes y con precisión de las situaciones de tiempo, modo y lugar en que se realiza dicha prestación. </w:t>
      </w:r>
    </w:p>
    <w:p w14:paraId="30391542" w14:textId="77777777" w:rsidR="004E6FE2" w:rsidRPr="007B4F98" w:rsidRDefault="004E6FE2" w:rsidP="004E6FE2">
      <w:pPr>
        <w:pStyle w:val="Textonotapie"/>
        <w:ind w:firstLine="720"/>
        <w:rPr>
          <w:lang w:val="es-CO"/>
        </w:rPr>
      </w:pPr>
      <w:r w:rsidRPr="001E6975">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DD54" w14:textId="77777777" w:rsidR="00865FCE" w:rsidRDefault="00F74249">
    <w:pPr>
      <w:pBdr>
        <w:top w:val="nil"/>
        <w:left w:val="nil"/>
        <w:bottom w:val="nil"/>
        <w:right w:val="nil"/>
        <w:between w:val="nil"/>
      </w:pBdr>
      <w:tabs>
        <w:tab w:val="center" w:pos="4419"/>
        <w:tab w:val="right" w:pos="8838"/>
      </w:tabs>
      <w:spacing w:after="0" w:line="120" w:lineRule="auto"/>
      <w:rPr>
        <w:color w:val="000000"/>
      </w:rPr>
    </w:pPr>
    <w:r>
      <w:rPr>
        <w:rFonts w:ascii="Geom" w:eastAsia="Geom" w:hAnsi="Geom" w:cs="Geom"/>
        <w:b/>
        <w:bCs/>
        <w:noProof/>
        <w:color w:val="002060"/>
        <w:sz w:val="24"/>
        <w:szCs w:val="24"/>
      </w:rPr>
      <w:drawing>
        <wp:anchor distT="0" distB="0" distL="114300" distR="114300" simplePos="0" relativeHeight="251658240" behindDoc="0" locked="0" layoutInCell="1" hidden="0" allowOverlap="1" wp14:anchorId="4D859C7E" wp14:editId="19D15B1A">
          <wp:simplePos x="0" y="0"/>
          <wp:positionH relativeFrom="margin">
            <wp:posOffset>8420100</wp:posOffset>
          </wp:positionH>
          <wp:positionV relativeFrom="margin">
            <wp:posOffset>-1377949</wp:posOffset>
          </wp:positionV>
          <wp:extent cx="665480" cy="3098800"/>
          <wp:effectExtent l="0" t="0" r="0" b="0"/>
          <wp:wrapSquare wrapText="bothSides" distT="0" distB="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65480" cy="3098800"/>
                  </a:xfrm>
                  <a:prstGeom prst="rect">
                    <a:avLst/>
                  </a:prstGeom>
                  <a:ln/>
                </pic:spPr>
              </pic:pic>
            </a:graphicData>
          </a:graphic>
        </wp:anchor>
      </w:drawing>
    </w:r>
    <w:r>
      <w:rPr>
        <w:noProof/>
      </w:rPr>
      <w:drawing>
        <wp:anchor distT="0" distB="0" distL="0" distR="0" simplePos="0" relativeHeight="251659264" behindDoc="1" locked="0" layoutInCell="1" hidden="0" allowOverlap="1" wp14:anchorId="0FA0B94F" wp14:editId="23F1BC68">
          <wp:simplePos x="0" y="0"/>
          <wp:positionH relativeFrom="column">
            <wp:posOffset>1844040</wp:posOffset>
          </wp:positionH>
          <wp:positionV relativeFrom="paragraph">
            <wp:posOffset>-256386</wp:posOffset>
          </wp:positionV>
          <wp:extent cx="1924050" cy="856004"/>
          <wp:effectExtent l="0" t="0" r="0" b="0"/>
          <wp:wrapNone/>
          <wp:docPr id="1" name="image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Interfaz de usuario gráfica&#10;&#10;Descripción generada automáticamente"/>
                  <pic:cNvPicPr preferRelativeResize="0"/>
                </pic:nvPicPr>
                <pic:blipFill>
                  <a:blip r:embed="rId2"/>
                  <a:srcRect/>
                  <a:stretch>
                    <a:fillRect/>
                  </a:stretch>
                </pic:blipFill>
                <pic:spPr>
                  <a:xfrm>
                    <a:off x="0" y="0"/>
                    <a:ext cx="1924050" cy="856004"/>
                  </a:xfrm>
                  <a:prstGeom prst="rect">
                    <a:avLst/>
                  </a:prstGeom>
                  <a:ln/>
                </pic:spPr>
              </pic:pic>
            </a:graphicData>
          </a:graphic>
        </wp:anchor>
      </w:drawing>
    </w:r>
  </w:p>
  <w:p w14:paraId="59D4C6FE" w14:textId="77777777" w:rsidR="00865FCE" w:rsidRDefault="00865FCE">
    <w:pPr>
      <w:pBdr>
        <w:top w:val="nil"/>
        <w:left w:val="nil"/>
        <w:bottom w:val="nil"/>
        <w:right w:val="nil"/>
        <w:between w:val="nil"/>
      </w:pBdr>
      <w:tabs>
        <w:tab w:val="center" w:pos="4419"/>
        <w:tab w:val="right" w:pos="8838"/>
      </w:tabs>
      <w:spacing w:after="0" w:line="240" w:lineRule="auto"/>
      <w:rPr>
        <w:color w:val="000000"/>
      </w:rPr>
    </w:pPr>
  </w:p>
  <w:p w14:paraId="52E2D231" w14:textId="77777777" w:rsidR="00865FCE" w:rsidRDefault="00865FCE">
    <w:pPr>
      <w:spacing w:after="0" w:line="120" w:lineRule="auto"/>
      <w:rPr>
        <w:rFonts w:ascii="Century Gothic" w:eastAsia="Century Gothic" w:hAnsi="Century Gothic" w:cs="Century Gothic"/>
        <w:sz w:val="16"/>
        <w:szCs w:val="16"/>
      </w:rPr>
    </w:pPr>
  </w:p>
  <w:p w14:paraId="62A68C6C" w14:textId="77777777" w:rsidR="00865FCE" w:rsidRDefault="00865FCE">
    <w:pPr>
      <w:spacing w:after="0" w:line="240" w:lineRule="auto"/>
      <w:rPr>
        <w:rFonts w:ascii="Verdana" w:eastAsia="Verdana" w:hAnsi="Verdana" w:cs="Verdana"/>
        <w:sz w:val="24"/>
        <w:szCs w:val="24"/>
      </w:rPr>
    </w:pPr>
  </w:p>
  <w:p w14:paraId="2A65F748" w14:textId="77777777" w:rsidR="00865FCE" w:rsidRDefault="00865FCE">
    <w:pPr>
      <w:spacing w:after="0" w:line="240" w:lineRule="auto"/>
      <w:rPr>
        <w:rFonts w:ascii="Verdana" w:eastAsia="Verdana" w:hAnsi="Verdana" w:cs="Verdana"/>
        <w:sz w:val="24"/>
        <w:szCs w:val="24"/>
      </w:rPr>
    </w:pPr>
  </w:p>
  <w:p w14:paraId="24CC5C26" w14:textId="77777777" w:rsidR="00865FCE" w:rsidRDefault="00F74249">
    <w:pPr>
      <w:spacing w:after="0" w:line="480" w:lineRule="auto"/>
      <w:rPr>
        <w:rFonts w:ascii="Verdana" w:eastAsia="Verdana" w:hAnsi="Verdana" w:cs="Verdana"/>
        <w:b/>
        <w:bCs/>
        <w:sz w:val="24"/>
        <w:szCs w:val="24"/>
      </w:rPr>
    </w:pPr>
    <w:r>
      <w:rPr>
        <w:rFonts w:ascii="Verdana" w:eastAsia="Verdana" w:hAnsi="Verdana" w:cs="Verdana"/>
        <w:b/>
        <w:bCs/>
        <w:sz w:val="24"/>
        <w:szCs w:val="24"/>
      </w:rPr>
      <w:t>FORMATO DE RESPUESTA 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1DA"/>
    <w:multiLevelType w:val="hybridMultilevel"/>
    <w:tmpl w:val="8D74FD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856BFF"/>
    <w:multiLevelType w:val="hybridMultilevel"/>
    <w:tmpl w:val="288CED8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0E2182"/>
    <w:multiLevelType w:val="multilevel"/>
    <w:tmpl w:val="630C340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EA130B9"/>
    <w:multiLevelType w:val="multilevel"/>
    <w:tmpl w:val="E786981C"/>
    <w:lvl w:ilvl="0">
      <w:start w:val="1"/>
      <w:numFmt w:val="upperRoman"/>
      <w:lvlText w:val="%1."/>
      <w:lvlJc w:val="right"/>
      <w:pPr>
        <w:ind w:left="1068" w:hanging="360"/>
      </w:pPr>
      <w:rPr>
        <w:b/>
        <w:bCs/>
        <w:color w:val="000000"/>
      </w:rPr>
    </w:lvl>
    <w:lvl w:ilvl="1">
      <w:start w:val="2"/>
      <w:numFmt w:val="decimal"/>
      <w:lvlText w:val="%1.%2"/>
      <w:lvlJc w:val="left"/>
      <w:pPr>
        <w:ind w:left="708" w:hanging="360"/>
      </w:pPr>
    </w:lvl>
    <w:lvl w:ilvl="2">
      <w:start w:val="1"/>
      <w:numFmt w:val="decimal"/>
      <w:lvlText w:val="%1.%2.%3"/>
      <w:lvlJc w:val="left"/>
      <w:pPr>
        <w:ind w:left="1428" w:hanging="719"/>
      </w:pPr>
    </w:lvl>
    <w:lvl w:ilvl="3">
      <w:start w:val="1"/>
      <w:numFmt w:val="decimal"/>
      <w:lvlText w:val="%1.%2.%3.%4"/>
      <w:lvlJc w:val="left"/>
      <w:pPr>
        <w:ind w:left="1428" w:hanging="719"/>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4" w15:restartNumberingAfterBreak="0">
    <w:nsid w:val="23984162"/>
    <w:multiLevelType w:val="multilevel"/>
    <w:tmpl w:val="F9C6D67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267A4E"/>
    <w:multiLevelType w:val="hybridMultilevel"/>
    <w:tmpl w:val="A3322FF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776161"/>
    <w:multiLevelType w:val="hybridMultilevel"/>
    <w:tmpl w:val="531CDFD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8371BCF"/>
    <w:multiLevelType w:val="hybridMultilevel"/>
    <w:tmpl w:val="55DC4F5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883176C"/>
    <w:multiLevelType w:val="multilevel"/>
    <w:tmpl w:val="A4C0FADE"/>
    <w:lvl w:ilvl="0">
      <w:start w:val="1"/>
      <w:numFmt w:val="bullet"/>
      <w:lvlText w:val="●"/>
      <w:lvlJc w:val="left"/>
      <w:pPr>
        <w:ind w:left="785" w:hanging="360"/>
      </w:pPr>
      <w:rPr>
        <w:rFonts w:ascii="Noto Sans Symbols" w:eastAsia="Noto Sans Symbols" w:hAnsi="Noto Sans Symbols" w:cs="Noto Sans Symbols"/>
        <w:color w:val="000000"/>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9" w15:restartNumberingAfterBreak="0">
    <w:nsid w:val="4C3F508D"/>
    <w:multiLevelType w:val="multilevel"/>
    <w:tmpl w:val="F79E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192159"/>
    <w:multiLevelType w:val="multilevel"/>
    <w:tmpl w:val="FCC47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996676"/>
    <w:multiLevelType w:val="hybridMultilevel"/>
    <w:tmpl w:val="31640F2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F31715D"/>
    <w:multiLevelType w:val="hybridMultilevel"/>
    <w:tmpl w:val="D1FAEB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21972603">
    <w:abstractNumId w:val="2"/>
  </w:num>
  <w:num w:numId="2" w16cid:durableId="1936815559">
    <w:abstractNumId w:val="4"/>
  </w:num>
  <w:num w:numId="3" w16cid:durableId="640305146">
    <w:abstractNumId w:val="8"/>
  </w:num>
  <w:num w:numId="4" w16cid:durableId="2054235349">
    <w:abstractNumId w:val="3"/>
  </w:num>
  <w:num w:numId="5" w16cid:durableId="2078434682">
    <w:abstractNumId w:val="0"/>
  </w:num>
  <w:num w:numId="6" w16cid:durableId="1953635655">
    <w:abstractNumId w:val="12"/>
  </w:num>
  <w:num w:numId="7" w16cid:durableId="1544102387">
    <w:abstractNumId w:val="7"/>
  </w:num>
  <w:num w:numId="8" w16cid:durableId="1628388493">
    <w:abstractNumId w:val="6"/>
  </w:num>
  <w:num w:numId="9" w16cid:durableId="289242377">
    <w:abstractNumId w:val="11"/>
  </w:num>
  <w:num w:numId="10" w16cid:durableId="1336956990">
    <w:abstractNumId w:val="1"/>
  </w:num>
  <w:num w:numId="11" w16cid:durableId="2034114310">
    <w:abstractNumId w:val="5"/>
  </w:num>
  <w:num w:numId="12" w16cid:durableId="1208880276">
    <w:abstractNumId w:val="9"/>
  </w:num>
  <w:num w:numId="13" w16cid:durableId="444346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FCE"/>
    <w:rsid w:val="00003459"/>
    <w:rsid w:val="00010481"/>
    <w:rsid w:val="0002051B"/>
    <w:rsid w:val="00023927"/>
    <w:rsid w:val="000717AD"/>
    <w:rsid w:val="0008014C"/>
    <w:rsid w:val="00084570"/>
    <w:rsid w:val="000F02E3"/>
    <w:rsid w:val="000F048A"/>
    <w:rsid w:val="00101171"/>
    <w:rsid w:val="001041C6"/>
    <w:rsid w:val="00157C02"/>
    <w:rsid w:val="00167C9D"/>
    <w:rsid w:val="00195228"/>
    <w:rsid w:val="00197291"/>
    <w:rsid w:val="001B0F86"/>
    <w:rsid w:val="001B3768"/>
    <w:rsid w:val="001D542A"/>
    <w:rsid w:val="001D676E"/>
    <w:rsid w:val="001E5EBB"/>
    <w:rsid w:val="001E6975"/>
    <w:rsid w:val="001F28FC"/>
    <w:rsid w:val="001F3F30"/>
    <w:rsid w:val="00202A00"/>
    <w:rsid w:val="00232545"/>
    <w:rsid w:val="002335D7"/>
    <w:rsid w:val="002853F9"/>
    <w:rsid w:val="002D6088"/>
    <w:rsid w:val="00300034"/>
    <w:rsid w:val="0030337F"/>
    <w:rsid w:val="003261D0"/>
    <w:rsid w:val="00343A48"/>
    <w:rsid w:val="00345416"/>
    <w:rsid w:val="00384037"/>
    <w:rsid w:val="003939B9"/>
    <w:rsid w:val="00396F09"/>
    <w:rsid w:val="003A532B"/>
    <w:rsid w:val="003D13BF"/>
    <w:rsid w:val="003E5A2E"/>
    <w:rsid w:val="003E7D96"/>
    <w:rsid w:val="003F1A41"/>
    <w:rsid w:val="003F280A"/>
    <w:rsid w:val="0040151D"/>
    <w:rsid w:val="00410F4F"/>
    <w:rsid w:val="00417915"/>
    <w:rsid w:val="0042705B"/>
    <w:rsid w:val="0046441B"/>
    <w:rsid w:val="0048667B"/>
    <w:rsid w:val="00491457"/>
    <w:rsid w:val="00491B05"/>
    <w:rsid w:val="004C1F2E"/>
    <w:rsid w:val="004D1FFF"/>
    <w:rsid w:val="004E6FE2"/>
    <w:rsid w:val="00536BC8"/>
    <w:rsid w:val="00544A00"/>
    <w:rsid w:val="00550059"/>
    <w:rsid w:val="005B4225"/>
    <w:rsid w:val="0060044F"/>
    <w:rsid w:val="00610BC6"/>
    <w:rsid w:val="006175EE"/>
    <w:rsid w:val="00624D4D"/>
    <w:rsid w:val="0063108D"/>
    <w:rsid w:val="00642715"/>
    <w:rsid w:val="006461D6"/>
    <w:rsid w:val="00651DF4"/>
    <w:rsid w:val="0069448E"/>
    <w:rsid w:val="006A1452"/>
    <w:rsid w:val="006A438C"/>
    <w:rsid w:val="006A65B2"/>
    <w:rsid w:val="006D18A1"/>
    <w:rsid w:val="006E2552"/>
    <w:rsid w:val="006E6E2A"/>
    <w:rsid w:val="006F0279"/>
    <w:rsid w:val="006F40B0"/>
    <w:rsid w:val="00703C60"/>
    <w:rsid w:val="00715B56"/>
    <w:rsid w:val="00721EF7"/>
    <w:rsid w:val="007276F5"/>
    <w:rsid w:val="00735A21"/>
    <w:rsid w:val="007534EB"/>
    <w:rsid w:val="007B3FCE"/>
    <w:rsid w:val="007B4F98"/>
    <w:rsid w:val="007B6A21"/>
    <w:rsid w:val="007D0CE2"/>
    <w:rsid w:val="007D3B78"/>
    <w:rsid w:val="007D442F"/>
    <w:rsid w:val="007E2150"/>
    <w:rsid w:val="007E3F1E"/>
    <w:rsid w:val="007E4B21"/>
    <w:rsid w:val="00841944"/>
    <w:rsid w:val="00853CB8"/>
    <w:rsid w:val="00857268"/>
    <w:rsid w:val="00865FCE"/>
    <w:rsid w:val="008708BA"/>
    <w:rsid w:val="00871E9A"/>
    <w:rsid w:val="0087254F"/>
    <w:rsid w:val="00876EC9"/>
    <w:rsid w:val="00884603"/>
    <w:rsid w:val="00892089"/>
    <w:rsid w:val="008A05D5"/>
    <w:rsid w:val="008A6085"/>
    <w:rsid w:val="008A7F2B"/>
    <w:rsid w:val="008A7FFA"/>
    <w:rsid w:val="009058FC"/>
    <w:rsid w:val="00960508"/>
    <w:rsid w:val="009926F7"/>
    <w:rsid w:val="0099550C"/>
    <w:rsid w:val="009A3EDF"/>
    <w:rsid w:val="009B21E8"/>
    <w:rsid w:val="009D4C15"/>
    <w:rsid w:val="009D6B13"/>
    <w:rsid w:val="009F4C60"/>
    <w:rsid w:val="00A047B2"/>
    <w:rsid w:val="00A077D6"/>
    <w:rsid w:val="00A14991"/>
    <w:rsid w:val="00A2574B"/>
    <w:rsid w:val="00A73D01"/>
    <w:rsid w:val="00A77851"/>
    <w:rsid w:val="00AB47EC"/>
    <w:rsid w:val="00AB69DD"/>
    <w:rsid w:val="00AF0C9D"/>
    <w:rsid w:val="00AF7665"/>
    <w:rsid w:val="00B17276"/>
    <w:rsid w:val="00B60A7E"/>
    <w:rsid w:val="00B6342B"/>
    <w:rsid w:val="00B757D6"/>
    <w:rsid w:val="00B85A66"/>
    <w:rsid w:val="00B91785"/>
    <w:rsid w:val="00B9460A"/>
    <w:rsid w:val="00BA63B9"/>
    <w:rsid w:val="00BF23A0"/>
    <w:rsid w:val="00C10A2E"/>
    <w:rsid w:val="00C265E3"/>
    <w:rsid w:val="00C33226"/>
    <w:rsid w:val="00C340FD"/>
    <w:rsid w:val="00C44A2D"/>
    <w:rsid w:val="00C74EA0"/>
    <w:rsid w:val="00C842DD"/>
    <w:rsid w:val="00CA08E4"/>
    <w:rsid w:val="00CB502D"/>
    <w:rsid w:val="00CC38B0"/>
    <w:rsid w:val="00CD0210"/>
    <w:rsid w:val="00CD075D"/>
    <w:rsid w:val="00D017E0"/>
    <w:rsid w:val="00D1122C"/>
    <w:rsid w:val="00D24DCF"/>
    <w:rsid w:val="00D302B6"/>
    <w:rsid w:val="00D34678"/>
    <w:rsid w:val="00D47DD2"/>
    <w:rsid w:val="00D55A24"/>
    <w:rsid w:val="00D71E1A"/>
    <w:rsid w:val="00D85E50"/>
    <w:rsid w:val="00D963A1"/>
    <w:rsid w:val="00DE071E"/>
    <w:rsid w:val="00DE7B31"/>
    <w:rsid w:val="00E0329E"/>
    <w:rsid w:val="00E147DB"/>
    <w:rsid w:val="00E23477"/>
    <w:rsid w:val="00E40BC8"/>
    <w:rsid w:val="00E66B43"/>
    <w:rsid w:val="00E755B7"/>
    <w:rsid w:val="00E87C37"/>
    <w:rsid w:val="00E90831"/>
    <w:rsid w:val="00ED085E"/>
    <w:rsid w:val="00ED6477"/>
    <w:rsid w:val="00EF359E"/>
    <w:rsid w:val="00F10324"/>
    <w:rsid w:val="00F130BB"/>
    <w:rsid w:val="00F32E33"/>
    <w:rsid w:val="00F6376F"/>
    <w:rsid w:val="00F74249"/>
    <w:rsid w:val="00F809C9"/>
    <w:rsid w:val="00F836C7"/>
    <w:rsid w:val="00F917AC"/>
    <w:rsid w:val="00FA69EC"/>
    <w:rsid w:val="00FD29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0510"/>
  <w15:docId w15:val="{3AE26CA2-A586-49F4-A230-B86BB965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rFonts w:ascii="Geom" w:eastAsia="Geom" w:hAnsi="Geom" w:cs="Geom"/>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DE7B31"/>
    <w:pPr>
      <w:ind w:left="720"/>
      <w:contextualSpacing/>
    </w:pPr>
  </w:style>
  <w:style w:type="paragraph" w:styleId="NormalWeb">
    <w:name w:val="Normal (Web)"/>
    <w:basedOn w:val="Normal"/>
    <w:uiPriority w:val="99"/>
    <w:semiHidden/>
    <w:unhideWhenUsed/>
    <w:rsid w:val="002853F9"/>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CA08E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A08E4"/>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CA08E4"/>
    <w:rPr>
      <w:vertAlign w:val="superscript"/>
    </w:rPr>
  </w:style>
  <w:style w:type="character" w:styleId="Hipervnculo">
    <w:name w:val="Hyperlink"/>
    <w:basedOn w:val="Fuentedeprrafopredeter"/>
    <w:uiPriority w:val="99"/>
    <w:unhideWhenUsed/>
    <w:rsid w:val="00F6376F"/>
    <w:rPr>
      <w:color w:val="0000FF" w:themeColor="hyperlink"/>
      <w:u w:val="single"/>
    </w:rPr>
  </w:style>
  <w:style w:type="character" w:styleId="Mencinsinresolver">
    <w:name w:val="Unresolved Mention"/>
    <w:basedOn w:val="Fuentedeprrafopredeter"/>
    <w:uiPriority w:val="99"/>
    <w:semiHidden/>
    <w:unhideWhenUsed/>
    <w:rsid w:val="00F63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cancilleria.gov.co/sites/default/files/Normograma/docs/resolucion_minrelaciones_6045_2017.htm" TargetMode="External"/><Relationship Id="rId26"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hyperlink" Target="https://formacionvirtual.colombiacompra.gov.co/mod/page/view.php?id=3718"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ancilleria.gov.co/sites/default/files/Normograma/docs/resolucion_minrelaciones_1980_2014.htm" TargetMode="External"/><Relationship Id="rId25"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https://www.cancilleria.gov.co/sites/default/files/Normograma/docs/decreto_1067_2015.htm" TargetMode="External"/><Relationship Id="rId20" Type="http://schemas.openxmlformats.org/officeDocument/2006/relationships/hyperlink" Target="https://www.colombiacompra.gov.co/normativa-y-relatoria/conoce-la-relatori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ventanilladeradicacion@colombiacompra.gov.co" TargetMode="External"/><Relationship Id="rId5" Type="http://schemas.openxmlformats.org/officeDocument/2006/relationships/customXml" Target="../customXml/item5.xml"/><Relationship Id="rId15" Type="http://schemas.openxmlformats.org/officeDocument/2006/relationships/hyperlink" Target="https://www.cancilleria.gov.co/sites/default/files/Normograma/docs/resolucion_minrelaciones_6045_2017.htm" TargetMode="External"/><Relationship Id="rId23"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cancilleria.gov.co/sites/default/files/Normograma/docs/decreto_1067_2015.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ncilleria.gov.co/sites/default/files/Normograma/docs/resolucion_minrelaciones_1980_2014.htm" TargetMode="External"/><Relationship Id="rId22" Type="http://schemas.openxmlformats.org/officeDocument/2006/relationships/hyperlink" Target="https://www.colombiacompra.gov.co/normativa-y-relatoria/documentos-tipo" TargetMode="External"/><Relationship Id="rId27" Type="http://schemas.openxmlformats.org/officeDocument/2006/relationships/image" Target="media/image3.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8qdtArSCHFB8nVOl1mUhzOI8kg==">CgMxLjAaJgoBMBIhCh8IB0IbCgdWZXJkYW5hEhBBcmlhbCBVbmljb2RlIE1TMg5oLjJlY29od2hyd3ZlNzIOaC5icTh4c2ZmbGI3MnI4AHIhMXBLckFDQjZOc0FfYS1waDFueU1WYVRESUZOZHNoOUxl</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F92E-C810-43AB-A922-37A6CCEBB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C0F5A62-F35F-4E27-BDDE-C2C5A7798AE3}">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089A2C43-8227-407F-92A8-EFD8F14CDEBF}">
  <ds:schemaRefs>
    <ds:schemaRef ds:uri="http://schemas.microsoft.com/sharepoint/v3/contenttype/forms"/>
  </ds:schemaRefs>
</ds:datastoreItem>
</file>

<file path=customXml/itemProps5.xml><?xml version="1.0" encoding="utf-8"?>
<ds:datastoreItem xmlns:ds="http://schemas.openxmlformats.org/officeDocument/2006/customXml" ds:itemID="{ADCBC60D-C485-4FE8-811C-151B69D9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39</Pages>
  <Words>13162</Words>
  <Characters>72396</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Sanchez</dc:creator>
  <cp:lastModifiedBy>Sergio Andrés Rivera Cano</cp:lastModifiedBy>
  <cp:revision>18</cp:revision>
  <dcterms:created xsi:type="dcterms:W3CDTF">2026-06-25T00:10:00Z</dcterms:created>
  <dcterms:modified xsi:type="dcterms:W3CDTF">2026-06-26T14:21:00Z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MediaServiceImageTags</vt:lpwstr>
  </property>
</Properties>
</file>