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EF0CA" w14:textId="327E10F2" w:rsidR="005B6222" w:rsidRPr="00C91D42" w:rsidRDefault="005B6222" w:rsidP="00C91D42">
      <w:pPr>
        <w:spacing w:after="0"/>
      </w:pPr>
      <w:bookmarkStart w:id="0" w:name="_Hlk143780582"/>
      <w:r w:rsidRPr="005B6222">
        <w:rPr>
          <w:rFonts w:ascii="Verdana" w:eastAsia="Calibri" w:hAnsi="Verdana" w:cs="Arial"/>
          <w:b/>
          <w:bCs/>
          <w:lang w:val="es-ES_tradnl" w:eastAsia="es-MX"/>
        </w:rPr>
        <w:t xml:space="preserve">DOCUMENTOS TIPO – Fundamento normativo – Obligatoriedad </w:t>
      </w:r>
    </w:p>
    <w:p w14:paraId="593860AE" w14:textId="77777777" w:rsidR="005B6222" w:rsidRPr="005B6222" w:rsidRDefault="005B6222" w:rsidP="005B6222">
      <w:pPr>
        <w:spacing w:after="0" w:line="276" w:lineRule="auto"/>
        <w:jc w:val="both"/>
        <w:rPr>
          <w:rFonts w:ascii="Verdana" w:eastAsia="Calibri" w:hAnsi="Verdana" w:cs="Arial"/>
          <w:b/>
          <w:bCs/>
          <w:sz w:val="20"/>
          <w:szCs w:val="20"/>
          <w:lang w:val="es-ES_tradnl" w:eastAsia="es-MX"/>
        </w:rPr>
      </w:pPr>
    </w:p>
    <w:p w14:paraId="62E1D13E" w14:textId="77777777" w:rsidR="005B6222" w:rsidRPr="005B6222" w:rsidRDefault="005B6222" w:rsidP="005B6222">
      <w:pPr>
        <w:tabs>
          <w:tab w:val="left" w:pos="709"/>
        </w:tabs>
        <w:spacing w:after="0" w:line="240" w:lineRule="auto"/>
        <w:jc w:val="both"/>
        <w:rPr>
          <w:rFonts w:ascii="Verdana" w:eastAsia="Calibri" w:hAnsi="Verdana" w:cs="Arial"/>
          <w:sz w:val="20"/>
          <w:szCs w:val="20"/>
          <w:lang w:val="es-ES" w:eastAsia="es-MX"/>
        </w:rPr>
      </w:pPr>
      <w:r w:rsidRPr="005B6222">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C253628" w14:textId="77777777" w:rsidR="005B6222" w:rsidRPr="005B6222" w:rsidRDefault="005B6222" w:rsidP="005B6222">
      <w:pPr>
        <w:spacing w:after="0" w:line="276" w:lineRule="auto"/>
        <w:jc w:val="both"/>
        <w:rPr>
          <w:rFonts w:ascii="Verdana" w:eastAsia="Calibri" w:hAnsi="Verdana" w:cs="Arial"/>
          <w:b/>
          <w:bCs/>
          <w:lang w:val="es-ES_tradnl" w:eastAsia="es-MX"/>
        </w:rPr>
      </w:pPr>
    </w:p>
    <w:p w14:paraId="0A9B4EF6" w14:textId="77777777" w:rsidR="005B6222" w:rsidRPr="005B6222" w:rsidRDefault="005B6222" w:rsidP="005B6222">
      <w:pPr>
        <w:widowControl w:val="0"/>
        <w:autoSpaceDE w:val="0"/>
        <w:autoSpaceDN w:val="0"/>
        <w:spacing w:after="0" w:line="276" w:lineRule="auto"/>
        <w:jc w:val="both"/>
        <w:rPr>
          <w:rFonts w:ascii="Verdana" w:eastAsia="Calibri" w:hAnsi="Verdana" w:cs="Times New Roman"/>
          <w:b/>
          <w:bCs/>
          <w:lang w:val="es-ES" w:eastAsia="es-MX"/>
        </w:rPr>
      </w:pPr>
      <w:r w:rsidRPr="005B6222">
        <w:rPr>
          <w:rFonts w:ascii="Verdana" w:eastAsia="Calibri" w:hAnsi="Verdana" w:cs="Arial"/>
          <w:b/>
          <w:bCs/>
          <w:lang w:val="es-ES_tradnl" w:eastAsia="es-MX"/>
        </w:rPr>
        <w:t>SECTOR SOCIAL</w:t>
      </w:r>
      <w:r w:rsidRPr="005B6222">
        <w:rPr>
          <w:rFonts w:ascii="Verdana" w:eastAsia="Calibri" w:hAnsi="Verdana" w:cs="Times New Roman"/>
          <w:lang w:val="es-ES" w:eastAsia="es-MX"/>
        </w:rPr>
        <w:t xml:space="preserve"> </w:t>
      </w:r>
      <w:r w:rsidRPr="005B6222">
        <w:rPr>
          <w:rFonts w:ascii="Verdana" w:eastAsia="Calibri" w:hAnsi="Verdana" w:cs="Times New Roman"/>
          <w:b/>
          <w:bCs/>
          <w:lang w:val="es-ES" w:eastAsia="es-MX"/>
        </w:rPr>
        <w:t>– Documentos tipo – Vigentes</w:t>
      </w:r>
    </w:p>
    <w:p w14:paraId="0330F037" w14:textId="77777777" w:rsidR="005B6222" w:rsidRPr="005B6222" w:rsidRDefault="005B6222" w:rsidP="005B6222">
      <w:pPr>
        <w:widowControl w:val="0"/>
        <w:autoSpaceDE w:val="0"/>
        <w:autoSpaceDN w:val="0"/>
        <w:spacing w:after="0" w:line="276" w:lineRule="auto"/>
        <w:jc w:val="both"/>
        <w:rPr>
          <w:rFonts w:ascii="Verdana" w:eastAsia="Calibri" w:hAnsi="Verdana" w:cs="Times New Roman"/>
          <w:b/>
          <w:bCs/>
          <w:lang w:val="es-ES" w:eastAsia="es-MX"/>
        </w:rPr>
      </w:pPr>
    </w:p>
    <w:p w14:paraId="077C0DFB"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b/>
          <w:bCs/>
          <w:sz w:val="20"/>
          <w:szCs w:val="20"/>
          <w:lang w:val="es-ES" w:eastAsia="es-MX"/>
        </w:rPr>
      </w:pPr>
      <w:r w:rsidRPr="005B6222">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D30F8CE" w14:textId="77777777" w:rsidR="005B6222" w:rsidRPr="005B6222" w:rsidRDefault="005B6222" w:rsidP="005B6222">
      <w:pPr>
        <w:widowControl w:val="0"/>
        <w:autoSpaceDE w:val="0"/>
        <w:autoSpaceDN w:val="0"/>
        <w:spacing w:after="0" w:line="276" w:lineRule="auto"/>
        <w:jc w:val="both"/>
        <w:rPr>
          <w:rFonts w:ascii="Verdana" w:eastAsia="Calibri" w:hAnsi="Verdana" w:cs="Times New Roman"/>
          <w:lang w:val="es-ES" w:eastAsia="es-MX"/>
        </w:rPr>
      </w:pPr>
    </w:p>
    <w:p w14:paraId="1AC5BE29" w14:textId="77777777" w:rsidR="005B6222" w:rsidRPr="005B6222" w:rsidRDefault="005B6222" w:rsidP="005B6222">
      <w:pPr>
        <w:spacing w:after="0" w:line="276" w:lineRule="auto"/>
        <w:jc w:val="both"/>
        <w:rPr>
          <w:rFonts w:ascii="Verdana" w:eastAsia="Calibri" w:hAnsi="Verdana" w:cs="Times New Roman"/>
          <w:sz w:val="20"/>
          <w:szCs w:val="20"/>
          <w:lang w:val="es-ES" w:eastAsia="es-MX"/>
        </w:rPr>
      </w:pPr>
      <w:r w:rsidRPr="005B6222">
        <w:rPr>
          <w:rFonts w:ascii="Verdana" w:eastAsia="Calibri" w:hAnsi="Verdana" w:cs="Times New Roman"/>
          <w:b/>
          <w:bCs/>
          <w:lang w:val="es-ES" w:eastAsia="es-MX"/>
        </w:rPr>
        <w:t xml:space="preserve">DOCUMENTOS TIPO – Aplicación – Matriz de Experiencia </w:t>
      </w:r>
    </w:p>
    <w:p w14:paraId="2F1CF274" w14:textId="77777777" w:rsidR="005B6222" w:rsidRPr="005B6222" w:rsidRDefault="005B6222" w:rsidP="005B6222">
      <w:pPr>
        <w:spacing w:after="0" w:line="240" w:lineRule="auto"/>
        <w:rPr>
          <w:rFonts w:ascii="Verdana" w:eastAsia="Geomanist Light" w:hAnsi="Verdana" w:cs="Arial"/>
          <w:lang w:val="es-MX" w:eastAsia="es-MX"/>
        </w:rPr>
      </w:pPr>
    </w:p>
    <w:p w14:paraId="048E1187"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sz w:val="20"/>
          <w:szCs w:val="20"/>
          <w:lang w:val="es-ES" w:eastAsia="es-MX"/>
        </w:rPr>
      </w:pPr>
      <w:r w:rsidRPr="005B6222">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9432329"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sz w:val="20"/>
          <w:szCs w:val="20"/>
          <w:lang w:val="es-ES" w:eastAsia="es-MX"/>
        </w:rPr>
      </w:pPr>
    </w:p>
    <w:p w14:paraId="7FA8C1CB"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sz w:val="20"/>
          <w:szCs w:val="20"/>
          <w:lang w:val="es-ES" w:eastAsia="es-MX"/>
        </w:rPr>
      </w:pPr>
      <w:r w:rsidRPr="005B6222">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81F8A27"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sz w:val="20"/>
          <w:szCs w:val="20"/>
          <w:lang w:val="es-ES" w:eastAsia="es-MX"/>
        </w:rPr>
      </w:pPr>
    </w:p>
    <w:p w14:paraId="3D03A1F5"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b/>
          <w:bCs/>
          <w:lang w:val="es-ES" w:eastAsia="es-MX"/>
        </w:rPr>
      </w:pPr>
      <w:r w:rsidRPr="005B6222">
        <w:rPr>
          <w:rFonts w:ascii="Verdana" w:eastAsia="Calibri" w:hAnsi="Verdana" w:cs="Times New Roman"/>
          <w:b/>
          <w:bCs/>
          <w:lang w:val="es-ES" w:eastAsia="es-MX"/>
        </w:rPr>
        <w:t>DOCUMENTOS TIPO – Sector social – Cultura, recreación y deporte – Tipos de infraestructuras – Matriz 1 – Experiencia</w:t>
      </w:r>
    </w:p>
    <w:p w14:paraId="4F68F8CA" w14:textId="77777777" w:rsidR="005B6222" w:rsidRPr="005B6222" w:rsidRDefault="005B6222" w:rsidP="005B6222">
      <w:pPr>
        <w:widowControl w:val="0"/>
        <w:autoSpaceDE w:val="0"/>
        <w:autoSpaceDN w:val="0"/>
        <w:spacing w:after="0" w:line="240" w:lineRule="auto"/>
        <w:jc w:val="both"/>
        <w:rPr>
          <w:rFonts w:ascii="Verdana" w:eastAsia="Calibri" w:hAnsi="Verdana" w:cs="Times New Roman"/>
          <w:b/>
          <w:bCs/>
          <w:lang w:val="es-ES" w:eastAsia="es-MX"/>
        </w:rPr>
      </w:pPr>
    </w:p>
    <w:p w14:paraId="091D2D7C" w14:textId="77777777" w:rsidR="005B6222" w:rsidRPr="005B6222" w:rsidRDefault="005B6222" w:rsidP="005B6222">
      <w:pPr>
        <w:spacing w:after="0" w:line="240" w:lineRule="auto"/>
        <w:jc w:val="both"/>
        <w:rPr>
          <w:rFonts w:ascii="Verdana" w:eastAsia="Aptos" w:hAnsi="Verdana" w:cs="Times New Roman"/>
          <w:kern w:val="2"/>
          <w:sz w:val="20"/>
          <w:szCs w:val="20"/>
          <w14:ligatures w14:val="standardContextual"/>
        </w:rPr>
      </w:pPr>
      <w:r w:rsidRPr="005B6222">
        <w:rPr>
          <w:rFonts w:ascii="Verdana" w:eastAsia="Calibri" w:hAnsi="Verdana" w:cs="Times New Roman"/>
          <w:kern w:val="2"/>
          <w:sz w:val="20"/>
          <w:szCs w:val="20"/>
          <w:lang w:val="es-ES" w:eastAsia="es-MX"/>
          <w14:ligatures w14:val="standardContextual"/>
        </w:rPr>
        <w:t xml:space="preserve">La Matriz 1 – Experiencia del Sector Cultura, recreación y deporte, </w:t>
      </w:r>
      <w:r w:rsidRPr="005B6222">
        <w:rPr>
          <w:rFonts w:ascii="Verdana" w:eastAsia="Times New Roman" w:hAnsi="Verdana" w:cs="Times New Roman"/>
          <w:color w:val="000000"/>
          <w:kern w:val="2"/>
          <w:sz w:val="20"/>
          <w:szCs w:val="20"/>
          <w:lang w:eastAsia="es-CO"/>
          <w14:ligatures w14:val="standardContextual"/>
        </w:rPr>
        <w:t xml:space="preserve">en la modalidad de licitación pública, selección abreviada de menor cuantía y mínima cuantía dispone de los siguientes cinco (5) tipos de infraestructura: </w:t>
      </w:r>
      <w:r w:rsidRPr="005B6222">
        <w:rPr>
          <w:rFonts w:ascii="Verdana" w:eastAsia="Arial" w:hAnsi="Verdana" w:cs="Aptos"/>
          <w:kern w:val="2"/>
          <w:sz w:val="20"/>
          <w:szCs w:val="20"/>
          <w:lang w:eastAsia="es-ES"/>
          <w14:ligatures w14:val="standardContextual"/>
        </w:rPr>
        <w:t xml:space="preserve">“1. OBRAS EN INFRAESTRUCTURA </w:t>
      </w:r>
      <w:r w:rsidRPr="005B6222">
        <w:rPr>
          <w:rFonts w:ascii="Verdana" w:eastAsia="Arial" w:hAnsi="Verdana" w:cs="Aptos"/>
          <w:kern w:val="2"/>
          <w:sz w:val="20"/>
          <w:szCs w:val="20"/>
          <w:lang w:eastAsia="es-ES"/>
          <w14:ligatures w14:val="standardContextual"/>
        </w:rPr>
        <w:lastRenderedPageBreak/>
        <w:t>CULTURAL; 2. OBRAS EN INFRAESTRUCTURA RECREO DEPORTIVA; 3. OBRAS EN INFRAESTRUCTURA DEL SECTOR DE CULTURA, RECREACIÓN Y DEPORTE; 4. OBRAS EN BIBLIOTECAS PÚBLICAS; y 5. OBRAS PARA ATENCIÓN, PREVENCIÓN O MITIGACIÓN DE EMERGENCIAS DIFERENTES A CONTRATACIÓN DIRECTA PARA EL SECTOR CULTURA, RECREACIÓN Y DEPORTE”</w:t>
      </w:r>
      <w:r w:rsidRPr="005B6222">
        <w:rPr>
          <w:rFonts w:ascii="Verdana" w:eastAsia="Aptos" w:hAnsi="Verdana" w:cs="Times New Roman"/>
          <w:kern w:val="2"/>
          <w:sz w:val="20"/>
          <w:szCs w:val="20"/>
          <w14:ligatures w14:val="standardContextual"/>
        </w:rPr>
        <w:t>.</w:t>
      </w:r>
    </w:p>
    <w:p w14:paraId="3F66A831" w14:textId="77777777" w:rsidR="005B6222" w:rsidRPr="005B6222" w:rsidRDefault="005B6222" w:rsidP="005B6222">
      <w:pPr>
        <w:spacing w:after="0" w:line="240" w:lineRule="auto"/>
        <w:jc w:val="both"/>
        <w:rPr>
          <w:rFonts w:ascii="Arial" w:eastAsia="Calibri" w:hAnsi="Arial" w:cs="Arial"/>
          <w:b/>
          <w:bCs/>
          <w:color w:val="000000"/>
          <w:sz w:val="24"/>
          <w:szCs w:val="24"/>
          <w:lang w:eastAsia="es-MX"/>
        </w:rPr>
      </w:pPr>
    </w:p>
    <w:p w14:paraId="604F37D7" w14:textId="77777777" w:rsidR="005B6222" w:rsidRPr="005B6222" w:rsidRDefault="005B6222" w:rsidP="005B6222">
      <w:pPr>
        <w:spacing w:after="0" w:line="240" w:lineRule="auto"/>
        <w:jc w:val="both"/>
        <w:rPr>
          <w:rFonts w:ascii="Verdana" w:eastAsia="Calibri" w:hAnsi="Verdana" w:cs="Times New Roman"/>
          <w:b/>
          <w:bCs/>
          <w:lang w:val="es-ES" w:eastAsia="es-MX"/>
        </w:rPr>
      </w:pPr>
      <w:r w:rsidRPr="005B6222">
        <w:rPr>
          <w:rFonts w:ascii="Verdana" w:eastAsia="Calibri" w:hAnsi="Verdana" w:cs="Times New Roman"/>
          <w:b/>
          <w:bCs/>
          <w:lang w:val="es-ES" w:eastAsia="es-MX"/>
        </w:rPr>
        <w:t>SECTOR SOCIAL – Documentos tipo – Cultura, recreación y deporte – Tipos de infraestructuras – Infraestructura cultural – Alcance – NSR-10 – Anexo Glosario</w:t>
      </w:r>
    </w:p>
    <w:p w14:paraId="5A1E1D5A" w14:textId="77777777" w:rsidR="005B6222" w:rsidRPr="005B6222" w:rsidRDefault="005B6222" w:rsidP="005B6222">
      <w:pPr>
        <w:spacing w:after="0" w:line="240" w:lineRule="auto"/>
        <w:jc w:val="both"/>
        <w:rPr>
          <w:rFonts w:ascii="Arial" w:eastAsia="Calibri" w:hAnsi="Arial" w:cs="Arial"/>
          <w:b/>
          <w:bCs/>
          <w:color w:val="000000"/>
          <w:sz w:val="24"/>
          <w:szCs w:val="24"/>
          <w:lang w:eastAsia="es-MX"/>
        </w:rPr>
      </w:pPr>
    </w:p>
    <w:p w14:paraId="5058F543" w14:textId="77777777" w:rsidR="005B6222" w:rsidRPr="005B6222" w:rsidRDefault="005B6222" w:rsidP="005B6222">
      <w:pPr>
        <w:spacing w:after="0" w:line="240" w:lineRule="auto"/>
        <w:jc w:val="both"/>
        <w:rPr>
          <w:rFonts w:ascii="Verdana" w:eastAsia="Times New Roman" w:hAnsi="Verdana" w:cs="Aptos"/>
          <w:sz w:val="20"/>
          <w:szCs w:val="20"/>
          <w:lang w:eastAsia="es-MX"/>
        </w:rPr>
      </w:pPr>
      <w:r w:rsidRPr="005B6222">
        <w:rPr>
          <w:rFonts w:ascii="Verdana" w:eastAsia="Times New Roman" w:hAnsi="Verdana" w:cs="Times New Roman"/>
          <w:color w:val="000000"/>
          <w:sz w:val="20"/>
          <w:szCs w:val="20"/>
          <w:lang w:eastAsia="es-CO"/>
        </w:rPr>
        <w:t xml:space="preserve">Concretamente, en su solicitud usted indaga sobre el alcance de la expresión “Infraestructura cultural” contenida en las actividades del capítulo 1 “Obras en infraestructura cultural” de la Matriz 1 – Experiencia de los documentos </w:t>
      </w:r>
      <w:proofErr w:type="gramStart"/>
      <w:r w:rsidRPr="005B6222">
        <w:rPr>
          <w:rFonts w:ascii="Verdana" w:eastAsia="Times New Roman" w:hAnsi="Verdana" w:cs="Times New Roman"/>
          <w:color w:val="000000"/>
          <w:sz w:val="20"/>
          <w:szCs w:val="20"/>
          <w:lang w:eastAsia="es-CO"/>
        </w:rPr>
        <w:t>tipo  complementarios</w:t>
      </w:r>
      <w:proofErr w:type="gramEnd"/>
      <w:r w:rsidRPr="005B6222">
        <w:rPr>
          <w:rFonts w:ascii="Verdana" w:eastAsia="Times New Roman" w:hAnsi="Verdana" w:cs="Times New Roman"/>
          <w:color w:val="000000"/>
          <w:sz w:val="20"/>
          <w:szCs w:val="20"/>
          <w:lang w:eastAsia="es-CO"/>
        </w:rPr>
        <w:t xml:space="preserve"> del Sector Cultura, recreación y deporte. </w:t>
      </w:r>
      <w:r w:rsidRPr="005B6222">
        <w:rPr>
          <w:rFonts w:ascii="Verdana" w:eastAsia="Times New Roman" w:hAnsi="Verdana" w:cs="Aptos"/>
          <w:sz w:val="20"/>
          <w:szCs w:val="20"/>
          <w:lang w:eastAsia="es-MX"/>
        </w:rPr>
        <w:t>Para interpretar el alcance de este tipo de infraestructura, se debe tener en cuenta la nota general 1 de dicha Matriz,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7FC5F6EF" w14:textId="77777777" w:rsidR="005B6222" w:rsidRPr="005B6222" w:rsidRDefault="005B6222" w:rsidP="005B6222">
      <w:pPr>
        <w:spacing w:after="0" w:line="240" w:lineRule="auto"/>
        <w:jc w:val="both"/>
        <w:rPr>
          <w:rFonts w:ascii="Verdana" w:eastAsia="Times New Roman" w:hAnsi="Verdana" w:cs="Aptos"/>
          <w:sz w:val="20"/>
          <w:szCs w:val="20"/>
          <w:lang w:eastAsia="es-MX"/>
        </w:rPr>
      </w:pPr>
    </w:p>
    <w:p w14:paraId="689F28BB" w14:textId="77777777" w:rsidR="005B6222" w:rsidRPr="005B6222" w:rsidRDefault="005B6222" w:rsidP="005B6222">
      <w:pPr>
        <w:spacing w:after="0" w:line="240" w:lineRule="auto"/>
        <w:jc w:val="both"/>
        <w:rPr>
          <w:rFonts w:ascii="Verdana" w:eastAsia="Times New Roman" w:hAnsi="Verdana" w:cs="Aptos"/>
          <w:sz w:val="20"/>
          <w:szCs w:val="20"/>
          <w:lang w:eastAsia="es-MX"/>
        </w:rPr>
      </w:pPr>
      <w:r w:rsidRPr="005B6222">
        <w:rPr>
          <w:rFonts w:ascii="Verdana" w:eastAsia="Times New Roman" w:hAnsi="Verdana" w:cs="Aptos"/>
          <w:sz w:val="20"/>
          <w:szCs w:val="20"/>
          <w:lang w:eastAsia="es-MX"/>
        </w:rPr>
        <w:t>(…)</w:t>
      </w:r>
    </w:p>
    <w:p w14:paraId="3CEA7C27" w14:textId="77777777" w:rsidR="005B6222" w:rsidRPr="005B6222" w:rsidRDefault="005B6222" w:rsidP="005B6222">
      <w:pPr>
        <w:spacing w:after="0" w:line="240" w:lineRule="auto"/>
        <w:jc w:val="both"/>
        <w:rPr>
          <w:rFonts w:ascii="Verdana" w:eastAsia="Times New Roman" w:hAnsi="Verdana" w:cs="Times New Roman"/>
          <w:color w:val="000000"/>
          <w:sz w:val="20"/>
          <w:szCs w:val="20"/>
          <w:lang w:eastAsia="es-CO"/>
        </w:rPr>
      </w:pPr>
    </w:p>
    <w:p w14:paraId="0AA9C56E" w14:textId="77777777" w:rsidR="005B6222" w:rsidRPr="005B6222" w:rsidRDefault="005B6222" w:rsidP="005B6222">
      <w:pPr>
        <w:spacing w:after="0" w:line="240" w:lineRule="auto"/>
        <w:jc w:val="both"/>
        <w:rPr>
          <w:rFonts w:ascii="Verdana" w:eastAsia="Arial" w:hAnsi="Verdana" w:cs="Arial"/>
          <w:kern w:val="2"/>
          <w:sz w:val="20"/>
          <w:szCs w:val="20"/>
          <w:lang w:val="es-ES"/>
          <w14:ligatures w14:val="standardContextual"/>
        </w:rPr>
      </w:pPr>
      <w:r w:rsidRPr="005B6222">
        <w:rPr>
          <w:rFonts w:ascii="Verdana" w:eastAsia="Calibri" w:hAnsi="Verdana" w:cs="Arial"/>
          <w:color w:val="0D0D0D"/>
          <w:sz w:val="20"/>
          <w:szCs w:val="20"/>
          <w:lang w:eastAsia="es-MX"/>
        </w:rPr>
        <w:t xml:space="preserve">Conforme con la definición contenida en la NSR-10 y en el Anexo 5 – Glosario, para efectos de la aplicación de las actividades a contratar dispuestas en el capítulo 1 “Obras en infraestructura cultural” </w:t>
      </w:r>
      <w:r w:rsidRPr="005B6222">
        <w:rPr>
          <w:rFonts w:ascii="Verdana" w:eastAsia="Times New Roman" w:hAnsi="Verdana" w:cs="Times New Roman"/>
          <w:color w:val="000000"/>
          <w:sz w:val="20"/>
          <w:szCs w:val="20"/>
          <w:lang w:eastAsia="es-CO"/>
        </w:rPr>
        <w:t xml:space="preserve">de los documentos tipo  complementarios del Sector Cultura, recreación y deporte, estas recaen sobre infraestructura cultural, es decir sobre: “(…) </w:t>
      </w:r>
      <w:r w:rsidRPr="005B6222">
        <w:rPr>
          <w:rFonts w:ascii="Verdana" w:eastAsia="Arial" w:hAnsi="Verdana" w:cs="Arial"/>
          <w:kern w:val="2"/>
          <w:sz w:val="20"/>
          <w:szCs w:val="20"/>
          <w:lang w:val="es-ES"/>
          <w14:ligatures w14:val="standardContextual"/>
        </w:rPr>
        <w:t>las edificaciones o espacios utilizados para la realización o presentación de eventos culturales o políticos, y en general, donde se reúnen o agrupan personas con fines culturales”.</w:t>
      </w:r>
    </w:p>
    <w:p w14:paraId="2E07B799" w14:textId="77777777" w:rsidR="005B6222" w:rsidRPr="005B6222" w:rsidRDefault="005B6222" w:rsidP="005B6222">
      <w:pPr>
        <w:spacing w:after="0" w:line="240" w:lineRule="auto"/>
        <w:jc w:val="both"/>
        <w:rPr>
          <w:rFonts w:ascii="Verdana" w:eastAsia="Arial" w:hAnsi="Verdana" w:cs="Arial"/>
          <w:kern w:val="2"/>
          <w:sz w:val="20"/>
          <w:szCs w:val="20"/>
          <w:lang w:val="es-ES"/>
          <w14:ligatures w14:val="standardContextual"/>
        </w:rPr>
      </w:pPr>
    </w:p>
    <w:p w14:paraId="791B299E" w14:textId="77777777" w:rsidR="005B6222" w:rsidRPr="005B6222" w:rsidRDefault="005B6222" w:rsidP="005B6222">
      <w:pPr>
        <w:spacing w:after="0" w:line="240" w:lineRule="auto"/>
        <w:jc w:val="both"/>
        <w:rPr>
          <w:rFonts w:ascii="Verdana" w:eastAsia="Calibri" w:hAnsi="Verdana" w:cs="Times New Roman"/>
          <w:b/>
          <w:bCs/>
          <w:lang w:val="es-ES" w:eastAsia="es-MX"/>
        </w:rPr>
      </w:pPr>
      <w:r w:rsidRPr="005B6222">
        <w:rPr>
          <w:rFonts w:ascii="Verdana" w:eastAsia="Calibri" w:hAnsi="Verdana" w:cs="Times New Roman"/>
          <w:b/>
          <w:bCs/>
          <w:lang w:val="es-ES" w:eastAsia="es-MX"/>
        </w:rPr>
        <w:t>ACTIVIDAD 1.1 – Documentos tipo – Cultura, recreación y deporte – Matriz 1 – Experiencia en edificaciones – Alcance</w:t>
      </w:r>
    </w:p>
    <w:p w14:paraId="221885B7" w14:textId="77777777" w:rsidR="005B6222" w:rsidRPr="005B6222" w:rsidRDefault="005B6222" w:rsidP="005B6222">
      <w:pPr>
        <w:spacing w:after="0" w:line="240" w:lineRule="auto"/>
        <w:jc w:val="both"/>
        <w:rPr>
          <w:rFonts w:ascii="Verdana" w:eastAsia="Arial" w:hAnsi="Verdana" w:cs="Arial"/>
          <w:kern w:val="2"/>
          <w:sz w:val="20"/>
          <w:szCs w:val="20"/>
          <w:lang w:val="es-ES"/>
          <w14:ligatures w14:val="standardContextual"/>
        </w:rPr>
      </w:pPr>
    </w:p>
    <w:p w14:paraId="21CE85F0" w14:textId="77777777" w:rsidR="005B6222" w:rsidRPr="005B6222" w:rsidRDefault="005B6222" w:rsidP="005B6222">
      <w:pPr>
        <w:spacing w:after="0" w:line="240" w:lineRule="auto"/>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Como se aprecia, para la actividad 1.1 contenida en la “Matriz 1 – Sector cultura, recreación y deporte”, se establece que la acreditación de la experiencia general debe ser en “edificaciones”, sin que se hagan distinciones o se establezcan restricciones específicas respecto de algún tipo de edificación con destinación de uso particular.</w:t>
      </w:r>
    </w:p>
    <w:p w14:paraId="0AF51478" w14:textId="77777777" w:rsidR="005B6222" w:rsidRPr="005B6222" w:rsidRDefault="005B6222" w:rsidP="005B6222">
      <w:pPr>
        <w:spacing w:after="0" w:line="240" w:lineRule="auto"/>
        <w:jc w:val="both"/>
        <w:rPr>
          <w:rFonts w:ascii="Verdana" w:eastAsia="Aptos" w:hAnsi="Verdana" w:cs="Times New Roman"/>
          <w:kern w:val="2"/>
          <w:sz w:val="20"/>
          <w:szCs w:val="20"/>
          <w14:ligatures w14:val="standardContextual"/>
        </w:rPr>
      </w:pPr>
    </w:p>
    <w:p w14:paraId="771EEF9F" w14:textId="77777777" w:rsidR="005B6222" w:rsidRPr="005B6222" w:rsidRDefault="005B6222" w:rsidP="005B6222">
      <w:pPr>
        <w:spacing w:after="0" w:line="240" w:lineRule="auto"/>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w:t>
      </w:r>
    </w:p>
    <w:p w14:paraId="78DB9128" w14:textId="77777777" w:rsidR="005B6222" w:rsidRPr="005B6222" w:rsidRDefault="005B6222" w:rsidP="005B6222">
      <w:pPr>
        <w:spacing w:after="0" w:line="240" w:lineRule="auto"/>
        <w:jc w:val="both"/>
        <w:rPr>
          <w:rFonts w:ascii="Verdana" w:eastAsia="Aptos" w:hAnsi="Verdana" w:cs="Times New Roman"/>
          <w:kern w:val="2"/>
          <w:sz w:val="20"/>
          <w:szCs w:val="20"/>
          <w14:ligatures w14:val="standardContextual"/>
        </w:rPr>
      </w:pPr>
    </w:p>
    <w:p w14:paraId="1A5CA90A" w14:textId="77777777" w:rsidR="005B6222" w:rsidRPr="005B6222" w:rsidRDefault="005B6222" w:rsidP="005B6222">
      <w:pPr>
        <w:spacing w:after="0" w:line="240" w:lineRule="auto"/>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 xml:space="preserve">(…) No obstante, la experiencia general solicitada en la “Matriz 1 – Sector cultura, recreación y deporte”, con el fin de no limitar la concurrencia de oferentes, se refiere a experiencia en edificaciones sin distinción de su destinación o uso, tales como cultura, </w:t>
      </w:r>
      <w:r w:rsidRPr="005B6222">
        <w:rPr>
          <w:rFonts w:ascii="Verdana" w:eastAsia="Aptos" w:hAnsi="Verdana" w:cs="Times New Roman"/>
          <w:kern w:val="2"/>
          <w:sz w:val="20"/>
          <w:szCs w:val="20"/>
          <w14:ligatures w14:val="standardContextual"/>
        </w:rPr>
        <w:lastRenderedPageBreak/>
        <w:t>recreación y deporte, salud, educación, vivienda o infraestructura institucional, entre otros.</w:t>
      </w:r>
    </w:p>
    <w:p w14:paraId="6FCDA1B2" w14:textId="77777777" w:rsidR="005B6222" w:rsidRPr="005B6222" w:rsidRDefault="005B6222" w:rsidP="005B6222">
      <w:pPr>
        <w:spacing w:after="0" w:line="240" w:lineRule="auto"/>
        <w:jc w:val="both"/>
        <w:rPr>
          <w:rFonts w:ascii="Verdana" w:eastAsia="Calibri" w:hAnsi="Verdana" w:cs="Arial"/>
          <w:sz w:val="20"/>
          <w:szCs w:val="20"/>
          <w:lang w:eastAsia="es-MX"/>
        </w:rPr>
      </w:pPr>
    </w:p>
    <w:p w14:paraId="3EC12B4A"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13A698DE"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9432E19"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214C70CA"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0C8FCB08"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036C96A0"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7DB2BBF"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2E2A445C"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268D4E92"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160C0604"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664F8C29"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14C0F064"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8D2EA98"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5E7EA0E2"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3AEEEBDF"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ADBA7D2"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57C20D03"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A7A1151"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7F7397A"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264CA1E"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1FAAE812"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A95C816"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5F29F41E"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678713F7"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415C83E"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12AFC061"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B73F225"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2A1D7C64"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839C10C"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6AAFD674"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6C30BF6"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33AEC4D1"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52C167B5"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60B4662A"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03C04A2E"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02EA6FED"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76D486D3"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5245418B"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5F049B0"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2E47B6C3"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103B17CE"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60CFFD2" w14:textId="77777777" w:rsidR="005B6222" w:rsidRPr="005B6222" w:rsidRDefault="005B6222" w:rsidP="005B6222">
      <w:pPr>
        <w:spacing w:after="0" w:line="240" w:lineRule="auto"/>
        <w:jc w:val="both"/>
        <w:rPr>
          <w:rFonts w:ascii="Verdana" w:eastAsia="Calibri" w:hAnsi="Verdana" w:cs="Arial"/>
          <w:sz w:val="20"/>
          <w:szCs w:val="20"/>
          <w:lang w:val="es-ES" w:eastAsia="es-MX"/>
        </w:rPr>
      </w:pPr>
    </w:p>
    <w:p w14:paraId="4989E8FC" w14:textId="77777777" w:rsidR="00C91D42" w:rsidRDefault="00C91D42" w:rsidP="005B6222">
      <w:pPr>
        <w:spacing w:after="0" w:line="240" w:lineRule="auto"/>
        <w:rPr>
          <w:rFonts w:ascii="Verdana" w:eastAsia="Verdana" w:hAnsi="Verdana" w:cs="Verdana"/>
          <w:kern w:val="2"/>
          <w14:ligatures w14:val="standardContextual"/>
        </w:rPr>
      </w:pPr>
    </w:p>
    <w:p w14:paraId="7BBEE7CA" w14:textId="1F34D988" w:rsidR="005B6222" w:rsidRDefault="005B6222" w:rsidP="005B6222">
      <w:pPr>
        <w:spacing w:after="0" w:line="240" w:lineRule="auto"/>
        <w:rPr>
          <w:rFonts w:ascii="Verdana" w:eastAsia="Verdana" w:hAnsi="Verdana" w:cs="Verdana"/>
          <w:kern w:val="2"/>
          <w14:ligatures w14:val="standardContextual"/>
        </w:rPr>
      </w:pPr>
      <w:r w:rsidRPr="005B6222">
        <w:rPr>
          <w:rFonts w:ascii="Verdana" w:eastAsia="Verdana" w:hAnsi="Verdana" w:cs="Verdana"/>
          <w:kern w:val="2"/>
          <w14:ligatures w14:val="standardContextual"/>
        </w:rPr>
        <w:lastRenderedPageBreak/>
        <w:t xml:space="preserve">Bogotá D.C., </w:t>
      </w:r>
      <w:r w:rsidR="00A4578D">
        <w:rPr>
          <w:rFonts w:ascii="Verdana" w:eastAsia="Verdana" w:hAnsi="Verdana" w:cs="Verdana"/>
          <w:kern w:val="2"/>
          <w14:ligatures w14:val="standardContextual"/>
        </w:rPr>
        <w:t>1 de junio de 2026</w:t>
      </w:r>
    </w:p>
    <w:p w14:paraId="6EAC42D2" w14:textId="0FAEBCF9" w:rsidR="00A4578D" w:rsidRDefault="00A4578D" w:rsidP="005B6222">
      <w:pPr>
        <w:spacing w:after="0" w:line="240" w:lineRule="auto"/>
        <w:rPr>
          <w:rFonts w:ascii="Verdana" w:eastAsia="Verdana" w:hAnsi="Verdana" w:cs="Verdana"/>
          <w:kern w:val="2"/>
          <w14:ligatures w14:val="standardContextual"/>
        </w:rPr>
      </w:pPr>
    </w:p>
    <w:p w14:paraId="5FB5CFB2" w14:textId="3D945A80" w:rsidR="00A4578D" w:rsidRPr="005B6222" w:rsidRDefault="00C91D42" w:rsidP="00A4578D">
      <w:pPr>
        <w:spacing w:after="0" w:line="240" w:lineRule="auto"/>
        <w:jc w:val="right"/>
        <w:rPr>
          <w:rFonts w:ascii="Verdana" w:eastAsia="Verdana" w:hAnsi="Verdana" w:cs="Verdana"/>
          <w:kern w:val="2"/>
          <w14:ligatures w14:val="standardContextual"/>
        </w:rPr>
      </w:pPr>
      <w:r w:rsidRPr="00A4578D">
        <w:rPr>
          <w:rFonts w:ascii="Verdana" w:eastAsia="Verdana" w:hAnsi="Verdana" w:cs="Verdana"/>
          <w:noProof/>
          <w:kern w:val="2"/>
          <w14:ligatures w14:val="standardContextual"/>
        </w:rPr>
        <w:drawing>
          <wp:anchor distT="0" distB="0" distL="114300" distR="114300" simplePos="0" relativeHeight="251658240" behindDoc="0" locked="0" layoutInCell="1" allowOverlap="1" wp14:anchorId="4AD4E968" wp14:editId="7F60A342">
            <wp:simplePos x="0" y="0"/>
            <wp:positionH relativeFrom="margin">
              <wp:align>right</wp:align>
            </wp:positionH>
            <wp:positionV relativeFrom="paragraph">
              <wp:posOffset>11761</wp:posOffset>
            </wp:positionV>
            <wp:extent cx="2341880" cy="906145"/>
            <wp:effectExtent l="0" t="0" r="1270" b="8255"/>
            <wp:wrapSquare wrapText="bothSides"/>
            <wp:docPr id="4238042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804232" name=""/>
                    <pic:cNvPicPr/>
                  </pic:nvPicPr>
                  <pic:blipFill>
                    <a:blip r:embed="rId10">
                      <a:extLst>
                        <a:ext uri="{28A0092B-C50C-407E-A947-70E740481C1C}">
                          <a14:useLocalDpi xmlns:a14="http://schemas.microsoft.com/office/drawing/2010/main" val="0"/>
                        </a:ext>
                      </a:extLst>
                    </a:blip>
                    <a:stretch>
                      <a:fillRect/>
                    </a:stretch>
                  </pic:blipFill>
                  <pic:spPr>
                    <a:xfrm>
                      <a:off x="0" y="0"/>
                      <a:ext cx="2341880" cy="906145"/>
                    </a:xfrm>
                    <a:prstGeom prst="rect">
                      <a:avLst/>
                    </a:prstGeom>
                  </pic:spPr>
                </pic:pic>
              </a:graphicData>
            </a:graphic>
            <wp14:sizeRelH relativeFrom="margin">
              <wp14:pctWidth>0</wp14:pctWidth>
            </wp14:sizeRelH>
            <wp14:sizeRelV relativeFrom="margin">
              <wp14:pctHeight>0</wp14:pctHeight>
            </wp14:sizeRelV>
          </wp:anchor>
        </w:drawing>
      </w:r>
    </w:p>
    <w:p w14:paraId="65CF1BAE" w14:textId="77777777" w:rsidR="005B6222" w:rsidRPr="005B6222" w:rsidRDefault="005B6222" w:rsidP="005B6222">
      <w:pPr>
        <w:spacing w:after="0" w:line="240" w:lineRule="auto"/>
        <w:rPr>
          <w:rFonts w:ascii="Verdana" w:eastAsia="Aptos" w:hAnsi="Verdana" w:cs="Times New Roman"/>
          <w:sz w:val="24"/>
          <w:szCs w:val="24"/>
          <w:lang w:eastAsia="es-MX"/>
        </w:rPr>
      </w:pPr>
    </w:p>
    <w:p w14:paraId="5565C03F" w14:textId="77777777" w:rsidR="005B6222" w:rsidRPr="005B6222" w:rsidRDefault="005B6222" w:rsidP="005B6222">
      <w:pPr>
        <w:spacing w:after="0" w:line="240" w:lineRule="auto"/>
        <w:rPr>
          <w:rFonts w:ascii="Verdana" w:eastAsia="Calibri" w:hAnsi="Verdana" w:cs="Arial"/>
          <w:lang w:val="es-ES" w:eastAsia="es-ES"/>
        </w:rPr>
      </w:pPr>
      <w:r w:rsidRPr="005B6222">
        <w:rPr>
          <w:rFonts w:ascii="Verdana" w:eastAsia="Calibri" w:hAnsi="Verdana" w:cs="Arial"/>
          <w:lang w:val="es-ES" w:eastAsia="es-ES"/>
        </w:rPr>
        <w:t>Señor</w:t>
      </w:r>
    </w:p>
    <w:p w14:paraId="3B8D0927" w14:textId="77777777" w:rsidR="005B6222" w:rsidRPr="005B6222" w:rsidRDefault="005B6222" w:rsidP="005B6222">
      <w:pPr>
        <w:spacing w:after="0" w:line="240" w:lineRule="auto"/>
        <w:rPr>
          <w:rFonts w:ascii="Verdana" w:eastAsia="Calibri" w:hAnsi="Verdana" w:cs="Arial"/>
          <w:b/>
          <w:bCs/>
          <w:lang w:val="es-ES" w:eastAsia="es-ES"/>
        </w:rPr>
      </w:pPr>
      <w:r w:rsidRPr="005B6222">
        <w:rPr>
          <w:rFonts w:ascii="Verdana" w:eastAsia="Calibri" w:hAnsi="Verdana" w:cs="Arial"/>
          <w:b/>
          <w:bCs/>
          <w:lang w:val="es-ES" w:eastAsia="es-ES"/>
        </w:rPr>
        <w:t>Elian Mateo Salazar Romero</w:t>
      </w:r>
    </w:p>
    <w:p w14:paraId="2CA4F5F6" w14:textId="77777777" w:rsidR="005B6222" w:rsidRPr="005B6222" w:rsidRDefault="005B6222" w:rsidP="005B6222">
      <w:pPr>
        <w:spacing w:after="0" w:line="240" w:lineRule="auto"/>
        <w:rPr>
          <w:rFonts w:ascii="Verdana" w:eastAsia="Aptos" w:hAnsi="Verdana" w:cs="Times New Roman"/>
          <w:lang w:eastAsia="es-MX"/>
        </w:rPr>
      </w:pPr>
      <w:r w:rsidRPr="005B6222">
        <w:rPr>
          <w:rFonts w:ascii="Verdana" w:eastAsia="Aptos" w:hAnsi="Verdana" w:cs="Times New Roman"/>
          <w:lang w:eastAsia="es-MX"/>
        </w:rPr>
        <w:t>Bogotá D.C</w:t>
      </w:r>
    </w:p>
    <w:p w14:paraId="4F7C9B35" w14:textId="77777777" w:rsidR="005B6222" w:rsidRPr="005B6222" w:rsidRDefault="005B6222" w:rsidP="005B6222">
      <w:pPr>
        <w:spacing w:after="0" w:line="240" w:lineRule="auto"/>
        <w:rPr>
          <w:rFonts w:ascii="Verdana" w:eastAsia="Calibri" w:hAnsi="Verdana" w:cs="Arial"/>
          <w:b/>
          <w:bCs/>
          <w:lang w:eastAsia="es-ES_tradnl"/>
        </w:rPr>
      </w:pPr>
    </w:p>
    <w:p w14:paraId="7A5B2CF9" w14:textId="77777777" w:rsidR="005B6222" w:rsidRPr="005B6222" w:rsidRDefault="005B6222" w:rsidP="005B6222">
      <w:pPr>
        <w:spacing w:after="0" w:line="240" w:lineRule="auto"/>
        <w:rPr>
          <w:rFonts w:ascii="Verdana" w:eastAsia="Calibri" w:hAnsi="Verdana" w:cs="Arial"/>
          <w:b/>
          <w:bCs/>
          <w:lang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5B6222" w:rsidRPr="005B6222" w14:paraId="41884547" w14:textId="77777777" w:rsidTr="003D59B9">
        <w:trPr>
          <w:trHeight w:val="229"/>
        </w:trPr>
        <w:tc>
          <w:tcPr>
            <w:tcW w:w="2268" w:type="dxa"/>
          </w:tcPr>
          <w:p w14:paraId="16D93BCE" w14:textId="77777777" w:rsidR="005B6222" w:rsidRPr="005B6222" w:rsidRDefault="005B6222" w:rsidP="005B6222">
            <w:pPr>
              <w:jc w:val="both"/>
              <w:rPr>
                <w:rFonts w:ascii="Verdana" w:eastAsia="Calibri" w:hAnsi="Verdana" w:cs="Arial"/>
                <w:b/>
                <w:bCs/>
                <w:lang w:val="es-ES_tradnl" w:eastAsia="es-ES_tradnl"/>
              </w:rPr>
            </w:pPr>
          </w:p>
        </w:tc>
        <w:tc>
          <w:tcPr>
            <w:tcW w:w="6100" w:type="dxa"/>
          </w:tcPr>
          <w:p w14:paraId="26D7FE2B" w14:textId="77777777" w:rsidR="005B6222" w:rsidRPr="005B6222" w:rsidRDefault="005B6222" w:rsidP="005B6222">
            <w:pPr>
              <w:jc w:val="both"/>
              <w:rPr>
                <w:rFonts w:ascii="Verdana" w:eastAsia="Calibri" w:hAnsi="Verdana" w:cs="Arial"/>
                <w:b/>
                <w:bCs/>
                <w:lang w:val="es-ES" w:eastAsia="es-ES"/>
              </w:rPr>
            </w:pPr>
            <w:r w:rsidRPr="005B6222">
              <w:rPr>
                <w:rFonts w:ascii="Verdana" w:eastAsia="Calibri" w:hAnsi="Verdana" w:cs="Arial"/>
                <w:b/>
                <w:bCs/>
                <w:lang w:val="es-ES" w:eastAsia="es-ES"/>
              </w:rPr>
              <w:t xml:space="preserve">Concepto </w:t>
            </w:r>
            <w:bookmarkStart w:id="1" w:name="OLE_LINK1"/>
            <w:r w:rsidRPr="005B6222">
              <w:rPr>
                <w:rFonts w:ascii="Verdana" w:eastAsia="Calibri" w:hAnsi="Verdana" w:cs="Arial"/>
                <w:b/>
                <w:bCs/>
                <w:lang w:val="es-ES" w:eastAsia="es-ES"/>
              </w:rPr>
              <w:t>C-790 de 2026</w:t>
            </w:r>
            <w:bookmarkEnd w:id="1"/>
          </w:p>
          <w:p w14:paraId="473E712A" w14:textId="77777777" w:rsidR="005B6222" w:rsidRPr="005B6222" w:rsidRDefault="005B6222" w:rsidP="005B6222">
            <w:pPr>
              <w:jc w:val="both"/>
              <w:rPr>
                <w:rFonts w:ascii="Verdana" w:eastAsia="Calibri" w:hAnsi="Verdana" w:cs="Arial"/>
                <w:b/>
                <w:bCs/>
                <w:lang w:val="es-ES" w:eastAsia="es-ES"/>
              </w:rPr>
            </w:pPr>
          </w:p>
        </w:tc>
      </w:tr>
      <w:tr w:rsidR="005B6222" w:rsidRPr="005B6222" w14:paraId="3524A292" w14:textId="77777777" w:rsidTr="003D59B9">
        <w:trPr>
          <w:trHeight w:val="884"/>
        </w:trPr>
        <w:tc>
          <w:tcPr>
            <w:tcW w:w="2268" w:type="dxa"/>
          </w:tcPr>
          <w:p w14:paraId="23D699A6" w14:textId="77777777" w:rsidR="005B6222" w:rsidRPr="005B6222" w:rsidRDefault="005B6222" w:rsidP="005B6222">
            <w:pPr>
              <w:jc w:val="both"/>
              <w:rPr>
                <w:rFonts w:ascii="Verdana" w:eastAsia="Calibri" w:hAnsi="Verdana" w:cs="Arial"/>
                <w:lang w:val="es-ES_tradnl" w:eastAsia="es-ES_tradnl"/>
              </w:rPr>
            </w:pPr>
            <w:r w:rsidRPr="005B6222">
              <w:rPr>
                <w:rFonts w:ascii="Verdana" w:eastAsia="Calibri" w:hAnsi="Verdana" w:cs="Arial"/>
                <w:b/>
                <w:lang w:val="es-ES_tradnl" w:eastAsia="es-ES_tradnl"/>
              </w:rPr>
              <w:t>Temas:</w:t>
            </w:r>
            <w:r w:rsidRPr="005B6222">
              <w:rPr>
                <w:rFonts w:ascii="Verdana" w:eastAsia="Calibri" w:hAnsi="Verdana" w:cs="Arial"/>
                <w:lang w:val="es-ES_tradnl" w:eastAsia="es-ES_tradnl"/>
              </w:rPr>
              <w:t xml:space="preserve">                   </w:t>
            </w:r>
          </w:p>
        </w:tc>
        <w:tc>
          <w:tcPr>
            <w:tcW w:w="6100" w:type="dxa"/>
          </w:tcPr>
          <w:p w14:paraId="7AD13B82" w14:textId="77777777" w:rsidR="005B6222" w:rsidRPr="005B6222" w:rsidRDefault="005B6222" w:rsidP="005B6222">
            <w:pPr>
              <w:spacing w:line="276" w:lineRule="auto"/>
              <w:jc w:val="both"/>
              <w:rPr>
                <w:rFonts w:ascii="Verdana" w:eastAsia="Calibri" w:hAnsi="Verdana" w:cs="Arial"/>
                <w:lang w:val="es-ES_tradnl" w:eastAsia="es-MX"/>
              </w:rPr>
            </w:pPr>
            <w:r w:rsidRPr="005B6222">
              <w:rPr>
                <w:rFonts w:ascii="Verdana" w:eastAsia="Calibri" w:hAnsi="Verdana" w:cs="Arial"/>
                <w:lang w:val="es-ES_tradnl" w:eastAsia="es-MX"/>
              </w:rPr>
              <w:t>DOCUMENTOS TIPO – Fundamento normativo – Obligatoriedad / SECTOR SOCIAL</w:t>
            </w:r>
            <w:r w:rsidRPr="005B6222">
              <w:rPr>
                <w:rFonts w:ascii="Verdana" w:eastAsia="Calibri" w:hAnsi="Verdana" w:cs="Times New Roman"/>
                <w:lang w:val="es-ES" w:eastAsia="es-MX"/>
              </w:rPr>
              <w:t xml:space="preserve"> – Documentos tipo – Vigentes</w:t>
            </w:r>
            <w:r w:rsidRPr="005B6222">
              <w:rPr>
                <w:rFonts w:ascii="Verdana" w:eastAsia="Calibri" w:hAnsi="Verdana" w:cs="Arial"/>
                <w:lang w:val="es-ES_tradnl" w:eastAsia="es-MX"/>
              </w:rPr>
              <w:t xml:space="preserve"> / </w:t>
            </w:r>
            <w:r w:rsidRPr="005B6222">
              <w:rPr>
                <w:rFonts w:ascii="Verdana" w:eastAsia="Calibri" w:hAnsi="Verdana" w:cs="Times New Roman"/>
                <w:lang w:val="es-ES" w:eastAsia="es-MX"/>
              </w:rPr>
              <w:t xml:space="preserve">DOCUMENTOS TIPO – Aplicación – Matriz de Experiencia </w:t>
            </w:r>
            <w:r w:rsidRPr="005B6222">
              <w:rPr>
                <w:rFonts w:ascii="Verdana" w:eastAsia="Calibri" w:hAnsi="Verdana" w:cs="Arial"/>
                <w:lang w:val="es-ES" w:eastAsia="es-MX"/>
              </w:rPr>
              <w:t xml:space="preserve">/ </w:t>
            </w:r>
            <w:r w:rsidRPr="005B6222">
              <w:rPr>
                <w:rFonts w:ascii="Verdana" w:eastAsia="Calibri" w:hAnsi="Verdana" w:cs="Times New Roman"/>
                <w:lang w:val="es-ES" w:eastAsia="es-MX"/>
              </w:rPr>
              <w:t>DOCUMENTOS TIPO – Sector social – Cultura, recreación y deporte – Tipos de infraestructuras – Matriz 1 – Experiencia</w:t>
            </w:r>
            <w:r w:rsidRPr="005B6222">
              <w:rPr>
                <w:rFonts w:ascii="Verdana" w:eastAsia="Calibri" w:hAnsi="Verdana" w:cs="Arial"/>
                <w:lang w:val="es-ES" w:eastAsia="es-MX"/>
              </w:rPr>
              <w:t xml:space="preserve"> / </w:t>
            </w:r>
            <w:r w:rsidRPr="005B6222">
              <w:rPr>
                <w:rFonts w:ascii="Verdana" w:eastAsia="Calibri" w:hAnsi="Verdana" w:cs="Times New Roman"/>
                <w:lang w:val="es-ES" w:eastAsia="es-MX"/>
              </w:rPr>
              <w:t>SECTOR SOCIAL – Documentos tipo – Cultura, recreación y deporte – Tipos de infraestructuras – Infraestructura cultural – Alcance – NSR-10 – Anexo Glosario</w:t>
            </w:r>
            <w:r w:rsidRPr="005B6222">
              <w:rPr>
                <w:rFonts w:ascii="Verdana" w:eastAsia="Calibri" w:hAnsi="Verdana" w:cs="Arial"/>
                <w:lang w:val="es-ES" w:eastAsia="es-MX"/>
              </w:rPr>
              <w:t xml:space="preserve"> / </w:t>
            </w:r>
            <w:r w:rsidRPr="005B6222">
              <w:rPr>
                <w:rFonts w:ascii="Verdana" w:eastAsia="Calibri" w:hAnsi="Verdana" w:cs="Times New Roman"/>
                <w:lang w:val="es-ES" w:eastAsia="es-MX"/>
              </w:rPr>
              <w:t>ACTIVIDAD 1.1 – Documentos tipo – Cultura, recreación y deporte – Matriz 1 – Experiencia en edificaciones – Alcance</w:t>
            </w:r>
          </w:p>
          <w:p w14:paraId="47E4F1FF" w14:textId="77777777" w:rsidR="005B6222" w:rsidRPr="005B6222" w:rsidRDefault="005B6222" w:rsidP="005B6222">
            <w:pPr>
              <w:jc w:val="both"/>
              <w:rPr>
                <w:rFonts w:ascii="Verdana" w:eastAsia="Calibri" w:hAnsi="Verdana" w:cs="Arial"/>
                <w:bCs/>
                <w:lang w:val="es-ES_tradnl" w:eastAsia="es-ES"/>
              </w:rPr>
            </w:pPr>
          </w:p>
        </w:tc>
      </w:tr>
      <w:tr w:rsidR="005B6222" w:rsidRPr="005B6222" w14:paraId="5EBEECC5" w14:textId="77777777" w:rsidTr="003D59B9">
        <w:tc>
          <w:tcPr>
            <w:tcW w:w="2268" w:type="dxa"/>
          </w:tcPr>
          <w:p w14:paraId="597D9A32" w14:textId="77777777" w:rsidR="005B6222" w:rsidRPr="005B6222" w:rsidRDefault="005B6222" w:rsidP="005B6222">
            <w:pPr>
              <w:jc w:val="both"/>
              <w:rPr>
                <w:rFonts w:ascii="Verdana" w:eastAsia="Calibri" w:hAnsi="Verdana" w:cs="Arial"/>
                <w:b/>
                <w:lang w:val="es-ES_tradnl" w:eastAsia="es-ES_tradnl"/>
              </w:rPr>
            </w:pPr>
            <w:r w:rsidRPr="005B6222">
              <w:rPr>
                <w:rFonts w:ascii="Verdana" w:eastAsia="Calibri" w:hAnsi="Verdana" w:cs="Arial"/>
                <w:b/>
                <w:lang w:val="es-ES_tradnl" w:eastAsia="es-ES_tradnl"/>
              </w:rPr>
              <w:t>Radicación:</w:t>
            </w:r>
            <w:r w:rsidRPr="005B6222">
              <w:rPr>
                <w:rFonts w:ascii="Verdana" w:eastAsia="Calibri" w:hAnsi="Verdana" w:cs="Arial"/>
                <w:lang w:val="es-ES_tradnl" w:eastAsia="es-ES_tradnl"/>
              </w:rPr>
              <w:t xml:space="preserve">               </w:t>
            </w:r>
          </w:p>
        </w:tc>
        <w:tc>
          <w:tcPr>
            <w:tcW w:w="6100" w:type="dxa"/>
          </w:tcPr>
          <w:p w14:paraId="4291643A" w14:textId="77777777" w:rsidR="005B6222" w:rsidRPr="005B6222" w:rsidRDefault="005B6222" w:rsidP="005B6222">
            <w:pPr>
              <w:ind w:left="3" w:hanging="3"/>
              <w:jc w:val="both"/>
              <w:rPr>
                <w:rFonts w:ascii="Verdana" w:eastAsia="Calibri" w:hAnsi="Verdana" w:cs="Arial"/>
                <w:lang w:val="es-ES_tradnl" w:eastAsia="es-ES_tradnl"/>
              </w:rPr>
            </w:pPr>
            <w:r w:rsidRPr="005B6222">
              <w:rPr>
                <w:rFonts w:ascii="Verdana" w:eastAsia="Calibri" w:hAnsi="Verdana" w:cs="Arial"/>
                <w:lang w:val="es-ES_tradnl" w:eastAsia="es-ES_tradnl"/>
              </w:rPr>
              <w:t>Respuesta a consultas con radicados Nos. 1_2026_05_12_006416 y 1_2026_05_09_006340</w:t>
            </w:r>
          </w:p>
        </w:tc>
      </w:tr>
    </w:tbl>
    <w:p w14:paraId="5D8E2A64" w14:textId="77777777" w:rsidR="005B6222" w:rsidRPr="005B6222" w:rsidRDefault="005B6222" w:rsidP="005B6222">
      <w:pPr>
        <w:spacing w:after="0" w:line="240" w:lineRule="auto"/>
        <w:jc w:val="both"/>
        <w:rPr>
          <w:rFonts w:ascii="Verdana" w:eastAsia="Calibri" w:hAnsi="Verdana" w:cs="Arial"/>
          <w:lang w:val="es-ES_tradnl" w:eastAsia="es-ES_tradnl"/>
        </w:rPr>
      </w:pPr>
    </w:p>
    <w:p w14:paraId="31FD1C97" w14:textId="77777777" w:rsidR="005B6222" w:rsidRPr="005B6222" w:rsidRDefault="005B6222" w:rsidP="005B6222">
      <w:pPr>
        <w:spacing w:after="0" w:line="276" w:lineRule="auto"/>
        <w:jc w:val="both"/>
        <w:rPr>
          <w:rFonts w:ascii="Verdana" w:eastAsia="Calibri" w:hAnsi="Verdana" w:cs="Arial"/>
          <w:lang w:val="es-ES" w:eastAsia="es-ES"/>
        </w:rPr>
      </w:pPr>
      <w:r w:rsidRPr="005B6222">
        <w:rPr>
          <w:rFonts w:ascii="Verdana" w:eastAsia="Calibri" w:hAnsi="Verdana" w:cs="Arial"/>
          <w:lang w:val="es-ES" w:eastAsia="es-ES"/>
        </w:rPr>
        <w:t xml:space="preserve">Estimado señor Salazar Romero: </w:t>
      </w:r>
    </w:p>
    <w:p w14:paraId="563E93A9" w14:textId="77777777" w:rsidR="005B6222" w:rsidRPr="005B6222" w:rsidRDefault="005B6222" w:rsidP="005B6222">
      <w:pPr>
        <w:tabs>
          <w:tab w:val="left" w:pos="3768"/>
        </w:tabs>
        <w:spacing w:after="0" w:line="276" w:lineRule="auto"/>
        <w:jc w:val="both"/>
        <w:rPr>
          <w:rFonts w:ascii="Verdana" w:eastAsia="Calibri" w:hAnsi="Verdana" w:cs="Arial"/>
          <w:lang w:val="es-ES" w:eastAsia="es-ES"/>
        </w:rPr>
      </w:pPr>
      <w:r w:rsidRPr="005B6222">
        <w:rPr>
          <w:rFonts w:ascii="Verdana" w:eastAsia="Calibri" w:hAnsi="Verdana" w:cs="Arial"/>
          <w:lang w:val="es-ES" w:eastAsia="es-ES"/>
        </w:rPr>
        <w:tab/>
      </w:r>
    </w:p>
    <w:p w14:paraId="39B3AD2F" w14:textId="77777777" w:rsidR="005B6222" w:rsidRPr="005B6222" w:rsidRDefault="005B6222" w:rsidP="005B6222">
      <w:pPr>
        <w:spacing w:after="0" w:line="276" w:lineRule="auto"/>
        <w:jc w:val="both"/>
        <w:rPr>
          <w:rFonts w:ascii="Verdana" w:eastAsia="Calibri" w:hAnsi="Verdana" w:cs="Arial"/>
          <w:lang w:val="es-ES" w:eastAsia="es-ES"/>
        </w:rPr>
      </w:pPr>
      <w:r w:rsidRPr="005B6222">
        <w:rPr>
          <w:rFonts w:ascii="Verdana" w:eastAsia="Calibri" w:hAnsi="Verdana" w:cs="Arial"/>
          <w:lang w:val="es-ES" w:eastAsia="es-ES"/>
        </w:rPr>
        <w:t>En ejercicio de la competencia otorgada por los artículos 3, numeral 5º, y 11, numeral 8º, del Decreto Ley 4170 de 2011,</w:t>
      </w:r>
      <w:r w:rsidRPr="005B6222">
        <w:rPr>
          <w:rFonts w:ascii="Verdana" w:eastAsia="Arial MT" w:hAnsi="Verdana" w:cs="Arial MT"/>
          <w:lang w:val="es-ES" w:eastAsia="es-ES"/>
        </w:rPr>
        <w:t xml:space="preserve"> </w:t>
      </w:r>
      <w:r w:rsidRPr="005B6222">
        <w:rPr>
          <w:rFonts w:ascii="Verdana" w:eastAsia="Calibri" w:hAnsi="Verdana" w:cs="Arial"/>
          <w:lang w:eastAsia="es-MX"/>
        </w:rPr>
        <w:t xml:space="preserve">así como lo establecido por la </w:t>
      </w:r>
      <w:r w:rsidRPr="005B6222">
        <w:rPr>
          <w:rFonts w:ascii="Verdana" w:eastAsia="Aptos" w:hAnsi="Verdana" w:cs="Arial"/>
          <w:bCs/>
          <w:lang w:eastAsia="es-ES" w:bidi="es-ES"/>
        </w:rPr>
        <w:t>Resolución 469 de 2025 expedida por esta Entidad</w:t>
      </w:r>
      <w:r w:rsidRPr="005B6222">
        <w:rPr>
          <w:rFonts w:ascii="Verdana" w:eastAsia="Calibri" w:hAnsi="Verdana" w:cs="Arial"/>
          <w:lang w:eastAsia="es-MX"/>
        </w:rPr>
        <w:t xml:space="preserve">, </w:t>
      </w:r>
      <w:r w:rsidRPr="005B6222">
        <w:rPr>
          <w:rFonts w:ascii="Verdana" w:eastAsia="Calibri" w:hAnsi="Verdana" w:cs="Arial"/>
          <w:lang w:val="es-ES" w:eastAsia="es-ES"/>
        </w:rPr>
        <w:t xml:space="preserve">la Agencia Nacional de Contratación Pública – Colombia Compra Eficiente responde sus solicitudes de consulta del 9 de mayo de 2026, en las cuales manifiesta lo siguiente: </w:t>
      </w:r>
    </w:p>
    <w:p w14:paraId="3D07C867" w14:textId="77777777" w:rsidR="005B6222" w:rsidRPr="005B6222" w:rsidRDefault="005B6222" w:rsidP="005B6222">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6E9FF992"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Century Gothic" w:hAnsi="Verdana" w:cs="Arial"/>
          <w:sz w:val="20"/>
          <w:szCs w:val="20"/>
          <w:lang w:val="es-ES" w:eastAsia="es-MX"/>
        </w:rPr>
        <w:t>“</w:t>
      </w:r>
      <w:r w:rsidRPr="005B6222">
        <w:rPr>
          <w:rFonts w:ascii="Verdana" w:eastAsia="Aptos" w:hAnsi="Verdana" w:cs="Times New Roman"/>
          <w:kern w:val="2"/>
          <w:sz w:val="20"/>
          <w:szCs w:val="20"/>
          <w14:ligatures w14:val="standardContextual"/>
        </w:rPr>
        <w:t xml:space="preserve">La presente consulta se formula con fundamento en la necesidad de garantizar la correcta aplicación de los Documentos Tipo y los principios de selección objetiva, transparencia e igualdad previstos en la Ley 80 de 1993, Ley 1150 de 2007 y Decreto 1082 de 2015. </w:t>
      </w:r>
    </w:p>
    <w:p w14:paraId="0A36544C"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lastRenderedPageBreak/>
        <w:t xml:space="preserve">Si en un proceso contractual, la matriz de experiencia establece como ACTIVIDAD PRINCIPAL lo siguiente: “PROYECTOS DE CONSTRUCCIÓN Y/O AMPLIACIÓN Y/O RECONSTRUCCIÓN DE INFRAESTRUCTURA CULTURAL”. </w:t>
      </w:r>
    </w:p>
    <w:p w14:paraId="614C9DA2" w14:textId="77777777" w:rsidR="005B6222" w:rsidRPr="005B6222" w:rsidRDefault="005B6222" w:rsidP="005B6222">
      <w:pPr>
        <w:spacing w:after="120" w:line="240" w:lineRule="auto"/>
        <w:ind w:left="709" w:right="709"/>
        <w:jc w:val="both"/>
        <w:rPr>
          <w:rFonts w:ascii="Verdana" w:eastAsia="Times New Roman" w:hAnsi="Verdana" w:cs="Times New Roman"/>
          <w:sz w:val="20"/>
          <w:szCs w:val="20"/>
          <w:lang w:eastAsia="es-MX"/>
        </w:rPr>
      </w:pPr>
      <w:r w:rsidRPr="005B6222">
        <w:rPr>
          <w:rFonts w:ascii="Verdana" w:eastAsia="Aptos" w:hAnsi="Verdana" w:cs="Times New Roman"/>
          <w:kern w:val="2"/>
          <w:sz w:val="20"/>
          <w:szCs w:val="20"/>
          <w14:ligatures w14:val="standardContextual"/>
        </w:rPr>
        <w:t>Adicionalmente, la matriz incorpora en columnas posteriores referencias relacionadas con experiencia general; actividades de construcción, ampliación o reconstrucción de edificaciones y áreas mínimas construidas. Frente a dicha estructura, respetuosamente se solicita orientación respecto de la correcta interpretación integral de las columnas de la matriz de experiencia, particularmente en relación con los siguientes aspectos:</w:t>
      </w:r>
    </w:p>
    <w:p w14:paraId="53482844"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 xml:space="preserve">1. Si la expresión “INFRAESTRUCTURA CULTURAL” contenida en la primera columna constituye una delimitación funcional obligatoria del tipo de experiencia exigida. </w:t>
      </w:r>
    </w:p>
    <w:p w14:paraId="123D9F6F"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 xml:space="preserve">2. Si las referencias posteriores relacionadas con “edificaciones” únicamente complementan el tipo de intervención constructiva y área requerida, sin eliminar la exigencia principal correspondiente a infraestructura cultural. </w:t>
      </w:r>
    </w:p>
    <w:p w14:paraId="611A19EC"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3. Si resulta jurídicamente procedente considerar como equivalentes contratos correspondientes a infraestructura educativa, institucional, hospitalaria o administrativa, únicamente por tratarse de edificaciones, aun cuando la matriz delimitó expresamente la experiencia como “infraestructura cultural”.</w:t>
      </w:r>
    </w:p>
    <w:p w14:paraId="41616034"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4. Si la interpretación correcta de la matriz debe realizarse de forma integral y sistemática entre todas sus columnas, otorgando efecto útil a cada una de las expresiones incorporadas por la Entidad.</w:t>
      </w:r>
    </w:p>
    <w:p w14:paraId="4FB49331"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La presente consulta se fundamenta además en que el propio Documento Tipo de Infraestructura Social diferencia expresamente diversos subsectores funcionales tales como: infraestructura educativa; infraestructura de salud; infraestructura institucional; infraestructura de vivienda; infraestructura cultural e infraestructura recreativa y deportiva.</w:t>
      </w:r>
    </w:p>
    <w:p w14:paraId="5D7F92A5"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 xml:space="preserve">lo cual permitiría inferir que cada categoría posee identidad funcional propia y no resulta automáticamente homologable con otra. </w:t>
      </w:r>
    </w:p>
    <w:p w14:paraId="0229A79A"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 xml:space="preserve">Así mismo, desde el punto de vista técnico y normativo, el Reglamento Colombiano de Construcción Sismo Resistente NSR-10 reconoce distintas tipologías y ocupaciones de las edificaciones según su destinación funcional, diferenciando entre: edificaciones educativas; bibliotecas; auditorios; teatros; museos; casas de cultura; centros culturales; lugares de reunión; edificaciones institucionales; edificaciones hospitalarias; edificaciones comerciales; entre otras categorías funcionales con exigencias técnicas y ocupacionales diferenciadas. </w:t>
      </w:r>
    </w:p>
    <w:p w14:paraId="130F6264"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 xml:space="preserve">En tal sentido, si bien un colegio corresponde técnicamente a una edificación y hace parte de la infraestructura social, su naturaleza funcional </w:t>
      </w:r>
      <w:r w:rsidRPr="005B6222">
        <w:rPr>
          <w:rFonts w:ascii="Verdana" w:eastAsia="Aptos" w:hAnsi="Verdana" w:cs="Times New Roman"/>
          <w:kern w:val="2"/>
          <w:sz w:val="20"/>
          <w:szCs w:val="20"/>
          <w14:ligatures w14:val="standardContextual"/>
        </w:rPr>
        <w:lastRenderedPageBreak/>
        <w:t xml:space="preserve">corresponde al subsector educativo y no al subsector cultural, razón por la cual respetuosamente se solicita orientación sobre si dicha tipología </w:t>
      </w:r>
      <w:proofErr w:type="gramStart"/>
      <w:r w:rsidRPr="005B6222">
        <w:rPr>
          <w:rFonts w:ascii="Verdana" w:eastAsia="Aptos" w:hAnsi="Verdana" w:cs="Times New Roman"/>
          <w:kern w:val="2"/>
          <w:sz w:val="20"/>
          <w:szCs w:val="20"/>
          <w14:ligatures w14:val="standardContextual"/>
        </w:rPr>
        <w:t>podría</w:t>
      </w:r>
      <w:proofErr w:type="gramEnd"/>
      <w:r w:rsidRPr="005B6222">
        <w:rPr>
          <w:rFonts w:ascii="Verdana" w:eastAsia="Aptos" w:hAnsi="Verdana" w:cs="Times New Roman"/>
          <w:kern w:val="2"/>
          <w:sz w:val="20"/>
          <w:szCs w:val="20"/>
          <w14:ligatures w14:val="standardContextual"/>
        </w:rPr>
        <w:t xml:space="preserve"> válidamente acreditar experiencia exigida específicamente como “infraestructura cultural”. </w:t>
      </w:r>
    </w:p>
    <w:p w14:paraId="503E4695" w14:textId="77777777" w:rsidR="005B6222" w:rsidRPr="005B6222" w:rsidRDefault="005B6222" w:rsidP="005B6222">
      <w:pPr>
        <w:spacing w:after="120" w:line="240" w:lineRule="auto"/>
        <w:ind w:left="709" w:right="709"/>
        <w:jc w:val="both"/>
        <w:rPr>
          <w:rFonts w:ascii="Verdana" w:eastAsia="Aptos" w:hAnsi="Verdana" w:cs="Times New Roman"/>
          <w:kern w:val="2"/>
          <w:sz w:val="20"/>
          <w:szCs w:val="20"/>
          <w14:ligatures w14:val="standardContextual"/>
        </w:rPr>
      </w:pPr>
      <w:r w:rsidRPr="005B6222">
        <w:rPr>
          <w:rFonts w:ascii="Verdana" w:eastAsia="Aptos" w:hAnsi="Verdana" w:cs="Times New Roman"/>
          <w:kern w:val="2"/>
          <w:sz w:val="20"/>
          <w:szCs w:val="20"/>
          <w14:ligatures w14:val="standardContextual"/>
        </w:rPr>
        <w:t>Lo anterior cobra especial relevancia teniendo en cuenta que una interpretación amplia según la cual cualquier tipo de edificación acredita automáticamente infraestructura cultural podría dejar sin efecto útil la delimitación funcional incorporada expresamente por la Entidad en la primera columna de la matriz de experiencia. En consecuencia, respetuosamente se solicita a esa Agencia emitir orientación conceptual respecto de si la experiencia exigida como “infraestructura cultural” debe acreditarse específicamente con proyectos cuya naturaleza funcional corresponda efectivamente al subsector cultural, tales como: bibliotecas; casas de cultura; teatros; auditorios culturales; centros culturales; museos; escenarios culturales; complejos culturales; centros comunitarios culturales; salas culturales u otras edificaciones cuya destinación principal corresponda efectivamente al uso cultural; o si cualquier tipo de edificación perteneciente a otro subsector de infraestructura social podría entenderse válida para acreditar dicho requisito.</w:t>
      </w:r>
    </w:p>
    <w:p w14:paraId="0026B213" w14:textId="77777777" w:rsidR="005B6222" w:rsidRPr="005B6222" w:rsidRDefault="005B6222" w:rsidP="005B6222">
      <w:pPr>
        <w:spacing w:after="0" w:line="240" w:lineRule="auto"/>
        <w:ind w:left="709" w:right="709"/>
        <w:jc w:val="both"/>
        <w:rPr>
          <w:rFonts w:ascii="Verdana" w:eastAsia="Times New Roman" w:hAnsi="Verdana" w:cs="Times New Roman"/>
          <w:sz w:val="20"/>
          <w:szCs w:val="20"/>
          <w:lang w:eastAsia="es-MX"/>
        </w:rPr>
      </w:pPr>
      <w:r w:rsidRPr="005B6222">
        <w:rPr>
          <w:rFonts w:ascii="Verdana" w:eastAsia="Aptos" w:hAnsi="Verdana" w:cs="Times New Roman"/>
          <w:kern w:val="2"/>
          <w:sz w:val="20"/>
          <w:szCs w:val="20"/>
          <w14:ligatures w14:val="standardContextual"/>
        </w:rPr>
        <w:t>Lo anterior, con el fin de garantizar la correcta aplicación de los Documentos Tipo, la selección objetiva y la uniformidad interpretativa en los procesos de contratación pública sometidos a dichos instrumentos</w:t>
      </w:r>
      <w:r w:rsidRPr="005B6222">
        <w:rPr>
          <w:rFonts w:ascii="Verdana" w:eastAsia="Times New Roman" w:hAnsi="Verdana" w:cs="Times New Roman"/>
          <w:sz w:val="20"/>
          <w:szCs w:val="20"/>
          <w:lang w:eastAsia="es-MX"/>
        </w:rPr>
        <w:t xml:space="preserve">”. </w:t>
      </w:r>
    </w:p>
    <w:p w14:paraId="678A449D" w14:textId="77777777" w:rsidR="005B6222" w:rsidRPr="005B6222" w:rsidRDefault="005B6222" w:rsidP="005B6222">
      <w:pPr>
        <w:spacing w:after="0" w:line="240" w:lineRule="auto"/>
        <w:ind w:left="709" w:right="709"/>
        <w:jc w:val="both"/>
        <w:rPr>
          <w:rFonts w:ascii="Arial" w:eastAsia="Aptos" w:hAnsi="Arial" w:cs="Arial"/>
          <w:sz w:val="21"/>
          <w:szCs w:val="21"/>
          <w:lang w:eastAsia="es-MX"/>
        </w:rPr>
      </w:pPr>
    </w:p>
    <w:p w14:paraId="3E772057" w14:textId="77777777" w:rsidR="005B6222" w:rsidRPr="005B6222" w:rsidRDefault="005B6222" w:rsidP="005B6222">
      <w:pPr>
        <w:spacing w:after="120" w:line="276" w:lineRule="auto"/>
        <w:ind w:firstLine="709"/>
        <w:jc w:val="both"/>
        <w:rPr>
          <w:rFonts w:ascii="Verdana" w:eastAsia="Calibri" w:hAnsi="Verdana" w:cs="Arial"/>
          <w:color w:val="000000"/>
          <w:lang w:val="es-ES" w:eastAsia="es-ES"/>
        </w:rPr>
      </w:pPr>
      <w:r w:rsidRPr="005B6222">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B6222">
        <w:rPr>
          <w:rFonts w:ascii="Verdana" w:eastAsia="Calibri" w:hAnsi="Verdana" w:cs="Arial"/>
          <w:color w:val="000000"/>
          <w:lang w:val="es-ES_tradnl" w:eastAsia="es-ES_tradnl"/>
        </w:rPr>
        <w:tab/>
      </w:r>
    </w:p>
    <w:p w14:paraId="7B2081A5" w14:textId="77777777" w:rsidR="005B6222" w:rsidRPr="005B6222" w:rsidRDefault="005B6222" w:rsidP="005B6222">
      <w:pPr>
        <w:spacing w:after="0" w:line="276" w:lineRule="auto"/>
        <w:ind w:firstLine="709"/>
        <w:jc w:val="both"/>
        <w:rPr>
          <w:rFonts w:ascii="Verdana" w:eastAsia="Calibri" w:hAnsi="Verdana" w:cs="Arial"/>
          <w:color w:val="000000"/>
          <w:lang w:val="es-ES" w:eastAsia="es-ES"/>
        </w:rPr>
      </w:pPr>
      <w:r w:rsidRPr="005B6222">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w:t>
      </w:r>
      <w:r w:rsidRPr="005B6222">
        <w:rPr>
          <w:rFonts w:ascii="Verdana" w:eastAsia="Calibri" w:hAnsi="Verdana" w:cs="Arial"/>
          <w:color w:val="000000"/>
          <w:lang w:val="es-ES" w:eastAsia="es-ES"/>
        </w:rPr>
        <w:lastRenderedPageBreak/>
        <w:t>consideraciones sobre las normas generales relacionadas con el</w:t>
      </w:r>
      <w:r w:rsidRPr="005B6222">
        <w:rPr>
          <w:rFonts w:ascii="Verdana" w:eastAsia="Calibri" w:hAnsi="Verdana" w:cs="Arial"/>
          <w:color w:val="7030A0"/>
          <w:lang w:val="es-ES" w:eastAsia="es-ES"/>
        </w:rPr>
        <w:t xml:space="preserve"> </w:t>
      </w:r>
      <w:r w:rsidRPr="005B6222">
        <w:rPr>
          <w:rFonts w:ascii="Verdana" w:eastAsia="Calibri" w:hAnsi="Verdana" w:cs="Arial"/>
          <w:color w:val="000000"/>
          <w:lang w:val="es-ES" w:eastAsia="es-ES"/>
        </w:rPr>
        <w:t>problema</w:t>
      </w:r>
      <w:r w:rsidRPr="005B6222">
        <w:rPr>
          <w:rFonts w:ascii="Verdana" w:eastAsia="Calibri" w:hAnsi="Verdana" w:cs="Arial"/>
          <w:color w:val="7030A0"/>
          <w:lang w:val="es-ES" w:eastAsia="es-ES"/>
        </w:rPr>
        <w:t xml:space="preserve"> </w:t>
      </w:r>
      <w:r w:rsidRPr="005B6222">
        <w:rPr>
          <w:rFonts w:ascii="Verdana" w:eastAsia="Calibri" w:hAnsi="Verdana" w:cs="Arial"/>
          <w:color w:val="000000"/>
          <w:lang w:val="es-ES" w:eastAsia="es-ES"/>
        </w:rPr>
        <w:t>jurídico</w:t>
      </w:r>
      <w:r w:rsidRPr="005B6222">
        <w:rPr>
          <w:rFonts w:ascii="Verdana" w:eastAsia="Calibri" w:hAnsi="Verdana" w:cs="Arial"/>
          <w:color w:val="7030A0"/>
          <w:lang w:val="es-ES" w:eastAsia="es-ES"/>
        </w:rPr>
        <w:t xml:space="preserve"> </w:t>
      </w:r>
      <w:r w:rsidRPr="005B6222">
        <w:rPr>
          <w:rFonts w:ascii="Verdana" w:eastAsia="Calibri" w:hAnsi="Verdana" w:cs="Arial"/>
          <w:color w:val="000000"/>
          <w:lang w:val="es-ES" w:eastAsia="es-ES"/>
        </w:rPr>
        <w:t xml:space="preserve">de su consulta. </w:t>
      </w:r>
    </w:p>
    <w:p w14:paraId="291A8131" w14:textId="77777777" w:rsidR="005B6222" w:rsidRPr="005B6222" w:rsidRDefault="005B6222" w:rsidP="005B6222">
      <w:pPr>
        <w:spacing w:after="0" w:line="276" w:lineRule="auto"/>
        <w:jc w:val="both"/>
        <w:rPr>
          <w:rFonts w:ascii="Verdana" w:eastAsia="Calibri" w:hAnsi="Verdana" w:cs="Arial"/>
          <w:lang w:val="es-ES" w:eastAsia="es-ES"/>
        </w:rPr>
      </w:pPr>
    </w:p>
    <w:p w14:paraId="78DAFE01" w14:textId="77777777" w:rsidR="005B6222" w:rsidRPr="005B6222" w:rsidRDefault="005B6222" w:rsidP="005B6222">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5B6222">
        <w:rPr>
          <w:rFonts w:ascii="Verdana" w:eastAsia="Century Gothic" w:hAnsi="Verdana" w:cs="Century Gothic"/>
          <w:b/>
          <w:bCs/>
          <w:lang w:eastAsia="es-MX"/>
        </w:rPr>
        <w:t>Problema planteado:</w:t>
      </w:r>
    </w:p>
    <w:p w14:paraId="044F57F7" w14:textId="77777777" w:rsidR="005B6222" w:rsidRPr="005B6222" w:rsidRDefault="005B6222" w:rsidP="005B6222">
      <w:pPr>
        <w:tabs>
          <w:tab w:val="left" w:pos="426"/>
        </w:tabs>
        <w:spacing w:after="0" w:line="276" w:lineRule="auto"/>
        <w:jc w:val="both"/>
        <w:rPr>
          <w:rFonts w:ascii="Verdana" w:eastAsia="Century Gothic" w:hAnsi="Verdana" w:cs="Century Gothic"/>
          <w:lang w:val="es-ES" w:eastAsia="es-MX"/>
        </w:rPr>
      </w:pPr>
    </w:p>
    <w:p w14:paraId="72EE4BE9" w14:textId="77777777" w:rsidR="005B6222" w:rsidRPr="005B6222" w:rsidRDefault="005B6222" w:rsidP="005B6222">
      <w:pPr>
        <w:spacing w:after="0" w:line="276" w:lineRule="auto"/>
        <w:jc w:val="both"/>
        <w:rPr>
          <w:rFonts w:ascii="Verdana" w:eastAsia="Aptos" w:hAnsi="Verdana" w:cs="Times New Roman"/>
          <w:kern w:val="2"/>
          <w14:ligatures w14:val="standardContextual"/>
        </w:rPr>
      </w:pPr>
      <w:r w:rsidRPr="005B6222">
        <w:rPr>
          <w:rFonts w:ascii="Verdana" w:eastAsia="Aptos" w:hAnsi="Verdana" w:cs="Times New Roman"/>
          <w:kern w:val="2"/>
          <w14:ligatures w14:val="standardContextual"/>
        </w:rPr>
        <w:t xml:space="preserve">De acuerdo con el contenido de su solicitud y en relación con los documentos tipo del sector de infraestructura social, concretamente con los adicionales del sector cultura, recreación y deporte, esta Agencia resolverá los siguientes problemas jurídicos: i) Para efectos de la aplicación de las actividades previstas en el capítulo 1 “Obras en infraestructura cultural” de la “Matriz 1 – Experiencia”, ¿qué debe entenderse por infraestructura cultural? y </w:t>
      </w:r>
      <w:proofErr w:type="spellStart"/>
      <w:r w:rsidRPr="005B6222">
        <w:rPr>
          <w:rFonts w:ascii="Verdana" w:eastAsia="Aptos" w:hAnsi="Verdana" w:cs="Times New Roman"/>
          <w:kern w:val="2"/>
          <w14:ligatures w14:val="standardContextual"/>
        </w:rPr>
        <w:t>ii</w:t>
      </w:r>
      <w:proofErr w:type="spellEnd"/>
      <w:r w:rsidRPr="005B6222">
        <w:rPr>
          <w:rFonts w:ascii="Verdana" w:eastAsia="Aptos" w:hAnsi="Verdana" w:cs="Times New Roman"/>
          <w:kern w:val="2"/>
          <w14:ligatures w14:val="standardContextual"/>
        </w:rPr>
        <w:t>) ¿Cuál es el alcance de la experiencia general en “edificaciones” exigida para la actividad 1.1 de la “Matriz 1 – Sector cultura, recreación y deporte”?</w:t>
      </w:r>
    </w:p>
    <w:p w14:paraId="3AE317CA" w14:textId="77777777" w:rsidR="005B6222" w:rsidRPr="005B6222" w:rsidRDefault="005B6222" w:rsidP="005B6222">
      <w:pPr>
        <w:spacing w:after="0" w:line="276" w:lineRule="auto"/>
        <w:jc w:val="both"/>
        <w:rPr>
          <w:rFonts w:ascii="Verdana" w:eastAsia="Century Gothic" w:hAnsi="Verdana" w:cs="Century Gothic"/>
          <w:lang w:eastAsia="es-MX"/>
        </w:rPr>
      </w:pPr>
    </w:p>
    <w:p w14:paraId="35147AAC" w14:textId="77777777" w:rsidR="005B6222" w:rsidRPr="005B6222" w:rsidRDefault="005B6222" w:rsidP="005B6222">
      <w:pPr>
        <w:tabs>
          <w:tab w:val="left" w:pos="142"/>
          <w:tab w:val="left" w:pos="284"/>
        </w:tabs>
        <w:spacing w:after="0" w:line="276" w:lineRule="auto"/>
        <w:contextualSpacing/>
        <w:jc w:val="both"/>
        <w:rPr>
          <w:rFonts w:ascii="Verdana" w:eastAsia="Century Gothic" w:hAnsi="Verdana" w:cs="Century Gothic"/>
          <w:b/>
          <w:bCs/>
          <w:lang w:val="es-ES" w:eastAsia="es-MX"/>
        </w:rPr>
      </w:pPr>
      <w:r w:rsidRPr="005B6222">
        <w:rPr>
          <w:rFonts w:ascii="Verdana" w:eastAsia="Century Gothic" w:hAnsi="Verdana" w:cs="Century Gothic"/>
          <w:b/>
          <w:bCs/>
          <w:lang w:val="es-ES" w:eastAsia="es-MX"/>
        </w:rPr>
        <w:t>2. Respuestas:</w:t>
      </w:r>
    </w:p>
    <w:p w14:paraId="6DB2ED9A" w14:textId="77777777" w:rsidR="005B6222" w:rsidRPr="005B6222" w:rsidRDefault="005B6222" w:rsidP="005B6222">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6222" w:rsidRPr="005B6222" w14:paraId="5A09E434" w14:textId="77777777" w:rsidTr="003D59B9">
        <w:trPr>
          <w:trHeight w:val="40"/>
        </w:trPr>
        <w:tc>
          <w:tcPr>
            <w:tcW w:w="8828" w:type="dxa"/>
            <w:tcBorders>
              <w:top w:val="dotted" w:sz="4" w:space="0" w:color="auto"/>
              <w:left w:val="dotted" w:sz="4" w:space="0" w:color="auto"/>
              <w:bottom w:val="dotted" w:sz="4" w:space="0" w:color="auto"/>
              <w:right w:val="dotted" w:sz="4" w:space="0" w:color="auto"/>
            </w:tcBorders>
          </w:tcPr>
          <w:p w14:paraId="045213FA" w14:textId="77777777" w:rsidR="005B6222" w:rsidRPr="005B6222" w:rsidRDefault="005B6222" w:rsidP="005B6222">
            <w:pPr>
              <w:spacing w:after="120" w:line="276" w:lineRule="auto"/>
              <w:jc w:val="both"/>
              <w:rPr>
                <w:rFonts w:ascii="Verdana" w:eastAsia="Times New Roman" w:hAnsi="Verdana" w:cs="Times New Roman"/>
                <w:color w:val="000000"/>
                <w:lang w:eastAsia="es-CO"/>
              </w:rPr>
            </w:pPr>
            <w:r w:rsidRPr="005B6222">
              <w:rPr>
                <w:rFonts w:ascii="Verdana" w:eastAsia="Times New Roman" w:hAnsi="Verdana" w:cs="Times New Roman"/>
                <w:color w:val="000000"/>
                <w:lang w:eastAsia="es-CO"/>
              </w:rPr>
              <w:t xml:space="preserve">Considerando que se indaga sobre el alcance de la expresión “Infraestructura cultural” contenida en las actividades del capítulo 1 “Obras en infraestructura cultural” de la Matriz 1 – Experiencia de los documentos </w:t>
            </w:r>
            <w:proofErr w:type="gramStart"/>
            <w:r w:rsidRPr="005B6222">
              <w:rPr>
                <w:rFonts w:ascii="Verdana" w:eastAsia="Times New Roman" w:hAnsi="Verdana" w:cs="Times New Roman"/>
                <w:color w:val="000000"/>
                <w:lang w:eastAsia="es-CO"/>
              </w:rPr>
              <w:t>tipo  complementarios</w:t>
            </w:r>
            <w:proofErr w:type="gramEnd"/>
            <w:r w:rsidRPr="005B6222">
              <w:rPr>
                <w:rFonts w:ascii="Verdana" w:eastAsia="Times New Roman" w:hAnsi="Verdana" w:cs="Times New Roman"/>
                <w:color w:val="000000"/>
                <w:lang w:eastAsia="es-CO"/>
              </w:rPr>
              <w:t xml:space="preserve"> del Sector Cultura, recreación y deporte. </w:t>
            </w:r>
            <w:r w:rsidRPr="005B6222">
              <w:rPr>
                <w:rFonts w:ascii="Verdana" w:eastAsia="Times New Roman" w:hAnsi="Verdana" w:cs="Aptos"/>
                <w:lang w:eastAsia="es-MX"/>
              </w:rPr>
              <w:t>Para interpretar la aplicación de este tipo de infraestructura, se debe tener en cuenta la nota general 1 de dicha Matriz,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5BD50801" w14:textId="77777777" w:rsidR="005B6222" w:rsidRPr="005B6222" w:rsidRDefault="005B6222" w:rsidP="005B6222">
            <w:pPr>
              <w:spacing w:after="120" w:line="276" w:lineRule="auto"/>
              <w:ind w:firstLine="708"/>
              <w:jc w:val="both"/>
              <w:rPr>
                <w:rFonts w:ascii="Verdana" w:eastAsia="Calibri" w:hAnsi="Verdana" w:cs="Arial"/>
                <w:color w:val="0D0D0D"/>
                <w:lang w:eastAsia="es-MX"/>
              </w:rPr>
            </w:pPr>
            <w:r w:rsidRPr="005B6222">
              <w:rPr>
                <w:rFonts w:ascii="Verdana" w:eastAsia="Calibri" w:hAnsi="Verdana" w:cs="Arial"/>
                <w:lang w:val="es-ES_tradnl" w:eastAsia="es-MX"/>
              </w:rPr>
              <w:t xml:space="preserve">Ahora bien, como se precisó las actividades señaladas recaen sobre </w:t>
            </w:r>
            <w:r w:rsidRPr="005B6222">
              <w:rPr>
                <w:rFonts w:ascii="Verdana" w:eastAsia="Times New Roman" w:hAnsi="Verdana" w:cs="Calibri"/>
                <w:lang w:eastAsia="es-MX"/>
              </w:rPr>
              <w:t xml:space="preserve">obras en proyectos de infraestructura cultural. De esta forma, para determinar que abarca este tipo de infraestructura, debe indicarse que, de conformidad con la norma </w:t>
            </w:r>
            <w:r w:rsidRPr="005B6222">
              <w:rPr>
                <w:rFonts w:ascii="Verdana" w:eastAsia="Calibri" w:hAnsi="Verdana" w:cs="Arial"/>
                <w:color w:val="0D0D0D"/>
                <w:lang w:eastAsia="es-MX"/>
              </w:rPr>
              <w:t xml:space="preserve">NSR-10 en el Subgrupo de Ocupación Lugares de Reunión Culturales (L-2) </w:t>
            </w:r>
            <w:r w:rsidRPr="005B6222">
              <w:rPr>
                <w:rFonts w:ascii="Verdana" w:eastAsia="Calibri" w:hAnsi="Verdana" w:cs="Arial"/>
                <w:i/>
                <w:iCs/>
                <w:color w:val="0D0D0D"/>
                <w:lang w:eastAsia="es-MX"/>
              </w:rPr>
              <w:t xml:space="preserve">“(…) </w:t>
            </w:r>
            <w:r w:rsidRPr="005B6222">
              <w:rPr>
                <w:rFonts w:ascii="Verdana" w:eastAsia="Aptos" w:hAnsi="Verdana" w:cs="Times New Roman"/>
                <w:i/>
                <w:iCs/>
              </w:rPr>
              <w:t xml:space="preserve">se clasifican las edificaciones o espacios utilizados para la realización o presentación de eventos culturales o políticos, y en general, donde se reúnen o agrupan personas con fines culturales, y existen instalaciones escénicas tales como proscenios o tablados, cortinas, iluminación especial, cuartos de proyección y de artistas, dispositivos mecánicos, silletería </w:t>
            </w:r>
            <w:r w:rsidRPr="005B6222">
              <w:rPr>
                <w:rFonts w:ascii="Verdana" w:eastAsia="Aptos" w:hAnsi="Verdana" w:cs="Times New Roman"/>
                <w:i/>
                <w:iCs/>
              </w:rPr>
              <w:lastRenderedPageBreak/>
              <w:t>fija u otros accesorios o equipos de teatro.</w:t>
            </w:r>
            <w:r w:rsidRPr="005B6222">
              <w:rPr>
                <w:rFonts w:ascii="Verdana" w:eastAsia="Calibri" w:hAnsi="Verdana" w:cs="Arial"/>
                <w:color w:val="0D0D0D"/>
                <w:lang w:eastAsia="es-MX"/>
              </w:rPr>
              <w:t>”</w:t>
            </w:r>
            <w:r w:rsidRPr="005B6222">
              <w:rPr>
                <w:rFonts w:ascii="Verdana" w:eastAsia="Calibri" w:hAnsi="Verdana" w:cs="Arial"/>
                <w:color w:val="0D0D0D"/>
                <w:vertAlign w:val="superscript"/>
                <w:lang w:eastAsia="es-MX"/>
              </w:rPr>
              <w:footnoteReference w:id="1"/>
            </w:r>
            <w:r w:rsidRPr="005B6222">
              <w:rPr>
                <w:rFonts w:ascii="Verdana" w:eastAsia="Calibri" w:hAnsi="Verdana" w:cs="Arial"/>
                <w:color w:val="0D0D0D"/>
                <w:lang w:eastAsia="es-MX"/>
              </w:rPr>
              <w:t xml:space="preserve">. Entre las edificaciones o espacios que pertenecen a este Subgrupo se encuentran las siguientes: </w:t>
            </w:r>
            <w:r w:rsidRPr="005B6222">
              <w:rPr>
                <w:rFonts w:ascii="Verdana" w:eastAsia="Calibri" w:hAnsi="Verdana" w:cs="Arial"/>
                <w:i/>
                <w:iCs/>
                <w:color w:val="0D0D0D"/>
                <w:lang w:eastAsia="es-MX"/>
              </w:rPr>
              <w:t>“Auditorios, salones de exhibición, salones de convención, salas de cine, salas de concierto, carpas y espacios abiertos, salas de teatro, teatros al aire libre, cinematecas, planetarios, teatros”</w:t>
            </w:r>
            <w:r w:rsidRPr="005B6222">
              <w:rPr>
                <w:rFonts w:ascii="Verdana" w:eastAsia="Calibri" w:hAnsi="Verdana" w:cs="Arial"/>
                <w:color w:val="0D0D0D"/>
                <w:vertAlign w:val="superscript"/>
                <w:lang w:eastAsia="es-MX"/>
              </w:rPr>
              <w:footnoteReference w:id="2"/>
            </w:r>
            <w:r w:rsidRPr="005B6222">
              <w:rPr>
                <w:rFonts w:ascii="Verdana" w:eastAsia="Calibri" w:hAnsi="Verdana" w:cs="Arial"/>
                <w:color w:val="0D0D0D"/>
                <w:lang w:eastAsia="es-MX"/>
              </w:rPr>
              <w:t>.</w:t>
            </w:r>
          </w:p>
          <w:p w14:paraId="16A0F252" w14:textId="77777777" w:rsidR="005B6222" w:rsidRPr="005B6222" w:rsidRDefault="005B6222" w:rsidP="005B6222">
            <w:pPr>
              <w:spacing w:after="120" w:line="276" w:lineRule="auto"/>
              <w:ind w:firstLine="708"/>
              <w:jc w:val="both"/>
              <w:rPr>
                <w:rFonts w:ascii="Verdana" w:eastAsia="Aptos" w:hAnsi="Verdana" w:cs="Times New Roman"/>
                <w:kern w:val="2"/>
                <w14:ligatures w14:val="standardContextual"/>
              </w:rPr>
            </w:pPr>
            <w:r w:rsidRPr="005B6222">
              <w:rPr>
                <w:rFonts w:ascii="Verdana" w:eastAsia="Calibri" w:hAnsi="Verdana" w:cs="Arial"/>
                <w:color w:val="0D0D0D"/>
                <w:lang w:eastAsia="es-MX"/>
              </w:rPr>
              <w:t>En este sentido, en el Subgrupo de Ocupación Lugares de Reunión Culturales corresponde a una categoría de clasificación establecida por la NSR-10 que c</w:t>
            </w:r>
            <w:r w:rsidRPr="005B6222">
              <w:rPr>
                <w:rFonts w:ascii="Verdana" w:eastAsia="Aptos" w:hAnsi="Verdana" w:cs="Times New Roman"/>
              </w:rPr>
              <w:t>omprende las edificaciones o espacios destinados a la congregación de personas para el desarrollo de actividades culturales, políticas o similares, caracterizados por contar con infraestructura y dotaciones escénicas o técnicas especializadas para la realización de eventos y espectáculos públicos.</w:t>
            </w:r>
            <w:r w:rsidRPr="005B6222">
              <w:rPr>
                <w:rFonts w:ascii="Verdana" w:eastAsia="Calibri" w:hAnsi="Verdana" w:cs="Arial"/>
                <w:color w:val="0D0D0D"/>
                <w:lang w:eastAsia="es-MX"/>
              </w:rPr>
              <w:t xml:space="preserve"> Este subgrupo abarca las edificaciones o espacios enunciados en el párrafo precedente en una “lista indicativa”, lo que evidencia que la enumeración no es taxativa, sino enunciativa, por lo incluye todas aquellas edificaciones </w:t>
            </w:r>
            <w:proofErr w:type="gramStart"/>
            <w:r w:rsidRPr="005B6222">
              <w:rPr>
                <w:rFonts w:ascii="Verdana" w:eastAsia="Calibri" w:hAnsi="Verdana" w:cs="Arial"/>
                <w:color w:val="0D0D0D"/>
                <w:lang w:eastAsia="es-MX"/>
              </w:rPr>
              <w:t>que</w:t>
            </w:r>
            <w:proofErr w:type="gramEnd"/>
            <w:r w:rsidRPr="005B6222">
              <w:rPr>
                <w:rFonts w:ascii="Verdana" w:eastAsia="Calibri" w:hAnsi="Verdana" w:cs="Arial"/>
                <w:color w:val="0D0D0D"/>
                <w:lang w:eastAsia="es-MX"/>
              </w:rPr>
              <w:t xml:space="preserve"> por su naturaleza y finalidad, están orientadas a la reunión de personas para actividades </w:t>
            </w:r>
            <w:r w:rsidRPr="005B6222">
              <w:rPr>
                <w:rFonts w:ascii="Verdana" w:eastAsia="Aptos" w:hAnsi="Verdana" w:cs="Times New Roman"/>
              </w:rPr>
              <w:t>culturales, políticas o similares.</w:t>
            </w:r>
          </w:p>
          <w:p w14:paraId="377CF31B" w14:textId="77777777" w:rsidR="005B6222" w:rsidRPr="005B6222" w:rsidRDefault="005B6222" w:rsidP="005B6222">
            <w:pPr>
              <w:spacing w:after="120" w:line="276" w:lineRule="auto"/>
              <w:ind w:firstLine="708"/>
              <w:jc w:val="both"/>
              <w:rPr>
                <w:rFonts w:ascii="Verdana" w:eastAsia="Calibri" w:hAnsi="Verdana" w:cs="Arial"/>
                <w:color w:val="0D0D0D"/>
                <w:lang w:eastAsia="es-MX"/>
              </w:rPr>
            </w:pPr>
            <w:r w:rsidRPr="005B6222">
              <w:rPr>
                <w:rFonts w:ascii="Verdana" w:eastAsia="Calibri" w:hAnsi="Verdana" w:cs="Arial"/>
                <w:color w:val="0D0D0D"/>
                <w:lang w:eastAsia="es-MX"/>
              </w:rPr>
              <w:t>La definición contenida en la NSR-10 es acorde con la que establece el Anexo 5 – Glosario de los documentos tipo de licitación de obra pública de infraestructura social – versión 2, que en el numeral 2.103 define el Grupo de Ocupación de Lugares de Reunión Culturales, y se señala las edificaciones y espacios que hacen parte de este.</w:t>
            </w:r>
          </w:p>
          <w:p w14:paraId="4F8718F1" w14:textId="77777777" w:rsidR="005B6222" w:rsidRPr="005B6222" w:rsidRDefault="005B6222" w:rsidP="005B6222">
            <w:pPr>
              <w:spacing w:after="120" w:line="276" w:lineRule="auto"/>
              <w:ind w:firstLine="708"/>
              <w:jc w:val="both"/>
              <w:rPr>
                <w:rFonts w:ascii="Verdana" w:eastAsia="Arial" w:hAnsi="Verdana" w:cs="Arial"/>
                <w:lang w:val="es-ES"/>
              </w:rPr>
            </w:pPr>
            <w:r w:rsidRPr="005B6222">
              <w:rPr>
                <w:rFonts w:ascii="Verdana" w:eastAsia="Calibri" w:hAnsi="Verdana" w:cs="Arial"/>
                <w:color w:val="0D0D0D"/>
                <w:lang w:eastAsia="es-MX"/>
              </w:rPr>
              <w:t xml:space="preserve">Conforme con la definición contenida en la NSR-10 y en el Anexo 5 – Glosario, para efectos de la aplicación de las actividades a contratar dispuestas en el capítulo 1 “Obras en infraestructura cultural” </w:t>
            </w:r>
            <w:r w:rsidRPr="005B6222">
              <w:rPr>
                <w:rFonts w:ascii="Verdana" w:eastAsia="Times New Roman" w:hAnsi="Verdana" w:cs="Times New Roman"/>
                <w:color w:val="000000"/>
                <w:lang w:eastAsia="es-CO"/>
              </w:rPr>
              <w:t xml:space="preserve">de los documentos tipo  complementarios del Sector Cultura, recreación y deporte, estas recaen sobre infraestructura cultural, es decir sobre: </w:t>
            </w:r>
            <w:r w:rsidRPr="005B6222">
              <w:rPr>
                <w:rFonts w:ascii="Verdana" w:eastAsia="Times New Roman" w:hAnsi="Verdana" w:cs="Times New Roman"/>
                <w:i/>
                <w:iCs/>
                <w:color w:val="000000"/>
                <w:lang w:eastAsia="es-CO"/>
              </w:rPr>
              <w:t xml:space="preserve">“(…) </w:t>
            </w:r>
            <w:r w:rsidRPr="005B6222">
              <w:rPr>
                <w:rFonts w:ascii="Verdana" w:eastAsia="Arial" w:hAnsi="Verdana" w:cs="Arial"/>
                <w:i/>
                <w:iCs/>
                <w:lang w:val="es-ES"/>
              </w:rPr>
              <w:t>las edificaciones o espacios utilizados para la realización o presentación de eventos culturales o políticos, y en general, donde se reúnen o agrupan personas con fines culturales”</w:t>
            </w:r>
            <w:r w:rsidRPr="005B6222">
              <w:rPr>
                <w:rFonts w:ascii="Verdana" w:eastAsia="Arial" w:hAnsi="Verdana" w:cs="Arial"/>
                <w:vertAlign w:val="superscript"/>
                <w:lang w:val="es-ES"/>
              </w:rPr>
              <w:footnoteReference w:id="3"/>
            </w:r>
            <w:r w:rsidRPr="005B6222">
              <w:rPr>
                <w:rFonts w:ascii="Verdana" w:eastAsia="Arial" w:hAnsi="Verdana" w:cs="Arial"/>
                <w:i/>
                <w:iCs/>
                <w:lang w:val="es-ES"/>
              </w:rPr>
              <w:t xml:space="preserve">, </w:t>
            </w:r>
            <w:r w:rsidRPr="005B6222">
              <w:rPr>
                <w:rFonts w:ascii="Verdana" w:eastAsia="Arial" w:hAnsi="Verdana" w:cs="Arial"/>
                <w:lang w:val="es-ES"/>
              </w:rPr>
              <w:t>e</w:t>
            </w:r>
            <w:r w:rsidRPr="005B6222">
              <w:rPr>
                <w:rFonts w:ascii="Verdana" w:eastAsia="Arial" w:hAnsi="Verdana" w:cs="Arial"/>
                <w:sz w:val="21"/>
                <w:szCs w:val="21"/>
                <w:lang w:val="es-ES"/>
              </w:rPr>
              <w:t xml:space="preserve">ntre los cuales se encuentran: “(…) auditorios, salones de exhibición, salones de </w:t>
            </w:r>
            <w:r w:rsidRPr="005B6222">
              <w:rPr>
                <w:rFonts w:ascii="Verdana" w:eastAsia="Arial" w:hAnsi="Verdana" w:cs="Arial"/>
                <w:sz w:val="21"/>
                <w:szCs w:val="21"/>
                <w:lang w:val="es-ES"/>
              </w:rPr>
              <w:lastRenderedPageBreak/>
              <w:t>convención, salas de cine, salas de concierto, carpas y espacios abiertos, salas de teatro, teatros al aire libre, cinematecas, planetarios, teatros. Monumentos, edificio de interés cultural, galería de arte, espacio cinematográfico, centro de producción cinematográfica, centro musical, centro de preservación o conservación audiovisual, sede cultural, escenario cultural, Carpas y espacios abiertos, salas de lectura, plazas de mercado, casas de cultura, salas de música, escuelas de música, escuelas de baile, salones de baile, centros de convenciones, escuelas de artes y oficios, talleres de artes y oficios, museos, fototecas, salas de conciertos, archivos, plazas de conciertos, centros culturales, escuelas de formación artística, centros ceremoniales y similares”</w:t>
            </w:r>
            <w:r w:rsidRPr="005B6222">
              <w:rPr>
                <w:rFonts w:ascii="Verdana" w:eastAsia="Arial" w:hAnsi="Verdana" w:cs="Arial"/>
                <w:sz w:val="21"/>
                <w:szCs w:val="21"/>
                <w:vertAlign w:val="superscript"/>
                <w:lang w:val="es-ES"/>
              </w:rPr>
              <w:footnoteReference w:id="4"/>
            </w:r>
            <w:r w:rsidRPr="005B6222">
              <w:rPr>
                <w:rFonts w:ascii="Verdana" w:eastAsia="Arial" w:hAnsi="Verdana" w:cs="Arial"/>
                <w:sz w:val="21"/>
                <w:szCs w:val="21"/>
                <w:lang w:val="es-ES"/>
              </w:rPr>
              <w:t xml:space="preserve">. </w:t>
            </w:r>
          </w:p>
          <w:p w14:paraId="0CD4AFFE" w14:textId="77777777" w:rsidR="005B6222" w:rsidRPr="005B6222" w:rsidRDefault="005B6222" w:rsidP="005B6222">
            <w:pPr>
              <w:spacing w:line="276" w:lineRule="auto"/>
              <w:jc w:val="both"/>
              <w:rPr>
                <w:rFonts w:ascii="Verdana" w:eastAsia="Calibri" w:hAnsi="Verdana" w:cs="Arial"/>
                <w:color w:val="0D0D0D"/>
                <w:lang w:eastAsia="es-MX"/>
              </w:rPr>
            </w:pPr>
            <w:proofErr w:type="spellStart"/>
            <w:r w:rsidRPr="005B6222">
              <w:rPr>
                <w:rFonts w:ascii="Verdana" w:eastAsia="Calibri" w:hAnsi="Verdana" w:cs="Arial"/>
                <w:color w:val="0D0D0D"/>
                <w:lang w:eastAsia="es-MX"/>
              </w:rPr>
              <w:t>ii</w:t>
            </w:r>
            <w:proofErr w:type="spellEnd"/>
            <w:r w:rsidRPr="005B6222">
              <w:rPr>
                <w:rFonts w:ascii="Verdana" w:eastAsia="Calibri" w:hAnsi="Verdana" w:cs="Arial"/>
                <w:color w:val="0D0D0D"/>
                <w:lang w:eastAsia="es-MX"/>
              </w:rPr>
              <w:t xml:space="preserve">. Para actividad 1.1. “Proyectos de construcción y/o ampliación y/o reconstrucción de infraestructura cultural” del </w:t>
            </w:r>
            <w:r w:rsidRPr="005B6222">
              <w:rPr>
                <w:rFonts w:ascii="Verdana" w:eastAsia="Times New Roman" w:hAnsi="Verdana" w:cs="Times New Roman"/>
                <w:color w:val="000000"/>
                <w:lang w:eastAsia="es-CO"/>
              </w:rPr>
              <w:t>capítulo 1 “Obras en infraestructura cultural” de los documentos tipo complementarios del Sector Cultura, recreación y deporte, se solicita el siguiente requisito de experiencia general y específica:</w:t>
            </w:r>
          </w:p>
          <w:p w14:paraId="56705FF7" w14:textId="77777777" w:rsidR="005B6222" w:rsidRPr="005B6222" w:rsidRDefault="005B6222" w:rsidP="005B6222">
            <w:pPr>
              <w:snapToGrid w:val="0"/>
              <w:ind w:left="709" w:right="709"/>
              <w:jc w:val="both"/>
              <w:rPr>
                <w:rFonts w:ascii="Verdana" w:eastAsia="Calibri" w:hAnsi="Verdana" w:cs="Arial"/>
                <w:color w:val="0D0D0D"/>
                <w:lang w:eastAsia="es-MX"/>
              </w:rPr>
            </w:pPr>
          </w:p>
          <w:p w14:paraId="301E6584" w14:textId="77777777" w:rsidR="005B6222" w:rsidRPr="005B6222" w:rsidRDefault="005B6222" w:rsidP="005B6222">
            <w:pPr>
              <w:snapToGrid w:val="0"/>
              <w:spacing w:after="120"/>
              <w:ind w:left="709" w:right="709"/>
              <w:jc w:val="both"/>
              <w:rPr>
                <w:rFonts w:ascii="Verdana" w:eastAsia="Calibri" w:hAnsi="Verdana" w:cs="Arial"/>
                <w:color w:val="0D0D0D"/>
                <w:sz w:val="21"/>
                <w:szCs w:val="21"/>
                <w:lang w:eastAsia="es-MX"/>
              </w:rPr>
            </w:pPr>
            <w:r w:rsidRPr="005B6222">
              <w:rPr>
                <w:rFonts w:ascii="Verdana" w:eastAsia="Calibri" w:hAnsi="Verdana" w:cs="Arial"/>
                <w:color w:val="0D0D0D"/>
                <w:sz w:val="21"/>
                <w:szCs w:val="21"/>
                <w:lang w:eastAsia="es-MX"/>
              </w:rPr>
              <w:t>“General:</w:t>
            </w:r>
          </w:p>
          <w:p w14:paraId="19294A2E" w14:textId="77777777" w:rsidR="005B6222" w:rsidRPr="005B6222" w:rsidRDefault="005B6222" w:rsidP="005B6222">
            <w:pPr>
              <w:snapToGrid w:val="0"/>
              <w:spacing w:after="120"/>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PROYECTOS QUE CORRESPONDAN O CONTEMPLEN ACTIVIDADES DE: CONSTRUCCIÓN Y/O AMPLIACIÓN Y/O RECONSTRUCCIÓN DE EDIFICACIONES.</w:t>
            </w:r>
          </w:p>
          <w:p w14:paraId="600F764A" w14:textId="77777777" w:rsidR="005B6222" w:rsidRPr="005B6222" w:rsidRDefault="005B6222" w:rsidP="005B6222">
            <w:pPr>
              <w:snapToGrid w:val="0"/>
              <w:spacing w:after="120"/>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Específica:</w:t>
            </w:r>
          </w:p>
          <w:p w14:paraId="4C39DBD5" w14:textId="77777777" w:rsidR="005B6222" w:rsidRPr="005B6222" w:rsidRDefault="005B6222" w:rsidP="005B6222">
            <w:pPr>
              <w:snapToGrid w:val="0"/>
              <w:spacing w:after="120"/>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Por lo menos uno (1) de los contratos válidos aportados como experiencia general debe contemplar un área construida igual o superior al (F%) del total de metros cuadrados del proceso de selección, el cual corresponde a [La entidad indicará los metros cuadrados para el proceso de selección]”.</w:t>
            </w:r>
          </w:p>
          <w:p w14:paraId="62B36A3F" w14:textId="77777777" w:rsidR="005B6222" w:rsidRPr="005B6222" w:rsidRDefault="005B6222" w:rsidP="005B6222">
            <w:pPr>
              <w:spacing w:line="276" w:lineRule="auto"/>
              <w:ind w:left="708"/>
              <w:jc w:val="both"/>
              <w:rPr>
                <w:rFonts w:ascii="Verdana" w:eastAsia="Arial" w:hAnsi="Verdana" w:cs="Arial"/>
                <w:lang w:val="es-ES" w:eastAsia="es-ES_tradnl"/>
              </w:rPr>
            </w:pPr>
          </w:p>
          <w:p w14:paraId="17FFD3FF" w14:textId="77777777" w:rsidR="005B6222" w:rsidRPr="005B6222" w:rsidRDefault="005B6222" w:rsidP="005B6222">
            <w:pPr>
              <w:spacing w:after="120" w:line="276" w:lineRule="auto"/>
              <w:ind w:firstLine="708"/>
              <w:jc w:val="both"/>
              <w:rPr>
                <w:rFonts w:ascii="Verdana" w:eastAsia="Aptos" w:hAnsi="Verdana" w:cs="Times New Roman"/>
              </w:rPr>
            </w:pPr>
            <w:r w:rsidRPr="005B6222">
              <w:rPr>
                <w:rFonts w:ascii="Verdana" w:eastAsia="Aptos" w:hAnsi="Verdana" w:cs="Times New Roman"/>
                <w:kern w:val="2"/>
                <w14:ligatures w14:val="standardContextual"/>
              </w:rPr>
              <w:t>Como se aprecia, para la actividad 1.1 contenida en la “Matriz 1 – Sector</w:t>
            </w:r>
            <w:r w:rsidRPr="005B6222">
              <w:rPr>
                <w:rFonts w:ascii="Verdana" w:eastAsia="Aptos" w:hAnsi="Verdana" w:cs="Times New Roman"/>
              </w:rPr>
              <w:t xml:space="preserve"> cultura, recreación y deporte</w:t>
            </w:r>
            <w:r w:rsidRPr="005B6222">
              <w:rPr>
                <w:rFonts w:ascii="Verdana" w:eastAsia="Aptos" w:hAnsi="Verdana" w:cs="Times New Roman"/>
                <w:kern w:val="2"/>
                <w14:ligatures w14:val="standardContextual"/>
              </w:rPr>
              <w:t>”, se establece que la acreditación de la experiencia general debe ser en “edificaciones”, sin que se hagan distinciones o se establezcan restricciones específicas respecto de algún tipo de edificación con destinación de uso particular.</w:t>
            </w:r>
          </w:p>
          <w:p w14:paraId="4C74A0B2" w14:textId="77777777" w:rsidR="005B6222" w:rsidRPr="005B6222" w:rsidRDefault="005B6222" w:rsidP="005B6222">
            <w:pPr>
              <w:spacing w:after="120" w:line="276" w:lineRule="auto"/>
              <w:ind w:firstLine="708"/>
              <w:jc w:val="both"/>
              <w:rPr>
                <w:rFonts w:ascii="Verdana" w:eastAsia="Aptos" w:hAnsi="Verdana" w:cs="Times New Roman"/>
              </w:rPr>
            </w:pPr>
            <w:r w:rsidRPr="005B6222">
              <w:rPr>
                <w:rFonts w:ascii="Verdana" w:eastAsia="Aptos" w:hAnsi="Verdana" w:cs="Times New Roman"/>
              </w:rPr>
              <w:t xml:space="preserve">En este sentido, considerando que una edificación, de acuerdo con el artículo 4 de la Ley 400 de 1997, se define como </w:t>
            </w:r>
            <w:r w:rsidRPr="005B6222">
              <w:rPr>
                <w:rFonts w:ascii="Verdana" w:eastAsia="Aptos" w:hAnsi="Verdana" w:cs="Times New Roman"/>
                <w:i/>
                <w:iCs/>
              </w:rPr>
              <w:t xml:space="preserve">“(…) una construcción cuyo </w:t>
            </w:r>
            <w:r w:rsidRPr="005B6222">
              <w:rPr>
                <w:rFonts w:ascii="Verdana" w:eastAsia="Aptos" w:hAnsi="Verdana" w:cs="Times New Roman"/>
                <w:i/>
                <w:iCs/>
              </w:rPr>
              <w:lastRenderedPageBreak/>
              <w:t>uso primordial es la habitación u ocupación por seres humanos”,</w:t>
            </w:r>
            <w:r w:rsidRPr="005B6222">
              <w:rPr>
                <w:rFonts w:ascii="Verdana" w:eastAsia="Aptos" w:hAnsi="Verdana" w:cs="Times New Roman"/>
              </w:rPr>
              <w:t xml:space="preserve"> y que la edificación convencional es “(…) aquella estructura concebida de tal manera que su geometría, dimensiones generales, dimensiones de sus miembros estructurales, materiales estructurales empleados y procedimientos de dimensionamiento y determinación de la resistencia de sus miembros estructurales ante todas las solicitaciones a las que puedan verse sometidos durante su vida útil estén previstos en la normativa y reglamentación contenida en el Reglamento NSR-10 (…)”</w:t>
            </w:r>
            <w:r w:rsidRPr="005B6222">
              <w:rPr>
                <w:rFonts w:ascii="Verdana" w:eastAsia="Aptos" w:hAnsi="Verdana" w:cs="Times New Roman"/>
                <w:vertAlign w:val="superscript"/>
              </w:rPr>
              <w:footnoteReference w:id="5"/>
            </w:r>
            <w:r w:rsidRPr="005B6222">
              <w:rPr>
                <w:rFonts w:ascii="Verdana" w:eastAsia="Aptos" w:hAnsi="Verdana" w:cs="Times New Roman"/>
              </w:rPr>
              <w:t>, se tiene que la construcción de edificaciones, en términos generales, está determinada por el cumplimiento de las normas técnicas reglamentarias y, en particular, por lo dispuesto en la Norma Sismo Resistente NSR-10 y demás disposiciones aplicables a este tipo de infraestructura.</w:t>
            </w:r>
          </w:p>
          <w:p w14:paraId="3145BC4F" w14:textId="77777777" w:rsidR="005B6222" w:rsidRPr="005B6222" w:rsidRDefault="005B6222" w:rsidP="005B6222">
            <w:pPr>
              <w:spacing w:after="120" w:line="276" w:lineRule="auto"/>
              <w:ind w:firstLine="708"/>
              <w:jc w:val="both"/>
              <w:rPr>
                <w:rFonts w:ascii="Verdana" w:eastAsia="Aptos" w:hAnsi="Verdana" w:cs="Times New Roman"/>
                <w:kern w:val="2"/>
                <w14:ligatures w14:val="standardContextual"/>
              </w:rPr>
            </w:pPr>
            <w:r w:rsidRPr="005B6222">
              <w:rPr>
                <w:rFonts w:ascii="Verdana" w:eastAsia="Aptos" w:hAnsi="Verdana" w:cs="Times New Roman"/>
              </w:rPr>
              <w:t>En consecuencia, las entidades podrán exigir, dentro de las especificaciones técnicas, el cumplimiento de normas particulares atendiendo al uso que tendrá la edificación. No obstante, la experiencia general solicitada en la “Matriz 1 – Sector cultura, recreación y deporte”, con el fin de no limitar la concurrencia de oferentes, se refiere a experiencia en edificaciones sin distinción de su destinación o uso, tales como cultura, recreación y deporte, salud, educación, vivienda o infraestructura institucional, entre otros.</w:t>
            </w:r>
          </w:p>
          <w:p w14:paraId="5B55EEE6" w14:textId="77777777" w:rsidR="005B6222" w:rsidRPr="005B6222" w:rsidRDefault="005B6222" w:rsidP="005B6222">
            <w:pPr>
              <w:spacing w:line="276" w:lineRule="auto"/>
              <w:ind w:firstLine="708"/>
              <w:jc w:val="both"/>
              <w:rPr>
                <w:rFonts w:ascii="Verdana" w:eastAsia="Times New Roman" w:hAnsi="Verdana" w:cs="Calibri"/>
                <w:lang w:eastAsia="es-MX"/>
              </w:rPr>
            </w:pPr>
            <w:r w:rsidRPr="005B6222">
              <w:rPr>
                <w:rFonts w:ascii="Verdana" w:eastAsia="Times New Roman" w:hAnsi="Verdana" w:cs="Calibri"/>
                <w:lang w:eastAsia="es-MX"/>
              </w:rPr>
              <w:t xml:space="preserve">Sin embargo, y en consideración a la selección objetiva de oferentes la </w:t>
            </w:r>
            <w:r w:rsidRPr="005B6222">
              <w:rPr>
                <w:rFonts w:ascii="Verdana" w:eastAsia="Aptos" w:hAnsi="Verdana" w:cs="Times New Roman"/>
              </w:rPr>
              <w:t>“Matriz 1 – Sector Institucional – Seguridad Pública”</w:t>
            </w:r>
            <w:r w:rsidRPr="005B6222">
              <w:rPr>
                <w:rFonts w:ascii="Verdana" w:eastAsia="Times New Roman" w:hAnsi="Verdana" w:cs="Calibri"/>
                <w:lang w:eastAsia="es-MX"/>
              </w:rPr>
              <w:t>, incluye para la experiencia especifica que de manera particular, alguno de los contratos que sean aportados en la experiencia general cumplan con un área construida igual o superior al (F%) del total de metros cuadrados del proceso de selección y en este caso, la variable (F%) corresponde al porcentaje de dimensionamiento, que debe ser determinada en función del área del proceso de selección que se adelante.</w:t>
            </w:r>
          </w:p>
          <w:p w14:paraId="0ABAE358" w14:textId="77777777" w:rsidR="005B6222" w:rsidRPr="005B6222" w:rsidRDefault="005B6222" w:rsidP="005B6222">
            <w:pPr>
              <w:spacing w:line="276" w:lineRule="auto"/>
              <w:jc w:val="both"/>
              <w:rPr>
                <w:rFonts w:ascii="Verdana" w:eastAsia="Calibri" w:hAnsi="Verdana" w:cs="Times New Roman"/>
                <w:lang w:val="es-ES"/>
              </w:rPr>
            </w:pPr>
          </w:p>
          <w:p w14:paraId="3EB06F20" w14:textId="77777777" w:rsidR="005B6222" w:rsidRPr="005B6222" w:rsidRDefault="005B6222" w:rsidP="005B6222">
            <w:pPr>
              <w:spacing w:after="120" w:line="276" w:lineRule="auto"/>
              <w:jc w:val="both"/>
              <w:rPr>
                <w:rFonts w:ascii="Verdana" w:eastAsia="Aptos" w:hAnsi="Verdana" w:cs="Times New Roman"/>
              </w:rPr>
            </w:pPr>
            <w:r w:rsidRPr="005B6222">
              <w:rPr>
                <w:rFonts w:ascii="Verdana" w:eastAsia="Calibri" w:hAnsi="Verdana" w:cs="Times New Roman"/>
                <w:lang w:val="es-ES"/>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w:t>
            </w:r>
            <w:r w:rsidRPr="005B6222">
              <w:rPr>
                <w:rFonts w:ascii="Verdana" w:eastAsia="Calibri" w:hAnsi="Verdana" w:cs="Times New Roman"/>
                <w:lang w:val="es-ES"/>
              </w:rPr>
              <w:lastRenderedPageBreak/>
              <w:t>Por lo anterior, previo concepto de sus asesores, la solución de situaciones particulares corresponde a los interesados adoptar la decisión correspondiente y, en caso de conflicto, a las autoridades judiciales, fiscales y disciplinarias.</w:t>
            </w:r>
          </w:p>
          <w:p w14:paraId="11A3F565" w14:textId="77777777" w:rsidR="005B6222" w:rsidRPr="005B6222" w:rsidRDefault="005B6222" w:rsidP="005B6222">
            <w:pPr>
              <w:spacing w:after="120"/>
              <w:ind w:firstLine="709"/>
              <w:jc w:val="both"/>
              <w:rPr>
                <w:rFonts w:ascii="Verdana" w:eastAsia="Calibri" w:hAnsi="Verdana" w:cs="Times New Roman"/>
                <w:lang w:val="es-ES"/>
              </w:rPr>
            </w:pPr>
            <w:r w:rsidRPr="005B6222">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488487CA" w14:textId="77777777" w:rsidR="005B6222" w:rsidRPr="005B6222" w:rsidRDefault="005B6222" w:rsidP="005B6222">
      <w:pPr>
        <w:tabs>
          <w:tab w:val="left" w:pos="142"/>
          <w:tab w:val="left" w:pos="284"/>
        </w:tabs>
        <w:spacing w:after="0" w:line="276" w:lineRule="auto"/>
        <w:jc w:val="both"/>
        <w:rPr>
          <w:rFonts w:ascii="Verdana" w:eastAsia="Century Gothic" w:hAnsi="Verdana" w:cs="Century Gothic"/>
          <w:b/>
          <w:bCs/>
          <w:lang w:val="es-ES" w:eastAsia="es-MX"/>
        </w:rPr>
      </w:pPr>
    </w:p>
    <w:p w14:paraId="1F5A359D" w14:textId="77777777" w:rsidR="005B6222" w:rsidRPr="005B6222" w:rsidRDefault="005B6222" w:rsidP="005B6222">
      <w:pPr>
        <w:tabs>
          <w:tab w:val="left" w:pos="142"/>
          <w:tab w:val="left" w:pos="284"/>
        </w:tabs>
        <w:spacing w:after="0" w:line="276" w:lineRule="auto"/>
        <w:jc w:val="both"/>
        <w:rPr>
          <w:rFonts w:ascii="Verdana" w:eastAsia="Century Gothic" w:hAnsi="Verdana" w:cs="Century Gothic"/>
          <w:b/>
          <w:bCs/>
          <w:lang w:val="es-ES" w:eastAsia="es-MX"/>
        </w:rPr>
      </w:pPr>
      <w:r w:rsidRPr="005B6222">
        <w:rPr>
          <w:rFonts w:ascii="Verdana" w:eastAsia="Century Gothic" w:hAnsi="Verdana" w:cs="Century Gothic"/>
          <w:b/>
          <w:bCs/>
          <w:lang w:val="es-ES" w:eastAsia="es-MX"/>
        </w:rPr>
        <w:t>3. Razones de la respuesta:</w:t>
      </w:r>
    </w:p>
    <w:p w14:paraId="62C78AB8" w14:textId="77777777" w:rsidR="005B6222" w:rsidRPr="005B6222" w:rsidRDefault="005B6222" w:rsidP="005B6222">
      <w:pPr>
        <w:spacing w:after="0" w:line="276" w:lineRule="auto"/>
        <w:jc w:val="both"/>
        <w:rPr>
          <w:rFonts w:ascii="Verdana" w:eastAsia="Calibri" w:hAnsi="Verdana" w:cs="Arial"/>
          <w:lang w:val="es-ES" w:eastAsia="es-MX"/>
        </w:rPr>
      </w:pPr>
    </w:p>
    <w:p w14:paraId="1C21A803" w14:textId="77777777" w:rsidR="005B6222" w:rsidRPr="005B6222" w:rsidRDefault="005B6222" w:rsidP="005B6222">
      <w:pPr>
        <w:spacing w:after="0" w:line="276" w:lineRule="auto"/>
        <w:jc w:val="both"/>
        <w:rPr>
          <w:rFonts w:ascii="Verdana" w:eastAsia="Calibri" w:hAnsi="Verdana" w:cs="Arial"/>
          <w:lang w:val="es-ES" w:eastAsia="es-MX"/>
        </w:rPr>
      </w:pPr>
      <w:r w:rsidRPr="005B6222">
        <w:rPr>
          <w:rFonts w:ascii="Verdana" w:eastAsia="Calibri" w:hAnsi="Verdana" w:cs="Arial"/>
          <w:lang w:val="es-ES" w:eastAsia="es-MX"/>
        </w:rPr>
        <w:t xml:space="preserve">Lo anterior se sustenta en las siguientes consideraciones: </w:t>
      </w:r>
    </w:p>
    <w:p w14:paraId="52373588" w14:textId="77777777" w:rsidR="005B6222" w:rsidRPr="005B6222" w:rsidRDefault="005B6222" w:rsidP="005B6222">
      <w:pPr>
        <w:spacing w:after="0" w:line="276" w:lineRule="auto"/>
        <w:jc w:val="both"/>
        <w:rPr>
          <w:rFonts w:ascii="Verdana" w:eastAsia="Calibri" w:hAnsi="Verdana" w:cs="Arial"/>
          <w:lang w:val="es-ES" w:eastAsia="es-MX"/>
        </w:rPr>
      </w:pPr>
    </w:p>
    <w:p w14:paraId="2B0D9652" w14:textId="77777777" w:rsidR="005B6222" w:rsidRPr="005B6222" w:rsidRDefault="005B6222" w:rsidP="005B6222">
      <w:pPr>
        <w:spacing w:after="120" w:line="276" w:lineRule="auto"/>
        <w:jc w:val="both"/>
        <w:rPr>
          <w:rFonts w:ascii="Verdana" w:eastAsia="Aptos" w:hAnsi="Verdana" w:cs="Arial"/>
          <w:lang w:eastAsia="es-MX"/>
        </w:rPr>
      </w:pPr>
      <w:r w:rsidRPr="005B6222">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34CA18E" w14:textId="77777777" w:rsidR="005B6222" w:rsidRPr="005B6222" w:rsidRDefault="005B6222" w:rsidP="005B6222">
      <w:pPr>
        <w:spacing w:after="120" w:line="276" w:lineRule="auto"/>
        <w:ind w:firstLine="708"/>
        <w:jc w:val="both"/>
        <w:rPr>
          <w:rFonts w:ascii="Verdana" w:eastAsia="Aptos" w:hAnsi="Verdana" w:cs="Arial"/>
          <w:lang w:eastAsia="es-MX"/>
        </w:rPr>
      </w:pPr>
      <w:r w:rsidRPr="005B6222">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DDE8F49" w14:textId="77777777" w:rsidR="005B6222" w:rsidRPr="005B6222" w:rsidRDefault="005B6222" w:rsidP="005B6222">
      <w:pPr>
        <w:spacing w:after="120" w:line="276" w:lineRule="auto"/>
        <w:ind w:firstLine="708"/>
        <w:jc w:val="both"/>
        <w:rPr>
          <w:rFonts w:ascii="Verdana" w:eastAsia="Times New Roman" w:hAnsi="Verdana" w:cs="Times New Roman"/>
          <w:color w:val="000000"/>
          <w:lang w:eastAsia="es-CO"/>
        </w:rPr>
      </w:pPr>
      <w:r w:rsidRPr="005B6222">
        <w:rPr>
          <w:rFonts w:ascii="Verdana" w:eastAsia="Aptos" w:hAnsi="Verdana" w:cs="Arial"/>
          <w:lang w:eastAsia="es-MX"/>
        </w:rPr>
        <w:t xml:space="preserve">En el sector social, </w:t>
      </w:r>
      <w:r w:rsidRPr="005B6222">
        <w:rPr>
          <w:rFonts w:ascii="Verdana" w:eastAsia="Calibri" w:hAnsi="Verdana" w:cs="Arial"/>
          <w:lang w:val="es-MX" w:eastAsia="es-MX"/>
        </w:rPr>
        <w:t xml:space="preserve">la Agencia Nacional de Contratación Pública – Colombia Compra </w:t>
      </w:r>
      <w:r w:rsidRPr="005B6222">
        <w:rPr>
          <w:rFonts w:ascii="Verdana" w:eastAsia="Calibri" w:hAnsi="Verdana" w:cs="Arial"/>
          <w:lang w:eastAsia="es-MX"/>
        </w:rPr>
        <w:t xml:space="preserve">Eficiente </w:t>
      </w:r>
      <w:r w:rsidRPr="005B6222">
        <w:rPr>
          <w:rFonts w:ascii="Verdana" w:eastAsia="Times New Roman" w:hAnsi="Verdana" w:cs="Times New Roman"/>
          <w:color w:val="000000"/>
          <w:lang w:eastAsia="es-CO"/>
        </w:rPr>
        <w:t>en el segundo semestre del año 2025 adoptó las siguientes Resoluciones para contratar obra pública y concurso de méritos:</w:t>
      </w:r>
    </w:p>
    <w:p w14:paraId="0E2BE766" w14:textId="77777777" w:rsidR="005B6222" w:rsidRPr="005B6222" w:rsidRDefault="005B6222" w:rsidP="005B6222">
      <w:pPr>
        <w:spacing w:after="120" w:line="276" w:lineRule="auto"/>
        <w:ind w:firstLine="708"/>
        <w:jc w:val="both"/>
        <w:rPr>
          <w:rFonts w:ascii="Verdana" w:eastAsia="Times New Roman" w:hAnsi="Verdana" w:cs="Times New Roman"/>
          <w:color w:val="000000"/>
          <w:lang w:eastAsia="es-CO"/>
        </w:rPr>
      </w:pPr>
      <w:r w:rsidRPr="005B6222">
        <w:rPr>
          <w:rFonts w:ascii="Verdana" w:eastAsia="Times New Roman" w:hAnsi="Verdana" w:cs="Times New Roman"/>
          <w:color w:val="000000"/>
          <w:lang w:eastAsia="es-CO"/>
        </w:rPr>
        <w:lastRenderedPageBreak/>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4558DB8B" w14:textId="77777777" w:rsidR="005B6222" w:rsidRPr="005B6222" w:rsidRDefault="005B6222" w:rsidP="005B6222">
      <w:pPr>
        <w:spacing w:after="120" w:line="276" w:lineRule="auto"/>
        <w:ind w:firstLine="708"/>
        <w:jc w:val="both"/>
        <w:rPr>
          <w:rFonts w:ascii="Verdana" w:eastAsia="Times New Roman" w:hAnsi="Verdana" w:cs="Times New Roman"/>
          <w:color w:val="000000"/>
          <w:lang w:eastAsia="es-CO"/>
        </w:rPr>
      </w:pPr>
      <w:r w:rsidRPr="005B6222">
        <w:rPr>
          <w:rFonts w:ascii="Verdana" w:eastAsia="Times New Roman" w:hAnsi="Verdana" w:cs="Times New Roman"/>
          <w:color w:val="000000"/>
          <w:lang w:eastAsia="es-CO"/>
        </w:rPr>
        <w:t xml:space="preserve"> </w:t>
      </w:r>
      <w:proofErr w:type="spellStart"/>
      <w:r w:rsidRPr="005B6222">
        <w:rPr>
          <w:rFonts w:ascii="Verdana" w:eastAsia="Times New Roman" w:hAnsi="Verdana" w:cs="Times New Roman"/>
          <w:color w:val="000000"/>
          <w:lang w:eastAsia="es-CO"/>
        </w:rPr>
        <w:t>ii</w:t>
      </w:r>
      <w:proofErr w:type="spellEnd"/>
      <w:r w:rsidRPr="005B6222">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7CEB32C4" w14:textId="77777777" w:rsidR="005B6222" w:rsidRPr="005B6222" w:rsidRDefault="005B6222" w:rsidP="005B6222">
      <w:pPr>
        <w:spacing w:after="120" w:line="276" w:lineRule="auto"/>
        <w:ind w:firstLine="708"/>
        <w:jc w:val="both"/>
        <w:rPr>
          <w:rFonts w:ascii="Verdana" w:eastAsia="Times New Roman" w:hAnsi="Verdana" w:cs="Times New Roman"/>
          <w:color w:val="000000"/>
          <w:lang w:eastAsia="es-CO"/>
        </w:rPr>
      </w:pPr>
      <w:proofErr w:type="spellStart"/>
      <w:r w:rsidRPr="005B6222">
        <w:rPr>
          <w:rFonts w:ascii="Verdana" w:eastAsia="Times New Roman" w:hAnsi="Verdana" w:cs="Times New Roman"/>
          <w:color w:val="000000"/>
          <w:lang w:eastAsia="es-CO"/>
        </w:rPr>
        <w:t>iii</w:t>
      </w:r>
      <w:proofErr w:type="spellEnd"/>
      <w:r w:rsidRPr="005B6222">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6079026" w14:textId="77777777" w:rsidR="005B6222" w:rsidRPr="005B6222" w:rsidRDefault="005B6222" w:rsidP="005B6222">
      <w:pPr>
        <w:spacing w:after="120" w:line="276" w:lineRule="auto"/>
        <w:ind w:firstLine="708"/>
        <w:jc w:val="both"/>
        <w:rPr>
          <w:rFonts w:ascii="Verdana" w:eastAsia="Times New Roman" w:hAnsi="Verdana" w:cs="Times New Roman"/>
          <w:color w:val="000000"/>
          <w:lang w:eastAsia="es-CO"/>
        </w:rPr>
      </w:pPr>
      <w:proofErr w:type="spellStart"/>
      <w:r w:rsidRPr="005B6222">
        <w:rPr>
          <w:rFonts w:ascii="Verdana" w:eastAsia="Times New Roman" w:hAnsi="Verdana" w:cs="Times New Roman"/>
          <w:color w:val="000000"/>
          <w:lang w:eastAsia="es-CO"/>
        </w:rPr>
        <w:t>iv</w:t>
      </w:r>
      <w:proofErr w:type="spellEnd"/>
      <w:r w:rsidRPr="005B6222">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4B31E0E3" w14:textId="77777777" w:rsidR="005B6222" w:rsidRPr="005B6222" w:rsidRDefault="005B6222" w:rsidP="005B6222">
      <w:pPr>
        <w:spacing w:after="120" w:line="276" w:lineRule="auto"/>
        <w:ind w:firstLine="708"/>
        <w:jc w:val="both"/>
        <w:rPr>
          <w:rFonts w:ascii="Verdana" w:eastAsia="Times New Roman" w:hAnsi="Verdana" w:cs="Times New Roman"/>
          <w:color w:val="000000"/>
          <w:lang w:eastAsia="es-CO"/>
        </w:rPr>
      </w:pPr>
      <w:r w:rsidRPr="005B6222">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5B6222">
        <w:rPr>
          <w:rFonts w:ascii="Verdana" w:eastAsia="Aptos" w:hAnsi="Verdana" w:cs="Times New Roman"/>
          <w:lang w:eastAsia="es-MX"/>
        </w:rPr>
        <w:t xml:space="preserve"> </w:t>
      </w:r>
    </w:p>
    <w:p w14:paraId="538D518F" w14:textId="77777777" w:rsidR="005B6222" w:rsidRPr="005B6222" w:rsidRDefault="005B6222" w:rsidP="005B6222">
      <w:pPr>
        <w:spacing w:after="120" w:line="276" w:lineRule="auto"/>
        <w:ind w:firstLine="708"/>
        <w:jc w:val="both"/>
        <w:textAlignment w:val="baseline"/>
        <w:rPr>
          <w:rFonts w:ascii="Verdana" w:eastAsia="Calibri" w:hAnsi="Verdana" w:cs="Arial"/>
          <w:lang w:eastAsia="es-MX"/>
        </w:rPr>
      </w:pPr>
      <w:r w:rsidRPr="005B6222">
        <w:rPr>
          <w:rFonts w:ascii="Verdana" w:eastAsia="Aptos" w:hAnsi="Verdana" w:cs="Times New Roman"/>
          <w:lang w:eastAsia="es-MX"/>
        </w:rPr>
        <w:lastRenderedPageBreak/>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5B6222">
        <w:rPr>
          <w:rFonts w:ascii="Verdana" w:eastAsia="Calibri" w:hAnsi="Verdana" w:cs="Arial"/>
          <w:vertAlign w:val="superscript"/>
          <w:lang w:eastAsia="es-MX"/>
        </w:rPr>
        <w:footnoteReference w:id="6"/>
      </w:r>
      <w:r w:rsidRPr="005B6222">
        <w:rPr>
          <w:rFonts w:ascii="Verdana" w:eastAsia="Calibri" w:hAnsi="Verdana" w:cs="Arial"/>
          <w:lang w:eastAsia="es-MX"/>
        </w:rPr>
        <w:t>.</w:t>
      </w:r>
    </w:p>
    <w:p w14:paraId="6F7EC6C5" w14:textId="77777777" w:rsidR="005B6222" w:rsidRPr="005B6222" w:rsidRDefault="005B6222" w:rsidP="005B6222">
      <w:pPr>
        <w:widowControl w:val="0"/>
        <w:autoSpaceDE w:val="0"/>
        <w:autoSpaceDN w:val="0"/>
        <w:spacing w:after="120" w:line="276" w:lineRule="auto"/>
        <w:ind w:firstLine="708"/>
        <w:jc w:val="both"/>
        <w:rPr>
          <w:rFonts w:ascii="Verdana" w:eastAsia="Calibri" w:hAnsi="Verdana" w:cs="Times New Roman"/>
          <w:lang w:val="es-ES" w:eastAsia="es-MX"/>
        </w:rPr>
      </w:pPr>
      <w:r w:rsidRPr="005B6222">
        <w:rPr>
          <w:rFonts w:ascii="Verdana" w:eastAsia="Calibri" w:hAnsi="Verdana" w:cs="Times New Roman"/>
          <w:lang w:val="es-ES" w:eastAsia="es-MX"/>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5B6222">
        <w:rPr>
          <w:rFonts w:ascii="Verdana" w:eastAsia="Calibri" w:hAnsi="Verdana" w:cs="Times New Roman"/>
          <w:shd w:val="clear" w:color="auto" w:fill="E8E8E8"/>
          <w:lang w:val="es-ES" w:eastAsia="es-MX"/>
        </w:rPr>
        <w:t>–[texto]–,</w:t>
      </w:r>
      <w:r w:rsidRPr="005B6222">
        <w:rPr>
          <w:rFonts w:ascii="Verdana" w:eastAsia="Calibri" w:hAnsi="Verdana" w:cs="Times New Roman"/>
          <w:lang w:val="es-ES" w:eastAsia="es-MX"/>
        </w:rPr>
        <w:t xml:space="preserve"> para lo cual deberán observarse las instrucciones contenidas en los mismos para su diligenciamiento.</w:t>
      </w:r>
    </w:p>
    <w:p w14:paraId="6D9C5C04" w14:textId="77777777" w:rsidR="005B6222" w:rsidRPr="005B6222" w:rsidRDefault="005B6222" w:rsidP="005B6222">
      <w:pPr>
        <w:widowControl w:val="0"/>
        <w:autoSpaceDE w:val="0"/>
        <w:autoSpaceDN w:val="0"/>
        <w:spacing w:after="120" w:line="276" w:lineRule="auto"/>
        <w:ind w:firstLine="708"/>
        <w:jc w:val="both"/>
        <w:rPr>
          <w:rFonts w:ascii="Verdana" w:eastAsia="Calibri" w:hAnsi="Verdana" w:cs="Times New Roman"/>
          <w:lang w:val="es-ES" w:eastAsia="es-MX"/>
        </w:rPr>
      </w:pPr>
      <w:r w:rsidRPr="005B6222">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w:t>
      </w:r>
      <w:r w:rsidRPr="005B6222">
        <w:rPr>
          <w:rFonts w:ascii="Verdana" w:eastAsia="Calibri" w:hAnsi="Verdana" w:cs="Times New Roman"/>
          <w:lang w:val="es-ES" w:eastAsia="es-MX"/>
        </w:rPr>
        <w:lastRenderedPageBreak/>
        <w:t xml:space="preserve">que, en los apartes en que los documentos tipo no lo permitan, la entidad deberá integrar el contenido de estos a su proceso de contratación sin ningún tipo de alteración. </w:t>
      </w:r>
    </w:p>
    <w:p w14:paraId="2282E73D" w14:textId="77777777" w:rsidR="005B6222" w:rsidRPr="005B6222" w:rsidRDefault="005B6222" w:rsidP="005B6222">
      <w:pPr>
        <w:widowControl w:val="0"/>
        <w:autoSpaceDE w:val="0"/>
        <w:autoSpaceDN w:val="0"/>
        <w:spacing w:after="120" w:line="276" w:lineRule="auto"/>
        <w:ind w:firstLine="708"/>
        <w:jc w:val="both"/>
        <w:rPr>
          <w:rFonts w:ascii="Verdana" w:eastAsia="Calibri" w:hAnsi="Verdana" w:cs="Times New Roman"/>
          <w:lang w:val="es-ES" w:eastAsia="es-MX"/>
        </w:rPr>
      </w:pPr>
      <w:r w:rsidRPr="005B6222">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2EDC44A" w14:textId="77777777" w:rsidR="005B6222" w:rsidRPr="005B6222" w:rsidRDefault="005B6222" w:rsidP="005B6222">
      <w:pPr>
        <w:widowControl w:val="0"/>
        <w:autoSpaceDE w:val="0"/>
        <w:autoSpaceDN w:val="0"/>
        <w:spacing w:after="120" w:line="276" w:lineRule="auto"/>
        <w:ind w:firstLine="708"/>
        <w:jc w:val="both"/>
        <w:rPr>
          <w:rFonts w:ascii="Verdana" w:eastAsia="Calibri" w:hAnsi="Verdana" w:cs="Times New Roman"/>
          <w:lang w:val="es-ES" w:eastAsia="es-MX"/>
        </w:rPr>
      </w:pPr>
      <w:r w:rsidRPr="005B6222">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68FF60B" w14:textId="77777777" w:rsidR="005B6222" w:rsidRPr="005B6222" w:rsidRDefault="005B6222" w:rsidP="005B6222">
      <w:pPr>
        <w:widowControl w:val="0"/>
        <w:autoSpaceDE w:val="0"/>
        <w:autoSpaceDN w:val="0"/>
        <w:spacing w:after="120" w:line="276" w:lineRule="auto"/>
        <w:ind w:firstLine="708"/>
        <w:jc w:val="both"/>
        <w:rPr>
          <w:rFonts w:ascii="Verdana" w:eastAsia="Calibri" w:hAnsi="Verdana" w:cs="Times New Roman"/>
          <w:lang w:val="es-ES" w:eastAsia="es-MX"/>
        </w:rPr>
      </w:pPr>
      <w:r w:rsidRPr="005B6222">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BDECF74" w14:textId="77777777" w:rsidR="005B6222" w:rsidRPr="005B6222" w:rsidRDefault="005B6222" w:rsidP="005B6222">
      <w:pPr>
        <w:widowControl w:val="0"/>
        <w:autoSpaceDE w:val="0"/>
        <w:autoSpaceDN w:val="0"/>
        <w:spacing w:after="0" w:line="276" w:lineRule="auto"/>
        <w:ind w:firstLine="708"/>
        <w:jc w:val="both"/>
        <w:rPr>
          <w:rFonts w:ascii="Verdana" w:eastAsia="Calibri" w:hAnsi="Verdana" w:cs="Times New Roman"/>
          <w:lang w:val="es-ES" w:eastAsia="es-MX"/>
        </w:rPr>
      </w:pPr>
      <w:r w:rsidRPr="005B6222">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4DC9453E" w14:textId="77777777" w:rsidR="005B6222" w:rsidRPr="005B6222" w:rsidRDefault="005B6222" w:rsidP="005B6222">
      <w:pPr>
        <w:spacing w:after="0" w:line="276" w:lineRule="auto"/>
        <w:jc w:val="both"/>
        <w:rPr>
          <w:rFonts w:ascii="Verdana" w:eastAsia="Calibri" w:hAnsi="Verdana" w:cs="Times New Roman"/>
          <w:lang w:val="es-ES" w:eastAsia="es-MX"/>
        </w:rPr>
      </w:pPr>
    </w:p>
    <w:p w14:paraId="3D724CE4" w14:textId="77777777" w:rsidR="005B6222" w:rsidRPr="005B6222" w:rsidRDefault="005B6222" w:rsidP="005B6222">
      <w:pPr>
        <w:spacing w:after="120" w:line="276" w:lineRule="auto"/>
        <w:jc w:val="both"/>
        <w:rPr>
          <w:rFonts w:ascii="Verdana" w:eastAsia="Calibri" w:hAnsi="Verdana" w:cs="Times New Roman"/>
          <w:kern w:val="2"/>
          <w:lang w:val="es-ES" w:eastAsia="es-MX"/>
          <w14:ligatures w14:val="standardContextual"/>
        </w:rPr>
      </w:pPr>
      <w:proofErr w:type="spellStart"/>
      <w:r w:rsidRPr="005B6222">
        <w:rPr>
          <w:rFonts w:ascii="Verdana" w:eastAsia="Calibri" w:hAnsi="Verdana" w:cs="Times New Roman"/>
          <w:kern w:val="2"/>
          <w:lang w:val="es-ES"/>
          <w14:ligatures w14:val="standardContextual"/>
        </w:rPr>
        <w:t>ii</w:t>
      </w:r>
      <w:proofErr w:type="spellEnd"/>
      <w:r w:rsidRPr="005B6222">
        <w:rPr>
          <w:rFonts w:ascii="Verdana" w:eastAsia="Calibri" w:hAnsi="Verdana" w:cs="Times New Roman"/>
          <w:kern w:val="2"/>
          <w:lang w:val="es-ES"/>
          <w14:ligatures w14:val="standardContextual"/>
        </w:rPr>
        <w:t xml:space="preserve">. </w:t>
      </w:r>
      <w:r w:rsidRPr="005B6222">
        <w:rPr>
          <w:rFonts w:ascii="Verdana" w:eastAsia="Calibri" w:hAnsi="Verdana" w:cs="Times New Roman"/>
          <w:kern w:val="2"/>
          <w:lang w:val="es-ES" w:eastAsia="es-MX"/>
          <w14:ligatures w14:val="standardContextual"/>
        </w:rPr>
        <w:t xml:space="preserve">El artículo 14 de la Resolución 539 del 21 de agosto de 2025, y el artículo 13 de las Resoluciones 540 y 541 del 21 de agosto de 2025, adoptan los Documentos Tipo complementarios para los procesos de infraestructura social relacionados con el Sector Cultura, recreación y deporte -según la modalidad que corresponda-. De acuerdo con el parágrafo segundo de los artículos 15 y 14 de las citadas resoluciones, estos documentos aplican a los procesos contractuales que correspondan a las actividades definidas en la Matriz 1 – Experiencia del Sector Cultura, recreación y deporte. </w:t>
      </w:r>
    </w:p>
    <w:p w14:paraId="64FC99D9" w14:textId="77777777" w:rsidR="005B6222" w:rsidRPr="005B6222" w:rsidRDefault="005B6222" w:rsidP="005B6222">
      <w:pPr>
        <w:spacing w:after="120" w:line="276" w:lineRule="auto"/>
        <w:jc w:val="both"/>
        <w:rPr>
          <w:rFonts w:ascii="Verdana" w:eastAsia="Arial" w:hAnsi="Verdana" w:cs="Aptos"/>
          <w:kern w:val="2"/>
          <w:lang w:eastAsia="es-ES"/>
          <w14:ligatures w14:val="standardContextual"/>
        </w:rPr>
      </w:pPr>
      <w:r w:rsidRPr="005B6222">
        <w:rPr>
          <w:rFonts w:ascii="Aptos" w:eastAsia="Calibri" w:hAnsi="Aptos" w:cs="Times New Roman"/>
          <w:kern w:val="2"/>
          <w:sz w:val="24"/>
          <w:szCs w:val="24"/>
          <w:lang w:val="es-ES" w:eastAsia="es-MX"/>
          <w14:ligatures w14:val="standardContextual"/>
        </w:rPr>
        <w:tab/>
      </w:r>
      <w:r w:rsidRPr="005B6222">
        <w:rPr>
          <w:rFonts w:ascii="Verdana" w:eastAsia="Calibri" w:hAnsi="Verdana" w:cs="Times New Roman"/>
          <w:kern w:val="2"/>
          <w:lang w:val="es-ES" w:eastAsia="es-MX"/>
          <w14:ligatures w14:val="standardContextual"/>
        </w:rPr>
        <w:t xml:space="preserve">La Matriz 1 – Experiencia del Sector Cultura, recreación y deporte, </w:t>
      </w:r>
      <w:r w:rsidRPr="005B6222">
        <w:rPr>
          <w:rFonts w:ascii="Verdana" w:eastAsia="Times New Roman" w:hAnsi="Verdana" w:cs="Times New Roman"/>
          <w:color w:val="000000"/>
          <w:kern w:val="2"/>
          <w:lang w:eastAsia="es-CO"/>
          <w14:ligatures w14:val="standardContextual"/>
        </w:rPr>
        <w:t xml:space="preserve">en la modalidad de licitación pública, selección abreviada de menor cuantía y mínima cuantía dispone de los siguientes cinco (5) tipos de infraestructura: </w:t>
      </w:r>
      <w:r w:rsidRPr="005B6222">
        <w:rPr>
          <w:rFonts w:ascii="Verdana" w:eastAsia="Arial" w:hAnsi="Verdana" w:cs="Aptos"/>
          <w:kern w:val="2"/>
          <w:lang w:eastAsia="es-ES"/>
          <w14:ligatures w14:val="standardContextual"/>
        </w:rPr>
        <w:t>“1. OBRAS EN INFRAESTRUCTURA CULTURAL; 2. OBRAS EN INFRAESTRUCTURA RECREO DEPORTIVA; 3. OBRAS EN INFRAESTRUCTURA DEL SECTOR DE CULTURA, RECREACIÓN Y DEPORTE; 4. OBRAS EN BIBLIOTECAS PÚBLICAS; y 5. OBRAS PARA ATENCIÓN, PREVENCIÓN O MITIGACIÓN DE EMERGENCIAS DIFERENTES A CONTRATACIÓN DIRECTA PARA EL SECTOR CULTURA, RECREACIÓN Y DEPORTE”</w:t>
      </w:r>
      <w:r w:rsidRPr="005B6222">
        <w:rPr>
          <w:rFonts w:ascii="Verdana" w:eastAsia="Aptos" w:hAnsi="Verdana" w:cs="Times New Roman"/>
          <w:kern w:val="2"/>
          <w14:ligatures w14:val="standardContextual"/>
        </w:rPr>
        <w:t xml:space="preserve">. </w:t>
      </w:r>
      <w:r w:rsidRPr="005B6222">
        <w:rPr>
          <w:rFonts w:ascii="Verdana" w:eastAsia="Arial" w:hAnsi="Verdana" w:cs="Aptos"/>
          <w:kern w:val="2"/>
          <w:lang w:eastAsia="es-ES"/>
          <w14:ligatures w14:val="standardContextual"/>
        </w:rPr>
        <w:t xml:space="preserve">Sobre los tipos de obras señaladas, la Matriz 1 – Experiencia contiene una serie de actividades donde la entidad debe encuadrar el objeto del proceso que pretende ejecutar. </w:t>
      </w:r>
      <w:r w:rsidRPr="005B6222">
        <w:rPr>
          <w:rFonts w:ascii="Verdana" w:eastAsia="Aptos" w:hAnsi="Verdana" w:cs="Times New Roman"/>
          <w:kern w:val="2"/>
          <w14:ligatures w14:val="standardContextual"/>
        </w:rPr>
        <w:t xml:space="preserve">Estas actividades se relacionan con proyectos de construcción, ampliación, reconstrucción, adecuación, conservación, intervención, remodelación, mantenimiento, mejoramiento, modificación, optimización, rehabilitación, remodelación, reposición y/o reparación y/o suministro, entre otras actividades, sobre infraestructura del sector cultura, recreación y deporte. </w:t>
      </w:r>
    </w:p>
    <w:p w14:paraId="49A6FD90" w14:textId="77777777" w:rsidR="005B6222" w:rsidRPr="005B6222" w:rsidRDefault="005B6222" w:rsidP="005B6222">
      <w:pPr>
        <w:spacing w:after="120" w:line="276" w:lineRule="auto"/>
        <w:jc w:val="both"/>
        <w:rPr>
          <w:rFonts w:ascii="Verdana" w:eastAsia="Times New Roman" w:hAnsi="Verdana" w:cs="Times New Roman"/>
          <w:color w:val="000000"/>
          <w:kern w:val="2"/>
          <w:lang w:eastAsia="es-CO"/>
          <w14:ligatures w14:val="standardContextual"/>
        </w:rPr>
      </w:pPr>
      <w:r w:rsidRPr="005B6222">
        <w:rPr>
          <w:rFonts w:ascii="Verdana" w:eastAsia="Arial" w:hAnsi="Verdana" w:cs="Aptos"/>
          <w:kern w:val="2"/>
          <w:sz w:val="24"/>
          <w:szCs w:val="24"/>
          <w:lang w:eastAsia="es-ES"/>
          <w14:ligatures w14:val="standardContextual"/>
        </w:rPr>
        <w:tab/>
      </w:r>
      <w:r w:rsidRPr="005B6222">
        <w:rPr>
          <w:rFonts w:ascii="Verdana" w:eastAsia="Arial" w:hAnsi="Verdana" w:cs="Aptos"/>
          <w:kern w:val="2"/>
          <w:lang w:eastAsia="es-ES"/>
          <w14:ligatures w14:val="standardContextual"/>
        </w:rPr>
        <w:t>De esta forma, los tipos de obras señaladas y las actividades previstas en la Matriz 1</w:t>
      </w:r>
      <w:r w:rsidRPr="005B6222">
        <w:rPr>
          <w:rFonts w:ascii="Verdana" w:eastAsia="Calibri" w:hAnsi="Verdana" w:cs="Times New Roman"/>
          <w:kern w:val="2"/>
          <w:lang w:val="es-ES" w:eastAsia="es-MX"/>
          <w14:ligatures w14:val="standardContextual"/>
        </w:rPr>
        <w:t xml:space="preserve">– Experiencia del Sector Cultura, recreación y deporte, </w:t>
      </w:r>
      <w:r w:rsidRPr="005B6222">
        <w:rPr>
          <w:rFonts w:ascii="Verdana" w:eastAsia="Times New Roman" w:hAnsi="Verdana" w:cs="Times New Roman"/>
          <w:color w:val="000000"/>
          <w:kern w:val="2"/>
          <w:lang w:eastAsia="es-CO"/>
          <w14:ligatures w14:val="standardContextual"/>
        </w:rPr>
        <w:t xml:space="preserve">en la modalidad de licitación pública, selección abreviada de menor cuantía y mínima cuantía, recaen sobre infraestructura cultural, </w:t>
      </w:r>
      <w:proofErr w:type="gramStart"/>
      <w:r w:rsidRPr="005B6222">
        <w:rPr>
          <w:rFonts w:ascii="Verdana" w:eastAsia="Times New Roman" w:hAnsi="Verdana" w:cs="Times New Roman"/>
          <w:color w:val="000000"/>
          <w:kern w:val="2"/>
          <w:lang w:eastAsia="es-CO"/>
          <w14:ligatures w14:val="standardContextual"/>
        </w:rPr>
        <w:t>recreo deportiva</w:t>
      </w:r>
      <w:proofErr w:type="gramEnd"/>
      <w:r w:rsidRPr="005B6222">
        <w:rPr>
          <w:rFonts w:ascii="Verdana" w:eastAsia="Times New Roman" w:hAnsi="Verdana" w:cs="Times New Roman"/>
          <w:color w:val="000000"/>
          <w:kern w:val="2"/>
          <w:lang w:eastAsia="es-CO"/>
          <w14:ligatures w14:val="standardContextual"/>
        </w:rPr>
        <w:t>, cultura, recreación y deporte y bibliotecas. Esto es importante para precisar el ámbito de aplicación de los Documentos Tipo de este sector adoptados en de las Resoluciones 539, 540 y 541 de 2025.</w:t>
      </w:r>
    </w:p>
    <w:p w14:paraId="265A4E16" w14:textId="77777777" w:rsidR="005B6222" w:rsidRPr="005B6222" w:rsidRDefault="005B6222" w:rsidP="005B6222">
      <w:pPr>
        <w:spacing w:after="120" w:line="276" w:lineRule="auto"/>
        <w:jc w:val="both"/>
        <w:rPr>
          <w:rFonts w:ascii="Verdana" w:eastAsia="Times New Roman" w:hAnsi="Verdana" w:cs="Times New Roman"/>
          <w:color w:val="000000"/>
          <w:lang w:eastAsia="es-CO"/>
        </w:rPr>
      </w:pPr>
      <w:r w:rsidRPr="005B6222">
        <w:rPr>
          <w:rFonts w:ascii="Verdana" w:eastAsia="Times New Roman" w:hAnsi="Verdana" w:cs="Times New Roman"/>
          <w:color w:val="000000"/>
          <w:kern w:val="2"/>
          <w:lang w:eastAsia="es-CO"/>
          <w14:ligatures w14:val="standardContextual"/>
        </w:rPr>
        <w:tab/>
      </w:r>
      <w:r w:rsidRPr="005B6222">
        <w:rPr>
          <w:rFonts w:ascii="Verdana" w:eastAsia="Times New Roman" w:hAnsi="Verdana" w:cs="Times New Roman"/>
          <w:color w:val="000000"/>
          <w:lang w:eastAsia="es-CO"/>
        </w:rPr>
        <w:t xml:space="preserve">Concretamente, en su solicitud usted indaga sobre el alcance de la expresión “Infraestructura cultural” contenida en las actividades del capítulo 1 “Obras en infraestructura cultural” de la Matriz 1 – Experiencia de los </w:t>
      </w:r>
      <w:r w:rsidRPr="005B6222">
        <w:rPr>
          <w:rFonts w:ascii="Verdana" w:eastAsia="Times New Roman" w:hAnsi="Verdana" w:cs="Times New Roman"/>
          <w:color w:val="000000"/>
          <w:lang w:eastAsia="es-CO"/>
        </w:rPr>
        <w:lastRenderedPageBreak/>
        <w:t xml:space="preserve">documentos </w:t>
      </w:r>
      <w:proofErr w:type="gramStart"/>
      <w:r w:rsidRPr="005B6222">
        <w:rPr>
          <w:rFonts w:ascii="Verdana" w:eastAsia="Times New Roman" w:hAnsi="Verdana" w:cs="Times New Roman"/>
          <w:color w:val="000000"/>
          <w:lang w:eastAsia="es-CO"/>
        </w:rPr>
        <w:t>tipo  complementarios</w:t>
      </w:r>
      <w:proofErr w:type="gramEnd"/>
      <w:r w:rsidRPr="005B6222">
        <w:rPr>
          <w:rFonts w:ascii="Verdana" w:eastAsia="Times New Roman" w:hAnsi="Verdana" w:cs="Times New Roman"/>
          <w:color w:val="000000"/>
          <w:lang w:eastAsia="es-CO"/>
        </w:rPr>
        <w:t xml:space="preserve"> del Sector Cultura, recreación y deporte. </w:t>
      </w:r>
      <w:r w:rsidRPr="005B6222">
        <w:rPr>
          <w:rFonts w:ascii="Verdana" w:eastAsia="Times New Roman" w:hAnsi="Verdana" w:cs="Aptos"/>
          <w:lang w:eastAsia="es-MX"/>
        </w:rPr>
        <w:t>Para interpretar el alcance de este tipo de infraestructura, se debe tener en cuenta la nota general 1 de dicha Matriz,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7172747C" w14:textId="77777777" w:rsidR="005B6222" w:rsidRPr="005B6222" w:rsidRDefault="005B6222" w:rsidP="005B6222">
      <w:pPr>
        <w:spacing w:after="120" w:line="278" w:lineRule="auto"/>
        <w:ind w:firstLine="708"/>
        <w:jc w:val="both"/>
        <w:rPr>
          <w:rFonts w:ascii="Verdana" w:eastAsia="Times New Roman" w:hAnsi="Verdana" w:cs="Aptos"/>
          <w:lang w:eastAsia="es-MX"/>
        </w:rPr>
      </w:pPr>
      <w:r w:rsidRPr="005B6222">
        <w:rPr>
          <w:rFonts w:ascii="Verdana" w:eastAsia="Times New Roman" w:hAnsi="Verdana" w:cs="Aptos"/>
          <w:lang w:eastAsia="es-MX"/>
        </w:rPr>
        <w:t>La nota general 1 contenida en la Matriz 1 – Experiencia de los Documentos Tipo indicados, es congruente con el numeral 1.10 del documento base que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p>
    <w:p w14:paraId="4EEBB8B9" w14:textId="77777777" w:rsidR="005B6222" w:rsidRPr="005B6222" w:rsidRDefault="005B6222" w:rsidP="005B6222">
      <w:pPr>
        <w:spacing w:after="120" w:line="276" w:lineRule="auto"/>
        <w:ind w:firstLine="708"/>
        <w:jc w:val="both"/>
        <w:rPr>
          <w:rFonts w:ascii="Verdana" w:eastAsia="Calibri" w:hAnsi="Verdana" w:cs="Arial"/>
          <w:color w:val="0D0D0D"/>
          <w:lang w:eastAsia="es-MX"/>
        </w:rPr>
      </w:pPr>
      <w:r w:rsidRPr="005B6222">
        <w:rPr>
          <w:rFonts w:ascii="Verdana" w:eastAsia="Calibri" w:hAnsi="Verdana" w:cs="Arial"/>
          <w:lang w:val="es-ES_tradnl" w:eastAsia="es-MX"/>
        </w:rPr>
        <w:t xml:space="preserve">Ahora bien, como se precisó las actividades señaladas recaen sobre </w:t>
      </w:r>
      <w:r w:rsidRPr="005B6222">
        <w:rPr>
          <w:rFonts w:ascii="Verdana" w:eastAsia="Times New Roman" w:hAnsi="Verdana" w:cs="Calibri"/>
          <w:lang w:eastAsia="es-MX"/>
        </w:rPr>
        <w:t xml:space="preserve">obras en proyectos de infraestructura cultural. De esta forma, para determinar que abarca este tipo de infraestructura, debe indicarse que, de conformidad con la norma </w:t>
      </w:r>
      <w:r w:rsidRPr="005B6222">
        <w:rPr>
          <w:rFonts w:ascii="Verdana" w:eastAsia="Calibri" w:hAnsi="Verdana" w:cs="Arial"/>
          <w:color w:val="0D0D0D"/>
          <w:lang w:eastAsia="es-MX"/>
        </w:rPr>
        <w:t xml:space="preserve">NSR-10 en el Subgrupo de Ocupación Lugares de Reunión Culturales (L-2) </w:t>
      </w:r>
      <w:r w:rsidRPr="005B6222">
        <w:rPr>
          <w:rFonts w:ascii="Verdana" w:eastAsia="Calibri" w:hAnsi="Verdana" w:cs="Arial"/>
          <w:i/>
          <w:iCs/>
          <w:color w:val="0D0D0D"/>
          <w:lang w:eastAsia="es-MX"/>
        </w:rPr>
        <w:t xml:space="preserve">“(…) </w:t>
      </w:r>
      <w:r w:rsidRPr="005B6222">
        <w:rPr>
          <w:rFonts w:ascii="Verdana" w:eastAsia="Aptos" w:hAnsi="Verdana" w:cs="Times New Roman"/>
          <w:i/>
          <w:iCs/>
          <w:kern w:val="2"/>
          <w14:ligatures w14:val="standardContextual"/>
        </w:rPr>
        <w:t>se clasifican las edificaciones o espacios utilizados para la realización o presentación de eventos culturales o políticos, y en general, donde se reúnen o agrupan personas con fines culturales, y existen instalaciones escénicas tales como proscenios o tablados, cortinas, iluminación especial, cuartos de proyección y de artistas, dispositivos mecánicos, silletería fija u otros accesorios o equipos de teatro.</w:t>
      </w:r>
      <w:r w:rsidRPr="005B6222">
        <w:rPr>
          <w:rFonts w:ascii="Verdana" w:eastAsia="Calibri" w:hAnsi="Verdana" w:cs="Arial"/>
          <w:color w:val="0D0D0D"/>
          <w:lang w:eastAsia="es-MX"/>
        </w:rPr>
        <w:t>”</w:t>
      </w:r>
      <w:r w:rsidRPr="005B6222">
        <w:rPr>
          <w:rFonts w:ascii="Verdana" w:eastAsia="Calibri" w:hAnsi="Verdana" w:cs="Arial"/>
          <w:color w:val="0D0D0D"/>
          <w:vertAlign w:val="superscript"/>
          <w:lang w:eastAsia="es-MX"/>
        </w:rPr>
        <w:footnoteReference w:id="7"/>
      </w:r>
      <w:r w:rsidRPr="005B6222">
        <w:rPr>
          <w:rFonts w:ascii="Verdana" w:eastAsia="Calibri" w:hAnsi="Verdana" w:cs="Arial"/>
          <w:color w:val="0D0D0D"/>
          <w:lang w:eastAsia="es-MX"/>
        </w:rPr>
        <w:t xml:space="preserve">. Entre las edificaciones o espacios que pertenecen a este Subgrupo se encuentran las siguientes: </w:t>
      </w:r>
      <w:r w:rsidRPr="005B6222">
        <w:rPr>
          <w:rFonts w:ascii="Verdana" w:eastAsia="Calibri" w:hAnsi="Verdana" w:cs="Arial"/>
          <w:i/>
          <w:iCs/>
          <w:color w:val="0D0D0D"/>
          <w:lang w:eastAsia="es-MX"/>
        </w:rPr>
        <w:t>“Auditorios, salones de exhibición, salones de convención, salas de cine, salas de concierto, carpas y espacios abiertos, salas de teatro, teatros al aire libre, cinematecas, planetarios, teatros”</w:t>
      </w:r>
      <w:r w:rsidRPr="005B6222">
        <w:rPr>
          <w:rFonts w:ascii="Verdana" w:eastAsia="Calibri" w:hAnsi="Verdana" w:cs="Arial"/>
          <w:color w:val="0D0D0D"/>
          <w:vertAlign w:val="superscript"/>
          <w:lang w:eastAsia="es-MX"/>
        </w:rPr>
        <w:footnoteReference w:id="8"/>
      </w:r>
      <w:r w:rsidRPr="005B6222">
        <w:rPr>
          <w:rFonts w:ascii="Verdana" w:eastAsia="Calibri" w:hAnsi="Verdana" w:cs="Arial"/>
          <w:color w:val="0D0D0D"/>
          <w:lang w:eastAsia="es-MX"/>
        </w:rPr>
        <w:t>.</w:t>
      </w:r>
    </w:p>
    <w:p w14:paraId="441A7ED4" w14:textId="77777777" w:rsidR="005B6222" w:rsidRPr="005B6222" w:rsidRDefault="005B6222" w:rsidP="005B6222">
      <w:pPr>
        <w:spacing w:after="120" w:line="276" w:lineRule="auto"/>
        <w:ind w:firstLine="708"/>
        <w:jc w:val="both"/>
        <w:rPr>
          <w:rFonts w:ascii="Verdana" w:eastAsia="Aptos" w:hAnsi="Verdana" w:cs="Times New Roman"/>
          <w:kern w:val="2"/>
          <w14:ligatures w14:val="standardContextual"/>
        </w:rPr>
      </w:pPr>
      <w:r w:rsidRPr="005B6222">
        <w:rPr>
          <w:rFonts w:ascii="Verdana" w:eastAsia="Calibri" w:hAnsi="Verdana" w:cs="Arial"/>
          <w:color w:val="0D0D0D"/>
          <w:lang w:eastAsia="es-MX"/>
        </w:rPr>
        <w:t>En este sentido, en el Subgrupo de Ocupación Lugares de Reunión Culturales corresponde a una categoría de clasificación establecida por la NSR-</w:t>
      </w:r>
      <w:r w:rsidRPr="005B6222">
        <w:rPr>
          <w:rFonts w:ascii="Verdana" w:eastAsia="Calibri" w:hAnsi="Verdana" w:cs="Arial"/>
          <w:color w:val="0D0D0D"/>
          <w:lang w:eastAsia="es-MX"/>
        </w:rPr>
        <w:lastRenderedPageBreak/>
        <w:t>10 que c</w:t>
      </w:r>
      <w:r w:rsidRPr="005B6222">
        <w:rPr>
          <w:rFonts w:ascii="Verdana" w:eastAsia="Aptos" w:hAnsi="Verdana" w:cs="Times New Roman"/>
          <w:kern w:val="2"/>
          <w14:ligatures w14:val="standardContextual"/>
        </w:rPr>
        <w:t>omprende las edificaciones o espacios destinados a la congregación de personas para el desarrollo de actividades culturales, políticas o similares, caracterizados por contar con infraestructura y dotaciones escénicas o técnicas especializadas para la realización de eventos y espectáculos públicos.</w:t>
      </w:r>
      <w:r w:rsidRPr="005B6222">
        <w:rPr>
          <w:rFonts w:ascii="Verdana" w:eastAsia="Calibri" w:hAnsi="Verdana" w:cs="Arial"/>
          <w:color w:val="0D0D0D"/>
          <w:lang w:eastAsia="es-MX"/>
        </w:rPr>
        <w:t xml:space="preserve"> Este subgrupo abarca las edificaciones o espacios enunciados en el párrafo precedente en una “lista indicativa”, lo que evidencia que la enumeración no es taxativa, sino enunciativa, por lo incluye todas aquellas edificaciones </w:t>
      </w:r>
      <w:proofErr w:type="gramStart"/>
      <w:r w:rsidRPr="005B6222">
        <w:rPr>
          <w:rFonts w:ascii="Verdana" w:eastAsia="Calibri" w:hAnsi="Verdana" w:cs="Arial"/>
          <w:color w:val="0D0D0D"/>
          <w:lang w:eastAsia="es-MX"/>
        </w:rPr>
        <w:t>que</w:t>
      </w:r>
      <w:proofErr w:type="gramEnd"/>
      <w:r w:rsidRPr="005B6222">
        <w:rPr>
          <w:rFonts w:ascii="Verdana" w:eastAsia="Calibri" w:hAnsi="Verdana" w:cs="Arial"/>
          <w:color w:val="0D0D0D"/>
          <w:lang w:eastAsia="es-MX"/>
        </w:rPr>
        <w:t xml:space="preserve"> por su naturaleza y finalidad, están orientadas a la reunión de personas para actividades </w:t>
      </w:r>
      <w:r w:rsidRPr="005B6222">
        <w:rPr>
          <w:rFonts w:ascii="Verdana" w:eastAsia="Aptos" w:hAnsi="Verdana" w:cs="Times New Roman"/>
          <w:kern w:val="2"/>
          <w14:ligatures w14:val="standardContextual"/>
        </w:rPr>
        <w:t>culturales, políticas o similares.</w:t>
      </w:r>
    </w:p>
    <w:p w14:paraId="47805AE4" w14:textId="77777777" w:rsidR="005B6222" w:rsidRPr="005B6222" w:rsidRDefault="005B6222" w:rsidP="005B6222">
      <w:pPr>
        <w:spacing w:after="0" w:line="276" w:lineRule="auto"/>
        <w:ind w:firstLine="708"/>
        <w:jc w:val="both"/>
        <w:rPr>
          <w:rFonts w:ascii="Verdana" w:eastAsia="Calibri" w:hAnsi="Verdana" w:cs="Arial"/>
          <w:color w:val="0D0D0D"/>
          <w:lang w:eastAsia="es-MX"/>
        </w:rPr>
      </w:pPr>
      <w:r w:rsidRPr="005B6222">
        <w:rPr>
          <w:rFonts w:ascii="Verdana" w:eastAsia="Calibri" w:hAnsi="Verdana" w:cs="Arial"/>
          <w:color w:val="0D0D0D"/>
          <w:lang w:eastAsia="es-MX"/>
        </w:rPr>
        <w:t>La definición contenida en la NSR-10 es acorde con la que establece el Anexo 5 – Glosario de los documentos tipo de licitación de obra pública de infraestructura social – versión 2. En el numeral 2.103 del documento señalado se define el Grupo de Ocupación de Lugares de Reunión Culturales, y se señala las edificaciones y espacios que hacen parte de este:</w:t>
      </w:r>
    </w:p>
    <w:p w14:paraId="222BA86F" w14:textId="77777777" w:rsidR="005B6222" w:rsidRPr="005B6222" w:rsidRDefault="005B6222" w:rsidP="005B6222">
      <w:pPr>
        <w:spacing w:after="0" w:line="276" w:lineRule="auto"/>
        <w:ind w:firstLine="708"/>
        <w:jc w:val="both"/>
        <w:rPr>
          <w:rFonts w:ascii="Verdana" w:eastAsia="Calibri" w:hAnsi="Verdana" w:cs="Arial"/>
          <w:color w:val="0D0D0D"/>
          <w:lang w:eastAsia="es-MX"/>
        </w:rPr>
      </w:pPr>
    </w:p>
    <w:p w14:paraId="7FE9685C" w14:textId="77777777" w:rsidR="005B6222" w:rsidRPr="005B6222" w:rsidRDefault="005B6222" w:rsidP="005B6222">
      <w:pPr>
        <w:spacing w:after="0" w:line="240" w:lineRule="auto"/>
        <w:ind w:left="709" w:right="709"/>
        <w:jc w:val="both"/>
        <w:rPr>
          <w:rFonts w:ascii="Verdana" w:eastAsia="Calibri" w:hAnsi="Verdana" w:cs="Arial"/>
          <w:color w:val="0D0D0D"/>
          <w:sz w:val="21"/>
          <w:szCs w:val="21"/>
          <w:lang w:eastAsia="es-MX"/>
        </w:rPr>
      </w:pPr>
      <w:r w:rsidRPr="005B6222">
        <w:rPr>
          <w:rFonts w:ascii="Verdana" w:eastAsia="Arial" w:hAnsi="Verdana" w:cs="Arial"/>
          <w:kern w:val="2"/>
          <w:sz w:val="21"/>
          <w:szCs w:val="21"/>
          <w:lang w:val="es-ES"/>
          <w14:ligatures w14:val="standardContextual"/>
        </w:rPr>
        <w:t xml:space="preserve">“(…) Entre los cuales se encuentran: auditorios, salones de exhibición, salones de convención, salas de cine, salas de concierto, carpas y espacios abiertos, salas de teatro, teatros al aire libre, cinematecas, planetarios, teatros. Monumentos, edificio de interés cultural, galería de arte, espacio cinematográfico, centro de producción cinematográfica, centro musical, centro de preservación o conservación audiovisual, sede cultural, escenario cultural, Carpas y espacios abiertos, salas de lectura, plazas de mercado, casas de cultura, salas de música, escuelas de música, escuelas de baile, salones de baile, centros de convenciones, escuelas de artes y oficios, talleres de artes y oficios, museos, fototecas, salas de conciertos, archivos, plazas de conciertos, centros culturales, escuelas de formación artística, centros ceremoniales y similares”.                                     </w:t>
      </w:r>
    </w:p>
    <w:p w14:paraId="3855A0E9" w14:textId="77777777" w:rsidR="005B6222" w:rsidRPr="005B6222" w:rsidRDefault="005B6222" w:rsidP="005B6222">
      <w:pPr>
        <w:spacing w:after="0" w:line="276" w:lineRule="auto"/>
        <w:ind w:firstLine="708"/>
        <w:jc w:val="both"/>
        <w:rPr>
          <w:rFonts w:ascii="Verdana" w:eastAsia="Calibri" w:hAnsi="Verdana" w:cs="Arial"/>
          <w:color w:val="0D0D0D"/>
          <w:lang w:eastAsia="es-MX"/>
        </w:rPr>
      </w:pPr>
    </w:p>
    <w:p w14:paraId="480ADE7D" w14:textId="77777777" w:rsidR="005B6222" w:rsidRPr="005B6222" w:rsidRDefault="005B6222" w:rsidP="005B6222">
      <w:pPr>
        <w:spacing w:after="120" w:line="276" w:lineRule="auto"/>
        <w:ind w:firstLine="708"/>
        <w:jc w:val="both"/>
        <w:rPr>
          <w:rFonts w:ascii="Verdana" w:eastAsia="Arial" w:hAnsi="Verdana" w:cs="Arial"/>
          <w:kern w:val="2"/>
          <w:lang w:val="es-ES"/>
          <w14:ligatures w14:val="standardContextual"/>
        </w:rPr>
      </w:pPr>
      <w:r w:rsidRPr="005B6222">
        <w:rPr>
          <w:rFonts w:ascii="Verdana" w:eastAsia="Calibri" w:hAnsi="Verdana" w:cs="Arial"/>
          <w:color w:val="0D0D0D"/>
          <w:lang w:eastAsia="es-MX"/>
        </w:rPr>
        <w:t xml:space="preserve">Conforme con la definición contenida en la NSR-10 y en el Anexo 5 – Glosario, para efectos de la aplicación de las actividades a contratar dispuestas en el capítulo 1 “Obras en infraestructura cultural” </w:t>
      </w:r>
      <w:r w:rsidRPr="005B6222">
        <w:rPr>
          <w:rFonts w:ascii="Verdana" w:eastAsia="Times New Roman" w:hAnsi="Verdana" w:cs="Times New Roman"/>
          <w:color w:val="000000"/>
          <w:lang w:eastAsia="es-CO"/>
        </w:rPr>
        <w:t xml:space="preserve">de los documentos tipo  complementarios del Sector Cultura, recreación y deporte, estas recaen sobre infraestructura cultural, es decir sobre: “(…) </w:t>
      </w:r>
      <w:r w:rsidRPr="005B6222">
        <w:rPr>
          <w:rFonts w:ascii="Verdana" w:eastAsia="Arial" w:hAnsi="Verdana" w:cs="Arial"/>
          <w:kern w:val="2"/>
          <w:lang w:val="es-ES"/>
          <w14:ligatures w14:val="standardContextual"/>
        </w:rPr>
        <w:t xml:space="preserve">las edificaciones o espacios </w:t>
      </w:r>
      <w:r w:rsidRPr="005B6222">
        <w:rPr>
          <w:rFonts w:ascii="Verdana" w:eastAsia="Arial" w:hAnsi="Verdana" w:cs="Arial"/>
          <w:kern w:val="2"/>
          <w:lang w:val="es-ES"/>
          <w14:ligatures w14:val="standardContextual"/>
        </w:rPr>
        <w:lastRenderedPageBreak/>
        <w:t>utilizados para la realización o presentación de eventos culturales o políticos, y en general, donde se reúnen o agrupan personas con fines culturales”</w:t>
      </w:r>
      <w:r w:rsidRPr="005B6222">
        <w:rPr>
          <w:rFonts w:ascii="Verdana" w:eastAsia="Arial" w:hAnsi="Verdana" w:cs="Arial"/>
          <w:kern w:val="2"/>
          <w:vertAlign w:val="superscript"/>
          <w:lang w:val="es-ES"/>
          <w14:ligatures w14:val="standardContextual"/>
        </w:rPr>
        <w:footnoteReference w:id="9"/>
      </w:r>
      <w:r w:rsidRPr="005B6222">
        <w:rPr>
          <w:rFonts w:ascii="Verdana" w:eastAsia="Arial" w:hAnsi="Verdana" w:cs="Arial"/>
          <w:kern w:val="2"/>
          <w:lang w:val="es-ES"/>
          <w14:ligatures w14:val="standardContextual"/>
        </w:rPr>
        <w:t>.</w:t>
      </w:r>
    </w:p>
    <w:p w14:paraId="64064510" w14:textId="77777777" w:rsidR="005B6222" w:rsidRPr="005B6222" w:rsidRDefault="005B6222" w:rsidP="005B6222">
      <w:pPr>
        <w:spacing w:after="0" w:line="276" w:lineRule="auto"/>
        <w:ind w:firstLine="708"/>
        <w:jc w:val="both"/>
        <w:rPr>
          <w:rFonts w:ascii="Verdana" w:eastAsia="Calibri" w:hAnsi="Verdana" w:cs="Arial"/>
          <w:color w:val="0D0D0D"/>
          <w:lang w:eastAsia="es-MX"/>
        </w:rPr>
      </w:pPr>
      <w:r w:rsidRPr="005B6222">
        <w:rPr>
          <w:rFonts w:ascii="Verdana" w:eastAsia="Calibri" w:hAnsi="Verdana" w:cs="Arial"/>
          <w:color w:val="0D0D0D"/>
          <w:lang w:eastAsia="es-MX"/>
        </w:rPr>
        <w:t xml:space="preserve">Ahora bien, considerando que usted indaga por el requisito de experiencia contenida para la actividad 1.1. “Proyectos de construcción y/o ampliación y/o reconstrucción de infraestructura cultural” del </w:t>
      </w:r>
      <w:r w:rsidRPr="005B6222">
        <w:rPr>
          <w:rFonts w:ascii="Verdana" w:eastAsia="Times New Roman" w:hAnsi="Verdana" w:cs="Times New Roman"/>
          <w:color w:val="000000"/>
          <w:lang w:eastAsia="es-CO"/>
        </w:rPr>
        <w:t>capítulo 1 “Obras en infraestructura cultural” de los documentos tipo complementarios del Sector Cultura, recreación y deporte. Sobre el particular le indicamos que, para dicha actividad se solicita el siguiente requisito de experiencia general y específica:</w:t>
      </w:r>
    </w:p>
    <w:p w14:paraId="5F9466FB" w14:textId="77777777" w:rsidR="005B6222" w:rsidRPr="005B6222" w:rsidRDefault="005B6222" w:rsidP="005B6222">
      <w:pPr>
        <w:snapToGrid w:val="0"/>
        <w:spacing w:after="0" w:line="240" w:lineRule="auto"/>
        <w:ind w:left="709" w:right="709"/>
        <w:jc w:val="both"/>
        <w:rPr>
          <w:rFonts w:ascii="Verdana" w:eastAsia="Calibri" w:hAnsi="Verdana" w:cs="Arial"/>
          <w:color w:val="0D0D0D"/>
          <w:lang w:eastAsia="es-MX"/>
        </w:rPr>
      </w:pPr>
    </w:p>
    <w:p w14:paraId="5B3F81CD" w14:textId="77777777" w:rsidR="005B6222" w:rsidRPr="005B6222" w:rsidRDefault="005B6222" w:rsidP="005B6222">
      <w:pPr>
        <w:snapToGrid w:val="0"/>
        <w:spacing w:after="120" w:line="240" w:lineRule="auto"/>
        <w:ind w:left="709" w:right="709"/>
        <w:jc w:val="both"/>
        <w:rPr>
          <w:rFonts w:ascii="Verdana" w:eastAsia="Calibri" w:hAnsi="Verdana" w:cs="Arial"/>
          <w:color w:val="0D0D0D"/>
          <w:sz w:val="21"/>
          <w:szCs w:val="21"/>
          <w:lang w:eastAsia="es-MX"/>
        </w:rPr>
      </w:pPr>
      <w:r w:rsidRPr="005B6222">
        <w:rPr>
          <w:rFonts w:ascii="Verdana" w:eastAsia="Calibri" w:hAnsi="Verdana" w:cs="Arial"/>
          <w:color w:val="0D0D0D"/>
          <w:sz w:val="21"/>
          <w:szCs w:val="21"/>
          <w:lang w:eastAsia="es-MX"/>
        </w:rPr>
        <w:t>“General:</w:t>
      </w:r>
    </w:p>
    <w:p w14:paraId="2E636E6A"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PROYECTOS QUE CORRESPONDAN O CONTEMPLEN ACTIVIDADES DE: CONSTRUCCIÓN Y/O AMPLIACIÓN Y/O RECONSTRUCCIÓN DE EDIFICACIONES.</w:t>
      </w:r>
    </w:p>
    <w:p w14:paraId="378FA349"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Específica:</w:t>
      </w:r>
    </w:p>
    <w:p w14:paraId="1C780C00"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Por lo menos uno (1) de los contratos válidos aportados como experiencia general debe contemplar un área construida igual o superior al (F%) del total de metros cuadrados del proceso de selección, el cual corresponde a [La entidad indicará los metros cuadrados para el proceso de selección]</w:t>
      </w:r>
    </w:p>
    <w:p w14:paraId="447125BB"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Para la experiencia específica se establecen las siguientes notas:</w:t>
      </w:r>
    </w:p>
    <w:p w14:paraId="43C14695"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Nota 1: En caso de que la intervención a realizar sobre la Infraestructura Cultural corresponda a un proyecto que contemple conocimiento de prácticas constructivas especiales que solo se manejen en cierta región especifica, por temas de cultura, religión, zona climática o topográficas (p. ej. terrenos ganados al mar)del proyecto que se pretende acreditar, la entidad deberá demostrar esta situación dentro del estudio previo del proceso del proyecto y podrá solicitar el siguiente requisito de experiencia específica, al cual NO le es aplicable el "% DE DIMENSIONAMIENTO:</w:t>
      </w:r>
    </w:p>
    <w:p w14:paraId="68BD9F30"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Opción 1: Por lo menos uno (1) de los contratos válidos aportados como experiencia general deben contemplar la construcción y/o ampliación y/o reconstrucción de edificaciones en alguna técnica constructiva ancestral correspondiente a esta región como [la entidad indicará la técnica constructiva necesaria a acreditar para el proceso de selección].</w:t>
      </w:r>
    </w:p>
    <w:p w14:paraId="4D90E534" w14:textId="77777777" w:rsidR="005B6222" w:rsidRPr="005B6222" w:rsidRDefault="005B6222" w:rsidP="005B6222">
      <w:pPr>
        <w:snapToGrid w:val="0"/>
        <w:spacing w:after="12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lastRenderedPageBreak/>
        <w:t>Nota 2: En caso de que la intervención a realizar sobre la Infraestructura Cultural corresponda a un proyecto que contemple el uso predominante de materiales como: madera y/o guadua y/o bahareque y/o tapia pisado y/o adobe, [o alguno similar que evidencia estas prácticas ancestrales, la entidad indicará la técnica constructiva necesaria a acreditar para el proceso de selección] que se pretende acreditar, la entidad deberá demostrar esta situación dentro del estudio previo del proceso del proyecto y podrá solicitar el siguiente requisito de experiencia específica, al cual NO le es aplicable el "% DE DIMENSIONAMIENTO.</w:t>
      </w:r>
    </w:p>
    <w:p w14:paraId="4AB5E3E4" w14:textId="77777777" w:rsidR="005B6222" w:rsidRPr="005B6222" w:rsidRDefault="005B6222" w:rsidP="005B6222">
      <w:pPr>
        <w:snapToGrid w:val="0"/>
        <w:spacing w:after="0" w:line="240" w:lineRule="auto"/>
        <w:ind w:left="709" w:right="709"/>
        <w:jc w:val="both"/>
        <w:rPr>
          <w:rFonts w:ascii="Verdana" w:eastAsia="Arial" w:hAnsi="Verdana" w:cs="Arial"/>
          <w:sz w:val="21"/>
          <w:szCs w:val="21"/>
          <w:lang w:val="es-ES" w:eastAsia="es-ES_tradnl"/>
        </w:rPr>
      </w:pPr>
      <w:r w:rsidRPr="005B6222">
        <w:rPr>
          <w:rFonts w:ascii="Verdana" w:eastAsia="Arial" w:hAnsi="Verdana" w:cs="Arial"/>
          <w:sz w:val="21"/>
          <w:szCs w:val="21"/>
          <w:lang w:val="es-ES" w:eastAsia="es-ES_tradnl"/>
        </w:rPr>
        <w:t>Opción 2: Por lo menos uno (1) de los contratos válidos aportados como experiencia general deben contemplar la construcción y/o ampliación y/o reconstrucción de edificaciones en alguno o algunos, de los siguientes materiales como predominante: madera y/o guadua y/o bahareque y/o tapia pisada y/o adobe.  [o alguno similar que evidencia estas prácticas ancestrales, la entidad indicará la técnica constructiva necesaria a acreditar para el proceso de selección]”.</w:t>
      </w:r>
    </w:p>
    <w:p w14:paraId="3EF4802A" w14:textId="77777777" w:rsidR="005B6222" w:rsidRPr="005B6222" w:rsidRDefault="005B6222" w:rsidP="005B6222">
      <w:pPr>
        <w:spacing w:after="0" w:line="276" w:lineRule="auto"/>
        <w:ind w:left="708"/>
        <w:jc w:val="both"/>
        <w:rPr>
          <w:rFonts w:ascii="Verdana" w:eastAsia="Arial" w:hAnsi="Verdana" w:cs="Arial"/>
          <w:lang w:val="es-ES" w:eastAsia="es-ES_tradnl"/>
        </w:rPr>
      </w:pPr>
    </w:p>
    <w:p w14:paraId="44E59909" w14:textId="77777777" w:rsidR="005B6222" w:rsidRPr="005B6222" w:rsidRDefault="005B6222" w:rsidP="005B6222">
      <w:pPr>
        <w:spacing w:after="120" w:line="276" w:lineRule="auto"/>
        <w:ind w:firstLine="708"/>
        <w:jc w:val="both"/>
        <w:rPr>
          <w:rFonts w:ascii="Verdana" w:eastAsia="Aptos" w:hAnsi="Verdana" w:cs="Times New Roman"/>
          <w:kern w:val="2"/>
          <w14:ligatures w14:val="standardContextual"/>
        </w:rPr>
      </w:pPr>
      <w:r w:rsidRPr="005B6222">
        <w:rPr>
          <w:rFonts w:ascii="Verdana" w:eastAsia="Aptos" w:hAnsi="Verdana" w:cs="Times New Roman"/>
          <w:kern w:val="2"/>
          <w14:ligatures w14:val="standardContextual"/>
        </w:rPr>
        <w:t>Como se aprecia, para la actividad 1.1 contenida en la “Matriz 1 – Sector cultura, recreación y deporte”, se establece que la acreditación de la experiencia general debe ser en “edificaciones”, sin que se hagan distinciones o se establezcan restricciones específicas respecto de algún tipo de edificación con destinación de uso particular.</w:t>
      </w:r>
    </w:p>
    <w:p w14:paraId="372CB694" w14:textId="77777777" w:rsidR="005B6222" w:rsidRPr="005B6222" w:rsidRDefault="005B6222" w:rsidP="005B6222">
      <w:pPr>
        <w:spacing w:after="120" w:line="276" w:lineRule="auto"/>
        <w:ind w:firstLine="708"/>
        <w:jc w:val="both"/>
        <w:rPr>
          <w:rFonts w:ascii="Verdana" w:eastAsia="Aptos" w:hAnsi="Verdana" w:cs="Times New Roman"/>
          <w:kern w:val="2"/>
          <w14:ligatures w14:val="standardContextual"/>
        </w:rPr>
      </w:pPr>
      <w:r w:rsidRPr="005B6222">
        <w:rPr>
          <w:rFonts w:ascii="Verdana" w:eastAsia="Aptos" w:hAnsi="Verdana" w:cs="Times New Roman"/>
          <w:kern w:val="2"/>
          <w14:ligatures w14:val="standardContextual"/>
        </w:rPr>
        <w:t xml:space="preserve">En este sentido, considerando que una edificación, de acuerdo con el artículo 4 de la Ley 400 de 1997, se define como </w:t>
      </w:r>
      <w:r w:rsidRPr="005B6222">
        <w:rPr>
          <w:rFonts w:ascii="Verdana" w:eastAsia="Aptos" w:hAnsi="Verdana" w:cs="Times New Roman"/>
          <w:i/>
          <w:iCs/>
          <w:kern w:val="2"/>
          <w14:ligatures w14:val="standardContextual"/>
        </w:rPr>
        <w:t>“(…) una construcción cuyo uso primordial es la habitación u ocupación por seres humanos”,</w:t>
      </w:r>
      <w:r w:rsidRPr="005B6222">
        <w:rPr>
          <w:rFonts w:ascii="Verdana" w:eastAsia="Aptos" w:hAnsi="Verdana" w:cs="Times New Roman"/>
          <w:kern w:val="2"/>
          <w14:ligatures w14:val="standardContextual"/>
        </w:rPr>
        <w:t xml:space="preserve"> y que la edificación convencional es “(…) aquella estructura concebida de tal manera que su geometría, dimensiones generales, dimensiones de sus miembros estructurales, materiales estructurales empleados y procedimientos de dimensionamiento y determinación de la resistencia de sus miembros estructurales ante todas las solicitaciones a las que puedan verse sometidos durante su vida útil estén previstos en la normativa y reglamentación contenida en el Reglamento NSR-10 (…)”</w:t>
      </w:r>
      <w:r w:rsidRPr="005B6222">
        <w:rPr>
          <w:rFonts w:ascii="Verdana" w:eastAsia="Aptos" w:hAnsi="Verdana" w:cs="Times New Roman"/>
          <w:kern w:val="2"/>
          <w:vertAlign w:val="superscript"/>
          <w14:ligatures w14:val="standardContextual"/>
        </w:rPr>
        <w:footnoteReference w:id="10"/>
      </w:r>
      <w:r w:rsidRPr="005B6222">
        <w:rPr>
          <w:rFonts w:ascii="Verdana" w:eastAsia="Aptos" w:hAnsi="Verdana" w:cs="Times New Roman"/>
          <w:kern w:val="2"/>
          <w14:ligatures w14:val="standardContextual"/>
        </w:rPr>
        <w:t>, se tiene que la construcción de edificaciones, en términos generales, está determinada por el cumplimiento de las normas técnicas reglamentarias y, en particular, por lo dispuesto en la Norma Sismo Resistente NSR-10 y demás disposiciones aplicables a este tipo de infraestructura.</w:t>
      </w:r>
    </w:p>
    <w:p w14:paraId="49650A1B" w14:textId="77777777" w:rsidR="005B6222" w:rsidRPr="005B6222" w:rsidRDefault="005B6222" w:rsidP="005B6222">
      <w:pPr>
        <w:spacing w:after="120" w:line="276" w:lineRule="auto"/>
        <w:ind w:firstLine="708"/>
        <w:jc w:val="both"/>
        <w:rPr>
          <w:rFonts w:ascii="Verdana" w:eastAsia="Aptos" w:hAnsi="Verdana" w:cs="Times New Roman"/>
          <w:kern w:val="2"/>
          <w14:ligatures w14:val="standardContextual"/>
        </w:rPr>
      </w:pPr>
      <w:r w:rsidRPr="005B6222">
        <w:rPr>
          <w:rFonts w:ascii="Verdana" w:eastAsia="Aptos" w:hAnsi="Verdana" w:cs="Times New Roman"/>
          <w:kern w:val="2"/>
          <w14:ligatures w14:val="standardContextual"/>
        </w:rPr>
        <w:lastRenderedPageBreak/>
        <w:t>En consecuencia, las entidades podrán exigir, dentro de las especificaciones técnicas, el cumplimiento de normas particulares atendiendo al uso que tendrá la edificación. No obstante, la experiencia general solicitada en la “Matriz 1 – Sector cultura, recreación y deporte”, con el fin de no limitar la concurrencia de oferentes, se refiere a experiencia en edificaciones sin distinción de su destinación o uso, tales como cultura, recreación y deporte, salud, educación, vivienda o infraestructura institucional, entre otros.</w:t>
      </w:r>
    </w:p>
    <w:p w14:paraId="44418C71" w14:textId="77777777" w:rsidR="005B6222" w:rsidRPr="005B6222" w:rsidRDefault="005B6222" w:rsidP="005B6222">
      <w:pPr>
        <w:spacing w:after="0" w:line="276" w:lineRule="auto"/>
        <w:ind w:firstLine="708"/>
        <w:jc w:val="both"/>
        <w:rPr>
          <w:rFonts w:ascii="Verdana" w:eastAsia="Times New Roman" w:hAnsi="Verdana" w:cs="Calibri"/>
          <w:lang w:eastAsia="es-MX"/>
        </w:rPr>
      </w:pPr>
      <w:r w:rsidRPr="005B6222">
        <w:rPr>
          <w:rFonts w:ascii="Verdana" w:eastAsia="Times New Roman" w:hAnsi="Verdana" w:cs="Calibri"/>
          <w:lang w:eastAsia="es-MX"/>
        </w:rPr>
        <w:t xml:space="preserve">Sin embargo, y en consideración a la selección objetiva de oferentes la </w:t>
      </w:r>
      <w:r w:rsidRPr="005B6222">
        <w:rPr>
          <w:rFonts w:ascii="Verdana" w:eastAsia="Aptos" w:hAnsi="Verdana" w:cs="Times New Roman"/>
          <w:kern w:val="2"/>
          <w14:ligatures w14:val="standardContextual"/>
        </w:rPr>
        <w:t>“Matriz 1 – Sector Institucional – Seguridad Pública”</w:t>
      </w:r>
      <w:r w:rsidRPr="005B6222">
        <w:rPr>
          <w:rFonts w:ascii="Verdana" w:eastAsia="Times New Roman" w:hAnsi="Verdana" w:cs="Calibri"/>
          <w:lang w:eastAsia="es-MX"/>
        </w:rPr>
        <w:t>, incluye para la experiencia especifica que de manera particular, alguno de los contratos que sean aportados en la experiencia general cumplan con un área construida igual o superior al (F%) del total de metros cuadrados del proceso de selección y en este caso, la variable (F%) corresponde al porcentaje de dimensionamiento, que debe ser determinada en función del área del proceso de selección que se adelante.</w:t>
      </w:r>
    </w:p>
    <w:p w14:paraId="21B5B4B4" w14:textId="77777777" w:rsidR="005B6222" w:rsidRPr="005B6222" w:rsidRDefault="005B6222" w:rsidP="005B6222">
      <w:pPr>
        <w:spacing w:after="0" w:line="276" w:lineRule="auto"/>
        <w:ind w:firstLine="708"/>
        <w:jc w:val="both"/>
        <w:rPr>
          <w:rFonts w:ascii="Verdana" w:eastAsia="Times New Roman" w:hAnsi="Verdana" w:cs="Calibri"/>
          <w:lang w:eastAsia="es-MX"/>
        </w:rPr>
      </w:pPr>
    </w:p>
    <w:p w14:paraId="52E21536" w14:textId="77777777" w:rsidR="005B6222" w:rsidRPr="005B6222" w:rsidRDefault="005B6222" w:rsidP="005B6222">
      <w:pPr>
        <w:spacing w:after="120" w:line="276" w:lineRule="auto"/>
        <w:jc w:val="both"/>
        <w:rPr>
          <w:rFonts w:ascii="Verdana" w:eastAsia="Aptos" w:hAnsi="Verdana" w:cs="Times New Roman"/>
        </w:rPr>
      </w:pPr>
      <w:proofErr w:type="spellStart"/>
      <w:r w:rsidRPr="005B6222">
        <w:rPr>
          <w:rFonts w:ascii="Verdana" w:eastAsia="Calibri" w:hAnsi="Verdana" w:cs="Times New Roman"/>
          <w:lang w:val="es-ES"/>
        </w:rPr>
        <w:t>iii</w:t>
      </w:r>
      <w:proofErr w:type="spellEnd"/>
      <w:r w:rsidRPr="005B6222">
        <w:rPr>
          <w:rFonts w:ascii="Verdana" w:eastAsia="Calibri" w:hAnsi="Verdana" w:cs="Times New Roman"/>
          <w:lang w:val="es-ES"/>
        </w:rPr>
        <w:t>. 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549ED2" w14:textId="77777777" w:rsidR="005B6222" w:rsidRPr="005B6222" w:rsidRDefault="005B6222" w:rsidP="005B6222">
      <w:pPr>
        <w:spacing w:after="0" w:line="278" w:lineRule="auto"/>
        <w:ind w:firstLine="709"/>
        <w:jc w:val="both"/>
        <w:rPr>
          <w:rFonts w:ascii="Verdana" w:eastAsia="Calibri" w:hAnsi="Verdana" w:cs="Times New Roman"/>
          <w:lang w:val="es-ES"/>
        </w:rPr>
      </w:pPr>
      <w:r w:rsidRPr="005B6222">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75DAED6" w14:textId="77777777" w:rsidR="005B6222" w:rsidRPr="005B6222" w:rsidRDefault="005B6222" w:rsidP="005B6222">
      <w:pPr>
        <w:spacing w:after="0" w:line="276" w:lineRule="auto"/>
        <w:jc w:val="both"/>
        <w:rPr>
          <w:rFonts w:ascii="Verdana" w:eastAsia="Calibri" w:hAnsi="Verdana" w:cs="Times New Roman"/>
          <w:lang w:eastAsia="es-MX"/>
        </w:rPr>
      </w:pPr>
    </w:p>
    <w:p w14:paraId="20092BB3" w14:textId="77777777" w:rsidR="005B6222" w:rsidRPr="005B6222" w:rsidRDefault="005B6222" w:rsidP="005B6222">
      <w:pPr>
        <w:tabs>
          <w:tab w:val="left" w:pos="142"/>
          <w:tab w:val="left" w:pos="284"/>
        </w:tabs>
        <w:spacing w:after="0" w:line="276" w:lineRule="auto"/>
        <w:jc w:val="both"/>
        <w:rPr>
          <w:rFonts w:ascii="Verdana" w:eastAsia="Century Gothic" w:hAnsi="Verdana" w:cs="Century Gothic"/>
          <w:b/>
          <w:bCs/>
          <w:lang w:val="es-ES_tradnl" w:eastAsia="es-MX"/>
        </w:rPr>
      </w:pPr>
      <w:r w:rsidRPr="005B6222">
        <w:rPr>
          <w:rFonts w:ascii="Verdana" w:eastAsia="Century Gothic" w:hAnsi="Verdana" w:cs="Century Gothic"/>
          <w:b/>
          <w:bCs/>
          <w:lang w:val="es-ES_tradnl" w:eastAsia="es-MX"/>
        </w:rPr>
        <w:t>4. Referencias normativas, jurisprudenciales y otras fuentes:</w:t>
      </w:r>
    </w:p>
    <w:p w14:paraId="1ADE3158" w14:textId="77777777" w:rsidR="005B6222" w:rsidRPr="005B6222" w:rsidRDefault="005B6222" w:rsidP="005B6222">
      <w:pPr>
        <w:spacing w:after="0"/>
        <w:ind w:left="-15840"/>
        <w:jc w:val="both"/>
        <w:rPr>
          <w:rFonts w:ascii="Verdana" w:eastAsia="Calibri" w:hAnsi="Verdana" w:cs="Arial"/>
          <w:b/>
          <w:bCs/>
          <w:lang w:eastAsia="es-MX"/>
        </w:rPr>
      </w:pPr>
      <w:r w:rsidRPr="005B6222">
        <w:rPr>
          <w:rFonts w:ascii="Verdana" w:eastAsia="Calibri" w:hAnsi="Verdana" w:cs="Arial"/>
          <w:b/>
          <w:bCs/>
          <w:lang w:eastAsia="es-MX"/>
        </w:rPr>
        <w:lastRenderedPageBreak/>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B6222" w:rsidRPr="005B6222" w14:paraId="4E5AB4A6" w14:textId="77777777" w:rsidTr="003D59B9">
        <w:trPr>
          <w:trHeight w:val="870"/>
        </w:trPr>
        <w:tc>
          <w:tcPr>
            <w:tcW w:w="8647" w:type="dxa"/>
            <w:tcBorders>
              <w:top w:val="dotted" w:sz="4" w:space="0" w:color="auto"/>
              <w:left w:val="dotted" w:sz="4" w:space="0" w:color="auto"/>
              <w:bottom w:val="dotted" w:sz="4" w:space="0" w:color="auto"/>
              <w:right w:val="dotted" w:sz="4" w:space="0" w:color="auto"/>
            </w:tcBorders>
          </w:tcPr>
          <w:p w14:paraId="5917C31A" w14:textId="77777777" w:rsidR="005B6222" w:rsidRPr="005B6222" w:rsidRDefault="005B6222" w:rsidP="005B6222">
            <w:pPr>
              <w:contextualSpacing/>
              <w:jc w:val="both"/>
              <w:rPr>
                <w:rFonts w:ascii="Verdana" w:eastAsia="Calibri" w:hAnsi="Verdana" w:cs="Arial"/>
                <w:bCs/>
                <w:lang w:eastAsia="es-MX"/>
              </w:rPr>
            </w:pPr>
          </w:p>
          <w:p w14:paraId="7FA496E1" w14:textId="77777777" w:rsidR="005B6222" w:rsidRPr="005B6222" w:rsidRDefault="005B6222" w:rsidP="005B6222">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5B6222">
              <w:rPr>
                <w:rFonts w:ascii="Verdana" w:eastAsia="Calibri" w:hAnsi="Verdana" w:cs="Arial"/>
                <w:lang w:val="es-ES_tradnl" w:eastAsia="es-MX"/>
              </w:rPr>
              <w:t xml:space="preserve">Ley 2022 de 2020, artículo 1. </w:t>
            </w:r>
          </w:p>
          <w:p w14:paraId="683D3F28" w14:textId="77777777" w:rsidR="005B6222" w:rsidRPr="005B6222" w:rsidRDefault="005B6222" w:rsidP="005B6222">
            <w:pPr>
              <w:widowControl w:val="0"/>
              <w:numPr>
                <w:ilvl w:val="0"/>
                <w:numId w:val="16"/>
              </w:numPr>
              <w:autoSpaceDE w:val="0"/>
              <w:autoSpaceDN w:val="0"/>
              <w:spacing w:line="276" w:lineRule="auto"/>
              <w:jc w:val="both"/>
              <w:rPr>
                <w:rFonts w:ascii="Verdana" w:eastAsia="Calibri" w:hAnsi="Verdana" w:cs="Arial"/>
                <w:lang w:eastAsia="es-MX"/>
              </w:rPr>
            </w:pPr>
            <w:r w:rsidRPr="005B6222">
              <w:rPr>
                <w:rFonts w:ascii="Verdana" w:eastAsia="Calibri" w:hAnsi="Verdana" w:cs="Arial"/>
                <w:lang w:eastAsia="es-MX"/>
              </w:rPr>
              <w:t>Ley 1150 de 2007, artículo 2.</w:t>
            </w:r>
          </w:p>
          <w:p w14:paraId="10ACC052" w14:textId="77777777" w:rsidR="005B6222" w:rsidRPr="005B6222" w:rsidRDefault="005B6222" w:rsidP="005B6222">
            <w:pPr>
              <w:widowControl w:val="0"/>
              <w:numPr>
                <w:ilvl w:val="0"/>
                <w:numId w:val="16"/>
              </w:numPr>
              <w:autoSpaceDE w:val="0"/>
              <w:autoSpaceDN w:val="0"/>
              <w:spacing w:line="276" w:lineRule="auto"/>
              <w:contextualSpacing/>
              <w:jc w:val="both"/>
              <w:rPr>
                <w:rFonts w:ascii="Verdana" w:eastAsia="Calibri" w:hAnsi="Verdana" w:cs="Arial"/>
                <w:lang w:eastAsia="es-MX"/>
              </w:rPr>
            </w:pPr>
            <w:r w:rsidRPr="005B6222">
              <w:rPr>
                <w:rFonts w:ascii="Verdana" w:eastAsia="Calibri" w:hAnsi="Verdana" w:cs="Arial"/>
                <w:lang w:val="es-ES_tradnl" w:eastAsia="es-MX"/>
              </w:rPr>
              <w:t xml:space="preserve">Documentos Tipo. Disponibles en: </w:t>
            </w:r>
            <w:hyperlink r:id="rId11" w:history="1">
              <w:r w:rsidRPr="005B6222">
                <w:rPr>
                  <w:rFonts w:ascii="Verdana" w:eastAsia="Calibri" w:hAnsi="Verdana" w:cs="Arial"/>
                  <w:color w:val="0000FF"/>
                  <w:u w:val="single"/>
                  <w:lang w:val="es-ES_tradnl" w:eastAsia="es-MX"/>
                </w:rPr>
                <w:t>https://www.colombiacompra.gov.co/documentos-tipo/documentos-tipo</w:t>
              </w:r>
            </w:hyperlink>
            <w:r w:rsidRPr="005B6222">
              <w:rPr>
                <w:rFonts w:ascii="Verdana" w:eastAsia="Calibri" w:hAnsi="Verdana" w:cs="Arial"/>
                <w:lang w:val="es-ES_tradnl" w:eastAsia="es-MX"/>
              </w:rPr>
              <w:t>.</w:t>
            </w:r>
          </w:p>
        </w:tc>
      </w:tr>
    </w:tbl>
    <w:p w14:paraId="08D11A40" w14:textId="77777777" w:rsidR="005B6222" w:rsidRPr="005B6222" w:rsidRDefault="005B6222" w:rsidP="005B6222">
      <w:pPr>
        <w:tabs>
          <w:tab w:val="left" w:pos="142"/>
          <w:tab w:val="left" w:pos="284"/>
        </w:tabs>
        <w:spacing w:after="0" w:line="276" w:lineRule="auto"/>
        <w:jc w:val="both"/>
        <w:rPr>
          <w:rFonts w:ascii="Verdana" w:eastAsia="Calibri" w:hAnsi="Verdana" w:cs="Arial"/>
          <w:lang w:eastAsia="es-MX"/>
        </w:rPr>
      </w:pPr>
    </w:p>
    <w:p w14:paraId="58E8C9D6" w14:textId="77777777" w:rsidR="005B6222" w:rsidRPr="005B6222" w:rsidRDefault="005B6222" w:rsidP="005B6222">
      <w:pPr>
        <w:tabs>
          <w:tab w:val="left" w:pos="142"/>
          <w:tab w:val="left" w:pos="284"/>
        </w:tabs>
        <w:spacing w:after="0" w:line="276" w:lineRule="auto"/>
        <w:jc w:val="both"/>
        <w:rPr>
          <w:rFonts w:ascii="Verdana" w:eastAsia="Century Gothic" w:hAnsi="Verdana" w:cs="Century Gothic"/>
          <w:b/>
          <w:bCs/>
          <w:lang w:val="es-ES" w:eastAsia="es-MX"/>
        </w:rPr>
      </w:pPr>
      <w:r w:rsidRPr="005B6222">
        <w:rPr>
          <w:rFonts w:ascii="Verdana" w:eastAsia="Calibri" w:hAnsi="Verdana" w:cs="Arial"/>
          <w:b/>
          <w:bCs/>
          <w:lang w:eastAsia="es-MX"/>
        </w:rPr>
        <w:t>5</w:t>
      </w:r>
      <w:r w:rsidRPr="005B6222">
        <w:rPr>
          <w:rFonts w:ascii="Verdana" w:eastAsia="Calibri" w:hAnsi="Verdana" w:cs="Arial"/>
          <w:lang w:eastAsia="es-MX"/>
        </w:rPr>
        <w:t>.</w:t>
      </w:r>
      <w:r w:rsidRPr="005B6222">
        <w:rPr>
          <w:rFonts w:ascii="Verdana" w:eastAsia="Century Gothic" w:hAnsi="Verdana" w:cs="Century Gothic"/>
          <w:b/>
          <w:bCs/>
          <w:lang w:val="es-ES" w:eastAsia="es-MX"/>
        </w:rPr>
        <w:t>Doctrina de la Agencia Nacional de Contratación Pública:</w:t>
      </w:r>
    </w:p>
    <w:p w14:paraId="7594069B" w14:textId="77777777" w:rsidR="005B6222" w:rsidRPr="005B6222" w:rsidRDefault="005B6222" w:rsidP="005B6222">
      <w:pPr>
        <w:widowControl w:val="0"/>
        <w:autoSpaceDE w:val="0"/>
        <w:autoSpaceDN w:val="0"/>
        <w:spacing w:after="0" w:line="276" w:lineRule="auto"/>
        <w:jc w:val="both"/>
        <w:rPr>
          <w:rFonts w:ascii="Verdana" w:eastAsia="Calibri" w:hAnsi="Verdana" w:cs="Arial"/>
          <w:lang w:eastAsia="es-MX"/>
        </w:rPr>
      </w:pPr>
    </w:p>
    <w:p w14:paraId="4ACE6FC7" w14:textId="77777777" w:rsidR="005B6222" w:rsidRPr="005B6222" w:rsidRDefault="005B6222" w:rsidP="005B6222">
      <w:pPr>
        <w:spacing w:after="0" w:line="276" w:lineRule="auto"/>
        <w:jc w:val="both"/>
        <w:rPr>
          <w:rFonts w:ascii="Verdana" w:eastAsia="Calibri" w:hAnsi="Verdana" w:cs="Arial"/>
          <w:shd w:val="clear" w:color="auto" w:fill="FFFFFF"/>
          <w:lang w:val="es-ES" w:eastAsia="es-MX"/>
        </w:rPr>
      </w:pPr>
      <w:r w:rsidRPr="005B6222">
        <w:rPr>
          <w:rFonts w:ascii="Verdana" w:eastAsia="Calibri" w:hAnsi="Verdana" w:cs="Arial"/>
          <w:shd w:val="clear" w:color="auto" w:fill="FFFFFF"/>
          <w:lang w:val="es-ES" w:eastAsia="es-MX"/>
        </w:rPr>
        <w:t>La Agencia Nacional de Contratación Pública – Colombia Compra Eficiente se pronunció</w:t>
      </w:r>
      <w:r w:rsidRPr="005B6222">
        <w:rPr>
          <w:rFonts w:ascii="Verdana" w:eastAsia="Calibri" w:hAnsi="Verdana" w:cs="Times New Roman"/>
          <w:lang w:eastAsia="es-MX"/>
        </w:rPr>
        <w:t xml:space="preserve"> </w:t>
      </w:r>
      <w:r w:rsidRPr="005B6222">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5B6222">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Concretamente, sobre los documentos tipo </w:t>
      </w:r>
      <w:r w:rsidRPr="005B6222">
        <w:rPr>
          <w:rFonts w:ascii="Verdana" w:eastAsia="Times New Roman" w:hAnsi="Verdana" w:cs="Times New Roman"/>
          <w:color w:val="000000"/>
          <w:lang w:eastAsia="es-CO"/>
        </w:rPr>
        <w:t xml:space="preserve">complementarios del Sector Cultura, recreación y deporte – versión 2, esta Agencia se pronunció en los siguientes conceptos: C-182 del 19 de marzo de 2026, C-386 del 23 de abril de 2026 y C-469 del 6 de mayo de 2026. </w:t>
      </w:r>
    </w:p>
    <w:p w14:paraId="6CA30EB7" w14:textId="77777777" w:rsidR="005B6222" w:rsidRPr="005B6222" w:rsidRDefault="005B6222" w:rsidP="005B6222">
      <w:pPr>
        <w:spacing w:after="0" w:line="240" w:lineRule="auto"/>
        <w:jc w:val="both"/>
        <w:rPr>
          <w:rFonts w:ascii="Verdana" w:eastAsia="Calibri" w:hAnsi="Verdana" w:cs="Arial"/>
          <w:color w:val="000000"/>
          <w:shd w:val="clear" w:color="auto" w:fill="FFFFFF"/>
          <w:lang w:eastAsia="es-MX"/>
        </w:rPr>
      </w:pPr>
    </w:p>
    <w:p w14:paraId="46787220" w14:textId="77777777" w:rsidR="005B6222" w:rsidRPr="005B6222" w:rsidRDefault="005B6222" w:rsidP="005B6222">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5B6222">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5B6222">
          <w:rPr>
            <w:rFonts w:ascii="Verdana" w:eastAsia="Calibri" w:hAnsi="Verdana" w:cs="Arial"/>
            <w:color w:val="0000FF"/>
            <w:u w:val="single"/>
            <w:shd w:val="clear" w:color="auto" w:fill="FFFFFF"/>
            <w:lang w:eastAsia="es-MX"/>
          </w:rPr>
          <w:t>https://relatoria.colombiacompra.gov.co/</w:t>
        </w:r>
      </w:hyperlink>
      <w:r w:rsidRPr="005B6222">
        <w:rPr>
          <w:rFonts w:ascii="Verdana" w:eastAsia="Calibri" w:hAnsi="Verdana" w:cs="Arial"/>
          <w:color w:val="0000FF"/>
          <w:u w:val="single"/>
          <w:shd w:val="clear" w:color="auto" w:fill="FFFFFF"/>
          <w:lang w:eastAsia="es-MX"/>
        </w:rPr>
        <w:t> .</w:t>
      </w:r>
    </w:p>
    <w:p w14:paraId="15BF01D4" w14:textId="77777777" w:rsidR="005B6222" w:rsidRPr="005B6222" w:rsidRDefault="005B6222" w:rsidP="005B6222">
      <w:pPr>
        <w:spacing w:after="0" w:line="276" w:lineRule="auto"/>
        <w:jc w:val="both"/>
        <w:rPr>
          <w:rFonts w:ascii="Verdana" w:eastAsia="Aptos" w:hAnsi="Verdana" w:cs="Arial"/>
          <w:lang w:eastAsia="es-MX"/>
        </w:rPr>
      </w:pPr>
      <w:r w:rsidRPr="005B6222">
        <w:rPr>
          <w:rFonts w:ascii="Verdana" w:eastAsia="Aptos" w:hAnsi="Verdana" w:cs="Arial"/>
          <w:lang w:eastAsia="es-MX"/>
        </w:rPr>
        <w:t xml:space="preserve">La sostenibilidad no es una opción, es una obligación. Por ello, la Agencia Nacional de Contratación Pública –Colombia Compra Eficiente– te invita a realizar el </w:t>
      </w:r>
      <w:r w:rsidRPr="005B6222">
        <w:rPr>
          <w:rFonts w:ascii="Verdana" w:eastAsia="Aptos" w:hAnsi="Verdana" w:cs="Arial"/>
          <w:b/>
          <w:bCs/>
          <w:lang w:eastAsia="es-MX"/>
        </w:rPr>
        <w:t>Curso de Contratación Pública Sostenible y Socialmente Responsable</w:t>
      </w:r>
      <w:r w:rsidRPr="005B6222">
        <w:rPr>
          <w:rFonts w:ascii="Verdana" w:eastAsia="Aptos"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5B6222">
        <w:rPr>
          <w:rFonts w:ascii="Verdana" w:eastAsia="Aptos" w:hAnsi="Verdana" w:cs="Arial"/>
          <w:lang w:eastAsia="es-MX"/>
        </w:rPr>
        <w:br/>
      </w:r>
      <w:hyperlink r:id="rId13" w:tgtFrame="_new" w:history="1">
        <w:r w:rsidRPr="005B6222">
          <w:rPr>
            <w:rFonts w:ascii="Verdana" w:eastAsia="Aptos" w:hAnsi="Verdana" w:cs="Arial"/>
            <w:color w:val="0000FF"/>
            <w:u w:val="single"/>
            <w:lang w:eastAsia="es-MX"/>
          </w:rPr>
          <w:t>https://formacionvirtual.colombiacompra.gov.co/mod/page/view.php?id=3718</w:t>
        </w:r>
      </w:hyperlink>
    </w:p>
    <w:p w14:paraId="5BB5F170" w14:textId="77777777" w:rsidR="005B6222" w:rsidRPr="005B6222" w:rsidRDefault="005B6222" w:rsidP="005B6222">
      <w:pPr>
        <w:spacing w:after="0" w:line="276" w:lineRule="auto"/>
        <w:jc w:val="both"/>
        <w:rPr>
          <w:rFonts w:ascii="Verdana" w:eastAsia="Aptos" w:hAnsi="Verdana" w:cs="Arial"/>
          <w:lang w:eastAsia="es-MX"/>
        </w:rPr>
      </w:pPr>
      <w:r w:rsidRPr="005B6222">
        <w:rPr>
          <w:rFonts w:ascii="Verdana" w:eastAsia="Aptos" w:hAnsi="Verdana" w:cs="Arial"/>
          <w:lang w:eastAsia="es-MX"/>
        </w:rPr>
        <w:lastRenderedPageBreak/>
        <w:t xml:space="preserve">De otro lado, te contamos que esta Agencia ha da un paso decisivo en la estandarización y modernización del </w:t>
      </w:r>
      <w:r w:rsidRPr="005B6222">
        <w:rPr>
          <w:rFonts w:ascii="Verdana" w:eastAsia="Aptos" w:hAnsi="Verdana" w:cs="Arial"/>
          <w:b/>
          <w:bCs/>
          <w:lang w:eastAsia="es-MX"/>
        </w:rPr>
        <w:t>sector  social</w:t>
      </w:r>
      <w:r w:rsidRPr="005B6222">
        <w:rPr>
          <w:rFonts w:ascii="Verdana" w:eastAsia="Aptos" w:hAnsi="Verdana" w:cs="Arial"/>
          <w:lang w:eastAsia="es-MX"/>
        </w:rPr>
        <w:t xml:space="preserve"> con la expedición de las </w:t>
      </w:r>
      <w:r w:rsidRPr="005B6222">
        <w:rPr>
          <w:rFonts w:ascii="Verdana" w:eastAsia="Aptos" w:hAnsi="Verdana" w:cs="Arial"/>
          <w:b/>
          <w:bCs/>
          <w:lang w:eastAsia="es-MX"/>
        </w:rPr>
        <w:t>Resoluciones 539, 540, 541, 952 y 953 de 2025</w:t>
      </w:r>
      <w:r w:rsidRPr="005B6222">
        <w:rPr>
          <w:rFonts w:ascii="Verdana" w:eastAsia="Aptos" w:hAnsi="Verdana" w:cs="Arial"/>
          <w:lang w:eastAsia="es-MX"/>
        </w:rPr>
        <w:t xml:space="preserve">, </w:t>
      </w:r>
      <w:r w:rsidRPr="005B6222">
        <w:rPr>
          <w:rFonts w:ascii="Verdana" w:eastAsia="Aptos" w:hAnsi="Verdana" w:cs="Arial"/>
          <w:b/>
          <w:bCs/>
          <w:lang w:eastAsia="es-MX"/>
        </w:rPr>
        <w:t>mediante las cuales adoptó Documentos Tipo</w:t>
      </w:r>
      <w:r w:rsidRPr="005B6222">
        <w:rPr>
          <w:rFonts w:ascii="Verdana" w:eastAsia="Aptos" w:hAnsi="Verdana" w:cs="Arial"/>
          <w:lang w:eastAsia="es-MX"/>
        </w:rPr>
        <w:t xml:space="preserve"> para las modalidades de selección de</w:t>
      </w:r>
      <w:r w:rsidRPr="005B6222">
        <w:rPr>
          <w:rFonts w:ascii="Verdana" w:eastAsia="Aptos" w:hAnsi="Verdana" w:cs="Arial"/>
          <w:b/>
          <w:bCs/>
          <w:lang w:eastAsia="es-MX"/>
        </w:rPr>
        <w:t xml:space="preserve"> licitación pública (versión 2), selección abreviada de menor cuantía, mínima cuantía, consultoría e interventoría</w:t>
      </w:r>
      <w:r w:rsidRPr="005B6222">
        <w:rPr>
          <w:rFonts w:ascii="Verdana" w:eastAsia="Aptos"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5B6222">
          <w:rPr>
            <w:rFonts w:ascii="Verdana" w:eastAsia="Aptos" w:hAnsi="Verdana" w:cs="Arial"/>
            <w:color w:val="0000FF"/>
            <w:u w:val="single"/>
            <w:lang w:eastAsia="es-MX"/>
          </w:rPr>
          <w:t>https://www.colombiacompra.gov.co/normativa-y-relatoria/documentos-tipo</w:t>
        </w:r>
      </w:hyperlink>
    </w:p>
    <w:p w14:paraId="6DFC4434" w14:textId="77777777" w:rsidR="005B6222" w:rsidRPr="005B6222" w:rsidRDefault="005B6222" w:rsidP="005B6222">
      <w:pPr>
        <w:spacing w:after="0" w:line="276" w:lineRule="auto"/>
        <w:jc w:val="both"/>
        <w:rPr>
          <w:rFonts w:ascii="Verdana" w:eastAsia="Aptos" w:hAnsi="Verdana" w:cs="Arial"/>
          <w:lang w:eastAsia="es-MX"/>
        </w:rPr>
      </w:pPr>
    </w:p>
    <w:p w14:paraId="01D17C06" w14:textId="77777777" w:rsidR="005B6222" w:rsidRPr="005B6222" w:rsidRDefault="005B6222" w:rsidP="005B6222">
      <w:pPr>
        <w:spacing w:after="0" w:line="276" w:lineRule="auto"/>
        <w:jc w:val="both"/>
        <w:rPr>
          <w:rFonts w:ascii="Verdana" w:eastAsia="Aptos" w:hAnsi="Verdana" w:cs="Arial"/>
          <w:lang w:eastAsia="es-MX"/>
        </w:rPr>
      </w:pPr>
      <w:r w:rsidRPr="005B6222">
        <w:rPr>
          <w:rFonts w:ascii="Verdana" w:eastAsia="Aptos" w:hAnsi="Verdana" w:cs="Arial"/>
          <w:lang w:eastAsia="es-MX"/>
        </w:rPr>
        <w:t xml:space="preserve">Si quieres conocer más sobre la aplicación de Documentos Tipo puedes consultar la última versión de la </w:t>
      </w:r>
      <w:r w:rsidRPr="005B6222">
        <w:rPr>
          <w:rFonts w:ascii="Verdana" w:eastAsia="Aptos" w:hAnsi="Verdana" w:cs="Arial"/>
          <w:b/>
          <w:bCs/>
          <w:lang w:eastAsia="es-MX"/>
        </w:rPr>
        <w:t>Guía para la comprensión e implementación de los Documentos Tipo de obra pública de infraestructura de transporte</w:t>
      </w:r>
      <w:r w:rsidRPr="005B6222">
        <w:rPr>
          <w:rFonts w:ascii="Verdana" w:eastAsia="Aptos"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5B6222">
        <w:rPr>
          <w:rFonts w:ascii="Verdana" w:eastAsia="Aptos" w:hAnsi="Verdana" w:cs="Arial"/>
          <w:lang w:eastAsia="es-MX"/>
        </w:rPr>
        <w:br/>
      </w:r>
      <w:hyperlink r:id="rId15" w:tgtFrame="_new" w:history="1">
        <w:r w:rsidRPr="005B6222">
          <w:rPr>
            <w:rFonts w:ascii="Verdana" w:eastAsia="Aptos"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C8FB2B1" w14:textId="77777777" w:rsidR="005B6222" w:rsidRPr="005B6222" w:rsidRDefault="005B6222" w:rsidP="005B6222">
      <w:pPr>
        <w:spacing w:after="0"/>
        <w:jc w:val="both"/>
        <w:rPr>
          <w:rFonts w:ascii="Verdana" w:eastAsia="Aptos" w:hAnsi="Verdana" w:cs="Times New Roman"/>
          <w:color w:val="212121"/>
          <w:lang w:eastAsia="es-MX"/>
        </w:rPr>
      </w:pPr>
    </w:p>
    <w:p w14:paraId="0FC71935" w14:textId="77777777" w:rsidR="005B6222" w:rsidRPr="005B6222" w:rsidRDefault="005B6222" w:rsidP="005B6222">
      <w:pPr>
        <w:spacing w:after="0" w:line="240" w:lineRule="auto"/>
        <w:jc w:val="both"/>
        <w:rPr>
          <w:rFonts w:ascii="Verdana" w:eastAsia="Calibri" w:hAnsi="Verdana" w:cs="Times New Roman"/>
          <w:lang w:eastAsia="es-MX"/>
        </w:rPr>
      </w:pPr>
      <w:r w:rsidRPr="005B6222">
        <w:rPr>
          <w:rFonts w:ascii="Verdana" w:eastAsia="Aptos" w:hAnsi="Verdana" w:cs="Times New Roman"/>
          <w:lang w:eastAsia="es-MX"/>
        </w:rPr>
        <w:t xml:space="preserve">Por último, lo invitamos a seguirnos en las redes sociales en las cuales se difunde información institucional: </w:t>
      </w:r>
    </w:p>
    <w:p w14:paraId="641EB5C2" w14:textId="77777777" w:rsidR="005B6222" w:rsidRPr="005B6222" w:rsidRDefault="005B6222" w:rsidP="005B6222">
      <w:pPr>
        <w:spacing w:after="0" w:line="240" w:lineRule="auto"/>
        <w:jc w:val="both"/>
        <w:rPr>
          <w:rFonts w:ascii="Verdana" w:eastAsia="Aptos" w:hAnsi="Verdana" w:cs="Times New Roman"/>
          <w:lang w:eastAsia="es-MX"/>
        </w:rPr>
      </w:pPr>
    </w:p>
    <w:p w14:paraId="092FB377" w14:textId="77777777" w:rsidR="005B6222" w:rsidRPr="005B6222" w:rsidRDefault="005B6222" w:rsidP="005B6222">
      <w:pPr>
        <w:spacing w:after="0" w:line="240" w:lineRule="auto"/>
        <w:jc w:val="both"/>
        <w:rPr>
          <w:rFonts w:ascii="Verdana" w:eastAsia="Aptos" w:hAnsi="Verdana" w:cs="Times New Roman"/>
          <w:lang w:eastAsia="es-MX"/>
        </w:rPr>
      </w:pPr>
      <w:r w:rsidRPr="005B6222">
        <w:rPr>
          <w:rFonts w:ascii="Verdana" w:eastAsia="Aptos" w:hAnsi="Verdana" w:cs="Times New Roman"/>
          <w:lang w:eastAsia="es-MX"/>
        </w:rPr>
        <w:t xml:space="preserve">Twitter: </w:t>
      </w:r>
      <w:r w:rsidRPr="005B6222">
        <w:rPr>
          <w:rFonts w:ascii="Verdana" w:eastAsia="Calibri" w:hAnsi="Verdana" w:cs="Times New Roman"/>
          <w:color w:val="156082"/>
          <w:u w:val="single"/>
          <w:lang w:eastAsia="es-MX"/>
        </w:rPr>
        <w:t>@colombiacompra</w:t>
      </w:r>
      <w:r w:rsidRPr="005B6222">
        <w:rPr>
          <w:rFonts w:ascii="Verdana" w:eastAsia="Calibri" w:hAnsi="Verdana" w:cs="Times New Roman"/>
          <w:color w:val="156082"/>
          <w:lang w:eastAsia="es-MX"/>
        </w:rPr>
        <w:t xml:space="preserve"> </w:t>
      </w:r>
    </w:p>
    <w:p w14:paraId="0604837F" w14:textId="77777777" w:rsidR="005B6222" w:rsidRPr="005B6222" w:rsidRDefault="005B6222" w:rsidP="005B6222">
      <w:pPr>
        <w:spacing w:after="0" w:line="240" w:lineRule="auto"/>
        <w:jc w:val="both"/>
        <w:rPr>
          <w:rFonts w:ascii="Verdana" w:eastAsia="Aptos" w:hAnsi="Verdana" w:cs="Times New Roman"/>
          <w:lang w:eastAsia="es-MX"/>
        </w:rPr>
      </w:pPr>
      <w:r w:rsidRPr="005B6222">
        <w:rPr>
          <w:rFonts w:ascii="Verdana" w:eastAsia="Aptos" w:hAnsi="Verdana" w:cs="Times New Roman"/>
          <w:lang w:eastAsia="es-MX"/>
        </w:rPr>
        <w:t xml:space="preserve">Facebook: </w:t>
      </w:r>
      <w:proofErr w:type="spellStart"/>
      <w:r w:rsidRPr="005B6222">
        <w:rPr>
          <w:rFonts w:ascii="Verdana" w:eastAsia="Calibri" w:hAnsi="Verdana" w:cs="Times New Roman"/>
          <w:color w:val="156082"/>
          <w:u w:val="single"/>
          <w:lang w:eastAsia="es-MX"/>
        </w:rPr>
        <w:t>ColombiaCompraEficiente</w:t>
      </w:r>
      <w:proofErr w:type="spellEnd"/>
    </w:p>
    <w:p w14:paraId="76355981" w14:textId="77777777" w:rsidR="005B6222" w:rsidRPr="005B6222" w:rsidRDefault="005B6222" w:rsidP="005B6222">
      <w:pPr>
        <w:spacing w:after="0" w:line="240" w:lineRule="auto"/>
        <w:jc w:val="both"/>
        <w:rPr>
          <w:rFonts w:ascii="Verdana" w:eastAsia="Aptos" w:hAnsi="Verdana" w:cs="Times New Roman"/>
          <w:lang w:eastAsia="es-MX"/>
        </w:rPr>
      </w:pPr>
      <w:r w:rsidRPr="005B6222">
        <w:rPr>
          <w:rFonts w:ascii="Verdana" w:eastAsia="Aptos" w:hAnsi="Verdana" w:cs="Times New Roman"/>
          <w:lang w:eastAsia="es-MX"/>
        </w:rPr>
        <w:t xml:space="preserve">LinkedIn: </w:t>
      </w:r>
      <w:r w:rsidRPr="005B6222">
        <w:rPr>
          <w:rFonts w:ascii="Verdana" w:eastAsia="Calibri" w:hAnsi="Verdana" w:cs="Times New Roman"/>
          <w:color w:val="156082"/>
          <w:u w:val="single"/>
          <w:lang w:eastAsia="es-MX"/>
        </w:rPr>
        <w:t>Agencia Nacional de Contratación Pública - Colombia Compra Eficiente</w:t>
      </w:r>
      <w:r w:rsidRPr="005B6222">
        <w:rPr>
          <w:rFonts w:ascii="Verdana" w:eastAsia="Calibri" w:hAnsi="Verdana" w:cs="Times New Roman"/>
          <w:color w:val="156082"/>
          <w:lang w:eastAsia="es-MX"/>
        </w:rPr>
        <w:t xml:space="preserve"> </w:t>
      </w:r>
      <w:r w:rsidRPr="005B6222">
        <w:rPr>
          <w:rFonts w:ascii="Verdana" w:eastAsia="Aptos" w:hAnsi="Verdana" w:cs="Times New Roman"/>
          <w:lang w:eastAsia="es-MX"/>
        </w:rPr>
        <w:t xml:space="preserve">Instagram: </w:t>
      </w:r>
      <w:r w:rsidRPr="005B6222">
        <w:rPr>
          <w:rFonts w:ascii="Verdana" w:eastAsia="Calibri" w:hAnsi="Verdana" w:cs="Times New Roman"/>
          <w:color w:val="156082"/>
          <w:u w:val="single"/>
          <w:lang w:eastAsia="es-MX"/>
        </w:rPr>
        <w:t>@colombiacompraeficiente_cce</w:t>
      </w:r>
    </w:p>
    <w:p w14:paraId="77B796CE" w14:textId="77777777" w:rsidR="005B6222" w:rsidRPr="005B6222" w:rsidRDefault="005B6222" w:rsidP="005B6222">
      <w:pPr>
        <w:spacing w:after="0" w:line="276" w:lineRule="auto"/>
        <w:jc w:val="both"/>
        <w:rPr>
          <w:rFonts w:ascii="Verdana" w:eastAsia="Aptos" w:hAnsi="Verdana" w:cs="Times New Roman"/>
          <w:lang w:eastAsia="es-MX"/>
        </w:rPr>
      </w:pPr>
    </w:p>
    <w:p w14:paraId="59216115" w14:textId="77777777" w:rsidR="005B6222" w:rsidRPr="005B6222" w:rsidRDefault="005B6222" w:rsidP="005B6222">
      <w:pPr>
        <w:spacing w:after="0" w:line="276" w:lineRule="auto"/>
        <w:jc w:val="both"/>
        <w:rPr>
          <w:rFonts w:ascii="Verdana" w:eastAsia="Calibri" w:hAnsi="Verdana" w:cs="Times New Roman"/>
          <w:bCs/>
          <w:lang w:val="es-ES_tradnl" w:eastAsia="es-MX"/>
        </w:rPr>
      </w:pPr>
      <w:r w:rsidRPr="005B6222">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0965365" w14:textId="77777777" w:rsidR="005B6222" w:rsidRPr="005B6222" w:rsidRDefault="005B6222" w:rsidP="005B6222">
      <w:pPr>
        <w:spacing w:after="0" w:line="276" w:lineRule="auto"/>
        <w:jc w:val="both"/>
        <w:rPr>
          <w:rFonts w:ascii="Verdana" w:eastAsia="Calibri" w:hAnsi="Verdana" w:cs="Times New Roman"/>
          <w:lang w:eastAsia="es-MX"/>
        </w:rPr>
      </w:pPr>
    </w:p>
    <w:p w14:paraId="520A31B1" w14:textId="77777777" w:rsidR="005B6222" w:rsidRPr="005B6222" w:rsidRDefault="005B6222" w:rsidP="005B6222">
      <w:pPr>
        <w:spacing w:after="0" w:line="276" w:lineRule="auto"/>
        <w:jc w:val="both"/>
        <w:rPr>
          <w:rFonts w:ascii="Verdana" w:eastAsia="Calibri" w:hAnsi="Verdana" w:cs="Times New Roman"/>
          <w:lang w:eastAsia="es-MX"/>
        </w:rPr>
      </w:pPr>
      <w:r w:rsidRPr="005B6222">
        <w:rPr>
          <w:rFonts w:ascii="Verdana" w:eastAsia="Calibri" w:hAnsi="Verdana" w:cs="Times New Roman"/>
          <w:lang w:eastAsia="es-MX"/>
        </w:rPr>
        <w:t>Atentamente,</w:t>
      </w:r>
    </w:p>
    <w:p w14:paraId="6C2131A2" w14:textId="69F41681" w:rsidR="005B6222" w:rsidRPr="005B6222" w:rsidRDefault="00ED4A28" w:rsidP="005B6222">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54104B46" wp14:editId="369B341E">
            <wp:extent cx="1903598" cy="817225"/>
            <wp:effectExtent l="0" t="0" r="190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005973" cy="861175"/>
                    </a:xfrm>
                    <a:prstGeom prst="rect">
                      <a:avLst/>
                    </a:prstGeom>
                  </pic:spPr>
                </pic:pic>
              </a:graphicData>
            </a:graphic>
          </wp:inline>
        </w:drawing>
      </w:r>
    </w:p>
    <w:p w14:paraId="507A07FD" w14:textId="77777777" w:rsidR="005B6222" w:rsidRPr="005B6222" w:rsidRDefault="005B6222" w:rsidP="005B6222">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5B6222" w:rsidRPr="005B6222" w14:paraId="2C4EBA08" w14:textId="77777777" w:rsidTr="003D59B9">
        <w:trPr>
          <w:trHeight w:val="323"/>
        </w:trPr>
        <w:tc>
          <w:tcPr>
            <w:tcW w:w="1041" w:type="dxa"/>
            <w:vAlign w:val="center"/>
            <w:hideMark/>
          </w:tcPr>
          <w:p w14:paraId="74916394" w14:textId="77777777" w:rsidR="005B6222" w:rsidRPr="005B6222" w:rsidRDefault="005B6222" w:rsidP="005B6222">
            <w:pPr>
              <w:rPr>
                <w:rFonts w:ascii="Verdana" w:eastAsia="Calibri" w:hAnsi="Verdana" w:cs="Arial"/>
                <w:sz w:val="16"/>
                <w:szCs w:val="16"/>
                <w:lang w:val="es-ES_tradnl" w:eastAsia="es-ES"/>
              </w:rPr>
            </w:pPr>
            <w:r w:rsidRPr="005B6222">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8A60979" w14:textId="77777777" w:rsidR="005B6222" w:rsidRPr="005B6222" w:rsidRDefault="005B6222" w:rsidP="005B6222">
            <w:pPr>
              <w:rPr>
                <w:rFonts w:ascii="Verdana" w:eastAsia="Arial" w:hAnsi="Verdana" w:cs="Arial"/>
                <w:sz w:val="16"/>
                <w:szCs w:val="16"/>
                <w:lang w:val="es-ES" w:eastAsia="es-MX"/>
              </w:rPr>
            </w:pPr>
            <w:r w:rsidRPr="005B6222">
              <w:rPr>
                <w:rFonts w:ascii="Verdana" w:eastAsia="Arial" w:hAnsi="Verdana" w:cs="Arial"/>
                <w:sz w:val="16"/>
                <w:szCs w:val="16"/>
                <w:lang w:val="es-ES" w:eastAsia="es-MX"/>
              </w:rPr>
              <w:t xml:space="preserve">Carlos Mario Castrillón Endo </w:t>
            </w:r>
          </w:p>
          <w:p w14:paraId="64C61F3A" w14:textId="77777777" w:rsidR="005B6222" w:rsidRPr="005B6222" w:rsidRDefault="005B6222" w:rsidP="005B6222">
            <w:pPr>
              <w:rPr>
                <w:rFonts w:ascii="Verdana" w:eastAsia="Arial" w:hAnsi="Verdana" w:cs="Arial"/>
                <w:sz w:val="16"/>
                <w:szCs w:val="16"/>
                <w:lang w:val="es-ES_tradnl" w:eastAsia="es-MX"/>
              </w:rPr>
            </w:pPr>
            <w:r w:rsidRPr="005B6222">
              <w:rPr>
                <w:rFonts w:ascii="Verdana" w:eastAsia="Arial" w:hAnsi="Verdana" w:cs="Arial"/>
                <w:sz w:val="16"/>
                <w:szCs w:val="16"/>
                <w:lang w:val="es-ES_tradnl" w:eastAsia="es-MX"/>
              </w:rPr>
              <w:t>Contratista de la Subdirección de Gestión Contractual</w:t>
            </w:r>
          </w:p>
          <w:p w14:paraId="1FA8DDB9" w14:textId="77777777" w:rsidR="005B6222" w:rsidRPr="005B6222" w:rsidRDefault="005B6222" w:rsidP="005B6222">
            <w:pPr>
              <w:rPr>
                <w:rFonts w:ascii="Verdana" w:eastAsia="Arial" w:hAnsi="Verdana" w:cs="Arial"/>
                <w:sz w:val="16"/>
                <w:szCs w:val="16"/>
                <w:lang w:val="es-ES_tradnl" w:eastAsia="es-MX"/>
              </w:rPr>
            </w:pPr>
          </w:p>
        </w:tc>
      </w:tr>
      <w:tr w:rsidR="005B6222" w:rsidRPr="005B6222" w14:paraId="2DBF7F4C" w14:textId="77777777" w:rsidTr="003D59B9">
        <w:trPr>
          <w:trHeight w:val="338"/>
        </w:trPr>
        <w:tc>
          <w:tcPr>
            <w:tcW w:w="1041" w:type="dxa"/>
            <w:vAlign w:val="center"/>
            <w:hideMark/>
          </w:tcPr>
          <w:p w14:paraId="634384BE" w14:textId="77777777" w:rsidR="005B6222" w:rsidRPr="005B6222" w:rsidRDefault="005B6222" w:rsidP="005B6222">
            <w:pPr>
              <w:rPr>
                <w:rFonts w:ascii="Verdana" w:eastAsia="Calibri" w:hAnsi="Verdana" w:cs="Arial"/>
                <w:sz w:val="16"/>
                <w:szCs w:val="16"/>
                <w:lang w:val="es-ES_tradnl" w:eastAsia="es-ES"/>
              </w:rPr>
            </w:pPr>
            <w:r w:rsidRPr="005B6222">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304863F0" w14:textId="77777777" w:rsidR="005B6222" w:rsidRPr="005B6222" w:rsidRDefault="005B6222" w:rsidP="005B6222">
            <w:pPr>
              <w:rPr>
                <w:rFonts w:ascii="Verdana" w:eastAsia="Arial" w:hAnsi="Verdana" w:cs="Arial"/>
                <w:sz w:val="16"/>
                <w:szCs w:val="16"/>
                <w:lang w:val="es-ES" w:eastAsia="es-MX"/>
              </w:rPr>
            </w:pPr>
            <w:r w:rsidRPr="005B6222">
              <w:rPr>
                <w:rFonts w:ascii="Verdana" w:eastAsia="Arial" w:hAnsi="Verdana" w:cs="Arial"/>
                <w:sz w:val="16"/>
                <w:szCs w:val="16"/>
                <w:lang w:val="es-ES" w:eastAsia="es-MX"/>
              </w:rPr>
              <w:t xml:space="preserve">Lida Milena </w:t>
            </w:r>
            <w:proofErr w:type="spellStart"/>
            <w:r w:rsidRPr="005B6222">
              <w:rPr>
                <w:rFonts w:ascii="Verdana" w:eastAsia="Arial" w:hAnsi="Verdana" w:cs="Arial"/>
                <w:sz w:val="16"/>
                <w:szCs w:val="16"/>
                <w:lang w:val="es-ES" w:eastAsia="es-MX"/>
              </w:rPr>
              <w:t>Guanumen</w:t>
            </w:r>
            <w:proofErr w:type="spellEnd"/>
            <w:r w:rsidRPr="005B6222">
              <w:rPr>
                <w:rFonts w:ascii="Verdana" w:eastAsia="Arial" w:hAnsi="Verdana" w:cs="Arial"/>
                <w:sz w:val="16"/>
                <w:szCs w:val="16"/>
                <w:lang w:val="es-ES" w:eastAsia="es-MX"/>
              </w:rPr>
              <w:t xml:space="preserve"> Pacheco</w:t>
            </w:r>
          </w:p>
          <w:p w14:paraId="642EABC7" w14:textId="77777777" w:rsidR="005B6222" w:rsidRPr="005B6222" w:rsidRDefault="005B6222" w:rsidP="005B6222">
            <w:pPr>
              <w:rPr>
                <w:rFonts w:ascii="Verdana" w:eastAsia="Arial" w:hAnsi="Verdana" w:cs="Arial"/>
                <w:sz w:val="16"/>
                <w:szCs w:val="16"/>
                <w:lang w:val="es-ES" w:eastAsia="es-MX"/>
              </w:rPr>
            </w:pPr>
            <w:r w:rsidRPr="005B6222">
              <w:rPr>
                <w:rFonts w:ascii="Verdana" w:eastAsia="Arial" w:hAnsi="Verdana" w:cs="Arial"/>
                <w:sz w:val="16"/>
                <w:szCs w:val="16"/>
                <w:lang w:val="es-ES_tradnl" w:eastAsia="es-MX"/>
              </w:rPr>
              <w:t>Contratista de la Subdirección de Gestión Contractual</w:t>
            </w:r>
          </w:p>
          <w:p w14:paraId="6D80D6F8" w14:textId="77777777" w:rsidR="005B6222" w:rsidRPr="005B6222" w:rsidRDefault="005B6222" w:rsidP="005B6222">
            <w:pPr>
              <w:rPr>
                <w:rFonts w:ascii="Verdana" w:eastAsia="Arial" w:hAnsi="Verdana" w:cs="Arial"/>
                <w:sz w:val="16"/>
                <w:szCs w:val="16"/>
                <w:lang w:val="es-ES" w:eastAsia="es-MX"/>
              </w:rPr>
            </w:pPr>
            <w:r w:rsidRPr="005B6222">
              <w:rPr>
                <w:rFonts w:ascii="Verdana" w:eastAsia="Arial" w:hAnsi="Verdana" w:cs="Arial"/>
                <w:sz w:val="16"/>
                <w:szCs w:val="16"/>
                <w:lang w:val="es-ES" w:eastAsia="es-MX"/>
              </w:rPr>
              <w:t xml:space="preserve">Juan David Cárdenas Cabezas </w:t>
            </w:r>
          </w:p>
          <w:p w14:paraId="02C3D498" w14:textId="77777777" w:rsidR="005B6222" w:rsidRPr="005B6222" w:rsidRDefault="005B6222" w:rsidP="005B6222">
            <w:pPr>
              <w:rPr>
                <w:rFonts w:ascii="Verdana" w:eastAsia="Arial" w:hAnsi="Verdana" w:cs="Arial"/>
                <w:sz w:val="16"/>
                <w:szCs w:val="16"/>
                <w:lang w:val="es-ES" w:eastAsia="es-MX"/>
              </w:rPr>
            </w:pPr>
            <w:r w:rsidRPr="005B6222">
              <w:rPr>
                <w:rFonts w:ascii="Verdana" w:eastAsia="Arial" w:hAnsi="Verdana" w:cs="Arial"/>
                <w:sz w:val="16"/>
                <w:szCs w:val="16"/>
                <w:lang w:val="es-ES_tradnl" w:eastAsia="es-MX"/>
              </w:rPr>
              <w:t>Contratista de la Subdirección de Gestión Contractual</w:t>
            </w:r>
          </w:p>
        </w:tc>
      </w:tr>
      <w:tr w:rsidR="005B6222" w:rsidRPr="005B6222" w14:paraId="585C1367" w14:textId="77777777" w:rsidTr="003D59B9">
        <w:trPr>
          <w:trHeight w:val="308"/>
        </w:trPr>
        <w:tc>
          <w:tcPr>
            <w:tcW w:w="1041" w:type="dxa"/>
            <w:vAlign w:val="center"/>
          </w:tcPr>
          <w:p w14:paraId="2683434E" w14:textId="77777777" w:rsidR="005B6222" w:rsidRPr="005B6222" w:rsidRDefault="005B6222" w:rsidP="005B6222">
            <w:pPr>
              <w:rPr>
                <w:rFonts w:ascii="Verdana" w:eastAsia="Calibri" w:hAnsi="Verdana" w:cs="Arial"/>
                <w:sz w:val="16"/>
                <w:szCs w:val="16"/>
                <w:lang w:val="es-ES_tradnl" w:eastAsia="es-ES"/>
              </w:rPr>
            </w:pPr>
            <w:r w:rsidRPr="005B6222">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4B9D6C3" w14:textId="77777777" w:rsidR="005B6222" w:rsidRPr="005B6222" w:rsidRDefault="005B6222" w:rsidP="005B6222">
            <w:pPr>
              <w:rPr>
                <w:rFonts w:ascii="Verdana" w:eastAsia="Calibri" w:hAnsi="Verdana" w:cs="Arial"/>
                <w:sz w:val="16"/>
                <w:szCs w:val="16"/>
                <w:lang w:val="es-ES" w:eastAsia="es-ES"/>
              </w:rPr>
            </w:pPr>
            <w:r w:rsidRPr="005B6222">
              <w:rPr>
                <w:rFonts w:ascii="Verdana" w:eastAsia="Calibri" w:hAnsi="Verdana" w:cs="Arial"/>
                <w:sz w:val="16"/>
                <w:szCs w:val="16"/>
                <w:lang w:val="es-ES" w:eastAsia="es-ES"/>
              </w:rPr>
              <w:t>Carolina Quintero Gacharná</w:t>
            </w:r>
          </w:p>
          <w:p w14:paraId="3870BEFF" w14:textId="77777777" w:rsidR="005B6222" w:rsidRPr="005B6222" w:rsidRDefault="005B6222" w:rsidP="005B6222">
            <w:pPr>
              <w:rPr>
                <w:rFonts w:ascii="Verdana" w:eastAsia="Calibri" w:hAnsi="Verdana" w:cs="Arial"/>
                <w:sz w:val="16"/>
                <w:szCs w:val="16"/>
                <w:lang w:val="es-ES_tradnl" w:eastAsia="es-ES"/>
              </w:rPr>
            </w:pPr>
            <w:r w:rsidRPr="005B6222">
              <w:rPr>
                <w:rFonts w:ascii="Verdana" w:eastAsia="Calibri" w:hAnsi="Verdana" w:cs="Arial"/>
                <w:sz w:val="16"/>
                <w:szCs w:val="16"/>
                <w:lang w:val="es-ES_tradnl" w:eastAsia="es-ES"/>
              </w:rPr>
              <w:t>Subdirectora de Gestión Contractual ANCP – CCE</w:t>
            </w:r>
          </w:p>
        </w:tc>
      </w:tr>
    </w:tbl>
    <w:p w14:paraId="551C8448" w14:textId="670A8333" w:rsidR="00C70D3E" w:rsidRPr="000E2B93" w:rsidRDefault="00C70D3E" w:rsidP="005B6222">
      <w:pPr>
        <w:spacing w:after="0" w:line="240" w:lineRule="auto"/>
        <w:textAlignment w:val="baseline"/>
        <w:rPr>
          <w:rFonts w:ascii="Verdana" w:eastAsia="Verdana" w:hAnsi="Verdana" w:cs="Verdana"/>
          <w:lang w:eastAsia="es-CO"/>
        </w:rPr>
      </w:pPr>
    </w:p>
    <w:p w14:paraId="69BC4D14" w14:textId="7B2B24F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9CC33" w14:textId="77777777" w:rsidR="00EF1B80" w:rsidRDefault="00EF1B80" w:rsidP="004A1847">
      <w:pPr>
        <w:spacing w:after="0" w:line="240" w:lineRule="auto"/>
      </w:pPr>
      <w:r>
        <w:separator/>
      </w:r>
    </w:p>
  </w:endnote>
  <w:endnote w:type="continuationSeparator" w:id="0">
    <w:p w14:paraId="0007A81B" w14:textId="77777777" w:rsidR="00EF1B80" w:rsidRDefault="00EF1B8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59B90" w14:textId="77777777" w:rsidR="00EF1B80" w:rsidRDefault="00EF1B80" w:rsidP="004A1847">
      <w:pPr>
        <w:spacing w:after="0" w:line="240" w:lineRule="auto"/>
      </w:pPr>
      <w:r>
        <w:separator/>
      </w:r>
    </w:p>
  </w:footnote>
  <w:footnote w:type="continuationSeparator" w:id="0">
    <w:p w14:paraId="5676CD18" w14:textId="77777777" w:rsidR="00EF1B80" w:rsidRDefault="00EF1B80" w:rsidP="004A1847">
      <w:pPr>
        <w:spacing w:after="0" w:line="240" w:lineRule="auto"/>
      </w:pPr>
      <w:r>
        <w:continuationSeparator/>
      </w:r>
    </w:p>
  </w:footnote>
  <w:footnote w:id="1">
    <w:p w14:paraId="3EF7FEC1" w14:textId="77777777" w:rsidR="005B6222" w:rsidRPr="00357B94" w:rsidRDefault="005B6222" w:rsidP="005B6222">
      <w:pPr>
        <w:pStyle w:val="Textonotapie"/>
        <w:ind w:firstLine="708"/>
        <w:jc w:val="both"/>
        <w:rPr>
          <w:rFonts w:ascii="Verdana" w:hAnsi="Verdana"/>
          <w:sz w:val="18"/>
          <w:szCs w:val="18"/>
        </w:rPr>
      </w:pPr>
      <w:r w:rsidRPr="00357B94">
        <w:rPr>
          <w:rStyle w:val="Refdenotaalpie"/>
          <w:rFonts w:ascii="Verdana" w:hAnsi="Verdana"/>
          <w:sz w:val="18"/>
          <w:szCs w:val="18"/>
        </w:rPr>
        <w:footnoteRef/>
      </w:r>
      <w:r w:rsidRPr="00357B94">
        <w:rPr>
          <w:rFonts w:ascii="Verdana" w:hAnsi="Verdana"/>
          <w:sz w:val="18"/>
          <w:szCs w:val="18"/>
        </w:rPr>
        <w:t xml:space="preserve"> Reglamento Colombiano de Construcción Sismo Resistente NSR-10</w:t>
      </w:r>
    </w:p>
    <w:p w14:paraId="4AF50FA0" w14:textId="77777777" w:rsidR="005B6222" w:rsidRPr="00357B94" w:rsidRDefault="005B6222" w:rsidP="005B6222">
      <w:pPr>
        <w:pStyle w:val="Textonotapie"/>
        <w:ind w:firstLine="708"/>
        <w:jc w:val="both"/>
        <w:rPr>
          <w:rFonts w:ascii="Verdana" w:hAnsi="Verdana"/>
          <w:sz w:val="18"/>
          <w:szCs w:val="18"/>
          <w:lang w:val="es-ES_tradnl"/>
        </w:rPr>
      </w:pPr>
    </w:p>
  </w:footnote>
  <w:footnote w:id="2">
    <w:p w14:paraId="36653AFA" w14:textId="77777777" w:rsidR="005B6222" w:rsidRPr="00357B94" w:rsidRDefault="005B6222" w:rsidP="005B6222">
      <w:pPr>
        <w:pStyle w:val="Textonotapie"/>
        <w:ind w:firstLine="708"/>
        <w:jc w:val="both"/>
        <w:rPr>
          <w:rFonts w:ascii="Verdana" w:hAnsi="Verdana"/>
          <w:sz w:val="18"/>
          <w:szCs w:val="18"/>
          <w:lang w:val="es-ES_tradnl"/>
        </w:rPr>
      </w:pPr>
      <w:r w:rsidRPr="00357B94">
        <w:rPr>
          <w:rStyle w:val="Refdenotaalpie"/>
          <w:rFonts w:ascii="Verdana" w:hAnsi="Verdana"/>
          <w:sz w:val="18"/>
          <w:szCs w:val="18"/>
        </w:rPr>
        <w:footnoteRef/>
      </w:r>
      <w:r w:rsidRPr="00357B94">
        <w:rPr>
          <w:rFonts w:ascii="Verdana" w:hAnsi="Verdana"/>
          <w:sz w:val="18"/>
          <w:szCs w:val="18"/>
        </w:rPr>
        <w:t xml:space="preserve"> </w:t>
      </w:r>
      <w:r w:rsidRPr="00357B94">
        <w:rPr>
          <w:rFonts w:ascii="Verdana" w:hAnsi="Verdana"/>
          <w:sz w:val="18"/>
          <w:szCs w:val="18"/>
          <w:lang w:val="es-ES_tradnl"/>
        </w:rPr>
        <w:t xml:space="preserve">Ibidem </w:t>
      </w:r>
    </w:p>
    <w:p w14:paraId="64945818" w14:textId="77777777" w:rsidR="005B6222" w:rsidRPr="00357B94" w:rsidRDefault="005B6222" w:rsidP="005B6222">
      <w:pPr>
        <w:pStyle w:val="Textonotapie"/>
        <w:ind w:firstLine="708"/>
        <w:jc w:val="both"/>
        <w:rPr>
          <w:rFonts w:ascii="Verdana" w:hAnsi="Verdana"/>
          <w:sz w:val="18"/>
          <w:szCs w:val="18"/>
          <w:lang w:val="es-ES_tradnl"/>
        </w:rPr>
      </w:pPr>
    </w:p>
  </w:footnote>
  <w:footnote w:id="3">
    <w:p w14:paraId="2A04714E" w14:textId="77777777" w:rsidR="005B6222" w:rsidRPr="00357B94" w:rsidRDefault="005B6222" w:rsidP="005B6222">
      <w:pPr>
        <w:pStyle w:val="Textonotapie"/>
        <w:ind w:firstLine="708"/>
        <w:rPr>
          <w:rFonts w:ascii="Verdana" w:hAnsi="Verdana"/>
          <w:sz w:val="18"/>
          <w:szCs w:val="18"/>
        </w:rPr>
      </w:pPr>
      <w:r w:rsidRPr="00357B94">
        <w:rPr>
          <w:rStyle w:val="Refdenotaalpie"/>
          <w:rFonts w:ascii="Verdana" w:hAnsi="Verdana"/>
          <w:sz w:val="18"/>
          <w:szCs w:val="18"/>
        </w:rPr>
        <w:footnoteRef/>
      </w:r>
      <w:r w:rsidRPr="00357B94">
        <w:rPr>
          <w:rFonts w:ascii="Verdana" w:hAnsi="Verdana"/>
          <w:sz w:val="18"/>
          <w:szCs w:val="18"/>
        </w:rPr>
        <w:t xml:space="preserve">       Numeral 2.103 del Anexo 5 – Glosario de los documentos tipo de licitación de obra pública de infraestructura social – versión 2. </w:t>
      </w:r>
    </w:p>
    <w:p w14:paraId="077B75FC" w14:textId="77777777" w:rsidR="005B6222" w:rsidRPr="00357B94" w:rsidRDefault="005B6222" w:rsidP="005B6222">
      <w:pPr>
        <w:pStyle w:val="Textonotapie"/>
        <w:ind w:firstLine="708"/>
        <w:rPr>
          <w:rFonts w:ascii="Verdana" w:hAnsi="Verdana"/>
          <w:sz w:val="18"/>
          <w:szCs w:val="18"/>
          <w:lang w:val="es-ES_tradnl"/>
        </w:rPr>
      </w:pPr>
    </w:p>
  </w:footnote>
  <w:footnote w:id="4">
    <w:p w14:paraId="266A0450" w14:textId="77777777" w:rsidR="005B6222" w:rsidRPr="009E0FD0" w:rsidRDefault="005B6222" w:rsidP="005B6222">
      <w:pPr>
        <w:pStyle w:val="Textonotapie"/>
        <w:ind w:firstLine="708"/>
      </w:pPr>
      <w:r>
        <w:rPr>
          <w:rStyle w:val="Refdenotaalpie"/>
        </w:rPr>
        <w:footnoteRef/>
      </w:r>
      <w:r>
        <w:t xml:space="preserve"> Ibidem</w:t>
      </w:r>
    </w:p>
  </w:footnote>
  <w:footnote w:id="5">
    <w:p w14:paraId="4C343AA4" w14:textId="77777777" w:rsidR="005B6222" w:rsidRPr="00357B94" w:rsidRDefault="005B6222" w:rsidP="005B6222">
      <w:pPr>
        <w:pStyle w:val="Textonotapie"/>
        <w:ind w:firstLine="708"/>
        <w:rPr>
          <w:rFonts w:ascii="Verdana" w:hAnsi="Verdana"/>
          <w:sz w:val="18"/>
          <w:szCs w:val="18"/>
          <w:lang w:val="es-ES_tradnl"/>
        </w:rPr>
      </w:pPr>
      <w:r w:rsidRPr="00357B94">
        <w:rPr>
          <w:rStyle w:val="Refdenotaalpie"/>
          <w:rFonts w:ascii="Verdana" w:hAnsi="Verdana"/>
          <w:sz w:val="18"/>
          <w:szCs w:val="18"/>
        </w:rPr>
        <w:footnoteRef/>
      </w:r>
      <w:r w:rsidRPr="00357B94">
        <w:rPr>
          <w:rFonts w:ascii="Verdana" w:hAnsi="Verdana"/>
          <w:sz w:val="18"/>
          <w:szCs w:val="18"/>
        </w:rPr>
        <w:t xml:space="preserve"> Definición tomada de la página web del Ministerio de Vivienda, Ciudad y Territorio en el siguiente enlace: </w:t>
      </w:r>
      <w:hyperlink r:id="rId1" w:history="1">
        <w:r w:rsidRPr="00357B94">
          <w:rPr>
            <w:rStyle w:val="Hipervnculo"/>
            <w:rFonts w:ascii="Verdana" w:hAnsi="Verdana"/>
            <w:sz w:val="18"/>
            <w:szCs w:val="18"/>
          </w:rPr>
          <w:t>https://www.minvivienda.gov.co/node/46738</w:t>
        </w:r>
      </w:hyperlink>
    </w:p>
  </w:footnote>
  <w:footnote w:id="6">
    <w:p w14:paraId="0ABA8DA8" w14:textId="77777777" w:rsidR="005B6222" w:rsidRPr="00357B94" w:rsidRDefault="005B6222" w:rsidP="005B6222">
      <w:pPr>
        <w:pStyle w:val="Textonotapie"/>
        <w:ind w:firstLine="708"/>
        <w:jc w:val="both"/>
        <w:rPr>
          <w:rFonts w:ascii="Verdana" w:hAnsi="Verdana"/>
          <w:sz w:val="18"/>
          <w:szCs w:val="18"/>
        </w:rPr>
      </w:pPr>
      <w:r w:rsidRPr="00357B94">
        <w:rPr>
          <w:rStyle w:val="Refdenotaalpie"/>
          <w:rFonts w:ascii="Verdana" w:eastAsia="Times New Roman" w:hAnsi="Verdana"/>
          <w:sz w:val="18"/>
          <w:szCs w:val="18"/>
        </w:rPr>
        <w:footnoteRef/>
      </w:r>
      <w:r w:rsidRPr="00357B94">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1D924F9" w14:textId="77777777" w:rsidR="005B6222" w:rsidRPr="00357B94" w:rsidRDefault="005B6222" w:rsidP="005B6222">
      <w:pPr>
        <w:pStyle w:val="Textonotapie"/>
        <w:ind w:firstLine="708"/>
        <w:jc w:val="both"/>
        <w:rPr>
          <w:rFonts w:ascii="Verdana" w:hAnsi="Verdana"/>
          <w:sz w:val="18"/>
          <w:szCs w:val="18"/>
        </w:rPr>
      </w:pPr>
    </w:p>
    <w:p w14:paraId="726C2E1C" w14:textId="77777777" w:rsidR="005B6222" w:rsidRPr="00357B94" w:rsidRDefault="005B6222" w:rsidP="005B6222">
      <w:pPr>
        <w:pStyle w:val="Textonotapie"/>
        <w:ind w:firstLine="708"/>
        <w:jc w:val="both"/>
        <w:rPr>
          <w:rFonts w:ascii="Verdana" w:hAnsi="Verdana"/>
          <w:sz w:val="18"/>
          <w:szCs w:val="18"/>
        </w:rPr>
      </w:pPr>
      <w:r w:rsidRPr="00357B94">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3B31D737" w14:textId="77777777" w:rsidR="005B6222" w:rsidRPr="00357B94" w:rsidRDefault="005B6222" w:rsidP="005B6222">
      <w:pPr>
        <w:pStyle w:val="Textonotapie"/>
        <w:ind w:firstLine="708"/>
        <w:jc w:val="both"/>
        <w:rPr>
          <w:rFonts w:ascii="Verdana" w:hAnsi="Verdana"/>
          <w:sz w:val="18"/>
          <w:szCs w:val="18"/>
        </w:rPr>
      </w:pPr>
    </w:p>
    <w:p w14:paraId="021A3A2B" w14:textId="77777777" w:rsidR="005B6222" w:rsidRPr="00357B94" w:rsidRDefault="005B6222" w:rsidP="005B6222">
      <w:pPr>
        <w:pStyle w:val="Textonotapie"/>
        <w:ind w:firstLine="708"/>
        <w:jc w:val="both"/>
        <w:rPr>
          <w:rFonts w:ascii="Verdana" w:hAnsi="Verdana"/>
          <w:sz w:val="18"/>
          <w:szCs w:val="18"/>
        </w:rPr>
      </w:pPr>
      <w:r w:rsidRPr="00357B94">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3362749" w14:textId="77777777" w:rsidR="005B6222" w:rsidRPr="00357B94" w:rsidRDefault="005B6222" w:rsidP="005B6222">
      <w:pPr>
        <w:pStyle w:val="Textonotapie"/>
        <w:ind w:firstLine="708"/>
        <w:jc w:val="both"/>
        <w:rPr>
          <w:rFonts w:ascii="Verdana" w:hAnsi="Verdana"/>
          <w:sz w:val="18"/>
          <w:szCs w:val="18"/>
        </w:rPr>
      </w:pPr>
    </w:p>
    <w:p w14:paraId="0F8E070C" w14:textId="77777777" w:rsidR="005B6222" w:rsidRPr="00357B94" w:rsidRDefault="005B6222" w:rsidP="005B6222">
      <w:pPr>
        <w:pStyle w:val="Textonotapie"/>
        <w:ind w:firstLine="708"/>
        <w:jc w:val="both"/>
        <w:rPr>
          <w:rFonts w:ascii="Verdana" w:hAnsi="Verdana"/>
          <w:sz w:val="18"/>
          <w:szCs w:val="18"/>
        </w:rPr>
      </w:pPr>
      <w:r w:rsidRPr="00357B94">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6B11493" w14:textId="77777777" w:rsidR="005B6222" w:rsidRPr="00357B94" w:rsidRDefault="005B6222" w:rsidP="005B6222">
      <w:pPr>
        <w:pStyle w:val="Textonotapie"/>
        <w:ind w:firstLine="708"/>
        <w:jc w:val="both"/>
        <w:rPr>
          <w:rFonts w:ascii="Verdana" w:hAnsi="Verdana"/>
          <w:sz w:val="18"/>
          <w:szCs w:val="18"/>
        </w:rPr>
      </w:pPr>
    </w:p>
    <w:p w14:paraId="626F349A" w14:textId="77777777" w:rsidR="005B6222" w:rsidRPr="00357B94" w:rsidRDefault="005B6222" w:rsidP="005B6222">
      <w:pPr>
        <w:pStyle w:val="Textonotapie"/>
        <w:ind w:firstLine="708"/>
        <w:jc w:val="both"/>
        <w:rPr>
          <w:rFonts w:ascii="Verdana" w:hAnsi="Verdana"/>
          <w:sz w:val="18"/>
          <w:szCs w:val="18"/>
        </w:rPr>
      </w:pPr>
      <w:r w:rsidRPr="00357B94">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7">
    <w:p w14:paraId="5F41D2AF" w14:textId="77777777" w:rsidR="005B6222" w:rsidRPr="00357B94" w:rsidRDefault="005B6222" w:rsidP="005B6222">
      <w:pPr>
        <w:pStyle w:val="Textonotapie"/>
        <w:ind w:firstLine="708"/>
        <w:jc w:val="both"/>
        <w:rPr>
          <w:rFonts w:ascii="Verdana" w:hAnsi="Verdana"/>
          <w:sz w:val="18"/>
          <w:szCs w:val="18"/>
        </w:rPr>
      </w:pPr>
      <w:r w:rsidRPr="00357B94">
        <w:rPr>
          <w:rStyle w:val="Refdenotaalpie"/>
          <w:rFonts w:ascii="Verdana" w:hAnsi="Verdana"/>
          <w:sz w:val="18"/>
          <w:szCs w:val="18"/>
        </w:rPr>
        <w:footnoteRef/>
      </w:r>
      <w:r w:rsidRPr="00357B94">
        <w:rPr>
          <w:rFonts w:ascii="Verdana" w:hAnsi="Verdana"/>
          <w:sz w:val="18"/>
          <w:szCs w:val="18"/>
        </w:rPr>
        <w:t xml:space="preserve"> Reglamento Colombiano de Construcción Sismo Resistente NSR-10</w:t>
      </w:r>
    </w:p>
    <w:p w14:paraId="7B3C5C23" w14:textId="77777777" w:rsidR="005B6222" w:rsidRPr="00357B94" w:rsidRDefault="005B6222" w:rsidP="005B6222">
      <w:pPr>
        <w:pStyle w:val="Textonotapie"/>
        <w:ind w:firstLine="708"/>
        <w:jc w:val="both"/>
        <w:rPr>
          <w:rFonts w:ascii="Verdana" w:hAnsi="Verdana"/>
          <w:sz w:val="18"/>
          <w:szCs w:val="18"/>
          <w:lang w:val="es-ES_tradnl"/>
        </w:rPr>
      </w:pPr>
    </w:p>
  </w:footnote>
  <w:footnote w:id="8">
    <w:p w14:paraId="55A79F61" w14:textId="77777777" w:rsidR="005B6222" w:rsidRPr="00357B94" w:rsidRDefault="005B6222" w:rsidP="005B6222">
      <w:pPr>
        <w:pStyle w:val="Textonotapie"/>
        <w:ind w:firstLine="708"/>
        <w:jc w:val="both"/>
        <w:rPr>
          <w:rFonts w:ascii="Verdana" w:hAnsi="Verdana"/>
          <w:sz w:val="18"/>
          <w:szCs w:val="18"/>
          <w:lang w:val="es-ES_tradnl"/>
        </w:rPr>
      </w:pPr>
      <w:r w:rsidRPr="00357B94">
        <w:rPr>
          <w:rStyle w:val="Refdenotaalpie"/>
          <w:rFonts w:ascii="Verdana" w:hAnsi="Verdana"/>
          <w:sz w:val="18"/>
          <w:szCs w:val="18"/>
        </w:rPr>
        <w:footnoteRef/>
      </w:r>
      <w:r w:rsidRPr="00357B94">
        <w:rPr>
          <w:rFonts w:ascii="Verdana" w:hAnsi="Verdana"/>
          <w:sz w:val="18"/>
          <w:szCs w:val="18"/>
        </w:rPr>
        <w:t xml:space="preserve"> </w:t>
      </w:r>
      <w:r w:rsidRPr="00357B94">
        <w:rPr>
          <w:rFonts w:ascii="Verdana" w:hAnsi="Verdana"/>
          <w:sz w:val="18"/>
          <w:szCs w:val="18"/>
          <w:lang w:val="es-ES_tradnl"/>
        </w:rPr>
        <w:t xml:space="preserve">Ibidem </w:t>
      </w:r>
    </w:p>
    <w:p w14:paraId="1A9A1F09" w14:textId="77777777" w:rsidR="005B6222" w:rsidRPr="00357B94" w:rsidRDefault="005B6222" w:rsidP="005B6222">
      <w:pPr>
        <w:pStyle w:val="Textonotapie"/>
        <w:ind w:firstLine="708"/>
        <w:jc w:val="both"/>
        <w:rPr>
          <w:rFonts w:ascii="Verdana" w:hAnsi="Verdana"/>
          <w:sz w:val="18"/>
          <w:szCs w:val="18"/>
          <w:lang w:val="es-ES_tradnl"/>
        </w:rPr>
      </w:pPr>
    </w:p>
  </w:footnote>
  <w:footnote w:id="9">
    <w:p w14:paraId="25A56B19" w14:textId="77777777" w:rsidR="005B6222" w:rsidRPr="00357B94" w:rsidRDefault="005B6222" w:rsidP="005B6222">
      <w:pPr>
        <w:pStyle w:val="Textonotapie"/>
        <w:ind w:firstLine="708"/>
        <w:rPr>
          <w:rFonts w:ascii="Verdana" w:hAnsi="Verdana"/>
          <w:sz w:val="18"/>
          <w:szCs w:val="18"/>
        </w:rPr>
      </w:pPr>
      <w:r w:rsidRPr="00357B94">
        <w:rPr>
          <w:rStyle w:val="Refdenotaalpie"/>
          <w:rFonts w:ascii="Verdana" w:hAnsi="Verdana"/>
          <w:sz w:val="18"/>
          <w:szCs w:val="18"/>
        </w:rPr>
        <w:footnoteRef/>
      </w:r>
      <w:r w:rsidRPr="00357B94">
        <w:rPr>
          <w:rFonts w:ascii="Verdana" w:hAnsi="Verdana"/>
          <w:sz w:val="18"/>
          <w:szCs w:val="18"/>
        </w:rPr>
        <w:t xml:space="preserve">       Numeral 2.103 del Anexo 5 – Glosario de los documentos tipo de licitación de obra pública de infraestructura social – versión 2. </w:t>
      </w:r>
    </w:p>
    <w:p w14:paraId="560A54DB" w14:textId="77777777" w:rsidR="005B6222" w:rsidRPr="00357B94" w:rsidRDefault="005B6222" w:rsidP="005B6222">
      <w:pPr>
        <w:pStyle w:val="Textonotapie"/>
        <w:ind w:firstLine="708"/>
        <w:rPr>
          <w:rFonts w:ascii="Verdana" w:hAnsi="Verdana"/>
          <w:sz w:val="18"/>
          <w:szCs w:val="18"/>
          <w:lang w:val="es-ES_tradnl"/>
        </w:rPr>
      </w:pPr>
    </w:p>
  </w:footnote>
  <w:footnote w:id="10">
    <w:p w14:paraId="656626EE" w14:textId="77777777" w:rsidR="005B6222" w:rsidRPr="00357B94" w:rsidRDefault="005B6222" w:rsidP="005B6222">
      <w:pPr>
        <w:pStyle w:val="Textonotapie"/>
        <w:ind w:firstLine="708"/>
        <w:rPr>
          <w:rFonts w:ascii="Verdana" w:hAnsi="Verdana"/>
          <w:sz w:val="18"/>
          <w:szCs w:val="18"/>
          <w:lang w:val="es-ES_tradnl"/>
        </w:rPr>
      </w:pPr>
      <w:r w:rsidRPr="00357B94">
        <w:rPr>
          <w:rStyle w:val="Refdenotaalpie"/>
          <w:rFonts w:ascii="Verdana" w:hAnsi="Verdana"/>
          <w:sz w:val="18"/>
          <w:szCs w:val="18"/>
        </w:rPr>
        <w:footnoteRef/>
      </w:r>
      <w:r w:rsidRPr="00357B94">
        <w:rPr>
          <w:rFonts w:ascii="Verdana" w:hAnsi="Verdana"/>
          <w:sz w:val="18"/>
          <w:szCs w:val="18"/>
        </w:rPr>
        <w:t xml:space="preserve"> Definición tomada de la página web del Ministerio de Vivienda, Ciudad y Territorio en el siguiente enlace: </w:t>
      </w:r>
      <w:hyperlink r:id="rId2" w:history="1">
        <w:r w:rsidRPr="00357B94">
          <w:rPr>
            <w:rStyle w:val="Hipervnculo"/>
            <w:rFonts w:ascii="Verdana" w:hAnsi="Verdana"/>
            <w:sz w:val="18"/>
            <w:szCs w:val="18"/>
          </w:rPr>
          <w:t>https://www.minvivienda.gov.co/node/46738</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88700460">
    <w:abstractNumId w:val="9"/>
  </w:num>
  <w:num w:numId="17" w16cid:durableId="1207447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5C6D"/>
    <w:rsid w:val="00082362"/>
    <w:rsid w:val="000A683E"/>
    <w:rsid w:val="000B19B9"/>
    <w:rsid w:val="000D0334"/>
    <w:rsid w:val="000D5DA7"/>
    <w:rsid w:val="000F6486"/>
    <w:rsid w:val="00116940"/>
    <w:rsid w:val="00125105"/>
    <w:rsid w:val="00127233"/>
    <w:rsid w:val="0015699B"/>
    <w:rsid w:val="00183926"/>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3652"/>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6222"/>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578D"/>
    <w:rsid w:val="00A617C1"/>
    <w:rsid w:val="00AB0ADB"/>
    <w:rsid w:val="00B00C0E"/>
    <w:rsid w:val="00B01B1A"/>
    <w:rsid w:val="00B0381D"/>
    <w:rsid w:val="00B44A47"/>
    <w:rsid w:val="00B72CD3"/>
    <w:rsid w:val="00B72FFF"/>
    <w:rsid w:val="00BA54D6"/>
    <w:rsid w:val="00BC3D36"/>
    <w:rsid w:val="00BD54A6"/>
    <w:rsid w:val="00BD7F72"/>
    <w:rsid w:val="00BF7425"/>
    <w:rsid w:val="00C04FB3"/>
    <w:rsid w:val="00C11D8B"/>
    <w:rsid w:val="00C15139"/>
    <w:rsid w:val="00C330EB"/>
    <w:rsid w:val="00C50D69"/>
    <w:rsid w:val="00C5365C"/>
    <w:rsid w:val="00C70D3E"/>
    <w:rsid w:val="00C754BE"/>
    <w:rsid w:val="00C76B1C"/>
    <w:rsid w:val="00C91D42"/>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10E5"/>
    <w:rsid w:val="00E75C92"/>
    <w:rsid w:val="00E771DC"/>
    <w:rsid w:val="00E8772A"/>
    <w:rsid w:val="00E90F6B"/>
    <w:rsid w:val="00E92C27"/>
    <w:rsid w:val="00EA0E3D"/>
    <w:rsid w:val="00EC38A7"/>
    <w:rsid w:val="00ED4A28"/>
    <w:rsid w:val="00EE1AA8"/>
    <w:rsid w:val="00EF1B80"/>
    <w:rsid w:val="00F23FEA"/>
    <w:rsid w:val="00F31EDC"/>
    <w:rsid w:val="00F462B3"/>
    <w:rsid w:val="00F5664F"/>
    <w:rsid w:val="00F666C4"/>
    <w:rsid w:val="00F76AFC"/>
    <w:rsid w:val="00FA47C0"/>
    <w:rsid w:val="00FB3DA8"/>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5B62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B6222"/>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invivienda.gov.co/node/46738" TargetMode="External"/><Relationship Id="rId1" Type="http://schemas.openxmlformats.org/officeDocument/2006/relationships/hyperlink" Target="https://www.minvivienda.gov.co/node/4673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19CA66-711D-47E7-B7DF-22BFEFB51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23</Pages>
  <Words>7496</Words>
  <Characters>41233</Characters>
  <Application>Microsoft Office Word</Application>
  <DocSecurity>0</DocSecurity>
  <Lines>343</Lines>
  <Paragraphs>97</Paragraphs>
  <ScaleCrop>false</ScaleCrop>
  <Company/>
  <LinksUpToDate>false</LinksUpToDate>
  <CharactersWithSpaces>48632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2026-05-29T20:50:00Z</dcterms:created>
  <dcterms:modified xsi:type="dcterms:W3CDTF">2026-06-01T22:18:00Z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