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7CB67" w14:textId="77777777" w:rsidR="00F2695E" w:rsidRPr="0090232F" w:rsidRDefault="00F2695E" w:rsidP="00ED5ECC">
      <w:pPr>
        <w:spacing w:after="0" w:line="240" w:lineRule="auto"/>
        <w:jc w:val="both"/>
        <w:rPr>
          <w:rFonts w:ascii="Verdana" w:hAnsi="Verdana" w:cs="Arial"/>
          <w:b/>
          <w:lang w:val="es-MX"/>
        </w:rPr>
      </w:pPr>
      <w:bookmarkStart w:id="0" w:name="_Hlk143780582"/>
      <w:r w:rsidRPr="0090232F">
        <w:rPr>
          <w:rFonts w:ascii="Verdana" w:hAnsi="Verdana" w:cs="Arial"/>
          <w:b/>
          <w:lang w:val="es-MX"/>
        </w:rPr>
        <w:t xml:space="preserve">INHABILIDADES E INCOMPATIBILIDADES ─ Definición ─ fundamento – clases </w:t>
      </w:r>
    </w:p>
    <w:p w14:paraId="57E2FFDD" w14:textId="77777777" w:rsidR="00F2695E" w:rsidRPr="0090232F" w:rsidRDefault="00F2695E" w:rsidP="00ED5ECC">
      <w:pPr>
        <w:spacing w:after="0" w:line="240" w:lineRule="auto"/>
        <w:jc w:val="both"/>
        <w:rPr>
          <w:rFonts w:ascii="Verdana" w:hAnsi="Verdana" w:cs="Arial"/>
          <w:b/>
          <w:lang w:val="es-MX"/>
        </w:rPr>
      </w:pPr>
    </w:p>
    <w:p w14:paraId="3A7EAC22" w14:textId="77777777" w:rsidR="00F2695E" w:rsidRPr="0090232F" w:rsidRDefault="00F2695E" w:rsidP="00ED5ECC">
      <w:pPr>
        <w:spacing w:after="0" w:line="240" w:lineRule="auto"/>
        <w:jc w:val="both"/>
        <w:rPr>
          <w:rFonts w:ascii="Verdana" w:hAnsi="Verdana" w:cs="Arial"/>
          <w:sz w:val="20"/>
          <w:lang w:val="es-MX"/>
        </w:rPr>
      </w:pPr>
      <w:r w:rsidRPr="0090232F">
        <w:rPr>
          <w:rFonts w:ascii="Verdana" w:hAnsi="Verdana" w:cs="Arial"/>
          <w:sz w:val="20"/>
          <w:lang w:val="es-MX"/>
        </w:rPr>
        <w:t>Las inhabilidades e incompatibilidades pueden enfocarse en varios asuntos: en primer lugar, se encuentran las inhabilidades e incompatibilidades que impiden que u</w:t>
      </w:r>
      <w:proofErr w:type="spellStart"/>
      <w:r w:rsidRPr="0090232F">
        <w:rPr>
          <w:rFonts w:ascii="Verdana" w:hAnsi="Verdana" w:cs="Arial"/>
          <w:sz w:val="20"/>
        </w:rPr>
        <w:t>na</w:t>
      </w:r>
      <w:proofErr w:type="spellEnd"/>
      <w:r w:rsidRPr="0090232F">
        <w:rPr>
          <w:rFonts w:ascii="Verdana" w:hAnsi="Verdana" w:cs="Arial"/>
          <w:sz w:val="20"/>
        </w:rPr>
        <w:t xml:space="preserve"> persona sea elegida, designada para un cargo público, como también en ciertos eventos impiden que la persona se encuentre vinculada a la función pública continúe en ella; en segundo lugar, se hallan las inhabilidades e incompatibilidades para el ejercicio de una profesión, las cuales se constituyen </w:t>
      </w:r>
      <w:r w:rsidRPr="0090232F">
        <w:rPr>
          <w:rFonts w:ascii="Verdana" w:hAnsi="Verdana" w:cs="Arial"/>
          <w:sz w:val="20"/>
          <w:lang w:val="es-MX"/>
        </w:rPr>
        <w:t xml:space="preserve">en restricciones que impiden el ejercicio de una profesión que encuentran sustento en el artículo 26 de la Constitución Política; en tercer lugar, se encuentra el régimen de inhabilidades e incompatibilidades en la contratación estatal, que busca limitar la celebración de contratos, así como evitar que siga contratando por una inhabilidad o incompatibilidad sobreviniente. </w:t>
      </w:r>
      <w:proofErr w:type="gramStart"/>
      <w:r w:rsidRPr="0090232F">
        <w:rPr>
          <w:rFonts w:ascii="Verdana" w:hAnsi="Verdana" w:cs="Arial"/>
          <w:sz w:val="20"/>
          <w:lang w:val="es-MX"/>
        </w:rPr>
        <w:t>De acuerdo a</w:t>
      </w:r>
      <w:proofErr w:type="gramEnd"/>
      <w:r w:rsidRPr="0090232F">
        <w:rPr>
          <w:rFonts w:ascii="Verdana" w:hAnsi="Verdana" w:cs="Arial"/>
          <w:sz w:val="20"/>
          <w:lang w:val="es-MX"/>
        </w:rPr>
        <w:t xml:space="preserve"> lo expuesto, se señala que la Agencia Nacional de Contratación Pública es competente para resolver consultas sobre normas del sistema de compras y contratación públicas que establezca inhabilidades e incompatibilidades para contratar con el Estado. </w:t>
      </w:r>
    </w:p>
    <w:p w14:paraId="289E6EF1" w14:textId="77777777" w:rsidR="00F2695E" w:rsidRPr="0090232F" w:rsidRDefault="00F2695E" w:rsidP="00ED5ECC">
      <w:pPr>
        <w:spacing w:after="0" w:line="240" w:lineRule="auto"/>
        <w:jc w:val="both"/>
        <w:rPr>
          <w:rFonts w:ascii="Verdana" w:hAnsi="Verdana" w:cs="Arial"/>
          <w:b/>
          <w:lang w:val="es-MX"/>
        </w:rPr>
      </w:pPr>
    </w:p>
    <w:p w14:paraId="6112DE2D" w14:textId="77777777" w:rsidR="00F2695E" w:rsidRPr="0090232F" w:rsidRDefault="00F2695E" w:rsidP="00ED5ECC">
      <w:pPr>
        <w:spacing w:after="0" w:line="240" w:lineRule="auto"/>
        <w:jc w:val="both"/>
        <w:rPr>
          <w:rFonts w:ascii="Verdana" w:hAnsi="Verdana" w:cs="Arial"/>
          <w:b/>
          <w:lang w:val="es-MX"/>
        </w:rPr>
      </w:pPr>
      <w:r w:rsidRPr="0090232F">
        <w:rPr>
          <w:rFonts w:ascii="Verdana" w:hAnsi="Verdana" w:cs="Arial"/>
          <w:b/>
          <w:lang w:val="es-MX"/>
        </w:rPr>
        <w:t xml:space="preserve">INHABILIDADES E INCOMPATIBILIDADES - Finalidad ─ Limitación capacidad contractual </w:t>
      </w:r>
    </w:p>
    <w:p w14:paraId="2BE26141" w14:textId="77777777" w:rsidR="00F2695E" w:rsidRPr="0090232F" w:rsidRDefault="00F2695E" w:rsidP="00ED5ECC">
      <w:pPr>
        <w:spacing w:after="0" w:line="240" w:lineRule="auto"/>
        <w:jc w:val="both"/>
        <w:rPr>
          <w:rFonts w:ascii="Verdana" w:hAnsi="Verdana" w:cs="Arial"/>
          <w:b/>
          <w:lang w:val="es-MX"/>
        </w:rPr>
      </w:pPr>
    </w:p>
    <w:p w14:paraId="26B9CC96" w14:textId="77777777" w:rsidR="00F2695E" w:rsidRPr="0090232F" w:rsidRDefault="00F2695E" w:rsidP="00ED5ECC">
      <w:pPr>
        <w:spacing w:after="0" w:line="240" w:lineRule="auto"/>
        <w:jc w:val="both"/>
        <w:rPr>
          <w:rFonts w:ascii="Verdana" w:eastAsia="Calibri" w:hAnsi="Verdana" w:cs="Arial"/>
          <w:sz w:val="20"/>
          <w:lang w:val="es-MX"/>
        </w:rPr>
      </w:pPr>
      <w:r w:rsidRPr="0090232F">
        <w:rPr>
          <w:rFonts w:ascii="Verdana" w:eastAsia="Calibri" w:hAnsi="Verdana" w:cs="Arial"/>
          <w:sz w:val="20"/>
          <w:lang w:val="es-MX"/>
        </w:rPr>
        <w:t>Para ello, hay que precisar que,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p>
    <w:p w14:paraId="40EA6564" w14:textId="77777777" w:rsidR="00F2695E" w:rsidRPr="0090232F" w:rsidRDefault="00F2695E" w:rsidP="00ED5ECC">
      <w:pPr>
        <w:spacing w:after="0" w:line="240" w:lineRule="auto"/>
        <w:jc w:val="both"/>
        <w:rPr>
          <w:rFonts w:ascii="Verdana" w:hAnsi="Verdana" w:cs="Arial"/>
          <w:b/>
          <w:lang w:val="es-MX"/>
        </w:rPr>
      </w:pPr>
    </w:p>
    <w:p w14:paraId="7B40916E" w14:textId="77777777" w:rsidR="00F2695E" w:rsidRPr="0090232F" w:rsidRDefault="00F2695E" w:rsidP="00ED5ECC">
      <w:pPr>
        <w:spacing w:after="0" w:line="240" w:lineRule="auto"/>
        <w:jc w:val="both"/>
        <w:rPr>
          <w:rFonts w:ascii="Verdana" w:hAnsi="Verdana" w:cs="Arial"/>
          <w:b/>
          <w:lang w:val="es-ES_tradnl"/>
        </w:rPr>
      </w:pPr>
      <w:r w:rsidRPr="0090232F">
        <w:rPr>
          <w:rFonts w:ascii="Verdana" w:hAnsi="Verdana" w:cs="Arial"/>
          <w:b/>
          <w:lang w:val="es-ES_tradnl"/>
        </w:rPr>
        <w:t>INHABILIDADES – Taxatividad – Principio de legalidad – Interpretación restrictiva</w:t>
      </w:r>
      <w:r w:rsidRPr="0090232F" w:rsidDel="00A75E55">
        <w:rPr>
          <w:rFonts w:ascii="Verdana" w:hAnsi="Verdana" w:cs="Arial"/>
          <w:b/>
          <w:lang w:val="es-ES_tradnl"/>
        </w:rPr>
        <w:t xml:space="preserve"> </w:t>
      </w:r>
    </w:p>
    <w:p w14:paraId="77181C92" w14:textId="77777777" w:rsidR="00F2695E" w:rsidRPr="0090232F" w:rsidRDefault="00F2695E" w:rsidP="00ED5ECC">
      <w:pPr>
        <w:spacing w:after="0" w:line="240" w:lineRule="auto"/>
        <w:jc w:val="both"/>
        <w:rPr>
          <w:rFonts w:ascii="Verdana" w:hAnsi="Verdana" w:cs="Arial"/>
          <w:b/>
          <w:lang w:val="es-ES_tradnl"/>
        </w:rPr>
      </w:pPr>
    </w:p>
    <w:p w14:paraId="730D17BB" w14:textId="77777777" w:rsidR="00F2695E" w:rsidRPr="0090232F" w:rsidRDefault="00F2695E" w:rsidP="00ED5ECC">
      <w:pPr>
        <w:spacing w:after="0" w:line="240" w:lineRule="auto"/>
        <w:jc w:val="both"/>
        <w:rPr>
          <w:rFonts w:ascii="Verdana" w:hAnsi="Verdana" w:cs="Arial"/>
          <w:sz w:val="20"/>
          <w:lang w:val="es-ES_tradnl"/>
        </w:rPr>
      </w:pPr>
      <w:r w:rsidRPr="0090232F">
        <w:rPr>
          <w:rFonts w:ascii="Verdana" w:hAnsi="Verdana" w:cs="Arial"/>
          <w:sz w:val="20"/>
          <w:lang w:val="es-ES_tradnl"/>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90232F">
        <w:rPr>
          <w:rFonts w:ascii="Verdana" w:hAnsi="Verdana" w:cs="Arial"/>
          <w:i/>
          <w:iCs/>
          <w:sz w:val="20"/>
          <w:lang w:val="es-ES_tradnl"/>
        </w:rPr>
        <w:t xml:space="preserve">restrictiva, </w:t>
      </w:r>
      <w:r w:rsidRPr="0090232F">
        <w:rPr>
          <w:rFonts w:ascii="Verdana" w:hAnsi="Verdana" w:cs="Arial"/>
          <w:sz w:val="20"/>
          <w:lang w:val="es-ES_tradnl"/>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5854432A" w14:textId="77777777" w:rsidR="00F2695E" w:rsidRPr="0090232F" w:rsidRDefault="00F2695E" w:rsidP="00ED5ECC">
      <w:pPr>
        <w:spacing w:after="0" w:line="240" w:lineRule="auto"/>
        <w:jc w:val="both"/>
        <w:rPr>
          <w:rFonts w:ascii="Verdana" w:hAnsi="Verdana" w:cs="Arial"/>
          <w:sz w:val="20"/>
          <w:lang w:val="es-ES_tradnl"/>
        </w:rPr>
      </w:pPr>
    </w:p>
    <w:p w14:paraId="33A18131" w14:textId="77777777" w:rsidR="00F2695E" w:rsidRPr="0090232F" w:rsidRDefault="00F2695E" w:rsidP="00ED5ECC">
      <w:pPr>
        <w:spacing w:after="0" w:line="240" w:lineRule="auto"/>
        <w:jc w:val="both"/>
        <w:rPr>
          <w:rFonts w:ascii="Verdana" w:hAnsi="Verdana" w:cs="Arial"/>
          <w:sz w:val="20"/>
          <w:lang w:val="es-ES_tradnl"/>
        </w:rPr>
      </w:pPr>
      <w:r w:rsidRPr="0090232F">
        <w:rPr>
          <w:rFonts w:ascii="Verdana" w:hAnsi="Verdana" w:cs="Arial"/>
          <w:sz w:val="20"/>
          <w:lang w:val="es-ES_tradnl"/>
        </w:rPr>
        <w:lastRenderedPageBreak/>
        <w:t>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p>
    <w:p w14:paraId="55E613F5" w14:textId="77777777" w:rsidR="00F2695E" w:rsidRDefault="00F2695E" w:rsidP="00ED5ECC">
      <w:pPr>
        <w:spacing w:after="0" w:line="240" w:lineRule="auto"/>
        <w:rPr>
          <w:rFonts w:ascii="Verdana" w:eastAsia="Verdana" w:hAnsi="Verdana" w:cs="Verdana"/>
          <w:lang w:val="es-ES_tradnl"/>
        </w:rPr>
      </w:pPr>
    </w:p>
    <w:p w14:paraId="76989211" w14:textId="77777777" w:rsidR="00F2695E" w:rsidRPr="00444AAA" w:rsidRDefault="00F2695E" w:rsidP="00ED5ECC">
      <w:pPr>
        <w:spacing w:after="0" w:line="240" w:lineRule="auto"/>
        <w:jc w:val="both"/>
        <w:rPr>
          <w:rFonts w:ascii="Verdana" w:eastAsia="Verdana" w:hAnsi="Verdana" w:cs="Verdana"/>
          <w:b/>
          <w:lang w:val="es-ES_tradnl"/>
        </w:rPr>
      </w:pPr>
      <w:r w:rsidRPr="00444AAA">
        <w:rPr>
          <w:rFonts w:ascii="Verdana" w:eastAsia="Verdana" w:hAnsi="Verdana" w:cs="Verdana"/>
          <w:b/>
          <w:lang w:val="es-ES_tradnl"/>
        </w:rPr>
        <w:t xml:space="preserve">INHABILIDAD </w:t>
      </w:r>
      <w:r w:rsidRPr="00444AAA">
        <w:rPr>
          <w:rFonts w:ascii="Verdana" w:eastAsia="Verdana" w:hAnsi="Verdana" w:cs="Verdana"/>
          <w:b/>
        </w:rPr>
        <w:t>E INCOMPATIBILIDAD</w:t>
      </w:r>
      <w:r w:rsidRPr="00444AAA">
        <w:rPr>
          <w:rFonts w:ascii="Verdana" w:eastAsia="Verdana" w:hAnsi="Verdana" w:cs="Verdana"/>
          <w:b/>
          <w:lang w:val="es-ES_tradnl"/>
        </w:rPr>
        <w:t xml:space="preserve"> </w:t>
      </w:r>
      <w:r w:rsidRPr="00444AAA">
        <w:rPr>
          <w:rFonts w:ascii="Verdana" w:eastAsia="Verdana" w:hAnsi="Verdana" w:cs="Verdana"/>
          <w:b/>
        </w:rPr>
        <w:t>–</w:t>
      </w:r>
      <w:r w:rsidRPr="00444AAA">
        <w:rPr>
          <w:rFonts w:ascii="Verdana" w:eastAsia="Verdana" w:hAnsi="Verdana" w:cs="Verdana"/>
          <w:b/>
          <w:lang w:val="es-ES_tradnl"/>
        </w:rPr>
        <w:t xml:space="preserve"> Parágrafo primero – </w:t>
      </w:r>
      <w:r>
        <w:rPr>
          <w:rFonts w:ascii="Verdana" w:eastAsia="Verdana" w:hAnsi="Verdana" w:cs="Verdana"/>
          <w:b/>
          <w:lang w:val="es-ES_tradnl"/>
        </w:rPr>
        <w:t>A</w:t>
      </w:r>
      <w:r w:rsidRPr="00444AAA">
        <w:rPr>
          <w:rFonts w:ascii="Verdana" w:eastAsia="Verdana" w:hAnsi="Verdana" w:cs="Verdana"/>
          <w:b/>
          <w:lang w:val="es-ES_tradnl"/>
        </w:rPr>
        <w:t xml:space="preserve">rtículo 42 – Ley 1952 de 2019 – Boletín – Responsabilidad Fiscal – Alcance – Efectos </w:t>
      </w:r>
    </w:p>
    <w:p w14:paraId="56287DE0" w14:textId="77777777" w:rsidR="00F2695E" w:rsidRPr="00444AAA" w:rsidRDefault="00F2695E" w:rsidP="00ED5ECC">
      <w:pPr>
        <w:spacing w:after="0" w:line="240" w:lineRule="auto"/>
        <w:jc w:val="both"/>
        <w:rPr>
          <w:rFonts w:ascii="Verdana" w:eastAsia="Verdana" w:hAnsi="Verdana" w:cs="Verdana"/>
          <w:b/>
          <w:lang w:val="es-ES_tradnl"/>
        </w:rPr>
      </w:pPr>
    </w:p>
    <w:p w14:paraId="6A71E333" w14:textId="77777777" w:rsidR="00F2695E" w:rsidRDefault="00F2695E" w:rsidP="00ED5ECC">
      <w:pPr>
        <w:spacing w:after="0" w:line="240" w:lineRule="auto"/>
        <w:jc w:val="both"/>
        <w:rPr>
          <w:rFonts w:ascii="Verdana" w:eastAsia="Verdana" w:hAnsi="Verdana" w:cs="Verdana"/>
          <w:sz w:val="20"/>
        </w:rPr>
      </w:pPr>
      <w:r w:rsidRPr="00444AAA">
        <w:rPr>
          <w:rFonts w:ascii="Verdana" w:eastAsia="Verdana" w:hAnsi="Verdana" w:cs="Verdana"/>
          <w:bCs/>
          <w:sz w:val="20"/>
        </w:rPr>
        <w:t xml:space="preserve">Del primer inciso del parágrafo precitado, se infieren las siguientes subreglas: i) </w:t>
      </w:r>
      <w:r w:rsidRPr="00444AAA">
        <w:rPr>
          <w:rFonts w:ascii="Verdana" w:eastAsia="Verdana" w:hAnsi="Verdana" w:cs="Verdana"/>
          <w:sz w:val="20"/>
        </w:rPr>
        <w:t xml:space="preserve">La norma establece que toda persona natural o jurídica que haya sido declarada responsable fiscalmente, mediante un fallo en firme y debidamente ejecutoriado, queda inhabilitada; </w:t>
      </w:r>
      <w:proofErr w:type="spellStart"/>
      <w:r w:rsidRPr="00444AAA">
        <w:rPr>
          <w:rFonts w:ascii="Verdana" w:eastAsia="Verdana" w:hAnsi="Verdana" w:cs="Verdana"/>
          <w:sz w:val="20"/>
        </w:rPr>
        <w:t>ii</w:t>
      </w:r>
      <w:proofErr w:type="spellEnd"/>
      <w:r w:rsidRPr="00444AAA">
        <w:rPr>
          <w:rFonts w:ascii="Verdana" w:eastAsia="Verdana" w:hAnsi="Verdana" w:cs="Verdana"/>
          <w:sz w:val="20"/>
        </w:rPr>
        <w:t xml:space="preserve">) esta inhabilidad tiene dos alcances principales: a) ejercer cargos públicos y b) contratar con el Estado, lo cual incluye tanto la participación en procesos de selección como la celebración de contratos estatales; </w:t>
      </w:r>
      <w:proofErr w:type="spellStart"/>
      <w:r w:rsidRPr="00444AAA">
        <w:rPr>
          <w:rFonts w:ascii="Verdana" w:eastAsia="Verdana" w:hAnsi="Verdana" w:cs="Verdana"/>
          <w:sz w:val="20"/>
        </w:rPr>
        <w:t>iii</w:t>
      </w:r>
      <w:proofErr w:type="spellEnd"/>
      <w:r w:rsidRPr="00444AAA">
        <w:rPr>
          <w:rFonts w:ascii="Verdana" w:eastAsia="Verdana" w:hAnsi="Verdana" w:cs="Verdana"/>
          <w:sz w:val="20"/>
        </w:rPr>
        <w:t xml:space="preserve">) la inhabilidad tiene una duración de cinco (5) años contados a partir de la ejecutoria del fallo de responsabilidad fiscal; </w:t>
      </w:r>
      <w:proofErr w:type="spellStart"/>
      <w:r w:rsidRPr="00444AAA">
        <w:rPr>
          <w:rFonts w:ascii="Verdana" w:eastAsia="Verdana" w:hAnsi="Verdana" w:cs="Verdana"/>
          <w:sz w:val="20"/>
        </w:rPr>
        <w:t>iv</w:t>
      </w:r>
      <w:proofErr w:type="spellEnd"/>
      <w:r w:rsidRPr="00444AAA">
        <w:rPr>
          <w:rFonts w:ascii="Verdana" w:eastAsia="Verdana" w:hAnsi="Verdana" w:cs="Verdana"/>
          <w:sz w:val="20"/>
        </w:rPr>
        <w:t xml:space="preserve">) la inhabilidad puede cesar antes del vencimiento del término de cinco años. Esto ocurre cuando la Contraloría competente certifica que el responsable ha efectuado el pago de la obligación derivada del fallo fiscal, es decir, que ha resarcido el daño patrimonial causado al Estado, pero si el pago no es procedente, la inhabilidad también puede cesar cuando la Contraloría General de la República excluye al responsable del Boletín de </w:t>
      </w:r>
      <w:proofErr w:type="gramStart"/>
      <w:r w:rsidRPr="00444AAA">
        <w:rPr>
          <w:rFonts w:ascii="Verdana" w:eastAsia="Verdana" w:hAnsi="Verdana" w:cs="Verdana"/>
          <w:sz w:val="20"/>
        </w:rPr>
        <w:t>Responsables</w:t>
      </w:r>
      <w:proofErr w:type="gramEnd"/>
      <w:r w:rsidRPr="00444AAA">
        <w:rPr>
          <w:rFonts w:ascii="Verdana" w:eastAsia="Verdana" w:hAnsi="Verdana" w:cs="Verdana"/>
          <w:sz w:val="20"/>
        </w:rPr>
        <w:t xml:space="preserve"> Fiscales. </w:t>
      </w:r>
    </w:p>
    <w:p w14:paraId="2E25F9CA" w14:textId="77777777" w:rsidR="00F2695E" w:rsidRPr="00444AAA" w:rsidRDefault="00F2695E" w:rsidP="00ED5ECC">
      <w:pPr>
        <w:spacing w:after="0" w:line="240" w:lineRule="auto"/>
        <w:jc w:val="both"/>
        <w:rPr>
          <w:rFonts w:ascii="Verdana" w:eastAsia="Verdana" w:hAnsi="Verdana" w:cs="Verdana"/>
          <w:sz w:val="20"/>
        </w:rPr>
      </w:pPr>
    </w:p>
    <w:p w14:paraId="01EC8132" w14:textId="77777777" w:rsidR="00F2695E" w:rsidRPr="00444AAA" w:rsidRDefault="00F2695E" w:rsidP="00ED5ECC">
      <w:pPr>
        <w:spacing w:after="0" w:line="240" w:lineRule="auto"/>
        <w:jc w:val="both"/>
        <w:rPr>
          <w:rFonts w:ascii="Verdana" w:eastAsia="Verdana" w:hAnsi="Verdana" w:cs="Verdana"/>
          <w:sz w:val="20"/>
        </w:rPr>
      </w:pPr>
      <w:r w:rsidRPr="00444AAA">
        <w:rPr>
          <w:rFonts w:ascii="Verdana" w:eastAsia="Verdana" w:hAnsi="Verdana" w:cs="Verdana"/>
          <w:sz w:val="20"/>
        </w:rPr>
        <w:t xml:space="preserve">Con respecto al segundo inciso del parágrafo precitado se derivan las siguientes subreglas: i) si transcurren cinco (5) años desde la ejecutoria del fallo de responsabilidad fiscal y el responsable no ha pagado la suma impuesta ni ha sido excluido del Boletín de Responsables Fiscales, la inhabilidad no desaparece, por el contrario, se prorroga por un nuevo periodo, cuya duración depende del monto de la responsabilidad fiscal; </w:t>
      </w:r>
      <w:proofErr w:type="spellStart"/>
      <w:r w:rsidRPr="00444AAA">
        <w:rPr>
          <w:rFonts w:ascii="Verdana" w:eastAsia="Verdana" w:hAnsi="Verdana" w:cs="Verdana"/>
          <w:sz w:val="20"/>
        </w:rPr>
        <w:t>ii</w:t>
      </w:r>
      <w:proofErr w:type="spellEnd"/>
      <w:r w:rsidRPr="00444AAA">
        <w:rPr>
          <w:rFonts w:ascii="Verdana" w:eastAsia="Verdana" w:hAnsi="Verdana" w:cs="Verdana"/>
          <w:sz w:val="20"/>
        </w:rPr>
        <w:t xml:space="preserve">) se introduce un criterio de proporcionalidad de la duración de la prórroga de la inhabilidad se determine en razón del valor del daño patrimonial establecido en el fallo. A mayor cuantía, mayor será el tiempo adicional de inhabilidad: a) la inhabilidad se extiende por </w:t>
      </w:r>
      <w:r w:rsidRPr="00444AAA">
        <w:rPr>
          <w:rFonts w:ascii="Verdana" w:eastAsia="Verdana" w:hAnsi="Verdana" w:cs="Verdana"/>
          <w:bCs/>
          <w:sz w:val="20"/>
        </w:rPr>
        <w:t>cinco (5) años adicionales</w:t>
      </w:r>
      <w:r w:rsidRPr="00444AAA">
        <w:rPr>
          <w:rFonts w:ascii="Verdana" w:eastAsia="Verdana" w:hAnsi="Verdana" w:cs="Verdana"/>
          <w:sz w:val="20"/>
        </w:rPr>
        <w:t xml:space="preserve">, lo que representa la sanción más gravosa y se aplica a los casos de mayor impacto económico para el Estado; b) la </w:t>
      </w:r>
      <w:r w:rsidRPr="00444AAA">
        <w:rPr>
          <w:rFonts w:ascii="Verdana" w:eastAsia="Verdana" w:hAnsi="Verdana" w:cs="Verdana"/>
          <w:bCs/>
          <w:sz w:val="20"/>
        </w:rPr>
        <w:t xml:space="preserve">Cuantía superior a 50 e inferior o igual a 100 SMLMV: </w:t>
      </w:r>
      <w:r w:rsidRPr="00444AAA">
        <w:rPr>
          <w:rFonts w:ascii="Verdana" w:eastAsia="Verdana" w:hAnsi="Verdana" w:cs="Verdana"/>
          <w:sz w:val="20"/>
        </w:rPr>
        <w:t xml:space="preserve">la inhabilidad se prorroga por </w:t>
      </w:r>
      <w:r w:rsidRPr="00444AAA">
        <w:rPr>
          <w:rFonts w:ascii="Verdana" w:eastAsia="Verdana" w:hAnsi="Verdana" w:cs="Verdana"/>
          <w:bCs/>
          <w:sz w:val="20"/>
        </w:rPr>
        <w:t>dos (2) años</w:t>
      </w:r>
      <w:r w:rsidRPr="00444AAA">
        <w:rPr>
          <w:rFonts w:ascii="Verdana" w:eastAsia="Verdana" w:hAnsi="Verdana" w:cs="Verdana"/>
          <w:sz w:val="20"/>
        </w:rPr>
        <w:t xml:space="preserve">; c) </w:t>
      </w:r>
      <w:r w:rsidRPr="00444AAA">
        <w:rPr>
          <w:rFonts w:ascii="Verdana" w:eastAsia="Verdana" w:hAnsi="Verdana" w:cs="Verdana"/>
          <w:bCs/>
          <w:sz w:val="20"/>
        </w:rPr>
        <w:t xml:space="preserve">Cuantía superior a 10 e inferior o igual a 50 SMLMV: </w:t>
      </w:r>
      <w:r w:rsidRPr="00444AAA">
        <w:rPr>
          <w:rFonts w:ascii="Verdana" w:eastAsia="Verdana" w:hAnsi="Verdana" w:cs="Verdana"/>
          <w:sz w:val="20"/>
        </w:rPr>
        <w:t xml:space="preserve">la inhabilidad se extiende por </w:t>
      </w:r>
      <w:r w:rsidRPr="00444AAA">
        <w:rPr>
          <w:rFonts w:ascii="Verdana" w:eastAsia="Verdana" w:hAnsi="Verdana" w:cs="Verdana"/>
          <w:bCs/>
          <w:sz w:val="20"/>
        </w:rPr>
        <w:t>un (1) año</w:t>
      </w:r>
      <w:r w:rsidRPr="00444AAA">
        <w:rPr>
          <w:rFonts w:ascii="Verdana" w:eastAsia="Verdana" w:hAnsi="Verdana" w:cs="Verdana"/>
          <w:sz w:val="20"/>
        </w:rPr>
        <w:t xml:space="preserve"> adicional; d) </w:t>
      </w:r>
      <w:r w:rsidRPr="00444AAA">
        <w:rPr>
          <w:rFonts w:ascii="Verdana" w:eastAsia="Verdana" w:hAnsi="Verdana" w:cs="Verdana"/>
          <w:bCs/>
          <w:sz w:val="20"/>
        </w:rPr>
        <w:t xml:space="preserve">Cuantía igual o inferior a 10 SMLMV: </w:t>
      </w:r>
      <w:r w:rsidRPr="00444AAA">
        <w:rPr>
          <w:rFonts w:ascii="Verdana" w:eastAsia="Verdana" w:hAnsi="Verdana" w:cs="Verdana"/>
          <w:sz w:val="20"/>
        </w:rPr>
        <w:t xml:space="preserve">la inhabilidad se prorroga por </w:t>
      </w:r>
      <w:r w:rsidRPr="00444AAA">
        <w:rPr>
          <w:rFonts w:ascii="Verdana" w:eastAsia="Verdana" w:hAnsi="Verdana" w:cs="Verdana"/>
          <w:bCs/>
          <w:sz w:val="20"/>
        </w:rPr>
        <w:t>tres (3) meses</w:t>
      </w:r>
      <w:r w:rsidRPr="00444AAA">
        <w:rPr>
          <w:rFonts w:ascii="Verdana" w:eastAsia="Verdana" w:hAnsi="Verdana" w:cs="Verdana"/>
          <w:sz w:val="20"/>
        </w:rPr>
        <w:t>, siendo esta la extensión mínima prevista por la norma.</w:t>
      </w:r>
    </w:p>
    <w:p w14:paraId="77C98838" w14:textId="77777777" w:rsidR="004F5675" w:rsidRDefault="004F5675" w:rsidP="00ED5ECC">
      <w:pPr>
        <w:spacing w:after="0" w:line="240" w:lineRule="auto"/>
        <w:rPr>
          <w:rFonts w:ascii="Verdana" w:eastAsia="Verdana" w:hAnsi="Verdana" w:cs="Verdana"/>
        </w:rPr>
      </w:pPr>
    </w:p>
    <w:p w14:paraId="620DEC55" w14:textId="77777777" w:rsidR="00A76E61" w:rsidRPr="00A76E61" w:rsidRDefault="004F5675" w:rsidP="00ED5ECC">
      <w:pPr>
        <w:spacing w:after="0" w:line="240" w:lineRule="auto"/>
        <w:jc w:val="both"/>
        <w:rPr>
          <w:rFonts w:ascii="Verdana" w:eastAsia="Verdana" w:hAnsi="Verdana" w:cs="Verdana"/>
          <w:b/>
          <w:bCs/>
          <w:lang w:val="es-ES_tradnl"/>
        </w:rPr>
      </w:pPr>
      <w:r w:rsidRPr="00A76E61">
        <w:rPr>
          <w:rFonts w:ascii="Verdana" w:eastAsia="Verdana" w:hAnsi="Verdana" w:cs="Verdana"/>
          <w:b/>
          <w:bCs/>
          <w:lang w:val="es-ES_tradnl"/>
        </w:rPr>
        <w:t>INHABILIDAD E INCOMPATIBILIDAD – Artículo 9 – Inhabilidad Sobreviniente – Efectos</w:t>
      </w:r>
    </w:p>
    <w:p w14:paraId="1BE74038" w14:textId="77777777" w:rsidR="00A76E61" w:rsidRPr="005F0887" w:rsidRDefault="00A76E61" w:rsidP="00ED5ECC">
      <w:pPr>
        <w:spacing w:after="0" w:line="240" w:lineRule="auto"/>
        <w:jc w:val="both"/>
        <w:rPr>
          <w:rFonts w:ascii="Verdana" w:eastAsia="Verdana" w:hAnsi="Verdana" w:cs="Verdana"/>
          <w:sz w:val="20"/>
          <w:szCs w:val="20"/>
          <w:lang w:val="es-ES_tradnl"/>
        </w:rPr>
      </w:pPr>
    </w:p>
    <w:p w14:paraId="10870397" w14:textId="77777777" w:rsidR="005F0887" w:rsidRDefault="005F0887" w:rsidP="00ED5ECC">
      <w:pPr>
        <w:spacing w:after="0" w:line="240" w:lineRule="auto"/>
        <w:jc w:val="both"/>
        <w:rPr>
          <w:rFonts w:ascii="Verdana" w:eastAsia="Verdana" w:hAnsi="Verdana" w:cs="Verdana"/>
          <w:sz w:val="20"/>
          <w:szCs w:val="20"/>
        </w:rPr>
      </w:pPr>
      <w:r w:rsidRPr="005F0887">
        <w:rPr>
          <w:rFonts w:ascii="Verdana" w:eastAsia="Verdana" w:hAnsi="Verdana" w:cs="Verdana"/>
          <w:sz w:val="20"/>
          <w:szCs w:val="20"/>
        </w:rPr>
        <w:lastRenderedPageBreak/>
        <w:t xml:space="preserve">Por otra parte, las inhabilidades o incompatibilidades tienen carácter sobreviniente, es necesario tener en cuenta que el ordenamiento jurídico trata de manera distinta al oferente, al adjudicatario y al contratista. </w:t>
      </w:r>
      <w:r w:rsidRPr="005F0887">
        <w:rPr>
          <w:rFonts w:ascii="Verdana" w:eastAsia="Verdana" w:hAnsi="Verdana" w:cs="Verdana"/>
          <w:i/>
          <w:iCs/>
          <w:sz w:val="20"/>
          <w:szCs w:val="20"/>
        </w:rPr>
        <w:t>Respecto al oferente</w:t>
      </w:r>
      <w:r w:rsidRPr="005F0887">
        <w:rPr>
          <w:rFonts w:ascii="Verdana" w:eastAsia="Verdana" w:hAnsi="Verdana" w:cs="Verdana"/>
          <w:sz w:val="20"/>
          <w:szCs w:val="20"/>
        </w:rPr>
        <w:t xml:space="preserve">, el inciso segundo del artículo 9 de la Ley 80 de 1993 dispone que “Cuando la inhabilidad o incompatibilidad sobrevenga en un proponente dentro de un proceso de selección, se entenderá que renuncia a la participación en el proceso de selección y a los derechos surgidos del mismo”. </w:t>
      </w:r>
      <w:r w:rsidRPr="005F0887">
        <w:rPr>
          <w:rFonts w:ascii="Verdana" w:eastAsia="Verdana" w:hAnsi="Verdana" w:cs="Verdana"/>
          <w:i/>
          <w:iCs/>
          <w:sz w:val="20"/>
          <w:szCs w:val="20"/>
        </w:rPr>
        <w:t>Respecto al adjudicatario</w:t>
      </w:r>
      <w:r w:rsidRPr="005F0887">
        <w:rPr>
          <w:rFonts w:ascii="Verdana" w:eastAsia="Verdana" w:hAnsi="Verdana" w:cs="Verdana"/>
          <w:sz w:val="20"/>
          <w:szCs w:val="20"/>
        </w:rPr>
        <w:t xml:space="preserve">, el inciso 3 del artículo 9 de la Ley 1150 de 2007 prescribe lo siguiente: “[…] si dentro del plazo comprendido entre la adjudicación del contrato y la suscripción </w:t>
      </w:r>
      <w:proofErr w:type="gramStart"/>
      <w:r w:rsidRPr="005F0887">
        <w:rPr>
          <w:rFonts w:ascii="Verdana" w:eastAsia="Verdana" w:hAnsi="Verdana" w:cs="Verdana"/>
          <w:sz w:val="20"/>
          <w:szCs w:val="20"/>
        </w:rPr>
        <w:t>del mismo</w:t>
      </w:r>
      <w:proofErr w:type="gramEnd"/>
      <w:r w:rsidRPr="005F0887">
        <w:rPr>
          <w:rFonts w:ascii="Verdana" w:eastAsia="Verdana" w:hAnsi="Verdana" w:cs="Verdana"/>
          <w:sz w:val="20"/>
          <w:szCs w:val="20"/>
        </w:rPr>
        <w:t>, sobreviene una inhabilidad o incompatibilidad […] este podrá ser revocado […]”.</w:t>
      </w:r>
    </w:p>
    <w:p w14:paraId="6A859610" w14:textId="77777777" w:rsidR="005F0887" w:rsidRPr="005F0887" w:rsidRDefault="005F0887" w:rsidP="00ED5ECC">
      <w:pPr>
        <w:spacing w:after="0" w:line="240" w:lineRule="auto"/>
        <w:jc w:val="both"/>
        <w:rPr>
          <w:rFonts w:ascii="Verdana" w:eastAsia="Verdana" w:hAnsi="Verdana" w:cs="Verdana"/>
          <w:sz w:val="20"/>
          <w:szCs w:val="20"/>
        </w:rPr>
      </w:pPr>
    </w:p>
    <w:p w14:paraId="26A1845C" w14:textId="77777777" w:rsidR="005F0887" w:rsidRDefault="005F0887" w:rsidP="00ED5ECC">
      <w:pPr>
        <w:spacing w:after="0" w:line="240" w:lineRule="auto"/>
        <w:jc w:val="both"/>
        <w:rPr>
          <w:rFonts w:ascii="Verdana" w:eastAsia="Verdana" w:hAnsi="Verdana" w:cs="Verdana"/>
          <w:sz w:val="20"/>
          <w:szCs w:val="20"/>
        </w:rPr>
      </w:pPr>
      <w:r w:rsidRPr="005F0887">
        <w:rPr>
          <w:rFonts w:ascii="Verdana" w:eastAsia="Verdana" w:hAnsi="Verdana" w:cs="Verdana"/>
          <w:sz w:val="20"/>
          <w:szCs w:val="20"/>
        </w:rPr>
        <w:t xml:space="preserve">Sólo con el cumplimiento de los requisitos de los artículos 39 y 41 del Estatuto General de Contratación Pública existe el contrato estatal, de manera que tienen carácter solemne y, por tanto, requieren formalidad escrita. Por ello, </w:t>
      </w:r>
      <w:r w:rsidRPr="005F0887">
        <w:rPr>
          <w:rFonts w:ascii="Verdana" w:eastAsia="Verdana" w:hAnsi="Verdana" w:cs="Verdana"/>
          <w:i/>
          <w:iCs/>
          <w:sz w:val="20"/>
          <w:szCs w:val="20"/>
        </w:rPr>
        <w:t>respecto al contratista</w:t>
      </w:r>
      <w:r w:rsidRPr="005F0887">
        <w:rPr>
          <w:rFonts w:ascii="Verdana" w:eastAsia="Verdana" w:hAnsi="Verdana" w:cs="Verdana"/>
          <w:sz w:val="20"/>
          <w:szCs w:val="20"/>
        </w:rPr>
        <w:t xml:space="preserve">, el inciso primero del artículo 9 de la Ley 80 de 1993 dispone que “Si llegare a sobrevenir inhabilidad o incompatibilidad en el contratista, este cederá el contrato previa autorización escrita de la entidad contratante o, si ello no fuere posible, renunciará a su ejecución”. El inciso tercero </w:t>
      </w:r>
      <w:r w:rsidRPr="005F0887">
        <w:rPr>
          <w:rFonts w:ascii="Verdana" w:eastAsia="Verdana" w:hAnsi="Verdana" w:cs="Verdana"/>
          <w:i/>
          <w:iCs/>
          <w:sz w:val="20"/>
          <w:szCs w:val="20"/>
        </w:rPr>
        <w:t>ibidem</w:t>
      </w:r>
      <w:r w:rsidRPr="005F0887">
        <w:rPr>
          <w:rFonts w:ascii="Verdana" w:eastAsia="Verdana" w:hAnsi="Verdana" w:cs="Verdana"/>
          <w:sz w:val="20"/>
          <w:szCs w:val="20"/>
        </w:rPr>
        <w:t xml:space="preserve"> agrega lo siguiente: “Si la inhabilidad o incompatibilidad sobreviene en uno de los miembros de un consorcio o unión temporal, este cederá su participación a un tercero previa autorización escrita de la entidad contratante. En ningún caso podrá haber cesión del contrato entre quienes integran el consorcio o unión temporal”.   </w:t>
      </w:r>
    </w:p>
    <w:p w14:paraId="65813E17" w14:textId="77777777" w:rsidR="005F0887" w:rsidRPr="005F0887" w:rsidRDefault="005F0887" w:rsidP="00ED5ECC">
      <w:pPr>
        <w:spacing w:after="0" w:line="240" w:lineRule="auto"/>
        <w:jc w:val="both"/>
        <w:rPr>
          <w:rFonts w:ascii="Verdana" w:eastAsia="Verdana" w:hAnsi="Verdana" w:cs="Verdana"/>
          <w:sz w:val="20"/>
          <w:szCs w:val="20"/>
        </w:rPr>
      </w:pPr>
    </w:p>
    <w:p w14:paraId="56B2B5A4" w14:textId="2A37D724" w:rsidR="005F0887" w:rsidRDefault="005F0887" w:rsidP="00ED5ECC">
      <w:pPr>
        <w:spacing w:after="0" w:line="240" w:lineRule="auto"/>
        <w:jc w:val="both"/>
        <w:rPr>
          <w:rFonts w:ascii="Verdana" w:eastAsia="Verdana" w:hAnsi="Verdana" w:cs="Verdana"/>
          <w:sz w:val="20"/>
          <w:szCs w:val="20"/>
        </w:rPr>
      </w:pPr>
      <w:r w:rsidRPr="005F0887">
        <w:rPr>
          <w:rFonts w:ascii="Verdana" w:eastAsia="Verdana" w:hAnsi="Verdana" w:cs="Verdana"/>
          <w:sz w:val="20"/>
          <w:szCs w:val="20"/>
        </w:rPr>
        <w:t xml:space="preserve">En este contexto, durante la fase de selección, los </w:t>
      </w:r>
      <w:r w:rsidRPr="005F0887">
        <w:rPr>
          <w:rFonts w:ascii="Verdana" w:eastAsia="Verdana" w:hAnsi="Verdana" w:cs="Verdana"/>
          <w:i/>
          <w:iCs/>
          <w:sz w:val="20"/>
          <w:szCs w:val="20"/>
        </w:rPr>
        <w:t>oferentes</w:t>
      </w:r>
      <w:r w:rsidRPr="005F0887">
        <w:rPr>
          <w:rFonts w:ascii="Verdana" w:eastAsia="Verdana" w:hAnsi="Verdana" w:cs="Verdana"/>
          <w:sz w:val="20"/>
          <w:szCs w:val="20"/>
        </w:rPr>
        <w:t xml:space="preserve"> y </w:t>
      </w:r>
      <w:r w:rsidRPr="005F0887">
        <w:rPr>
          <w:rFonts w:ascii="Verdana" w:eastAsia="Verdana" w:hAnsi="Verdana" w:cs="Verdana"/>
          <w:i/>
          <w:iCs/>
          <w:sz w:val="20"/>
          <w:szCs w:val="20"/>
        </w:rPr>
        <w:t>adjudicatarios</w:t>
      </w:r>
      <w:r w:rsidRPr="005F0887">
        <w:rPr>
          <w:rFonts w:ascii="Verdana" w:eastAsia="Verdana" w:hAnsi="Verdana" w:cs="Verdana"/>
          <w:sz w:val="20"/>
          <w:szCs w:val="20"/>
        </w:rPr>
        <w:t xml:space="preserve"> carecen de la posibilidad de ceder contratos por sustracción de materia, siendo los efectos de la inhabilidad sobreviniente las consecuencias descritas </w:t>
      </w:r>
      <w:r w:rsidRPr="005F0887">
        <w:rPr>
          <w:rFonts w:ascii="Verdana" w:eastAsia="Verdana" w:hAnsi="Verdana" w:cs="Verdana"/>
          <w:i/>
          <w:iCs/>
          <w:sz w:val="20"/>
          <w:szCs w:val="20"/>
        </w:rPr>
        <w:t>ut supra</w:t>
      </w:r>
      <w:r w:rsidRPr="005F0887">
        <w:rPr>
          <w:rFonts w:ascii="Verdana" w:eastAsia="Verdana" w:hAnsi="Verdana" w:cs="Verdana"/>
          <w:sz w:val="20"/>
          <w:szCs w:val="20"/>
        </w:rPr>
        <w:t>. La cesión es una institución jurídica propia de la etapa contractual, por lo que sólo pueden cederse los contratos estatales que se encuentren perfeccionados y no estén liquidados, para los que la requieran, o no se hayan extinguido las obligaciones entre las partes, para aquellos negocios que no la requieran</w:t>
      </w:r>
      <w:r>
        <w:rPr>
          <w:rFonts w:ascii="Verdana" w:eastAsia="Verdana" w:hAnsi="Verdana" w:cs="Verdana"/>
          <w:sz w:val="20"/>
          <w:szCs w:val="20"/>
        </w:rPr>
        <w:t>.</w:t>
      </w:r>
    </w:p>
    <w:p w14:paraId="6D4CCCEA" w14:textId="77777777" w:rsidR="005F0887" w:rsidRPr="005F0887" w:rsidRDefault="005F0887" w:rsidP="00ED5ECC">
      <w:pPr>
        <w:spacing w:after="0" w:line="240" w:lineRule="auto"/>
        <w:jc w:val="both"/>
        <w:rPr>
          <w:rFonts w:ascii="Verdana" w:eastAsia="Verdana" w:hAnsi="Verdana" w:cs="Verdana"/>
          <w:sz w:val="20"/>
          <w:szCs w:val="20"/>
          <w:lang w:val="es-ES_tradnl"/>
        </w:rPr>
      </w:pPr>
    </w:p>
    <w:p w14:paraId="25E939EE" w14:textId="77777777" w:rsidR="00A76E61" w:rsidRPr="00A76E61" w:rsidRDefault="004F5675" w:rsidP="00ED5ECC">
      <w:pPr>
        <w:spacing w:after="0" w:line="240" w:lineRule="auto"/>
        <w:jc w:val="both"/>
        <w:rPr>
          <w:rFonts w:ascii="Verdana" w:eastAsia="Verdana" w:hAnsi="Verdana" w:cs="Verdana"/>
          <w:b/>
          <w:bCs/>
          <w:lang w:val="es-ES_tradnl"/>
        </w:rPr>
      </w:pPr>
      <w:r w:rsidRPr="00A76E61">
        <w:rPr>
          <w:rFonts w:ascii="Verdana" w:eastAsia="Verdana" w:hAnsi="Verdana" w:cs="Verdana"/>
          <w:b/>
          <w:bCs/>
          <w:lang w:val="es-ES_tradnl"/>
        </w:rPr>
        <w:t xml:space="preserve">INHABILIDAD E INCOMPATBILIDADES – Pago – Fallo de Responsabilidad – Fiscal – Efectos – Ex nunc </w:t>
      </w:r>
    </w:p>
    <w:p w14:paraId="289FFADD" w14:textId="77777777" w:rsidR="00A76E61" w:rsidRPr="00EB3F59" w:rsidRDefault="00A76E61" w:rsidP="00ED5ECC">
      <w:pPr>
        <w:spacing w:after="0" w:line="240" w:lineRule="auto"/>
        <w:jc w:val="both"/>
        <w:rPr>
          <w:rFonts w:ascii="Verdana" w:eastAsia="Verdana" w:hAnsi="Verdana" w:cs="Verdana"/>
          <w:sz w:val="20"/>
          <w:szCs w:val="20"/>
          <w:lang w:val="es-ES_tradnl"/>
        </w:rPr>
      </w:pPr>
    </w:p>
    <w:p w14:paraId="47480A7D" w14:textId="77777777" w:rsidR="00EB3F59" w:rsidRDefault="00EB3F59" w:rsidP="00ED5ECC">
      <w:pPr>
        <w:spacing w:after="0" w:line="240" w:lineRule="auto"/>
        <w:jc w:val="both"/>
        <w:rPr>
          <w:rFonts w:ascii="Verdana" w:eastAsia="Verdana" w:hAnsi="Verdana" w:cs="Verdana"/>
          <w:sz w:val="20"/>
          <w:szCs w:val="20"/>
        </w:rPr>
      </w:pPr>
      <w:r w:rsidRPr="00EB3F59">
        <w:rPr>
          <w:rFonts w:ascii="Verdana" w:eastAsia="Verdana" w:hAnsi="Verdana" w:cs="Verdana"/>
          <w:sz w:val="20"/>
          <w:szCs w:val="20"/>
        </w:rPr>
        <w:t xml:space="preserve">La inhabilidad sobreviniente no compromete la validez de las actuaciones realizadas antes de su configuración, pues en ese momento el proponente se encontraba plenamente habilitado y actuó dentro del marco jurídico permitido. En virtud del principio de seguridad jurídica, estas actuaciones previas se mantienen incólumes, dado que las inhabilidades no producen efectos retroactivos sino </w:t>
      </w:r>
      <w:proofErr w:type="spellStart"/>
      <w:r w:rsidRPr="00EB3F59">
        <w:rPr>
          <w:rFonts w:ascii="Verdana" w:eastAsia="Verdana" w:hAnsi="Verdana" w:cs="Verdana"/>
          <w:sz w:val="20"/>
          <w:szCs w:val="20"/>
        </w:rPr>
        <w:t>irretroactivos</w:t>
      </w:r>
      <w:proofErr w:type="spellEnd"/>
      <w:r w:rsidRPr="00EB3F59">
        <w:rPr>
          <w:rFonts w:ascii="Verdana" w:eastAsia="Verdana" w:hAnsi="Verdana" w:cs="Verdana"/>
          <w:sz w:val="20"/>
          <w:szCs w:val="20"/>
        </w:rPr>
        <w:t xml:space="preserve">, lo que significa que solo despliegan consecuencias hacia el futuro desde el instante en que se materializan. Por ello, no se deshacen ni se afectan actos válidamente ejecutados con anterioridad, y la restricción únicamente limita la participación del proponente a partir de su configuración y mientras permanezca vigente. </w:t>
      </w:r>
    </w:p>
    <w:p w14:paraId="4548A546" w14:textId="77777777" w:rsidR="00EB3F59" w:rsidRDefault="00EB3F59" w:rsidP="00ED5ECC">
      <w:pPr>
        <w:spacing w:after="0" w:line="240" w:lineRule="auto"/>
        <w:jc w:val="both"/>
        <w:rPr>
          <w:rFonts w:ascii="Verdana" w:eastAsia="Verdana" w:hAnsi="Verdana" w:cs="Verdana"/>
          <w:sz w:val="20"/>
          <w:szCs w:val="20"/>
        </w:rPr>
      </w:pPr>
    </w:p>
    <w:p w14:paraId="6A9D8CFC" w14:textId="31C74902" w:rsidR="00EB3F59" w:rsidRPr="00EB3F59" w:rsidRDefault="00EB3F59" w:rsidP="00ED5ECC">
      <w:pPr>
        <w:spacing w:after="0" w:line="240" w:lineRule="auto"/>
        <w:jc w:val="both"/>
        <w:rPr>
          <w:rFonts w:ascii="Verdana" w:eastAsia="Verdana" w:hAnsi="Verdana" w:cs="Verdana"/>
          <w:sz w:val="20"/>
          <w:szCs w:val="20"/>
        </w:rPr>
      </w:pPr>
      <w:r w:rsidRPr="00EB3F59">
        <w:rPr>
          <w:rFonts w:ascii="Verdana" w:eastAsia="Verdana" w:hAnsi="Verdana" w:cs="Verdana"/>
          <w:sz w:val="20"/>
          <w:szCs w:val="20"/>
        </w:rPr>
        <w:lastRenderedPageBreak/>
        <w:t xml:space="preserve">En este aspecto, resulta fundamental identificar con precisión el momento exacto en que se configuró la inhabilidad para determinar si procede o no la exclusión del proponente dentro del proceso de contratación. No es lo mismo que la inhabilidad exista antes de la presentación de la oferta, caso en el cual el oferente no podría participar, que su configuración ocurra durante la evaluación o en la etapa previa a la adjudicación, evento en el cual la entidad debe verificar si la restricción sigue vigente al momento de adoptar la decisión. Esta delimitación temporal es determinante para definir la renuncia a la participación en el proceso de selección y a los derechos surgidos del mismo, como lo dispone el artículo 9 de la Ley 80 de 1993. Asimismo, debe considerarse que, si la inhabilidad deriva de un fallo de responsabilidad fiscal y el afectado paga la obligación, la Contraloría General de la República procede a excluirlo del Boletín de </w:t>
      </w:r>
      <w:proofErr w:type="gramStart"/>
      <w:r w:rsidRPr="00EB3F59">
        <w:rPr>
          <w:rFonts w:ascii="Verdana" w:eastAsia="Verdana" w:hAnsi="Verdana" w:cs="Verdana"/>
          <w:sz w:val="20"/>
          <w:szCs w:val="20"/>
        </w:rPr>
        <w:t>Responsables</w:t>
      </w:r>
      <w:proofErr w:type="gramEnd"/>
      <w:r w:rsidRPr="00EB3F59">
        <w:rPr>
          <w:rFonts w:ascii="Verdana" w:eastAsia="Verdana" w:hAnsi="Verdana" w:cs="Verdana"/>
          <w:sz w:val="20"/>
          <w:szCs w:val="20"/>
        </w:rPr>
        <w:t xml:space="preserve"> Fiscales, con lo cual la inhabilidad cesa y deja de producir efectos hacia el futuro. Por tanto, una vez superada la causal, el sujeto recupera su capacidad jurídica para contratar y puede aspirar nuevamente a seguir en el proceso de contratación, sin que afecte la validez de las actuaciones previas realizadas cuando se encontraba habilitado.</w:t>
      </w:r>
    </w:p>
    <w:p w14:paraId="51BFA1F5" w14:textId="08AAAC8F" w:rsidR="00A76E61" w:rsidRPr="00A76E61" w:rsidRDefault="00EB3F59" w:rsidP="00ED5ECC">
      <w:pPr>
        <w:spacing w:after="0" w:line="240" w:lineRule="auto"/>
        <w:jc w:val="both"/>
        <w:rPr>
          <w:rFonts w:ascii="Verdana" w:eastAsia="Verdana" w:hAnsi="Verdana" w:cs="Verdana"/>
          <w:b/>
          <w:bCs/>
          <w:lang w:val="es-ES_tradnl"/>
        </w:rPr>
      </w:pPr>
      <w:r w:rsidRPr="00EB3F59">
        <w:rPr>
          <w:rFonts w:ascii="Verdana" w:eastAsia="Verdana" w:hAnsi="Verdana" w:cs="Verdana"/>
          <w:b/>
          <w:bCs/>
          <w:lang w:val="es-ES_tradnl"/>
        </w:rPr>
        <w:tab/>
      </w:r>
    </w:p>
    <w:p w14:paraId="6DCD43BE" w14:textId="3DAB2DC2" w:rsidR="004F5675" w:rsidRPr="00A76E61" w:rsidRDefault="004F5675" w:rsidP="00ED5ECC">
      <w:pPr>
        <w:spacing w:after="0" w:line="240" w:lineRule="auto"/>
        <w:jc w:val="both"/>
        <w:rPr>
          <w:rFonts w:ascii="Verdana" w:eastAsia="Verdana" w:hAnsi="Verdana" w:cs="Verdana"/>
          <w:b/>
          <w:bCs/>
        </w:rPr>
      </w:pPr>
      <w:r w:rsidRPr="00A76E61">
        <w:rPr>
          <w:rFonts w:ascii="Verdana" w:eastAsia="Verdana" w:hAnsi="Verdana" w:cs="Verdana"/>
          <w:b/>
          <w:bCs/>
          <w:lang w:val="es-ES_tradnl"/>
        </w:rPr>
        <w:t xml:space="preserve">INHABILIDAD – Literal b – Numeral 1 </w:t>
      </w:r>
      <w:r w:rsidRPr="00A76E61">
        <w:rPr>
          <w:rFonts w:ascii="Verdana" w:eastAsia="Verdana" w:hAnsi="Verdana" w:cs="Verdana"/>
          <w:b/>
          <w:bCs/>
          <w:lang w:val="es-ES"/>
        </w:rPr>
        <w:t>–</w:t>
      </w:r>
      <w:r w:rsidRPr="00A76E61">
        <w:rPr>
          <w:rFonts w:ascii="Verdana" w:eastAsia="Verdana" w:hAnsi="Verdana" w:cs="Verdana"/>
          <w:b/>
          <w:bCs/>
          <w:lang w:val="es-ES_tradnl"/>
        </w:rPr>
        <w:t xml:space="preserve"> Artículo 8 – Alcance</w:t>
      </w:r>
    </w:p>
    <w:p w14:paraId="5ED131FC" w14:textId="77777777" w:rsidR="004F5675" w:rsidRPr="00EB3F59" w:rsidRDefault="004F5675" w:rsidP="00ED5ECC">
      <w:pPr>
        <w:spacing w:after="0" w:line="240" w:lineRule="auto"/>
        <w:jc w:val="both"/>
        <w:rPr>
          <w:rFonts w:ascii="Verdana" w:eastAsia="Verdana" w:hAnsi="Verdana" w:cs="Verdana"/>
          <w:sz w:val="20"/>
          <w:szCs w:val="20"/>
        </w:rPr>
      </w:pPr>
    </w:p>
    <w:p w14:paraId="4DC7AD45" w14:textId="77777777" w:rsidR="00EB3F59" w:rsidRPr="00EB3F59" w:rsidRDefault="00EB3F59" w:rsidP="00ED5ECC">
      <w:pPr>
        <w:spacing w:after="0" w:line="240" w:lineRule="auto"/>
        <w:jc w:val="both"/>
        <w:rPr>
          <w:rFonts w:ascii="Verdana" w:eastAsia="Verdana" w:hAnsi="Verdana" w:cs="Verdana"/>
          <w:sz w:val="20"/>
          <w:szCs w:val="20"/>
        </w:rPr>
      </w:pPr>
      <w:r w:rsidRPr="00EB3F59">
        <w:rPr>
          <w:rFonts w:ascii="Verdana" w:eastAsia="Verdana" w:hAnsi="Verdana" w:cs="Verdana"/>
          <w:sz w:val="20"/>
          <w:szCs w:val="20"/>
          <w:lang w:val="es-ES_tradnl"/>
        </w:rPr>
        <w:t>En todo caso, es importante tener en cuenta</w:t>
      </w:r>
      <w:r w:rsidRPr="00EB3F59">
        <w:rPr>
          <w:rFonts w:ascii="Verdana" w:eastAsia="Verdana" w:hAnsi="Verdana" w:cs="Verdana"/>
          <w:sz w:val="20"/>
          <w:szCs w:val="20"/>
        </w:rPr>
        <w:t xml:space="preserve"> la inhabilidad prevista en el literal b) del numeral 1 del artículo 8 de la Ley 80 de 1993 —“b) Quienes participaron en las licitaciones o concursos o celebraron los contratos de que trata el literal anterior estando inhabilitados”— requiere una interpretación sistemática con las reglas que determinan sus efectos y duración. En particular, dichos efectos se encuentran desarrollados en un aparte del inciso segundo del literal i) del mismo numeral y artículo. En efecto, esta disposición establece que: “[…] las previstas en los literales b) y e), se extenderán por un término de cinco (5) años contado a partir de la fecha de ocurrencia del hecho de la participación en la licitación o concurso, o de la de celebración del contrato, o de la de expiración del plazo para su firma”. En este sentido, el punto de partida para el cómputo del término no es la declaratoria posterior de la inhabilidad, sino la fecha misma de la conducta irregular. Esto incluye, según el caso, la participación en el proceso de selección —entendida como la presentación de la oferta o la celebración del contrato si de adelantó mediante un proceso no competitivo o de la expiración del plazo para su firma—. </w:t>
      </w:r>
    </w:p>
    <w:p w14:paraId="09A18FE9" w14:textId="77777777" w:rsidR="00EB3F59" w:rsidRDefault="00EB3F59" w:rsidP="00ED5ECC">
      <w:pPr>
        <w:spacing w:after="0" w:line="240" w:lineRule="auto"/>
        <w:jc w:val="both"/>
        <w:rPr>
          <w:rFonts w:ascii="Verdana" w:eastAsia="Verdana" w:hAnsi="Verdana" w:cs="Verdana"/>
          <w:sz w:val="20"/>
          <w:szCs w:val="20"/>
        </w:rPr>
      </w:pPr>
    </w:p>
    <w:p w14:paraId="004F15E6" w14:textId="0EF93637" w:rsidR="00EB3F59" w:rsidRPr="00EB3F59" w:rsidRDefault="00EB3F59" w:rsidP="00ED5ECC">
      <w:pPr>
        <w:spacing w:after="0" w:line="240" w:lineRule="auto"/>
        <w:jc w:val="both"/>
        <w:rPr>
          <w:rFonts w:ascii="Verdana" w:eastAsia="Verdana" w:hAnsi="Verdana" w:cs="Verdana"/>
          <w:sz w:val="20"/>
          <w:szCs w:val="20"/>
          <w:lang w:val="es-ES_tradnl"/>
        </w:rPr>
      </w:pPr>
      <w:r w:rsidRPr="00EB3F59">
        <w:rPr>
          <w:rFonts w:ascii="Verdana" w:eastAsia="Verdana" w:hAnsi="Verdana" w:cs="Verdana"/>
          <w:sz w:val="20"/>
          <w:szCs w:val="20"/>
        </w:rPr>
        <w:t>De esta manera, se trata de una inhabilidad autónoma e independiente de aquella que inicialmente afectaba al sujeto, lo que implica que su término de duración no se acumula ni se superpone con el de la inhabilidad originaria, sino que se cuenta de forma separada. Por tanto, desde la ocurrencia del hecho de participación estando inhabilitado, se configura un nuevo periodo de inhabilidad de cinco (5) años, aplicable de manera directa y con efectos propios en el sistema de compras públicas.</w:t>
      </w:r>
    </w:p>
    <w:p w14:paraId="75AE81CD" w14:textId="77777777" w:rsidR="004F5675" w:rsidRPr="00EB3F59" w:rsidRDefault="004F5675" w:rsidP="00ED5ECC">
      <w:pPr>
        <w:spacing w:after="0" w:line="240" w:lineRule="auto"/>
        <w:rPr>
          <w:rFonts w:ascii="Verdana" w:eastAsia="Verdana" w:hAnsi="Verdana" w:cs="Verdana"/>
          <w:lang w:val="es-ES_tradnl"/>
        </w:rPr>
      </w:pPr>
    </w:p>
    <w:p w14:paraId="7109260F" w14:textId="77777777" w:rsidR="004F5675" w:rsidRDefault="004F5675" w:rsidP="003058C5">
      <w:pPr>
        <w:spacing w:after="0"/>
        <w:rPr>
          <w:rFonts w:ascii="Verdana" w:eastAsia="Verdana" w:hAnsi="Verdana" w:cs="Verdana"/>
        </w:rPr>
      </w:pPr>
    </w:p>
    <w:p w14:paraId="13890C16" w14:textId="77777777" w:rsidR="00EB3F59" w:rsidRDefault="00EB3F59" w:rsidP="003058C5">
      <w:pPr>
        <w:spacing w:after="0"/>
        <w:rPr>
          <w:rFonts w:ascii="Verdana" w:eastAsia="Verdana" w:hAnsi="Verdana" w:cs="Verdana"/>
        </w:rPr>
      </w:pPr>
    </w:p>
    <w:p w14:paraId="46D78C6E" w14:textId="77777777" w:rsidR="00EB3F59" w:rsidRDefault="00EB3F59" w:rsidP="003058C5">
      <w:pPr>
        <w:spacing w:after="0"/>
        <w:rPr>
          <w:rFonts w:ascii="Verdana" w:eastAsia="Verdana" w:hAnsi="Verdana" w:cs="Verdana"/>
        </w:rPr>
      </w:pPr>
    </w:p>
    <w:p w14:paraId="076E9B9A" w14:textId="77777777" w:rsidR="00EB3F59" w:rsidRDefault="00EB3F59" w:rsidP="003058C5">
      <w:pPr>
        <w:spacing w:after="0"/>
        <w:rPr>
          <w:rFonts w:ascii="Verdana" w:eastAsia="Verdana" w:hAnsi="Verdana" w:cs="Verdana"/>
        </w:rPr>
      </w:pPr>
    </w:p>
    <w:p w14:paraId="77AF7BDF" w14:textId="65741032" w:rsidR="003058C5" w:rsidRPr="00CB7EFB" w:rsidRDefault="009C3069" w:rsidP="003058C5">
      <w:pPr>
        <w:spacing w:after="0"/>
        <w:rPr>
          <w:rFonts w:ascii="Verdana" w:hAnsi="Verdana"/>
        </w:rPr>
      </w:pPr>
      <w:r w:rsidRPr="009C3069">
        <w:rPr>
          <w:noProof/>
        </w:rPr>
        <w:lastRenderedPageBreak/>
        <w:drawing>
          <wp:anchor distT="0" distB="0" distL="114300" distR="114300" simplePos="0" relativeHeight="251658240" behindDoc="0" locked="0" layoutInCell="1" allowOverlap="1" wp14:anchorId="2EFACFFD" wp14:editId="13F69212">
            <wp:simplePos x="0" y="0"/>
            <wp:positionH relativeFrom="margin">
              <wp:posOffset>2887980</wp:posOffset>
            </wp:positionH>
            <wp:positionV relativeFrom="paragraph">
              <wp:posOffset>136271</wp:posOffset>
            </wp:positionV>
            <wp:extent cx="2760980" cy="822960"/>
            <wp:effectExtent l="0" t="0" r="1270" b="0"/>
            <wp:wrapSquare wrapText="bothSides"/>
            <wp:docPr id="5951668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0980" cy="822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58C5" w:rsidRPr="30821638">
        <w:rPr>
          <w:rFonts w:ascii="Verdana" w:eastAsia="Verdana" w:hAnsi="Verdana" w:cs="Verdana"/>
        </w:rPr>
        <w:t xml:space="preserve">Bogotá D.C., </w:t>
      </w:r>
      <w:r w:rsidR="0062155C">
        <w:rPr>
          <w:rFonts w:ascii="Verdana" w:eastAsia="Verdana" w:hAnsi="Verdana" w:cs="Verdana"/>
        </w:rPr>
        <w:t xml:space="preserve">24 de junio de </w:t>
      </w:r>
      <w:r w:rsidR="00202DEC">
        <w:rPr>
          <w:rFonts w:ascii="Verdana" w:eastAsia="Verdana" w:hAnsi="Verdana" w:cs="Verdana"/>
        </w:rPr>
        <w:t>2026</w:t>
      </w:r>
      <w:r w:rsidR="003058C5">
        <w:tab/>
      </w:r>
      <w:r w:rsidR="003058C5">
        <w:br/>
      </w:r>
    </w:p>
    <w:p w14:paraId="223017F8" w14:textId="0A0463C4" w:rsidR="003058C5" w:rsidRPr="00CB7EFB" w:rsidRDefault="003058C5" w:rsidP="003058C5">
      <w:pPr>
        <w:spacing w:after="0" w:line="240" w:lineRule="auto"/>
        <w:rPr>
          <w:rFonts w:ascii="Verdana" w:hAnsi="Verdana"/>
        </w:rPr>
      </w:pPr>
    </w:p>
    <w:p w14:paraId="2A14459C" w14:textId="7B6FAEE6" w:rsidR="003058C5" w:rsidRPr="00CB7EFB" w:rsidRDefault="003058C5" w:rsidP="003058C5">
      <w:pPr>
        <w:spacing w:after="0" w:line="240" w:lineRule="auto"/>
        <w:rPr>
          <w:rFonts w:ascii="Verdana" w:eastAsia="Calibri" w:hAnsi="Verdana" w:cs="Times New Roman"/>
          <w:lang w:val="es-MX"/>
        </w:rPr>
      </w:pPr>
      <w:r w:rsidRPr="00CB7EFB">
        <w:rPr>
          <w:rFonts w:ascii="Verdana" w:eastAsia="Calibri" w:hAnsi="Verdana" w:cs="Times New Roman"/>
          <w:lang w:val="es-MX"/>
        </w:rPr>
        <w:t>Señor</w:t>
      </w:r>
    </w:p>
    <w:p w14:paraId="66BF3435" w14:textId="77777777" w:rsidR="003058C5" w:rsidRPr="00CB7EFB" w:rsidRDefault="003058C5" w:rsidP="003058C5">
      <w:pPr>
        <w:spacing w:after="0" w:line="240" w:lineRule="auto"/>
        <w:rPr>
          <w:rFonts w:ascii="Verdana" w:eastAsia="Calibri" w:hAnsi="Verdana" w:cs="Times New Roman"/>
          <w:b/>
        </w:rPr>
      </w:pPr>
      <w:r w:rsidRPr="00CB7EFB">
        <w:rPr>
          <w:rFonts w:ascii="Verdana" w:eastAsia="Calibri" w:hAnsi="Verdana" w:cs="Times New Roman"/>
          <w:b/>
        </w:rPr>
        <w:t>Nikolas Alejandro Bernal González</w:t>
      </w:r>
    </w:p>
    <w:p w14:paraId="5042BA7B" w14:textId="77777777" w:rsidR="003058C5" w:rsidRPr="00CB7EFB" w:rsidRDefault="003058C5" w:rsidP="003058C5">
      <w:pPr>
        <w:spacing w:after="0" w:line="240" w:lineRule="auto"/>
        <w:rPr>
          <w:rFonts w:ascii="Verdana" w:hAnsi="Verdana"/>
        </w:rPr>
      </w:pPr>
      <w:hyperlink r:id="rId12" w:history="1">
        <w:r w:rsidRPr="00CB7EFB">
          <w:rPr>
            <w:rStyle w:val="Hipervnculo"/>
            <w:rFonts w:ascii="Verdana" w:hAnsi="Verdana"/>
          </w:rPr>
          <w:t>nbernal@invias.gov.co</w:t>
        </w:r>
      </w:hyperlink>
      <w:r w:rsidRPr="00CB7EFB">
        <w:rPr>
          <w:rFonts w:ascii="Verdana" w:hAnsi="Verdana"/>
        </w:rPr>
        <w:t xml:space="preserve"> </w:t>
      </w:r>
    </w:p>
    <w:p w14:paraId="2AF8E9BC" w14:textId="77777777" w:rsidR="003058C5" w:rsidRPr="00CB7EFB" w:rsidRDefault="003058C5" w:rsidP="003058C5">
      <w:pPr>
        <w:spacing w:after="0" w:line="240" w:lineRule="auto"/>
        <w:rPr>
          <w:rFonts w:ascii="Verdana" w:eastAsia="Calibri" w:hAnsi="Verdana" w:cs="Times New Roman"/>
        </w:rPr>
      </w:pPr>
      <w:r w:rsidRPr="00CB7EFB">
        <w:rPr>
          <w:rFonts w:ascii="Verdana" w:eastAsia="Calibri" w:hAnsi="Verdana" w:cs="Times New Roman"/>
        </w:rPr>
        <w:t>Bogotá D.C.</w:t>
      </w:r>
    </w:p>
    <w:p w14:paraId="2A2B9E1A" w14:textId="77777777" w:rsidR="003058C5" w:rsidRPr="00CD4831" w:rsidRDefault="003058C5" w:rsidP="003058C5">
      <w:pPr>
        <w:spacing w:after="0" w:line="240" w:lineRule="auto"/>
        <w:rPr>
          <w:rFonts w:ascii="Verdana" w:eastAsia="Calibri" w:hAnsi="Verdana" w:cs="Times New Roman"/>
        </w:rPr>
      </w:pPr>
    </w:p>
    <w:p w14:paraId="665D05E3" w14:textId="77777777" w:rsidR="003058C5" w:rsidRPr="0060163E" w:rsidRDefault="003058C5" w:rsidP="003058C5">
      <w:pPr>
        <w:spacing w:after="0" w:line="240" w:lineRule="auto"/>
        <w:rPr>
          <w:rFonts w:ascii="Verdana" w:eastAsia="Calibri" w:hAnsi="Verdana" w:cs="Times New Roman"/>
        </w:rPr>
      </w:pPr>
    </w:p>
    <w:p w14:paraId="19B7C962" w14:textId="77777777" w:rsidR="003058C5" w:rsidRPr="0060163E" w:rsidRDefault="003058C5" w:rsidP="003058C5">
      <w:pPr>
        <w:spacing w:after="0" w:line="240" w:lineRule="auto"/>
        <w:rPr>
          <w:rFonts w:ascii="Verdana" w:eastAsia="Calibri" w:hAnsi="Verdana" w:cs="Times New Roman"/>
          <w:b/>
          <w:bCs/>
          <w:lang w:val="es-ES"/>
        </w:rPr>
      </w:pPr>
      <w:r w:rsidRPr="0060163E">
        <w:rPr>
          <w:rFonts w:ascii="Verdana" w:eastAsia="Calibri" w:hAnsi="Verdana" w:cs="Times New Roman"/>
          <w:b/>
          <w:bCs/>
        </w:rPr>
        <w:t xml:space="preserve">                                    </w:t>
      </w:r>
      <w:r>
        <w:rPr>
          <w:rFonts w:ascii="Verdana" w:eastAsia="Calibri" w:hAnsi="Verdana" w:cs="Times New Roman"/>
          <w:b/>
          <w:bCs/>
          <w:lang w:val="es-ES"/>
        </w:rPr>
        <w:t>Concepto C– 792 de 2026</w:t>
      </w:r>
    </w:p>
    <w:p w14:paraId="3AB56801" w14:textId="77777777" w:rsidR="003058C5" w:rsidRPr="0060163E" w:rsidRDefault="003058C5" w:rsidP="003058C5">
      <w:pPr>
        <w:spacing w:after="0" w:line="240"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3058C5" w:rsidRPr="0060163E" w14:paraId="712D7BBB" w14:textId="77777777" w:rsidTr="00327490">
        <w:trPr>
          <w:trHeight w:val="884"/>
        </w:trPr>
        <w:tc>
          <w:tcPr>
            <w:tcW w:w="2685" w:type="dxa"/>
            <w:hideMark/>
          </w:tcPr>
          <w:p w14:paraId="5C63B911" w14:textId="77777777" w:rsidR="003058C5" w:rsidRPr="0060163E" w:rsidRDefault="003058C5" w:rsidP="00327490">
            <w:pPr>
              <w:rPr>
                <w:rFonts w:ascii="Verdana" w:hAnsi="Verdana"/>
                <w:b/>
                <w:bCs/>
                <w:lang w:val="es-ES_tradnl"/>
              </w:rPr>
            </w:pPr>
            <w:r w:rsidRPr="0060163E">
              <w:rPr>
                <w:rFonts w:ascii="Verdana" w:hAnsi="Verdana"/>
                <w:b/>
                <w:bCs/>
                <w:lang w:val="es-ES_tradnl"/>
              </w:rPr>
              <w:t xml:space="preserve">Temas:                   </w:t>
            </w:r>
          </w:p>
        </w:tc>
        <w:tc>
          <w:tcPr>
            <w:tcW w:w="6241" w:type="dxa"/>
            <w:hideMark/>
          </w:tcPr>
          <w:p w14:paraId="78BF9EAF" w14:textId="2277FCD0" w:rsidR="003058C5" w:rsidRPr="00531EC0" w:rsidRDefault="003058C5" w:rsidP="00327490">
            <w:pPr>
              <w:spacing w:line="276" w:lineRule="auto"/>
              <w:jc w:val="both"/>
              <w:rPr>
                <w:rFonts w:ascii="Verdana" w:hAnsi="Verdana" w:cs="Arial"/>
                <w:lang w:val="es-MX"/>
              </w:rPr>
            </w:pPr>
            <w:r w:rsidRPr="006D2BEC">
              <w:rPr>
                <w:rFonts w:ascii="Verdana" w:hAnsi="Verdana" w:cs="Arial"/>
                <w:lang w:val="es-MX"/>
              </w:rPr>
              <w:t xml:space="preserve">INHABILIDADES E INCOMPATIBILIDADES ─ Definición ─ fundamento – </w:t>
            </w:r>
            <w:r>
              <w:rPr>
                <w:rFonts w:ascii="Verdana" w:hAnsi="Verdana" w:cs="Arial"/>
                <w:lang w:val="es-MX"/>
              </w:rPr>
              <w:t>C</w:t>
            </w:r>
            <w:r w:rsidRPr="006D2BEC">
              <w:rPr>
                <w:rFonts w:ascii="Verdana" w:hAnsi="Verdana" w:cs="Arial"/>
                <w:lang w:val="es-MX"/>
              </w:rPr>
              <w:t xml:space="preserve">lases / INHABILIDADES E INCOMPATIBILIDADES </w:t>
            </w:r>
            <w:r w:rsidRPr="00EA0211">
              <w:rPr>
                <w:rFonts w:ascii="Verdana" w:hAnsi="Verdana" w:cs="Arial"/>
                <w:b/>
                <w:bCs/>
                <w:lang w:val="es-ES"/>
              </w:rPr>
              <w:t>–</w:t>
            </w:r>
            <w:r w:rsidRPr="006D2BEC">
              <w:rPr>
                <w:rFonts w:ascii="Verdana" w:hAnsi="Verdana" w:cs="Arial"/>
                <w:lang w:val="es-MX"/>
              </w:rPr>
              <w:t xml:space="preserve"> Finalidad </w:t>
            </w:r>
            <w:r w:rsidRPr="00EA0211">
              <w:rPr>
                <w:rFonts w:ascii="Verdana" w:hAnsi="Verdana" w:cs="Arial"/>
                <w:b/>
                <w:bCs/>
                <w:lang w:val="es-ES"/>
              </w:rPr>
              <w:t>–</w:t>
            </w:r>
            <w:r w:rsidRPr="006D2BEC">
              <w:rPr>
                <w:rFonts w:ascii="Verdana" w:hAnsi="Verdana" w:cs="Arial"/>
                <w:lang w:val="es-MX"/>
              </w:rPr>
              <w:t xml:space="preserve"> Limitación capacidad contractual </w:t>
            </w:r>
            <w:r w:rsidRPr="006D2BEC">
              <w:rPr>
                <w:rFonts w:ascii="Verdana" w:hAnsi="Verdana" w:cs="Arial"/>
                <w:lang w:val="es-ES_tradnl"/>
              </w:rPr>
              <w:t>/ INHABILIDADES – Taxatividad – Principio de legalidad – Interpretación restrictiva</w:t>
            </w:r>
            <w:r w:rsidRPr="006D2BEC" w:rsidDel="00A75E55">
              <w:rPr>
                <w:rFonts w:ascii="Verdana" w:hAnsi="Verdana" w:cs="Arial"/>
                <w:lang w:val="es-ES_tradnl"/>
              </w:rPr>
              <w:t xml:space="preserve"> </w:t>
            </w:r>
            <w:r w:rsidRPr="006D2BEC">
              <w:rPr>
                <w:rFonts w:ascii="Verdana" w:hAnsi="Verdana" w:cs="Arial"/>
                <w:lang w:val="es-ES_tradnl"/>
              </w:rPr>
              <w:t xml:space="preserve">/ </w:t>
            </w:r>
            <w:r w:rsidRPr="00421CBB">
              <w:rPr>
                <w:rFonts w:ascii="Verdana" w:hAnsi="Verdana" w:cs="Arial"/>
                <w:lang w:val="es-ES_tradnl"/>
              </w:rPr>
              <w:t xml:space="preserve">INHABILIDAD </w:t>
            </w:r>
            <w:r w:rsidRPr="00421CBB">
              <w:rPr>
                <w:rFonts w:ascii="Verdana" w:hAnsi="Verdana" w:cs="Arial"/>
              </w:rPr>
              <w:t>E INCOMPATIBILIDAD</w:t>
            </w:r>
            <w:r w:rsidRPr="00421CBB">
              <w:rPr>
                <w:rFonts w:ascii="Verdana" w:hAnsi="Verdana" w:cs="Arial"/>
                <w:lang w:val="es-ES_tradnl"/>
              </w:rPr>
              <w:t xml:space="preserve"> </w:t>
            </w:r>
            <w:r w:rsidRPr="00421CBB">
              <w:rPr>
                <w:rFonts w:ascii="Verdana" w:hAnsi="Verdana" w:cs="Arial"/>
              </w:rPr>
              <w:t>–</w:t>
            </w:r>
            <w:r w:rsidRPr="00421CBB">
              <w:rPr>
                <w:rFonts w:ascii="Verdana" w:hAnsi="Verdana" w:cs="Arial"/>
                <w:lang w:val="es-ES_tradnl"/>
              </w:rPr>
              <w:t xml:space="preserve"> Parágrafo primero – artículo 42 – Ley 1952 de 2019 – Boletín – Responsabilidad Fiscal</w:t>
            </w:r>
            <w:r>
              <w:rPr>
                <w:rFonts w:ascii="Verdana" w:hAnsi="Verdana" w:cs="Arial"/>
                <w:lang w:val="es-ES_tradnl"/>
              </w:rPr>
              <w:t xml:space="preserve"> – Alcance – Efectos / INHABILIDAD E INCOMPATIBILIDAD – Artículo 9 – Inhabilidad Sobreviniente – Efectos / INHABILIDAD E INCOMPATBILIDADES – Pago – Fallo de Responsabilidad – Fiscal – Efectos – Ex nunc / INHABILIDAD – Literal b – Numeral 1 </w:t>
            </w:r>
            <w:r w:rsidRPr="00EA0211">
              <w:rPr>
                <w:rFonts w:ascii="Verdana" w:hAnsi="Verdana" w:cs="Arial"/>
                <w:b/>
                <w:bCs/>
                <w:lang w:val="es-ES"/>
              </w:rPr>
              <w:t>–</w:t>
            </w:r>
            <w:r>
              <w:rPr>
                <w:rFonts w:ascii="Verdana" w:hAnsi="Verdana" w:cs="Arial"/>
                <w:lang w:val="es-ES_tradnl"/>
              </w:rPr>
              <w:t xml:space="preserve"> Artículo 8 – Alcance</w:t>
            </w:r>
          </w:p>
        </w:tc>
        <w:tc>
          <w:tcPr>
            <w:tcW w:w="6237" w:type="dxa"/>
          </w:tcPr>
          <w:p w14:paraId="6A3793C9" w14:textId="77777777" w:rsidR="003058C5" w:rsidRPr="006D2BEC" w:rsidRDefault="003058C5" w:rsidP="00327490">
            <w:pPr>
              <w:rPr>
                <w:rFonts w:ascii="Verdana" w:hAnsi="Verdana"/>
              </w:rPr>
            </w:pPr>
          </w:p>
        </w:tc>
      </w:tr>
      <w:tr w:rsidR="003058C5" w:rsidRPr="0060163E" w14:paraId="77729307" w14:textId="77777777" w:rsidTr="00327490">
        <w:tc>
          <w:tcPr>
            <w:tcW w:w="2685" w:type="dxa"/>
          </w:tcPr>
          <w:p w14:paraId="78F09C7B" w14:textId="77777777" w:rsidR="003058C5" w:rsidRPr="0060163E" w:rsidRDefault="003058C5" w:rsidP="00327490">
            <w:pPr>
              <w:rPr>
                <w:rFonts w:ascii="Verdana" w:hAnsi="Verdana"/>
                <w:lang w:val="es-ES_tradnl"/>
              </w:rPr>
            </w:pPr>
          </w:p>
          <w:p w14:paraId="41B01C16" w14:textId="77777777" w:rsidR="003058C5" w:rsidRPr="0060163E" w:rsidRDefault="003058C5" w:rsidP="00327490">
            <w:pPr>
              <w:rPr>
                <w:rFonts w:ascii="Verdana" w:hAnsi="Verdana"/>
                <w:b/>
                <w:bCs/>
                <w:lang w:val="es-ES_tradnl"/>
              </w:rPr>
            </w:pPr>
            <w:r w:rsidRPr="0060163E">
              <w:rPr>
                <w:rFonts w:ascii="Verdana" w:hAnsi="Verdana"/>
                <w:b/>
                <w:bCs/>
                <w:lang w:val="es-ES_tradnl"/>
              </w:rPr>
              <w:t xml:space="preserve">Radicación:               </w:t>
            </w:r>
          </w:p>
        </w:tc>
        <w:tc>
          <w:tcPr>
            <w:tcW w:w="6241" w:type="dxa"/>
          </w:tcPr>
          <w:p w14:paraId="1C324625" w14:textId="77777777" w:rsidR="003058C5" w:rsidRPr="0060163E" w:rsidRDefault="003058C5" w:rsidP="00327490">
            <w:pPr>
              <w:jc w:val="both"/>
              <w:rPr>
                <w:rFonts w:ascii="Verdana" w:hAnsi="Verdana"/>
                <w:lang w:val="es-ES_tradnl"/>
              </w:rPr>
            </w:pPr>
          </w:p>
          <w:p w14:paraId="4FB9BE3A" w14:textId="77777777" w:rsidR="003058C5" w:rsidRDefault="003058C5" w:rsidP="00327490">
            <w:pPr>
              <w:jc w:val="both"/>
              <w:rPr>
                <w:rFonts w:ascii="Verdana" w:hAnsi="Verdana"/>
              </w:rPr>
            </w:pPr>
            <w:r w:rsidRPr="0060163E">
              <w:rPr>
                <w:rFonts w:ascii="Verdana" w:hAnsi="Verdana"/>
                <w:lang w:val="es-ES_tradnl"/>
              </w:rPr>
              <w:t>Respue</w:t>
            </w:r>
            <w:r>
              <w:rPr>
                <w:rFonts w:ascii="Verdana" w:hAnsi="Verdana"/>
                <w:lang w:val="es-ES_tradnl"/>
              </w:rPr>
              <w:t xml:space="preserve">sta a consulta con radicado </w:t>
            </w:r>
            <w:r w:rsidRPr="00EC0D43">
              <w:rPr>
                <w:rFonts w:ascii="Verdana" w:hAnsi="Verdana"/>
              </w:rPr>
              <w:t>1_2026_05_12_006441</w:t>
            </w:r>
          </w:p>
          <w:p w14:paraId="23C3872C" w14:textId="77777777" w:rsidR="003058C5" w:rsidRPr="0060163E" w:rsidRDefault="003058C5" w:rsidP="00327490">
            <w:pPr>
              <w:jc w:val="both"/>
              <w:rPr>
                <w:rFonts w:ascii="Verdana" w:hAnsi="Verdana"/>
              </w:rPr>
            </w:pPr>
          </w:p>
        </w:tc>
        <w:tc>
          <w:tcPr>
            <w:tcW w:w="6237" w:type="dxa"/>
          </w:tcPr>
          <w:p w14:paraId="1F255D22" w14:textId="77777777" w:rsidR="003058C5" w:rsidRPr="0060163E" w:rsidRDefault="003058C5" w:rsidP="00327490">
            <w:pPr>
              <w:rPr>
                <w:rFonts w:ascii="Verdana" w:hAnsi="Verdana"/>
                <w:lang w:val="es-ES_tradnl"/>
              </w:rPr>
            </w:pPr>
          </w:p>
        </w:tc>
      </w:tr>
      <w:tr w:rsidR="003058C5" w:rsidRPr="0060163E" w14:paraId="60B9CA34" w14:textId="77777777" w:rsidTr="00327490">
        <w:tc>
          <w:tcPr>
            <w:tcW w:w="2685" w:type="dxa"/>
          </w:tcPr>
          <w:p w14:paraId="017F5DCC" w14:textId="77777777" w:rsidR="003058C5" w:rsidRPr="0060163E" w:rsidRDefault="003058C5" w:rsidP="00327490">
            <w:pPr>
              <w:rPr>
                <w:rFonts w:ascii="Verdana" w:hAnsi="Verdana"/>
                <w:lang w:val="es-ES_tradnl"/>
              </w:rPr>
            </w:pPr>
          </w:p>
        </w:tc>
        <w:tc>
          <w:tcPr>
            <w:tcW w:w="6241" w:type="dxa"/>
          </w:tcPr>
          <w:p w14:paraId="0E3DFE1B" w14:textId="77777777" w:rsidR="003058C5" w:rsidRPr="0060163E" w:rsidRDefault="003058C5" w:rsidP="00327490">
            <w:pPr>
              <w:jc w:val="both"/>
              <w:rPr>
                <w:rFonts w:ascii="Verdana" w:hAnsi="Verdana"/>
                <w:lang w:val="es-ES_tradnl"/>
              </w:rPr>
            </w:pPr>
          </w:p>
        </w:tc>
        <w:tc>
          <w:tcPr>
            <w:tcW w:w="6237" w:type="dxa"/>
          </w:tcPr>
          <w:p w14:paraId="7B49FE9D" w14:textId="77777777" w:rsidR="003058C5" w:rsidRPr="0060163E" w:rsidRDefault="003058C5" w:rsidP="00327490">
            <w:pPr>
              <w:rPr>
                <w:rFonts w:ascii="Verdana" w:hAnsi="Verdana"/>
                <w:lang w:val="es-ES_tradnl"/>
              </w:rPr>
            </w:pPr>
          </w:p>
        </w:tc>
      </w:tr>
    </w:tbl>
    <w:p w14:paraId="528F042E" w14:textId="77777777" w:rsidR="003058C5" w:rsidRPr="0060163E" w:rsidRDefault="003058C5" w:rsidP="003058C5">
      <w:pPr>
        <w:spacing w:after="0" w:line="256" w:lineRule="auto"/>
        <w:rPr>
          <w:rFonts w:ascii="Verdana" w:eastAsia="Calibri" w:hAnsi="Verdana" w:cs="Times New Roman"/>
          <w:lang w:val="es-ES"/>
        </w:rPr>
      </w:pPr>
      <w:r>
        <w:rPr>
          <w:rFonts w:ascii="Verdana" w:eastAsia="Calibri" w:hAnsi="Verdana" w:cs="Times New Roman"/>
          <w:lang w:val="es-ES"/>
        </w:rPr>
        <w:t>Estimado Señor Bernal González:</w:t>
      </w:r>
    </w:p>
    <w:p w14:paraId="53A04A00" w14:textId="77777777" w:rsidR="003058C5" w:rsidRPr="0060163E" w:rsidRDefault="003058C5" w:rsidP="003058C5">
      <w:pPr>
        <w:spacing w:after="0" w:line="276" w:lineRule="auto"/>
        <w:rPr>
          <w:rFonts w:ascii="Verdana" w:eastAsia="Calibri" w:hAnsi="Verdana" w:cs="Times New Roman"/>
          <w:lang w:val="es-ES"/>
        </w:rPr>
      </w:pPr>
    </w:p>
    <w:p w14:paraId="4743D46A" w14:textId="77777777" w:rsidR="003058C5" w:rsidRPr="008211D2" w:rsidRDefault="003058C5" w:rsidP="003058C5">
      <w:pPr>
        <w:spacing w:after="0" w:line="276" w:lineRule="auto"/>
        <w:jc w:val="both"/>
        <w:rPr>
          <w:rFonts w:ascii="Verdana" w:eastAsia="Calibri" w:hAnsi="Verdana" w:cs="Times New Roman"/>
          <w:bCs/>
          <w:lang w:val="es-ES" w:bidi="es-ES"/>
        </w:rPr>
      </w:pPr>
      <w:r w:rsidRPr="008211D2">
        <w:rPr>
          <w:rFonts w:ascii="Verdana" w:eastAsia="Calibri" w:hAnsi="Verdana" w:cs="Times New Roman"/>
          <w:bCs/>
          <w:lang w:val="es-ES" w:bidi="es-ES"/>
        </w:rPr>
        <w:t xml:space="preserve">En ejercicio de la competencia otorgada por los artículos 3, numeral 5º, y 11, numeral 8º, del Decreto Ley 4170 de 2011, </w:t>
      </w:r>
      <w:r w:rsidRPr="008211D2">
        <w:rPr>
          <w:rFonts w:ascii="Verdana" w:eastAsia="Calibri" w:hAnsi="Verdana" w:cs="Times New Roman"/>
          <w:bCs/>
        </w:rPr>
        <w:t xml:space="preserve">así como lo establecido por la Resolución 469 de 2025 expedida por esta Entidad, </w:t>
      </w:r>
      <w:r w:rsidRPr="008211D2">
        <w:rPr>
          <w:rFonts w:ascii="Verdana" w:eastAsia="Calibri" w:hAnsi="Verdana" w:cs="Times New Roman"/>
          <w:bCs/>
          <w:lang w:val="es-ES" w:bidi="es-ES"/>
        </w:rPr>
        <w:t>la Agencia Nacional de Contratación Pública – Colombia Compra Eficiente– responde la sol</w:t>
      </w:r>
      <w:r>
        <w:rPr>
          <w:rFonts w:ascii="Verdana" w:eastAsia="Calibri" w:hAnsi="Verdana" w:cs="Times New Roman"/>
          <w:bCs/>
          <w:lang w:val="es-ES" w:bidi="es-ES"/>
        </w:rPr>
        <w:t>icitud de consulta presentada el 12 de mayo de 2026</w:t>
      </w:r>
      <w:r w:rsidRPr="008211D2">
        <w:rPr>
          <w:rFonts w:ascii="Verdana" w:eastAsia="Calibri" w:hAnsi="Verdana" w:cs="Times New Roman"/>
          <w:bCs/>
          <w:lang w:val="es-ES" w:bidi="es-ES"/>
        </w:rPr>
        <w:t xml:space="preserve">, en la cual manifiesta: </w:t>
      </w:r>
    </w:p>
    <w:p w14:paraId="1038CE5D" w14:textId="77777777" w:rsidR="003058C5" w:rsidRPr="0060163E" w:rsidRDefault="003058C5" w:rsidP="003058C5">
      <w:pPr>
        <w:spacing w:after="0" w:line="276" w:lineRule="auto"/>
        <w:jc w:val="both"/>
        <w:rPr>
          <w:rFonts w:ascii="Verdana" w:eastAsia="Calibri" w:hAnsi="Verdana" w:cs="Times New Roman"/>
          <w:lang w:val="es-ES"/>
        </w:rPr>
      </w:pPr>
    </w:p>
    <w:p w14:paraId="6E516FD1" w14:textId="77777777" w:rsidR="003058C5" w:rsidRPr="00872C07" w:rsidRDefault="003058C5" w:rsidP="003058C5">
      <w:pPr>
        <w:spacing w:after="0" w:line="240" w:lineRule="auto"/>
        <w:ind w:left="720" w:right="709"/>
        <w:jc w:val="both"/>
        <w:rPr>
          <w:rFonts w:ascii="Verdana" w:eastAsia="Calibri" w:hAnsi="Verdana" w:cs="Times New Roman"/>
          <w:bCs/>
          <w:sz w:val="20"/>
          <w:szCs w:val="20"/>
        </w:rPr>
      </w:pPr>
      <w:r w:rsidRPr="00506C86">
        <w:rPr>
          <w:rFonts w:ascii="Verdana" w:eastAsia="Calibri" w:hAnsi="Verdana" w:cs="Times New Roman"/>
          <w:bCs/>
          <w:sz w:val="20"/>
          <w:szCs w:val="20"/>
        </w:rPr>
        <w:lastRenderedPageBreak/>
        <w:t>“</w:t>
      </w:r>
      <w:r w:rsidRPr="00872C07">
        <w:rPr>
          <w:rFonts w:ascii="Verdana" w:eastAsia="Calibri" w:hAnsi="Verdana" w:cs="Times New Roman"/>
          <w:bCs/>
          <w:sz w:val="20"/>
          <w:szCs w:val="20"/>
        </w:rPr>
        <w:t xml:space="preserve">¿A pesar de que el proponente realice el pago antes de establecer el orden de elegibilidad y/o adjudicar a través de la plataforma de SECOP II, de acuerdo con las normas citadas el proponente ya no estaría habilitado para seguir participando en el proceso de selección? </w:t>
      </w:r>
    </w:p>
    <w:p w14:paraId="453BA14F" w14:textId="77777777" w:rsidR="003058C5" w:rsidRPr="00872C07" w:rsidRDefault="003058C5" w:rsidP="003058C5">
      <w:pPr>
        <w:spacing w:after="0" w:line="240" w:lineRule="auto"/>
        <w:ind w:left="720" w:right="709"/>
        <w:jc w:val="both"/>
        <w:rPr>
          <w:rFonts w:ascii="Verdana" w:eastAsia="Calibri" w:hAnsi="Verdana" w:cs="Times New Roman"/>
          <w:bCs/>
          <w:sz w:val="20"/>
          <w:szCs w:val="20"/>
        </w:rPr>
      </w:pPr>
      <w:r w:rsidRPr="00872C07">
        <w:rPr>
          <w:rFonts w:ascii="Verdana" w:eastAsia="Calibri" w:hAnsi="Verdana" w:cs="Times New Roman"/>
          <w:bCs/>
          <w:sz w:val="20"/>
          <w:szCs w:val="20"/>
        </w:rPr>
        <w:t xml:space="preserve">Con base en lo anterior y en caso de que recupere la capacidad jurídica con el pago ¿los términos utilizados en la norma y los conceptos de consejo de estado como “renuncia, retira, excluido” se entienden que estas condiciones y efectos de la inhabilidad pueden ser revertidos hasta antes de la audiencia de establecimiento de orden de elegibilidad o adjudicación? </w:t>
      </w:r>
    </w:p>
    <w:p w14:paraId="1BA81B42" w14:textId="77777777" w:rsidR="003058C5" w:rsidRPr="000F0379" w:rsidRDefault="003058C5" w:rsidP="003058C5">
      <w:pPr>
        <w:spacing w:after="0" w:line="240" w:lineRule="auto"/>
        <w:ind w:left="720" w:right="709"/>
        <w:jc w:val="both"/>
        <w:rPr>
          <w:rFonts w:ascii="Verdana" w:eastAsia="Calibri" w:hAnsi="Verdana" w:cs="Times New Roman"/>
          <w:bCs/>
          <w:sz w:val="20"/>
          <w:szCs w:val="20"/>
        </w:rPr>
      </w:pPr>
      <w:r w:rsidRPr="000F0379">
        <w:rPr>
          <w:rFonts w:ascii="Verdana" w:eastAsia="Calibri" w:hAnsi="Verdana" w:cs="Times New Roman"/>
          <w:bCs/>
          <w:sz w:val="20"/>
          <w:szCs w:val="20"/>
        </w:rPr>
        <w:t>¿Los efectos de la inhabilidad sobreviniente persisten hasta la adjudicación del proceso de selección o se suspenden con el pago de la sanción fiscal?</w:t>
      </w:r>
      <w:r>
        <w:rPr>
          <w:rFonts w:ascii="Verdana" w:eastAsia="Calibri" w:hAnsi="Verdana" w:cs="Times New Roman"/>
          <w:bCs/>
          <w:sz w:val="20"/>
          <w:szCs w:val="20"/>
        </w:rPr>
        <w:t>”</w:t>
      </w:r>
      <w:r w:rsidRPr="000F0379">
        <w:rPr>
          <w:rFonts w:ascii="Verdana" w:eastAsia="Calibri" w:hAnsi="Verdana" w:cs="Times New Roman"/>
          <w:bCs/>
          <w:sz w:val="20"/>
          <w:szCs w:val="20"/>
        </w:rPr>
        <w:t xml:space="preserve"> </w:t>
      </w:r>
    </w:p>
    <w:p w14:paraId="1B2A785D" w14:textId="77777777" w:rsidR="003058C5" w:rsidRPr="00EE1730" w:rsidRDefault="003058C5" w:rsidP="003058C5">
      <w:pPr>
        <w:spacing w:after="0" w:line="240" w:lineRule="auto"/>
        <w:ind w:right="709"/>
        <w:jc w:val="both"/>
        <w:rPr>
          <w:rFonts w:ascii="Verdana" w:eastAsia="Calibri" w:hAnsi="Verdana" w:cs="Times New Roman"/>
          <w:bCs/>
          <w:i/>
          <w:iCs/>
          <w:sz w:val="20"/>
          <w:szCs w:val="20"/>
        </w:rPr>
      </w:pPr>
    </w:p>
    <w:p w14:paraId="475842E7" w14:textId="77777777" w:rsidR="003058C5" w:rsidRPr="0060163E" w:rsidRDefault="003058C5" w:rsidP="003058C5">
      <w:pPr>
        <w:spacing w:after="120" w:line="276" w:lineRule="auto"/>
        <w:ind w:firstLine="709"/>
        <w:jc w:val="both"/>
        <w:rPr>
          <w:rFonts w:ascii="Verdana" w:eastAsia="Calibri" w:hAnsi="Verdana" w:cs="Times New Roman"/>
          <w:lang w:val="es-ES"/>
        </w:rPr>
      </w:pPr>
      <w:r w:rsidRPr="0060163E">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200B7DD3" w14:textId="77777777" w:rsidR="003058C5" w:rsidRDefault="003058C5" w:rsidP="003058C5">
      <w:pPr>
        <w:spacing w:after="0" w:line="276" w:lineRule="auto"/>
        <w:ind w:firstLine="708"/>
        <w:jc w:val="both"/>
        <w:rPr>
          <w:rFonts w:ascii="Verdana" w:eastAsia="Calibri" w:hAnsi="Verdana" w:cs="Times New Roman"/>
          <w:lang w:val="es-ES"/>
        </w:rPr>
      </w:pPr>
      <w:r w:rsidRPr="0060163E">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w:t>
      </w:r>
      <w:r>
        <w:rPr>
          <w:rFonts w:ascii="Verdana" w:eastAsia="Calibri" w:hAnsi="Verdana" w:cs="Times New Roman"/>
          <w:lang w:val="es-ES"/>
        </w:rPr>
        <w:t xml:space="preserve">s con el problema jurídico de su consulta. </w:t>
      </w:r>
    </w:p>
    <w:p w14:paraId="73E6BC53" w14:textId="77777777" w:rsidR="003058C5" w:rsidRPr="0060163E" w:rsidRDefault="003058C5" w:rsidP="003058C5">
      <w:pPr>
        <w:spacing w:after="0" w:line="276" w:lineRule="auto"/>
        <w:ind w:firstLine="708"/>
        <w:jc w:val="both"/>
        <w:rPr>
          <w:rFonts w:ascii="Verdana" w:eastAsia="Calibri" w:hAnsi="Verdana" w:cs="Times New Roman"/>
          <w:lang w:val="es-ES"/>
        </w:rPr>
      </w:pPr>
    </w:p>
    <w:p w14:paraId="75D3B097" w14:textId="77777777" w:rsidR="003058C5" w:rsidRPr="0060163E" w:rsidRDefault="003058C5" w:rsidP="003058C5">
      <w:pPr>
        <w:spacing w:after="0" w:line="276" w:lineRule="auto"/>
        <w:contextualSpacing/>
        <w:rPr>
          <w:rFonts w:ascii="Verdana" w:eastAsia="Calibri" w:hAnsi="Verdana" w:cs="Times New Roman"/>
          <w:b/>
          <w:bCs/>
          <w:lang w:val="es-ES"/>
        </w:rPr>
      </w:pPr>
      <w:r>
        <w:rPr>
          <w:rFonts w:ascii="Verdana" w:eastAsia="Calibri" w:hAnsi="Verdana" w:cs="Times New Roman"/>
          <w:b/>
          <w:bCs/>
          <w:lang w:val="es-ES"/>
        </w:rPr>
        <w:t xml:space="preserve">I. </w:t>
      </w:r>
      <w:r w:rsidRPr="0060163E">
        <w:rPr>
          <w:rFonts w:ascii="Verdana" w:eastAsia="Calibri" w:hAnsi="Verdana" w:cs="Times New Roman"/>
          <w:b/>
          <w:bCs/>
          <w:lang w:val="es-ES"/>
        </w:rPr>
        <w:t>Problema planteado:</w:t>
      </w:r>
    </w:p>
    <w:p w14:paraId="552A752F" w14:textId="77777777" w:rsidR="003058C5" w:rsidRPr="0060163E" w:rsidRDefault="003058C5" w:rsidP="003058C5">
      <w:pPr>
        <w:spacing w:after="0" w:line="276" w:lineRule="auto"/>
        <w:rPr>
          <w:rFonts w:ascii="Verdana" w:eastAsia="Calibri" w:hAnsi="Verdana" w:cs="Times New Roman"/>
        </w:rPr>
      </w:pPr>
    </w:p>
    <w:p w14:paraId="58DE6E4E" w14:textId="77777777" w:rsidR="003058C5" w:rsidRPr="00A14FC6" w:rsidRDefault="003058C5" w:rsidP="003058C5">
      <w:pPr>
        <w:spacing w:after="0" w:line="276" w:lineRule="auto"/>
        <w:jc w:val="both"/>
        <w:rPr>
          <w:rFonts w:ascii="Verdana" w:eastAsia="Calibri" w:hAnsi="Verdana"/>
        </w:rPr>
      </w:pPr>
      <w:r w:rsidRPr="0060163E">
        <w:rPr>
          <w:rFonts w:ascii="Verdana" w:eastAsia="Calibri" w:hAnsi="Verdana" w:cs="Times New Roman"/>
        </w:rPr>
        <w:t xml:space="preserve">De acuerdo con el contenido de su solicitud, esta Agencia procede a resolver </w:t>
      </w:r>
      <w:r>
        <w:rPr>
          <w:rFonts w:ascii="Verdana" w:eastAsia="Calibri" w:hAnsi="Verdana" w:cs="Times New Roman"/>
        </w:rPr>
        <w:t xml:space="preserve">el siguiente problema jurídico: </w:t>
      </w:r>
      <w:r w:rsidRPr="00326423">
        <w:rPr>
          <w:rFonts w:ascii="Verdana" w:eastAsia="Calibri" w:hAnsi="Verdana" w:cs="Times New Roman"/>
        </w:rPr>
        <w:t>¿</w:t>
      </w:r>
      <w:r>
        <w:rPr>
          <w:rFonts w:ascii="Verdana" w:eastAsia="Calibri" w:hAnsi="Verdana" w:cs="Times New Roman"/>
        </w:rPr>
        <w:t>El</w:t>
      </w:r>
      <w:r w:rsidRPr="00326423">
        <w:rPr>
          <w:rFonts w:ascii="Verdana" w:eastAsia="Calibri" w:hAnsi="Verdana" w:cs="Times New Roman"/>
        </w:rPr>
        <w:t xml:space="preserve"> pago de la sanción fiscal realizado por el proponente antes de la adjudicación restablece su capacidad jurídica para continuar en el proceso de selección, o la inhabilidad sobreviniente —y sus </w:t>
      </w:r>
      <w:r w:rsidRPr="00326423">
        <w:rPr>
          <w:rFonts w:ascii="Verdana" w:eastAsia="Calibri" w:hAnsi="Verdana" w:cs="Times New Roman"/>
        </w:rPr>
        <w:lastRenderedPageBreak/>
        <w:t>efectos expresados se mantiene vigente hasta la expedición de la decisión definitiva?</w:t>
      </w:r>
    </w:p>
    <w:p w14:paraId="683A8531" w14:textId="77777777" w:rsidR="003058C5" w:rsidRPr="0060163E" w:rsidRDefault="003058C5" w:rsidP="003058C5">
      <w:pPr>
        <w:spacing w:after="0" w:line="276" w:lineRule="auto"/>
        <w:rPr>
          <w:rFonts w:ascii="Verdana" w:eastAsia="Calibri" w:hAnsi="Verdana" w:cs="Times New Roman"/>
        </w:rPr>
      </w:pPr>
    </w:p>
    <w:p w14:paraId="2814A75B" w14:textId="77777777" w:rsidR="003058C5" w:rsidRPr="0060163E" w:rsidRDefault="003058C5" w:rsidP="003058C5">
      <w:pPr>
        <w:spacing w:after="0" w:line="276" w:lineRule="auto"/>
        <w:contextualSpacing/>
        <w:rPr>
          <w:rFonts w:ascii="Verdana" w:eastAsia="Calibri" w:hAnsi="Verdana" w:cs="Times New Roman"/>
          <w:b/>
          <w:bCs/>
          <w:lang w:val="es-ES"/>
        </w:rPr>
      </w:pPr>
      <w:r>
        <w:rPr>
          <w:rFonts w:ascii="Verdana" w:eastAsia="Calibri" w:hAnsi="Verdana" w:cs="Times New Roman"/>
          <w:b/>
          <w:bCs/>
          <w:lang w:val="es-ES"/>
        </w:rPr>
        <w:t xml:space="preserve">II. </w:t>
      </w:r>
      <w:r w:rsidRPr="0060163E">
        <w:rPr>
          <w:rFonts w:ascii="Verdana" w:eastAsia="Calibri" w:hAnsi="Verdana" w:cs="Times New Roman"/>
          <w:b/>
          <w:bCs/>
          <w:lang w:val="es-ES"/>
        </w:rPr>
        <w:t>Respuesta:</w:t>
      </w:r>
    </w:p>
    <w:p w14:paraId="3B651FE2" w14:textId="77777777" w:rsidR="003058C5" w:rsidRPr="0060163E" w:rsidRDefault="003058C5" w:rsidP="003058C5">
      <w:pPr>
        <w:spacing w:after="0" w:line="276" w:lineRule="auto"/>
        <w:jc w:val="both"/>
        <w:rPr>
          <w:rFonts w:ascii="Verdana" w:eastAsia="Calibri" w:hAnsi="Verdana" w:cs="Times New Roman"/>
          <w:bCs/>
          <w:lang w:val="es-ES" w:bidi="es-ES"/>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058C5" w:rsidRPr="0060163E" w14:paraId="2C74DFB5" w14:textId="77777777" w:rsidTr="00327490">
        <w:trPr>
          <w:trHeight w:val="870"/>
          <w:jc w:val="center"/>
        </w:trPr>
        <w:tc>
          <w:tcPr>
            <w:tcW w:w="8647" w:type="dxa"/>
          </w:tcPr>
          <w:p w14:paraId="3184E211" w14:textId="77777777" w:rsidR="003058C5" w:rsidRDefault="003058C5" w:rsidP="00327490">
            <w:pPr>
              <w:spacing w:after="120" w:line="276" w:lineRule="auto"/>
              <w:jc w:val="both"/>
              <w:rPr>
                <w:rFonts w:ascii="Verdana" w:eastAsia="Calibri" w:hAnsi="Verdana" w:cs="Arial"/>
                <w:lang w:val="es-ES_tradnl"/>
              </w:rPr>
            </w:pPr>
            <w:r>
              <w:rPr>
                <w:rFonts w:ascii="Verdana" w:eastAsia="Century Gothic" w:hAnsi="Verdana" w:cs="Century Gothic"/>
                <w:bCs/>
              </w:rPr>
              <w:t xml:space="preserve">En relación con el problema jurídico, es pertinente señalar que </w:t>
            </w:r>
            <w:r w:rsidRPr="006C6FA1">
              <w:rPr>
                <w:rFonts w:ascii="Verdana" w:eastAsia="Verdana" w:hAnsi="Verdana" w:cs="Verdana"/>
              </w:rPr>
              <w:t xml:space="preserve">la inclusión de una persona natural o jurídica en el Boletín de </w:t>
            </w:r>
            <w:proofErr w:type="gramStart"/>
            <w:r w:rsidRPr="006C6FA1">
              <w:rPr>
                <w:rFonts w:ascii="Verdana" w:eastAsia="Verdana" w:hAnsi="Verdana" w:cs="Verdana"/>
              </w:rPr>
              <w:t>Responsables</w:t>
            </w:r>
            <w:proofErr w:type="gramEnd"/>
            <w:r w:rsidRPr="006C6FA1">
              <w:rPr>
                <w:rFonts w:ascii="Verdana" w:eastAsia="Verdana" w:hAnsi="Verdana" w:cs="Verdana"/>
              </w:rPr>
              <w:t xml:space="preserve"> Fiscales, como consecuencia de un fallo con responsabilidad fiscal en firme y debidamente ejecutoriado, implica la configuración de una inhabilidad legal para contratar con el Estado. Dicha inhabilidad comprende tanto la imposibilidad de participar en procesos de selección como la celebración de contratos con entidades estatales.</w:t>
            </w:r>
            <w:r>
              <w:rPr>
                <w:rFonts w:ascii="Verdana" w:eastAsia="Verdana" w:hAnsi="Verdana" w:cs="Verdana"/>
              </w:rPr>
              <w:t xml:space="preserve"> No obstante, debe </w:t>
            </w:r>
            <w:r>
              <w:rPr>
                <w:rFonts w:ascii="Verdana" w:eastAsia="Calibri" w:hAnsi="Verdana" w:cs="Arial"/>
                <w:lang w:val="es-ES_tradnl"/>
              </w:rPr>
              <w:t xml:space="preserve">tenerse en cuenta </w:t>
            </w:r>
            <w:r w:rsidRPr="00A97AB0">
              <w:rPr>
                <w:rFonts w:ascii="Verdana" w:eastAsia="Calibri" w:hAnsi="Verdana" w:cs="Arial"/>
                <w:lang w:val="es-ES_tradnl"/>
              </w:rPr>
              <w:t xml:space="preserve">que la periodicidad de la expedición del boletín de responsables fiscales es trimestral, </w:t>
            </w:r>
            <w:r>
              <w:rPr>
                <w:rFonts w:ascii="Verdana" w:eastAsia="Calibri" w:hAnsi="Verdana" w:cs="Arial"/>
                <w:lang w:val="es-ES_tradnl"/>
              </w:rPr>
              <w:t xml:space="preserve">por lo que no debe afectar </w:t>
            </w:r>
            <w:r w:rsidRPr="00A97AB0">
              <w:rPr>
                <w:rFonts w:ascii="Verdana" w:eastAsia="Calibri" w:hAnsi="Verdana" w:cs="Arial"/>
                <w:lang w:val="es-ES_tradnl"/>
              </w:rPr>
              <w:t xml:space="preserve">la cesación de la inhabilidad, puesto que como se estableció los servidores públicos encargados de posesionar o contratar personas deben consultar a la Contraloría General de la República sobre las futuras inclusiones de “funcionarios o contratistas en el boletín”, en caso de que aún no se haya expedido este. Por tanto, de acuerdo con el parágrafo 1 del artículo 42 de la Ley 1952 de 2019, la inhabilidad de una persona que haya sido declarado responsable fiscalmente cesa cuando la Contraloría correspondiente </w:t>
            </w:r>
            <w:r>
              <w:rPr>
                <w:rFonts w:ascii="Verdana" w:eastAsia="Calibri" w:hAnsi="Verdana" w:cs="Arial"/>
                <w:lang w:val="es-ES_tradnl"/>
              </w:rPr>
              <w:t>declare haber recibido el pago y</w:t>
            </w:r>
            <w:r w:rsidRPr="00A97AB0">
              <w:rPr>
                <w:rFonts w:ascii="Verdana" w:eastAsia="Calibri" w:hAnsi="Verdana" w:cs="Arial"/>
                <w:lang w:val="es-ES_tradnl"/>
              </w:rPr>
              <w:t xml:space="preserve"> lo mismo ocurre cuando no es procedente la realización de un pago, ya que la Contraloría General de la República debe excluir a la persona cuando se cumplen cinco (5) años a partir de la ejecutoria del fallo y cesa la inhabilidad, a pesar de no </w:t>
            </w:r>
            <w:r>
              <w:rPr>
                <w:rFonts w:ascii="Verdana" w:eastAsia="Calibri" w:hAnsi="Verdana" w:cs="Arial"/>
                <w:lang w:val="es-ES_tradnl"/>
              </w:rPr>
              <w:t xml:space="preserve">haber sido expedido el boletín. </w:t>
            </w:r>
          </w:p>
          <w:p w14:paraId="51E16C28" w14:textId="77777777" w:rsidR="003058C5" w:rsidRPr="00E674B9" w:rsidRDefault="003058C5" w:rsidP="00327490">
            <w:pPr>
              <w:spacing w:after="120" w:line="276" w:lineRule="auto"/>
              <w:ind w:firstLine="709"/>
              <w:jc w:val="both"/>
              <w:rPr>
                <w:rFonts w:ascii="Verdana" w:eastAsia="Verdana" w:hAnsi="Verdana" w:cs="Verdana"/>
                <w:sz w:val="20"/>
                <w:szCs w:val="20"/>
                <w:lang w:val="es-ES_tradnl"/>
              </w:rPr>
            </w:pPr>
            <w:r>
              <w:rPr>
                <w:rFonts w:ascii="Verdana" w:eastAsia="Calibri" w:hAnsi="Verdana" w:cs="Arial"/>
                <w:lang w:val="es-ES_tradnl"/>
              </w:rPr>
              <w:t>D</w:t>
            </w:r>
            <w:r w:rsidRPr="00A97AB0">
              <w:rPr>
                <w:rFonts w:ascii="Verdana" w:eastAsia="Calibri" w:hAnsi="Verdana" w:cs="Arial"/>
                <w:lang w:val="es-ES_tradnl"/>
              </w:rPr>
              <w:t xml:space="preserve">icha conclusión </w:t>
            </w:r>
            <w:r>
              <w:rPr>
                <w:rFonts w:ascii="Verdana" w:eastAsia="Calibri" w:hAnsi="Verdana" w:cs="Arial"/>
                <w:lang w:val="es-ES_tradnl"/>
              </w:rPr>
              <w:t xml:space="preserve">fue compartida </w:t>
            </w:r>
            <w:r w:rsidRPr="00A97AB0">
              <w:rPr>
                <w:rFonts w:ascii="Verdana" w:eastAsia="Calibri" w:hAnsi="Verdana" w:cs="Arial"/>
                <w:lang w:val="es-ES_tradnl"/>
              </w:rPr>
              <w:t>por el Consejo de Estado en su Sala de Consulta y Servicio Civil</w:t>
            </w:r>
            <w:r>
              <w:rPr>
                <w:rFonts w:ascii="Verdana" w:eastAsia="Calibri" w:hAnsi="Verdana" w:cs="Arial"/>
                <w:lang w:val="es-ES_tradnl"/>
              </w:rPr>
              <w:t xml:space="preserve"> en el Concepto </w:t>
            </w:r>
            <w:r w:rsidRPr="004C634F">
              <w:rPr>
                <w:rFonts w:ascii="Verdana" w:eastAsia="Calibri" w:hAnsi="Verdana" w:cs="Arial"/>
              </w:rPr>
              <w:t>del 24 de abril de 2012,</w:t>
            </w:r>
            <w:r>
              <w:rPr>
                <w:rFonts w:ascii="Verdana" w:eastAsia="Calibri" w:hAnsi="Verdana" w:cs="Arial"/>
              </w:rPr>
              <w:t xml:space="preserve"> radicado interno 2099, </w:t>
            </w:r>
            <w:r>
              <w:rPr>
                <w:rFonts w:ascii="Verdana" w:eastAsia="Calibri" w:hAnsi="Verdana" w:cs="Arial"/>
                <w:lang w:val="es-ES_tradnl"/>
              </w:rPr>
              <w:t xml:space="preserve">cuando interpretó el alcance del artículo 38 de la Ley 734 de 2002, indicó: </w:t>
            </w:r>
            <w:r w:rsidRPr="00A97AB0">
              <w:rPr>
                <w:rFonts w:ascii="Verdana" w:eastAsia="Calibri" w:hAnsi="Verdana" w:cs="Arial"/>
                <w:lang w:val="es-ES_tradnl"/>
              </w:rPr>
              <w:t>“Como los efectos de la cesación son hacia futuro, debe entenderse que cuando la Contraloría competente declara haber recibido el pago o la Contraloría de la República excluye al responsable del boletín de responsables fiscales, la inhabilidad dejará de producir efectos hacia el futuro, y por tanto el sujeto afectado podrá aspirar al ejercicio de posteriores actividade</w:t>
            </w:r>
            <w:r>
              <w:rPr>
                <w:rFonts w:ascii="Verdana" w:eastAsia="Calibri" w:hAnsi="Verdana" w:cs="Arial"/>
                <w:lang w:val="es-ES_tradnl"/>
              </w:rPr>
              <w:t>s referidas al sector público”.</w:t>
            </w:r>
          </w:p>
          <w:p w14:paraId="4FFF2D65" w14:textId="77777777" w:rsidR="003058C5" w:rsidRPr="005366FC" w:rsidRDefault="003058C5" w:rsidP="00327490">
            <w:pPr>
              <w:spacing w:after="120" w:line="276" w:lineRule="auto"/>
              <w:ind w:firstLine="708"/>
              <w:jc w:val="both"/>
              <w:rPr>
                <w:rFonts w:ascii="Verdana" w:hAnsi="Verdana" w:cs="Arial"/>
                <w:color w:val="000000" w:themeColor="text1"/>
              </w:rPr>
            </w:pPr>
            <w:r>
              <w:rPr>
                <w:rFonts w:ascii="Verdana" w:hAnsi="Verdana" w:cs="Arial"/>
                <w:color w:val="000000" w:themeColor="text1"/>
              </w:rPr>
              <w:lastRenderedPageBreak/>
              <w:t xml:space="preserve">Por otra parte, las inhabilidades o incompatibilidades tienen carácter sobreviniente, es necesario tener en cuenta que el ordenamiento jurídico trata de manera distinta al oferente, al adjudicatario y al contratista. </w:t>
            </w:r>
            <w:r w:rsidRPr="006437AB">
              <w:rPr>
                <w:rFonts w:ascii="Verdana" w:hAnsi="Verdana" w:cs="Arial"/>
                <w:i/>
                <w:iCs/>
                <w:color w:val="000000" w:themeColor="text1"/>
              </w:rPr>
              <w:t>Respecto al ofer</w:t>
            </w:r>
            <w:r>
              <w:rPr>
                <w:rFonts w:ascii="Verdana" w:hAnsi="Verdana" w:cs="Arial"/>
                <w:i/>
                <w:iCs/>
                <w:color w:val="000000" w:themeColor="text1"/>
              </w:rPr>
              <w:t>en</w:t>
            </w:r>
            <w:r w:rsidRPr="006437AB">
              <w:rPr>
                <w:rFonts w:ascii="Verdana" w:hAnsi="Verdana" w:cs="Arial"/>
                <w:i/>
                <w:iCs/>
                <w:color w:val="000000" w:themeColor="text1"/>
              </w:rPr>
              <w:t>te</w:t>
            </w:r>
            <w:r>
              <w:rPr>
                <w:rFonts w:ascii="Verdana" w:hAnsi="Verdana" w:cs="Arial"/>
                <w:color w:val="000000" w:themeColor="text1"/>
              </w:rPr>
              <w:t>, el inciso segundo del artículo 9 de la Ley 80 de 1993 dispone que “</w:t>
            </w:r>
            <w:r w:rsidRPr="006437AB">
              <w:rPr>
                <w:rFonts w:ascii="Verdana" w:hAnsi="Verdana" w:cs="Arial"/>
                <w:color w:val="000000" w:themeColor="text1"/>
              </w:rPr>
              <w:t>Cuando la inhabilidad o incompatibilidad sobrevenga en un proponente dentro de un proceso de selección, se entenderá que renuncia a la participación en el proceso de selección y a los derechos surgidos del mismo</w:t>
            </w:r>
            <w:r>
              <w:rPr>
                <w:rFonts w:ascii="Verdana" w:hAnsi="Verdana" w:cs="Arial"/>
                <w:color w:val="000000" w:themeColor="text1"/>
              </w:rPr>
              <w:t>”</w:t>
            </w:r>
            <w:r w:rsidRPr="006437AB">
              <w:rPr>
                <w:rFonts w:ascii="Verdana" w:hAnsi="Verdana" w:cs="Arial"/>
                <w:color w:val="000000" w:themeColor="text1"/>
              </w:rPr>
              <w:t>.</w:t>
            </w:r>
            <w:r>
              <w:rPr>
                <w:rFonts w:ascii="Verdana" w:hAnsi="Verdana" w:cs="Arial"/>
                <w:color w:val="000000" w:themeColor="text1"/>
              </w:rPr>
              <w:t xml:space="preserve"> </w:t>
            </w:r>
            <w:r w:rsidRPr="00102540">
              <w:rPr>
                <w:rFonts w:ascii="Verdana" w:hAnsi="Verdana" w:cs="Arial"/>
                <w:i/>
                <w:iCs/>
                <w:color w:val="000000" w:themeColor="text1"/>
              </w:rPr>
              <w:t>Respecto al adjudicatario</w:t>
            </w:r>
            <w:r>
              <w:rPr>
                <w:rFonts w:ascii="Verdana" w:hAnsi="Verdana" w:cs="Arial"/>
                <w:color w:val="000000" w:themeColor="text1"/>
              </w:rPr>
              <w:t xml:space="preserve">, el inciso 3 del artículo 9 de la Ley 1150 de 2007 prescribe lo siguiente: “[…] </w:t>
            </w:r>
            <w:r w:rsidRPr="00102540">
              <w:rPr>
                <w:rFonts w:ascii="Verdana" w:hAnsi="Verdana" w:cs="Arial"/>
                <w:color w:val="000000" w:themeColor="text1"/>
              </w:rPr>
              <w:t xml:space="preserve">si dentro del plazo comprendido entre la adjudicación del contrato y la suscripción </w:t>
            </w:r>
            <w:proofErr w:type="gramStart"/>
            <w:r w:rsidRPr="00102540">
              <w:rPr>
                <w:rFonts w:ascii="Verdana" w:hAnsi="Verdana" w:cs="Arial"/>
                <w:color w:val="000000" w:themeColor="text1"/>
              </w:rPr>
              <w:t>del mismo</w:t>
            </w:r>
            <w:proofErr w:type="gramEnd"/>
            <w:r w:rsidRPr="00102540">
              <w:rPr>
                <w:rFonts w:ascii="Verdana" w:hAnsi="Verdana" w:cs="Arial"/>
                <w:color w:val="000000" w:themeColor="text1"/>
              </w:rPr>
              <w:t xml:space="preserve">, sobreviene una inhabilidad o incompatibilidad </w:t>
            </w:r>
            <w:r>
              <w:rPr>
                <w:rFonts w:ascii="Verdana" w:hAnsi="Verdana" w:cs="Arial"/>
                <w:color w:val="000000" w:themeColor="text1"/>
              </w:rPr>
              <w:t>[…]</w:t>
            </w:r>
            <w:r w:rsidRPr="00102540">
              <w:rPr>
                <w:rFonts w:ascii="Verdana" w:hAnsi="Verdana" w:cs="Arial"/>
                <w:color w:val="000000" w:themeColor="text1"/>
              </w:rPr>
              <w:t xml:space="preserve"> este podrá ser revocado</w:t>
            </w:r>
            <w:r>
              <w:rPr>
                <w:rFonts w:ascii="Verdana" w:hAnsi="Verdana" w:cs="Arial"/>
                <w:color w:val="000000" w:themeColor="text1"/>
              </w:rPr>
              <w:t xml:space="preserve"> […]”. </w:t>
            </w:r>
          </w:p>
          <w:p w14:paraId="0B7D66FE" w14:textId="77777777" w:rsidR="003058C5" w:rsidRPr="00072B24" w:rsidRDefault="003058C5" w:rsidP="00327490">
            <w:pPr>
              <w:spacing w:after="120" w:line="276" w:lineRule="auto"/>
              <w:ind w:firstLine="708"/>
              <w:jc w:val="both"/>
              <w:rPr>
                <w:rFonts w:ascii="Verdana" w:eastAsia="Calibri" w:hAnsi="Verdana" w:cs="Arial"/>
                <w:lang w:val="es-ES_tradnl"/>
              </w:rPr>
            </w:pPr>
            <w:r>
              <w:rPr>
                <w:rFonts w:ascii="Verdana" w:eastAsia="Calibri" w:hAnsi="Verdana" w:cs="Arial"/>
              </w:rPr>
              <w:t xml:space="preserve">En este escenario, en el evento que </w:t>
            </w:r>
            <w:r w:rsidRPr="00CB75A4">
              <w:rPr>
                <w:rFonts w:ascii="Verdana" w:eastAsia="Calibri" w:hAnsi="Verdana" w:cs="Arial"/>
              </w:rPr>
              <w:t xml:space="preserve">un proponente incurre en una inhabilidad sobreviniente derivada de un fallo de responsabilidad fiscal —que </w:t>
            </w:r>
            <w:r>
              <w:rPr>
                <w:rFonts w:ascii="Verdana" w:eastAsia="Calibri" w:hAnsi="Verdana" w:cs="Arial"/>
              </w:rPr>
              <w:t>implica a su vez,</w:t>
            </w:r>
            <w:r w:rsidRPr="00CB75A4">
              <w:rPr>
                <w:rFonts w:ascii="Verdana" w:eastAsia="Calibri" w:hAnsi="Verdana" w:cs="Arial"/>
              </w:rPr>
              <w:t xml:space="preserve"> la prohibición de contratar con el Estado por cinco años— es necesario precisar que estas inhabilidades producen efectos ex nunc, es decir, hacia el futuro. Esto significa que, desde el momento en que se configura la causal, el oferente queda impedido para continuar en el proceso de contratación o para suscribir el contrato mientras la restricción esté vigente. En consecuencia, la administración debe abstenerse de adjudicar o permitir la celebración del contrato si, al momento de la decisión, el proponente aún se encuentra inhabilitado, pues su capacidad jurídica se encuentra suspendida desde ese instante en adelante.</w:t>
            </w:r>
          </w:p>
          <w:p w14:paraId="64E4D5F1" w14:textId="77777777" w:rsidR="003058C5" w:rsidRDefault="003058C5" w:rsidP="00327490">
            <w:pPr>
              <w:spacing w:after="120" w:line="276" w:lineRule="auto"/>
              <w:jc w:val="both"/>
              <w:rPr>
                <w:rFonts w:ascii="Verdana" w:eastAsia="Calibri" w:hAnsi="Verdana" w:cs="Arial"/>
              </w:rPr>
            </w:pPr>
            <w:r>
              <w:rPr>
                <w:rFonts w:ascii="Verdana" w:eastAsia="Calibri" w:hAnsi="Verdana" w:cs="Arial"/>
              </w:rPr>
              <w:tab/>
              <w:t xml:space="preserve">La </w:t>
            </w:r>
            <w:r w:rsidRPr="00616A08">
              <w:rPr>
                <w:rFonts w:ascii="Verdana" w:eastAsia="Calibri" w:hAnsi="Verdana" w:cs="Arial"/>
              </w:rPr>
              <w:t xml:space="preserve">inhabilidad sobreviniente no compromete la validez de las actuaciones realizadas antes de su configuración, pues en ese momento el proponente se encontraba plenamente habilitado y actuó dentro del marco jurídico permitido. En virtud del principio de seguridad jurídica, estas actuaciones previas se mantienen incólumes, dado que las inhabilidades no producen efectos retroactivos sino </w:t>
            </w:r>
            <w:proofErr w:type="spellStart"/>
            <w:r w:rsidRPr="00616A08">
              <w:rPr>
                <w:rFonts w:ascii="Verdana" w:eastAsia="Calibri" w:hAnsi="Verdana" w:cs="Arial"/>
              </w:rPr>
              <w:t>irretroactivos</w:t>
            </w:r>
            <w:proofErr w:type="spellEnd"/>
            <w:r w:rsidRPr="00616A08">
              <w:rPr>
                <w:rFonts w:ascii="Verdana" w:eastAsia="Calibri" w:hAnsi="Verdana" w:cs="Arial"/>
              </w:rPr>
              <w:t>, lo que significa que solo despliegan consecuencias hacia el futuro desde el instante en que se materializan. Por ello, no se deshacen ni se afectan actos válidamente ejecutados con anterioridad, y la restricción únicamente limita la participación del proponente a partir de su configuración y mientras permanezca vigente.</w:t>
            </w:r>
            <w:r>
              <w:rPr>
                <w:rFonts w:ascii="Verdana" w:eastAsia="Calibri" w:hAnsi="Verdana" w:cs="Arial"/>
              </w:rPr>
              <w:t xml:space="preserve"> </w:t>
            </w:r>
          </w:p>
          <w:p w14:paraId="39F07D2E" w14:textId="77777777" w:rsidR="003058C5" w:rsidRPr="00103929" w:rsidRDefault="003058C5" w:rsidP="00327490">
            <w:pPr>
              <w:spacing w:after="120" w:line="276" w:lineRule="auto"/>
              <w:jc w:val="both"/>
              <w:rPr>
                <w:rFonts w:ascii="Verdana" w:eastAsia="Calibri" w:hAnsi="Verdana" w:cs="Arial"/>
              </w:rPr>
            </w:pPr>
            <w:r>
              <w:rPr>
                <w:rFonts w:ascii="Verdana" w:eastAsia="Calibri" w:hAnsi="Verdana" w:cs="Arial"/>
              </w:rPr>
              <w:lastRenderedPageBreak/>
              <w:tab/>
            </w:r>
            <w:r w:rsidRPr="00103929">
              <w:rPr>
                <w:rFonts w:ascii="Verdana" w:eastAsia="Calibri" w:hAnsi="Verdana" w:cs="Arial"/>
              </w:rPr>
              <w:t xml:space="preserve">En este </w:t>
            </w:r>
            <w:r>
              <w:rPr>
                <w:rFonts w:ascii="Verdana" w:eastAsia="Calibri" w:hAnsi="Verdana" w:cs="Arial"/>
              </w:rPr>
              <w:t>aspecto</w:t>
            </w:r>
            <w:r w:rsidRPr="00103929">
              <w:rPr>
                <w:rFonts w:ascii="Verdana" w:eastAsia="Calibri" w:hAnsi="Verdana" w:cs="Arial"/>
              </w:rPr>
              <w:t xml:space="preserve">, resulta fundamental identificar con precisión el </w:t>
            </w:r>
            <w:r w:rsidRPr="002B1125">
              <w:rPr>
                <w:rFonts w:ascii="Verdana" w:eastAsia="Calibri" w:hAnsi="Verdana" w:cs="Arial"/>
              </w:rPr>
              <w:t xml:space="preserve">momento exacto en que se configuró la inhabilidad para determinar si procede o no la exclusión del proponente dentro del proceso de contratación. No es lo mismo que la inhabilidad exista antes de la presentación de la oferta, caso en el cual el oferente no podría participar, que su configuración ocurra durante la evaluación o en la etapa previa a la adjudicación, </w:t>
            </w:r>
            <w:r>
              <w:rPr>
                <w:rFonts w:ascii="Verdana" w:eastAsia="Calibri" w:hAnsi="Verdana" w:cs="Arial"/>
              </w:rPr>
              <w:t xml:space="preserve">evento </w:t>
            </w:r>
            <w:r w:rsidRPr="002B1125">
              <w:rPr>
                <w:rFonts w:ascii="Verdana" w:eastAsia="Calibri" w:hAnsi="Verdana" w:cs="Arial"/>
              </w:rPr>
              <w:t xml:space="preserve">en el cual la entidad debe verificar si la restricción sigue vigente al momento de adoptar la decisión. Esta delimitación temporal es </w:t>
            </w:r>
            <w:r>
              <w:rPr>
                <w:rFonts w:ascii="Verdana" w:eastAsia="Calibri" w:hAnsi="Verdana" w:cs="Arial"/>
              </w:rPr>
              <w:t xml:space="preserve">determinante para definir la </w:t>
            </w:r>
            <w:r w:rsidRPr="000906E8">
              <w:rPr>
                <w:rFonts w:ascii="Verdana" w:eastAsia="Calibri" w:hAnsi="Verdana" w:cs="Arial"/>
              </w:rPr>
              <w:t>renuncia a la participación en el proceso de selección y a los derechos surgidos del mismo</w:t>
            </w:r>
            <w:r>
              <w:rPr>
                <w:rFonts w:ascii="Verdana" w:eastAsia="Calibri" w:hAnsi="Verdana" w:cs="Arial"/>
              </w:rPr>
              <w:t>, como lo dispone el artículo 9 de la Ley 80 de 1993</w:t>
            </w:r>
            <w:r w:rsidRPr="002B1125">
              <w:rPr>
                <w:rFonts w:ascii="Verdana" w:eastAsia="Calibri" w:hAnsi="Verdana" w:cs="Arial"/>
              </w:rPr>
              <w:t>.</w:t>
            </w:r>
            <w:r>
              <w:rPr>
                <w:rFonts w:ascii="Verdana" w:eastAsia="Calibri" w:hAnsi="Verdana" w:cs="Arial"/>
              </w:rPr>
              <w:t xml:space="preserve"> </w:t>
            </w:r>
            <w:r w:rsidRPr="00103929">
              <w:rPr>
                <w:rFonts w:ascii="Verdana" w:eastAsia="Calibri" w:hAnsi="Verdana" w:cs="Arial"/>
              </w:rPr>
              <w:t xml:space="preserve">Asimismo, debe considerarse que, si la inhabilidad deriva de un fallo de responsabilidad fiscal y el afectado </w:t>
            </w:r>
            <w:r w:rsidRPr="00912539">
              <w:rPr>
                <w:rFonts w:ascii="Verdana" w:eastAsia="Calibri" w:hAnsi="Verdana" w:cs="Arial"/>
              </w:rPr>
              <w:t>paga la obligación,</w:t>
            </w:r>
            <w:r w:rsidRPr="00103929">
              <w:rPr>
                <w:rFonts w:ascii="Verdana" w:eastAsia="Calibri" w:hAnsi="Verdana" w:cs="Arial"/>
              </w:rPr>
              <w:t xml:space="preserve"> la Contraloría General de la República procede a excluirlo del </w:t>
            </w:r>
            <w:r w:rsidRPr="00912539">
              <w:rPr>
                <w:rFonts w:ascii="Verdana" w:eastAsia="Calibri" w:hAnsi="Verdana" w:cs="Arial"/>
              </w:rPr>
              <w:t xml:space="preserve">Boletín de </w:t>
            </w:r>
            <w:proofErr w:type="gramStart"/>
            <w:r w:rsidRPr="00912539">
              <w:rPr>
                <w:rFonts w:ascii="Verdana" w:eastAsia="Calibri" w:hAnsi="Verdana" w:cs="Arial"/>
              </w:rPr>
              <w:t>Responsables</w:t>
            </w:r>
            <w:proofErr w:type="gramEnd"/>
            <w:r w:rsidRPr="00912539">
              <w:rPr>
                <w:rFonts w:ascii="Verdana" w:eastAsia="Calibri" w:hAnsi="Verdana" w:cs="Arial"/>
              </w:rPr>
              <w:t xml:space="preserve"> Fiscales, con</w:t>
            </w:r>
            <w:r w:rsidRPr="00103929">
              <w:rPr>
                <w:rFonts w:ascii="Verdana" w:eastAsia="Calibri" w:hAnsi="Verdana" w:cs="Arial"/>
              </w:rPr>
              <w:t xml:space="preserve"> lo cual la inhabilidad cesa y deja de producir efectos hacia el futuro.</w:t>
            </w:r>
            <w:r>
              <w:rPr>
                <w:rFonts w:ascii="Verdana" w:eastAsia="Calibri" w:hAnsi="Verdana" w:cs="Arial"/>
              </w:rPr>
              <w:t xml:space="preserve"> Por tanto</w:t>
            </w:r>
            <w:r w:rsidRPr="00103929">
              <w:rPr>
                <w:rFonts w:ascii="Verdana" w:eastAsia="Calibri" w:hAnsi="Verdana" w:cs="Arial"/>
              </w:rPr>
              <w:t xml:space="preserve">, una vez superada la causal, el sujeto recupera su capacidad jurídica para contratar y puede aspirar nuevamente </w:t>
            </w:r>
            <w:r>
              <w:rPr>
                <w:rFonts w:ascii="Verdana" w:eastAsia="Calibri" w:hAnsi="Verdana" w:cs="Arial"/>
              </w:rPr>
              <w:t>a seguir en el proceso de contratación</w:t>
            </w:r>
            <w:r w:rsidRPr="00103929">
              <w:rPr>
                <w:rFonts w:ascii="Verdana" w:eastAsia="Calibri" w:hAnsi="Verdana" w:cs="Arial"/>
              </w:rPr>
              <w:t>, sin que afecte la validez de las actuaciones previas realizadas cuando se encontraba habilitado.</w:t>
            </w:r>
          </w:p>
          <w:p w14:paraId="59FF2680" w14:textId="77777777" w:rsidR="003058C5" w:rsidRPr="00C26690" w:rsidRDefault="003058C5" w:rsidP="00327490">
            <w:pPr>
              <w:spacing w:after="120" w:line="276" w:lineRule="auto"/>
              <w:jc w:val="both"/>
              <w:rPr>
                <w:rFonts w:ascii="Verdana" w:eastAsia="Calibri" w:hAnsi="Verdana" w:cs="Arial"/>
              </w:rPr>
            </w:pPr>
            <w:r>
              <w:rPr>
                <w:rFonts w:ascii="Verdana" w:eastAsia="Calibri" w:hAnsi="Verdana" w:cs="Arial"/>
                <w:lang w:val="es-ES_tradnl"/>
              </w:rPr>
              <w:tab/>
              <w:t>En todo caso, es importante tener en cuenta</w:t>
            </w:r>
            <w:r>
              <w:rPr>
                <w:rFonts w:ascii="Verdana" w:eastAsia="Calibri" w:hAnsi="Verdana" w:cs="Arial"/>
              </w:rPr>
              <w:t xml:space="preserve"> </w:t>
            </w:r>
            <w:r w:rsidRPr="0022032F">
              <w:rPr>
                <w:rFonts w:ascii="Verdana" w:eastAsia="Calibri" w:hAnsi="Verdana" w:cs="Arial"/>
              </w:rPr>
              <w:t xml:space="preserve">la inhabilidad prevista en el literal b) del numeral 1 del artículo 8 de la Ley 80 de 1993 —“b) Quienes participaron en las licitaciones o concursos o celebraron los contratos de que trata el literal anterior estando inhabilitados”— requiere una interpretación sistemática con las reglas que determinan sus efectos y duración. En particular, dichos efectos se encuentran desarrollados en un aparte del inciso segundo del literal i) del mismo numeral y artículo. En efecto, esta disposición establece que: “[…] las previstas en los literales b) y e), se extenderán por un término de cinco (5) años contado a partir de la fecha de ocurrencia del hecho de la participación en la licitación o concurso, o de la de celebración del contrato, o de la de expiración del plazo para su firma”. En este sentido, el punto de partida para el cómputo del término no es la declaratoria posterior de la inhabilidad, sino la fecha misma de la conducta irregular. Esto incluye, según el caso, la participación en el proceso de selección —entendida como la presentación de la oferta o la celebración del contrato si de adelantó mediante un proceso no competitivo o de la expiración del plazo para su firma—. </w:t>
            </w:r>
          </w:p>
        </w:tc>
      </w:tr>
    </w:tbl>
    <w:p w14:paraId="1AB6E91D" w14:textId="77777777" w:rsidR="003058C5" w:rsidRPr="0070090C" w:rsidRDefault="003058C5" w:rsidP="003058C5">
      <w:pPr>
        <w:spacing w:after="0" w:line="276" w:lineRule="auto"/>
        <w:contextualSpacing/>
        <w:rPr>
          <w:rFonts w:ascii="Verdana" w:eastAsia="Calibri" w:hAnsi="Verdana" w:cs="Times New Roman"/>
          <w:b/>
          <w:bCs/>
        </w:rPr>
      </w:pPr>
    </w:p>
    <w:p w14:paraId="7619C683" w14:textId="77777777" w:rsidR="003058C5" w:rsidRPr="0060163E" w:rsidRDefault="003058C5" w:rsidP="003058C5">
      <w:pPr>
        <w:spacing w:after="0" w:line="276" w:lineRule="auto"/>
        <w:contextualSpacing/>
        <w:rPr>
          <w:rFonts w:ascii="Verdana" w:eastAsia="Calibri" w:hAnsi="Verdana" w:cs="Times New Roman"/>
          <w:b/>
          <w:bCs/>
          <w:lang w:val="es-ES"/>
        </w:rPr>
      </w:pPr>
      <w:r>
        <w:rPr>
          <w:rFonts w:ascii="Verdana" w:eastAsia="Calibri" w:hAnsi="Verdana" w:cs="Times New Roman"/>
          <w:b/>
          <w:bCs/>
          <w:lang w:val="es-ES"/>
        </w:rPr>
        <w:t xml:space="preserve">III. </w:t>
      </w:r>
      <w:r w:rsidRPr="0060163E">
        <w:rPr>
          <w:rFonts w:ascii="Verdana" w:eastAsia="Calibri" w:hAnsi="Verdana" w:cs="Times New Roman"/>
          <w:b/>
          <w:bCs/>
          <w:lang w:val="es-ES"/>
        </w:rPr>
        <w:t>Razones de la respuesta:</w:t>
      </w:r>
    </w:p>
    <w:p w14:paraId="55E18CA5" w14:textId="77777777" w:rsidR="003058C5" w:rsidRPr="0060163E" w:rsidRDefault="003058C5" w:rsidP="003058C5">
      <w:pPr>
        <w:spacing w:after="0" w:line="276" w:lineRule="auto"/>
        <w:rPr>
          <w:rFonts w:ascii="Verdana" w:eastAsia="Calibri" w:hAnsi="Verdana" w:cs="Times New Roman"/>
          <w:b/>
          <w:bCs/>
          <w:lang w:val="es-ES"/>
        </w:rPr>
      </w:pPr>
    </w:p>
    <w:p w14:paraId="48DD75ED" w14:textId="77777777" w:rsidR="003058C5" w:rsidRPr="0060163E" w:rsidRDefault="003058C5" w:rsidP="003058C5">
      <w:pPr>
        <w:spacing w:after="0" w:line="276" w:lineRule="auto"/>
        <w:jc w:val="both"/>
        <w:rPr>
          <w:rFonts w:ascii="Verdana" w:eastAsia="Calibri" w:hAnsi="Verdana" w:cs="Arial"/>
          <w:lang w:val="es-ES"/>
        </w:rPr>
      </w:pPr>
      <w:r w:rsidRPr="0060163E">
        <w:rPr>
          <w:rFonts w:ascii="Verdana" w:eastAsia="Calibri" w:hAnsi="Verdana" w:cs="Arial"/>
          <w:lang w:val="es-ES"/>
        </w:rPr>
        <w:t xml:space="preserve">Lo anterior se sustenta en las siguientes consideraciones: </w:t>
      </w:r>
    </w:p>
    <w:p w14:paraId="7301D2B8" w14:textId="77777777" w:rsidR="003058C5" w:rsidRPr="0060163E" w:rsidRDefault="003058C5" w:rsidP="003058C5">
      <w:pPr>
        <w:spacing w:after="0" w:line="276" w:lineRule="auto"/>
        <w:jc w:val="both"/>
        <w:rPr>
          <w:rFonts w:ascii="Verdana" w:eastAsia="Calibri" w:hAnsi="Verdana" w:cs="Arial"/>
          <w:lang w:val="es-MX"/>
        </w:rPr>
      </w:pPr>
    </w:p>
    <w:p w14:paraId="27FDE3F1" w14:textId="77777777" w:rsidR="003058C5" w:rsidRDefault="003058C5" w:rsidP="003058C5">
      <w:pPr>
        <w:spacing w:after="0" w:line="276" w:lineRule="auto"/>
        <w:jc w:val="both"/>
        <w:rPr>
          <w:rFonts w:ascii="Verdana" w:eastAsia="Calibri" w:hAnsi="Verdana" w:cs="Arial"/>
          <w:lang w:val="es-MX"/>
        </w:rPr>
      </w:pPr>
      <w:r>
        <w:rPr>
          <w:rFonts w:ascii="Verdana" w:eastAsia="Calibri" w:hAnsi="Verdana" w:cs="Arial"/>
          <w:lang w:val="es-MX"/>
        </w:rPr>
        <w:t>i.</w:t>
      </w:r>
      <w:r w:rsidRPr="0060163E">
        <w:rPr>
          <w:rFonts w:ascii="Verdana" w:eastAsia="Calibri" w:hAnsi="Verdana" w:cs="Arial"/>
          <w:lang w:val="es-MX"/>
        </w:rPr>
        <w:t xml:space="preserve"> Las inhabilidades son circunstancias establecidas por la Constitución o la ley que impiden que personas naturales o jurídicas sean elegidas o d</w:t>
      </w:r>
      <w:r>
        <w:rPr>
          <w:rFonts w:ascii="Verdana" w:eastAsia="Calibri" w:hAnsi="Verdana" w:cs="Arial"/>
          <w:lang w:val="es-MX"/>
        </w:rPr>
        <w:t xml:space="preserve">esignadas en un cargo público, </w:t>
      </w:r>
      <w:r w:rsidRPr="0060163E">
        <w:rPr>
          <w:rFonts w:ascii="Verdana" w:eastAsia="Calibri" w:hAnsi="Verdana" w:cs="Arial"/>
          <w:lang w:val="es-MX"/>
        </w:rPr>
        <w:t>celebren contratos con el Estado</w:t>
      </w:r>
      <w:r>
        <w:rPr>
          <w:rFonts w:ascii="Verdana" w:eastAsia="Calibri" w:hAnsi="Verdana" w:cs="Arial"/>
          <w:lang w:val="es-MX"/>
        </w:rPr>
        <w:t>, o no puedan ejercer una profesión</w:t>
      </w:r>
      <w:r w:rsidRPr="0060163E">
        <w:rPr>
          <w:rFonts w:ascii="Verdana" w:eastAsia="Calibri" w:hAnsi="Verdana" w:cs="Arial"/>
          <w:lang w:val="es-MX"/>
        </w:rPr>
        <w:t xml:space="preserve">, con el objetivo de garantizar la idoneidad, imparcialidad, probidad, transparencia y moralidad de la función pública, garantizando el interés general. </w:t>
      </w:r>
      <w:r>
        <w:rPr>
          <w:rFonts w:ascii="Verdana" w:eastAsia="Calibri" w:hAnsi="Verdana" w:cs="Arial"/>
          <w:lang w:val="es-MX"/>
        </w:rPr>
        <w:t xml:space="preserve">De igual modo, en torno a la incompatibilidad, la Corte Constitucional ha señalado: </w:t>
      </w:r>
    </w:p>
    <w:p w14:paraId="521E5B35" w14:textId="77777777" w:rsidR="003058C5" w:rsidRPr="00D377F0" w:rsidRDefault="003058C5" w:rsidP="003058C5">
      <w:pPr>
        <w:spacing w:after="0" w:line="276" w:lineRule="auto"/>
        <w:jc w:val="both"/>
        <w:rPr>
          <w:rFonts w:ascii="Verdana" w:eastAsia="Calibri" w:hAnsi="Verdana" w:cs="Arial"/>
          <w:sz w:val="20"/>
          <w:szCs w:val="20"/>
          <w:lang w:val="es-MX"/>
        </w:rPr>
      </w:pPr>
    </w:p>
    <w:p w14:paraId="719DE51B" w14:textId="77777777" w:rsidR="003058C5" w:rsidRPr="00D377F0" w:rsidRDefault="003058C5" w:rsidP="003058C5">
      <w:pPr>
        <w:spacing w:after="0" w:line="240" w:lineRule="auto"/>
        <w:ind w:left="709" w:right="709"/>
        <w:jc w:val="both"/>
        <w:rPr>
          <w:rFonts w:ascii="Verdana" w:eastAsia="Calibri" w:hAnsi="Verdana" w:cs="Arial"/>
          <w:bCs/>
          <w:iCs/>
          <w:sz w:val="20"/>
          <w:szCs w:val="20"/>
          <w:lang w:val="es-ES"/>
        </w:rPr>
      </w:pPr>
      <w:r w:rsidRPr="00D377F0">
        <w:rPr>
          <w:rFonts w:ascii="Verdana" w:eastAsia="Calibri" w:hAnsi="Verdana" w:cs="Arial"/>
          <w:sz w:val="20"/>
          <w:szCs w:val="20"/>
          <w:lang w:val="es-MX"/>
        </w:rPr>
        <w:t xml:space="preserve"> </w:t>
      </w:r>
      <w:r w:rsidRPr="00D377F0">
        <w:rPr>
          <w:rFonts w:ascii="Verdana" w:eastAsia="Calibri" w:hAnsi="Verdana" w:cs="Arial"/>
          <w:bCs/>
          <w:iCs/>
          <w:sz w:val="20"/>
          <w:szCs w:val="20"/>
          <w:lang w:val="es-ES"/>
        </w:rPr>
        <w:t>“[…] una prohibición dirigida al titular de una función pública a quien, por ese hecho, se le impide ocuparse de ciertas actividades o ejercer, simultáneamente, las competencias propias de la función que desempeña y las correspondientes a otros cargos o empleos, en guarda del interés superior que puede verse afectado por una indebida acumulación de funciones o por la confluencia de intereses poco conciliables y capaces, en todo caso, de afectar la imparcialidad y la independencia que deben guiar las actuaciones de quien ejerce la autoridad en nombre del Estado”</w:t>
      </w:r>
      <w:r w:rsidRPr="00D377F0">
        <w:rPr>
          <w:rFonts w:ascii="Verdana" w:eastAsia="Calibri" w:hAnsi="Verdana" w:cs="Arial"/>
          <w:bCs/>
          <w:iCs/>
          <w:sz w:val="20"/>
          <w:szCs w:val="20"/>
          <w:vertAlign w:val="superscript"/>
          <w:lang w:val="es-ES"/>
        </w:rPr>
        <w:footnoteReference w:id="1"/>
      </w:r>
      <w:r w:rsidRPr="00D377F0">
        <w:rPr>
          <w:rFonts w:ascii="Verdana" w:eastAsia="Calibri" w:hAnsi="Verdana" w:cs="Arial"/>
          <w:bCs/>
          <w:iCs/>
          <w:sz w:val="20"/>
          <w:szCs w:val="20"/>
          <w:lang w:val="es-ES"/>
        </w:rPr>
        <w:t>.</w:t>
      </w:r>
    </w:p>
    <w:p w14:paraId="516B2961" w14:textId="77777777" w:rsidR="003058C5" w:rsidRPr="000B4D9F" w:rsidRDefault="003058C5" w:rsidP="003058C5">
      <w:pPr>
        <w:spacing w:after="0" w:line="240" w:lineRule="auto"/>
        <w:ind w:left="709" w:right="709"/>
        <w:jc w:val="both"/>
        <w:rPr>
          <w:rFonts w:ascii="Verdana" w:eastAsia="Calibri" w:hAnsi="Verdana" w:cs="Arial"/>
          <w:bCs/>
          <w:iCs/>
          <w:sz w:val="21"/>
          <w:szCs w:val="21"/>
          <w:lang w:val="es-ES_tradnl"/>
        </w:rPr>
      </w:pPr>
    </w:p>
    <w:p w14:paraId="171F4FB9" w14:textId="77777777" w:rsidR="003058C5" w:rsidRDefault="003058C5" w:rsidP="003058C5">
      <w:pPr>
        <w:spacing w:after="120" w:line="276" w:lineRule="auto"/>
        <w:ind w:firstLine="709"/>
        <w:jc w:val="both"/>
        <w:rPr>
          <w:rFonts w:ascii="Verdana" w:eastAsia="Calibri" w:hAnsi="Verdana" w:cs="Arial"/>
          <w:lang w:val="es-MX"/>
        </w:rPr>
      </w:pPr>
      <w:r>
        <w:rPr>
          <w:rFonts w:ascii="Verdana" w:eastAsia="Calibri" w:hAnsi="Verdana" w:cs="Arial"/>
          <w:lang w:val="es-MX"/>
        </w:rPr>
        <w:t>Las inhabilidades e incompatibilidades pueden enfocarse en varios asuntos: en primer lugar, se encuentran las inhabilidades e incompatibilidades que impiden que u</w:t>
      </w:r>
      <w:proofErr w:type="spellStart"/>
      <w:r w:rsidRPr="007218AE">
        <w:rPr>
          <w:rFonts w:ascii="Verdana" w:eastAsia="Calibri" w:hAnsi="Verdana" w:cs="Arial"/>
        </w:rPr>
        <w:t>na</w:t>
      </w:r>
      <w:proofErr w:type="spellEnd"/>
      <w:r w:rsidRPr="007218AE">
        <w:rPr>
          <w:rFonts w:ascii="Verdana" w:eastAsia="Calibri" w:hAnsi="Verdana" w:cs="Arial"/>
        </w:rPr>
        <w:t xml:space="preserve"> persona sea elegida, designada para un cargo público, como también en ciertos </w:t>
      </w:r>
      <w:r>
        <w:rPr>
          <w:rFonts w:ascii="Verdana" w:eastAsia="Calibri" w:hAnsi="Verdana" w:cs="Arial"/>
        </w:rPr>
        <w:t xml:space="preserve">eventos </w:t>
      </w:r>
      <w:r w:rsidRPr="007218AE">
        <w:rPr>
          <w:rFonts w:ascii="Verdana" w:eastAsia="Calibri" w:hAnsi="Verdana" w:cs="Arial"/>
        </w:rPr>
        <w:t xml:space="preserve">impiden que la persona </w:t>
      </w:r>
      <w:r>
        <w:rPr>
          <w:rFonts w:ascii="Verdana" w:eastAsia="Calibri" w:hAnsi="Verdana" w:cs="Arial"/>
        </w:rPr>
        <w:t xml:space="preserve">se encuentre </w:t>
      </w:r>
      <w:r w:rsidRPr="007218AE">
        <w:rPr>
          <w:rFonts w:ascii="Verdana" w:eastAsia="Calibri" w:hAnsi="Verdana" w:cs="Arial"/>
        </w:rPr>
        <w:t>vinculada a la f</w:t>
      </w:r>
      <w:r>
        <w:rPr>
          <w:rFonts w:ascii="Verdana" w:eastAsia="Calibri" w:hAnsi="Verdana" w:cs="Arial"/>
        </w:rPr>
        <w:t xml:space="preserve">unción pública continúe en ella; en segundo lugar, se hallan las inhabilidades e incompatibilidades para el ejercicio de una profesión, las cuales se constituyen </w:t>
      </w:r>
      <w:r>
        <w:rPr>
          <w:rFonts w:ascii="Verdana" w:eastAsia="Calibri" w:hAnsi="Verdana" w:cs="Arial"/>
          <w:lang w:val="es-MX"/>
        </w:rPr>
        <w:t xml:space="preserve">en restricciones que impiden el ejercicio de una profesión que encuentran sustento en el artículo 26 de la Constitución Política; en tercer lugar, se encuentra el régimen de inhabilidades e incompatibilidades en la contratación estatal, que busca limitar la celebración de contratos, así como evitar que siga contratando por una inhabilidad o incompatibilidad sobreviniente. </w:t>
      </w:r>
      <w:proofErr w:type="gramStart"/>
      <w:r>
        <w:rPr>
          <w:rFonts w:ascii="Verdana" w:eastAsia="Calibri" w:hAnsi="Verdana" w:cs="Arial"/>
          <w:lang w:val="es-MX"/>
        </w:rPr>
        <w:t>De acuerdo a</w:t>
      </w:r>
      <w:proofErr w:type="gramEnd"/>
      <w:r>
        <w:rPr>
          <w:rFonts w:ascii="Verdana" w:eastAsia="Calibri" w:hAnsi="Verdana" w:cs="Arial"/>
          <w:lang w:val="es-MX"/>
        </w:rPr>
        <w:t xml:space="preserve"> lo expuesto, se señala que la Agencia Nacional de Contratación Pública es competente para resolver consultas sobre normas del sistema de compras y </w:t>
      </w:r>
      <w:r>
        <w:rPr>
          <w:rFonts w:ascii="Verdana" w:eastAsia="Calibri" w:hAnsi="Verdana" w:cs="Arial"/>
          <w:lang w:val="es-MX"/>
        </w:rPr>
        <w:lastRenderedPageBreak/>
        <w:t xml:space="preserve">contratación públicas que establezca inhabilidades e incompatibilidades para contratar con el Estado. </w:t>
      </w:r>
    </w:p>
    <w:p w14:paraId="27422BC0" w14:textId="77777777" w:rsidR="003058C5" w:rsidRPr="0060163E" w:rsidRDefault="003058C5" w:rsidP="003058C5">
      <w:pPr>
        <w:spacing w:after="120" w:line="276" w:lineRule="auto"/>
        <w:ind w:firstLine="709"/>
        <w:jc w:val="both"/>
        <w:rPr>
          <w:rFonts w:ascii="Verdana" w:eastAsia="Calibri" w:hAnsi="Verdana" w:cs="Arial"/>
          <w:lang w:val="es-MX"/>
        </w:rPr>
      </w:pPr>
      <w:r>
        <w:rPr>
          <w:rFonts w:ascii="Verdana" w:eastAsia="Calibri" w:hAnsi="Verdana" w:cs="Arial"/>
          <w:lang w:val="es-MX"/>
        </w:rPr>
        <w:t>Para ello, hay que precisar que, el</w:t>
      </w:r>
      <w:r w:rsidRPr="0060163E">
        <w:rPr>
          <w:rFonts w:ascii="Verdana" w:eastAsia="Calibri" w:hAnsi="Verdana" w:cs="Arial"/>
          <w:lang w:val="es-MX"/>
        </w:rPr>
        <w:t xml:space="preserve">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60163E">
        <w:rPr>
          <w:rFonts w:ascii="Verdana" w:eastAsia="Calibri" w:hAnsi="Verdana" w:cs="Arial"/>
          <w:vertAlign w:val="superscript"/>
          <w:lang w:val="es-MX"/>
        </w:rPr>
        <w:footnoteReference w:id="2"/>
      </w:r>
    </w:p>
    <w:p w14:paraId="3095196D" w14:textId="77777777" w:rsidR="003058C5" w:rsidRPr="0060163E" w:rsidRDefault="003058C5" w:rsidP="003058C5">
      <w:pPr>
        <w:spacing w:before="120" w:after="0" w:line="276" w:lineRule="auto"/>
        <w:ind w:firstLine="709"/>
        <w:jc w:val="both"/>
        <w:rPr>
          <w:rFonts w:ascii="Verdana" w:eastAsia="Calibri" w:hAnsi="Verdana" w:cs="Arial"/>
          <w:lang w:val="es-MX"/>
        </w:rPr>
      </w:pPr>
      <w:r w:rsidRPr="0060163E">
        <w:rPr>
          <w:rFonts w:ascii="Verdana" w:eastAsia="Calibri" w:hAnsi="Verdana" w:cs="Arial"/>
          <w:lang w:val="es-MX"/>
        </w:rPr>
        <w:t>La regulación de las inhabilidades que implican limitaciones a la capacidad jurídica para contratar, que desarrolla los principios de la función administrativa consagrados en el artículo 209 de la Constitución Política, con especial énfasis</w:t>
      </w:r>
      <w:r>
        <w:rPr>
          <w:rFonts w:ascii="Verdana" w:eastAsia="Calibri" w:hAnsi="Verdana" w:cs="Arial"/>
          <w:lang w:val="es-MX"/>
        </w:rPr>
        <w:t>,</w:t>
      </w:r>
      <w:r w:rsidRPr="0060163E">
        <w:rPr>
          <w:rFonts w:ascii="Verdana" w:eastAsia="Calibri" w:hAnsi="Verdana" w:cs="Arial"/>
          <w:lang w:val="es-MX"/>
        </w:rPr>
        <w:t xml:space="preserve"> el de moralidad. Así lo entiende el Consejo de Estado: </w:t>
      </w:r>
    </w:p>
    <w:p w14:paraId="62FD38AC" w14:textId="77777777" w:rsidR="003058C5" w:rsidRPr="0060163E" w:rsidRDefault="003058C5" w:rsidP="003058C5">
      <w:pPr>
        <w:spacing w:after="0" w:line="276" w:lineRule="auto"/>
        <w:jc w:val="both"/>
        <w:rPr>
          <w:rFonts w:ascii="Verdana" w:eastAsia="Calibri" w:hAnsi="Verdana" w:cs="Arial"/>
          <w:lang w:val="es-MX"/>
        </w:rPr>
      </w:pPr>
    </w:p>
    <w:p w14:paraId="277402AA" w14:textId="77777777" w:rsidR="003058C5" w:rsidRPr="0045272C" w:rsidRDefault="003058C5" w:rsidP="003058C5">
      <w:pPr>
        <w:shd w:val="clear" w:color="auto" w:fill="FFFFFF"/>
        <w:spacing w:after="0" w:line="240" w:lineRule="auto"/>
        <w:ind w:left="709" w:right="709"/>
        <w:jc w:val="both"/>
        <w:rPr>
          <w:rFonts w:ascii="Verdana" w:eastAsia="Calibri" w:hAnsi="Verdana" w:cs="Arial"/>
          <w:sz w:val="20"/>
          <w:szCs w:val="20"/>
          <w:lang w:val="es-ES"/>
        </w:rPr>
      </w:pPr>
      <w:r w:rsidRPr="0045272C">
        <w:rPr>
          <w:rFonts w:ascii="Verdana" w:eastAsia="Calibri" w:hAnsi="Verdana" w:cs="Arial"/>
          <w:sz w:val="20"/>
          <w:szCs w:val="20"/>
          <w:lang w:val="es-E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289707FB" w14:textId="77777777" w:rsidR="003058C5" w:rsidRPr="0045272C" w:rsidRDefault="003058C5" w:rsidP="003058C5">
      <w:pPr>
        <w:shd w:val="clear" w:color="auto" w:fill="FFFFFF"/>
        <w:spacing w:after="0" w:line="240" w:lineRule="auto"/>
        <w:ind w:left="709" w:right="709"/>
        <w:jc w:val="both"/>
        <w:rPr>
          <w:rFonts w:ascii="Verdana" w:eastAsia="Calibri" w:hAnsi="Verdana" w:cs="Arial"/>
          <w:sz w:val="20"/>
          <w:szCs w:val="20"/>
          <w:lang w:val="es-ES"/>
        </w:rPr>
      </w:pPr>
    </w:p>
    <w:p w14:paraId="4519E1F4" w14:textId="77777777" w:rsidR="003058C5" w:rsidRPr="0045272C" w:rsidRDefault="003058C5" w:rsidP="003058C5">
      <w:pPr>
        <w:shd w:val="clear" w:color="auto" w:fill="FFFFFF"/>
        <w:spacing w:after="0" w:line="240" w:lineRule="auto"/>
        <w:ind w:left="709" w:right="709"/>
        <w:jc w:val="both"/>
        <w:rPr>
          <w:rFonts w:ascii="Verdana" w:eastAsia="Calibri" w:hAnsi="Verdana" w:cs="Arial"/>
          <w:sz w:val="20"/>
          <w:szCs w:val="20"/>
          <w:lang w:val="es-ES"/>
        </w:rPr>
      </w:pPr>
      <w:r w:rsidRPr="0045272C">
        <w:rPr>
          <w:rFonts w:ascii="Verdana" w:eastAsia="Calibri" w:hAnsi="Verdana" w:cs="Arial"/>
          <w:sz w:val="20"/>
          <w:szCs w:val="20"/>
          <w:lang w:val="es-ES"/>
        </w:rPr>
        <w:t xml:space="preserve">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w:t>
      </w:r>
      <w:r w:rsidRPr="0045272C">
        <w:rPr>
          <w:rFonts w:ascii="Verdana" w:eastAsia="Calibri" w:hAnsi="Verdana" w:cs="Arial"/>
          <w:sz w:val="20"/>
          <w:szCs w:val="20"/>
          <w:lang w:val="es-ES"/>
        </w:rPr>
        <w:lastRenderedPageBreak/>
        <w:t>razón de ese fin de interés general como regla legal prevalente, esto es que puede ser impuesta sobre el derecho individual a contratar con el Estado”</w:t>
      </w:r>
      <w:r w:rsidRPr="0045272C">
        <w:rPr>
          <w:rFonts w:ascii="Verdana" w:eastAsia="Calibri" w:hAnsi="Verdana" w:cs="Arial"/>
          <w:sz w:val="20"/>
          <w:szCs w:val="20"/>
          <w:vertAlign w:val="superscript"/>
          <w:lang w:val="es-ES"/>
        </w:rPr>
        <w:footnoteReference w:id="3"/>
      </w:r>
    </w:p>
    <w:p w14:paraId="0CFE2935" w14:textId="77777777" w:rsidR="003058C5" w:rsidRPr="0045272C" w:rsidRDefault="003058C5" w:rsidP="003058C5">
      <w:pPr>
        <w:shd w:val="clear" w:color="auto" w:fill="FFFFFF"/>
        <w:spacing w:after="0" w:line="240" w:lineRule="auto"/>
        <w:ind w:left="709" w:right="709"/>
        <w:jc w:val="both"/>
        <w:rPr>
          <w:rFonts w:ascii="Verdana" w:eastAsia="Calibri" w:hAnsi="Verdana" w:cs="Arial"/>
          <w:sz w:val="20"/>
          <w:szCs w:val="20"/>
          <w:lang w:val="es-ES"/>
        </w:rPr>
      </w:pPr>
    </w:p>
    <w:p w14:paraId="0D7F8862" w14:textId="77777777" w:rsidR="003058C5" w:rsidRPr="0060163E" w:rsidRDefault="003058C5" w:rsidP="003058C5">
      <w:pPr>
        <w:spacing w:after="0" w:line="276" w:lineRule="auto"/>
        <w:ind w:firstLine="709"/>
        <w:jc w:val="both"/>
        <w:rPr>
          <w:rFonts w:ascii="Verdana" w:eastAsia="Calibri" w:hAnsi="Verdana" w:cs="Arial"/>
          <w:lang w:val="es-MX"/>
        </w:rPr>
      </w:pPr>
      <w:r w:rsidRPr="0060163E">
        <w:rPr>
          <w:rFonts w:ascii="Verdana" w:eastAsia="Calibri" w:hAnsi="Verdana" w:cs="Arial"/>
          <w:lang w:val="es-MX"/>
        </w:rPr>
        <w:t xml:space="preserve">Así las cosas,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La Corte Constitucional ha reconocido que estas limitaciones deben justificarse en la salvaguarda del interés general y que su interpretación es taxativa y restrictiva: </w:t>
      </w:r>
    </w:p>
    <w:p w14:paraId="709FDEEE" w14:textId="77777777" w:rsidR="003058C5" w:rsidRPr="004218E1" w:rsidRDefault="003058C5" w:rsidP="003058C5">
      <w:pPr>
        <w:spacing w:after="0" w:line="276" w:lineRule="auto"/>
        <w:rPr>
          <w:rFonts w:ascii="Verdana" w:eastAsia="Times New Roman" w:hAnsi="Verdana" w:cs="Arial"/>
          <w:sz w:val="21"/>
          <w:szCs w:val="21"/>
          <w:shd w:val="clear" w:color="auto" w:fill="FFFFFF"/>
          <w:lang w:eastAsia="es-ES_tradnl"/>
        </w:rPr>
      </w:pPr>
    </w:p>
    <w:p w14:paraId="40384DAB" w14:textId="77777777" w:rsidR="003058C5" w:rsidRPr="0045272C" w:rsidRDefault="003058C5" w:rsidP="003058C5">
      <w:pPr>
        <w:spacing w:after="0" w:line="240" w:lineRule="auto"/>
        <w:ind w:left="709" w:right="709"/>
        <w:jc w:val="both"/>
        <w:rPr>
          <w:rFonts w:ascii="Verdana" w:eastAsia="Calibri" w:hAnsi="Verdana" w:cs="Arial"/>
          <w:sz w:val="20"/>
          <w:szCs w:val="20"/>
          <w:lang w:val="es-MX"/>
        </w:rPr>
      </w:pPr>
      <w:r w:rsidRPr="0045272C">
        <w:rPr>
          <w:rFonts w:ascii="Verdana" w:eastAsia="Calibri" w:hAnsi="Verdana" w:cs="Arial"/>
          <w:sz w:val="20"/>
          <w:szCs w:val="20"/>
          <w:lang w:val="es-MX"/>
        </w:rPr>
        <w:t xml:space="preserve">“Todo régimen de inhabilidades e incompatibilidades de suyo excluye a ciertas categorías de personas del proceso de contratación, generando incapacidades especiales, impedimentos y prohibiciones de variada naturaleza, que en cierta medida afectan el derecho a la personalidad jurídica traducido, a su turno, en el principio general de capacidad legal [CC arts. 1502 y 1503; ley 80 de 1993, art. 6]. De ordinario, como ocurre en la contratación estatal, la inobservancia del régimen de inhabilidades e </w:t>
      </w:r>
      <w:proofErr w:type="gramStart"/>
      <w:r w:rsidRPr="0045272C">
        <w:rPr>
          <w:rFonts w:ascii="Verdana" w:eastAsia="Calibri" w:hAnsi="Verdana" w:cs="Arial"/>
          <w:sz w:val="20"/>
          <w:szCs w:val="20"/>
          <w:lang w:val="es-MX"/>
        </w:rPr>
        <w:t>incompatibilidades,</w:t>
      </w:r>
      <w:proofErr w:type="gramEnd"/>
      <w:r w:rsidRPr="0045272C">
        <w:rPr>
          <w:rFonts w:ascii="Verdana" w:eastAsia="Calibri" w:hAnsi="Verdana" w:cs="Arial"/>
          <w:sz w:val="20"/>
          <w:szCs w:val="20"/>
          <w:lang w:val="es-MX"/>
        </w:rPr>
        <w:t xml:space="preserve"> se erige en causal de nulidad del contrato celebrado en esas condiciones (ley 80 de 1993, art. 44).</w:t>
      </w:r>
    </w:p>
    <w:p w14:paraId="4B0860AD" w14:textId="77777777" w:rsidR="003058C5" w:rsidRPr="0045272C" w:rsidRDefault="003058C5" w:rsidP="003058C5">
      <w:pPr>
        <w:spacing w:after="0" w:line="240" w:lineRule="auto"/>
        <w:ind w:left="709" w:right="709"/>
        <w:jc w:val="both"/>
        <w:rPr>
          <w:rFonts w:ascii="Verdana" w:eastAsia="Calibri" w:hAnsi="Verdana" w:cs="Arial"/>
          <w:sz w:val="20"/>
          <w:szCs w:val="20"/>
          <w:lang w:val="es-MX"/>
        </w:rPr>
      </w:pPr>
    </w:p>
    <w:p w14:paraId="1B71B899" w14:textId="77777777" w:rsidR="003058C5" w:rsidRPr="0045272C" w:rsidRDefault="003058C5" w:rsidP="003058C5">
      <w:pPr>
        <w:spacing w:after="0" w:line="240" w:lineRule="auto"/>
        <w:ind w:left="709" w:right="709"/>
        <w:jc w:val="both"/>
        <w:rPr>
          <w:rFonts w:ascii="Verdana" w:eastAsia="Calibri" w:hAnsi="Verdana" w:cs="Arial"/>
          <w:sz w:val="20"/>
          <w:szCs w:val="20"/>
          <w:lang w:val="es-MX"/>
        </w:rPr>
      </w:pPr>
      <w:r w:rsidRPr="0045272C">
        <w:rPr>
          <w:rFonts w:ascii="Verdana" w:eastAsia="Calibri" w:hAnsi="Verdana" w:cs="Arial"/>
          <w:sz w:val="20"/>
          <w:szCs w:val="20"/>
          <w:lang w:val="es-MX"/>
        </w:rPr>
        <w:t>El carácter reconocidamente taxativo y restrictivo de este régimen y el de las correlativas nulidades, obedece a la necesidad de salvaguardar el interés general ínsito en la contratación pública de manera que implique el menor sacrificio posible al derecho de igualdad y de reconocimiento de la personalidad jurídica de quienes aspiran a contratar con el Estado. Es evidente que si la restricción legal [incompatibilidad o inhabilidad] no se sustenta en ninguna necesidad de protección del interés general o ésta es irrazonable o desproporcionada, en esa misma medida pierde justificación constitucional como medio legítimo para restringir, en ese caso, el derecho a la igualdad y el reconocimiento de la personalidad jurídica de las personas que resultan rechazadas del ámbito contractual del Estado”</w:t>
      </w:r>
      <w:r w:rsidRPr="0045272C">
        <w:rPr>
          <w:rFonts w:ascii="Verdana" w:eastAsia="Calibri" w:hAnsi="Verdana" w:cs="Arial"/>
          <w:sz w:val="20"/>
          <w:szCs w:val="20"/>
          <w:vertAlign w:val="superscript"/>
          <w:lang w:val="es-MX"/>
        </w:rPr>
        <w:footnoteReference w:id="4"/>
      </w:r>
      <w:r w:rsidRPr="0045272C">
        <w:rPr>
          <w:rFonts w:ascii="Verdana" w:eastAsia="Calibri" w:hAnsi="Verdana" w:cs="Arial"/>
          <w:sz w:val="20"/>
          <w:szCs w:val="20"/>
          <w:lang w:val="es-MX"/>
        </w:rPr>
        <w:t xml:space="preserve">. </w:t>
      </w:r>
    </w:p>
    <w:p w14:paraId="74C380B3" w14:textId="77777777" w:rsidR="003058C5" w:rsidRPr="0045272C" w:rsidRDefault="003058C5" w:rsidP="003058C5">
      <w:pPr>
        <w:spacing w:after="0" w:line="276" w:lineRule="auto"/>
        <w:ind w:right="709"/>
        <w:jc w:val="both"/>
        <w:rPr>
          <w:rFonts w:ascii="Verdana" w:eastAsia="Calibri" w:hAnsi="Verdana" w:cs="Arial"/>
          <w:sz w:val="20"/>
          <w:szCs w:val="20"/>
          <w:lang w:val="es-MX"/>
        </w:rPr>
      </w:pPr>
    </w:p>
    <w:p w14:paraId="0B2D38EF" w14:textId="77777777" w:rsidR="003058C5" w:rsidRPr="0060163E" w:rsidRDefault="003058C5" w:rsidP="003058C5">
      <w:pPr>
        <w:spacing w:after="0" w:line="276" w:lineRule="auto"/>
        <w:ind w:firstLine="709"/>
        <w:jc w:val="both"/>
        <w:rPr>
          <w:rFonts w:ascii="Verdana" w:eastAsia="Calibri" w:hAnsi="Verdana" w:cs="Arial"/>
          <w:lang w:val="es-MX"/>
        </w:rPr>
      </w:pPr>
      <w:r w:rsidRPr="0060163E">
        <w:rPr>
          <w:rFonts w:ascii="Verdana" w:eastAsia="Calibri" w:hAnsi="Verdana" w:cs="Arial"/>
          <w:lang w:val="es-MX"/>
        </w:rPr>
        <w:t xml:space="preserve">Además, la Corte Constitucional explica que el legislador tiene la competencia para determinar qué hechos o situaciones generan inhabilidad para contratar, pues este régimen es un aspecto propio del Estatuto General de Contratación de la Administración Pública – en adelante EGCAP –, cuya </w:t>
      </w:r>
      <w:r w:rsidRPr="0060163E">
        <w:rPr>
          <w:rFonts w:ascii="Verdana" w:eastAsia="Calibri" w:hAnsi="Verdana" w:cs="Arial"/>
          <w:lang w:val="es-MX"/>
        </w:rPr>
        <w:lastRenderedPageBreak/>
        <w:t>expedición compete al Congreso de la República a la luz del artículo 150 de la Constitución Política, y que en esta materia rige el principio de legalidad:</w:t>
      </w:r>
    </w:p>
    <w:p w14:paraId="60EDDD7F" w14:textId="77777777" w:rsidR="003058C5" w:rsidRPr="0060163E" w:rsidRDefault="003058C5" w:rsidP="003058C5">
      <w:pPr>
        <w:tabs>
          <w:tab w:val="left" w:pos="1532"/>
        </w:tabs>
        <w:spacing w:after="0" w:line="276" w:lineRule="auto"/>
        <w:jc w:val="both"/>
        <w:rPr>
          <w:rFonts w:ascii="Verdana" w:eastAsia="Calibri" w:hAnsi="Verdana" w:cs="Arial"/>
          <w:lang w:val="es-MX"/>
        </w:rPr>
      </w:pPr>
    </w:p>
    <w:p w14:paraId="20574594" w14:textId="77777777" w:rsidR="003058C5" w:rsidRPr="0045272C" w:rsidRDefault="003058C5" w:rsidP="003058C5">
      <w:pPr>
        <w:spacing w:after="0" w:line="240" w:lineRule="auto"/>
        <w:ind w:left="709" w:right="709"/>
        <w:jc w:val="both"/>
        <w:rPr>
          <w:rFonts w:ascii="Verdana" w:eastAsia="Calibri" w:hAnsi="Verdana" w:cs="Arial"/>
          <w:sz w:val="20"/>
          <w:szCs w:val="20"/>
          <w:lang w:val="es-MX"/>
        </w:rPr>
      </w:pPr>
      <w:r w:rsidRPr="0045272C">
        <w:rPr>
          <w:rFonts w:ascii="Verdana" w:eastAsia="Calibri" w:hAnsi="Verdana" w:cs="Arial"/>
          <w:sz w:val="20"/>
          <w:szCs w:val="20"/>
          <w:lang w:val="es-MX"/>
        </w:rPr>
        <w:t xml:space="preserve">“Las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pro </w:t>
      </w:r>
      <w:proofErr w:type="spellStart"/>
      <w:r w:rsidRPr="0045272C">
        <w:rPr>
          <w:rFonts w:ascii="Verdana" w:eastAsia="Calibri" w:hAnsi="Verdana" w:cs="Arial"/>
          <w:sz w:val="20"/>
          <w:szCs w:val="20"/>
          <w:lang w:val="es-MX"/>
        </w:rPr>
        <w:t>libertate</w:t>
      </w:r>
      <w:proofErr w:type="spellEnd"/>
      <w:r w:rsidRPr="0045272C">
        <w:rPr>
          <w:rFonts w:ascii="Verdana" w:eastAsia="Calibri" w:hAnsi="Verdana" w:cs="Arial"/>
          <w:sz w:val="20"/>
          <w:szCs w:val="20"/>
          <w:lang w:val="es-MX"/>
        </w:rPr>
        <w:t xml:space="preserve">, sino el de legalidad, el que ordena que la función pública debe someterse estrictamente a lo que disponga la Constitución y la ley (CP art. 6). </w:t>
      </w:r>
    </w:p>
    <w:p w14:paraId="4F14FC95" w14:textId="77777777" w:rsidR="003058C5" w:rsidRPr="0045272C" w:rsidRDefault="003058C5" w:rsidP="003058C5">
      <w:pPr>
        <w:spacing w:after="0" w:line="240" w:lineRule="auto"/>
        <w:ind w:left="709" w:right="709"/>
        <w:jc w:val="both"/>
        <w:rPr>
          <w:rFonts w:ascii="Verdana" w:eastAsia="Calibri" w:hAnsi="Verdana" w:cs="Arial"/>
          <w:sz w:val="20"/>
          <w:szCs w:val="20"/>
          <w:lang w:val="es-MX"/>
        </w:rPr>
      </w:pPr>
      <w:r w:rsidRPr="0045272C">
        <w:rPr>
          <w:rFonts w:ascii="Verdana" w:eastAsia="Calibri" w:hAnsi="Verdana" w:cs="Arial"/>
          <w:sz w:val="20"/>
          <w:szCs w:val="20"/>
          <w:lang w:val="es-MX"/>
        </w:rPr>
        <w:t xml:space="preserve">[…] </w:t>
      </w:r>
    </w:p>
    <w:p w14:paraId="732AB458" w14:textId="77777777" w:rsidR="003058C5" w:rsidRPr="0045272C" w:rsidRDefault="003058C5" w:rsidP="003058C5">
      <w:pPr>
        <w:spacing w:after="0" w:line="240" w:lineRule="auto"/>
        <w:ind w:left="709" w:right="709"/>
        <w:jc w:val="both"/>
        <w:rPr>
          <w:rFonts w:ascii="Verdana" w:eastAsia="Calibri" w:hAnsi="Verdana" w:cs="Arial"/>
          <w:sz w:val="20"/>
          <w:szCs w:val="20"/>
          <w:lang w:val="es-MX"/>
        </w:rPr>
      </w:pPr>
      <w:r w:rsidRPr="0045272C">
        <w:rPr>
          <w:rFonts w:ascii="Verdana" w:eastAsia="Calibri" w:hAnsi="Verdana" w:cs="Arial"/>
          <w:sz w:val="20"/>
          <w:szCs w:val="20"/>
          <w:lang w:val="es-MX"/>
        </w:rPr>
        <w:t xml:space="preserve">Se comprende con facilidad que el régimen de inhabilidades e </w:t>
      </w:r>
      <w:proofErr w:type="gramStart"/>
      <w:r w:rsidRPr="0045272C">
        <w:rPr>
          <w:rFonts w:ascii="Verdana" w:eastAsia="Calibri" w:hAnsi="Verdana" w:cs="Arial"/>
          <w:sz w:val="20"/>
          <w:szCs w:val="20"/>
          <w:lang w:val="es-MX"/>
        </w:rPr>
        <w:t>incompatibilidades,</w:t>
      </w:r>
      <w:proofErr w:type="gramEnd"/>
      <w:r w:rsidRPr="0045272C">
        <w:rPr>
          <w:rFonts w:ascii="Verdana" w:eastAsia="Calibri" w:hAnsi="Verdana" w:cs="Arial"/>
          <w:sz w:val="20"/>
          <w:szCs w:val="20"/>
          <w:lang w:val="es-MX"/>
        </w:rPr>
        <w:t xml:space="preserve"> corresponde a una materia de normal y obligada inclusión en un estatuto contractual. El legislador, a quien se ha confiado expedir el indicado estatuto, tiene, pues, competencia para establecerlo (CP art. 150)”</w:t>
      </w:r>
      <w:r w:rsidRPr="0045272C">
        <w:rPr>
          <w:rFonts w:ascii="Verdana" w:eastAsia="Calibri" w:hAnsi="Verdana" w:cs="Arial"/>
          <w:sz w:val="20"/>
          <w:szCs w:val="20"/>
          <w:vertAlign w:val="superscript"/>
          <w:lang w:val="es-MX"/>
        </w:rPr>
        <w:footnoteReference w:id="5"/>
      </w:r>
      <w:r w:rsidRPr="0045272C">
        <w:rPr>
          <w:rFonts w:ascii="Verdana" w:eastAsia="Calibri" w:hAnsi="Verdana" w:cs="Arial"/>
          <w:sz w:val="20"/>
          <w:szCs w:val="20"/>
          <w:lang w:val="es-MX"/>
        </w:rPr>
        <w:t>.</w:t>
      </w:r>
    </w:p>
    <w:p w14:paraId="48559A77" w14:textId="77777777" w:rsidR="003058C5" w:rsidRPr="0045272C" w:rsidRDefault="003058C5" w:rsidP="003058C5">
      <w:pPr>
        <w:spacing w:after="0" w:line="276" w:lineRule="auto"/>
        <w:ind w:left="709" w:right="709"/>
        <w:jc w:val="both"/>
        <w:rPr>
          <w:rFonts w:ascii="Verdana" w:eastAsia="Calibri" w:hAnsi="Verdana" w:cs="Arial"/>
          <w:sz w:val="20"/>
          <w:szCs w:val="20"/>
          <w:lang w:val="es-MX"/>
        </w:rPr>
      </w:pPr>
    </w:p>
    <w:p w14:paraId="1713A2DF" w14:textId="77777777" w:rsidR="003058C5" w:rsidRPr="0060163E" w:rsidRDefault="003058C5" w:rsidP="003058C5">
      <w:pPr>
        <w:spacing w:after="120" w:line="276" w:lineRule="auto"/>
        <w:ind w:firstLine="709"/>
        <w:jc w:val="both"/>
        <w:rPr>
          <w:rFonts w:ascii="Verdana" w:eastAsia="Calibri" w:hAnsi="Verdana" w:cs="Arial"/>
          <w:lang w:val="es-MX"/>
        </w:rPr>
      </w:pPr>
      <w:r w:rsidRPr="0060163E">
        <w:rPr>
          <w:rFonts w:ascii="Verdana" w:eastAsia="Calibri" w:hAnsi="Verdana" w:cs="Arial"/>
          <w:lang w:val="es-MX"/>
        </w:rPr>
        <w:t xml:space="preserve">Conviene también distinguir las fuentes de las inhabilidades, las cuales han sido clasificadas en dos (2) grupos: i) inhabilidades-sanción y </w:t>
      </w:r>
      <w:proofErr w:type="spellStart"/>
      <w:r w:rsidRPr="0060163E">
        <w:rPr>
          <w:rFonts w:ascii="Verdana" w:eastAsia="Calibri" w:hAnsi="Verdana" w:cs="Arial"/>
          <w:lang w:val="es-MX"/>
        </w:rPr>
        <w:t>ii</w:t>
      </w:r>
      <w:proofErr w:type="spellEnd"/>
      <w:r w:rsidRPr="0060163E">
        <w:rPr>
          <w:rFonts w:ascii="Verdana" w:eastAsia="Calibri" w:hAnsi="Verdana" w:cs="Arial"/>
          <w:lang w:val="es-MX"/>
        </w:rPr>
        <w:t>) inhabilidades-requisito. En el primer grupo se encuentran las inhabilidades que surgen como consecuencia de un proceso sancionatorio, en los ámbitos penal, disciplinario, contravencional o de pérdida de investidura. En el segundo grupo están aquellas que no devienen de un proceso sancionatorio, sino de condiciones propias de la persona y garantizan la moralidad, la imparcialidad, la eficacia y la transparencia</w:t>
      </w:r>
      <w:r w:rsidRPr="0060163E">
        <w:rPr>
          <w:rFonts w:ascii="Verdana" w:eastAsia="Calibri" w:hAnsi="Verdana" w:cs="Arial"/>
          <w:vertAlign w:val="superscript"/>
          <w:lang w:val="es-MX"/>
        </w:rPr>
        <w:footnoteReference w:id="6"/>
      </w:r>
      <w:r w:rsidRPr="0060163E">
        <w:rPr>
          <w:rFonts w:ascii="Verdana" w:eastAsia="Calibri" w:hAnsi="Verdana" w:cs="Arial"/>
          <w:lang w:val="es-MX"/>
        </w:rPr>
        <w:t>.</w:t>
      </w:r>
    </w:p>
    <w:p w14:paraId="675BFE1B" w14:textId="77777777" w:rsidR="003058C5" w:rsidRPr="0060163E" w:rsidRDefault="003058C5" w:rsidP="003058C5">
      <w:pPr>
        <w:spacing w:before="120" w:after="120" w:line="276" w:lineRule="auto"/>
        <w:ind w:firstLine="708"/>
        <w:jc w:val="both"/>
        <w:rPr>
          <w:rFonts w:ascii="Verdana" w:eastAsia="Calibri" w:hAnsi="Verdana" w:cs="Arial"/>
          <w:lang w:val="es-MX"/>
        </w:rPr>
      </w:pPr>
      <w:r w:rsidRPr="0060163E">
        <w:rPr>
          <w:rFonts w:ascii="Verdana" w:eastAsia="Calibri" w:hAnsi="Verdana" w:cs="Arial"/>
          <w:lang w:val="es-MX"/>
        </w:rPr>
        <w:t>A manera de ejemplo, en materia contractual, los literales c), d) y j) del numeral 1 del artículo 8 de la Ley 80 de 1993</w:t>
      </w:r>
      <w:r w:rsidRPr="0060163E">
        <w:rPr>
          <w:rFonts w:ascii="Verdana" w:eastAsia="Calibri" w:hAnsi="Verdana" w:cs="Arial"/>
          <w:vertAlign w:val="superscript"/>
          <w:lang w:val="es-MX"/>
        </w:rPr>
        <w:footnoteReference w:id="7"/>
      </w:r>
      <w:r w:rsidRPr="0060163E">
        <w:rPr>
          <w:rFonts w:ascii="Verdana" w:eastAsia="Calibri" w:hAnsi="Verdana" w:cs="Arial"/>
          <w:lang w:val="es-MX"/>
        </w:rPr>
        <w:t xml:space="preserve"> establecen inhabilidades-sanción, </w:t>
      </w:r>
      <w:r w:rsidRPr="0060163E">
        <w:rPr>
          <w:rFonts w:ascii="Verdana" w:eastAsia="Calibri" w:hAnsi="Verdana" w:cs="Arial"/>
          <w:lang w:val="es-MX"/>
        </w:rPr>
        <w:lastRenderedPageBreak/>
        <w:t xml:space="preserve">porque la prohibición para contratar con el Estado en esos eventos es una consecuencia de una declaratoria de responsabilidad que surge luego de un proceso sancionatorio –administrativo, disciplinario o penal–; mientras que las inhabilidades de los literales f), g) y h) del numeral 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w:t>
      </w:r>
    </w:p>
    <w:p w14:paraId="4F303B62" w14:textId="77777777" w:rsidR="003058C5" w:rsidRPr="0060163E" w:rsidRDefault="003058C5" w:rsidP="003058C5">
      <w:pPr>
        <w:spacing w:before="120" w:after="120" w:line="276" w:lineRule="auto"/>
        <w:ind w:firstLine="709"/>
        <w:jc w:val="both"/>
        <w:rPr>
          <w:rFonts w:ascii="Verdana" w:eastAsia="Calibri" w:hAnsi="Verdana" w:cs="Arial"/>
          <w:lang w:val="es-MX"/>
        </w:rPr>
      </w:pPr>
      <w:r w:rsidRPr="0060163E">
        <w:rPr>
          <w:rFonts w:ascii="Verdana" w:eastAsia="Calibri" w:hAnsi="Verdana" w:cs="Arial"/>
          <w:lang w:val="es-MX"/>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p>
    <w:p w14:paraId="0862F5D2" w14:textId="77777777" w:rsidR="003058C5" w:rsidRPr="0060163E" w:rsidRDefault="003058C5" w:rsidP="003058C5">
      <w:pPr>
        <w:spacing w:before="120" w:after="120" w:line="276" w:lineRule="auto"/>
        <w:ind w:firstLine="709"/>
        <w:jc w:val="both"/>
        <w:rPr>
          <w:rFonts w:ascii="Verdana" w:eastAsia="Calibri" w:hAnsi="Verdana" w:cs="Arial"/>
          <w:lang w:val="es-ES_tradnl"/>
        </w:rPr>
      </w:pPr>
      <w:r w:rsidRPr="0060163E">
        <w:rPr>
          <w:rFonts w:ascii="Verdana" w:eastAsia="Calibri" w:hAnsi="Verdana" w:cs="Arial"/>
          <w:lang w:val="es-ES_tradnl"/>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60163E">
        <w:rPr>
          <w:rFonts w:ascii="Verdana" w:eastAsia="Calibri" w:hAnsi="Verdana" w:cs="Arial"/>
          <w:i/>
          <w:iCs/>
          <w:lang w:val="es-ES_tradnl"/>
        </w:rPr>
        <w:t>restrictiva</w:t>
      </w:r>
      <w:r w:rsidRPr="0060163E">
        <w:rPr>
          <w:rFonts w:ascii="Verdana" w:eastAsia="Calibri" w:hAnsi="Verdana" w:cs="Arial"/>
          <w:i/>
          <w:iCs/>
          <w:vertAlign w:val="superscript"/>
          <w:lang w:val="es-ES_tradnl"/>
        </w:rPr>
        <w:footnoteReference w:id="8"/>
      </w:r>
      <w:r w:rsidRPr="0060163E">
        <w:rPr>
          <w:rFonts w:ascii="Verdana" w:eastAsia="Calibri" w:hAnsi="Verdana" w:cs="Arial"/>
          <w:i/>
          <w:iCs/>
          <w:lang w:val="es-ES_tradnl"/>
        </w:rPr>
        <w:t xml:space="preserve">, </w:t>
      </w:r>
      <w:r w:rsidRPr="0060163E">
        <w:rPr>
          <w:rFonts w:ascii="Verdana" w:eastAsia="Calibri" w:hAnsi="Verdana" w:cs="Arial"/>
          <w:lang w:val="es-ES_tradnl"/>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577D3D3F" w14:textId="77777777" w:rsidR="003058C5" w:rsidRPr="0060163E" w:rsidRDefault="003058C5" w:rsidP="003058C5">
      <w:pPr>
        <w:spacing w:after="120" w:line="276" w:lineRule="auto"/>
        <w:ind w:firstLine="709"/>
        <w:jc w:val="both"/>
        <w:rPr>
          <w:rFonts w:ascii="Verdana" w:eastAsia="Calibri" w:hAnsi="Verdana" w:cs="Arial"/>
          <w:lang w:val="es-ES_tradnl"/>
        </w:rPr>
      </w:pPr>
      <w:r w:rsidRPr="0060163E">
        <w:rPr>
          <w:rFonts w:ascii="Verdana" w:eastAsia="Calibri" w:hAnsi="Verdana" w:cs="Arial"/>
          <w:lang w:val="es-ES_tradnl"/>
        </w:rPr>
        <w:t xml:space="preserve">En efecto, el máximo tribunal constitucional ha indicado, al tratar de precisar el sentido de este tipo de normas, que “[…] el intérprete de las </w:t>
      </w:r>
      <w:r w:rsidRPr="0060163E">
        <w:rPr>
          <w:rFonts w:ascii="Verdana" w:eastAsia="Calibri" w:hAnsi="Verdana" w:cs="Arial"/>
          <w:lang w:val="es-ES_tradnl"/>
        </w:rPr>
        <w:lastRenderedPageBreak/>
        <w:t>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60163E">
        <w:rPr>
          <w:rFonts w:ascii="Verdana" w:eastAsia="Calibri" w:hAnsi="Verdana" w:cs="Arial"/>
          <w:vertAlign w:val="superscript"/>
          <w:lang w:val="es-ES_tradnl"/>
        </w:rPr>
        <w:footnoteReference w:id="9"/>
      </w:r>
      <w:r w:rsidRPr="0060163E">
        <w:rPr>
          <w:rFonts w:ascii="Verdana" w:eastAsia="Calibri" w:hAnsi="Verdana" w:cs="Arial"/>
          <w:lang w:val="es-ES_tradnl"/>
        </w:rPr>
        <w:t xml:space="preserve">. </w:t>
      </w:r>
    </w:p>
    <w:p w14:paraId="7AA3906C" w14:textId="77777777" w:rsidR="003058C5" w:rsidRPr="0060163E" w:rsidRDefault="003058C5" w:rsidP="003058C5">
      <w:pPr>
        <w:spacing w:after="0" w:line="276" w:lineRule="auto"/>
        <w:ind w:firstLine="709"/>
        <w:jc w:val="both"/>
        <w:rPr>
          <w:rFonts w:ascii="Verdana" w:eastAsia="Calibri" w:hAnsi="Verdana" w:cs="Arial"/>
          <w:lang w:val="es-ES_tradnl"/>
        </w:rPr>
      </w:pPr>
      <w:r w:rsidRPr="0060163E">
        <w:rPr>
          <w:rFonts w:ascii="Verdana" w:eastAsia="Calibri" w:hAnsi="Verdana" w:cs="Arial"/>
          <w:lang w:val="es-ES_tradnl"/>
        </w:rPr>
        <w:t>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60163E">
        <w:rPr>
          <w:rFonts w:ascii="Verdana" w:eastAsia="Calibri" w:hAnsi="Verdana" w:cs="Arial"/>
          <w:vertAlign w:val="superscript"/>
          <w:lang w:val="es-ES_tradnl"/>
        </w:rPr>
        <w:footnoteReference w:id="10"/>
      </w:r>
      <w:r w:rsidRPr="0060163E">
        <w:rPr>
          <w:rFonts w:ascii="Verdana" w:eastAsia="Calibri" w:hAnsi="Verdana" w:cs="Arial"/>
          <w:lang w:val="es-ES_tradnl"/>
        </w:rPr>
        <w:t>. En tal sentido, la Sección Tercera ha señalado que:</w:t>
      </w:r>
    </w:p>
    <w:p w14:paraId="6FE866B5" w14:textId="77777777" w:rsidR="003058C5" w:rsidRPr="0060163E" w:rsidRDefault="003058C5" w:rsidP="003058C5">
      <w:pPr>
        <w:spacing w:after="0" w:line="276" w:lineRule="auto"/>
        <w:ind w:firstLine="709"/>
        <w:jc w:val="both"/>
        <w:rPr>
          <w:rFonts w:ascii="Verdana" w:eastAsia="Calibri" w:hAnsi="Verdana" w:cs="Arial"/>
          <w:lang w:val="es-ES_tradnl"/>
        </w:rPr>
      </w:pPr>
    </w:p>
    <w:p w14:paraId="41B9281D" w14:textId="77777777" w:rsidR="003058C5" w:rsidRPr="0045272C" w:rsidRDefault="003058C5" w:rsidP="003058C5">
      <w:pPr>
        <w:spacing w:after="0" w:line="240" w:lineRule="auto"/>
        <w:ind w:left="709" w:right="709"/>
        <w:jc w:val="both"/>
        <w:rPr>
          <w:rFonts w:ascii="Verdana" w:eastAsia="Calibri" w:hAnsi="Verdana" w:cs="Arial"/>
          <w:sz w:val="20"/>
          <w:szCs w:val="20"/>
          <w:lang w:val="es-ES_tradnl"/>
        </w:rPr>
      </w:pPr>
      <w:r w:rsidRPr="0045272C">
        <w:rPr>
          <w:rFonts w:ascii="Verdana" w:eastAsia="Calibri" w:hAnsi="Verdana" w:cs="Arial"/>
          <w:sz w:val="20"/>
          <w:szCs w:val="20"/>
          <w:lang w:val="es-ES_tradnl"/>
        </w:rPr>
        <w:t>“[…] de conformidad con la jurisprudencia uniforme y reiterada de esta Corporación, la aplicación de las normas que contemplan inhabilidades e incompatibilidades, como en general de todas aquellas que comportan prohibiciones o limitaciones, deben responder a una interpretación restrictiva que no permite su extensión, por vía de la figura de la analogía, a supuestos no contemplados por el ordenamiento</w:t>
      </w:r>
      <w:r w:rsidRPr="0045272C">
        <w:rPr>
          <w:rFonts w:ascii="Verdana" w:eastAsia="Calibri" w:hAnsi="Verdana" w:cs="Arial"/>
          <w:sz w:val="20"/>
          <w:szCs w:val="20"/>
          <w:vertAlign w:val="superscript"/>
          <w:lang w:val="es-ES_tradnl"/>
        </w:rPr>
        <w:footnoteReference w:id="11"/>
      </w:r>
      <w:r w:rsidRPr="0045272C">
        <w:rPr>
          <w:rFonts w:ascii="Verdana" w:eastAsia="Calibri" w:hAnsi="Verdana" w:cs="Arial"/>
          <w:sz w:val="20"/>
          <w:szCs w:val="20"/>
          <w:lang w:val="es-ES_tradnl"/>
        </w:rPr>
        <w:t>.</w:t>
      </w:r>
    </w:p>
    <w:p w14:paraId="7744ABD6" w14:textId="77777777" w:rsidR="003058C5" w:rsidRPr="0045272C" w:rsidRDefault="003058C5" w:rsidP="003058C5">
      <w:pPr>
        <w:spacing w:after="0" w:line="240" w:lineRule="auto"/>
        <w:ind w:firstLine="709"/>
        <w:jc w:val="both"/>
        <w:rPr>
          <w:rFonts w:ascii="Verdana" w:eastAsia="Calibri" w:hAnsi="Verdana" w:cs="Arial"/>
          <w:sz w:val="20"/>
          <w:szCs w:val="20"/>
          <w:lang w:val="es-ES_tradnl"/>
        </w:rPr>
      </w:pPr>
    </w:p>
    <w:p w14:paraId="20811FA3" w14:textId="77777777" w:rsidR="003058C5" w:rsidRPr="0045272C" w:rsidRDefault="003058C5" w:rsidP="003058C5">
      <w:pPr>
        <w:spacing w:after="0" w:line="240" w:lineRule="auto"/>
        <w:ind w:firstLine="709"/>
        <w:jc w:val="both"/>
        <w:rPr>
          <w:rFonts w:ascii="Verdana" w:eastAsia="Calibri" w:hAnsi="Verdana" w:cs="Arial"/>
          <w:sz w:val="20"/>
          <w:szCs w:val="20"/>
          <w:lang w:val="es-ES_tradnl"/>
        </w:rPr>
      </w:pPr>
      <w:r w:rsidRPr="0045272C">
        <w:rPr>
          <w:rFonts w:ascii="Verdana" w:eastAsia="Calibri" w:hAnsi="Verdana" w:cs="Arial"/>
          <w:sz w:val="20"/>
          <w:szCs w:val="20"/>
          <w:lang w:val="es-ES_tradnl"/>
        </w:rPr>
        <w:t>También ha dicho que:</w:t>
      </w:r>
    </w:p>
    <w:p w14:paraId="14A78377" w14:textId="77777777" w:rsidR="003058C5" w:rsidRPr="0045272C" w:rsidRDefault="003058C5" w:rsidP="003058C5">
      <w:pPr>
        <w:spacing w:after="0" w:line="240" w:lineRule="auto"/>
        <w:ind w:left="709" w:right="616"/>
        <w:jc w:val="both"/>
        <w:rPr>
          <w:rFonts w:ascii="Verdana" w:eastAsia="Calibri" w:hAnsi="Verdana" w:cs="Arial"/>
          <w:sz w:val="20"/>
          <w:szCs w:val="20"/>
          <w:lang w:val="es-ES"/>
        </w:rPr>
      </w:pPr>
      <w:r w:rsidRPr="0045272C">
        <w:rPr>
          <w:rFonts w:ascii="Verdana" w:eastAsia="Calibri" w:hAnsi="Verdana" w:cs="Arial"/>
          <w:sz w:val="20"/>
          <w:szCs w:val="20"/>
          <w:lang w:val="es-ES"/>
        </w:rPr>
        <w:t xml:space="preserve">[…] la aplicación de estos preceptos exige una interpretación restrictiva, dado que según el principio hermenéutico </w:t>
      </w:r>
      <w:r w:rsidRPr="0045272C">
        <w:rPr>
          <w:rFonts w:ascii="Verdana" w:eastAsia="Calibri" w:hAnsi="Verdana" w:cs="Arial"/>
          <w:i/>
          <w:iCs/>
          <w:sz w:val="20"/>
          <w:szCs w:val="20"/>
          <w:lang w:val="es-ES"/>
        </w:rPr>
        <w:t xml:space="preserve">pro </w:t>
      </w:r>
      <w:proofErr w:type="spellStart"/>
      <w:r w:rsidRPr="0045272C">
        <w:rPr>
          <w:rFonts w:ascii="Verdana" w:eastAsia="Calibri" w:hAnsi="Verdana" w:cs="Arial"/>
          <w:i/>
          <w:iCs/>
          <w:sz w:val="20"/>
          <w:szCs w:val="20"/>
          <w:lang w:val="es-ES"/>
        </w:rPr>
        <w:t>libertate</w:t>
      </w:r>
      <w:proofErr w:type="spellEnd"/>
      <w:r w:rsidRPr="0045272C">
        <w:rPr>
          <w:rFonts w:ascii="Verdana" w:eastAsia="Calibri" w:hAnsi="Verdana" w:cs="Arial"/>
          <w:sz w:val="20"/>
          <w:szCs w:val="20"/>
          <w:lang w:val="es-ES"/>
        </w:rPr>
        <w:t>,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Pr="0045272C">
        <w:rPr>
          <w:rFonts w:ascii="Verdana" w:eastAsia="Calibri" w:hAnsi="Verdana" w:cs="Arial"/>
          <w:sz w:val="20"/>
          <w:szCs w:val="20"/>
          <w:vertAlign w:val="superscript"/>
          <w:lang w:val="es-ES"/>
        </w:rPr>
        <w:footnoteReference w:id="12"/>
      </w:r>
      <w:r w:rsidRPr="0045272C">
        <w:rPr>
          <w:rFonts w:ascii="Verdana" w:eastAsia="Calibri" w:hAnsi="Verdana" w:cs="Arial"/>
          <w:sz w:val="20"/>
          <w:szCs w:val="20"/>
          <w:lang w:val="es-ES"/>
        </w:rPr>
        <w:t>.</w:t>
      </w:r>
    </w:p>
    <w:p w14:paraId="796B1823" w14:textId="77777777" w:rsidR="003058C5" w:rsidRPr="0045272C" w:rsidRDefault="003058C5" w:rsidP="003058C5">
      <w:pPr>
        <w:spacing w:after="0" w:line="276" w:lineRule="auto"/>
        <w:jc w:val="both"/>
        <w:rPr>
          <w:rFonts w:ascii="Verdana" w:eastAsia="Arial" w:hAnsi="Verdana" w:cs="Arial"/>
          <w:color w:val="000000"/>
          <w:sz w:val="20"/>
          <w:szCs w:val="20"/>
          <w:lang w:val="es-ES_tradnl"/>
        </w:rPr>
      </w:pPr>
    </w:p>
    <w:p w14:paraId="1C89E17D" w14:textId="77777777" w:rsidR="003058C5" w:rsidRPr="0060163E" w:rsidRDefault="003058C5" w:rsidP="003058C5">
      <w:pPr>
        <w:spacing w:after="120" w:line="276" w:lineRule="auto"/>
        <w:ind w:firstLine="708"/>
        <w:jc w:val="both"/>
        <w:rPr>
          <w:rFonts w:ascii="Verdana" w:eastAsia="Calibri" w:hAnsi="Verdana" w:cs="Arial"/>
          <w:color w:val="000000"/>
          <w:lang w:val="es-MX"/>
        </w:rPr>
      </w:pPr>
      <w:r w:rsidRPr="0060163E">
        <w:rPr>
          <w:rFonts w:ascii="Verdana" w:eastAsia="Arial" w:hAnsi="Verdana" w:cs="Arial"/>
          <w:color w:val="000000"/>
          <w:lang w:val="es-ES_tradnl"/>
        </w:rPr>
        <w:lastRenderedPageBreak/>
        <w:t xml:space="preserve">Como se aprecia, el principio </w:t>
      </w:r>
      <w:r w:rsidRPr="0060163E">
        <w:rPr>
          <w:rFonts w:ascii="Verdana" w:eastAsia="Arial" w:hAnsi="Verdana" w:cs="Arial"/>
          <w:i/>
          <w:iCs/>
          <w:color w:val="000000"/>
          <w:lang w:val="es-ES_tradnl"/>
        </w:rPr>
        <w:t xml:space="preserve">pro </w:t>
      </w:r>
      <w:proofErr w:type="spellStart"/>
      <w:r w:rsidRPr="0060163E">
        <w:rPr>
          <w:rFonts w:ascii="Verdana" w:eastAsia="Arial" w:hAnsi="Verdana" w:cs="Arial"/>
          <w:i/>
          <w:iCs/>
          <w:color w:val="000000"/>
          <w:lang w:val="es-ES_tradnl"/>
        </w:rPr>
        <w:t>libertate</w:t>
      </w:r>
      <w:proofErr w:type="spellEnd"/>
      <w:r w:rsidRPr="0060163E">
        <w:rPr>
          <w:rFonts w:ascii="Verdana" w:eastAsia="Arial" w:hAnsi="Verdana" w:cs="Arial"/>
          <w:color w:val="000000"/>
          <w:lang w:val="es-ES_tradnl"/>
        </w:rPr>
        <w:t xml:space="preserve"> es el que debe dirigir la interpretación de las disposiciones normativas que consagran restricciones de derechos, como sucede con las causales de inhabilidad e incompatibilidad en la contratación estatal. Además, en relación con la determinación de las causales de inhabilidad e incompatibilidad, la</w:t>
      </w:r>
      <w:r w:rsidRPr="0060163E">
        <w:rPr>
          <w:rFonts w:ascii="Verdana" w:eastAsia="Calibri" w:hAnsi="Verdana" w:cs="Arial"/>
          <w:color w:val="000000"/>
          <w:lang w:val="es-MX"/>
        </w:rPr>
        <w:t xml:space="preserve"> Corte Constitucional ha resaltado que la competencia para determinar qué hechos o situaciones generan inhabilidades o incompatibilidades para contratar con el Estado la tiene el legislador, pues este régimen es un aspecto propio del Estatuto General de la Contratación de la Administración Pública, cuya expedición compete al Congreso de la República, conforme al artículo 150 de la Constitución Política, y que en esta materia rige el principio de legalidad</w:t>
      </w:r>
      <w:r w:rsidRPr="0060163E">
        <w:rPr>
          <w:rFonts w:ascii="Verdana" w:eastAsia="Calibri" w:hAnsi="Verdana" w:cs="Arial"/>
          <w:color w:val="000000"/>
          <w:vertAlign w:val="superscript"/>
          <w:lang w:val="es-MX"/>
        </w:rPr>
        <w:footnoteReference w:id="13"/>
      </w:r>
    </w:p>
    <w:p w14:paraId="709C4C1A" w14:textId="77777777" w:rsidR="003058C5" w:rsidRPr="0060163E" w:rsidRDefault="003058C5" w:rsidP="003058C5">
      <w:pPr>
        <w:spacing w:after="0" w:line="276" w:lineRule="auto"/>
        <w:ind w:firstLine="709"/>
        <w:jc w:val="both"/>
        <w:rPr>
          <w:rFonts w:ascii="Verdana" w:eastAsia="Calibri" w:hAnsi="Verdana" w:cs="Arial"/>
          <w:color w:val="000000"/>
          <w:shd w:val="clear" w:color="auto" w:fill="FFFFFF"/>
          <w:lang w:val="es-MX"/>
        </w:rPr>
      </w:pPr>
      <w:r w:rsidRPr="0060163E">
        <w:rPr>
          <w:rFonts w:ascii="Verdana" w:eastAsia="Calibri" w:hAnsi="Verdana" w:cs="Arial"/>
          <w:shd w:val="clear" w:color="auto" w:fill="FFFFFF"/>
          <w:lang w:val="es-MX"/>
        </w:rPr>
        <w:t>En este sentido, retomando una idea esbozada con anterioridad, la doctrina y la jurisprudencia son pacíficas en considerar que la creación de inhabilidades e incompatibilidades es un asunto con reserva de ley, en tanto, “[…] su previsión y desarrollo es materia exclusiva del legislador (reserva de ley), quien en virtud del principio democrático debe definir y tipificar expresamente sus causas, vigencia, naturaleza y efectos”</w:t>
      </w:r>
      <w:r w:rsidRPr="0060163E">
        <w:rPr>
          <w:rFonts w:ascii="Verdana" w:eastAsia="Calibri" w:hAnsi="Verdana" w:cs="Arial"/>
          <w:shd w:val="clear" w:color="auto" w:fill="FFFFFF"/>
          <w:vertAlign w:val="superscript"/>
          <w:lang w:val="es-MX"/>
        </w:rPr>
        <w:footnoteReference w:id="14"/>
      </w:r>
      <w:r w:rsidRPr="0060163E">
        <w:rPr>
          <w:rFonts w:ascii="Verdana" w:eastAsia="Calibri" w:hAnsi="Verdana" w:cs="Arial"/>
          <w:shd w:val="clear" w:color="auto" w:fill="FFFFFF"/>
          <w:lang w:val="es-MX"/>
        </w:rPr>
        <w:t xml:space="preserve"> En similar sentido, la Sala de Consulta y Servicio Civil del Consejo de Estado expresó </w:t>
      </w:r>
      <w:r w:rsidRPr="0060163E">
        <w:rPr>
          <w:rFonts w:ascii="Verdana" w:eastAsia="Calibri" w:hAnsi="Verdana" w:cs="Arial"/>
          <w:color w:val="000000"/>
          <w:shd w:val="clear" w:color="auto" w:fill="FFFFFF"/>
          <w:lang w:val="es-MX"/>
        </w:rPr>
        <w:t>que “[…] las causales de inhabilidad e incompatibilidad deben estar expresa y taxativamente establecidas en la Constitución o en la ley y son de aplicación e interpretación restrictivas […]”</w:t>
      </w:r>
      <w:r w:rsidRPr="0060163E">
        <w:rPr>
          <w:rFonts w:ascii="Verdana" w:eastAsia="Calibri" w:hAnsi="Verdana" w:cs="Arial"/>
          <w:color w:val="000000"/>
          <w:shd w:val="clear" w:color="auto" w:fill="FFFFFF"/>
          <w:vertAlign w:val="superscript"/>
          <w:lang w:val="es-MX"/>
        </w:rPr>
        <w:footnoteReference w:id="15"/>
      </w:r>
      <w:r w:rsidRPr="0060163E">
        <w:rPr>
          <w:rFonts w:ascii="Verdana" w:eastAsia="Calibri" w:hAnsi="Verdana" w:cs="Arial"/>
          <w:color w:val="000000"/>
          <w:shd w:val="clear" w:color="auto" w:fill="FFFFFF"/>
          <w:lang w:val="es-MX"/>
        </w:rPr>
        <w:t xml:space="preserve">. </w:t>
      </w:r>
      <w:r w:rsidRPr="0060163E">
        <w:rPr>
          <w:rFonts w:ascii="Verdana" w:eastAsia="MS Mincho" w:hAnsi="Verdana" w:cs="Arial"/>
          <w:color w:val="000000"/>
          <w:shd w:val="clear" w:color="auto" w:fill="FFFFFF"/>
          <w:lang w:val="es-MX"/>
        </w:rPr>
        <w:t xml:space="preserve">Como se observa, </w:t>
      </w:r>
      <w:r w:rsidRPr="0060163E">
        <w:rPr>
          <w:rFonts w:ascii="Verdana" w:eastAsia="MS Mincho" w:hAnsi="Verdana" w:cs="Arial"/>
          <w:color w:val="000000"/>
          <w:shd w:val="clear" w:color="auto" w:fill="FFFFFF"/>
        </w:rPr>
        <w:t>existe consenso, incluso como lo ha expresado esta Agencia en ocasiones anteriores, que la creación de inhabilidades o incompatibilidades está reservada al constituyente o al legislador.</w:t>
      </w:r>
    </w:p>
    <w:p w14:paraId="37207D87" w14:textId="77777777" w:rsidR="003058C5" w:rsidRPr="00FF2FD4" w:rsidRDefault="003058C5" w:rsidP="003058C5">
      <w:pPr>
        <w:spacing w:after="0" w:line="276" w:lineRule="auto"/>
        <w:jc w:val="both"/>
        <w:rPr>
          <w:rFonts w:ascii="Verdana" w:eastAsia="Calibri" w:hAnsi="Verdana" w:cs="Arial"/>
          <w:b/>
          <w:lang w:val="es-ES_tradnl"/>
        </w:rPr>
      </w:pPr>
    </w:p>
    <w:p w14:paraId="747C7616" w14:textId="77777777" w:rsidR="003058C5" w:rsidRPr="00B06AD7" w:rsidRDefault="003058C5" w:rsidP="003058C5">
      <w:pPr>
        <w:pBdr>
          <w:top w:val="nil"/>
          <w:left w:val="nil"/>
          <w:bottom w:val="nil"/>
          <w:right w:val="nil"/>
          <w:between w:val="nil"/>
        </w:pBdr>
        <w:spacing w:after="0" w:line="276" w:lineRule="auto"/>
        <w:jc w:val="both"/>
        <w:rPr>
          <w:rFonts w:ascii="Verdana" w:eastAsia="Calibri" w:hAnsi="Verdana" w:cs="Arial"/>
          <w:lang w:val="es-ES"/>
        </w:rPr>
      </w:pPr>
      <w:proofErr w:type="spellStart"/>
      <w:r>
        <w:rPr>
          <w:rFonts w:ascii="Verdana" w:eastAsia="Calibri" w:hAnsi="Verdana" w:cs="Arial"/>
          <w:lang w:val="es-ES"/>
        </w:rPr>
        <w:t>ii</w:t>
      </w:r>
      <w:proofErr w:type="spellEnd"/>
      <w:r>
        <w:rPr>
          <w:rFonts w:ascii="Verdana" w:eastAsia="Calibri" w:hAnsi="Verdana" w:cs="Arial"/>
          <w:lang w:val="es-ES"/>
        </w:rPr>
        <w:t>.</w:t>
      </w:r>
      <w:bookmarkStart w:id="1" w:name="_Hlk213782318"/>
      <w:r w:rsidRPr="00233F79">
        <w:rPr>
          <w:rFonts w:ascii="Verdana" w:eastAsia="Verdana" w:hAnsi="Verdana" w:cs="Verdana"/>
        </w:rPr>
        <w:t xml:space="preserve"> </w:t>
      </w:r>
      <w:r>
        <w:rPr>
          <w:rFonts w:ascii="Verdana" w:eastAsia="Verdana" w:hAnsi="Verdana" w:cs="Verdana"/>
        </w:rPr>
        <w:t xml:space="preserve">La </w:t>
      </w:r>
      <w:r w:rsidRPr="000B259F">
        <w:rPr>
          <w:rFonts w:ascii="Verdana" w:hAnsi="Verdana"/>
        </w:rPr>
        <w:t xml:space="preserve">declaratoria de responsabilidad fiscal reportada en el Boletín de </w:t>
      </w:r>
      <w:proofErr w:type="gramStart"/>
      <w:r w:rsidRPr="000B259F">
        <w:rPr>
          <w:rFonts w:ascii="Verdana" w:hAnsi="Verdana"/>
        </w:rPr>
        <w:t>Responsables</w:t>
      </w:r>
      <w:proofErr w:type="gramEnd"/>
      <w:r w:rsidRPr="000B259F">
        <w:rPr>
          <w:rFonts w:ascii="Verdana" w:hAnsi="Verdana"/>
        </w:rPr>
        <w:t xml:space="preserve"> Fiscales –SIBOR– </w:t>
      </w:r>
      <w:r>
        <w:rPr>
          <w:rFonts w:ascii="Verdana" w:hAnsi="Verdana"/>
        </w:rPr>
        <w:t xml:space="preserve">origina </w:t>
      </w:r>
      <w:r w:rsidRPr="000B259F">
        <w:rPr>
          <w:rFonts w:ascii="Verdana" w:hAnsi="Verdana"/>
        </w:rPr>
        <w:t xml:space="preserve">una inhabilidad para celebrar contratos con el Estado. Lo anterior, con fundamento en el </w:t>
      </w:r>
      <w:r w:rsidRPr="000B259F">
        <w:rPr>
          <w:rFonts w:ascii="Verdana" w:eastAsia="Verdana" w:hAnsi="Verdana" w:cs="Verdana"/>
        </w:rPr>
        <w:t xml:space="preserve">artículo 60 de la Ley 610 de 2000 donde se indica que, </w:t>
      </w:r>
      <w:r w:rsidRPr="000B259F">
        <w:rPr>
          <w:rFonts w:ascii="Verdana" w:eastAsia="Calibri" w:hAnsi="Verdana" w:cs="Arial"/>
          <w:lang w:val="es-ES"/>
        </w:rPr>
        <w:t xml:space="preserve">“La Contraloría General de la República publicará con periodicidad trimestral un boletín que contendrá los nombres de las personas </w:t>
      </w:r>
      <w:r w:rsidRPr="000B259F">
        <w:rPr>
          <w:rFonts w:ascii="Verdana" w:eastAsia="Calibri" w:hAnsi="Verdana" w:cs="Arial"/>
          <w:lang w:val="es-ES"/>
        </w:rPr>
        <w:lastRenderedPageBreak/>
        <w:t>naturales o jurídicas a quienes se les haya dictado fallo con responsabilidad fiscal en firme y ejecutoriado y no hayan satisfecho la obligación contenida en él”</w:t>
      </w:r>
      <w:r>
        <w:rPr>
          <w:rFonts w:ascii="Verdana" w:eastAsia="Calibri" w:hAnsi="Verdana" w:cs="Arial"/>
          <w:lang w:val="es-ES"/>
        </w:rPr>
        <w:t xml:space="preserve">, este artículo, también hace mención en que </w:t>
      </w:r>
      <w:r w:rsidRPr="000B259F">
        <w:rPr>
          <w:rFonts w:ascii="Verdana" w:eastAsia="Calibri" w:hAnsi="Verdana" w:cs="Arial"/>
          <w:lang w:val="es-ES"/>
        </w:rPr>
        <w:t xml:space="preserve"> “Los representantes legales, así como los nominadores y demás funcionarios competentes, deberán abstenerse de nombrar, dar posesión o celebrar cualquier tipo de contrato con quienes aparezcan en el boletín de responsables</w:t>
      </w:r>
      <w:r>
        <w:rPr>
          <w:rFonts w:ascii="Verdana" w:eastAsia="Calibri" w:hAnsi="Verdana" w:cs="Arial"/>
          <w:lang w:val="es-ES"/>
        </w:rPr>
        <w:t xml:space="preserve">”. </w:t>
      </w:r>
      <w:r w:rsidRPr="000B259F">
        <w:rPr>
          <w:rFonts w:ascii="Verdana" w:eastAsia="Calibri" w:hAnsi="Verdana" w:cs="Arial"/>
          <w:lang w:val="es-ES"/>
        </w:rPr>
        <w:t>El parágrafo primero del artículo 42 de la Ley 1952 de 2019 dispone que:</w:t>
      </w:r>
    </w:p>
    <w:p w14:paraId="65CB2639" w14:textId="77777777" w:rsidR="003058C5" w:rsidRPr="00CE34FB" w:rsidRDefault="003058C5" w:rsidP="003058C5">
      <w:pPr>
        <w:spacing w:after="0" w:line="240" w:lineRule="auto"/>
        <w:jc w:val="both"/>
        <w:rPr>
          <w:rFonts w:ascii="Verdana" w:eastAsia="Verdana" w:hAnsi="Verdana" w:cs="Verdana"/>
          <w:sz w:val="20"/>
          <w:szCs w:val="20"/>
          <w:lang w:val="es-ES"/>
        </w:rPr>
      </w:pPr>
    </w:p>
    <w:p w14:paraId="3D8638D7" w14:textId="77777777" w:rsidR="003058C5" w:rsidRDefault="003058C5" w:rsidP="003058C5">
      <w:pPr>
        <w:pBdr>
          <w:top w:val="nil"/>
          <w:left w:val="nil"/>
          <w:bottom w:val="nil"/>
          <w:right w:val="nil"/>
          <w:between w:val="nil"/>
        </w:pBdr>
        <w:spacing w:after="0" w:line="240" w:lineRule="auto"/>
        <w:ind w:left="709" w:right="709"/>
        <w:jc w:val="both"/>
        <w:rPr>
          <w:rFonts w:ascii="Verdana" w:eastAsia="Calibri" w:hAnsi="Verdana" w:cs="Arial"/>
          <w:sz w:val="20"/>
          <w:szCs w:val="20"/>
          <w:lang w:val="es-ES"/>
        </w:rPr>
      </w:pPr>
      <w:r w:rsidRPr="00CE34FB">
        <w:rPr>
          <w:rFonts w:ascii="Verdana" w:eastAsia="Calibri" w:hAnsi="Verdana" w:cs="Arial"/>
          <w:sz w:val="20"/>
          <w:szCs w:val="20"/>
          <w:lang w:val="es-ES_tradnl"/>
        </w:rPr>
        <w:t>“</w:t>
      </w:r>
      <w:r w:rsidRPr="00CE34FB">
        <w:rPr>
          <w:rFonts w:ascii="Verdana" w:eastAsia="Calibri" w:hAnsi="Verdana" w:cs="Arial"/>
          <w:sz w:val="20"/>
          <w:szCs w:val="20"/>
          <w:lang w:val="es-ES"/>
        </w:rPr>
        <w:t xml:space="preserve">Quien haya sido declarado responsable fiscalmente será inhábil para el ejercicio de cargos públicos y para contratar con el Estado durante los cinco (5) años siguientes a la ejecutoria del fallo correspondiente. Esta inhabilidad cesará cuando la Contraloría competente declare haber recibido el pago o, si este no fuere procedente, cuando la Contraloría General de la República excluya al responsable del boletín de responsables fiscales. </w:t>
      </w:r>
    </w:p>
    <w:p w14:paraId="613F6BAB" w14:textId="77777777" w:rsidR="003058C5" w:rsidRPr="00CE34FB" w:rsidRDefault="003058C5" w:rsidP="003058C5">
      <w:pPr>
        <w:pBdr>
          <w:top w:val="nil"/>
          <w:left w:val="nil"/>
          <w:bottom w:val="nil"/>
          <w:right w:val="nil"/>
          <w:between w:val="nil"/>
        </w:pBdr>
        <w:spacing w:after="0" w:line="240" w:lineRule="auto"/>
        <w:ind w:left="709" w:right="709"/>
        <w:jc w:val="both"/>
        <w:rPr>
          <w:rFonts w:ascii="Verdana" w:eastAsia="Calibri" w:hAnsi="Verdana" w:cs="Arial"/>
          <w:sz w:val="20"/>
          <w:szCs w:val="20"/>
          <w:lang w:val="es-ES"/>
        </w:rPr>
      </w:pPr>
    </w:p>
    <w:p w14:paraId="5912579C" w14:textId="77777777" w:rsidR="003058C5" w:rsidRPr="00CE34FB" w:rsidRDefault="003058C5" w:rsidP="003058C5">
      <w:pPr>
        <w:pBdr>
          <w:top w:val="nil"/>
          <w:left w:val="nil"/>
          <w:bottom w:val="nil"/>
          <w:right w:val="nil"/>
          <w:between w:val="nil"/>
        </w:pBdr>
        <w:spacing w:after="0" w:line="240" w:lineRule="auto"/>
        <w:ind w:left="709" w:right="709"/>
        <w:jc w:val="both"/>
        <w:rPr>
          <w:rFonts w:ascii="Verdana" w:eastAsia="Calibri" w:hAnsi="Verdana" w:cs="Arial"/>
          <w:sz w:val="20"/>
          <w:szCs w:val="20"/>
          <w:lang w:val="es-ES"/>
        </w:rPr>
      </w:pPr>
      <w:r w:rsidRPr="00CE34FB">
        <w:rPr>
          <w:rFonts w:ascii="Verdana" w:eastAsia="Calibri" w:hAnsi="Verdana" w:cs="Arial"/>
          <w:sz w:val="20"/>
          <w:szCs w:val="20"/>
          <w:lang w:val="es-ES"/>
        </w:rPr>
        <w:t>Si pasados cinco años desde la ejecutoria de la providencia, quien haya sido declarado responsable fiscalmente no hubiere pagado la suma establecida en el fallo ni hubiere sido excluido del boletín de responsables fiscales, continuará siendo inhábil por cinco años si la cuantía, al momento de la declaración de responsabilidad fiscal, fuere superior a 100 salarios mínimos legales mensuales vigentes; por dos años si la cuantía fuere superior a 50 sin exceder de 100 salarios mínimos legales mensuales vigentes; por un año si la cuantía fuere superior a 10 salarios mínimos legales mensuales vigentes sin exceder de 50, y por tres meses si la cuantía fuere igual o inferior a 10 salarios mínimos legales mensuales vigentes”.</w:t>
      </w:r>
    </w:p>
    <w:p w14:paraId="2FB7E95E" w14:textId="77777777" w:rsidR="003058C5" w:rsidRDefault="003058C5" w:rsidP="003058C5">
      <w:pPr>
        <w:spacing w:after="0" w:line="276" w:lineRule="auto"/>
        <w:jc w:val="both"/>
        <w:rPr>
          <w:rFonts w:ascii="Verdana" w:eastAsia="Verdana" w:hAnsi="Verdana" w:cs="Verdana"/>
          <w:lang w:val="es-ES"/>
        </w:rPr>
      </w:pPr>
    </w:p>
    <w:p w14:paraId="3D8091FE" w14:textId="77777777" w:rsidR="003058C5" w:rsidRPr="00315E61" w:rsidRDefault="003058C5" w:rsidP="003058C5">
      <w:pPr>
        <w:spacing w:after="120" w:line="276" w:lineRule="auto"/>
        <w:ind w:firstLine="708"/>
        <w:jc w:val="both"/>
        <w:rPr>
          <w:rFonts w:ascii="Verdana" w:eastAsia="Calibri" w:hAnsi="Verdana" w:cs="Arial"/>
        </w:rPr>
      </w:pPr>
      <w:r w:rsidRPr="00315E61">
        <w:rPr>
          <w:rFonts w:ascii="Verdana" w:eastAsia="Calibri" w:hAnsi="Verdana" w:cs="Arial"/>
          <w:bCs/>
        </w:rPr>
        <w:t xml:space="preserve">Del </w:t>
      </w:r>
      <w:r>
        <w:rPr>
          <w:rFonts w:ascii="Verdana" w:eastAsia="Calibri" w:hAnsi="Verdana" w:cs="Arial"/>
          <w:bCs/>
        </w:rPr>
        <w:t xml:space="preserve">primer inciso del </w:t>
      </w:r>
      <w:r w:rsidRPr="00315E61">
        <w:rPr>
          <w:rFonts w:ascii="Verdana" w:eastAsia="Calibri" w:hAnsi="Verdana" w:cs="Arial"/>
          <w:bCs/>
        </w:rPr>
        <w:t xml:space="preserve">parágrafo precitado, se infieren las siguientes </w:t>
      </w:r>
      <w:r>
        <w:rPr>
          <w:rFonts w:ascii="Verdana" w:eastAsia="Calibri" w:hAnsi="Verdana" w:cs="Arial"/>
          <w:bCs/>
        </w:rPr>
        <w:t>sub</w:t>
      </w:r>
      <w:r w:rsidRPr="00315E61">
        <w:rPr>
          <w:rFonts w:ascii="Verdana" w:eastAsia="Calibri" w:hAnsi="Verdana" w:cs="Arial"/>
          <w:bCs/>
        </w:rPr>
        <w:t>reglas: i)</w:t>
      </w:r>
      <w:r>
        <w:rPr>
          <w:rFonts w:ascii="Verdana" w:eastAsia="Calibri" w:hAnsi="Verdana" w:cs="Arial"/>
          <w:b/>
          <w:bCs/>
        </w:rPr>
        <w:t xml:space="preserve"> </w:t>
      </w:r>
      <w:r w:rsidRPr="00315E61">
        <w:rPr>
          <w:rFonts w:ascii="Verdana" w:eastAsia="Calibri" w:hAnsi="Verdana" w:cs="Arial"/>
        </w:rPr>
        <w:t>La norma establece que toda persona natural o jurídica que haya sido declarada responsable fiscalmente, mediante un fallo en firme y debidamente ejecutoriado, qued</w:t>
      </w:r>
      <w:r>
        <w:rPr>
          <w:rFonts w:ascii="Verdana" w:eastAsia="Calibri" w:hAnsi="Verdana" w:cs="Arial"/>
        </w:rPr>
        <w:t xml:space="preserve">a inhabilitada; </w:t>
      </w:r>
      <w:proofErr w:type="spellStart"/>
      <w:r>
        <w:rPr>
          <w:rFonts w:ascii="Verdana" w:eastAsia="Calibri" w:hAnsi="Verdana" w:cs="Arial"/>
        </w:rPr>
        <w:t>ii</w:t>
      </w:r>
      <w:proofErr w:type="spellEnd"/>
      <w:r>
        <w:rPr>
          <w:rFonts w:ascii="Verdana" w:eastAsia="Calibri" w:hAnsi="Verdana" w:cs="Arial"/>
        </w:rPr>
        <w:t>) e</w:t>
      </w:r>
      <w:r w:rsidRPr="00315E61">
        <w:rPr>
          <w:rFonts w:ascii="Verdana" w:eastAsia="Calibri" w:hAnsi="Verdana" w:cs="Arial"/>
        </w:rPr>
        <w:t>sta inhabilidad ti</w:t>
      </w:r>
      <w:r>
        <w:rPr>
          <w:rFonts w:ascii="Verdana" w:eastAsia="Calibri" w:hAnsi="Verdana" w:cs="Arial"/>
        </w:rPr>
        <w:t>ene dos alcances principales: a) ejercer cargos públicos y b</w:t>
      </w:r>
      <w:r w:rsidRPr="00315E61">
        <w:rPr>
          <w:rFonts w:ascii="Verdana" w:eastAsia="Calibri" w:hAnsi="Verdana" w:cs="Arial"/>
        </w:rPr>
        <w:t>) contratar con el Estado, lo cual incluye tanto la participación en procesos de selección como la cel</w:t>
      </w:r>
      <w:r>
        <w:rPr>
          <w:rFonts w:ascii="Verdana" w:eastAsia="Calibri" w:hAnsi="Verdana" w:cs="Arial"/>
        </w:rPr>
        <w:t xml:space="preserve">ebración de contratos estatales; </w:t>
      </w:r>
      <w:proofErr w:type="spellStart"/>
      <w:r>
        <w:rPr>
          <w:rFonts w:ascii="Verdana" w:eastAsia="Calibri" w:hAnsi="Verdana" w:cs="Arial"/>
        </w:rPr>
        <w:t>iii</w:t>
      </w:r>
      <w:proofErr w:type="spellEnd"/>
      <w:r>
        <w:rPr>
          <w:rFonts w:ascii="Verdana" w:eastAsia="Calibri" w:hAnsi="Verdana" w:cs="Arial"/>
        </w:rPr>
        <w:t>) l</w:t>
      </w:r>
      <w:r w:rsidRPr="00315E61">
        <w:rPr>
          <w:rFonts w:ascii="Verdana" w:eastAsia="Calibri" w:hAnsi="Verdana" w:cs="Arial"/>
        </w:rPr>
        <w:t>a inhabilidad tiene una duración de cinco (5) años contados a partir de la ejecutoria del f</w:t>
      </w:r>
      <w:r>
        <w:rPr>
          <w:rFonts w:ascii="Verdana" w:eastAsia="Calibri" w:hAnsi="Verdana" w:cs="Arial"/>
        </w:rPr>
        <w:t xml:space="preserve">allo de responsabilidad fiscal; </w:t>
      </w:r>
      <w:proofErr w:type="spellStart"/>
      <w:r>
        <w:rPr>
          <w:rFonts w:ascii="Verdana" w:eastAsia="Calibri" w:hAnsi="Verdana" w:cs="Arial"/>
        </w:rPr>
        <w:t>iv</w:t>
      </w:r>
      <w:proofErr w:type="spellEnd"/>
      <w:r>
        <w:rPr>
          <w:rFonts w:ascii="Verdana" w:eastAsia="Calibri" w:hAnsi="Verdana" w:cs="Arial"/>
        </w:rPr>
        <w:t xml:space="preserve">) </w:t>
      </w:r>
      <w:r w:rsidRPr="00315E61">
        <w:rPr>
          <w:rFonts w:ascii="Verdana" w:eastAsia="Calibri" w:hAnsi="Verdana" w:cs="Arial"/>
        </w:rPr>
        <w:t>la inhabilidad puede cesar antes del vencimiento del término de cinco años. Esto ocurre cuando la Contraloría competente certifica que el responsable ha efectuado el pago de la obligación derivada del fallo fiscal, es decir, que ha resarcido el dañ</w:t>
      </w:r>
      <w:r>
        <w:rPr>
          <w:rFonts w:ascii="Verdana" w:eastAsia="Calibri" w:hAnsi="Verdana" w:cs="Arial"/>
        </w:rPr>
        <w:t xml:space="preserve">o patrimonial causado al Estado, pero si el pago no es </w:t>
      </w:r>
      <w:r>
        <w:rPr>
          <w:rFonts w:ascii="Verdana" w:eastAsia="Calibri" w:hAnsi="Verdana" w:cs="Arial"/>
        </w:rPr>
        <w:lastRenderedPageBreak/>
        <w:t xml:space="preserve">procedente, </w:t>
      </w:r>
      <w:r w:rsidRPr="00315E61">
        <w:rPr>
          <w:rFonts w:ascii="Verdana" w:eastAsia="Calibri" w:hAnsi="Verdana" w:cs="Arial"/>
        </w:rPr>
        <w:t xml:space="preserve">la inhabilidad también puede cesar cuando la Contraloría General de la República excluye al responsable del Boletín de </w:t>
      </w:r>
      <w:proofErr w:type="gramStart"/>
      <w:r w:rsidRPr="00315E61">
        <w:rPr>
          <w:rFonts w:ascii="Verdana" w:eastAsia="Calibri" w:hAnsi="Verdana" w:cs="Arial"/>
        </w:rPr>
        <w:t>Responsables</w:t>
      </w:r>
      <w:proofErr w:type="gramEnd"/>
      <w:r w:rsidRPr="00315E61">
        <w:rPr>
          <w:rFonts w:ascii="Verdana" w:eastAsia="Calibri" w:hAnsi="Verdana" w:cs="Arial"/>
        </w:rPr>
        <w:t xml:space="preserve"> Fiscales. </w:t>
      </w:r>
    </w:p>
    <w:p w14:paraId="086D84C2" w14:textId="77777777" w:rsidR="003058C5" w:rsidRPr="004F1EBE" w:rsidRDefault="003058C5" w:rsidP="003058C5">
      <w:pPr>
        <w:spacing w:after="120" w:line="276" w:lineRule="auto"/>
        <w:ind w:firstLine="708"/>
        <w:jc w:val="both"/>
        <w:rPr>
          <w:rFonts w:ascii="Verdana" w:eastAsia="Calibri" w:hAnsi="Verdana" w:cs="Arial"/>
        </w:rPr>
      </w:pPr>
      <w:r>
        <w:rPr>
          <w:rFonts w:ascii="Verdana" w:eastAsia="Calibri" w:hAnsi="Verdana" w:cs="Arial"/>
        </w:rPr>
        <w:t xml:space="preserve">Con respecto al segundo inciso del parágrafo precitado se derivan las siguientes subreglas: i) si </w:t>
      </w:r>
      <w:r w:rsidRPr="004F1EBE">
        <w:rPr>
          <w:rFonts w:ascii="Verdana" w:eastAsia="Calibri" w:hAnsi="Verdana" w:cs="Arial"/>
        </w:rPr>
        <w:t>transcurren cinco (5) años desde la ejecutoria del fallo de responsabilidad fiscal y el responsable no ha pagado la suma impuesta ni ha sido excluido del Boletín de Responsables Fiscale</w:t>
      </w:r>
      <w:r>
        <w:rPr>
          <w:rFonts w:ascii="Verdana" w:eastAsia="Calibri" w:hAnsi="Verdana" w:cs="Arial"/>
        </w:rPr>
        <w:t xml:space="preserve">s, la inhabilidad no desaparece, por el contrario, se prorroga </w:t>
      </w:r>
      <w:r w:rsidRPr="004F1EBE">
        <w:rPr>
          <w:rFonts w:ascii="Verdana" w:eastAsia="Calibri" w:hAnsi="Verdana" w:cs="Arial"/>
        </w:rPr>
        <w:t>por un nuevo periodo, cuya duración depende del mon</w:t>
      </w:r>
      <w:r>
        <w:rPr>
          <w:rFonts w:ascii="Verdana" w:eastAsia="Calibri" w:hAnsi="Verdana" w:cs="Arial"/>
        </w:rPr>
        <w:t xml:space="preserve">to de la responsabilidad fiscal; </w:t>
      </w:r>
      <w:proofErr w:type="spellStart"/>
      <w:r>
        <w:rPr>
          <w:rFonts w:ascii="Verdana" w:eastAsia="Calibri" w:hAnsi="Verdana" w:cs="Arial"/>
        </w:rPr>
        <w:t>ii</w:t>
      </w:r>
      <w:proofErr w:type="spellEnd"/>
      <w:r>
        <w:rPr>
          <w:rFonts w:ascii="Verdana" w:eastAsia="Calibri" w:hAnsi="Verdana" w:cs="Arial"/>
        </w:rPr>
        <w:t xml:space="preserve">) se introduce un criterio de proporcionalidad de la duración de la prórroga de la inhabilidad se determine en razón </w:t>
      </w:r>
      <w:r w:rsidRPr="004F1EBE">
        <w:rPr>
          <w:rFonts w:ascii="Verdana" w:eastAsia="Calibri" w:hAnsi="Verdana" w:cs="Arial"/>
        </w:rPr>
        <w:t>del valor del daño patri</w:t>
      </w:r>
      <w:r>
        <w:rPr>
          <w:rFonts w:ascii="Verdana" w:eastAsia="Calibri" w:hAnsi="Verdana" w:cs="Arial"/>
        </w:rPr>
        <w:t xml:space="preserve">monial establecido en el fallo. </w:t>
      </w:r>
      <w:r w:rsidRPr="004F1EBE">
        <w:rPr>
          <w:rFonts w:ascii="Verdana" w:eastAsia="Calibri" w:hAnsi="Verdana" w:cs="Arial"/>
        </w:rPr>
        <w:t xml:space="preserve">A mayor cuantía, mayor será el </w:t>
      </w:r>
      <w:r>
        <w:rPr>
          <w:rFonts w:ascii="Verdana" w:eastAsia="Calibri" w:hAnsi="Verdana" w:cs="Arial"/>
        </w:rPr>
        <w:t>tiempo adicional de inhabilidad: a) l</w:t>
      </w:r>
      <w:r w:rsidRPr="004F1EBE">
        <w:rPr>
          <w:rFonts w:ascii="Verdana" w:eastAsia="Calibri" w:hAnsi="Verdana" w:cs="Arial"/>
        </w:rPr>
        <w:t xml:space="preserve">a inhabilidad se extiende por </w:t>
      </w:r>
      <w:r w:rsidRPr="004F1EBE">
        <w:rPr>
          <w:rFonts w:ascii="Verdana" w:eastAsia="Calibri" w:hAnsi="Verdana" w:cs="Arial"/>
          <w:bCs/>
        </w:rPr>
        <w:t>cinco (5) años adicionales</w:t>
      </w:r>
      <w:r w:rsidRPr="004F1EBE">
        <w:rPr>
          <w:rFonts w:ascii="Verdana" w:eastAsia="Calibri" w:hAnsi="Verdana" w:cs="Arial"/>
        </w:rPr>
        <w:t>, lo que representa la sanción más gravosa y se aplica a los casos de mayor i</w:t>
      </w:r>
      <w:r>
        <w:rPr>
          <w:rFonts w:ascii="Verdana" w:eastAsia="Calibri" w:hAnsi="Verdana" w:cs="Arial"/>
        </w:rPr>
        <w:t>mpacto económico para el Estado; b</w:t>
      </w:r>
      <w:r w:rsidRPr="004F1EBE">
        <w:rPr>
          <w:rFonts w:ascii="Verdana" w:eastAsia="Calibri" w:hAnsi="Verdana" w:cs="Arial"/>
        </w:rPr>
        <w:t xml:space="preserve">) la </w:t>
      </w:r>
      <w:r w:rsidRPr="004F1EBE">
        <w:rPr>
          <w:rFonts w:ascii="Verdana" w:eastAsia="Calibri" w:hAnsi="Verdana" w:cs="Arial"/>
          <w:bCs/>
        </w:rPr>
        <w:t>Cuantía superior a 50 e inferior o igual a 100 SMLMV:</w:t>
      </w:r>
      <w:r>
        <w:rPr>
          <w:rFonts w:ascii="Verdana" w:eastAsia="Calibri" w:hAnsi="Verdana" w:cs="Arial"/>
          <w:bCs/>
        </w:rPr>
        <w:t xml:space="preserve"> </w:t>
      </w:r>
      <w:r>
        <w:rPr>
          <w:rFonts w:ascii="Verdana" w:eastAsia="Calibri" w:hAnsi="Verdana" w:cs="Arial"/>
        </w:rPr>
        <w:t>l</w:t>
      </w:r>
      <w:r w:rsidRPr="004F1EBE">
        <w:rPr>
          <w:rFonts w:ascii="Verdana" w:eastAsia="Calibri" w:hAnsi="Verdana" w:cs="Arial"/>
        </w:rPr>
        <w:t xml:space="preserve">a inhabilidad se prorroga por </w:t>
      </w:r>
      <w:r w:rsidRPr="004F1EBE">
        <w:rPr>
          <w:rFonts w:ascii="Verdana" w:eastAsia="Calibri" w:hAnsi="Verdana" w:cs="Arial"/>
          <w:bCs/>
        </w:rPr>
        <w:t>dos (2) años</w:t>
      </w:r>
      <w:r>
        <w:rPr>
          <w:rFonts w:ascii="Verdana" w:eastAsia="Calibri" w:hAnsi="Verdana" w:cs="Arial"/>
        </w:rPr>
        <w:t xml:space="preserve">; </w:t>
      </w:r>
      <w:r w:rsidRPr="00A14A60">
        <w:rPr>
          <w:rFonts w:ascii="Verdana" w:eastAsia="Calibri" w:hAnsi="Verdana" w:cs="Arial"/>
        </w:rPr>
        <w:t xml:space="preserve">c) </w:t>
      </w:r>
      <w:r w:rsidRPr="00A14A60">
        <w:rPr>
          <w:rFonts w:ascii="Verdana" w:eastAsia="Calibri" w:hAnsi="Verdana" w:cs="Arial"/>
          <w:bCs/>
        </w:rPr>
        <w:t>Cuantía superior a 10 e inferior o igual a 50 SMLMV:</w:t>
      </w:r>
      <w:r>
        <w:rPr>
          <w:rFonts w:ascii="Verdana" w:eastAsia="Calibri" w:hAnsi="Verdana" w:cs="Arial"/>
          <w:bCs/>
        </w:rPr>
        <w:t xml:space="preserve"> </w:t>
      </w:r>
      <w:r>
        <w:rPr>
          <w:rFonts w:ascii="Verdana" w:eastAsia="Calibri" w:hAnsi="Verdana" w:cs="Arial"/>
        </w:rPr>
        <w:t>l</w:t>
      </w:r>
      <w:r w:rsidRPr="00A14A60">
        <w:rPr>
          <w:rFonts w:ascii="Verdana" w:eastAsia="Calibri" w:hAnsi="Verdana" w:cs="Arial"/>
        </w:rPr>
        <w:t xml:space="preserve">a inhabilidad se extiende por </w:t>
      </w:r>
      <w:r w:rsidRPr="00A14A60">
        <w:rPr>
          <w:rFonts w:ascii="Verdana" w:eastAsia="Calibri" w:hAnsi="Verdana" w:cs="Arial"/>
          <w:bCs/>
        </w:rPr>
        <w:t>un (1) año</w:t>
      </w:r>
      <w:r w:rsidRPr="00A14A60">
        <w:rPr>
          <w:rFonts w:ascii="Verdana" w:eastAsia="Calibri" w:hAnsi="Verdana" w:cs="Arial"/>
        </w:rPr>
        <w:t xml:space="preserve"> adicional; d) </w:t>
      </w:r>
      <w:r w:rsidRPr="00A14A60">
        <w:rPr>
          <w:rFonts w:ascii="Verdana" w:eastAsia="Calibri" w:hAnsi="Verdana" w:cs="Arial"/>
          <w:bCs/>
        </w:rPr>
        <w:t xml:space="preserve">Cuantía igual o inferior a 10 SMLMV: </w:t>
      </w:r>
      <w:r>
        <w:rPr>
          <w:rFonts w:ascii="Verdana" w:eastAsia="Calibri" w:hAnsi="Verdana" w:cs="Arial"/>
        </w:rPr>
        <w:t>l</w:t>
      </w:r>
      <w:r w:rsidRPr="00A14A60">
        <w:rPr>
          <w:rFonts w:ascii="Verdana" w:eastAsia="Calibri" w:hAnsi="Verdana" w:cs="Arial"/>
        </w:rPr>
        <w:t xml:space="preserve">a inhabilidad se prorroga por </w:t>
      </w:r>
      <w:r w:rsidRPr="00A14A60">
        <w:rPr>
          <w:rFonts w:ascii="Verdana" w:eastAsia="Calibri" w:hAnsi="Verdana" w:cs="Arial"/>
          <w:bCs/>
        </w:rPr>
        <w:t>tres (3) meses</w:t>
      </w:r>
      <w:r w:rsidRPr="00A14A60">
        <w:rPr>
          <w:rFonts w:ascii="Verdana" w:eastAsia="Calibri" w:hAnsi="Verdana" w:cs="Arial"/>
        </w:rPr>
        <w:t>, siendo esta la extensión mínima prevista por la norma.</w:t>
      </w:r>
    </w:p>
    <w:p w14:paraId="6C8AC4E4" w14:textId="77777777" w:rsidR="003058C5" w:rsidRDefault="003058C5" w:rsidP="003058C5">
      <w:pPr>
        <w:spacing w:after="120" w:line="276" w:lineRule="auto"/>
        <w:ind w:firstLine="708"/>
        <w:jc w:val="both"/>
        <w:rPr>
          <w:rFonts w:ascii="Verdana" w:eastAsia="Verdana" w:hAnsi="Verdana" w:cs="Verdana"/>
        </w:rPr>
      </w:pPr>
      <w:r w:rsidRPr="006C6FA1">
        <w:rPr>
          <w:rFonts w:ascii="Verdana" w:eastAsia="Verdana" w:hAnsi="Verdana" w:cs="Verdana"/>
        </w:rPr>
        <w:t xml:space="preserve">En ese contexto, la inclusión de una persona natural o jurídica en el Boletín de </w:t>
      </w:r>
      <w:proofErr w:type="gramStart"/>
      <w:r w:rsidRPr="006C6FA1">
        <w:rPr>
          <w:rFonts w:ascii="Verdana" w:eastAsia="Verdana" w:hAnsi="Verdana" w:cs="Verdana"/>
        </w:rPr>
        <w:t>Responsables</w:t>
      </w:r>
      <w:proofErr w:type="gramEnd"/>
      <w:r w:rsidRPr="006C6FA1">
        <w:rPr>
          <w:rFonts w:ascii="Verdana" w:eastAsia="Verdana" w:hAnsi="Verdana" w:cs="Verdana"/>
        </w:rPr>
        <w:t xml:space="preserve"> Fiscales, como consecuencia de un fallo con responsabilidad fiscal en firme y debidamente ejecutoriado, implica la configuración de una inhabilidad legal para contratar con el Estado. Dicha inhabilidad comprende tanto la imposibilidad de participar en procesos de selección como la celebración de contratos con entidades estatales.</w:t>
      </w:r>
      <w:r>
        <w:rPr>
          <w:rFonts w:ascii="Verdana" w:eastAsia="Verdana" w:hAnsi="Verdana" w:cs="Verdana"/>
        </w:rPr>
        <w:t xml:space="preserve"> </w:t>
      </w:r>
      <w:r w:rsidRPr="006C6FA1">
        <w:rPr>
          <w:rFonts w:ascii="Verdana" w:eastAsia="Verdana" w:hAnsi="Verdana" w:cs="Verdana"/>
        </w:rPr>
        <w:t xml:space="preserve">Esta situación debe interpretarse en concordancia con lo dispuesto en la causal a) del numeral 1 del artículo 8 de la Ley 80 de 1993, según la cual no podrán contratar con el Estado “las personas que se hallen inhabilitadas para contratar por la Constitución y las leyes”, lo que </w:t>
      </w:r>
      <w:r>
        <w:rPr>
          <w:rFonts w:ascii="Verdana" w:eastAsia="Verdana" w:hAnsi="Verdana" w:cs="Verdana"/>
        </w:rPr>
        <w:t xml:space="preserve">permite inferir que también se </w:t>
      </w:r>
      <w:r w:rsidRPr="006C6FA1">
        <w:rPr>
          <w:rFonts w:ascii="Verdana" w:eastAsia="Verdana" w:hAnsi="Verdana" w:cs="Verdana"/>
        </w:rPr>
        <w:t>incluye expresamente a quienes se encuentren reportados en el mencionado boletín.</w:t>
      </w:r>
      <w:r>
        <w:rPr>
          <w:rFonts w:ascii="Verdana" w:eastAsia="Verdana" w:hAnsi="Verdana" w:cs="Verdana"/>
        </w:rPr>
        <w:t xml:space="preserve"> </w:t>
      </w:r>
    </w:p>
    <w:p w14:paraId="22B0446F" w14:textId="77777777" w:rsidR="003058C5" w:rsidRPr="00FC5392" w:rsidRDefault="003058C5" w:rsidP="003058C5">
      <w:pPr>
        <w:spacing w:after="120" w:line="276" w:lineRule="auto"/>
        <w:ind w:firstLine="709"/>
        <w:jc w:val="both"/>
        <w:rPr>
          <w:rFonts w:ascii="Verdana" w:eastAsia="Verdana" w:hAnsi="Verdana" w:cs="Verdana"/>
          <w:sz w:val="20"/>
          <w:szCs w:val="20"/>
          <w:lang w:val="es-ES_tradnl"/>
        </w:rPr>
      </w:pPr>
      <w:r>
        <w:rPr>
          <w:rFonts w:ascii="Verdana" w:eastAsia="Verdana" w:hAnsi="Verdana" w:cs="Verdana"/>
        </w:rPr>
        <w:t xml:space="preserve">No obstante, debe </w:t>
      </w:r>
      <w:r>
        <w:rPr>
          <w:rFonts w:ascii="Verdana" w:eastAsia="Calibri" w:hAnsi="Verdana" w:cs="Arial"/>
          <w:lang w:val="es-ES_tradnl"/>
        </w:rPr>
        <w:t xml:space="preserve">tenerse en cuenta </w:t>
      </w:r>
      <w:r w:rsidRPr="00A97AB0">
        <w:rPr>
          <w:rFonts w:ascii="Verdana" w:eastAsia="Calibri" w:hAnsi="Verdana" w:cs="Arial"/>
          <w:lang w:val="es-ES_tradnl"/>
        </w:rPr>
        <w:t xml:space="preserve">que la periodicidad de la expedición del boletín de responsables fiscales es trimestral, </w:t>
      </w:r>
      <w:r>
        <w:rPr>
          <w:rFonts w:ascii="Verdana" w:eastAsia="Calibri" w:hAnsi="Verdana" w:cs="Arial"/>
          <w:lang w:val="es-ES_tradnl"/>
        </w:rPr>
        <w:t xml:space="preserve">por lo que no debe afectar </w:t>
      </w:r>
      <w:r w:rsidRPr="00A97AB0">
        <w:rPr>
          <w:rFonts w:ascii="Verdana" w:eastAsia="Calibri" w:hAnsi="Verdana" w:cs="Arial"/>
          <w:lang w:val="es-ES_tradnl"/>
        </w:rPr>
        <w:t xml:space="preserve">la cesación de la inhabilidad, puesto que como se estableció los servidores públicos encargados de posesionar o contratar personas deben consultar a la Contraloría General de la República sobre las futuras inclusiones de “funcionarios o </w:t>
      </w:r>
      <w:r w:rsidRPr="00A97AB0">
        <w:rPr>
          <w:rFonts w:ascii="Verdana" w:eastAsia="Calibri" w:hAnsi="Verdana" w:cs="Arial"/>
          <w:lang w:val="es-ES_tradnl"/>
        </w:rPr>
        <w:lastRenderedPageBreak/>
        <w:t xml:space="preserve">contratistas en el boletín”, en caso de que aún no se haya expedido este. Por tanto, de acuerdo con el parágrafo 1 del artículo 42 de la Ley 1952 de 2019, la inhabilidad de una persona que haya sido declarado responsable fiscalmente cesa cuando la Contraloría correspondiente </w:t>
      </w:r>
      <w:r>
        <w:rPr>
          <w:rFonts w:ascii="Verdana" w:eastAsia="Calibri" w:hAnsi="Verdana" w:cs="Arial"/>
          <w:lang w:val="es-ES_tradnl"/>
        </w:rPr>
        <w:t>declare haber recibido el pago y</w:t>
      </w:r>
      <w:r w:rsidRPr="00A97AB0">
        <w:rPr>
          <w:rFonts w:ascii="Verdana" w:eastAsia="Calibri" w:hAnsi="Verdana" w:cs="Arial"/>
          <w:lang w:val="es-ES_tradnl"/>
        </w:rPr>
        <w:t xml:space="preserve"> lo mismo ocurre cuando no es procedente la realización de un pago, ya que la Contraloría General de la República debe excluir a la persona cuando se cumplen cinco (5) años a partir de la ejecutoria del fallo y cesa la inhabilidad, a pesar de no </w:t>
      </w:r>
      <w:r>
        <w:rPr>
          <w:rFonts w:ascii="Verdana" w:eastAsia="Calibri" w:hAnsi="Verdana" w:cs="Arial"/>
          <w:lang w:val="es-ES_tradnl"/>
        </w:rPr>
        <w:t>haber sido expedido el boletín</w:t>
      </w:r>
      <w:r>
        <w:rPr>
          <w:rStyle w:val="Refdenotaalpie"/>
          <w:rFonts w:ascii="Verdana" w:eastAsia="Calibri" w:hAnsi="Verdana" w:cs="Arial"/>
          <w:lang w:val="es-ES_tradnl"/>
        </w:rPr>
        <w:footnoteReference w:id="16"/>
      </w:r>
      <w:r>
        <w:rPr>
          <w:rFonts w:ascii="Verdana" w:eastAsia="Calibri" w:hAnsi="Verdana" w:cs="Arial"/>
          <w:lang w:val="es-ES_tradnl"/>
        </w:rPr>
        <w:t xml:space="preserve">. </w:t>
      </w:r>
    </w:p>
    <w:p w14:paraId="5F3E157D" w14:textId="77777777" w:rsidR="003058C5" w:rsidRDefault="003058C5" w:rsidP="003058C5">
      <w:pPr>
        <w:spacing w:after="120" w:line="276" w:lineRule="auto"/>
        <w:jc w:val="both"/>
        <w:rPr>
          <w:rFonts w:ascii="Verdana" w:eastAsia="Calibri" w:hAnsi="Verdana" w:cs="Arial"/>
          <w:lang w:val="es-ES_tradnl"/>
        </w:rPr>
      </w:pPr>
      <w:r w:rsidRPr="00A97AB0">
        <w:rPr>
          <w:rFonts w:ascii="Verdana" w:eastAsia="Calibri" w:hAnsi="Verdana" w:cs="Arial"/>
          <w:lang w:val="es-ES_tradnl"/>
        </w:rPr>
        <w:tab/>
        <w:t xml:space="preserve">Dicha conclusión </w:t>
      </w:r>
      <w:r>
        <w:rPr>
          <w:rFonts w:ascii="Verdana" w:eastAsia="Calibri" w:hAnsi="Verdana" w:cs="Arial"/>
          <w:lang w:val="es-ES_tradnl"/>
        </w:rPr>
        <w:t xml:space="preserve">fue compartida </w:t>
      </w:r>
      <w:r w:rsidRPr="00A97AB0">
        <w:rPr>
          <w:rFonts w:ascii="Verdana" w:eastAsia="Calibri" w:hAnsi="Verdana" w:cs="Arial"/>
          <w:lang w:val="es-ES_tradnl"/>
        </w:rPr>
        <w:t>por el Consejo de Estado en su Sala de Consulta y Servicio Civil</w:t>
      </w:r>
      <w:r>
        <w:rPr>
          <w:rFonts w:ascii="Verdana" w:eastAsia="Calibri" w:hAnsi="Verdana" w:cs="Arial"/>
          <w:lang w:val="es-ES_tradnl"/>
        </w:rPr>
        <w:t xml:space="preserve"> cuando interpretó el alcance del artículo 38 de la Ley 734 de 2002, en el que se </w:t>
      </w:r>
      <w:r w:rsidRPr="00A97AB0">
        <w:rPr>
          <w:rFonts w:ascii="Verdana" w:eastAsia="Calibri" w:hAnsi="Verdana" w:cs="Arial"/>
          <w:lang w:val="es-ES_tradnl"/>
        </w:rPr>
        <w:t>indicó: “Como los efectos de la cesación son hacia futuro, debe entenderse que cuando la Contraloría competente declara haber recibido el pago o la Contraloría de la República excluye al responsable del boletín de responsables fiscales, la inhabilidad dejará de producir efectos hacia el futuro, y por tanto el sujeto afectado podrá aspirar al ejercicio de posteriores actividade</w:t>
      </w:r>
      <w:r>
        <w:rPr>
          <w:rFonts w:ascii="Verdana" w:eastAsia="Calibri" w:hAnsi="Verdana" w:cs="Arial"/>
          <w:lang w:val="es-ES_tradnl"/>
        </w:rPr>
        <w:t>s referidas al sector público”</w:t>
      </w:r>
      <w:r w:rsidRPr="00A97AB0">
        <w:rPr>
          <w:rStyle w:val="Refdenotaalpie"/>
          <w:rFonts w:ascii="Verdana" w:eastAsia="Calibri" w:hAnsi="Verdana" w:cs="Arial"/>
          <w:lang w:val="es-ES_tradnl"/>
        </w:rPr>
        <w:footnoteReference w:id="17"/>
      </w:r>
      <w:r>
        <w:rPr>
          <w:rFonts w:ascii="Verdana" w:eastAsia="Calibri" w:hAnsi="Verdana" w:cs="Arial"/>
          <w:lang w:val="es-ES_tradnl"/>
        </w:rPr>
        <w:t>.</w:t>
      </w:r>
    </w:p>
    <w:p w14:paraId="6BCB3AF8" w14:textId="77777777" w:rsidR="003058C5" w:rsidRDefault="003058C5" w:rsidP="003058C5">
      <w:pPr>
        <w:spacing w:after="120" w:line="276" w:lineRule="auto"/>
        <w:ind w:firstLine="708"/>
        <w:jc w:val="both"/>
        <w:rPr>
          <w:rFonts w:ascii="Verdana" w:hAnsi="Verdana" w:cs="Arial"/>
          <w:color w:val="000000" w:themeColor="text1"/>
        </w:rPr>
      </w:pPr>
      <w:r>
        <w:rPr>
          <w:rFonts w:ascii="Verdana" w:hAnsi="Verdana" w:cs="Arial"/>
          <w:color w:val="000000" w:themeColor="text1"/>
        </w:rPr>
        <w:t xml:space="preserve">Por otra parte, las inhabilidades o incompatibilidades tienen carácter sobreviniente, es necesario tener en cuenta que el ordenamiento jurídico trata de manera distinta al oferente, al adjudicatario y al contratista. </w:t>
      </w:r>
      <w:r w:rsidRPr="006437AB">
        <w:rPr>
          <w:rFonts w:ascii="Verdana" w:hAnsi="Verdana" w:cs="Arial"/>
          <w:i/>
          <w:iCs/>
          <w:color w:val="000000" w:themeColor="text1"/>
        </w:rPr>
        <w:t>Respecto al ofer</w:t>
      </w:r>
      <w:r>
        <w:rPr>
          <w:rFonts w:ascii="Verdana" w:hAnsi="Verdana" w:cs="Arial"/>
          <w:i/>
          <w:iCs/>
          <w:color w:val="000000" w:themeColor="text1"/>
        </w:rPr>
        <w:t>en</w:t>
      </w:r>
      <w:r w:rsidRPr="006437AB">
        <w:rPr>
          <w:rFonts w:ascii="Verdana" w:hAnsi="Verdana" w:cs="Arial"/>
          <w:i/>
          <w:iCs/>
          <w:color w:val="000000" w:themeColor="text1"/>
        </w:rPr>
        <w:t>te</w:t>
      </w:r>
      <w:r>
        <w:rPr>
          <w:rFonts w:ascii="Verdana" w:hAnsi="Verdana" w:cs="Arial"/>
          <w:color w:val="000000" w:themeColor="text1"/>
        </w:rPr>
        <w:t>, el inciso segundo del artículo 9 de la Ley 80 de 1993 dispone que “</w:t>
      </w:r>
      <w:r w:rsidRPr="006437AB">
        <w:rPr>
          <w:rFonts w:ascii="Verdana" w:hAnsi="Verdana" w:cs="Arial"/>
          <w:color w:val="000000" w:themeColor="text1"/>
        </w:rPr>
        <w:t>Cuando la inhabilidad o incompatibilidad sobrevenga en un proponente dentro de un proceso de selección, se entenderá que renuncia a la participación en el proceso de selección y a los derechos surgidos del mismo</w:t>
      </w:r>
      <w:r>
        <w:rPr>
          <w:rFonts w:ascii="Verdana" w:hAnsi="Verdana" w:cs="Arial"/>
          <w:color w:val="000000" w:themeColor="text1"/>
        </w:rPr>
        <w:t>”</w:t>
      </w:r>
      <w:r w:rsidRPr="006437AB">
        <w:rPr>
          <w:rFonts w:ascii="Verdana" w:hAnsi="Verdana" w:cs="Arial"/>
          <w:color w:val="000000" w:themeColor="text1"/>
        </w:rPr>
        <w:t>.</w:t>
      </w:r>
      <w:r>
        <w:rPr>
          <w:rFonts w:ascii="Verdana" w:hAnsi="Verdana" w:cs="Arial"/>
          <w:color w:val="000000" w:themeColor="text1"/>
        </w:rPr>
        <w:t xml:space="preserve"> </w:t>
      </w:r>
      <w:r w:rsidRPr="00102540">
        <w:rPr>
          <w:rFonts w:ascii="Verdana" w:hAnsi="Verdana" w:cs="Arial"/>
          <w:i/>
          <w:iCs/>
          <w:color w:val="000000" w:themeColor="text1"/>
        </w:rPr>
        <w:t>Respecto al adjudicatario</w:t>
      </w:r>
      <w:r>
        <w:rPr>
          <w:rFonts w:ascii="Verdana" w:hAnsi="Verdana" w:cs="Arial"/>
          <w:color w:val="000000" w:themeColor="text1"/>
        </w:rPr>
        <w:t xml:space="preserve">, el inciso 3 del artículo 9 de la Ley 1150 de 2007 prescribe lo </w:t>
      </w:r>
      <w:r>
        <w:rPr>
          <w:rFonts w:ascii="Verdana" w:hAnsi="Verdana" w:cs="Arial"/>
          <w:color w:val="000000" w:themeColor="text1"/>
        </w:rPr>
        <w:lastRenderedPageBreak/>
        <w:t xml:space="preserve">siguiente: “[…] </w:t>
      </w:r>
      <w:r w:rsidRPr="00102540">
        <w:rPr>
          <w:rFonts w:ascii="Verdana" w:hAnsi="Verdana" w:cs="Arial"/>
          <w:color w:val="000000" w:themeColor="text1"/>
        </w:rPr>
        <w:t xml:space="preserve">si dentro del plazo comprendido entre la adjudicación del contrato y la suscripción </w:t>
      </w:r>
      <w:proofErr w:type="gramStart"/>
      <w:r w:rsidRPr="00102540">
        <w:rPr>
          <w:rFonts w:ascii="Verdana" w:hAnsi="Verdana" w:cs="Arial"/>
          <w:color w:val="000000" w:themeColor="text1"/>
        </w:rPr>
        <w:t>del mismo</w:t>
      </w:r>
      <w:proofErr w:type="gramEnd"/>
      <w:r w:rsidRPr="00102540">
        <w:rPr>
          <w:rFonts w:ascii="Verdana" w:hAnsi="Verdana" w:cs="Arial"/>
          <w:color w:val="000000" w:themeColor="text1"/>
        </w:rPr>
        <w:t xml:space="preserve">, sobreviene una inhabilidad o incompatibilidad </w:t>
      </w:r>
      <w:r>
        <w:rPr>
          <w:rFonts w:ascii="Verdana" w:hAnsi="Verdana" w:cs="Arial"/>
          <w:color w:val="000000" w:themeColor="text1"/>
        </w:rPr>
        <w:t>[…]</w:t>
      </w:r>
      <w:r w:rsidRPr="00102540">
        <w:rPr>
          <w:rFonts w:ascii="Verdana" w:hAnsi="Verdana" w:cs="Arial"/>
          <w:color w:val="000000" w:themeColor="text1"/>
        </w:rPr>
        <w:t xml:space="preserve"> este podrá ser revocado</w:t>
      </w:r>
      <w:r>
        <w:rPr>
          <w:rFonts w:ascii="Verdana" w:hAnsi="Verdana" w:cs="Arial"/>
          <w:color w:val="000000" w:themeColor="text1"/>
        </w:rPr>
        <w:t xml:space="preserve"> […]”.</w:t>
      </w:r>
    </w:p>
    <w:p w14:paraId="6EA21EC6" w14:textId="77777777" w:rsidR="003058C5" w:rsidRDefault="003058C5" w:rsidP="003058C5">
      <w:pPr>
        <w:spacing w:after="120" w:line="276" w:lineRule="auto"/>
        <w:ind w:firstLine="708"/>
        <w:jc w:val="both"/>
        <w:rPr>
          <w:rFonts w:ascii="Verdana" w:hAnsi="Verdana" w:cs="Arial"/>
          <w:color w:val="000000" w:themeColor="text1"/>
        </w:rPr>
      </w:pPr>
      <w:r>
        <w:rPr>
          <w:rFonts w:ascii="Verdana" w:hAnsi="Verdana" w:cs="Arial"/>
          <w:color w:val="000000" w:themeColor="text1"/>
        </w:rPr>
        <w:t>Sólo con el cumplimiento de los requisitos de los artículos 39 y 41 del Estatuto General de Contratación Pública existe el contrato estatal, de manera que tienen carácter solemne</w:t>
      </w:r>
      <w:r w:rsidRPr="00102540">
        <w:rPr>
          <w:rFonts w:ascii="Verdana" w:hAnsi="Verdana" w:cs="Arial"/>
          <w:color w:val="000000" w:themeColor="text1"/>
        </w:rPr>
        <w:t xml:space="preserve"> y, por tanto, requieren formalidad escrita</w:t>
      </w:r>
      <w:r>
        <w:rPr>
          <w:rFonts w:ascii="Verdana" w:hAnsi="Verdana" w:cs="Arial"/>
          <w:color w:val="000000" w:themeColor="text1"/>
        </w:rPr>
        <w:t xml:space="preserve">. Por ello, </w:t>
      </w:r>
      <w:r w:rsidRPr="00F87C06">
        <w:rPr>
          <w:rFonts w:ascii="Verdana" w:hAnsi="Verdana" w:cs="Arial"/>
          <w:i/>
          <w:iCs/>
          <w:color w:val="000000" w:themeColor="text1"/>
        </w:rPr>
        <w:t>respecto al contratista</w:t>
      </w:r>
      <w:r>
        <w:rPr>
          <w:rFonts w:ascii="Verdana" w:hAnsi="Verdana" w:cs="Arial"/>
          <w:color w:val="000000" w:themeColor="text1"/>
        </w:rPr>
        <w:t>, el inciso primero del artículo 9 de la Ley 80 de 1993 dispone que “</w:t>
      </w:r>
      <w:r w:rsidRPr="00F87C06">
        <w:rPr>
          <w:rFonts w:ascii="Verdana" w:hAnsi="Verdana" w:cs="Arial"/>
          <w:color w:val="000000" w:themeColor="text1"/>
        </w:rPr>
        <w:t>Si llegare a sobrevenir inhabilidad o incompatibilidad en el contratista, este cederá el contrato previa autorización escrita de la entidad contratante o, si ello no fuere posible, renunciará a su ejecución</w:t>
      </w:r>
      <w:r>
        <w:rPr>
          <w:rFonts w:ascii="Verdana" w:hAnsi="Verdana" w:cs="Arial"/>
          <w:color w:val="000000" w:themeColor="text1"/>
        </w:rPr>
        <w:t xml:space="preserve">”. El inciso tercero </w:t>
      </w:r>
      <w:r w:rsidRPr="00F87C06">
        <w:rPr>
          <w:rFonts w:ascii="Verdana" w:hAnsi="Verdana" w:cs="Arial"/>
          <w:i/>
          <w:iCs/>
          <w:color w:val="000000" w:themeColor="text1"/>
        </w:rPr>
        <w:t>ibidem</w:t>
      </w:r>
      <w:r>
        <w:rPr>
          <w:rFonts w:ascii="Verdana" w:hAnsi="Verdana" w:cs="Arial"/>
          <w:color w:val="000000" w:themeColor="text1"/>
        </w:rPr>
        <w:t xml:space="preserve"> agrega lo siguiente: “</w:t>
      </w:r>
      <w:r w:rsidRPr="00F87C06">
        <w:rPr>
          <w:rFonts w:ascii="Verdana" w:hAnsi="Verdana" w:cs="Arial"/>
          <w:color w:val="000000" w:themeColor="text1"/>
        </w:rPr>
        <w:t>Si la inhabilidad o incompatibilidad sobreviene en uno de los miembros de un consorcio o unión temporal, este cederá su participación a un tercero previa autorización escrita de la entidad contratante. En ningún caso podrá haber cesión del contrato entre quienes integran el consorcio o unión temporal</w:t>
      </w:r>
      <w:r>
        <w:rPr>
          <w:rFonts w:ascii="Verdana" w:hAnsi="Verdana" w:cs="Arial"/>
          <w:color w:val="000000" w:themeColor="text1"/>
        </w:rPr>
        <w:t>”</w:t>
      </w:r>
      <w:r w:rsidRPr="00F87C06">
        <w:rPr>
          <w:rFonts w:ascii="Verdana" w:hAnsi="Verdana" w:cs="Arial"/>
          <w:color w:val="000000" w:themeColor="text1"/>
        </w:rPr>
        <w:t>.</w:t>
      </w:r>
      <w:r>
        <w:rPr>
          <w:rFonts w:ascii="Verdana" w:hAnsi="Verdana" w:cs="Arial"/>
          <w:color w:val="000000" w:themeColor="text1"/>
        </w:rPr>
        <w:t xml:space="preserve">   </w:t>
      </w:r>
    </w:p>
    <w:p w14:paraId="5C83744F" w14:textId="77777777" w:rsidR="003058C5" w:rsidRPr="005366FC" w:rsidRDefault="003058C5" w:rsidP="003058C5">
      <w:pPr>
        <w:spacing w:after="120" w:line="276" w:lineRule="auto"/>
        <w:ind w:firstLine="708"/>
        <w:jc w:val="both"/>
        <w:rPr>
          <w:rFonts w:ascii="Verdana" w:hAnsi="Verdana" w:cs="Arial"/>
          <w:color w:val="000000" w:themeColor="text1"/>
        </w:rPr>
      </w:pPr>
      <w:r>
        <w:rPr>
          <w:rFonts w:ascii="Verdana" w:hAnsi="Verdana" w:cs="Arial"/>
          <w:color w:val="000000" w:themeColor="text1"/>
        </w:rPr>
        <w:t xml:space="preserve">En este contexto, durante la fase de selección, los </w:t>
      </w:r>
      <w:r w:rsidRPr="00F87C06">
        <w:rPr>
          <w:rFonts w:ascii="Verdana" w:hAnsi="Verdana" w:cs="Arial"/>
          <w:i/>
          <w:iCs/>
          <w:color w:val="000000" w:themeColor="text1"/>
        </w:rPr>
        <w:t>oferentes</w:t>
      </w:r>
      <w:r>
        <w:rPr>
          <w:rFonts w:ascii="Verdana" w:hAnsi="Verdana" w:cs="Arial"/>
          <w:color w:val="000000" w:themeColor="text1"/>
        </w:rPr>
        <w:t xml:space="preserve"> y </w:t>
      </w:r>
      <w:r w:rsidRPr="00F87C06">
        <w:rPr>
          <w:rFonts w:ascii="Verdana" w:hAnsi="Verdana" w:cs="Arial"/>
          <w:i/>
          <w:iCs/>
          <w:color w:val="000000" w:themeColor="text1"/>
        </w:rPr>
        <w:t>adjudicatarios</w:t>
      </w:r>
      <w:r>
        <w:rPr>
          <w:rFonts w:ascii="Verdana" w:hAnsi="Verdana" w:cs="Arial"/>
          <w:color w:val="000000" w:themeColor="text1"/>
        </w:rPr>
        <w:t xml:space="preserve"> carecen de la posibilidad de ceder contratos por sustracción de materia, siendo los efectos de la inhabilidad sobreviniente las consecuencias descritas </w:t>
      </w:r>
      <w:r w:rsidRPr="005366FC">
        <w:rPr>
          <w:rFonts w:ascii="Verdana" w:hAnsi="Verdana" w:cs="Arial"/>
          <w:i/>
          <w:iCs/>
          <w:color w:val="000000" w:themeColor="text1"/>
        </w:rPr>
        <w:t>ut supra</w:t>
      </w:r>
      <w:r>
        <w:rPr>
          <w:rFonts w:ascii="Verdana" w:hAnsi="Verdana" w:cs="Arial"/>
          <w:color w:val="000000" w:themeColor="text1"/>
        </w:rPr>
        <w:t>. La cesión es una institución jurídica propia de la etapa contractual, por lo que sólo pueden cederse los contratos estatales que se encuentren perfeccionados y no estén liquidados, para los que la requieran, o no se hayan extinguido las obligaciones entre las partes, para aquellos negocios que no la requieran</w:t>
      </w:r>
      <w:r>
        <w:rPr>
          <w:rStyle w:val="Refdenotaalpie"/>
          <w:rFonts w:ascii="Verdana" w:hAnsi="Verdana" w:cs="Arial"/>
          <w:color w:val="000000" w:themeColor="text1"/>
        </w:rPr>
        <w:footnoteReference w:id="18"/>
      </w:r>
      <w:r>
        <w:rPr>
          <w:rFonts w:ascii="Verdana" w:hAnsi="Verdana" w:cs="Arial"/>
          <w:color w:val="000000" w:themeColor="text1"/>
        </w:rPr>
        <w:t xml:space="preserve">. </w:t>
      </w:r>
    </w:p>
    <w:p w14:paraId="3A11E792" w14:textId="77777777" w:rsidR="003058C5" w:rsidRPr="00072B24" w:rsidRDefault="003058C5" w:rsidP="003058C5">
      <w:pPr>
        <w:spacing w:after="120" w:line="276" w:lineRule="auto"/>
        <w:ind w:firstLine="708"/>
        <w:jc w:val="both"/>
        <w:rPr>
          <w:rFonts w:ascii="Verdana" w:eastAsia="Calibri" w:hAnsi="Verdana" w:cs="Arial"/>
          <w:lang w:val="es-ES_tradnl"/>
        </w:rPr>
      </w:pPr>
      <w:r w:rsidRPr="00CB75A4">
        <w:rPr>
          <w:rFonts w:ascii="Verdana" w:eastAsia="Calibri" w:hAnsi="Verdana" w:cs="Arial"/>
        </w:rPr>
        <w:t xml:space="preserve">En el caso de un proponente que incurre en una inhabilidad sobreviniente derivada de un fallo de responsabilidad fiscal —que </w:t>
      </w:r>
      <w:r>
        <w:rPr>
          <w:rFonts w:ascii="Verdana" w:eastAsia="Calibri" w:hAnsi="Verdana" w:cs="Arial"/>
        </w:rPr>
        <w:t>implica</w:t>
      </w:r>
      <w:r w:rsidRPr="00CB75A4">
        <w:rPr>
          <w:rFonts w:ascii="Verdana" w:eastAsia="Calibri" w:hAnsi="Verdana" w:cs="Arial"/>
        </w:rPr>
        <w:t xml:space="preserve"> la prohibición de contratar con el Estado por cinco años— es necesario precisar que estas inhabilidades producen efectos ex nunc, es decir, hacia el futuro. Esto significa que, desde el momento en que se configura la causal, el oferente queda impedido para continuar en el proceso de contratación o para suscribir el contrato mientras la restricción esté vigente. En consecuencia, la administración debe abstenerse de adjudicar o permitir la celebración del contrato si, al </w:t>
      </w:r>
      <w:r w:rsidRPr="00CB75A4">
        <w:rPr>
          <w:rFonts w:ascii="Verdana" w:eastAsia="Calibri" w:hAnsi="Verdana" w:cs="Arial"/>
        </w:rPr>
        <w:lastRenderedPageBreak/>
        <w:t>momento de la decisión, el proponente aún se encuentra inhabilitado, pues su capacidad jurídica se encuentra suspendida desde ese instante en adelante.</w:t>
      </w:r>
    </w:p>
    <w:p w14:paraId="5BEDA2F4" w14:textId="77777777" w:rsidR="003058C5" w:rsidRDefault="003058C5" w:rsidP="003058C5">
      <w:pPr>
        <w:spacing w:after="120" w:line="276" w:lineRule="auto"/>
        <w:jc w:val="both"/>
        <w:rPr>
          <w:rFonts w:ascii="Verdana" w:eastAsia="Calibri" w:hAnsi="Verdana" w:cs="Arial"/>
        </w:rPr>
      </w:pPr>
      <w:r>
        <w:rPr>
          <w:rFonts w:ascii="Verdana" w:eastAsia="Calibri" w:hAnsi="Verdana" w:cs="Arial"/>
        </w:rPr>
        <w:tab/>
        <w:t xml:space="preserve">La </w:t>
      </w:r>
      <w:r w:rsidRPr="00616A08">
        <w:rPr>
          <w:rFonts w:ascii="Verdana" w:eastAsia="Calibri" w:hAnsi="Verdana" w:cs="Arial"/>
        </w:rPr>
        <w:t xml:space="preserve">inhabilidad sobreviniente no compromete la validez de las actuaciones realizadas antes de su configuración, pues en ese momento el proponente se encontraba plenamente habilitado y actuó dentro del marco jurídico permitido. En virtud del principio de seguridad jurídica, estas actuaciones previas se mantienen incólumes, dado que las inhabilidades no producen efectos retroactivos sino </w:t>
      </w:r>
      <w:proofErr w:type="spellStart"/>
      <w:r w:rsidRPr="00616A08">
        <w:rPr>
          <w:rFonts w:ascii="Verdana" w:eastAsia="Calibri" w:hAnsi="Verdana" w:cs="Arial"/>
        </w:rPr>
        <w:t>irretroactivos</w:t>
      </w:r>
      <w:proofErr w:type="spellEnd"/>
      <w:r w:rsidRPr="00616A08">
        <w:rPr>
          <w:rFonts w:ascii="Verdana" w:eastAsia="Calibri" w:hAnsi="Verdana" w:cs="Arial"/>
        </w:rPr>
        <w:t>, lo que significa que solo despliegan consecuencias hacia el futuro desde el instante en que se materializan. Por ello, no se deshacen ni se afectan actos válidamente ejecutados con anterioridad, y la restricción únicamente limita la participación del proponente a partir de su configuración y mientras permanezca vigente.</w:t>
      </w:r>
      <w:r>
        <w:rPr>
          <w:rFonts w:ascii="Verdana" w:eastAsia="Calibri" w:hAnsi="Verdana" w:cs="Arial"/>
        </w:rPr>
        <w:t xml:space="preserve"> </w:t>
      </w:r>
    </w:p>
    <w:p w14:paraId="46915F74" w14:textId="77777777" w:rsidR="003058C5" w:rsidRPr="00103929" w:rsidRDefault="003058C5" w:rsidP="003058C5">
      <w:pPr>
        <w:spacing w:after="120" w:line="276" w:lineRule="auto"/>
        <w:jc w:val="both"/>
        <w:rPr>
          <w:rFonts w:ascii="Verdana" w:eastAsia="Calibri" w:hAnsi="Verdana" w:cs="Arial"/>
        </w:rPr>
      </w:pPr>
      <w:r>
        <w:rPr>
          <w:rFonts w:ascii="Verdana" w:eastAsia="Calibri" w:hAnsi="Verdana" w:cs="Arial"/>
        </w:rPr>
        <w:tab/>
      </w:r>
      <w:r w:rsidRPr="00103929">
        <w:rPr>
          <w:rFonts w:ascii="Verdana" w:eastAsia="Calibri" w:hAnsi="Verdana" w:cs="Arial"/>
        </w:rPr>
        <w:t xml:space="preserve">En este </w:t>
      </w:r>
      <w:r>
        <w:rPr>
          <w:rFonts w:ascii="Verdana" w:eastAsia="Calibri" w:hAnsi="Verdana" w:cs="Arial"/>
        </w:rPr>
        <w:t>aspecto</w:t>
      </w:r>
      <w:r w:rsidRPr="00103929">
        <w:rPr>
          <w:rFonts w:ascii="Verdana" w:eastAsia="Calibri" w:hAnsi="Verdana" w:cs="Arial"/>
        </w:rPr>
        <w:t xml:space="preserve">, resulta fundamental identificar con precisión el </w:t>
      </w:r>
      <w:r w:rsidRPr="002B1125">
        <w:rPr>
          <w:rFonts w:ascii="Verdana" w:eastAsia="Calibri" w:hAnsi="Verdana" w:cs="Arial"/>
        </w:rPr>
        <w:t xml:space="preserve">momento exacto en que se configuró la inhabilidad para determinar si procede o no la exclusión del proponente dentro del proceso de contratación. No es lo mismo que la inhabilidad exista antes de la presentación de la oferta, caso en el cual el oferente no podría participar, que su configuración ocurra durante la evaluación o en la etapa previa a la adjudicación, </w:t>
      </w:r>
      <w:r>
        <w:rPr>
          <w:rFonts w:ascii="Verdana" w:eastAsia="Calibri" w:hAnsi="Verdana" w:cs="Arial"/>
        </w:rPr>
        <w:t xml:space="preserve">evento </w:t>
      </w:r>
      <w:r w:rsidRPr="002B1125">
        <w:rPr>
          <w:rFonts w:ascii="Verdana" w:eastAsia="Calibri" w:hAnsi="Verdana" w:cs="Arial"/>
        </w:rPr>
        <w:t xml:space="preserve">en el cual la entidad debe verificar si la restricción sigue vigente al momento de adoptar la decisión. Esta delimitación temporal es </w:t>
      </w:r>
      <w:r>
        <w:rPr>
          <w:rFonts w:ascii="Verdana" w:eastAsia="Calibri" w:hAnsi="Verdana" w:cs="Arial"/>
        </w:rPr>
        <w:t xml:space="preserve">determinante para definir la </w:t>
      </w:r>
      <w:r w:rsidRPr="000906E8">
        <w:rPr>
          <w:rFonts w:ascii="Verdana" w:eastAsia="Calibri" w:hAnsi="Verdana" w:cs="Arial"/>
        </w:rPr>
        <w:t>renuncia a la participación en el proceso de selección y a los derechos surgidos del mismo</w:t>
      </w:r>
      <w:r>
        <w:rPr>
          <w:rFonts w:ascii="Verdana" w:eastAsia="Calibri" w:hAnsi="Verdana" w:cs="Arial"/>
        </w:rPr>
        <w:t>, como lo dispone el artículo 9 de la Ley 80 de 1993</w:t>
      </w:r>
      <w:r w:rsidRPr="002B1125">
        <w:rPr>
          <w:rFonts w:ascii="Verdana" w:eastAsia="Calibri" w:hAnsi="Verdana" w:cs="Arial"/>
        </w:rPr>
        <w:t>.</w:t>
      </w:r>
      <w:r>
        <w:rPr>
          <w:rFonts w:ascii="Verdana" w:eastAsia="Calibri" w:hAnsi="Verdana" w:cs="Arial"/>
        </w:rPr>
        <w:t xml:space="preserve"> </w:t>
      </w:r>
      <w:r w:rsidRPr="00103929">
        <w:rPr>
          <w:rFonts w:ascii="Verdana" w:eastAsia="Calibri" w:hAnsi="Verdana" w:cs="Arial"/>
        </w:rPr>
        <w:t xml:space="preserve">Asimismo, debe considerarse que, si la inhabilidad deriva de un fallo de responsabilidad fiscal y el afectado </w:t>
      </w:r>
      <w:r w:rsidRPr="00912539">
        <w:rPr>
          <w:rFonts w:ascii="Verdana" w:eastAsia="Calibri" w:hAnsi="Verdana" w:cs="Arial"/>
        </w:rPr>
        <w:t>paga la obligación,</w:t>
      </w:r>
      <w:r w:rsidRPr="00103929">
        <w:rPr>
          <w:rFonts w:ascii="Verdana" w:eastAsia="Calibri" w:hAnsi="Verdana" w:cs="Arial"/>
        </w:rPr>
        <w:t xml:space="preserve"> la Contraloría General de la República procede a excluirlo del </w:t>
      </w:r>
      <w:r w:rsidRPr="00912539">
        <w:rPr>
          <w:rFonts w:ascii="Verdana" w:eastAsia="Calibri" w:hAnsi="Verdana" w:cs="Arial"/>
        </w:rPr>
        <w:t xml:space="preserve">Boletín de </w:t>
      </w:r>
      <w:proofErr w:type="gramStart"/>
      <w:r w:rsidRPr="00912539">
        <w:rPr>
          <w:rFonts w:ascii="Verdana" w:eastAsia="Calibri" w:hAnsi="Verdana" w:cs="Arial"/>
        </w:rPr>
        <w:t>Responsables</w:t>
      </w:r>
      <w:proofErr w:type="gramEnd"/>
      <w:r w:rsidRPr="00912539">
        <w:rPr>
          <w:rFonts w:ascii="Verdana" w:eastAsia="Calibri" w:hAnsi="Verdana" w:cs="Arial"/>
        </w:rPr>
        <w:t xml:space="preserve"> Fiscales, con</w:t>
      </w:r>
      <w:r w:rsidRPr="00103929">
        <w:rPr>
          <w:rFonts w:ascii="Verdana" w:eastAsia="Calibri" w:hAnsi="Verdana" w:cs="Arial"/>
        </w:rPr>
        <w:t xml:space="preserve"> lo cual la inhabilidad cesa y deja de producir efectos hacia el futuro.</w:t>
      </w:r>
      <w:r>
        <w:rPr>
          <w:rFonts w:ascii="Verdana" w:eastAsia="Calibri" w:hAnsi="Verdana" w:cs="Arial"/>
        </w:rPr>
        <w:t xml:space="preserve"> Por tanto</w:t>
      </w:r>
      <w:r w:rsidRPr="00103929">
        <w:rPr>
          <w:rFonts w:ascii="Verdana" w:eastAsia="Calibri" w:hAnsi="Verdana" w:cs="Arial"/>
        </w:rPr>
        <w:t xml:space="preserve">, una vez superada la causal, el sujeto recupera su capacidad jurídica para contratar y puede aspirar nuevamente </w:t>
      </w:r>
      <w:r>
        <w:rPr>
          <w:rFonts w:ascii="Verdana" w:eastAsia="Calibri" w:hAnsi="Verdana" w:cs="Arial"/>
        </w:rPr>
        <w:t>a seguir en el proceso de contratación</w:t>
      </w:r>
      <w:r w:rsidRPr="00103929">
        <w:rPr>
          <w:rFonts w:ascii="Verdana" w:eastAsia="Calibri" w:hAnsi="Verdana" w:cs="Arial"/>
        </w:rPr>
        <w:t>, sin que afecte la validez de las actuaciones previas realizadas cuando se encontraba habilitado.</w:t>
      </w:r>
    </w:p>
    <w:p w14:paraId="5207C5CC" w14:textId="77777777" w:rsidR="003058C5" w:rsidRPr="0022032F" w:rsidRDefault="003058C5" w:rsidP="003058C5">
      <w:pPr>
        <w:spacing w:after="120" w:line="276" w:lineRule="auto"/>
        <w:jc w:val="both"/>
        <w:rPr>
          <w:rFonts w:ascii="Verdana" w:eastAsia="Calibri" w:hAnsi="Verdana" w:cs="Arial"/>
        </w:rPr>
      </w:pPr>
      <w:r>
        <w:rPr>
          <w:rFonts w:ascii="Verdana" w:eastAsia="Calibri" w:hAnsi="Verdana" w:cs="Arial"/>
          <w:lang w:val="es-ES_tradnl"/>
        </w:rPr>
        <w:tab/>
        <w:t>En todo caso, es importante tener en cuenta</w:t>
      </w:r>
      <w:r>
        <w:rPr>
          <w:rFonts w:ascii="Verdana" w:eastAsia="Calibri" w:hAnsi="Verdana" w:cs="Arial"/>
        </w:rPr>
        <w:t xml:space="preserve"> </w:t>
      </w:r>
      <w:r w:rsidRPr="0022032F">
        <w:rPr>
          <w:rFonts w:ascii="Verdana" w:eastAsia="Calibri" w:hAnsi="Verdana" w:cs="Arial"/>
        </w:rPr>
        <w:t xml:space="preserve">la inhabilidad prevista en el literal b) del numeral 1 del artículo 8 de la Ley 80 de 1993 —“b) Quienes participaron en las licitaciones o concursos o celebraron los contratos de que trata el literal anterior estando inhabilitados”— requiere una interpretación sistemática con las reglas que determinan sus efectos y duración. En particular, </w:t>
      </w:r>
      <w:r w:rsidRPr="0022032F">
        <w:rPr>
          <w:rFonts w:ascii="Verdana" w:eastAsia="Calibri" w:hAnsi="Verdana" w:cs="Arial"/>
        </w:rPr>
        <w:lastRenderedPageBreak/>
        <w:t xml:space="preserve">dichos efectos se encuentran desarrollados en un aparte del inciso segundo del literal i) del mismo numeral y artículo. En efecto, esta disposición establece que: “[…] las previstas en los literales b) y e), se extenderán por un término de cinco (5) años contado a partir de la fecha de ocurrencia del hecho de la participación en la licitación o concurso, o de la de celebración del contrato, o de la de expiración del plazo para su firma”. En este sentido, el punto de partida para el cómputo del término no es la declaratoria posterior de la inhabilidad, sino la fecha misma de la conducta irregular. Esto incluye, según el caso, la participación en el proceso de selección —entendida como la presentación de la oferta o la celebración del contrato si de adelantó mediante un proceso no competitivo o de la expiración del plazo para su firma—. </w:t>
      </w:r>
    </w:p>
    <w:p w14:paraId="0F3C0917" w14:textId="77777777" w:rsidR="003058C5" w:rsidRDefault="003058C5" w:rsidP="003058C5">
      <w:pPr>
        <w:spacing w:after="0" w:line="276" w:lineRule="auto"/>
        <w:ind w:firstLine="709"/>
        <w:jc w:val="both"/>
        <w:rPr>
          <w:rFonts w:ascii="Verdana" w:eastAsia="Times New Roman" w:hAnsi="Verdana" w:cs="Arial"/>
          <w:color w:val="000000"/>
          <w:lang w:eastAsia="es-ES"/>
        </w:rPr>
      </w:pPr>
      <w:r w:rsidRPr="00CB75F7">
        <w:rPr>
          <w:rFonts w:ascii="Verdana" w:eastAsia="Times New Roman" w:hAnsi="Verdana" w:cs="Arial"/>
          <w:color w:val="000000"/>
          <w:lang w:eastAsia="es-ES"/>
        </w:rPr>
        <w:t>De esta manera, se trata de una inhabilidad autónoma e independiente de aquella que inicialmente afectaba al sujeto, lo que implica que su término de duración no se acumula ni se superpone con el de la inhabilidad originaria, sino que se cuenta de forma separada.</w:t>
      </w:r>
      <w:r>
        <w:rPr>
          <w:rFonts w:ascii="Verdana" w:eastAsia="Times New Roman" w:hAnsi="Verdana" w:cs="Arial"/>
          <w:color w:val="000000"/>
          <w:lang w:eastAsia="es-ES"/>
        </w:rPr>
        <w:t xml:space="preserve"> Por tanto</w:t>
      </w:r>
      <w:r w:rsidRPr="00CB75F7">
        <w:rPr>
          <w:rFonts w:ascii="Verdana" w:eastAsia="Times New Roman" w:hAnsi="Verdana" w:cs="Arial"/>
          <w:color w:val="000000"/>
          <w:lang w:eastAsia="es-ES"/>
        </w:rPr>
        <w:t xml:space="preserve">, desde la ocurrencia del hecho de participación estando inhabilitado, se configura un nuevo periodo de inhabilidad de cinco (5) años, aplicable de manera directa y con efectos propios en </w:t>
      </w:r>
      <w:r>
        <w:rPr>
          <w:rFonts w:ascii="Verdana" w:eastAsia="Times New Roman" w:hAnsi="Verdana" w:cs="Arial"/>
          <w:color w:val="000000"/>
          <w:lang w:eastAsia="es-ES"/>
        </w:rPr>
        <w:t xml:space="preserve">el sistema de compras públicas. Al respecto, la doctrina expresa: </w:t>
      </w:r>
    </w:p>
    <w:p w14:paraId="0D357300" w14:textId="77777777" w:rsidR="003058C5" w:rsidRPr="007710C9" w:rsidRDefault="003058C5" w:rsidP="003058C5">
      <w:pPr>
        <w:spacing w:after="0" w:line="276" w:lineRule="auto"/>
        <w:ind w:firstLine="709"/>
        <w:jc w:val="both"/>
        <w:rPr>
          <w:rFonts w:ascii="Verdana" w:hAnsi="Verdana" w:cs="Arial"/>
          <w:color w:val="000000"/>
          <w:lang w:eastAsia="es-ES"/>
        </w:rPr>
      </w:pPr>
    </w:p>
    <w:p w14:paraId="568990F4" w14:textId="77777777" w:rsidR="003058C5" w:rsidRDefault="003058C5" w:rsidP="003058C5">
      <w:pPr>
        <w:spacing w:after="0" w:line="240" w:lineRule="auto"/>
        <w:ind w:left="709" w:right="709"/>
        <w:jc w:val="both"/>
        <w:rPr>
          <w:rFonts w:ascii="Verdana" w:eastAsia="Calibri" w:hAnsi="Verdana" w:cs="Arial"/>
          <w:sz w:val="20"/>
        </w:rPr>
      </w:pPr>
      <w:r w:rsidRPr="007710C9">
        <w:rPr>
          <w:rFonts w:ascii="Verdana" w:eastAsia="Calibri" w:hAnsi="Verdana" w:cs="Arial"/>
          <w:sz w:val="20"/>
        </w:rPr>
        <w:t xml:space="preserve">Se trata de una circunstancia imputable al licitante, concursante o contratista </w:t>
      </w:r>
      <w:proofErr w:type="gramStart"/>
      <w:r w:rsidRPr="007710C9">
        <w:rPr>
          <w:rFonts w:ascii="Verdana" w:eastAsia="Calibri" w:hAnsi="Verdana" w:cs="Arial"/>
          <w:sz w:val="20"/>
        </w:rPr>
        <w:t>quien</w:t>
      </w:r>
      <w:proofErr w:type="gramEnd"/>
      <w:r w:rsidRPr="007710C9">
        <w:rPr>
          <w:rFonts w:ascii="Verdana" w:eastAsia="Calibri" w:hAnsi="Verdana" w:cs="Arial"/>
          <w:sz w:val="20"/>
        </w:rPr>
        <w:t xml:space="preserve"> estando incurso en inhabilidades o incompatibilidades, participó en un proceso de selección o celebró un contrato estatal. La nueva inhabilidad que se genera se extiende por el termino de cinco (5) años, contado a partir de la fecha de ocurrencia del hecho de la participación en el proceso de selección, o de la celebración (perfeccionamiento) del contrato, sin perjuicio de la responsabilidad penal que se deriva</w:t>
      </w:r>
      <w:r>
        <w:rPr>
          <w:rFonts w:ascii="Verdana" w:eastAsia="Calibri" w:hAnsi="Verdana" w:cs="Arial"/>
          <w:sz w:val="20"/>
        </w:rPr>
        <w:t xml:space="preserve"> </w:t>
      </w:r>
      <w:r w:rsidRPr="007710C9">
        <w:rPr>
          <w:rFonts w:ascii="Verdana" w:eastAsia="Calibri" w:hAnsi="Verdana" w:cs="Arial"/>
          <w:sz w:val="20"/>
        </w:rPr>
        <w:t>por declarar falsamente bajo juramento</w:t>
      </w:r>
      <w:r>
        <w:rPr>
          <w:rStyle w:val="Refdenotaalpie"/>
          <w:rFonts w:ascii="Verdana" w:eastAsia="Calibri" w:hAnsi="Verdana" w:cs="Arial"/>
          <w:sz w:val="20"/>
        </w:rPr>
        <w:footnoteReference w:id="19"/>
      </w:r>
      <w:r w:rsidRPr="007710C9">
        <w:rPr>
          <w:rFonts w:ascii="Verdana" w:eastAsia="Calibri" w:hAnsi="Verdana" w:cs="Arial"/>
          <w:sz w:val="20"/>
        </w:rPr>
        <w:t>.</w:t>
      </w:r>
    </w:p>
    <w:p w14:paraId="768AC531" w14:textId="77777777" w:rsidR="003058C5" w:rsidRPr="007710C9" w:rsidRDefault="003058C5" w:rsidP="003058C5">
      <w:pPr>
        <w:spacing w:after="0" w:line="240" w:lineRule="auto"/>
        <w:ind w:left="709" w:right="709"/>
        <w:jc w:val="both"/>
        <w:rPr>
          <w:rFonts w:ascii="Verdana" w:eastAsia="Calibri" w:hAnsi="Verdana" w:cs="Arial"/>
          <w:sz w:val="20"/>
        </w:rPr>
      </w:pPr>
    </w:p>
    <w:p w14:paraId="44BBDFDD" w14:textId="77777777" w:rsidR="003058C5" w:rsidRDefault="003058C5" w:rsidP="003058C5">
      <w:pPr>
        <w:spacing w:after="0" w:line="276" w:lineRule="auto"/>
        <w:jc w:val="both"/>
        <w:rPr>
          <w:rFonts w:ascii="Verdana" w:eastAsia="Calibri" w:hAnsi="Verdana" w:cs="Arial"/>
        </w:rPr>
      </w:pPr>
      <w:r>
        <w:rPr>
          <w:rFonts w:ascii="Verdana" w:eastAsia="Calibri" w:hAnsi="Verdana" w:cs="Arial"/>
          <w:lang w:val="es-ES_tradnl"/>
        </w:rPr>
        <w:tab/>
        <w:t xml:space="preserve">Ante este tipo de eventos, </w:t>
      </w:r>
      <w:r>
        <w:rPr>
          <w:rFonts w:ascii="Verdana" w:eastAsia="Calibri" w:hAnsi="Verdana" w:cs="Arial"/>
        </w:rPr>
        <w:t>e</w:t>
      </w:r>
      <w:r w:rsidRPr="0063634F">
        <w:rPr>
          <w:rFonts w:ascii="Verdana" w:eastAsia="Calibri" w:hAnsi="Verdana" w:cs="Arial"/>
        </w:rPr>
        <w:t>l numeral 7 del artículo 26 de la Ley 80 de 1993 consagra el principio de responsabilidad de los contratistas, estableciendo que estos deben responder cuando, al momento de contratar con el Estado, oculten la existencia de inhabilidades, incompatibilidades o prohibiciones, o suministren información falsa</w:t>
      </w:r>
      <w:r>
        <w:rPr>
          <w:rStyle w:val="Refdenotaalpie"/>
          <w:rFonts w:ascii="Verdana" w:eastAsia="Calibri" w:hAnsi="Verdana" w:cs="Arial"/>
        </w:rPr>
        <w:footnoteReference w:id="20"/>
      </w:r>
      <w:r w:rsidRPr="0063634F">
        <w:rPr>
          <w:rFonts w:ascii="Verdana" w:eastAsia="Calibri" w:hAnsi="Verdana" w:cs="Arial"/>
        </w:rPr>
        <w:t>. En es</w:t>
      </w:r>
      <w:r>
        <w:rPr>
          <w:rFonts w:ascii="Verdana" w:eastAsia="Calibri" w:hAnsi="Verdana" w:cs="Arial"/>
        </w:rPr>
        <w:t>t</w:t>
      </w:r>
      <w:r w:rsidRPr="0063634F">
        <w:rPr>
          <w:rFonts w:ascii="Verdana" w:eastAsia="Calibri" w:hAnsi="Verdana" w:cs="Arial"/>
        </w:rPr>
        <w:t xml:space="preserve">a norma impone un deber de </w:t>
      </w:r>
      <w:r w:rsidRPr="0063634F">
        <w:rPr>
          <w:rFonts w:ascii="Verdana" w:eastAsia="Calibri" w:hAnsi="Verdana" w:cs="Arial"/>
        </w:rPr>
        <w:lastRenderedPageBreak/>
        <w:t xml:space="preserve">transparencia y veracidad en la etapa precontractual, de modo que el contratista está obligado a revelar cualquier circunstancia que pueda afectar su capacidad jurídica para contratar. </w:t>
      </w:r>
      <w:bookmarkEnd w:id="1"/>
    </w:p>
    <w:p w14:paraId="7687ECE3" w14:textId="77777777" w:rsidR="003058C5" w:rsidRPr="00725CF4" w:rsidRDefault="003058C5" w:rsidP="003058C5">
      <w:pPr>
        <w:spacing w:after="0" w:line="276" w:lineRule="auto"/>
        <w:jc w:val="both"/>
        <w:rPr>
          <w:rFonts w:ascii="Verdana" w:eastAsia="Calibri" w:hAnsi="Verdana" w:cs="Arial"/>
        </w:rPr>
      </w:pPr>
    </w:p>
    <w:p w14:paraId="5797A4DE" w14:textId="77777777" w:rsidR="003058C5" w:rsidRPr="00DB2A80" w:rsidRDefault="003058C5" w:rsidP="003058C5">
      <w:pPr>
        <w:spacing w:after="120" w:line="276" w:lineRule="auto"/>
        <w:jc w:val="both"/>
        <w:rPr>
          <w:rFonts w:ascii="Verdana" w:hAnsi="Verdana"/>
        </w:rPr>
      </w:pPr>
      <w:proofErr w:type="spellStart"/>
      <w:r>
        <w:rPr>
          <w:rFonts w:ascii="Verdana" w:eastAsia="Arial" w:hAnsi="Verdana" w:cs="Arial"/>
          <w:lang w:val="es-ES_tradnl"/>
        </w:rPr>
        <w:t>iii</w:t>
      </w:r>
      <w:proofErr w:type="spellEnd"/>
      <w:r>
        <w:rPr>
          <w:rFonts w:ascii="Verdana" w:eastAsia="Arial" w:hAnsi="Verdana" w:cs="Arial"/>
          <w:lang w:val="es-ES_tradnl"/>
        </w:rPr>
        <w:t xml:space="preserve">. </w:t>
      </w:r>
      <w:r w:rsidRPr="00DB2A80">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F9CC1C5" w14:textId="77777777" w:rsidR="003058C5" w:rsidRPr="00DB2A80" w:rsidRDefault="003058C5" w:rsidP="003058C5">
      <w:pPr>
        <w:spacing w:after="0" w:line="276" w:lineRule="auto"/>
        <w:ind w:firstLine="708"/>
        <w:jc w:val="both"/>
        <w:rPr>
          <w:rFonts w:ascii="Verdana" w:eastAsia="Calibri" w:hAnsi="Verdana" w:cs="Arial"/>
          <w:bCs/>
          <w:color w:val="000000" w:themeColor="text1"/>
        </w:rPr>
      </w:pPr>
      <w:r w:rsidRPr="00DB2A80">
        <w:rPr>
          <w:rFonts w:ascii="Verdana" w:eastAsia="Calibri" w:hAnsi="Verdana" w:cs="Arial"/>
          <w:bCs/>
          <w:color w:val="000000" w:themeColor="text1"/>
        </w:rPr>
        <w:t xml:space="preserve">Dentro de este marco, </w:t>
      </w:r>
      <w:r>
        <w:rPr>
          <w:rFonts w:ascii="Verdana" w:eastAsia="Calibri" w:hAnsi="Verdana" w:cs="Arial"/>
          <w:bCs/>
          <w:color w:val="000000" w:themeColor="text1"/>
        </w:rPr>
        <w:t xml:space="preserve">el consultante </w:t>
      </w:r>
      <w:r w:rsidRPr="00DB2A80">
        <w:rPr>
          <w:rFonts w:ascii="Verdana" w:eastAsia="Calibri" w:hAnsi="Verdana" w:cs="Arial"/>
          <w:bCs/>
          <w:color w:val="000000" w:themeColor="text1"/>
        </w:rPr>
        <w:t xml:space="preserve">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6BC29CB2" w14:textId="77777777" w:rsidR="003058C5" w:rsidRPr="00DB2A80" w:rsidRDefault="003058C5" w:rsidP="003058C5">
      <w:pPr>
        <w:spacing w:after="0" w:line="276" w:lineRule="auto"/>
        <w:jc w:val="both"/>
        <w:rPr>
          <w:rFonts w:ascii="Verdana" w:eastAsia="Arial" w:hAnsi="Verdana" w:cs="Arial"/>
        </w:rPr>
      </w:pPr>
    </w:p>
    <w:p w14:paraId="24025BDE" w14:textId="77777777" w:rsidR="003058C5" w:rsidRPr="0060163E" w:rsidRDefault="003058C5" w:rsidP="003058C5">
      <w:pPr>
        <w:spacing w:after="0" w:line="276" w:lineRule="auto"/>
        <w:contextualSpacing/>
        <w:rPr>
          <w:rFonts w:ascii="Verdana" w:eastAsia="Calibri" w:hAnsi="Verdana" w:cs="Times New Roman"/>
          <w:b/>
          <w:bCs/>
          <w:lang w:val="es-ES"/>
        </w:rPr>
      </w:pPr>
      <w:r>
        <w:rPr>
          <w:rFonts w:ascii="Verdana" w:eastAsia="Calibri" w:hAnsi="Verdana" w:cs="Times New Roman"/>
          <w:b/>
          <w:bCs/>
          <w:lang w:val="es-ES"/>
        </w:rPr>
        <w:t xml:space="preserve">IV. </w:t>
      </w:r>
      <w:r w:rsidRPr="0060163E">
        <w:rPr>
          <w:rFonts w:ascii="Verdana" w:eastAsia="Calibri" w:hAnsi="Verdana" w:cs="Times New Roman"/>
          <w:b/>
          <w:bCs/>
          <w:lang w:val="es-ES"/>
        </w:rPr>
        <w:t>Referencias normativas:</w:t>
      </w:r>
    </w:p>
    <w:p w14:paraId="098B093A" w14:textId="77777777" w:rsidR="003058C5" w:rsidRPr="0060163E" w:rsidRDefault="003058C5" w:rsidP="003058C5">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058C5" w:rsidRPr="0060163E" w14:paraId="084A8E29" w14:textId="77777777" w:rsidTr="00327490">
        <w:trPr>
          <w:trHeight w:val="487"/>
          <w:jc w:val="center"/>
        </w:trPr>
        <w:tc>
          <w:tcPr>
            <w:tcW w:w="8647" w:type="dxa"/>
          </w:tcPr>
          <w:p w14:paraId="35EDA4AD" w14:textId="77777777" w:rsidR="003058C5" w:rsidRDefault="003058C5" w:rsidP="003058C5">
            <w:pPr>
              <w:numPr>
                <w:ilvl w:val="0"/>
                <w:numId w:val="19"/>
              </w:numPr>
              <w:spacing w:before="120" w:after="120" w:line="276" w:lineRule="auto"/>
              <w:ind w:left="567" w:hanging="357"/>
              <w:jc w:val="both"/>
              <w:rPr>
                <w:rFonts w:ascii="Verdana" w:hAnsi="Verdana" w:cs="Arial"/>
                <w:lang w:val="es-ES"/>
              </w:rPr>
            </w:pPr>
            <w:r>
              <w:rPr>
                <w:rFonts w:ascii="Verdana" w:hAnsi="Verdana" w:cs="Arial"/>
                <w:lang w:val="es-ES"/>
              </w:rPr>
              <w:t xml:space="preserve">Ley 80 de 1993, artículos 8, 9 y 26. </w:t>
            </w:r>
          </w:p>
          <w:p w14:paraId="78D359EF" w14:textId="77777777" w:rsidR="003058C5" w:rsidRDefault="003058C5" w:rsidP="003058C5">
            <w:pPr>
              <w:numPr>
                <w:ilvl w:val="0"/>
                <w:numId w:val="19"/>
              </w:numPr>
              <w:spacing w:before="120" w:after="120" w:line="276" w:lineRule="auto"/>
              <w:ind w:left="567" w:hanging="357"/>
              <w:jc w:val="both"/>
              <w:rPr>
                <w:rFonts w:ascii="Verdana" w:hAnsi="Verdana" w:cs="Arial"/>
                <w:lang w:val="es-ES"/>
              </w:rPr>
            </w:pPr>
            <w:r>
              <w:rPr>
                <w:rFonts w:ascii="Verdana" w:hAnsi="Verdana" w:cs="Arial"/>
                <w:lang w:val="es-ES"/>
              </w:rPr>
              <w:t>Ley 610 de 2000, artículo 60.</w:t>
            </w:r>
          </w:p>
          <w:p w14:paraId="5F2E24E7" w14:textId="77777777" w:rsidR="003058C5" w:rsidRPr="0086382A" w:rsidRDefault="003058C5" w:rsidP="003058C5">
            <w:pPr>
              <w:numPr>
                <w:ilvl w:val="0"/>
                <w:numId w:val="19"/>
              </w:numPr>
              <w:spacing w:before="120" w:after="120" w:line="276" w:lineRule="auto"/>
              <w:ind w:left="567"/>
              <w:jc w:val="both"/>
              <w:rPr>
                <w:rFonts w:ascii="Verdana" w:hAnsi="Verdana" w:cs="Arial"/>
                <w:lang w:val="es-ES"/>
              </w:rPr>
            </w:pPr>
            <w:r>
              <w:rPr>
                <w:rFonts w:ascii="Verdana" w:hAnsi="Verdana" w:cs="Arial"/>
                <w:lang w:val="es-ES"/>
              </w:rPr>
              <w:t xml:space="preserve">Ley 1952 de 2019, artículo 42. </w:t>
            </w:r>
          </w:p>
        </w:tc>
      </w:tr>
    </w:tbl>
    <w:p w14:paraId="2F3C5F03" w14:textId="77777777" w:rsidR="003058C5" w:rsidRPr="0060163E" w:rsidRDefault="003058C5" w:rsidP="003058C5">
      <w:pPr>
        <w:spacing w:after="0" w:line="276" w:lineRule="auto"/>
        <w:contextualSpacing/>
        <w:rPr>
          <w:rFonts w:ascii="Verdana" w:eastAsia="Calibri" w:hAnsi="Verdana" w:cs="Times New Roman"/>
          <w:b/>
          <w:bCs/>
          <w:lang w:val="es-ES"/>
        </w:rPr>
      </w:pPr>
    </w:p>
    <w:p w14:paraId="3A15BEB2" w14:textId="77777777" w:rsidR="003058C5" w:rsidRPr="0060163E" w:rsidRDefault="003058C5" w:rsidP="003058C5">
      <w:pPr>
        <w:spacing w:after="0" w:line="276" w:lineRule="auto"/>
        <w:contextualSpacing/>
        <w:rPr>
          <w:rFonts w:ascii="Verdana" w:eastAsia="Calibri" w:hAnsi="Verdana" w:cs="Times New Roman"/>
          <w:b/>
          <w:bCs/>
          <w:lang w:val="es-ES"/>
        </w:rPr>
      </w:pPr>
      <w:r>
        <w:rPr>
          <w:rFonts w:ascii="Verdana" w:eastAsia="Calibri" w:hAnsi="Verdana" w:cs="Times New Roman"/>
          <w:b/>
          <w:bCs/>
          <w:lang w:val="es-ES"/>
        </w:rPr>
        <w:t xml:space="preserve">V. </w:t>
      </w:r>
      <w:r w:rsidRPr="0060163E">
        <w:rPr>
          <w:rFonts w:ascii="Verdana" w:eastAsia="Calibri" w:hAnsi="Verdana" w:cs="Times New Roman"/>
          <w:b/>
          <w:bCs/>
          <w:lang w:val="es-ES"/>
        </w:rPr>
        <w:t>Doctrina de la Agencia Nacional de Contratación Pública:</w:t>
      </w:r>
    </w:p>
    <w:p w14:paraId="6F418CE0" w14:textId="77777777" w:rsidR="003058C5" w:rsidRPr="0060163E" w:rsidRDefault="003058C5" w:rsidP="003058C5">
      <w:pPr>
        <w:spacing w:after="0" w:line="276" w:lineRule="auto"/>
        <w:rPr>
          <w:rFonts w:ascii="Verdana" w:eastAsia="Calibri" w:hAnsi="Verdana" w:cs="Times New Roman"/>
          <w:lang w:val="es-ES"/>
        </w:rPr>
      </w:pPr>
    </w:p>
    <w:p w14:paraId="40C661E4" w14:textId="77777777" w:rsidR="003058C5" w:rsidRPr="00913D97" w:rsidRDefault="003058C5" w:rsidP="003058C5">
      <w:pPr>
        <w:widowControl w:val="0"/>
        <w:autoSpaceDE w:val="0"/>
        <w:autoSpaceDN w:val="0"/>
        <w:spacing w:after="0" w:line="276" w:lineRule="auto"/>
        <w:jc w:val="both"/>
        <w:rPr>
          <w:rFonts w:ascii="Verdana" w:hAnsi="Verdana" w:cs="Arial"/>
          <w:shd w:val="clear" w:color="auto" w:fill="FFFFFF"/>
          <w:lang w:val="es-ES"/>
        </w:rPr>
      </w:pPr>
      <w:r w:rsidRPr="0060163E">
        <w:rPr>
          <w:rFonts w:ascii="Verdana" w:hAnsi="Verdana" w:cs="Arial"/>
          <w:shd w:val="clear" w:color="auto" w:fill="FFFFFF"/>
          <w:lang w:val="es-ES"/>
        </w:rPr>
        <w:t xml:space="preserve">Esta Subdirección se ha pronunciado sobre </w:t>
      </w:r>
      <w:r>
        <w:rPr>
          <w:rFonts w:ascii="Verdana" w:hAnsi="Verdana" w:cs="Arial"/>
          <w:shd w:val="clear" w:color="auto" w:fill="FFFFFF"/>
          <w:lang w:val="es-ES"/>
        </w:rPr>
        <w:t xml:space="preserve">las inhabilidades e incompatibilidades </w:t>
      </w:r>
      <w:r w:rsidRPr="0060163E">
        <w:rPr>
          <w:rFonts w:ascii="Verdana" w:hAnsi="Verdana" w:cs="Arial"/>
          <w:shd w:val="clear" w:color="auto" w:fill="FFFFFF"/>
          <w:lang w:val="es-ES"/>
        </w:rPr>
        <w:t>en algunos conceptos, tales como:</w:t>
      </w:r>
      <w:r w:rsidRPr="0060163E">
        <w:rPr>
          <w:rFonts w:ascii="Arial" w:eastAsia="Calibri" w:hAnsi="Arial" w:cs="Arial"/>
          <w:lang w:val="es-MX"/>
        </w:rPr>
        <w:t xml:space="preserve"> </w:t>
      </w:r>
      <w:r w:rsidRPr="0060163E">
        <w:rPr>
          <w:rFonts w:ascii="Verdana" w:hAnsi="Verdana" w:cs="Arial"/>
          <w:shd w:val="clear" w:color="auto" w:fill="FFFFFF"/>
          <w:lang w:val="es-MX"/>
        </w:rPr>
        <w:t xml:space="preserve">radicados No. 4201912000004765 de 29 de agosto de 2019, 4201913000005694 del 3 de octubre de 2019, 4201912000006288 del 7 de septiembre de 2019, 4201912000006259 del 13 de noviembre de 2019, 4201913000006917 del 21 de noviembre de 2019, 4201912000006978 del 25 de noviembre de 2019, 4201912000007291 del 3 de diciembre de 2019, 4201912000007281 del 5 de diciembre de 2019, 4201912000007060 del 11 de diciembre de 2019, 4201912000007512 del 16  diciembre de 2019, 4201912000008460 del 14 de febrero de 2020, C−032 del 19 de febrero de 2020,  C−402 del 26 de junio de 2020, C−365 del 30 de junio de 2020, C−386 del 24 de julio de 2020, C-585 del 14 de septiembre de 2020, C–592 del 14 de septiembre de 2020, C−551 de 24 de septiembre de 2020, C−709 del 7 de diciembre de 2020, C–721 de 14 de diciembre de 2020, C–004 del 12 de febrero de 2021, C–815 del 18 de febrero de 2021, C–047 del 8 de marzo de 2021, C–113 del 30 de marzo de 2021, C–122 del 30 de marzo de 2021, C–178 del 28 de abril de 2021, C-293 del 28 de agosto de 2021, </w:t>
      </w:r>
      <w:r w:rsidRPr="0060163E">
        <w:rPr>
          <w:rFonts w:ascii="Verdana" w:hAnsi="Verdana" w:cs="Arial"/>
          <w:shd w:val="clear" w:color="auto" w:fill="FFFFFF"/>
          <w:lang w:val="es-ES"/>
        </w:rPr>
        <w:t>C-449 del 31 de agosto de 2021, C-028 del 28 de febrero de 2022, C-318 del 18 de mayo de 2022, C-252 del 30 de mayo de 2022, C-619 del 27 de septiembre de 2022, C-731 de 10 de noviembre de 2022, C-059 de 13 de junio de 2023, C-352 del 22 de diciembre de 2023, C-010 del 31 de enero de 2024, C-023 del 26 de febrero de 2024, C-035 del 24 de abril de 2024, C-039 del 23 de abril de 2024, C-041 del 29 de mayo de 2024, C-067 del 16 de mayo de 2024, C-078 del 4 de junio de 2024, C-289 del 15 de agosto de 2023, C-172 de 25 de julio de 2024, C-271 del 22 de julio de 2024, C-904 del 9 de diciembre de 2024,</w:t>
      </w:r>
      <w:r>
        <w:rPr>
          <w:rFonts w:ascii="Verdana" w:hAnsi="Verdana" w:cs="Arial"/>
          <w:shd w:val="clear" w:color="auto" w:fill="FFFFFF"/>
          <w:lang w:val="es-ES"/>
        </w:rPr>
        <w:t xml:space="preserve"> C-170 del 19 de marzo de 2025, C-392 del 8 de mayo de 2025, C-632 del 2 de julio de 2025, C-710 del 15 de julio de 2025, </w:t>
      </w:r>
      <w:r w:rsidRPr="00913D97">
        <w:rPr>
          <w:rFonts w:ascii="Verdana" w:hAnsi="Verdana" w:cs="Arial"/>
          <w:shd w:val="clear" w:color="auto" w:fill="FFFFFF"/>
          <w:lang w:val="es-ES"/>
        </w:rPr>
        <w:t xml:space="preserve">C-731 del 21 de agosto de 2025, </w:t>
      </w:r>
      <w:r>
        <w:rPr>
          <w:rFonts w:ascii="Verdana" w:hAnsi="Verdana" w:cs="Arial"/>
          <w:shd w:val="clear" w:color="auto" w:fill="FFFFFF"/>
          <w:lang w:val="es-ES"/>
        </w:rPr>
        <w:t xml:space="preserve">C-1058 del 5 de septiembre de 2025, C-1233 del 10 de octubre de 2025, C-1388 del 30 de octubre de 2025, C-1390 del 4 de noviembre de 2025, C-552 del 19 de mayo de 2026, </w:t>
      </w:r>
      <w:r w:rsidRPr="00640340">
        <w:rPr>
          <w:rFonts w:ascii="Verdana" w:hAnsi="Verdana" w:cs="Arial"/>
          <w:shd w:val="clear" w:color="auto" w:fill="FFFFFF"/>
          <w:lang w:val="es-ES"/>
        </w:rPr>
        <w:t>entre otros</w:t>
      </w:r>
      <w:r w:rsidRPr="00B53BF2">
        <w:rPr>
          <w:rFonts w:ascii="Verdana" w:hAnsi="Verdana" w:cs="Arial"/>
          <w:shd w:val="clear" w:color="auto" w:fill="FFFFFF"/>
          <w:lang w:val="es-ES"/>
        </w:rPr>
        <w:t>.</w:t>
      </w:r>
      <w:r>
        <w:rPr>
          <w:rFonts w:ascii="Verdana" w:hAnsi="Verdana" w:cs="Arial"/>
          <w:shd w:val="clear" w:color="auto" w:fill="FFFFFF"/>
          <w:lang w:val="es-ES"/>
        </w:rPr>
        <w:t xml:space="preserve"> </w:t>
      </w:r>
      <w:r w:rsidRPr="0060163E">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r>
        <w:rPr>
          <w:rFonts w:ascii="Verdana" w:eastAsia="Calibri" w:hAnsi="Verdana" w:cs="Times New Roman"/>
        </w:rPr>
        <w:t xml:space="preserve"> </w:t>
      </w:r>
      <w:hyperlink r:id="rId13" w:history="1">
        <w:r w:rsidRPr="0060163E">
          <w:rPr>
            <w:rFonts w:ascii="Verdana" w:eastAsia="Calibri" w:hAnsi="Verdana" w:cs="Times New Roman"/>
            <w:color w:val="0000FF"/>
            <w:u w:val="single"/>
            <w:lang w:val="es-ES"/>
          </w:rPr>
          <w:t>https://relatoria.colombiacompra.gov.co/busqueda/conceptos</w:t>
        </w:r>
      </w:hyperlink>
      <w:r w:rsidRPr="0060163E">
        <w:rPr>
          <w:rFonts w:ascii="Verdana" w:eastAsia="Calibri" w:hAnsi="Verdana" w:cs="Times New Roman"/>
        </w:rPr>
        <w:t xml:space="preserve">. </w:t>
      </w:r>
    </w:p>
    <w:p w14:paraId="15A62CB1" w14:textId="77777777" w:rsidR="003058C5" w:rsidRPr="00380CA4" w:rsidRDefault="003058C5" w:rsidP="003058C5">
      <w:pPr>
        <w:widowControl w:val="0"/>
        <w:autoSpaceDE w:val="0"/>
        <w:autoSpaceDN w:val="0"/>
        <w:spacing w:after="0" w:line="276" w:lineRule="auto"/>
        <w:jc w:val="both"/>
        <w:rPr>
          <w:rFonts w:ascii="Verdana" w:hAnsi="Verdana" w:cs="Arial"/>
          <w:color w:val="000000" w:themeColor="text1"/>
          <w:shd w:val="clear" w:color="auto" w:fill="FFFFFF"/>
        </w:rPr>
      </w:pPr>
    </w:p>
    <w:p w14:paraId="230D3302" w14:textId="77777777" w:rsidR="003058C5" w:rsidRPr="00231A97" w:rsidRDefault="003058C5" w:rsidP="003058C5">
      <w:pPr>
        <w:spacing w:after="0" w:line="256" w:lineRule="auto"/>
        <w:jc w:val="both"/>
        <w:rPr>
          <w:rFonts w:ascii="Verdana" w:eastAsia="Calibri" w:hAnsi="Verdana" w:cs="Times New Roman"/>
        </w:rPr>
      </w:pPr>
      <w:r w:rsidRPr="00231A97">
        <w:rPr>
          <w:rFonts w:ascii="Verdana" w:eastAsia="Calibri" w:hAnsi="Verdana" w:cs="Times New Roman"/>
        </w:rPr>
        <w:lastRenderedPageBreak/>
        <w:t xml:space="preserve">La sostenibilidad no es una opción, es una obligación. Por ello, la Agencia Nacional de Contratación Pública –Colombia Compra Eficiente– te invita a realizar el </w:t>
      </w:r>
      <w:r w:rsidRPr="00231A97">
        <w:rPr>
          <w:rFonts w:ascii="Verdana" w:eastAsia="Calibri" w:hAnsi="Verdana" w:cs="Times New Roman"/>
          <w:b/>
          <w:bCs/>
        </w:rPr>
        <w:t>Curso de Contratación Pública Sostenible y Socialmente Responsable</w:t>
      </w:r>
      <w:r w:rsidRPr="00231A97">
        <w:rPr>
          <w:rFonts w:ascii="Verdana" w:eastAsia="Calibri"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231A97">
        <w:rPr>
          <w:rFonts w:ascii="Verdana" w:eastAsia="Calibri" w:hAnsi="Verdana" w:cs="Times New Roman"/>
        </w:rPr>
        <w:br/>
      </w:r>
      <w:hyperlink r:id="rId14" w:tgtFrame="_new" w:history="1">
        <w:r w:rsidRPr="00231A97">
          <w:rPr>
            <w:rStyle w:val="Hipervnculo"/>
            <w:rFonts w:ascii="Verdana" w:eastAsia="Calibri" w:hAnsi="Verdana" w:cs="Times New Roman"/>
          </w:rPr>
          <w:t>https://formacionvirtual.colombiacompra.gov.co/mod/page/view.php?id=3718</w:t>
        </w:r>
      </w:hyperlink>
    </w:p>
    <w:p w14:paraId="4C6A89C0" w14:textId="77777777" w:rsidR="003058C5" w:rsidRDefault="003058C5" w:rsidP="003058C5">
      <w:pPr>
        <w:spacing w:after="0" w:line="256" w:lineRule="auto"/>
        <w:jc w:val="both"/>
        <w:rPr>
          <w:rFonts w:ascii="Verdana" w:eastAsia="Calibri" w:hAnsi="Verdana" w:cs="Times New Roman"/>
        </w:rPr>
      </w:pPr>
    </w:p>
    <w:p w14:paraId="2E33632B" w14:textId="77777777" w:rsidR="003058C5" w:rsidRPr="00231A97" w:rsidRDefault="003058C5" w:rsidP="003058C5">
      <w:pPr>
        <w:spacing w:after="0" w:line="256" w:lineRule="auto"/>
        <w:jc w:val="both"/>
        <w:rPr>
          <w:rFonts w:ascii="Verdana" w:eastAsia="Calibri" w:hAnsi="Verdana" w:cs="Times New Roman"/>
        </w:rPr>
      </w:pPr>
      <w:r w:rsidRPr="00231A97">
        <w:rPr>
          <w:rFonts w:ascii="Verdana" w:eastAsia="Calibri" w:hAnsi="Verdana" w:cs="Times New Roman"/>
        </w:rPr>
        <w:t xml:space="preserve">De otro lado, te contamos que esta Agencia ha da un paso decisivo en la estandarización y modernización del </w:t>
      </w:r>
      <w:r w:rsidRPr="00231A97">
        <w:rPr>
          <w:rFonts w:ascii="Verdana" w:eastAsia="Calibri" w:hAnsi="Verdana" w:cs="Times New Roman"/>
          <w:b/>
          <w:bCs/>
        </w:rPr>
        <w:t>sector  social</w:t>
      </w:r>
      <w:r w:rsidRPr="00231A97">
        <w:rPr>
          <w:rFonts w:ascii="Verdana" w:eastAsia="Calibri" w:hAnsi="Verdana" w:cs="Times New Roman"/>
        </w:rPr>
        <w:t xml:space="preserve"> con la expedición de las </w:t>
      </w:r>
      <w:r w:rsidRPr="00231A97">
        <w:rPr>
          <w:rFonts w:ascii="Verdana" w:eastAsia="Calibri" w:hAnsi="Verdana" w:cs="Times New Roman"/>
          <w:b/>
          <w:bCs/>
        </w:rPr>
        <w:t>Resoluciones 539, 540, 541, 952 y 953 de 2025</w:t>
      </w:r>
      <w:r w:rsidRPr="00231A97">
        <w:rPr>
          <w:rFonts w:ascii="Verdana" w:eastAsia="Calibri" w:hAnsi="Verdana" w:cs="Times New Roman"/>
        </w:rPr>
        <w:t xml:space="preserve">, </w:t>
      </w:r>
      <w:r w:rsidRPr="00231A97">
        <w:rPr>
          <w:rFonts w:ascii="Verdana" w:eastAsia="Calibri" w:hAnsi="Verdana" w:cs="Times New Roman"/>
          <w:b/>
          <w:bCs/>
        </w:rPr>
        <w:t>mediante las cuales adoptó Documentos Tipo</w:t>
      </w:r>
      <w:r w:rsidRPr="00231A97">
        <w:rPr>
          <w:rFonts w:ascii="Verdana" w:eastAsia="Calibri" w:hAnsi="Verdana" w:cs="Times New Roman"/>
        </w:rPr>
        <w:t xml:space="preserve"> para las modalidades de selección de</w:t>
      </w:r>
      <w:r w:rsidRPr="00231A97">
        <w:rPr>
          <w:rFonts w:ascii="Verdana" w:eastAsia="Calibri" w:hAnsi="Verdana" w:cs="Times New Roman"/>
          <w:b/>
          <w:bCs/>
        </w:rPr>
        <w:t xml:space="preserve"> licitación pública (versión 2), selección abreviada de menor cuantía, mínima cuantía, consultoría e interventoría</w:t>
      </w:r>
      <w:r w:rsidRPr="00231A97">
        <w:rPr>
          <w:rFonts w:ascii="Verdana" w:eastAsia="Calibri"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231A97">
          <w:rPr>
            <w:rStyle w:val="Hipervnculo"/>
            <w:rFonts w:ascii="Verdana" w:eastAsia="Calibri" w:hAnsi="Verdana" w:cs="Times New Roman"/>
          </w:rPr>
          <w:t>https://www.colombiacompra.gov.co/normativa-y-relatoria/documentos-tipo</w:t>
        </w:r>
      </w:hyperlink>
    </w:p>
    <w:p w14:paraId="047028FD" w14:textId="77777777" w:rsidR="003058C5" w:rsidRDefault="003058C5" w:rsidP="003058C5">
      <w:pPr>
        <w:spacing w:after="0" w:line="256" w:lineRule="auto"/>
        <w:jc w:val="both"/>
        <w:rPr>
          <w:rFonts w:ascii="Verdana" w:eastAsia="Calibri" w:hAnsi="Verdana" w:cs="Times New Roman"/>
        </w:rPr>
      </w:pPr>
    </w:p>
    <w:p w14:paraId="5DE12682" w14:textId="77777777" w:rsidR="003058C5" w:rsidRPr="00231A97" w:rsidRDefault="003058C5" w:rsidP="003058C5">
      <w:pPr>
        <w:spacing w:after="0" w:line="256" w:lineRule="auto"/>
        <w:jc w:val="both"/>
        <w:rPr>
          <w:rFonts w:ascii="Verdana" w:eastAsia="Calibri" w:hAnsi="Verdana" w:cs="Times New Roman"/>
        </w:rPr>
      </w:pPr>
      <w:r w:rsidRPr="00231A97">
        <w:rPr>
          <w:rFonts w:ascii="Verdana" w:eastAsia="Calibri" w:hAnsi="Verdana" w:cs="Times New Roman"/>
        </w:rPr>
        <w:t xml:space="preserve">Si quieres conocer más sobre la aplicación de Documentos Tipo puedes consultar la última versión de la </w:t>
      </w:r>
      <w:r w:rsidRPr="00231A97">
        <w:rPr>
          <w:rFonts w:ascii="Verdana" w:eastAsia="Calibri" w:hAnsi="Verdana" w:cs="Times New Roman"/>
          <w:b/>
          <w:bCs/>
        </w:rPr>
        <w:t>Guía para la comprensión e implementación de los Documentos Tipo de obra pública de infraestructura de transporte</w:t>
      </w:r>
      <w:r w:rsidRPr="00231A97">
        <w:rPr>
          <w:rFonts w:ascii="Verdana" w:eastAsia="Calibri"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231A97">
        <w:rPr>
          <w:rFonts w:ascii="Verdana" w:eastAsia="Calibri" w:hAnsi="Verdana" w:cs="Times New Roman"/>
        </w:rPr>
        <w:br/>
      </w:r>
      <w:hyperlink r:id="rId16" w:tgtFrame="_new" w:history="1">
        <w:r w:rsidRPr="00231A97">
          <w:rPr>
            <w:rStyle w:val="Hipervnculo"/>
            <w:rFonts w:ascii="Verdana" w:eastAsia="Calibri" w:hAnsi="Verdana" w:cs="Times New Roman"/>
          </w:rPr>
          <w:t>https://www.colombiacompra.gov.co/archivos/manual/guia-para-la-comprension-e-implementacion-de-los-documentos-tipo-de-obra-publica-de-infraestructura-de-transporte-bajo-las-diferentes-modalidades-de-contratacion-vigentes</w:t>
        </w:r>
      </w:hyperlink>
    </w:p>
    <w:p w14:paraId="218F36B3" w14:textId="77777777" w:rsidR="003058C5" w:rsidRPr="00380CA4" w:rsidRDefault="003058C5" w:rsidP="003058C5">
      <w:pPr>
        <w:shd w:val="clear" w:color="auto" w:fill="FFFFFF"/>
        <w:spacing w:after="0" w:line="276" w:lineRule="auto"/>
        <w:jc w:val="both"/>
        <w:rPr>
          <w:rFonts w:ascii="Verdana" w:hAnsi="Verdana"/>
          <w:color w:val="000000"/>
          <w:u w:val="single"/>
        </w:rPr>
      </w:pPr>
    </w:p>
    <w:p w14:paraId="0E3232F8" w14:textId="77777777" w:rsidR="003058C5" w:rsidRPr="00380CA4" w:rsidRDefault="003058C5" w:rsidP="003058C5">
      <w:pPr>
        <w:spacing w:after="0"/>
        <w:jc w:val="both"/>
        <w:rPr>
          <w:rFonts w:ascii="Verdana" w:hAnsi="Verdana"/>
        </w:rPr>
      </w:pPr>
      <w:r w:rsidRPr="00380CA4">
        <w:rPr>
          <w:rFonts w:ascii="Verdana" w:hAnsi="Verdana"/>
        </w:rPr>
        <w:t xml:space="preserve">Por último, aprovechamos la oportunidad de manifestar la entera disposición de la Agencia Nacional de Contratación Pública –Colombia Compra Eficiente– para atender las peticiones o solicitudes, así como para brindar el apoyo que se </w:t>
      </w:r>
      <w:r w:rsidRPr="00380CA4">
        <w:rPr>
          <w:rFonts w:ascii="Verdana" w:hAnsi="Verdana"/>
        </w:rPr>
        <w:lastRenderedPageBreak/>
        <w:t xml:space="preserve">requiera en el marco de nuestras funciones a través de nuestros diferentes canales de atención: </w:t>
      </w:r>
    </w:p>
    <w:p w14:paraId="36DA0193" w14:textId="77777777" w:rsidR="003058C5" w:rsidRPr="00380CA4" w:rsidRDefault="003058C5" w:rsidP="003058C5">
      <w:pPr>
        <w:spacing w:after="0"/>
        <w:jc w:val="both"/>
        <w:rPr>
          <w:rFonts w:ascii="Verdana" w:hAnsi="Verdana"/>
        </w:rPr>
      </w:pPr>
    </w:p>
    <w:p w14:paraId="647B480E" w14:textId="77777777" w:rsidR="003058C5" w:rsidRPr="00380CA4" w:rsidRDefault="003058C5" w:rsidP="003058C5">
      <w:pPr>
        <w:pStyle w:val="Prrafodelista"/>
        <w:numPr>
          <w:ilvl w:val="0"/>
          <w:numId w:val="15"/>
        </w:numPr>
        <w:spacing w:after="0" w:line="240" w:lineRule="auto"/>
        <w:jc w:val="both"/>
        <w:rPr>
          <w:rFonts w:ascii="Verdana" w:eastAsia="Verdana" w:hAnsi="Verdana" w:cs="Verdana"/>
          <w:color w:val="4472C4" w:themeColor="accent1"/>
          <w:u w:val="single"/>
          <w:lang w:val="es-CO"/>
        </w:rPr>
      </w:pPr>
      <w:r w:rsidRPr="00380CA4">
        <w:rPr>
          <w:rFonts w:ascii="Verdana" w:eastAsia="Verdana" w:hAnsi="Verdana" w:cs="Verdana"/>
          <w:lang w:val="es-CO"/>
        </w:rPr>
        <w:t xml:space="preserve">Línea nacional gratuita o servicio a la ciudadanía (Mesa de servicio): </w:t>
      </w:r>
      <w:r w:rsidRPr="00380CA4">
        <w:rPr>
          <w:rStyle w:val="Hipervnculo"/>
          <w:rFonts w:ascii="Verdana" w:hAnsi="Verdana"/>
          <w:lang w:val="es-CO"/>
        </w:rPr>
        <w:t>01800 0520808</w:t>
      </w:r>
    </w:p>
    <w:p w14:paraId="68883140" w14:textId="77777777" w:rsidR="003058C5" w:rsidRPr="00380CA4" w:rsidRDefault="003058C5" w:rsidP="003058C5">
      <w:pPr>
        <w:pStyle w:val="Prrafodelista"/>
        <w:numPr>
          <w:ilvl w:val="0"/>
          <w:numId w:val="15"/>
        </w:numPr>
        <w:spacing w:after="0"/>
        <w:rPr>
          <w:rFonts w:ascii="Verdana" w:eastAsia="Verdana" w:hAnsi="Verdana" w:cs="Verdana"/>
          <w:color w:val="4472C4" w:themeColor="accent1"/>
          <w:u w:val="single"/>
          <w:lang w:val="es-CO"/>
        </w:rPr>
      </w:pPr>
      <w:r w:rsidRPr="00380CA4">
        <w:rPr>
          <w:rFonts w:ascii="Verdana" w:eastAsia="Verdana" w:hAnsi="Verdana" w:cs="Verdana"/>
          <w:lang w:val="es-CO"/>
        </w:rPr>
        <w:t>Línea en Bogotá (Mesa de servicio</w:t>
      </w:r>
      <w:proofErr w:type="gramStart"/>
      <w:r w:rsidRPr="00380CA4">
        <w:rPr>
          <w:rFonts w:ascii="Verdana" w:eastAsia="Verdana" w:hAnsi="Verdana" w:cs="Verdana"/>
          <w:lang w:val="es-CO"/>
        </w:rPr>
        <w:t>):</w:t>
      </w:r>
      <w:r w:rsidRPr="00380CA4">
        <w:rPr>
          <w:rStyle w:val="Hipervnculo"/>
          <w:rFonts w:ascii="Verdana" w:hAnsi="Verdana"/>
          <w:lang w:val="es-CO"/>
        </w:rPr>
        <w:t>+</w:t>
      </w:r>
      <w:proofErr w:type="gramEnd"/>
      <w:r w:rsidRPr="00380CA4">
        <w:rPr>
          <w:rStyle w:val="Hipervnculo"/>
          <w:rFonts w:ascii="Verdana" w:hAnsi="Verdana"/>
          <w:lang w:val="es-CO"/>
        </w:rPr>
        <w:t>57 601 7456788</w:t>
      </w:r>
    </w:p>
    <w:p w14:paraId="4BD6613B" w14:textId="77777777" w:rsidR="003058C5" w:rsidRPr="00380CA4" w:rsidRDefault="003058C5" w:rsidP="003058C5">
      <w:pPr>
        <w:pStyle w:val="Prrafodelista"/>
        <w:numPr>
          <w:ilvl w:val="0"/>
          <w:numId w:val="15"/>
        </w:numPr>
        <w:spacing w:after="0"/>
        <w:rPr>
          <w:rFonts w:ascii="Verdana" w:eastAsia="Verdana" w:hAnsi="Verdana" w:cs="Verdana"/>
          <w:color w:val="0000FF"/>
          <w:u w:val="single"/>
          <w:lang w:val="es-CO"/>
        </w:rPr>
      </w:pPr>
      <w:r w:rsidRPr="00380CA4">
        <w:rPr>
          <w:rFonts w:ascii="Verdana" w:eastAsia="Verdana" w:hAnsi="Verdana" w:cs="Verdana"/>
          <w:lang w:val="es-CO"/>
        </w:rPr>
        <w:t xml:space="preserve">Correo de radicación de correspondencia: </w:t>
      </w:r>
      <w:hyperlink r:id="rId17">
        <w:r w:rsidRPr="00380CA4">
          <w:rPr>
            <w:rStyle w:val="Hipervnculo"/>
            <w:rFonts w:ascii="Verdana" w:eastAsia="Verdana" w:hAnsi="Verdana" w:cs="Verdana"/>
            <w:lang w:val="es-CO"/>
          </w:rPr>
          <w:t>ventanilladeradicacion@colombiacompra.gov.co</w:t>
        </w:r>
      </w:hyperlink>
    </w:p>
    <w:p w14:paraId="7A5CED5F" w14:textId="77777777" w:rsidR="003058C5" w:rsidRPr="00380CA4" w:rsidRDefault="003058C5" w:rsidP="003058C5">
      <w:pPr>
        <w:pStyle w:val="Prrafodelista"/>
        <w:numPr>
          <w:ilvl w:val="0"/>
          <w:numId w:val="15"/>
        </w:numPr>
        <w:spacing w:after="0"/>
        <w:rPr>
          <w:rFonts w:ascii="Verdana" w:eastAsia="Verdana" w:hAnsi="Verdana" w:cs="Verdana"/>
          <w:color w:val="0000FF"/>
          <w:u w:val="single"/>
          <w:lang w:val="es-CO"/>
        </w:rPr>
      </w:pPr>
      <w:r w:rsidRPr="00380CA4">
        <w:rPr>
          <w:rFonts w:ascii="Verdana" w:eastAsia="Verdana" w:hAnsi="Verdana" w:cs="Verdana"/>
          <w:lang w:val="es-CO"/>
        </w:rPr>
        <w:t xml:space="preserve">Formulario web para PQRSD: </w:t>
      </w:r>
      <w:hyperlink r:id="rId18">
        <w:r w:rsidRPr="00380CA4">
          <w:rPr>
            <w:rStyle w:val="Hipervnculo"/>
            <w:rFonts w:ascii="Verdana" w:eastAsia="Verdana" w:hAnsi="Verdana" w:cs="Verdana"/>
            <w:lang w:val="es-CO"/>
          </w:rPr>
          <w:t>https://www.colombiacompra.gov.co/pqrsd/informacion-importante-antes-de-formular-una-pqrsd</w:t>
        </w:r>
      </w:hyperlink>
    </w:p>
    <w:p w14:paraId="5A0B46A7" w14:textId="77777777" w:rsidR="003058C5" w:rsidRPr="00380CA4" w:rsidRDefault="003058C5" w:rsidP="003058C5">
      <w:pPr>
        <w:spacing w:after="0" w:line="240" w:lineRule="auto"/>
        <w:ind w:left="720"/>
        <w:jc w:val="both"/>
        <w:rPr>
          <w:rFonts w:ascii="Verdana" w:hAnsi="Verdana"/>
        </w:rPr>
      </w:pPr>
    </w:p>
    <w:p w14:paraId="7DA2594B" w14:textId="77777777" w:rsidR="003058C5" w:rsidRPr="00380CA4" w:rsidRDefault="003058C5" w:rsidP="003058C5">
      <w:pPr>
        <w:spacing w:after="0" w:line="240" w:lineRule="auto"/>
        <w:rPr>
          <w:rFonts w:ascii="Verdana" w:hAnsi="Verdana"/>
        </w:rPr>
      </w:pPr>
      <w:r w:rsidRPr="00380CA4">
        <w:rPr>
          <w:rFonts w:ascii="Verdana" w:hAnsi="Verdana"/>
        </w:rPr>
        <w:t xml:space="preserve">Evalúa el servicio que ofrece la Agencia por el canal de atención de PQRSD en el siguiente </w:t>
      </w:r>
      <w:proofErr w:type="gramStart"/>
      <w:r w:rsidRPr="00380CA4">
        <w:rPr>
          <w:rFonts w:ascii="Verdana" w:hAnsi="Verdana"/>
        </w:rPr>
        <w:t>enlace :</w:t>
      </w:r>
      <w:proofErr w:type="gramEnd"/>
      <w:hyperlink r:id="rId19" w:tgtFrame="_blank" w:tooltip="https://forms.office.com/r/pphywvs2sz" w:history="1">
        <w:r w:rsidRPr="00380CA4">
          <w:rPr>
            <w:rStyle w:val="Hipervnculo"/>
            <w:rFonts w:ascii="Verdana" w:hAnsi="Verdana"/>
          </w:rPr>
          <w:t>https://forms.office.com/r/pPHyWVs2SZ</w:t>
        </w:r>
      </w:hyperlink>
      <w:r w:rsidRPr="00380CA4">
        <w:rPr>
          <w:rFonts w:ascii="Verdana" w:hAnsi="Verdana"/>
        </w:rPr>
        <w:t xml:space="preserve"> .¡Ayúdanos a mejorar porque el compromiso es de todos!</w:t>
      </w:r>
    </w:p>
    <w:p w14:paraId="58489046" w14:textId="77777777" w:rsidR="003058C5" w:rsidRPr="00380CA4" w:rsidRDefault="003058C5" w:rsidP="003058C5">
      <w:pPr>
        <w:spacing w:after="0" w:line="240" w:lineRule="auto"/>
        <w:rPr>
          <w:rFonts w:ascii="Verdana" w:hAnsi="Verdana"/>
        </w:rPr>
      </w:pPr>
    </w:p>
    <w:p w14:paraId="72D3BB59" w14:textId="77777777" w:rsidR="003058C5" w:rsidRPr="00380CA4" w:rsidRDefault="003058C5" w:rsidP="003058C5">
      <w:pPr>
        <w:spacing w:after="0" w:line="240" w:lineRule="auto"/>
        <w:jc w:val="both"/>
        <w:rPr>
          <w:rFonts w:ascii="Verdana" w:hAnsi="Verdana"/>
        </w:rPr>
      </w:pPr>
      <w:r w:rsidRPr="00380CA4">
        <w:rPr>
          <w:rFonts w:ascii="Verdana" w:hAnsi="Verdana"/>
        </w:rPr>
        <w:t xml:space="preserve">Por último, lo invitamos a seguirnos en las redes sociales en las cuales se difunde información institucional: </w:t>
      </w:r>
    </w:p>
    <w:p w14:paraId="3FC73114" w14:textId="77777777" w:rsidR="003058C5" w:rsidRPr="00380CA4" w:rsidRDefault="003058C5" w:rsidP="003058C5">
      <w:pPr>
        <w:spacing w:after="0" w:line="240" w:lineRule="auto"/>
        <w:jc w:val="both"/>
        <w:rPr>
          <w:rFonts w:ascii="Verdana" w:hAnsi="Verdana"/>
        </w:rPr>
      </w:pPr>
    </w:p>
    <w:p w14:paraId="57B2ADE5" w14:textId="77777777" w:rsidR="003058C5" w:rsidRPr="00380CA4" w:rsidRDefault="003058C5" w:rsidP="003058C5">
      <w:pPr>
        <w:spacing w:after="0" w:line="240" w:lineRule="auto"/>
        <w:jc w:val="both"/>
        <w:rPr>
          <w:rFonts w:ascii="Verdana" w:hAnsi="Verdana"/>
        </w:rPr>
      </w:pPr>
      <w:r w:rsidRPr="00380CA4">
        <w:rPr>
          <w:rFonts w:ascii="Verdana" w:hAnsi="Verdana"/>
        </w:rPr>
        <w:t xml:space="preserve">Twitter: </w:t>
      </w:r>
      <w:r w:rsidRPr="00380CA4">
        <w:rPr>
          <w:rStyle w:val="Hipervnculo"/>
          <w:rFonts w:ascii="Verdana" w:hAnsi="Verdana"/>
        </w:rPr>
        <w:t>@colombiacompra</w:t>
      </w:r>
      <w:r w:rsidRPr="00380CA4">
        <w:rPr>
          <w:rFonts w:ascii="Verdana" w:hAnsi="Verdana"/>
        </w:rPr>
        <w:t xml:space="preserve"> </w:t>
      </w:r>
    </w:p>
    <w:p w14:paraId="7CC61E07" w14:textId="77777777" w:rsidR="003058C5" w:rsidRPr="00380CA4" w:rsidRDefault="003058C5" w:rsidP="003058C5">
      <w:pPr>
        <w:spacing w:after="0" w:line="240" w:lineRule="auto"/>
        <w:jc w:val="both"/>
        <w:rPr>
          <w:rFonts w:ascii="Verdana" w:hAnsi="Verdana"/>
        </w:rPr>
      </w:pPr>
      <w:r w:rsidRPr="00380CA4">
        <w:rPr>
          <w:rFonts w:ascii="Verdana" w:hAnsi="Verdana"/>
        </w:rPr>
        <w:t xml:space="preserve">Facebook: </w:t>
      </w:r>
      <w:proofErr w:type="spellStart"/>
      <w:r w:rsidRPr="00380CA4">
        <w:rPr>
          <w:rStyle w:val="Hipervnculo"/>
          <w:rFonts w:ascii="Verdana" w:hAnsi="Verdana"/>
        </w:rPr>
        <w:t>ColombiaCompraEficiente</w:t>
      </w:r>
      <w:proofErr w:type="spellEnd"/>
    </w:p>
    <w:p w14:paraId="577AEBB3" w14:textId="77777777" w:rsidR="003058C5" w:rsidRPr="00380CA4" w:rsidRDefault="003058C5" w:rsidP="003058C5">
      <w:pPr>
        <w:spacing w:after="0" w:line="240" w:lineRule="auto"/>
        <w:jc w:val="both"/>
        <w:rPr>
          <w:rFonts w:ascii="Verdana" w:hAnsi="Verdana"/>
        </w:rPr>
      </w:pPr>
      <w:r w:rsidRPr="00380CA4">
        <w:rPr>
          <w:rFonts w:ascii="Verdana" w:hAnsi="Verdana"/>
        </w:rPr>
        <w:t xml:space="preserve">LinkedIn: </w:t>
      </w:r>
      <w:r w:rsidRPr="00380CA4">
        <w:rPr>
          <w:rStyle w:val="Hipervnculo"/>
          <w:rFonts w:ascii="Verdana" w:hAnsi="Verdana"/>
        </w:rPr>
        <w:t>Agencia Nacional de Contratación Pública - Colombia Compra Eficiente</w:t>
      </w:r>
      <w:r w:rsidRPr="00380CA4">
        <w:rPr>
          <w:rFonts w:ascii="Verdana" w:hAnsi="Verdana"/>
        </w:rPr>
        <w:t xml:space="preserve"> Instagram: </w:t>
      </w:r>
      <w:r w:rsidRPr="00380CA4">
        <w:rPr>
          <w:rStyle w:val="Hipervnculo"/>
          <w:rFonts w:ascii="Verdana" w:hAnsi="Verdana"/>
        </w:rPr>
        <w:t>@colombiacompraeficiente_cce</w:t>
      </w:r>
    </w:p>
    <w:p w14:paraId="21B1274B" w14:textId="77777777" w:rsidR="003058C5" w:rsidRPr="00380CA4" w:rsidRDefault="003058C5" w:rsidP="003058C5">
      <w:pPr>
        <w:spacing w:after="0" w:line="240" w:lineRule="auto"/>
        <w:jc w:val="both"/>
        <w:rPr>
          <w:rFonts w:ascii="Verdana" w:hAnsi="Verdana"/>
        </w:rPr>
      </w:pPr>
    </w:p>
    <w:p w14:paraId="243D25FD" w14:textId="77777777" w:rsidR="003058C5" w:rsidRPr="00380CA4" w:rsidRDefault="003058C5" w:rsidP="003058C5">
      <w:pPr>
        <w:spacing w:after="0" w:line="256" w:lineRule="auto"/>
        <w:jc w:val="both"/>
        <w:rPr>
          <w:rFonts w:ascii="Verdana" w:eastAsia="Calibri" w:hAnsi="Verdana" w:cs="Times New Roman"/>
          <w:bCs/>
        </w:rPr>
      </w:pPr>
      <w:r w:rsidRPr="00380CA4">
        <w:rPr>
          <w:rFonts w:ascii="Verdana" w:eastAsia="Calibri" w:hAnsi="Verdana" w:cs="Times New Roman"/>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58E72829" w14:textId="77777777" w:rsidR="003058C5" w:rsidRPr="00DB2A80" w:rsidRDefault="003058C5" w:rsidP="003058C5">
      <w:pPr>
        <w:spacing w:after="0" w:line="256" w:lineRule="auto"/>
        <w:jc w:val="both"/>
        <w:rPr>
          <w:rFonts w:ascii="Verdana" w:eastAsia="Calibri" w:hAnsi="Verdana" w:cs="Times New Roman"/>
        </w:rPr>
      </w:pPr>
    </w:p>
    <w:p w14:paraId="36FC9126" w14:textId="77777777" w:rsidR="003058C5" w:rsidRPr="00DB2A80" w:rsidRDefault="003058C5" w:rsidP="003058C5">
      <w:pPr>
        <w:spacing w:after="0" w:line="256" w:lineRule="auto"/>
        <w:jc w:val="both"/>
        <w:rPr>
          <w:rFonts w:ascii="Verdana" w:eastAsia="Calibri" w:hAnsi="Verdana" w:cs="Times New Roman"/>
        </w:rPr>
      </w:pPr>
      <w:r w:rsidRPr="00DB2A80">
        <w:rPr>
          <w:rFonts w:ascii="Verdana" w:eastAsia="Calibri" w:hAnsi="Verdana" w:cs="Times New Roman"/>
        </w:rPr>
        <w:t>Atentamente,</w:t>
      </w:r>
    </w:p>
    <w:p w14:paraId="125939FF" w14:textId="77777777" w:rsidR="003058C5" w:rsidRPr="001C3028" w:rsidRDefault="003058C5" w:rsidP="003058C5">
      <w:pPr>
        <w:spacing w:after="0" w:line="276" w:lineRule="auto"/>
        <w:jc w:val="both"/>
        <w:rPr>
          <w:rFonts w:ascii="Verdana" w:eastAsia="Calibri" w:hAnsi="Verdana" w:cs="Times New Roman"/>
        </w:rPr>
      </w:pPr>
    </w:p>
    <w:p w14:paraId="0412A14A" w14:textId="7AFEAE81" w:rsidR="003058C5" w:rsidRPr="00B67807" w:rsidRDefault="00ED5ECC" w:rsidP="003058C5">
      <w:pPr>
        <w:spacing w:after="0" w:line="256" w:lineRule="auto"/>
        <w:jc w:val="center"/>
        <w:rPr>
          <w:rFonts w:ascii="Century Gothic" w:hAnsi="Century Gothic"/>
          <w:noProof/>
          <w:lang w:val="en-US"/>
        </w:rPr>
      </w:pPr>
      <w:r w:rsidRPr="002C3AD6">
        <w:rPr>
          <w:rFonts w:ascii="Century Gothic" w:hAnsi="Century Gothic"/>
          <w:noProof/>
          <w:lang w:val="en-US"/>
        </w:rPr>
        <w:drawing>
          <wp:inline distT="0" distB="0" distL="0" distR="0" wp14:anchorId="17797650" wp14:editId="29BCA0D3">
            <wp:extent cx="3405127" cy="1264024"/>
            <wp:effectExtent l="0" t="0" r="5080" b="0"/>
            <wp:docPr id="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0"/>
                    <a:stretch>
                      <a:fillRect/>
                    </a:stretch>
                  </pic:blipFill>
                  <pic:spPr>
                    <a:xfrm>
                      <a:off x="0" y="0"/>
                      <a:ext cx="3443887" cy="1278412"/>
                    </a:xfrm>
                    <a:prstGeom prst="rect">
                      <a:avLst/>
                    </a:prstGeom>
                  </pic:spPr>
                </pic:pic>
              </a:graphicData>
            </a:graphic>
          </wp:inline>
        </w:drawing>
      </w:r>
    </w:p>
    <w:p w14:paraId="59C24975" w14:textId="77777777" w:rsidR="003058C5" w:rsidRPr="00B67807" w:rsidRDefault="003058C5" w:rsidP="003058C5">
      <w:pPr>
        <w:spacing w:after="0" w:line="256" w:lineRule="auto"/>
        <w:rPr>
          <w:rFonts w:ascii="Century Gothic" w:hAnsi="Century Gothic"/>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3058C5" w:rsidRPr="00B67807" w14:paraId="05BE2325" w14:textId="77777777" w:rsidTr="00327490">
        <w:trPr>
          <w:trHeight w:val="409"/>
        </w:trPr>
        <w:tc>
          <w:tcPr>
            <w:tcW w:w="817" w:type="dxa"/>
            <w:tcBorders>
              <w:top w:val="nil"/>
              <w:left w:val="nil"/>
              <w:bottom w:val="nil"/>
              <w:right w:val="nil"/>
            </w:tcBorders>
            <w:vAlign w:val="center"/>
            <w:hideMark/>
          </w:tcPr>
          <w:p w14:paraId="0D88E27A" w14:textId="77777777" w:rsidR="003058C5" w:rsidRPr="00B67807" w:rsidRDefault="003058C5" w:rsidP="00327490">
            <w:pPr>
              <w:spacing w:after="0" w:line="256" w:lineRule="auto"/>
              <w:rPr>
                <w:rFonts w:ascii="Verdana" w:eastAsia="Calibri" w:hAnsi="Verdana" w:cs="Times New Roman"/>
                <w:sz w:val="16"/>
                <w:szCs w:val="16"/>
              </w:rPr>
            </w:pPr>
            <w:r w:rsidRPr="00B67807">
              <w:rPr>
                <w:rFonts w:ascii="Verdana" w:eastAsia="Calibri" w:hAnsi="Verdana" w:cs="Times New Roman"/>
                <w:sz w:val="16"/>
                <w:szCs w:val="16"/>
              </w:rPr>
              <w:lastRenderedPageBreak/>
              <w:t>Elaboró: </w:t>
            </w:r>
          </w:p>
        </w:tc>
        <w:tc>
          <w:tcPr>
            <w:tcW w:w="4937" w:type="dxa"/>
            <w:tcBorders>
              <w:top w:val="nil"/>
              <w:left w:val="nil"/>
              <w:bottom w:val="dotted" w:sz="6" w:space="0" w:color="7F7F7F" w:themeColor="text1" w:themeTint="80"/>
              <w:right w:val="nil"/>
            </w:tcBorders>
            <w:vAlign w:val="center"/>
            <w:hideMark/>
          </w:tcPr>
          <w:p w14:paraId="5765150C" w14:textId="77777777" w:rsidR="003058C5" w:rsidRPr="00B67807" w:rsidRDefault="003058C5" w:rsidP="00327490">
            <w:pPr>
              <w:spacing w:after="0" w:line="256" w:lineRule="auto"/>
              <w:rPr>
                <w:rFonts w:ascii="Verdana" w:eastAsia="Calibri" w:hAnsi="Verdana" w:cs="Times New Roman"/>
                <w:sz w:val="16"/>
                <w:szCs w:val="16"/>
              </w:rPr>
            </w:pPr>
            <w:r w:rsidRPr="00B67807">
              <w:rPr>
                <w:rFonts w:ascii="Verdana" w:eastAsia="Calibri" w:hAnsi="Verdana" w:cs="Times New Roman"/>
                <w:sz w:val="16"/>
                <w:szCs w:val="16"/>
              </w:rPr>
              <w:t>José Luis Sánchez Cardona</w:t>
            </w:r>
          </w:p>
          <w:p w14:paraId="5BE54613" w14:textId="77777777" w:rsidR="003058C5" w:rsidRPr="00B67807" w:rsidRDefault="003058C5" w:rsidP="00327490">
            <w:pPr>
              <w:spacing w:after="0" w:line="256" w:lineRule="auto"/>
              <w:rPr>
                <w:rFonts w:ascii="Verdana" w:eastAsia="Calibri" w:hAnsi="Verdana" w:cs="Times New Roman"/>
                <w:sz w:val="16"/>
                <w:szCs w:val="16"/>
              </w:rPr>
            </w:pPr>
            <w:r w:rsidRPr="00B67807">
              <w:rPr>
                <w:rFonts w:ascii="Verdana" w:eastAsia="Calibri" w:hAnsi="Verdana" w:cs="Times New Roman"/>
                <w:sz w:val="16"/>
                <w:szCs w:val="16"/>
              </w:rPr>
              <w:t>Contratista de la Subdirección de Gestión Contractual</w:t>
            </w:r>
          </w:p>
        </w:tc>
      </w:tr>
      <w:tr w:rsidR="003058C5" w:rsidRPr="00B67807" w14:paraId="6A94679F" w14:textId="77777777" w:rsidTr="00327490">
        <w:trPr>
          <w:trHeight w:val="409"/>
        </w:trPr>
        <w:tc>
          <w:tcPr>
            <w:tcW w:w="817" w:type="dxa"/>
            <w:tcBorders>
              <w:top w:val="nil"/>
              <w:left w:val="nil"/>
              <w:bottom w:val="nil"/>
              <w:right w:val="nil"/>
            </w:tcBorders>
            <w:vAlign w:val="center"/>
            <w:hideMark/>
          </w:tcPr>
          <w:p w14:paraId="6A56E68E" w14:textId="77777777" w:rsidR="003058C5" w:rsidRPr="00B67807" w:rsidRDefault="003058C5" w:rsidP="00327490">
            <w:pPr>
              <w:spacing w:after="0" w:line="256" w:lineRule="auto"/>
              <w:rPr>
                <w:rFonts w:ascii="Verdana" w:eastAsia="Calibri" w:hAnsi="Verdana" w:cs="Times New Roman"/>
                <w:sz w:val="16"/>
                <w:szCs w:val="16"/>
              </w:rPr>
            </w:pPr>
            <w:r w:rsidRPr="00B67807">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22D7C48F" w14:textId="77777777" w:rsidR="003058C5" w:rsidRPr="00B67807" w:rsidRDefault="003058C5" w:rsidP="00327490">
            <w:pPr>
              <w:spacing w:after="0" w:line="256" w:lineRule="auto"/>
              <w:rPr>
                <w:rFonts w:ascii="Verdana" w:eastAsia="Calibri" w:hAnsi="Verdana" w:cs="Times New Roman"/>
                <w:sz w:val="16"/>
                <w:szCs w:val="16"/>
              </w:rPr>
            </w:pPr>
            <w:r w:rsidRPr="00B67807">
              <w:rPr>
                <w:rFonts w:ascii="Verdana" w:eastAsia="Calibri" w:hAnsi="Verdana" w:cs="Times New Roman"/>
                <w:sz w:val="16"/>
                <w:szCs w:val="16"/>
              </w:rPr>
              <w:t>Diana Lucía Saavedra Castañeda</w:t>
            </w:r>
          </w:p>
          <w:p w14:paraId="4A9C55CD" w14:textId="77777777" w:rsidR="003058C5" w:rsidRPr="00B67807" w:rsidRDefault="003058C5" w:rsidP="00327490">
            <w:pPr>
              <w:spacing w:after="0" w:line="256" w:lineRule="auto"/>
              <w:rPr>
                <w:rFonts w:ascii="Verdana" w:eastAsia="Calibri" w:hAnsi="Verdana" w:cs="Times New Roman"/>
                <w:sz w:val="16"/>
                <w:szCs w:val="16"/>
              </w:rPr>
            </w:pPr>
            <w:r w:rsidRPr="00B67807">
              <w:rPr>
                <w:rFonts w:ascii="Verdana" w:eastAsia="Calibri" w:hAnsi="Verdana" w:cs="Times New Roman"/>
                <w:sz w:val="16"/>
                <w:szCs w:val="16"/>
              </w:rPr>
              <w:t>Contratista de la Subdirección de Gestión Contractual </w:t>
            </w:r>
          </w:p>
        </w:tc>
      </w:tr>
      <w:tr w:rsidR="003058C5" w:rsidRPr="00B67807" w14:paraId="65E86573" w14:textId="77777777" w:rsidTr="00327490">
        <w:trPr>
          <w:trHeight w:val="389"/>
        </w:trPr>
        <w:tc>
          <w:tcPr>
            <w:tcW w:w="817" w:type="dxa"/>
            <w:tcBorders>
              <w:top w:val="nil"/>
              <w:left w:val="nil"/>
              <w:bottom w:val="nil"/>
              <w:right w:val="nil"/>
            </w:tcBorders>
            <w:vAlign w:val="center"/>
            <w:hideMark/>
          </w:tcPr>
          <w:p w14:paraId="5A5829E8" w14:textId="77777777" w:rsidR="003058C5" w:rsidRPr="00B67807" w:rsidRDefault="003058C5" w:rsidP="00327490">
            <w:pPr>
              <w:spacing w:after="0" w:line="256" w:lineRule="auto"/>
              <w:rPr>
                <w:rFonts w:ascii="Verdana" w:eastAsia="Calibri" w:hAnsi="Verdana" w:cs="Times New Roman"/>
                <w:sz w:val="16"/>
                <w:szCs w:val="16"/>
              </w:rPr>
            </w:pPr>
            <w:r w:rsidRPr="00B67807">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034C9FBF" w14:textId="77777777" w:rsidR="003058C5" w:rsidRPr="00B67807" w:rsidRDefault="003058C5" w:rsidP="00327490">
            <w:pPr>
              <w:spacing w:after="0" w:line="256" w:lineRule="auto"/>
              <w:rPr>
                <w:rFonts w:ascii="Verdana" w:eastAsia="Calibri" w:hAnsi="Verdana" w:cs="Times New Roman"/>
                <w:sz w:val="16"/>
                <w:szCs w:val="16"/>
              </w:rPr>
            </w:pPr>
            <w:r w:rsidRPr="00B67807">
              <w:rPr>
                <w:rFonts w:ascii="Verdana" w:eastAsia="Calibri" w:hAnsi="Verdana" w:cs="Times New Roman"/>
                <w:sz w:val="16"/>
                <w:szCs w:val="16"/>
              </w:rPr>
              <w:t>Carolina Quintero Gacharná</w:t>
            </w:r>
          </w:p>
          <w:p w14:paraId="2D991C88" w14:textId="77777777" w:rsidR="003058C5" w:rsidRPr="00B67807" w:rsidRDefault="003058C5" w:rsidP="00327490">
            <w:pPr>
              <w:spacing w:after="0" w:line="256" w:lineRule="auto"/>
              <w:rPr>
                <w:rFonts w:ascii="Verdana" w:eastAsia="Calibri" w:hAnsi="Verdana" w:cs="Times New Roman"/>
                <w:sz w:val="16"/>
                <w:szCs w:val="16"/>
              </w:rPr>
            </w:pPr>
            <w:r w:rsidRPr="00B67807">
              <w:rPr>
                <w:rFonts w:ascii="Verdana" w:eastAsia="Calibri" w:hAnsi="Verdana" w:cs="Times New Roman"/>
                <w:sz w:val="16"/>
                <w:szCs w:val="16"/>
              </w:rPr>
              <w:t>Subdirectora de Gestión Contractual ANCP – CCE</w:t>
            </w:r>
          </w:p>
        </w:tc>
      </w:tr>
    </w:tbl>
    <w:p w14:paraId="6096EF65" w14:textId="449EB904" w:rsidR="003058C5" w:rsidRPr="000E2B93" w:rsidRDefault="003058C5" w:rsidP="003058C5">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5D64733D" w14:textId="3F0946B3" w:rsidR="007A1830" w:rsidRPr="003058C5" w:rsidRDefault="007A1830" w:rsidP="003058C5"/>
    <w:sectPr w:rsidR="007A1830" w:rsidRPr="003058C5"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1BC06" w14:textId="77777777" w:rsidR="00186BEE" w:rsidRDefault="00186BEE" w:rsidP="004A1847">
      <w:pPr>
        <w:spacing w:after="0" w:line="240" w:lineRule="auto"/>
      </w:pPr>
      <w:r>
        <w:separator/>
      </w:r>
    </w:p>
  </w:endnote>
  <w:endnote w:type="continuationSeparator" w:id="0">
    <w:p w14:paraId="7C8EEB9B" w14:textId="77777777" w:rsidR="00186BEE" w:rsidRDefault="00186BE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Geomanist Bold">
    <w:altName w:val="Arial"/>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63634F" w:rsidRDefault="0063634F">
    <w:pPr>
      <w:pStyle w:val="Piedepgina"/>
    </w:pPr>
  </w:p>
  <w:p w14:paraId="594D6D9F" w14:textId="09A63BF9" w:rsidR="0063634F" w:rsidRPr="00174B77" w:rsidRDefault="0063634F"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D725F7" w:rsidRPr="00D725F7">
      <w:rPr>
        <w:rFonts w:ascii="Verdana" w:eastAsiaTheme="minorEastAsia" w:hAnsi="Verdana"/>
        <w:b/>
        <w:bCs/>
        <w:noProof/>
        <w:sz w:val="16"/>
        <w:szCs w:val="16"/>
      </w:rPr>
      <w:t>20</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63634F" w:rsidRDefault="0063634F"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63634F" w:rsidRPr="00E41027" w:rsidRDefault="0063634F"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63634F" w:rsidRDefault="0063634F">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23099" w14:textId="77777777" w:rsidR="00186BEE" w:rsidRDefault="00186BEE" w:rsidP="004A1847">
      <w:pPr>
        <w:spacing w:after="0" w:line="240" w:lineRule="auto"/>
      </w:pPr>
      <w:r>
        <w:separator/>
      </w:r>
    </w:p>
  </w:footnote>
  <w:footnote w:type="continuationSeparator" w:id="0">
    <w:p w14:paraId="5B68C919" w14:textId="77777777" w:rsidR="00186BEE" w:rsidRDefault="00186BEE" w:rsidP="004A1847">
      <w:pPr>
        <w:spacing w:after="0" w:line="240" w:lineRule="auto"/>
      </w:pPr>
      <w:r>
        <w:continuationSeparator/>
      </w:r>
    </w:p>
  </w:footnote>
  <w:footnote w:id="1">
    <w:p w14:paraId="5D4EAF4A" w14:textId="77777777" w:rsidR="003058C5" w:rsidRPr="00DB7B3E" w:rsidRDefault="003058C5" w:rsidP="003058C5">
      <w:pPr>
        <w:pStyle w:val="Textonotapie"/>
        <w:ind w:firstLine="708"/>
        <w:jc w:val="both"/>
        <w:rPr>
          <w:rFonts w:ascii="Verdana" w:hAnsi="Verdana"/>
          <w:sz w:val="16"/>
          <w:szCs w:val="16"/>
        </w:rPr>
      </w:pPr>
      <w:r w:rsidRPr="00DB7B3E">
        <w:rPr>
          <w:rFonts w:ascii="Verdana" w:hAnsi="Verdana"/>
          <w:sz w:val="16"/>
          <w:szCs w:val="16"/>
          <w:vertAlign w:val="superscript"/>
        </w:rPr>
        <w:footnoteRef/>
      </w:r>
      <w:r w:rsidRPr="00B35C2C">
        <w:rPr>
          <w:rFonts w:ascii="Verdana" w:hAnsi="Verdana"/>
          <w:sz w:val="16"/>
          <w:szCs w:val="16"/>
          <w:lang w:val="pt-BR"/>
        </w:rPr>
        <w:t xml:space="preserve"> Corte Constitucional. Sentencia C-181 de 1997. </w:t>
      </w:r>
      <w:r w:rsidRPr="00DB7B3E">
        <w:rPr>
          <w:rFonts w:ascii="Verdana" w:hAnsi="Verdana"/>
          <w:sz w:val="16"/>
          <w:szCs w:val="16"/>
        </w:rPr>
        <w:t>M.P. Fabio Morón Díaz. Ver también las Sentencias C-540 de 2001, C-893 de 2003 y C-903 de 2008, entre otras.</w:t>
      </w:r>
    </w:p>
  </w:footnote>
  <w:footnote w:id="2">
    <w:p w14:paraId="2EA78EF6" w14:textId="77777777" w:rsidR="003058C5" w:rsidRPr="00E34BBF" w:rsidRDefault="003058C5" w:rsidP="003058C5">
      <w:pPr>
        <w:pStyle w:val="Textonotapie"/>
        <w:ind w:firstLine="708"/>
        <w:jc w:val="both"/>
        <w:rPr>
          <w:rFonts w:ascii="Verdana" w:hAnsi="Verdana"/>
          <w:sz w:val="16"/>
          <w:szCs w:val="16"/>
          <w:lang w:val="pt-BR"/>
        </w:rPr>
      </w:pPr>
      <w:r w:rsidRPr="00E34BBF">
        <w:rPr>
          <w:rStyle w:val="Refdenotaalpie"/>
          <w:rFonts w:ascii="Verdana" w:hAnsi="Verdana"/>
          <w:sz w:val="16"/>
          <w:szCs w:val="16"/>
        </w:rPr>
        <w:footnoteRef/>
      </w:r>
      <w:r w:rsidRPr="00E34BBF">
        <w:rPr>
          <w:rFonts w:ascii="Verdana" w:hAnsi="Verdana"/>
          <w:sz w:val="16"/>
          <w:szCs w:val="16"/>
          <w:lang w:val="pt-BR"/>
        </w:rPr>
        <w:t xml:space="preserve"> Corte Constitucional. Sentencia C-1016 de 2012. M.P. Jorge Iván Palacio.</w:t>
      </w:r>
    </w:p>
  </w:footnote>
  <w:footnote w:id="3">
    <w:p w14:paraId="6D244E7A" w14:textId="77777777" w:rsidR="003058C5" w:rsidRPr="00E34BBF" w:rsidRDefault="003058C5" w:rsidP="003058C5">
      <w:pPr>
        <w:pStyle w:val="Textonotapie"/>
        <w:ind w:firstLine="708"/>
        <w:jc w:val="both"/>
        <w:rPr>
          <w:rFonts w:ascii="Verdana" w:hAnsi="Verdana"/>
          <w:sz w:val="16"/>
          <w:szCs w:val="16"/>
          <w:lang w:val="pt-BR"/>
        </w:rPr>
      </w:pPr>
      <w:r w:rsidRPr="00E34BBF">
        <w:rPr>
          <w:rStyle w:val="Refdenotaalpie"/>
          <w:rFonts w:ascii="Verdana" w:hAnsi="Verdana"/>
          <w:sz w:val="16"/>
          <w:szCs w:val="16"/>
        </w:rPr>
        <w:footnoteRef/>
      </w:r>
      <w:r w:rsidRPr="00E34BBF">
        <w:rPr>
          <w:rFonts w:ascii="Verdana" w:hAnsi="Verdana"/>
          <w:sz w:val="16"/>
          <w:szCs w:val="16"/>
        </w:rPr>
        <w:t xml:space="preserve"> </w:t>
      </w:r>
      <w:r>
        <w:rPr>
          <w:rFonts w:ascii="Verdana" w:hAnsi="Verdana"/>
          <w:sz w:val="16"/>
          <w:szCs w:val="16"/>
        </w:rPr>
        <w:t>Consejo d</w:t>
      </w:r>
      <w:r w:rsidRPr="00E34BBF">
        <w:rPr>
          <w:rFonts w:ascii="Verdana" w:hAnsi="Verdana"/>
          <w:sz w:val="16"/>
          <w:szCs w:val="16"/>
        </w:rPr>
        <w:t xml:space="preserve">e Estado. Sección Tercera. Subsección A. Sentencia del 13 de noviembre de 2013. </w:t>
      </w:r>
      <w:r w:rsidRPr="00E34BBF">
        <w:rPr>
          <w:rFonts w:ascii="Verdana" w:hAnsi="Verdana"/>
          <w:sz w:val="16"/>
          <w:szCs w:val="16"/>
          <w:lang w:val="pt-BR"/>
        </w:rPr>
        <w:t xml:space="preserve">Rad. 25.646. C.P. Mauricio Fajardo Gómez. </w:t>
      </w:r>
    </w:p>
  </w:footnote>
  <w:footnote w:id="4">
    <w:p w14:paraId="24E399BB" w14:textId="77777777" w:rsidR="003058C5" w:rsidRPr="00E34BBF" w:rsidRDefault="003058C5" w:rsidP="003058C5">
      <w:pPr>
        <w:pStyle w:val="Textonotapie"/>
        <w:ind w:firstLine="708"/>
        <w:jc w:val="both"/>
        <w:rPr>
          <w:rFonts w:ascii="Verdana" w:hAnsi="Verdana"/>
          <w:sz w:val="16"/>
          <w:szCs w:val="16"/>
          <w:lang w:val="pt-BR"/>
        </w:rPr>
      </w:pPr>
      <w:r w:rsidRPr="00E34BBF">
        <w:rPr>
          <w:rStyle w:val="Refdenotaalpie"/>
          <w:rFonts w:ascii="Verdana" w:hAnsi="Verdana"/>
          <w:sz w:val="16"/>
          <w:szCs w:val="16"/>
        </w:rPr>
        <w:footnoteRef/>
      </w:r>
      <w:r w:rsidRPr="00E34BBF">
        <w:rPr>
          <w:rFonts w:ascii="Verdana" w:hAnsi="Verdana"/>
          <w:sz w:val="16"/>
          <w:szCs w:val="16"/>
          <w:lang w:val="pt-BR"/>
        </w:rPr>
        <w:t xml:space="preserve"> Corte Constitucional. Sentencia C-415 de 1994. M.P. Eduardo Cifuentes Muñoz.</w:t>
      </w:r>
    </w:p>
  </w:footnote>
  <w:footnote w:id="5">
    <w:p w14:paraId="4A8D54B4" w14:textId="77777777" w:rsidR="003058C5" w:rsidRPr="00E34BBF" w:rsidRDefault="003058C5" w:rsidP="003058C5">
      <w:pPr>
        <w:pStyle w:val="Textonotapie"/>
        <w:ind w:firstLine="708"/>
        <w:jc w:val="both"/>
        <w:rPr>
          <w:rFonts w:ascii="Verdana" w:hAnsi="Verdana"/>
          <w:sz w:val="16"/>
          <w:szCs w:val="16"/>
          <w:lang w:val="pt-BR"/>
        </w:rPr>
      </w:pPr>
      <w:r w:rsidRPr="00E34BBF">
        <w:rPr>
          <w:rStyle w:val="Refdenotaalpie"/>
          <w:rFonts w:ascii="Verdana" w:hAnsi="Verdana"/>
          <w:sz w:val="16"/>
          <w:szCs w:val="16"/>
        </w:rPr>
        <w:footnoteRef/>
      </w:r>
      <w:r w:rsidRPr="00E34BBF">
        <w:rPr>
          <w:rFonts w:ascii="Verdana" w:hAnsi="Verdana"/>
          <w:sz w:val="16"/>
          <w:szCs w:val="16"/>
          <w:lang w:val="pt-BR"/>
        </w:rPr>
        <w:t xml:space="preserve"> Ibídem.</w:t>
      </w:r>
    </w:p>
  </w:footnote>
  <w:footnote w:id="6">
    <w:p w14:paraId="2AF758F4" w14:textId="77777777" w:rsidR="003058C5" w:rsidRPr="00E34BBF" w:rsidRDefault="003058C5" w:rsidP="003058C5">
      <w:pPr>
        <w:pStyle w:val="Textonotapie"/>
        <w:ind w:firstLine="708"/>
        <w:jc w:val="both"/>
        <w:rPr>
          <w:rFonts w:ascii="Verdana" w:hAnsi="Verdana"/>
          <w:sz w:val="16"/>
          <w:szCs w:val="16"/>
          <w:lang w:val="es-CO"/>
        </w:rPr>
      </w:pPr>
      <w:r w:rsidRPr="00E34BBF">
        <w:rPr>
          <w:rStyle w:val="Refdenotaalpie"/>
          <w:rFonts w:ascii="Verdana" w:hAnsi="Verdana"/>
          <w:sz w:val="16"/>
          <w:szCs w:val="16"/>
        </w:rPr>
        <w:footnoteRef/>
      </w:r>
      <w:r w:rsidRPr="00E34BBF">
        <w:rPr>
          <w:rFonts w:ascii="Verdana" w:hAnsi="Verdana"/>
          <w:sz w:val="16"/>
          <w:szCs w:val="16"/>
          <w:lang w:val="pt-BR"/>
        </w:rPr>
        <w:t xml:space="preserve"> Corte Constitucional. </w:t>
      </w:r>
      <w:r w:rsidRPr="00E34BBF">
        <w:rPr>
          <w:rFonts w:ascii="Verdana" w:hAnsi="Verdana"/>
          <w:sz w:val="16"/>
          <w:szCs w:val="16"/>
        </w:rPr>
        <w:t xml:space="preserve">Sentencia C-780 de 2001. </w:t>
      </w:r>
      <w:r>
        <w:rPr>
          <w:rFonts w:ascii="Verdana" w:hAnsi="Verdana"/>
          <w:sz w:val="16"/>
          <w:szCs w:val="16"/>
          <w:lang w:val="es-CO"/>
        </w:rPr>
        <w:t>M.P. Jaime Córdoba Triviño.</w:t>
      </w:r>
    </w:p>
  </w:footnote>
  <w:footnote w:id="7">
    <w:p w14:paraId="6E1C6121" w14:textId="77777777" w:rsidR="003058C5" w:rsidRPr="00E34BBF" w:rsidRDefault="003058C5" w:rsidP="003058C5">
      <w:pPr>
        <w:pStyle w:val="NormalWeb"/>
        <w:spacing w:before="0" w:beforeAutospacing="0" w:after="0" w:afterAutospacing="0"/>
        <w:ind w:firstLine="708"/>
        <w:jc w:val="both"/>
        <w:rPr>
          <w:rFonts w:ascii="Verdana" w:eastAsia="Calibri" w:hAnsi="Verdana" w:cs="Arial"/>
          <w:sz w:val="16"/>
          <w:szCs w:val="16"/>
          <w:lang w:val="es-ES" w:eastAsia="en-US"/>
        </w:rPr>
      </w:pPr>
      <w:r w:rsidRPr="00E34BBF">
        <w:rPr>
          <w:rStyle w:val="Refdenotaalpie"/>
          <w:rFonts w:ascii="Verdana" w:hAnsi="Verdana"/>
          <w:sz w:val="16"/>
          <w:szCs w:val="16"/>
        </w:rPr>
        <w:footnoteRef/>
      </w:r>
      <w:r w:rsidRPr="00E34BBF">
        <w:rPr>
          <w:rFonts w:ascii="Verdana" w:hAnsi="Verdana"/>
          <w:sz w:val="16"/>
          <w:szCs w:val="16"/>
        </w:rPr>
        <w:t xml:space="preserve"> </w:t>
      </w:r>
      <w:r>
        <w:rPr>
          <w:rFonts w:ascii="Verdana" w:eastAsia="Calibri" w:hAnsi="Verdana" w:cs="Arial"/>
          <w:sz w:val="16"/>
          <w:szCs w:val="16"/>
          <w:lang w:val="es-ES" w:eastAsia="en-US"/>
        </w:rPr>
        <w:t>Ley 80 de 1993: “</w:t>
      </w:r>
      <w:r w:rsidRPr="00E34BBF">
        <w:rPr>
          <w:rFonts w:ascii="Verdana" w:eastAsia="Calibri" w:hAnsi="Verdana" w:cs="Arial"/>
          <w:sz w:val="16"/>
          <w:szCs w:val="16"/>
          <w:lang w:val="es-ES" w:eastAsia="en-US"/>
        </w:rPr>
        <w:t>Artículo 8: 1o. Son inhábiles para participar en licitaciones o concursos y para celebrar contratos con las entidades estatales: </w:t>
      </w:r>
    </w:p>
    <w:p w14:paraId="51C71CAF"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a) Las personas que se hallen inhabilitadas para contratar por la Constitución y las leyes. </w:t>
      </w:r>
    </w:p>
    <w:p w14:paraId="5EA43C6A"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b) Quienes participaron en las licitaciones o concursos o celebraron los contratos de que trata el literal anterior estando inhabilitados. </w:t>
      </w:r>
    </w:p>
    <w:p w14:paraId="5DAE9C5A"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c) Quienes dieron lugar a la declaratoria de caducidad. </w:t>
      </w:r>
    </w:p>
    <w:p w14:paraId="0EB10D7A"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d) Quienes en sentencia judicial hayan sido condenados a la pena accesoria de interdicción de derechos y funciones públicas y quienes hayan sido sancionados disciplinariamente con destitución. </w:t>
      </w:r>
    </w:p>
    <w:p w14:paraId="395EC08F"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e) Quienes sin justa causa se abstengan de suscribir el contrato estatal adjudicado. </w:t>
      </w:r>
    </w:p>
    <w:p w14:paraId="030E137B"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f) Los servidores públicos. </w:t>
      </w:r>
    </w:p>
    <w:p w14:paraId="4E0E0DE1"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g) Quienes sean cónyuges o compañeros permanentes y quienes se encuentren dentro del segundo grado de consanguinidad o segundo de afinidad con cualquier otra persona que formalmente haya presentado propuesta para una misma licitación o concurso. </w:t>
      </w:r>
    </w:p>
    <w:p w14:paraId="0C37536D" w14:textId="77777777" w:rsidR="003058C5" w:rsidRPr="00E34BBF" w:rsidRDefault="003058C5" w:rsidP="003058C5">
      <w:pPr>
        <w:pStyle w:val="NormalWeb"/>
        <w:spacing w:before="0" w:beforeAutospacing="0" w:after="0" w:afterAutospacing="0"/>
        <w:ind w:firstLine="708"/>
        <w:jc w:val="both"/>
        <w:rPr>
          <w:rFonts w:ascii="Verdana" w:eastAsia="Calibri" w:hAnsi="Verdana" w:cs="Arial"/>
          <w:sz w:val="16"/>
          <w:szCs w:val="16"/>
          <w:lang w:val="es-ES" w:eastAsia="en-US"/>
        </w:rPr>
      </w:pPr>
      <w:r w:rsidRPr="00E34BBF">
        <w:rPr>
          <w:rFonts w:ascii="Verdana" w:eastAsia="Calibri" w:hAnsi="Verdana" w:cs="Arial"/>
          <w:sz w:val="16"/>
          <w:szCs w:val="16"/>
          <w:lang w:val="es-ES" w:eastAsia="en-US"/>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o concurso. </w:t>
      </w:r>
    </w:p>
    <w:p w14:paraId="4188292E"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i) Los socios de sociedades de personas a las cuales se haya declarado la caducidad, así como las sociedades de personas de las que aquellos formen parte con posterioridad a dicha declaratoria. </w:t>
      </w:r>
    </w:p>
    <w:p w14:paraId="1FA0A679"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concurso, o de la de celebración del contrato, o de la de expiración del plazo para su firma. </w:t>
      </w:r>
    </w:p>
    <w:p w14:paraId="711F44D9"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j)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p>
    <w:p w14:paraId="57A13151"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Esta inhabilidad procederá preventivamente aún en los casos en los que esté pendiente la decisión sobre la impugnación de la sentencia condenatoria. Asimismo, la inhabilidad se extenderá a las sociedades de las que hagan parte dichas personas en calidad de administradores, represen</w:t>
      </w:r>
      <w:r w:rsidRPr="00E34BBF">
        <w:rPr>
          <w:rFonts w:ascii="Verdana" w:eastAsia="Calibri" w:hAnsi="Verdana" w:cs="Arial"/>
          <w:sz w:val="16"/>
          <w:szCs w:val="16"/>
          <w:lang w:val="es-ES" w:eastAsia="en-US"/>
        </w:rPr>
        <w:softHyphen/>
        <w:t>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w:t>
      </w:r>
      <w:r w:rsidRPr="00E34BBF">
        <w:rPr>
          <w:rFonts w:ascii="Verdana" w:eastAsia="Calibri" w:hAnsi="Verdana" w:cs="Arial"/>
          <w:sz w:val="16"/>
          <w:szCs w:val="16"/>
          <w:lang w:val="es-ES" w:eastAsia="en-US"/>
        </w:rPr>
        <w:softHyphen/>
        <w:t>cepción de las sociedades anónimas abiertas. También se considerarán inhabilitadas para contratar, las personas jurídicas sobre las cuales se haya ordenado la suspensión de la perso</w:t>
      </w:r>
      <w:r w:rsidRPr="00E34BBF">
        <w:rPr>
          <w:rFonts w:ascii="Verdana" w:eastAsia="Calibri" w:hAnsi="Verdana" w:cs="Arial"/>
          <w:sz w:val="16"/>
          <w:szCs w:val="16"/>
          <w:lang w:val="es-ES" w:eastAsia="en-US"/>
        </w:rPr>
        <w:softHyphen/>
        <w:t>nería jurídica en los términos de ley, o cuyos representantes legales, ad</w:t>
      </w:r>
      <w:r w:rsidRPr="00E34BBF">
        <w:rPr>
          <w:rFonts w:ascii="Verdana" w:eastAsia="Calibri" w:hAnsi="Verdana" w:cs="Arial"/>
          <w:sz w:val="16"/>
          <w:szCs w:val="16"/>
          <w:lang w:val="es-ES" w:eastAsia="en-US"/>
        </w:rPr>
        <w:softHyphen/>
        <w:t>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La inhabilidad prevista en este literal se extenderá de forma perma</w:t>
      </w:r>
      <w:r w:rsidRPr="00E34BBF">
        <w:rPr>
          <w:rFonts w:ascii="Verdana" w:eastAsia="Calibri" w:hAnsi="Verdana" w:cs="Arial"/>
          <w:sz w:val="16"/>
          <w:szCs w:val="16"/>
          <w:lang w:val="es-ES" w:eastAsia="en-US"/>
        </w:rPr>
        <w:softHyphen/>
        <w:t>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 </w:t>
      </w:r>
    </w:p>
    <w:p w14:paraId="5DEDCD43"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sidRPr="00E34BBF">
        <w:rPr>
          <w:rFonts w:ascii="Verdana" w:eastAsia="Calibri" w:hAnsi="Verdana" w:cs="Arial"/>
          <w:sz w:val="16"/>
          <w:szCs w:val="16"/>
          <w:lang w:val="es-ES" w:eastAsia="en-US"/>
        </w:rPr>
        <w:t>[…]</w:t>
      </w:r>
    </w:p>
    <w:p w14:paraId="06E85F35" w14:textId="77777777" w:rsidR="003058C5" w:rsidRPr="00E34BBF" w:rsidRDefault="003058C5" w:rsidP="003058C5">
      <w:pPr>
        <w:pStyle w:val="NormalWeb"/>
        <w:spacing w:before="0" w:beforeAutospacing="0" w:after="0" w:afterAutospacing="0"/>
        <w:ind w:firstLine="708"/>
        <w:jc w:val="both"/>
        <w:rPr>
          <w:rFonts w:ascii="Verdana" w:eastAsia="Calibri" w:hAnsi="Verdana" w:cs="Arial"/>
          <w:sz w:val="16"/>
          <w:szCs w:val="16"/>
          <w:lang w:val="es-ES" w:eastAsia="en-US"/>
        </w:rPr>
      </w:pPr>
      <w:r w:rsidRPr="00E34BBF">
        <w:rPr>
          <w:rFonts w:ascii="Verdana" w:eastAsia="Calibri" w:hAnsi="Verdana" w:cs="Arial"/>
          <w:sz w:val="16"/>
          <w:szCs w:val="16"/>
          <w:lang w:val="es-ES" w:eastAsia="en-US"/>
        </w:rPr>
        <w:t>2o. Tampoco podrán participar en licitaciones o concursos ni celebrar contratos estatales con la entidad respectiva: </w:t>
      </w:r>
    </w:p>
    <w:p w14:paraId="1B991BE5"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 </w:t>
      </w:r>
    </w:p>
    <w:p w14:paraId="5BCFD70A"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p>
    <w:p w14:paraId="4F7972F9"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c) El cónyuge, compañero o compañera permanente del servidor público en los niveles directivo, asesor, ejecutivo, o de un miembro de la junta o consejo directivo, o de quien ejerza funciones de control interno o de control fiscal. </w:t>
      </w:r>
    </w:p>
    <w:p w14:paraId="013C9A38"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w:t>
      </w:r>
    </w:p>
    <w:p w14:paraId="0CF50F11" w14:textId="77777777" w:rsidR="003058C5" w:rsidRPr="00E34BBF" w:rsidRDefault="003058C5" w:rsidP="003058C5">
      <w:pPr>
        <w:pStyle w:val="NormalWeb"/>
        <w:spacing w:before="0" w:beforeAutospacing="0" w:after="0" w:afterAutospacing="0"/>
        <w:jc w:val="both"/>
        <w:rPr>
          <w:rFonts w:ascii="Verdana" w:eastAsia="Calibri" w:hAnsi="Verdana" w:cs="Arial"/>
          <w:sz w:val="16"/>
          <w:szCs w:val="16"/>
          <w:lang w:val="es-ES" w:eastAsia="en-US"/>
        </w:rPr>
      </w:pPr>
      <w:r>
        <w:rPr>
          <w:rFonts w:ascii="Verdana" w:eastAsia="Calibri" w:hAnsi="Verdana" w:cs="Arial"/>
          <w:sz w:val="16"/>
          <w:szCs w:val="16"/>
          <w:lang w:val="es-ES" w:eastAsia="en-US"/>
        </w:rPr>
        <w:t>  </w:t>
      </w:r>
      <w:r>
        <w:rPr>
          <w:rFonts w:ascii="Verdana" w:eastAsia="Calibri" w:hAnsi="Verdana" w:cs="Arial"/>
          <w:sz w:val="16"/>
          <w:szCs w:val="16"/>
          <w:lang w:val="es-ES" w:eastAsia="en-US"/>
        </w:rPr>
        <w:tab/>
      </w:r>
      <w:r w:rsidRPr="00E34BBF">
        <w:rPr>
          <w:rFonts w:ascii="Verdana" w:eastAsia="Calibri" w:hAnsi="Verdana" w:cs="Arial"/>
          <w:sz w:val="16"/>
          <w:szCs w:val="16"/>
          <w:lang w:val="es-ES" w:eastAsia="en-US"/>
        </w:rPr>
        <w:t>e) Los miembros de las juntas o consejos directivos. Esta incompatibilidad sólo se predica respecto de la entidad a la cual prestan sus servicios y de las del sector administrativo al que la misma esté adscrita o vinculada. </w:t>
      </w:r>
    </w:p>
    <w:p w14:paraId="304FC5E9" w14:textId="77777777" w:rsidR="003058C5" w:rsidRDefault="003058C5" w:rsidP="003058C5">
      <w:pPr>
        <w:pStyle w:val="NormalWeb"/>
        <w:spacing w:before="0" w:beforeAutospacing="0" w:after="0" w:afterAutospacing="0"/>
        <w:ind w:firstLine="708"/>
        <w:jc w:val="both"/>
        <w:rPr>
          <w:rFonts w:ascii="Verdana" w:eastAsia="Calibri" w:hAnsi="Verdana" w:cs="Arial"/>
          <w:sz w:val="16"/>
          <w:szCs w:val="16"/>
          <w:lang w:val="pt-BR" w:eastAsia="en-US"/>
        </w:rPr>
      </w:pPr>
      <w:r w:rsidRPr="00E34BBF">
        <w:rPr>
          <w:rFonts w:ascii="Verdana" w:eastAsia="Calibri" w:hAnsi="Verdana" w:cs="Arial"/>
          <w:sz w:val="16"/>
          <w:szCs w:val="16"/>
          <w:lang w:val="es-ES" w:eastAsia="en-US"/>
        </w:rPr>
        <w:t>f)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Esta incompatibilidad también operará para las personas que se encuentren dentro del primer grado de consanguinidad, primero de afinidad, o primer</w:t>
      </w:r>
      <w:r>
        <w:rPr>
          <w:rFonts w:ascii="Verdana" w:eastAsia="Calibri" w:hAnsi="Verdana" w:cs="Arial"/>
          <w:sz w:val="16"/>
          <w:szCs w:val="16"/>
          <w:lang w:val="es-ES" w:eastAsia="en-US"/>
        </w:rPr>
        <w:t>o civil del ex empleado público”</w:t>
      </w:r>
      <w:r w:rsidRPr="00E34BBF">
        <w:rPr>
          <w:rFonts w:ascii="Verdana" w:eastAsia="Calibri" w:hAnsi="Verdana" w:cs="Arial"/>
          <w:sz w:val="16"/>
          <w:szCs w:val="16"/>
          <w:lang w:val="es-ES" w:eastAsia="en-US"/>
        </w:rPr>
        <w:t xml:space="preserve">. </w:t>
      </w:r>
      <w:r w:rsidRPr="00E34BBF">
        <w:rPr>
          <w:rFonts w:ascii="Verdana" w:eastAsia="Calibri" w:hAnsi="Verdana" w:cs="Arial"/>
          <w:sz w:val="16"/>
          <w:szCs w:val="16"/>
          <w:lang w:val="pt-BR" w:eastAsia="en-US"/>
        </w:rPr>
        <w:t xml:space="preserve">(…). </w:t>
      </w:r>
    </w:p>
    <w:p w14:paraId="7F684C9A" w14:textId="77777777" w:rsidR="003058C5" w:rsidRPr="0045272C" w:rsidRDefault="003058C5" w:rsidP="003058C5">
      <w:pPr>
        <w:pStyle w:val="NormalWeb"/>
        <w:spacing w:before="0" w:beforeAutospacing="0" w:after="0" w:afterAutospacing="0"/>
        <w:ind w:firstLine="708"/>
        <w:jc w:val="both"/>
        <w:rPr>
          <w:rFonts w:ascii="Verdana" w:eastAsia="Calibri" w:hAnsi="Verdana" w:cs="Arial"/>
          <w:sz w:val="16"/>
          <w:szCs w:val="16"/>
          <w:lang w:val="pt-BR" w:eastAsia="en-US"/>
        </w:rPr>
      </w:pPr>
    </w:p>
  </w:footnote>
  <w:footnote w:id="8">
    <w:p w14:paraId="5F4FA70B" w14:textId="77777777" w:rsidR="003058C5" w:rsidRPr="00E34BBF" w:rsidRDefault="003058C5" w:rsidP="003058C5">
      <w:pPr>
        <w:pStyle w:val="Textonotapie"/>
        <w:ind w:firstLine="708"/>
        <w:jc w:val="both"/>
        <w:rPr>
          <w:rFonts w:ascii="Verdana" w:hAnsi="Verdana"/>
          <w:sz w:val="16"/>
          <w:szCs w:val="16"/>
          <w:lang w:val="pt-BR"/>
        </w:rPr>
      </w:pPr>
      <w:r w:rsidRPr="00E34BBF">
        <w:rPr>
          <w:rStyle w:val="Refdenotaalpie"/>
          <w:rFonts w:ascii="Verdana" w:hAnsi="Verdana"/>
          <w:sz w:val="16"/>
          <w:szCs w:val="16"/>
        </w:rPr>
        <w:footnoteRef/>
      </w:r>
      <w:r w:rsidRPr="00E34BBF">
        <w:rPr>
          <w:rFonts w:ascii="Verdana" w:hAnsi="Verdana"/>
          <w:sz w:val="16"/>
          <w:szCs w:val="16"/>
          <w:lang w:val="pt-BR"/>
        </w:rPr>
        <w:t xml:space="preserve"> </w:t>
      </w:r>
      <w:r w:rsidRPr="00E34BBF">
        <w:rPr>
          <w:rFonts w:ascii="Verdana" w:hAnsi="Verdana" w:cs="Arial"/>
          <w:sz w:val="16"/>
          <w:szCs w:val="16"/>
          <w:lang w:val="pt-BR"/>
        </w:rPr>
        <w:t>Ibídem. p. 69.</w:t>
      </w:r>
    </w:p>
  </w:footnote>
  <w:footnote w:id="9">
    <w:p w14:paraId="0DC8333B" w14:textId="77777777" w:rsidR="003058C5" w:rsidRDefault="003058C5" w:rsidP="003058C5">
      <w:pPr>
        <w:pStyle w:val="Textonotapie"/>
        <w:ind w:firstLine="708"/>
        <w:jc w:val="both"/>
        <w:rPr>
          <w:rFonts w:ascii="Verdana" w:hAnsi="Verdana" w:cs="Arial"/>
          <w:sz w:val="16"/>
          <w:szCs w:val="16"/>
          <w:lang w:val="es-ES"/>
        </w:rPr>
      </w:pPr>
      <w:r w:rsidRPr="00E34BBF">
        <w:rPr>
          <w:rStyle w:val="Refdenotaalpie"/>
          <w:rFonts w:ascii="Verdana" w:hAnsi="Verdana"/>
          <w:sz w:val="16"/>
          <w:szCs w:val="16"/>
        </w:rPr>
        <w:footnoteRef/>
      </w:r>
      <w:r w:rsidRPr="00E34BBF">
        <w:rPr>
          <w:rFonts w:ascii="Verdana" w:hAnsi="Verdana"/>
          <w:sz w:val="16"/>
          <w:szCs w:val="16"/>
          <w:lang w:val="pt-BR"/>
        </w:rPr>
        <w:t xml:space="preserve"> </w:t>
      </w:r>
      <w:r w:rsidRPr="00E34BBF">
        <w:rPr>
          <w:rFonts w:ascii="Verdana" w:hAnsi="Verdana" w:cs="Arial"/>
          <w:sz w:val="16"/>
          <w:szCs w:val="16"/>
          <w:lang w:val="pt-BR"/>
        </w:rPr>
        <w:t xml:space="preserve">Corte Constitucional. Sentencia T-1039 de 2006. M.P. Humberto Sierra Porto. </w:t>
      </w:r>
      <w:r w:rsidRPr="00E34BBF">
        <w:rPr>
          <w:rFonts w:ascii="Verdana" w:hAnsi="Verdana" w:cs="Arial"/>
          <w:sz w:val="16"/>
          <w:szCs w:val="16"/>
          <w:lang w:val="es-ES"/>
        </w:rPr>
        <w:t xml:space="preserve">La Corte Constitucional ha mantenido este criterio en las sentencias: C-903 de 2008. M.P. Jaime Araujo Rentería; C-101 de 2018. M.P. Gloria Stella Ortiz Delgado; entre otras. </w:t>
      </w:r>
    </w:p>
    <w:p w14:paraId="546216EE" w14:textId="77777777" w:rsidR="003058C5" w:rsidRPr="00E34BBF" w:rsidRDefault="003058C5" w:rsidP="003058C5">
      <w:pPr>
        <w:pStyle w:val="Textonotapie"/>
        <w:ind w:firstLine="708"/>
        <w:jc w:val="both"/>
        <w:rPr>
          <w:rFonts w:ascii="Verdana" w:hAnsi="Verdana" w:cs="Arial"/>
          <w:sz w:val="16"/>
          <w:szCs w:val="16"/>
          <w:lang w:val="es-ES"/>
        </w:rPr>
      </w:pPr>
    </w:p>
  </w:footnote>
  <w:footnote w:id="10">
    <w:p w14:paraId="521680A7" w14:textId="77777777" w:rsidR="003058C5" w:rsidRPr="0045272C" w:rsidRDefault="003058C5" w:rsidP="003058C5">
      <w:pPr>
        <w:pStyle w:val="Textonotapie"/>
        <w:ind w:firstLine="708"/>
        <w:jc w:val="both"/>
        <w:rPr>
          <w:rFonts w:ascii="Verdana" w:hAnsi="Verdana" w:cs="Arial"/>
          <w:sz w:val="16"/>
          <w:szCs w:val="16"/>
          <w:lang w:val="es-ES"/>
        </w:rPr>
      </w:pPr>
      <w:r w:rsidRPr="00E34BBF">
        <w:rPr>
          <w:rStyle w:val="Refdenotaalpie"/>
          <w:rFonts w:ascii="Verdana" w:hAnsi="Verdana"/>
          <w:sz w:val="16"/>
          <w:szCs w:val="16"/>
        </w:rPr>
        <w:footnoteRef/>
      </w:r>
      <w:r w:rsidRPr="00E34BBF">
        <w:rPr>
          <w:rFonts w:ascii="Verdana" w:hAnsi="Verdana"/>
          <w:sz w:val="16"/>
          <w:szCs w:val="16"/>
        </w:rPr>
        <w:t xml:space="preserve"> </w:t>
      </w:r>
      <w:r>
        <w:rPr>
          <w:rFonts w:ascii="Verdana" w:hAnsi="Verdana" w:cs="Arial"/>
          <w:sz w:val="16"/>
          <w:szCs w:val="16"/>
          <w:lang w:val="es-ES"/>
        </w:rPr>
        <w:t>Consejo d</w:t>
      </w:r>
      <w:r w:rsidRPr="00E34BBF">
        <w:rPr>
          <w:rFonts w:ascii="Verdana" w:hAnsi="Verdana" w:cs="Arial"/>
          <w:sz w:val="16"/>
          <w:szCs w:val="16"/>
          <w:lang w:val="es-ES"/>
        </w:rPr>
        <w:t>e Estado. Sala de Consulta y Servicio Civil. Concepto del 30 de abril de 2015. Exp. 2251. C.P. Álvaro Namén Vargas.</w:t>
      </w:r>
    </w:p>
  </w:footnote>
  <w:footnote w:id="11">
    <w:p w14:paraId="4452587D" w14:textId="77777777" w:rsidR="003058C5" w:rsidRPr="0045272C" w:rsidRDefault="003058C5" w:rsidP="003058C5">
      <w:pPr>
        <w:pStyle w:val="Textonotapie"/>
        <w:ind w:firstLine="708"/>
        <w:jc w:val="both"/>
        <w:rPr>
          <w:rFonts w:ascii="Verdana" w:hAnsi="Verdana" w:cs="Arial"/>
          <w:sz w:val="16"/>
          <w:szCs w:val="16"/>
        </w:rPr>
      </w:pPr>
      <w:r w:rsidRPr="00E34BBF">
        <w:rPr>
          <w:rStyle w:val="Refdenotaalpie"/>
          <w:rFonts w:ascii="Verdana" w:hAnsi="Verdana"/>
          <w:sz w:val="16"/>
          <w:szCs w:val="16"/>
        </w:rPr>
        <w:footnoteRef/>
      </w:r>
      <w:r w:rsidRPr="00E34BBF">
        <w:rPr>
          <w:rFonts w:ascii="Verdana" w:hAnsi="Verdana"/>
          <w:sz w:val="16"/>
          <w:szCs w:val="16"/>
        </w:rPr>
        <w:t xml:space="preserve"> </w:t>
      </w:r>
      <w:r>
        <w:rPr>
          <w:rFonts w:ascii="Verdana" w:hAnsi="Verdana" w:cs="Arial"/>
          <w:sz w:val="16"/>
          <w:szCs w:val="16"/>
        </w:rPr>
        <w:t>Consejo d</w:t>
      </w:r>
      <w:r w:rsidRPr="00E34BBF">
        <w:rPr>
          <w:rFonts w:ascii="Verdana" w:hAnsi="Verdana" w:cs="Arial"/>
          <w:sz w:val="16"/>
          <w:szCs w:val="16"/>
        </w:rPr>
        <w:t>e Estado. Sección Tercera. Subsección A. Sentencia del 24 de junio de 2015. Exp. 40.635. C.P. Hernán Andrade Rincón (E).</w:t>
      </w:r>
    </w:p>
  </w:footnote>
  <w:footnote w:id="12">
    <w:p w14:paraId="26199ABD" w14:textId="77777777" w:rsidR="003058C5" w:rsidRPr="00E34BBF" w:rsidRDefault="003058C5" w:rsidP="003058C5">
      <w:pPr>
        <w:pStyle w:val="Textonotapie"/>
        <w:ind w:firstLine="708"/>
        <w:jc w:val="both"/>
        <w:rPr>
          <w:rFonts w:ascii="Verdana" w:hAnsi="Verdana"/>
          <w:sz w:val="16"/>
          <w:szCs w:val="16"/>
          <w:lang w:val="es-ES_tradnl"/>
        </w:rPr>
      </w:pPr>
      <w:r w:rsidRPr="00E34BBF">
        <w:rPr>
          <w:rStyle w:val="Refdenotaalpie"/>
          <w:rFonts w:ascii="Verdana" w:hAnsi="Verdana"/>
          <w:sz w:val="16"/>
          <w:szCs w:val="16"/>
        </w:rPr>
        <w:footnoteRef/>
      </w:r>
      <w:r w:rsidRPr="00E34BBF">
        <w:rPr>
          <w:rFonts w:ascii="Verdana" w:hAnsi="Verdana"/>
          <w:sz w:val="16"/>
          <w:szCs w:val="16"/>
        </w:rPr>
        <w:t xml:space="preserve"> </w:t>
      </w:r>
      <w:r>
        <w:rPr>
          <w:rFonts w:ascii="Verdana" w:hAnsi="Verdana" w:cs="Arial"/>
          <w:sz w:val="16"/>
          <w:szCs w:val="16"/>
        </w:rPr>
        <w:t>Consejo d</w:t>
      </w:r>
      <w:r w:rsidRPr="00E34BBF">
        <w:rPr>
          <w:rFonts w:ascii="Verdana" w:hAnsi="Verdana" w:cs="Arial"/>
          <w:sz w:val="16"/>
          <w:szCs w:val="16"/>
        </w:rPr>
        <w:t>e Estado. Sección Tercera. Subsección C. Sentencia del 22 de mayo de 2013. Rad. 24.057. C.P. Olga Mélida Valle De De La Hoz.</w:t>
      </w:r>
    </w:p>
  </w:footnote>
  <w:footnote w:id="13">
    <w:p w14:paraId="3F520AA5" w14:textId="77777777" w:rsidR="003058C5" w:rsidRPr="00B35C2C" w:rsidRDefault="003058C5" w:rsidP="003058C5">
      <w:pPr>
        <w:pStyle w:val="Textonotapie"/>
        <w:ind w:firstLine="708"/>
        <w:jc w:val="both"/>
        <w:rPr>
          <w:rFonts w:ascii="Verdana" w:hAnsi="Verdana" w:cs="Arial"/>
          <w:sz w:val="16"/>
          <w:szCs w:val="16"/>
          <w:lang w:val="es-CO"/>
        </w:rPr>
      </w:pPr>
      <w:r w:rsidRPr="00E34BBF">
        <w:rPr>
          <w:rStyle w:val="Refdenotaalpie"/>
          <w:rFonts w:ascii="Verdana" w:hAnsi="Verdana"/>
          <w:sz w:val="16"/>
          <w:szCs w:val="16"/>
        </w:rPr>
        <w:footnoteRef/>
      </w:r>
      <w:r w:rsidRPr="00E34BBF">
        <w:rPr>
          <w:rFonts w:ascii="Verdana" w:hAnsi="Verdana"/>
          <w:sz w:val="16"/>
          <w:szCs w:val="16"/>
          <w:lang w:val="pt-BR"/>
        </w:rPr>
        <w:t xml:space="preserve"> </w:t>
      </w:r>
      <w:r w:rsidRPr="00E34BBF">
        <w:rPr>
          <w:rFonts w:ascii="Verdana" w:hAnsi="Verdana" w:cs="Arial"/>
          <w:sz w:val="16"/>
          <w:szCs w:val="16"/>
          <w:lang w:val="pt-BR"/>
        </w:rPr>
        <w:t xml:space="preserve">Corte Constitucional. Sentencia C-415 de 1994. </w:t>
      </w:r>
      <w:r w:rsidRPr="00B35C2C">
        <w:rPr>
          <w:rFonts w:ascii="Verdana" w:hAnsi="Verdana" w:cs="Arial"/>
          <w:sz w:val="16"/>
          <w:szCs w:val="16"/>
          <w:lang w:val="es-CO"/>
        </w:rPr>
        <w:t>M.P. Eduardo Cifuentes Muñoz.</w:t>
      </w:r>
    </w:p>
  </w:footnote>
  <w:footnote w:id="14">
    <w:p w14:paraId="496F2871" w14:textId="77777777" w:rsidR="003058C5" w:rsidRPr="0045272C" w:rsidRDefault="003058C5" w:rsidP="003058C5">
      <w:pPr>
        <w:pStyle w:val="Textonotapie"/>
        <w:ind w:firstLine="708"/>
        <w:jc w:val="both"/>
        <w:rPr>
          <w:rFonts w:ascii="Verdana" w:hAnsi="Verdana" w:cs="Arial"/>
          <w:color w:val="000000"/>
          <w:sz w:val="16"/>
          <w:szCs w:val="16"/>
        </w:rPr>
      </w:pPr>
      <w:r w:rsidRPr="00E34BBF">
        <w:rPr>
          <w:rStyle w:val="Refdenotaalpie"/>
          <w:rFonts w:ascii="Verdana" w:hAnsi="Verdana"/>
          <w:sz w:val="16"/>
          <w:szCs w:val="16"/>
        </w:rPr>
        <w:footnoteRef/>
      </w:r>
      <w:r w:rsidRPr="00B35C2C">
        <w:rPr>
          <w:rFonts w:ascii="Verdana" w:hAnsi="Verdana"/>
          <w:sz w:val="16"/>
          <w:szCs w:val="16"/>
          <w:lang w:val="es-CO"/>
        </w:rPr>
        <w:t xml:space="preserve"> </w:t>
      </w:r>
      <w:r w:rsidRPr="00B35C2C">
        <w:rPr>
          <w:rFonts w:ascii="Verdana" w:hAnsi="Verdana" w:cs="Arial"/>
          <w:color w:val="000000"/>
          <w:sz w:val="16"/>
          <w:szCs w:val="16"/>
          <w:lang w:val="es-CO"/>
        </w:rPr>
        <w:t xml:space="preserve">Consejo de Estado. Sección Tercera. Subsección B. Sentencia del 12 de diciembre de 2014. Exp. 26496. C.P. Ramiro Pazos Guerrero. </w:t>
      </w:r>
      <w:r w:rsidRPr="00E34BBF">
        <w:rPr>
          <w:rFonts w:ascii="Verdana" w:hAnsi="Verdana" w:cs="Arial"/>
          <w:color w:val="000000"/>
          <w:sz w:val="16"/>
          <w:szCs w:val="16"/>
        </w:rPr>
        <w:t>En similar sentido, la doctrina expresa que: “[…] las causales de inhabilidad e incompatibilidad resultan ser las que la ley de manera expresa señala, no siendo factible para las entidades estatales, crearlas en los pliegos de condiciones que elaboran (DAVILA VINUEZA, Luis Guillermo Régimen jurídico de la contratación estatal: aproximación crítica a Ley 80 de 1993. 3ª ed. Bogotá: Legis, 2016. p. 149.</w:t>
      </w:r>
    </w:p>
  </w:footnote>
  <w:footnote w:id="15">
    <w:p w14:paraId="486F6259" w14:textId="77777777" w:rsidR="003058C5" w:rsidRPr="00E34BBF" w:rsidRDefault="003058C5" w:rsidP="003058C5">
      <w:pPr>
        <w:pStyle w:val="Textonotapie"/>
        <w:ind w:firstLine="708"/>
        <w:jc w:val="both"/>
        <w:rPr>
          <w:rFonts w:ascii="Verdana" w:hAnsi="Verdana"/>
          <w:sz w:val="16"/>
          <w:szCs w:val="16"/>
          <w:lang w:val="es-ES_tradnl"/>
        </w:rPr>
      </w:pPr>
      <w:r w:rsidRPr="00E34BBF">
        <w:rPr>
          <w:rStyle w:val="Refdenotaalpie"/>
          <w:rFonts w:ascii="Verdana" w:hAnsi="Verdana"/>
          <w:sz w:val="16"/>
          <w:szCs w:val="16"/>
        </w:rPr>
        <w:footnoteRef/>
      </w:r>
      <w:r w:rsidRPr="00E34BBF">
        <w:rPr>
          <w:rFonts w:ascii="Verdana" w:hAnsi="Verdana"/>
          <w:sz w:val="16"/>
          <w:szCs w:val="16"/>
        </w:rPr>
        <w:t xml:space="preserve"> </w:t>
      </w:r>
      <w:r>
        <w:rPr>
          <w:rFonts w:ascii="Verdana" w:hAnsi="Verdana" w:cs="Arial"/>
          <w:color w:val="000000"/>
          <w:sz w:val="16"/>
          <w:szCs w:val="16"/>
        </w:rPr>
        <w:t>Consejo d</w:t>
      </w:r>
      <w:r w:rsidRPr="00E34BBF">
        <w:rPr>
          <w:rFonts w:ascii="Verdana" w:hAnsi="Verdana" w:cs="Arial"/>
          <w:color w:val="000000"/>
          <w:sz w:val="16"/>
          <w:szCs w:val="16"/>
        </w:rPr>
        <w:t>e Estado. Sala de Consulta y Servicio Civil. Concepto del 29 de abril de 1998. Rad. 1097. C.P. Augusto Trejos Jaramillo.</w:t>
      </w:r>
    </w:p>
  </w:footnote>
  <w:footnote w:id="16">
    <w:p w14:paraId="741CCE5D" w14:textId="77777777" w:rsidR="003058C5" w:rsidRPr="00206286" w:rsidRDefault="003058C5" w:rsidP="003058C5">
      <w:pPr>
        <w:pStyle w:val="Textonotapie"/>
        <w:ind w:firstLine="708"/>
        <w:jc w:val="both"/>
        <w:rPr>
          <w:rFonts w:ascii="Verdana" w:hAnsi="Verdana"/>
          <w:bCs/>
          <w:iCs/>
          <w:sz w:val="16"/>
          <w:szCs w:val="16"/>
          <w:lang w:val="es-CO"/>
        </w:rPr>
      </w:pPr>
      <w:r w:rsidRPr="00206286">
        <w:rPr>
          <w:rStyle w:val="Refdenotaalpie"/>
          <w:rFonts w:ascii="Verdana" w:hAnsi="Verdana"/>
          <w:sz w:val="16"/>
          <w:szCs w:val="16"/>
        </w:rPr>
        <w:footnoteRef/>
      </w:r>
      <w:r w:rsidRPr="00206286">
        <w:rPr>
          <w:rFonts w:ascii="Verdana" w:hAnsi="Verdana"/>
          <w:sz w:val="16"/>
          <w:szCs w:val="16"/>
        </w:rPr>
        <w:t xml:space="preserve"> </w:t>
      </w:r>
      <w:r w:rsidRPr="00206286">
        <w:rPr>
          <w:rFonts w:ascii="Verdana" w:hAnsi="Verdana"/>
          <w:sz w:val="16"/>
          <w:szCs w:val="16"/>
          <w:lang w:val="es-ES_tradnl"/>
        </w:rPr>
        <w:t xml:space="preserve">En referencia al registro de exclusiones </w:t>
      </w:r>
      <w:r w:rsidRPr="00206286">
        <w:rPr>
          <w:rFonts w:ascii="Verdana" w:hAnsi="Verdana"/>
          <w:bCs/>
          <w:iCs/>
          <w:sz w:val="16"/>
          <w:szCs w:val="16"/>
          <w:lang w:val="es-CO"/>
        </w:rPr>
        <w:t xml:space="preserve">en el sistema de información del boletín de responsables fiscales (Sibor), el artículo 6 de la Resolución 074 del 2026 de la Contraloría General de la República, dispone: </w:t>
      </w:r>
    </w:p>
    <w:p w14:paraId="1025C46B" w14:textId="77777777" w:rsidR="003058C5" w:rsidRPr="00206286" w:rsidRDefault="003058C5" w:rsidP="003058C5">
      <w:pPr>
        <w:pStyle w:val="Textonotapie"/>
        <w:ind w:firstLine="708"/>
        <w:jc w:val="both"/>
        <w:rPr>
          <w:rFonts w:ascii="Verdana" w:hAnsi="Verdana"/>
          <w:sz w:val="16"/>
          <w:szCs w:val="16"/>
          <w:lang w:val="es-CO"/>
        </w:rPr>
      </w:pPr>
      <w:r w:rsidRPr="00206286">
        <w:rPr>
          <w:rFonts w:ascii="Verdana" w:hAnsi="Verdana"/>
          <w:bCs/>
          <w:sz w:val="16"/>
          <w:szCs w:val="16"/>
          <w:lang w:val="es-CO"/>
        </w:rPr>
        <w:t>Artículo</w:t>
      </w:r>
      <w:r w:rsidRPr="00206286">
        <w:rPr>
          <w:rFonts w:ascii="Verdana" w:hAnsi="Verdana"/>
          <w:sz w:val="16"/>
          <w:szCs w:val="16"/>
          <w:lang w:val="es-CO"/>
        </w:rPr>
        <w:t> </w:t>
      </w:r>
      <w:r w:rsidRPr="00206286">
        <w:rPr>
          <w:rFonts w:ascii="Verdana" w:hAnsi="Verdana"/>
          <w:bCs/>
          <w:sz w:val="16"/>
          <w:szCs w:val="16"/>
          <w:lang w:val="es-CO"/>
        </w:rPr>
        <w:t>6°. </w:t>
      </w:r>
      <w:r w:rsidRPr="00206286">
        <w:rPr>
          <w:rFonts w:ascii="Verdana" w:hAnsi="Verdana"/>
          <w:bCs/>
          <w:i/>
          <w:iCs/>
          <w:sz w:val="16"/>
          <w:szCs w:val="16"/>
          <w:lang w:val="es-CO"/>
        </w:rPr>
        <w:t>Registro de exclusiones en el sistema de información del boletín de responsables fiscales (Sibor).</w:t>
      </w:r>
      <w:r w:rsidRPr="00206286">
        <w:rPr>
          <w:rFonts w:ascii="Verdana" w:hAnsi="Verdana"/>
          <w:sz w:val="16"/>
          <w:szCs w:val="16"/>
          <w:lang w:val="es-CO"/>
        </w:rPr>
        <w:t> Los funcionarios competentes solicitarán la exclusión de las personas naturales o jurídicas que se encuentran reportadas en el Sibor, cuando se encuentre debidamente acreditada alguna de las siguientes causales:</w:t>
      </w:r>
    </w:p>
    <w:p w14:paraId="13ECEF73" w14:textId="77777777" w:rsidR="003058C5" w:rsidRPr="00206286" w:rsidRDefault="003058C5" w:rsidP="003058C5">
      <w:pPr>
        <w:pStyle w:val="Textonotapie"/>
        <w:ind w:firstLine="708"/>
        <w:jc w:val="both"/>
        <w:rPr>
          <w:rFonts w:ascii="Verdana" w:hAnsi="Verdana"/>
          <w:sz w:val="16"/>
          <w:szCs w:val="16"/>
          <w:lang w:val="es-CO"/>
        </w:rPr>
      </w:pPr>
      <w:r w:rsidRPr="00206286">
        <w:rPr>
          <w:rFonts w:ascii="Verdana" w:hAnsi="Verdana"/>
          <w:sz w:val="16"/>
          <w:szCs w:val="16"/>
          <w:lang w:val="es-CO"/>
        </w:rPr>
        <w:t>1. Pago total de las obligaciones.</w:t>
      </w:r>
    </w:p>
    <w:p w14:paraId="03AAD98F" w14:textId="77777777" w:rsidR="003058C5" w:rsidRPr="00206286" w:rsidRDefault="003058C5" w:rsidP="003058C5">
      <w:pPr>
        <w:pStyle w:val="Textonotapie"/>
        <w:ind w:firstLine="708"/>
        <w:jc w:val="both"/>
        <w:rPr>
          <w:rFonts w:ascii="Verdana" w:hAnsi="Verdana"/>
          <w:sz w:val="16"/>
          <w:szCs w:val="16"/>
          <w:lang w:val="es-CO"/>
        </w:rPr>
      </w:pPr>
      <w:r w:rsidRPr="00206286">
        <w:rPr>
          <w:rFonts w:ascii="Verdana" w:hAnsi="Verdana"/>
          <w:sz w:val="16"/>
          <w:szCs w:val="16"/>
          <w:lang w:val="es-CO"/>
        </w:rPr>
        <w:t>2. Por orden judicial debidamente ejecutoriada.</w:t>
      </w:r>
    </w:p>
    <w:p w14:paraId="4C690110" w14:textId="77777777" w:rsidR="003058C5" w:rsidRPr="00206286" w:rsidRDefault="003058C5" w:rsidP="003058C5">
      <w:pPr>
        <w:pStyle w:val="Textonotapie"/>
        <w:ind w:firstLine="708"/>
        <w:jc w:val="both"/>
        <w:rPr>
          <w:rFonts w:ascii="Verdana" w:hAnsi="Verdana"/>
          <w:sz w:val="16"/>
          <w:szCs w:val="16"/>
          <w:lang w:val="es-CO"/>
        </w:rPr>
      </w:pPr>
      <w:r w:rsidRPr="00206286">
        <w:rPr>
          <w:rFonts w:ascii="Verdana" w:hAnsi="Verdana"/>
          <w:sz w:val="16"/>
          <w:szCs w:val="16"/>
          <w:lang w:val="es-CO"/>
        </w:rPr>
        <w:t>3. Pérdida de fuerza ejecutoria del fallo con responsabilidad fiscal.</w:t>
      </w:r>
    </w:p>
    <w:p w14:paraId="735AB2E7" w14:textId="77777777" w:rsidR="003058C5" w:rsidRPr="00206286" w:rsidRDefault="003058C5" w:rsidP="003058C5">
      <w:pPr>
        <w:pStyle w:val="Textonotapie"/>
        <w:ind w:firstLine="708"/>
        <w:jc w:val="both"/>
        <w:rPr>
          <w:rFonts w:ascii="Verdana" w:hAnsi="Verdana"/>
          <w:sz w:val="16"/>
          <w:szCs w:val="16"/>
          <w:lang w:val="es-CO"/>
        </w:rPr>
      </w:pPr>
      <w:r w:rsidRPr="00206286">
        <w:rPr>
          <w:rFonts w:ascii="Verdana" w:hAnsi="Verdana"/>
          <w:sz w:val="16"/>
          <w:szCs w:val="16"/>
          <w:lang w:val="es-CO"/>
        </w:rPr>
        <w:t>4. Prescripción de la acción de cobro.</w:t>
      </w:r>
    </w:p>
    <w:p w14:paraId="798E3DED" w14:textId="77777777" w:rsidR="003058C5" w:rsidRPr="00206286" w:rsidRDefault="003058C5" w:rsidP="003058C5">
      <w:pPr>
        <w:pStyle w:val="Textonotapie"/>
        <w:ind w:firstLine="708"/>
        <w:jc w:val="both"/>
        <w:rPr>
          <w:rFonts w:ascii="Verdana" w:hAnsi="Verdana"/>
          <w:sz w:val="16"/>
          <w:szCs w:val="16"/>
          <w:lang w:val="es-CO"/>
        </w:rPr>
      </w:pPr>
      <w:r w:rsidRPr="00206286">
        <w:rPr>
          <w:rFonts w:ascii="Verdana" w:hAnsi="Verdana"/>
          <w:sz w:val="16"/>
          <w:szCs w:val="16"/>
          <w:lang w:val="es-CO"/>
        </w:rPr>
        <w:t>5. Revocatoria directa del fallo con responsabilidad fiscal.</w:t>
      </w:r>
    </w:p>
    <w:p w14:paraId="60EAB098" w14:textId="77777777" w:rsidR="003058C5" w:rsidRPr="00206286" w:rsidRDefault="003058C5" w:rsidP="003058C5">
      <w:pPr>
        <w:pStyle w:val="Textonotapie"/>
        <w:ind w:firstLine="708"/>
        <w:jc w:val="both"/>
        <w:rPr>
          <w:rFonts w:ascii="Verdana" w:hAnsi="Verdana"/>
          <w:sz w:val="16"/>
          <w:szCs w:val="16"/>
          <w:lang w:val="es-CO"/>
        </w:rPr>
      </w:pPr>
      <w:r w:rsidRPr="00206286">
        <w:rPr>
          <w:rFonts w:ascii="Verdana" w:hAnsi="Verdana"/>
          <w:sz w:val="16"/>
          <w:szCs w:val="16"/>
          <w:lang w:val="es-CO"/>
        </w:rPr>
        <w:t>La aplicación de la causal señalada en el numeral 4, respecto de la Contraloría General de la República, estará sujeta a su posición jurídica institucional.</w:t>
      </w:r>
    </w:p>
  </w:footnote>
  <w:footnote w:id="17">
    <w:p w14:paraId="2685AF08" w14:textId="77777777" w:rsidR="003058C5" w:rsidRPr="00206286" w:rsidRDefault="003058C5" w:rsidP="003058C5">
      <w:pPr>
        <w:pStyle w:val="Textonotapie"/>
        <w:ind w:firstLine="708"/>
        <w:jc w:val="both"/>
        <w:rPr>
          <w:rFonts w:ascii="Verdana" w:hAnsi="Verdana"/>
          <w:sz w:val="16"/>
          <w:szCs w:val="16"/>
          <w:lang w:val="es-CO"/>
        </w:rPr>
      </w:pPr>
      <w:r w:rsidRPr="00206286">
        <w:rPr>
          <w:rStyle w:val="Refdenotaalpie"/>
          <w:rFonts w:ascii="Verdana" w:hAnsi="Verdana"/>
          <w:sz w:val="16"/>
          <w:szCs w:val="16"/>
        </w:rPr>
        <w:footnoteRef/>
      </w:r>
      <w:r w:rsidRPr="00206286">
        <w:rPr>
          <w:rFonts w:ascii="Verdana" w:hAnsi="Verdana"/>
          <w:sz w:val="16"/>
          <w:szCs w:val="16"/>
        </w:rPr>
        <w:t xml:space="preserve"> </w:t>
      </w:r>
      <w:r w:rsidRPr="00206286">
        <w:rPr>
          <w:rFonts w:ascii="Verdana" w:hAnsi="Verdana"/>
          <w:sz w:val="16"/>
          <w:szCs w:val="16"/>
          <w:lang w:val="es-CO"/>
        </w:rPr>
        <w:t>Consejo de Estado, Sala de Consulta y Servicio Civil, concepto del 24 de abril de 2012, radicado interno 2099.</w:t>
      </w:r>
    </w:p>
  </w:footnote>
  <w:footnote w:id="18">
    <w:p w14:paraId="71988A63" w14:textId="77777777" w:rsidR="003058C5" w:rsidRPr="005366FC" w:rsidRDefault="003058C5" w:rsidP="003058C5">
      <w:pPr>
        <w:pStyle w:val="Textonotapie"/>
        <w:ind w:firstLine="708"/>
        <w:jc w:val="both"/>
        <w:rPr>
          <w:rFonts w:ascii="Verdana" w:hAnsi="Verdana"/>
          <w:sz w:val="16"/>
          <w:szCs w:val="16"/>
          <w:lang w:val="es-ES_tradnl"/>
        </w:rPr>
      </w:pPr>
      <w:r w:rsidRPr="005366FC">
        <w:rPr>
          <w:rStyle w:val="Refdenotaalpie"/>
          <w:rFonts w:ascii="Verdana" w:hAnsi="Verdana"/>
          <w:sz w:val="16"/>
          <w:szCs w:val="16"/>
        </w:rPr>
        <w:footnoteRef/>
      </w:r>
      <w:r w:rsidRPr="00090B08">
        <w:rPr>
          <w:rFonts w:ascii="Verdana" w:hAnsi="Verdana"/>
          <w:sz w:val="16"/>
          <w:szCs w:val="16"/>
          <w:lang w:val="es-CO"/>
        </w:rPr>
        <w:t xml:space="preserve"> RAMÍREZ </w:t>
      </w:r>
      <w:r w:rsidRPr="005366FC">
        <w:rPr>
          <w:rFonts w:ascii="Verdana" w:hAnsi="Verdana"/>
          <w:sz w:val="16"/>
          <w:szCs w:val="16"/>
          <w:lang w:val="es-ES_tradnl"/>
        </w:rPr>
        <w:t>GRISALES, Richard Steve. La cesión.</w:t>
      </w:r>
      <w:r>
        <w:rPr>
          <w:rFonts w:ascii="Verdana" w:hAnsi="Verdana"/>
          <w:sz w:val="16"/>
          <w:szCs w:val="16"/>
          <w:lang w:val="es-ES_tradnl"/>
        </w:rPr>
        <w:t xml:space="preserve"> Medellín: Librería Jurídica Sánchez R LTDA – Centro de Estudios de Derecho Administrativo, 2014.</w:t>
      </w:r>
      <w:r w:rsidRPr="005366FC">
        <w:rPr>
          <w:rFonts w:ascii="Verdana" w:hAnsi="Verdana"/>
          <w:sz w:val="16"/>
          <w:szCs w:val="16"/>
          <w:lang w:val="es-ES_tradnl"/>
        </w:rPr>
        <w:t xml:space="preserve"> p. 36.</w:t>
      </w:r>
    </w:p>
  </w:footnote>
  <w:footnote w:id="19">
    <w:p w14:paraId="0401F8EC" w14:textId="77777777" w:rsidR="003058C5" w:rsidRPr="0063634F" w:rsidRDefault="003058C5" w:rsidP="003058C5">
      <w:pPr>
        <w:pStyle w:val="Textonotapie"/>
        <w:ind w:firstLine="708"/>
        <w:jc w:val="both"/>
        <w:rPr>
          <w:rFonts w:ascii="Verdana" w:hAnsi="Verdana"/>
          <w:sz w:val="16"/>
          <w:szCs w:val="16"/>
        </w:rPr>
      </w:pPr>
      <w:r w:rsidRPr="0063634F">
        <w:rPr>
          <w:rStyle w:val="Refdenotaalpie"/>
          <w:rFonts w:ascii="Verdana" w:hAnsi="Verdana"/>
          <w:sz w:val="16"/>
          <w:szCs w:val="16"/>
        </w:rPr>
        <w:footnoteRef/>
      </w:r>
      <w:r w:rsidRPr="0063634F">
        <w:rPr>
          <w:rFonts w:ascii="Verdana" w:hAnsi="Verdana"/>
          <w:sz w:val="16"/>
          <w:szCs w:val="16"/>
        </w:rPr>
        <w:t xml:space="preserve"> </w:t>
      </w:r>
      <w:r w:rsidRPr="0063634F">
        <w:rPr>
          <w:rFonts w:ascii="Verdana" w:hAnsi="Verdana"/>
          <w:sz w:val="16"/>
          <w:szCs w:val="16"/>
          <w:lang w:val="es-ES"/>
        </w:rPr>
        <w:t>DAVILA VINUEZA, Luis Guillermo Régimen jurídico de la contratación estatal: aproximación crítica a Ley 80 de 1993. 3ª ed. Bogotá: Legis</w:t>
      </w:r>
      <w:r>
        <w:rPr>
          <w:rFonts w:ascii="Verdana" w:hAnsi="Verdana"/>
          <w:sz w:val="16"/>
          <w:szCs w:val="16"/>
          <w:lang w:val="es-ES"/>
        </w:rPr>
        <w:t xml:space="preserve">, 2016, pp. 162-163. </w:t>
      </w:r>
    </w:p>
  </w:footnote>
  <w:footnote w:id="20">
    <w:p w14:paraId="5AB71A13" w14:textId="77777777" w:rsidR="003058C5" w:rsidRDefault="003058C5" w:rsidP="003058C5">
      <w:pPr>
        <w:pStyle w:val="Textonotapie"/>
        <w:ind w:firstLine="708"/>
        <w:jc w:val="both"/>
        <w:rPr>
          <w:rFonts w:ascii="Verdana" w:hAnsi="Verdana"/>
          <w:sz w:val="16"/>
          <w:szCs w:val="16"/>
          <w:lang w:val="es-CO"/>
        </w:rPr>
      </w:pPr>
      <w:r w:rsidRPr="0063634F">
        <w:rPr>
          <w:rStyle w:val="Refdenotaalpie"/>
          <w:rFonts w:ascii="Verdana" w:hAnsi="Verdana"/>
          <w:sz w:val="16"/>
          <w:szCs w:val="16"/>
        </w:rPr>
        <w:footnoteRef/>
      </w:r>
      <w:r w:rsidRPr="0063634F">
        <w:rPr>
          <w:rFonts w:ascii="Verdana" w:hAnsi="Verdana"/>
          <w:sz w:val="16"/>
          <w:szCs w:val="16"/>
        </w:rPr>
        <w:t xml:space="preserve"> </w:t>
      </w:r>
      <w:r w:rsidRPr="0063634F">
        <w:rPr>
          <w:rFonts w:ascii="Verdana" w:hAnsi="Verdana"/>
          <w:bCs/>
          <w:sz w:val="16"/>
          <w:szCs w:val="16"/>
          <w:lang w:val="es-CO"/>
        </w:rPr>
        <w:t>ARTICULO 26. DEL PRINCIPIO DE RESPONSABILIDAD.</w:t>
      </w:r>
      <w:r w:rsidRPr="0063634F">
        <w:rPr>
          <w:rFonts w:ascii="Verdana" w:hAnsi="Verdana"/>
          <w:b/>
          <w:bCs/>
          <w:sz w:val="16"/>
          <w:szCs w:val="16"/>
          <w:lang w:val="es-CO"/>
        </w:rPr>
        <w:t> </w:t>
      </w:r>
      <w:r>
        <w:rPr>
          <w:rFonts w:ascii="Verdana" w:hAnsi="Verdana"/>
          <w:sz w:val="16"/>
          <w:szCs w:val="16"/>
          <w:lang w:val="es-CO"/>
        </w:rPr>
        <w:t>En virtud de este principio:</w:t>
      </w:r>
    </w:p>
    <w:p w14:paraId="3D70286A" w14:textId="77777777" w:rsidR="003058C5" w:rsidRDefault="003058C5" w:rsidP="003058C5">
      <w:pPr>
        <w:pStyle w:val="Textonotapie"/>
        <w:ind w:firstLine="708"/>
        <w:jc w:val="both"/>
        <w:rPr>
          <w:rFonts w:ascii="Verdana" w:hAnsi="Verdana"/>
          <w:sz w:val="16"/>
          <w:szCs w:val="16"/>
          <w:lang w:val="es-CO"/>
        </w:rPr>
      </w:pPr>
      <w:r>
        <w:rPr>
          <w:rFonts w:ascii="Verdana" w:hAnsi="Verdana"/>
          <w:sz w:val="16"/>
          <w:szCs w:val="16"/>
          <w:lang w:val="es-CO"/>
        </w:rPr>
        <w:t xml:space="preserve">[…] </w:t>
      </w:r>
    </w:p>
    <w:p w14:paraId="12CB385D" w14:textId="77777777" w:rsidR="003058C5" w:rsidRPr="0063634F" w:rsidRDefault="003058C5" w:rsidP="003058C5">
      <w:pPr>
        <w:pStyle w:val="Textonotapie"/>
        <w:ind w:firstLine="708"/>
        <w:jc w:val="both"/>
      </w:pPr>
      <w:r w:rsidRPr="0063634F">
        <w:rPr>
          <w:rFonts w:ascii="Verdana" w:hAnsi="Verdana"/>
          <w:sz w:val="16"/>
          <w:szCs w:val="16"/>
          <w:lang w:val="es-ES_tradnl"/>
        </w:rPr>
        <w:t>“</w:t>
      </w:r>
      <w:r w:rsidRPr="0063634F">
        <w:rPr>
          <w:rFonts w:ascii="Verdana" w:hAnsi="Verdana"/>
          <w:sz w:val="16"/>
          <w:szCs w:val="16"/>
          <w:lang w:val="es-CO"/>
        </w:rPr>
        <w:t>7o. Los contratistas responderán por haber ocultado al contratar, inhabilidades, incompatibilidades o prohibiciones, o por haber suministrado información falsa”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63634F" w:rsidRDefault="0063634F"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63634F" w:rsidRDefault="0063634F">
    <w:pPr>
      <w:pStyle w:val="Encabezado"/>
    </w:pPr>
  </w:p>
  <w:p w14:paraId="5E18350A" w14:textId="705F7B76" w:rsidR="0063634F" w:rsidRPr="004A305D" w:rsidRDefault="0063634F" w:rsidP="00B01B1A">
    <w:pPr>
      <w:spacing w:after="0" w:line="120" w:lineRule="auto"/>
      <w:rPr>
        <w:rFonts w:ascii="Century Gothic" w:eastAsia="Geo" w:hAnsi="Century Gothic" w:cs="Geo"/>
        <w:sz w:val="16"/>
        <w:szCs w:val="16"/>
        <w:lang w:eastAsia="es-CO"/>
      </w:rPr>
    </w:pPr>
  </w:p>
  <w:p w14:paraId="211B7F5D" w14:textId="77777777" w:rsidR="0063634F" w:rsidRDefault="0063634F" w:rsidP="00844AE9">
    <w:pPr>
      <w:spacing w:after="0" w:line="240" w:lineRule="auto"/>
      <w:rPr>
        <w:rFonts w:ascii="Verdana" w:hAnsi="Verdana"/>
        <w:sz w:val="24"/>
        <w:szCs w:val="24"/>
      </w:rPr>
    </w:pPr>
  </w:p>
  <w:p w14:paraId="5A0054B1" w14:textId="77777777" w:rsidR="0063634F" w:rsidRPr="00C925AC" w:rsidRDefault="0063634F" w:rsidP="00844AE9">
    <w:pPr>
      <w:spacing w:after="0" w:line="240" w:lineRule="auto"/>
      <w:rPr>
        <w:rFonts w:ascii="Verdana" w:hAnsi="Verdana"/>
        <w:sz w:val="24"/>
        <w:szCs w:val="24"/>
      </w:rPr>
    </w:pPr>
  </w:p>
  <w:p w14:paraId="1FD1C243" w14:textId="37C5500A" w:rsidR="0063634F" w:rsidRPr="00C925AC" w:rsidRDefault="0063634F"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80086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2"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C4D239F"/>
    <w:multiLevelType w:val="hybridMultilevel"/>
    <w:tmpl w:val="620CC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AC7E56"/>
    <w:multiLevelType w:val="multilevel"/>
    <w:tmpl w:val="F1C4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6B37A8"/>
    <w:multiLevelType w:val="hybridMultilevel"/>
    <w:tmpl w:val="C980D864"/>
    <w:lvl w:ilvl="0" w:tplc="C17411E4">
      <w:start w:val="1"/>
      <w:numFmt w:val="decimal"/>
      <w:lvlText w:val="%1)"/>
      <w:lvlJc w:val="left"/>
      <w:pPr>
        <w:ind w:left="720" w:hanging="360"/>
      </w:pPr>
      <w:rPr>
        <w:rFonts w:ascii="Helvetica" w:hAnsi="Helvetica" w:cs="Helvetica" w:hint="default"/>
        <w:color w:val="414141"/>
        <w:sz w:val="2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8E5D4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49509303">
    <w:abstractNumId w:val="10"/>
  </w:num>
  <w:num w:numId="2" w16cid:durableId="1059287532">
    <w:abstractNumId w:val="3"/>
  </w:num>
  <w:num w:numId="3" w16cid:durableId="823737739">
    <w:abstractNumId w:val="8"/>
  </w:num>
  <w:num w:numId="4" w16cid:durableId="1032460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5179981">
    <w:abstractNumId w:val="3"/>
  </w:num>
  <w:num w:numId="6" w16cid:durableId="29301567">
    <w:abstractNumId w:val="18"/>
  </w:num>
  <w:num w:numId="7" w16cid:durableId="1801459327">
    <w:abstractNumId w:val="9"/>
  </w:num>
  <w:num w:numId="8" w16cid:durableId="2118523697">
    <w:abstractNumId w:val="17"/>
  </w:num>
  <w:num w:numId="9" w16cid:durableId="118502075">
    <w:abstractNumId w:val="11"/>
  </w:num>
  <w:num w:numId="10" w16cid:durableId="891623195">
    <w:abstractNumId w:val="16"/>
  </w:num>
  <w:num w:numId="11" w16cid:durableId="1061321882">
    <w:abstractNumId w:val="13"/>
  </w:num>
  <w:num w:numId="12" w16cid:durableId="1939554348">
    <w:abstractNumId w:val="2"/>
  </w:num>
  <w:num w:numId="13" w16cid:durableId="913047614">
    <w:abstractNumId w:val="6"/>
  </w:num>
  <w:num w:numId="14" w16cid:durableId="132987982">
    <w:abstractNumId w:val="19"/>
  </w:num>
  <w:num w:numId="15" w16cid:durableId="371464358">
    <w:abstractNumId w:val="15"/>
  </w:num>
  <w:num w:numId="16" w16cid:durableId="1347050594">
    <w:abstractNumId w:val="7"/>
  </w:num>
  <w:num w:numId="17" w16cid:durableId="1460950776">
    <w:abstractNumId w:val="14"/>
  </w:num>
  <w:num w:numId="18" w16cid:durableId="959728786">
    <w:abstractNumId w:val="21"/>
  </w:num>
  <w:num w:numId="19" w16cid:durableId="629357919">
    <w:abstractNumId w:val="4"/>
  </w:num>
  <w:num w:numId="20" w16cid:durableId="275715410">
    <w:abstractNumId w:val="1"/>
  </w:num>
  <w:num w:numId="21" w16cid:durableId="1839466301">
    <w:abstractNumId w:val="12"/>
  </w:num>
  <w:num w:numId="22" w16cid:durableId="1282030697">
    <w:abstractNumId w:val="5"/>
  </w:num>
  <w:num w:numId="23" w16cid:durableId="417216856">
    <w:abstractNumId w:val="0"/>
  </w:num>
  <w:num w:numId="24" w16cid:durableId="5341234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3D7F"/>
    <w:rsid w:val="000152F3"/>
    <w:rsid w:val="00016F78"/>
    <w:rsid w:val="00044C99"/>
    <w:rsid w:val="00046945"/>
    <w:rsid w:val="00061B2A"/>
    <w:rsid w:val="00064F43"/>
    <w:rsid w:val="000711CF"/>
    <w:rsid w:val="00072B24"/>
    <w:rsid w:val="00082362"/>
    <w:rsid w:val="00083922"/>
    <w:rsid w:val="000906E8"/>
    <w:rsid w:val="00094F97"/>
    <w:rsid w:val="000A683E"/>
    <w:rsid w:val="000B19B9"/>
    <w:rsid w:val="000B3678"/>
    <w:rsid w:val="000D0334"/>
    <w:rsid w:val="000D5DA7"/>
    <w:rsid w:val="000F0379"/>
    <w:rsid w:val="000F06BD"/>
    <w:rsid w:val="000F374F"/>
    <w:rsid w:val="000F6486"/>
    <w:rsid w:val="00102215"/>
    <w:rsid w:val="00103929"/>
    <w:rsid w:val="00104066"/>
    <w:rsid w:val="00105C57"/>
    <w:rsid w:val="00116940"/>
    <w:rsid w:val="00125105"/>
    <w:rsid w:val="00127233"/>
    <w:rsid w:val="001328F3"/>
    <w:rsid w:val="001405CA"/>
    <w:rsid w:val="00144D1E"/>
    <w:rsid w:val="0015699B"/>
    <w:rsid w:val="00184421"/>
    <w:rsid w:val="00186BEE"/>
    <w:rsid w:val="001871E2"/>
    <w:rsid w:val="00194E97"/>
    <w:rsid w:val="0019517E"/>
    <w:rsid w:val="001A33BF"/>
    <w:rsid w:val="001B7311"/>
    <w:rsid w:val="001E2E05"/>
    <w:rsid w:val="001E4177"/>
    <w:rsid w:val="001F0B24"/>
    <w:rsid w:val="001F7DC6"/>
    <w:rsid w:val="00202DEC"/>
    <w:rsid w:val="00206286"/>
    <w:rsid w:val="00212755"/>
    <w:rsid w:val="0022032F"/>
    <w:rsid w:val="0022400B"/>
    <w:rsid w:val="0023251A"/>
    <w:rsid w:val="002370F5"/>
    <w:rsid w:val="002421BB"/>
    <w:rsid w:val="00242434"/>
    <w:rsid w:val="0025796E"/>
    <w:rsid w:val="00263832"/>
    <w:rsid w:val="002707A2"/>
    <w:rsid w:val="00273BF5"/>
    <w:rsid w:val="00280DAF"/>
    <w:rsid w:val="0028778F"/>
    <w:rsid w:val="002951A0"/>
    <w:rsid w:val="00295603"/>
    <w:rsid w:val="002962BC"/>
    <w:rsid w:val="002A093D"/>
    <w:rsid w:val="002A0DD0"/>
    <w:rsid w:val="002A49AC"/>
    <w:rsid w:val="002A64FD"/>
    <w:rsid w:val="002A6FCB"/>
    <w:rsid w:val="002B1125"/>
    <w:rsid w:val="002B730F"/>
    <w:rsid w:val="002C7A84"/>
    <w:rsid w:val="002E2BF8"/>
    <w:rsid w:val="002E4FD9"/>
    <w:rsid w:val="002E51B0"/>
    <w:rsid w:val="002E550A"/>
    <w:rsid w:val="002F3D4E"/>
    <w:rsid w:val="00304578"/>
    <w:rsid w:val="003058C5"/>
    <w:rsid w:val="0030657A"/>
    <w:rsid w:val="00307995"/>
    <w:rsid w:val="003132BB"/>
    <w:rsid w:val="00315E61"/>
    <w:rsid w:val="00316053"/>
    <w:rsid w:val="003177D7"/>
    <w:rsid w:val="00322A85"/>
    <w:rsid w:val="00324168"/>
    <w:rsid w:val="00326423"/>
    <w:rsid w:val="00330834"/>
    <w:rsid w:val="00342856"/>
    <w:rsid w:val="003431B8"/>
    <w:rsid w:val="003448F4"/>
    <w:rsid w:val="0035684F"/>
    <w:rsid w:val="00363866"/>
    <w:rsid w:val="00364E93"/>
    <w:rsid w:val="00365665"/>
    <w:rsid w:val="00374F5E"/>
    <w:rsid w:val="00377E3E"/>
    <w:rsid w:val="00381BAB"/>
    <w:rsid w:val="00384001"/>
    <w:rsid w:val="003A3B62"/>
    <w:rsid w:val="003A779E"/>
    <w:rsid w:val="003D0F4D"/>
    <w:rsid w:val="003D57AB"/>
    <w:rsid w:val="003D5B0D"/>
    <w:rsid w:val="003E0499"/>
    <w:rsid w:val="003E4F80"/>
    <w:rsid w:val="003E6439"/>
    <w:rsid w:val="003F03D9"/>
    <w:rsid w:val="003F330D"/>
    <w:rsid w:val="003F3941"/>
    <w:rsid w:val="00406575"/>
    <w:rsid w:val="0040775C"/>
    <w:rsid w:val="004140B3"/>
    <w:rsid w:val="00414C74"/>
    <w:rsid w:val="00416E62"/>
    <w:rsid w:val="00421CBB"/>
    <w:rsid w:val="0042722E"/>
    <w:rsid w:val="004326BD"/>
    <w:rsid w:val="00444AAA"/>
    <w:rsid w:val="0044528D"/>
    <w:rsid w:val="00446FF1"/>
    <w:rsid w:val="00452165"/>
    <w:rsid w:val="004555EA"/>
    <w:rsid w:val="00466E39"/>
    <w:rsid w:val="00472E68"/>
    <w:rsid w:val="00494F04"/>
    <w:rsid w:val="004977B0"/>
    <w:rsid w:val="004A1847"/>
    <w:rsid w:val="004A305D"/>
    <w:rsid w:val="004A713A"/>
    <w:rsid w:val="004B229D"/>
    <w:rsid w:val="004B3DAC"/>
    <w:rsid w:val="004B6286"/>
    <w:rsid w:val="004C634F"/>
    <w:rsid w:val="004F09F3"/>
    <w:rsid w:val="004F1EBE"/>
    <w:rsid w:val="004F21C4"/>
    <w:rsid w:val="004F5675"/>
    <w:rsid w:val="004F5C74"/>
    <w:rsid w:val="004F685F"/>
    <w:rsid w:val="004F6865"/>
    <w:rsid w:val="004F7099"/>
    <w:rsid w:val="00531EC0"/>
    <w:rsid w:val="005566E8"/>
    <w:rsid w:val="00574867"/>
    <w:rsid w:val="00577558"/>
    <w:rsid w:val="00584F1D"/>
    <w:rsid w:val="00591460"/>
    <w:rsid w:val="00595D6A"/>
    <w:rsid w:val="005A65E0"/>
    <w:rsid w:val="005A669E"/>
    <w:rsid w:val="005A67D4"/>
    <w:rsid w:val="005C0881"/>
    <w:rsid w:val="005C3777"/>
    <w:rsid w:val="005C5CDC"/>
    <w:rsid w:val="005D476C"/>
    <w:rsid w:val="005F0887"/>
    <w:rsid w:val="005F20A4"/>
    <w:rsid w:val="00603C5B"/>
    <w:rsid w:val="00616A08"/>
    <w:rsid w:val="006200BF"/>
    <w:rsid w:val="00620E8C"/>
    <w:rsid w:val="0062143E"/>
    <w:rsid w:val="0062155C"/>
    <w:rsid w:val="006219F8"/>
    <w:rsid w:val="00624FB9"/>
    <w:rsid w:val="006302F7"/>
    <w:rsid w:val="0063634F"/>
    <w:rsid w:val="006419CB"/>
    <w:rsid w:val="00646B9F"/>
    <w:rsid w:val="0066396B"/>
    <w:rsid w:val="00665D70"/>
    <w:rsid w:val="00684F67"/>
    <w:rsid w:val="00687684"/>
    <w:rsid w:val="006900D9"/>
    <w:rsid w:val="006A2BE4"/>
    <w:rsid w:val="006B5635"/>
    <w:rsid w:val="006C3DBE"/>
    <w:rsid w:val="006C6FA1"/>
    <w:rsid w:val="006D02E8"/>
    <w:rsid w:val="0070090C"/>
    <w:rsid w:val="007025D7"/>
    <w:rsid w:val="00706C16"/>
    <w:rsid w:val="0070798B"/>
    <w:rsid w:val="00710FFB"/>
    <w:rsid w:val="0072126D"/>
    <w:rsid w:val="00725CF4"/>
    <w:rsid w:val="00731F30"/>
    <w:rsid w:val="007340C3"/>
    <w:rsid w:val="0075235A"/>
    <w:rsid w:val="00756841"/>
    <w:rsid w:val="007649AB"/>
    <w:rsid w:val="0076699A"/>
    <w:rsid w:val="00767F78"/>
    <w:rsid w:val="007710C9"/>
    <w:rsid w:val="00771D0C"/>
    <w:rsid w:val="007833AC"/>
    <w:rsid w:val="00795086"/>
    <w:rsid w:val="007A1830"/>
    <w:rsid w:val="007B268C"/>
    <w:rsid w:val="007B3FCE"/>
    <w:rsid w:val="007B7171"/>
    <w:rsid w:val="007C0871"/>
    <w:rsid w:val="007C0C0F"/>
    <w:rsid w:val="007C3DC2"/>
    <w:rsid w:val="007C4397"/>
    <w:rsid w:val="007D3058"/>
    <w:rsid w:val="007D3B78"/>
    <w:rsid w:val="007E5414"/>
    <w:rsid w:val="007E5497"/>
    <w:rsid w:val="007F5677"/>
    <w:rsid w:val="00806F5F"/>
    <w:rsid w:val="00820278"/>
    <w:rsid w:val="008258C9"/>
    <w:rsid w:val="0083153C"/>
    <w:rsid w:val="00844AE9"/>
    <w:rsid w:val="008475FC"/>
    <w:rsid w:val="0086382A"/>
    <w:rsid w:val="00867F95"/>
    <w:rsid w:val="00872C07"/>
    <w:rsid w:val="00881163"/>
    <w:rsid w:val="00881381"/>
    <w:rsid w:val="008843B6"/>
    <w:rsid w:val="008858DE"/>
    <w:rsid w:val="00891928"/>
    <w:rsid w:val="008A446D"/>
    <w:rsid w:val="008B1793"/>
    <w:rsid w:val="008B25F1"/>
    <w:rsid w:val="008B3C3B"/>
    <w:rsid w:val="008C439E"/>
    <w:rsid w:val="008D180B"/>
    <w:rsid w:val="008D6A6F"/>
    <w:rsid w:val="008F0EA7"/>
    <w:rsid w:val="008F17DC"/>
    <w:rsid w:val="008F1F1F"/>
    <w:rsid w:val="008F4334"/>
    <w:rsid w:val="008F6705"/>
    <w:rsid w:val="0090232F"/>
    <w:rsid w:val="00912539"/>
    <w:rsid w:val="00923EEF"/>
    <w:rsid w:val="00926CD2"/>
    <w:rsid w:val="00934E54"/>
    <w:rsid w:val="009419F9"/>
    <w:rsid w:val="00950B6F"/>
    <w:rsid w:val="0095685E"/>
    <w:rsid w:val="00961B09"/>
    <w:rsid w:val="00965334"/>
    <w:rsid w:val="00966005"/>
    <w:rsid w:val="0097093E"/>
    <w:rsid w:val="009859A6"/>
    <w:rsid w:val="0099377F"/>
    <w:rsid w:val="009A0486"/>
    <w:rsid w:val="009A0DFA"/>
    <w:rsid w:val="009B1F98"/>
    <w:rsid w:val="009B2D26"/>
    <w:rsid w:val="009C3069"/>
    <w:rsid w:val="009C71FA"/>
    <w:rsid w:val="009C72E7"/>
    <w:rsid w:val="009C7F7E"/>
    <w:rsid w:val="009D3058"/>
    <w:rsid w:val="009E13AE"/>
    <w:rsid w:val="009F3A13"/>
    <w:rsid w:val="009F4BF3"/>
    <w:rsid w:val="00A0334B"/>
    <w:rsid w:val="00A0413B"/>
    <w:rsid w:val="00A122D3"/>
    <w:rsid w:val="00A14468"/>
    <w:rsid w:val="00A14A60"/>
    <w:rsid w:val="00A14FC6"/>
    <w:rsid w:val="00A17F13"/>
    <w:rsid w:val="00A20739"/>
    <w:rsid w:val="00A23AF9"/>
    <w:rsid w:val="00A2527D"/>
    <w:rsid w:val="00A31A76"/>
    <w:rsid w:val="00A33C78"/>
    <w:rsid w:val="00A42118"/>
    <w:rsid w:val="00A57FB1"/>
    <w:rsid w:val="00A73F45"/>
    <w:rsid w:val="00A76E61"/>
    <w:rsid w:val="00A87508"/>
    <w:rsid w:val="00A87A5F"/>
    <w:rsid w:val="00A87F3B"/>
    <w:rsid w:val="00A97AB0"/>
    <w:rsid w:val="00AB0763"/>
    <w:rsid w:val="00AB0ADB"/>
    <w:rsid w:val="00AB205D"/>
    <w:rsid w:val="00AC7B72"/>
    <w:rsid w:val="00AE4C33"/>
    <w:rsid w:val="00AF5127"/>
    <w:rsid w:val="00B00640"/>
    <w:rsid w:val="00B00C0E"/>
    <w:rsid w:val="00B01B1A"/>
    <w:rsid w:val="00B44A47"/>
    <w:rsid w:val="00B53ADF"/>
    <w:rsid w:val="00B53BF2"/>
    <w:rsid w:val="00B54271"/>
    <w:rsid w:val="00B5602B"/>
    <w:rsid w:val="00B71F92"/>
    <w:rsid w:val="00B72CD3"/>
    <w:rsid w:val="00B72FFF"/>
    <w:rsid w:val="00B74092"/>
    <w:rsid w:val="00B77299"/>
    <w:rsid w:val="00B9076F"/>
    <w:rsid w:val="00B929E1"/>
    <w:rsid w:val="00B96E56"/>
    <w:rsid w:val="00BB7A69"/>
    <w:rsid w:val="00BC3D36"/>
    <w:rsid w:val="00BC70CB"/>
    <w:rsid w:val="00BD54A6"/>
    <w:rsid w:val="00BD7F72"/>
    <w:rsid w:val="00BF3C9E"/>
    <w:rsid w:val="00BF5C08"/>
    <w:rsid w:val="00BF7425"/>
    <w:rsid w:val="00C04FB3"/>
    <w:rsid w:val="00C07530"/>
    <w:rsid w:val="00C10E6C"/>
    <w:rsid w:val="00C11D8B"/>
    <w:rsid w:val="00C1491E"/>
    <w:rsid w:val="00C14CA9"/>
    <w:rsid w:val="00C219D3"/>
    <w:rsid w:val="00C26690"/>
    <w:rsid w:val="00C330EB"/>
    <w:rsid w:val="00C334C0"/>
    <w:rsid w:val="00C44AE8"/>
    <w:rsid w:val="00C50D69"/>
    <w:rsid w:val="00C5365C"/>
    <w:rsid w:val="00C754BE"/>
    <w:rsid w:val="00C76B1C"/>
    <w:rsid w:val="00C925AC"/>
    <w:rsid w:val="00CA6A8E"/>
    <w:rsid w:val="00CB6357"/>
    <w:rsid w:val="00CB75A4"/>
    <w:rsid w:val="00CB75F7"/>
    <w:rsid w:val="00CB7EFB"/>
    <w:rsid w:val="00CC1B26"/>
    <w:rsid w:val="00CD4831"/>
    <w:rsid w:val="00CF1B9D"/>
    <w:rsid w:val="00D028AA"/>
    <w:rsid w:val="00D04B54"/>
    <w:rsid w:val="00D06146"/>
    <w:rsid w:val="00D0699E"/>
    <w:rsid w:val="00D10F2D"/>
    <w:rsid w:val="00D334DD"/>
    <w:rsid w:val="00D35D5C"/>
    <w:rsid w:val="00D361FD"/>
    <w:rsid w:val="00D377F0"/>
    <w:rsid w:val="00D423A2"/>
    <w:rsid w:val="00D44E26"/>
    <w:rsid w:val="00D520D8"/>
    <w:rsid w:val="00D523F8"/>
    <w:rsid w:val="00D5764B"/>
    <w:rsid w:val="00D62B9C"/>
    <w:rsid w:val="00D6367D"/>
    <w:rsid w:val="00D63AC2"/>
    <w:rsid w:val="00D725F7"/>
    <w:rsid w:val="00D729EE"/>
    <w:rsid w:val="00D7383B"/>
    <w:rsid w:val="00D749DD"/>
    <w:rsid w:val="00D7788A"/>
    <w:rsid w:val="00D86E98"/>
    <w:rsid w:val="00DA231B"/>
    <w:rsid w:val="00DC39FC"/>
    <w:rsid w:val="00DC7CCB"/>
    <w:rsid w:val="00DD3049"/>
    <w:rsid w:val="00DF5254"/>
    <w:rsid w:val="00E02524"/>
    <w:rsid w:val="00E16408"/>
    <w:rsid w:val="00E1767E"/>
    <w:rsid w:val="00E2087F"/>
    <w:rsid w:val="00E20894"/>
    <w:rsid w:val="00E22C5D"/>
    <w:rsid w:val="00E245AB"/>
    <w:rsid w:val="00E2764C"/>
    <w:rsid w:val="00E27F2E"/>
    <w:rsid w:val="00E41358"/>
    <w:rsid w:val="00E4709F"/>
    <w:rsid w:val="00E50536"/>
    <w:rsid w:val="00E50AFE"/>
    <w:rsid w:val="00E57718"/>
    <w:rsid w:val="00E6173F"/>
    <w:rsid w:val="00E674B9"/>
    <w:rsid w:val="00E75C92"/>
    <w:rsid w:val="00E771DC"/>
    <w:rsid w:val="00E80E32"/>
    <w:rsid w:val="00E8772A"/>
    <w:rsid w:val="00E90F6B"/>
    <w:rsid w:val="00E92129"/>
    <w:rsid w:val="00E92C27"/>
    <w:rsid w:val="00EA0211"/>
    <w:rsid w:val="00EA0E3D"/>
    <w:rsid w:val="00EB3F59"/>
    <w:rsid w:val="00EC0D43"/>
    <w:rsid w:val="00EC38A7"/>
    <w:rsid w:val="00ED21CE"/>
    <w:rsid w:val="00ED33FB"/>
    <w:rsid w:val="00ED5ECC"/>
    <w:rsid w:val="00EE1730"/>
    <w:rsid w:val="00EE1AA8"/>
    <w:rsid w:val="00EF5E13"/>
    <w:rsid w:val="00EF647F"/>
    <w:rsid w:val="00F037CA"/>
    <w:rsid w:val="00F23FEA"/>
    <w:rsid w:val="00F2695E"/>
    <w:rsid w:val="00F27B7B"/>
    <w:rsid w:val="00F303DC"/>
    <w:rsid w:val="00F31EDC"/>
    <w:rsid w:val="00F40663"/>
    <w:rsid w:val="00F462B3"/>
    <w:rsid w:val="00F5664F"/>
    <w:rsid w:val="00F666C4"/>
    <w:rsid w:val="00F76AFC"/>
    <w:rsid w:val="00F76D11"/>
    <w:rsid w:val="00F819D1"/>
    <w:rsid w:val="00F9344B"/>
    <w:rsid w:val="00F948E6"/>
    <w:rsid w:val="00F96097"/>
    <w:rsid w:val="00FA47C0"/>
    <w:rsid w:val="00FB5DD1"/>
    <w:rsid w:val="00FB610C"/>
    <w:rsid w:val="00FB77BE"/>
    <w:rsid w:val="00FC2B5D"/>
    <w:rsid w:val="00FC5392"/>
    <w:rsid w:val="00FD520C"/>
    <w:rsid w:val="00FF1449"/>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DEA0834-1DCB-4EDE-9E34-6BD839811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99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character" w:customStyle="1" w:styleId="NormalWebCar">
    <w:name w:val="Normal (Web) Car"/>
    <w:link w:val="NormalWeb"/>
    <w:uiPriority w:val="99"/>
    <w:locked/>
    <w:rsid w:val="00273BF5"/>
    <w:rPr>
      <w:rFonts w:ascii="Times New Roman" w:eastAsia="Times New Roman" w:hAnsi="Times New Roman" w:cs="Times New Roman"/>
      <w:sz w:val="24"/>
      <w:szCs w:val="24"/>
      <w:lang w:eastAsia="es-CO"/>
    </w:rPr>
  </w:style>
  <w:style w:type="table" w:customStyle="1" w:styleId="Tablaconcuadrcula11">
    <w:name w:val="Tabla con cuadrícula11"/>
    <w:basedOn w:val="Tablanormal"/>
    <w:next w:val="Tablaconcuadrcula"/>
    <w:uiPriority w:val="39"/>
    <w:qFormat/>
    <w:rsid w:val="00273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273BF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273BF5"/>
    <w:rPr>
      <w:b/>
      <w:bCs/>
    </w:rPr>
  </w:style>
  <w:style w:type="character" w:styleId="Mencinsinresolver">
    <w:name w:val="Unresolved Mention"/>
    <w:basedOn w:val="Fuentedeprrafopredeter"/>
    <w:uiPriority w:val="99"/>
    <w:semiHidden/>
    <w:unhideWhenUsed/>
    <w:rsid w:val="00CB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5418">
      <w:bodyDiv w:val="1"/>
      <w:marLeft w:val="0"/>
      <w:marRight w:val="0"/>
      <w:marTop w:val="0"/>
      <w:marBottom w:val="0"/>
      <w:divBdr>
        <w:top w:val="none" w:sz="0" w:space="0" w:color="auto"/>
        <w:left w:val="none" w:sz="0" w:space="0" w:color="auto"/>
        <w:bottom w:val="none" w:sz="0" w:space="0" w:color="auto"/>
        <w:right w:val="none" w:sz="0" w:space="0" w:color="auto"/>
      </w:divBdr>
      <w:divsChild>
        <w:div w:id="1942640559">
          <w:marLeft w:val="0"/>
          <w:marRight w:val="0"/>
          <w:marTop w:val="0"/>
          <w:marBottom w:val="0"/>
          <w:divBdr>
            <w:top w:val="none" w:sz="0" w:space="0" w:color="auto"/>
            <w:left w:val="none" w:sz="0" w:space="0" w:color="auto"/>
            <w:bottom w:val="none" w:sz="0" w:space="0" w:color="auto"/>
            <w:right w:val="none" w:sz="0" w:space="0" w:color="auto"/>
          </w:divBdr>
        </w:div>
      </w:divsChild>
    </w:div>
    <w:div w:id="338117487">
      <w:bodyDiv w:val="1"/>
      <w:marLeft w:val="0"/>
      <w:marRight w:val="0"/>
      <w:marTop w:val="0"/>
      <w:marBottom w:val="0"/>
      <w:divBdr>
        <w:top w:val="none" w:sz="0" w:space="0" w:color="auto"/>
        <w:left w:val="none" w:sz="0" w:space="0" w:color="auto"/>
        <w:bottom w:val="none" w:sz="0" w:space="0" w:color="auto"/>
        <w:right w:val="none" w:sz="0" w:space="0" w:color="auto"/>
      </w:divBdr>
      <w:divsChild>
        <w:div w:id="1760441151">
          <w:marLeft w:val="0"/>
          <w:marRight w:val="0"/>
          <w:marTop w:val="0"/>
          <w:marBottom w:val="0"/>
          <w:divBdr>
            <w:top w:val="none" w:sz="0" w:space="0" w:color="auto"/>
            <w:left w:val="none" w:sz="0" w:space="0" w:color="auto"/>
            <w:bottom w:val="none" w:sz="0" w:space="0" w:color="auto"/>
            <w:right w:val="none" w:sz="0" w:space="0" w:color="auto"/>
          </w:divBdr>
        </w:div>
      </w:divsChild>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37690543">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039814129">
      <w:bodyDiv w:val="1"/>
      <w:marLeft w:val="0"/>
      <w:marRight w:val="0"/>
      <w:marTop w:val="0"/>
      <w:marBottom w:val="0"/>
      <w:divBdr>
        <w:top w:val="none" w:sz="0" w:space="0" w:color="auto"/>
        <w:left w:val="none" w:sz="0" w:space="0" w:color="auto"/>
        <w:bottom w:val="none" w:sz="0" w:space="0" w:color="auto"/>
        <w:right w:val="none" w:sz="0" w:space="0" w:color="auto"/>
      </w:divBdr>
      <w:divsChild>
        <w:div w:id="134641030">
          <w:marLeft w:val="0"/>
          <w:marRight w:val="0"/>
          <w:marTop w:val="0"/>
          <w:marBottom w:val="0"/>
          <w:divBdr>
            <w:top w:val="none" w:sz="0" w:space="0" w:color="auto"/>
            <w:left w:val="none" w:sz="0" w:space="0" w:color="auto"/>
            <w:bottom w:val="none" w:sz="0" w:space="0" w:color="auto"/>
            <w:right w:val="none" w:sz="0" w:space="0" w:color="auto"/>
          </w:divBdr>
        </w:div>
      </w:divsChild>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30189586">
      <w:bodyDiv w:val="1"/>
      <w:marLeft w:val="0"/>
      <w:marRight w:val="0"/>
      <w:marTop w:val="0"/>
      <w:marBottom w:val="0"/>
      <w:divBdr>
        <w:top w:val="none" w:sz="0" w:space="0" w:color="auto"/>
        <w:left w:val="none" w:sz="0" w:space="0" w:color="auto"/>
        <w:bottom w:val="none" w:sz="0" w:space="0" w:color="auto"/>
        <w:right w:val="none" w:sz="0" w:space="0" w:color="auto"/>
      </w:divBdr>
      <w:divsChild>
        <w:div w:id="857161394">
          <w:marLeft w:val="0"/>
          <w:marRight w:val="0"/>
          <w:marTop w:val="0"/>
          <w:marBottom w:val="0"/>
          <w:divBdr>
            <w:top w:val="none" w:sz="0" w:space="0" w:color="auto"/>
            <w:left w:val="none" w:sz="0" w:space="0" w:color="auto"/>
            <w:bottom w:val="none" w:sz="0" w:space="0" w:color="auto"/>
            <w:right w:val="none" w:sz="0" w:space="0" w:color="auto"/>
          </w:divBdr>
        </w:div>
      </w:divsChild>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398866873">
      <w:bodyDiv w:val="1"/>
      <w:marLeft w:val="0"/>
      <w:marRight w:val="0"/>
      <w:marTop w:val="0"/>
      <w:marBottom w:val="0"/>
      <w:divBdr>
        <w:top w:val="none" w:sz="0" w:space="0" w:color="auto"/>
        <w:left w:val="none" w:sz="0" w:space="0" w:color="auto"/>
        <w:bottom w:val="none" w:sz="0" w:space="0" w:color="auto"/>
        <w:right w:val="none" w:sz="0" w:space="0" w:color="auto"/>
      </w:divBdr>
      <w:divsChild>
        <w:div w:id="1964771597">
          <w:marLeft w:val="0"/>
          <w:marRight w:val="0"/>
          <w:marTop w:val="0"/>
          <w:marBottom w:val="0"/>
          <w:divBdr>
            <w:top w:val="none" w:sz="0" w:space="0" w:color="auto"/>
            <w:left w:val="none" w:sz="0" w:space="0" w:color="auto"/>
            <w:bottom w:val="none" w:sz="0" w:space="0" w:color="auto"/>
            <w:right w:val="none" w:sz="0" w:space="0" w:color="auto"/>
          </w:divBdr>
        </w:div>
      </w:divsChild>
    </w:div>
    <w:div w:id="1429040606">
      <w:bodyDiv w:val="1"/>
      <w:marLeft w:val="0"/>
      <w:marRight w:val="0"/>
      <w:marTop w:val="0"/>
      <w:marBottom w:val="0"/>
      <w:divBdr>
        <w:top w:val="none" w:sz="0" w:space="0" w:color="auto"/>
        <w:left w:val="none" w:sz="0" w:space="0" w:color="auto"/>
        <w:bottom w:val="none" w:sz="0" w:space="0" w:color="auto"/>
        <w:right w:val="none" w:sz="0" w:space="0" w:color="auto"/>
      </w:divBdr>
      <w:divsChild>
        <w:div w:id="1763990133">
          <w:marLeft w:val="0"/>
          <w:marRight w:val="0"/>
          <w:marTop w:val="0"/>
          <w:marBottom w:val="0"/>
          <w:divBdr>
            <w:top w:val="none" w:sz="0" w:space="0" w:color="auto"/>
            <w:left w:val="none" w:sz="0" w:space="0" w:color="auto"/>
            <w:bottom w:val="none" w:sz="0" w:space="0" w:color="auto"/>
            <w:right w:val="none" w:sz="0" w:space="0" w:color="auto"/>
          </w:divBdr>
        </w:div>
      </w:divsChild>
    </w:div>
    <w:div w:id="1655379867">
      <w:bodyDiv w:val="1"/>
      <w:marLeft w:val="0"/>
      <w:marRight w:val="0"/>
      <w:marTop w:val="0"/>
      <w:marBottom w:val="0"/>
      <w:divBdr>
        <w:top w:val="none" w:sz="0" w:space="0" w:color="auto"/>
        <w:left w:val="none" w:sz="0" w:space="0" w:color="auto"/>
        <w:bottom w:val="none" w:sz="0" w:space="0" w:color="auto"/>
        <w:right w:val="none" w:sz="0" w:space="0" w:color="auto"/>
      </w:divBdr>
      <w:divsChild>
        <w:div w:id="698317885">
          <w:marLeft w:val="0"/>
          <w:marRight w:val="0"/>
          <w:marTop w:val="0"/>
          <w:marBottom w:val="0"/>
          <w:divBdr>
            <w:top w:val="none" w:sz="0" w:space="0" w:color="auto"/>
            <w:left w:val="none" w:sz="0" w:space="0" w:color="auto"/>
            <w:bottom w:val="none" w:sz="0" w:space="0" w:color="auto"/>
            <w:right w:val="none" w:sz="0" w:space="0" w:color="auto"/>
          </w:divBdr>
        </w:div>
      </w:divsChild>
    </w:div>
    <w:div w:id="1779135800">
      <w:bodyDiv w:val="1"/>
      <w:marLeft w:val="0"/>
      <w:marRight w:val="0"/>
      <w:marTop w:val="0"/>
      <w:marBottom w:val="0"/>
      <w:divBdr>
        <w:top w:val="none" w:sz="0" w:space="0" w:color="auto"/>
        <w:left w:val="none" w:sz="0" w:space="0" w:color="auto"/>
        <w:bottom w:val="none" w:sz="0" w:space="0" w:color="auto"/>
        <w:right w:val="none" w:sz="0" w:space="0" w:color="auto"/>
      </w:divBdr>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1895962957">
      <w:bodyDiv w:val="1"/>
      <w:marLeft w:val="0"/>
      <w:marRight w:val="0"/>
      <w:marTop w:val="0"/>
      <w:marBottom w:val="0"/>
      <w:divBdr>
        <w:top w:val="none" w:sz="0" w:space="0" w:color="auto"/>
        <w:left w:val="none" w:sz="0" w:space="0" w:color="auto"/>
        <w:bottom w:val="none" w:sz="0" w:space="0" w:color="auto"/>
        <w:right w:val="none" w:sz="0" w:space="0" w:color="auto"/>
      </w:divBdr>
      <w:divsChild>
        <w:div w:id="132794209">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nbernal@invias.gov.co"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12BBD-50F5-4D11-A148-A03F2DFF9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4.xml><?xml version="1.0" encoding="utf-8"?>
<ds:datastoreItem xmlns:ds="http://schemas.openxmlformats.org/officeDocument/2006/customXml" ds:itemID="{CC15FDC2-1C65-467C-9803-5CE7B6567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28</Pages>
  <Words>9381</Words>
  <Characters>51601</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13</cp:revision>
  <cp:lastPrinted>2023-01-10T21:18:00Z</cp:lastPrinted>
  <dcterms:created xsi:type="dcterms:W3CDTF">2026-06-24T00:20:00Z</dcterms:created>
  <dcterms:modified xsi:type="dcterms:W3CDTF">2026-06-24T21:53:00Z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