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2A0E33" w14:textId="3FF4B10A" w:rsidR="00910E71" w:rsidRPr="00910E71" w:rsidRDefault="00910E71" w:rsidP="00910E71">
      <w:pPr>
        <w:spacing w:after="0"/>
        <w:jc w:val="both"/>
        <w:rPr>
          <w:rFonts w:ascii="Verdana" w:eastAsia="Verdana" w:hAnsi="Verdana" w:cs="Verdana"/>
        </w:rPr>
      </w:pPr>
      <w:bookmarkStart w:id="0" w:name="_Hlk143780582"/>
      <w:r w:rsidRPr="00910E71">
        <w:rPr>
          <w:rFonts w:ascii="Verdana" w:eastAsia="Calibri" w:hAnsi="Verdana" w:cs="Times New Roman"/>
          <w:b/>
          <w:bCs/>
          <w:lang w:val="es-ES"/>
        </w:rPr>
        <w:t>DOCUMENTOS TIPO – Inalterabilidad – Alcance</w:t>
      </w:r>
    </w:p>
    <w:p w14:paraId="286F8216" w14:textId="77777777" w:rsidR="00910E71" w:rsidRPr="00910E71" w:rsidRDefault="00910E71" w:rsidP="00910E71">
      <w:pPr>
        <w:spacing w:after="0" w:line="240" w:lineRule="auto"/>
        <w:jc w:val="both"/>
        <w:rPr>
          <w:rFonts w:ascii="Verdana" w:eastAsia="Calibri" w:hAnsi="Verdana" w:cs="Times New Roman"/>
          <w:b/>
          <w:bCs/>
          <w:lang w:val="es-ES"/>
        </w:rPr>
      </w:pPr>
    </w:p>
    <w:p w14:paraId="58DE4B60" w14:textId="77777777" w:rsidR="00910E71" w:rsidRPr="00910E71" w:rsidRDefault="00910E71" w:rsidP="00910E71">
      <w:pPr>
        <w:tabs>
          <w:tab w:val="center" w:pos="4419"/>
          <w:tab w:val="right" w:pos="8838"/>
        </w:tabs>
        <w:spacing w:after="0" w:line="240" w:lineRule="auto"/>
        <w:jc w:val="both"/>
        <w:rPr>
          <w:rFonts w:ascii="Verdana" w:eastAsia="Calibri" w:hAnsi="Verdana" w:cs="Arial"/>
          <w:color w:val="000000"/>
          <w:sz w:val="20"/>
          <w:szCs w:val="20"/>
          <w:lang w:val="es-ES"/>
        </w:rPr>
      </w:pPr>
      <w:r w:rsidRPr="00910E71">
        <w:rPr>
          <w:rFonts w:ascii="Verdana" w:eastAsia="Calibri" w:hAnsi="Verdana" w:cs="Arial"/>
          <w:color w:val="000000"/>
          <w:sz w:val="20"/>
          <w:szCs w:val="20"/>
          <w:lang w:val="es-ES"/>
        </w:rPr>
        <w:t xml:space="preserve">Todas las resoluciones expedidas por la Agencia Nacional de Contratación Pública – Colombia Compra Eficiente, mediante las cuales se adoptaron los documentos tipo, consagran la regla de la inalterabilidad. Esta prohibición consiste en que las entidades estatales no pueden incluir o modificar en los </w:t>
      </w:r>
      <w:r w:rsidRPr="00910E71">
        <w:rPr>
          <w:rFonts w:ascii="Verdana" w:eastAsia="Calibri" w:hAnsi="Verdana" w:cs="Arial"/>
          <w:i/>
          <w:iCs/>
          <w:color w:val="000000"/>
          <w:sz w:val="20"/>
          <w:szCs w:val="20"/>
          <w:lang w:val="es-ES"/>
        </w:rPr>
        <w:t>Documentos del Proceso</w:t>
      </w:r>
      <w:r w:rsidRPr="00910E71">
        <w:rPr>
          <w:rFonts w:ascii="Verdana" w:eastAsia="Calibri" w:hAnsi="Verdana" w:cs="Arial"/>
          <w:color w:val="000000"/>
          <w:sz w:val="20"/>
          <w:szCs w:val="20"/>
          <w:lang w:val="es-ES"/>
        </w:rPr>
        <w:t xml:space="preserve"> las condiciones habilitantes, los factores técnicos y económicos de escogencia y los sistemas de ponderación distintos a los señalados en los documentos tipo. En consecuencia, las condiciones establecidas en los documentos tipo son de obligatorio cumplimiento para las entidades sometidas al Estatuto General de Contratación de la Administración Pública que adelanten procesos que deban regirse por su contenido, y no pueden variarse los requisitos fijados en ellos. Por lo tanto, las entidades estatales, al realizar sus procedimientos de selección, solo podrán modificarlos en los aspectos en que los documentos tipo lo permitan.</w:t>
      </w:r>
    </w:p>
    <w:p w14:paraId="62FE835B" w14:textId="77777777" w:rsidR="00910E71" w:rsidRPr="00910E71" w:rsidRDefault="00910E71" w:rsidP="00910E71">
      <w:pPr>
        <w:spacing w:after="0" w:line="240" w:lineRule="auto"/>
        <w:jc w:val="both"/>
        <w:rPr>
          <w:rFonts w:ascii="Verdana" w:eastAsia="Calibri" w:hAnsi="Verdana" w:cs="Arial"/>
          <w:sz w:val="20"/>
          <w:szCs w:val="20"/>
          <w:lang w:val="es-ES_tradnl"/>
        </w:rPr>
      </w:pPr>
      <w:r w:rsidRPr="00910E71">
        <w:rPr>
          <w:rFonts w:ascii="Verdana" w:eastAsia="Calibri" w:hAnsi="Verdana" w:cs="Arial"/>
          <w:sz w:val="20"/>
          <w:szCs w:val="20"/>
          <w:lang w:val="es-ES_tradnl"/>
        </w:rPr>
        <w:t>[…]</w:t>
      </w:r>
    </w:p>
    <w:p w14:paraId="59021FF6" w14:textId="77777777" w:rsidR="00910E71" w:rsidRPr="00910E71" w:rsidRDefault="00910E71" w:rsidP="00910E71">
      <w:pPr>
        <w:spacing w:after="0" w:line="240" w:lineRule="auto"/>
        <w:jc w:val="both"/>
        <w:rPr>
          <w:rFonts w:ascii="Verdana" w:eastAsia="Calibri" w:hAnsi="Verdana" w:cs="Arial"/>
          <w:color w:val="000000"/>
          <w:sz w:val="20"/>
          <w:szCs w:val="20"/>
          <w:lang w:val="es-ES"/>
        </w:rPr>
      </w:pPr>
      <w:r w:rsidRPr="00910E71">
        <w:rPr>
          <w:rFonts w:ascii="Verdana" w:eastAsia="Calibri" w:hAnsi="Verdana" w:cs="Arial"/>
          <w:color w:val="000000"/>
          <w:sz w:val="20"/>
          <w:szCs w:val="20"/>
          <w:lang w:val="es-ES"/>
        </w:rPr>
        <w:t xml:space="preserve">Otro aspecto sobre el principio que inalterabilidad que debe destacarse es que, sin mínimos inalterables, los documentos tipo, estándar o normalizados, sencillamente, perderían sus características. Bajo riesgo de señalar una obviedad, se debe decir que la definición del término estándar es “Que sirve como tipo, modelo, norma, patrón o referencia”. Si las autoridades pudiesen agregar, eliminar o modificar todos y cada uno de los aspectos contenidos en los pliegos tipo, estos documentos, llanamente, no podrían ser llamados pliegos tipo. </w:t>
      </w:r>
    </w:p>
    <w:p w14:paraId="4190FB68" w14:textId="77777777" w:rsidR="00910E71" w:rsidRPr="00910E71" w:rsidRDefault="00910E71" w:rsidP="00910E71">
      <w:pPr>
        <w:spacing w:after="0" w:line="240" w:lineRule="auto"/>
        <w:jc w:val="both"/>
        <w:rPr>
          <w:rFonts w:ascii="Verdana" w:eastAsia="Calibri" w:hAnsi="Verdana" w:cs="Arial"/>
          <w:color w:val="000000"/>
          <w:sz w:val="20"/>
          <w:szCs w:val="20"/>
          <w:lang w:val="es-ES"/>
        </w:rPr>
      </w:pPr>
    </w:p>
    <w:p w14:paraId="720992DB" w14:textId="77777777" w:rsidR="00910E71" w:rsidRPr="00910E71" w:rsidRDefault="00910E71" w:rsidP="00910E71">
      <w:pPr>
        <w:spacing w:after="0" w:line="240" w:lineRule="auto"/>
        <w:jc w:val="both"/>
        <w:rPr>
          <w:rFonts w:ascii="Verdana" w:eastAsia="Calibri" w:hAnsi="Verdana" w:cs="Arial"/>
          <w:color w:val="000000"/>
          <w:sz w:val="20"/>
          <w:szCs w:val="20"/>
          <w:lang w:val="es-ES"/>
        </w:rPr>
      </w:pPr>
      <w:r w:rsidRPr="00910E71">
        <w:rPr>
          <w:rFonts w:ascii="Verdana" w:eastAsia="Calibri" w:hAnsi="Verdana" w:cs="Arial"/>
          <w:color w:val="000000"/>
          <w:sz w:val="20"/>
          <w:szCs w:val="20"/>
          <w:lang w:val="es-ES"/>
        </w:rPr>
        <w:t xml:space="preserve">De otra parte, a la luz de los objetivos perseguidos, si la normativa permitiera la alteración de todo el documento tipo, sería imposible verificar en la práctica las ventajas perseguidas por el legislador. Así, por ejemplo, si cada autoridad pudiese rediseñar por completo el documento, la transparencia del sistema de compras públicas no sería mayor con la introducción de la estandarización de documentos. De similar manera, bajo la hipótesis de trabajo referida, las entidades podrían modificar todo el contenido del pliego, retornando a una de las prácticas que se buscó eliminar: la elaboración de “pliegos sastre”, que eliminan la competencia. En ese orden, si se permite ilimitadamente introducir ajustes, las entidades estatales podrían reintroducir los sesgos interpretativos incorrectos que se buscó erradicar con la introducción de la herramienta analizada. </w:t>
      </w:r>
    </w:p>
    <w:p w14:paraId="7453BFBC" w14:textId="77777777" w:rsidR="00910E71" w:rsidRPr="00910E71" w:rsidRDefault="00910E71" w:rsidP="00910E71">
      <w:pPr>
        <w:spacing w:after="0" w:line="240" w:lineRule="auto"/>
        <w:jc w:val="both"/>
        <w:rPr>
          <w:rFonts w:ascii="Verdana" w:eastAsia="Calibri" w:hAnsi="Verdana" w:cs="Arial"/>
          <w:color w:val="000000"/>
          <w:sz w:val="20"/>
          <w:szCs w:val="20"/>
          <w:lang w:val="es-ES"/>
        </w:rPr>
      </w:pPr>
      <w:r w:rsidRPr="00910E71">
        <w:rPr>
          <w:rFonts w:ascii="Verdana" w:eastAsia="Calibri" w:hAnsi="Verdana" w:cs="Arial"/>
          <w:color w:val="000000"/>
          <w:sz w:val="20"/>
          <w:szCs w:val="20"/>
          <w:lang w:val="es-ES"/>
        </w:rPr>
        <w:t>[…]</w:t>
      </w:r>
    </w:p>
    <w:p w14:paraId="4BEF89F4" w14:textId="77777777" w:rsidR="00910E71" w:rsidRPr="00910E71" w:rsidRDefault="00910E71" w:rsidP="00910E71">
      <w:pPr>
        <w:spacing w:after="0" w:line="240" w:lineRule="auto"/>
        <w:jc w:val="both"/>
        <w:rPr>
          <w:rFonts w:ascii="Verdana" w:eastAsia="Calibri" w:hAnsi="Verdana" w:cs="Arial"/>
          <w:color w:val="000000"/>
          <w:sz w:val="20"/>
          <w:szCs w:val="20"/>
          <w:lang w:val="es-ES"/>
        </w:rPr>
      </w:pPr>
      <w:r w:rsidRPr="00910E71">
        <w:rPr>
          <w:rFonts w:ascii="Verdana" w:eastAsia="Calibri" w:hAnsi="Verdana" w:cs="Arial"/>
          <w:sz w:val="20"/>
          <w:szCs w:val="20"/>
          <w:lang w:val="es-MX"/>
        </w:rPr>
        <w:t xml:space="preserve">No obstante, la parte introductoria de los documentos base de los documentos tipo disponen que los aspectos incluidos en corchetes y resaltados en gris </w:t>
      </w:r>
      <w:r w:rsidRPr="00910E71">
        <w:rPr>
          <w:rFonts w:ascii="Verdana" w:eastAsia="Aptos" w:hAnsi="Verdana" w:cs="Arial"/>
          <w:sz w:val="20"/>
          <w:szCs w:val="20"/>
        </w:rPr>
        <w:t>–[</w:t>
      </w:r>
      <w:r w:rsidRPr="00910E71">
        <w:rPr>
          <w:rFonts w:ascii="Verdana" w:eastAsia="Aptos" w:hAnsi="Verdana" w:cs="Arial"/>
          <w:sz w:val="20"/>
          <w:szCs w:val="20"/>
          <w:highlight w:val="lightGray"/>
        </w:rPr>
        <w:t>texto de ejemplo</w:t>
      </w:r>
      <w:r w:rsidRPr="00910E71">
        <w:rPr>
          <w:rFonts w:ascii="Verdana" w:eastAsia="Aptos" w:hAnsi="Verdana" w:cs="Arial"/>
          <w:sz w:val="20"/>
          <w:szCs w:val="20"/>
        </w:rPr>
        <w:t xml:space="preserve">]– </w:t>
      </w:r>
      <w:r w:rsidRPr="00910E71">
        <w:rPr>
          <w:rFonts w:ascii="Verdana" w:eastAsia="Calibri" w:hAnsi="Verdana" w:cs="Arial"/>
          <w:sz w:val="20"/>
          <w:szCs w:val="20"/>
          <w:lang w:val="es-MX"/>
        </w:rPr>
        <w:t xml:space="preserve">deben ser diligenciados por la entidad. Excepcionalmente le corresponde al proponente consignar la información incluida en corchetes y resaltada en gris, como, por ejemplo, los formatos que requieren de la firma del proponente o su representante legal. De todos modos, en cada acápite que esté resaltado en gris la entidad tendrá la libertad de determinar la información que se diligenciará en los documentos tipo, de acuerdo con su necesidad y las instrucciones de los mismos documentos tipo. </w:t>
      </w:r>
    </w:p>
    <w:p w14:paraId="3F8C3CD1" w14:textId="77777777" w:rsidR="00910E71" w:rsidRPr="00910E71" w:rsidRDefault="00910E71" w:rsidP="00910E71">
      <w:pPr>
        <w:spacing w:after="0" w:line="240" w:lineRule="auto"/>
        <w:jc w:val="both"/>
        <w:rPr>
          <w:rFonts w:ascii="Verdana" w:eastAsia="Calibri" w:hAnsi="Verdana" w:cs="Times New Roman"/>
          <w:b/>
          <w:bCs/>
          <w:lang w:val="es-ES"/>
        </w:rPr>
      </w:pPr>
    </w:p>
    <w:p w14:paraId="0205FC57" w14:textId="77777777" w:rsidR="00910E71" w:rsidRPr="00910E71" w:rsidRDefault="00910E71" w:rsidP="00910E71">
      <w:pPr>
        <w:spacing w:after="0" w:line="240" w:lineRule="auto"/>
        <w:jc w:val="both"/>
        <w:rPr>
          <w:rFonts w:ascii="Verdana" w:eastAsia="Calibri" w:hAnsi="Verdana" w:cs="Times New Roman"/>
          <w:b/>
          <w:bCs/>
          <w:lang w:val="es-ES"/>
        </w:rPr>
      </w:pPr>
      <w:r w:rsidRPr="00910E71">
        <w:rPr>
          <w:rFonts w:ascii="Verdana" w:eastAsia="Calibri" w:hAnsi="Verdana" w:cs="Times New Roman"/>
          <w:b/>
          <w:bCs/>
          <w:lang w:val="es-ES"/>
        </w:rPr>
        <w:lastRenderedPageBreak/>
        <w:t>INALTERABILIDAD – Prevalencia del derecho sustancial sobre las formas – Formatos</w:t>
      </w:r>
    </w:p>
    <w:p w14:paraId="3AAE43FD" w14:textId="77777777" w:rsidR="00910E71" w:rsidRPr="00910E71" w:rsidRDefault="00910E71" w:rsidP="00910E71">
      <w:pPr>
        <w:snapToGrid w:val="0"/>
        <w:spacing w:after="0" w:line="276" w:lineRule="auto"/>
        <w:jc w:val="both"/>
        <w:rPr>
          <w:rFonts w:ascii="Verdana" w:eastAsia="Calibri" w:hAnsi="Verdana" w:cs="Times New Roman"/>
          <w:b/>
          <w:bCs/>
          <w:lang w:val="es-ES"/>
        </w:rPr>
      </w:pPr>
    </w:p>
    <w:p w14:paraId="4A730519" w14:textId="77777777" w:rsidR="00910E71" w:rsidRPr="00910E71" w:rsidRDefault="00910E71" w:rsidP="00910E71">
      <w:pPr>
        <w:snapToGrid w:val="0"/>
        <w:spacing w:after="0" w:line="240" w:lineRule="auto"/>
        <w:jc w:val="both"/>
        <w:rPr>
          <w:rFonts w:ascii="Verdana" w:eastAsia="Calibri" w:hAnsi="Verdana" w:cs="Arial"/>
          <w:sz w:val="20"/>
          <w:szCs w:val="20"/>
          <w:lang w:val="es-MX"/>
        </w:rPr>
      </w:pPr>
      <w:r w:rsidRPr="00910E71">
        <w:rPr>
          <w:rFonts w:ascii="Verdana" w:eastAsia="Calibri" w:hAnsi="Verdana" w:cs="Arial"/>
          <w:sz w:val="20"/>
          <w:szCs w:val="20"/>
          <w:lang w:val="es-MX"/>
        </w:rPr>
        <w:t xml:space="preserve">Con todo, la regla de inalterabilidad de los documentos tipo debe armonizarse con principios de orden constitucional, especialmente con el de prevalencia del derecho sustancial, consagrado en el artículo 228 de la Constitución Política. La interpretación armónica de tales principios, a juicio de la Agencia Nacional de Contratación Pública, impide que la entidad que adelanta el proceso contractual le rinda culto a las “formas”, pues, en últimas, el deber que le asiste es el de tener en cuenta y aplicar los aspectos sustanciales de los documentos tipo, sin distingo de la formalidad de la que se sirva para ello los actores de la contratación pública. </w:t>
      </w:r>
    </w:p>
    <w:p w14:paraId="399765CD" w14:textId="77777777" w:rsidR="00910E71" w:rsidRPr="00910E71" w:rsidRDefault="00910E71" w:rsidP="00910E71">
      <w:pPr>
        <w:snapToGrid w:val="0"/>
        <w:spacing w:after="0" w:line="240" w:lineRule="auto"/>
        <w:jc w:val="both"/>
        <w:rPr>
          <w:rFonts w:ascii="Verdana" w:eastAsia="Calibri" w:hAnsi="Verdana" w:cs="Arial"/>
          <w:sz w:val="20"/>
          <w:szCs w:val="20"/>
          <w:lang w:val="es-MX"/>
        </w:rPr>
      </w:pPr>
    </w:p>
    <w:p w14:paraId="00293B86" w14:textId="77777777" w:rsidR="00910E71" w:rsidRPr="00910E71" w:rsidRDefault="00910E71" w:rsidP="00910E71">
      <w:pPr>
        <w:snapToGrid w:val="0"/>
        <w:spacing w:after="0" w:line="240" w:lineRule="auto"/>
        <w:jc w:val="both"/>
        <w:rPr>
          <w:rFonts w:ascii="Verdana" w:eastAsia="Aptos" w:hAnsi="Verdana" w:cs="Arial"/>
          <w:sz w:val="20"/>
          <w:szCs w:val="20"/>
        </w:rPr>
      </w:pPr>
      <w:r w:rsidRPr="00910E71">
        <w:rPr>
          <w:rFonts w:ascii="Verdana" w:eastAsia="Aptos" w:hAnsi="Verdana" w:cs="Arial"/>
          <w:sz w:val="20"/>
          <w:szCs w:val="20"/>
        </w:rPr>
        <w:t xml:space="preserve">En relación con el principio constitucional </w:t>
      </w:r>
      <w:r w:rsidRPr="00910E71">
        <w:rPr>
          <w:rFonts w:ascii="Verdana" w:eastAsia="Aptos" w:hAnsi="Verdana" w:cs="Arial"/>
          <w:i/>
          <w:iCs/>
          <w:sz w:val="20"/>
          <w:szCs w:val="20"/>
        </w:rPr>
        <w:t>sub examine</w:t>
      </w:r>
      <w:r w:rsidRPr="00910E71">
        <w:rPr>
          <w:rFonts w:ascii="Verdana" w:eastAsia="Aptos" w:hAnsi="Verdana" w:cs="Arial"/>
          <w:sz w:val="20"/>
          <w:szCs w:val="20"/>
        </w:rPr>
        <w:t xml:space="preserve">, la Corte Constitucional explica que “(…) por disposición del artículo 228 Superior, las formas no deben convertirse en un obstáculo para la efectividad del derecho sustancial, sino que deben propender por su realización. Es decir, que las normas procesales son un medio para lograr la efectividad de los derechos subjetivos y no fines en sí mismas”. </w:t>
      </w:r>
    </w:p>
    <w:p w14:paraId="48DD332F" w14:textId="77777777" w:rsidR="00910E71" w:rsidRPr="00910E71" w:rsidRDefault="00910E71" w:rsidP="00910E71">
      <w:pPr>
        <w:snapToGrid w:val="0"/>
        <w:spacing w:after="0" w:line="240" w:lineRule="auto"/>
        <w:jc w:val="both"/>
        <w:rPr>
          <w:rFonts w:ascii="Verdana" w:eastAsia="Aptos" w:hAnsi="Verdana" w:cs="Arial"/>
          <w:sz w:val="20"/>
          <w:szCs w:val="20"/>
        </w:rPr>
      </w:pPr>
    </w:p>
    <w:p w14:paraId="6901720F" w14:textId="77777777" w:rsidR="00910E71" w:rsidRPr="00910E71" w:rsidRDefault="00910E71" w:rsidP="00910E71">
      <w:pPr>
        <w:snapToGrid w:val="0"/>
        <w:spacing w:after="0" w:line="240" w:lineRule="auto"/>
        <w:jc w:val="both"/>
        <w:rPr>
          <w:rFonts w:ascii="Verdana" w:eastAsia="Calibri" w:hAnsi="Verdana" w:cs="Arial"/>
          <w:sz w:val="20"/>
          <w:szCs w:val="20"/>
          <w:lang w:val="es-MX"/>
        </w:rPr>
      </w:pPr>
      <w:r w:rsidRPr="00910E71">
        <w:rPr>
          <w:rFonts w:ascii="Verdana" w:eastAsia="Calibri" w:hAnsi="Verdana" w:cs="Arial"/>
          <w:sz w:val="20"/>
          <w:szCs w:val="20"/>
          <w:lang w:val="es-MX"/>
        </w:rPr>
        <w:t>El carácter inalterable de los documentos tipo no puede, por tanto, hacerse extensivo a los aspectos meramente formales de tales documentos, esto es, el tamaño y tipo de letra, las márgenes o las expresiones que pretenden hacer más comprensible el documento, como es el caso de aquellas que informan que una expresión larga será referida con otra similar pero más corta. Lo anterior considerando que estos aspectos en nada afectan la aplicación y alcance de los documentos tipos, es decir, no afectan su contenido esencial y, mucho menos, las obligaciones, deberes y derechos que se derivan para las partes contratantes.</w:t>
      </w:r>
    </w:p>
    <w:p w14:paraId="77818575" w14:textId="77777777" w:rsidR="00910E71" w:rsidRPr="00910E71" w:rsidRDefault="00910E71" w:rsidP="00910E71">
      <w:pPr>
        <w:spacing w:after="0" w:line="240" w:lineRule="auto"/>
        <w:jc w:val="both"/>
        <w:rPr>
          <w:rFonts w:ascii="Verdana" w:eastAsia="Calibri" w:hAnsi="Verdana" w:cs="Times New Roman"/>
          <w:b/>
          <w:bCs/>
          <w:lang w:val="es-ES"/>
        </w:rPr>
      </w:pPr>
    </w:p>
    <w:p w14:paraId="3EE9DBCE" w14:textId="77777777" w:rsidR="00910E71" w:rsidRPr="00910E71" w:rsidRDefault="00910E71" w:rsidP="00910E71">
      <w:pPr>
        <w:spacing w:after="0" w:line="240" w:lineRule="auto"/>
        <w:rPr>
          <w:rFonts w:ascii="Verdana" w:eastAsia="Calibri" w:hAnsi="Verdana" w:cs="Times New Roman"/>
          <w:b/>
          <w:bCs/>
          <w:lang w:val="es-ES"/>
        </w:rPr>
      </w:pPr>
    </w:p>
    <w:p w14:paraId="2CA242E2" w14:textId="77777777" w:rsidR="00910E71" w:rsidRPr="00910E71" w:rsidRDefault="00910E71" w:rsidP="00910E71">
      <w:pPr>
        <w:spacing w:after="0" w:line="240" w:lineRule="auto"/>
        <w:rPr>
          <w:rFonts w:ascii="Verdana" w:eastAsia="Calibri" w:hAnsi="Verdana" w:cs="Times New Roman"/>
          <w:b/>
          <w:bCs/>
          <w:lang w:val="es-ES"/>
        </w:rPr>
      </w:pPr>
    </w:p>
    <w:p w14:paraId="67EC91CB" w14:textId="77777777" w:rsidR="00910E71" w:rsidRPr="00910E71" w:rsidRDefault="00910E71" w:rsidP="00910E71">
      <w:pPr>
        <w:spacing w:after="0" w:line="240" w:lineRule="auto"/>
        <w:rPr>
          <w:rFonts w:ascii="Verdana" w:eastAsia="Calibri" w:hAnsi="Verdana" w:cs="Times New Roman"/>
          <w:b/>
          <w:bCs/>
          <w:lang w:val="es-ES"/>
        </w:rPr>
      </w:pPr>
    </w:p>
    <w:p w14:paraId="79A213B3" w14:textId="77777777" w:rsidR="00910E71" w:rsidRPr="00910E71" w:rsidRDefault="00910E71" w:rsidP="00910E71">
      <w:pPr>
        <w:spacing w:after="0" w:line="240" w:lineRule="auto"/>
        <w:rPr>
          <w:rFonts w:ascii="Verdana" w:eastAsia="Calibri" w:hAnsi="Verdana" w:cs="Times New Roman"/>
          <w:b/>
          <w:bCs/>
          <w:lang w:val="es-ES"/>
        </w:rPr>
      </w:pPr>
    </w:p>
    <w:p w14:paraId="59DABD00" w14:textId="77777777" w:rsidR="00910E71" w:rsidRPr="00910E71" w:rsidRDefault="00910E71" w:rsidP="00910E71">
      <w:pPr>
        <w:rPr>
          <w:rFonts w:ascii="Verdana" w:eastAsia="Calibri" w:hAnsi="Verdana" w:cs="Times New Roman"/>
          <w:b/>
          <w:bCs/>
          <w:lang w:val="es-ES"/>
        </w:rPr>
      </w:pPr>
      <w:r w:rsidRPr="00910E71">
        <w:rPr>
          <w:rFonts w:ascii="Verdana" w:eastAsia="Calibri" w:hAnsi="Verdana" w:cs="Times New Roman"/>
          <w:b/>
          <w:bCs/>
          <w:lang w:val="es-ES"/>
        </w:rPr>
        <w:br w:type="page"/>
      </w:r>
    </w:p>
    <w:p w14:paraId="6740A227" w14:textId="00A2F6EC" w:rsidR="00910E71" w:rsidRPr="00910E71" w:rsidRDefault="00910E71" w:rsidP="00910E71">
      <w:pPr>
        <w:spacing w:after="0" w:line="278" w:lineRule="auto"/>
        <w:rPr>
          <w:rFonts w:ascii="Verdana" w:eastAsia="Aptos" w:hAnsi="Verdana" w:cs="Times New Roman"/>
          <w:kern w:val="2"/>
          <w:sz w:val="24"/>
          <w:szCs w:val="24"/>
          <w14:ligatures w14:val="standardContextual"/>
        </w:rPr>
      </w:pPr>
      <w:r w:rsidRPr="30821638">
        <w:rPr>
          <w:rFonts w:ascii="Verdana" w:eastAsia="Verdana" w:hAnsi="Verdana" w:cs="Verdana"/>
        </w:rPr>
        <w:lastRenderedPageBreak/>
        <w:t xml:space="preserve">Bogotá D.C., </w:t>
      </w:r>
      <w:r w:rsidR="00682595">
        <w:rPr>
          <w:rFonts w:ascii="Verdana" w:eastAsia="Verdana" w:hAnsi="Verdana" w:cs="Verdana"/>
        </w:rPr>
        <w:t xml:space="preserve">24 </w:t>
      </w:r>
      <w:r w:rsidR="009918E5">
        <w:rPr>
          <w:rFonts w:ascii="Verdana" w:eastAsia="Verdana" w:hAnsi="Verdana" w:cs="Verdana"/>
        </w:rPr>
        <w:t>Junio 2026</w:t>
      </w:r>
    </w:p>
    <w:p w14:paraId="788583B5" w14:textId="32BE1CEF" w:rsidR="00910E71" w:rsidRPr="00910E71" w:rsidRDefault="00682595" w:rsidP="00682595">
      <w:pPr>
        <w:spacing w:after="0" w:line="278" w:lineRule="auto"/>
        <w:jc w:val="right"/>
        <w:rPr>
          <w:rFonts w:ascii="Verdana" w:eastAsia="Aptos" w:hAnsi="Verdana" w:cs="Times New Roman"/>
          <w:kern w:val="2"/>
          <w:sz w:val="24"/>
          <w:szCs w:val="24"/>
          <w14:ligatures w14:val="standardContextual"/>
        </w:rPr>
      </w:pPr>
      <w:r>
        <w:rPr>
          <w:rFonts w:ascii="Verdana" w:eastAsia="Aptos" w:hAnsi="Verdana" w:cs="Times New Roman"/>
          <w:noProof/>
          <w:kern w:val="2"/>
          <w:sz w:val="24"/>
          <w:szCs w:val="24"/>
        </w:rPr>
        <w:drawing>
          <wp:inline distT="0" distB="0" distL="0" distR="0" wp14:anchorId="4268D191" wp14:editId="6EED6CE9">
            <wp:extent cx="2285668" cy="607799"/>
            <wp:effectExtent l="0" t="0" r="635" b="1905"/>
            <wp:docPr id="2882082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08252" name="Imagen 288208252"/>
                    <pic:cNvPicPr/>
                  </pic:nvPicPr>
                  <pic:blipFill>
                    <a:blip r:embed="rId10">
                      <a:extLst>
                        <a:ext uri="{28A0092B-C50C-407E-A947-70E740481C1C}">
                          <a14:useLocalDpi xmlns:a14="http://schemas.microsoft.com/office/drawing/2010/main" val="0"/>
                        </a:ext>
                      </a:extLst>
                    </a:blip>
                    <a:stretch>
                      <a:fillRect/>
                    </a:stretch>
                  </pic:blipFill>
                  <pic:spPr>
                    <a:xfrm>
                      <a:off x="0" y="0"/>
                      <a:ext cx="2310259" cy="614338"/>
                    </a:xfrm>
                    <a:prstGeom prst="rect">
                      <a:avLst/>
                    </a:prstGeom>
                  </pic:spPr>
                </pic:pic>
              </a:graphicData>
            </a:graphic>
          </wp:inline>
        </w:drawing>
      </w:r>
    </w:p>
    <w:p w14:paraId="5EF33684" w14:textId="77777777" w:rsidR="00910E71" w:rsidRPr="00910E71" w:rsidRDefault="00910E71" w:rsidP="00910E71">
      <w:pPr>
        <w:spacing w:after="0" w:line="240" w:lineRule="auto"/>
        <w:rPr>
          <w:rFonts w:ascii="Verdana" w:eastAsia="Calibri" w:hAnsi="Verdana" w:cs="Arial"/>
          <w:kern w:val="2"/>
          <w:lang w:val="es-ES" w:eastAsia="es-ES"/>
          <w14:ligatures w14:val="standardContextual"/>
        </w:rPr>
      </w:pPr>
      <w:r w:rsidRPr="00910E71">
        <w:rPr>
          <w:rFonts w:ascii="Verdana" w:eastAsia="Calibri" w:hAnsi="Verdana" w:cs="Arial"/>
          <w:kern w:val="2"/>
          <w:lang w:val="es-ES" w:eastAsia="es-ES"/>
          <w14:ligatures w14:val="standardContextual"/>
        </w:rPr>
        <w:t>Señora</w:t>
      </w:r>
    </w:p>
    <w:p w14:paraId="337F5D2A" w14:textId="77777777" w:rsidR="00910E71" w:rsidRPr="00910E71" w:rsidRDefault="00910E71" w:rsidP="00910E71">
      <w:pPr>
        <w:spacing w:after="0" w:line="240" w:lineRule="auto"/>
        <w:rPr>
          <w:rFonts w:ascii="Verdana" w:eastAsia="Calibri" w:hAnsi="Verdana" w:cs="Arial"/>
          <w:b/>
          <w:bCs/>
          <w:kern w:val="2"/>
          <w:lang w:val="es-ES" w:eastAsia="es-ES"/>
          <w14:ligatures w14:val="standardContextual"/>
        </w:rPr>
      </w:pPr>
      <w:r w:rsidRPr="00910E71">
        <w:rPr>
          <w:rFonts w:ascii="Verdana" w:eastAsia="Calibri" w:hAnsi="Verdana" w:cs="Arial"/>
          <w:b/>
          <w:bCs/>
          <w:kern w:val="2"/>
          <w:lang w:val="es-ES" w:eastAsia="es-ES"/>
          <w14:ligatures w14:val="standardContextual"/>
        </w:rPr>
        <w:t>Yessenia Cortés Urbano</w:t>
      </w:r>
    </w:p>
    <w:p w14:paraId="3825EDB9" w14:textId="77777777" w:rsidR="00910E71" w:rsidRPr="00910E71" w:rsidRDefault="00910E71" w:rsidP="00910E71">
      <w:pPr>
        <w:spacing w:after="0" w:line="240" w:lineRule="auto"/>
        <w:rPr>
          <w:rFonts w:ascii="Verdana" w:eastAsia="Calibri" w:hAnsi="Verdana" w:cs="Arial"/>
          <w:lang w:val="es-ES_tradnl" w:eastAsia="es-ES_tradnl"/>
        </w:rPr>
      </w:pPr>
      <w:r w:rsidRPr="00910E71">
        <w:rPr>
          <w:rFonts w:ascii="Verdana" w:eastAsia="Calibri" w:hAnsi="Verdana" w:cs="Arial"/>
          <w:kern w:val="2"/>
          <w:lang w:val="es-ES" w:eastAsia="es-ES"/>
          <w14:ligatures w14:val="standardContextual"/>
        </w:rPr>
        <w:t>Popayán, Cauca</w:t>
      </w:r>
    </w:p>
    <w:p w14:paraId="221DA767" w14:textId="77777777" w:rsidR="00910E71" w:rsidRPr="00910E71" w:rsidRDefault="00910E71" w:rsidP="00910E71">
      <w:pPr>
        <w:spacing w:after="0" w:line="240" w:lineRule="auto"/>
        <w:rPr>
          <w:rFonts w:ascii="Verdana" w:eastAsia="Calibri" w:hAnsi="Verdana" w:cs="Arial"/>
          <w:b/>
          <w:bCs/>
          <w:lang w:val="es-ES_tradnl" w:eastAsia="es-ES_tradnl"/>
        </w:rPr>
      </w:pPr>
    </w:p>
    <w:p w14:paraId="66ABE20C" w14:textId="77777777" w:rsidR="00910E71" w:rsidRPr="00910E71" w:rsidRDefault="00910E71" w:rsidP="00910E71">
      <w:pPr>
        <w:spacing w:after="0" w:line="240" w:lineRule="auto"/>
        <w:rPr>
          <w:rFonts w:ascii="Verdana" w:eastAsia="Calibri" w:hAnsi="Verdana" w:cs="Arial"/>
          <w:b/>
          <w:bCs/>
          <w:lang w:val="es-ES_tradnl" w:eastAsia="es-ES_tradnl"/>
        </w:rPr>
      </w:pPr>
    </w:p>
    <w:tbl>
      <w:tblPr>
        <w:tblStyle w:val="Tablaconcuadrcula1"/>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5"/>
        <w:gridCol w:w="6383"/>
      </w:tblGrid>
      <w:tr w:rsidR="00910E71" w:rsidRPr="00910E71" w14:paraId="1C44DFC6" w14:textId="77777777" w:rsidTr="00E00EBA">
        <w:trPr>
          <w:trHeight w:val="229"/>
        </w:trPr>
        <w:tc>
          <w:tcPr>
            <w:tcW w:w="1985" w:type="dxa"/>
          </w:tcPr>
          <w:p w14:paraId="6B0BD913" w14:textId="77777777" w:rsidR="00910E71" w:rsidRPr="00910E71" w:rsidRDefault="00910E71" w:rsidP="00910E71">
            <w:pPr>
              <w:jc w:val="both"/>
              <w:rPr>
                <w:rFonts w:ascii="Verdana" w:eastAsia="Calibri" w:hAnsi="Verdana" w:cs="Arial"/>
                <w:b/>
                <w:bCs/>
                <w:lang w:val="es-ES_tradnl" w:eastAsia="es-ES_tradnl"/>
              </w:rPr>
            </w:pPr>
          </w:p>
        </w:tc>
        <w:tc>
          <w:tcPr>
            <w:tcW w:w="6383" w:type="dxa"/>
          </w:tcPr>
          <w:p w14:paraId="40938B43" w14:textId="77777777" w:rsidR="00910E71" w:rsidRPr="00910E71" w:rsidRDefault="00910E71" w:rsidP="00910E71">
            <w:pPr>
              <w:jc w:val="both"/>
              <w:rPr>
                <w:rFonts w:ascii="Verdana" w:eastAsia="Calibri" w:hAnsi="Verdana" w:cs="Arial"/>
                <w:b/>
                <w:bCs/>
                <w:lang w:val="es-ES" w:eastAsia="es-ES"/>
              </w:rPr>
            </w:pPr>
            <w:r w:rsidRPr="00910E71">
              <w:rPr>
                <w:rFonts w:ascii="Verdana" w:eastAsia="Calibri" w:hAnsi="Verdana" w:cs="Arial"/>
                <w:b/>
                <w:bCs/>
                <w:lang w:val="es-ES" w:eastAsia="es-ES"/>
              </w:rPr>
              <w:t>Concepto C – 794 de 2026</w:t>
            </w:r>
          </w:p>
          <w:p w14:paraId="77526FC4" w14:textId="77777777" w:rsidR="00910E71" w:rsidRPr="00910E71" w:rsidRDefault="00910E71" w:rsidP="00910E71">
            <w:pPr>
              <w:jc w:val="both"/>
              <w:rPr>
                <w:rFonts w:ascii="Verdana" w:eastAsia="Calibri" w:hAnsi="Verdana" w:cs="Arial"/>
                <w:b/>
                <w:bCs/>
                <w:lang w:val="es-ES" w:eastAsia="es-ES"/>
              </w:rPr>
            </w:pPr>
          </w:p>
          <w:p w14:paraId="309697A8" w14:textId="77777777" w:rsidR="00910E71" w:rsidRPr="00910E71" w:rsidRDefault="00910E71" w:rsidP="00910E71">
            <w:pPr>
              <w:jc w:val="both"/>
              <w:rPr>
                <w:rFonts w:ascii="Verdana" w:eastAsia="Calibri" w:hAnsi="Verdana" w:cs="Arial"/>
                <w:b/>
                <w:bCs/>
                <w:lang w:val="es-ES" w:eastAsia="es-ES"/>
              </w:rPr>
            </w:pPr>
          </w:p>
        </w:tc>
      </w:tr>
      <w:tr w:rsidR="00910E71" w:rsidRPr="00910E71" w14:paraId="4539E06D" w14:textId="77777777" w:rsidTr="00E00EBA">
        <w:trPr>
          <w:trHeight w:val="884"/>
        </w:trPr>
        <w:tc>
          <w:tcPr>
            <w:tcW w:w="1985" w:type="dxa"/>
          </w:tcPr>
          <w:p w14:paraId="19497D4F" w14:textId="77777777" w:rsidR="00910E71" w:rsidRPr="00910E71" w:rsidRDefault="00910E71" w:rsidP="00910E71">
            <w:pPr>
              <w:jc w:val="both"/>
              <w:rPr>
                <w:rFonts w:ascii="Verdana" w:eastAsia="Calibri" w:hAnsi="Verdana" w:cs="Arial"/>
                <w:lang w:val="es-ES_tradnl" w:eastAsia="es-ES_tradnl"/>
              </w:rPr>
            </w:pPr>
            <w:r w:rsidRPr="00910E71">
              <w:rPr>
                <w:rFonts w:ascii="Verdana" w:eastAsia="Calibri" w:hAnsi="Verdana" w:cs="Arial"/>
                <w:b/>
                <w:lang w:val="es-ES_tradnl" w:eastAsia="es-ES_tradnl"/>
              </w:rPr>
              <w:t>Temas:</w:t>
            </w:r>
            <w:r w:rsidRPr="00910E71">
              <w:rPr>
                <w:rFonts w:ascii="Verdana" w:eastAsia="Calibri" w:hAnsi="Verdana" w:cs="Arial"/>
                <w:lang w:val="es-ES_tradnl" w:eastAsia="es-ES_tradnl"/>
              </w:rPr>
              <w:t xml:space="preserve">                   </w:t>
            </w:r>
          </w:p>
        </w:tc>
        <w:tc>
          <w:tcPr>
            <w:tcW w:w="6383" w:type="dxa"/>
          </w:tcPr>
          <w:p w14:paraId="3358F307" w14:textId="77777777" w:rsidR="00910E71" w:rsidRPr="00910E71" w:rsidRDefault="00910E71" w:rsidP="00910E71">
            <w:pPr>
              <w:widowControl w:val="0"/>
              <w:autoSpaceDE w:val="0"/>
              <w:autoSpaceDN w:val="0"/>
              <w:spacing w:line="276" w:lineRule="auto"/>
              <w:jc w:val="both"/>
              <w:rPr>
                <w:rFonts w:ascii="Verdana" w:eastAsia="Calibri" w:hAnsi="Verdana" w:cs="Times New Roman"/>
                <w:lang w:val="es-ES"/>
              </w:rPr>
            </w:pPr>
            <w:r w:rsidRPr="00910E71">
              <w:rPr>
                <w:rFonts w:ascii="Verdana" w:eastAsia="Calibri" w:hAnsi="Verdana" w:cs="Times New Roman"/>
                <w:lang w:val="es-ES"/>
              </w:rPr>
              <w:t>DOCUMENTOS TIPO – Inalterabilidad – Alcance / INALTERABILIDAD – Prevalencia del derecho sustancial sobre las formas – Formatos</w:t>
            </w:r>
          </w:p>
          <w:p w14:paraId="76701746" w14:textId="77777777" w:rsidR="00910E71" w:rsidRPr="00910E71" w:rsidRDefault="00910E71" w:rsidP="00910E71">
            <w:pPr>
              <w:widowControl w:val="0"/>
              <w:autoSpaceDE w:val="0"/>
              <w:autoSpaceDN w:val="0"/>
              <w:spacing w:line="276" w:lineRule="auto"/>
              <w:jc w:val="both"/>
              <w:rPr>
                <w:rFonts w:ascii="Verdana" w:eastAsia="Calibri" w:hAnsi="Verdana" w:cs="Times New Roman"/>
                <w:highlight w:val="yellow"/>
                <w:lang w:val="es-ES"/>
              </w:rPr>
            </w:pPr>
          </w:p>
        </w:tc>
      </w:tr>
      <w:tr w:rsidR="00910E71" w:rsidRPr="00910E71" w14:paraId="4C5A05BE" w14:textId="77777777" w:rsidTr="00E00EBA">
        <w:tc>
          <w:tcPr>
            <w:tcW w:w="1985" w:type="dxa"/>
          </w:tcPr>
          <w:p w14:paraId="58638326" w14:textId="77777777" w:rsidR="00910E71" w:rsidRPr="00910E71" w:rsidRDefault="00910E71" w:rsidP="00910E71">
            <w:pPr>
              <w:jc w:val="both"/>
              <w:rPr>
                <w:rFonts w:ascii="Verdana" w:eastAsia="Calibri" w:hAnsi="Verdana" w:cs="Arial"/>
                <w:b/>
                <w:lang w:val="es-ES_tradnl" w:eastAsia="es-ES_tradnl"/>
              </w:rPr>
            </w:pPr>
            <w:r w:rsidRPr="00910E71">
              <w:rPr>
                <w:rFonts w:ascii="Verdana" w:eastAsia="Calibri" w:hAnsi="Verdana" w:cs="Arial"/>
                <w:b/>
                <w:lang w:val="es-ES_tradnl" w:eastAsia="es-ES_tradnl"/>
              </w:rPr>
              <w:t>Radicación:</w:t>
            </w:r>
            <w:r w:rsidRPr="00910E71">
              <w:rPr>
                <w:rFonts w:ascii="Verdana" w:eastAsia="Calibri" w:hAnsi="Verdana" w:cs="Arial"/>
                <w:lang w:val="es-ES_tradnl" w:eastAsia="es-ES_tradnl"/>
              </w:rPr>
              <w:t xml:space="preserve">               </w:t>
            </w:r>
          </w:p>
        </w:tc>
        <w:tc>
          <w:tcPr>
            <w:tcW w:w="6383" w:type="dxa"/>
          </w:tcPr>
          <w:p w14:paraId="7CAB2291" w14:textId="77777777" w:rsidR="00910E71" w:rsidRPr="00910E71" w:rsidRDefault="00910E71" w:rsidP="00910E71">
            <w:pPr>
              <w:spacing w:line="276" w:lineRule="auto"/>
              <w:ind w:left="3" w:hanging="3"/>
              <w:jc w:val="both"/>
              <w:rPr>
                <w:rFonts w:ascii="Verdana" w:eastAsia="Calibri" w:hAnsi="Verdana" w:cs="Arial"/>
                <w:lang w:val="es-ES_tradnl" w:eastAsia="es-ES_tradnl"/>
              </w:rPr>
            </w:pPr>
            <w:r w:rsidRPr="00910E71">
              <w:rPr>
                <w:rFonts w:ascii="Verdana" w:eastAsia="Calibri" w:hAnsi="Verdana" w:cs="Arial"/>
                <w:lang w:val="es-ES_tradnl" w:eastAsia="es-ES_tradnl"/>
              </w:rPr>
              <w:t>Respuesta a consulta con radicado No. 1_2026_05_12_006449</w:t>
            </w:r>
          </w:p>
        </w:tc>
      </w:tr>
    </w:tbl>
    <w:p w14:paraId="349B279C" w14:textId="77777777" w:rsidR="00910E71" w:rsidRPr="00910E71" w:rsidRDefault="00910E71" w:rsidP="00910E71">
      <w:pPr>
        <w:spacing w:after="0" w:line="240" w:lineRule="auto"/>
        <w:jc w:val="both"/>
        <w:rPr>
          <w:rFonts w:ascii="Verdana" w:eastAsia="Calibri" w:hAnsi="Verdana" w:cs="Arial"/>
          <w:lang w:val="es-ES_tradnl" w:eastAsia="es-ES_tradnl"/>
        </w:rPr>
      </w:pPr>
    </w:p>
    <w:p w14:paraId="3F4B607E" w14:textId="77777777" w:rsidR="00910E71" w:rsidRPr="00910E71" w:rsidRDefault="00910E71" w:rsidP="00910E71">
      <w:pPr>
        <w:spacing w:after="0" w:line="240" w:lineRule="auto"/>
        <w:jc w:val="both"/>
        <w:rPr>
          <w:rFonts w:ascii="Verdana" w:eastAsia="Calibri" w:hAnsi="Verdana" w:cs="Arial"/>
          <w:lang w:val="es-ES_tradnl" w:eastAsia="es-ES_tradnl"/>
        </w:rPr>
      </w:pPr>
    </w:p>
    <w:p w14:paraId="49C18CED" w14:textId="77777777" w:rsidR="00910E71" w:rsidRPr="00910E71" w:rsidRDefault="00910E71" w:rsidP="00910E71">
      <w:pPr>
        <w:spacing w:after="0" w:line="276" w:lineRule="auto"/>
        <w:jc w:val="both"/>
        <w:rPr>
          <w:rFonts w:ascii="Verdana" w:eastAsia="Calibri" w:hAnsi="Verdana" w:cs="Arial"/>
          <w:lang w:val="es-ES" w:eastAsia="es-ES"/>
        </w:rPr>
      </w:pPr>
      <w:r w:rsidRPr="00910E71">
        <w:rPr>
          <w:rFonts w:ascii="Verdana" w:eastAsia="Calibri" w:hAnsi="Verdana" w:cs="Arial"/>
          <w:lang w:val="es-ES" w:eastAsia="es-ES"/>
        </w:rPr>
        <w:t>Estimada señora Cortés Urbano</w:t>
      </w:r>
      <w:r w:rsidRPr="00910E71">
        <w:rPr>
          <w:rFonts w:ascii="Verdana" w:eastAsia="Calibri" w:hAnsi="Verdana" w:cs="Arial"/>
          <w:kern w:val="2"/>
          <w:lang w:eastAsia="es-ES_tradnl"/>
          <w14:ligatures w14:val="standardContextual"/>
        </w:rPr>
        <w:t>:</w:t>
      </w:r>
      <w:r w:rsidRPr="00910E71">
        <w:rPr>
          <w:rFonts w:ascii="Verdana" w:eastAsia="Calibri" w:hAnsi="Verdana" w:cs="Arial"/>
          <w:lang w:val="es-ES" w:eastAsia="es-ES"/>
        </w:rPr>
        <w:t xml:space="preserve"> </w:t>
      </w:r>
    </w:p>
    <w:p w14:paraId="2148410F" w14:textId="77777777" w:rsidR="00910E71" w:rsidRPr="00910E71" w:rsidRDefault="00910E71" w:rsidP="00910E71">
      <w:pPr>
        <w:tabs>
          <w:tab w:val="left" w:pos="3768"/>
        </w:tabs>
        <w:spacing w:after="0" w:line="276" w:lineRule="auto"/>
        <w:jc w:val="both"/>
        <w:rPr>
          <w:rFonts w:ascii="Verdana" w:eastAsia="Calibri" w:hAnsi="Verdana" w:cs="Arial"/>
          <w:lang w:val="es-ES" w:eastAsia="es-ES"/>
        </w:rPr>
      </w:pPr>
      <w:r w:rsidRPr="00910E71">
        <w:rPr>
          <w:rFonts w:ascii="Verdana" w:eastAsia="Calibri" w:hAnsi="Verdana" w:cs="Arial"/>
          <w:lang w:val="es-ES" w:eastAsia="es-ES"/>
        </w:rPr>
        <w:t xml:space="preserve"> </w:t>
      </w:r>
    </w:p>
    <w:p w14:paraId="6BF49192" w14:textId="77777777" w:rsidR="00910E71" w:rsidRPr="00910E71" w:rsidRDefault="00910E71" w:rsidP="00910E71">
      <w:pPr>
        <w:spacing w:after="0" w:line="276" w:lineRule="auto"/>
        <w:jc w:val="both"/>
        <w:rPr>
          <w:rFonts w:ascii="Verdana" w:eastAsia="Calibri" w:hAnsi="Verdana" w:cs="Arial"/>
          <w:lang w:val="es-ES" w:eastAsia="es-ES"/>
        </w:rPr>
      </w:pPr>
      <w:r w:rsidRPr="00910E71">
        <w:rPr>
          <w:rFonts w:ascii="Verdana" w:eastAsia="Calibri" w:hAnsi="Verdana" w:cs="Arial"/>
          <w:lang w:val="es-ES" w:eastAsia="es-ES"/>
        </w:rPr>
        <w:t>En ejercicio de la competencia otorgada por los artículos 3, numeral 5º, y 11, numeral 8º, del Decreto Ley 4170 de 2011,</w:t>
      </w:r>
      <w:r w:rsidRPr="00910E71">
        <w:rPr>
          <w:rFonts w:ascii="Verdana" w:eastAsia="Arial MT" w:hAnsi="Verdana" w:cs="Arial MT"/>
          <w:lang w:val="es-ES" w:eastAsia="es-ES"/>
        </w:rPr>
        <w:t xml:space="preserve"> </w:t>
      </w:r>
      <w:r w:rsidRPr="00910E71">
        <w:rPr>
          <w:rFonts w:ascii="Verdana" w:eastAsia="Calibri" w:hAnsi="Verdana" w:cs="Arial"/>
        </w:rPr>
        <w:t xml:space="preserve">así como lo establecido en la Resolución No. 469 del 2025 expedida por esta Entidad, </w:t>
      </w:r>
      <w:r w:rsidRPr="00910E71">
        <w:rPr>
          <w:rFonts w:ascii="Verdana" w:eastAsia="Calibri" w:hAnsi="Verdana" w:cs="Arial"/>
          <w:lang w:val="es-ES" w:eastAsia="es-ES"/>
        </w:rPr>
        <w:t>la Agencia Nacional de Contratación Pública –Colombia Compra Eficiente– responde su solicitud de consulta del 12 de mayo de 2026, en la cual manifiesta lo siguiente:</w:t>
      </w:r>
    </w:p>
    <w:p w14:paraId="208185ED" w14:textId="77777777" w:rsidR="00910E71" w:rsidRPr="00910E71" w:rsidRDefault="00910E71" w:rsidP="00910E71">
      <w:pPr>
        <w:spacing w:after="0" w:line="276" w:lineRule="auto"/>
        <w:jc w:val="both"/>
        <w:rPr>
          <w:rFonts w:ascii="Verdana" w:eastAsia="Calibri" w:hAnsi="Verdana" w:cs="Arial"/>
          <w:lang w:val="es-ES" w:eastAsia="es-ES"/>
        </w:rPr>
      </w:pPr>
    </w:p>
    <w:p w14:paraId="23FBA08D" w14:textId="77777777" w:rsidR="00910E71" w:rsidRPr="00910E71" w:rsidRDefault="00910E71" w:rsidP="00910E71">
      <w:pPr>
        <w:spacing w:after="0" w:line="240" w:lineRule="auto"/>
        <w:ind w:left="709" w:right="709"/>
        <w:jc w:val="both"/>
        <w:rPr>
          <w:rFonts w:ascii="Verdana" w:eastAsia="Aptos" w:hAnsi="Verdana" w:cs="Helvetica"/>
          <w:color w:val="000000"/>
          <w:sz w:val="21"/>
          <w:szCs w:val="21"/>
          <w14:ligatures w14:val="standardContextual"/>
        </w:rPr>
      </w:pPr>
      <w:r w:rsidRPr="00910E71">
        <w:rPr>
          <w:rFonts w:ascii="Verdana" w:eastAsia="Aptos" w:hAnsi="Verdana" w:cs="Helvetica"/>
          <w:color w:val="000000"/>
          <w:sz w:val="21"/>
          <w:szCs w:val="21"/>
          <w14:ligatures w14:val="standardContextual"/>
        </w:rPr>
        <w:t>“1. Cuando un formato derivado de documentos tipo contiene una remisión expresa a un numeral específico del documento base, y posteriormente la entidad modifica la estructura o numeración del pliego definitivo al adecuarlo a las necesidades del proceso, ¿el oferente debe mantener inalterada la referencia original contenida en el formato tipo o debe adecuarla al numeral efectivamente aplicable dentro del pliego definitivo?</w:t>
      </w:r>
    </w:p>
    <w:p w14:paraId="074B17B2" w14:textId="77777777" w:rsidR="00910E71" w:rsidRPr="00910E71" w:rsidRDefault="00910E71" w:rsidP="00910E71">
      <w:pPr>
        <w:spacing w:after="0" w:line="240" w:lineRule="auto"/>
        <w:ind w:left="709" w:right="709"/>
        <w:jc w:val="both"/>
        <w:rPr>
          <w:rFonts w:ascii="Verdana" w:eastAsia="Aptos" w:hAnsi="Verdana" w:cs="Helvetica"/>
          <w:color w:val="000000"/>
          <w:sz w:val="21"/>
          <w:szCs w:val="21"/>
          <w14:ligatures w14:val="standardContextual"/>
        </w:rPr>
      </w:pPr>
    </w:p>
    <w:p w14:paraId="66D8AC4D" w14:textId="77777777" w:rsidR="00910E71" w:rsidRPr="00910E71" w:rsidRDefault="00910E71" w:rsidP="00910E71">
      <w:pPr>
        <w:spacing w:after="0" w:line="240" w:lineRule="auto"/>
        <w:ind w:left="709" w:right="709"/>
        <w:jc w:val="both"/>
        <w:rPr>
          <w:rFonts w:ascii="Verdana" w:eastAsia="Aptos" w:hAnsi="Verdana" w:cs="Helvetica"/>
          <w:color w:val="000000"/>
          <w:sz w:val="21"/>
          <w:szCs w:val="21"/>
          <w14:ligatures w14:val="standardContextual"/>
        </w:rPr>
      </w:pPr>
      <w:r w:rsidRPr="00910E71">
        <w:rPr>
          <w:rFonts w:ascii="Verdana" w:eastAsia="Aptos" w:hAnsi="Verdana" w:cs="Helvetica"/>
          <w:color w:val="000000"/>
          <w:sz w:val="21"/>
          <w:szCs w:val="21"/>
          <w14:ligatures w14:val="standardContextual"/>
        </w:rPr>
        <w:t xml:space="preserve">2. ¿Resulta jurídicamente procedente que el oferente ajuste la referencia numérica contenida en el formato con el fin de garantizar </w:t>
      </w:r>
      <w:r w:rsidRPr="00910E71">
        <w:rPr>
          <w:rFonts w:ascii="Verdana" w:eastAsia="Aptos" w:hAnsi="Verdana" w:cs="Helvetica"/>
          <w:color w:val="000000"/>
          <w:sz w:val="21"/>
          <w:szCs w:val="21"/>
          <w14:ligatures w14:val="standardContextual"/>
        </w:rPr>
        <w:lastRenderedPageBreak/>
        <w:t>coherencia entre el ofrecimiento presentado y el contenido material del pliego definitivo del proceso?</w:t>
      </w:r>
    </w:p>
    <w:p w14:paraId="2156FF5C" w14:textId="77777777" w:rsidR="00910E71" w:rsidRPr="00910E71" w:rsidRDefault="00910E71" w:rsidP="00910E71">
      <w:pPr>
        <w:spacing w:after="0" w:line="240" w:lineRule="auto"/>
        <w:ind w:left="709" w:right="709"/>
        <w:jc w:val="both"/>
        <w:rPr>
          <w:rFonts w:ascii="Verdana" w:eastAsia="Aptos" w:hAnsi="Verdana" w:cs="Helvetica"/>
          <w:color w:val="000000"/>
          <w:sz w:val="21"/>
          <w:szCs w:val="21"/>
          <w14:ligatures w14:val="standardContextual"/>
        </w:rPr>
      </w:pPr>
    </w:p>
    <w:p w14:paraId="218F29CA" w14:textId="77777777" w:rsidR="00910E71" w:rsidRPr="00910E71" w:rsidRDefault="00910E71" w:rsidP="00910E71">
      <w:pPr>
        <w:spacing w:after="0" w:line="240" w:lineRule="auto"/>
        <w:ind w:left="709" w:right="709"/>
        <w:jc w:val="both"/>
        <w:rPr>
          <w:rFonts w:ascii="Verdana" w:eastAsia="Aptos" w:hAnsi="Verdana" w:cs="Helvetica"/>
          <w:color w:val="000000"/>
          <w:sz w:val="21"/>
          <w:szCs w:val="21"/>
          <w14:ligatures w14:val="standardContextual"/>
        </w:rPr>
      </w:pPr>
      <w:r w:rsidRPr="00910E71">
        <w:rPr>
          <w:rFonts w:ascii="Verdana" w:eastAsia="Aptos" w:hAnsi="Verdana" w:cs="Helvetica"/>
          <w:color w:val="000000"/>
          <w:sz w:val="21"/>
          <w:szCs w:val="21"/>
          <w14:ligatures w14:val="standardContextual"/>
        </w:rPr>
        <w:t>3. En caso de existir diferencias entre la numeración contenida en el formato tipo y la numeración finalmente adoptada en el pliego definitivo, ¿qué debe prevalecer para efectos del diligenciamiento del ofrecimiento evaluable: la literalidad del formato tipo o la correspondencia material con el contenido definitivo del pliego de condiciones?</w:t>
      </w:r>
    </w:p>
    <w:p w14:paraId="0C42FB29" w14:textId="77777777" w:rsidR="00910E71" w:rsidRPr="00910E71" w:rsidRDefault="00910E71" w:rsidP="00910E71">
      <w:pPr>
        <w:spacing w:after="0" w:line="240" w:lineRule="auto"/>
        <w:ind w:left="709" w:right="709"/>
        <w:jc w:val="both"/>
        <w:rPr>
          <w:rFonts w:ascii="Verdana" w:eastAsia="Aptos" w:hAnsi="Verdana" w:cs="Helvetica"/>
          <w:color w:val="000000"/>
          <w:sz w:val="21"/>
          <w:szCs w:val="21"/>
          <w14:ligatures w14:val="standardContextual"/>
        </w:rPr>
      </w:pPr>
    </w:p>
    <w:p w14:paraId="00AA0008" w14:textId="77777777" w:rsidR="00910E71" w:rsidRPr="00910E71" w:rsidRDefault="00910E71" w:rsidP="00910E71">
      <w:pPr>
        <w:spacing w:after="0" w:line="240" w:lineRule="auto"/>
        <w:ind w:left="709" w:right="709"/>
        <w:jc w:val="both"/>
        <w:rPr>
          <w:rFonts w:ascii="Verdana" w:eastAsia="Aptos" w:hAnsi="Verdana" w:cs="Helvetica"/>
          <w:color w:val="000000"/>
          <w:sz w:val="21"/>
          <w:szCs w:val="21"/>
          <w14:ligatures w14:val="standardContextual"/>
        </w:rPr>
      </w:pPr>
      <w:r w:rsidRPr="00910E71">
        <w:rPr>
          <w:rFonts w:ascii="Verdana" w:eastAsia="Aptos" w:hAnsi="Verdana" w:cs="Helvetica"/>
          <w:color w:val="000000"/>
          <w:sz w:val="21"/>
          <w:szCs w:val="21"/>
          <w14:ligatures w14:val="standardContextual"/>
        </w:rPr>
        <w:t>4. ¿La modificación o adecuación de una referencia numérica dentro de un formato derivado de documentos tipo constituye una alteración indebida del formato o puede entenderse como una adecuación necesaria derivada de los ajustes realizados por la entidad al documento base?</w:t>
      </w:r>
    </w:p>
    <w:p w14:paraId="14CFE5DC" w14:textId="77777777" w:rsidR="00910E71" w:rsidRPr="00910E71" w:rsidRDefault="00910E71" w:rsidP="00910E71">
      <w:pPr>
        <w:spacing w:after="0" w:line="240" w:lineRule="auto"/>
        <w:ind w:left="709" w:right="709"/>
        <w:jc w:val="both"/>
        <w:rPr>
          <w:rFonts w:ascii="Verdana" w:eastAsia="Aptos" w:hAnsi="Verdana" w:cs="Helvetica"/>
          <w:color w:val="000000"/>
          <w:sz w:val="21"/>
          <w:szCs w:val="21"/>
          <w14:ligatures w14:val="standardContextual"/>
        </w:rPr>
      </w:pPr>
    </w:p>
    <w:p w14:paraId="06B1F02F" w14:textId="77777777" w:rsidR="00910E71" w:rsidRPr="00910E71" w:rsidRDefault="00910E71" w:rsidP="00910E71">
      <w:pPr>
        <w:spacing w:after="0" w:line="240" w:lineRule="auto"/>
        <w:ind w:left="709" w:right="709"/>
        <w:jc w:val="both"/>
        <w:rPr>
          <w:rFonts w:ascii="Verdana" w:eastAsia="Aptos" w:hAnsi="Verdana" w:cs="Helvetica"/>
          <w:color w:val="000000"/>
          <w:sz w:val="21"/>
          <w:szCs w:val="21"/>
          <w14:ligatures w14:val="standardContextual"/>
        </w:rPr>
      </w:pPr>
      <w:r w:rsidRPr="00910E71">
        <w:rPr>
          <w:rFonts w:ascii="Verdana" w:eastAsia="Aptos" w:hAnsi="Verdana" w:cs="Helvetica"/>
          <w:color w:val="000000"/>
          <w:sz w:val="21"/>
          <w:szCs w:val="21"/>
          <w14:ligatures w14:val="standardContextual"/>
        </w:rPr>
        <w:t>5. Para efectos de asignación de puntaje, ¿puede la entidad considerar válidos ofrecimientos presentados con referencias numéricas distintas cuando dichas diferencias obedecen a modificaciones en la estructura y numeración del pliego definitivo efectuadas por la propia entidad?”</w:t>
      </w:r>
    </w:p>
    <w:p w14:paraId="7357F015" w14:textId="77777777" w:rsidR="00910E71" w:rsidRPr="00910E71" w:rsidRDefault="00910E71" w:rsidP="00910E71">
      <w:pPr>
        <w:spacing w:after="0" w:line="276" w:lineRule="auto"/>
        <w:jc w:val="both"/>
        <w:rPr>
          <w:rFonts w:ascii="Verdana" w:eastAsia="Calibri" w:hAnsi="Verdana" w:cs="Arial"/>
          <w:lang w:val="es-ES" w:eastAsia="es-ES"/>
        </w:rPr>
      </w:pPr>
    </w:p>
    <w:p w14:paraId="0FA2563F" w14:textId="77777777" w:rsidR="00910E71" w:rsidRPr="00910E71" w:rsidRDefault="00910E71" w:rsidP="00910E71">
      <w:pPr>
        <w:spacing w:after="120" w:line="276" w:lineRule="auto"/>
        <w:ind w:firstLine="709"/>
        <w:jc w:val="both"/>
        <w:rPr>
          <w:rFonts w:ascii="Verdana" w:eastAsia="Calibri" w:hAnsi="Verdana" w:cs="Arial"/>
          <w:color w:val="000000"/>
          <w:lang w:val="es-ES" w:eastAsia="es-ES"/>
        </w:rPr>
      </w:pPr>
      <w:r w:rsidRPr="00910E71">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61D36D73" w14:textId="77777777" w:rsidR="00910E71" w:rsidRPr="00910E71" w:rsidRDefault="00910E71" w:rsidP="00910E71">
      <w:pPr>
        <w:spacing w:after="0" w:line="276" w:lineRule="auto"/>
        <w:ind w:firstLine="709"/>
        <w:jc w:val="both"/>
        <w:rPr>
          <w:rFonts w:ascii="Verdana" w:eastAsia="Calibri" w:hAnsi="Verdana" w:cs="Arial"/>
          <w:color w:val="000000"/>
          <w:lang w:val="es-ES" w:eastAsia="es-ES"/>
        </w:rPr>
      </w:pPr>
      <w:r w:rsidRPr="00910E71">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w:t>
      </w:r>
      <w:r w:rsidRPr="00910E71">
        <w:rPr>
          <w:rFonts w:ascii="Verdana" w:eastAsia="Calibri" w:hAnsi="Verdana" w:cs="Arial"/>
          <w:color w:val="7030A0"/>
          <w:lang w:val="es-ES" w:eastAsia="es-ES"/>
        </w:rPr>
        <w:t xml:space="preserve"> </w:t>
      </w:r>
      <w:r w:rsidRPr="00910E71">
        <w:rPr>
          <w:rFonts w:ascii="Verdana" w:eastAsia="Calibri" w:hAnsi="Verdana" w:cs="Arial"/>
          <w:color w:val="000000"/>
          <w:lang w:val="es-ES" w:eastAsia="es-ES"/>
        </w:rPr>
        <w:t>problema</w:t>
      </w:r>
      <w:r w:rsidRPr="00910E71">
        <w:rPr>
          <w:rFonts w:ascii="Verdana" w:eastAsia="Calibri" w:hAnsi="Verdana" w:cs="Arial"/>
          <w:color w:val="7030A0"/>
          <w:lang w:val="es-ES" w:eastAsia="es-ES"/>
        </w:rPr>
        <w:t xml:space="preserve"> </w:t>
      </w:r>
      <w:r w:rsidRPr="00910E71">
        <w:rPr>
          <w:rFonts w:ascii="Verdana" w:eastAsia="Calibri" w:hAnsi="Verdana" w:cs="Arial"/>
          <w:color w:val="000000"/>
          <w:lang w:val="es-ES" w:eastAsia="es-ES"/>
        </w:rPr>
        <w:t>jurídico</w:t>
      </w:r>
      <w:r w:rsidRPr="00910E71">
        <w:rPr>
          <w:rFonts w:ascii="Verdana" w:eastAsia="Calibri" w:hAnsi="Verdana" w:cs="Arial"/>
          <w:color w:val="7030A0"/>
          <w:lang w:val="es-ES" w:eastAsia="es-ES"/>
        </w:rPr>
        <w:t xml:space="preserve"> </w:t>
      </w:r>
      <w:r w:rsidRPr="00910E71">
        <w:rPr>
          <w:rFonts w:ascii="Verdana" w:eastAsia="Calibri" w:hAnsi="Verdana" w:cs="Arial"/>
          <w:color w:val="000000"/>
          <w:lang w:val="es-ES" w:eastAsia="es-ES"/>
        </w:rPr>
        <w:t xml:space="preserve">de su consulta. </w:t>
      </w:r>
    </w:p>
    <w:p w14:paraId="071AC852" w14:textId="77777777" w:rsidR="00910E71" w:rsidRPr="00910E71" w:rsidRDefault="00910E71" w:rsidP="00910E71">
      <w:pPr>
        <w:tabs>
          <w:tab w:val="left" w:pos="142"/>
          <w:tab w:val="left" w:pos="284"/>
        </w:tabs>
        <w:spacing w:after="0" w:line="276" w:lineRule="auto"/>
        <w:contextualSpacing/>
        <w:jc w:val="both"/>
        <w:rPr>
          <w:rFonts w:ascii="Verdana" w:eastAsia="Century Gothic" w:hAnsi="Verdana" w:cs="Century Gothic"/>
          <w:b/>
          <w:bCs/>
          <w:lang w:val="es-ES"/>
        </w:rPr>
      </w:pPr>
    </w:p>
    <w:p w14:paraId="2983A8B7" w14:textId="77777777" w:rsidR="00910E71" w:rsidRPr="00910E71" w:rsidRDefault="00910E71" w:rsidP="00910E71">
      <w:pPr>
        <w:tabs>
          <w:tab w:val="left" w:pos="142"/>
          <w:tab w:val="left" w:pos="284"/>
        </w:tabs>
        <w:spacing w:after="0" w:line="276" w:lineRule="auto"/>
        <w:contextualSpacing/>
        <w:jc w:val="both"/>
        <w:rPr>
          <w:rFonts w:ascii="Verdana" w:eastAsia="Century Gothic" w:hAnsi="Verdana" w:cs="Century Gothic"/>
          <w:b/>
          <w:bCs/>
          <w:lang w:val="es-ES"/>
        </w:rPr>
      </w:pPr>
      <w:r w:rsidRPr="00910E71">
        <w:rPr>
          <w:rFonts w:ascii="Verdana" w:eastAsia="Century Gothic" w:hAnsi="Verdana" w:cs="Century Gothic"/>
          <w:b/>
          <w:bCs/>
          <w:lang w:val="es-ES"/>
        </w:rPr>
        <w:t>1. Problema planteado:</w:t>
      </w:r>
    </w:p>
    <w:p w14:paraId="3AEC2D6D" w14:textId="77777777" w:rsidR="00910E71" w:rsidRPr="00910E71" w:rsidRDefault="00910E71" w:rsidP="00910E71">
      <w:pPr>
        <w:tabs>
          <w:tab w:val="left" w:pos="426"/>
        </w:tabs>
        <w:spacing w:after="0" w:line="276" w:lineRule="auto"/>
        <w:jc w:val="both"/>
        <w:rPr>
          <w:rFonts w:ascii="Verdana" w:eastAsia="Century Gothic" w:hAnsi="Verdana" w:cs="Century Gothic"/>
          <w:lang w:val="es-ES"/>
        </w:rPr>
      </w:pPr>
    </w:p>
    <w:p w14:paraId="11978A3D" w14:textId="77777777" w:rsidR="00910E71" w:rsidRPr="00910E71" w:rsidRDefault="00910E71" w:rsidP="00910E71">
      <w:pPr>
        <w:spacing w:after="0" w:line="276" w:lineRule="auto"/>
        <w:jc w:val="both"/>
        <w:rPr>
          <w:rFonts w:ascii="Verdana" w:eastAsia="Calibri" w:hAnsi="Verdana" w:cs="Arial"/>
          <w:bCs/>
          <w:lang w:val="es-ES_tradnl" w:eastAsia="es-ES_tradnl"/>
        </w:rPr>
      </w:pPr>
      <w:r w:rsidRPr="00910E71">
        <w:rPr>
          <w:rFonts w:ascii="Verdana" w:eastAsia="Century Gothic" w:hAnsi="Verdana" w:cs="Century Gothic"/>
        </w:rPr>
        <w:t>De acuerdo con el contenido de su solicitud, esta Agencia resolverá el siguiente problema jurídico: ¿cuál es el alcance de la regla de inalterabilidad frente a los formatos de los documentos tipo?</w:t>
      </w:r>
    </w:p>
    <w:p w14:paraId="7D9EFF41" w14:textId="77777777" w:rsidR="00910E71" w:rsidRPr="00910E71" w:rsidRDefault="00910E71" w:rsidP="00910E71">
      <w:pPr>
        <w:spacing w:after="0" w:line="276" w:lineRule="auto"/>
        <w:jc w:val="both"/>
        <w:rPr>
          <w:rFonts w:ascii="Verdana" w:eastAsia="Century Gothic" w:hAnsi="Verdana" w:cs="Century Gothic"/>
          <w:lang w:val="es-ES_tradnl"/>
        </w:rPr>
      </w:pPr>
    </w:p>
    <w:p w14:paraId="57B34A30" w14:textId="77777777" w:rsidR="00910E71" w:rsidRPr="00910E71" w:rsidRDefault="00910E71" w:rsidP="00910E71">
      <w:pPr>
        <w:tabs>
          <w:tab w:val="left" w:pos="142"/>
          <w:tab w:val="left" w:pos="284"/>
        </w:tabs>
        <w:spacing w:after="0" w:line="276" w:lineRule="auto"/>
        <w:contextualSpacing/>
        <w:jc w:val="both"/>
        <w:rPr>
          <w:rFonts w:ascii="Verdana" w:eastAsia="Century Gothic" w:hAnsi="Verdana" w:cs="Century Gothic"/>
          <w:b/>
          <w:bCs/>
          <w:lang w:val="es-ES"/>
        </w:rPr>
      </w:pPr>
      <w:r w:rsidRPr="00910E71">
        <w:rPr>
          <w:rFonts w:ascii="Verdana" w:eastAsia="Century Gothic" w:hAnsi="Verdana" w:cs="Century Gothic"/>
          <w:b/>
          <w:bCs/>
          <w:lang w:val="es-ES"/>
        </w:rPr>
        <w:t>2. Respuesta:</w:t>
      </w:r>
    </w:p>
    <w:p w14:paraId="1431EABB" w14:textId="77777777" w:rsidR="00910E71" w:rsidRPr="00910E71" w:rsidRDefault="00910E71" w:rsidP="00910E71">
      <w:pPr>
        <w:tabs>
          <w:tab w:val="left" w:pos="142"/>
          <w:tab w:val="left" w:pos="284"/>
        </w:tabs>
        <w:spacing w:after="0" w:line="276" w:lineRule="auto"/>
        <w:contextualSpacing/>
        <w:jc w:val="both"/>
        <w:rPr>
          <w:rFonts w:ascii="Verdana" w:eastAsia="Century Gothic" w:hAnsi="Verdana" w:cs="Century Gothic"/>
          <w:b/>
          <w:bCs/>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910E71" w:rsidRPr="00910E71" w14:paraId="769206D6" w14:textId="77777777" w:rsidTr="00E00EBA">
        <w:trPr>
          <w:trHeight w:val="40"/>
        </w:trPr>
        <w:tc>
          <w:tcPr>
            <w:tcW w:w="8828" w:type="dxa"/>
            <w:tcBorders>
              <w:top w:val="dotted" w:sz="4" w:space="0" w:color="auto"/>
              <w:left w:val="dotted" w:sz="4" w:space="0" w:color="auto"/>
              <w:bottom w:val="dotted" w:sz="4" w:space="0" w:color="auto"/>
              <w:right w:val="dotted" w:sz="4" w:space="0" w:color="auto"/>
            </w:tcBorders>
          </w:tcPr>
          <w:p w14:paraId="5A06D2DC" w14:textId="77777777" w:rsidR="00910E71" w:rsidRPr="00910E71" w:rsidRDefault="00910E71" w:rsidP="00910E71">
            <w:pPr>
              <w:tabs>
                <w:tab w:val="center" w:pos="4419"/>
                <w:tab w:val="right" w:pos="8838"/>
              </w:tabs>
              <w:snapToGrid w:val="0"/>
              <w:spacing w:after="120" w:line="276" w:lineRule="auto"/>
              <w:jc w:val="both"/>
              <w:rPr>
                <w:rFonts w:ascii="Verdana" w:eastAsia="Calibri" w:hAnsi="Verdana" w:cs="Arial"/>
                <w:color w:val="000000"/>
                <w:lang w:val="es-ES"/>
              </w:rPr>
            </w:pPr>
            <w:r w:rsidRPr="00910E71">
              <w:rPr>
                <w:rFonts w:ascii="Verdana" w:eastAsia="Calibri" w:hAnsi="Verdana" w:cs="Arial"/>
                <w:color w:val="000000"/>
                <w:lang w:val="es-ES"/>
              </w:rPr>
              <w:t xml:space="preserve">Todas las resoluciones expedidas por la Agencia Nacional de Contratación Pública – Colombia Compra Eficiente, mediante las cuales se adoptaron los documentos tipo, consagran la regla de la inalterabilidad. Esta prohibición consiste en que las entidades estatales no pueden incluir o modificar en los </w:t>
            </w:r>
            <w:r w:rsidRPr="00910E71">
              <w:rPr>
                <w:rFonts w:ascii="Verdana" w:eastAsia="Calibri" w:hAnsi="Verdana" w:cs="Arial"/>
                <w:i/>
                <w:iCs/>
                <w:color w:val="000000"/>
                <w:lang w:val="es-ES"/>
              </w:rPr>
              <w:t>Documentos del Proceso</w:t>
            </w:r>
            <w:r w:rsidRPr="00910E71">
              <w:rPr>
                <w:rFonts w:ascii="Verdana" w:eastAsia="Calibri" w:hAnsi="Verdana" w:cs="Arial"/>
                <w:color w:val="000000"/>
                <w:lang w:val="es-ES"/>
              </w:rPr>
              <w:t xml:space="preserve"> las condiciones habilitantes, los factores técnicos y económicos de escogencia y los sistemas de ponderación distintos a los señalados en los documentos tipo. En consecuencia, las condiciones establecidas en los documentos tipo son de obligatorio cumplimiento para las entidades sometidas al Estatuto General de Contratación de la Administración Pública que adelanten procesos que deban regirse por su contenido, y no pueden variarse los requisitos fijados en ellos. Por lo tanto, las entidades estatales, al realizar sus procedimientos de selección, solo podrán modificarlos en los aspectos en que los documentos tipo lo permitan.</w:t>
            </w:r>
          </w:p>
          <w:p w14:paraId="52D43456" w14:textId="77777777" w:rsidR="00910E71" w:rsidRPr="00910E71" w:rsidRDefault="00910E71" w:rsidP="00910E71">
            <w:pPr>
              <w:snapToGrid w:val="0"/>
              <w:spacing w:after="120" w:line="276" w:lineRule="auto"/>
              <w:ind w:firstLine="709"/>
              <w:jc w:val="both"/>
              <w:rPr>
                <w:rFonts w:ascii="Verdana" w:eastAsia="Calibri" w:hAnsi="Verdana" w:cs="Arial"/>
                <w:lang w:val="es-ES_tradnl"/>
              </w:rPr>
            </w:pPr>
            <w:r w:rsidRPr="00910E71">
              <w:rPr>
                <w:rFonts w:ascii="Verdana" w:eastAsia="Calibri" w:hAnsi="Verdana" w:cs="Arial"/>
                <w:lang w:val="es-ES_tradnl"/>
              </w:rPr>
              <w:t xml:space="preserve">El fundamento legal vigente de la regla de la inalterabilidad está en el artículo 1 de la Ley 2022 de 2020, según el cual “(…) serán de obligatorio cumplimiento en la actividad contractual de todas las entidades sometidas al Estatuto General de Contratación de la Administración Pública”. En esta línea, las entidades públicas deberán sujetarse de forma irrestricta a las reglas establecidas en los documentos tipo, dispuestas en las diferentes resoluciones expedidas por la Agencia, por lo que no pueden hacer excepciones bajo una supuesta discrecionalidad a estas reglas que son obligatorias. </w:t>
            </w:r>
          </w:p>
          <w:p w14:paraId="31E8AF18" w14:textId="77777777" w:rsidR="00910E71" w:rsidRPr="00910E71" w:rsidRDefault="00910E71" w:rsidP="00910E71">
            <w:pPr>
              <w:snapToGrid w:val="0"/>
              <w:spacing w:after="120" w:line="276" w:lineRule="auto"/>
              <w:ind w:firstLine="709"/>
              <w:jc w:val="both"/>
              <w:rPr>
                <w:rFonts w:ascii="Verdana" w:eastAsia="Calibri" w:hAnsi="Verdana" w:cs="Arial"/>
                <w:lang w:val="es-ES_tradnl"/>
              </w:rPr>
            </w:pPr>
            <w:r w:rsidRPr="00910E71">
              <w:rPr>
                <w:rFonts w:ascii="Verdana" w:eastAsia="Calibri" w:hAnsi="Verdana" w:cs="Arial"/>
                <w:lang w:val="es-ES_tradnl"/>
              </w:rPr>
              <w:t xml:space="preserve">La inalterabilidad de los documentos tipo es una manifestación en mayor grado de las potestades regladas, lo cual implica una reducción de la discrecionalidad de la Administración en el momento de tomar una decisión en el proceso de contratación. Cada entidad pública sujeta a los documentos tipo deberá hacer una aplicación o constatación irrestricta de las reglas y </w:t>
            </w:r>
            <w:r w:rsidRPr="00910E71">
              <w:rPr>
                <w:rFonts w:ascii="Verdana" w:eastAsia="Calibri" w:hAnsi="Verdana" w:cs="Arial"/>
                <w:lang w:val="es-ES_tradnl"/>
              </w:rPr>
              <w:lastRenderedPageBreak/>
              <w:t xml:space="preserve">condiciones dispuestas en estos, salvo que las mismas posibilitan la discrecionalidad en determinados aspectos. </w:t>
            </w:r>
          </w:p>
          <w:p w14:paraId="4691FC1E" w14:textId="77777777" w:rsidR="00910E71" w:rsidRPr="00910E71" w:rsidRDefault="00910E71" w:rsidP="00910E71">
            <w:pPr>
              <w:snapToGrid w:val="0"/>
              <w:spacing w:after="120" w:line="276" w:lineRule="auto"/>
              <w:ind w:firstLine="709"/>
              <w:jc w:val="both"/>
              <w:rPr>
                <w:rFonts w:ascii="Verdana" w:eastAsia="Calibri" w:hAnsi="Verdana" w:cs="Arial"/>
                <w:lang w:val="es-ES"/>
              </w:rPr>
            </w:pPr>
            <w:r w:rsidRPr="00910E71">
              <w:rPr>
                <w:rFonts w:ascii="Verdana" w:eastAsia="Calibri" w:hAnsi="Verdana" w:cs="Arial"/>
                <w:lang w:val="es-ES"/>
              </w:rPr>
              <w:t xml:space="preserve">Además, las entidades estatales deben garantizar el </w:t>
            </w:r>
            <w:r w:rsidRPr="00910E71">
              <w:rPr>
                <w:rFonts w:ascii="Verdana" w:eastAsia="Calibri" w:hAnsi="Verdana" w:cs="Arial"/>
                <w:i/>
                <w:iCs/>
                <w:lang w:val="es-ES"/>
              </w:rPr>
              <w:t>principio de economía</w:t>
            </w:r>
            <w:r w:rsidRPr="00910E71">
              <w:rPr>
                <w:rFonts w:ascii="Verdana" w:eastAsia="Calibri" w:hAnsi="Verdana" w:cs="Arial"/>
                <w:lang w:val="es-ES"/>
              </w:rPr>
              <w:t xml:space="preserve">, del cual se desprende que no pueden exigir documentos o requisitos más allá de los que permitan la Constitución, la ley y los reglamentos. Este postulado ha sido recogido no solo en la contratación estatal sino además en la normativa </w:t>
            </w:r>
            <w:proofErr w:type="spellStart"/>
            <w:r w:rsidRPr="00910E71">
              <w:rPr>
                <w:rFonts w:ascii="Verdana" w:eastAsia="Calibri" w:hAnsi="Verdana" w:cs="Arial"/>
                <w:lang w:val="es-ES"/>
              </w:rPr>
              <w:t>antitrámites</w:t>
            </w:r>
            <w:proofErr w:type="spellEnd"/>
            <w:r w:rsidRPr="00910E71">
              <w:rPr>
                <w:rFonts w:ascii="Verdana" w:eastAsia="Calibri" w:hAnsi="Verdana" w:cs="Arial"/>
                <w:lang w:val="es-ES"/>
              </w:rPr>
              <w:t>; pues se inscribe dentro de la tendencia de simplificación y racionalización de los procedimientos administrativos. De ahí que cuando las autoridades solicitan la entrega de documentación innecesaria, desconocen el principio de economía.</w:t>
            </w:r>
          </w:p>
          <w:p w14:paraId="6981E0EA" w14:textId="77777777" w:rsidR="00910E71" w:rsidRPr="00910E71" w:rsidRDefault="00910E71" w:rsidP="00910E71">
            <w:pPr>
              <w:snapToGrid w:val="0"/>
              <w:spacing w:after="120" w:line="276" w:lineRule="auto"/>
              <w:ind w:firstLine="708"/>
              <w:jc w:val="both"/>
              <w:rPr>
                <w:rFonts w:ascii="Verdana" w:eastAsia="Calibri" w:hAnsi="Verdana" w:cs="Arial"/>
                <w:color w:val="000000"/>
                <w:lang w:val="es-ES"/>
              </w:rPr>
            </w:pPr>
            <w:r w:rsidRPr="00910E71">
              <w:rPr>
                <w:rFonts w:ascii="Verdana" w:eastAsia="Calibri" w:hAnsi="Verdana" w:cs="Arial"/>
                <w:color w:val="000000"/>
                <w:lang w:val="es-ES"/>
              </w:rPr>
              <w:t>Otro aspecto sobre el principio que inalterabilidad que debe destacarse es que, sin mínimos inalterables, los documentos tipo, estándar o normalizados, sencillamente, perderían sus características. Bajo riesgo de señalar una obviedad, se debe decir que la definición del término estándar es “Que sirve como tipo, modelo, norma, patrón o referencia”</w:t>
            </w:r>
            <w:r w:rsidRPr="00910E71">
              <w:rPr>
                <w:rFonts w:ascii="Verdana" w:eastAsia="Calibri" w:hAnsi="Verdana" w:cs="Arial"/>
                <w:color w:val="000000"/>
                <w:vertAlign w:val="superscript"/>
                <w:lang w:val="es-ES"/>
              </w:rPr>
              <w:footnoteReference w:id="1"/>
            </w:r>
            <w:r w:rsidRPr="00910E71">
              <w:rPr>
                <w:rFonts w:ascii="Verdana" w:eastAsia="Calibri" w:hAnsi="Verdana" w:cs="Arial"/>
                <w:color w:val="000000"/>
                <w:lang w:val="es-ES"/>
              </w:rPr>
              <w:t xml:space="preserve">. Si las autoridades pudiesen agregar, eliminar o modificar todos y cada uno de los aspectos contenidos en los pliegos tipo, estos documentos, llanamente, no podrían ser llamados pliegos tipo. </w:t>
            </w:r>
          </w:p>
          <w:p w14:paraId="369E5EEE" w14:textId="77777777" w:rsidR="00910E71" w:rsidRPr="00910E71" w:rsidRDefault="00910E71" w:rsidP="00910E71">
            <w:pPr>
              <w:snapToGrid w:val="0"/>
              <w:spacing w:after="120" w:line="276" w:lineRule="auto"/>
              <w:ind w:firstLine="708"/>
              <w:jc w:val="both"/>
              <w:rPr>
                <w:rFonts w:ascii="Verdana" w:eastAsia="Calibri" w:hAnsi="Verdana" w:cs="Arial"/>
                <w:color w:val="000000"/>
                <w:lang w:val="es-ES"/>
              </w:rPr>
            </w:pPr>
            <w:r w:rsidRPr="00910E71">
              <w:rPr>
                <w:rFonts w:ascii="Verdana" w:eastAsia="Calibri" w:hAnsi="Verdana" w:cs="Arial"/>
                <w:lang w:val="es-MX"/>
              </w:rPr>
              <w:t xml:space="preserve">La parte introductoria de los documentos base de los documentos tipo disponen que los aspectos incluidos en corchetes y resaltados en gris </w:t>
            </w:r>
            <w:r w:rsidRPr="00910E71">
              <w:rPr>
                <w:rFonts w:ascii="Verdana" w:eastAsia="Aptos" w:hAnsi="Verdana" w:cs="Arial"/>
              </w:rPr>
              <w:t>–[</w:t>
            </w:r>
            <w:r w:rsidRPr="00910E71">
              <w:rPr>
                <w:rFonts w:ascii="Verdana" w:eastAsia="Aptos" w:hAnsi="Verdana" w:cs="Arial"/>
                <w:highlight w:val="lightGray"/>
              </w:rPr>
              <w:t>texto de ejemplo</w:t>
            </w:r>
            <w:r w:rsidRPr="00910E71">
              <w:rPr>
                <w:rFonts w:ascii="Verdana" w:eastAsia="Aptos" w:hAnsi="Verdana" w:cs="Arial"/>
              </w:rPr>
              <w:t xml:space="preserve">]– </w:t>
            </w:r>
            <w:r w:rsidRPr="00910E71">
              <w:rPr>
                <w:rFonts w:ascii="Verdana" w:eastAsia="Calibri" w:hAnsi="Verdana" w:cs="Arial"/>
                <w:lang w:val="es-MX"/>
              </w:rPr>
              <w:t xml:space="preserve">deben ser diligenciados por la entidad. Excepcionalmente le corresponde al proponente consignar la información incluida en corchetes y resaltada en gris, como, por ejemplo, los formatos que requieren de la firma del proponente o su representante legal. De todos modos, en cada acápite que esté resaltado en gris la entidad tendrá la libertad de determinar la información que se diligenciará en los documentos tipo, de acuerdo con su necesidad y las instrucciones de los mismos documentos tipo. </w:t>
            </w:r>
          </w:p>
          <w:p w14:paraId="74AC95D7" w14:textId="77777777" w:rsidR="00910E71" w:rsidRPr="00910E71" w:rsidRDefault="00910E71" w:rsidP="00910E71">
            <w:pPr>
              <w:spacing w:line="276" w:lineRule="auto"/>
              <w:ind w:firstLine="709"/>
              <w:jc w:val="both"/>
              <w:rPr>
                <w:rFonts w:ascii="Verdana" w:eastAsia="Calibri" w:hAnsi="Verdana" w:cs="Arial"/>
                <w:bCs/>
                <w:lang w:val="es-MX"/>
              </w:rPr>
            </w:pPr>
            <w:r w:rsidRPr="00910E71">
              <w:rPr>
                <w:rFonts w:ascii="Verdana" w:eastAsia="Calibri" w:hAnsi="Verdana" w:cs="Arial"/>
                <w:bCs/>
                <w:lang w:val="es-MX"/>
              </w:rPr>
              <w:t xml:space="preserve">En suma, la regla general frente la aplicación de los documentos tipo es su inalterabilidad, y no podrán incluirse o modificarse en los documentos del proceso las condiciones habilitantes, los factores técnicos y económicos de escogencia y los sistemas de ponderación distintos a los señalados en los </w:t>
            </w:r>
            <w:r w:rsidRPr="00910E71">
              <w:rPr>
                <w:rFonts w:ascii="Verdana" w:eastAsia="Calibri" w:hAnsi="Verdana" w:cs="Arial"/>
                <w:bCs/>
                <w:lang w:val="es-MX"/>
              </w:rPr>
              <w:lastRenderedPageBreak/>
              <w:t>documentos tipo. En tal sentido, estos solo se podrán modificar respecto a aquellos contenidos que el mismo documento tipo lo permita.</w:t>
            </w:r>
          </w:p>
          <w:p w14:paraId="1BFD60F4" w14:textId="77777777" w:rsidR="00910E71" w:rsidRPr="00910E71" w:rsidRDefault="00910E71" w:rsidP="00910E71">
            <w:pPr>
              <w:spacing w:before="120" w:after="120" w:line="276" w:lineRule="auto"/>
              <w:ind w:firstLine="709"/>
              <w:jc w:val="both"/>
              <w:rPr>
                <w:rFonts w:ascii="Verdana" w:eastAsia="Calibri" w:hAnsi="Verdana" w:cs="Arial"/>
                <w:bCs/>
                <w:lang w:val="es-MX"/>
              </w:rPr>
            </w:pPr>
            <w:r w:rsidRPr="00910E71">
              <w:rPr>
                <w:rFonts w:ascii="Verdana" w:eastAsia="Calibri" w:hAnsi="Verdana" w:cs="Arial"/>
                <w:bCs/>
                <w:lang w:val="es-MX"/>
              </w:rPr>
              <w:t xml:space="preserve">Esta regla de inalterabilidad </w:t>
            </w:r>
            <w:r w:rsidRPr="00910E71">
              <w:rPr>
                <w:rFonts w:ascii="Verdana" w:eastAsia="Calibri" w:hAnsi="Verdana" w:cs="Arial"/>
                <w:bCs/>
                <w:i/>
                <w:iCs/>
                <w:lang w:val="es-MX"/>
              </w:rPr>
              <w:t>también aplica a los formatos, formularios, anexos y matrices</w:t>
            </w:r>
            <w:r w:rsidRPr="00910E71">
              <w:rPr>
                <w:rFonts w:ascii="Verdana" w:eastAsia="Calibri" w:hAnsi="Verdana" w:cs="Arial"/>
                <w:bCs/>
                <w:lang w:val="es-MX"/>
              </w:rPr>
              <w:t xml:space="preserve"> implementados junto con el “Documento Base”, los cuales deben usarse en el procedimiento de contratación. Estos, al igual que el “Documento Base”, contienen apartes entre corchetes y resaltados en gris, los cuales deben ser diligenciados por la entidad, al igual que otros aspectos relativos a información que debe ser completada por los oferentes al hacer uso del formato. </w:t>
            </w:r>
          </w:p>
          <w:p w14:paraId="627D3041" w14:textId="77777777" w:rsidR="00910E71" w:rsidRPr="00910E71" w:rsidRDefault="00910E71" w:rsidP="00910E71">
            <w:pPr>
              <w:spacing w:before="120" w:after="120" w:line="276" w:lineRule="auto"/>
              <w:ind w:firstLine="709"/>
              <w:jc w:val="both"/>
              <w:rPr>
                <w:rFonts w:ascii="Verdana" w:eastAsia="Calibri" w:hAnsi="Verdana" w:cs="Arial"/>
                <w:lang w:val="es-MX"/>
              </w:rPr>
            </w:pPr>
            <w:r w:rsidRPr="00910E71">
              <w:rPr>
                <w:rFonts w:ascii="Verdana" w:eastAsia="Calibri" w:hAnsi="Verdana" w:cs="Arial"/>
                <w:lang w:val="es-MX"/>
              </w:rPr>
              <w:t xml:space="preserve">Con todo, la regla de inalterabilidad de los documentos tipo debe armonizarse con principios de orden constitucional, especialmente con el de prevalencia del derecho sustancial, consagrado en el artículo 228 de la Constitución Política. La interpretación armónica de tales principios, a juicio de la Agencia Nacional de Contratación Pública, impide que la entidad que adelanta el proceso contractual le rinda culto a las “formas”, pues, en últimas, el deber que le asiste es el de tener en cuenta y aplicar los aspectos sustanciales de los documentos tipo, sin distingo de la formalidad de la que se sirva para ello los actores de la contratación pública. </w:t>
            </w:r>
          </w:p>
          <w:p w14:paraId="77B10F9E" w14:textId="77777777" w:rsidR="00910E71" w:rsidRPr="00910E71" w:rsidRDefault="00910E71" w:rsidP="00910E71">
            <w:pPr>
              <w:spacing w:before="120" w:after="120" w:line="276" w:lineRule="auto"/>
              <w:ind w:firstLine="709"/>
              <w:jc w:val="both"/>
              <w:rPr>
                <w:rFonts w:ascii="Verdana" w:eastAsia="Aptos" w:hAnsi="Verdana" w:cs="Arial"/>
              </w:rPr>
            </w:pPr>
            <w:r w:rsidRPr="00910E71">
              <w:rPr>
                <w:rFonts w:ascii="Verdana" w:eastAsia="Aptos" w:hAnsi="Verdana" w:cs="Arial"/>
              </w:rPr>
              <w:t xml:space="preserve">En relación con el principio constitucional </w:t>
            </w:r>
            <w:r w:rsidRPr="00910E71">
              <w:rPr>
                <w:rFonts w:ascii="Verdana" w:eastAsia="Aptos" w:hAnsi="Verdana" w:cs="Arial"/>
                <w:i/>
                <w:iCs/>
              </w:rPr>
              <w:t>sub examine</w:t>
            </w:r>
            <w:r w:rsidRPr="00910E71">
              <w:rPr>
                <w:rFonts w:ascii="Verdana" w:eastAsia="Aptos" w:hAnsi="Verdana" w:cs="Arial"/>
              </w:rPr>
              <w:t>, la Corte Constitucional explica que “(…) por disposición del artículo 228 Superior, las formas no deben convertirse en un obstáculo para la efectividad del derecho sustancial, sino que deben propender por su realización. Es decir, que las normas procesales son un medio para lograr la efectividad de los derechos subjetivos y no fines en sí mismas”</w:t>
            </w:r>
            <w:r w:rsidRPr="00910E71">
              <w:rPr>
                <w:rFonts w:ascii="Verdana" w:eastAsia="Aptos" w:hAnsi="Verdana" w:cs="Arial"/>
                <w:vertAlign w:val="superscript"/>
              </w:rPr>
              <w:footnoteReference w:id="2"/>
            </w:r>
            <w:r w:rsidRPr="00910E71">
              <w:rPr>
                <w:rFonts w:ascii="Verdana" w:eastAsia="Aptos" w:hAnsi="Verdana" w:cs="Arial"/>
              </w:rPr>
              <w:t xml:space="preserve">. </w:t>
            </w:r>
          </w:p>
          <w:p w14:paraId="5EB110B7" w14:textId="77777777" w:rsidR="00910E71" w:rsidRPr="00910E71" w:rsidRDefault="00910E71" w:rsidP="00910E71">
            <w:pPr>
              <w:snapToGrid w:val="0"/>
              <w:spacing w:before="120" w:after="120" w:line="276" w:lineRule="auto"/>
              <w:ind w:firstLine="709"/>
              <w:jc w:val="both"/>
              <w:rPr>
                <w:rFonts w:ascii="Verdana" w:eastAsia="Calibri" w:hAnsi="Verdana" w:cs="Arial"/>
                <w:lang w:val="es-MX"/>
              </w:rPr>
            </w:pPr>
            <w:r w:rsidRPr="00910E71">
              <w:rPr>
                <w:rFonts w:ascii="Verdana" w:eastAsia="Calibri" w:hAnsi="Verdana" w:cs="Arial"/>
                <w:lang w:val="es-MX"/>
              </w:rPr>
              <w:t xml:space="preserve">El carácter inalterable de los documentos tipo no puede, por tanto, hacerse extensivo a los aspectos meramente formales de tales documentos, esto es, el tamaño y tipo de letra, las márgenes o las expresiones que pretenden hacer más comprensible el documento, como es el caso de aquellas que informan que una expresión larga será referida con otra similar pero más corta. Lo anterior considerando que estos aspectos en nada afectan la aplicación y alcance de los documentos tipos, es decir, no afectan su contenido </w:t>
            </w:r>
            <w:r w:rsidRPr="00910E71">
              <w:rPr>
                <w:rFonts w:ascii="Verdana" w:eastAsia="Calibri" w:hAnsi="Verdana" w:cs="Arial"/>
                <w:lang w:val="es-MX"/>
              </w:rPr>
              <w:lastRenderedPageBreak/>
              <w:t>esencial y, mucho menos, las obligaciones, deberes y derechos que se derivan para las partes contratantes.</w:t>
            </w:r>
          </w:p>
          <w:p w14:paraId="49DB211C" w14:textId="77777777" w:rsidR="00910E71" w:rsidRPr="00910E71" w:rsidRDefault="00910E71" w:rsidP="00910E71">
            <w:pPr>
              <w:snapToGrid w:val="0"/>
              <w:spacing w:before="120" w:line="276" w:lineRule="auto"/>
              <w:ind w:firstLine="709"/>
              <w:jc w:val="both"/>
              <w:rPr>
                <w:rFonts w:ascii="Verdana" w:eastAsia="Calibri" w:hAnsi="Verdana" w:cs="Arial"/>
                <w:bCs/>
                <w:color w:val="000000"/>
                <w:kern w:val="2"/>
                <w:lang w:val="es-ES_tradnl"/>
                <w14:ligatures w14:val="standardContextual"/>
              </w:rPr>
            </w:pPr>
            <w:r w:rsidRPr="00910E71">
              <w:rPr>
                <w:rFonts w:ascii="Verdana" w:eastAsia="Calibri" w:hAnsi="Verdana" w:cs="Arial"/>
                <w:lang w:val="es-ES_tradnl"/>
              </w:rPr>
              <w:t xml:space="preserve">En todo caso, bajo este entendimiento </w:t>
            </w:r>
            <w:proofErr w:type="spellStart"/>
            <w:r w:rsidRPr="00910E71">
              <w:rPr>
                <w:rFonts w:ascii="Verdana" w:eastAsia="Calibri" w:hAnsi="Verdana" w:cs="Arial"/>
                <w:lang w:val="es-ES_tradnl"/>
              </w:rPr>
              <w:t>principialístico</w:t>
            </w:r>
            <w:proofErr w:type="spellEnd"/>
            <w:r w:rsidRPr="00910E71">
              <w:rPr>
                <w:rFonts w:ascii="Verdana" w:eastAsia="Calibri" w:hAnsi="Verdana" w:cs="Arial"/>
                <w:lang w:val="es-ES_tradnl"/>
              </w:rPr>
              <w:t xml:space="preserve">, el análisis en torno a los aspectos meramente formales de los formatos deberá hacerse en cada caso, de acuerdo con el alcance, el contenido y la finalidad de cada documento, sin perjuicio de las reglas de </w:t>
            </w:r>
            <w:proofErr w:type="spellStart"/>
            <w:r w:rsidRPr="00910E71">
              <w:rPr>
                <w:rFonts w:ascii="Verdana" w:eastAsia="Calibri" w:hAnsi="Verdana" w:cs="Arial"/>
                <w:lang w:val="es-ES_tradnl"/>
              </w:rPr>
              <w:t>subsanabilidad</w:t>
            </w:r>
            <w:proofErr w:type="spellEnd"/>
            <w:r w:rsidRPr="00910E71">
              <w:rPr>
                <w:rFonts w:ascii="Verdana" w:eastAsia="Calibri" w:hAnsi="Verdana" w:cs="Arial"/>
                <w:lang w:val="es-ES_tradnl"/>
              </w:rPr>
              <w:t xml:space="preserve"> de las ofertas establecidas en los documentos base y en el artículo 5 de la Ley 1882 de 2018. </w:t>
            </w:r>
            <w:r w:rsidRPr="00910E71">
              <w:rPr>
                <w:rFonts w:ascii="Verdana" w:eastAsia="Aptos" w:hAnsi="Verdana" w:cs="Times New Roman"/>
              </w:rPr>
              <w:t xml:space="preserve"> </w:t>
            </w:r>
          </w:p>
        </w:tc>
      </w:tr>
    </w:tbl>
    <w:p w14:paraId="5B1D2D83" w14:textId="77777777" w:rsidR="00910E71" w:rsidRPr="00910E71" w:rsidRDefault="00910E71" w:rsidP="00910E71">
      <w:pPr>
        <w:tabs>
          <w:tab w:val="left" w:pos="142"/>
          <w:tab w:val="left" w:pos="284"/>
        </w:tabs>
        <w:spacing w:after="0" w:line="276" w:lineRule="auto"/>
        <w:jc w:val="both"/>
        <w:rPr>
          <w:rFonts w:ascii="Verdana" w:eastAsia="Century Gothic" w:hAnsi="Verdana" w:cs="Century Gothic"/>
          <w:b/>
          <w:bCs/>
          <w:lang w:val="es-ES"/>
        </w:rPr>
      </w:pPr>
    </w:p>
    <w:p w14:paraId="0967D87B" w14:textId="77777777" w:rsidR="00910E71" w:rsidRPr="00910E71" w:rsidRDefault="00910E71" w:rsidP="00910E71">
      <w:pPr>
        <w:tabs>
          <w:tab w:val="left" w:pos="142"/>
          <w:tab w:val="left" w:pos="284"/>
        </w:tabs>
        <w:spacing w:after="0" w:line="276" w:lineRule="auto"/>
        <w:jc w:val="both"/>
        <w:rPr>
          <w:rFonts w:ascii="Verdana" w:eastAsia="Century Gothic" w:hAnsi="Verdana" w:cs="Century Gothic"/>
          <w:b/>
          <w:bCs/>
          <w:lang w:val="es-ES"/>
        </w:rPr>
      </w:pPr>
      <w:r w:rsidRPr="00910E71">
        <w:rPr>
          <w:rFonts w:ascii="Verdana" w:eastAsia="Century Gothic" w:hAnsi="Verdana" w:cs="Century Gothic"/>
          <w:b/>
          <w:bCs/>
          <w:lang w:val="es-ES"/>
        </w:rPr>
        <w:t>3. Razones de la respuesta:</w:t>
      </w:r>
    </w:p>
    <w:p w14:paraId="6FE88AA6" w14:textId="77777777" w:rsidR="00910E71" w:rsidRPr="00910E71" w:rsidRDefault="00910E71" w:rsidP="00910E71">
      <w:pPr>
        <w:spacing w:after="0" w:line="276" w:lineRule="auto"/>
        <w:jc w:val="both"/>
        <w:rPr>
          <w:rFonts w:ascii="Verdana" w:eastAsia="Calibri" w:hAnsi="Verdana" w:cs="Arial"/>
          <w:lang w:val="es-ES"/>
        </w:rPr>
      </w:pPr>
    </w:p>
    <w:p w14:paraId="471BE356" w14:textId="77777777" w:rsidR="00910E71" w:rsidRPr="00910E71" w:rsidRDefault="00910E71" w:rsidP="00910E71">
      <w:pPr>
        <w:spacing w:after="0" w:line="276" w:lineRule="auto"/>
        <w:jc w:val="both"/>
        <w:rPr>
          <w:rFonts w:ascii="Verdana" w:eastAsia="Calibri" w:hAnsi="Verdana" w:cs="Arial"/>
          <w:lang w:val="es-ES"/>
        </w:rPr>
      </w:pPr>
      <w:r w:rsidRPr="00910E71">
        <w:rPr>
          <w:rFonts w:ascii="Verdana" w:eastAsia="Calibri" w:hAnsi="Verdana" w:cs="Arial"/>
          <w:lang w:val="es-ES"/>
        </w:rPr>
        <w:t xml:space="preserve">Lo anterior se sustenta en las siguientes consideraciones: </w:t>
      </w:r>
      <w:bookmarkStart w:id="1" w:name="_Hlk113022941"/>
    </w:p>
    <w:p w14:paraId="13ED3CC7" w14:textId="77777777" w:rsidR="00910E71" w:rsidRPr="00910E71" w:rsidRDefault="00910E71" w:rsidP="00910E71">
      <w:pPr>
        <w:spacing w:after="0" w:line="276" w:lineRule="auto"/>
        <w:jc w:val="both"/>
        <w:rPr>
          <w:rFonts w:ascii="Verdana" w:eastAsia="Calibri" w:hAnsi="Verdana" w:cs="Arial"/>
          <w:lang w:val="es-ES"/>
        </w:rPr>
      </w:pPr>
    </w:p>
    <w:p w14:paraId="0F414C4D" w14:textId="77777777" w:rsidR="00910E71" w:rsidRPr="00910E71" w:rsidRDefault="00910E71" w:rsidP="00910E71">
      <w:pPr>
        <w:tabs>
          <w:tab w:val="center" w:pos="4419"/>
          <w:tab w:val="right" w:pos="8838"/>
        </w:tabs>
        <w:spacing w:after="120" w:line="276" w:lineRule="auto"/>
        <w:jc w:val="both"/>
        <w:rPr>
          <w:rFonts w:ascii="Verdana" w:eastAsia="Calibri" w:hAnsi="Verdana" w:cs="Arial"/>
          <w:color w:val="000000"/>
          <w:lang w:val="es-ES"/>
        </w:rPr>
      </w:pPr>
      <w:r w:rsidRPr="00910E71">
        <w:rPr>
          <w:rFonts w:ascii="Verdana" w:eastAsia="Calibri" w:hAnsi="Verdana" w:cs="Arial"/>
          <w:color w:val="000000"/>
          <w:lang w:val="es-ES"/>
        </w:rPr>
        <w:t>Todas las resoluciones</w:t>
      </w:r>
      <w:r w:rsidRPr="00910E71">
        <w:rPr>
          <w:rFonts w:ascii="Verdana" w:eastAsia="Calibri" w:hAnsi="Verdana" w:cs="Arial"/>
          <w:color w:val="000000"/>
          <w:vertAlign w:val="superscript"/>
          <w:lang w:val="es-ES"/>
        </w:rPr>
        <w:footnoteReference w:id="3"/>
      </w:r>
      <w:r w:rsidRPr="00910E71">
        <w:rPr>
          <w:rFonts w:ascii="Verdana" w:eastAsia="Calibri" w:hAnsi="Verdana" w:cs="Arial"/>
          <w:color w:val="000000"/>
          <w:lang w:val="es-ES"/>
        </w:rPr>
        <w:t xml:space="preserve"> expedidas por la Agencia Nacional de Contratación Pública – Colombia Compra Eficiente, mediante las cuales se adoptaron los documentos tipo, consagran la regla de la inalterabilidad. Esta prohibición consiste en que las entidades estatales no pueden incluir o modificar en los </w:t>
      </w:r>
      <w:r w:rsidRPr="00910E71">
        <w:rPr>
          <w:rFonts w:ascii="Verdana" w:eastAsia="Calibri" w:hAnsi="Verdana" w:cs="Arial"/>
          <w:i/>
          <w:iCs/>
          <w:color w:val="000000"/>
          <w:lang w:val="es-ES"/>
        </w:rPr>
        <w:t>Documentos del Proceso</w:t>
      </w:r>
      <w:r w:rsidRPr="00910E71">
        <w:rPr>
          <w:rFonts w:ascii="Verdana" w:eastAsia="Calibri" w:hAnsi="Verdana" w:cs="Arial"/>
          <w:color w:val="000000"/>
          <w:lang w:val="es-ES"/>
        </w:rPr>
        <w:t xml:space="preserve"> las condiciones habilitantes, los factores técnicos y económicos de escogencia y los sistemas de ponderación distintos a los señalados en los documentos tipo. En consecuencia, las condiciones establecidas en los documentos tipo son de obligatorio cumplimiento para las entidades sometidas al Estatuto General de Contratación de la Administración Pública que adelanten procesos que deban regirse por su contenido, y no pueden variarse los requisitos fijados en ellos. Por lo tanto, las entidades estatales, al realizar sus procedimientos de selección, solo podrán modificarlos en los aspectos en que los documentos tipo lo permitan.</w:t>
      </w:r>
    </w:p>
    <w:p w14:paraId="5718EDAE" w14:textId="77777777" w:rsidR="00910E71" w:rsidRPr="00910E71" w:rsidRDefault="00910E71" w:rsidP="00910E71">
      <w:pPr>
        <w:spacing w:before="120" w:after="120" w:line="276" w:lineRule="auto"/>
        <w:ind w:firstLine="709"/>
        <w:jc w:val="both"/>
        <w:rPr>
          <w:rFonts w:ascii="Verdana" w:eastAsia="Calibri" w:hAnsi="Verdana" w:cs="Arial"/>
          <w:lang w:val="es-ES_tradnl"/>
        </w:rPr>
      </w:pPr>
      <w:r w:rsidRPr="00910E71">
        <w:rPr>
          <w:rFonts w:ascii="Verdana" w:eastAsia="Calibri" w:hAnsi="Verdana" w:cs="Arial"/>
          <w:lang w:val="es-ES_tradnl"/>
        </w:rPr>
        <w:t xml:space="preserve">El fundamento legal vigente de la regla de la inalterabilidad está en el artículo 1 de la Ley 2022 de 2020, según el cual “(…) serán de obligatorio cumplimiento en la actividad contractual de todas las entidades sometidas al Estatuto General de Contratación de la Administración Pública”. Pero eso no significa que antes no rigiera, pues así también lo disponía el artículo 4 de la Ley </w:t>
      </w:r>
      <w:r w:rsidRPr="00910E71">
        <w:rPr>
          <w:rFonts w:ascii="Verdana" w:eastAsia="Calibri" w:hAnsi="Verdana" w:cs="Arial"/>
          <w:lang w:val="es-ES_tradnl"/>
        </w:rPr>
        <w:lastRenderedPageBreak/>
        <w:t xml:space="preserve">1882 de 2018. Por vía reglamentaria, también quedó consignado en su momento el carácter inmodificable de los pliegos tipo en el artículo 1 de los Decretos 342 de 2019, Decreto 2096 de 2019 y 594 de 2020, que adicionaron, respectivamente, los artículos 2.2.1.2.6.1.4, 2.2.1.2.6.2.3 y 2.2.1.2.6.3.4 al Decreto 1082 de 2015. En esta línea, las entidades públicas deberán sujetarse de forma irrestricta a las reglas establecidas en los documentos tipo, dispuestas en las diferentes resoluciones expedidas por la Agencia, por lo que no pueden hacer excepciones bajo una supuesta discrecionalidad a estas reglas que son obligatorias. </w:t>
      </w:r>
    </w:p>
    <w:p w14:paraId="7262FF87" w14:textId="77777777" w:rsidR="00910E71" w:rsidRPr="00910E71" w:rsidRDefault="00910E71" w:rsidP="00910E71">
      <w:pPr>
        <w:spacing w:before="120" w:after="120" w:line="276" w:lineRule="auto"/>
        <w:ind w:firstLine="709"/>
        <w:jc w:val="both"/>
        <w:rPr>
          <w:rFonts w:ascii="Verdana" w:eastAsia="Calibri" w:hAnsi="Verdana" w:cs="Arial"/>
          <w:lang w:val="es-ES_tradnl"/>
        </w:rPr>
      </w:pPr>
      <w:r w:rsidRPr="00910E71">
        <w:rPr>
          <w:rFonts w:ascii="Verdana" w:eastAsia="Calibri" w:hAnsi="Verdana" w:cs="Arial"/>
          <w:lang w:val="es-ES_tradnl"/>
        </w:rPr>
        <w:t>La inalterabilidad de los documentos tipo es una manifestación en mayor grado de las potestades regladas, lo cual implica una reducción de la discrecionalidad de la Administración en el momento de tomar una decisión en el proceso de contratación</w:t>
      </w:r>
      <w:r w:rsidRPr="00910E71">
        <w:rPr>
          <w:rFonts w:ascii="Verdana" w:eastAsia="Calibri" w:hAnsi="Verdana" w:cs="Arial"/>
          <w:vertAlign w:val="superscript"/>
          <w:lang w:val="es-ES_tradnl"/>
        </w:rPr>
        <w:footnoteReference w:id="4"/>
      </w:r>
      <w:r w:rsidRPr="00910E71">
        <w:rPr>
          <w:rFonts w:ascii="Verdana" w:eastAsia="Calibri" w:hAnsi="Verdana" w:cs="Arial"/>
          <w:lang w:val="es-ES_tradnl"/>
        </w:rPr>
        <w:t xml:space="preserve">. Cada entidad pública sujeta a los documentos tipo deberá hacer una aplicación o constatación irrestricta de las reglas y condiciones dispuestas en estos, salvo que las mismas posibilitan la discrecionalidad en determinados aspectos. </w:t>
      </w:r>
    </w:p>
    <w:p w14:paraId="5AF1DDA5" w14:textId="77777777" w:rsidR="00910E71" w:rsidRPr="00910E71" w:rsidRDefault="00910E71" w:rsidP="00910E71">
      <w:pPr>
        <w:spacing w:before="120" w:after="120" w:line="276" w:lineRule="auto"/>
        <w:ind w:firstLine="709"/>
        <w:jc w:val="both"/>
        <w:rPr>
          <w:rFonts w:ascii="Verdana" w:eastAsia="Calibri" w:hAnsi="Verdana" w:cs="Arial"/>
          <w:lang w:val="es-ES"/>
        </w:rPr>
      </w:pPr>
      <w:r w:rsidRPr="00910E71">
        <w:rPr>
          <w:rFonts w:ascii="Verdana" w:eastAsia="Calibri" w:hAnsi="Verdana" w:cs="Arial"/>
          <w:lang w:val="es-ES"/>
        </w:rPr>
        <w:t xml:space="preserve">Además, las entidades estatales deben garantizar el </w:t>
      </w:r>
      <w:r w:rsidRPr="00910E71">
        <w:rPr>
          <w:rFonts w:ascii="Verdana" w:eastAsia="Calibri" w:hAnsi="Verdana" w:cs="Arial"/>
          <w:i/>
          <w:iCs/>
          <w:lang w:val="es-ES"/>
        </w:rPr>
        <w:t>principio de economía</w:t>
      </w:r>
      <w:r w:rsidRPr="00910E71">
        <w:rPr>
          <w:rFonts w:ascii="Verdana" w:eastAsia="Calibri" w:hAnsi="Verdana" w:cs="Arial"/>
          <w:lang w:val="es-ES"/>
        </w:rPr>
        <w:t>, del cual se desprende que no pueden exigir documentos o requisitos más allá de los que permitan la Constitución, la ley y los reglamentos. Este postulado ha sido recogido no solo en la contratación estatal</w:t>
      </w:r>
      <w:r w:rsidRPr="00910E71">
        <w:rPr>
          <w:rFonts w:ascii="Verdana" w:eastAsia="Calibri" w:hAnsi="Verdana" w:cs="Arial"/>
          <w:vertAlign w:val="superscript"/>
          <w:lang w:val="es-ES"/>
        </w:rPr>
        <w:footnoteReference w:id="5"/>
      </w:r>
      <w:r w:rsidRPr="00910E71">
        <w:rPr>
          <w:rFonts w:ascii="Verdana" w:eastAsia="Calibri" w:hAnsi="Verdana" w:cs="Arial"/>
          <w:lang w:val="es-ES"/>
        </w:rPr>
        <w:t xml:space="preserve"> sino además en la normativa </w:t>
      </w:r>
      <w:proofErr w:type="spellStart"/>
      <w:r w:rsidRPr="00910E71">
        <w:rPr>
          <w:rFonts w:ascii="Verdana" w:eastAsia="Calibri" w:hAnsi="Verdana" w:cs="Arial"/>
          <w:lang w:val="es-ES"/>
        </w:rPr>
        <w:t>antitrámites</w:t>
      </w:r>
      <w:proofErr w:type="spellEnd"/>
      <w:r w:rsidRPr="00910E71">
        <w:rPr>
          <w:rFonts w:ascii="Verdana" w:eastAsia="Calibri" w:hAnsi="Verdana" w:cs="Arial"/>
          <w:vertAlign w:val="superscript"/>
          <w:lang w:val="es-ES"/>
        </w:rPr>
        <w:footnoteReference w:id="6"/>
      </w:r>
      <w:r w:rsidRPr="00910E71">
        <w:rPr>
          <w:rFonts w:ascii="Verdana" w:eastAsia="Calibri" w:hAnsi="Verdana" w:cs="Arial"/>
          <w:lang w:val="es-ES"/>
        </w:rPr>
        <w:t xml:space="preserve">; pues se inscribe dentro de la tendencia de </w:t>
      </w:r>
      <w:r w:rsidRPr="00910E71">
        <w:rPr>
          <w:rFonts w:ascii="Verdana" w:eastAsia="Calibri" w:hAnsi="Verdana" w:cs="Arial"/>
          <w:lang w:val="es-ES"/>
        </w:rPr>
        <w:lastRenderedPageBreak/>
        <w:t>simplificación y racionalización de los procedimientos administrativos. De ahí que cuando las autoridades solicitan la entrega de documentación innecesaria, desconocen el principio de economía.</w:t>
      </w:r>
    </w:p>
    <w:p w14:paraId="0BD0E9AC" w14:textId="77777777" w:rsidR="00910E71" w:rsidRPr="00910E71" w:rsidRDefault="00910E71" w:rsidP="00910E71">
      <w:pPr>
        <w:spacing w:after="120" w:line="276" w:lineRule="auto"/>
        <w:ind w:firstLine="708"/>
        <w:jc w:val="both"/>
        <w:rPr>
          <w:rFonts w:ascii="Verdana" w:eastAsia="Calibri" w:hAnsi="Verdana" w:cs="Arial"/>
          <w:color w:val="000000"/>
          <w:lang w:val="es-ES"/>
        </w:rPr>
      </w:pPr>
      <w:r w:rsidRPr="00910E71">
        <w:rPr>
          <w:rFonts w:ascii="Verdana" w:eastAsia="Calibri" w:hAnsi="Verdana" w:cs="Arial"/>
          <w:color w:val="000000"/>
          <w:lang w:val="es-ES"/>
        </w:rPr>
        <w:t>Otro aspecto sobre el principio que inalterabilidad que debe destacarse es que, sin mínimos inalterables, los documentos tipo, estándar o normalizados, sencillamente, perderían sus características. Bajo riesgo de señalar una obviedad, se debe decir que la definición del término estándar es “Que sirve como tipo, modelo, norma, patrón o referencia”</w:t>
      </w:r>
      <w:r w:rsidRPr="00910E71">
        <w:rPr>
          <w:rFonts w:ascii="Verdana" w:eastAsia="Calibri" w:hAnsi="Verdana" w:cs="Arial"/>
          <w:color w:val="000000"/>
          <w:vertAlign w:val="superscript"/>
          <w:lang w:val="es-ES"/>
        </w:rPr>
        <w:footnoteReference w:id="7"/>
      </w:r>
      <w:r w:rsidRPr="00910E71">
        <w:rPr>
          <w:rFonts w:ascii="Verdana" w:eastAsia="Calibri" w:hAnsi="Verdana" w:cs="Arial"/>
          <w:color w:val="000000"/>
          <w:lang w:val="es-ES"/>
        </w:rPr>
        <w:t xml:space="preserve">. Si las autoridades pudiesen agregar, eliminar o modificar todos y cada uno de los aspectos contenidos en los pliegos tipo, estos documentos, llanamente, no podrían ser llamados pliegos tipo. </w:t>
      </w:r>
    </w:p>
    <w:p w14:paraId="68A12015" w14:textId="77777777" w:rsidR="00910E71" w:rsidRPr="00910E71" w:rsidRDefault="00910E71" w:rsidP="00910E71">
      <w:pPr>
        <w:spacing w:after="120" w:line="276" w:lineRule="auto"/>
        <w:ind w:firstLine="708"/>
        <w:jc w:val="both"/>
        <w:rPr>
          <w:rFonts w:ascii="Verdana" w:eastAsia="Calibri" w:hAnsi="Verdana" w:cs="Arial"/>
          <w:color w:val="000000"/>
          <w:lang w:val="es-ES"/>
        </w:rPr>
      </w:pPr>
      <w:r w:rsidRPr="00910E71">
        <w:rPr>
          <w:rFonts w:ascii="Verdana" w:eastAsia="Calibri" w:hAnsi="Verdana" w:cs="Arial"/>
          <w:color w:val="000000"/>
          <w:lang w:val="es-ES"/>
        </w:rPr>
        <w:t xml:space="preserve">De otra parte, a la luz de los objetivos perseguidos, si la normativa permitiera la alteración de todo el documento tipo, sería imposible verificar en la práctica las ventajas perseguidas por el legislador. Así, por ejemplo, si cada autoridad pudiese rediseñar por completo el documento, la transparencia del sistema de compras públicas no sería mayor con la introducción de la estandarización de documentos. De similar manera, bajo la hipótesis de trabajo referida, las entidades podrían modificar todo el contenido del pliego, retornando a una de las prácticas que se buscó eliminar: la elaboración de “pliegos sastre”, que eliminan la competencia. En ese orden, si se permite ilimitadamente introducir ajustes, las entidades estatales podrían reintroducir los sesgos interpretativos incorrectos que se buscó erradicar con la introducción de la herramienta analizada. </w:t>
      </w:r>
    </w:p>
    <w:p w14:paraId="0858B31A" w14:textId="77777777" w:rsidR="00910E71" w:rsidRPr="00910E71" w:rsidRDefault="00910E71" w:rsidP="00910E71">
      <w:pPr>
        <w:spacing w:after="120" w:line="276" w:lineRule="auto"/>
        <w:ind w:firstLine="708"/>
        <w:jc w:val="both"/>
        <w:rPr>
          <w:rFonts w:ascii="Verdana" w:eastAsia="Calibri" w:hAnsi="Verdana" w:cs="Arial"/>
          <w:color w:val="000000"/>
          <w:lang w:val="es-ES"/>
        </w:rPr>
      </w:pPr>
      <w:r w:rsidRPr="00910E71">
        <w:rPr>
          <w:rFonts w:ascii="Verdana" w:eastAsia="Calibri" w:hAnsi="Verdana" w:cs="Arial"/>
          <w:color w:val="000000"/>
          <w:lang w:val="es-ES"/>
        </w:rPr>
        <w:t>Con base en lo dicho, se observa con toda claridad la necesidad de que existan unos mínimos inalterables que permitan, de un lado, que los pliegos tipo sean propiamente tales y, del otro, que se garanticen los fines expresamente perseguidos por el legislador con su introducción al ordenamiento nacional.</w:t>
      </w:r>
    </w:p>
    <w:p w14:paraId="4DDBAE62" w14:textId="77777777" w:rsidR="00910E71" w:rsidRPr="00910E71" w:rsidRDefault="00910E71" w:rsidP="00910E71">
      <w:pPr>
        <w:spacing w:after="120" w:line="276" w:lineRule="auto"/>
        <w:ind w:firstLine="708"/>
        <w:jc w:val="both"/>
        <w:rPr>
          <w:rFonts w:ascii="Verdana" w:eastAsia="Calibri" w:hAnsi="Verdana" w:cs="Arial"/>
          <w:color w:val="000000"/>
          <w:lang w:val="es-ES"/>
        </w:rPr>
      </w:pPr>
      <w:r w:rsidRPr="00910E71">
        <w:rPr>
          <w:rFonts w:ascii="Verdana" w:eastAsia="Calibri" w:hAnsi="Verdana" w:cs="Arial"/>
          <w:lang w:val="es-MX"/>
        </w:rPr>
        <w:lastRenderedPageBreak/>
        <w:t xml:space="preserve">No obstante, la parte introductoria de los documentos base de los documentos tipo disponen que los aspectos incluidos en corchetes y resaltados en gris </w:t>
      </w:r>
      <w:r w:rsidRPr="00910E71">
        <w:rPr>
          <w:rFonts w:ascii="Verdana" w:eastAsia="Aptos" w:hAnsi="Verdana" w:cs="Arial"/>
        </w:rPr>
        <w:t>–[</w:t>
      </w:r>
      <w:r w:rsidRPr="00910E71">
        <w:rPr>
          <w:rFonts w:ascii="Verdana" w:eastAsia="Aptos" w:hAnsi="Verdana" w:cs="Arial"/>
          <w:highlight w:val="lightGray"/>
        </w:rPr>
        <w:t>texto de ejemplo</w:t>
      </w:r>
      <w:r w:rsidRPr="00910E71">
        <w:rPr>
          <w:rFonts w:ascii="Verdana" w:eastAsia="Aptos" w:hAnsi="Verdana" w:cs="Arial"/>
        </w:rPr>
        <w:t xml:space="preserve">]– </w:t>
      </w:r>
      <w:r w:rsidRPr="00910E71">
        <w:rPr>
          <w:rFonts w:ascii="Verdana" w:eastAsia="Calibri" w:hAnsi="Verdana" w:cs="Arial"/>
          <w:lang w:val="es-MX"/>
        </w:rPr>
        <w:t xml:space="preserve">deben ser diligenciados por la entidad. Excepcionalmente le corresponde al proponente consignar la información incluida en corchetes y resaltada en gris, como, por ejemplo, los formatos que requieren de la firma del proponente o su representante legal. De todos modos, en cada acápite que esté resaltado en gris la entidad tendrá la libertad de determinar la información que se diligenciará en los documentos tipo, de acuerdo con su necesidad y las instrucciones de los mismos documentos tipo. </w:t>
      </w:r>
    </w:p>
    <w:p w14:paraId="7FBDB971" w14:textId="77777777" w:rsidR="00910E71" w:rsidRPr="00910E71" w:rsidRDefault="00910E71" w:rsidP="00910E71">
      <w:pPr>
        <w:spacing w:after="120" w:line="276" w:lineRule="auto"/>
        <w:ind w:firstLine="708"/>
        <w:jc w:val="both"/>
        <w:rPr>
          <w:rFonts w:ascii="Aptos" w:eastAsia="Aptos" w:hAnsi="Aptos" w:cs="Times New Roman"/>
          <w:kern w:val="2"/>
          <w:sz w:val="24"/>
          <w:szCs w:val="24"/>
          <w:lang w:val="es-MX"/>
          <w14:ligatures w14:val="standardContextual"/>
        </w:rPr>
      </w:pPr>
      <w:r w:rsidRPr="00910E71">
        <w:rPr>
          <w:rFonts w:ascii="Verdana" w:eastAsia="Calibri" w:hAnsi="Verdana" w:cs="Arial"/>
          <w:lang w:val="es-MX"/>
        </w:rPr>
        <w:t xml:space="preserve">Debe indicarse que, la regla de inalterabilidad que recae sobre los documentos tipo, también se encuentra consagrada de forma expresa en el documento base. Así, en el aparte sobre las normas de interpretación del pliego de condiciones, el literal I del numeral 1.17 del pliego tipo de los documentos tipo de licitación de obra pública de infraestructura de transporte dispone lo siguiente: </w:t>
      </w:r>
      <w:r w:rsidRPr="00910E71">
        <w:rPr>
          <w:rFonts w:ascii="Verdana" w:eastAsia="Calibri" w:hAnsi="Verdana" w:cs="Arial"/>
          <w:i/>
          <w:iCs/>
          <w:lang w:val="es-MX"/>
        </w:rPr>
        <w:t>“</w:t>
      </w:r>
      <w:r w:rsidRPr="00910E71">
        <w:rPr>
          <w:rFonts w:ascii="Verdana" w:eastAsia="Aptos" w:hAnsi="Verdana" w:cs="Times New Roman"/>
          <w:i/>
          <w:iCs/>
          <w:kern w:val="2"/>
          <w:lang w:val="es-MX"/>
          <w14:ligatures w14:val="standardContextual"/>
        </w:rPr>
        <w:t>Los Documentos Tipo son inalterables y no se podrán incluir o modificar los Anexos, Formatos y Formularios, ni exigir soportes o requisitos adicionales; salvo cuando se permita en forma expresa, es decir, en los aspectos incluidos en corchetes y resaltados en gris”.</w:t>
      </w:r>
      <w:r w:rsidRPr="00910E71">
        <w:rPr>
          <w:rFonts w:ascii="Aptos" w:eastAsia="Aptos" w:hAnsi="Aptos" w:cs="Times New Roman"/>
          <w:kern w:val="2"/>
          <w:sz w:val="24"/>
          <w:szCs w:val="24"/>
          <w:lang w:val="es-MX"/>
          <w14:ligatures w14:val="standardContextual"/>
        </w:rPr>
        <w:t xml:space="preserve"> </w:t>
      </w:r>
    </w:p>
    <w:p w14:paraId="2C802E12" w14:textId="77777777" w:rsidR="00910E71" w:rsidRPr="00910E71" w:rsidRDefault="00910E71" w:rsidP="00910E71">
      <w:pPr>
        <w:spacing w:before="120" w:after="120" w:line="276" w:lineRule="auto"/>
        <w:ind w:firstLine="709"/>
        <w:jc w:val="both"/>
        <w:rPr>
          <w:rFonts w:ascii="Verdana" w:eastAsia="Calibri" w:hAnsi="Verdana" w:cs="Arial"/>
          <w:bCs/>
          <w:lang w:val="es-MX"/>
        </w:rPr>
      </w:pPr>
      <w:r w:rsidRPr="00910E71">
        <w:rPr>
          <w:rFonts w:ascii="Verdana" w:eastAsia="Calibri" w:hAnsi="Verdana" w:cs="Arial"/>
          <w:bCs/>
          <w:lang w:val="es-MX"/>
        </w:rPr>
        <w:t>En suma, la regla general frente la aplicación de los documentos tipo es su inalterabilidad, y no podrán incluirse o modificarse en los documentos del proceso las condiciones habilitantes, los factores técnicos y económicos de escogencia y los sistemas de ponderación distintos a los señalados en los documentos tipo. En tal sentido, estos solo se podrán modificar respecto a aquellos contenidos que el mismo documento tipo lo permita.</w:t>
      </w:r>
    </w:p>
    <w:p w14:paraId="4C74327E" w14:textId="77777777" w:rsidR="00910E71" w:rsidRPr="00910E71" w:rsidRDefault="00910E71" w:rsidP="00910E71">
      <w:pPr>
        <w:spacing w:before="120" w:after="120" w:line="276" w:lineRule="auto"/>
        <w:ind w:firstLine="709"/>
        <w:jc w:val="both"/>
        <w:rPr>
          <w:rFonts w:ascii="Verdana" w:eastAsia="Calibri" w:hAnsi="Verdana" w:cs="Arial"/>
          <w:bCs/>
          <w:lang w:val="es-MX"/>
        </w:rPr>
      </w:pPr>
      <w:r w:rsidRPr="00910E71">
        <w:rPr>
          <w:rFonts w:ascii="Verdana" w:eastAsia="Calibri" w:hAnsi="Verdana" w:cs="Arial"/>
          <w:bCs/>
          <w:lang w:val="es-MX"/>
        </w:rPr>
        <w:t xml:space="preserve">Esta regla de inalterabilidad </w:t>
      </w:r>
      <w:r w:rsidRPr="00910E71">
        <w:rPr>
          <w:rFonts w:ascii="Verdana" w:eastAsia="Calibri" w:hAnsi="Verdana" w:cs="Arial"/>
          <w:bCs/>
          <w:i/>
          <w:iCs/>
          <w:lang w:val="es-MX"/>
        </w:rPr>
        <w:t>también aplica a los formatos, formularios, anexos y matrices</w:t>
      </w:r>
      <w:r w:rsidRPr="00910E71">
        <w:rPr>
          <w:rFonts w:ascii="Verdana" w:eastAsia="Calibri" w:hAnsi="Verdana" w:cs="Arial"/>
          <w:bCs/>
          <w:lang w:val="es-MX"/>
        </w:rPr>
        <w:t xml:space="preserve"> implementados junto con el “Documento Base”, los cuales deben usarse en el procedimiento de contratación. Estos, al igual que el “Documento Base”, contienen apartes entre corchetes y resaltados en gris, los cuales deben ser diligenciados por la entidad, al igual que otros aspectos relativos a información que debe ser completada por los oferentes al hacer uso del formato. </w:t>
      </w:r>
    </w:p>
    <w:p w14:paraId="20C1F054" w14:textId="77777777" w:rsidR="00910E71" w:rsidRPr="00910E71" w:rsidRDefault="00910E71" w:rsidP="00910E71">
      <w:pPr>
        <w:spacing w:before="120" w:after="120" w:line="276" w:lineRule="auto"/>
        <w:ind w:firstLine="709"/>
        <w:jc w:val="both"/>
        <w:rPr>
          <w:rFonts w:ascii="Verdana" w:eastAsia="Calibri" w:hAnsi="Verdana" w:cs="Arial"/>
          <w:lang w:val="es-MX"/>
        </w:rPr>
      </w:pPr>
      <w:r w:rsidRPr="00910E71">
        <w:rPr>
          <w:rFonts w:ascii="Verdana" w:eastAsia="Calibri" w:hAnsi="Verdana" w:cs="Arial"/>
          <w:lang w:val="es-MX"/>
        </w:rPr>
        <w:t xml:space="preserve">Con todo, la regla de inalterabilidad de los documentos tipo debe armonizarse con principios de orden constitucional, especialmente con el de prevalencia del derecho sustancial, consagrado en el artículo 228 de la Constitución Política. La interpretación armónica de tales principios, a juicio de </w:t>
      </w:r>
      <w:r w:rsidRPr="00910E71">
        <w:rPr>
          <w:rFonts w:ascii="Verdana" w:eastAsia="Calibri" w:hAnsi="Verdana" w:cs="Arial"/>
          <w:lang w:val="es-MX"/>
        </w:rPr>
        <w:lastRenderedPageBreak/>
        <w:t xml:space="preserve">la Agencia Nacional de Contratación Pública, impide que la entidad que adelanta el proceso contractual le rinda culto a las “formas”, pues, en últimas, el deber que le asiste es el de tener en cuenta y aplicar los aspectos sustanciales de los documentos tipo, sin distingo de la formalidad de la que se sirva para ello los actores de la contratación pública. </w:t>
      </w:r>
    </w:p>
    <w:p w14:paraId="4B2D9737" w14:textId="77777777" w:rsidR="00910E71" w:rsidRPr="00910E71" w:rsidRDefault="00910E71" w:rsidP="00910E71">
      <w:pPr>
        <w:spacing w:before="120" w:after="120" w:line="276" w:lineRule="auto"/>
        <w:ind w:firstLine="709"/>
        <w:jc w:val="both"/>
        <w:rPr>
          <w:rFonts w:ascii="Verdana" w:eastAsia="Aptos" w:hAnsi="Verdana" w:cs="Arial"/>
        </w:rPr>
      </w:pPr>
      <w:r w:rsidRPr="00910E71">
        <w:rPr>
          <w:rFonts w:ascii="Verdana" w:eastAsia="Aptos" w:hAnsi="Verdana" w:cs="Arial"/>
        </w:rPr>
        <w:t xml:space="preserve">En relación con el principio constitucional </w:t>
      </w:r>
      <w:r w:rsidRPr="00910E71">
        <w:rPr>
          <w:rFonts w:ascii="Verdana" w:eastAsia="Aptos" w:hAnsi="Verdana" w:cs="Arial"/>
          <w:i/>
          <w:iCs/>
        </w:rPr>
        <w:t>sub examine</w:t>
      </w:r>
      <w:r w:rsidRPr="00910E71">
        <w:rPr>
          <w:rFonts w:ascii="Verdana" w:eastAsia="Aptos" w:hAnsi="Verdana" w:cs="Arial"/>
        </w:rPr>
        <w:t>, la Corte Constitucional explica que “(…) por disposición del artículo 228 Superior, las formas no deben convertirse en un obstáculo para la efectividad del derecho sustancial, sino que deben propender por su realización. Es decir, que las normas procesales son un medio para lograr la efectividad de los derechos subjetivos y no fines en sí mismas”</w:t>
      </w:r>
      <w:r w:rsidRPr="00910E71">
        <w:rPr>
          <w:rFonts w:ascii="Verdana" w:eastAsia="Aptos" w:hAnsi="Verdana" w:cs="Arial"/>
          <w:vertAlign w:val="superscript"/>
        </w:rPr>
        <w:footnoteReference w:id="8"/>
      </w:r>
      <w:r w:rsidRPr="00910E71">
        <w:rPr>
          <w:rFonts w:ascii="Verdana" w:eastAsia="Aptos" w:hAnsi="Verdana" w:cs="Arial"/>
        </w:rPr>
        <w:t xml:space="preserve">. </w:t>
      </w:r>
    </w:p>
    <w:p w14:paraId="2F0EE482" w14:textId="77777777" w:rsidR="00910E71" w:rsidRPr="00910E71" w:rsidRDefault="00910E71" w:rsidP="00910E71">
      <w:pPr>
        <w:snapToGrid w:val="0"/>
        <w:spacing w:before="120" w:after="120" w:line="276" w:lineRule="auto"/>
        <w:ind w:firstLine="709"/>
        <w:jc w:val="both"/>
        <w:rPr>
          <w:rFonts w:ascii="Verdana" w:eastAsia="Calibri" w:hAnsi="Verdana" w:cs="Arial"/>
          <w:lang w:val="es-MX"/>
        </w:rPr>
      </w:pPr>
      <w:r w:rsidRPr="00910E71">
        <w:rPr>
          <w:rFonts w:ascii="Verdana" w:eastAsia="Calibri" w:hAnsi="Verdana" w:cs="Arial"/>
          <w:lang w:val="es-MX"/>
        </w:rPr>
        <w:t>El carácter inalterable de los documentos tipo no puede, por tanto, hacerse extensivo a los aspectos meramente formales de tales documentos, esto es, el tamaño y tipo de letra, las márgenes o las expresiones que pretenden hacer más comprensible el documento, como es el caso de aquellas que informan que una expresión larga será referida con otra similar pero más corta. Lo anterior considerando que estos aspectos en nada afectan la aplicación y alcance de los documentos tipos, es decir, no afectan su contenido esencial y, mucho menos, las obligaciones, deberes y derechos que se derivan para las partes contratantes.</w:t>
      </w:r>
    </w:p>
    <w:p w14:paraId="69612CA9" w14:textId="77777777" w:rsidR="00910E71" w:rsidRPr="00910E71" w:rsidRDefault="00910E71" w:rsidP="00910E71">
      <w:pPr>
        <w:snapToGrid w:val="0"/>
        <w:spacing w:before="120" w:after="0" w:line="276" w:lineRule="auto"/>
        <w:ind w:firstLine="709"/>
        <w:jc w:val="both"/>
        <w:rPr>
          <w:rFonts w:ascii="Verdana" w:eastAsia="Calibri" w:hAnsi="Verdana" w:cs="Arial"/>
          <w:bCs/>
          <w:color w:val="000000"/>
          <w:kern w:val="2"/>
          <w:lang w:val="es-ES_tradnl"/>
          <w14:ligatures w14:val="standardContextual"/>
        </w:rPr>
      </w:pPr>
      <w:r w:rsidRPr="00910E71">
        <w:rPr>
          <w:rFonts w:ascii="Verdana" w:eastAsia="Calibri" w:hAnsi="Verdana" w:cs="Arial"/>
          <w:kern w:val="2"/>
          <w:lang w:val="es-ES_tradnl"/>
          <w14:ligatures w14:val="standardContextual"/>
        </w:rPr>
        <w:t xml:space="preserve">En todo caso, bajo este entendimiento </w:t>
      </w:r>
      <w:proofErr w:type="spellStart"/>
      <w:r w:rsidRPr="00910E71">
        <w:rPr>
          <w:rFonts w:ascii="Verdana" w:eastAsia="Calibri" w:hAnsi="Verdana" w:cs="Arial"/>
          <w:kern w:val="2"/>
          <w:lang w:val="es-ES_tradnl"/>
          <w14:ligatures w14:val="standardContextual"/>
        </w:rPr>
        <w:t>principialístico</w:t>
      </w:r>
      <w:proofErr w:type="spellEnd"/>
      <w:r w:rsidRPr="00910E71">
        <w:rPr>
          <w:rFonts w:ascii="Verdana" w:eastAsia="Calibri" w:hAnsi="Verdana" w:cs="Arial"/>
          <w:kern w:val="2"/>
          <w:lang w:val="es-ES_tradnl"/>
          <w14:ligatures w14:val="standardContextual"/>
        </w:rPr>
        <w:t xml:space="preserve">, el análisis en torno a los aspectos meramente formales de los formatos deberá hacerse en cada caso, de acuerdo con el alcance, el contenido y la finalidad de cada documento, sin perjuicio de las reglas de </w:t>
      </w:r>
      <w:proofErr w:type="spellStart"/>
      <w:r w:rsidRPr="00910E71">
        <w:rPr>
          <w:rFonts w:ascii="Verdana" w:eastAsia="Calibri" w:hAnsi="Verdana" w:cs="Arial"/>
          <w:kern w:val="2"/>
          <w:lang w:val="es-ES_tradnl"/>
          <w14:ligatures w14:val="standardContextual"/>
        </w:rPr>
        <w:t>subsanabilidad</w:t>
      </w:r>
      <w:proofErr w:type="spellEnd"/>
      <w:r w:rsidRPr="00910E71">
        <w:rPr>
          <w:rFonts w:ascii="Verdana" w:eastAsia="Calibri" w:hAnsi="Verdana" w:cs="Arial"/>
          <w:kern w:val="2"/>
          <w:lang w:val="es-ES_tradnl"/>
          <w14:ligatures w14:val="standardContextual"/>
        </w:rPr>
        <w:t xml:space="preserve"> de las ofertas establecidas en los documentos base y en el artículo 5 de la Ley 1882 de 2018. </w:t>
      </w:r>
    </w:p>
    <w:bookmarkEnd w:id="1"/>
    <w:p w14:paraId="4FFB3CA4" w14:textId="77777777" w:rsidR="00910E71" w:rsidRPr="00910E71" w:rsidRDefault="00910E71" w:rsidP="00910E71">
      <w:pPr>
        <w:tabs>
          <w:tab w:val="left" w:pos="142"/>
          <w:tab w:val="left" w:pos="284"/>
        </w:tabs>
        <w:spacing w:after="0" w:line="276" w:lineRule="auto"/>
        <w:jc w:val="both"/>
        <w:rPr>
          <w:rFonts w:ascii="Verdana" w:eastAsia="Century Gothic" w:hAnsi="Verdana" w:cs="Century Gothic"/>
          <w:lang w:val="es-ES_tradnl"/>
        </w:rPr>
      </w:pPr>
    </w:p>
    <w:p w14:paraId="745232F8" w14:textId="77777777" w:rsidR="00910E71" w:rsidRPr="00910E71" w:rsidRDefault="00910E71" w:rsidP="00910E71">
      <w:pPr>
        <w:tabs>
          <w:tab w:val="left" w:pos="142"/>
          <w:tab w:val="left" w:pos="284"/>
        </w:tabs>
        <w:spacing w:after="0" w:line="276" w:lineRule="auto"/>
        <w:jc w:val="both"/>
        <w:rPr>
          <w:rFonts w:ascii="Verdana" w:eastAsia="Century Gothic" w:hAnsi="Verdana" w:cs="Century Gothic"/>
          <w:b/>
          <w:bCs/>
          <w:lang w:val="es-ES_tradnl"/>
        </w:rPr>
      </w:pPr>
      <w:r w:rsidRPr="00910E71">
        <w:rPr>
          <w:rFonts w:ascii="Verdana" w:eastAsia="Century Gothic" w:hAnsi="Verdana" w:cs="Century Gothic"/>
          <w:b/>
          <w:bCs/>
          <w:lang w:val="es-ES_tradnl"/>
        </w:rPr>
        <w:t>4. Referencias normativas, jurisprudenciales y otras fuentes:</w:t>
      </w:r>
    </w:p>
    <w:p w14:paraId="107A5AAB" w14:textId="77777777" w:rsidR="00910E71" w:rsidRPr="00910E71" w:rsidRDefault="00910E71" w:rsidP="00910E71">
      <w:pPr>
        <w:spacing w:after="0"/>
        <w:ind w:left="-15840"/>
        <w:jc w:val="both"/>
        <w:rPr>
          <w:rFonts w:ascii="Verdana" w:eastAsia="Calibri" w:hAnsi="Verdana" w:cs="Arial"/>
          <w:b/>
          <w:bCs/>
        </w:rPr>
      </w:pPr>
      <w:r w:rsidRPr="00910E71">
        <w:rPr>
          <w:rFonts w:ascii="Verdana" w:eastAsia="Calibri" w:hAnsi="Verdana" w:cs="Arial"/>
          <w:b/>
          <w:bCs/>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910E71" w:rsidRPr="00910E71" w14:paraId="65A2D0CB" w14:textId="77777777" w:rsidTr="00E00EBA">
        <w:trPr>
          <w:trHeight w:val="870"/>
        </w:trPr>
        <w:tc>
          <w:tcPr>
            <w:tcW w:w="8647" w:type="dxa"/>
            <w:tcBorders>
              <w:top w:val="dotted" w:sz="4" w:space="0" w:color="auto"/>
              <w:left w:val="dotted" w:sz="4" w:space="0" w:color="auto"/>
              <w:bottom w:val="dotted" w:sz="4" w:space="0" w:color="auto"/>
              <w:right w:val="dotted" w:sz="4" w:space="0" w:color="auto"/>
            </w:tcBorders>
          </w:tcPr>
          <w:p w14:paraId="40F50E4A" w14:textId="77777777" w:rsidR="00910E71" w:rsidRPr="00910E71" w:rsidRDefault="00910E71" w:rsidP="00910E71">
            <w:pPr>
              <w:widowControl w:val="0"/>
              <w:numPr>
                <w:ilvl w:val="0"/>
                <w:numId w:val="16"/>
              </w:numPr>
              <w:autoSpaceDE w:val="0"/>
              <w:autoSpaceDN w:val="0"/>
              <w:spacing w:after="120" w:line="276" w:lineRule="auto"/>
              <w:jc w:val="both"/>
              <w:rPr>
                <w:rFonts w:ascii="Verdana" w:eastAsia="Calibri" w:hAnsi="Verdana" w:cs="Arial"/>
                <w:lang w:val="es-ES_tradnl"/>
              </w:rPr>
            </w:pPr>
            <w:r w:rsidRPr="00910E71">
              <w:rPr>
                <w:rFonts w:ascii="Verdana" w:eastAsia="Calibri" w:hAnsi="Verdana" w:cs="Arial"/>
                <w:lang w:val="es-ES_tradnl"/>
              </w:rPr>
              <w:t>Ley 80 de 1993, artículo 25.</w:t>
            </w:r>
          </w:p>
          <w:p w14:paraId="14320141" w14:textId="77777777" w:rsidR="00910E71" w:rsidRPr="00910E71" w:rsidRDefault="00910E71" w:rsidP="00910E71">
            <w:pPr>
              <w:widowControl w:val="0"/>
              <w:numPr>
                <w:ilvl w:val="0"/>
                <w:numId w:val="16"/>
              </w:numPr>
              <w:autoSpaceDE w:val="0"/>
              <w:autoSpaceDN w:val="0"/>
              <w:spacing w:after="120" w:line="276" w:lineRule="auto"/>
              <w:jc w:val="both"/>
              <w:rPr>
                <w:rFonts w:ascii="Verdana" w:eastAsia="Calibri" w:hAnsi="Verdana" w:cs="Arial"/>
                <w:lang w:val="es-ES_tradnl"/>
              </w:rPr>
            </w:pPr>
            <w:r w:rsidRPr="00910E71">
              <w:rPr>
                <w:rFonts w:ascii="Verdana" w:eastAsia="Calibri" w:hAnsi="Verdana" w:cs="Arial"/>
                <w:lang w:val="es-ES_tradnl"/>
              </w:rPr>
              <w:t xml:space="preserve">Ley 2022 de 2020, artículo 1. </w:t>
            </w:r>
          </w:p>
          <w:p w14:paraId="5D66E251" w14:textId="77777777" w:rsidR="00910E71" w:rsidRPr="00910E71" w:rsidRDefault="00910E71" w:rsidP="00910E71">
            <w:pPr>
              <w:widowControl w:val="0"/>
              <w:numPr>
                <w:ilvl w:val="0"/>
                <w:numId w:val="16"/>
              </w:numPr>
              <w:autoSpaceDE w:val="0"/>
              <w:autoSpaceDN w:val="0"/>
              <w:spacing w:after="120" w:line="276" w:lineRule="auto"/>
              <w:jc w:val="both"/>
              <w:rPr>
                <w:rFonts w:ascii="Verdana" w:eastAsia="Calibri" w:hAnsi="Verdana" w:cs="Arial"/>
                <w:lang w:val="es-ES_tradnl"/>
              </w:rPr>
            </w:pPr>
            <w:r w:rsidRPr="00910E71">
              <w:rPr>
                <w:rFonts w:ascii="Verdana" w:eastAsia="Aptos" w:hAnsi="Verdana" w:cs="Arial"/>
                <w:lang w:val="es-ES"/>
              </w:rPr>
              <w:t>Decreto 019 de 2012, artículo 5.</w:t>
            </w:r>
          </w:p>
          <w:p w14:paraId="4F05371C" w14:textId="77777777" w:rsidR="00910E71" w:rsidRPr="00910E71" w:rsidRDefault="00910E71" w:rsidP="00910E71">
            <w:pPr>
              <w:widowControl w:val="0"/>
              <w:numPr>
                <w:ilvl w:val="0"/>
                <w:numId w:val="16"/>
              </w:numPr>
              <w:autoSpaceDE w:val="0"/>
              <w:autoSpaceDN w:val="0"/>
              <w:spacing w:after="120" w:line="276" w:lineRule="auto"/>
              <w:jc w:val="both"/>
              <w:rPr>
                <w:rFonts w:ascii="Verdana" w:eastAsia="Calibri" w:hAnsi="Verdana" w:cs="Arial"/>
              </w:rPr>
            </w:pPr>
            <w:r w:rsidRPr="00910E71">
              <w:rPr>
                <w:rFonts w:ascii="Verdana" w:eastAsia="Aptos" w:hAnsi="Verdana" w:cs="Arial"/>
                <w:lang w:val="es-ES_tradnl"/>
              </w:rPr>
              <w:lastRenderedPageBreak/>
              <w:t>Consejo de Estado. Sección Tercera. Subsección A, providencia del 20 de febrero de 2020, dentro del expediente 47001-23-33-000-2018-00035-01 (63.854), C.P. Marta Nubia Velásquez Rico.</w:t>
            </w:r>
          </w:p>
          <w:p w14:paraId="1620066A" w14:textId="77777777" w:rsidR="00910E71" w:rsidRPr="00910E71" w:rsidRDefault="00910E71" w:rsidP="00910E71">
            <w:pPr>
              <w:widowControl w:val="0"/>
              <w:numPr>
                <w:ilvl w:val="0"/>
                <w:numId w:val="16"/>
              </w:numPr>
              <w:autoSpaceDE w:val="0"/>
              <w:autoSpaceDN w:val="0"/>
              <w:spacing w:after="120" w:line="276" w:lineRule="auto"/>
              <w:jc w:val="both"/>
              <w:rPr>
                <w:rFonts w:ascii="Verdana" w:eastAsia="Calibri" w:hAnsi="Verdana" w:cs="Arial"/>
              </w:rPr>
            </w:pPr>
            <w:r w:rsidRPr="00910E71">
              <w:rPr>
                <w:rFonts w:ascii="Verdana" w:eastAsia="Calibri" w:hAnsi="Verdana" w:cs="Arial"/>
                <w:lang w:val="es-ES_tradnl"/>
              </w:rPr>
              <w:t xml:space="preserve">Documentos Tipo. Disponibles en: </w:t>
            </w:r>
            <w:hyperlink r:id="rId11" w:history="1">
              <w:r w:rsidRPr="00910E71">
                <w:rPr>
                  <w:rFonts w:ascii="Verdana" w:eastAsia="Calibri" w:hAnsi="Verdana" w:cs="Arial"/>
                  <w:color w:val="0000FF"/>
                  <w:u w:val="single"/>
                  <w:lang w:val="es-ES_tradnl"/>
                </w:rPr>
                <w:t>https://www.colombiacompra.gov.co/documentos-tipo/documentos-tipo</w:t>
              </w:r>
            </w:hyperlink>
            <w:r w:rsidRPr="00910E71">
              <w:rPr>
                <w:rFonts w:ascii="Verdana" w:eastAsia="Calibri" w:hAnsi="Verdana" w:cs="Arial"/>
                <w:lang w:val="es-ES_tradnl"/>
              </w:rPr>
              <w:t>.</w:t>
            </w:r>
          </w:p>
        </w:tc>
      </w:tr>
    </w:tbl>
    <w:p w14:paraId="3230F61B" w14:textId="77777777" w:rsidR="00910E71" w:rsidRPr="00910E71" w:rsidRDefault="00910E71" w:rsidP="00910E71">
      <w:pPr>
        <w:tabs>
          <w:tab w:val="left" w:pos="142"/>
          <w:tab w:val="left" w:pos="284"/>
        </w:tabs>
        <w:spacing w:after="0" w:line="276" w:lineRule="auto"/>
        <w:jc w:val="both"/>
        <w:rPr>
          <w:rFonts w:ascii="Verdana" w:eastAsia="Calibri" w:hAnsi="Verdana" w:cs="Arial"/>
        </w:rPr>
      </w:pPr>
    </w:p>
    <w:p w14:paraId="1B5E350A" w14:textId="77777777" w:rsidR="00910E71" w:rsidRPr="00910E71" w:rsidRDefault="00910E71" w:rsidP="00910E71">
      <w:pPr>
        <w:tabs>
          <w:tab w:val="left" w:pos="142"/>
          <w:tab w:val="left" w:pos="284"/>
        </w:tabs>
        <w:spacing w:after="0" w:line="276" w:lineRule="auto"/>
        <w:jc w:val="both"/>
        <w:rPr>
          <w:rFonts w:ascii="Verdana" w:eastAsia="Century Gothic" w:hAnsi="Verdana" w:cs="Century Gothic"/>
          <w:b/>
          <w:bCs/>
          <w:lang w:val="es-ES"/>
        </w:rPr>
      </w:pPr>
      <w:r w:rsidRPr="00910E71">
        <w:rPr>
          <w:rFonts w:ascii="Verdana" w:eastAsia="Calibri" w:hAnsi="Verdana" w:cs="Arial"/>
          <w:b/>
          <w:bCs/>
        </w:rPr>
        <w:t xml:space="preserve">5. </w:t>
      </w:r>
      <w:r w:rsidRPr="00910E71">
        <w:rPr>
          <w:rFonts w:ascii="Verdana" w:eastAsia="Century Gothic" w:hAnsi="Verdana" w:cs="Century Gothic"/>
          <w:b/>
          <w:bCs/>
          <w:lang w:val="es-ES"/>
        </w:rPr>
        <w:t>Doctrina de la Agencia Nacional de Contratación Pública:</w:t>
      </w:r>
    </w:p>
    <w:p w14:paraId="08258233" w14:textId="77777777" w:rsidR="00910E71" w:rsidRPr="00910E71" w:rsidRDefault="00910E71" w:rsidP="00910E71">
      <w:pPr>
        <w:widowControl w:val="0"/>
        <w:autoSpaceDE w:val="0"/>
        <w:autoSpaceDN w:val="0"/>
        <w:spacing w:after="0" w:line="276" w:lineRule="auto"/>
        <w:jc w:val="both"/>
        <w:rPr>
          <w:rFonts w:ascii="Verdana" w:eastAsia="Calibri" w:hAnsi="Verdana" w:cs="Arial"/>
        </w:rPr>
      </w:pPr>
    </w:p>
    <w:p w14:paraId="22008F88" w14:textId="77777777" w:rsidR="00910E71" w:rsidRPr="00910E71" w:rsidRDefault="00910E71" w:rsidP="00910E71">
      <w:pPr>
        <w:widowControl w:val="0"/>
        <w:autoSpaceDE w:val="0"/>
        <w:autoSpaceDN w:val="0"/>
        <w:spacing w:after="0" w:line="276" w:lineRule="auto"/>
        <w:jc w:val="both"/>
        <w:rPr>
          <w:rFonts w:ascii="Verdana" w:eastAsia="Times New Roman" w:hAnsi="Verdana" w:cs="Arial"/>
          <w:kern w:val="2"/>
          <w:shd w:val="clear" w:color="auto" w:fill="FFFFFF"/>
          <w:lang w:val="es-ES"/>
          <w14:ligatures w14:val="standardContextual"/>
        </w:rPr>
      </w:pPr>
      <w:r w:rsidRPr="00910E71">
        <w:rPr>
          <w:rFonts w:ascii="Verdana" w:eastAsia="Calibri" w:hAnsi="Verdana" w:cs="Arial"/>
          <w:kern w:val="2"/>
          <w:shd w:val="clear" w:color="auto" w:fill="FFFFFF"/>
          <w14:ligatures w14:val="standardContextual"/>
        </w:rPr>
        <w:t>L</w:t>
      </w:r>
      <w:r w:rsidRPr="00910E71">
        <w:rPr>
          <w:rFonts w:ascii="Verdana" w:eastAsia="Calibri" w:hAnsi="Verdana" w:cs="Arial"/>
          <w:kern w:val="2"/>
          <w:shd w:val="clear" w:color="auto" w:fill="FFFFFF"/>
          <w:lang w:val="es-ES"/>
          <w14:ligatures w14:val="standardContextual"/>
        </w:rPr>
        <w:t>a Agencia Nacional de Contratación Pública – Colombia Compra Eficiente, se ha pronunciado sobre la regla de la inalterabilidad de los documentos tipo en los siguiente conceptos: C-058 del 8 de marzo de 2022, C-657 del 11 de octubre de 2022, C-051 del 28 de abril de 2023</w:t>
      </w:r>
      <w:r w:rsidRPr="00910E71">
        <w:rPr>
          <w:rFonts w:ascii="Verdana" w:eastAsia="Times New Roman" w:hAnsi="Verdana" w:cs="Arial"/>
          <w:kern w:val="2"/>
          <w:shd w:val="clear" w:color="auto" w:fill="FFFFFF"/>
          <w:lang w:val="es-ES"/>
          <w14:ligatures w14:val="standardContextual"/>
        </w:rPr>
        <w:t xml:space="preserve">, </w:t>
      </w:r>
      <w:r w:rsidRPr="00910E71">
        <w:rPr>
          <w:rFonts w:ascii="Verdana" w:eastAsia="Calibri" w:hAnsi="Verdana" w:cs="Arial"/>
          <w:kern w:val="2"/>
          <w:shd w:val="clear" w:color="auto" w:fill="FFFFFF"/>
          <w:lang w:val="es-ES"/>
          <w14:ligatures w14:val="standardContextual"/>
        </w:rPr>
        <w:t>C-513 del 7 de octubre de 2024, C-730 del 27 de noviembre de 2024, C-870 del 15 de diciembre de 2024, C-092 del 4 de marzo de 2025, C-110 del 7 de marzo de 2025, C-133 del 10 de marzo de 2025, C-241 del 14 de marzo de 2025, C-283 del 14 de abril de 2025, C-302 del 21 de abril de 2025, C-386 del 22 de abril de 2025, C-322 del 25 de abril de 2025, C-325 del 25 de abril de 2025, C-342 del 25 de abril de 2025, C-365 del 2 de mayo de 2025, C-382 del 6 de mayo de 2025, C497 del 5 de junio de 2025, C-522 del 9 de junio de 2025, C-562 del 19 de junio de 2025, C-582 del 25 de junio de 2025</w:t>
      </w:r>
      <w:r w:rsidRPr="00910E71">
        <w:rPr>
          <w:rFonts w:ascii="Verdana" w:eastAsia="Calibri" w:hAnsi="Verdana" w:cs="Arial"/>
          <w:shd w:val="clear" w:color="auto" w:fill="FFFFFF"/>
          <w:lang w:val="es-ES"/>
        </w:rPr>
        <w:t xml:space="preserve">, C-043 del 13 de febrero de 2026, C-246 del 12 de marzo de 2026, C-467 del 21 de abril de 2026, entre otros. </w:t>
      </w:r>
    </w:p>
    <w:p w14:paraId="0A8F264E" w14:textId="77777777" w:rsidR="00910E71" w:rsidRPr="00910E71" w:rsidRDefault="00910E71" w:rsidP="00910E71">
      <w:pPr>
        <w:widowControl w:val="0"/>
        <w:autoSpaceDE w:val="0"/>
        <w:autoSpaceDN w:val="0"/>
        <w:spacing w:after="0" w:line="276" w:lineRule="auto"/>
        <w:jc w:val="both"/>
        <w:rPr>
          <w:rFonts w:ascii="Verdana" w:eastAsia="Times New Roman" w:hAnsi="Verdana" w:cs="Arial"/>
          <w:shd w:val="clear" w:color="auto" w:fill="FFFFFF"/>
          <w:lang w:val="es-ES"/>
        </w:rPr>
      </w:pPr>
    </w:p>
    <w:p w14:paraId="30BD4645" w14:textId="77777777" w:rsidR="00910E71" w:rsidRPr="00910E71" w:rsidRDefault="00910E71" w:rsidP="00910E71">
      <w:pPr>
        <w:widowControl w:val="0"/>
        <w:autoSpaceDE w:val="0"/>
        <w:autoSpaceDN w:val="0"/>
        <w:spacing w:after="0" w:line="276" w:lineRule="auto"/>
        <w:jc w:val="both"/>
        <w:rPr>
          <w:rFonts w:ascii="Verdana" w:eastAsia="Times New Roman" w:hAnsi="Verdana" w:cs="Arial"/>
          <w:shd w:val="clear" w:color="auto" w:fill="FFFFFF"/>
          <w:lang w:val="es-ES"/>
        </w:rPr>
      </w:pPr>
      <w:r w:rsidRPr="00910E71">
        <w:rPr>
          <w:rFonts w:ascii="Verdana" w:eastAsia="Calibri" w:hAnsi="Verdana" w:cs="Arial"/>
          <w:color w:val="000000"/>
          <w:shd w:val="clear" w:color="auto" w:fill="FFFFFF"/>
        </w:rPr>
        <w:t xml:space="preserve">Estos y otros conceptos se encuentran disponibles para consulta en el Sistema de Relatoría de la Agencia, en el cual también podrá encontrar jurisprudencia del Consejo de Estado, laudos arbitrales y la normativa de la contratación concordada con la doctrina de la Subdirección de Gestión Contractual. Acceda a través del siguiente enlace: </w:t>
      </w:r>
      <w:hyperlink r:id="rId12" w:history="1">
        <w:r w:rsidRPr="00910E71">
          <w:rPr>
            <w:rFonts w:ascii="Verdana" w:eastAsia="Aptos" w:hAnsi="Verdana" w:cs="Arial"/>
            <w:color w:val="0000FF"/>
            <w:kern w:val="2"/>
            <w:u w:val="single"/>
            <w:shd w:val="clear" w:color="auto" w:fill="FFFFFF"/>
            <w14:ligatures w14:val="standardContextual"/>
          </w:rPr>
          <w:t>https://relatoria.colombiacompra.gov.co/busqueda/conceptos</w:t>
        </w:r>
      </w:hyperlink>
      <w:r w:rsidRPr="00910E71">
        <w:rPr>
          <w:rFonts w:ascii="Verdana" w:eastAsia="Aptos" w:hAnsi="Verdana" w:cs="Arial"/>
          <w:kern w:val="2"/>
          <w:shd w:val="clear" w:color="auto" w:fill="FFFFFF"/>
          <w14:ligatures w14:val="standardContextual"/>
        </w:rPr>
        <w:t xml:space="preserve">. </w:t>
      </w:r>
      <w:r w:rsidRPr="00910E71">
        <w:rPr>
          <w:rFonts w:ascii="Verdana" w:eastAsia="Aptos" w:hAnsi="Verdana" w:cs="Arial"/>
          <w:color w:val="FF0000"/>
          <w:kern w:val="2"/>
          <w:shd w:val="clear" w:color="auto" w:fill="FFFFFF"/>
          <w:lang w:val="es-ES"/>
          <w14:ligatures w14:val="standardContextual"/>
        </w:rPr>
        <w:t xml:space="preserve">  </w:t>
      </w:r>
    </w:p>
    <w:p w14:paraId="683D86ED" w14:textId="77777777" w:rsidR="00910E71" w:rsidRPr="00910E71" w:rsidRDefault="00910E71" w:rsidP="00910E71">
      <w:pPr>
        <w:spacing w:after="0" w:line="240" w:lineRule="auto"/>
        <w:jc w:val="both"/>
        <w:rPr>
          <w:rFonts w:ascii="Verdana" w:eastAsia="Calibri" w:hAnsi="Verdana" w:cs="Arial"/>
          <w:color w:val="000000"/>
          <w:shd w:val="clear" w:color="auto" w:fill="FFFFFF"/>
        </w:rPr>
      </w:pPr>
    </w:p>
    <w:p w14:paraId="1B6E2557" w14:textId="77777777" w:rsidR="00910E71" w:rsidRPr="00910E71" w:rsidRDefault="00910E71" w:rsidP="00910E71">
      <w:pPr>
        <w:spacing w:after="0" w:line="276" w:lineRule="auto"/>
        <w:jc w:val="both"/>
        <w:rPr>
          <w:rFonts w:ascii="Verdana" w:eastAsia="Times New Roman" w:hAnsi="Verdana" w:cs="Arial"/>
          <w:lang w:eastAsia="es-MX"/>
        </w:rPr>
      </w:pPr>
      <w:r w:rsidRPr="00910E71">
        <w:rPr>
          <w:rFonts w:ascii="Verdana" w:eastAsia="Times New Roman" w:hAnsi="Verdana" w:cs="Arial"/>
          <w:lang w:eastAsia="es-MX"/>
        </w:rPr>
        <w:t xml:space="preserve">La sostenibilidad no es una opción, es una obligación. Por ello, la Agencia Nacional de Contratación Pública –Colombia Compra Eficiente– le invita a realizar el </w:t>
      </w:r>
      <w:r w:rsidRPr="00910E71">
        <w:rPr>
          <w:rFonts w:ascii="Verdana" w:eastAsia="Times New Roman" w:hAnsi="Verdana" w:cs="Arial"/>
          <w:b/>
          <w:bCs/>
          <w:lang w:eastAsia="es-MX"/>
        </w:rPr>
        <w:t>Curso de Contratación Pública Sostenible y Socialmente Responsable</w:t>
      </w:r>
      <w:r w:rsidRPr="00910E71">
        <w:rPr>
          <w:rFonts w:ascii="Verdana" w:eastAsia="Times New Roman" w:hAnsi="Verdana" w:cs="Arial"/>
          <w:lang w:eastAsia="es-MX"/>
        </w:rPr>
        <w:t xml:space="preserve">, una herramienta clave para fortalecer las capacidades de todos los compradores públicos, proveedores, servidores públicos y para generar mayor valor público. Acceda al curso y aprenda como implementar criterios sociales y ambientales en </w:t>
      </w:r>
      <w:r w:rsidRPr="00910E71">
        <w:rPr>
          <w:rFonts w:ascii="Verdana" w:eastAsia="Times New Roman" w:hAnsi="Verdana" w:cs="Arial"/>
          <w:lang w:eastAsia="es-MX"/>
        </w:rPr>
        <w:lastRenderedPageBreak/>
        <w:t>las diferentes etapas del proceso de contratación:</w:t>
      </w:r>
      <w:r w:rsidRPr="00910E71">
        <w:rPr>
          <w:rFonts w:ascii="Verdana" w:eastAsia="Times New Roman" w:hAnsi="Verdana" w:cs="Arial"/>
          <w:lang w:eastAsia="es-MX"/>
        </w:rPr>
        <w:br/>
      </w:r>
      <w:hyperlink r:id="rId13" w:tgtFrame="_new" w:history="1">
        <w:r w:rsidRPr="00910E71">
          <w:rPr>
            <w:rFonts w:ascii="Verdana" w:eastAsia="Times New Roman" w:hAnsi="Verdana" w:cs="Arial"/>
            <w:color w:val="0000FF"/>
            <w:u w:val="single"/>
            <w:lang w:eastAsia="es-MX"/>
          </w:rPr>
          <w:t>https://formacionvirtual.colombiacompra.gov.co/mod/page/view.php?id=3718</w:t>
        </w:r>
      </w:hyperlink>
    </w:p>
    <w:p w14:paraId="6B9B3C04" w14:textId="77777777" w:rsidR="00910E71" w:rsidRPr="00910E71" w:rsidRDefault="00910E71" w:rsidP="00910E71">
      <w:pPr>
        <w:spacing w:after="0" w:line="276" w:lineRule="auto"/>
        <w:jc w:val="both"/>
        <w:rPr>
          <w:rFonts w:ascii="Verdana" w:eastAsia="Times New Roman" w:hAnsi="Verdana" w:cs="Arial"/>
          <w:lang w:eastAsia="es-MX"/>
        </w:rPr>
      </w:pPr>
    </w:p>
    <w:p w14:paraId="3D5A553F" w14:textId="77777777" w:rsidR="00910E71" w:rsidRPr="00910E71" w:rsidRDefault="00910E71" w:rsidP="00910E71">
      <w:pPr>
        <w:spacing w:after="0" w:line="276" w:lineRule="auto"/>
        <w:jc w:val="both"/>
        <w:rPr>
          <w:rFonts w:ascii="Verdana" w:eastAsia="Times New Roman" w:hAnsi="Verdana" w:cs="Arial"/>
          <w:lang w:eastAsia="es-MX"/>
        </w:rPr>
      </w:pPr>
      <w:r w:rsidRPr="00910E71">
        <w:rPr>
          <w:rFonts w:ascii="Verdana" w:eastAsia="Times New Roman" w:hAnsi="Verdana" w:cs="Arial"/>
          <w:lang w:eastAsia="es-MX"/>
        </w:rPr>
        <w:t xml:space="preserve">De otro lado, le contamos que esta Agencia ha da un paso decisivo en la estandarización y modernización del </w:t>
      </w:r>
      <w:r w:rsidRPr="00910E71">
        <w:rPr>
          <w:rFonts w:ascii="Verdana" w:eastAsia="Times New Roman" w:hAnsi="Verdana" w:cs="Arial"/>
          <w:b/>
          <w:bCs/>
          <w:lang w:eastAsia="es-MX"/>
        </w:rPr>
        <w:t>sector  social</w:t>
      </w:r>
      <w:r w:rsidRPr="00910E71">
        <w:rPr>
          <w:rFonts w:ascii="Verdana" w:eastAsia="Times New Roman" w:hAnsi="Verdana" w:cs="Arial"/>
          <w:lang w:eastAsia="es-MX"/>
        </w:rPr>
        <w:t xml:space="preserve"> con la expedición de las </w:t>
      </w:r>
      <w:r w:rsidRPr="00910E71">
        <w:rPr>
          <w:rFonts w:ascii="Verdana" w:eastAsia="Times New Roman" w:hAnsi="Verdana" w:cs="Arial"/>
          <w:b/>
          <w:bCs/>
          <w:lang w:eastAsia="es-MX"/>
        </w:rPr>
        <w:t>Resoluciones 539, 540, 541, 952 y 953 de 2025</w:t>
      </w:r>
      <w:r w:rsidRPr="00910E71">
        <w:rPr>
          <w:rFonts w:ascii="Verdana" w:eastAsia="Times New Roman" w:hAnsi="Verdana" w:cs="Arial"/>
          <w:lang w:eastAsia="es-MX"/>
        </w:rPr>
        <w:t xml:space="preserve">, </w:t>
      </w:r>
      <w:r w:rsidRPr="00910E71">
        <w:rPr>
          <w:rFonts w:ascii="Verdana" w:eastAsia="Times New Roman" w:hAnsi="Verdana" w:cs="Arial"/>
          <w:b/>
          <w:bCs/>
          <w:lang w:eastAsia="es-MX"/>
        </w:rPr>
        <w:t>mediante las cuales adoptó Documentos Tipo</w:t>
      </w:r>
      <w:r w:rsidRPr="00910E71">
        <w:rPr>
          <w:rFonts w:ascii="Verdana" w:eastAsia="Times New Roman" w:hAnsi="Verdana" w:cs="Arial"/>
          <w:lang w:eastAsia="es-MX"/>
        </w:rPr>
        <w:t xml:space="preserve"> para las modalidades de selección de</w:t>
      </w:r>
      <w:r w:rsidRPr="00910E71">
        <w:rPr>
          <w:rFonts w:ascii="Verdana" w:eastAsia="Times New Roman" w:hAnsi="Verdana" w:cs="Arial"/>
          <w:b/>
          <w:bCs/>
          <w:lang w:eastAsia="es-MX"/>
        </w:rPr>
        <w:t xml:space="preserve"> licitación pública (versión 2), selección abreviada de menor cuantía, mínima cuantía, consultoría e interventoría</w:t>
      </w:r>
      <w:r w:rsidRPr="00910E71">
        <w:rPr>
          <w:rFonts w:ascii="Verdana" w:eastAsia="Times New Roman" w:hAnsi="Verdana" w:cs="Arial"/>
          <w:lang w:eastAsia="es-MX"/>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910E71">
          <w:rPr>
            <w:rFonts w:ascii="Verdana" w:eastAsia="Times New Roman" w:hAnsi="Verdana" w:cs="Arial"/>
            <w:color w:val="0000FF"/>
            <w:u w:val="single"/>
            <w:lang w:eastAsia="es-MX"/>
          </w:rPr>
          <w:t>https://www.colombiacompra.gov.co/normativa-y-relatoria/documentos-tipo</w:t>
        </w:r>
      </w:hyperlink>
    </w:p>
    <w:p w14:paraId="4D852C06" w14:textId="77777777" w:rsidR="00910E71" w:rsidRPr="00910E71" w:rsidRDefault="00910E71" w:rsidP="00910E71">
      <w:pPr>
        <w:spacing w:after="0" w:line="276" w:lineRule="auto"/>
        <w:jc w:val="both"/>
        <w:rPr>
          <w:rFonts w:ascii="Verdana" w:eastAsia="Times New Roman" w:hAnsi="Verdana" w:cs="Arial"/>
          <w:lang w:eastAsia="es-MX"/>
        </w:rPr>
      </w:pPr>
    </w:p>
    <w:p w14:paraId="08F6CFBB" w14:textId="77777777" w:rsidR="00910E71" w:rsidRPr="00910E71" w:rsidRDefault="00910E71" w:rsidP="00910E71">
      <w:pPr>
        <w:spacing w:after="0" w:line="276" w:lineRule="auto"/>
        <w:jc w:val="both"/>
        <w:rPr>
          <w:rFonts w:ascii="Verdana" w:eastAsia="Times New Roman" w:hAnsi="Verdana" w:cs="Arial"/>
          <w:lang w:eastAsia="es-MX"/>
        </w:rPr>
      </w:pPr>
      <w:r w:rsidRPr="00910E71">
        <w:rPr>
          <w:rFonts w:ascii="Verdana" w:eastAsia="Times New Roman" w:hAnsi="Verdana" w:cs="Arial"/>
          <w:lang w:eastAsia="es-MX"/>
        </w:rPr>
        <w:t xml:space="preserve">Si quiere conocer más sobre la aplicación de Documentos Tipo puedes consultar la última versión de la </w:t>
      </w:r>
      <w:r w:rsidRPr="00910E71">
        <w:rPr>
          <w:rFonts w:ascii="Verdana" w:eastAsia="Times New Roman" w:hAnsi="Verdana" w:cs="Arial"/>
          <w:b/>
          <w:bCs/>
          <w:lang w:eastAsia="es-MX"/>
        </w:rPr>
        <w:t>Guía para la comprensión e implementación de los Documentos Tipo de obra pública de infraestructura de transporte</w:t>
      </w:r>
      <w:r w:rsidRPr="00910E71">
        <w:rPr>
          <w:rFonts w:ascii="Verdana" w:eastAsia="Times New Roman" w:hAnsi="Verdana" w:cs="Arial"/>
          <w:lang w:eastAsia="es-MX"/>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Consulte la guía aquí:</w:t>
      </w:r>
      <w:r w:rsidRPr="00910E71">
        <w:rPr>
          <w:rFonts w:ascii="Verdana" w:eastAsia="Times New Roman" w:hAnsi="Verdana" w:cs="Arial"/>
          <w:lang w:eastAsia="es-MX"/>
        </w:rPr>
        <w:br/>
      </w:r>
      <w:hyperlink r:id="rId15" w:tgtFrame="_new" w:history="1">
        <w:r w:rsidRPr="00910E71">
          <w:rPr>
            <w:rFonts w:ascii="Verdana" w:eastAsia="Times New Roman" w:hAnsi="Verdana" w:cs="Arial"/>
            <w:color w:val="0000FF"/>
            <w:u w:val="single"/>
            <w:lang w:eastAsia="es-MX"/>
          </w:rPr>
          <w:t>https://www.colombiacompra.gov.co/archivos/manual/guia-para-la-comprension-e-implementacion-de-los-documentos-tipo-de-obra-publica-de-infraestructura-de-transporte-bajo-las-diferentes-modalidades-de-contratacion-vigentes</w:t>
        </w:r>
      </w:hyperlink>
    </w:p>
    <w:p w14:paraId="7F8BDB79" w14:textId="77777777" w:rsidR="00910E71" w:rsidRPr="00910E71" w:rsidRDefault="00910E71" w:rsidP="00910E71">
      <w:pPr>
        <w:spacing w:after="0"/>
        <w:jc w:val="both"/>
        <w:rPr>
          <w:rFonts w:ascii="Verdana" w:eastAsia="Aptos" w:hAnsi="Verdana" w:cs="Times New Roman"/>
          <w:color w:val="212121"/>
          <w:lang w:eastAsia="es-MX"/>
        </w:rPr>
      </w:pPr>
    </w:p>
    <w:p w14:paraId="336FA70C" w14:textId="77777777" w:rsidR="00910E71" w:rsidRPr="00910E71" w:rsidRDefault="00910E71" w:rsidP="00910E71">
      <w:pPr>
        <w:spacing w:after="0" w:line="240" w:lineRule="auto"/>
        <w:jc w:val="both"/>
        <w:rPr>
          <w:rFonts w:ascii="Verdana" w:eastAsia="Calibri" w:hAnsi="Verdana" w:cs="Times New Roman"/>
          <w:lang w:eastAsia="es-MX"/>
        </w:rPr>
      </w:pPr>
      <w:r w:rsidRPr="00910E71">
        <w:rPr>
          <w:rFonts w:ascii="Verdana" w:eastAsia="Aptos" w:hAnsi="Verdana" w:cs="Times New Roman"/>
          <w:lang w:eastAsia="es-MX"/>
        </w:rPr>
        <w:t xml:space="preserve">Por último, le invitamos a seguirnos en las redes sociales en las cuales se difunde información institucional: </w:t>
      </w:r>
    </w:p>
    <w:p w14:paraId="5D683506" w14:textId="77777777" w:rsidR="00910E71" w:rsidRPr="00910E71" w:rsidRDefault="00910E71" w:rsidP="00910E71">
      <w:pPr>
        <w:spacing w:after="0" w:line="240" w:lineRule="auto"/>
        <w:jc w:val="both"/>
        <w:rPr>
          <w:rFonts w:ascii="Verdana" w:eastAsia="Aptos" w:hAnsi="Verdana" w:cs="Times New Roman"/>
          <w:lang w:eastAsia="es-MX"/>
        </w:rPr>
      </w:pPr>
    </w:p>
    <w:p w14:paraId="01C713D4" w14:textId="77777777" w:rsidR="00910E71" w:rsidRPr="00910E71" w:rsidRDefault="00910E71" w:rsidP="00910E71">
      <w:pPr>
        <w:spacing w:after="0" w:line="240" w:lineRule="auto"/>
        <w:jc w:val="both"/>
        <w:rPr>
          <w:rFonts w:ascii="Verdana" w:eastAsia="Aptos" w:hAnsi="Verdana" w:cs="Times New Roman"/>
          <w:lang w:eastAsia="es-MX"/>
        </w:rPr>
      </w:pPr>
      <w:r w:rsidRPr="00910E71">
        <w:rPr>
          <w:rFonts w:ascii="Verdana" w:eastAsia="Aptos" w:hAnsi="Verdana" w:cs="Times New Roman"/>
          <w:lang w:eastAsia="es-MX"/>
        </w:rPr>
        <w:t xml:space="preserve">X: </w:t>
      </w:r>
      <w:r w:rsidRPr="00910E71">
        <w:rPr>
          <w:rFonts w:ascii="Verdana" w:eastAsia="Calibri" w:hAnsi="Verdana" w:cs="Times New Roman"/>
          <w:color w:val="156082"/>
          <w:u w:val="single"/>
          <w:lang w:eastAsia="es-MX"/>
        </w:rPr>
        <w:t>@colombiacompra</w:t>
      </w:r>
      <w:r w:rsidRPr="00910E71">
        <w:rPr>
          <w:rFonts w:ascii="Verdana" w:eastAsia="Calibri" w:hAnsi="Verdana" w:cs="Times New Roman"/>
          <w:color w:val="156082"/>
          <w:lang w:eastAsia="es-MX"/>
        </w:rPr>
        <w:t xml:space="preserve"> </w:t>
      </w:r>
    </w:p>
    <w:p w14:paraId="4D506E07" w14:textId="77777777" w:rsidR="00910E71" w:rsidRPr="00910E71" w:rsidRDefault="00910E71" w:rsidP="00910E71">
      <w:pPr>
        <w:spacing w:after="0" w:line="240" w:lineRule="auto"/>
        <w:jc w:val="both"/>
        <w:rPr>
          <w:rFonts w:ascii="Verdana" w:eastAsia="Aptos" w:hAnsi="Verdana" w:cs="Times New Roman"/>
          <w:lang w:eastAsia="es-MX"/>
        </w:rPr>
      </w:pPr>
      <w:r w:rsidRPr="00910E71">
        <w:rPr>
          <w:rFonts w:ascii="Verdana" w:eastAsia="Aptos" w:hAnsi="Verdana" w:cs="Times New Roman"/>
          <w:lang w:eastAsia="es-MX"/>
        </w:rPr>
        <w:t xml:space="preserve">Facebook: </w:t>
      </w:r>
      <w:proofErr w:type="spellStart"/>
      <w:r w:rsidRPr="00910E71">
        <w:rPr>
          <w:rFonts w:ascii="Verdana" w:eastAsia="Calibri" w:hAnsi="Verdana" w:cs="Times New Roman"/>
          <w:color w:val="156082"/>
          <w:u w:val="single"/>
          <w:lang w:eastAsia="es-MX"/>
        </w:rPr>
        <w:t>ColombiaCompraEficiente</w:t>
      </w:r>
      <w:proofErr w:type="spellEnd"/>
    </w:p>
    <w:p w14:paraId="2199DD5C" w14:textId="77777777" w:rsidR="00910E71" w:rsidRPr="00910E71" w:rsidRDefault="00910E71" w:rsidP="00910E71">
      <w:pPr>
        <w:spacing w:after="0" w:line="240" w:lineRule="auto"/>
        <w:jc w:val="both"/>
        <w:rPr>
          <w:rFonts w:ascii="Verdana" w:eastAsia="Aptos" w:hAnsi="Verdana" w:cs="Times New Roman"/>
          <w:lang w:eastAsia="es-MX"/>
        </w:rPr>
      </w:pPr>
      <w:r w:rsidRPr="00910E71">
        <w:rPr>
          <w:rFonts w:ascii="Verdana" w:eastAsia="Aptos" w:hAnsi="Verdana" w:cs="Times New Roman"/>
          <w:lang w:eastAsia="es-MX"/>
        </w:rPr>
        <w:t xml:space="preserve">LinkedIn: </w:t>
      </w:r>
      <w:r w:rsidRPr="00910E71">
        <w:rPr>
          <w:rFonts w:ascii="Verdana" w:eastAsia="Calibri" w:hAnsi="Verdana" w:cs="Times New Roman"/>
          <w:color w:val="156082"/>
          <w:u w:val="single"/>
          <w:lang w:eastAsia="es-MX"/>
        </w:rPr>
        <w:t>Agencia Nacional de Contratación Pública - Colombia Compra Eficiente</w:t>
      </w:r>
      <w:r w:rsidRPr="00910E71">
        <w:rPr>
          <w:rFonts w:ascii="Verdana" w:eastAsia="Calibri" w:hAnsi="Verdana" w:cs="Times New Roman"/>
          <w:color w:val="156082"/>
          <w:lang w:eastAsia="es-MX"/>
        </w:rPr>
        <w:t xml:space="preserve"> </w:t>
      </w:r>
      <w:r w:rsidRPr="00910E71">
        <w:rPr>
          <w:rFonts w:ascii="Verdana" w:eastAsia="Aptos" w:hAnsi="Verdana" w:cs="Times New Roman"/>
          <w:lang w:eastAsia="es-MX"/>
        </w:rPr>
        <w:t xml:space="preserve">Instagram: </w:t>
      </w:r>
      <w:r w:rsidRPr="00910E71">
        <w:rPr>
          <w:rFonts w:ascii="Verdana" w:eastAsia="Calibri" w:hAnsi="Verdana" w:cs="Times New Roman"/>
          <w:color w:val="156082"/>
          <w:u w:val="single"/>
          <w:lang w:eastAsia="es-MX"/>
        </w:rPr>
        <w:t>@colombiacompraeficiente_cce</w:t>
      </w:r>
    </w:p>
    <w:p w14:paraId="26CDE299" w14:textId="77777777" w:rsidR="00910E71" w:rsidRPr="00910E71" w:rsidRDefault="00910E71" w:rsidP="00910E71">
      <w:pPr>
        <w:spacing w:after="0" w:line="276" w:lineRule="auto"/>
        <w:jc w:val="both"/>
        <w:rPr>
          <w:rFonts w:ascii="Verdana" w:eastAsia="Aptos" w:hAnsi="Verdana" w:cs="Times New Roman"/>
          <w:lang w:eastAsia="es-MX"/>
        </w:rPr>
      </w:pPr>
    </w:p>
    <w:p w14:paraId="437AC8B2" w14:textId="77777777" w:rsidR="00910E71" w:rsidRPr="00910E71" w:rsidRDefault="00910E71" w:rsidP="00910E71">
      <w:pPr>
        <w:spacing w:after="0" w:line="276" w:lineRule="auto"/>
        <w:jc w:val="both"/>
        <w:rPr>
          <w:rFonts w:ascii="Verdana" w:eastAsia="Calibri" w:hAnsi="Verdana" w:cs="Times New Roman"/>
          <w:bCs/>
          <w:lang w:val="es-ES_tradnl" w:eastAsia="es-MX"/>
        </w:rPr>
      </w:pPr>
      <w:r w:rsidRPr="00910E71">
        <w:rPr>
          <w:rFonts w:ascii="Verdana" w:eastAsia="Calibri" w:hAnsi="Verdana" w:cs="Times New Roman"/>
          <w:lang w:val="es-ES_tradnl" w:eastAsia="es-MX"/>
        </w:rPr>
        <w:lastRenderedPageBreak/>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58722895" w14:textId="77777777" w:rsidR="00910E71" w:rsidRPr="00910E71" w:rsidRDefault="00910E71" w:rsidP="00910E71">
      <w:pPr>
        <w:spacing w:after="0" w:line="276" w:lineRule="auto"/>
        <w:jc w:val="both"/>
        <w:rPr>
          <w:rFonts w:ascii="Verdana" w:eastAsia="Calibri" w:hAnsi="Verdana" w:cs="Times New Roman"/>
          <w:lang w:eastAsia="es-MX"/>
        </w:rPr>
      </w:pPr>
    </w:p>
    <w:p w14:paraId="2E8BC6C1" w14:textId="77777777" w:rsidR="00910E71" w:rsidRPr="00910E71" w:rsidRDefault="00910E71" w:rsidP="00910E71">
      <w:pPr>
        <w:spacing w:after="0" w:line="276" w:lineRule="auto"/>
        <w:jc w:val="both"/>
        <w:rPr>
          <w:rFonts w:ascii="Verdana" w:eastAsia="Calibri" w:hAnsi="Verdana" w:cs="Times New Roman"/>
          <w:lang w:eastAsia="es-MX"/>
        </w:rPr>
      </w:pPr>
      <w:r w:rsidRPr="00910E71">
        <w:rPr>
          <w:rFonts w:ascii="Verdana" w:eastAsia="Calibri" w:hAnsi="Verdana" w:cs="Times New Roman"/>
          <w:lang w:eastAsia="es-MX"/>
        </w:rPr>
        <w:t>Atentamente,</w:t>
      </w:r>
    </w:p>
    <w:p w14:paraId="43549FCC" w14:textId="492B2A30" w:rsidR="00910E71" w:rsidRPr="00910E71" w:rsidRDefault="00D906EB" w:rsidP="00910E71">
      <w:pPr>
        <w:tabs>
          <w:tab w:val="left" w:pos="1320"/>
        </w:tabs>
        <w:spacing w:after="0"/>
        <w:jc w:val="center"/>
        <w:rPr>
          <w:rFonts w:ascii="Verdana" w:eastAsia="Calibri" w:hAnsi="Verdana" w:cs="Times New Roman"/>
          <w:lang w:eastAsia="es-MX"/>
        </w:rPr>
      </w:pPr>
      <w:r>
        <w:rPr>
          <w:noProof/>
        </w:rPr>
        <w:drawing>
          <wp:inline distT="0" distB="0" distL="0" distR="0" wp14:anchorId="17FE41BE" wp14:editId="102CC262">
            <wp:extent cx="3016502" cy="1119763"/>
            <wp:effectExtent l="0" t="0" r="0" b="0"/>
            <wp:docPr id="864465061" name="Imagen 864465061"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 Carta&#10;&#10;El contenido generado por IA puede ser incorrecto."/>
                    <pic:cNvPicPr/>
                  </pic:nvPicPr>
                  <pic:blipFill>
                    <a:blip r:embed="rId16"/>
                    <a:stretch>
                      <a:fillRect/>
                    </a:stretch>
                  </pic:blipFill>
                  <pic:spPr>
                    <a:xfrm>
                      <a:off x="0" y="0"/>
                      <a:ext cx="3043275" cy="1129701"/>
                    </a:xfrm>
                    <a:prstGeom prst="rect">
                      <a:avLst/>
                    </a:prstGeom>
                  </pic:spPr>
                </pic:pic>
              </a:graphicData>
            </a:graphic>
          </wp:inline>
        </w:drawing>
      </w:r>
    </w:p>
    <w:tbl>
      <w:tblPr>
        <w:tblStyle w:val="Tablaconcuadrcula2"/>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910E71" w:rsidRPr="00910E71" w14:paraId="17517011" w14:textId="77777777" w:rsidTr="00E00EBA">
        <w:trPr>
          <w:trHeight w:val="323"/>
        </w:trPr>
        <w:tc>
          <w:tcPr>
            <w:tcW w:w="1041" w:type="dxa"/>
            <w:vAlign w:val="center"/>
            <w:hideMark/>
          </w:tcPr>
          <w:p w14:paraId="20832C1A" w14:textId="77777777" w:rsidR="00910E71" w:rsidRPr="00910E71" w:rsidRDefault="00910E71" w:rsidP="00910E71">
            <w:pPr>
              <w:rPr>
                <w:rFonts w:ascii="Verdana" w:eastAsia="Calibri" w:hAnsi="Verdana" w:cs="Arial"/>
                <w:sz w:val="16"/>
                <w:szCs w:val="16"/>
                <w:lang w:val="es-ES_tradnl" w:eastAsia="es-ES"/>
              </w:rPr>
            </w:pPr>
            <w:r w:rsidRPr="00910E71">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633FB6DD" w14:textId="77777777" w:rsidR="00910E71" w:rsidRPr="00910E71" w:rsidRDefault="00910E71" w:rsidP="00910E71">
            <w:pPr>
              <w:rPr>
                <w:rFonts w:ascii="Verdana" w:eastAsia="Arial" w:hAnsi="Verdana" w:cs="Arial"/>
                <w:sz w:val="16"/>
                <w:szCs w:val="16"/>
                <w:lang w:val="es-ES" w:eastAsia="es-MX"/>
              </w:rPr>
            </w:pPr>
            <w:r w:rsidRPr="00910E71">
              <w:rPr>
                <w:rFonts w:ascii="Verdana" w:eastAsia="Arial" w:hAnsi="Verdana" w:cs="Arial"/>
                <w:sz w:val="16"/>
                <w:szCs w:val="16"/>
                <w:lang w:val="es-ES" w:eastAsia="es-MX"/>
              </w:rPr>
              <w:t xml:space="preserve">Kevin Arlid Herrera Santa </w:t>
            </w:r>
          </w:p>
          <w:p w14:paraId="1E5718D3" w14:textId="77777777" w:rsidR="00910E71" w:rsidRPr="00910E71" w:rsidRDefault="00910E71" w:rsidP="00910E71">
            <w:pPr>
              <w:rPr>
                <w:rFonts w:ascii="Verdana" w:eastAsia="Arial" w:hAnsi="Verdana" w:cs="Arial"/>
                <w:sz w:val="16"/>
                <w:szCs w:val="16"/>
                <w:lang w:val="es-ES_tradnl" w:eastAsia="es-MX"/>
              </w:rPr>
            </w:pPr>
            <w:r w:rsidRPr="00910E71">
              <w:rPr>
                <w:rFonts w:ascii="Verdana" w:eastAsia="Arial" w:hAnsi="Verdana" w:cs="Arial"/>
                <w:sz w:val="16"/>
                <w:szCs w:val="16"/>
                <w:lang w:val="es-ES_tradnl" w:eastAsia="es-MX"/>
              </w:rPr>
              <w:t>Contratista de la Subdirección de Gestión Contractual</w:t>
            </w:r>
          </w:p>
          <w:p w14:paraId="0E6016A5" w14:textId="77777777" w:rsidR="00910E71" w:rsidRPr="00910E71" w:rsidRDefault="00910E71" w:rsidP="00910E71">
            <w:pPr>
              <w:rPr>
                <w:rFonts w:ascii="Verdana" w:eastAsia="Arial" w:hAnsi="Verdana" w:cs="Arial"/>
                <w:sz w:val="16"/>
                <w:szCs w:val="16"/>
                <w:lang w:val="es-ES_tradnl" w:eastAsia="es-MX"/>
              </w:rPr>
            </w:pPr>
          </w:p>
        </w:tc>
      </w:tr>
      <w:tr w:rsidR="00910E71" w:rsidRPr="00910E71" w14:paraId="31D936EF" w14:textId="77777777" w:rsidTr="00E00EBA">
        <w:trPr>
          <w:trHeight w:val="338"/>
        </w:trPr>
        <w:tc>
          <w:tcPr>
            <w:tcW w:w="1041" w:type="dxa"/>
            <w:vAlign w:val="center"/>
            <w:hideMark/>
          </w:tcPr>
          <w:p w14:paraId="2A44F187" w14:textId="77777777" w:rsidR="00910E71" w:rsidRPr="00910E71" w:rsidRDefault="00910E71" w:rsidP="00910E71">
            <w:pPr>
              <w:rPr>
                <w:rFonts w:ascii="Verdana" w:eastAsia="Calibri" w:hAnsi="Verdana" w:cs="Arial"/>
                <w:sz w:val="16"/>
                <w:szCs w:val="16"/>
                <w:lang w:val="es-ES_tradnl" w:eastAsia="es-ES"/>
              </w:rPr>
            </w:pPr>
            <w:r w:rsidRPr="00910E71">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31F2881C" w14:textId="77777777" w:rsidR="00910E71" w:rsidRPr="00910E71" w:rsidRDefault="00910E71" w:rsidP="00910E71">
            <w:pPr>
              <w:rPr>
                <w:rFonts w:ascii="Verdana" w:eastAsia="Arial" w:hAnsi="Verdana" w:cs="Arial"/>
                <w:sz w:val="16"/>
                <w:szCs w:val="16"/>
                <w:lang w:val="es-ES" w:eastAsia="es-MX"/>
              </w:rPr>
            </w:pPr>
            <w:r w:rsidRPr="00910E71">
              <w:rPr>
                <w:rFonts w:ascii="Verdana" w:eastAsia="Arial" w:hAnsi="Verdana" w:cs="Arial"/>
                <w:sz w:val="16"/>
                <w:szCs w:val="16"/>
                <w:lang w:val="es-ES" w:eastAsia="es-MX"/>
              </w:rPr>
              <w:t>Juan David Cárdenas Cabeza</w:t>
            </w:r>
          </w:p>
          <w:p w14:paraId="405C5943" w14:textId="77777777" w:rsidR="00910E71" w:rsidRPr="00910E71" w:rsidRDefault="00910E71" w:rsidP="00910E71">
            <w:pPr>
              <w:rPr>
                <w:rFonts w:ascii="Verdana" w:eastAsia="Arial" w:hAnsi="Verdana" w:cs="Arial"/>
                <w:sz w:val="16"/>
                <w:szCs w:val="16"/>
                <w:lang w:val="es-ES_tradnl" w:eastAsia="es-MX"/>
              </w:rPr>
            </w:pPr>
            <w:r w:rsidRPr="00910E71">
              <w:rPr>
                <w:rFonts w:ascii="Verdana" w:eastAsia="Arial" w:hAnsi="Verdana" w:cs="Arial"/>
                <w:sz w:val="16"/>
                <w:szCs w:val="16"/>
                <w:lang w:val="es-ES_tradnl" w:eastAsia="es-MX"/>
              </w:rPr>
              <w:t>Contratista de la Subdirección de Gestión Contractual</w:t>
            </w:r>
          </w:p>
        </w:tc>
      </w:tr>
      <w:tr w:rsidR="00910E71" w:rsidRPr="00910E71" w14:paraId="7E972220" w14:textId="77777777" w:rsidTr="00E00EBA">
        <w:trPr>
          <w:trHeight w:val="308"/>
        </w:trPr>
        <w:tc>
          <w:tcPr>
            <w:tcW w:w="1041" w:type="dxa"/>
            <w:vAlign w:val="center"/>
          </w:tcPr>
          <w:p w14:paraId="751D2F42" w14:textId="77777777" w:rsidR="00910E71" w:rsidRPr="00910E71" w:rsidRDefault="00910E71" w:rsidP="00910E71">
            <w:pPr>
              <w:rPr>
                <w:rFonts w:ascii="Verdana" w:eastAsia="Calibri" w:hAnsi="Verdana" w:cs="Arial"/>
                <w:sz w:val="16"/>
                <w:szCs w:val="16"/>
                <w:lang w:val="es-ES_tradnl" w:eastAsia="es-ES"/>
              </w:rPr>
            </w:pPr>
            <w:r w:rsidRPr="00910E71">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7BAAFF45" w14:textId="77777777" w:rsidR="00910E71" w:rsidRPr="00910E71" w:rsidRDefault="00910E71" w:rsidP="00910E71">
            <w:pPr>
              <w:rPr>
                <w:rFonts w:ascii="Verdana" w:eastAsia="Calibri" w:hAnsi="Verdana" w:cs="Arial"/>
                <w:sz w:val="16"/>
                <w:szCs w:val="16"/>
                <w:lang w:val="es-ES" w:eastAsia="es-ES"/>
              </w:rPr>
            </w:pPr>
            <w:r w:rsidRPr="00910E71">
              <w:rPr>
                <w:rFonts w:ascii="Verdana" w:eastAsia="Calibri" w:hAnsi="Verdana" w:cs="Arial"/>
                <w:sz w:val="16"/>
                <w:szCs w:val="16"/>
                <w:lang w:val="es-ES" w:eastAsia="es-ES"/>
              </w:rPr>
              <w:t>Carolina Quintero Gacharná</w:t>
            </w:r>
          </w:p>
          <w:p w14:paraId="6A0FE37D" w14:textId="77777777" w:rsidR="00910E71" w:rsidRPr="00910E71" w:rsidRDefault="00910E71" w:rsidP="00910E71">
            <w:pPr>
              <w:rPr>
                <w:rFonts w:ascii="Verdana" w:eastAsia="Calibri" w:hAnsi="Verdana" w:cs="Arial"/>
                <w:sz w:val="16"/>
                <w:szCs w:val="16"/>
                <w:lang w:val="es-ES_tradnl" w:eastAsia="es-ES"/>
              </w:rPr>
            </w:pPr>
            <w:r w:rsidRPr="00910E71">
              <w:rPr>
                <w:rFonts w:ascii="Verdana" w:eastAsia="Calibri" w:hAnsi="Verdana" w:cs="Arial"/>
                <w:sz w:val="16"/>
                <w:szCs w:val="16"/>
                <w:lang w:val="es-ES_tradnl" w:eastAsia="es-ES"/>
              </w:rPr>
              <w:t>Subdirectora de Gestión Contractual ANCP – CCE</w:t>
            </w:r>
          </w:p>
        </w:tc>
      </w:tr>
    </w:tbl>
    <w:p w14:paraId="7C9026E2" w14:textId="24DE90AA" w:rsidR="002A0DD0" w:rsidRPr="00ED7692" w:rsidRDefault="002A0DD0" w:rsidP="00ED7692">
      <w:pPr>
        <w:spacing w:after="0" w:line="240" w:lineRule="auto"/>
        <w:textAlignment w:val="baseline"/>
        <w:rPr>
          <w:rFonts w:ascii="Verdana" w:eastAsia="Verdana" w:hAnsi="Verdana" w:cs="Verdana"/>
          <w:lang w:eastAsia="es-CO"/>
        </w:rPr>
      </w:pPr>
    </w:p>
    <w:p w14:paraId="69BC4D14" w14:textId="6FEED0BF"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1BFF83" w14:textId="77777777" w:rsidR="00D45935" w:rsidRDefault="00D45935" w:rsidP="004A1847">
      <w:pPr>
        <w:spacing w:after="0" w:line="240" w:lineRule="auto"/>
      </w:pPr>
      <w:r>
        <w:separator/>
      </w:r>
    </w:p>
  </w:endnote>
  <w:endnote w:type="continuationSeparator" w:id="0">
    <w:p w14:paraId="68962B3E" w14:textId="77777777" w:rsidR="00D45935" w:rsidRDefault="00D45935"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Arial MT">
    <w:altName w:val="Arial"/>
    <w:panose1 w:val="020B0604020202020204"/>
    <w:charset w:val="01"/>
    <w:family w:val="swiss"/>
    <w:pitch w:val="variable"/>
  </w:font>
  <w:font w:name="Helvetica">
    <w:panose1 w:val="00000000000000000000"/>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3B0400" w14:textId="77777777" w:rsidR="00D45935" w:rsidRDefault="00D45935" w:rsidP="004A1847">
      <w:pPr>
        <w:spacing w:after="0" w:line="240" w:lineRule="auto"/>
      </w:pPr>
      <w:r>
        <w:separator/>
      </w:r>
    </w:p>
  </w:footnote>
  <w:footnote w:type="continuationSeparator" w:id="0">
    <w:p w14:paraId="33107D08" w14:textId="77777777" w:rsidR="00D45935" w:rsidRDefault="00D45935" w:rsidP="004A1847">
      <w:pPr>
        <w:spacing w:after="0" w:line="240" w:lineRule="auto"/>
      </w:pPr>
      <w:r>
        <w:continuationSeparator/>
      </w:r>
    </w:p>
  </w:footnote>
  <w:footnote w:id="1">
    <w:p w14:paraId="67C9B203" w14:textId="77777777" w:rsidR="00910E71" w:rsidRPr="002206B9" w:rsidRDefault="00910E71" w:rsidP="00910E71">
      <w:pPr>
        <w:pStyle w:val="Textonotapie"/>
        <w:ind w:firstLine="708"/>
        <w:jc w:val="both"/>
        <w:rPr>
          <w:rFonts w:ascii="Verdana" w:hAnsi="Verdana" w:cs="Arial"/>
          <w:sz w:val="18"/>
          <w:szCs w:val="18"/>
          <w:lang w:val="es-ES"/>
        </w:rPr>
      </w:pPr>
      <w:r w:rsidRPr="002206B9">
        <w:rPr>
          <w:rStyle w:val="Refdenotaalpie"/>
          <w:rFonts w:ascii="Verdana" w:hAnsi="Verdana" w:cs="Arial"/>
          <w:sz w:val="18"/>
          <w:szCs w:val="18"/>
        </w:rPr>
        <w:footnoteRef/>
      </w:r>
      <w:r w:rsidRPr="002206B9">
        <w:rPr>
          <w:rFonts w:ascii="Verdana" w:hAnsi="Verdana" w:cs="Arial"/>
          <w:sz w:val="18"/>
          <w:szCs w:val="18"/>
        </w:rPr>
        <w:t xml:space="preserve"> Diccionario de la Real Academia Española, versión online disponible en: </w:t>
      </w:r>
      <w:hyperlink r:id="rId1" w:history="1">
        <w:r w:rsidRPr="002206B9">
          <w:rPr>
            <w:rStyle w:val="Hipervnculo"/>
            <w:rFonts w:ascii="Verdana" w:hAnsi="Verdana" w:cs="Arial"/>
            <w:color w:val="auto"/>
            <w:sz w:val="18"/>
            <w:szCs w:val="18"/>
          </w:rPr>
          <w:t>https://dle.rae.es/est%C3%A1ndar</w:t>
        </w:r>
      </w:hyperlink>
      <w:r w:rsidRPr="002206B9">
        <w:rPr>
          <w:rFonts w:ascii="Verdana" w:hAnsi="Verdana" w:cs="Arial"/>
          <w:sz w:val="18"/>
          <w:szCs w:val="18"/>
        </w:rPr>
        <w:t>, consultado</w:t>
      </w:r>
      <w:r>
        <w:rPr>
          <w:rFonts w:ascii="Verdana" w:hAnsi="Verdana" w:cs="Arial"/>
          <w:sz w:val="18"/>
          <w:szCs w:val="18"/>
        </w:rPr>
        <w:t xml:space="preserve"> el</w:t>
      </w:r>
      <w:r w:rsidRPr="002206B9">
        <w:rPr>
          <w:rFonts w:ascii="Verdana" w:hAnsi="Verdana" w:cs="Arial"/>
          <w:sz w:val="18"/>
          <w:szCs w:val="18"/>
        </w:rPr>
        <w:t xml:space="preserve"> 23 de abril de 2026</w:t>
      </w:r>
      <w:r>
        <w:rPr>
          <w:rFonts w:ascii="Verdana" w:hAnsi="Verdana" w:cs="Arial"/>
          <w:sz w:val="18"/>
          <w:szCs w:val="18"/>
        </w:rPr>
        <w:t>.</w:t>
      </w:r>
    </w:p>
  </w:footnote>
  <w:footnote w:id="2">
    <w:p w14:paraId="3FBF15F3" w14:textId="77777777" w:rsidR="00910E71" w:rsidRPr="002206B9" w:rsidRDefault="00910E71" w:rsidP="00910E71">
      <w:pPr>
        <w:spacing w:after="0" w:line="240" w:lineRule="auto"/>
        <w:ind w:firstLine="708"/>
        <w:jc w:val="both"/>
        <w:rPr>
          <w:rFonts w:ascii="Verdana" w:hAnsi="Verdana" w:cs="Arial"/>
          <w:sz w:val="18"/>
          <w:szCs w:val="18"/>
        </w:rPr>
      </w:pPr>
      <w:r w:rsidRPr="002206B9">
        <w:rPr>
          <w:rStyle w:val="Refdenotaalpie"/>
          <w:rFonts w:ascii="Verdana" w:hAnsi="Verdana" w:cs="Arial"/>
          <w:sz w:val="18"/>
          <w:szCs w:val="18"/>
        </w:rPr>
        <w:footnoteRef/>
      </w:r>
      <w:r w:rsidRPr="002206B9">
        <w:rPr>
          <w:rFonts w:ascii="Verdana" w:hAnsi="Verdana" w:cs="Arial"/>
          <w:sz w:val="18"/>
          <w:szCs w:val="18"/>
        </w:rPr>
        <w:t xml:space="preserve"> Cita tomada de la providencia del 20 de febrero de 2020, dictada por el Consejo de Estado. Sección Tercera. Subsección A, dentro del expediente 47001-23-33-000-2018-00035-01 (63.854), cuya ponente fue Marta Nubia Velásquez Rico.</w:t>
      </w:r>
    </w:p>
    <w:p w14:paraId="20B9E498" w14:textId="77777777" w:rsidR="00910E71" w:rsidRPr="002206B9" w:rsidRDefault="00910E71" w:rsidP="00910E71">
      <w:pPr>
        <w:spacing w:after="0" w:line="240" w:lineRule="auto"/>
        <w:ind w:firstLine="708"/>
        <w:jc w:val="both"/>
        <w:rPr>
          <w:rFonts w:ascii="Verdana" w:hAnsi="Verdana" w:cs="Arial"/>
          <w:sz w:val="18"/>
          <w:szCs w:val="18"/>
        </w:rPr>
      </w:pPr>
    </w:p>
  </w:footnote>
  <w:footnote w:id="3">
    <w:p w14:paraId="1683627A" w14:textId="77777777" w:rsidR="00910E71" w:rsidRPr="002206B9" w:rsidRDefault="00910E71" w:rsidP="00910E71">
      <w:pPr>
        <w:pStyle w:val="Textonotapie"/>
        <w:jc w:val="both"/>
        <w:rPr>
          <w:rFonts w:ascii="Verdana" w:hAnsi="Verdana" w:cs="Arial"/>
          <w:sz w:val="18"/>
          <w:szCs w:val="18"/>
        </w:rPr>
      </w:pPr>
    </w:p>
    <w:p w14:paraId="4965B232" w14:textId="77777777" w:rsidR="00910E71" w:rsidRPr="002206B9" w:rsidRDefault="00910E71" w:rsidP="00910E71">
      <w:pPr>
        <w:pStyle w:val="Textonotapie"/>
        <w:ind w:firstLine="709"/>
        <w:jc w:val="both"/>
        <w:rPr>
          <w:rFonts w:ascii="Verdana" w:hAnsi="Verdana" w:cs="Arial"/>
          <w:sz w:val="18"/>
          <w:szCs w:val="18"/>
          <w:lang w:val="es-ES"/>
        </w:rPr>
      </w:pPr>
      <w:r w:rsidRPr="002206B9">
        <w:rPr>
          <w:rStyle w:val="Refdenotaalpie"/>
          <w:rFonts w:ascii="Verdana" w:hAnsi="Verdana" w:cs="Arial"/>
          <w:sz w:val="18"/>
          <w:szCs w:val="18"/>
        </w:rPr>
        <w:footnoteRef/>
      </w:r>
      <w:r w:rsidRPr="002206B9">
        <w:rPr>
          <w:rFonts w:ascii="Verdana" w:hAnsi="Verdana" w:cs="Arial"/>
          <w:sz w:val="18"/>
          <w:szCs w:val="18"/>
        </w:rPr>
        <w:t xml:space="preserve"> </w:t>
      </w:r>
      <w:r w:rsidRPr="002206B9">
        <w:rPr>
          <w:rFonts w:ascii="Verdana" w:hAnsi="Verdana" w:cs="Arial"/>
          <w:sz w:val="18"/>
          <w:szCs w:val="18"/>
          <w:lang w:val="es-ES"/>
        </w:rPr>
        <w:t>En cuanto a las resoluciones vigentes, dicha regla se observa en el artículo 3 de las Resoluciones</w:t>
      </w:r>
      <w:bookmarkStart w:id="2" w:name="_Hlk82363077"/>
      <w:r w:rsidRPr="002206B9">
        <w:rPr>
          <w:rFonts w:ascii="Verdana" w:hAnsi="Verdana" w:cs="Arial"/>
          <w:sz w:val="18"/>
          <w:szCs w:val="18"/>
          <w:lang w:val="es-ES"/>
        </w:rPr>
        <w:t xml:space="preserve"> 248 de 2020, 249 de 2020, 269 de 2020, 219 de 2021, 220 de 2021, 392 de 2021, 454 de 2021, 333 de 2022, 358 de 2023, 798 de 2023, 456 de 2024, 463 de 2024, 464 de 2024, 725 de 2024, 726 de 2024, entre otras</w:t>
      </w:r>
      <w:bookmarkEnd w:id="2"/>
      <w:r w:rsidRPr="002206B9">
        <w:rPr>
          <w:rFonts w:ascii="Verdana" w:hAnsi="Verdana" w:cs="Arial"/>
          <w:sz w:val="18"/>
          <w:szCs w:val="18"/>
          <w:lang w:val="es-ES"/>
        </w:rPr>
        <w:t xml:space="preserve">. </w:t>
      </w:r>
    </w:p>
    <w:p w14:paraId="5D71F3C4" w14:textId="77777777" w:rsidR="00910E71" w:rsidRPr="002206B9" w:rsidRDefault="00910E71" w:rsidP="00910E71">
      <w:pPr>
        <w:pStyle w:val="Textonotapie"/>
        <w:ind w:firstLine="709"/>
        <w:jc w:val="both"/>
        <w:rPr>
          <w:rFonts w:ascii="Verdana" w:hAnsi="Verdana" w:cs="Arial"/>
          <w:sz w:val="18"/>
          <w:szCs w:val="18"/>
          <w:lang w:val="es-ES"/>
        </w:rPr>
      </w:pPr>
    </w:p>
  </w:footnote>
  <w:footnote w:id="4">
    <w:p w14:paraId="77A18A9B" w14:textId="77777777" w:rsidR="00910E71" w:rsidRPr="002206B9" w:rsidRDefault="00910E71" w:rsidP="00910E71">
      <w:pPr>
        <w:pStyle w:val="Textonotapie"/>
        <w:ind w:firstLine="708"/>
        <w:jc w:val="both"/>
        <w:rPr>
          <w:rFonts w:ascii="Verdana" w:hAnsi="Verdana" w:cs="Arial"/>
          <w:sz w:val="18"/>
          <w:szCs w:val="18"/>
        </w:rPr>
      </w:pPr>
      <w:r w:rsidRPr="002206B9">
        <w:rPr>
          <w:rStyle w:val="Refdenotaalpie"/>
          <w:rFonts w:ascii="Verdana" w:hAnsi="Verdana" w:cs="Arial"/>
          <w:sz w:val="18"/>
          <w:szCs w:val="18"/>
        </w:rPr>
        <w:footnoteRef/>
      </w:r>
      <w:r w:rsidRPr="002206B9">
        <w:rPr>
          <w:rFonts w:ascii="Verdana" w:hAnsi="Verdana" w:cs="Arial"/>
          <w:sz w:val="18"/>
          <w:szCs w:val="18"/>
        </w:rPr>
        <w:t xml:space="preserve"> </w:t>
      </w:r>
      <w:r w:rsidRPr="002206B9">
        <w:rPr>
          <w:rFonts w:ascii="Verdana" w:hAnsi="Verdana" w:cs="Arial"/>
          <w:sz w:val="18"/>
          <w:szCs w:val="18"/>
        </w:rPr>
        <w:t>En torno a las potestades regladas, García de Enterría y Ramón Fernández manifiestan: “El ejercicio de las potestades regladas reduce a la Administración a la constatación (accertamento, en el expresivo concepto italiano) del supuesto de hecho legalmente definido de manera completa y aplicar en presencia del mismo lo que la propia Ley ha determinado también agotadoramente […] La decisión en que consista el ejercicio de la potestad es obligatoria en presencia de dicho supuesto y su contenido no puede ser configurado libremente por la Administración, sino que ha de limitarse a lo que la propia Ley ha previsto sobre ese contenido de modo preciso y completo” (GARCÍA DE ENTERRÍA, Eduardo; y RAMÓN FERNÁNDEZ, Tomas. Curso de derecho administrativo. Tomo I. Madrid: Civitas, 1997. pp. 444-445).</w:t>
      </w:r>
    </w:p>
    <w:p w14:paraId="0B4F4570" w14:textId="77777777" w:rsidR="00910E71" w:rsidRPr="002206B9" w:rsidRDefault="00910E71" w:rsidP="00910E71">
      <w:pPr>
        <w:pStyle w:val="Textonotapie"/>
        <w:ind w:firstLine="708"/>
        <w:jc w:val="both"/>
        <w:rPr>
          <w:rFonts w:ascii="Verdana" w:hAnsi="Verdana" w:cs="Arial"/>
          <w:sz w:val="18"/>
          <w:szCs w:val="18"/>
        </w:rPr>
      </w:pPr>
    </w:p>
  </w:footnote>
  <w:footnote w:id="5">
    <w:p w14:paraId="7B27872A" w14:textId="77777777" w:rsidR="00910E71" w:rsidRPr="002206B9" w:rsidRDefault="00910E71" w:rsidP="00910E71">
      <w:pPr>
        <w:pStyle w:val="Textonotapie"/>
        <w:ind w:firstLine="709"/>
        <w:jc w:val="both"/>
        <w:rPr>
          <w:rFonts w:ascii="Verdana" w:hAnsi="Verdana" w:cs="Arial"/>
          <w:sz w:val="18"/>
          <w:szCs w:val="18"/>
        </w:rPr>
      </w:pPr>
      <w:r w:rsidRPr="002206B9">
        <w:rPr>
          <w:rStyle w:val="Refdenotaalpie"/>
          <w:rFonts w:ascii="Verdana" w:hAnsi="Verdana" w:cs="Arial"/>
          <w:sz w:val="18"/>
          <w:szCs w:val="18"/>
        </w:rPr>
        <w:footnoteRef/>
      </w:r>
      <w:r w:rsidRPr="002206B9">
        <w:rPr>
          <w:rFonts w:ascii="Verdana" w:hAnsi="Verdana" w:cs="Arial"/>
          <w:sz w:val="18"/>
          <w:szCs w:val="18"/>
        </w:rPr>
        <w:t xml:space="preserve"> </w:t>
      </w:r>
      <w:r w:rsidRPr="002206B9">
        <w:rPr>
          <w:rFonts w:ascii="Verdana" w:hAnsi="Verdana" w:cs="Arial"/>
          <w:sz w:val="18"/>
          <w:szCs w:val="18"/>
        </w:rPr>
        <w:t>El artículo 25, numeral 1º de la Ley 80 de 1993 establece que “En las normas de selección y en los pliegos de condiciones para la escogencia de contratistas, se cumplirán y establecerán los procedimientos y etapas estrictamente necesarios para asegurar la selección objetiva de la propuesta más favorable. Para este propósito, se señalarán términos preclusivos y perentorios para las diferentes etapas de la selección y las autoridades darán impulso oficioso a las actuaciones”.</w:t>
      </w:r>
    </w:p>
    <w:p w14:paraId="36796047" w14:textId="77777777" w:rsidR="00910E71" w:rsidRPr="002206B9" w:rsidRDefault="00910E71" w:rsidP="00910E71">
      <w:pPr>
        <w:pStyle w:val="Textonotapie"/>
        <w:ind w:firstLine="709"/>
        <w:jc w:val="both"/>
        <w:rPr>
          <w:rFonts w:ascii="Verdana" w:hAnsi="Verdana" w:cs="Arial"/>
          <w:sz w:val="18"/>
          <w:szCs w:val="18"/>
        </w:rPr>
      </w:pPr>
    </w:p>
  </w:footnote>
  <w:footnote w:id="6">
    <w:p w14:paraId="696F4DBF" w14:textId="77777777" w:rsidR="00910E71" w:rsidRPr="002206B9" w:rsidRDefault="00910E71" w:rsidP="00910E71">
      <w:pPr>
        <w:spacing w:after="0" w:line="240" w:lineRule="auto"/>
        <w:ind w:firstLine="709"/>
        <w:jc w:val="both"/>
        <w:rPr>
          <w:rFonts w:ascii="Verdana" w:hAnsi="Verdana" w:cs="Arial"/>
          <w:sz w:val="18"/>
          <w:szCs w:val="18"/>
          <w:lang w:val="es-ES"/>
        </w:rPr>
      </w:pPr>
      <w:r w:rsidRPr="002206B9">
        <w:rPr>
          <w:rStyle w:val="Refdenotaalpie"/>
          <w:rFonts w:ascii="Verdana" w:hAnsi="Verdana" w:cs="Arial"/>
          <w:sz w:val="18"/>
          <w:szCs w:val="18"/>
        </w:rPr>
        <w:footnoteRef/>
      </w:r>
      <w:r w:rsidRPr="002206B9">
        <w:rPr>
          <w:rFonts w:ascii="Verdana" w:hAnsi="Verdana" w:cs="Arial"/>
          <w:sz w:val="18"/>
          <w:szCs w:val="18"/>
        </w:rPr>
        <w:t xml:space="preserve"> </w:t>
      </w:r>
      <w:r w:rsidRPr="002206B9">
        <w:rPr>
          <w:rFonts w:ascii="Verdana" w:hAnsi="Verdana" w:cs="Arial"/>
          <w:sz w:val="18"/>
          <w:szCs w:val="18"/>
          <w:lang w:val="es-ES"/>
        </w:rPr>
        <w:t>En efecto, el artículo 5 del Decreto 019 de 2012 prevé lo siguiente: “Las normas de procedimiento administrativo deben ser utilizadas para agilizar las decisiones; los procedimientos se deben adelantar en el menor tiempo y con la menor cantidad de gastos de quienes intervienen en ellos; las autoridades administrativas y los particulares que cumplen funciones administrativas no deben exigir más documentos y copias que los estrictamente necesarios, ni autenticaciones ni notas de presentación personal sino cuando la ley lo ordene en forma expresa, o tratándose de poderes especiales. En tal virtud, las autoridades deberán proceder con austeridad y eficiencia, optimizar el uso del tiempo y de los demás recursos, procurando el más alto nivel de calidad en sus actuaciones y la protección de los derechos de las personas”.</w:t>
      </w:r>
    </w:p>
    <w:p w14:paraId="6E067CF0" w14:textId="77777777" w:rsidR="00910E71" w:rsidRPr="002206B9" w:rsidRDefault="00910E71" w:rsidP="00910E71">
      <w:pPr>
        <w:spacing w:after="0" w:line="240" w:lineRule="auto"/>
        <w:ind w:firstLine="709"/>
        <w:jc w:val="both"/>
        <w:rPr>
          <w:rFonts w:ascii="Verdana" w:hAnsi="Verdana" w:cs="Arial"/>
          <w:sz w:val="18"/>
          <w:szCs w:val="18"/>
          <w:lang w:val="es-ES"/>
        </w:rPr>
      </w:pPr>
    </w:p>
  </w:footnote>
  <w:footnote w:id="7">
    <w:p w14:paraId="09F3FA41" w14:textId="77777777" w:rsidR="00910E71" w:rsidRPr="002206B9" w:rsidRDefault="00910E71" w:rsidP="00910E71">
      <w:pPr>
        <w:pStyle w:val="Textonotapie"/>
        <w:ind w:firstLine="708"/>
        <w:jc w:val="both"/>
        <w:rPr>
          <w:rFonts w:ascii="Verdana" w:hAnsi="Verdana" w:cs="Arial"/>
          <w:sz w:val="18"/>
          <w:szCs w:val="18"/>
          <w:lang w:val="es-ES"/>
        </w:rPr>
      </w:pPr>
      <w:r w:rsidRPr="002206B9">
        <w:rPr>
          <w:rStyle w:val="Refdenotaalpie"/>
          <w:rFonts w:ascii="Verdana" w:hAnsi="Verdana" w:cs="Arial"/>
          <w:sz w:val="18"/>
          <w:szCs w:val="18"/>
        </w:rPr>
        <w:footnoteRef/>
      </w:r>
      <w:r w:rsidRPr="002206B9">
        <w:rPr>
          <w:rFonts w:ascii="Verdana" w:hAnsi="Verdana" w:cs="Arial"/>
          <w:sz w:val="18"/>
          <w:szCs w:val="18"/>
        </w:rPr>
        <w:t xml:space="preserve"> </w:t>
      </w:r>
      <w:r w:rsidRPr="002206B9">
        <w:rPr>
          <w:rFonts w:ascii="Verdana" w:hAnsi="Verdana" w:cs="Arial"/>
          <w:sz w:val="18"/>
          <w:szCs w:val="18"/>
        </w:rPr>
        <w:t xml:space="preserve">Diccionario de la Real Academia Española, versión online disponible en: </w:t>
      </w:r>
      <w:hyperlink r:id="rId2" w:history="1">
        <w:r w:rsidRPr="002206B9">
          <w:rPr>
            <w:rStyle w:val="Hipervnculo"/>
            <w:rFonts w:ascii="Verdana" w:hAnsi="Verdana" w:cs="Arial"/>
            <w:color w:val="auto"/>
            <w:sz w:val="18"/>
            <w:szCs w:val="18"/>
          </w:rPr>
          <w:t>https://dle.rae.es/est%C3%A1ndar</w:t>
        </w:r>
      </w:hyperlink>
      <w:r w:rsidRPr="002206B9">
        <w:rPr>
          <w:rFonts w:ascii="Verdana" w:hAnsi="Verdana" w:cs="Arial"/>
          <w:sz w:val="18"/>
          <w:szCs w:val="18"/>
        </w:rPr>
        <w:t xml:space="preserve">, consultado el 23 de abril de 2026. </w:t>
      </w:r>
    </w:p>
  </w:footnote>
  <w:footnote w:id="8">
    <w:p w14:paraId="6FD434DA" w14:textId="77777777" w:rsidR="00910E71" w:rsidRPr="002206B9" w:rsidRDefault="00910E71" w:rsidP="00910E71">
      <w:pPr>
        <w:spacing w:after="0" w:line="240" w:lineRule="auto"/>
        <w:ind w:firstLine="708"/>
        <w:jc w:val="both"/>
        <w:rPr>
          <w:rFonts w:ascii="Verdana" w:hAnsi="Verdana" w:cs="Arial"/>
          <w:sz w:val="18"/>
          <w:szCs w:val="18"/>
        </w:rPr>
      </w:pPr>
      <w:r w:rsidRPr="002206B9">
        <w:rPr>
          <w:rStyle w:val="Refdenotaalpie"/>
          <w:rFonts w:ascii="Verdana" w:hAnsi="Verdana" w:cs="Arial"/>
          <w:sz w:val="18"/>
          <w:szCs w:val="18"/>
        </w:rPr>
        <w:footnoteRef/>
      </w:r>
      <w:r w:rsidRPr="002206B9">
        <w:rPr>
          <w:rFonts w:ascii="Verdana" w:hAnsi="Verdana" w:cs="Arial"/>
          <w:sz w:val="18"/>
          <w:szCs w:val="18"/>
        </w:rPr>
        <w:t xml:space="preserve"> Cita tomada de la providencia del 20 de febrero de 2020, dictada por el Consejo de Estado. Sección Tercera. Subsección A, dentro del expediente 47001-23-33-000-2018-00035-01 (63.854), cuya ponente fue Marta Nubia Velásquez Rico.</w:t>
      </w:r>
    </w:p>
    <w:p w14:paraId="3AFC739A" w14:textId="77777777" w:rsidR="00910E71" w:rsidRPr="002206B9" w:rsidRDefault="00910E71" w:rsidP="00910E71">
      <w:pPr>
        <w:spacing w:after="0" w:line="240" w:lineRule="auto"/>
        <w:ind w:firstLine="708"/>
        <w:jc w:val="both"/>
        <w:rPr>
          <w:rFonts w:ascii="Verdana" w:hAnsi="Verdana"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pt;height: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2F3AAE"/>
    <w:multiLevelType w:val="hybridMultilevel"/>
    <w:tmpl w:val="5C0A57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2"/>
  </w:num>
  <w:num w:numId="7" w16cid:durableId="1946422806">
    <w:abstractNumId w:val="4"/>
  </w:num>
  <w:num w:numId="8" w16cid:durableId="152644682">
    <w:abstractNumId w:val="11"/>
  </w:num>
  <w:num w:numId="9" w16cid:durableId="1317221377">
    <w:abstractNumId w:val="6"/>
  </w:num>
  <w:num w:numId="10" w16cid:durableId="1471245386">
    <w:abstractNumId w:val="10"/>
  </w:num>
  <w:num w:numId="11" w16cid:durableId="289172385">
    <w:abstractNumId w:val="7"/>
  </w:num>
  <w:num w:numId="12" w16cid:durableId="1470781324">
    <w:abstractNumId w:val="0"/>
  </w:num>
  <w:num w:numId="13" w16cid:durableId="1512908409">
    <w:abstractNumId w:val="2"/>
  </w:num>
  <w:num w:numId="14" w16cid:durableId="895897244">
    <w:abstractNumId w:val="13"/>
  </w:num>
  <w:num w:numId="15" w16cid:durableId="390349800">
    <w:abstractNumId w:val="9"/>
  </w:num>
  <w:num w:numId="16" w16cid:durableId="104884723">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A33BF"/>
    <w:rsid w:val="001E4177"/>
    <w:rsid w:val="001F0B24"/>
    <w:rsid w:val="001F7DC6"/>
    <w:rsid w:val="0020119B"/>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B3EA1"/>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74867"/>
    <w:rsid w:val="00591460"/>
    <w:rsid w:val="005A65E0"/>
    <w:rsid w:val="005C3777"/>
    <w:rsid w:val="005C5CDC"/>
    <w:rsid w:val="005D476C"/>
    <w:rsid w:val="006200BF"/>
    <w:rsid w:val="006219F8"/>
    <w:rsid w:val="006302F7"/>
    <w:rsid w:val="00646B9F"/>
    <w:rsid w:val="00665D70"/>
    <w:rsid w:val="00682595"/>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10E71"/>
    <w:rsid w:val="00923EEF"/>
    <w:rsid w:val="009419F9"/>
    <w:rsid w:val="0095685E"/>
    <w:rsid w:val="00961B09"/>
    <w:rsid w:val="00965334"/>
    <w:rsid w:val="0097093E"/>
    <w:rsid w:val="009918E5"/>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74D99"/>
    <w:rsid w:val="00AB0ADB"/>
    <w:rsid w:val="00B00C0E"/>
    <w:rsid w:val="00B01B1A"/>
    <w:rsid w:val="00B0381D"/>
    <w:rsid w:val="00B44A47"/>
    <w:rsid w:val="00B72CD3"/>
    <w:rsid w:val="00B72FFF"/>
    <w:rsid w:val="00B8504E"/>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45935"/>
    <w:rsid w:val="00D520D8"/>
    <w:rsid w:val="00D63AC2"/>
    <w:rsid w:val="00D7383B"/>
    <w:rsid w:val="00D7788A"/>
    <w:rsid w:val="00D906EB"/>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D7692"/>
    <w:rsid w:val="00EE1AA8"/>
    <w:rsid w:val="00F218BD"/>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910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rsid w:val="00910E71"/>
    <w:pPr>
      <w:spacing w:line="240" w:lineRule="exact"/>
    </w:pPr>
    <w:rPr>
      <w:vertAlign w:val="superscript"/>
    </w:rPr>
  </w:style>
  <w:style w:type="table" w:customStyle="1" w:styleId="Tablaconcuadrcula2">
    <w:name w:val="Tabla con cuadrícula2"/>
    <w:basedOn w:val="Tablanormal"/>
    <w:next w:val="Tablaconcuadrcula"/>
    <w:uiPriority w:val="39"/>
    <w:qFormat/>
    <w:rsid w:val="00910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documentos-tipo/documentos-tipo"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le.rae.es/est%C3%A1ndar" TargetMode="External"/><Relationship Id="rId1" Type="http://schemas.openxmlformats.org/officeDocument/2006/relationships/hyperlink" Target="https://dle.rae.es/est%C3%A1nda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2E4566-8928-43CF-A74A-620B0DF60F50}"/>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15</Pages>
  <Words>4639</Words>
  <Characters>25517</Characters>
  <Application>Microsoft Office Word</Application>
  <DocSecurity>0</DocSecurity>
  <Lines>212</Lines>
  <Paragraphs>60</Paragraphs>
  <ScaleCrop>false</ScaleCrop>
  <Company/>
  <LinksUpToDate>false</LinksUpToDate>
  <CharactersWithSpaces>30096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Kevin Herrera</cp:lastModifiedBy>
  <cp:revision>5</cp:revision>
  <cp:lastPrinted>2023-01-10T21:18:00Z</cp:lastPrinted>
  <dcterms:created xsi:type="dcterms:W3CDTF">2026-06-24T22:39:00Z</dcterms:created>
  <dcterms:modified xsi:type="dcterms:W3CDTF">2026-06-24T22:44:00Z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