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4F7DF3" w14:textId="77777777" w:rsidR="00BC42BB" w:rsidRDefault="00BC42BB" w:rsidP="00BC42BB">
      <w:pPr>
        <w:spacing w:after="0" w:line="240" w:lineRule="auto"/>
        <w:jc w:val="both"/>
        <w:rPr>
          <w:rFonts w:ascii="Verdana" w:eastAsia="Calibri" w:hAnsi="Verdana" w:cs="Times New Roman"/>
          <w:b/>
          <w:bCs/>
          <w:color w:val="000000"/>
          <w:lang w:val="es-ES_tradnl" w:eastAsia="es-ES_tradnl"/>
        </w:rPr>
      </w:pPr>
      <w:bookmarkStart w:id="0" w:name="_Hlk143780582"/>
      <w:r>
        <w:rPr>
          <w:rFonts w:ascii="Verdana" w:eastAsia="Times New Roman" w:hAnsi="Verdana" w:cs="Times New Roman"/>
          <w:b/>
          <w:bCs/>
          <w:color w:val="000000"/>
          <w:lang w:val="es-ES_tradnl" w:eastAsia="es-ES_tradnl"/>
        </w:rPr>
        <w:t>CONTRATOS CON ESAL</w:t>
      </w:r>
      <w:r>
        <w:rPr>
          <w:rFonts w:ascii="Verdana" w:eastAsia="Calibri" w:hAnsi="Verdana" w:cs="Times New Roman"/>
          <w:b/>
          <w:bCs/>
          <w:color w:val="000000"/>
          <w:lang w:val="es-ES_tradnl" w:eastAsia="es-ES_tradnl"/>
        </w:rPr>
        <w:t>–</w:t>
      </w:r>
      <w:r>
        <w:rPr>
          <w:rFonts w:ascii="Verdana" w:eastAsia="Times New Roman" w:hAnsi="Verdana" w:cs="Times New Roman"/>
          <w:b/>
          <w:bCs/>
          <w:color w:val="000000"/>
          <w:lang w:val="es-ES_tradnl" w:eastAsia="es-ES_tradnl"/>
        </w:rPr>
        <w:t xml:space="preserve"> Constitución </w:t>
      </w:r>
      <w:r>
        <w:rPr>
          <w:rFonts w:ascii="Verdana" w:eastAsia="Calibri" w:hAnsi="Verdana" w:cs="Times New Roman"/>
          <w:b/>
          <w:bCs/>
          <w:color w:val="000000"/>
          <w:lang w:val="es-ES_tradnl" w:eastAsia="es-ES_tradnl"/>
        </w:rPr>
        <w:t>–</w:t>
      </w:r>
      <w:r>
        <w:rPr>
          <w:rFonts w:ascii="Verdana" w:eastAsia="Times New Roman" w:hAnsi="Verdana" w:cs="Times New Roman"/>
          <w:b/>
          <w:bCs/>
          <w:color w:val="000000"/>
          <w:lang w:val="es-ES_tradnl" w:eastAsia="es-ES_tradnl"/>
        </w:rPr>
        <w:t xml:space="preserve"> Artículo 355 –</w:t>
      </w:r>
      <w:r>
        <w:rPr>
          <w:rFonts w:ascii="Verdana" w:eastAsia="Calibri" w:hAnsi="Verdana" w:cs="Times New Roman"/>
          <w:b/>
          <w:bCs/>
          <w:color w:val="000000"/>
          <w:lang w:val="es-ES_tradnl" w:eastAsia="es-ES_tradnl"/>
        </w:rPr>
        <w:t xml:space="preserve"> Fundamento </w:t>
      </w:r>
    </w:p>
    <w:p w14:paraId="359FCBEA" w14:textId="77777777" w:rsidR="00BC42BB" w:rsidRDefault="00BC42BB" w:rsidP="00BC42BB">
      <w:pPr>
        <w:spacing w:after="0" w:line="240" w:lineRule="auto"/>
        <w:jc w:val="both"/>
        <w:rPr>
          <w:rFonts w:ascii="Verdana" w:eastAsia="Calibri" w:hAnsi="Verdana" w:cs="Arial"/>
          <w:color w:val="000000"/>
          <w:sz w:val="20"/>
          <w:szCs w:val="20"/>
          <w:lang w:val="es-ES"/>
        </w:rPr>
      </w:pPr>
    </w:p>
    <w:p w14:paraId="4E5E946B" w14:textId="77777777" w:rsidR="00BC42BB" w:rsidRDefault="00BC42BB" w:rsidP="00BC42BB">
      <w:pPr>
        <w:spacing w:after="0" w:line="240" w:lineRule="auto"/>
        <w:jc w:val="both"/>
        <w:rPr>
          <w:rFonts w:ascii="Verdana" w:eastAsia="Aptos" w:hAnsi="Verdana" w:cs="Arial"/>
          <w:sz w:val="20"/>
          <w:szCs w:val="20"/>
        </w:rPr>
      </w:pPr>
      <w:r>
        <w:rPr>
          <w:rFonts w:ascii="Verdana" w:eastAsia="Aptos" w:hAnsi="Verdana" w:cs="Arial"/>
          <w:sz w:val="20"/>
          <w:szCs w:val="20"/>
        </w:rPr>
        <w:t>El artículo 355 de la Constitución Política prohíbe a las ramas y órganos del poder público decretar auxilios o donaciones en favor de personas naturales o jurídicas. Igualmente, establece que las entidades del orden nacional, departamental, distrital y municipal podrán, con sus propios recursos, contratar con ESAL, con el fin de impulsar programas y actividades de interés público acordes con el plan nacional y los planes seccionales de desarrollo. Por otra parte, el artículo 96 de la Ley 489 de 1998 permite a las Entidades Públicas en general, es decir, cualquiera sea su naturaleza y orden administrativo, asociarse con personas jurídicas particulares, mediante la celebración de convenios de asociación o la creación de personas jurídicas. Ambas figuras tienen como fin desarrollar conjuntamente actividades relacionadas con los cometidos y funciones legales asignadas a la entidad.</w:t>
      </w:r>
    </w:p>
    <w:p w14:paraId="1D70A07E" w14:textId="77777777" w:rsidR="00BC42BB" w:rsidRDefault="00BC42BB" w:rsidP="00BC42BB">
      <w:pPr>
        <w:spacing w:after="0" w:line="240" w:lineRule="auto"/>
        <w:jc w:val="both"/>
        <w:rPr>
          <w:rFonts w:ascii="Verdana" w:eastAsia="Calibri" w:hAnsi="Verdana" w:cs="Arial"/>
          <w:color w:val="000000"/>
          <w:sz w:val="20"/>
          <w:szCs w:val="20"/>
        </w:rPr>
      </w:pPr>
    </w:p>
    <w:p w14:paraId="04C9D087" w14:textId="77777777" w:rsidR="00BC42BB" w:rsidRDefault="00BC42BB" w:rsidP="00BC42BB">
      <w:pPr>
        <w:spacing w:after="0" w:line="240" w:lineRule="auto"/>
        <w:jc w:val="both"/>
        <w:rPr>
          <w:rFonts w:ascii="Verdana" w:eastAsia="Calibri" w:hAnsi="Verdana" w:cs="Times New Roman"/>
          <w:b/>
          <w:bCs/>
          <w:color w:val="000000"/>
          <w:lang w:val="es-ES_tradnl" w:eastAsia="es-ES_tradnl"/>
        </w:rPr>
      </w:pPr>
      <w:r>
        <w:rPr>
          <w:rFonts w:ascii="Verdana" w:eastAsia="Times New Roman" w:hAnsi="Verdana" w:cs="Times New Roman"/>
          <w:b/>
          <w:bCs/>
          <w:color w:val="000000"/>
          <w:lang w:val="es-ES_tradnl" w:eastAsia="es-ES_tradnl"/>
        </w:rPr>
        <w:t xml:space="preserve">TIPOS DE CONTRATOS </w:t>
      </w:r>
      <w:r>
        <w:rPr>
          <w:rFonts w:ascii="Verdana" w:eastAsia="Calibri" w:hAnsi="Verdana" w:cs="Times New Roman"/>
          <w:b/>
          <w:bCs/>
          <w:color w:val="000000"/>
          <w:lang w:val="es-ES_tradnl" w:eastAsia="es-ES_tradnl"/>
        </w:rPr>
        <w:t xml:space="preserve">– ESAL – Constitución Política – </w:t>
      </w:r>
      <w:r>
        <w:rPr>
          <w:rFonts w:ascii="Verdana" w:eastAsia="Times New Roman" w:hAnsi="Verdana" w:cs="Times New Roman"/>
          <w:b/>
          <w:bCs/>
          <w:color w:val="000000"/>
          <w:lang w:val="es-ES_tradnl" w:eastAsia="es-ES_tradnl"/>
        </w:rPr>
        <w:t xml:space="preserve">Artículo 355 </w:t>
      </w:r>
      <w:r>
        <w:rPr>
          <w:rFonts w:ascii="Verdana" w:eastAsia="Calibri" w:hAnsi="Verdana" w:cs="Times New Roman"/>
          <w:b/>
          <w:bCs/>
          <w:color w:val="000000"/>
          <w:lang w:val="es-ES_tradnl" w:eastAsia="es-ES_tradnl"/>
        </w:rPr>
        <w:t>– Ley 489 – Artículo 96</w:t>
      </w:r>
    </w:p>
    <w:p w14:paraId="4D517AD9" w14:textId="77777777" w:rsidR="00BC42BB" w:rsidRDefault="00BC42BB" w:rsidP="00BC42BB">
      <w:pPr>
        <w:spacing w:after="0" w:line="240" w:lineRule="auto"/>
        <w:jc w:val="both"/>
        <w:rPr>
          <w:rFonts w:ascii="Verdana" w:eastAsia="Calibri" w:hAnsi="Verdana" w:cs="Arial"/>
          <w:color w:val="000000"/>
          <w:sz w:val="20"/>
          <w:szCs w:val="20"/>
          <w:lang w:val="es-ES"/>
        </w:rPr>
      </w:pPr>
    </w:p>
    <w:p w14:paraId="49E2AC53" w14:textId="77777777" w:rsidR="00BC42BB" w:rsidRDefault="00BC42BB" w:rsidP="00BC42BB">
      <w:pPr>
        <w:spacing w:after="0" w:line="240" w:lineRule="auto"/>
        <w:jc w:val="both"/>
        <w:rPr>
          <w:rFonts w:ascii="Verdana" w:eastAsia="Calibri" w:hAnsi="Verdana" w:cs="Arial"/>
          <w:sz w:val="20"/>
          <w:szCs w:val="20"/>
        </w:rPr>
      </w:pPr>
      <w:r>
        <w:rPr>
          <w:rFonts w:ascii="Verdana" w:eastAsia="Aptos" w:hAnsi="Verdana" w:cs="Arial"/>
          <w:sz w:val="20"/>
          <w:szCs w:val="20"/>
        </w:rPr>
        <w:t>El Gobierno Nacional, en desarrollo del artículo 355 de la Constitución Política, expidió el Decreto 092 de 2017, q</w:t>
      </w:r>
      <w:r>
        <w:rPr>
          <w:rFonts w:ascii="Verdana" w:eastAsia="Calibri" w:hAnsi="Verdana" w:cs="Arial"/>
          <w:sz w:val="20"/>
          <w:szCs w:val="20"/>
        </w:rPr>
        <w:t xml:space="preserve">ue dispone las reglas para las contrataciones que realicen las Entidades Estatales con las ESAL. El Decreto regula dos (2) eventos: i) </w:t>
      </w:r>
      <w:r>
        <w:rPr>
          <w:rFonts w:ascii="Verdana" w:eastAsia="Calibri" w:hAnsi="Verdana" w:cs="Arial"/>
          <w:sz w:val="20"/>
          <w:szCs w:val="20"/>
          <w:lang w:eastAsia="es-ES_tradnl"/>
        </w:rPr>
        <w:t xml:space="preserve">los </w:t>
      </w:r>
      <w:r>
        <w:rPr>
          <w:rFonts w:ascii="Verdana" w:eastAsia="Calibri" w:hAnsi="Verdana" w:cs="Arial"/>
          <w:i/>
          <w:iCs/>
          <w:sz w:val="20"/>
          <w:szCs w:val="20"/>
          <w:lang w:eastAsia="es-ES_tradnl"/>
        </w:rPr>
        <w:t>contratos de colaboración</w:t>
      </w:r>
      <w:r>
        <w:rPr>
          <w:rFonts w:ascii="Verdana" w:eastAsia="Calibri" w:hAnsi="Verdana" w:cs="Arial"/>
          <w:sz w:val="20"/>
          <w:szCs w:val="20"/>
          <w:lang w:eastAsia="es-ES_tradnl"/>
        </w:rPr>
        <w:t xml:space="preserve"> o de interés público, con el fin impulsar programas y actividades de interés público de acuerdo con el Plan Nacional o los planes seccionales de desarrollo, en los términos del artículo 355 de la Constitución Política</w:t>
      </w:r>
      <w:r>
        <w:rPr>
          <w:rFonts w:ascii="Verdana" w:eastAsia="Calibri" w:hAnsi="Verdana" w:cs="Arial"/>
          <w:sz w:val="20"/>
          <w:szCs w:val="20"/>
        </w:rPr>
        <w:t xml:space="preserve"> y; ii) los </w:t>
      </w:r>
      <w:r>
        <w:rPr>
          <w:rFonts w:ascii="Verdana" w:eastAsia="Calibri" w:hAnsi="Verdana" w:cs="Arial"/>
          <w:i/>
          <w:iCs/>
          <w:sz w:val="20"/>
          <w:szCs w:val="20"/>
        </w:rPr>
        <w:t>convenios de asociación</w:t>
      </w:r>
      <w:r>
        <w:rPr>
          <w:rFonts w:ascii="Verdana" w:eastAsia="Calibri" w:hAnsi="Verdana" w:cs="Arial"/>
          <w:sz w:val="20"/>
          <w:szCs w:val="20"/>
        </w:rPr>
        <w:t xml:space="preserve">, para el desarrollo conjunto de actividades relacionadas con las funciones de las Entidades Estatales, en desarrollo del artículo 96 de la Ley 489 de 1998. </w:t>
      </w:r>
      <w:r>
        <w:rPr>
          <w:rFonts w:ascii="Verdana" w:eastAsia="Calibri" w:hAnsi="Verdana" w:cs="Arial"/>
          <w:sz w:val="20"/>
          <w:szCs w:val="20"/>
          <w:lang w:eastAsia="es-ES_tradnl"/>
        </w:rPr>
        <w:t xml:space="preserve">Los primeros están regulados en el artículo 2 del Decreto 092 de 2017, mientras que los segundos en los artículos 5, 6, 7 y 8 </w:t>
      </w:r>
      <w:r>
        <w:rPr>
          <w:rFonts w:ascii="Verdana" w:eastAsia="Calibri" w:hAnsi="Verdana" w:cs="Arial"/>
          <w:i/>
          <w:iCs/>
          <w:sz w:val="20"/>
          <w:szCs w:val="20"/>
          <w:lang w:eastAsia="es-ES_tradnl"/>
        </w:rPr>
        <w:t>ibidem</w:t>
      </w:r>
      <w:r>
        <w:rPr>
          <w:rFonts w:ascii="Verdana" w:eastAsia="Calibri" w:hAnsi="Verdana" w:cs="Arial"/>
          <w:sz w:val="20"/>
          <w:szCs w:val="20"/>
          <w:lang w:eastAsia="es-ES_tradnl"/>
        </w:rPr>
        <w:t xml:space="preserve">. Es posible diferenciar, pues, los </w:t>
      </w:r>
      <w:r>
        <w:rPr>
          <w:rFonts w:ascii="Verdana" w:eastAsia="Calibri" w:hAnsi="Verdana" w:cs="Arial"/>
          <w:i/>
          <w:iCs/>
          <w:sz w:val="20"/>
          <w:szCs w:val="20"/>
          <w:lang w:eastAsia="es-ES_tradnl"/>
        </w:rPr>
        <w:t>convenios de asociación</w:t>
      </w:r>
      <w:r>
        <w:rPr>
          <w:rFonts w:ascii="Verdana" w:eastAsia="Calibri" w:hAnsi="Verdana" w:cs="Arial"/>
          <w:sz w:val="20"/>
          <w:szCs w:val="20"/>
          <w:lang w:eastAsia="es-ES_tradnl"/>
        </w:rPr>
        <w:t xml:space="preserve">, regulados en el artículo 5, de los </w:t>
      </w:r>
      <w:r>
        <w:rPr>
          <w:rFonts w:ascii="Verdana" w:eastAsia="Calibri" w:hAnsi="Verdana" w:cs="Arial"/>
          <w:i/>
          <w:iCs/>
          <w:sz w:val="20"/>
          <w:szCs w:val="20"/>
          <w:lang w:eastAsia="es-ES_tradnl"/>
        </w:rPr>
        <w:t>contratos de colaboración</w:t>
      </w:r>
      <w:r>
        <w:rPr>
          <w:rFonts w:ascii="Verdana" w:eastAsia="Calibri" w:hAnsi="Verdana" w:cs="Arial"/>
          <w:sz w:val="20"/>
          <w:szCs w:val="20"/>
          <w:lang w:eastAsia="es-ES_tradnl"/>
        </w:rPr>
        <w:t>, establecidos en el artículo 2 del Decreto 092 de 2017.</w:t>
      </w:r>
    </w:p>
    <w:p w14:paraId="17F9CFA9" w14:textId="77777777" w:rsidR="00BC42BB" w:rsidRDefault="00BC42BB" w:rsidP="00BC42BB">
      <w:pPr>
        <w:spacing w:after="0" w:line="240" w:lineRule="auto"/>
        <w:jc w:val="both"/>
        <w:rPr>
          <w:rFonts w:ascii="Verdana" w:eastAsia="Calibri" w:hAnsi="Verdana" w:cs="Arial"/>
          <w:sz w:val="20"/>
          <w:szCs w:val="20"/>
        </w:rPr>
      </w:pPr>
    </w:p>
    <w:p w14:paraId="65A04243" w14:textId="77777777" w:rsidR="00BC42BB" w:rsidRDefault="00BC42BB" w:rsidP="00BC42BB">
      <w:pPr>
        <w:spacing w:after="0" w:line="240" w:lineRule="auto"/>
        <w:jc w:val="both"/>
        <w:rPr>
          <w:rFonts w:ascii="Verdana" w:eastAsia="Times New Roman" w:hAnsi="Verdana" w:cs="Times New Roman"/>
          <w:b/>
          <w:bCs/>
          <w:color w:val="000000"/>
          <w:lang w:val="es-ES_tradnl" w:eastAsia="es-ES_tradnl"/>
        </w:rPr>
      </w:pPr>
      <w:r>
        <w:rPr>
          <w:rFonts w:ascii="Verdana" w:eastAsia="Calibri" w:hAnsi="Verdana" w:cs="Times New Roman"/>
          <w:b/>
          <w:bCs/>
          <w:color w:val="000000"/>
          <w:lang w:val="es-ES_tradnl" w:eastAsia="es-ES_tradnl"/>
        </w:rPr>
        <w:t>CONTRATOS CON ESAL – Objeto – Actividades – Planes de Desarrollo</w:t>
      </w:r>
    </w:p>
    <w:p w14:paraId="501AE333" w14:textId="77777777" w:rsidR="00BC42BB" w:rsidRDefault="00BC42BB" w:rsidP="00BC42BB">
      <w:pPr>
        <w:spacing w:after="0" w:line="240" w:lineRule="auto"/>
        <w:jc w:val="both"/>
        <w:rPr>
          <w:rFonts w:ascii="Verdana" w:eastAsia="Aptos" w:hAnsi="Verdana" w:cs="Times New Roman"/>
          <w:sz w:val="20"/>
          <w:szCs w:val="20"/>
          <w:lang w:val="es-ES_tradnl"/>
        </w:rPr>
      </w:pPr>
    </w:p>
    <w:p w14:paraId="328AF3B8" w14:textId="77777777" w:rsidR="00BC42BB" w:rsidRDefault="00BC42BB" w:rsidP="00BC42BB">
      <w:pPr>
        <w:spacing w:after="0" w:line="240" w:lineRule="auto"/>
        <w:jc w:val="both"/>
        <w:rPr>
          <w:rFonts w:ascii="Verdana" w:eastAsia="Calibri" w:hAnsi="Verdana" w:cs="Arial"/>
          <w:sz w:val="20"/>
          <w:szCs w:val="20"/>
          <w:lang w:val="es-ES_tradnl" w:eastAsia="es-ES_tradnl"/>
        </w:rPr>
      </w:pPr>
      <w:r>
        <w:rPr>
          <w:rFonts w:ascii="Verdana" w:eastAsia="Calibri" w:hAnsi="Verdana" w:cs="Arial"/>
          <w:sz w:val="20"/>
          <w:szCs w:val="20"/>
          <w:lang w:val="es-ES_tradnl" w:eastAsia="es-ES_tradnl"/>
        </w:rPr>
        <w:t xml:space="preserve">[…] </w:t>
      </w:r>
      <w:r w:rsidRPr="00361803">
        <w:rPr>
          <w:rFonts w:ascii="Verdana" w:eastAsia="Calibri" w:hAnsi="Verdana" w:cs="Arial"/>
          <w:sz w:val="20"/>
          <w:szCs w:val="20"/>
          <w:lang w:val="es-ES" w:eastAsia="es-ES_tradnl"/>
        </w:rPr>
        <w:t>En relación con el objeto de los contratos de colaboración, es pertinente señalar que una característica esencial de estos es que su objeto esté determinado por la realización de programas y actividades de interés público acordes con el Plan Nacional de Desarrollo y los planes seccionales de desarrollo, los cuales se encuentran regulados en los artículos 339 a 344 de la Constitución Política</w:t>
      </w:r>
      <w:r>
        <w:rPr>
          <w:rFonts w:ascii="Verdana" w:eastAsia="Calibri" w:hAnsi="Verdana" w:cs="Arial"/>
          <w:sz w:val="20"/>
          <w:szCs w:val="20"/>
        </w:rPr>
        <w:t>. Sobre este aspecto, la Corte Constitucional ha indicado que el objeto de estos convenios es el "desarrollo de actividades esencialmente benéficas, no como instrumento económico, sino con un propósito meramente asistencial y altruista, en el que, a diferencia del pasado, no se privilegia la arbitrariedad y unilateralidad del gasto público, sino que se exige un grado aceptable de reciprocidad por parte del beneficiario de la ayuda".</w:t>
      </w:r>
    </w:p>
    <w:p w14:paraId="17B4ABAB" w14:textId="77777777" w:rsidR="00BC42BB" w:rsidRDefault="00BC42BB" w:rsidP="00BC42BB">
      <w:pPr>
        <w:spacing w:after="0" w:line="240" w:lineRule="auto"/>
        <w:jc w:val="both"/>
        <w:rPr>
          <w:rFonts w:ascii="Verdana" w:eastAsia="Aptos" w:hAnsi="Verdana" w:cs="Times New Roman"/>
          <w:sz w:val="20"/>
          <w:szCs w:val="20"/>
        </w:rPr>
      </w:pPr>
    </w:p>
    <w:p w14:paraId="092A8016" w14:textId="77777777" w:rsidR="00BC42BB" w:rsidRDefault="00BC42BB" w:rsidP="00BC42BB">
      <w:pPr>
        <w:spacing w:after="0" w:line="240" w:lineRule="auto"/>
        <w:jc w:val="both"/>
        <w:rPr>
          <w:rFonts w:ascii="Verdana" w:eastAsia="Calibri" w:hAnsi="Verdana" w:cs="Times New Roman"/>
          <w:b/>
          <w:bCs/>
          <w:lang w:val="es-ES_tradnl" w:eastAsia="es-ES_tradnl"/>
        </w:rPr>
      </w:pPr>
      <w:r>
        <w:rPr>
          <w:rFonts w:ascii="Verdana" w:eastAsia="Calibri" w:hAnsi="Verdana" w:cs="Times New Roman"/>
          <w:b/>
          <w:bCs/>
          <w:lang w:val="es-ES_tradnl" w:eastAsia="es-ES_tradnl"/>
        </w:rPr>
        <w:t xml:space="preserve">CONTRATOS CON ESAL – Objeto – Actividades – Funciones y cometidos </w:t>
      </w:r>
    </w:p>
    <w:p w14:paraId="3E8091FA" w14:textId="77777777" w:rsidR="00BC42BB" w:rsidRDefault="00BC42BB" w:rsidP="00BC42BB">
      <w:pPr>
        <w:spacing w:after="0" w:line="240" w:lineRule="auto"/>
        <w:jc w:val="both"/>
        <w:rPr>
          <w:rFonts w:ascii="Verdana" w:eastAsia="Calibri" w:hAnsi="Verdana" w:cs="Times New Roman"/>
          <w:b/>
          <w:bCs/>
          <w:sz w:val="20"/>
          <w:szCs w:val="20"/>
          <w:lang w:val="es-ES_tradnl" w:eastAsia="es-ES_tradnl"/>
        </w:rPr>
      </w:pPr>
    </w:p>
    <w:p w14:paraId="656CF052" w14:textId="77777777" w:rsidR="00BC42BB" w:rsidRDefault="00BC42BB" w:rsidP="00BC42BB">
      <w:pPr>
        <w:spacing w:after="0" w:line="240" w:lineRule="auto"/>
        <w:jc w:val="both"/>
        <w:rPr>
          <w:rFonts w:ascii="Verdana" w:eastAsia="Calibri" w:hAnsi="Verdana" w:cs="Arial"/>
          <w:sz w:val="20"/>
          <w:szCs w:val="20"/>
        </w:rPr>
      </w:pPr>
      <w:r>
        <w:rPr>
          <w:rFonts w:ascii="Verdana" w:eastAsia="Calibri" w:hAnsi="Verdana" w:cs="Arial"/>
          <w:sz w:val="20"/>
          <w:szCs w:val="20"/>
        </w:rPr>
        <w:lastRenderedPageBreak/>
        <w:t xml:space="preserve">[…] </w:t>
      </w:r>
      <w:r w:rsidRPr="00361803">
        <w:rPr>
          <w:rFonts w:ascii="Verdana" w:eastAsia="Calibri" w:hAnsi="Verdana" w:cs="Arial"/>
          <w:sz w:val="20"/>
          <w:szCs w:val="20"/>
          <w:lang w:val="es-ES"/>
        </w:rPr>
        <w:t xml:space="preserve">los </w:t>
      </w:r>
      <w:r w:rsidRPr="00361803">
        <w:rPr>
          <w:rFonts w:ascii="Verdana" w:eastAsia="Calibri" w:hAnsi="Verdana" w:cs="Arial"/>
          <w:i/>
          <w:iCs/>
          <w:sz w:val="20"/>
          <w:szCs w:val="20"/>
          <w:lang w:val="es-ES"/>
        </w:rPr>
        <w:t>convenios de asociación</w:t>
      </w:r>
      <w:r w:rsidRPr="00361803">
        <w:rPr>
          <w:rFonts w:ascii="Verdana" w:eastAsia="Calibri" w:hAnsi="Verdana" w:cs="Arial"/>
          <w:sz w:val="20"/>
          <w:szCs w:val="20"/>
          <w:lang w:val="es-ES"/>
        </w:rPr>
        <w:t xml:space="preserve"> “[…] [t]ienen como finalidad que la entidad estatal, cualquiera que sea su naturaleza y orden administrativo, se asocien con personas jurídicas particulares para el desarrollo conjunto de actividades relacionadas con los cometidos y funciones asignadas a aquellas conforme a la Constitución y a la Ley”</w:t>
      </w:r>
      <w:r>
        <w:rPr>
          <w:rFonts w:ascii="Verdana" w:eastAsia="Calibri" w:hAnsi="Verdana" w:cs="Arial"/>
          <w:sz w:val="20"/>
          <w:szCs w:val="20"/>
        </w:rPr>
        <w:t xml:space="preserve">. De lo anterior se concluye que, el interés perseguido con la contratación debe ser de carácter general o colectivo, materializado en los cometidos y funciones que le han sido asignados en el ordenamiento jurídico a la Entidad Estatal contratante. Así, en el caso de una entidad territorial se debe garantizar que los fines del convenio de asociación a celebrarse sean acordes con los fines y funciones asignados en la Constitución, leyes orgánicas y ordinarias correspondientes, al igual que en sus correspondientes planes de desarrollo. Además, si se trata de cualquier otra Entidad Estatal, deberá indagarse igualmente por su finalidad y competencia en las normas legales correspondientes, incluyendo sus actos de creación y los asimilables a los planes de desarrollo, para garantizar el cumplimiento de los mismos a través del convenio a celebrarse. </w:t>
      </w:r>
    </w:p>
    <w:p w14:paraId="1F4C6517" w14:textId="77777777" w:rsidR="00BC42BB" w:rsidRDefault="00BC42BB" w:rsidP="00BC42BB">
      <w:pPr>
        <w:spacing w:after="0" w:line="240" w:lineRule="auto"/>
        <w:jc w:val="both"/>
        <w:rPr>
          <w:rFonts w:ascii="Verdana" w:eastAsia="Aptos" w:hAnsi="Verdana" w:cs="Times New Roman"/>
          <w:sz w:val="20"/>
          <w:szCs w:val="20"/>
          <w:lang w:val="es-ES_tradnl"/>
        </w:rPr>
      </w:pPr>
    </w:p>
    <w:p w14:paraId="50CEDB07" w14:textId="77777777" w:rsidR="00BC42BB" w:rsidRDefault="00BC42BB" w:rsidP="00BC42BB">
      <w:pPr>
        <w:spacing w:after="0" w:line="240" w:lineRule="auto"/>
        <w:jc w:val="both"/>
        <w:rPr>
          <w:rFonts w:ascii="Verdana" w:eastAsia="Calibri" w:hAnsi="Verdana" w:cs="Times New Roman"/>
          <w:b/>
          <w:bCs/>
          <w:lang w:val="es-ES_tradnl" w:eastAsia="es-ES_tradnl"/>
        </w:rPr>
      </w:pPr>
      <w:r>
        <w:rPr>
          <w:rFonts w:ascii="Verdana" w:eastAsia="Calibri" w:hAnsi="Verdana" w:cs="Times New Roman"/>
          <w:b/>
          <w:bCs/>
          <w:lang w:val="es-ES_tradnl" w:eastAsia="es-ES_tradnl"/>
        </w:rPr>
        <w:t>CONTRATOS CON ESAL – Selección objetiva</w:t>
      </w:r>
    </w:p>
    <w:p w14:paraId="2AB573CF" w14:textId="77777777" w:rsidR="00BC42BB" w:rsidRDefault="00BC42BB" w:rsidP="00BC42BB">
      <w:pPr>
        <w:spacing w:after="0" w:line="240" w:lineRule="auto"/>
        <w:jc w:val="both"/>
        <w:rPr>
          <w:rFonts w:ascii="Verdana" w:eastAsia="Calibri" w:hAnsi="Verdana" w:cs="Times New Roman"/>
          <w:sz w:val="20"/>
          <w:szCs w:val="20"/>
          <w:lang w:val="es-ES_tradnl" w:eastAsia="es-ES_tradnl"/>
        </w:rPr>
      </w:pPr>
    </w:p>
    <w:p w14:paraId="0E28A4FE" w14:textId="77777777" w:rsidR="00BC42BB" w:rsidRPr="00361803" w:rsidRDefault="00BC42BB" w:rsidP="00BC42BB">
      <w:pPr>
        <w:spacing w:after="0" w:line="240" w:lineRule="auto"/>
        <w:jc w:val="both"/>
        <w:rPr>
          <w:rFonts w:ascii="Verdana" w:hAnsi="Verdana" w:cs="Arial"/>
          <w:sz w:val="20"/>
          <w:szCs w:val="20"/>
          <w:lang w:val="es-ES"/>
        </w:rPr>
      </w:pPr>
      <w:r w:rsidRPr="00361803">
        <w:rPr>
          <w:rFonts w:ascii="Verdana" w:hAnsi="Verdana" w:cs="Arial"/>
          <w:sz w:val="20"/>
          <w:szCs w:val="20"/>
          <w:lang w:val="es-ES"/>
        </w:rPr>
        <w:t>La noción “seleccionar de forma objetiva”, contenida en el artículo 5 del Decreto 092 de 2017 no puede ser entendida como una remisión total a las Leyes 80 de 1993 y 1150 de 2007. A lo que se refiere la norma es a que la Entidad Estatal debe diseñar herramientas que permitan una comparación objetiva de las ESAL para seleccionar objetivamente a aquella que tenga las mejores condiciones para alcanzar el resultado esperado con el proyecto de cooperación, por lo que los criterios que permitan una selección objetiva deben definirse en términos de la obtención de los objetivos del convenio de asociación. Sin perjuicio de lo anterior, la entidad puede decidir acudir a los procesos de selección de contratistas que establece el EGCAP o, incluso, al trámite que regula el inciso 2 del artículo 2 del Decreto 092 de 2017.</w:t>
      </w:r>
    </w:p>
    <w:p w14:paraId="484E611D" w14:textId="77777777" w:rsidR="00BC42BB" w:rsidRDefault="00BC42BB" w:rsidP="00BC42BB">
      <w:pPr>
        <w:spacing w:after="0" w:line="240" w:lineRule="auto"/>
        <w:rPr>
          <w:rFonts w:ascii="Verdana" w:eastAsia="Calibri" w:hAnsi="Verdana" w:cs="Arial"/>
          <w:b/>
          <w:bCs/>
          <w:lang w:val="es-ES" w:eastAsia="es-ES"/>
        </w:rPr>
      </w:pPr>
    </w:p>
    <w:p w14:paraId="01F08243" w14:textId="77777777" w:rsidR="00BC42BB" w:rsidRDefault="00BC42BB" w:rsidP="00BC42BB">
      <w:pPr>
        <w:spacing w:after="0" w:line="240" w:lineRule="auto"/>
        <w:rPr>
          <w:rFonts w:ascii="Verdana" w:eastAsia="Calibri" w:hAnsi="Verdana" w:cs="Arial"/>
          <w:b/>
          <w:bCs/>
          <w:lang w:val="es-ES" w:eastAsia="es-ES"/>
        </w:rPr>
      </w:pPr>
    </w:p>
    <w:p w14:paraId="02C1E6F6" w14:textId="77777777" w:rsidR="00BC42BB" w:rsidRDefault="00BC42BB" w:rsidP="00BC42BB">
      <w:pPr>
        <w:spacing w:after="0" w:line="240" w:lineRule="auto"/>
        <w:rPr>
          <w:rFonts w:ascii="Verdana" w:eastAsia="Geomanist Light" w:hAnsi="Verdana" w:cs="Arial"/>
          <w:color w:val="000000" w:themeColor="text1"/>
        </w:rPr>
      </w:pPr>
    </w:p>
    <w:p w14:paraId="63C61BB2" w14:textId="77777777" w:rsidR="00BC42BB" w:rsidRDefault="00BC42BB" w:rsidP="00BC42BB">
      <w:pPr>
        <w:spacing w:after="0" w:line="240" w:lineRule="auto"/>
        <w:rPr>
          <w:rFonts w:ascii="Verdana" w:eastAsia="Geomanist Light" w:hAnsi="Verdana" w:cs="Arial"/>
          <w:color w:val="000000" w:themeColor="text1"/>
        </w:rPr>
      </w:pPr>
    </w:p>
    <w:p w14:paraId="42217292" w14:textId="77777777" w:rsidR="00BC42BB" w:rsidRDefault="00BC42BB" w:rsidP="00BC42BB">
      <w:pPr>
        <w:spacing w:after="0" w:line="240" w:lineRule="auto"/>
        <w:rPr>
          <w:rFonts w:ascii="Verdana" w:eastAsia="Geomanist Light" w:hAnsi="Verdana" w:cs="Arial"/>
          <w:color w:val="000000" w:themeColor="text1"/>
        </w:rPr>
      </w:pPr>
    </w:p>
    <w:p w14:paraId="1835275A" w14:textId="77777777" w:rsidR="00BC42BB" w:rsidRDefault="00BC42BB" w:rsidP="00BC42BB">
      <w:pPr>
        <w:spacing w:after="0" w:line="240" w:lineRule="auto"/>
        <w:rPr>
          <w:rFonts w:ascii="Verdana" w:eastAsia="Geomanist Light" w:hAnsi="Verdana" w:cs="Arial"/>
          <w:color w:val="000000" w:themeColor="text1"/>
          <w:lang w:val="es-MX"/>
        </w:rPr>
      </w:pPr>
    </w:p>
    <w:p w14:paraId="4A337924" w14:textId="77777777" w:rsidR="00BC42BB" w:rsidRDefault="00BC42BB" w:rsidP="00BC42BB">
      <w:pPr>
        <w:spacing w:after="0" w:line="240" w:lineRule="auto"/>
        <w:rPr>
          <w:rFonts w:ascii="Verdana" w:eastAsia="Geomanist Light" w:hAnsi="Verdana" w:cs="Arial"/>
          <w:color w:val="000000" w:themeColor="text1"/>
          <w:lang w:val="es-MX"/>
        </w:rPr>
      </w:pPr>
    </w:p>
    <w:p w14:paraId="33BB44ED" w14:textId="77777777" w:rsidR="00BC42BB" w:rsidRDefault="00BC42BB" w:rsidP="00BC42BB">
      <w:pPr>
        <w:spacing w:after="0" w:line="240" w:lineRule="auto"/>
        <w:rPr>
          <w:rFonts w:ascii="Verdana" w:eastAsia="Geomanist Light" w:hAnsi="Verdana" w:cs="Arial"/>
          <w:color w:val="000000" w:themeColor="text1"/>
          <w:lang w:val="es-MX"/>
        </w:rPr>
      </w:pPr>
    </w:p>
    <w:p w14:paraId="325012B0" w14:textId="77777777" w:rsidR="00BC42BB" w:rsidRDefault="00BC42BB" w:rsidP="00BC42BB">
      <w:pPr>
        <w:spacing w:after="0" w:line="240" w:lineRule="auto"/>
        <w:rPr>
          <w:rFonts w:ascii="Verdana" w:eastAsia="Geomanist Light" w:hAnsi="Verdana" w:cs="Arial"/>
          <w:color w:val="000000" w:themeColor="text1"/>
          <w:lang w:val="es-MX"/>
        </w:rPr>
      </w:pPr>
    </w:p>
    <w:p w14:paraId="44E9B491" w14:textId="77777777" w:rsidR="00BC42BB" w:rsidRDefault="00BC42BB" w:rsidP="00BC42BB">
      <w:pPr>
        <w:spacing w:after="0" w:line="240" w:lineRule="auto"/>
        <w:rPr>
          <w:rFonts w:ascii="Verdana" w:eastAsia="Geomanist Light" w:hAnsi="Verdana" w:cs="Arial"/>
          <w:color w:val="000000" w:themeColor="text1"/>
          <w:lang w:val="es-MX"/>
        </w:rPr>
      </w:pPr>
    </w:p>
    <w:p w14:paraId="54C0F538" w14:textId="77777777" w:rsidR="00BC42BB" w:rsidRDefault="00BC42BB" w:rsidP="00BC42BB">
      <w:pPr>
        <w:spacing w:after="0" w:line="240" w:lineRule="auto"/>
        <w:jc w:val="both"/>
        <w:rPr>
          <w:rFonts w:ascii="Verdana" w:eastAsia="Times New Roman" w:hAnsi="Verdana" w:cs="Arial"/>
          <w:b/>
          <w:lang w:val="es-ES_tradnl" w:eastAsia="es-ES"/>
        </w:rPr>
      </w:pPr>
    </w:p>
    <w:p w14:paraId="098C3752" w14:textId="77777777" w:rsidR="00BC42BB" w:rsidRDefault="00BC42BB" w:rsidP="00BC42BB">
      <w:pPr>
        <w:spacing w:after="0" w:line="240" w:lineRule="auto"/>
        <w:jc w:val="both"/>
        <w:rPr>
          <w:rFonts w:ascii="Verdana" w:eastAsia="Times New Roman" w:hAnsi="Verdana" w:cs="Arial"/>
          <w:b/>
          <w:lang w:val="es-ES_tradnl" w:eastAsia="es-ES"/>
        </w:rPr>
      </w:pPr>
    </w:p>
    <w:p w14:paraId="6332ED53" w14:textId="77777777" w:rsidR="00BC42BB" w:rsidRDefault="00BC42BB" w:rsidP="00BC42BB">
      <w:pPr>
        <w:spacing w:after="0" w:line="240" w:lineRule="auto"/>
        <w:jc w:val="both"/>
        <w:rPr>
          <w:rFonts w:ascii="Verdana" w:eastAsia="Times New Roman" w:hAnsi="Verdana" w:cs="Arial"/>
          <w:b/>
          <w:lang w:val="es-ES_tradnl" w:eastAsia="es-ES"/>
        </w:rPr>
      </w:pPr>
    </w:p>
    <w:p w14:paraId="33C76D42" w14:textId="77777777" w:rsidR="00BC42BB" w:rsidRDefault="00BC42BB" w:rsidP="00BC42BB">
      <w:pPr>
        <w:spacing w:after="0" w:line="240" w:lineRule="auto"/>
        <w:jc w:val="both"/>
        <w:rPr>
          <w:rFonts w:ascii="Verdana" w:eastAsia="Times New Roman" w:hAnsi="Verdana" w:cs="Times New Roman"/>
          <w:sz w:val="20"/>
          <w:szCs w:val="20"/>
          <w:lang w:val="es-ES_tradnl" w:eastAsia="es-ES_tradnl"/>
        </w:rPr>
      </w:pPr>
    </w:p>
    <w:p w14:paraId="04B74A3B" w14:textId="77777777" w:rsidR="00BC42BB" w:rsidRDefault="00BC42BB" w:rsidP="00BC42BB">
      <w:pPr>
        <w:spacing w:after="0" w:line="240" w:lineRule="auto"/>
        <w:jc w:val="both"/>
        <w:rPr>
          <w:rFonts w:ascii="Verdana" w:eastAsia="Times New Roman" w:hAnsi="Verdana" w:cs="Times New Roman"/>
          <w:sz w:val="20"/>
          <w:szCs w:val="20"/>
          <w:lang w:val="es-ES_tradnl" w:eastAsia="es-ES_tradnl"/>
        </w:rPr>
      </w:pPr>
    </w:p>
    <w:p w14:paraId="06A77754" w14:textId="77777777" w:rsidR="00BC42BB" w:rsidRDefault="00BC42BB" w:rsidP="00BC42BB">
      <w:pPr>
        <w:spacing w:after="0" w:line="240" w:lineRule="auto"/>
        <w:jc w:val="both"/>
        <w:rPr>
          <w:rFonts w:ascii="Verdana" w:eastAsia="Times New Roman" w:hAnsi="Verdana" w:cs="Times New Roman"/>
          <w:sz w:val="20"/>
          <w:szCs w:val="20"/>
          <w:lang w:val="es-ES_tradnl" w:eastAsia="es-ES_tradnl"/>
        </w:rPr>
      </w:pPr>
    </w:p>
    <w:p w14:paraId="61998657" w14:textId="77777777" w:rsidR="00BC42BB" w:rsidRDefault="00BC42BB" w:rsidP="00BC42BB">
      <w:pPr>
        <w:spacing w:after="0" w:line="240" w:lineRule="auto"/>
        <w:jc w:val="both"/>
        <w:rPr>
          <w:rFonts w:ascii="Verdana" w:eastAsia="Times New Roman" w:hAnsi="Verdana" w:cs="Times New Roman"/>
          <w:sz w:val="20"/>
          <w:szCs w:val="20"/>
          <w:lang w:val="es-ES_tradnl" w:eastAsia="es-ES_tradnl"/>
        </w:rPr>
      </w:pPr>
    </w:p>
    <w:p w14:paraId="6ECAE835" w14:textId="02775D98" w:rsidR="00BC42BB" w:rsidRPr="00E31648" w:rsidRDefault="00BC42BB" w:rsidP="00BC42BB">
      <w:pPr>
        <w:spacing w:after="0" w:line="240" w:lineRule="auto"/>
      </w:pPr>
      <w:r w:rsidRPr="00C562D4">
        <w:rPr>
          <w:rFonts w:ascii="Verdana" w:eastAsia="Calibri" w:hAnsi="Verdana" w:cs="Arial"/>
          <w:color w:val="000000" w:themeColor="text1"/>
        </w:rPr>
        <w:lastRenderedPageBreak/>
        <w:t xml:space="preserve">Bogotá D.C., </w:t>
      </w:r>
      <w:r>
        <w:rPr>
          <w:rFonts w:ascii="Verdana" w:eastAsia="Calibri" w:hAnsi="Verdana" w:cs="Arial"/>
          <w:color w:val="000000" w:themeColor="text1"/>
        </w:rPr>
        <w:t>2</w:t>
      </w:r>
      <w:r w:rsidR="00383B3F">
        <w:rPr>
          <w:rFonts w:ascii="Verdana" w:eastAsia="Calibri" w:hAnsi="Verdana" w:cs="Arial"/>
          <w:color w:val="000000" w:themeColor="text1"/>
        </w:rPr>
        <w:t>4</w:t>
      </w:r>
      <w:r>
        <w:rPr>
          <w:rFonts w:ascii="Verdana" w:eastAsia="Calibri" w:hAnsi="Verdana" w:cs="Arial"/>
          <w:color w:val="000000" w:themeColor="text1"/>
        </w:rPr>
        <w:t xml:space="preserve"> </w:t>
      </w:r>
      <w:r w:rsidRPr="00C562D4">
        <w:rPr>
          <w:rFonts w:ascii="Verdana" w:eastAsia="Calibri" w:hAnsi="Verdana" w:cs="Arial"/>
          <w:color w:val="000000" w:themeColor="text1"/>
        </w:rPr>
        <w:t xml:space="preserve">de </w:t>
      </w:r>
      <w:r>
        <w:rPr>
          <w:rFonts w:ascii="Verdana" w:eastAsia="Calibri" w:hAnsi="Verdana" w:cs="Arial"/>
          <w:color w:val="000000" w:themeColor="text1"/>
        </w:rPr>
        <w:t xml:space="preserve">junio </w:t>
      </w:r>
      <w:r w:rsidRPr="00C562D4">
        <w:rPr>
          <w:rFonts w:ascii="Verdana" w:eastAsia="Calibri" w:hAnsi="Verdana" w:cs="Arial"/>
          <w:color w:val="000000" w:themeColor="text1"/>
        </w:rPr>
        <w:t>de 20</w:t>
      </w:r>
      <w:r>
        <w:rPr>
          <w:rFonts w:ascii="Verdana" w:eastAsia="Calibri" w:hAnsi="Verdana" w:cs="Arial"/>
          <w:color w:val="000000" w:themeColor="text1"/>
        </w:rPr>
        <w:t>26</w:t>
      </w:r>
    </w:p>
    <w:p w14:paraId="793B38B4" w14:textId="77777777" w:rsidR="00BC42BB" w:rsidRDefault="00BC42BB" w:rsidP="00BC42BB">
      <w:pPr>
        <w:spacing w:after="0" w:line="240" w:lineRule="auto"/>
        <w:jc w:val="both"/>
        <w:rPr>
          <w:rFonts w:ascii="Verdana" w:eastAsia="Calibri" w:hAnsi="Verdana" w:cs="Arial"/>
          <w:color w:val="000000" w:themeColor="text1"/>
          <w:lang w:val="es-ES"/>
        </w:rPr>
      </w:pPr>
    </w:p>
    <w:p w14:paraId="6FFB508B" w14:textId="0E972908" w:rsidR="00BC42BB" w:rsidRDefault="00BB6C04" w:rsidP="00BB6C04">
      <w:pPr>
        <w:spacing w:after="0" w:line="240" w:lineRule="auto"/>
        <w:jc w:val="right"/>
        <w:rPr>
          <w:rFonts w:ascii="Verdana" w:eastAsia="Calibri" w:hAnsi="Verdana" w:cs="Arial"/>
          <w:color w:val="000000" w:themeColor="text1"/>
          <w:lang w:val="es-ES" w:eastAsia="es-ES"/>
        </w:rPr>
      </w:pPr>
      <w:r>
        <w:rPr>
          <w:rFonts w:ascii="Verdana" w:eastAsia="Calibri" w:hAnsi="Verdana" w:cs="Arial"/>
          <w:noProof/>
          <w:color w:val="000000" w:themeColor="text1"/>
          <w:lang w:val="es-ES" w:eastAsia="es-ES"/>
        </w:rPr>
        <w:drawing>
          <wp:inline distT="0" distB="0" distL="0" distR="0" wp14:anchorId="0D08C998" wp14:editId="1A24BDEF">
            <wp:extent cx="2257425" cy="695325"/>
            <wp:effectExtent l="0" t="0" r="9525" b="9525"/>
            <wp:docPr id="44188335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57425" cy="695325"/>
                    </a:xfrm>
                    <a:prstGeom prst="rect">
                      <a:avLst/>
                    </a:prstGeom>
                    <a:noFill/>
                    <a:ln>
                      <a:noFill/>
                    </a:ln>
                  </pic:spPr>
                </pic:pic>
              </a:graphicData>
            </a:graphic>
          </wp:inline>
        </w:drawing>
      </w:r>
    </w:p>
    <w:p w14:paraId="63257535" w14:textId="77777777" w:rsidR="00BB6C04" w:rsidRDefault="00BB6C04" w:rsidP="00BC42BB">
      <w:pPr>
        <w:spacing w:after="0" w:line="240" w:lineRule="auto"/>
        <w:jc w:val="both"/>
        <w:rPr>
          <w:rFonts w:ascii="Verdana" w:eastAsia="Calibri" w:hAnsi="Verdana" w:cs="Arial"/>
          <w:color w:val="000000" w:themeColor="text1"/>
          <w:lang w:val="es-ES" w:eastAsia="es-ES"/>
        </w:rPr>
      </w:pPr>
    </w:p>
    <w:p w14:paraId="567DD8DE" w14:textId="77777777" w:rsidR="00BB6C04" w:rsidRDefault="00BB6C04" w:rsidP="00BC42BB">
      <w:pPr>
        <w:spacing w:after="0" w:line="240" w:lineRule="auto"/>
        <w:jc w:val="both"/>
        <w:rPr>
          <w:rFonts w:ascii="Verdana" w:eastAsia="Calibri" w:hAnsi="Verdana" w:cs="Arial"/>
          <w:color w:val="000000" w:themeColor="text1"/>
          <w:lang w:val="es-ES" w:eastAsia="es-ES"/>
        </w:rPr>
      </w:pPr>
    </w:p>
    <w:p w14:paraId="174DC7C7" w14:textId="77777777" w:rsidR="00BC42BB" w:rsidRPr="0046108F" w:rsidRDefault="00BC42BB" w:rsidP="00BC42BB">
      <w:pPr>
        <w:spacing w:after="0" w:line="240" w:lineRule="auto"/>
        <w:jc w:val="both"/>
        <w:rPr>
          <w:rFonts w:ascii="Verdana" w:eastAsia="Calibri" w:hAnsi="Verdana" w:cs="Arial"/>
          <w:color w:val="000000" w:themeColor="text1"/>
          <w:lang w:val="es-ES" w:eastAsia="es-ES"/>
        </w:rPr>
      </w:pPr>
      <w:r w:rsidRPr="0046108F">
        <w:rPr>
          <w:rFonts w:ascii="Verdana" w:eastAsia="Calibri" w:hAnsi="Verdana" w:cs="Arial"/>
          <w:color w:val="000000" w:themeColor="text1"/>
          <w:lang w:val="es-ES" w:eastAsia="es-ES"/>
        </w:rPr>
        <w:t>Señor</w:t>
      </w:r>
      <w:r>
        <w:rPr>
          <w:rFonts w:ascii="Verdana" w:eastAsia="Calibri" w:hAnsi="Verdana" w:cs="Arial"/>
          <w:color w:val="000000" w:themeColor="text1"/>
          <w:lang w:val="es-ES" w:eastAsia="es-ES"/>
        </w:rPr>
        <w:t>a</w:t>
      </w:r>
    </w:p>
    <w:p w14:paraId="1DF5EAB2" w14:textId="77777777" w:rsidR="00BC42BB" w:rsidRDefault="00BC42BB" w:rsidP="00BC42BB">
      <w:pPr>
        <w:spacing w:after="0" w:line="240" w:lineRule="auto"/>
        <w:rPr>
          <w:rFonts w:ascii="Verdana" w:eastAsia="Calibri" w:hAnsi="Verdana" w:cs="Arial"/>
          <w:b/>
          <w:bCs/>
          <w:lang w:eastAsia="es-ES"/>
        </w:rPr>
      </w:pPr>
      <w:r w:rsidRPr="005A7413">
        <w:rPr>
          <w:rFonts w:ascii="Verdana" w:eastAsia="Calibri" w:hAnsi="Verdana" w:cs="Arial"/>
          <w:b/>
          <w:bCs/>
          <w:lang w:eastAsia="es-ES"/>
        </w:rPr>
        <w:t>LILI TATIANA BÁEZ</w:t>
      </w:r>
    </w:p>
    <w:p w14:paraId="7E397A7D" w14:textId="77777777" w:rsidR="00BC42BB" w:rsidRPr="00552511" w:rsidRDefault="00BC42BB" w:rsidP="00BC42BB">
      <w:pPr>
        <w:spacing w:after="0" w:line="240" w:lineRule="auto"/>
        <w:rPr>
          <w:rFonts w:ascii="Verdana" w:eastAsia="Calibri" w:hAnsi="Verdana" w:cs="Arial"/>
          <w:b/>
          <w:bCs/>
          <w:lang w:eastAsia="es-ES"/>
        </w:rPr>
      </w:pPr>
      <w:hyperlink r:id="rId11" w:history="1">
        <w:r w:rsidRPr="00487DFC">
          <w:rPr>
            <w:rStyle w:val="Hipervnculo"/>
            <w:rFonts w:ascii="Verdana" w:eastAsia="Calibri" w:hAnsi="Verdana" w:cs="Arial"/>
            <w:lang w:eastAsia="es-ES"/>
          </w:rPr>
          <w:t>administracion@neomundo.com</w:t>
        </w:r>
      </w:hyperlink>
      <w:r>
        <w:rPr>
          <w:rFonts w:ascii="Verdana" w:eastAsia="Calibri" w:hAnsi="Verdana" w:cs="Arial"/>
          <w:lang w:eastAsia="es-ES"/>
        </w:rPr>
        <w:t xml:space="preserve"> </w:t>
      </w:r>
    </w:p>
    <w:p w14:paraId="7E1D06B7" w14:textId="77777777" w:rsidR="00BC42BB" w:rsidRPr="00E9418A" w:rsidRDefault="00BC42BB" w:rsidP="00BC42BB">
      <w:pPr>
        <w:spacing w:after="0" w:line="240" w:lineRule="auto"/>
        <w:rPr>
          <w:rFonts w:ascii="Verdana" w:eastAsia="Calibri" w:hAnsi="Verdana" w:cs="Arial"/>
          <w:lang w:val="es-ES" w:eastAsia="es-ES"/>
        </w:rPr>
      </w:pPr>
      <w:r w:rsidRPr="00E9418A">
        <w:rPr>
          <w:rFonts w:ascii="Verdana" w:eastAsia="Calibri" w:hAnsi="Verdana" w:cs="Arial"/>
          <w:lang w:val="es-ES" w:eastAsia="es-ES"/>
        </w:rPr>
        <w:t>Bucaramanga (Santander)</w:t>
      </w:r>
    </w:p>
    <w:p w14:paraId="3A979DAE" w14:textId="77777777" w:rsidR="00BC42BB" w:rsidRPr="00CB7ABE" w:rsidRDefault="00BC42BB" w:rsidP="00BC42BB">
      <w:pPr>
        <w:spacing w:after="0" w:line="240" w:lineRule="auto"/>
        <w:rPr>
          <w:rFonts w:ascii="Verdana" w:eastAsia="Calibri" w:hAnsi="Verdana" w:cs="Arial"/>
          <w:b/>
          <w:bCs/>
          <w:color w:val="000000" w:themeColor="text1"/>
          <w:lang w:eastAsia="es-ES_tradnl"/>
        </w:rPr>
      </w:pPr>
    </w:p>
    <w:tbl>
      <w:tblPr>
        <w:tblStyle w:val="Tablaconcuadrcula"/>
        <w:tblW w:w="8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270"/>
        <w:gridCol w:w="6547"/>
      </w:tblGrid>
      <w:tr w:rsidR="00BC42BB" w:rsidRPr="00115E3D" w14:paraId="106BEB06" w14:textId="77777777" w:rsidTr="006428F2">
        <w:trPr>
          <w:trHeight w:val="615"/>
        </w:trPr>
        <w:tc>
          <w:tcPr>
            <w:tcW w:w="2270" w:type="dxa"/>
          </w:tcPr>
          <w:p w14:paraId="6588F825" w14:textId="77777777" w:rsidR="00BC42BB" w:rsidRPr="00CB7ABE" w:rsidRDefault="00BC42BB" w:rsidP="006428F2">
            <w:pPr>
              <w:jc w:val="both"/>
              <w:rPr>
                <w:rFonts w:ascii="Verdana" w:eastAsia="Calibri" w:hAnsi="Verdana" w:cs="Arial"/>
                <w:b/>
                <w:bCs/>
                <w:color w:val="000000" w:themeColor="text1"/>
                <w:lang w:eastAsia="es-ES_tradnl"/>
              </w:rPr>
            </w:pPr>
          </w:p>
        </w:tc>
        <w:tc>
          <w:tcPr>
            <w:tcW w:w="6547" w:type="dxa"/>
          </w:tcPr>
          <w:p w14:paraId="52A49EC6" w14:textId="77777777" w:rsidR="00BC42BB" w:rsidRPr="008A209A" w:rsidRDefault="00BC42BB" w:rsidP="006428F2">
            <w:pPr>
              <w:jc w:val="both"/>
              <w:rPr>
                <w:rFonts w:ascii="Verdana" w:eastAsia="Calibri" w:hAnsi="Verdana" w:cs="Arial"/>
                <w:b/>
                <w:bCs/>
                <w:color w:val="000000" w:themeColor="text1"/>
                <w:lang w:val="es-ES" w:eastAsia="es-ES"/>
              </w:rPr>
            </w:pPr>
            <w:r w:rsidRPr="008A209A">
              <w:rPr>
                <w:rFonts w:ascii="Verdana" w:eastAsia="Calibri" w:hAnsi="Verdana" w:cs="Arial"/>
                <w:b/>
                <w:bCs/>
                <w:color w:val="000000" w:themeColor="text1"/>
                <w:lang w:val="es-ES" w:eastAsia="es-ES"/>
              </w:rPr>
              <w:t xml:space="preserve">Concepto C- </w:t>
            </w:r>
            <w:r>
              <w:rPr>
                <w:rFonts w:ascii="Verdana" w:eastAsia="Calibri" w:hAnsi="Verdana" w:cs="Arial"/>
                <w:b/>
                <w:bCs/>
                <w:color w:val="000000" w:themeColor="text1"/>
                <w:lang w:val="es-ES" w:eastAsia="es-ES"/>
              </w:rPr>
              <w:t xml:space="preserve">799 </w:t>
            </w:r>
            <w:r w:rsidRPr="008A209A">
              <w:rPr>
                <w:rFonts w:ascii="Verdana" w:eastAsia="Calibri" w:hAnsi="Verdana" w:cs="Arial"/>
                <w:b/>
                <w:bCs/>
                <w:color w:val="000000" w:themeColor="text1"/>
                <w:lang w:val="es-ES" w:eastAsia="es-ES"/>
              </w:rPr>
              <w:t>de 2026</w:t>
            </w:r>
          </w:p>
        </w:tc>
      </w:tr>
      <w:tr w:rsidR="00BC42BB" w:rsidRPr="007E403E" w14:paraId="0523A3D8" w14:textId="77777777" w:rsidTr="006428F2">
        <w:trPr>
          <w:trHeight w:val="1071"/>
        </w:trPr>
        <w:tc>
          <w:tcPr>
            <w:tcW w:w="2270" w:type="dxa"/>
          </w:tcPr>
          <w:p w14:paraId="1723F789" w14:textId="77777777" w:rsidR="00BC42BB" w:rsidRPr="001B36DA" w:rsidRDefault="00BC42BB" w:rsidP="006428F2">
            <w:pPr>
              <w:jc w:val="both"/>
              <w:rPr>
                <w:rFonts w:ascii="Verdana" w:eastAsia="Calibri" w:hAnsi="Verdana" w:cs="Arial"/>
                <w:color w:val="000000" w:themeColor="text1"/>
                <w:lang w:val="es-ES_tradnl" w:eastAsia="es-ES_tradnl"/>
              </w:rPr>
            </w:pPr>
            <w:r w:rsidRPr="001B36DA">
              <w:rPr>
                <w:rFonts w:ascii="Verdana" w:eastAsia="Calibri" w:hAnsi="Verdana" w:cs="Arial"/>
                <w:b/>
                <w:color w:val="000000" w:themeColor="text1"/>
                <w:lang w:val="es-ES_tradnl" w:eastAsia="es-ES_tradnl"/>
              </w:rPr>
              <w:t>Temas:</w:t>
            </w:r>
            <w:r w:rsidRPr="001B36DA">
              <w:rPr>
                <w:rFonts w:ascii="Verdana" w:eastAsia="Calibri" w:hAnsi="Verdana" w:cs="Arial"/>
                <w:color w:val="000000" w:themeColor="text1"/>
                <w:lang w:val="es-ES_tradnl" w:eastAsia="es-ES_tradnl"/>
              </w:rPr>
              <w:t xml:space="preserve">                   </w:t>
            </w:r>
          </w:p>
        </w:tc>
        <w:tc>
          <w:tcPr>
            <w:tcW w:w="6547" w:type="dxa"/>
          </w:tcPr>
          <w:p w14:paraId="59DBF8A4" w14:textId="77777777" w:rsidR="00BC42BB" w:rsidRDefault="00BC42BB" w:rsidP="006428F2">
            <w:pPr>
              <w:spacing w:line="276" w:lineRule="auto"/>
              <w:jc w:val="both"/>
              <w:rPr>
                <w:rFonts w:ascii="Verdana" w:eastAsia="Calibri" w:hAnsi="Verdana"/>
                <w:lang w:val="es-ES_tradnl" w:eastAsia="es-ES_tradnl"/>
              </w:rPr>
            </w:pPr>
            <w:r w:rsidRPr="006C7F22">
              <w:rPr>
                <w:rFonts w:ascii="Verdana" w:eastAsia="Times New Roman" w:hAnsi="Verdana"/>
                <w:lang w:val="es-ES_tradnl" w:eastAsia="es-ES_tradnl"/>
              </w:rPr>
              <w:t xml:space="preserve">CONTRATOS CON ESAL </w:t>
            </w:r>
            <w:r w:rsidRPr="006C7F22">
              <w:rPr>
                <w:rFonts w:ascii="Verdana" w:eastAsia="Calibri" w:hAnsi="Verdana"/>
                <w:lang w:val="es-ES_tradnl" w:eastAsia="es-ES_tradnl"/>
              </w:rPr>
              <w:t>–</w:t>
            </w:r>
            <w:r w:rsidRPr="006C7F22">
              <w:rPr>
                <w:rFonts w:ascii="Verdana" w:eastAsia="Times New Roman" w:hAnsi="Verdana"/>
                <w:lang w:val="es-ES_tradnl" w:eastAsia="es-ES_tradnl"/>
              </w:rPr>
              <w:t xml:space="preserve"> Constitución </w:t>
            </w:r>
            <w:r w:rsidRPr="006C7F22">
              <w:rPr>
                <w:rFonts w:ascii="Verdana" w:eastAsia="Calibri" w:hAnsi="Verdana"/>
                <w:lang w:val="es-ES_tradnl" w:eastAsia="es-ES_tradnl"/>
              </w:rPr>
              <w:t xml:space="preserve">– </w:t>
            </w:r>
            <w:r w:rsidRPr="006C7F22">
              <w:rPr>
                <w:rFonts w:ascii="Verdana" w:eastAsia="Times New Roman" w:hAnsi="Verdana"/>
                <w:lang w:val="es-ES_tradnl" w:eastAsia="es-ES_tradnl"/>
              </w:rPr>
              <w:t xml:space="preserve">Artículo 355 </w:t>
            </w:r>
            <w:r w:rsidRPr="006C7F22">
              <w:rPr>
                <w:rFonts w:ascii="Verdana" w:eastAsia="Calibri" w:hAnsi="Verdana"/>
                <w:lang w:val="es-ES_tradnl" w:eastAsia="es-ES_tradnl"/>
              </w:rPr>
              <w:t xml:space="preserve">– Fundamento / </w:t>
            </w:r>
            <w:r w:rsidRPr="006C7F22">
              <w:rPr>
                <w:rFonts w:ascii="Verdana" w:eastAsia="Times New Roman" w:hAnsi="Verdana"/>
                <w:lang w:val="es-ES_tradnl" w:eastAsia="es-ES_tradnl"/>
              </w:rPr>
              <w:t xml:space="preserve">TIPOS DE CONTRATOS </w:t>
            </w:r>
            <w:r w:rsidRPr="006C7F22">
              <w:rPr>
                <w:rFonts w:ascii="Verdana" w:eastAsia="Calibri" w:hAnsi="Verdana"/>
                <w:lang w:val="es-ES_tradnl" w:eastAsia="es-ES_tradnl"/>
              </w:rPr>
              <w:t xml:space="preserve">– ESAL – Constitución Política – </w:t>
            </w:r>
            <w:r w:rsidRPr="006C7F22">
              <w:rPr>
                <w:rFonts w:ascii="Verdana" w:eastAsia="Times New Roman" w:hAnsi="Verdana"/>
                <w:lang w:val="es-ES_tradnl" w:eastAsia="es-ES_tradnl"/>
              </w:rPr>
              <w:t xml:space="preserve">Artículo 355 </w:t>
            </w:r>
            <w:r w:rsidRPr="006C7F22">
              <w:rPr>
                <w:rFonts w:ascii="Verdana" w:eastAsia="Calibri" w:hAnsi="Verdana"/>
                <w:lang w:val="es-ES_tradnl" w:eastAsia="es-ES_tradnl"/>
              </w:rPr>
              <w:t>– Ley 489 – Artículo 96 / CONTRATOS CON ESAL – Objeto – Actividades</w:t>
            </w:r>
            <w:r>
              <w:rPr>
                <w:rFonts w:ascii="Verdana" w:eastAsia="Calibri" w:hAnsi="Verdana"/>
                <w:lang w:val="es-ES_tradnl" w:eastAsia="es-ES_tradnl"/>
              </w:rPr>
              <w:t xml:space="preserve">, </w:t>
            </w:r>
            <w:r w:rsidRPr="00746BBA">
              <w:rPr>
                <w:rFonts w:ascii="Verdana" w:eastAsia="Calibri" w:hAnsi="Verdana"/>
                <w:lang w:val="es-ES_tradnl" w:eastAsia="es-ES_tradnl"/>
              </w:rPr>
              <w:t>Funciones y cometidos</w:t>
            </w:r>
            <w:r>
              <w:rPr>
                <w:rFonts w:ascii="Verdana" w:eastAsia="Calibri" w:hAnsi="Verdana"/>
                <w:lang w:val="es-ES_tradnl" w:eastAsia="es-ES_tradnl"/>
              </w:rPr>
              <w:t xml:space="preserve"> / </w:t>
            </w:r>
            <w:r w:rsidRPr="00746BBA">
              <w:rPr>
                <w:rFonts w:ascii="Verdana" w:eastAsia="Calibri" w:hAnsi="Verdana"/>
                <w:lang w:val="es-ES_tradnl" w:eastAsia="es-ES_tradnl"/>
              </w:rPr>
              <w:t>CONTRATOS CON ESAL – Selección objetiva</w:t>
            </w:r>
          </w:p>
          <w:p w14:paraId="66DE9C6B" w14:textId="77777777" w:rsidR="00BC42BB" w:rsidRPr="00103B36" w:rsidRDefault="00BC42BB" w:rsidP="006428F2">
            <w:pPr>
              <w:spacing w:line="276" w:lineRule="auto"/>
              <w:jc w:val="both"/>
              <w:rPr>
                <w:rFonts w:ascii="Verdana" w:eastAsia="Calibri" w:hAnsi="Verdana" w:cs="Arial"/>
                <w:color w:val="000000" w:themeColor="text1"/>
                <w:highlight w:val="yellow"/>
                <w:lang w:val="es-ES" w:eastAsia="es-ES"/>
              </w:rPr>
            </w:pPr>
            <w:r w:rsidRPr="00A272D1">
              <w:rPr>
                <w:rFonts w:ascii="Verdana" w:eastAsia="Calibri" w:hAnsi="Verdana" w:cs="Arial"/>
                <w:lang w:val="es-MX"/>
              </w:rPr>
              <w:t xml:space="preserve"> </w:t>
            </w:r>
          </w:p>
        </w:tc>
      </w:tr>
      <w:tr w:rsidR="00BC42BB" w:rsidRPr="00115E3D" w14:paraId="016F8E57" w14:textId="77777777" w:rsidTr="006428F2">
        <w:trPr>
          <w:trHeight w:val="653"/>
        </w:trPr>
        <w:tc>
          <w:tcPr>
            <w:tcW w:w="2270" w:type="dxa"/>
          </w:tcPr>
          <w:p w14:paraId="43514952" w14:textId="77777777" w:rsidR="00BC42BB" w:rsidRPr="00CB7ABE" w:rsidRDefault="00BC42BB" w:rsidP="006428F2">
            <w:pPr>
              <w:jc w:val="both"/>
              <w:rPr>
                <w:rFonts w:ascii="Verdana" w:eastAsia="Calibri" w:hAnsi="Verdana" w:cs="Arial"/>
                <w:b/>
                <w:color w:val="000000" w:themeColor="text1"/>
                <w:lang w:val="es-ES_tradnl" w:eastAsia="es-ES_tradnl"/>
              </w:rPr>
            </w:pPr>
            <w:r w:rsidRPr="00CB7ABE">
              <w:rPr>
                <w:rFonts w:ascii="Verdana" w:eastAsia="Calibri" w:hAnsi="Verdana" w:cs="Arial"/>
                <w:b/>
                <w:color w:val="000000" w:themeColor="text1"/>
                <w:lang w:val="es-ES_tradnl" w:eastAsia="es-ES_tradnl"/>
              </w:rPr>
              <w:t>Radicación:</w:t>
            </w:r>
            <w:r w:rsidRPr="00CB7ABE">
              <w:rPr>
                <w:rFonts w:ascii="Verdana" w:eastAsia="Calibri" w:hAnsi="Verdana" w:cs="Arial"/>
                <w:color w:val="000000" w:themeColor="text1"/>
                <w:lang w:val="es-ES_tradnl" w:eastAsia="es-ES_tradnl"/>
              </w:rPr>
              <w:t xml:space="preserve">           </w:t>
            </w:r>
          </w:p>
        </w:tc>
        <w:tc>
          <w:tcPr>
            <w:tcW w:w="6547" w:type="dxa"/>
          </w:tcPr>
          <w:p w14:paraId="20769CF1" w14:textId="77777777" w:rsidR="00BC42BB" w:rsidRPr="00CB7ABE" w:rsidRDefault="00BC42BB" w:rsidP="006428F2">
            <w:pPr>
              <w:ind w:right="1"/>
              <w:jc w:val="both"/>
              <w:rPr>
                <w:rFonts w:ascii="Verdana" w:hAnsi="Verdana"/>
                <w:color w:val="000000"/>
              </w:rPr>
            </w:pPr>
            <w:r w:rsidRPr="00CB7ABE">
              <w:rPr>
                <w:rFonts w:ascii="Verdana" w:eastAsia="Calibri" w:hAnsi="Verdana" w:cs="Arial"/>
                <w:color w:val="000000" w:themeColor="text1"/>
                <w:lang w:val="es-ES_tradnl" w:eastAsia="es-ES_tradnl"/>
              </w:rPr>
              <w:t>Respuesta a consulta con radicado</w:t>
            </w:r>
            <w:r>
              <w:rPr>
                <w:rFonts w:ascii="Verdana" w:eastAsia="Calibri" w:hAnsi="Verdana" w:cs="Arial"/>
                <w:color w:val="000000" w:themeColor="text1"/>
                <w:lang w:val="es-ES_tradnl" w:eastAsia="es-ES_tradnl"/>
              </w:rPr>
              <w:t xml:space="preserve"> N.º </w:t>
            </w:r>
            <w:r w:rsidRPr="005A7413">
              <w:rPr>
                <w:rFonts w:ascii="Verdana" w:eastAsia="Calibri" w:hAnsi="Verdana" w:cs="Arial"/>
                <w:color w:val="000000" w:themeColor="text1"/>
                <w:lang w:val="es-ES_tradnl" w:eastAsia="es-ES_tradnl"/>
              </w:rPr>
              <w:t>1_2026_05_13_006486</w:t>
            </w:r>
            <w:r>
              <w:rPr>
                <w:rFonts w:ascii="Verdana" w:eastAsia="Calibri" w:hAnsi="Verdana" w:cs="Arial"/>
                <w:color w:val="000000" w:themeColor="text1"/>
                <w:lang w:val="es-ES_tradnl" w:eastAsia="es-ES_tradnl"/>
              </w:rPr>
              <w:t>.</w:t>
            </w:r>
          </w:p>
        </w:tc>
      </w:tr>
      <w:tr w:rsidR="00BC42BB" w:rsidRPr="00115E3D" w14:paraId="51A98F14" w14:textId="77777777" w:rsidTr="006428F2">
        <w:trPr>
          <w:trHeight w:val="278"/>
        </w:trPr>
        <w:tc>
          <w:tcPr>
            <w:tcW w:w="2270" w:type="dxa"/>
          </w:tcPr>
          <w:p w14:paraId="2FB44958" w14:textId="77777777" w:rsidR="00BC42BB" w:rsidRPr="00CB7ABE" w:rsidRDefault="00BC42BB" w:rsidP="006428F2">
            <w:pPr>
              <w:jc w:val="both"/>
              <w:rPr>
                <w:rFonts w:ascii="Verdana" w:eastAsia="Calibri" w:hAnsi="Verdana" w:cs="Arial"/>
                <w:b/>
                <w:color w:val="000000" w:themeColor="text1"/>
                <w:lang w:val="es-ES_tradnl" w:eastAsia="es-ES_tradnl"/>
              </w:rPr>
            </w:pPr>
          </w:p>
        </w:tc>
        <w:tc>
          <w:tcPr>
            <w:tcW w:w="6547" w:type="dxa"/>
          </w:tcPr>
          <w:p w14:paraId="326E6F1E" w14:textId="77777777" w:rsidR="00BC42BB" w:rsidRPr="00CB7ABE" w:rsidRDefault="00BC42BB" w:rsidP="006428F2">
            <w:pPr>
              <w:ind w:right="1"/>
              <w:jc w:val="both"/>
              <w:rPr>
                <w:rFonts w:ascii="Verdana" w:eastAsia="Calibri" w:hAnsi="Verdana" w:cs="Arial"/>
                <w:color w:val="000000" w:themeColor="text1"/>
                <w:lang w:val="es-ES_tradnl" w:eastAsia="es-ES_tradnl"/>
              </w:rPr>
            </w:pPr>
          </w:p>
        </w:tc>
      </w:tr>
    </w:tbl>
    <w:p w14:paraId="70E2C4CC" w14:textId="77777777" w:rsidR="00BC42BB" w:rsidRPr="00115E3D" w:rsidRDefault="00BC42BB" w:rsidP="00BC42BB">
      <w:pPr>
        <w:spacing w:after="0" w:line="276" w:lineRule="auto"/>
        <w:jc w:val="both"/>
        <w:rPr>
          <w:rFonts w:ascii="Verdana" w:eastAsia="Calibri" w:hAnsi="Verdana" w:cs="Arial"/>
          <w:color w:val="000000" w:themeColor="text1"/>
          <w:lang w:val="es-ES" w:eastAsia="es-ES"/>
        </w:rPr>
      </w:pPr>
      <w:r>
        <w:rPr>
          <w:rFonts w:ascii="Verdana" w:eastAsia="Calibri" w:hAnsi="Verdana" w:cs="Arial"/>
          <w:color w:val="000000" w:themeColor="text1"/>
          <w:lang w:val="es-ES" w:eastAsia="es-ES"/>
        </w:rPr>
        <w:t>E</w:t>
      </w:r>
      <w:r w:rsidRPr="00115E3D">
        <w:rPr>
          <w:rFonts w:ascii="Verdana" w:eastAsia="Calibri" w:hAnsi="Verdana" w:cs="Arial"/>
          <w:color w:val="000000" w:themeColor="text1"/>
          <w:lang w:val="es-ES" w:eastAsia="es-ES"/>
        </w:rPr>
        <w:t>stimad</w:t>
      </w:r>
      <w:r>
        <w:rPr>
          <w:rFonts w:ascii="Verdana" w:eastAsia="Calibri" w:hAnsi="Verdana" w:cs="Arial"/>
          <w:color w:val="000000" w:themeColor="text1"/>
          <w:lang w:val="es-ES" w:eastAsia="es-ES"/>
        </w:rPr>
        <w:t xml:space="preserve">a </w:t>
      </w:r>
      <w:r w:rsidRPr="00115E3D">
        <w:rPr>
          <w:rFonts w:ascii="Verdana" w:eastAsia="Calibri" w:hAnsi="Verdana" w:cs="Arial"/>
          <w:color w:val="000000" w:themeColor="text1"/>
          <w:lang w:val="es-ES" w:eastAsia="es-ES"/>
        </w:rPr>
        <w:t>señor</w:t>
      </w:r>
      <w:r>
        <w:rPr>
          <w:rFonts w:ascii="Verdana" w:eastAsia="Calibri" w:hAnsi="Verdana" w:cs="Arial"/>
          <w:color w:val="000000" w:themeColor="text1"/>
          <w:lang w:val="es-ES" w:eastAsia="es-ES"/>
        </w:rPr>
        <w:t xml:space="preserve">a </w:t>
      </w:r>
      <w:r w:rsidRPr="005A7413">
        <w:rPr>
          <w:rFonts w:ascii="Verdana" w:eastAsia="Calibri" w:hAnsi="Verdana" w:cs="Arial"/>
          <w:color w:val="000000" w:themeColor="text1"/>
          <w:lang w:val="es-ES" w:eastAsia="es-ES"/>
        </w:rPr>
        <w:t>Báez</w:t>
      </w:r>
      <w:r>
        <w:rPr>
          <w:rFonts w:ascii="Verdana" w:eastAsia="Calibri" w:hAnsi="Verdana" w:cs="Arial"/>
          <w:color w:val="000000" w:themeColor="text1"/>
          <w:lang w:val="es-ES" w:eastAsia="es-ES"/>
        </w:rPr>
        <w:t>;</w:t>
      </w:r>
    </w:p>
    <w:p w14:paraId="46A4B60D" w14:textId="77777777" w:rsidR="00BC42BB" w:rsidRPr="00115E3D" w:rsidRDefault="00BC42BB" w:rsidP="00BC42BB">
      <w:pPr>
        <w:tabs>
          <w:tab w:val="left" w:pos="3768"/>
        </w:tabs>
        <w:spacing w:after="0" w:line="276" w:lineRule="auto"/>
        <w:jc w:val="both"/>
        <w:rPr>
          <w:rFonts w:ascii="Verdana" w:eastAsia="Calibri" w:hAnsi="Verdana" w:cs="Arial"/>
          <w:color w:val="000000" w:themeColor="text1"/>
          <w:lang w:val="es-ES" w:eastAsia="es-ES"/>
        </w:rPr>
      </w:pPr>
      <w:r w:rsidRPr="00115E3D">
        <w:rPr>
          <w:rFonts w:ascii="Verdana" w:eastAsia="Calibri" w:hAnsi="Verdana" w:cs="Arial"/>
          <w:color w:val="000000" w:themeColor="text1"/>
          <w:lang w:val="es-ES" w:eastAsia="es-ES"/>
        </w:rPr>
        <w:tab/>
      </w:r>
    </w:p>
    <w:p w14:paraId="37E8F8F3" w14:textId="77777777" w:rsidR="00BC42BB" w:rsidRPr="00115E3D" w:rsidRDefault="00BC42BB" w:rsidP="00BC42BB">
      <w:pPr>
        <w:spacing w:after="0" w:line="276" w:lineRule="auto"/>
        <w:jc w:val="both"/>
        <w:rPr>
          <w:rFonts w:ascii="Verdana" w:eastAsia="Calibri" w:hAnsi="Verdana" w:cs="Arial"/>
          <w:color w:val="000000" w:themeColor="text1"/>
          <w:lang w:val="es-ES" w:eastAsia="es-ES"/>
        </w:rPr>
      </w:pPr>
      <w:r w:rsidRPr="00115E3D">
        <w:rPr>
          <w:rFonts w:ascii="Verdana" w:eastAsia="Calibri" w:hAnsi="Verdana" w:cs="Arial"/>
          <w:color w:val="000000" w:themeColor="text1"/>
          <w:lang w:val="es-ES" w:eastAsia="es-ES"/>
        </w:rPr>
        <w:t>En ejercicio de la competencia otorgada por los artículos 3, numeral 5º, y 11, numeral 8º, del Decreto Ley 4170 de 2011,</w:t>
      </w:r>
      <w:r w:rsidRPr="00115E3D">
        <w:rPr>
          <w:rFonts w:ascii="Verdana" w:eastAsia="Arial MT" w:hAnsi="Verdana" w:cs="Arial MT"/>
          <w:color w:val="000000" w:themeColor="text1"/>
          <w:lang w:val="es-ES" w:eastAsia="es-ES"/>
        </w:rPr>
        <w:t xml:space="preserve"> </w:t>
      </w:r>
      <w:r w:rsidRPr="00115E3D">
        <w:rPr>
          <w:rFonts w:ascii="Verdana" w:hAnsi="Verdana" w:cs="Arial"/>
          <w:color w:val="000000" w:themeColor="text1"/>
        </w:rPr>
        <w:t xml:space="preserve">así como lo establecido en el artículo 4 de la Resolución 1707 de 2018 expedida por esta Entidad, </w:t>
      </w:r>
      <w:r w:rsidRPr="00115E3D">
        <w:rPr>
          <w:rFonts w:ascii="Verdana" w:eastAsia="Calibri" w:hAnsi="Verdana" w:cs="Arial"/>
          <w:color w:val="000000" w:themeColor="text1"/>
          <w:lang w:val="es-ES" w:eastAsia="es-ES"/>
        </w:rPr>
        <w:t>la Agencia Nacional de Contratación Pública – Colombia Compra Eficiente– responde</w:t>
      </w:r>
      <w:r>
        <w:rPr>
          <w:rFonts w:ascii="Verdana" w:eastAsia="Calibri" w:hAnsi="Verdana" w:cs="Arial"/>
          <w:color w:val="000000" w:themeColor="text1"/>
          <w:lang w:val="es-ES" w:eastAsia="es-ES"/>
        </w:rPr>
        <w:t xml:space="preserve"> a su solicitud  radicada ante esta entidad el 13 de mayo de 2026 </w:t>
      </w:r>
      <w:r w:rsidRPr="00115E3D">
        <w:rPr>
          <w:rFonts w:ascii="Verdana" w:eastAsia="Calibri" w:hAnsi="Verdana" w:cs="Arial"/>
          <w:color w:val="000000" w:themeColor="text1"/>
          <w:lang w:val="es-ES" w:eastAsia="es-ES"/>
        </w:rPr>
        <w:t xml:space="preserve">en la cual manifiesta lo siguiente: </w:t>
      </w:r>
    </w:p>
    <w:p w14:paraId="7FA34F26" w14:textId="77777777" w:rsidR="00BC42BB" w:rsidRPr="005A7413" w:rsidRDefault="00BC42BB" w:rsidP="00BC42BB">
      <w:pPr>
        <w:spacing w:after="0" w:line="240" w:lineRule="auto"/>
        <w:ind w:left="709" w:right="709"/>
        <w:jc w:val="both"/>
        <w:rPr>
          <w:rFonts w:ascii="Verdana" w:eastAsia="Century Gothic" w:hAnsi="Verdana" w:cs="Century Gothic"/>
          <w:i/>
          <w:iCs/>
          <w:color w:val="000000" w:themeColor="text1"/>
          <w:sz w:val="20"/>
          <w:szCs w:val="20"/>
          <w:lang w:val="es-ES"/>
        </w:rPr>
      </w:pPr>
      <w:bookmarkStart w:id="1" w:name="_Hlk95313578"/>
    </w:p>
    <w:bookmarkEnd w:id="1"/>
    <w:p w14:paraId="372072F2" w14:textId="77777777" w:rsidR="00BC42BB" w:rsidRDefault="00BC42BB" w:rsidP="00BC42BB">
      <w:pPr>
        <w:spacing w:after="0" w:line="240" w:lineRule="auto"/>
        <w:ind w:left="567" w:right="333"/>
        <w:jc w:val="both"/>
        <w:rPr>
          <w:rFonts w:ascii="Verdana" w:eastAsia="Century Gothic" w:hAnsi="Verdana" w:cs="Century Gothic"/>
          <w:i/>
          <w:iCs/>
          <w:color w:val="000000" w:themeColor="text1"/>
          <w:sz w:val="20"/>
          <w:szCs w:val="20"/>
        </w:rPr>
      </w:pPr>
      <w:r w:rsidRPr="005A7413">
        <w:rPr>
          <w:rFonts w:ascii="Verdana" w:eastAsia="Century Gothic" w:hAnsi="Verdana" w:cs="Century Gothic"/>
          <w:i/>
          <w:iCs/>
          <w:color w:val="000000" w:themeColor="text1"/>
          <w:sz w:val="20"/>
          <w:szCs w:val="20"/>
          <w:lang w:val="es-ES"/>
        </w:rPr>
        <w:t>“</w:t>
      </w:r>
      <w:r w:rsidRPr="00E807F5">
        <w:rPr>
          <w:rFonts w:ascii="Verdana" w:eastAsia="Century Gothic" w:hAnsi="Verdana" w:cs="Century Gothic"/>
          <w:i/>
          <w:iCs/>
          <w:color w:val="000000" w:themeColor="text1"/>
          <w:sz w:val="20"/>
          <w:szCs w:val="20"/>
        </w:rPr>
        <w:t xml:space="preserve">La Corporación Centro de Convenciones Neomundo es una entidad de naturaleza privada, sin ánimo de lucro, de utilidad común, con patrimonio propio y autonomía administrativa, constituida desde el año 1999 bajo las reglas del derecho privado. </w:t>
      </w:r>
    </w:p>
    <w:p w14:paraId="72E6776A" w14:textId="77777777" w:rsidR="00BC42BB" w:rsidRPr="00E807F5" w:rsidRDefault="00BC42BB" w:rsidP="00BC42BB">
      <w:pPr>
        <w:spacing w:after="0" w:line="240" w:lineRule="auto"/>
        <w:ind w:left="567" w:right="333"/>
        <w:jc w:val="both"/>
        <w:rPr>
          <w:rFonts w:ascii="Verdana" w:eastAsia="Century Gothic" w:hAnsi="Verdana" w:cs="Century Gothic"/>
          <w:i/>
          <w:iCs/>
          <w:color w:val="000000" w:themeColor="text1"/>
          <w:sz w:val="20"/>
          <w:szCs w:val="20"/>
        </w:rPr>
      </w:pPr>
    </w:p>
    <w:p w14:paraId="0E8024FB" w14:textId="77777777" w:rsidR="00BC42BB" w:rsidRDefault="00BC42BB" w:rsidP="00BC42BB">
      <w:pPr>
        <w:spacing w:after="0" w:line="240" w:lineRule="auto"/>
        <w:ind w:left="567" w:right="333"/>
        <w:jc w:val="both"/>
        <w:rPr>
          <w:rFonts w:ascii="Verdana" w:eastAsia="Century Gothic" w:hAnsi="Verdana" w:cs="Century Gothic"/>
          <w:i/>
          <w:iCs/>
          <w:color w:val="000000" w:themeColor="text1"/>
          <w:sz w:val="20"/>
          <w:szCs w:val="20"/>
        </w:rPr>
      </w:pPr>
      <w:r w:rsidRPr="00E807F5">
        <w:rPr>
          <w:rFonts w:ascii="Verdana" w:eastAsia="Century Gothic" w:hAnsi="Verdana" w:cs="Century Gothic"/>
          <w:i/>
          <w:iCs/>
          <w:color w:val="000000" w:themeColor="text1"/>
          <w:sz w:val="20"/>
          <w:szCs w:val="20"/>
        </w:rPr>
        <w:lastRenderedPageBreak/>
        <w:t xml:space="preserve">Actualmente, la Administradora de Riesgos Laborales a la cual se encuentra afiliada la Corporación ha manifestado que el trámite de traslado hacia otra ARL debe adelantarse mediante un concurso público a través de la plataforma SECOP II. </w:t>
      </w:r>
    </w:p>
    <w:p w14:paraId="6517743E" w14:textId="77777777" w:rsidR="00BC42BB" w:rsidRPr="00E807F5" w:rsidRDefault="00BC42BB" w:rsidP="00BC42BB">
      <w:pPr>
        <w:spacing w:after="0" w:line="240" w:lineRule="auto"/>
        <w:ind w:left="567" w:right="333"/>
        <w:jc w:val="both"/>
        <w:rPr>
          <w:rFonts w:ascii="Verdana" w:eastAsia="Century Gothic" w:hAnsi="Verdana" w:cs="Century Gothic"/>
          <w:i/>
          <w:iCs/>
          <w:color w:val="000000" w:themeColor="text1"/>
          <w:sz w:val="20"/>
          <w:szCs w:val="20"/>
        </w:rPr>
      </w:pPr>
    </w:p>
    <w:p w14:paraId="4FD35E2A" w14:textId="77777777" w:rsidR="00BC42BB" w:rsidRDefault="00BC42BB" w:rsidP="00BC42BB">
      <w:pPr>
        <w:spacing w:after="0" w:line="240" w:lineRule="auto"/>
        <w:ind w:left="567" w:right="333"/>
        <w:jc w:val="both"/>
        <w:rPr>
          <w:rFonts w:ascii="Verdana" w:eastAsia="Century Gothic" w:hAnsi="Verdana" w:cs="Century Gothic"/>
          <w:i/>
          <w:iCs/>
          <w:color w:val="000000" w:themeColor="text1"/>
          <w:sz w:val="20"/>
          <w:szCs w:val="20"/>
        </w:rPr>
      </w:pPr>
      <w:r w:rsidRPr="00E807F5">
        <w:rPr>
          <w:rFonts w:ascii="Verdana" w:eastAsia="Century Gothic" w:hAnsi="Verdana" w:cs="Century Gothic"/>
          <w:i/>
          <w:iCs/>
          <w:color w:val="000000" w:themeColor="text1"/>
          <w:sz w:val="20"/>
          <w:szCs w:val="20"/>
        </w:rPr>
        <w:t xml:space="preserve">Frente a lo anterior, esta Corporación considera necesario obtener concepto respecto de si, dada su naturaleza jurídica y régimen aplicable, existe obligación legal de adelantar un procedimiento de selección pública para efectuar dicho traslado. </w:t>
      </w:r>
    </w:p>
    <w:p w14:paraId="7AD063D2" w14:textId="77777777" w:rsidR="00BC42BB" w:rsidRPr="00E807F5" w:rsidRDefault="00BC42BB" w:rsidP="00BC42BB">
      <w:pPr>
        <w:spacing w:after="0" w:line="240" w:lineRule="auto"/>
        <w:ind w:left="567" w:right="333"/>
        <w:jc w:val="both"/>
        <w:rPr>
          <w:rFonts w:ascii="Verdana" w:eastAsia="Century Gothic" w:hAnsi="Verdana" w:cs="Century Gothic"/>
          <w:i/>
          <w:iCs/>
          <w:color w:val="000000" w:themeColor="text1"/>
          <w:sz w:val="20"/>
          <w:szCs w:val="20"/>
        </w:rPr>
      </w:pPr>
    </w:p>
    <w:p w14:paraId="27926514" w14:textId="77777777" w:rsidR="00BC42BB" w:rsidRDefault="00BC42BB" w:rsidP="00BC42BB">
      <w:pPr>
        <w:spacing w:after="0" w:line="240" w:lineRule="auto"/>
        <w:ind w:left="567" w:right="333"/>
        <w:jc w:val="both"/>
        <w:rPr>
          <w:rFonts w:ascii="Verdana" w:eastAsia="Century Gothic" w:hAnsi="Verdana" w:cs="Century Gothic"/>
          <w:i/>
          <w:iCs/>
          <w:color w:val="000000" w:themeColor="text1"/>
          <w:sz w:val="20"/>
          <w:szCs w:val="20"/>
        </w:rPr>
      </w:pPr>
      <w:r w:rsidRPr="00E807F5">
        <w:rPr>
          <w:rFonts w:ascii="Verdana" w:eastAsia="Century Gothic" w:hAnsi="Verdana" w:cs="Century Gothic"/>
          <w:i/>
          <w:iCs/>
          <w:color w:val="000000" w:themeColor="text1"/>
          <w:sz w:val="20"/>
          <w:szCs w:val="20"/>
        </w:rPr>
        <w:t xml:space="preserve">Desde su constitución, la Corporación no ha hecho ni hace parte de la estructura del Estado, ni se encuentra sometida al régimen de contratación estatal. Si bien recibió aportes provenientes mayoritariamente del sector público (95,36%) para la construcción de su infraestructura, tales recursos estuvieron destinados exclusivamente a la conformación de su patrimonio inicial y no a su sostenimiento o funcionamiento, razón por la cual no tiene asignación presupuestal derivada de recursos públicos para el desarrollo de sus actividades ordinarias. </w:t>
      </w:r>
    </w:p>
    <w:p w14:paraId="363C786C" w14:textId="77777777" w:rsidR="00BC42BB" w:rsidRPr="00E807F5" w:rsidRDefault="00BC42BB" w:rsidP="00BC42BB">
      <w:pPr>
        <w:spacing w:after="0" w:line="240" w:lineRule="auto"/>
        <w:ind w:left="567" w:right="333"/>
        <w:jc w:val="both"/>
        <w:rPr>
          <w:rFonts w:ascii="Verdana" w:eastAsia="Century Gothic" w:hAnsi="Verdana" w:cs="Century Gothic"/>
          <w:i/>
          <w:iCs/>
          <w:color w:val="000000" w:themeColor="text1"/>
          <w:sz w:val="20"/>
          <w:szCs w:val="20"/>
        </w:rPr>
      </w:pPr>
    </w:p>
    <w:p w14:paraId="48E49E00" w14:textId="77777777" w:rsidR="00BC42BB" w:rsidRDefault="00BC42BB" w:rsidP="00BC42BB">
      <w:pPr>
        <w:spacing w:after="0" w:line="240" w:lineRule="auto"/>
        <w:ind w:left="567" w:right="333"/>
        <w:jc w:val="both"/>
        <w:rPr>
          <w:rFonts w:ascii="Verdana" w:eastAsia="Century Gothic" w:hAnsi="Verdana" w:cs="Century Gothic"/>
          <w:i/>
          <w:iCs/>
          <w:color w:val="000000" w:themeColor="text1"/>
          <w:sz w:val="20"/>
          <w:szCs w:val="20"/>
          <w:lang w:val="es-ES"/>
        </w:rPr>
      </w:pPr>
      <w:r w:rsidRPr="00E807F5">
        <w:rPr>
          <w:rFonts w:ascii="Verdana" w:eastAsia="Century Gothic" w:hAnsi="Verdana" w:cs="Century Gothic"/>
          <w:i/>
          <w:iCs/>
          <w:color w:val="000000" w:themeColor="text1"/>
          <w:sz w:val="20"/>
          <w:szCs w:val="20"/>
        </w:rPr>
        <w:t>En consecuencia, tanto su representante legal como sus trabajadores se encuentran vinculados mediante relaciones de derecho privado y no ostentan la calidad de servidores ni funcionarios públicos.</w:t>
      </w:r>
    </w:p>
    <w:p w14:paraId="058E4CE1" w14:textId="77777777" w:rsidR="00BC42BB" w:rsidRDefault="00BC42BB" w:rsidP="00BC42BB">
      <w:pPr>
        <w:spacing w:after="0" w:line="240" w:lineRule="auto"/>
        <w:ind w:left="567" w:right="333"/>
        <w:jc w:val="both"/>
        <w:rPr>
          <w:rFonts w:ascii="Verdana" w:eastAsia="Century Gothic" w:hAnsi="Verdana" w:cs="Century Gothic"/>
          <w:i/>
          <w:iCs/>
          <w:color w:val="000000" w:themeColor="text1"/>
          <w:sz w:val="20"/>
          <w:szCs w:val="20"/>
          <w:lang w:val="es-ES"/>
        </w:rPr>
      </w:pPr>
    </w:p>
    <w:p w14:paraId="3F281646" w14:textId="77777777" w:rsidR="00BC42BB" w:rsidRDefault="00BC42BB" w:rsidP="00BC42BB">
      <w:pPr>
        <w:spacing w:after="0" w:line="240" w:lineRule="auto"/>
        <w:ind w:left="567" w:right="333"/>
        <w:jc w:val="both"/>
        <w:rPr>
          <w:rFonts w:ascii="Verdana" w:eastAsia="Century Gothic" w:hAnsi="Verdana" w:cs="Century Gothic"/>
          <w:i/>
          <w:iCs/>
          <w:color w:val="000000" w:themeColor="text1"/>
          <w:sz w:val="20"/>
          <w:szCs w:val="20"/>
        </w:rPr>
      </w:pPr>
      <w:r w:rsidRPr="00E9418A">
        <w:rPr>
          <w:rFonts w:ascii="Verdana" w:eastAsia="Century Gothic" w:hAnsi="Verdana" w:cs="Century Gothic"/>
          <w:i/>
          <w:iCs/>
          <w:color w:val="000000" w:themeColor="text1"/>
          <w:sz w:val="20"/>
          <w:szCs w:val="20"/>
        </w:rPr>
        <w:t>Con fundamento en lo expuesto, respetuosamente solicitamos se sirvan emitir concepto respecto de los siguientes interrogantes:</w:t>
      </w:r>
    </w:p>
    <w:p w14:paraId="7FEB60A7" w14:textId="77777777" w:rsidR="00BC42BB" w:rsidRPr="00E9418A" w:rsidRDefault="00BC42BB" w:rsidP="00BC42BB">
      <w:pPr>
        <w:spacing w:after="0" w:line="240" w:lineRule="auto"/>
        <w:ind w:left="567" w:right="333"/>
        <w:jc w:val="both"/>
        <w:rPr>
          <w:rFonts w:ascii="Verdana" w:eastAsia="Century Gothic" w:hAnsi="Verdana" w:cs="Century Gothic"/>
          <w:i/>
          <w:iCs/>
          <w:color w:val="000000" w:themeColor="text1"/>
          <w:sz w:val="20"/>
          <w:szCs w:val="20"/>
        </w:rPr>
      </w:pPr>
      <w:r w:rsidRPr="00E9418A">
        <w:rPr>
          <w:rFonts w:ascii="Verdana" w:eastAsia="Century Gothic" w:hAnsi="Verdana" w:cs="Century Gothic"/>
          <w:i/>
          <w:iCs/>
          <w:color w:val="000000" w:themeColor="text1"/>
          <w:sz w:val="20"/>
          <w:szCs w:val="20"/>
        </w:rPr>
        <w:t xml:space="preserve"> </w:t>
      </w:r>
    </w:p>
    <w:p w14:paraId="03E7F616" w14:textId="77777777" w:rsidR="00BC42BB" w:rsidRPr="00E9418A" w:rsidRDefault="00BC42BB" w:rsidP="00BC42BB">
      <w:pPr>
        <w:spacing w:after="0" w:line="240" w:lineRule="auto"/>
        <w:ind w:left="567" w:right="333"/>
        <w:jc w:val="both"/>
        <w:rPr>
          <w:rFonts w:ascii="Verdana" w:eastAsia="Century Gothic" w:hAnsi="Verdana" w:cs="Century Gothic"/>
          <w:i/>
          <w:iCs/>
          <w:color w:val="000000" w:themeColor="text1"/>
          <w:sz w:val="20"/>
          <w:szCs w:val="20"/>
        </w:rPr>
      </w:pPr>
      <w:r>
        <w:rPr>
          <w:rFonts w:ascii="Verdana" w:eastAsia="Century Gothic" w:hAnsi="Verdana" w:cs="Century Gothic"/>
          <w:i/>
          <w:iCs/>
          <w:color w:val="000000" w:themeColor="text1"/>
          <w:sz w:val="20"/>
          <w:szCs w:val="20"/>
        </w:rPr>
        <w:t>1.</w:t>
      </w:r>
      <w:r w:rsidRPr="00E9418A">
        <w:rPr>
          <w:rFonts w:ascii="Verdana" w:eastAsia="Century Gothic" w:hAnsi="Verdana" w:cs="Century Gothic"/>
          <w:i/>
          <w:iCs/>
          <w:color w:val="000000" w:themeColor="text1"/>
          <w:sz w:val="20"/>
          <w:szCs w:val="20"/>
        </w:rPr>
        <w:t xml:space="preserve">Si una entidad privada sin ánimo de lucro, con patrimonio propio y régimen de derecho privado, se encuentra obligada a adelantar un proceso de selección pública o concurso público para efectuar el traslado de Administradora de Riesgos Laborales (ARL). </w:t>
      </w:r>
    </w:p>
    <w:p w14:paraId="74D85094" w14:textId="77777777" w:rsidR="00BC42BB" w:rsidRPr="00E9418A" w:rsidRDefault="00BC42BB" w:rsidP="00BC42BB">
      <w:pPr>
        <w:spacing w:after="0" w:line="240" w:lineRule="auto"/>
        <w:ind w:left="567" w:right="333"/>
        <w:jc w:val="both"/>
        <w:rPr>
          <w:rFonts w:ascii="Verdana" w:eastAsia="Century Gothic" w:hAnsi="Verdana" w:cs="Century Gothic"/>
          <w:i/>
          <w:iCs/>
          <w:color w:val="000000" w:themeColor="text1"/>
          <w:sz w:val="20"/>
          <w:szCs w:val="20"/>
        </w:rPr>
      </w:pPr>
      <w:r>
        <w:rPr>
          <w:rFonts w:ascii="Verdana" w:eastAsia="Century Gothic" w:hAnsi="Verdana" w:cs="Century Gothic"/>
          <w:i/>
          <w:iCs/>
          <w:color w:val="000000" w:themeColor="text1"/>
          <w:sz w:val="20"/>
          <w:szCs w:val="20"/>
        </w:rPr>
        <w:t>2.</w:t>
      </w:r>
      <w:r w:rsidRPr="00E9418A">
        <w:rPr>
          <w:rFonts w:ascii="Verdana" w:eastAsia="Century Gothic" w:hAnsi="Verdana" w:cs="Century Gothic"/>
          <w:i/>
          <w:iCs/>
          <w:color w:val="000000" w:themeColor="text1"/>
          <w:sz w:val="20"/>
          <w:szCs w:val="20"/>
        </w:rPr>
        <w:t xml:space="preserve">Si el hecho de haber recibido aportes públicos para la construcción de infraestructura o conformación inicial de patrimonio implica la sujeción al régimen de contratación estatal para efectos de la selección de ARL. </w:t>
      </w:r>
    </w:p>
    <w:p w14:paraId="29982C83" w14:textId="77777777" w:rsidR="00BC42BB" w:rsidRPr="005A7413" w:rsidRDefault="00BC42BB" w:rsidP="00BC42BB">
      <w:pPr>
        <w:spacing w:after="0" w:line="240" w:lineRule="auto"/>
        <w:ind w:left="567" w:right="333"/>
        <w:jc w:val="both"/>
        <w:rPr>
          <w:rFonts w:ascii="Verdana" w:eastAsia="Century Gothic" w:hAnsi="Verdana" w:cs="Century Gothic"/>
          <w:i/>
          <w:iCs/>
          <w:color w:val="000000" w:themeColor="text1"/>
          <w:sz w:val="20"/>
          <w:szCs w:val="20"/>
          <w:lang w:val="es-ES"/>
        </w:rPr>
      </w:pPr>
      <w:r>
        <w:rPr>
          <w:rFonts w:ascii="Verdana" w:eastAsia="Century Gothic" w:hAnsi="Verdana" w:cs="Century Gothic"/>
          <w:i/>
          <w:iCs/>
          <w:color w:val="000000" w:themeColor="text1"/>
          <w:sz w:val="20"/>
          <w:szCs w:val="20"/>
        </w:rPr>
        <w:t>3.</w:t>
      </w:r>
      <w:r w:rsidRPr="00E9418A">
        <w:rPr>
          <w:rFonts w:ascii="Verdana" w:eastAsia="Century Gothic" w:hAnsi="Verdana" w:cs="Century Gothic"/>
          <w:i/>
          <w:iCs/>
          <w:color w:val="000000" w:themeColor="text1"/>
          <w:sz w:val="20"/>
          <w:szCs w:val="20"/>
        </w:rPr>
        <w:t>Si el traslado de ARL por parte de una entidad privada sin ánimo de lucro debe adelantarse a través de la plataforma SECOP II</w:t>
      </w:r>
      <w:r w:rsidRPr="005A7413">
        <w:rPr>
          <w:rFonts w:ascii="Verdana" w:eastAsia="Century Gothic" w:hAnsi="Verdana" w:cs="Century Gothic"/>
          <w:i/>
          <w:iCs/>
          <w:color w:val="000000" w:themeColor="text1"/>
          <w:sz w:val="20"/>
          <w:szCs w:val="20"/>
          <w:lang w:val="es-MX"/>
        </w:rPr>
        <w:t xml:space="preserve"> “</w:t>
      </w:r>
    </w:p>
    <w:p w14:paraId="4DF0630C" w14:textId="77777777" w:rsidR="00BC42BB" w:rsidRDefault="00BC42BB" w:rsidP="00BC42BB">
      <w:pPr>
        <w:spacing w:after="0" w:line="240" w:lineRule="auto"/>
        <w:ind w:left="709" w:right="709"/>
        <w:jc w:val="both"/>
        <w:rPr>
          <w:rFonts w:ascii="Verdana" w:eastAsia="Century Gothic" w:hAnsi="Verdana" w:cs="Century Gothic"/>
          <w:i/>
          <w:iCs/>
          <w:color w:val="000000" w:themeColor="text1"/>
          <w:sz w:val="20"/>
          <w:szCs w:val="20"/>
          <w:lang w:val="es-ES"/>
        </w:rPr>
      </w:pPr>
    </w:p>
    <w:p w14:paraId="1A14ABD0" w14:textId="77777777" w:rsidR="00BC42BB" w:rsidRDefault="00BC42BB" w:rsidP="00BC42BB">
      <w:pPr>
        <w:spacing w:after="0" w:line="276" w:lineRule="auto"/>
        <w:ind w:right="51" w:firstLine="709"/>
        <w:jc w:val="both"/>
        <w:rPr>
          <w:rFonts w:ascii="Verdana" w:eastAsia="Calibri" w:hAnsi="Verdana" w:cs="Arial"/>
          <w:color w:val="000000" w:themeColor="text1"/>
          <w:szCs w:val="24"/>
          <w:lang w:val="es-ES_tradnl" w:eastAsia="es-ES_tradnl"/>
        </w:rPr>
      </w:pPr>
      <w:r w:rsidRPr="00115E3D">
        <w:rPr>
          <w:rFonts w:ascii="Verdana" w:eastAsia="Calibri" w:hAnsi="Verdana" w:cs="Arial"/>
          <w:color w:val="000000" w:themeColor="text1"/>
          <w:lang w:val="es-ES" w:eastAsia="es-ES"/>
        </w:rPr>
        <w:t>De manera preliminar, resulta necesario acotar que esta entidad solo tiene competencia para responder consultas sobre la aplicación de normas de carác</w:t>
      </w:r>
      <w:r>
        <w:rPr>
          <w:rFonts w:ascii="Verdana" w:eastAsia="Calibri" w:hAnsi="Verdana" w:cs="Arial"/>
          <w:color w:val="000000" w:themeColor="text1"/>
          <w:lang w:val="es-ES" w:eastAsia="es-ES"/>
        </w:rPr>
        <w:t>t</w:t>
      </w:r>
      <w:r w:rsidRPr="00115E3D">
        <w:rPr>
          <w:rFonts w:ascii="Verdana" w:eastAsia="Calibri" w:hAnsi="Verdana" w:cs="Arial"/>
          <w:color w:val="000000" w:themeColor="text1"/>
          <w:lang w:val="es-ES" w:eastAsia="es-ES"/>
        </w:rPr>
        <w:t xml:space="preserve">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 una </w:t>
      </w:r>
      <w:r w:rsidRPr="00115E3D">
        <w:rPr>
          <w:rFonts w:ascii="Verdana" w:eastAsia="Calibri" w:hAnsi="Verdana" w:cs="Arial"/>
          <w:color w:val="000000" w:themeColor="text1"/>
          <w:lang w:val="es-ES" w:eastAsia="es-ES"/>
        </w:rPr>
        <w:lastRenderedPageBreak/>
        <w:t xml:space="preserve">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115E3D">
        <w:rPr>
          <w:rFonts w:ascii="Verdana" w:eastAsia="Calibri" w:hAnsi="Verdana" w:cs="Arial"/>
          <w:color w:val="000000" w:themeColor="text1"/>
          <w:szCs w:val="24"/>
          <w:lang w:val="es-ES_tradnl" w:eastAsia="es-ES_tradnl"/>
        </w:rPr>
        <w:tab/>
      </w:r>
    </w:p>
    <w:p w14:paraId="261005FC" w14:textId="77777777" w:rsidR="00BC42BB" w:rsidRPr="00115E3D" w:rsidRDefault="00BC42BB" w:rsidP="00BC42BB">
      <w:pPr>
        <w:spacing w:after="0" w:line="240" w:lineRule="auto"/>
        <w:ind w:right="49"/>
        <w:jc w:val="both"/>
        <w:rPr>
          <w:rFonts w:ascii="Verdana" w:eastAsia="Calibri" w:hAnsi="Verdana" w:cs="Arial"/>
          <w:color w:val="000000" w:themeColor="text1"/>
          <w:szCs w:val="24"/>
          <w:lang w:val="es-ES_tradnl" w:eastAsia="es-ES_tradnl"/>
        </w:rPr>
      </w:pPr>
    </w:p>
    <w:p w14:paraId="4FC24998" w14:textId="77777777" w:rsidR="00BC42BB" w:rsidRPr="00115E3D" w:rsidRDefault="00BC42BB" w:rsidP="00BC42BB">
      <w:pPr>
        <w:spacing w:after="0" w:line="276" w:lineRule="auto"/>
        <w:ind w:firstLine="709"/>
        <w:jc w:val="both"/>
        <w:rPr>
          <w:rFonts w:ascii="Verdana" w:eastAsia="Calibri" w:hAnsi="Verdana" w:cs="Arial"/>
          <w:color w:val="000000" w:themeColor="text1"/>
          <w:lang w:val="es-ES" w:eastAsia="es-ES"/>
        </w:rPr>
      </w:pPr>
      <w:r w:rsidRPr="00115E3D">
        <w:rPr>
          <w:rFonts w:ascii="Verdana" w:eastAsia="Calibri" w:hAnsi="Verdana" w:cs="Arial"/>
          <w:color w:val="000000" w:themeColor="text1"/>
          <w:lang w:val="es-ES" w:eastAsia="es-ES"/>
        </w:rPr>
        <w:t>Conforme lo expuesto, en aras de satisfacer el derecho fundamental de petición se resolverá su consulta dentro de los límites de la referida competencia consultiva, esto es, haciendo abstracción de las circunstancias particulares y concretas mencionadas en su petición, pero haciendo unas consideraciones sobre las normas generales relacionadas con el problema</w:t>
      </w:r>
      <w:r>
        <w:rPr>
          <w:rFonts w:ascii="Verdana" w:eastAsia="Calibri" w:hAnsi="Verdana" w:cs="Arial"/>
          <w:color w:val="000000" w:themeColor="text1"/>
          <w:lang w:val="es-ES" w:eastAsia="es-ES"/>
        </w:rPr>
        <w:t xml:space="preserve"> </w:t>
      </w:r>
      <w:r w:rsidRPr="00115E3D">
        <w:rPr>
          <w:rFonts w:ascii="Verdana" w:eastAsia="Calibri" w:hAnsi="Verdana" w:cs="Arial"/>
          <w:color w:val="000000" w:themeColor="text1"/>
          <w:lang w:val="es-ES" w:eastAsia="es-ES"/>
        </w:rPr>
        <w:t xml:space="preserve">jurídico de su consulta. </w:t>
      </w:r>
    </w:p>
    <w:p w14:paraId="6B8E3D22" w14:textId="77777777" w:rsidR="00BC42BB" w:rsidRDefault="00BC42BB" w:rsidP="00BC42BB">
      <w:pPr>
        <w:spacing w:after="0" w:line="276" w:lineRule="auto"/>
        <w:ind w:firstLine="709"/>
        <w:jc w:val="both"/>
        <w:rPr>
          <w:rFonts w:ascii="Verdana" w:eastAsia="Calibri" w:hAnsi="Verdana" w:cs="Arial"/>
          <w:color w:val="000000" w:themeColor="text1"/>
          <w:lang w:val="es-ES" w:eastAsia="es-ES"/>
        </w:rPr>
      </w:pPr>
    </w:p>
    <w:p w14:paraId="4ACC374A" w14:textId="77777777" w:rsidR="00BC42BB" w:rsidRPr="00115E3D" w:rsidRDefault="00BC42BB" w:rsidP="00BC42BB">
      <w:pPr>
        <w:pStyle w:val="Prrafodelista"/>
        <w:numPr>
          <w:ilvl w:val="0"/>
          <w:numId w:val="16"/>
        </w:numPr>
        <w:tabs>
          <w:tab w:val="left" w:pos="142"/>
          <w:tab w:val="left" w:pos="284"/>
        </w:tabs>
        <w:spacing w:after="0" w:line="276" w:lineRule="auto"/>
        <w:ind w:left="0" w:firstLine="0"/>
        <w:jc w:val="both"/>
        <w:rPr>
          <w:rFonts w:ascii="Verdana" w:eastAsia="Century Gothic" w:hAnsi="Verdana" w:cs="Century Gothic"/>
          <w:b/>
          <w:bCs/>
          <w:color w:val="000000" w:themeColor="text1"/>
        </w:rPr>
      </w:pPr>
      <w:r w:rsidRPr="00115E3D">
        <w:rPr>
          <w:rFonts w:ascii="Verdana" w:eastAsia="Century Gothic" w:hAnsi="Verdana" w:cs="Century Gothic"/>
          <w:b/>
          <w:bCs/>
          <w:color w:val="000000" w:themeColor="text1"/>
        </w:rPr>
        <w:t>Problema planteado:</w:t>
      </w:r>
    </w:p>
    <w:p w14:paraId="1771E821" w14:textId="77777777" w:rsidR="00BC42BB" w:rsidRPr="00115E3D" w:rsidRDefault="00BC42BB" w:rsidP="00BC42BB">
      <w:pPr>
        <w:tabs>
          <w:tab w:val="left" w:pos="426"/>
        </w:tabs>
        <w:spacing w:after="0" w:line="276" w:lineRule="auto"/>
        <w:jc w:val="both"/>
        <w:rPr>
          <w:rFonts w:ascii="Verdana" w:eastAsia="Century Gothic" w:hAnsi="Verdana" w:cs="Century Gothic"/>
          <w:color w:val="000000" w:themeColor="text1"/>
          <w:lang w:val="es-ES"/>
        </w:rPr>
      </w:pPr>
    </w:p>
    <w:p w14:paraId="07E2F017" w14:textId="77777777" w:rsidR="00BC42BB" w:rsidRDefault="00BC42BB" w:rsidP="00BC42BB">
      <w:pPr>
        <w:spacing w:after="0" w:line="276" w:lineRule="auto"/>
        <w:jc w:val="both"/>
        <w:rPr>
          <w:rFonts w:ascii="Verdana" w:eastAsia="Century Gothic" w:hAnsi="Verdana" w:cs="Century Gothic"/>
          <w:color w:val="000000" w:themeColor="text1"/>
        </w:rPr>
      </w:pPr>
      <w:r w:rsidRPr="00115E3D">
        <w:rPr>
          <w:rFonts w:ascii="Verdana" w:eastAsia="Century Gothic" w:hAnsi="Verdana" w:cs="Century Gothic"/>
          <w:color w:val="000000" w:themeColor="text1"/>
        </w:rPr>
        <w:t xml:space="preserve">De acuerdo con el contenido de su solicitud, esta Agencia resolverá </w:t>
      </w:r>
      <w:r>
        <w:rPr>
          <w:rFonts w:ascii="Verdana" w:eastAsia="Century Gothic" w:hAnsi="Verdana" w:cs="Century Gothic"/>
          <w:color w:val="000000" w:themeColor="text1"/>
        </w:rPr>
        <w:t>el siguiente</w:t>
      </w:r>
      <w:r w:rsidRPr="00115E3D">
        <w:rPr>
          <w:rFonts w:ascii="Verdana" w:eastAsia="Century Gothic" w:hAnsi="Verdana" w:cs="Century Gothic"/>
          <w:color w:val="000000" w:themeColor="text1"/>
        </w:rPr>
        <w:t xml:space="preserve"> problema jurídico:</w:t>
      </w:r>
      <w:r>
        <w:rPr>
          <w:rFonts w:ascii="Verdana" w:eastAsia="Century Gothic" w:hAnsi="Verdana" w:cs="Century Gothic"/>
          <w:color w:val="000000" w:themeColor="text1"/>
        </w:rPr>
        <w:t xml:space="preserve"> </w:t>
      </w:r>
      <w:r w:rsidRPr="006C4E5C">
        <w:rPr>
          <w:rFonts w:ascii="Verdana" w:eastAsia="Century Gothic" w:hAnsi="Verdana" w:cs="Century Gothic"/>
          <w:color w:val="000000" w:themeColor="text1"/>
        </w:rPr>
        <w:t>¿Una corporación privada sin ánimo de lucro que ha recibido aportes públicos para su patrimonio inicial está obligada a aplicar el Estatuto General de Contratación de la Administración Pública y a usar SECOP II para el traslado de su ARL?</w:t>
      </w:r>
    </w:p>
    <w:p w14:paraId="28215B61" w14:textId="77777777" w:rsidR="00BC42BB" w:rsidRDefault="00BC42BB" w:rsidP="00BC42BB">
      <w:pPr>
        <w:spacing w:after="0" w:line="276" w:lineRule="auto"/>
        <w:jc w:val="both"/>
        <w:rPr>
          <w:rFonts w:ascii="Verdana" w:eastAsia="Century Gothic" w:hAnsi="Verdana" w:cs="Century Gothic"/>
          <w:color w:val="000000" w:themeColor="text1"/>
        </w:rPr>
      </w:pPr>
    </w:p>
    <w:p w14:paraId="22BB547C" w14:textId="77777777" w:rsidR="00BC42BB" w:rsidRPr="00115E3D" w:rsidRDefault="00BC42BB" w:rsidP="00BC42BB">
      <w:pPr>
        <w:spacing w:after="0" w:line="276" w:lineRule="auto"/>
        <w:jc w:val="both"/>
        <w:rPr>
          <w:rFonts w:ascii="Verdana" w:eastAsia="Century Gothic" w:hAnsi="Verdana" w:cs="Century Gothic"/>
          <w:b/>
          <w:bCs/>
          <w:color w:val="000000" w:themeColor="text1"/>
        </w:rPr>
      </w:pPr>
      <w:r>
        <w:rPr>
          <w:rFonts w:ascii="Verdana" w:eastAsia="Century Gothic" w:hAnsi="Verdana" w:cs="Century Gothic"/>
          <w:color w:val="000000" w:themeColor="text1"/>
        </w:rPr>
        <w:t xml:space="preserve"> </w:t>
      </w:r>
      <w:r w:rsidRPr="00115E3D">
        <w:rPr>
          <w:rFonts w:ascii="Verdana" w:eastAsia="Century Gothic" w:hAnsi="Verdana" w:cs="Century Gothic"/>
          <w:b/>
          <w:bCs/>
          <w:color w:val="000000" w:themeColor="text1"/>
        </w:rPr>
        <w:t>Respuesta:</w:t>
      </w:r>
    </w:p>
    <w:p w14:paraId="07A4CE06" w14:textId="77777777" w:rsidR="00BC42BB" w:rsidRPr="00115E3D" w:rsidRDefault="00BC42BB" w:rsidP="00BC42BB">
      <w:pPr>
        <w:tabs>
          <w:tab w:val="left" w:pos="142"/>
          <w:tab w:val="left" w:pos="284"/>
        </w:tabs>
        <w:spacing w:after="0" w:line="276" w:lineRule="auto"/>
        <w:jc w:val="both"/>
        <w:rPr>
          <w:rFonts w:ascii="Verdana" w:eastAsia="Century Gothic" w:hAnsi="Verdana" w:cs="Century Gothic"/>
          <w:b/>
          <w:bCs/>
          <w:color w:val="000000" w:themeColor="text1"/>
          <w:lang w:val="es-ES"/>
        </w:rPr>
      </w:pPr>
    </w:p>
    <w:tbl>
      <w:tblPr>
        <w:tblStyle w:val="Tablaconcuadrcul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BC42BB" w:rsidRPr="00115E3D" w14:paraId="051868A9" w14:textId="77777777" w:rsidTr="006428F2">
        <w:trPr>
          <w:trHeight w:val="774"/>
        </w:trPr>
        <w:tc>
          <w:tcPr>
            <w:tcW w:w="8828" w:type="dxa"/>
          </w:tcPr>
          <w:p w14:paraId="58807FC4" w14:textId="77777777" w:rsidR="00BC42BB" w:rsidRPr="00217D56" w:rsidRDefault="00BC42BB" w:rsidP="006428F2">
            <w:pPr>
              <w:spacing w:after="120" w:line="276" w:lineRule="auto"/>
              <w:jc w:val="both"/>
              <w:rPr>
                <w:rFonts w:ascii="Verdana" w:eastAsia="Arial" w:hAnsi="Verdana" w:cs="Arial"/>
              </w:rPr>
            </w:pPr>
            <w:r>
              <w:rPr>
                <w:rFonts w:ascii="Verdana" w:eastAsia="Arial" w:hAnsi="Verdana" w:cs="Arial"/>
              </w:rPr>
              <w:t xml:space="preserve">         De manera preliminar es pertinente indicar que</w:t>
            </w:r>
            <w:r w:rsidRPr="00217D56">
              <w:rPr>
                <w:rFonts w:ascii="Verdana" w:eastAsia="Arial" w:hAnsi="Verdana" w:cs="Arial"/>
              </w:rPr>
              <w:t>, la Ley 80 de 1993 y la Ley 1150 de 2007 establecen el régimen general de contratación de las entidades estatales y de aquellos sujetos que, por disposición legal expresa, se encuentran sometidos al Sistema de Compra Pública. Por su parte, el artículo 355 de la Constitución Política y el Decreto 092 de 2017 regulan los contratos y convenios que celebran las entidades estatales con entidades privadas sin ánimo de lucro y de reconocida idoneidad para el desarrollo de programas y actividades de interés público.</w:t>
            </w:r>
          </w:p>
          <w:p w14:paraId="54B255E6" w14:textId="77777777" w:rsidR="00BC42BB" w:rsidRDefault="00BC42BB" w:rsidP="006428F2">
            <w:pPr>
              <w:spacing w:after="120" w:line="276" w:lineRule="auto"/>
              <w:jc w:val="both"/>
              <w:rPr>
                <w:rFonts w:ascii="Verdana" w:eastAsia="Arial" w:hAnsi="Verdana" w:cs="Arial"/>
              </w:rPr>
            </w:pPr>
            <w:r>
              <w:rPr>
                <w:rFonts w:ascii="Verdana" w:eastAsia="Arial" w:hAnsi="Verdana" w:cs="Arial"/>
              </w:rPr>
              <w:t xml:space="preserve">         </w:t>
            </w:r>
            <w:r w:rsidRPr="00217D56">
              <w:rPr>
                <w:rFonts w:ascii="Verdana" w:eastAsia="Arial" w:hAnsi="Verdana" w:cs="Arial"/>
              </w:rPr>
              <w:t>Asimismo, Colombia Compra Eficiente ha desarrollado el alcance de dichas disposiciones en la Guía para la Contratación con Entidades Privadas Sin Ánimo de Lucro y de Reconocida Idoneidad</w:t>
            </w:r>
            <w:r>
              <w:rPr>
                <w:rStyle w:val="Refdenotaalpie"/>
                <w:rFonts w:ascii="Verdana" w:eastAsia="Arial" w:hAnsi="Verdana" w:cs="Arial"/>
              </w:rPr>
              <w:footnoteReference w:id="2"/>
            </w:r>
            <w:r w:rsidRPr="00217D56">
              <w:rPr>
                <w:rFonts w:ascii="Verdana" w:eastAsia="Arial" w:hAnsi="Verdana" w:cs="Arial"/>
              </w:rPr>
              <w:t xml:space="preserve">, documento que contiene </w:t>
            </w:r>
            <w:r w:rsidRPr="00217D56">
              <w:rPr>
                <w:rFonts w:ascii="Verdana" w:eastAsia="Arial" w:hAnsi="Verdana" w:cs="Arial"/>
              </w:rPr>
              <w:lastRenderedPageBreak/>
              <w:t>orientaciones sobre la aplicación del artículo 355 de la Constitución Política y del Decreto 092 de 2017, particularmente respecto de los eventos en los cuales las entidades estatales pueden acudir a este régimen especial de contratación.</w:t>
            </w:r>
          </w:p>
          <w:p w14:paraId="58962E45" w14:textId="77777777" w:rsidR="00BC42BB" w:rsidRDefault="00BC42BB" w:rsidP="006428F2">
            <w:pPr>
              <w:spacing w:after="120" w:line="276" w:lineRule="auto"/>
              <w:jc w:val="both"/>
              <w:rPr>
                <w:rFonts w:ascii="Verdana" w:eastAsia="Arial" w:hAnsi="Verdana" w:cs="Arial"/>
              </w:rPr>
            </w:pPr>
            <w:r>
              <w:rPr>
                <w:rFonts w:ascii="Verdana" w:eastAsia="Arial" w:hAnsi="Verdana" w:cs="Arial"/>
              </w:rPr>
              <w:t xml:space="preserve">         </w:t>
            </w:r>
            <w:r w:rsidRPr="00217D56">
              <w:rPr>
                <w:rFonts w:ascii="Verdana" w:eastAsia="Arial" w:hAnsi="Verdana" w:cs="Arial"/>
              </w:rPr>
              <w:t>De igual forma, la Ley 1562 de 2012, el Decreto Ley 1295 de 1994 y el Decreto 1072 de 2015 regulan el Sistema General de Riesgos Laborales, incluyendo los aspectos relacionados con la afiliación, permanencia y traslado entre Administradoras de Riesgos Laborales.</w:t>
            </w:r>
          </w:p>
          <w:p w14:paraId="147A057B" w14:textId="77777777" w:rsidR="00BC42BB" w:rsidRPr="00217D56" w:rsidRDefault="00BC42BB" w:rsidP="006428F2">
            <w:pPr>
              <w:spacing w:after="120" w:line="276" w:lineRule="auto"/>
              <w:jc w:val="both"/>
              <w:rPr>
                <w:rFonts w:ascii="Verdana" w:eastAsia="Arial" w:hAnsi="Verdana" w:cs="Arial"/>
              </w:rPr>
            </w:pPr>
            <w:r>
              <w:rPr>
                <w:rFonts w:ascii="Verdana" w:eastAsia="Arial" w:hAnsi="Verdana" w:cs="Arial"/>
              </w:rPr>
              <w:t xml:space="preserve">          </w:t>
            </w:r>
            <w:r w:rsidRPr="00217D56">
              <w:rPr>
                <w:rFonts w:ascii="Verdana" w:eastAsia="Arial" w:hAnsi="Verdana" w:cs="Arial"/>
              </w:rPr>
              <w:t>En ese sentido, de la revisión de la Ley 80 de 1993, la Ley 1150 de 2007, el artículo 355 de la Constitución Política, el Decreto 092 de 2017, la Guía para la Contratación con Entidades Privadas Sin Ánimo de Lucro y de Reconocida Idoneidad expedida por Colombia Compra Eficiente</w:t>
            </w:r>
            <w:r>
              <w:rPr>
                <w:rFonts w:ascii="Verdana" w:eastAsia="Arial" w:hAnsi="Verdana" w:cs="Arial"/>
              </w:rPr>
              <w:t xml:space="preserve"> </w:t>
            </w:r>
            <w:r w:rsidRPr="00217D56">
              <w:rPr>
                <w:rFonts w:ascii="Verdana" w:eastAsia="Arial" w:hAnsi="Verdana" w:cs="Arial"/>
              </w:rPr>
              <w:t>y las normas que regulan el Sistema General de Riesgos Laborales, corresponde a la entidad interesada determinar, a la luz de dicho marco normativo, si en su caso particular se configura o no la obligación de adelantar un proceso de contratación pública, concurso público o procedimiento de selección a través de SECOP II para la escogencia o traslado de una Administradora de Riesgos Laborales.</w:t>
            </w:r>
          </w:p>
          <w:p w14:paraId="2830EF31" w14:textId="77777777" w:rsidR="00BC42BB" w:rsidRPr="00217D56" w:rsidRDefault="00BC42BB" w:rsidP="006428F2">
            <w:pPr>
              <w:spacing w:after="120" w:line="276" w:lineRule="auto"/>
              <w:jc w:val="both"/>
              <w:rPr>
                <w:rFonts w:ascii="Verdana" w:eastAsia="Arial" w:hAnsi="Verdana" w:cs="Arial"/>
              </w:rPr>
            </w:pPr>
            <w:r>
              <w:rPr>
                <w:rFonts w:ascii="Verdana" w:eastAsia="Arial" w:hAnsi="Verdana" w:cs="Arial"/>
              </w:rPr>
              <w:t xml:space="preserve">            </w:t>
            </w:r>
            <w:r w:rsidRPr="00217D56">
              <w:rPr>
                <w:rFonts w:ascii="Verdana" w:eastAsia="Arial" w:hAnsi="Verdana" w:cs="Arial"/>
              </w:rPr>
              <w:t>Por lo anterior, será la entidad interesada quien, a partir de la valoración de su naturaleza jurídica, de las fuentes de financiación que administra, de su régimen de contratación y de las normas que regulan su actividad, deberá establecer si se encuentra sometida a obligaciones derivadas del Sistema de Compra Pública o si, por el contrario, la actuación correspondiente debe regirse por un régimen jurídico distinto.</w:t>
            </w:r>
          </w:p>
          <w:p w14:paraId="7854E46B" w14:textId="77777777" w:rsidR="00BC42BB" w:rsidRPr="00B643B2" w:rsidRDefault="00BC42BB" w:rsidP="006428F2">
            <w:pPr>
              <w:spacing w:after="120" w:line="276" w:lineRule="auto"/>
              <w:jc w:val="both"/>
              <w:rPr>
                <w:rFonts w:ascii="Verdana" w:eastAsia="Calibri" w:hAnsi="Verdana"/>
              </w:rPr>
            </w:pPr>
            <w:r w:rsidRPr="009C504B">
              <w:rPr>
                <w:rFonts w:ascii="Verdana" w:eastAsia="Arial" w:hAnsi="Verdana" w:cs="Arial"/>
              </w:rPr>
              <w:t xml:space="preserve"> </w:t>
            </w:r>
            <w:r>
              <w:rPr>
                <w:rFonts w:ascii="Verdana" w:eastAsia="Calibri" w:hAnsi="Verdana"/>
              </w:rPr>
              <w:t xml:space="preserve">        </w:t>
            </w:r>
            <w:r w:rsidRPr="00B643B2">
              <w:rPr>
                <w:rFonts w:ascii="Verdana" w:eastAsia="Calibri" w:hAnsi="Verdana"/>
              </w:rPr>
              <w:t>Finalmente, debe advertirse que el análisis para resolver problemas específicos en torno a los procesos de contratación debe ser realizado por quienes tengan interés en ello. De esta forma, las afirmaciones aquí realizadas no pueden ser interpretadas como juicios de valor sobre circunstancias concretas relacionadas con los hechos que motivan la consulta. Por lo anterior, previo concepto de sus asesores, la solución de situaciones particulares corresponderá a los interesados adoptar la decisión y, en caso de conflicto, a las autoridades judiciales, fiscales y disciplinarias.</w:t>
            </w:r>
          </w:p>
          <w:p w14:paraId="6BCBD0DC" w14:textId="77777777" w:rsidR="00BC42BB" w:rsidRPr="0029110A" w:rsidRDefault="00BC42BB" w:rsidP="006428F2">
            <w:pPr>
              <w:spacing w:after="120" w:line="276" w:lineRule="auto"/>
              <w:jc w:val="both"/>
              <w:rPr>
                <w:rFonts w:ascii="Verdana" w:eastAsia="Calibri" w:hAnsi="Verdana" w:cs="Times New Roman"/>
                <w:lang w:val="es-ES"/>
              </w:rPr>
            </w:pPr>
            <w:r>
              <w:rPr>
                <w:rFonts w:ascii="Verdana" w:eastAsia="Calibri" w:hAnsi="Verdana"/>
              </w:rPr>
              <w:t xml:space="preserve">        </w:t>
            </w:r>
            <w:r w:rsidRPr="00B643B2">
              <w:rPr>
                <w:rFonts w:ascii="Verdana" w:eastAsia="Calibri" w:hAnsi="Verdana"/>
              </w:rPr>
              <w:t xml:space="preserve">En ese sentido, al tratarse de un análisis que debe realizarse en un procedimiento contractual específico, esta Agencia no puede definir un criterio </w:t>
            </w:r>
            <w:r w:rsidRPr="00B643B2">
              <w:rPr>
                <w:rFonts w:ascii="Verdana" w:eastAsia="Calibri" w:hAnsi="Verdana"/>
              </w:rPr>
              <w:lastRenderedPageBreak/>
              <w:t>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la Agencia Nacional de Contratación Pública – Colombia Compra Eficiente validar sus actuaciones.</w:t>
            </w:r>
          </w:p>
        </w:tc>
      </w:tr>
      <w:tr w:rsidR="00BC42BB" w:rsidRPr="00115E3D" w14:paraId="36F433CB" w14:textId="77777777" w:rsidTr="006428F2">
        <w:trPr>
          <w:trHeight w:val="162"/>
        </w:trPr>
        <w:tc>
          <w:tcPr>
            <w:tcW w:w="8828" w:type="dxa"/>
          </w:tcPr>
          <w:p w14:paraId="1473BBB1" w14:textId="77777777" w:rsidR="00BC42BB" w:rsidRDefault="00BC42BB" w:rsidP="006428F2">
            <w:pPr>
              <w:spacing w:line="276" w:lineRule="auto"/>
              <w:jc w:val="both"/>
              <w:rPr>
                <w:rFonts w:ascii="Verdana" w:eastAsia="Calibri" w:hAnsi="Verdana" w:cs="Arial"/>
              </w:rPr>
            </w:pPr>
          </w:p>
        </w:tc>
      </w:tr>
    </w:tbl>
    <w:p w14:paraId="5173B8F4" w14:textId="77777777" w:rsidR="00BC42BB" w:rsidRDefault="00BC42BB" w:rsidP="00BC42BB">
      <w:pPr>
        <w:pStyle w:val="Prrafodelista"/>
        <w:tabs>
          <w:tab w:val="left" w:pos="142"/>
          <w:tab w:val="left" w:pos="284"/>
        </w:tabs>
        <w:spacing w:after="0" w:line="276" w:lineRule="auto"/>
        <w:ind w:left="0"/>
        <w:contextualSpacing w:val="0"/>
        <w:jc w:val="both"/>
        <w:rPr>
          <w:rFonts w:ascii="Verdana" w:eastAsia="Century Gothic" w:hAnsi="Verdana" w:cs="Century Gothic"/>
          <w:b/>
          <w:bCs/>
          <w:color w:val="000000" w:themeColor="text1"/>
        </w:rPr>
      </w:pPr>
    </w:p>
    <w:p w14:paraId="5F8B4A0C" w14:textId="77777777" w:rsidR="00BC42BB" w:rsidRDefault="00BC42BB" w:rsidP="00BC42BB">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color w:val="000000" w:themeColor="text1"/>
        </w:rPr>
      </w:pPr>
      <w:r w:rsidRPr="00115E3D">
        <w:rPr>
          <w:rFonts w:ascii="Verdana" w:eastAsia="Century Gothic" w:hAnsi="Verdana" w:cs="Century Gothic"/>
          <w:b/>
          <w:bCs/>
          <w:color w:val="000000" w:themeColor="text1"/>
        </w:rPr>
        <w:t>Razones de la respuesta:</w:t>
      </w:r>
    </w:p>
    <w:p w14:paraId="7DA48D4A" w14:textId="77777777" w:rsidR="00BC42BB" w:rsidRDefault="00BC42BB" w:rsidP="00BC42BB">
      <w:pPr>
        <w:pStyle w:val="Prrafodelista"/>
        <w:tabs>
          <w:tab w:val="left" w:pos="142"/>
          <w:tab w:val="left" w:pos="284"/>
        </w:tabs>
        <w:spacing w:after="0" w:line="276" w:lineRule="auto"/>
        <w:ind w:left="0"/>
        <w:contextualSpacing w:val="0"/>
        <w:jc w:val="both"/>
        <w:rPr>
          <w:rFonts w:ascii="Verdana" w:eastAsia="Century Gothic" w:hAnsi="Verdana" w:cs="Century Gothic"/>
          <w:b/>
          <w:bCs/>
          <w:color w:val="000000" w:themeColor="text1"/>
        </w:rPr>
      </w:pPr>
    </w:p>
    <w:p w14:paraId="2CCD5568" w14:textId="77777777" w:rsidR="00BC42BB" w:rsidRDefault="00BC42BB" w:rsidP="00BC42BB">
      <w:pPr>
        <w:spacing w:after="120" w:line="276" w:lineRule="auto"/>
        <w:ind w:firstLine="708"/>
        <w:jc w:val="both"/>
        <w:rPr>
          <w:rFonts w:ascii="Verdana" w:hAnsi="Verdana" w:cs="Arial"/>
          <w:lang w:val="es-ES"/>
        </w:rPr>
      </w:pPr>
      <w:r w:rsidRPr="005A5095">
        <w:rPr>
          <w:rFonts w:ascii="Verdana" w:hAnsi="Verdana" w:cs="Arial"/>
          <w:lang w:val="es-ES"/>
        </w:rPr>
        <w:t>El artículo 355 de la Constitución Política prohíbe a las ramas y órganos del poder público decretar auxilios o donaciones en favor de personas naturales o jurídicas. Igualmente, establece que las entidades del orden nacional, departamental, distrital y municipal podrán, con sus propios recursos, contratar con ESAL, con el fin de impulsar programas y actividades de interés público acordes con el plan nacional y los planes seccionales de desarrollo</w:t>
      </w:r>
      <w:r w:rsidRPr="005A5095">
        <w:rPr>
          <w:rFonts w:ascii="Verdana" w:hAnsi="Verdana" w:cs="Arial"/>
          <w:vertAlign w:val="superscript"/>
          <w:lang w:val="es-ES"/>
        </w:rPr>
        <w:footnoteReference w:id="3"/>
      </w:r>
      <w:r w:rsidRPr="005A5095">
        <w:rPr>
          <w:rFonts w:ascii="Verdana" w:hAnsi="Verdana" w:cs="Arial"/>
          <w:lang w:val="es-ES"/>
        </w:rPr>
        <w:t xml:space="preserve">. </w:t>
      </w:r>
      <w:bookmarkStart w:id="2" w:name="_Hlk164688501"/>
      <w:r w:rsidRPr="005A5095">
        <w:rPr>
          <w:rFonts w:ascii="Verdana" w:hAnsi="Verdana" w:cs="Arial"/>
          <w:lang w:val="es-ES"/>
        </w:rPr>
        <w:t>Por otra parte, el artículo 96 de la Ley 489 de 1998</w:t>
      </w:r>
      <w:r w:rsidRPr="005A5095">
        <w:rPr>
          <w:rFonts w:ascii="Verdana" w:hAnsi="Verdana" w:cs="Arial"/>
          <w:vertAlign w:val="superscript"/>
          <w:lang w:val="es-ES"/>
        </w:rPr>
        <w:footnoteReference w:id="4"/>
      </w:r>
      <w:r w:rsidRPr="005A5095">
        <w:rPr>
          <w:rFonts w:ascii="Verdana" w:hAnsi="Verdana" w:cs="Arial"/>
          <w:lang w:val="es-ES"/>
        </w:rPr>
        <w:t xml:space="preserve"> permite a las Entidades Públicas en general, es decir, cualquiera sea su naturaleza y orden administrativo, asociarse con personas jurídicas particulares, mediante la celebración de convenios de asociación o la creación de personas jurídicas. Ambas figuras tienen como fin desarrollar conjuntamente actividades relacionadas con los cometidos y funciones legales asignadas a la entidad</w:t>
      </w:r>
      <w:bookmarkEnd w:id="2"/>
      <w:r w:rsidRPr="005A5095">
        <w:rPr>
          <w:rFonts w:ascii="Verdana" w:hAnsi="Verdana" w:cs="Arial"/>
          <w:lang w:val="es-ES"/>
        </w:rPr>
        <w:t>.</w:t>
      </w:r>
      <w:bookmarkStart w:id="4" w:name="_Hlk171946092"/>
      <w:bookmarkStart w:id="5" w:name="_Hlk38819155"/>
    </w:p>
    <w:p w14:paraId="5C5244A1" w14:textId="77777777" w:rsidR="00BC42BB" w:rsidRPr="005A5095" w:rsidRDefault="00BC42BB" w:rsidP="00BC42BB">
      <w:pPr>
        <w:spacing w:after="120" w:line="276" w:lineRule="auto"/>
        <w:ind w:firstLine="709"/>
        <w:jc w:val="both"/>
        <w:rPr>
          <w:rFonts w:ascii="Verdana" w:eastAsia="Calibri" w:hAnsi="Verdana" w:cs="Arial"/>
        </w:rPr>
      </w:pPr>
      <w:r w:rsidRPr="005A5095">
        <w:rPr>
          <w:rFonts w:ascii="Verdana" w:hAnsi="Verdana" w:cs="Arial"/>
          <w:lang w:val="es-ES"/>
        </w:rPr>
        <w:t xml:space="preserve">El Gobierno Nacional, en desarrollo del artículo 355 de la Constitución Política, expidió el Decreto 092 de 2017, que dispone las reglas para las contrataciones que realicen las Entidades Estatales con las ESAL. El Decreto regula dos (2) eventos: i) </w:t>
      </w:r>
      <w:r w:rsidRPr="005A5095">
        <w:rPr>
          <w:rFonts w:ascii="Verdana" w:hAnsi="Verdana" w:cs="Arial"/>
          <w:lang w:val="es-ES" w:eastAsia="es-ES_tradnl"/>
        </w:rPr>
        <w:t xml:space="preserve">los </w:t>
      </w:r>
      <w:r w:rsidRPr="005A5095">
        <w:rPr>
          <w:rFonts w:ascii="Verdana" w:hAnsi="Verdana" w:cs="Arial"/>
          <w:i/>
          <w:iCs/>
          <w:lang w:val="es-ES" w:eastAsia="es-ES_tradnl"/>
        </w:rPr>
        <w:t>contratos de colaboración</w:t>
      </w:r>
      <w:r w:rsidRPr="005A5095">
        <w:rPr>
          <w:rFonts w:ascii="Verdana" w:hAnsi="Verdana" w:cs="Arial"/>
          <w:lang w:val="es-ES" w:eastAsia="es-ES_tradnl"/>
        </w:rPr>
        <w:t xml:space="preserve"> o de interés público, con el fin impulsar programas y actividades de interés público de acuerdo con el Plan </w:t>
      </w:r>
      <w:r w:rsidRPr="005A5095">
        <w:rPr>
          <w:rFonts w:ascii="Verdana" w:hAnsi="Verdana" w:cs="Arial"/>
          <w:lang w:val="es-ES" w:eastAsia="es-ES_tradnl"/>
        </w:rPr>
        <w:lastRenderedPageBreak/>
        <w:t>Nacional o los planes seccionales de desarrollo, en los términos del artículo 355 de la Constitución Política</w:t>
      </w:r>
      <w:r w:rsidRPr="005A5095">
        <w:rPr>
          <w:rFonts w:ascii="Verdana" w:hAnsi="Verdana" w:cs="Arial"/>
          <w:lang w:val="es-ES"/>
        </w:rPr>
        <w:t xml:space="preserve"> y; ii) los </w:t>
      </w:r>
      <w:r w:rsidRPr="005A5095">
        <w:rPr>
          <w:rFonts w:ascii="Verdana" w:hAnsi="Verdana" w:cs="Arial"/>
          <w:i/>
          <w:iCs/>
          <w:lang w:val="es-ES"/>
        </w:rPr>
        <w:t>convenios de asociación</w:t>
      </w:r>
      <w:r w:rsidRPr="005A5095">
        <w:rPr>
          <w:rFonts w:ascii="Verdana" w:hAnsi="Verdana" w:cs="Arial"/>
          <w:lang w:val="es-ES"/>
        </w:rPr>
        <w:t xml:space="preserve">, para el desarrollo conjunto de actividades relacionadas con las funciones de las Entidades Estatales, en desarrollo del artículo 96 de la Ley 489 de 1998. </w:t>
      </w:r>
      <w:r w:rsidRPr="005A5095">
        <w:rPr>
          <w:rFonts w:ascii="Verdana" w:hAnsi="Verdana" w:cs="Arial"/>
          <w:lang w:val="es-ES" w:eastAsia="es-ES_tradnl"/>
        </w:rPr>
        <w:t xml:space="preserve">Los primeros están regulados en el artículo 2 del Decreto 092 de 2017, mientras que los segundos en los artículos 5, 6, 7 y 8 </w:t>
      </w:r>
      <w:r w:rsidRPr="005A5095">
        <w:rPr>
          <w:rFonts w:ascii="Verdana" w:hAnsi="Verdana" w:cs="Arial"/>
          <w:i/>
          <w:iCs/>
          <w:lang w:val="es-ES" w:eastAsia="es-ES_tradnl"/>
        </w:rPr>
        <w:t>ibidem</w:t>
      </w:r>
      <w:r w:rsidRPr="005A5095">
        <w:rPr>
          <w:rFonts w:ascii="Verdana" w:hAnsi="Verdana" w:cs="Arial"/>
          <w:lang w:val="es-ES" w:eastAsia="es-ES_tradnl"/>
        </w:rPr>
        <w:t xml:space="preserve">. </w:t>
      </w:r>
      <w:bookmarkEnd w:id="4"/>
      <w:r w:rsidRPr="005A5095">
        <w:rPr>
          <w:rFonts w:ascii="Verdana" w:hAnsi="Verdana" w:cs="Arial"/>
          <w:lang w:val="es-ES" w:eastAsia="es-ES_tradnl"/>
        </w:rPr>
        <w:t xml:space="preserve">Es posible diferenciar, pues, los </w:t>
      </w:r>
      <w:r w:rsidRPr="005A5095">
        <w:rPr>
          <w:rFonts w:ascii="Verdana" w:hAnsi="Verdana" w:cs="Arial"/>
          <w:i/>
          <w:iCs/>
          <w:lang w:val="es-ES" w:eastAsia="es-ES_tradnl"/>
        </w:rPr>
        <w:t>convenios de asociación</w:t>
      </w:r>
      <w:r w:rsidRPr="005A5095">
        <w:rPr>
          <w:rFonts w:ascii="Verdana" w:hAnsi="Verdana" w:cs="Arial"/>
          <w:lang w:val="es-ES" w:eastAsia="es-ES_tradnl"/>
        </w:rPr>
        <w:t xml:space="preserve">, regulados en el artículo 5, de los </w:t>
      </w:r>
      <w:r w:rsidRPr="005A5095">
        <w:rPr>
          <w:rFonts w:ascii="Verdana" w:hAnsi="Verdana" w:cs="Arial"/>
          <w:i/>
          <w:iCs/>
          <w:lang w:val="es-ES" w:eastAsia="es-ES_tradnl"/>
        </w:rPr>
        <w:t>contratos de colaboración</w:t>
      </w:r>
      <w:r w:rsidRPr="005A5095">
        <w:rPr>
          <w:rFonts w:ascii="Verdana" w:hAnsi="Verdana" w:cs="Arial"/>
          <w:lang w:val="es-ES" w:eastAsia="es-ES_tradnl"/>
        </w:rPr>
        <w:t>, establecidos en el artículo 2 del Decreto 092 de 2017</w:t>
      </w:r>
      <w:r w:rsidRPr="005A5095">
        <w:rPr>
          <w:rFonts w:ascii="Verdana" w:hAnsi="Verdana"/>
          <w:vertAlign w:val="superscript"/>
          <w:lang w:val="es-ES" w:eastAsia="es-ES_tradnl"/>
        </w:rPr>
        <w:footnoteReference w:id="5"/>
      </w:r>
      <w:r w:rsidRPr="005A5095">
        <w:rPr>
          <w:rFonts w:ascii="Verdana" w:hAnsi="Verdana" w:cs="Arial"/>
          <w:lang w:val="es-ES" w:eastAsia="es-ES_tradnl"/>
        </w:rPr>
        <w:t>.</w:t>
      </w:r>
      <w:bookmarkStart w:id="6" w:name="_Hlk171946110"/>
      <w:bookmarkEnd w:id="5"/>
    </w:p>
    <w:p w14:paraId="5B1FCA20" w14:textId="77777777" w:rsidR="00BC42BB" w:rsidRPr="005A5095" w:rsidRDefault="00BC42BB" w:rsidP="00BC42BB">
      <w:pPr>
        <w:spacing w:after="120" w:line="276" w:lineRule="auto"/>
        <w:ind w:firstLine="709"/>
        <w:jc w:val="both"/>
        <w:rPr>
          <w:rFonts w:ascii="Verdana" w:eastAsia="Calibri" w:hAnsi="Verdana" w:cs="Arial"/>
        </w:rPr>
      </w:pPr>
      <w:r w:rsidRPr="005A5095">
        <w:rPr>
          <w:rFonts w:ascii="Verdana" w:hAnsi="Verdana" w:cs="Arial"/>
          <w:lang w:val="es-ES"/>
        </w:rPr>
        <w:t xml:space="preserve">De un lado, los </w:t>
      </w:r>
      <w:r w:rsidRPr="005A5095">
        <w:rPr>
          <w:rFonts w:ascii="Verdana" w:hAnsi="Verdana" w:cs="Arial"/>
          <w:i/>
          <w:iCs/>
          <w:lang w:val="es-ES"/>
        </w:rPr>
        <w:t>contratos del artículo 355 de la Constitución Política</w:t>
      </w:r>
      <w:r w:rsidRPr="005A5095">
        <w:rPr>
          <w:rFonts w:ascii="Verdana" w:hAnsi="Verdana" w:cs="Arial"/>
          <w:lang w:val="es-ES"/>
        </w:rPr>
        <w:t xml:space="preserve"> tienen como objeto promover acciones de fomento social en beneficio de los sectores más desprotegidos de la población, siempre que estén previstas en los planes de desarrollo, motivo por el cual no dan lugar a una contraprestación directa a favor de la entidad y tampoco a una relación conmutativa entre esta y la ESAL, toda vez que el beneficio directo lo recibirán, en últimas, los sectores de este tipo de acciones de fomento. Para celebrar estos contratos, según lo establece el artículo 4 del Decreto 092 de 2017, por regla general, la entidad debe adelantar un proceso competitivo para seleccionar la ESAL contratista. </w:t>
      </w:r>
      <w:bookmarkStart w:id="7" w:name="_Hlk171946189"/>
      <w:bookmarkEnd w:id="6"/>
    </w:p>
    <w:p w14:paraId="6D9A0E35" w14:textId="77777777" w:rsidR="00BC42BB" w:rsidRPr="005A5095" w:rsidRDefault="00BC42BB" w:rsidP="00BC42BB">
      <w:pPr>
        <w:spacing w:after="120" w:line="276" w:lineRule="auto"/>
        <w:ind w:firstLine="709"/>
        <w:jc w:val="both"/>
        <w:rPr>
          <w:rFonts w:ascii="Verdana" w:eastAsia="Calibri" w:hAnsi="Verdana" w:cs="Arial"/>
        </w:rPr>
      </w:pPr>
      <w:r w:rsidRPr="005A5095">
        <w:rPr>
          <w:rFonts w:ascii="Verdana" w:hAnsi="Verdana" w:cs="Arial"/>
          <w:lang w:val="es-ES"/>
        </w:rPr>
        <w:t xml:space="preserve">De otro lado, los </w:t>
      </w:r>
      <w:r w:rsidRPr="005A5095">
        <w:rPr>
          <w:rFonts w:ascii="Verdana" w:hAnsi="Verdana" w:cs="Arial"/>
          <w:i/>
          <w:iCs/>
          <w:lang w:val="es-ES"/>
        </w:rPr>
        <w:t>convenios de asociación</w:t>
      </w:r>
      <w:r w:rsidRPr="005A5095">
        <w:rPr>
          <w:rFonts w:ascii="Verdana" w:hAnsi="Verdana" w:cs="Arial"/>
          <w:lang w:val="es-ES"/>
        </w:rPr>
        <w:t xml:space="preserve"> “[…] [t]ienen como finalidad que la entidad estatal, cualquiera que sea su naturaleza y orden administrativo, se asocien con personas jurídicas particulares para el desarrollo conjunto de actividades relacionadas con los cometidos y funciones asignadas a aquellas conforme a la Constitución y a la Ley”</w:t>
      </w:r>
      <w:r w:rsidRPr="005A5095">
        <w:rPr>
          <w:rFonts w:ascii="Verdana" w:hAnsi="Verdana"/>
          <w:vertAlign w:val="superscript"/>
          <w:lang w:val="es-ES"/>
        </w:rPr>
        <w:footnoteReference w:id="6"/>
      </w:r>
      <w:r w:rsidRPr="005A5095">
        <w:rPr>
          <w:rFonts w:ascii="Verdana" w:hAnsi="Verdana" w:cs="Arial"/>
          <w:lang w:val="es-ES"/>
        </w:rPr>
        <w:t xml:space="preserve">. </w:t>
      </w:r>
      <w:bookmarkEnd w:id="7"/>
      <w:r w:rsidRPr="005A5095">
        <w:rPr>
          <w:rFonts w:ascii="Verdana" w:hAnsi="Verdana" w:cs="Arial"/>
          <w:lang w:val="es-ES" w:eastAsia="es-ES_tradnl"/>
        </w:rPr>
        <w:t xml:space="preserve">De conformidad con el inciso segundo del </w:t>
      </w:r>
      <w:bookmarkStart w:id="8" w:name="_Hlk171946223"/>
      <w:r w:rsidRPr="005A5095">
        <w:rPr>
          <w:rFonts w:ascii="Verdana" w:hAnsi="Verdana" w:cs="Arial"/>
          <w:lang w:val="es-ES" w:eastAsia="es-ES_tradnl"/>
        </w:rPr>
        <w:t>artículo 96 de la Ley 489 de 1998</w:t>
      </w:r>
      <w:bookmarkEnd w:id="8"/>
      <w:r w:rsidRPr="005A5095">
        <w:rPr>
          <w:rFonts w:ascii="Verdana" w:hAnsi="Verdana" w:cs="Arial"/>
          <w:lang w:val="es-ES" w:eastAsia="es-ES_tradnl"/>
        </w:rPr>
        <w:t xml:space="preserve">, en estos convenios debe determinarse “con precisión su objeto, término, obligaciones de las partes, aportes, coordinación y todos aquellos aspectos que se consideren pertinentes”. </w:t>
      </w:r>
      <w:r w:rsidRPr="005A5095">
        <w:rPr>
          <w:rFonts w:ascii="Verdana" w:hAnsi="Verdana" w:cs="Arial"/>
          <w:lang w:val="es-ES"/>
        </w:rPr>
        <w:t xml:space="preserve">En estos convenios no existe contraprestación o pago, sino aportes, los cuales están dirigidos, exclusivamente, a lograr la ejecución del convenio no a remunerar la actividad o actuaciones del asociado. </w:t>
      </w:r>
    </w:p>
    <w:p w14:paraId="4A1FE643" w14:textId="77777777" w:rsidR="00BC42BB" w:rsidRPr="005A5095" w:rsidRDefault="00BC42BB" w:rsidP="00BC42BB">
      <w:pPr>
        <w:spacing w:after="0" w:line="276" w:lineRule="auto"/>
        <w:ind w:firstLine="709"/>
        <w:jc w:val="both"/>
        <w:rPr>
          <w:rFonts w:ascii="Verdana" w:eastAsia="Calibri" w:hAnsi="Verdana" w:cs="Arial"/>
        </w:rPr>
      </w:pPr>
      <w:r w:rsidRPr="005A5095">
        <w:rPr>
          <w:rFonts w:ascii="Verdana" w:hAnsi="Verdana" w:cs="Arial"/>
          <w:lang w:val="es-ES"/>
        </w:rPr>
        <w:t xml:space="preserve">Es importante señalar que, </w:t>
      </w:r>
      <w:bookmarkStart w:id="9" w:name="_Hlk171946202"/>
      <w:r w:rsidRPr="005A5095">
        <w:rPr>
          <w:rFonts w:ascii="Verdana" w:hAnsi="Verdana" w:cs="Arial"/>
          <w:lang w:val="es-ES"/>
        </w:rPr>
        <w:t xml:space="preserve">los negocios jurídicos que regula el Decreto 092 de 2017 “[…] son esencialmente distintos a los contratos para la adquisición y aprovisionamiento de bienes, obras o servicios regulados por el estatuto de </w:t>
      </w:r>
      <w:r w:rsidRPr="005A5095">
        <w:rPr>
          <w:rFonts w:ascii="Verdana" w:hAnsi="Verdana" w:cs="Arial"/>
          <w:lang w:val="es-ES"/>
        </w:rPr>
        <w:lastRenderedPageBreak/>
        <w:t>contratación y [, como tal,] no hacen parte del sistema de compra pública. […]. De acuerdo con lo anterior, si la entidad estatal adquiere o se abastece de un bien, obra o servicio en un contrato conmutativo en el cual el proveedor es una [ESAL], debe aplicar el régimen contenido en las Leyes 80 de 1993 y 1150 de 2007, y no el Decreto 092 de 2017</w:t>
      </w:r>
      <w:bookmarkEnd w:id="9"/>
      <w:r w:rsidRPr="005A5095">
        <w:rPr>
          <w:rFonts w:ascii="Verdana" w:hAnsi="Verdana" w:cs="Arial"/>
          <w:lang w:val="es-ES"/>
        </w:rPr>
        <w:t>”</w:t>
      </w:r>
      <w:r w:rsidRPr="005A5095">
        <w:rPr>
          <w:rFonts w:ascii="Verdana" w:hAnsi="Verdana" w:cs="Arial"/>
          <w:vertAlign w:val="superscript"/>
          <w:lang w:val="es-ES"/>
        </w:rPr>
        <w:footnoteReference w:id="7"/>
      </w:r>
      <w:r w:rsidRPr="005A5095">
        <w:rPr>
          <w:rFonts w:ascii="Verdana" w:hAnsi="Verdana" w:cs="Arial"/>
          <w:lang w:val="es-ES"/>
        </w:rPr>
        <w:t xml:space="preserve">. Así lo consideró la </w:t>
      </w:r>
      <w:bookmarkStart w:id="10" w:name="_Hlk171946251"/>
      <w:r w:rsidRPr="005A5095">
        <w:rPr>
          <w:rFonts w:ascii="Verdana" w:hAnsi="Verdana" w:cs="Arial"/>
          <w:lang w:val="es-ES"/>
        </w:rPr>
        <w:t>Sala de Consulta y Servicio Civil del Consejo de Estado</w:t>
      </w:r>
      <w:bookmarkEnd w:id="10"/>
      <w:r w:rsidRPr="005A5095">
        <w:rPr>
          <w:rFonts w:ascii="Verdana" w:hAnsi="Verdana" w:cs="Arial"/>
          <w:vertAlign w:val="superscript"/>
          <w:lang w:val="es-ES"/>
        </w:rPr>
        <w:footnoteReference w:id="8"/>
      </w:r>
      <w:r w:rsidRPr="005A5095">
        <w:rPr>
          <w:rFonts w:ascii="Verdana" w:hAnsi="Verdana" w:cs="Arial"/>
          <w:lang w:val="es-ES"/>
        </w:rPr>
        <w:t>:</w:t>
      </w:r>
    </w:p>
    <w:p w14:paraId="44D17E78" w14:textId="77777777" w:rsidR="00BC42BB" w:rsidRPr="005A5095" w:rsidRDefault="00BC42BB" w:rsidP="00BC42BB">
      <w:pPr>
        <w:spacing w:after="0" w:line="276" w:lineRule="auto"/>
        <w:jc w:val="both"/>
        <w:rPr>
          <w:rFonts w:ascii="Verdana" w:eastAsia="Calibri" w:hAnsi="Verdana" w:cs="Arial"/>
          <w:lang w:val="es-MX"/>
        </w:rPr>
      </w:pPr>
    </w:p>
    <w:p w14:paraId="33ED8B2D" w14:textId="77777777" w:rsidR="00BC42BB" w:rsidRPr="005A5095" w:rsidRDefault="00BC42BB" w:rsidP="00BC42BB">
      <w:pPr>
        <w:spacing w:after="0" w:line="240" w:lineRule="auto"/>
        <w:ind w:left="709" w:right="709"/>
        <w:jc w:val="both"/>
        <w:rPr>
          <w:rFonts w:ascii="Verdana" w:eastAsia="Calibri" w:hAnsi="Verdana" w:cs="Arial"/>
          <w:sz w:val="20"/>
          <w:szCs w:val="20"/>
        </w:rPr>
      </w:pPr>
      <w:r w:rsidRPr="005A5095">
        <w:rPr>
          <w:rFonts w:ascii="Verdana" w:eastAsia="Calibri" w:hAnsi="Verdana" w:cs="Arial"/>
          <w:sz w:val="20"/>
          <w:szCs w:val="20"/>
        </w:rPr>
        <w:t xml:space="preserve">“Como ya se indicó, </w:t>
      </w:r>
      <w:bookmarkStart w:id="12" w:name="_Hlk171946287"/>
      <w:r w:rsidRPr="005A5095">
        <w:rPr>
          <w:rFonts w:ascii="Verdana" w:eastAsia="Calibri" w:hAnsi="Verdana" w:cs="Arial"/>
          <w:sz w:val="20"/>
          <w:szCs w:val="20"/>
        </w:rPr>
        <w:t xml:space="preserve">el objeto de los contratos que autoriza el inciso segundo del artículo 355 Superior, se limita a la realización de actividades o programas de interés público que, conforme a los planes de desarrollo, adelanten instituciones privadas sin ánimo de lucro. </w:t>
      </w:r>
      <w:bookmarkEnd w:id="12"/>
      <w:r w:rsidRPr="005A5095">
        <w:rPr>
          <w:rFonts w:ascii="Verdana" w:eastAsia="Calibri" w:hAnsi="Verdana" w:cs="Arial"/>
          <w:sz w:val="20"/>
          <w:szCs w:val="20"/>
        </w:rPr>
        <w:t>Aquellos que generan una contraprestación directa a favor de la entidad contratante y los que tienen por objeto desarrollar proyectos específicos, corresponden al giro normal de las funciones propias de la entidad estatal, y por lo tanto, se tipifican dentro de cualquiera de las modalidades de contratación de la ley 80 de 1.993, debiendo sujetarse a los procedimientos allí previstos, en especial los de escogencia del contratista.</w:t>
      </w:r>
    </w:p>
    <w:p w14:paraId="3B00FF0F" w14:textId="77777777" w:rsidR="00BC42BB" w:rsidRPr="005A5095" w:rsidRDefault="00BC42BB" w:rsidP="00BC42BB">
      <w:pPr>
        <w:spacing w:after="0" w:line="240" w:lineRule="auto"/>
        <w:ind w:left="709" w:right="709"/>
        <w:jc w:val="both"/>
        <w:rPr>
          <w:rFonts w:ascii="Verdana" w:eastAsia="Calibri" w:hAnsi="Verdana" w:cs="Arial"/>
          <w:sz w:val="20"/>
          <w:szCs w:val="20"/>
        </w:rPr>
      </w:pPr>
    </w:p>
    <w:p w14:paraId="3045C7C1" w14:textId="77777777" w:rsidR="00BC42BB" w:rsidRPr="005A5095" w:rsidRDefault="00BC42BB" w:rsidP="00BC42BB">
      <w:pPr>
        <w:spacing w:after="0" w:line="240" w:lineRule="auto"/>
        <w:ind w:left="709" w:right="709"/>
        <w:jc w:val="both"/>
        <w:rPr>
          <w:rFonts w:ascii="Verdana" w:eastAsia="Calibri" w:hAnsi="Verdana" w:cs="Arial"/>
          <w:sz w:val="20"/>
          <w:szCs w:val="20"/>
        </w:rPr>
      </w:pPr>
      <w:r w:rsidRPr="005A5095">
        <w:rPr>
          <w:rFonts w:ascii="Verdana" w:eastAsia="Calibri" w:hAnsi="Verdana" w:cs="Arial"/>
          <w:sz w:val="20"/>
          <w:szCs w:val="20"/>
        </w:rPr>
        <w:t>Cuando el artículo 355 autoriza a las entidades estatales a celebrar contratos para «impulsar» programas y actividades de interés público, se refiere a los del ente privado y no a los del Estado, pues respecto de éste el deber constitucional es no sólo impulsarlos sino cumplirlos, conforme las disposiciones contractuales vigentes, como sería por ejemplo, contratos de prestación de servicios o de obra pública”.</w:t>
      </w:r>
    </w:p>
    <w:p w14:paraId="000D00C6" w14:textId="77777777" w:rsidR="00BC42BB" w:rsidRPr="005A5095" w:rsidRDefault="00BC42BB" w:rsidP="00BC42BB">
      <w:pPr>
        <w:spacing w:after="0" w:line="276" w:lineRule="auto"/>
        <w:jc w:val="both"/>
        <w:rPr>
          <w:rFonts w:ascii="Verdana" w:eastAsia="Calibri" w:hAnsi="Verdana" w:cs="Arial"/>
        </w:rPr>
      </w:pPr>
    </w:p>
    <w:p w14:paraId="0DE34E40" w14:textId="77777777" w:rsidR="00BC42BB" w:rsidRPr="005A5095" w:rsidRDefault="00BC42BB" w:rsidP="00BC42BB">
      <w:pPr>
        <w:spacing w:after="0" w:line="276" w:lineRule="auto"/>
        <w:ind w:firstLine="709"/>
        <w:jc w:val="both"/>
        <w:rPr>
          <w:rFonts w:ascii="Verdana" w:hAnsi="Verdana" w:cs="Arial"/>
          <w:lang w:val="es-ES"/>
        </w:rPr>
      </w:pPr>
      <w:bookmarkStart w:id="13" w:name="_Hlk95756200"/>
      <w:r w:rsidRPr="005A5095">
        <w:rPr>
          <w:rFonts w:ascii="Verdana" w:hAnsi="Verdana" w:cs="Arial"/>
          <w:lang w:val="es-ES"/>
        </w:rPr>
        <w:t xml:space="preserve">De acuerdo con lo anterior, </w:t>
      </w:r>
      <w:bookmarkStart w:id="14" w:name="_Hlk171937920"/>
      <w:r w:rsidRPr="005A5095">
        <w:rPr>
          <w:rFonts w:ascii="Verdana" w:hAnsi="Verdana" w:cs="Arial"/>
          <w:lang w:val="es-ES"/>
        </w:rPr>
        <w:t>no todas las actividades que las Entidades Estatales deben desarrollar para alcanzar sus objetivos misionales deben ejecutarse a través de la celebración de contratos del artículo 355 superior o convenios de asociación. Sobre el particular, debe tenerse en cuenta que lo que determina la aplicación del Decreto 092 de 2017 no es únicamente el carácter de las ESAL, sino el objeto del contrato o convenio que la entidad pretende adelantar. Por tanto, el hecho de que se trate de una ESAL no implica que necesariamente deba celebrarse un contrato de colaboración o un convenio de asociación.</w:t>
      </w:r>
      <w:bookmarkEnd w:id="14"/>
      <w:r w:rsidRPr="005A5095">
        <w:rPr>
          <w:rFonts w:ascii="Verdana" w:hAnsi="Verdana" w:cs="Arial"/>
          <w:lang w:val="es-ES"/>
        </w:rPr>
        <w:t xml:space="preserve"> </w:t>
      </w:r>
      <w:bookmarkEnd w:id="13"/>
      <w:r w:rsidRPr="005A5095">
        <w:rPr>
          <w:rFonts w:ascii="Verdana" w:hAnsi="Verdana" w:cs="Arial"/>
          <w:lang w:val="es-ES"/>
        </w:rPr>
        <w:t xml:space="preserve">Así lo reconoció la </w:t>
      </w:r>
      <w:bookmarkStart w:id="15" w:name="_Hlk171946330"/>
      <w:r w:rsidRPr="005A5095">
        <w:rPr>
          <w:rFonts w:ascii="Verdana" w:hAnsi="Verdana" w:cs="Arial"/>
          <w:lang w:val="es-ES"/>
        </w:rPr>
        <w:t>Corte Constitucional en la sentencia C-287 del 18 de abril de 2012</w:t>
      </w:r>
      <w:bookmarkEnd w:id="15"/>
      <w:r w:rsidRPr="005A5095">
        <w:rPr>
          <w:rFonts w:ascii="Verdana" w:hAnsi="Verdana" w:cs="Arial"/>
          <w:lang w:val="es-ES"/>
        </w:rPr>
        <w:t>, en la que sostuvo lo siguiente:</w:t>
      </w:r>
    </w:p>
    <w:p w14:paraId="643DA811" w14:textId="77777777" w:rsidR="00BC42BB" w:rsidRPr="005A5095" w:rsidRDefault="00BC42BB" w:rsidP="00BC42BB">
      <w:pPr>
        <w:spacing w:after="0" w:line="276" w:lineRule="auto"/>
        <w:ind w:firstLine="708"/>
        <w:jc w:val="both"/>
        <w:rPr>
          <w:rFonts w:ascii="Verdana" w:eastAsia="Calibri" w:hAnsi="Verdana" w:cs="Arial"/>
        </w:rPr>
      </w:pPr>
    </w:p>
    <w:p w14:paraId="2C65923A" w14:textId="77777777" w:rsidR="00BC42BB" w:rsidRPr="005A5095" w:rsidRDefault="00BC42BB" w:rsidP="00BC42BB">
      <w:pPr>
        <w:spacing w:after="0" w:line="240" w:lineRule="auto"/>
        <w:ind w:left="709" w:right="709"/>
        <w:jc w:val="both"/>
        <w:rPr>
          <w:rFonts w:ascii="Verdana" w:eastAsia="Calibri" w:hAnsi="Verdana" w:cs="Arial"/>
          <w:sz w:val="20"/>
          <w:szCs w:val="20"/>
        </w:rPr>
      </w:pPr>
      <w:r w:rsidRPr="005A5095">
        <w:rPr>
          <w:rFonts w:ascii="Verdana" w:eastAsia="Calibri" w:hAnsi="Verdana" w:cs="Arial"/>
          <w:sz w:val="20"/>
          <w:szCs w:val="20"/>
        </w:rPr>
        <w:lastRenderedPageBreak/>
        <w:t>“Las corporaciones o asociaciones sin ánimo de lucro han sido definas por la doctrina como personas jurídicas que surgen de la voluntad de un grupo de individuos que vinculan un capital a la obtención de un fin de interés general o de bienestar común no lucrativo, de manera que tienen como finalidad propia la satisfacción de intereses públicos y sociales.</w:t>
      </w:r>
    </w:p>
    <w:p w14:paraId="4FA77A9C" w14:textId="77777777" w:rsidR="00BC42BB" w:rsidRPr="005A5095" w:rsidRDefault="00BC42BB" w:rsidP="00BC42BB">
      <w:pPr>
        <w:spacing w:after="0" w:line="240" w:lineRule="auto"/>
        <w:ind w:left="709" w:right="709"/>
        <w:jc w:val="both"/>
        <w:rPr>
          <w:rFonts w:ascii="Verdana" w:eastAsia="Calibri" w:hAnsi="Verdana" w:cs="Arial"/>
          <w:sz w:val="20"/>
          <w:szCs w:val="20"/>
        </w:rPr>
      </w:pPr>
    </w:p>
    <w:p w14:paraId="67178DB5" w14:textId="77777777" w:rsidR="00BC42BB" w:rsidRPr="005A5095" w:rsidRDefault="00BC42BB" w:rsidP="00BC42BB">
      <w:pPr>
        <w:spacing w:after="0" w:line="240" w:lineRule="auto"/>
        <w:ind w:left="709" w:right="709"/>
        <w:jc w:val="both"/>
        <w:rPr>
          <w:rFonts w:ascii="Verdana" w:eastAsia="Calibri" w:hAnsi="Verdana" w:cs="Arial"/>
          <w:sz w:val="20"/>
          <w:szCs w:val="20"/>
        </w:rPr>
      </w:pPr>
      <w:r w:rsidRPr="005A5095">
        <w:rPr>
          <w:rFonts w:ascii="Verdana" w:eastAsia="Calibri" w:hAnsi="Verdana" w:cs="Arial"/>
          <w:i/>
          <w:sz w:val="20"/>
          <w:szCs w:val="20"/>
        </w:rPr>
        <w:t>Sin embargo, el hecho que no persigan una finalidad lucrativa, no significa que no desarrollen actividades que generen utilidades, lo que pasa es que a diferencia de las sociedades, el lucro o ganancia obtenida no se reparte entre sus miembros sino que se integra al patrimonio de la asociación para la obtención del fin deseado</w:t>
      </w:r>
      <w:r w:rsidRPr="005A5095">
        <w:rPr>
          <w:rFonts w:ascii="Verdana" w:eastAsia="Calibri" w:hAnsi="Verdana" w:cs="Arial"/>
          <w:sz w:val="20"/>
          <w:szCs w:val="20"/>
        </w:rPr>
        <w:t>. Así, el elemento característico de las corporaciones o asociaciones sin ánimo de lucro radica, precisamente, en la determinación de sus miembros de desarrollar una actividad de interés general sin esperar a cambio repartición de utilidades en proporción a su aporte, ni la recuperación del mismo en el momento de su disolución o liquidación”. [Énfasis fuera del texto original]</w:t>
      </w:r>
    </w:p>
    <w:p w14:paraId="0DA44D32" w14:textId="77777777" w:rsidR="00BC42BB" w:rsidRPr="005A5095" w:rsidRDefault="00BC42BB" w:rsidP="00BC42BB">
      <w:pPr>
        <w:spacing w:after="0" w:line="276" w:lineRule="auto"/>
        <w:ind w:firstLine="709"/>
        <w:jc w:val="both"/>
        <w:rPr>
          <w:rFonts w:ascii="Verdana" w:eastAsia="Calibri" w:hAnsi="Verdana" w:cs="Arial"/>
        </w:rPr>
      </w:pPr>
    </w:p>
    <w:p w14:paraId="733234FA" w14:textId="77777777" w:rsidR="00BC42BB" w:rsidRPr="005A5095" w:rsidRDefault="00BC42BB" w:rsidP="00BC42BB">
      <w:pPr>
        <w:spacing w:after="120" w:line="276" w:lineRule="auto"/>
        <w:ind w:firstLine="709"/>
        <w:jc w:val="both"/>
        <w:rPr>
          <w:rFonts w:ascii="Verdana" w:hAnsi="Verdana" w:cs="Arial"/>
          <w:lang w:val="es-ES"/>
        </w:rPr>
      </w:pPr>
      <w:r w:rsidRPr="005A5095">
        <w:rPr>
          <w:rFonts w:ascii="Verdana" w:hAnsi="Verdana" w:cs="Arial"/>
          <w:lang w:val="es-ES"/>
        </w:rPr>
        <w:t xml:space="preserve">Lo anterior se justifica en que la principal característica de las ESAL es la ausencia de lucro, es decir, las ganancias o beneficios económicos no están destinados a repartirse en favor de los miembros ni de terceros, sino que permanecen dentro de la entidad incrementando su patrimonio. </w:t>
      </w:r>
      <w:bookmarkStart w:id="16" w:name="_Hlk171937934"/>
      <w:r w:rsidRPr="005A5095">
        <w:rPr>
          <w:rFonts w:ascii="Verdana" w:eastAsia="Calibri" w:hAnsi="Verdana" w:cs="Arial"/>
          <w:color w:val="000000" w:themeColor="text1"/>
        </w:rPr>
        <w:t>Con todo, las ESAL pueden participar en igualdad de condiciones en procesos de contratación regidos por la Ley 80 de 1993, la Ley 1150 de 2007 y el Decreto 1082 de 2015, siempre y cuando cumplan con los requisitos exigidos en los documentos del proceso. De esta manera, ni los contratos del artículo 355 de la Constitución Política ni los convenios de asociación del artículo 96 de la Ley 489 de 1998 generan utilidades para la ESAL, pues en dicho caso se trataría de un contrato en el que se debe remunerar al contratista por los servicios prestados, el cual, por eso mismo, tiene un régimen legal distinto</w:t>
      </w:r>
      <w:bookmarkEnd w:id="16"/>
      <w:r w:rsidRPr="005A5095">
        <w:rPr>
          <w:rFonts w:ascii="Verdana" w:hAnsi="Verdana" w:cs="Arial"/>
          <w:lang w:val="es-ES"/>
        </w:rPr>
        <w:t>.</w:t>
      </w:r>
    </w:p>
    <w:p w14:paraId="68275567" w14:textId="77777777" w:rsidR="00BC42BB" w:rsidRPr="005A5095" w:rsidRDefault="00BC42BB" w:rsidP="00BC42BB">
      <w:pPr>
        <w:spacing w:after="120" w:line="276" w:lineRule="auto"/>
        <w:ind w:firstLine="709"/>
        <w:jc w:val="both"/>
        <w:rPr>
          <w:rFonts w:ascii="Verdana" w:eastAsia="Calibri" w:hAnsi="Verdana" w:cs="Arial"/>
          <w:color w:val="000000" w:themeColor="text1"/>
          <w:lang w:val="es-ES_tradnl"/>
        </w:rPr>
      </w:pPr>
      <w:r w:rsidRPr="005A5095">
        <w:rPr>
          <w:rFonts w:ascii="Verdana" w:hAnsi="Verdana" w:cs="Arial"/>
          <w:lang w:val="es-ES"/>
        </w:rPr>
        <w:t xml:space="preserve">En este sentido, </w:t>
      </w:r>
      <w:r w:rsidRPr="005A5095">
        <w:rPr>
          <w:rFonts w:ascii="Verdana" w:eastAsia="Calibri" w:hAnsi="Verdana" w:cs="Arial"/>
          <w:color w:val="000000" w:themeColor="text1"/>
          <w:lang w:val="es-ES_tradnl"/>
        </w:rPr>
        <w:t xml:space="preserve">los contratos por colaboración y convenios de asociación, regidos por el Decreto 092 de 2017, no tienen un interés puramente económico, porque no se celebran con el fin de obtener una ganancia, sino con el propósito de ejecutar actividades que contribuyen directamente al fin previsto en la Constitución o la ley, sin que por esto se reciba por ninguna de ellas el pago de un precio o contraprestación. </w:t>
      </w:r>
    </w:p>
    <w:p w14:paraId="4804308D" w14:textId="77777777" w:rsidR="00BC42BB" w:rsidRPr="00217D56" w:rsidRDefault="00BC42BB" w:rsidP="00BC42BB">
      <w:pPr>
        <w:spacing w:after="120" w:line="276" w:lineRule="auto"/>
        <w:jc w:val="both"/>
        <w:rPr>
          <w:rFonts w:ascii="Verdana" w:eastAsia="Arial" w:hAnsi="Verdana" w:cs="Arial"/>
        </w:rPr>
      </w:pPr>
      <w:r w:rsidRPr="00E56C4E">
        <w:rPr>
          <w:rFonts w:ascii="Verdana" w:eastAsia="Arial" w:hAnsi="Verdana" w:cs="Arial"/>
        </w:rPr>
        <w:t xml:space="preserve"> </w:t>
      </w:r>
      <w:r>
        <w:rPr>
          <w:rFonts w:ascii="Verdana" w:eastAsia="Arial" w:hAnsi="Verdana" w:cs="Arial"/>
        </w:rPr>
        <w:t xml:space="preserve">          Así las cosas y en atención al problema jurídico planteado se precisa que</w:t>
      </w:r>
      <w:r w:rsidRPr="00217D56">
        <w:rPr>
          <w:rFonts w:ascii="Verdana" w:eastAsia="Arial" w:hAnsi="Verdana" w:cs="Arial"/>
        </w:rPr>
        <w:t xml:space="preserve">, de la revisión de la Ley 80 de 1993, la Ley 1150 de 2007, el artículo 355 de la Constitución Política, el Decreto 092 de 2017, la Guía para la Contratación con Entidades Privadas Sin Ánimo de Lucro y de Reconocida Idoneidad expedida por </w:t>
      </w:r>
      <w:r w:rsidRPr="00217D56">
        <w:rPr>
          <w:rFonts w:ascii="Verdana" w:eastAsia="Arial" w:hAnsi="Verdana" w:cs="Arial"/>
        </w:rPr>
        <w:lastRenderedPageBreak/>
        <w:t>Colombia Compra Eficiente</w:t>
      </w:r>
      <w:r>
        <w:rPr>
          <w:rStyle w:val="Refdenotaalpie"/>
          <w:rFonts w:ascii="Verdana" w:eastAsia="Arial" w:hAnsi="Verdana" w:cs="Arial"/>
        </w:rPr>
        <w:footnoteReference w:id="9"/>
      </w:r>
      <w:r>
        <w:rPr>
          <w:rFonts w:ascii="Verdana" w:eastAsia="Arial" w:hAnsi="Verdana" w:cs="Arial"/>
        </w:rPr>
        <w:t xml:space="preserve"> </w:t>
      </w:r>
      <w:r w:rsidRPr="00217D56">
        <w:rPr>
          <w:rFonts w:ascii="Verdana" w:eastAsia="Arial" w:hAnsi="Verdana" w:cs="Arial"/>
        </w:rPr>
        <w:t>y las normas que regulan el Sistema General de Riesgos Laborales, corresponde a la entidad interesada determinar, a la luz de dicho marco normativo, si en su caso particular se configura o no la obligación de adelantar un proceso de contratación pública, concurso público o procedimiento de selección a través de SECOP II para la escogencia o traslado de una Administradora de Riesgos Laborales.</w:t>
      </w:r>
    </w:p>
    <w:p w14:paraId="63C76CC8" w14:textId="77777777" w:rsidR="00BC42BB" w:rsidRPr="00217D56" w:rsidRDefault="00BC42BB" w:rsidP="00BC42BB">
      <w:pPr>
        <w:spacing w:after="120" w:line="276" w:lineRule="auto"/>
        <w:jc w:val="both"/>
        <w:rPr>
          <w:rFonts w:ascii="Verdana" w:eastAsia="Arial" w:hAnsi="Verdana" w:cs="Arial"/>
        </w:rPr>
      </w:pPr>
      <w:r>
        <w:rPr>
          <w:rFonts w:ascii="Verdana" w:eastAsia="Arial" w:hAnsi="Verdana" w:cs="Arial"/>
        </w:rPr>
        <w:t xml:space="preserve">            </w:t>
      </w:r>
      <w:r w:rsidRPr="00217D56">
        <w:rPr>
          <w:rFonts w:ascii="Verdana" w:eastAsia="Arial" w:hAnsi="Verdana" w:cs="Arial"/>
        </w:rPr>
        <w:t>Por lo anterior, será la entidad interesada quien, a partir de la valoración de su naturaleza jurídica, de las fuentes de financiación que administra, de su régimen de contratación y de las normas que regulan su actividad, deberá establecer si se encuentra sometida a obligaciones derivadas del Sistema de Compra Pública o si, por el contrario, la actuación correspondiente debe regirse por un régimen jurídico distinto.</w:t>
      </w:r>
    </w:p>
    <w:p w14:paraId="74A53382" w14:textId="77777777" w:rsidR="00BC42BB" w:rsidRPr="00B643B2" w:rsidRDefault="00BC42BB" w:rsidP="00BC42BB">
      <w:pPr>
        <w:spacing w:after="120" w:line="276" w:lineRule="auto"/>
        <w:jc w:val="both"/>
        <w:rPr>
          <w:rFonts w:ascii="Verdana" w:eastAsia="Calibri" w:hAnsi="Verdana"/>
        </w:rPr>
      </w:pPr>
      <w:r w:rsidRPr="009C504B">
        <w:rPr>
          <w:rFonts w:ascii="Verdana" w:eastAsia="Arial" w:hAnsi="Verdana" w:cs="Arial"/>
        </w:rPr>
        <w:t xml:space="preserve"> </w:t>
      </w:r>
      <w:r>
        <w:rPr>
          <w:rFonts w:ascii="Verdana" w:eastAsia="Calibri" w:hAnsi="Verdana"/>
        </w:rPr>
        <w:t xml:space="preserve">        </w:t>
      </w:r>
      <w:r w:rsidRPr="00B643B2">
        <w:rPr>
          <w:rFonts w:ascii="Verdana" w:eastAsia="Calibri" w:hAnsi="Verdana"/>
        </w:rPr>
        <w:t>Finalmente, debe advertirse que el análisis para resolver problemas específicos en torno a los procesos de contratación debe ser realizado por quienes tengan interés en ello. De esta forma, las afirmaciones aquí realizadas no pueden ser interpretadas como juicios de valor sobre circunstancias concretas relacionadas con los hechos que motivan la consulta. Por lo anterior, previo concepto de sus asesores, la solución de situaciones particulares corresponderá a los interesados adoptar la decisión y, en caso de conflicto, a las autoridades judiciales, fiscales y disciplinarias.</w:t>
      </w:r>
    </w:p>
    <w:p w14:paraId="00B5EFED" w14:textId="77777777" w:rsidR="00BC42BB" w:rsidRDefault="00BC42BB" w:rsidP="00BC42BB">
      <w:pPr>
        <w:spacing w:after="120" w:line="276" w:lineRule="auto"/>
        <w:jc w:val="both"/>
        <w:rPr>
          <w:rFonts w:ascii="Verdana" w:eastAsia="Arial" w:hAnsi="Verdana" w:cs="Arial"/>
        </w:rPr>
      </w:pPr>
      <w:r>
        <w:rPr>
          <w:rFonts w:ascii="Verdana" w:eastAsia="Calibri" w:hAnsi="Verdana"/>
        </w:rPr>
        <w:t xml:space="preserve">        </w:t>
      </w:r>
      <w:r w:rsidRPr="00B643B2">
        <w:rPr>
          <w:rFonts w:ascii="Verdana" w:eastAsia="Calibri" w:hAnsi="Verdana"/>
        </w:rPr>
        <w:t>En ese sentido, al tratarse de un análisis que debe realizarse en un procedimiento contractual específico, esta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la Agencia Nacional de Contratación Pública – Colombia Compra Eficiente validar sus actuaciones.</w:t>
      </w:r>
    </w:p>
    <w:p w14:paraId="5EC20793" w14:textId="77777777" w:rsidR="00BC42BB" w:rsidRPr="006B17A7" w:rsidRDefault="00BC42BB" w:rsidP="00BC42BB">
      <w:pPr>
        <w:spacing w:after="120" w:line="276" w:lineRule="auto"/>
        <w:ind w:firstLine="708"/>
        <w:jc w:val="both"/>
        <w:rPr>
          <w:rFonts w:ascii="Verdana" w:eastAsia="Calibri" w:hAnsi="Verdana" w:cs="Arial"/>
        </w:rPr>
      </w:pPr>
    </w:p>
    <w:p w14:paraId="54A9803F" w14:textId="77777777" w:rsidR="00BC42BB" w:rsidRPr="006B17A7" w:rsidRDefault="00BC42BB" w:rsidP="00BC42BB">
      <w:pPr>
        <w:widowControl w:val="0"/>
        <w:autoSpaceDE w:val="0"/>
        <w:autoSpaceDN w:val="0"/>
        <w:spacing w:before="1" w:after="0" w:line="240" w:lineRule="auto"/>
        <w:outlineLvl w:val="0"/>
        <w:rPr>
          <w:rFonts w:ascii="Arial" w:eastAsia="Arial" w:hAnsi="Arial" w:cs="Arial"/>
          <w:b/>
          <w:bCs/>
          <w:lang w:val="es-ES"/>
        </w:rPr>
      </w:pPr>
      <w:r w:rsidRPr="006B17A7">
        <w:rPr>
          <w:rFonts w:ascii="Arial" w:eastAsia="Arial" w:hAnsi="Arial" w:cs="Arial"/>
          <w:b/>
          <w:bCs/>
          <w:lang w:val="es-ES"/>
        </w:rPr>
        <w:t xml:space="preserve">4. </w:t>
      </w:r>
      <w:r w:rsidRPr="006B17A7">
        <w:rPr>
          <w:rFonts w:ascii="Verdana" w:eastAsia="Arial" w:hAnsi="Verdana" w:cs="Arial"/>
          <w:b/>
          <w:bCs/>
          <w:lang w:val="es-ES"/>
        </w:rPr>
        <w:t>Referencias normativas, jurisprudenciales y otras fuentes:</w:t>
      </w:r>
    </w:p>
    <w:p w14:paraId="05A9E122" w14:textId="77777777" w:rsidR="00BC42BB" w:rsidRPr="006B17A7" w:rsidRDefault="00BC42BB" w:rsidP="00BC42BB">
      <w:pPr>
        <w:widowControl w:val="0"/>
        <w:autoSpaceDE w:val="0"/>
        <w:autoSpaceDN w:val="0"/>
        <w:spacing w:after="0" w:line="276" w:lineRule="auto"/>
        <w:jc w:val="both"/>
        <w:rPr>
          <w:rFonts w:ascii="Verdana" w:eastAsia="Aptos" w:hAnsi="Verdana" w:cs="Arial"/>
        </w:rPr>
      </w:pPr>
    </w:p>
    <w:tbl>
      <w:tblPr>
        <w:tblStyle w:val="Tablaconcuadrcula"/>
        <w:tblW w:w="8647"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BC42BB" w:rsidRPr="006B17A7" w14:paraId="245102D8" w14:textId="77777777" w:rsidTr="006428F2">
        <w:trPr>
          <w:trHeight w:val="870"/>
        </w:trPr>
        <w:tc>
          <w:tcPr>
            <w:tcW w:w="8647" w:type="dxa"/>
          </w:tcPr>
          <w:p w14:paraId="612E8C92" w14:textId="77777777" w:rsidR="00BC42BB" w:rsidRPr="005A5095" w:rsidRDefault="00BC42BB" w:rsidP="00BC42BB">
            <w:pPr>
              <w:numPr>
                <w:ilvl w:val="0"/>
                <w:numId w:val="17"/>
              </w:numPr>
              <w:spacing w:after="120" w:line="276" w:lineRule="auto"/>
              <w:contextualSpacing/>
              <w:jc w:val="both"/>
              <w:rPr>
                <w:rFonts w:ascii="Verdana" w:hAnsi="Verdana" w:cs="Arial"/>
                <w:lang w:val="es-ES"/>
              </w:rPr>
            </w:pPr>
            <w:r w:rsidRPr="005A5095">
              <w:rPr>
                <w:rFonts w:ascii="Verdana" w:hAnsi="Verdana" w:cs="Arial"/>
                <w:lang w:val="es-ES"/>
              </w:rPr>
              <w:lastRenderedPageBreak/>
              <w:t>Constitución Política: Artículo 355.</w:t>
            </w:r>
          </w:p>
          <w:p w14:paraId="51D3B838" w14:textId="77777777" w:rsidR="00BC42BB" w:rsidRPr="005A5095" w:rsidRDefault="00BC42BB" w:rsidP="00BC42BB">
            <w:pPr>
              <w:numPr>
                <w:ilvl w:val="0"/>
                <w:numId w:val="17"/>
              </w:numPr>
              <w:spacing w:after="120" w:line="276" w:lineRule="auto"/>
              <w:contextualSpacing/>
              <w:jc w:val="both"/>
              <w:rPr>
                <w:rFonts w:ascii="Verdana" w:eastAsia="Calibri" w:hAnsi="Verdana" w:cs="Arial"/>
                <w:lang w:val="es-ES" w:eastAsia="es-ES_tradnl"/>
              </w:rPr>
            </w:pPr>
            <w:r w:rsidRPr="005A5095">
              <w:rPr>
                <w:rFonts w:ascii="Verdana" w:eastAsia="Calibri" w:hAnsi="Verdana" w:cs="Arial"/>
                <w:lang w:val="es-ES" w:eastAsia="es-ES_tradnl"/>
              </w:rPr>
              <w:t xml:space="preserve">Ley 489 de 1998: Artículo 96. </w:t>
            </w:r>
          </w:p>
          <w:p w14:paraId="424F2DDC" w14:textId="77777777" w:rsidR="00BC42BB" w:rsidRPr="005A5095" w:rsidRDefault="00BC42BB" w:rsidP="00BC42BB">
            <w:pPr>
              <w:numPr>
                <w:ilvl w:val="0"/>
                <w:numId w:val="17"/>
              </w:numPr>
              <w:spacing w:after="120" w:line="276" w:lineRule="auto"/>
              <w:contextualSpacing/>
              <w:jc w:val="both"/>
              <w:rPr>
                <w:rFonts w:ascii="Verdana" w:hAnsi="Verdana"/>
                <w:lang w:val="es-ES"/>
              </w:rPr>
            </w:pPr>
            <w:r w:rsidRPr="005A5095">
              <w:rPr>
                <w:rFonts w:ascii="Verdana" w:hAnsi="Verdana"/>
                <w:lang w:val="es-ES"/>
              </w:rPr>
              <w:t>Decreto 092 de 2017.</w:t>
            </w:r>
          </w:p>
          <w:p w14:paraId="729F31E0" w14:textId="77777777" w:rsidR="00BC42BB" w:rsidRPr="005A5095" w:rsidRDefault="00BC42BB" w:rsidP="00BC42BB">
            <w:pPr>
              <w:numPr>
                <w:ilvl w:val="0"/>
                <w:numId w:val="17"/>
              </w:numPr>
              <w:spacing w:after="120" w:line="276" w:lineRule="auto"/>
              <w:contextualSpacing/>
              <w:jc w:val="both"/>
              <w:rPr>
                <w:rFonts w:ascii="Verdana" w:eastAsia="Calibri" w:hAnsi="Verdana" w:cs="Arial"/>
                <w:lang w:val="es-ES"/>
              </w:rPr>
            </w:pPr>
            <w:r w:rsidRPr="005A5095">
              <w:rPr>
                <w:rFonts w:ascii="Verdana" w:eastAsia="Times New Roman" w:hAnsi="Verdana" w:cs="Times New Roman"/>
                <w:shd w:val="clear" w:color="auto" w:fill="FFFFFF"/>
                <w:lang w:val="es-ES" w:eastAsia="es-ES_tradnl"/>
              </w:rPr>
              <w:t>Corte Constitucional. Sala Plena. Sentencia C-324 de 2009.</w:t>
            </w:r>
            <w:r w:rsidRPr="005A5095">
              <w:rPr>
                <w:rFonts w:ascii="Verdana" w:eastAsia="Calibri" w:hAnsi="Verdana" w:cs="Arial"/>
                <w:lang w:val="es-ES"/>
              </w:rPr>
              <w:t xml:space="preserve"> </w:t>
            </w:r>
          </w:p>
          <w:p w14:paraId="60496039" w14:textId="77777777" w:rsidR="00BC42BB" w:rsidRPr="005A5095" w:rsidRDefault="00BC42BB" w:rsidP="00BC42BB">
            <w:pPr>
              <w:numPr>
                <w:ilvl w:val="0"/>
                <w:numId w:val="17"/>
              </w:numPr>
              <w:spacing w:after="120" w:line="276" w:lineRule="auto"/>
              <w:contextualSpacing/>
              <w:jc w:val="both"/>
              <w:rPr>
                <w:rFonts w:ascii="Verdana" w:eastAsia="Calibri" w:hAnsi="Verdana" w:cs="Arial"/>
                <w:lang w:val="es-ES"/>
              </w:rPr>
            </w:pPr>
            <w:r w:rsidRPr="005A5095">
              <w:rPr>
                <w:rFonts w:ascii="Verdana" w:eastAsia="Calibri" w:hAnsi="Verdana" w:cs="Arial"/>
                <w:lang w:val="es-ES"/>
              </w:rPr>
              <w:t xml:space="preserve">Corte Constitucional. </w:t>
            </w:r>
            <w:r w:rsidRPr="005A5095">
              <w:rPr>
                <w:rFonts w:ascii="Verdana" w:eastAsia="Times New Roman" w:hAnsi="Verdana" w:cs="Times New Roman"/>
                <w:shd w:val="clear" w:color="auto" w:fill="FFFFFF"/>
                <w:lang w:val="es-ES" w:eastAsia="es-ES_tradnl"/>
              </w:rPr>
              <w:t xml:space="preserve">Sala Plena. </w:t>
            </w:r>
            <w:r w:rsidRPr="005A5095">
              <w:rPr>
                <w:rFonts w:ascii="Verdana" w:eastAsia="Calibri" w:hAnsi="Verdana" w:cs="Arial"/>
                <w:lang w:val="es-ES"/>
              </w:rPr>
              <w:t xml:space="preserve">Sentencia C-287 de 2012. </w:t>
            </w:r>
          </w:p>
          <w:p w14:paraId="79FD62AA" w14:textId="77777777" w:rsidR="00BC42BB" w:rsidRPr="005A5095" w:rsidRDefault="00BC42BB" w:rsidP="00BC42BB">
            <w:pPr>
              <w:numPr>
                <w:ilvl w:val="0"/>
                <w:numId w:val="17"/>
              </w:numPr>
              <w:spacing w:line="276" w:lineRule="auto"/>
              <w:contextualSpacing/>
              <w:jc w:val="both"/>
              <w:rPr>
                <w:rFonts w:ascii="Verdana" w:hAnsi="Verdana" w:cs="Arial"/>
                <w:lang w:val="es-ES"/>
              </w:rPr>
            </w:pPr>
            <w:r w:rsidRPr="005A5095">
              <w:rPr>
                <w:rFonts w:ascii="Verdana" w:hAnsi="Verdana" w:cs="Arial"/>
                <w:lang w:val="es-ES"/>
              </w:rPr>
              <w:t xml:space="preserve">Consejo de Estado. Sala de Consulta y Servicio Civil. Concepto del 24 de febrero de 2005, con radicado No. 1626. </w:t>
            </w:r>
          </w:p>
          <w:p w14:paraId="08BF0C8C" w14:textId="77777777" w:rsidR="00BC42BB" w:rsidRPr="006B17A7" w:rsidRDefault="00BC42BB" w:rsidP="00BC42BB">
            <w:pPr>
              <w:pStyle w:val="Prrafodelista"/>
              <w:numPr>
                <w:ilvl w:val="0"/>
                <w:numId w:val="17"/>
              </w:numPr>
              <w:spacing w:after="120" w:line="276" w:lineRule="auto"/>
              <w:jc w:val="both"/>
              <w:rPr>
                <w:rFonts w:ascii="Verdana" w:eastAsia="Aptos" w:hAnsi="Verdana" w:cs="Arial"/>
              </w:rPr>
            </w:pPr>
            <w:r w:rsidRPr="005A5095">
              <w:rPr>
                <w:rFonts w:ascii="Verdana" w:hAnsi="Verdana"/>
              </w:rPr>
              <w:t>Guía para la contratación con entidades privadas sin ánimo de lucro y de reconocida idoneidad, expedida por la Agencia Nacional de Contratación Pública – Colombia Compra Eficiente.</w:t>
            </w:r>
            <w:r w:rsidRPr="005A5095">
              <w:rPr>
                <w:rFonts w:ascii="Verdana" w:hAnsi="Verdana" w:cs="Arial"/>
              </w:rPr>
              <w:t xml:space="preserve"> Disponible en:</w:t>
            </w:r>
            <w:r w:rsidRPr="005A5095">
              <w:rPr>
                <w:rFonts w:ascii="Verdana" w:hAnsi="Verdana"/>
              </w:rPr>
              <w:t xml:space="preserve"> </w:t>
            </w:r>
            <w:hyperlink r:id="rId12" w:history="1">
              <w:r w:rsidRPr="005A5095">
                <w:rPr>
                  <w:rFonts w:ascii="Verdana" w:hAnsi="Verdana" w:cs="Arial"/>
                  <w:color w:val="0000FF"/>
                  <w:u w:val="single"/>
                </w:rPr>
                <w:t>https://www.colombiacompra.gov.co/manuales-guias-y-pliegos-tipo/manuales-y-guias</w:t>
              </w:r>
            </w:hyperlink>
            <w:r w:rsidRPr="005A5095">
              <w:rPr>
                <w:rFonts w:ascii="Verdana" w:hAnsi="Verdana" w:cs="Arial"/>
                <w:color w:val="0000FF"/>
                <w:u w:val="single"/>
              </w:rPr>
              <w:t xml:space="preserve">  </w:t>
            </w:r>
            <w:r w:rsidRPr="005A5095">
              <w:rPr>
                <w:rFonts w:ascii="Verdana" w:hAnsi="Verdana" w:cs="Arial"/>
              </w:rPr>
              <w:t xml:space="preserve">  </w:t>
            </w:r>
          </w:p>
        </w:tc>
      </w:tr>
    </w:tbl>
    <w:p w14:paraId="52E6E3D9" w14:textId="77777777" w:rsidR="00BC42BB" w:rsidRPr="006B17A7" w:rsidRDefault="00BC42BB" w:rsidP="00BC42BB">
      <w:pPr>
        <w:widowControl w:val="0"/>
        <w:autoSpaceDE w:val="0"/>
        <w:autoSpaceDN w:val="0"/>
        <w:spacing w:after="0" w:line="276" w:lineRule="auto"/>
        <w:jc w:val="both"/>
        <w:rPr>
          <w:rFonts w:ascii="Verdana" w:eastAsia="Aptos" w:hAnsi="Verdana" w:cs="Arial"/>
        </w:rPr>
      </w:pPr>
    </w:p>
    <w:p w14:paraId="7EBFCB54" w14:textId="77777777" w:rsidR="00BC42BB" w:rsidRPr="006B17A7" w:rsidRDefault="00BC42BB" w:rsidP="00BC42BB">
      <w:pPr>
        <w:widowControl w:val="0"/>
        <w:autoSpaceDE w:val="0"/>
        <w:autoSpaceDN w:val="0"/>
        <w:spacing w:before="1" w:after="0" w:line="240" w:lineRule="auto"/>
        <w:outlineLvl w:val="0"/>
        <w:rPr>
          <w:rFonts w:ascii="Verdana" w:eastAsia="Arial" w:hAnsi="Verdana" w:cs="Arial"/>
          <w:b/>
          <w:bCs/>
          <w:lang w:val="es-ES"/>
        </w:rPr>
      </w:pPr>
      <w:r w:rsidRPr="006B17A7">
        <w:rPr>
          <w:rFonts w:ascii="Verdana" w:eastAsia="Arial" w:hAnsi="Verdana" w:cs="Arial"/>
          <w:b/>
          <w:bCs/>
          <w:lang w:val="es-ES"/>
        </w:rPr>
        <w:t>5. Doctrina de la Agencia Nacional de Contratación Pública:</w:t>
      </w:r>
    </w:p>
    <w:p w14:paraId="1EE84B01" w14:textId="77777777" w:rsidR="00BC42BB" w:rsidRPr="006B17A7" w:rsidRDefault="00BC42BB" w:rsidP="00BC42BB">
      <w:pPr>
        <w:widowControl w:val="0"/>
        <w:autoSpaceDE w:val="0"/>
        <w:autoSpaceDN w:val="0"/>
        <w:spacing w:after="0" w:line="276" w:lineRule="auto"/>
        <w:jc w:val="both"/>
        <w:rPr>
          <w:rFonts w:ascii="Verdana" w:eastAsia="Aptos" w:hAnsi="Verdana" w:cs="Arial"/>
        </w:rPr>
      </w:pPr>
    </w:p>
    <w:p w14:paraId="50923802" w14:textId="77777777" w:rsidR="00BC42BB" w:rsidRPr="00ED0098" w:rsidRDefault="00BC42BB" w:rsidP="00BC42BB">
      <w:pPr>
        <w:widowControl w:val="0"/>
        <w:autoSpaceDE w:val="0"/>
        <w:autoSpaceDN w:val="0"/>
        <w:spacing w:after="0" w:line="276" w:lineRule="auto"/>
        <w:jc w:val="both"/>
        <w:rPr>
          <w:rStyle w:val="normaltextrun"/>
          <w:rFonts w:ascii="Verdana" w:hAnsi="Verdana" w:cs="Arial"/>
          <w:shd w:val="clear" w:color="auto" w:fill="FFFFFF"/>
        </w:rPr>
      </w:pPr>
      <w:r w:rsidRPr="005A5095">
        <w:rPr>
          <w:rFonts w:ascii="Verdana" w:hAnsi="Verdana" w:cs="Arial"/>
          <w:shd w:val="clear" w:color="auto" w:fill="FFFFFF"/>
          <w:lang w:val="es-ES"/>
        </w:rPr>
        <w:t xml:space="preserve">Esta Subdirección se ha pronunciado sobre el régimen contractual de las ESAL con fundamento en el Decreto 092 de 2017 en los Conceptos 4201912000008310 del 26 de diciembre de 2019, 4201912000007899 del 27 de diciembre de 2019, 4201912000007901 del 27 de diciembre de 2019, C-070 04 de marzo de 2020, C-094 del 04 de marzo de 2020, C-086 del 16 de marzo de 2020, C-101 del 16 de marzo de 2020, C-228 del 17 de marzo de 2020, C-014 del 24 de marzo de 2020, C-215 de 31 de marzo de 2020, C-223 del 29 de abril de 2020, C-416 del 30 junio de 2020, C-447 del 27 de julio de 2020, C-513 del 30 de julio de 2020, C-483 del 06 de agosto de 2020, C-579 del 4 de septiembre de 2020, C-594 del 7 de septiembre de 2020, C-670 del 22 de noviembre de 2020, C-689 del 1 de diciembre de 2020, C-724 de 14 de diciembre de 2020, C-749 del 23 de diciembre de 2020, C-758 del 04 de enero de 2021, C-806 de 8 de febrero de 2021, C-364 de 26 de julio de 2021, C-379 de 20 de julio de 2021, C-537 del 27 de septiembre de 2021,  C-021 del 22 de febrero de 2022, C-236 del 27 de abril de 2022, C-273 del 6 de mayo de 2022, C-274 del 6 de mayo de 2022, C-291 del 18 de mayo de 2022, C-331 del 24 de mayo de 2022, C-477 del 26 de julio de 2022, C-550 del 31 de agosto de 2022, C-560 del 7 de septiembre de 2022, C-624 del 28 de septiembre de 2022, C-771 del 30 de diciembre de 2022, C-853 del 9 de diciembre de 2022, C-351 del 6 de octubre de 2023, C-054 del 24 de abril de 2024, C-064 del 24 de abril de 2024, C-080 del 7 de mayo de 2024, C-073 del 22 de julio ce 2024, C-281 del </w:t>
      </w:r>
      <w:r w:rsidRPr="005A5095">
        <w:rPr>
          <w:rFonts w:ascii="Verdana" w:hAnsi="Verdana" w:cs="Arial"/>
          <w:shd w:val="clear" w:color="auto" w:fill="FFFFFF"/>
          <w:lang w:val="es-ES"/>
        </w:rPr>
        <w:lastRenderedPageBreak/>
        <w:t>29 de octubre de 2024</w:t>
      </w:r>
      <w:r>
        <w:rPr>
          <w:rFonts w:ascii="Verdana" w:hAnsi="Verdana" w:cs="Arial"/>
          <w:shd w:val="clear" w:color="auto" w:fill="FFFFFF"/>
          <w:lang w:val="es-ES"/>
        </w:rPr>
        <w:t xml:space="preserve"> y C-407 del 08 de mayo de 2025d</w:t>
      </w:r>
      <w:r w:rsidRPr="005A5095">
        <w:rPr>
          <w:rFonts w:ascii="Verdana" w:hAnsi="Verdana" w:cs="Arial"/>
          <w:shd w:val="clear" w:color="auto" w:fill="FFFFFF"/>
          <w:lang w:val="es-ES"/>
        </w:rPr>
        <w:t xml:space="preserve"> entre otros</w:t>
      </w:r>
      <w:r>
        <w:rPr>
          <w:rFonts w:ascii="Verdana" w:eastAsia="Calibri" w:hAnsi="Verdana" w:cs="Arial"/>
          <w:shd w:val="clear" w:color="auto" w:fill="FFFFFF"/>
        </w:rPr>
        <w:t>.</w:t>
      </w:r>
      <w:r>
        <w:rPr>
          <w:rStyle w:val="normaltextrun"/>
          <w:rFonts w:ascii="Verdana" w:hAnsi="Verdana" w:cs="Arial"/>
          <w:shd w:val="clear" w:color="auto" w:fill="FFFFFF"/>
        </w:rPr>
        <w:t xml:space="preserve"> </w:t>
      </w:r>
      <w:r w:rsidRPr="00E278D2">
        <w:rPr>
          <w:rStyle w:val="normaltextrun"/>
          <w:rFonts w:ascii="Verdana" w:hAnsi="Verdana" w:cs="Arial"/>
          <w:shd w:val="clear" w:color="auto" w:fill="FFFFFF"/>
        </w:rPr>
        <w:t>Estos y otros conceptos se encuentran disponibles para consulta en el Sistema de relatoría de la Agencia</w:t>
      </w:r>
      <w:r w:rsidRPr="00A1554D">
        <w:rPr>
          <w:rFonts w:ascii="Verdana" w:hAnsi="Verdana"/>
        </w:rPr>
        <w:t>, al cual puede acceder</w:t>
      </w:r>
      <w:r>
        <w:rPr>
          <w:rFonts w:ascii="Verdana" w:hAnsi="Verdana"/>
        </w:rPr>
        <w:t>se</w:t>
      </w:r>
      <w:r w:rsidRPr="00A1554D">
        <w:rPr>
          <w:rFonts w:ascii="Verdana" w:hAnsi="Verdana"/>
        </w:rPr>
        <w:t xml:space="preserve"> a través del siguiente enlace:</w:t>
      </w:r>
      <w:r>
        <w:rPr>
          <w:rFonts w:ascii="Verdana" w:hAnsi="Verdana" w:cs="Arial"/>
          <w:shd w:val="clear" w:color="auto" w:fill="FFFFFF"/>
        </w:rPr>
        <w:t xml:space="preserve"> </w:t>
      </w:r>
      <w:hyperlink r:id="rId13" w:history="1">
        <w:r w:rsidRPr="00186F77">
          <w:rPr>
            <w:rStyle w:val="Hipervnculo"/>
            <w:rFonts w:ascii="Verdana" w:hAnsi="Verdana" w:cs="Arial"/>
            <w:shd w:val="clear" w:color="auto" w:fill="FFFFFF"/>
          </w:rPr>
          <w:t>https://relatoria.colombiacompra.gov.co/busqueda/conceptos</w:t>
        </w:r>
      </w:hyperlink>
      <w:r>
        <w:rPr>
          <w:rStyle w:val="normaltextrun"/>
          <w:rFonts w:ascii="Verdana" w:hAnsi="Verdana" w:cs="Arial"/>
          <w:shd w:val="clear" w:color="auto" w:fill="FFFFFF"/>
        </w:rPr>
        <w:t>.</w:t>
      </w:r>
      <w:r w:rsidRPr="008D0AB0">
        <w:rPr>
          <w:rStyle w:val="normaltextrun"/>
          <w:rFonts w:ascii="Verdana" w:hAnsi="Verdana" w:cs="Arial"/>
          <w:shd w:val="clear" w:color="auto" w:fill="FFFFFF"/>
        </w:rPr>
        <w:t xml:space="preserve"> </w:t>
      </w:r>
      <w:r>
        <w:rPr>
          <w:rStyle w:val="normaltextrun"/>
          <w:rFonts w:ascii="Verdana" w:hAnsi="Verdana" w:cs="Arial"/>
          <w:color w:val="FF0000"/>
          <w:shd w:val="clear" w:color="auto" w:fill="FFFFFF"/>
          <w:lang w:val="es-ES"/>
        </w:rPr>
        <w:t xml:space="preserve"> </w:t>
      </w:r>
    </w:p>
    <w:p w14:paraId="147B8BFB" w14:textId="77777777" w:rsidR="00BC42BB" w:rsidRPr="00115E3D" w:rsidRDefault="00BC42BB" w:rsidP="00BC42BB">
      <w:pPr>
        <w:widowControl w:val="0"/>
        <w:autoSpaceDE w:val="0"/>
        <w:autoSpaceDN w:val="0"/>
        <w:spacing w:after="0" w:line="276" w:lineRule="auto"/>
        <w:jc w:val="both"/>
        <w:rPr>
          <w:rStyle w:val="normaltextrun"/>
          <w:rFonts w:ascii="Verdana" w:hAnsi="Verdana" w:cs="Arial"/>
          <w:color w:val="000000" w:themeColor="text1"/>
          <w:shd w:val="clear" w:color="auto" w:fill="FFFFFF"/>
          <w:lang w:val="es-ES"/>
        </w:rPr>
      </w:pPr>
      <w:r w:rsidRPr="00115E3D">
        <w:rPr>
          <w:rStyle w:val="normaltextrun"/>
          <w:rFonts w:ascii="Verdana" w:hAnsi="Verdana" w:cs="Arial"/>
          <w:color w:val="000000" w:themeColor="text1"/>
          <w:shd w:val="clear" w:color="auto" w:fill="FFFFFF"/>
          <w:lang w:val="es-ES"/>
        </w:rPr>
        <w:t xml:space="preserve">  </w:t>
      </w:r>
    </w:p>
    <w:p w14:paraId="62B5DB32" w14:textId="77777777" w:rsidR="00BC42BB" w:rsidRPr="009A385A" w:rsidRDefault="00BC42BB" w:rsidP="00BC42BB">
      <w:pPr>
        <w:jc w:val="both"/>
        <w:rPr>
          <w:rFonts w:ascii="Verdana" w:hAnsi="Verdana"/>
        </w:rPr>
      </w:pPr>
      <w:r w:rsidRPr="009A385A">
        <w:rPr>
          <w:rFonts w:ascii="Verdana" w:hAnsi="Verdana"/>
        </w:rPr>
        <w:t xml:space="preserve">La sostenibilidad no es una opción, es una </w:t>
      </w:r>
      <w:r>
        <w:rPr>
          <w:rFonts w:ascii="Verdana" w:hAnsi="Verdana"/>
        </w:rPr>
        <w:t>obligación</w:t>
      </w:r>
      <w:r w:rsidRPr="009A385A">
        <w:rPr>
          <w:rFonts w:ascii="Verdana" w:hAnsi="Verdana"/>
        </w:rPr>
        <w:t xml:space="preserve">. Por ello, la Agencia Nacional de Contratación Pública –Colombia Compra Eficiente– te invita a realizar el </w:t>
      </w:r>
      <w:r w:rsidRPr="009A385A">
        <w:rPr>
          <w:rFonts w:ascii="Verdana" w:hAnsi="Verdana"/>
          <w:b/>
          <w:bCs/>
        </w:rPr>
        <w:t>Curso de Contratación Pública Sostenible y Socialmente Responsable</w:t>
      </w:r>
      <w:r w:rsidRPr="009A385A">
        <w:rPr>
          <w:rFonts w:ascii="Verdana" w:hAnsi="Verdana"/>
        </w:rPr>
        <w:t xml:space="preserve">, una herramienta clave para fortalecer las capacidades de todos los </w:t>
      </w:r>
      <w:r>
        <w:rPr>
          <w:rFonts w:ascii="Verdana" w:hAnsi="Verdana"/>
        </w:rPr>
        <w:t xml:space="preserve">compradores públicos, proveedores, servidores públicos v para </w:t>
      </w:r>
      <w:r w:rsidRPr="009A385A">
        <w:rPr>
          <w:rFonts w:ascii="Verdana" w:hAnsi="Verdana"/>
        </w:rPr>
        <w:t>generar mayor valor público. Accede al curso</w:t>
      </w:r>
      <w:r>
        <w:rPr>
          <w:rFonts w:ascii="Verdana" w:hAnsi="Verdana"/>
        </w:rPr>
        <w:t xml:space="preserve"> y aprende como implementar criterios sociales y ambientales en las diferentes etapas del proceso de contratación</w:t>
      </w:r>
      <w:r w:rsidRPr="009A385A">
        <w:rPr>
          <w:rFonts w:ascii="Verdana" w:hAnsi="Verdana"/>
        </w:rPr>
        <w:t>:</w:t>
      </w:r>
      <w:r w:rsidRPr="009A385A">
        <w:rPr>
          <w:rFonts w:ascii="Verdana" w:hAnsi="Verdana"/>
        </w:rPr>
        <w:br/>
      </w:r>
      <w:hyperlink r:id="rId14" w:tgtFrame="_new" w:history="1">
        <w:r w:rsidRPr="009A385A">
          <w:rPr>
            <w:rStyle w:val="Hipervnculo"/>
            <w:rFonts w:ascii="Verdana" w:hAnsi="Verdana"/>
          </w:rPr>
          <w:t>https://formacionvirtual.colombiacompra.gov.co/mod/page/view.php?id=3718</w:t>
        </w:r>
      </w:hyperlink>
    </w:p>
    <w:p w14:paraId="75A70426" w14:textId="77777777" w:rsidR="00BC42BB" w:rsidRDefault="00BC42BB" w:rsidP="00BC42BB">
      <w:pPr>
        <w:jc w:val="both"/>
        <w:rPr>
          <w:rFonts w:ascii="Verdana" w:hAnsi="Verdana"/>
        </w:rPr>
      </w:pPr>
      <w:r>
        <w:rPr>
          <w:rFonts w:ascii="Verdana" w:hAnsi="Verdana"/>
        </w:rPr>
        <w:t>De otro lado, te contamos que</w:t>
      </w:r>
      <w:r w:rsidRPr="00B36954">
        <w:rPr>
          <w:rFonts w:ascii="Verdana" w:hAnsi="Verdana"/>
        </w:rPr>
        <w:t xml:space="preserve"> </w:t>
      </w:r>
      <w:r>
        <w:rPr>
          <w:rFonts w:ascii="Verdana" w:hAnsi="Verdana"/>
        </w:rPr>
        <w:t>esta</w:t>
      </w:r>
      <w:r w:rsidRPr="00B36954">
        <w:rPr>
          <w:rFonts w:ascii="Verdana" w:hAnsi="Verdana"/>
        </w:rPr>
        <w:t xml:space="preserve"> Agencia </w:t>
      </w:r>
      <w:r>
        <w:rPr>
          <w:rFonts w:ascii="Verdana" w:hAnsi="Verdana"/>
        </w:rPr>
        <w:t xml:space="preserve">ha </w:t>
      </w:r>
      <w:r w:rsidRPr="00635F16">
        <w:rPr>
          <w:rFonts w:ascii="Verdana" w:hAnsi="Verdana"/>
        </w:rPr>
        <w:t xml:space="preserve">da un paso decisivo en la estandarización y modernización del </w:t>
      </w:r>
      <w:r w:rsidRPr="009A385A">
        <w:rPr>
          <w:rFonts w:ascii="Verdana" w:hAnsi="Verdana"/>
          <w:b/>
          <w:bCs/>
        </w:rPr>
        <w:t>sector  social</w:t>
      </w:r>
      <w:r w:rsidRPr="00635F16">
        <w:rPr>
          <w:rFonts w:ascii="Verdana" w:hAnsi="Verdana"/>
        </w:rPr>
        <w:t xml:space="preserve"> con la expedición de las </w:t>
      </w:r>
      <w:r w:rsidRPr="009A385A">
        <w:rPr>
          <w:rFonts w:ascii="Verdana" w:hAnsi="Verdana"/>
          <w:b/>
          <w:bCs/>
        </w:rPr>
        <w:t>Resoluciones 539, 540, 541, 952 y 953 de 2025</w:t>
      </w:r>
      <w:r w:rsidRPr="00635F16">
        <w:rPr>
          <w:rFonts w:ascii="Verdana" w:hAnsi="Verdana"/>
        </w:rPr>
        <w:t xml:space="preserve">, </w:t>
      </w:r>
      <w:r w:rsidRPr="009A385A">
        <w:rPr>
          <w:rFonts w:ascii="Verdana" w:hAnsi="Verdana"/>
          <w:b/>
          <w:bCs/>
        </w:rPr>
        <w:t>mediante las cuales adopt</w:t>
      </w:r>
      <w:r>
        <w:rPr>
          <w:rFonts w:ascii="Verdana" w:hAnsi="Verdana"/>
          <w:b/>
          <w:bCs/>
        </w:rPr>
        <w:t>ó</w:t>
      </w:r>
      <w:r w:rsidRPr="009A385A">
        <w:rPr>
          <w:rFonts w:ascii="Verdana" w:hAnsi="Verdana"/>
          <w:b/>
          <w:bCs/>
        </w:rPr>
        <w:t xml:space="preserve"> Documentos Tipo</w:t>
      </w:r>
      <w:r w:rsidRPr="00635F16">
        <w:rPr>
          <w:rFonts w:ascii="Verdana" w:hAnsi="Verdana"/>
        </w:rPr>
        <w:t xml:space="preserve"> para</w:t>
      </w:r>
      <w:r>
        <w:rPr>
          <w:rFonts w:ascii="Verdana" w:hAnsi="Verdana"/>
        </w:rPr>
        <w:t xml:space="preserve"> las modalidades de selección </w:t>
      </w:r>
      <w:r w:rsidRPr="007D7084">
        <w:rPr>
          <w:rFonts w:ascii="Verdana" w:hAnsi="Verdana"/>
        </w:rPr>
        <w:t>de</w:t>
      </w:r>
      <w:r w:rsidRPr="009A385A">
        <w:rPr>
          <w:rFonts w:ascii="Verdana" w:hAnsi="Verdana"/>
          <w:b/>
          <w:bCs/>
        </w:rPr>
        <w:t xml:space="preserve"> licitación pública (versión 2), selección abreviada de menor cuantía, mínima cuantía, consultoría e interventoría</w:t>
      </w:r>
      <w:r w:rsidRPr="00635F16">
        <w:rPr>
          <w:rFonts w:ascii="Verdana" w:hAnsi="Verdana"/>
        </w:rPr>
        <w:t>, promoviendo procesos más transparentes, eficientes  competitivos</w:t>
      </w:r>
      <w:r>
        <w:rPr>
          <w:rFonts w:ascii="Verdana" w:hAnsi="Verdana"/>
        </w:rPr>
        <w:t xml:space="preserve"> y sostenibles</w:t>
      </w:r>
      <w:r w:rsidRPr="00635F16">
        <w:rPr>
          <w:rFonts w:ascii="Verdana" w:hAnsi="Verdana"/>
        </w:rPr>
        <w:t xml:space="preserve"> en sectores estratégicos como educación, salud, cultura, recreación</w:t>
      </w:r>
      <w:r>
        <w:rPr>
          <w:rFonts w:ascii="Verdana" w:hAnsi="Verdana"/>
        </w:rPr>
        <w:t xml:space="preserve">, </w:t>
      </w:r>
      <w:r w:rsidRPr="00635F16">
        <w:rPr>
          <w:rFonts w:ascii="Verdana" w:hAnsi="Verdana"/>
        </w:rPr>
        <w:t xml:space="preserve">deporte, institucional y vivienda. Consulta y descarga los documentos aquí: </w:t>
      </w:r>
      <w:hyperlink r:id="rId15" w:tgtFrame="_new" w:history="1">
        <w:r w:rsidRPr="00635F16">
          <w:rPr>
            <w:rStyle w:val="Hipervnculo"/>
            <w:rFonts w:ascii="Verdana" w:hAnsi="Verdana"/>
          </w:rPr>
          <w:t>https://www.colombiacompra.gov.co/normativa-y-relatoria/documentos-tipo</w:t>
        </w:r>
      </w:hyperlink>
    </w:p>
    <w:p w14:paraId="235710BB" w14:textId="77777777" w:rsidR="00BC42BB" w:rsidRPr="009A385A" w:rsidRDefault="00BC42BB" w:rsidP="00BC42BB">
      <w:pPr>
        <w:jc w:val="both"/>
        <w:rPr>
          <w:rFonts w:ascii="Verdana" w:hAnsi="Verdana"/>
        </w:rPr>
      </w:pPr>
      <w:r>
        <w:rPr>
          <w:rFonts w:ascii="Verdana" w:hAnsi="Verdana"/>
        </w:rPr>
        <w:t>Si quieres conocer más sobre la aplicación de Documentos Tipo</w:t>
      </w:r>
      <w:r w:rsidRPr="009A385A">
        <w:rPr>
          <w:rFonts w:ascii="Verdana" w:hAnsi="Verdana"/>
        </w:rPr>
        <w:t xml:space="preserve"> </w:t>
      </w:r>
      <w:r>
        <w:rPr>
          <w:rFonts w:ascii="Verdana" w:hAnsi="Verdana"/>
        </w:rPr>
        <w:t xml:space="preserve">puedes </w:t>
      </w:r>
      <w:r w:rsidRPr="00797327">
        <w:rPr>
          <w:rFonts w:ascii="Verdana" w:hAnsi="Verdana"/>
        </w:rPr>
        <w:t>consulta</w:t>
      </w:r>
      <w:r>
        <w:rPr>
          <w:rFonts w:ascii="Verdana" w:hAnsi="Verdana"/>
        </w:rPr>
        <w:t>r</w:t>
      </w:r>
      <w:r w:rsidRPr="009A385A">
        <w:rPr>
          <w:rFonts w:ascii="Verdana" w:hAnsi="Verdana"/>
        </w:rPr>
        <w:t xml:space="preserve"> la</w:t>
      </w:r>
      <w:r w:rsidRPr="00797327">
        <w:rPr>
          <w:rFonts w:ascii="Verdana" w:hAnsi="Verdana"/>
        </w:rPr>
        <w:t xml:space="preserve"> última versión de la</w:t>
      </w:r>
      <w:r w:rsidRPr="009A385A">
        <w:rPr>
          <w:rFonts w:ascii="Verdana" w:hAnsi="Verdana"/>
        </w:rPr>
        <w:t xml:space="preserve"> </w:t>
      </w:r>
      <w:r w:rsidRPr="009A385A">
        <w:rPr>
          <w:rFonts w:ascii="Verdana" w:hAnsi="Verdana"/>
          <w:b/>
          <w:bCs/>
        </w:rPr>
        <w:t>Guía para la comprensión e implementación de los Documentos Tipo de obra pública de infraestructura de transporte</w:t>
      </w:r>
      <w:r w:rsidRPr="00797327">
        <w:rPr>
          <w:rFonts w:ascii="Verdana" w:hAnsi="Verdana"/>
        </w:rPr>
        <w:t xml:space="preserve">. En </w:t>
      </w:r>
      <w:r>
        <w:rPr>
          <w:rFonts w:ascii="Verdana" w:hAnsi="Verdana"/>
        </w:rPr>
        <w:t xml:space="preserve">esta </w:t>
      </w:r>
      <w:r w:rsidRPr="00797327">
        <w:rPr>
          <w:rFonts w:ascii="Verdana" w:hAnsi="Verdana"/>
        </w:rPr>
        <w:t>actualización</w:t>
      </w:r>
      <w:r>
        <w:rPr>
          <w:rFonts w:ascii="Verdana" w:hAnsi="Verdana"/>
        </w:rPr>
        <w:t xml:space="preserve"> </w:t>
      </w:r>
      <w:r w:rsidRPr="00797327">
        <w:rPr>
          <w:rFonts w:ascii="Verdana" w:hAnsi="Verdana"/>
        </w:rPr>
        <w:t>se incorporaron orientaciones prácticas dirigidas a entidades públicas, proveedores, organismos de control y demás interesados, con el propósito de facilitar la adecuada implementación de est</w:t>
      </w:r>
      <w:r>
        <w:rPr>
          <w:rFonts w:ascii="Verdana" w:hAnsi="Verdana"/>
        </w:rPr>
        <w:t>os</w:t>
      </w:r>
      <w:r w:rsidRPr="00797327">
        <w:rPr>
          <w:rFonts w:ascii="Verdana" w:hAnsi="Verdana"/>
        </w:rPr>
        <w:t xml:space="preserve"> instrumento</w:t>
      </w:r>
      <w:r>
        <w:rPr>
          <w:rFonts w:ascii="Verdana" w:hAnsi="Verdana"/>
        </w:rPr>
        <w:t>s</w:t>
      </w:r>
      <w:r w:rsidRPr="00797327">
        <w:rPr>
          <w:rFonts w:ascii="Verdana" w:hAnsi="Verdana"/>
        </w:rPr>
        <w:t xml:space="preserve"> en los procesos contractuales.</w:t>
      </w:r>
      <w:r w:rsidRPr="009A385A">
        <w:rPr>
          <w:rFonts w:ascii="Verdana" w:hAnsi="Verdana"/>
        </w:rPr>
        <w:t xml:space="preserve"> </w:t>
      </w:r>
      <w:r w:rsidRPr="00797327">
        <w:rPr>
          <w:rFonts w:ascii="Verdana" w:hAnsi="Verdana"/>
        </w:rPr>
        <w:t>Además se incluye</w:t>
      </w:r>
      <w:r>
        <w:rPr>
          <w:rFonts w:ascii="Verdana" w:hAnsi="Verdana"/>
        </w:rPr>
        <w:t>ron</w:t>
      </w:r>
      <w:r w:rsidRPr="00797327">
        <w:rPr>
          <w:rFonts w:ascii="Verdana" w:hAnsi="Verdana"/>
        </w:rPr>
        <w:t xml:space="preserve"> lineamientos que orientan la implementación de los criterios ambientales y sociales incluidos en los documentos tipo: </w:t>
      </w:r>
      <w:r w:rsidRPr="009A385A">
        <w:rPr>
          <w:rFonts w:ascii="Verdana" w:hAnsi="Verdana"/>
        </w:rPr>
        <w:t>Consulta la guía aquí:</w:t>
      </w:r>
      <w:r w:rsidRPr="009A385A">
        <w:rPr>
          <w:rFonts w:ascii="Verdana" w:hAnsi="Verdana"/>
        </w:rPr>
        <w:br/>
      </w:r>
      <w:hyperlink r:id="rId16" w:tgtFrame="_new" w:history="1">
        <w:r w:rsidRPr="009A385A">
          <w:rPr>
            <w:rStyle w:val="Hipervnculo"/>
            <w:rFonts w:ascii="Verdana" w:hAnsi="Verdana"/>
          </w:rPr>
          <w:t>https://www.colombiacompra.gov.co/archivos/manual/guia-para-la-comprension-e-implementacion-de-los-documentos-tipo-de-obra-publica-de-infraestructura-de-transporte-bajo-las-diferentes-modalidades-de-contratacion-vigentes</w:t>
        </w:r>
      </w:hyperlink>
    </w:p>
    <w:p w14:paraId="5E299133" w14:textId="77777777" w:rsidR="00BC42BB" w:rsidRPr="00115E3D" w:rsidRDefault="00BC42BB" w:rsidP="00BC42BB">
      <w:pPr>
        <w:spacing w:after="0" w:line="240" w:lineRule="auto"/>
        <w:jc w:val="both"/>
        <w:rPr>
          <w:rFonts w:ascii="Verdana" w:hAnsi="Verdana"/>
          <w:color w:val="000000" w:themeColor="text1"/>
        </w:rPr>
      </w:pPr>
      <w:r>
        <w:rPr>
          <w:rFonts w:ascii="Verdana" w:hAnsi="Verdana"/>
          <w:color w:val="000000" w:themeColor="text1"/>
        </w:rPr>
        <w:lastRenderedPageBreak/>
        <w:t>L</w:t>
      </w:r>
      <w:r w:rsidRPr="00115E3D">
        <w:rPr>
          <w:rFonts w:ascii="Verdana" w:hAnsi="Verdana"/>
          <w:color w:val="000000" w:themeColor="text1"/>
        </w:rPr>
        <w:t xml:space="preserve">o invitamos a seguirnos en las redes sociales en las cuales se difunde información institucional: </w:t>
      </w:r>
    </w:p>
    <w:p w14:paraId="7BB4455D" w14:textId="77777777" w:rsidR="00BC42BB" w:rsidRPr="00115E3D" w:rsidRDefault="00BC42BB" w:rsidP="00BC42BB">
      <w:pPr>
        <w:spacing w:after="0" w:line="240" w:lineRule="auto"/>
        <w:jc w:val="both"/>
        <w:rPr>
          <w:rFonts w:ascii="Verdana" w:hAnsi="Verdana"/>
          <w:color w:val="000000" w:themeColor="text1"/>
        </w:rPr>
      </w:pPr>
    </w:p>
    <w:p w14:paraId="4DD5F9F2" w14:textId="77777777" w:rsidR="00BC42BB" w:rsidRPr="00115E3D" w:rsidRDefault="00BC42BB" w:rsidP="00BC42BB">
      <w:pPr>
        <w:spacing w:after="0" w:line="240" w:lineRule="auto"/>
        <w:jc w:val="both"/>
        <w:rPr>
          <w:rFonts w:ascii="Verdana" w:hAnsi="Verdana"/>
          <w:color w:val="000000" w:themeColor="text1"/>
        </w:rPr>
      </w:pPr>
      <w:r w:rsidRPr="00115E3D">
        <w:rPr>
          <w:rFonts w:ascii="Verdana" w:hAnsi="Verdana"/>
          <w:color w:val="000000" w:themeColor="text1"/>
        </w:rPr>
        <w:t xml:space="preserve">Twitter: </w:t>
      </w:r>
      <w:r w:rsidRPr="00115E3D">
        <w:rPr>
          <w:rStyle w:val="Hipervnculo"/>
          <w:rFonts w:ascii="Verdana" w:hAnsi="Verdana"/>
          <w:color w:val="000000" w:themeColor="text1"/>
        </w:rPr>
        <w:t>@colombiacompra</w:t>
      </w:r>
      <w:r w:rsidRPr="00115E3D">
        <w:rPr>
          <w:rFonts w:ascii="Verdana" w:hAnsi="Verdana"/>
          <w:color w:val="000000" w:themeColor="text1"/>
        </w:rPr>
        <w:t xml:space="preserve"> </w:t>
      </w:r>
    </w:p>
    <w:p w14:paraId="24E287D1" w14:textId="77777777" w:rsidR="00BC42BB" w:rsidRPr="00115E3D" w:rsidRDefault="00BC42BB" w:rsidP="00BC42BB">
      <w:pPr>
        <w:spacing w:after="0" w:line="240" w:lineRule="auto"/>
        <w:jc w:val="both"/>
        <w:rPr>
          <w:rFonts w:ascii="Verdana" w:hAnsi="Verdana"/>
          <w:color w:val="000000" w:themeColor="text1"/>
        </w:rPr>
      </w:pPr>
      <w:r w:rsidRPr="00115E3D">
        <w:rPr>
          <w:rFonts w:ascii="Verdana" w:hAnsi="Verdana"/>
          <w:color w:val="000000" w:themeColor="text1"/>
        </w:rPr>
        <w:t xml:space="preserve">Facebook: </w:t>
      </w:r>
      <w:r w:rsidRPr="00115E3D">
        <w:rPr>
          <w:rStyle w:val="Hipervnculo"/>
          <w:rFonts w:ascii="Verdana" w:hAnsi="Verdana"/>
          <w:color w:val="000000" w:themeColor="text1"/>
        </w:rPr>
        <w:t>ColombiaCompraEficiente</w:t>
      </w:r>
    </w:p>
    <w:p w14:paraId="21811AAB" w14:textId="77777777" w:rsidR="00BC42BB" w:rsidRPr="00115E3D" w:rsidRDefault="00BC42BB" w:rsidP="00BC42BB">
      <w:pPr>
        <w:spacing w:after="0" w:line="240" w:lineRule="auto"/>
        <w:jc w:val="both"/>
        <w:rPr>
          <w:rFonts w:ascii="Verdana" w:hAnsi="Verdana"/>
          <w:color w:val="000000" w:themeColor="text1"/>
        </w:rPr>
      </w:pPr>
      <w:r w:rsidRPr="00115E3D">
        <w:rPr>
          <w:rFonts w:ascii="Verdana" w:hAnsi="Verdana"/>
          <w:color w:val="000000" w:themeColor="text1"/>
        </w:rPr>
        <w:t xml:space="preserve">LinkedIn: </w:t>
      </w:r>
      <w:r w:rsidRPr="00115E3D">
        <w:rPr>
          <w:rStyle w:val="Hipervnculo"/>
          <w:rFonts w:ascii="Verdana" w:hAnsi="Verdana"/>
          <w:color w:val="000000" w:themeColor="text1"/>
        </w:rPr>
        <w:t>Agencia Nacional de Contratación Pública - Colombia Compra Eficiente</w:t>
      </w:r>
      <w:r w:rsidRPr="00115E3D">
        <w:rPr>
          <w:rFonts w:ascii="Verdana" w:hAnsi="Verdana"/>
          <w:color w:val="000000" w:themeColor="text1"/>
        </w:rPr>
        <w:t xml:space="preserve"> Instagram: </w:t>
      </w:r>
      <w:r w:rsidRPr="00115E3D">
        <w:rPr>
          <w:rStyle w:val="Hipervnculo"/>
          <w:rFonts w:ascii="Verdana" w:hAnsi="Verdana"/>
          <w:color w:val="000000" w:themeColor="text1"/>
        </w:rPr>
        <w:t>@colombiacompraeficiente_cce</w:t>
      </w:r>
    </w:p>
    <w:p w14:paraId="70E8DF5F" w14:textId="77777777" w:rsidR="00BC42BB" w:rsidRPr="00115E3D" w:rsidRDefault="00BC42BB" w:rsidP="00BC42BB">
      <w:pPr>
        <w:widowControl w:val="0"/>
        <w:autoSpaceDE w:val="0"/>
        <w:autoSpaceDN w:val="0"/>
        <w:spacing w:after="0" w:line="276" w:lineRule="auto"/>
        <w:jc w:val="both"/>
        <w:rPr>
          <w:rFonts w:ascii="Verdana" w:hAnsi="Verdana" w:cs="Arial"/>
          <w:color w:val="000000" w:themeColor="text1"/>
        </w:rPr>
      </w:pPr>
    </w:p>
    <w:p w14:paraId="30CE23C4" w14:textId="77777777" w:rsidR="00BC42BB" w:rsidRPr="00115E3D" w:rsidRDefault="00BC42BB" w:rsidP="00BC42BB">
      <w:pPr>
        <w:widowControl w:val="0"/>
        <w:autoSpaceDE w:val="0"/>
        <w:autoSpaceDN w:val="0"/>
        <w:spacing w:after="0" w:line="276" w:lineRule="auto"/>
        <w:jc w:val="both"/>
        <w:rPr>
          <w:rFonts w:ascii="Verdana" w:hAnsi="Verdana" w:cs="Arial"/>
          <w:color w:val="000000" w:themeColor="text1"/>
          <w:lang w:val="es-ES_tradnl"/>
        </w:rPr>
      </w:pPr>
      <w:r w:rsidRPr="00115E3D">
        <w:rPr>
          <w:rFonts w:ascii="Verdana" w:hAnsi="Verdana" w:cs="Arial"/>
          <w:color w:val="000000" w:themeColor="text1"/>
        </w:rPr>
        <w:t xml:space="preserve">Este concepto tiene el alcance previsto en el artículo 28 del Código de Procedimiento Administrativo y de lo Contencioso Administrativo </w:t>
      </w:r>
      <w:r w:rsidRPr="00115E3D">
        <w:rPr>
          <w:rFonts w:ascii="Verdana" w:hAnsi="Verdana" w:cs="Arial"/>
          <w:color w:val="000000" w:themeColor="text1"/>
          <w:lang w:val="es-ES_tradnl"/>
        </w:rPr>
        <w:t>y las expresiones aquí utilizadas con mayúscula inicial deben ser entendidas con el significado que les otorga el artículo 2.2.1.1.1.3.1. del Decreto 1082 de 2015.</w:t>
      </w:r>
    </w:p>
    <w:p w14:paraId="6F3EF18A" w14:textId="77777777" w:rsidR="00BC42BB" w:rsidRDefault="00BC42BB" w:rsidP="00BC42BB">
      <w:pPr>
        <w:spacing w:after="0" w:line="240" w:lineRule="auto"/>
        <w:rPr>
          <w:rFonts w:ascii="Verdana" w:eastAsia="Times New Roman" w:hAnsi="Verdana" w:cs="Arial"/>
          <w:color w:val="000000" w:themeColor="text1"/>
          <w:lang w:eastAsia="es-CO"/>
        </w:rPr>
      </w:pPr>
    </w:p>
    <w:p w14:paraId="5CC52514" w14:textId="77777777" w:rsidR="00BC42BB" w:rsidRDefault="00BC42BB" w:rsidP="00BC42BB">
      <w:pPr>
        <w:spacing w:after="0" w:line="240" w:lineRule="auto"/>
        <w:rPr>
          <w:rFonts w:ascii="Verdana" w:eastAsia="Times New Roman" w:hAnsi="Verdana" w:cs="Arial"/>
          <w:color w:val="000000" w:themeColor="text1"/>
          <w:lang w:eastAsia="es-CO"/>
        </w:rPr>
      </w:pPr>
    </w:p>
    <w:p w14:paraId="122C6A7A" w14:textId="77777777" w:rsidR="00BC42BB" w:rsidRPr="00115E3D" w:rsidRDefault="00BC42BB" w:rsidP="00BC42BB">
      <w:pPr>
        <w:spacing w:after="0" w:line="240" w:lineRule="auto"/>
        <w:rPr>
          <w:rFonts w:ascii="Verdana" w:hAnsi="Verdana" w:cs="Arial"/>
          <w:color w:val="000000" w:themeColor="text1"/>
          <w:lang w:eastAsia="es-CO"/>
        </w:rPr>
      </w:pPr>
      <w:r w:rsidRPr="00115E3D">
        <w:rPr>
          <w:rFonts w:ascii="Verdana" w:eastAsia="Times New Roman" w:hAnsi="Verdana" w:cs="Arial"/>
          <w:color w:val="000000" w:themeColor="text1"/>
          <w:lang w:eastAsia="es-CO"/>
        </w:rPr>
        <w:t>Atentamente,</w:t>
      </w:r>
      <w:r w:rsidRPr="00115E3D">
        <w:rPr>
          <w:rFonts w:ascii="Verdana" w:hAnsi="Verdana" w:cs="Arial"/>
          <w:color w:val="000000" w:themeColor="text1"/>
          <w:lang w:eastAsia="es-CO"/>
        </w:rPr>
        <w:t xml:space="preserve"> </w:t>
      </w:r>
    </w:p>
    <w:p w14:paraId="6ACCFBC6" w14:textId="77777777" w:rsidR="00BB6C04" w:rsidRDefault="00BB6C04" w:rsidP="00BC42BB">
      <w:pPr>
        <w:spacing w:line="276" w:lineRule="auto"/>
        <w:jc w:val="center"/>
        <w:rPr>
          <w:noProof/>
        </w:rPr>
      </w:pPr>
    </w:p>
    <w:p w14:paraId="4CFD879C" w14:textId="224FB03A" w:rsidR="00BC42BB" w:rsidRDefault="00BB6C04" w:rsidP="00BC42BB">
      <w:pPr>
        <w:spacing w:line="276" w:lineRule="auto"/>
        <w:jc w:val="center"/>
        <w:rPr>
          <w:noProof/>
          <w:color w:val="000000" w:themeColor="text1"/>
          <w:lang w:val="es-ES_tradnl" w:eastAsia="es-CO"/>
        </w:rPr>
      </w:pPr>
      <w:r>
        <w:rPr>
          <w:noProof/>
        </w:rPr>
        <w:drawing>
          <wp:inline distT="0" distB="0" distL="0" distR="0" wp14:anchorId="02E85609" wp14:editId="367F1719">
            <wp:extent cx="3040380" cy="1305182"/>
            <wp:effectExtent l="0" t="0" r="7620" b="9525"/>
            <wp:docPr id="88156750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52850" cy="1310535"/>
                    </a:xfrm>
                    <a:prstGeom prst="rect">
                      <a:avLst/>
                    </a:prstGeom>
                    <a:noFill/>
                    <a:ln>
                      <a:noFill/>
                    </a:ln>
                  </pic:spPr>
                </pic:pic>
              </a:graphicData>
            </a:graphic>
          </wp:inline>
        </w:drawing>
      </w:r>
      <w:r w:rsidR="00BC42BB">
        <w:rPr>
          <w:noProof/>
          <w:color w:val="000000" w:themeColor="text1"/>
          <w:lang w:val="es-ES_tradnl" w:eastAsia="es-CO"/>
        </w:rPr>
        <w:t xml:space="preserve"> </w:t>
      </w:r>
    </w:p>
    <w:tbl>
      <w:tblPr>
        <w:tblStyle w:val="Tablaconcuadrcula"/>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628"/>
      </w:tblGrid>
      <w:tr w:rsidR="00BC42BB" w:rsidRPr="00115E3D" w14:paraId="2567779C" w14:textId="77777777" w:rsidTr="006428F2">
        <w:trPr>
          <w:trHeight w:val="315"/>
        </w:trPr>
        <w:tc>
          <w:tcPr>
            <w:tcW w:w="893" w:type="dxa"/>
            <w:vAlign w:val="center"/>
            <w:hideMark/>
          </w:tcPr>
          <w:p w14:paraId="33F81DB9" w14:textId="77777777" w:rsidR="00BC42BB" w:rsidRPr="00115E3D" w:rsidRDefault="00BC42BB" w:rsidP="006428F2">
            <w:pPr>
              <w:contextualSpacing/>
              <w:rPr>
                <w:rFonts w:ascii="Verdana" w:hAnsi="Verdana" w:cs="Arial"/>
                <w:color w:val="000000" w:themeColor="text1"/>
                <w:sz w:val="16"/>
                <w:szCs w:val="16"/>
                <w:lang w:val="es-ES" w:eastAsia="es-ES"/>
              </w:rPr>
            </w:pPr>
            <w:r w:rsidRPr="00115E3D">
              <w:rPr>
                <w:rFonts w:ascii="Verdana" w:hAnsi="Verdana" w:cs="Arial"/>
                <w:color w:val="000000" w:themeColor="text1"/>
                <w:sz w:val="16"/>
                <w:szCs w:val="16"/>
                <w:lang w:val="es-ES" w:eastAsia="es-ES"/>
              </w:rPr>
              <w:t>Elaboró:</w:t>
            </w:r>
          </w:p>
        </w:tc>
        <w:tc>
          <w:tcPr>
            <w:tcW w:w="5628" w:type="dxa"/>
            <w:tcBorders>
              <w:top w:val="nil"/>
              <w:left w:val="nil"/>
              <w:bottom w:val="dotted" w:sz="4" w:space="0" w:color="7F7F7F" w:themeColor="text1" w:themeTint="80"/>
              <w:right w:val="nil"/>
            </w:tcBorders>
            <w:vAlign w:val="center"/>
            <w:hideMark/>
          </w:tcPr>
          <w:p w14:paraId="50991B25" w14:textId="77777777" w:rsidR="00BC42BB" w:rsidRPr="00115E3D" w:rsidRDefault="00BC42BB" w:rsidP="006428F2">
            <w:pPr>
              <w:contextualSpacing/>
              <w:rPr>
                <w:rFonts w:ascii="Verdana" w:eastAsia="Arial" w:hAnsi="Verdana" w:cs="Arial"/>
                <w:color w:val="000000" w:themeColor="text1"/>
                <w:sz w:val="16"/>
                <w:szCs w:val="16"/>
              </w:rPr>
            </w:pPr>
            <w:r>
              <w:rPr>
                <w:rFonts w:ascii="Verdana" w:eastAsia="Arial" w:hAnsi="Verdana" w:cs="Arial"/>
                <w:color w:val="000000" w:themeColor="text1"/>
                <w:sz w:val="16"/>
                <w:szCs w:val="16"/>
              </w:rPr>
              <w:t>Daniel Eduardo Rojas Poveda</w:t>
            </w:r>
          </w:p>
          <w:p w14:paraId="1CB34B96" w14:textId="77777777" w:rsidR="00BC42BB" w:rsidRPr="00115E3D" w:rsidRDefault="00BC42BB" w:rsidP="006428F2">
            <w:pPr>
              <w:contextualSpacing/>
              <w:rPr>
                <w:rFonts w:ascii="Verdana" w:eastAsia="Arial" w:hAnsi="Verdana" w:cs="Arial"/>
                <w:color w:val="000000" w:themeColor="text1"/>
                <w:sz w:val="16"/>
                <w:szCs w:val="16"/>
              </w:rPr>
            </w:pPr>
            <w:r w:rsidRPr="00AB5151">
              <w:rPr>
                <w:rStyle w:val="normaltextrun"/>
                <w:rFonts w:ascii="Verdana" w:eastAsia="Arial" w:hAnsi="Verdana" w:cs="Times New Roman"/>
                <w:color w:val="000000" w:themeColor="text1"/>
                <w:sz w:val="16"/>
                <w:szCs w:val="16"/>
              </w:rPr>
              <w:t>C</w:t>
            </w:r>
            <w:r w:rsidRPr="00AB5151">
              <w:rPr>
                <w:rStyle w:val="normaltextrun"/>
                <w:rFonts w:ascii="Verdana" w:eastAsia="Arial" w:hAnsi="Verdana" w:cs="Times New Roman"/>
                <w:sz w:val="16"/>
                <w:szCs w:val="16"/>
              </w:rPr>
              <w:t xml:space="preserve">ontratista </w:t>
            </w:r>
            <w:r w:rsidRPr="00115E3D">
              <w:rPr>
                <w:rStyle w:val="normaltextrun"/>
                <w:rFonts w:ascii="Verdana" w:eastAsia="Arial" w:hAnsi="Verdana" w:cs="Arial"/>
                <w:color w:val="000000" w:themeColor="text1"/>
                <w:sz w:val="16"/>
                <w:szCs w:val="16"/>
              </w:rPr>
              <w:t>de la Subdirección de Gestión Contractual</w:t>
            </w:r>
          </w:p>
        </w:tc>
      </w:tr>
      <w:tr w:rsidR="00BC42BB" w:rsidRPr="00115E3D" w14:paraId="4ED38390" w14:textId="77777777" w:rsidTr="006428F2">
        <w:trPr>
          <w:trHeight w:val="330"/>
        </w:trPr>
        <w:tc>
          <w:tcPr>
            <w:tcW w:w="893" w:type="dxa"/>
            <w:vAlign w:val="center"/>
            <w:hideMark/>
          </w:tcPr>
          <w:p w14:paraId="0D646568" w14:textId="77777777" w:rsidR="00BC42BB" w:rsidRPr="00115E3D" w:rsidRDefault="00BC42BB" w:rsidP="006428F2">
            <w:pPr>
              <w:contextualSpacing/>
              <w:rPr>
                <w:rFonts w:ascii="Verdana" w:hAnsi="Verdana" w:cs="Arial"/>
                <w:color w:val="000000" w:themeColor="text1"/>
                <w:sz w:val="16"/>
                <w:szCs w:val="16"/>
                <w:lang w:val="es-ES" w:eastAsia="es-ES"/>
              </w:rPr>
            </w:pPr>
            <w:r w:rsidRPr="00115E3D">
              <w:rPr>
                <w:rFonts w:ascii="Verdana" w:hAnsi="Verdana" w:cs="Arial"/>
                <w:color w:val="000000" w:themeColor="text1"/>
                <w:sz w:val="16"/>
                <w:szCs w:val="16"/>
                <w:lang w:val="es-ES" w:eastAsia="es-ES"/>
              </w:rPr>
              <w:t>Revisó:</w:t>
            </w:r>
          </w:p>
        </w:tc>
        <w:tc>
          <w:tcPr>
            <w:tcW w:w="5628" w:type="dxa"/>
            <w:tcBorders>
              <w:top w:val="dotted" w:sz="4" w:space="0" w:color="7F7F7F" w:themeColor="text1" w:themeTint="80"/>
              <w:left w:val="nil"/>
              <w:bottom w:val="dotted" w:sz="4" w:space="0" w:color="7F7F7F" w:themeColor="text1" w:themeTint="80"/>
              <w:right w:val="nil"/>
            </w:tcBorders>
            <w:vAlign w:val="center"/>
            <w:hideMark/>
          </w:tcPr>
          <w:p w14:paraId="5F92F011" w14:textId="77777777" w:rsidR="00BC42BB" w:rsidRDefault="00BC42BB" w:rsidP="006428F2">
            <w:pPr>
              <w:pStyle w:val="paragraph"/>
              <w:spacing w:before="0" w:beforeAutospacing="0" w:after="0" w:afterAutospacing="0"/>
              <w:contextualSpacing/>
              <w:textAlignment w:val="baseline"/>
              <w:rPr>
                <w:rFonts w:ascii="Verdana" w:hAnsi="Verdana" w:cs="Segoe UI"/>
                <w:color w:val="000000" w:themeColor="text1"/>
                <w:sz w:val="16"/>
                <w:szCs w:val="16"/>
              </w:rPr>
            </w:pPr>
            <w:r w:rsidRPr="007879E1">
              <w:rPr>
                <w:rFonts w:ascii="Verdana" w:hAnsi="Verdana" w:cs="Segoe UI"/>
                <w:color w:val="000000" w:themeColor="text1"/>
                <w:sz w:val="16"/>
                <w:szCs w:val="16"/>
              </w:rPr>
              <w:t xml:space="preserve">Diana </w:t>
            </w:r>
            <w:r>
              <w:rPr>
                <w:rFonts w:ascii="Verdana" w:hAnsi="Verdana" w:cs="Segoe UI"/>
                <w:color w:val="000000" w:themeColor="text1"/>
                <w:sz w:val="16"/>
                <w:szCs w:val="16"/>
              </w:rPr>
              <w:t xml:space="preserve">Lucia </w:t>
            </w:r>
            <w:r w:rsidRPr="007879E1">
              <w:rPr>
                <w:rFonts w:ascii="Verdana" w:hAnsi="Verdana" w:cs="Segoe UI"/>
                <w:color w:val="000000" w:themeColor="text1"/>
                <w:sz w:val="16"/>
                <w:szCs w:val="16"/>
              </w:rPr>
              <w:t>Saavedra</w:t>
            </w:r>
          </w:p>
          <w:p w14:paraId="2310993D" w14:textId="77777777" w:rsidR="00BC42BB" w:rsidRPr="00115E3D" w:rsidRDefault="00BC42BB" w:rsidP="006428F2">
            <w:pPr>
              <w:pStyle w:val="paragraph"/>
              <w:spacing w:before="0" w:beforeAutospacing="0" w:after="0" w:afterAutospacing="0"/>
              <w:contextualSpacing/>
              <w:textAlignment w:val="baseline"/>
              <w:rPr>
                <w:rFonts w:ascii="Verdana" w:hAnsi="Verdana" w:cs="Segoe UI"/>
                <w:color w:val="000000" w:themeColor="text1"/>
                <w:sz w:val="16"/>
                <w:szCs w:val="16"/>
              </w:rPr>
            </w:pPr>
            <w:r>
              <w:rPr>
                <w:rStyle w:val="normaltextrun"/>
                <w:rFonts w:ascii="Verdana" w:hAnsi="Verdana" w:cs="Arial"/>
                <w:color w:val="000000" w:themeColor="text1"/>
                <w:sz w:val="16"/>
                <w:szCs w:val="16"/>
                <w:lang w:val="es-ES"/>
              </w:rPr>
              <w:t>Contratista</w:t>
            </w:r>
            <w:r w:rsidRPr="00115E3D">
              <w:rPr>
                <w:rStyle w:val="normaltextrun"/>
                <w:rFonts w:ascii="Verdana" w:hAnsi="Verdana" w:cs="Arial"/>
                <w:color w:val="000000" w:themeColor="text1"/>
                <w:sz w:val="16"/>
                <w:szCs w:val="16"/>
                <w:lang w:val="es-ES"/>
              </w:rPr>
              <w:t xml:space="preserve"> de la Subdirección de Gestión Contractual</w:t>
            </w:r>
            <w:r w:rsidRPr="00115E3D">
              <w:rPr>
                <w:rStyle w:val="eop"/>
                <w:rFonts w:ascii="Verdana" w:hAnsi="Verdana" w:cs="Arial"/>
                <w:color w:val="000000" w:themeColor="text1"/>
                <w:sz w:val="16"/>
                <w:szCs w:val="16"/>
              </w:rPr>
              <w:t> </w:t>
            </w:r>
          </w:p>
        </w:tc>
      </w:tr>
      <w:tr w:rsidR="00BC42BB" w:rsidRPr="00115E3D" w14:paraId="25C703B0" w14:textId="77777777" w:rsidTr="006428F2">
        <w:trPr>
          <w:trHeight w:val="300"/>
        </w:trPr>
        <w:tc>
          <w:tcPr>
            <w:tcW w:w="893" w:type="dxa"/>
            <w:vAlign w:val="center"/>
          </w:tcPr>
          <w:p w14:paraId="236B1351" w14:textId="77777777" w:rsidR="00BC42BB" w:rsidRPr="00115E3D" w:rsidRDefault="00BC42BB" w:rsidP="006428F2">
            <w:pPr>
              <w:contextualSpacing/>
              <w:rPr>
                <w:rFonts w:ascii="Verdana" w:hAnsi="Verdana" w:cs="Arial"/>
                <w:color w:val="000000" w:themeColor="text1"/>
                <w:sz w:val="16"/>
                <w:szCs w:val="16"/>
                <w:lang w:val="es-ES" w:eastAsia="es-ES"/>
              </w:rPr>
            </w:pPr>
            <w:r w:rsidRPr="00115E3D">
              <w:rPr>
                <w:rFonts w:ascii="Verdana" w:hAnsi="Verdana" w:cs="Arial"/>
                <w:color w:val="000000" w:themeColor="text1"/>
                <w:sz w:val="16"/>
                <w:szCs w:val="16"/>
                <w:lang w:val="es-ES" w:eastAsia="es-ES"/>
              </w:rPr>
              <w:t>Aprobó:</w:t>
            </w:r>
          </w:p>
        </w:tc>
        <w:tc>
          <w:tcPr>
            <w:tcW w:w="5628" w:type="dxa"/>
            <w:tcBorders>
              <w:top w:val="dotted" w:sz="4" w:space="0" w:color="7F7F7F" w:themeColor="text1" w:themeTint="80"/>
              <w:left w:val="nil"/>
              <w:bottom w:val="dotted" w:sz="4" w:space="0" w:color="7F7F7F" w:themeColor="text1" w:themeTint="80"/>
              <w:right w:val="nil"/>
            </w:tcBorders>
            <w:vAlign w:val="center"/>
          </w:tcPr>
          <w:p w14:paraId="5DD0C265" w14:textId="77777777" w:rsidR="00BC42BB" w:rsidRPr="00115E3D" w:rsidRDefault="00BC42BB" w:rsidP="006428F2">
            <w:pPr>
              <w:contextualSpacing/>
              <w:rPr>
                <w:rFonts w:ascii="Verdana" w:eastAsia="Calibri" w:hAnsi="Verdana" w:cs="Arial"/>
                <w:color w:val="000000" w:themeColor="text1"/>
                <w:sz w:val="16"/>
                <w:szCs w:val="16"/>
                <w:lang w:val="pt-BR" w:eastAsia="es-ES"/>
              </w:rPr>
            </w:pPr>
            <w:r w:rsidRPr="00115E3D">
              <w:rPr>
                <w:rFonts w:ascii="Verdana" w:eastAsia="Calibri" w:hAnsi="Verdana" w:cs="Arial"/>
                <w:color w:val="000000" w:themeColor="text1"/>
                <w:sz w:val="16"/>
                <w:szCs w:val="16"/>
                <w:lang w:val="pt-BR" w:eastAsia="es-ES"/>
              </w:rPr>
              <w:t>Carolina Quintero Gacharná</w:t>
            </w:r>
          </w:p>
          <w:p w14:paraId="2CBE90D5" w14:textId="77777777" w:rsidR="00BC42BB" w:rsidRPr="00115E3D" w:rsidRDefault="00BC42BB" w:rsidP="006428F2">
            <w:pPr>
              <w:contextualSpacing/>
              <w:rPr>
                <w:rFonts w:ascii="Verdana" w:eastAsia="Calibri" w:hAnsi="Verdana" w:cs="Arial"/>
                <w:color w:val="000000" w:themeColor="text1"/>
                <w:sz w:val="16"/>
                <w:szCs w:val="16"/>
                <w:lang w:val="pt-BR" w:eastAsia="es-ES"/>
              </w:rPr>
            </w:pPr>
            <w:r w:rsidRPr="00115E3D">
              <w:rPr>
                <w:rFonts w:ascii="Verdana" w:eastAsia="Calibri" w:hAnsi="Verdana" w:cs="Arial"/>
                <w:color w:val="000000" w:themeColor="text1"/>
                <w:sz w:val="16"/>
                <w:szCs w:val="16"/>
                <w:lang w:eastAsia="es-ES"/>
              </w:rPr>
              <w:t>Subdirectora</w:t>
            </w:r>
            <w:r w:rsidRPr="00115E3D">
              <w:rPr>
                <w:rFonts w:ascii="Verdana" w:eastAsia="Calibri" w:hAnsi="Verdana" w:cs="Arial"/>
                <w:color w:val="000000" w:themeColor="text1"/>
                <w:sz w:val="16"/>
                <w:szCs w:val="16"/>
                <w:lang w:val="pt-BR" w:eastAsia="es-ES"/>
              </w:rPr>
              <w:t xml:space="preserve"> de Gestión Contractual ANCP – CCE</w:t>
            </w:r>
          </w:p>
        </w:tc>
      </w:tr>
    </w:tbl>
    <w:p w14:paraId="5EE53547" w14:textId="77777777" w:rsidR="00BC42BB" w:rsidRDefault="00BC42BB" w:rsidP="00BC42BB"/>
    <w:p w14:paraId="3B27AFCD" w14:textId="77777777" w:rsidR="002A0DD0" w:rsidRPr="00BC42BB" w:rsidRDefault="002A0DD0" w:rsidP="30821638">
      <w:pPr>
        <w:spacing w:after="0" w:line="240" w:lineRule="auto"/>
        <w:jc w:val="both"/>
        <w:rPr>
          <w:rFonts w:ascii="Verdana" w:eastAsia="Verdana" w:hAnsi="Verdana" w:cs="Verdana"/>
          <w:b/>
          <w:bCs/>
        </w:rPr>
      </w:pPr>
    </w:p>
    <w:p w14:paraId="7C9026E2" w14:textId="77777777" w:rsidR="002A0DD0" w:rsidRPr="00E02524" w:rsidRDefault="002A0DD0" w:rsidP="30821638">
      <w:pPr>
        <w:spacing w:after="0" w:line="240" w:lineRule="auto"/>
        <w:jc w:val="both"/>
        <w:rPr>
          <w:rFonts w:ascii="Verdana" w:eastAsia="Verdana" w:hAnsi="Verdana" w:cs="Verdana"/>
          <w:b/>
          <w:bCs/>
          <w:lang w:val="es-MX"/>
        </w:rPr>
      </w:pPr>
    </w:p>
    <w:p w14:paraId="1006A388" w14:textId="77777777" w:rsidR="00C15139" w:rsidRPr="000E2B93" w:rsidRDefault="00C15139" w:rsidP="30821638">
      <w:pPr>
        <w:spacing w:after="0" w:line="240" w:lineRule="auto"/>
        <w:jc w:val="both"/>
        <w:textAlignment w:val="baseline"/>
        <w:rPr>
          <w:rFonts w:ascii="Verdana" w:eastAsia="Verdana" w:hAnsi="Verdana" w:cs="Verdana"/>
          <w:lang w:eastAsia="es-CO"/>
        </w:rPr>
      </w:pPr>
    </w:p>
    <w:p w14:paraId="69BC4D14" w14:textId="580DDC04" w:rsidR="00C15139" w:rsidRPr="000E2B93" w:rsidRDefault="00C15139" w:rsidP="30821638">
      <w:pPr>
        <w:spacing w:after="0" w:line="240" w:lineRule="auto"/>
        <w:textAlignment w:val="baseline"/>
        <w:rPr>
          <w:rFonts w:ascii="Verdana" w:eastAsia="Verdana" w:hAnsi="Verdana" w:cs="Verdana"/>
          <w:lang w:eastAsia="es-CO"/>
        </w:rPr>
      </w:pPr>
      <w:r w:rsidRPr="30821638">
        <w:rPr>
          <w:rFonts w:ascii="Verdana" w:eastAsia="Verdana" w:hAnsi="Verdana" w:cs="Verdana"/>
          <w:lang w:eastAsia="es-CO"/>
        </w:rPr>
        <w:t> </w:t>
      </w:r>
      <w:bookmarkEnd w:id="0"/>
    </w:p>
    <w:sectPr w:rsidR="00C15139" w:rsidRPr="000E2B93" w:rsidSect="007C0C0F">
      <w:headerReference w:type="default" r:id="rId18"/>
      <w:footerReference w:type="default" r:id="rId19"/>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58BA4D" w14:textId="77777777" w:rsidR="001B1F02" w:rsidRDefault="001B1F02" w:rsidP="004A1847">
      <w:pPr>
        <w:spacing w:after="0" w:line="240" w:lineRule="auto"/>
      </w:pPr>
      <w:r>
        <w:separator/>
      </w:r>
    </w:p>
  </w:endnote>
  <w:endnote w:type="continuationSeparator" w:id="0">
    <w:p w14:paraId="0462595B" w14:textId="77777777" w:rsidR="001B1F02" w:rsidRDefault="001B1F02" w:rsidP="004A1847">
      <w:pPr>
        <w:spacing w:after="0" w:line="240" w:lineRule="auto"/>
      </w:pPr>
      <w:r>
        <w:continuationSeparator/>
      </w:r>
    </w:p>
  </w:endnote>
  <w:endnote w:type="continuationNotice" w:id="1">
    <w:p w14:paraId="4F91A1E2" w14:textId="77777777" w:rsidR="001B1F02" w:rsidRDefault="001B1F0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Arial"/>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rial MT">
    <w:altName w:val="Arial"/>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621EB3" w14:textId="77777777" w:rsidR="001B1F02" w:rsidRDefault="001B1F02" w:rsidP="004A1847">
      <w:pPr>
        <w:spacing w:after="0" w:line="240" w:lineRule="auto"/>
      </w:pPr>
      <w:r>
        <w:separator/>
      </w:r>
    </w:p>
  </w:footnote>
  <w:footnote w:type="continuationSeparator" w:id="0">
    <w:p w14:paraId="71079A92" w14:textId="77777777" w:rsidR="001B1F02" w:rsidRDefault="001B1F02" w:rsidP="004A1847">
      <w:pPr>
        <w:spacing w:after="0" w:line="240" w:lineRule="auto"/>
      </w:pPr>
      <w:r>
        <w:continuationSeparator/>
      </w:r>
    </w:p>
  </w:footnote>
  <w:footnote w:type="continuationNotice" w:id="1">
    <w:p w14:paraId="64A3F0EC" w14:textId="77777777" w:rsidR="001B1F02" w:rsidRDefault="001B1F02">
      <w:pPr>
        <w:spacing w:after="0" w:line="240" w:lineRule="auto"/>
      </w:pPr>
    </w:p>
  </w:footnote>
  <w:footnote w:id="2">
    <w:p w14:paraId="05614D13" w14:textId="77777777" w:rsidR="00BC42BB" w:rsidRPr="00217D56" w:rsidRDefault="00BC42BB" w:rsidP="00BC42BB">
      <w:pPr>
        <w:pStyle w:val="Textonotapie"/>
        <w:rPr>
          <w:lang w:val="es-ES"/>
        </w:rPr>
      </w:pPr>
      <w:r>
        <w:rPr>
          <w:rStyle w:val="Refdenotaalpie"/>
        </w:rPr>
        <w:footnoteRef/>
      </w:r>
      <w:r>
        <w:t xml:space="preserve"> </w:t>
      </w:r>
      <w:hyperlink r:id="rId1" w:history="1">
        <w:r w:rsidRPr="00217D56">
          <w:rPr>
            <w:rStyle w:val="Hipervnculo"/>
            <w:rFonts w:ascii="Verdana" w:hAnsi="Verdana"/>
          </w:rPr>
          <w:t>https://www.colombiacompra.gov.co/wp-content/uploads/2024/08/Guia-ESALES-CCE-V2_2025.pdf</w:t>
        </w:r>
      </w:hyperlink>
    </w:p>
  </w:footnote>
  <w:footnote w:id="3">
    <w:p w14:paraId="00D691BF" w14:textId="77777777" w:rsidR="00BC42BB" w:rsidRPr="00662B73" w:rsidRDefault="00BC42BB" w:rsidP="00BC42BB">
      <w:pPr>
        <w:pStyle w:val="Textonotapie"/>
        <w:ind w:firstLine="709"/>
        <w:jc w:val="both"/>
        <w:rPr>
          <w:rFonts w:ascii="Verdana" w:hAnsi="Verdana" w:cs="Arial"/>
          <w:color w:val="000000" w:themeColor="text1"/>
          <w:sz w:val="16"/>
          <w:szCs w:val="16"/>
        </w:rPr>
      </w:pPr>
      <w:r w:rsidRPr="00662B73">
        <w:rPr>
          <w:rStyle w:val="Refdenotaalpie"/>
          <w:rFonts w:ascii="Verdana" w:hAnsi="Verdana" w:cs="Arial"/>
          <w:color w:val="000000" w:themeColor="text1"/>
          <w:sz w:val="16"/>
          <w:szCs w:val="16"/>
        </w:rPr>
        <w:footnoteRef/>
      </w:r>
      <w:r w:rsidRPr="00662B73">
        <w:rPr>
          <w:rFonts w:ascii="Verdana" w:hAnsi="Verdana" w:cs="Arial"/>
          <w:color w:val="000000" w:themeColor="text1"/>
          <w:sz w:val="16"/>
          <w:szCs w:val="16"/>
        </w:rPr>
        <w:t xml:space="preserve"> Sobre esta norma, consultar los conceptos del 8 de octubre de 2019, con radicado No. 2201913000007532, y del 20 de diciembre de 2019, con radicado No. 4201913000008240, dictado por la Agencia Nacional de Contratación Pública – Colombia Compra Eficiente. </w:t>
      </w:r>
    </w:p>
  </w:footnote>
  <w:footnote w:id="4">
    <w:p w14:paraId="42A1F692" w14:textId="77777777" w:rsidR="00BC42BB" w:rsidRPr="00662B73" w:rsidRDefault="00BC42BB" w:rsidP="00BC42BB">
      <w:pPr>
        <w:pStyle w:val="Textonotapie"/>
        <w:ind w:firstLine="709"/>
        <w:jc w:val="both"/>
        <w:rPr>
          <w:rFonts w:ascii="Verdana" w:hAnsi="Verdana" w:cs="Arial"/>
          <w:color w:val="000000" w:themeColor="text1"/>
          <w:sz w:val="16"/>
          <w:szCs w:val="16"/>
        </w:rPr>
      </w:pPr>
      <w:r w:rsidRPr="00662B73">
        <w:rPr>
          <w:rStyle w:val="Refdenotaalpie"/>
          <w:rFonts w:ascii="Verdana" w:hAnsi="Verdana" w:cs="Arial"/>
          <w:color w:val="000000" w:themeColor="text1"/>
          <w:sz w:val="16"/>
          <w:szCs w:val="16"/>
        </w:rPr>
        <w:footnoteRef/>
      </w:r>
      <w:r w:rsidRPr="00662B73">
        <w:rPr>
          <w:rFonts w:ascii="Verdana" w:hAnsi="Verdana" w:cs="Arial"/>
          <w:color w:val="000000" w:themeColor="text1"/>
          <w:sz w:val="16"/>
          <w:szCs w:val="16"/>
        </w:rPr>
        <w:t xml:space="preserve"> Al respecto, la Ley 489 de 1998 dispone que “Art. 96. Las entidades estatales, cualquiera sea su naturaleza y orden administrativo podrán, con la observancia de los principios señalados en el artículo 209 de la Constitución, asociarse con personas jurídicas particulares, mediante la celebración de convenios de asociación o la creación de personas jurídicas, para el desarrollo conjunto de actividades en relación con los cometidos y funciones que les asigna a aquéllas la ley.</w:t>
      </w:r>
    </w:p>
    <w:p w14:paraId="5A7D22FE" w14:textId="77777777" w:rsidR="00BC42BB" w:rsidRPr="00662B73" w:rsidRDefault="00BC42BB" w:rsidP="00BC42BB">
      <w:pPr>
        <w:pStyle w:val="Textonotapie"/>
        <w:ind w:firstLine="709"/>
        <w:jc w:val="both"/>
        <w:rPr>
          <w:rFonts w:ascii="Verdana" w:hAnsi="Verdana" w:cs="Arial"/>
          <w:color w:val="000000" w:themeColor="text1"/>
          <w:sz w:val="16"/>
          <w:szCs w:val="16"/>
        </w:rPr>
      </w:pPr>
      <w:r w:rsidRPr="00662B73">
        <w:rPr>
          <w:rFonts w:ascii="Verdana" w:hAnsi="Verdana" w:cs="Arial"/>
          <w:color w:val="000000" w:themeColor="text1"/>
          <w:sz w:val="16"/>
          <w:szCs w:val="16"/>
        </w:rPr>
        <w:t xml:space="preserve">Los convenios de asociación a que se refiere el presente artículo </w:t>
      </w:r>
      <w:bookmarkStart w:id="3" w:name="_Hlk36023315"/>
      <w:r w:rsidRPr="00662B73">
        <w:rPr>
          <w:rFonts w:ascii="Verdana" w:hAnsi="Verdana" w:cs="Arial"/>
          <w:color w:val="000000" w:themeColor="text1"/>
          <w:sz w:val="16"/>
          <w:szCs w:val="16"/>
        </w:rPr>
        <w:t>se celebrarán de conformidad con lo dispuesto en el artículo 355 de la Constitución Política</w:t>
      </w:r>
      <w:bookmarkEnd w:id="3"/>
      <w:r w:rsidRPr="00662B73">
        <w:rPr>
          <w:rFonts w:ascii="Verdana" w:hAnsi="Verdana" w:cs="Arial"/>
          <w:color w:val="000000" w:themeColor="text1"/>
          <w:sz w:val="16"/>
          <w:szCs w:val="16"/>
        </w:rPr>
        <w:t>, en ellos se determinará con precisión su objeto, término, obligaciones de las partes, aportes, coordinación y todos aquellos aspectos que se consideren pertinentes”.</w:t>
      </w:r>
    </w:p>
  </w:footnote>
  <w:footnote w:id="5">
    <w:p w14:paraId="0DB45B6B" w14:textId="77777777" w:rsidR="00BC42BB" w:rsidRPr="00662B73" w:rsidRDefault="00BC42BB" w:rsidP="00BC42BB">
      <w:pPr>
        <w:pStyle w:val="Textonotapie"/>
        <w:ind w:firstLine="708"/>
        <w:jc w:val="both"/>
        <w:rPr>
          <w:rFonts w:ascii="Verdana" w:hAnsi="Verdana" w:cs="Arial"/>
          <w:color w:val="000000"/>
          <w:sz w:val="16"/>
          <w:szCs w:val="16"/>
        </w:rPr>
      </w:pPr>
      <w:r w:rsidRPr="00662B73">
        <w:rPr>
          <w:rStyle w:val="Refdenotaalpie"/>
          <w:rFonts w:ascii="Verdana" w:hAnsi="Verdana" w:cs="Arial"/>
          <w:color w:val="000000"/>
          <w:sz w:val="16"/>
          <w:szCs w:val="16"/>
        </w:rPr>
        <w:footnoteRef/>
      </w:r>
      <w:r w:rsidRPr="00662B73">
        <w:rPr>
          <w:rFonts w:ascii="Verdana" w:hAnsi="Verdana" w:cs="Arial"/>
          <w:color w:val="000000"/>
          <w:sz w:val="16"/>
          <w:szCs w:val="16"/>
        </w:rPr>
        <w:t xml:space="preserve"> En el concepto emitido el 5 de febrero de 2019, dentro del radicado No. 2201913000000663, se dijo: “[l]os convenios de asociación del artículo 5 son distintos a los contratos de colaboración del artículo 2 del Decreto 092 de 2017”.</w:t>
      </w:r>
    </w:p>
  </w:footnote>
  <w:footnote w:id="6">
    <w:p w14:paraId="5B23D5FC" w14:textId="77777777" w:rsidR="00BC42BB" w:rsidRPr="00662B73" w:rsidRDefault="00BC42BB" w:rsidP="00BC42BB">
      <w:pPr>
        <w:pStyle w:val="Textonotapie"/>
        <w:ind w:firstLine="709"/>
        <w:jc w:val="both"/>
        <w:rPr>
          <w:rFonts w:ascii="Verdana" w:hAnsi="Verdana" w:cs="Arial"/>
          <w:color w:val="000000" w:themeColor="text1"/>
          <w:sz w:val="16"/>
          <w:szCs w:val="16"/>
        </w:rPr>
      </w:pPr>
      <w:r w:rsidRPr="00662B73">
        <w:rPr>
          <w:rStyle w:val="Refdenotaalpie"/>
          <w:rFonts w:ascii="Verdana" w:hAnsi="Verdana" w:cs="Arial"/>
          <w:color w:val="000000" w:themeColor="text1"/>
          <w:sz w:val="16"/>
          <w:szCs w:val="16"/>
        </w:rPr>
        <w:footnoteRef/>
      </w:r>
      <w:r w:rsidRPr="00662B73">
        <w:rPr>
          <w:rFonts w:ascii="Verdana" w:hAnsi="Verdana" w:cs="Arial"/>
          <w:color w:val="000000" w:themeColor="text1"/>
          <w:sz w:val="16"/>
          <w:szCs w:val="16"/>
        </w:rPr>
        <w:t xml:space="preserve"> Concepto del 3 de septiembre de 2019, con radicado No. 2201913000006512, dictado por la Agencia Nacional de Contratación Pública – Colombia Compra Eficiente.</w:t>
      </w:r>
    </w:p>
  </w:footnote>
  <w:footnote w:id="7">
    <w:p w14:paraId="08D514A5" w14:textId="77777777" w:rsidR="00BC42BB" w:rsidRPr="00662B73" w:rsidRDefault="00BC42BB" w:rsidP="00BC42BB">
      <w:pPr>
        <w:pStyle w:val="Textonotapie"/>
        <w:ind w:firstLine="708"/>
        <w:jc w:val="both"/>
        <w:rPr>
          <w:rFonts w:ascii="Verdana" w:hAnsi="Verdana" w:cs="Arial"/>
          <w:color w:val="000000" w:themeColor="text1"/>
          <w:sz w:val="16"/>
          <w:szCs w:val="16"/>
        </w:rPr>
      </w:pPr>
      <w:r w:rsidRPr="00662B73">
        <w:rPr>
          <w:rStyle w:val="Refdenotaalpie"/>
          <w:rFonts w:ascii="Verdana" w:hAnsi="Verdana" w:cs="Arial"/>
          <w:color w:val="000000" w:themeColor="text1"/>
          <w:sz w:val="16"/>
          <w:szCs w:val="16"/>
        </w:rPr>
        <w:footnoteRef/>
      </w:r>
      <w:r w:rsidRPr="00662B73">
        <w:rPr>
          <w:rFonts w:ascii="Verdana" w:hAnsi="Verdana" w:cs="Arial"/>
          <w:color w:val="000000" w:themeColor="text1"/>
          <w:sz w:val="16"/>
          <w:szCs w:val="16"/>
        </w:rPr>
        <w:t xml:space="preserve"> Cfr. Concepto del 21 de agosto de 2019, dictado dentro del radicado No. 2201913000006047.</w:t>
      </w:r>
    </w:p>
  </w:footnote>
  <w:footnote w:id="8">
    <w:p w14:paraId="7185A739" w14:textId="77777777" w:rsidR="00BC42BB" w:rsidRPr="00662B73" w:rsidRDefault="00BC42BB" w:rsidP="00BC42BB">
      <w:pPr>
        <w:pStyle w:val="Textonotapie"/>
        <w:ind w:firstLine="708"/>
        <w:jc w:val="both"/>
        <w:rPr>
          <w:rFonts w:ascii="Verdana" w:hAnsi="Verdana" w:cs="Arial"/>
          <w:color w:val="000000" w:themeColor="text1"/>
          <w:sz w:val="16"/>
          <w:szCs w:val="16"/>
        </w:rPr>
      </w:pPr>
      <w:r w:rsidRPr="00662B73">
        <w:rPr>
          <w:rStyle w:val="Refdenotaalpie"/>
          <w:rFonts w:ascii="Verdana" w:hAnsi="Verdana" w:cs="Arial"/>
          <w:color w:val="000000" w:themeColor="text1"/>
          <w:sz w:val="16"/>
          <w:szCs w:val="16"/>
        </w:rPr>
        <w:footnoteRef/>
      </w:r>
      <w:r w:rsidRPr="00662B73">
        <w:rPr>
          <w:rFonts w:ascii="Verdana" w:hAnsi="Verdana" w:cs="Arial"/>
          <w:color w:val="000000" w:themeColor="text1"/>
          <w:sz w:val="16"/>
          <w:szCs w:val="16"/>
        </w:rPr>
        <w:t xml:space="preserve"> </w:t>
      </w:r>
      <w:bookmarkStart w:id="11" w:name="_Hlk171946243"/>
      <w:r w:rsidRPr="00662B73">
        <w:rPr>
          <w:rFonts w:ascii="Verdana" w:hAnsi="Verdana" w:cs="Arial"/>
          <w:color w:val="000000" w:themeColor="text1"/>
          <w:sz w:val="16"/>
          <w:szCs w:val="16"/>
        </w:rPr>
        <w:t>Consejo de Estado. Sala de Consulta y del Servicio Civil. Concepto del 24 de febrero de 2005. Radicado No. 1626. Consejera Ponente: Dra. Gloria Duque Hernández</w:t>
      </w:r>
      <w:bookmarkEnd w:id="11"/>
      <w:r w:rsidRPr="00662B73">
        <w:rPr>
          <w:rFonts w:ascii="Verdana" w:hAnsi="Verdana" w:cs="Arial"/>
          <w:color w:val="000000" w:themeColor="text1"/>
          <w:sz w:val="16"/>
          <w:szCs w:val="16"/>
        </w:rPr>
        <w:t>.</w:t>
      </w:r>
    </w:p>
  </w:footnote>
  <w:footnote w:id="9">
    <w:p w14:paraId="2F6D3922" w14:textId="77777777" w:rsidR="00BC42BB" w:rsidRPr="00D1143F" w:rsidRDefault="00BC42BB" w:rsidP="00BC42BB">
      <w:pPr>
        <w:pStyle w:val="Textonotapie"/>
        <w:rPr>
          <w:lang w:val="es-ES"/>
        </w:rPr>
      </w:pPr>
      <w:r>
        <w:rPr>
          <w:rStyle w:val="Refdenotaalpie"/>
        </w:rPr>
        <w:footnoteRef/>
      </w:r>
      <w:r>
        <w:t xml:space="preserve"> </w:t>
      </w:r>
      <w:r>
        <w:rPr>
          <w:rStyle w:val="Refdenotaalpie"/>
        </w:rPr>
        <w:footnoteRef/>
      </w:r>
      <w:r>
        <w:t xml:space="preserve"> </w:t>
      </w:r>
      <w:hyperlink r:id="rId2" w:history="1">
        <w:r w:rsidRPr="00217D56">
          <w:rPr>
            <w:rStyle w:val="Hipervnculo"/>
            <w:rFonts w:ascii="Verdana" w:hAnsi="Verdana"/>
          </w:rPr>
          <w:t>https://www.colombiacompra.gov.co/wp-content/uploads/2024/08/Guia-ESALES-CCE-V2_2025.pdf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2pt" o:bullet="t">
        <v:imagedata r:id="rId1" o:title="mso1B13"/>
      </v:shape>
    </w:pict>
  </w:numPicBullet>
  <w:abstractNum w:abstractNumId="0" w15:restartNumberingAfterBreak="0">
    <w:nsid w:val="01C06310"/>
    <w:multiLevelType w:val="multilevel"/>
    <w:tmpl w:val="25FEEF8E"/>
    <w:lvl w:ilvl="0">
      <w:start w:val="1"/>
      <w:numFmt w:val="decimal"/>
      <w:lvlText w:val="%1."/>
      <w:lvlJc w:val="left"/>
      <w:pPr>
        <w:ind w:left="6667" w:hanging="360"/>
      </w:pPr>
      <w:rPr>
        <w:b/>
        <w:color w:val="000000" w:themeColor="text1"/>
      </w:rPr>
    </w:lvl>
    <w:lvl w:ilvl="1">
      <w:start w:val="2"/>
      <w:numFmt w:val="decimal"/>
      <w:isLgl/>
      <w:lvlText w:val="%1.%2"/>
      <w:lvlJc w:val="left"/>
      <w:pPr>
        <w:ind w:left="6307" w:hanging="360"/>
      </w:pPr>
    </w:lvl>
    <w:lvl w:ilvl="2">
      <w:start w:val="1"/>
      <w:numFmt w:val="decimal"/>
      <w:isLgl/>
      <w:lvlText w:val="%1.%2.%3"/>
      <w:lvlJc w:val="left"/>
      <w:pPr>
        <w:ind w:left="7027" w:hanging="720"/>
      </w:pPr>
    </w:lvl>
    <w:lvl w:ilvl="3">
      <w:start w:val="1"/>
      <w:numFmt w:val="decimal"/>
      <w:isLgl/>
      <w:lvlText w:val="%1.%2.%3.%4"/>
      <w:lvlJc w:val="left"/>
      <w:pPr>
        <w:ind w:left="7027" w:hanging="720"/>
      </w:pPr>
    </w:lvl>
    <w:lvl w:ilvl="4">
      <w:start w:val="1"/>
      <w:numFmt w:val="decimal"/>
      <w:isLgl/>
      <w:lvlText w:val="%1.%2.%3.%4.%5"/>
      <w:lvlJc w:val="left"/>
      <w:pPr>
        <w:ind w:left="7387" w:hanging="1080"/>
      </w:pPr>
    </w:lvl>
    <w:lvl w:ilvl="5">
      <w:start w:val="1"/>
      <w:numFmt w:val="decimal"/>
      <w:isLgl/>
      <w:lvlText w:val="%1.%2.%3.%4.%5.%6"/>
      <w:lvlJc w:val="left"/>
      <w:pPr>
        <w:ind w:left="7387" w:hanging="1080"/>
      </w:pPr>
    </w:lvl>
    <w:lvl w:ilvl="6">
      <w:start w:val="1"/>
      <w:numFmt w:val="decimal"/>
      <w:isLgl/>
      <w:lvlText w:val="%1.%2.%3.%4.%5.%6.%7"/>
      <w:lvlJc w:val="left"/>
      <w:pPr>
        <w:ind w:left="7747" w:hanging="1440"/>
      </w:pPr>
    </w:lvl>
    <w:lvl w:ilvl="7">
      <w:start w:val="1"/>
      <w:numFmt w:val="decimal"/>
      <w:isLgl/>
      <w:lvlText w:val="%1.%2.%3.%4.%5.%6.%7.%8"/>
      <w:lvlJc w:val="left"/>
      <w:pPr>
        <w:ind w:left="7747" w:hanging="1440"/>
      </w:pPr>
    </w:lvl>
    <w:lvl w:ilvl="8">
      <w:start w:val="1"/>
      <w:numFmt w:val="decimal"/>
      <w:isLgl/>
      <w:lvlText w:val="%1.%2.%3.%4.%5.%6.%7.%8.%9"/>
      <w:lvlJc w:val="left"/>
      <w:pPr>
        <w:ind w:left="8107"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9D726F5"/>
    <w:multiLevelType w:val="hybridMultilevel"/>
    <w:tmpl w:val="7BDC1A10"/>
    <w:lvl w:ilvl="0" w:tplc="040A0001">
      <w:start w:val="1"/>
      <w:numFmt w:val="bullet"/>
      <w:lvlText w:val=""/>
      <w:lvlJc w:val="left"/>
      <w:pPr>
        <w:ind w:left="720" w:hanging="360"/>
      </w:pPr>
      <w:rPr>
        <w:rFonts w:ascii="Symbol" w:hAnsi="Symbol" w:hint="default"/>
      </w:rPr>
    </w:lvl>
    <w:lvl w:ilvl="1" w:tplc="040A0003">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1"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6"/>
  </w:num>
  <w:num w:numId="2" w16cid:durableId="19822139">
    <w:abstractNumId w:val="2"/>
  </w:num>
  <w:num w:numId="3" w16cid:durableId="876742304">
    <w:abstractNumId w:val="4"/>
  </w:num>
  <w:num w:numId="4" w16cid:durableId="24518640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2"/>
  </w:num>
  <w:num w:numId="6" w16cid:durableId="316692925">
    <w:abstractNumId w:val="13"/>
  </w:num>
  <w:num w:numId="7" w16cid:durableId="1946422806">
    <w:abstractNumId w:val="5"/>
  </w:num>
  <w:num w:numId="8" w16cid:durableId="152644682">
    <w:abstractNumId w:val="12"/>
  </w:num>
  <w:num w:numId="9" w16cid:durableId="1317221377">
    <w:abstractNumId w:val="7"/>
  </w:num>
  <w:num w:numId="10" w16cid:durableId="1471245386">
    <w:abstractNumId w:val="11"/>
  </w:num>
  <w:num w:numId="11" w16cid:durableId="289172385">
    <w:abstractNumId w:val="8"/>
  </w:num>
  <w:num w:numId="12" w16cid:durableId="1470781324">
    <w:abstractNumId w:val="1"/>
  </w:num>
  <w:num w:numId="13" w16cid:durableId="1512908409">
    <w:abstractNumId w:val="3"/>
  </w:num>
  <w:num w:numId="14" w16cid:durableId="895897244">
    <w:abstractNumId w:val="14"/>
  </w:num>
  <w:num w:numId="15" w16cid:durableId="390349800">
    <w:abstractNumId w:val="10"/>
  </w:num>
  <w:num w:numId="16" w16cid:durableId="358973223">
    <w:abstractNumId w:val="0"/>
  </w:num>
  <w:num w:numId="17" w16cid:durableId="13957382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46945"/>
    <w:rsid w:val="00061B2A"/>
    <w:rsid w:val="00082362"/>
    <w:rsid w:val="000A6137"/>
    <w:rsid w:val="000A683E"/>
    <w:rsid w:val="000B03A0"/>
    <w:rsid w:val="000B19B9"/>
    <w:rsid w:val="000D0334"/>
    <w:rsid w:val="000D5DA7"/>
    <w:rsid w:val="000F6486"/>
    <w:rsid w:val="00116940"/>
    <w:rsid w:val="00125105"/>
    <w:rsid w:val="00127233"/>
    <w:rsid w:val="0015699B"/>
    <w:rsid w:val="001A33BF"/>
    <w:rsid w:val="001B1F02"/>
    <w:rsid w:val="001E4177"/>
    <w:rsid w:val="001F0B24"/>
    <w:rsid w:val="001F7DC6"/>
    <w:rsid w:val="0022400B"/>
    <w:rsid w:val="002421BB"/>
    <w:rsid w:val="0025796E"/>
    <w:rsid w:val="002707A2"/>
    <w:rsid w:val="002951A0"/>
    <w:rsid w:val="002962BC"/>
    <w:rsid w:val="002A093D"/>
    <w:rsid w:val="002A0DD0"/>
    <w:rsid w:val="002A49AC"/>
    <w:rsid w:val="002A64FD"/>
    <w:rsid w:val="002C7A84"/>
    <w:rsid w:val="002E2BF8"/>
    <w:rsid w:val="002E4FD9"/>
    <w:rsid w:val="002F181B"/>
    <w:rsid w:val="0030657A"/>
    <w:rsid w:val="00322A85"/>
    <w:rsid w:val="00324168"/>
    <w:rsid w:val="00330834"/>
    <w:rsid w:val="003448F4"/>
    <w:rsid w:val="00374F5E"/>
    <w:rsid w:val="00377E3E"/>
    <w:rsid w:val="00383B3F"/>
    <w:rsid w:val="003A779E"/>
    <w:rsid w:val="003D0F4D"/>
    <w:rsid w:val="003D5B0D"/>
    <w:rsid w:val="003E0499"/>
    <w:rsid w:val="003E4F80"/>
    <w:rsid w:val="003E6439"/>
    <w:rsid w:val="003F3941"/>
    <w:rsid w:val="00406575"/>
    <w:rsid w:val="00414C74"/>
    <w:rsid w:val="0042722E"/>
    <w:rsid w:val="0044528D"/>
    <w:rsid w:val="00466E39"/>
    <w:rsid w:val="004A1847"/>
    <w:rsid w:val="004A305D"/>
    <w:rsid w:val="004F21C4"/>
    <w:rsid w:val="004F685F"/>
    <w:rsid w:val="005566E8"/>
    <w:rsid w:val="00574867"/>
    <w:rsid w:val="00591460"/>
    <w:rsid w:val="005A65E0"/>
    <w:rsid w:val="005C3777"/>
    <w:rsid w:val="005C5CDC"/>
    <w:rsid w:val="005D476C"/>
    <w:rsid w:val="006200BF"/>
    <w:rsid w:val="006219F8"/>
    <w:rsid w:val="006302F7"/>
    <w:rsid w:val="00646B9F"/>
    <w:rsid w:val="00665D70"/>
    <w:rsid w:val="006900D9"/>
    <w:rsid w:val="00706C16"/>
    <w:rsid w:val="007340C3"/>
    <w:rsid w:val="0075235A"/>
    <w:rsid w:val="00756841"/>
    <w:rsid w:val="007649AB"/>
    <w:rsid w:val="00771D0C"/>
    <w:rsid w:val="007833AC"/>
    <w:rsid w:val="007B268C"/>
    <w:rsid w:val="007B7171"/>
    <w:rsid w:val="007C0C0F"/>
    <w:rsid w:val="007C3DC2"/>
    <w:rsid w:val="007E5497"/>
    <w:rsid w:val="00806F5F"/>
    <w:rsid w:val="00820278"/>
    <w:rsid w:val="008258C9"/>
    <w:rsid w:val="00844AE9"/>
    <w:rsid w:val="00867F95"/>
    <w:rsid w:val="008843B6"/>
    <w:rsid w:val="00891928"/>
    <w:rsid w:val="008A446D"/>
    <w:rsid w:val="008B25F1"/>
    <w:rsid w:val="008D180B"/>
    <w:rsid w:val="008F0EA7"/>
    <w:rsid w:val="00923EEF"/>
    <w:rsid w:val="009419F9"/>
    <w:rsid w:val="0095685E"/>
    <w:rsid w:val="00961B09"/>
    <w:rsid w:val="00965334"/>
    <w:rsid w:val="0097093E"/>
    <w:rsid w:val="009A0DFA"/>
    <w:rsid w:val="009A1C6F"/>
    <w:rsid w:val="009B2D26"/>
    <w:rsid w:val="009C71FA"/>
    <w:rsid w:val="009C72E7"/>
    <w:rsid w:val="009C7F7E"/>
    <w:rsid w:val="009D3058"/>
    <w:rsid w:val="009F3A13"/>
    <w:rsid w:val="00A122D3"/>
    <w:rsid w:val="00A14468"/>
    <w:rsid w:val="00A17F13"/>
    <w:rsid w:val="00A20739"/>
    <w:rsid w:val="00A23AF9"/>
    <w:rsid w:val="00A33C78"/>
    <w:rsid w:val="00AB0ADB"/>
    <w:rsid w:val="00B00C0E"/>
    <w:rsid w:val="00B01B1A"/>
    <w:rsid w:val="00B0381D"/>
    <w:rsid w:val="00B44A47"/>
    <w:rsid w:val="00B72CD3"/>
    <w:rsid w:val="00B72FFF"/>
    <w:rsid w:val="00BB6C04"/>
    <w:rsid w:val="00BC3D36"/>
    <w:rsid w:val="00BC42BB"/>
    <w:rsid w:val="00BD54A6"/>
    <w:rsid w:val="00BD7F72"/>
    <w:rsid w:val="00BF7425"/>
    <w:rsid w:val="00C04FB3"/>
    <w:rsid w:val="00C11D8B"/>
    <w:rsid w:val="00C15139"/>
    <w:rsid w:val="00C330EB"/>
    <w:rsid w:val="00C50D69"/>
    <w:rsid w:val="00C5365C"/>
    <w:rsid w:val="00C754BE"/>
    <w:rsid w:val="00C76B1C"/>
    <w:rsid w:val="00C8487B"/>
    <w:rsid w:val="00C925AC"/>
    <w:rsid w:val="00CB6357"/>
    <w:rsid w:val="00CC1B26"/>
    <w:rsid w:val="00CC5256"/>
    <w:rsid w:val="00D361FD"/>
    <w:rsid w:val="00D423A2"/>
    <w:rsid w:val="00D44E26"/>
    <w:rsid w:val="00D520D8"/>
    <w:rsid w:val="00D63AC2"/>
    <w:rsid w:val="00D7383B"/>
    <w:rsid w:val="00D7788A"/>
    <w:rsid w:val="00DA231B"/>
    <w:rsid w:val="00DC39FC"/>
    <w:rsid w:val="00DF5254"/>
    <w:rsid w:val="00E02524"/>
    <w:rsid w:val="00E16408"/>
    <w:rsid w:val="00E20894"/>
    <w:rsid w:val="00E245AB"/>
    <w:rsid w:val="00E2764C"/>
    <w:rsid w:val="00E27F2E"/>
    <w:rsid w:val="00E50AFE"/>
    <w:rsid w:val="00E75C92"/>
    <w:rsid w:val="00E771DC"/>
    <w:rsid w:val="00E8772A"/>
    <w:rsid w:val="00E90F6B"/>
    <w:rsid w:val="00E92C27"/>
    <w:rsid w:val="00EA0E3D"/>
    <w:rsid w:val="00EC38A7"/>
    <w:rsid w:val="00EE1AA8"/>
    <w:rsid w:val="00F23FEA"/>
    <w:rsid w:val="00F256C3"/>
    <w:rsid w:val="00F31EDC"/>
    <w:rsid w:val="00F462B3"/>
    <w:rsid w:val="00F5664F"/>
    <w:rsid w:val="00F666C4"/>
    <w:rsid w:val="00F76AFC"/>
    <w:rsid w:val="00FA47C0"/>
    <w:rsid w:val="00FB5DD1"/>
    <w:rsid w:val="00FC2B5D"/>
    <w:rsid w:val="00FF1449"/>
    <w:rsid w:val="00FF7963"/>
    <w:rsid w:val="071B8F93"/>
    <w:rsid w:val="07C73DD1"/>
    <w:rsid w:val="09908A09"/>
    <w:rsid w:val="0E0AF0F4"/>
    <w:rsid w:val="0EFE6349"/>
    <w:rsid w:val="0FF4CCA8"/>
    <w:rsid w:val="13CFC91B"/>
    <w:rsid w:val="199FDA2D"/>
    <w:rsid w:val="19A2EC2C"/>
    <w:rsid w:val="21779BE6"/>
    <w:rsid w:val="2859CA1B"/>
    <w:rsid w:val="2C4D2425"/>
    <w:rsid w:val="2EE1E026"/>
    <w:rsid w:val="2F44F38F"/>
    <w:rsid w:val="30821638"/>
    <w:rsid w:val="32A4F9CF"/>
    <w:rsid w:val="33A1FF93"/>
    <w:rsid w:val="356CEDFD"/>
    <w:rsid w:val="3C591AFD"/>
    <w:rsid w:val="42183F0A"/>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5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List Paragraph,Foot"/>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paragraph" w:customStyle="1" w:styleId="Appelnotedebasde">
    <w:name w:val="Appel note de bas de..."/>
    <w:basedOn w:val="Normal"/>
    <w:link w:val="Refdenotaalpie"/>
    <w:uiPriority w:val="99"/>
    <w:rsid w:val="00BC42BB"/>
    <w:pPr>
      <w:spacing w:line="240" w:lineRule="exact"/>
    </w:pPr>
    <w:rPr>
      <w:vertAlign w:val="superscript"/>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BC42BB"/>
    <w:rPr>
      <w:rFonts w:ascii="Geomanist Light" w:hAnsi="Geomanist Light"/>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relatoria.colombiacompra.gov.co/busqueda/conceptos"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www.colombiacompra.gov.co/manuales-guias-y-pliegos-tipo/manuales-y-guias" TargetMode="External"/><Relationship Id="rId17" Type="http://schemas.openxmlformats.org/officeDocument/2006/relationships/image" Target="media/image3.jpeg"/><Relationship Id="rId2" Type="http://schemas.openxmlformats.org/officeDocument/2006/relationships/customXml" Target="../customXml/item2.xml"/><Relationship Id="rId16" Type="http://schemas.openxmlformats.org/officeDocument/2006/relationships/hyperlink" Target="https://www.colombiacompra.gov.co/archivos/manual/guia-para-la-comprension-e-implementacion-de-los-documentos-tipo-de-obra-publica-de-infraestructura-de-transporte-bajo-las-diferentes-modalidades-de-contratacion-vigente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dministracion@neomundo.com" TargetMode="External"/><Relationship Id="rId5" Type="http://schemas.openxmlformats.org/officeDocument/2006/relationships/styles" Target="styles.xml"/><Relationship Id="rId15" Type="http://schemas.openxmlformats.org/officeDocument/2006/relationships/hyperlink" Target="https://www.colombiacompra.gov.co/normativa-y-relatoria/documentos-tipo" TargetMode="External"/><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formacionvirtual.colombiacompra.gov.co/mod/page/view.php?id=3718"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colombiacompra.gov.co/wp-content/uploads/2024/08/Guia-ESALES-CCE-V2_2025.pdf" TargetMode="External"/><Relationship Id="rId1" Type="http://schemas.openxmlformats.org/officeDocument/2006/relationships/hyperlink" Target="https://www.colombiacompra.gov.co/wp-content/uploads/2024/08/Guia-ESALES-CCE-V2_2025.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653F0F5-1FF3-40F1-8DED-F4F485A0C3AE}"/>
</file>

<file path=customXml/itemProps3.xml><?xml version="1.0" encoding="utf-8"?>
<ds:datastoreItem xmlns:ds="http://schemas.openxmlformats.org/officeDocument/2006/customXml" ds:itemID="{19B0637E-D058-473B-8FE7-AA861F69C797}">
  <ds:schemaRefs>
    <ds:schemaRef ds:uri="http://schemas.microsoft.com/sharepoint/v3/contenttype/forms"/>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13</TotalTime>
  <Pages>14</Pages>
  <Words>4690</Words>
  <Characters>25799</Characters>
  <Application>Microsoft Office Word</Application>
  <DocSecurity>0</DocSecurity>
  <Lines>214</Lines>
  <Paragraphs>60</Paragraphs>
  <ScaleCrop>false</ScaleCrop>
  <Company/>
  <LinksUpToDate>false</LinksUpToDate>
  <CharactersWithSpaces>30429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Daniel Eduardo Rojas Poveda</cp:lastModifiedBy>
  <cp:revision>3</cp:revision>
  <cp:lastPrinted>2023-01-10T21:18:00Z</cp:lastPrinted>
  <dcterms:created xsi:type="dcterms:W3CDTF">2026-06-25T11:34:00Z</dcterms:created>
  <dcterms:modified xsi:type="dcterms:W3CDTF">2026-06-25T11:45:00Z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