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52B17" w14:textId="77777777" w:rsidR="00FD35EB" w:rsidRPr="00945BB1" w:rsidRDefault="00FD35EB" w:rsidP="00FD35EB">
      <w:pPr>
        <w:spacing w:after="0" w:line="240" w:lineRule="auto"/>
        <w:jc w:val="both"/>
        <w:rPr>
          <w:rFonts w:ascii="Verdana" w:eastAsia="Calibri" w:hAnsi="Verdana" w:cs="Arial"/>
          <w:b/>
          <w:bCs/>
          <w:color w:val="000000" w:themeColor="text1"/>
          <w:lang w:val="es-ES_tradnl"/>
        </w:rPr>
      </w:pPr>
      <w:r w:rsidRPr="00945BB1">
        <w:rPr>
          <w:rFonts w:ascii="Verdana" w:eastAsia="Calibri" w:hAnsi="Verdana" w:cs="Arial"/>
          <w:b/>
          <w:bCs/>
          <w:color w:val="000000" w:themeColor="text1"/>
          <w:lang w:val="es-ES_tradnl"/>
        </w:rPr>
        <w:t xml:space="preserve">PRECIO – Concepto – Estructuración </w:t>
      </w:r>
    </w:p>
    <w:p w14:paraId="4FE2D551" w14:textId="77777777" w:rsidR="00FD35EB" w:rsidRPr="00945BB1" w:rsidRDefault="00FD35EB" w:rsidP="00FD35EB">
      <w:pPr>
        <w:spacing w:after="0" w:line="240" w:lineRule="auto"/>
        <w:jc w:val="both"/>
        <w:rPr>
          <w:rFonts w:ascii="Verdana" w:eastAsia="Calibri" w:hAnsi="Verdana" w:cs="Arial"/>
          <w:b/>
          <w:bCs/>
          <w:color w:val="000000" w:themeColor="text1"/>
          <w:lang w:val="es-MX"/>
        </w:rPr>
      </w:pPr>
    </w:p>
    <w:p w14:paraId="4C1E5499" w14:textId="77777777" w:rsidR="00FD35EB" w:rsidRPr="00FD35EB" w:rsidRDefault="00FD35EB" w:rsidP="00FD35EB">
      <w:pPr>
        <w:spacing w:after="0" w:line="240" w:lineRule="auto"/>
        <w:jc w:val="both"/>
        <w:rPr>
          <w:rFonts w:ascii="Verdana" w:eastAsia="Calibri" w:hAnsi="Verdana" w:cs="Arial"/>
          <w:color w:val="000000" w:themeColor="text1"/>
          <w:sz w:val="20"/>
          <w:szCs w:val="20"/>
        </w:rPr>
      </w:pPr>
      <w:r w:rsidRPr="00FD35EB">
        <w:rPr>
          <w:rFonts w:ascii="Verdana" w:eastAsia="Calibri" w:hAnsi="Verdana" w:cs="Arial"/>
          <w:color w:val="000000" w:themeColor="text1"/>
          <w:sz w:val="20"/>
          <w:szCs w:val="20"/>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14:paraId="42A0590F" w14:textId="77777777" w:rsidR="00FD35EB" w:rsidRPr="00FD35EB" w:rsidRDefault="00FD35EB" w:rsidP="00FD35EB">
      <w:pPr>
        <w:spacing w:after="0" w:line="240" w:lineRule="auto"/>
        <w:jc w:val="both"/>
        <w:rPr>
          <w:rFonts w:ascii="Verdana" w:eastAsia="Calibri" w:hAnsi="Verdana" w:cs="Arial"/>
          <w:color w:val="000000" w:themeColor="text1"/>
          <w:sz w:val="20"/>
          <w:szCs w:val="20"/>
        </w:rPr>
      </w:pPr>
    </w:p>
    <w:p w14:paraId="1C85685F" w14:textId="77777777" w:rsidR="00FD35EB" w:rsidRPr="00FD35EB" w:rsidRDefault="00FD35EB" w:rsidP="00FD35EB">
      <w:pPr>
        <w:spacing w:after="0" w:line="240" w:lineRule="auto"/>
        <w:jc w:val="both"/>
        <w:rPr>
          <w:rFonts w:ascii="Verdana" w:eastAsia="Calibri" w:hAnsi="Verdana" w:cs="Arial"/>
          <w:color w:val="000000" w:themeColor="text1"/>
          <w:sz w:val="20"/>
          <w:szCs w:val="20"/>
        </w:rPr>
      </w:pPr>
      <w:r w:rsidRPr="00FD35EB">
        <w:rPr>
          <w:rFonts w:ascii="Verdana" w:eastAsia="Calibri" w:hAnsi="Verdana" w:cs="Arial"/>
          <w:color w:val="000000" w:themeColor="text1"/>
          <w:sz w:val="20"/>
          <w:szCs w:val="20"/>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w:t>
      </w:r>
    </w:p>
    <w:p w14:paraId="4501C8C5" w14:textId="77777777" w:rsidR="00FD35EB" w:rsidRPr="00945BB1" w:rsidRDefault="00FD35EB" w:rsidP="00FD35EB">
      <w:pPr>
        <w:spacing w:after="0" w:line="240" w:lineRule="auto"/>
        <w:jc w:val="both"/>
        <w:rPr>
          <w:rFonts w:ascii="Verdana" w:eastAsia="Calibri" w:hAnsi="Verdana" w:cs="Arial"/>
          <w:color w:val="000000" w:themeColor="text1"/>
        </w:rPr>
      </w:pPr>
      <w:r w:rsidRPr="00945BB1">
        <w:rPr>
          <w:rFonts w:ascii="Verdana" w:eastAsia="Calibri" w:hAnsi="Verdana" w:cs="Arial"/>
          <w:color w:val="000000" w:themeColor="text1"/>
        </w:rPr>
        <w:t xml:space="preserve"> </w:t>
      </w:r>
    </w:p>
    <w:p w14:paraId="7080199C" w14:textId="77777777" w:rsidR="00FD35EB" w:rsidRPr="00945BB1" w:rsidRDefault="00FD35EB" w:rsidP="00FD35EB">
      <w:pPr>
        <w:spacing w:after="0" w:line="240" w:lineRule="auto"/>
        <w:jc w:val="both"/>
        <w:rPr>
          <w:rFonts w:ascii="Verdana" w:hAnsi="Verdana"/>
        </w:rPr>
      </w:pPr>
      <w:r w:rsidRPr="00945BB1">
        <w:rPr>
          <w:rFonts w:ascii="Verdana" w:hAnsi="Verdana"/>
          <w:b/>
          <w:bCs/>
        </w:rPr>
        <w:t xml:space="preserve">VALOR ESTIMADO DEL CONTRATO </w:t>
      </w:r>
      <w:r w:rsidRPr="00945BB1">
        <w:rPr>
          <w:rFonts w:ascii="Verdana" w:hAnsi="Verdana"/>
          <w:b/>
          <w:bCs/>
          <w:color w:val="000000" w:themeColor="text1"/>
        </w:rPr>
        <w:t>- Numeral 4 artículo 2.2.1.1.2.1.1. del Decreto 1082 de 2015</w:t>
      </w:r>
    </w:p>
    <w:p w14:paraId="7D637306" w14:textId="77777777" w:rsidR="00FD35EB" w:rsidRPr="00945BB1" w:rsidRDefault="00FD35EB" w:rsidP="00FD35EB">
      <w:pPr>
        <w:spacing w:after="0" w:line="240" w:lineRule="auto"/>
        <w:jc w:val="both"/>
        <w:rPr>
          <w:rFonts w:ascii="Verdana" w:eastAsia="Calibri" w:hAnsi="Verdana" w:cs="Arial"/>
          <w:color w:val="000000" w:themeColor="text1"/>
          <w:lang w:val="es-ES"/>
        </w:rPr>
      </w:pPr>
    </w:p>
    <w:p w14:paraId="6B40A909" w14:textId="77777777" w:rsidR="00FD35EB" w:rsidRPr="00FD35EB" w:rsidRDefault="00FD35EB" w:rsidP="00FD35EB">
      <w:pPr>
        <w:pStyle w:val="Textoindependiente"/>
        <w:ind w:right="209"/>
        <w:jc w:val="both"/>
        <w:rPr>
          <w:rFonts w:ascii="Verdana" w:hAnsi="Verdana"/>
          <w:sz w:val="20"/>
          <w:szCs w:val="20"/>
        </w:rPr>
      </w:pPr>
      <w:r w:rsidRPr="00FD35EB">
        <w:rPr>
          <w:rFonts w:ascii="Verdana" w:hAnsi="Verdana"/>
          <w:sz w:val="20"/>
          <w:szCs w:val="20"/>
        </w:rPr>
        <w:t>Las entidades estatales, durante la etapa de planeación de los procedimientos de contratación, deben elaborar los estudios y documentos previos que sirven de base para la estructuración del proyecto de pliegos, los pliegos de condiciones definitivos y el contrato. Los estudios y documentos previos deben incluir el contenido mínimo establecido en el artículo 2.2.1.1.2.1.1. del Decreto 1082 de 2015, que comprende la información relacionada con la necesidad de la entidad, el objeto, sus especificaciones, permisos, licencias, modalidad de selección, valor, criterios de selección, análisis de riesgo y forma de mitigarlo, garantías, entre</w:t>
      </w:r>
      <w:r w:rsidRPr="00FD35EB">
        <w:rPr>
          <w:rFonts w:ascii="Verdana" w:hAnsi="Verdana"/>
          <w:spacing w:val="-5"/>
          <w:sz w:val="20"/>
          <w:szCs w:val="20"/>
        </w:rPr>
        <w:t xml:space="preserve"> </w:t>
      </w:r>
      <w:r w:rsidRPr="00FD35EB">
        <w:rPr>
          <w:rFonts w:ascii="Verdana" w:hAnsi="Verdana"/>
          <w:sz w:val="20"/>
          <w:szCs w:val="20"/>
        </w:rPr>
        <w:t>otros.</w:t>
      </w:r>
    </w:p>
    <w:p w14:paraId="2AA1A1DA" w14:textId="77777777" w:rsidR="00FD35EB" w:rsidRPr="00FD35EB" w:rsidRDefault="00FD35EB" w:rsidP="00FD35EB">
      <w:pPr>
        <w:pStyle w:val="Textoindependiente"/>
        <w:spacing w:before="3"/>
        <w:rPr>
          <w:rFonts w:ascii="Verdana" w:hAnsi="Verdana"/>
          <w:sz w:val="20"/>
          <w:szCs w:val="20"/>
        </w:rPr>
      </w:pPr>
    </w:p>
    <w:p w14:paraId="15CAEB1C" w14:textId="77777777" w:rsidR="00FD35EB" w:rsidRPr="00FD35EB" w:rsidRDefault="00FD35EB" w:rsidP="00FD35EB">
      <w:pPr>
        <w:pStyle w:val="Textoindependiente"/>
        <w:spacing w:before="1"/>
        <w:ind w:right="205"/>
        <w:jc w:val="both"/>
        <w:rPr>
          <w:rFonts w:ascii="Verdana" w:hAnsi="Verdana"/>
          <w:sz w:val="20"/>
          <w:szCs w:val="20"/>
        </w:rPr>
      </w:pPr>
      <w:r w:rsidRPr="00FD35EB">
        <w:rPr>
          <w:rFonts w:ascii="Verdana" w:hAnsi="Verdana"/>
          <w:sz w:val="20"/>
          <w:szCs w:val="20"/>
        </w:rPr>
        <w:t xml:space="preserve">Respecto al valor del contrato, señala el artículo citado, en el numeral 4, que la entidad debe incluir en los estudios y documentos previos “el valor estimado del contrato y la </w:t>
      </w:r>
      <w:r w:rsidRPr="00FD35EB">
        <w:rPr>
          <w:rFonts w:ascii="Verdana" w:hAnsi="Verdana"/>
          <w:sz w:val="20"/>
          <w:szCs w:val="20"/>
        </w:rPr>
        <w:lastRenderedPageBreak/>
        <w:t>justificación del mismo. Cuando el valor del contrato esté determinado por precios unitarios, la Entidad Estatal debe incluir la forma como los calculó y soportar sus cálculos de presupuesto en la estimación de aquellos”. Es decir, al estructurar el procedimiento de contratación se debe justificar la manera como definió el valor o presupuesto oficial, para lo cual debe señalar, por ejemplo, si el valor del proceso de contratación se obtuvo del análisis de precios históricos del bien o servicio a adquirir, cotizaciones, actualización de valores de contratos anteriores, estudio de mercado, precios unitarios o cualquier otro mecanismo. Así mismo, tratándose de precios unitarios, la entidad debe señalar la forma como los calculó y el soporte de la estimación de los mismos, en este caso la entidad debe publicar, si esta fue la metodología utilizada, los análisis de precios unitarios o las cotizaciones, de manera que los interesados en el procedimiento de contratación puedan conocer y entender cómo se obtuvo el presupuesto oficial. Ello permitirá que los eventuales proponentes</w:t>
      </w:r>
      <w:r w:rsidRPr="00FD35EB">
        <w:rPr>
          <w:rFonts w:ascii="Verdana" w:hAnsi="Verdana"/>
          <w:spacing w:val="20"/>
          <w:sz w:val="20"/>
          <w:szCs w:val="20"/>
        </w:rPr>
        <w:t xml:space="preserve"> </w:t>
      </w:r>
      <w:r w:rsidRPr="00FD35EB">
        <w:rPr>
          <w:rFonts w:ascii="Verdana" w:hAnsi="Verdana"/>
          <w:sz w:val="20"/>
          <w:szCs w:val="20"/>
        </w:rPr>
        <w:t>puedan</w:t>
      </w:r>
      <w:r w:rsidRPr="00FD35EB">
        <w:rPr>
          <w:rFonts w:ascii="Verdana" w:hAnsi="Verdana"/>
          <w:spacing w:val="21"/>
          <w:sz w:val="20"/>
          <w:szCs w:val="20"/>
        </w:rPr>
        <w:t xml:space="preserve"> </w:t>
      </w:r>
      <w:r w:rsidRPr="00FD35EB">
        <w:rPr>
          <w:rFonts w:ascii="Verdana" w:hAnsi="Verdana"/>
          <w:sz w:val="20"/>
          <w:szCs w:val="20"/>
        </w:rPr>
        <w:t>realizar</w:t>
      </w:r>
      <w:r w:rsidRPr="00FD35EB">
        <w:rPr>
          <w:rFonts w:ascii="Verdana" w:hAnsi="Verdana"/>
          <w:spacing w:val="21"/>
          <w:sz w:val="20"/>
          <w:szCs w:val="20"/>
        </w:rPr>
        <w:t xml:space="preserve"> </w:t>
      </w:r>
      <w:r w:rsidRPr="00FD35EB">
        <w:rPr>
          <w:rFonts w:ascii="Verdana" w:hAnsi="Verdana"/>
          <w:sz w:val="20"/>
          <w:szCs w:val="20"/>
        </w:rPr>
        <w:t>las</w:t>
      </w:r>
      <w:r w:rsidRPr="00FD35EB">
        <w:rPr>
          <w:rFonts w:ascii="Verdana" w:hAnsi="Verdana"/>
          <w:spacing w:val="21"/>
          <w:sz w:val="20"/>
          <w:szCs w:val="20"/>
        </w:rPr>
        <w:t xml:space="preserve"> </w:t>
      </w:r>
      <w:r w:rsidRPr="00FD35EB">
        <w:rPr>
          <w:rFonts w:ascii="Verdana" w:hAnsi="Verdana"/>
          <w:sz w:val="20"/>
          <w:szCs w:val="20"/>
        </w:rPr>
        <w:t>estimaciones</w:t>
      </w:r>
      <w:r w:rsidRPr="00FD35EB">
        <w:rPr>
          <w:rFonts w:ascii="Verdana" w:hAnsi="Verdana"/>
          <w:spacing w:val="21"/>
          <w:sz w:val="20"/>
          <w:szCs w:val="20"/>
        </w:rPr>
        <w:t xml:space="preserve"> </w:t>
      </w:r>
      <w:r w:rsidRPr="00FD35EB">
        <w:rPr>
          <w:rFonts w:ascii="Verdana" w:hAnsi="Verdana"/>
          <w:sz w:val="20"/>
          <w:szCs w:val="20"/>
        </w:rPr>
        <w:t>correspondientes,</w:t>
      </w:r>
      <w:r w:rsidRPr="00FD35EB">
        <w:rPr>
          <w:rFonts w:ascii="Verdana" w:hAnsi="Verdana"/>
          <w:spacing w:val="20"/>
          <w:sz w:val="20"/>
          <w:szCs w:val="20"/>
        </w:rPr>
        <w:t xml:space="preserve"> </w:t>
      </w:r>
      <w:r w:rsidRPr="00FD35EB">
        <w:rPr>
          <w:rFonts w:ascii="Verdana" w:hAnsi="Verdana"/>
          <w:sz w:val="20"/>
          <w:szCs w:val="20"/>
        </w:rPr>
        <w:t>bien</w:t>
      </w:r>
      <w:r w:rsidRPr="00FD35EB">
        <w:rPr>
          <w:rFonts w:ascii="Verdana" w:hAnsi="Verdana"/>
          <w:spacing w:val="21"/>
          <w:sz w:val="20"/>
          <w:szCs w:val="20"/>
        </w:rPr>
        <w:t xml:space="preserve"> </w:t>
      </w:r>
      <w:r w:rsidRPr="00FD35EB">
        <w:rPr>
          <w:rFonts w:ascii="Verdana" w:hAnsi="Verdana"/>
          <w:sz w:val="20"/>
          <w:szCs w:val="20"/>
        </w:rPr>
        <w:t>sea</w:t>
      </w:r>
      <w:r w:rsidRPr="00FD35EB">
        <w:rPr>
          <w:rFonts w:ascii="Verdana" w:hAnsi="Verdana"/>
          <w:spacing w:val="21"/>
          <w:sz w:val="20"/>
          <w:szCs w:val="20"/>
        </w:rPr>
        <w:t xml:space="preserve"> </w:t>
      </w:r>
      <w:r w:rsidRPr="00FD35EB">
        <w:rPr>
          <w:rFonts w:ascii="Verdana" w:hAnsi="Verdana"/>
          <w:sz w:val="20"/>
          <w:szCs w:val="20"/>
        </w:rPr>
        <w:t>para</w:t>
      </w:r>
      <w:r w:rsidRPr="00FD35EB">
        <w:rPr>
          <w:rFonts w:ascii="Verdana" w:hAnsi="Verdana"/>
          <w:spacing w:val="20"/>
          <w:sz w:val="20"/>
          <w:szCs w:val="20"/>
        </w:rPr>
        <w:t xml:space="preserve"> </w:t>
      </w:r>
      <w:r w:rsidRPr="00FD35EB">
        <w:rPr>
          <w:rFonts w:ascii="Verdana" w:hAnsi="Verdana"/>
          <w:sz w:val="20"/>
          <w:szCs w:val="20"/>
        </w:rPr>
        <w:t>presentar observaciones al procedimiento de contratación, por considerar que el presupuesto no es suficiente para cubrir el costo de los bienes o servicios a adquirir, o para decidir si se presenta oferta al procedimiento de selección.</w:t>
      </w:r>
    </w:p>
    <w:p w14:paraId="2208835C" w14:textId="77777777" w:rsidR="00746BBA" w:rsidRDefault="00746BBA" w:rsidP="00746BBA">
      <w:pPr>
        <w:spacing w:after="0" w:line="240" w:lineRule="auto"/>
        <w:rPr>
          <w:rFonts w:ascii="Verdana" w:eastAsia="Geomanist Light" w:hAnsi="Verdana" w:cs="Arial"/>
          <w:color w:val="000000" w:themeColor="text1"/>
        </w:rPr>
      </w:pPr>
    </w:p>
    <w:p w14:paraId="5F2AA29C" w14:textId="77777777" w:rsidR="00A3122D" w:rsidRDefault="00A3122D" w:rsidP="00561564">
      <w:pPr>
        <w:spacing w:after="0" w:line="240" w:lineRule="auto"/>
        <w:rPr>
          <w:rFonts w:ascii="Verdana" w:eastAsia="Geomanist Light" w:hAnsi="Verdana" w:cs="Arial"/>
          <w:color w:val="000000" w:themeColor="text1"/>
          <w:lang w:val="es-MX"/>
        </w:rPr>
      </w:pPr>
    </w:p>
    <w:p w14:paraId="01AD2932" w14:textId="77777777" w:rsidR="00A3122D" w:rsidRDefault="00A3122D" w:rsidP="00561564">
      <w:pPr>
        <w:spacing w:after="0" w:line="240" w:lineRule="auto"/>
        <w:rPr>
          <w:rFonts w:ascii="Verdana" w:eastAsia="Geomanist Light" w:hAnsi="Verdana" w:cs="Arial"/>
          <w:color w:val="000000" w:themeColor="text1"/>
          <w:lang w:val="es-MX"/>
        </w:rPr>
      </w:pPr>
    </w:p>
    <w:p w14:paraId="6B121391" w14:textId="77777777" w:rsidR="00A3122D" w:rsidRDefault="00A3122D" w:rsidP="00561564">
      <w:pPr>
        <w:spacing w:after="0" w:line="240" w:lineRule="auto"/>
        <w:rPr>
          <w:rFonts w:ascii="Verdana" w:eastAsia="Geomanist Light" w:hAnsi="Verdana" w:cs="Arial"/>
          <w:color w:val="000000" w:themeColor="text1"/>
          <w:lang w:val="es-MX"/>
        </w:rPr>
      </w:pPr>
    </w:p>
    <w:p w14:paraId="2F85888E" w14:textId="77777777" w:rsidR="00A3122D" w:rsidRDefault="00A3122D" w:rsidP="00561564">
      <w:pPr>
        <w:spacing w:after="0" w:line="240" w:lineRule="auto"/>
        <w:rPr>
          <w:rFonts w:ascii="Verdana" w:eastAsia="Geomanist Light" w:hAnsi="Verdana" w:cs="Arial"/>
          <w:color w:val="000000" w:themeColor="text1"/>
          <w:lang w:val="es-MX"/>
        </w:rPr>
      </w:pPr>
    </w:p>
    <w:p w14:paraId="30D48920" w14:textId="77777777" w:rsidR="00A3122D" w:rsidRDefault="00A3122D" w:rsidP="00561564">
      <w:pPr>
        <w:spacing w:after="0" w:line="240" w:lineRule="auto"/>
        <w:rPr>
          <w:rFonts w:ascii="Verdana" w:eastAsia="Geomanist Light" w:hAnsi="Verdana" w:cs="Arial"/>
          <w:color w:val="000000" w:themeColor="text1"/>
          <w:lang w:val="es-MX"/>
        </w:rPr>
      </w:pPr>
    </w:p>
    <w:p w14:paraId="45E65F81" w14:textId="77777777" w:rsidR="003D038F" w:rsidRDefault="003D038F" w:rsidP="003D038F">
      <w:pPr>
        <w:spacing w:after="0" w:line="240" w:lineRule="auto"/>
        <w:jc w:val="both"/>
        <w:rPr>
          <w:rFonts w:ascii="Verdana" w:eastAsia="Times New Roman" w:hAnsi="Verdana" w:cs="Arial"/>
          <w:b/>
          <w:lang w:val="es-ES_tradnl" w:eastAsia="es-ES"/>
        </w:rPr>
      </w:pPr>
    </w:p>
    <w:p w14:paraId="31EAA3EB" w14:textId="77777777" w:rsidR="003D038F" w:rsidRDefault="003D038F" w:rsidP="003D038F">
      <w:pPr>
        <w:spacing w:after="0" w:line="240" w:lineRule="auto"/>
        <w:jc w:val="both"/>
        <w:rPr>
          <w:rFonts w:ascii="Verdana" w:eastAsia="Times New Roman" w:hAnsi="Verdana" w:cs="Arial"/>
          <w:b/>
          <w:lang w:val="es-ES_tradnl" w:eastAsia="es-ES"/>
        </w:rPr>
      </w:pPr>
    </w:p>
    <w:p w14:paraId="119F2FDD" w14:textId="77777777" w:rsidR="003D038F" w:rsidRDefault="003D038F" w:rsidP="003D038F">
      <w:pPr>
        <w:spacing w:after="0" w:line="240" w:lineRule="auto"/>
        <w:jc w:val="both"/>
        <w:rPr>
          <w:rFonts w:ascii="Verdana" w:eastAsia="Times New Roman" w:hAnsi="Verdana" w:cs="Arial"/>
          <w:b/>
          <w:lang w:val="es-ES_tradnl" w:eastAsia="es-ES"/>
        </w:rPr>
      </w:pPr>
    </w:p>
    <w:p w14:paraId="1F813037" w14:textId="77777777" w:rsidR="008256D1" w:rsidRDefault="008256D1" w:rsidP="00BB054D">
      <w:pPr>
        <w:spacing w:after="0" w:line="240" w:lineRule="auto"/>
        <w:jc w:val="both"/>
        <w:rPr>
          <w:rFonts w:ascii="Verdana" w:eastAsia="Times New Roman" w:hAnsi="Verdana" w:cs="Times New Roman"/>
          <w:sz w:val="20"/>
          <w:szCs w:val="20"/>
          <w:lang w:val="es-ES_tradnl" w:eastAsia="es-ES_tradnl"/>
        </w:rPr>
      </w:pPr>
    </w:p>
    <w:p w14:paraId="45FB9647" w14:textId="77777777" w:rsidR="003D038F" w:rsidRDefault="003D038F" w:rsidP="00BB054D">
      <w:pPr>
        <w:spacing w:after="0" w:line="240" w:lineRule="auto"/>
        <w:jc w:val="both"/>
        <w:rPr>
          <w:rFonts w:ascii="Verdana" w:eastAsia="Times New Roman" w:hAnsi="Verdana" w:cs="Times New Roman"/>
          <w:sz w:val="20"/>
          <w:szCs w:val="20"/>
          <w:lang w:val="es-ES_tradnl" w:eastAsia="es-ES_tradnl"/>
        </w:rPr>
      </w:pPr>
    </w:p>
    <w:p w14:paraId="0AB5D9B0" w14:textId="77777777" w:rsidR="003D038F" w:rsidRDefault="003D038F" w:rsidP="00BB054D">
      <w:pPr>
        <w:spacing w:after="0" w:line="240" w:lineRule="auto"/>
        <w:jc w:val="both"/>
        <w:rPr>
          <w:rFonts w:ascii="Verdana" w:eastAsia="Times New Roman" w:hAnsi="Verdana" w:cs="Times New Roman"/>
          <w:sz w:val="20"/>
          <w:szCs w:val="20"/>
          <w:lang w:val="es-ES_tradnl" w:eastAsia="es-ES_tradnl"/>
        </w:rPr>
      </w:pPr>
    </w:p>
    <w:p w14:paraId="58F43B76" w14:textId="77777777" w:rsidR="003D038F" w:rsidRDefault="003D038F" w:rsidP="00BB054D">
      <w:pPr>
        <w:spacing w:after="0" w:line="240" w:lineRule="auto"/>
        <w:jc w:val="both"/>
        <w:rPr>
          <w:rFonts w:ascii="Verdana" w:eastAsia="Times New Roman" w:hAnsi="Verdana" w:cs="Times New Roman"/>
          <w:sz w:val="20"/>
          <w:szCs w:val="20"/>
          <w:lang w:val="es-ES_tradnl" w:eastAsia="es-ES_tradnl"/>
        </w:rPr>
      </w:pPr>
    </w:p>
    <w:p w14:paraId="28ACB8D8" w14:textId="77777777" w:rsidR="003D038F" w:rsidRDefault="003D038F" w:rsidP="00BB054D">
      <w:pPr>
        <w:spacing w:after="0" w:line="240" w:lineRule="auto"/>
        <w:jc w:val="both"/>
        <w:rPr>
          <w:rFonts w:ascii="Verdana" w:eastAsia="Times New Roman" w:hAnsi="Verdana" w:cs="Times New Roman"/>
          <w:sz w:val="20"/>
          <w:szCs w:val="20"/>
          <w:lang w:val="es-ES_tradnl" w:eastAsia="es-ES_tradnl"/>
        </w:rPr>
      </w:pPr>
    </w:p>
    <w:p w14:paraId="684566AB" w14:textId="77777777" w:rsidR="003D038F" w:rsidRDefault="003D038F" w:rsidP="00BB054D">
      <w:pPr>
        <w:spacing w:after="0" w:line="240" w:lineRule="auto"/>
        <w:jc w:val="both"/>
        <w:rPr>
          <w:rFonts w:ascii="Verdana" w:eastAsia="Times New Roman" w:hAnsi="Verdana" w:cs="Times New Roman"/>
          <w:sz w:val="20"/>
          <w:szCs w:val="20"/>
          <w:lang w:val="es-ES_tradnl" w:eastAsia="es-ES_tradnl"/>
        </w:rPr>
      </w:pPr>
    </w:p>
    <w:p w14:paraId="53709FA1"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3D9C7AE3"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5C430F08"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2BBF51CA"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649CF810"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1F23BF0A"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63977991"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6692171F" w14:textId="77777777" w:rsidR="00FD35EB" w:rsidRDefault="00FD35EB" w:rsidP="00BB054D">
      <w:pPr>
        <w:spacing w:after="0" w:line="240" w:lineRule="auto"/>
        <w:jc w:val="both"/>
        <w:rPr>
          <w:rFonts w:ascii="Verdana" w:eastAsia="Times New Roman" w:hAnsi="Verdana" w:cs="Times New Roman"/>
          <w:sz w:val="20"/>
          <w:szCs w:val="20"/>
          <w:lang w:val="es-ES_tradnl" w:eastAsia="es-ES_tradnl"/>
        </w:rPr>
      </w:pPr>
    </w:p>
    <w:p w14:paraId="657C1C8D" w14:textId="77777777" w:rsidR="003D038F" w:rsidRDefault="003D038F" w:rsidP="00BB054D">
      <w:pPr>
        <w:spacing w:after="0" w:line="240" w:lineRule="auto"/>
        <w:jc w:val="both"/>
        <w:rPr>
          <w:rFonts w:ascii="Verdana" w:eastAsia="Times New Roman" w:hAnsi="Verdana" w:cs="Times New Roman"/>
          <w:sz w:val="20"/>
          <w:szCs w:val="20"/>
          <w:lang w:val="es-ES_tradnl" w:eastAsia="es-ES_tradnl"/>
        </w:rPr>
      </w:pPr>
    </w:p>
    <w:p w14:paraId="37A181A3" w14:textId="77777777" w:rsidR="003D038F" w:rsidRDefault="003D038F" w:rsidP="00BB054D">
      <w:pPr>
        <w:spacing w:after="0" w:line="240" w:lineRule="auto"/>
        <w:jc w:val="both"/>
        <w:rPr>
          <w:rFonts w:ascii="Verdana" w:eastAsia="Times New Roman" w:hAnsi="Verdana" w:cs="Times New Roman"/>
          <w:sz w:val="20"/>
          <w:szCs w:val="20"/>
          <w:lang w:val="es-ES_tradnl" w:eastAsia="es-ES_tradnl"/>
        </w:rPr>
      </w:pPr>
    </w:p>
    <w:p w14:paraId="7CBA3C04" w14:textId="77777777" w:rsidR="008256D1" w:rsidRDefault="008256D1" w:rsidP="00BB054D">
      <w:pPr>
        <w:spacing w:after="0" w:line="240" w:lineRule="auto"/>
        <w:jc w:val="both"/>
        <w:rPr>
          <w:rFonts w:ascii="Verdana" w:eastAsia="Times New Roman" w:hAnsi="Verdana" w:cs="Times New Roman"/>
          <w:sz w:val="20"/>
          <w:szCs w:val="20"/>
          <w:lang w:val="es-ES_tradnl" w:eastAsia="es-ES_tradnl"/>
        </w:rPr>
      </w:pPr>
    </w:p>
    <w:p w14:paraId="210A558B" w14:textId="77777777" w:rsidR="008256D1" w:rsidRDefault="008256D1" w:rsidP="00BB054D">
      <w:pPr>
        <w:spacing w:after="0" w:line="240" w:lineRule="auto"/>
        <w:jc w:val="both"/>
        <w:rPr>
          <w:rFonts w:ascii="Verdana" w:eastAsia="Times New Roman" w:hAnsi="Verdana" w:cs="Times New Roman"/>
          <w:sz w:val="20"/>
          <w:szCs w:val="20"/>
          <w:lang w:val="es-ES_tradnl" w:eastAsia="es-ES_tradnl"/>
        </w:rPr>
      </w:pPr>
    </w:p>
    <w:p w14:paraId="49508F0D" w14:textId="482AB2A8" w:rsidR="005B261C" w:rsidRPr="00E31648" w:rsidRDefault="00C562D4" w:rsidP="00E6227E">
      <w:pPr>
        <w:spacing w:after="0" w:line="240" w:lineRule="auto"/>
      </w:pPr>
      <w:r w:rsidRPr="00C562D4">
        <w:rPr>
          <w:rFonts w:ascii="Verdana" w:eastAsia="Calibri" w:hAnsi="Verdana" w:cs="Arial"/>
          <w:color w:val="000000" w:themeColor="text1"/>
        </w:rPr>
        <w:t xml:space="preserve">Bogotá D.C., </w:t>
      </w:r>
      <w:r w:rsidR="00147428">
        <w:rPr>
          <w:rFonts w:ascii="Verdana" w:eastAsia="Calibri" w:hAnsi="Verdana" w:cs="Arial"/>
          <w:color w:val="000000" w:themeColor="text1"/>
        </w:rPr>
        <w:t>24</w:t>
      </w:r>
      <w:r w:rsidR="00791489">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sidR="00147428">
        <w:rPr>
          <w:rFonts w:ascii="Verdana" w:eastAsia="Calibri" w:hAnsi="Verdana" w:cs="Arial"/>
          <w:color w:val="000000" w:themeColor="text1"/>
        </w:rPr>
        <w:t>junio</w:t>
      </w:r>
      <w:r w:rsidR="00D669A6">
        <w:rPr>
          <w:rFonts w:ascii="Verdana" w:eastAsia="Calibri" w:hAnsi="Verdana" w:cs="Arial"/>
          <w:color w:val="000000" w:themeColor="text1"/>
        </w:rPr>
        <w:t xml:space="preserve"> </w:t>
      </w:r>
      <w:r w:rsidRPr="00C562D4">
        <w:rPr>
          <w:rFonts w:ascii="Verdana" w:eastAsia="Calibri" w:hAnsi="Verdana" w:cs="Arial"/>
          <w:color w:val="000000" w:themeColor="text1"/>
        </w:rPr>
        <w:t>de 20</w:t>
      </w:r>
      <w:r w:rsidR="00CB73C5">
        <w:rPr>
          <w:rFonts w:ascii="Verdana" w:eastAsia="Calibri" w:hAnsi="Verdana" w:cs="Arial"/>
          <w:color w:val="000000" w:themeColor="text1"/>
        </w:rPr>
        <w:t>2</w:t>
      </w:r>
      <w:r w:rsidR="00074755">
        <w:rPr>
          <w:rFonts w:ascii="Verdana" w:eastAsia="Calibri" w:hAnsi="Verdana" w:cs="Arial"/>
          <w:color w:val="000000" w:themeColor="text1"/>
        </w:rPr>
        <w:t>6</w:t>
      </w:r>
    </w:p>
    <w:p w14:paraId="328CC329" w14:textId="65155339" w:rsidR="005B261C" w:rsidRDefault="005B261C" w:rsidP="005B261C">
      <w:pPr>
        <w:spacing w:after="0" w:line="240" w:lineRule="auto"/>
        <w:jc w:val="both"/>
        <w:rPr>
          <w:rFonts w:ascii="Verdana" w:eastAsia="Calibri" w:hAnsi="Verdana" w:cs="Arial"/>
          <w:color w:val="000000" w:themeColor="text1"/>
          <w:lang w:val="es-ES"/>
        </w:rPr>
      </w:pPr>
    </w:p>
    <w:p w14:paraId="0905F14F" w14:textId="0BFB2E58" w:rsidR="00DF2194" w:rsidRDefault="00147428" w:rsidP="00147428">
      <w:pPr>
        <w:spacing w:after="0" w:line="240" w:lineRule="auto"/>
        <w:jc w:val="right"/>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inline distT="0" distB="0" distL="0" distR="0" wp14:anchorId="696A43FD" wp14:editId="6BB14D9B">
            <wp:extent cx="2219325" cy="695325"/>
            <wp:effectExtent l="0" t="0" r="9525" b="9525"/>
            <wp:docPr id="839685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695325"/>
                    </a:xfrm>
                    <a:prstGeom prst="rect">
                      <a:avLst/>
                    </a:prstGeom>
                    <a:noFill/>
                    <a:ln>
                      <a:noFill/>
                    </a:ln>
                  </pic:spPr>
                </pic:pic>
              </a:graphicData>
            </a:graphic>
          </wp:inline>
        </w:drawing>
      </w:r>
    </w:p>
    <w:p w14:paraId="485E1E4D" w14:textId="77777777" w:rsidR="00147428" w:rsidRDefault="00147428" w:rsidP="0046108F">
      <w:pPr>
        <w:spacing w:after="0" w:line="240" w:lineRule="auto"/>
        <w:jc w:val="both"/>
        <w:rPr>
          <w:rFonts w:ascii="Verdana" w:eastAsia="Calibri" w:hAnsi="Verdana" w:cs="Arial"/>
          <w:color w:val="000000" w:themeColor="text1"/>
          <w:lang w:val="es-ES" w:eastAsia="es-ES"/>
        </w:rPr>
      </w:pPr>
    </w:p>
    <w:p w14:paraId="4488A26C" w14:textId="77777777" w:rsidR="00147428" w:rsidRDefault="00147428" w:rsidP="0046108F">
      <w:pPr>
        <w:spacing w:after="0" w:line="240" w:lineRule="auto"/>
        <w:jc w:val="both"/>
        <w:rPr>
          <w:rFonts w:ascii="Verdana" w:eastAsia="Calibri" w:hAnsi="Verdana" w:cs="Arial"/>
          <w:color w:val="000000" w:themeColor="text1"/>
          <w:lang w:val="es-ES" w:eastAsia="es-ES"/>
        </w:rPr>
      </w:pPr>
    </w:p>
    <w:p w14:paraId="14E0BB02" w14:textId="5E4D100E" w:rsidR="0046108F" w:rsidRPr="0046108F" w:rsidRDefault="005B261C" w:rsidP="0046108F">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p>
    <w:p w14:paraId="1FDED6E0" w14:textId="53116B45" w:rsidR="00552511" w:rsidRDefault="00E30958" w:rsidP="001216D8">
      <w:pPr>
        <w:spacing w:after="0" w:line="240" w:lineRule="auto"/>
        <w:rPr>
          <w:rFonts w:ascii="Verdana" w:eastAsia="Calibri" w:hAnsi="Verdana" w:cs="Arial"/>
          <w:b/>
          <w:bCs/>
          <w:lang w:eastAsia="es-ES"/>
        </w:rPr>
      </w:pPr>
      <w:r w:rsidRPr="00E30958">
        <w:rPr>
          <w:rFonts w:ascii="Verdana" w:eastAsia="Calibri" w:hAnsi="Verdana" w:cs="Arial"/>
          <w:b/>
          <w:bCs/>
          <w:lang w:eastAsia="es-ES"/>
        </w:rPr>
        <w:t>ROYER ALEXANDER OLAYA TORRES</w:t>
      </w:r>
    </w:p>
    <w:p w14:paraId="5909C4F3" w14:textId="44120A4D" w:rsidR="001216D8" w:rsidRPr="00552511" w:rsidRDefault="00E30958" w:rsidP="00E30958">
      <w:pPr>
        <w:spacing w:after="0" w:line="240" w:lineRule="auto"/>
        <w:rPr>
          <w:rFonts w:ascii="Verdana" w:eastAsia="Calibri" w:hAnsi="Verdana" w:cs="Arial"/>
          <w:b/>
          <w:bCs/>
          <w:lang w:eastAsia="es-ES"/>
        </w:rPr>
      </w:pPr>
      <w:hyperlink r:id="rId12" w:history="1">
        <w:r w:rsidRPr="00056149">
          <w:rPr>
            <w:rStyle w:val="Hipervnculo"/>
            <w:rFonts w:ascii="Verdana" w:eastAsia="Calibri" w:hAnsi="Verdana" w:cs="Arial"/>
            <w:lang w:eastAsia="es-ES"/>
          </w:rPr>
          <w:t>royerolayatorres52@gmail.com</w:t>
        </w:r>
      </w:hyperlink>
      <w:r>
        <w:rPr>
          <w:rFonts w:ascii="Verdana" w:eastAsia="Calibri" w:hAnsi="Verdana" w:cs="Arial"/>
          <w:lang w:eastAsia="es-ES"/>
        </w:rPr>
        <w:t xml:space="preserve"> </w:t>
      </w:r>
    </w:p>
    <w:p w14:paraId="50EAC4DF" w14:textId="2107B14E" w:rsidR="005B261C" w:rsidRDefault="00E30958" w:rsidP="005B261C">
      <w:pPr>
        <w:spacing w:after="0" w:line="240" w:lineRule="auto"/>
        <w:rPr>
          <w:rFonts w:ascii="Verdana" w:eastAsia="Calibri" w:hAnsi="Verdana" w:cs="Arial"/>
          <w:lang w:val="es-ES" w:eastAsia="es-ES"/>
        </w:rPr>
      </w:pPr>
      <w:r w:rsidRPr="00E9418A">
        <w:rPr>
          <w:rFonts w:ascii="Verdana" w:eastAsia="Calibri" w:hAnsi="Verdana" w:cs="Arial"/>
          <w:lang w:val="es-ES" w:eastAsia="es-ES"/>
        </w:rPr>
        <w:t>B</w:t>
      </w:r>
      <w:r>
        <w:rPr>
          <w:rFonts w:ascii="Verdana" w:eastAsia="Calibri" w:hAnsi="Verdana" w:cs="Arial"/>
          <w:lang w:val="es-ES" w:eastAsia="es-ES"/>
        </w:rPr>
        <w:t>ogotá D.C.</w:t>
      </w:r>
    </w:p>
    <w:p w14:paraId="79DAC43A" w14:textId="77777777" w:rsidR="00E30958" w:rsidRPr="00CB7ABE" w:rsidRDefault="00E30958" w:rsidP="005B261C">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5B261C" w:rsidRPr="00115E3D" w14:paraId="4695EBEF" w14:textId="77777777" w:rsidTr="00136DDB">
        <w:trPr>
          <w:trHeight w:val="615"/>
        </w:trPr>
        <w:tc>
          <w:tcPr>
            <w:tcW w:w="2270" w:type="dxa"/>
          </w:tcPr>
          <w:p w14:paraId="7138A810" w14:textId="77777777" w:rsidR="005B261C" w:rsidRPr="00CB7ABE" w:rsidRDefault="005B261C">
            <w:pPr>
              <w:jc w:val="both"/>
              <w:rPr>
                <w:rFonts w:ascii="Verdana" w:eastAsia="Calibri" w:hAnsi="Verdana" w:cs="Arial"/>
                <w:b/>
                <w:bCs/>
                <w:color w:val="000000" w:themeColor="text1"/>
                <w:lang w:eastAsia="es-ES_tradnl"/>
              </w:rPr>
            </w:pPr>
          </w:p>
        </w:tc>
        <w:tc>
          <w:tcPr>
            <w:tcW w:w="6547" w:type="dxa"/>
          </w:tcPr>
          <w:p w14:paraId="25945537" w14:textId="7A709C71" w:rsidR="005B261C" w:rsidRPr="008A209A" w:rsidRDefault="005B261C">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sidR="00E30958">
              <w:rPr>
                <w:rFonts w:ascii="Verdana" w:eastAsia="Calibri" w:hAnsi="Verdana" w:cs="Arial"/>
                <w:b/>
                <w:bCs/>
                <w:color w:val="000000" w:themeColor="text1"/>
                <w:lang w:val="es-ES" w:eastAsia="es-ES"/>
              </w:rPr>
              <w:t>802</w:t>
            </w:r>
            <w:r w:rsidR="003638DA">
              <w:rPr>
                <w:rFonts w:ascii="Verdana" w:eastAsia="Calibri" w:hAnsi="Verdana" w:cs="Arial"/>
                <w:b/>
                <w:bCs/>
                <w:color w:val="000000" w:themeColor="text1"/>
                <w:lang w:val="es-ES" w:eastAsia="es-ES"/>
              </w:rPr>
              <w:t xml:space="preserve"> </w:t>
            </w:r>
            <w:r w:rsidRPr="008A209A">
              <w:rPr>
                <w:rFonts w:ascii="Verdana" w:eastAsia="Calibri" w:hAnsi="Verdana" w:cs="Arial"/>
                <w:b/>
                <w:bCs/>
                <w:color w:val="000000" w:themeColor="text1"/>
                <w:lang w:val="es-ES" w:eastAsia="es-ES"/>
              </w:rPr>
              <w:t>de 202</w:t>
            </w:r>
            <w:r w:rsidR="00EC7930" w:rsidRPr="008A209A">
              <w:rPr>
                <w:rFonts w:ascii="Verdana" w:eastAsia="Calibri" w:hAnsi="Verdana" w:cs="Arial"/>
                <w:b/>
                <w:bCs/>
                <w:color w:val="000000" w:themeColor="text1"/>
                <w:lang w:val="es-ES" w:eastAsia="es-ES"/>
              </w:rPr>
              <w:t>6</w:t>
            </w:r>
          </w:p>
        </w:tc>
      </w:tr>
      <w:tr w:rsidR="005B261C" w:rsidRPr="007E403E" w14:paraId="5710482D" w14:textId="77777777" w:rsidTr="00B14DA5">
        <w:trPr>
          <w:trHeight w:val="1071"/>
        </w:trPr>
        <w:tc>
          <w:tcPr>
            <w:tcW w:w="2270" w:type="dxa"/>
          </w:tcPr>
          <w:p w14:paraId="0088F836" w14:textId="77777777" w:rsidR="005B261C" w:rsidRPr="001B36DA" w:rsidRDefault="005B261C">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174F44D4" w14:textId="3F3B04E6" w:rsidR="000E553C" w:rsidRPr="00E30958" w:rsidRDefault="00FD35EB" w:rsidP="00E44A93">
            <w:pPr>
              <w:spacing w:line="276" w:lineRule="auto"/>
              <w:jc w:val="both"/>
              <w:rPr>
                <w:rFonts w:ascii="Verdana" w:eastAsia="Calibri" w:hAnsi="Verdana" w:cs="Arial"/>
                <w:color w:val="000000" w:themeColor="text1"/>
                <w:highlight w:val="yellow"/>
                <w:lang w:val="es-ES" w:eastAsia="es-ES"/>
              </w:rPr>
            </w:pPr>
            <w:r w:rsidRPr="00945BB1">
              <w:rPr>
                <w:rFonts w:ascii="Verdana" w:eastAsia="Calibri" w:hAnsi="Verdana" w:cs="Arial"/>
                <w:lang w:val="es-ES" w:eastAsia="es-ES"/>
              </w:rPr>
              <w:t xml:space="preserve">PRECIO – Concepto – Estructuración </w:t>
            </w:r>
            <w:r>
              <w:rPr>
                <w:rFonts w:ascii="Verdana" w:eastAsia="Calibri" w:hAnsi="Verdana" w:cs="Arial"/>
                <w:lang w:val="es-ES" w:eastAsia="es-ES"/>
              </w:rPr>
              <w:t xml:space="preserve">/ </w:t>
            </w:r>
            <w:r w:rsidRPr="00945BB1">
              <w:rPr>
                <w:rFonts w:ascii="Verdana" w:eastAsia="Calibri" w:hAnsi="Verdana" w:cs="Arial"/>
                <w:lang w:val="es-ES" w:eastAsia="es-ES"/>
              </w:rPr>
              <w:t>VALOR ESTIMADO DEL CONTRATO - Numeral 4 artículo 2.2.1.1.2.1.1. del Decreto 1082 de 2015</w:t>
            </w:r>
            <w:r>
              <w:rPr>
                <w:rFonts w:ascii="Verdana" w:eastAsia="Calibri" w:hAnsi="Verdana" w:cs="Arial"/>
                <w:lang w:val="es-ES" w:eastAsia="es-ES"/>
              </w:rPr>
              <w:t xml:space="preserve"> </w:t>
            </w:r>
            <w:r w:rsidR="00C4730A" w:rsidRPr="00E30958">
              <w:rPr>
                <w:rFonts w:ascii="Verdana" w:eastAsia="Calibri" w:hAnsi="Verdana" w:cs="Arial"/>
                <w:highlight w:val="yellow"/>
                <w:lang w:val="es-MX"/>
              </w:rPr>
              <w:t xml:space="preserve"> </w:t>
            </w:r>
          </w:p>
        </w:tc>
      </w:tr>
      <w:tr w:rsidR="005B261C" w:rsidRPr="00115E3D" w14:paraId="2F32F98A" w14:textId="77777777" w:rsidTr="00B14DA5">
        <w:trPr>
          <w:trHeight w:val="653"/>
        </w:trPr>
        <w:tc>
          <w:tcPr>
            <w:tcW w:w="2270" w:type="dxa"/>
          </w:tcPr>
          <w:p w14:paraId="26ADCFA9" w14:textId="43D11C53" w:rsidR="005B261C" w:rsidRPr="00CB7ABE" w:rsidRDefault="005B261C">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42BEDD0C" w14:textId="678ECA5B" w:rsidR="00994BF0" w:rsidRPr="00CB7ABE" w:rsidRDefault="005B261C" w:rsidP="00DA4396">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sidR="00DA4396">
              <w:rPr>
                <w:rFonts w:ascii="Verdana" w:eastAsia="Calibri" w:hAnsi="Verdana" w:cs="Arial"/>
                <w:color w:val="000000" w:themeColor="text1"/>
                <w:lang w:val="es-ES_tradnl" w:eastAsia="es-ES_tradnl"/>
              </w:rPr>
              <w:t xml:space="preserve"> </w:t>
            </w:r>
            <w:r w:rsidR="00EC7930">
              <w:rPr>
                <w:rFonts w:ascii="Verdana" w:eastAsia="Calibri" w:hAnsi="Verdana" w:cs="Arial"/>
                <w:color w:val="000000" w:themeColor="text1"/>
                <w:lang w:val="es-ES_tradnl" w:eastAsia="es-ES_tradnl"/>
              </w:rPr>
              <w:t>N.º</w:t>
            </w:r>
            <w:r w:rsidR="00DA4396">
              <w:rPr>
                <w:rFonts w:ascii="Verdana" w:eastAsia="Calibri" w:hAnsi="Verdana" w:cs="Arial"/>
                <w:color w:val="000000" w:themeColor="text1"/>
                <w:lang w:val="es-ES_tradnl" w:eastAsia="es-ES_tradnl"/>
              </w:rPr>
              <w:t xml:space="preserve"> </w:t>
            </w:r>
            <w:r w:rsidR="00E30958" w:rsidRPr="00E30958">
              <w:rPr>
                <w:rFonts w:ascii="Verdana" w:eastAsia="Calibri" w:hAnsi="Verdana" w:cs="Arial"/>
                <w:color w:val="000000" w:themeColor="text1"/>
                <w:lang w:val="es-ES_tradnl" w:eastAsia="es-ES_tradnl"/>
              </w:rPr>
              <w:t>1_2026_05_13_006526</w:t>
            </w:r>
            <w:r w:rsidR="00552511">
              <w:rPr>
                <w:rFonts w:ascii="Verdana" w:eastAsia="Calibri" w:hAnsi="Verdana" w:cs="Arial"/>
                <w:color w:val="000000" w:themeColor="text1"/>
                <w:lang w:val="es-ES_tradnl" w:eastAsia="es-ES_tradnl"/>
              </w:rPr>
              <w:t>.</w:t>
            </w:r>
          </w:p>
        </w:tc>
      </w:tr>
      <w:tr w:rsidR="00793E41" w:rsidRPr="00115E3D" w14:paraId="5F8E3290" w14:textId="77777777" w:rsidTr="004571FD">
        <w:trPr>
          <w:trHeight w:val="278"/>
        </w:trPr>
        <w:tc>
          <w:tcPr>
            <w:tcW w:w="2270" w:type="dxa"/>
          </w:tcPr>
          <w:p w14:paraId="78327226" w14:textId="77777777" w:rsidR="00793E41" w:rsidRPr="00CB7ABE" w:rsidRDefault="00793E41">
            <w:pPr>
              <w:jc w:val="both"/>
              <w:rPr>
                <w:rFonts w:ascii="Verdana" w:eastAsia="Calibri" w:hAnsi="Verdana" w:cs="Arial"/>
                <w:b/>
                <w:color w:val="000000" w:themeColor="text1"/>
                <w:lang w:val="es-ES_tradnl" w:eastAsia="es-ES_tradnl"/>
              </w:rPr>
            </w:pPr>
          </w:p>
        </w:tc>
        <w:tc>
          <w:tcPr>
            <w:tcW w:w="6547" w:type="dxa"/>
          </w:tcPr>
          <w:p w14:paraId="425204C8" w14:textId="77777777" w:rsidR="00793E41" w:rsidRPr="00CB7ABE" w:rsidRDefault="00793E41" w:rsidP="00DA4396">
            <w:pPr>
              <w:ind w:right="1"/>
              <w:jc w:val="both"/>
              <w:rPr>
                <w:rFonts w:ascii="Verdana" w:eastAsia="Calibri" w:hAnsi="Verdana" w:cs="Arial"/>
                <w:color w:val="000000" w:themeColor="text1"/>
                <w:lang w:val="es-ES_tradnl" w:eastAsia="es-ES_tradnl"/>
              </w:rPr>
            </w:pPr>
          </w:p>
        </w:tc>
      </w:tr>
    </w:tbl>
    <w:p w14:paraId="5F37FB94" w14:textId="69A94005" w:rsidR="005B261C" w:rsidRPr="00115E3D" w:rsidRDefault="00C443DB" w:rsidP="005B261C">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w:t>
      </w:r>
      <w:r w:rsidR="005B261C" w:rsidRPr="00115E3D">
        <w:rPr>
          <w:rFonts w:ascii="Verdana" w:eastAsia="Calibri" w:hAnsi="Verdana" w:cs="Arial"/>
          <w:color w:val="000000" w:themeColor="text1"/>
          <w:lang w:val="es-ES" w:eastAsia="es-ES"/>
        </w:rPr>
        <w:t>stimad</w:t>
      </w:r>
      <w:r w:rsidR="00C748EE">
        <w:rPr>
          <w:rFonts w:ascii="Verdana" w:eastAsia="Calibri" w:hAnsi="Verdana" w:cs="Arial"/>
          <w:color w:val="000000" w:themeColor="text1"/>
          <w:lang w:val="es-ES" w:eastAsia="es-ES"/>
        </w:rPr>
        <w:t>o</w:t>
      </w:r>
      <w:r w:rsidR="005E256F">
        <w:rPr>
          <w:rFonts w:ascii="Verdana" w:eastAsia="Calibri" w:hAnsi="Verdana" w:cs="Arial"/>
          <w:color w:val="000000" w:themeColor="text1"/>
          <w:lang w:val="es-ES" w:eastAsia="es-ES"/>
        </w:rPr>
        <w:t xml:space="preserve"> </w:t>
      </w:r>
      <w:r w:rsidR="005B261C" w:rsidRPr="00115E3D">
        <w:rPr>
          <w:rFonts w:ascii="Verdana" w:eastAsia="Calibri" w:hAnsi="Verdana" w:cs="Arial"/>
          <w:color w:val="000000" w:themeColor="text1"/>
          <w:lang w:val="es-ES" w:eastAsia="es-ES"/>
        </w:rPr>
        <w:t>señor</w:t>
      </w:r>
      <w:r w:rsidR="007C5F20">
        <w:rPr>
          <w:rFonts w:ascii="Verdana" w:eastAsia="Calibri" w:hAnsi="Verdana" w:cs="Arial"/>
          <w:color w:val="000000" w:themeColor="text1"/>
          <w:lang w:val="es-ES" w:eastAsia="es-ES"/>
        </w:rPr>
        <w:t xml:space="preserve"> </w:t>
      </w:r>
      <w:r w:rsidR="00C748EE">
        <w:rPr>
          <w:rFonts w:ascii="Verdana" w:eastAsia="Calibri" w:hAnsi="Verdana" w:cs="Arial"/>
          <w:color w:val="000000" w:themeColor="text1"/>
          <w:lang w:val="es-ES" w:eastAsia="es-ES"/>
        </w:rPr>
        <w:t>Olaya</w:t>
      </w:r>
      <w:r w:rsidR="007125A9">
        <w:rPr>
          <w:rFonts w:ascii="Verdana" w:eastAsia="Calibri" w:hAnsi="Verdana" w:cs="Arial"/>
          <w:color w:val="000000" w:themeColor="text1"/>
          <w:lang w:val="es-ES" w:eastAsia="es-ES"/>
        </w:rPr>
        <w:t>;</w:t>
      </w:r>
    </w:p>
    <w:p w14:paraId="01BB3543" w14:textId="77777777" w:rsidR="005B261C" w:rsidRPr="00115E3D" w:rsidRDefault="005B261C" w:rsidP="005B261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05F6EC50" w14:textId="696BB3DB" w:rsidR="005B261C" w:rsidRPr="00115E3D" w:rsidRDefault="005B261C" w:rsidP="005B261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w:t>
      </w:r>
      <w:r w:rsidR="00CF5ED9">
        <w:rPr>
          <w:rFonts w:ascii="Verdana" w:eastAsia="Calibri" w:hAnsi="Verdana" w:cs="Arial"/>
          <w:color w:val="000000" w:themeColor="text1"/>
          <w:lang w:val="es-ES" w:eastAsia="es-ES"/>
        </w:rPr>
        <w:t xml:space="preserve"> a </w:t>
      </w:r>
      <w:r w:rsidR="00103B36">
        <w:rPr>
          <w:rFonts w:ascii="Verdana" w:eastAsia="Calibri" w:hAnsi="Verdana" w:cs="Arial"/>
          <w:color w:val="000000" w:themeColor="text1"/>
          <w:lang w:val="es-ES" w:eastAsia="es-ES"/>
        </w:rPr>
        <w:t xml:space="preserve">su solicitud </w:t>
      </w:r>
      <w:r w:rsidR="00CF5ED9">
        <w:rPr>
          <w:rFonts w:ascii="Verdana" w:eastAsia="Calibri" w:hAnsi="Verdana" w:cs="Arial"/>
          <w:color w:val="000000" w:themeColor="text1"/>
          <w:lang w:val="es-ES" w:eastAsia="es-ES"/>
        </w:rPr>
        <w:t xml:space="preserve"> </w:t>
      </w:r>
      <w:r w:rsidR="00970C7D">
        <w:rPr>
          <w:rFonts w:ascii="Verdana" w:eastAsia="Calibri" w:hAnsi="Verdana" w:cs="Arial"/>
          <w:color w:val="000000" w:themeColor="text1"/>
          <w:lang w:val="es-ES" w:eastAsia="es-ES"/>
        </w:rPr>
        <w:t xml:space="preserve">radicada ante </w:t>
      </w:r>
      <w:r w:rsidR="002E1DE9">
        <w:rPr>
          <w:rFonts w:ascii="Verdana" w:eastAsia="Calibri" w:hAnsi="Verdana" w:cs="Arial"/>
          <w:color w:val="000000" w:themeColor="text1"/>
          <w:lang w:val="es-ES" w:eastAsia="es-ES"/>
        </w:rPr>
        <w:t xml:space="preserve">esta entidad el </w:t>
      </w:r>
      <w:r w:rsidR="005A7413">
        <w:rPr>
          <w:rFonts w:ascii="Verdana" w:eastAsia="Calibri" w:hAnsi="Verdana" w:cs="Arial"/>
          <w:color w:val="000000" w:themeColor="text1"/>
          <w:lang w:val="es-ES" w:eastAsia="es-ES"/>
        </w:rPr>
        <w:t>13</w:t>
      </w:r>
      <w:r w:rsidR="002E1DE9">
        <w:rPr>
          <w:rFonts w:ascii="Verdana" w:eastAsia="Calibri" w:hAnsi="Verdana" w:cs="Arial"/>
          <w:color w:val="000000" w:themeColor="text1"/>
          <w:lang w:val="es-ES" w:eastAsia="es-ES"/>
        </w:rPr>
        <w:t xml:space="preserve"> de </w:t>
      </w:r>
      <w:r w:rsidR="005A7413">
        <w:rPr>
          <w:rFonts w:ascii="Verdana" w:eastAsia="Calibri" w:hAnsi="Verdana" w:cs="Arial"/>
          <w:color w:val="000000" w:themeColor="text1"/>
          <w:lang w:val="es-ES" w:eastAsia="es-ES"/>
        </w:rPr>
        <w:t>mayo</w:t>
      </w:r>
      <w:r w:rsidR="002E1DE9">
        <w:rPr>
          <w:rFonts w:ascii="Verdana" w:eastAsia="Calibri" w:hAnsi="Verdana" w:cs="Arial"/>
          <w:color w:val="000000" w:themeColor="text1"/>
          <w:lang w:val="es-ES" w:eastAsia="es-ES"/>
        </w:rPr>
        <w:t xml:space="preserve"> de 2026 </w:t>
      </w:r>
      <w:r w:rsidRPr="00115E3D">
        <w:rPr>
          <w:rFonts w:ascii="Verdana" w:eastAsia="Calibri" w:hAnsi="Verdana" w:cs="Arial"/>
          <w:color w:val="000000" w:themeColor="text1"/>
          <w:lang w:val="es-ES" w:eastAsia="es-ES"/>
        </w:rPr>
        <w:t xml:space="preserve">en la cual manifiesta lo siguiente: </w:t>
      </w:r>
    </w:p>
    <w:p w14:paraId="2F1C26A7" w14:textId="41691800" w:rsidR="00E9418A" w:rsidRPr="00E9418A" w:rsidRDefault="00E9418A" w:rsidP="00E9418A">
      <w:pPr>
        <w:spacing w:after="0" w:line="240" w:lineRule="auto"/>
        <w:ind w:left="567" w:right="333"/>
        <w:jc w:val="both"/>
        <w:rPr>
          <w:rFonts w:ascii="Verdana" w:eastAsia="Century Gothic" w:hAnsi="Verdana" w:cs="Century Gothic"/>
          <w:i/>
          <w:iCs/>
          <w:color w:val="000000" w:themeColor="text1"/>
          <w:sz w:val="20"/>
          <w:szCs w:val="20"/>
        </w:rPr>
      </w:pPr>
    </w:p>
    <w:p w14:paraId="42013CDF" w14:textId="09880208" w:rsid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r w:rsidRPr="00D86999">
        <w:rPr>
          <w:rFonts w:ascii="Verdana" w:eastAsia="Century Gothic" w:hAnsi="Verdana" w:cs="Century Gothic"/>
          <w:i/>
          <w:iCs/>
          <w:color w:val="000000" w:themeColor="text1"/>
          <w:sz w:val="20"/>
          <w:szCs w:val="20"/>
        </w:rPr>
        <w:t xml:space="preserve"> </w:t>
      </w:r>
      <w:r>
        <w:rPr>
          <w:rFonts w:ascii="Verdana" w:eastAsia="Century Gothic" w:hAnsi="Verdana" w:cs="Century Gothic"/>
          <w:i/>
          <w:iCs/>
          <w:color w:val="000000" w:themeColor="text1"/>
          <w:sz w:val="20"/>
          <w:szCs w:val="20"/>
        </w:rPr>
        <w:t>“E</w:t>
      </w:r>
      <w:r w:rsidRPr="00D86999">
        <w:rPr>
          <w:rFonts w:ascii="Verdana" w:eastAsia="Century Gothic" w:hAnsi="Verdana" w:cs="Century Gothic"/>
          <w:i/>
          <w:iCs/>
          <w:color w:val="000000" w:themeColor="text1"/>
          <w:sz w:val="20"/>
          <w:szCs w:val="20"/>
        </w:rPr>
        <w:t>l concepto C-609 de 2024 emitido por la Agencia Nacional de Contratación Pública – Colombia Compra Eficiente (CCE) determinó la posibilidad de adjudicar un contrato por la totalidad del presupuesto oficial como modalidad admisible siempre y cuando, en la etapa de planeación, “producto de los estudios previos y el análisis del sector y de los oferentes, se observa que la misma resulta adecuada para satisfacer de mejor manera la necesidad que se pretende satisfacer con el proceso de contratación y puede generar algú</w:t>
      </w:r>
      <w:r>
        <w:rPr>
          <w:rFonts w:ascii="Verdana" w:eastAsia="Century Gothic" w:hAnsi="Verdana" w:cs="Century Gothic"/>
          <w:i/>
          <w:iCs/>
          <w:color w:val="000000" w:themeColor="text1"/>
          <w:sz w:val="20"/>
          <w:szCs w:val="20"/>
        </w:rPr>
        <w:t xml:space="preserve">n </w:t>
      </w:r>
      <w:r w:rsidRPr="00D86999">
        <w:rPr>
          <w:rFonts w:ascii="Verdana" w:eastAsia="Century Gothic" w:hAnsi="Verdana" w:cs="Century Gothic"/>
          <w:i/>
          <w:iCs/>
          <w:color w:val="000000" w:themeColor="text1"/>
          <w:sz w:val="20"/>
          <w:szCs w:val="20"/>
        </w:rPr>
        <w:t xml:space="preserve">beneficio”. A pesar de la facultad otorgada por el Estatuto General de la Contratación de la Administración Pública para contratar por el valor total de un presupuesto asignado, la </w:t>
      </w:r>
      <w:r w:rsidRPr="00D86999">
        <w:rPr>
          <w:rFonts w:ascii="Verdana" w:eastAsia="Century Gothic" w:hAnsi="Verdana" w:cs="Century Gothic"/>
          <w:i/>
          <w:iCs/>
          <w:color w:val="000000" w:themeColor="text1"/>
          <w:sz w:val="20"/>
          <w:szCs w:val="20"/>
        </w:rPr>
        <w:lastRenderedPageBreak/>
        <w:t>entidad pública debe proyectar los estudios y documentos previos en estricto cumplimiento de los contenidos mínimos establecidos en el artículo 2.2.1.1.2.1.1. del Decreto 1082 de 2015 toda vez que al presentar el valor estimado del contrato se debe especificar el mecanismo utilizado para establecer este.</w:t>
      </w:r>
    </w:p>
    <w:p w14:paraId="566FCE5D" w14:textId="77777777" w:rsid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p>
    <w:p w14:paraId="2343E04E" w14:textId="4488FD72" w:rsid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r w:rsidRPr="00D86999">
        <w:rPr>
          <w:rFonts w:ascii="Verdana" w:eastAsia="Century Gothic" w:hAnsi="Verdana" w:cs="Century Gothic"/>
          <w:i/>
          <w:iCs/>
          <w:color w:val="000000" w:themeColor="text1"/>
          <w:sz w:val="20"/>
          <w:szCs w:val="20"/>
        </w:rPr>
        <w:t xml:space="preserve">De igual forma, acerca de la planeación en contratación pública, el Consejo de Estado en su jurisprudencia ha reiterado que esta “tiene por finalidad asegurar que todo proyecto esté precedido de los estudios de orden técnico, financiero y jurídico requeridos para determinar su viabilidad económica y técnica y así poder establecer la conveniencia o no del objeto por contratar; si resulta o no necesario celebrar el respectivo negocio jurídico y su adecuación a los planes de inversión, de adquisición o compras, presupuesto y ley de apropiaciones, según el caso”. Así mismo, la Procuraduría General de la Nación manifiesta que esto “implica no sólo contar con un plan que consolide y priorice las adquisiciones de la entidad, con fundamento en las necesidades técnicamente diagnosticadas, sino que exige la realización de una serie de estudios y análisis orientados a establecer mecanismos económicos, transparentes y adecuados para satisfacer dichas necesidades”. </w:t>
      </w:r>
    </w:p>
    <w:p w14:paraId="7F852BCD" w14:textId="77777777" w:rsidR="00D86999" w:rsidRP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p>
    <w:p w14:paraId="7E00DF88" w14:textId="77777777" w:rsid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r w:rsidRPr="00D86999">
        <w:rPr>
          <w:rFonts w:ascii="Verdana" w:eastAsia="Century Gothic" w:hAnsi="Verdana" w:cs="Century Gothic"/>
          <w:i/>
          <w:iCs/>
          <w:color w:val="000000" w:themeColor="text1"/>
          <w:sz w:val="20"/>
          <w:szCs w:val="20"/>
        </w:rPr>
        <w:t xml:space="preserve">Por su parte, el artículo 2.2.1.1.1.6.1. del Decreto 1082 de 2015 implementa la obligación de las entidades públicas de realizar análisis económico del sector durante la etapa de planeación: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 </w:t>
      </w:r>
    </w:p>
    <w:p w14:paraId="79BAFB37" w14:textId="77777777" w:rsidR="00D86999" w:rsidRP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p>
    <w:p w14:paraId="4F0B2078" w14:textId="15447102" w:rsidR="00A130ED"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r w:rsidRPr="00D86999">
        <w:rPr>
          <w:rFonts w:ascii="Verdana" w:eastAsia="Century Gothic" w:hAnsi="Verdana" w:cs="Century Gothic"/>
          <w:i/>
          <w:iCs/>
          <w:color w:val="000000" w:themeColor="text1"/>
          <w:sz w:val="20"/>
          <w:szCs w:val="20"/>
        </w:rPr>
        <w:t>En conclusión, el uso del total del presupuesto oficial favorece la concreción del gasto público al garantizar que los recursos destinados a la contratación estatal cuenten con respaldo financiero real, se ejecuten dentro de límites previamente definidos y se orienten de manera transparente hacia los fines previstos en la planeación. De esta forma, el presupuesto se convierte en el puente entre la autorización legal y la materialización efectiva del gasto, asegurando que las apropiaciones</w:t>
      </w:r>
      <w:r>
        <w:rPr>
          <w:rFonts w:ascii="Verdana" w:eastAsia="Century Gothic" w:hAnsi="Verdana" w:cs="Century Gothic"/>
          <w:i/>
          <w:iCs/>
          <w:color w:val="000000" w:themeColor="text1"/>
          <w:sz w:val="20"/>
          <w:szCs w:val="20"/>
        </w:rPr>
        <w:t>.</w:t>
      </w:r>
    </w:p>
    <w:p w14:paraId="6647D1F0" w14:textId="77777777" w:rsid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rPr>
      </w:pPr>
    </w:p>
    <w:p w14:paraId="0B0872F5" w14:textId="1D32C9BF" w:rsidR="00D86999" w:rsidRP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lang w:val="es-MX"/>
        </w:rPr>
      </w:pPr>
      <w:r w:rsidRPr="00D86999">
        <w:rPr>
          <w:rFonts w:ascii="Verdana" w:eastAsia="Century Gothic" w:hAnsi="Verdana" w:cs="Century Gothic"/>
          <w:i/>
          <w:iCs/>
          <w:color w:val="000000" w:themeColor="text1"/>
          <w:sz w:val="20"/>
          <w:szCs w:val="20"/>
          <w:lang w:val="es-MX"/>
        </w:rPr>
        <w:t>•</w:t>
      </w:r>
      <w:r>
        <w:rPr>
          <w:rFonts w:ascii="Verdana" w:eastAsia="Century Gothic" w:hAnsi="Verdana" w:cs="Century Gothic"/>
          <w:i/>
          <w:iCs/>
          <w:color w:val="000000" w:themeColor="text1"/>
          <w:sz w:val="20"/>
          <w:szCs w:val="20"/>
          <w:lang w:val="es-MX"/>
        </w:rPr>
        <w:t xml:space="preserve"> </w:t>
      </w:r>
      <w:r w:rsidRPr="00D86999">
        <w:rPr>
          <w:rFonts w:ascii="Verdana" w:eastAsia="Century Gothic" w:hAnsi="Verdana" w:cs="Century Gothic"/>
          <w:i/>
          <w:iCs/>
          <w:color w:val="000000" w:themeColor="text1"/>
          <w:sz w:val="20"/>
          <w:szCs w:val="20"/>
          <w:lang w:val="es-MX"/>
        </w:rPr>
        <w:t>¿Es válido, conforme a los antecedentes descritos, adjudicar procesos de selección por su presupuesto oficial?</w:t>
      </w:r>
    </w:p>
    <w:p w14:paraId="48DBDEDA" w14:textId="7F9B7431" w:rsidR="00D86999" w:rsidRP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lang w:val="es-MX"/>
        </w:rPr>
      </w:pPr>
      <w:r w:rsidRPr="00D86999">
        <w:rPr>
          <w:rFonts w:ascii="Verdana" w:eastAsia="Century Gothic" w:hAnsi="Verdana" w:cs="Century Gothic"/>
          <w:i/>
          <w:iCs/>
          <w:color w:val="000000" w:themeColor="text1"/>
          <w:sz w:val="20"/>
          <w:szCs w:val="20"/>
          <w:lang w:val="es-MX"/>
        </w:rPr>
        <w:t>•</w:t>
      </w:r>
      <w:r>
        <w:rPr>
          <w:rFonts w:ascii="Verdana" w:eastAsia="Century Gothic" w:hAnsi="Verdana" w:cs="Century Gothic"/>
          <w:i/>
          <w:iCs/>
          <w:color w:val="000000" w:themeColor="text1"/>
          <w:sz w:val="20"/>
          <w:szCs w:val="20"/>
          <w:lang w:val="es-MX"/>
        </w:rPr>
        <w:t xml:space="preserve"> </w:t>
      </w:r>
      <w:r w:rsidRPr="00D86999">
        <w:rPr>
          <w:rFonts w:ascii="Verdana" w:eastAsia="Century Gothic" w:hAnsi="Verdana" w:cs="Century Gothic"/>
          <w:i/>
          <w:iCs/>
          <w:color w:val="000000" w:themeColor="text1"/>
          <w:sz w:val="20"/>
          <w:szCs w:val="20"/>
          <w:lang w:val="es-MX"/>
        </w:rPr>
        <w:t>¿La justificación mediante la cual se sustenta la necesidad y la viabilidad de que una entidad pública adjudique un proceso de selección por la totalidad del presupuesto oficial es legal y constitucional, en el evento en que se acredite que la contraprestación es adecuada, equitativa y permite satisfacer las necesidades de la población beneficiaria de forma eficiente?</w:t>
      </w:r>
    </w:p>
    <w:p w14:paraId="0328A30A" w14:textId="357627A1" w:rsidR="00D86999" w:rsidRDefault="00D86999"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lang w:val="es-MX"/>
        </w:rPr>
      </w:pPr>
      <w:r w:rsidRPr="00D86999">
        <w:rPr>
          <w:rFonts w:ascii="Verdana" w:eastAsia="Century Gothic" w:hAnsi="Verdana" w:cs="Century Gothic"/>
          <w:i/>
          <w:iCs/>
          <w:color w:val="000000" w:themeColor="text1"/>
          <w:sz w:val="20"/>
          <w:szCs w:val="20"/>
          <w:lang w:val="es-MX"/>
        </w:rPr>
        <w:t xml:space="preserve">•¿De qué manera el excedente del consumidor estatal puede verse fortalecido o apalancado cuando una entidad pública adjudica un proceso </w:t>
      </w:r>
      <w:r w:rsidRPr="00D86999">
        <w:rPr>
          <w:rFonts w:ascii="Verdana" w:eastAsia="Century Gothic" w:hAnsi="Verdana" w:cs="Century Gothic"/>
          <w:i/>
          <w:iCs/>
          <w:color w:val="000000" w:themeColor="text1"/>
          <w:sz w:val="20"/>
          <w:szCs w:val="20"/>
          <w:lang w:val="es-MX"/>
        </w:rPr>
        <w:lastRenderedPageBreak/>
        <w:t>de selección por el valor total del presupuesto oficial, siempre que se garantice la satisfacción eficiente de la necesidad pública, la calidad de los bienes o servicios contratados y la adecuada relación costo-beneficio para la administración y la ciudadanía?</w:t>
      </w:r>
      <w:r>
        <w:rPr>
          <w:rFonts w:ascii="Verdana" w:eastAsia="Century Gothic" w:hAnsi="Verdana" w:cs="Century Gothic"/>
          <w:i/>
          <w:iCs/>
          <w:color w:val="000000" w:themeColor="text1"/>
          <w:sz w:val="20"/>
          <w:szCs w:val="20"/>
          <w:lang w:val="es-MX"/>
        </w:rPr>
        <w:t>”</w:t>
      </w:r>
    </w:p>
    <w:p w14:paraId="31E2F71F" w14:textId="77777777" w:rsidR="00A130ED" w:rsidRDefault="00A130ED" w:rsidP="00D86999">
      <w:pPr>
        <w:tabs>
          <w:tab w:val="left" w:pos="7938"/>
        </w:tabs>
        <w:spacing w:after="0" w:line="240" w:lineRule="auto"/>
        <w:ind w:left="567" w:right="900"/>
        <w:jc w:val="both"/>
        <w:rPr>
          <w:rFonts w:ascii="Verdana" w:eastAsia="Century Gothic" w:hAnsi="Verdana" w:cs="Century Gothic"/>
          <w:i/>
          <w:iCs/>
          <w:color w:val="000000" w:themeColor="text1"/>
          <w:sz w:val="20"/>
          <w:szCs w:val="20"/>
          <w:lang w:val="es-MX"/>
        </w:rPr>
      </w:pPr>
    </w:p>
    <w:p w14:paraId="059A9D4E" w14:textId="2AB4D3A2" w:rsidR="005B261C" w:rsidRDefault="005B261C" w:rsidP="00131F6C">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sidR="00DF13B0">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40807FA" w14:textId="77777777" w:rsidR="007E403E" w:rsidRPr="00115E3D" w:rsidRDefault="007E403E" w:rsidP="007E403E">
      <w:pPr>
        <w:spacing w:after="0" w:line="240" w:lineRule="auto"/>
        <w:ind w:right="49"/>
        <w:jc w:val="both"/>
        <w:rPr>
          <w:rFonts w:ascii="Verdana" w:eastAsia="Calibri" w:hAnsi="Verdana" w:cs="Arial"/>
          <w:color w:val="000000" w:themeColor="text1"/>
          <w:szCs w:val="24"/>
          <w:lang w:val="es-ES_tradnl" w:eastAsia="es-ES_tradnl"/>
        </w:rPr>
      </w:pPr>
    </w:p>
    <w:p w14:paraId="17917103" w14:textId="610BBADD" w:rsidR="005B261C" w:rsidRPr="00115E3D" w:rsidRDefault="005B261C" w:rsidP="005B261C">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009E7E8C">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41A931FE" w14:textId="77777777" w:rsidR="005B261C" w:rsidRDefault="005B261C" w:rsidP="005B261C">
      <w:pPr>
        <w:spacing w:after="0" w:line="276" w:lineRule="auto"/>
        <w:ind w:firstLine="709"/>
        <w:jc w:val="both"/>
        <w:rPr>
          <w:rFonts w:ascii="Verdana" w:eastAsia="Calibri" w:hAnsi="Verdana" w:cs="Arial"/>
          <w:color w:val="000000" w:themeColor="text1"/>
          <w:lang w:val="es-ES" w:eastAsia="es-ES"/>
        </w:rPr>
      </w:pPr>
    </w:p>
    <w:p w14:paraId="12EFB611" w14:textId="77777777" w:rsidR="005B261C" w:rsidRPr="00115E3D" w:rsidRDefault="005B261C">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1286705" w14:textId="77777777" w:rsidR="005B261C" w:rsidRPr="00115E3D" w:rsidRDefault="005B261C" w:rsidP="005B261C">
      <w:pPr>
        <w:tabs>
          <w:tab w:val="left" w:pos="426"/>
        </w:tabs>
        <w:spacing w:after="0" w:line="276" w:lineRule="auto"/>
        <w:jc w:val="both"/>
        <w:rPr>
          <w:rFonts w:ascii="Verdana" w:eastAsia="Century Gothic" w:hAnsi="Verdana" w:cs="Century Gothic"/>
          <w:color w:val="000000" w:themeColor="text1"/>
          <w:lang w:val="es-ES"/>
        </w:rPr>
      </w:pPr>
    </w:p>
    <w:p w14:paraId="31E2AC8E" w14:textId="224C98FE" w:rsidR="008202F6" w:rsidRDefault="005B261C" w:rsidP="006C4E5C">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sidR="00933E8F">
        <w:rPr>
          <w:rFonts w:ascii="Verdana" w:eastAsia="Century Gothic" w:hAnsi="Verdana" w:cs="Century Gothic"/>
          <w:color w:val="000000" w:themeColor="text1"/>
        </w:rPr>
        <w:t>el</w:t>
      </w:r>
      <w:r w:rsidR="00E640B4">
        <w:rPr>
          <w:rFonts w:ascii="Verdana" w:eastAsia="Century Gothic" w:hAnsi="Verdana" w:cs="Century Gothic"/>
          <w:color w:val="000000" w:themeColor="text1"/>
        </w:rPr>
        <w:t xml:space="preserve"> siguiente</w:t>
      </w:r>
      <w:r w:rsidRPr="00115E3D">
        <w:rPr>
          <w:rFonts w:ascii="Verdana" w:eastAsia="Century Gothic" w:hAnsi="Verdana" w:cs="Century Gothic"/>
          <w:color w:val="000000" w:themeColor="text1"/>
        </w:rPr>
        <w:t xml:space="preserve"> </w:t>
      </w:r>
      <w:r w:rsidR="009E7E8C" w:rsidRPr="00115E3D">
        <w:rPr>
          <w:rFonts w:ascii="Verdana" w:eastAsia="Century Gothic" w:hAnsi="Verdana" w:cs="Century Gothic"/>
          <w:color w:val="000000" w:themeColor="text1"/>
        </w:rPr>
        <w:t>problema</w:t>
      </w:r>
      <w:r w:rsidRPr="00115E3D">
        <w:rPr>
          <w:rFonts w:ascii="Verdana" w:eastAsia="Century Gothic" w:hAnsi="Verdana" w:cs="Century Gothic"/>
          <w:color w:val="000000" w:themeColor="text1"/>
        </w:rPr>
        <w:t xml:space="preserve"> jurídico:</w:t>
      </w:r>
      <w:r w:rsidR="003D038F">
        <w:rPr>
          <w:rFonts w:ascii="Verdana" w:eastAsia="Century Gothic" w:hAnsi="Verdana" w:cs="Century Gothic"/>
          <w:color w:val="000000" w:themeColor="text1"/>
        </w:rPr>
        <w:t xml:space="preserve"> </w:t>
      </w:r>
      <w:r w:rsidR="00FD35EB" w:rsidRPr="00FD35EB">
        <w:rPr>
          <w:rFonts w:ascii="Verdana" w:eastAsia="Century Gothic" w:hAnsi="Verdana" w:cs="Century Gothic"/>
          <w:color w:val="000000" w:themeColor="text1"/>
        </w:rPr>
        <w:t>¿Es procedente que una entidad estatal adjudique un proceso de selección por la totalidad del presupuesto oficial cuando este ha sido debidamente justificado en la etapa de planeación y corresponde al valor necesario para satisfacer la necesidad pública conforme a los principios que rigen la contratación estatal</w:t>
      </w:r>
      <w:r w:rsidR="006C4E5C" w:rsidRPr="006C4E5C">
        <w:rPr>
          <w:rFonts w:ascii="Verdana" w:eastAsia="Century Gothic" w:hAnsi="Verdana" w:cs="Century Gothic"/>
          <w:color w:val="000000" w:themeColor="text1"/>
        </w:rPr>
        <w:t>?</w:t>
      </w:r>
    </w:p>
    <w:p w14:paraId="43940D4E" w14:textId="4F234C52" w:rsidR="003638DA" w:rsidRDefault="003638DA" w:rsidP="008244CD">
      <w:pPr>
        <w:spacing w:after="0" w:line="276" w:lineRule="auto"/>
        <w:jc w:val="both"/>
        <w:rPr>
          <w:rFonts w:ascii="Verdana" w:eastAsia="Century Gothic" w:hAnsi="Verdana" w:cs="Century Gothic"/>
          <w:color w:val="000000" w:themeColor="text1"/>
        </w:rPr>
      </w:pPr>
    </w:p>
    <w:p w14:paraId="5609B135" w14:textId="4951A738" w:rsidR="005B261C" w:rsidRPr="00115E3D" w:rsidRDefault="005906F4" w:rsidP="003D038F">
      <w:pPr>
        <w:spacing w:after="0" w:line="276" w:lineRule="auto"/>
        <w:jc w:val="both"/>
        <w:rPr>
          <w:rFonts w:ascii="Verdana" w:eastAsia="Century Gothic" w:hAnsi="Verdana" w:cs="Century Gothic"/>
          <w:b/>
          <w:bCs/>
          <w:color w:val="000000" w:themeColor="text1"/>
        </w:rPr>
      </w:pPr>
      <w:r>
        <w:rPr>
          <w:rFonts w:ascii="Verdana" w:eastAsia="Century Gothic" w:hAnsi="Verdana" w:cs="Century Gothic"/>
          <w:color w:val="000000" w:themeColor="text1"/>
        </w:rPr>
        <w:t xml:space="preserve"> </w:t>
      </w:r>
      <w:r w:rsidR="005B261C" w:rsidRPr="00115E3D">
        <w:rPr>
          <w:rFonts w:ascii="Verdana" w:eastAsia="Century Gothic" w:hAnsi="Verdana" w:cs="Century Gothic"/>
          <w:b/>
          <w:bCs/>
          <w:color w:val="000000" w:themeColor="text1"/>
        </w:rPr>
        <w:t>Respuesta:</w:t>
      </w:r>
    </w:p>
    <w:p w14:paraId="4CE01E29" w14:textId="77777777" w:rsidR="005B261C" w:rsidRPr="00115E3D" w:rsidRDefault="005B261C" w:rsidP="005B261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261C" w:rsidRPr="00115E3D" w14:paraId="704DD47E" w14:textId="77777777" w:rsidTr="006D0D53">
        <w:trPr>
          <w:trHeight w:val="774"/>
        </w:trPr>
        <w:tc>
          <w:tcPr>
            <w:tcW w:w="8828" w:type="dxa"/>
          </w:tcPr>
          <w:p w14:paraId="1FA369AB" w14:textId="471D5D9B" w:rsidR="00FD35EB" w:rsidRPr="00FD35EB" w:rsidRDefault="007900B1" w:rsidP="00FD35EB">
            <w:pPr>
              <w:spacing w:after="120" w:line="276" w:lineRule="auto"/>
              <w:jc w:val="both"/>
              <w:rPr>
                <w:rFonts w:ascii="Verdana" w:eastAsia="Arial" w:hAnsi="Verdana" w:cs="Arial"/>
              </w:rPr>
            </w:pPr>
            <w:r>
              <w:rPr>
                <w:rFonts w:ascii="Verdana" w:eastAsia="Arial" w:hAnsi="Verdana" w:cs="Arial"/>
              </w:rPr>
              <w:t xml:space="preserve"> </w:t>
            </w:r>
            <w:r w:rsidR="004C29E8">
              <w:rPr>
                <w:rFonts w:ascii="Verdana" w:eastAsia="Arial" w:hAnsi="Verdana" w:cs="Arial"/>
              </w:rPr>
              <w:t xml:space="preserve"> </w:t>
            </w:r>
            <w:r w:rsidR="00043F94">
              <w:rPr>
                <w:rFonts w:ascii="Verdana" w:eastAsia="Arial" w:hAnsi="Verdana" w:cs="Arial"/>
              </w:rPr>
              <w:t xml:space="preserve">  </w:t>
            </w:r>
            <w:r w:rsidR="00FD35EB">
              <w:rPr>
                <w:rFonts w:ascii="Verdana" w:eastAsia="Arial" w:hAnsi="Verdana" w:cs="Arial"/>
              </w:rPr>
              <w:t xml:space="preserve"> </w:t>
            </w:r>
            <w:r w:rsidR="00043F94">
              <w:rPr>
                <w:rFonts w:ascii="Verdana" w:eastAsia="Arial" w:hAnsi="Verdana" w:cs="Arial"/>
              </w:rPr>
              <w:t xml:space="preserve">   </w:t>
            </w:r>
            <w:r w:rsidR="005E0DA4">
              <w:rPr>
                <w:rFonts w:ascii="Verdana" w:eastAsia="Arial" w:hAnsi="Verdana" w:cs="Arial"/>
              </w:rPr>
              <w:t xml:space="preserve"> </w:t>
            </w:r>
            <w:r w:rsidR="00312C79">
              <w:rPr>
                <w:rFonts w:ascii="Verdana" w:eastAsia="Arial" w:hAnsi="Verdana" w:cs="Arial"/>
              </w:rPr>
              <w:t xml:space="preserve"> </w:t>
            </w:r>
            <w:r w:rsidR="00FD35EB" w:rsidRPr="00FD35EB">
              <w:rPr>
                <w:rFonts w:ascii="Verdana" w:eastAsia="Arial" w:hAnsi="Verdana" w:cs="Arial"/>
              </w:rPr>
              <w:t xml:space="preserve">El artículo 209 de la Constitución Política dispone que la función administrativa debe desarrollarse con fundamento en los principios de </w:t>
            </w:r>
            <w:r w:rsidR="00FD35EB" w:rsidRPr="00FD35EB">
              <w:rPr>
                <w:rFonts w:ascii="Verdana" w:eastAsia="Arial" w:hAnsi="Verdana" w:cs="Arial"/>
              </w:rPr>
              <w:lastRenderedPageBreak/>
              <w:t>igualdad, moralidad, eficacia, economía, celeridad, imparcialidad y publicidad. En desarrollo de dichos postulados, el artículo 3 de la Ley 80 de 1993 establece que la contratación estatal tiene por finalidad el cumplimiento de los fines estatales, la continua y eficiente prestación de los servicios públicos y la efectividad de los derechos e intereses de los administrados.</w:t>
            </w:r>
          </w:p>
          <w:p w14:paraId="5B19881B" w14:textId="1501080B" w:rsidR="00FD35EB" w:rsidRPr="00FD35EB" w:rsidRDefault="00FD35EB" w:rsidP="00FD35E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Por su parte, el artículo 23 de la Ley 80 de 1993 prevé que las actuaciones contractuales de las entidades estatales deben desarrollarse con arreglo a los principios de transparencia, economía y responsabilidad, mientras que el artículo 25 ibidem exige que las entidades adelanten una adecuada planeación de sus procesos contractuales, soportada en estudios, diseños, proyectos, análisis y demás documentos necesarios para determinar la conveniencia y viabilidad de la contratación.</w:t>
            </w:r>
          </w:p>
          <w:p w14:paraId="7D875C7B" w14:textId="0E1349C0" w:rsidR="00FD35EB" w:rsidRPr="00FD35EB" w:rsidRDefault="00FD35EB" w:rsidP="00FD35E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En el mismo sentido, el artículo 2.2.1.1.2.1.1 del Decreto 1082 de 2015 dispone que los estudios y documentos previos deben contener, entre otros aspectos, la descripción de la necesidad que la entidad pretende satisfacer, el análisis del sector relativo al objeto del proceso de contratación, así como el valor estimado del contrato y su respectiva justificación. Esta disposición evidencia que la determinación del presupuesto oficial constituye una actividad propia de la etapa de planeación contractual y debe obedecer a criterios técnicos, financieros y de mercado que permitan establecer razonablemente el costo de satisfacción de la necesidad pública.</w:t>
            </w:r>
          </w:p>
          <w:p w14:paraId="4CF3D15F" w14:textId="32A2E37F" w:rsidR="00FD35EB" w:rsidRPr="00FD35EB" w:rsidRDefault="00FD35EB" w:rsidP="00FD35E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A su vez, el artículo 5 de la Ley 1150 de 2007 consagra el principio de selección objetiva, conforme al cual la escogencia del contratista debe recaer sobre el ofrecimiento más favorable para la entidad y para los fines que ella busca satisfacer, atendiendo los criterios previamente establecidos en los documentos del proceso. De esta disposición no se desprende una obligación de adjudicar necesariamente a la oferta de menor precio, sino a aquella que, de conformidad con las reglas definidas por la entidad y las necesidades que pretende satisfacer, represente la mejor alternativa para el interés público.</w:t>
            </w:r>
          </w:p>
          <w:p w14:paraId="40B3F890" w14:textId="77AA8D4B" w:rsidR="00FD35EB" w:rsidRPr="00FD35EB" w:rsidRDefault="00FD35EB" w:rsidP="00FD35E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 xml:space="preserve">Sobre este aspecto, la Agencia Nacional de Contratación Pública – Colombia Compra Eficiente, en el Concepto C-609 del 25 de octubre de 2024, indicó que la adjudicación del contrato por la totalidad del presupuesto oficial constituye una modalidad de pacto contractual admisible dentro del Sistema de Compra Pública. Señaló que esta alternativa puede resultar procedente cuando, como resultado de los estudios previos, el análisis del sector y el </w:t>
            </w:r>
            <w:r w:rsidRPr="00FD35EB">
              <w:rPr>
                <w:rFonts w:ascii="Verdana" w:eastAsia="Arial" w:hAnsi="Verdana" w:cs="Arial"/>
              </w:rPr>
              <w:lastRenderedPageBreak/>
              <w:t>análisis de los oferentes, la entidad advierte que dicha configuración contractual permite satisfacer adecuadamente la necesidad pública y genera beneficios asociados a la ejecución del contrato, tales como la estabilidad de los precios durante su ejecución o un mejor control del gasto público. Asimismo, precisó que la incorporación de este tipo de mecanismos forma parte de la autonomía de gestión de las entidades estatales, siempre que exista una justificación suficiente en los estudios previos que soportan el proceso de contratación.</w:t>
            </w:r>
          </w:p>
          <w:p w14:paraId="535377FD" w14:textId="77C3CA04" w:rsidR="00FD35EB" w:rsidRPr="00FD35EB" w:rsidRDefault="00FD35EB" w:rsidP="00FD35E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De igual forma, la doctrina de Colombia Compra Eficiente ha señalado que el precio constituye uno de los elementos esenciales del contrato estatal y corresponde al valor total que debe asumir la entidad para obtener los bienes, obras o servicios requeridos. En el Concepto C-717 del 11 de junio de 2026 se reiteró que dentro del precio se encuentran comprendidos todos los costos necesarios para la ejecución de las obligaciones contractuales, incluyendo costos directos e indirectos, cargas tributarias, contribuciones, estampillas, gastos asociados a la ejecución y la utilidad esperada por el contratista. Bajo esta perspectiva, el precio ofertado no puede analizarse exclusivamente desde la óptica de una reducción nominal frente al presupuesto oficial, sino a partir de su correspondencia con el costo real de ejecución del contrato y con las condiciones económicas del mercado.</w:t>
            </w:r>
          </w:p>
          <w:p w14:paraId="442F1048" w14:textId="7F27188E" w:rsidR="00FD35EB" w:rsidRPr="00FD35EB" w:rsidRDefault="00FD35EB" w:rsidP="00FD35E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Así las cosas, la evaluación jurídica de una adjudicación no depende de la existencia de una diferencia entre el presupuesto oficial y el valor finalmente adjudicado. Lo relevante es verificar que el presupuesto oficial haya sido estructurado con fundamento en estudios previos suficientes, análisis del sector y condiciones objetivas de mercado; que el valor adjudicado corresponda al costo real de los bienes, obras o servicios requeridos; que la oferta seleccionada satisfaga integralmente la necesidad pública identificada por la entidad; que la selección se haya realizado conforme a las reglas previamente establecidas en los documentos del proceso; y que la contratación garantice una adecuada relación entre costo, calidad, oportunidad y resultados esperados.</w:t>
            </w:r>
          </w:p>
          <w:p w14:paraId="5C907F28" w14:textId="37C86875" w:rsidR="00FD35EB" w:rsidRPr="00FD35EB" w:rsidRDefault="00FD35EB" w:rsidP="00FD35E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 xml:space="preserve">Con fundamento en las disposiciones citadas y en la doctrina de Colombia Compra Eficiente, se concluye que el ordenamiento jurídico colombiano no establece una obligación de adjudicar al menor precio ni prohíbe adjudicar por el valor total del presupuesto oficial. En consecuencia, cuando el presupuesto oficial ha sido determinado mediante una adecuada </w:t>
            </w:r>
            <w:r w:rsidRPr="00FD35EB">
              <w:rPr>
                <w:rFonts w:ascii="Verdana" w:eastAsia="Arial" w:hAnsi="Verdana" w:cs="Arial"/>
              </w:rPr>
              <w:lastRenderedPageBreak/>
              <w:t>planeación contractual, sustentada en estudios previos, análisis del sector y condiciones objetivas de mercado, y la oferta seleccionada constituye el ofrecimiento más favorable para la satisfacción de la necesidad pública, la adjudicación por la totalidad del presupuesto oficial resulta compatible con los principios de economía, selección objetiva, responsabilidad y eficiencia que rigen la contratación estatal.</w:t>
            </w:r>
          </w:p>
          <w:p w14:paraId="13009DBA" w14:textId="0392E5CE" w:rsidR="008202F6" w:rsidRPr="00B643B2" w:rsidRDefault="009C504B" w:rsidP="00F54432">
            <w:pPr>
              <w:spacing w:after="120" w:line="276" w:lineRule="auto"/>
              <w:jc w:val="both"/>
              <w:rPr>
                <w:rFonts w:ascii="Verdana" w:eastAsia="Calibri" w:hAnsi="Verdana"/>
              </w:rPr>
            </w:pPr>
            <w:r w:rsidRPr="009C504B">
              <w:rPr>
                <w:rFonts w:ascii="Verdana" w:eastAsia="Arial" w:hAnsi="Verdana" w:cs="Arial"/>
              </w:rPr>
              <w:t xml:space="preserve"> </w:t>
            </w:r>
            <w:r w:rsidR="008202F6">
              <w:rPr>
                <w:rFonts w:ascii="Verdana" w:eastAsia="Calibri" w:hAnsi="Verdana"/>
              </w:rPr>
              <w:t xml:space="preserve">        </w:t>
            </w:r>
            <w:r w:rsidR="008202F6"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79C0B0DC" w14:textId="17E8592D" w:rsidR="001951C0" w:rsidRPr="0029110A" w:rsidRDefault="008202F6" w:rsidP="00561564">
            <w:pPr>
              <w:spacing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07DB8" w:rsidRPr="00115E3D" w14:paraId="6B926161" w14:textId="77777777" w:rsidTr="001951C0">
        <w:trPr>
          <w:trHeight w:val="162"/>
        </w:trPr>
        <w:tc>
          <w:tcPr>
            <w:tcW w:w="8828" w:type="dxa"/>
          </w:tcPr>
          <w:p w14:paraId="08101215" w14:textId="77777777" w:rsidR="00807DB8" w:rsidRDefault="00807DB8" w:rsidP="008F1280">
            <w:pPr>
              <w:spacing w:line="276" w:lineRule="auto"/>
              <w:jc w:val="both"/>
              <w:rPr>
                <w:rFonts w:ascii="Verdana" w:eastAsia="Calibri" w:hAnsi="Verdana" w:cs="Arial"/>
              </w:rPr>
            </w:pPr>
          </w:p>
        </w:tc>
      </w:tr>
    </w:tbl>
    <w:p w14:paraId="7FA73640" w14:textId="77777777" w:rsidR="00D46548" w:rsidRDefault="00D46548" w:rsidP="00D4654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7B31EE96" w14:textId="45AAA074" w:rsidR="005B261C" w:rsidRDefault="005B261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513A60BD" w14:textId="77777777" w:rsidR="00D07047" w:rsidRDefault="00D07047" w:rsidP="00D07047">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50AD61EC" w14:textId="77777777" w:rsidR="00C1413B" w:rsidRPr="00794C2C" w:rsidRDefault="00D1143F" w:rsidP="00C1413B">
      <w:pPr>
        <w:pStyle w:val="Textoindependiente"/>
        <w:ind w:right="209" w:firstLine="708"/>
        <w:jc w:val="both"/>
        <w:rPr>
          <w:rFonts w:ascii="Verdana" w:hAnsi="Verdana"/>
        </w:rPr>
      </w:pPr>
      <w:r w:rsidRPr="005A5095">
        <w:rPr>
          <w:rFonts w:ascii="Verdana" w:hAnsi="Verdana" w:cs="Arial"/>
          <w:lang w:val="es-ES"/>
        </w:rPr>
        <w:t xml:space="preserve">El artículo 355 de la Constitución Política prohíbe a las ramas y órganos del </w:t>
      </w:r>
      <w:r w:rsidR="00C1413B" w:rsidRPr="00794C2C">
        <w:rPr>
          <w:rFonts w:ascii="Verdana" w:hAnsi="Verdana"/>
        </w:rPr>
        <w:t>Las entidades estatales, durante la etapa de planeación de los procedimientos de contratación, deben elaborar los estudios y documentos previos que sirven de base para la estructuración del proyecto de pliegos, los pliegos de condiciones definitivos y el contrato. Los estudios y documentos previos deben incluir el contenido mínimo establecido en el artículo 2.2.1.1.2.1.1. del Decreto 1082 de 2015, que comprende la información relacionada con la necesidad de la entidad, el objeto, sus especificaciones, permisos, licencias, modalidad de selección, valor, criterios de selección, análisis de riesgo y forma de mitigarlo, garantías, entre</w:t>
      </w:r>
      <w:r w:rsidR="00C1413B" w:rsidRPr="00794C2C">
        <w:rPr>
          <w:rFonts w:ascii="Verdana" w:hAnsi="Verdana"/>
          <w:spacing w:val="-5"/>
        </w:rPr>
        <w:t xml:space="preserve"> </w:t>
      </w:r>
      <w:r w:rsidR="00C1413B" w:rsidRPr="00794C2C">
        <w:rPr>
          <w:rFonts w:ascii="Verdana" w:hAnsi="Verdana"/>
        </w:rPr>
        <w:t>otros.</w:t>
      </w:r>
    </w:p>
    <w:p w14:paraId="26928270" w14:textId="77777777" w:rsidR="00C1413B" w:rsidRPr="00794C2C" w:rsidRDefault="00C1413B" w:rsidP="00C1413B">
      <w:pPr>
        <w:pStyle w:val="Textoindependiente"/>
        <w:spacing w:before="3"/>
        <w:rPr>
          <w:rFonts w:ascii="Verdana" w:hAnsi="Verdana"/>
          <w:sz w:val="25"/>
        </w:rPr>
      </w:pPr>
    </w:p>
    <w:p w14:paraId="5DA2C526" w14:textId="77777777" w:rsidR="00C1413B" w:rsidRPr="00794C2C" w:rsidRDefault="00C1413B" w:rsidP="00C1413B">
      <w:pPr>
        <w:pStyle w:val="Textoindependiente"/>
        <w:spacing w:before="1"/>
        <w:ind w:right="205" w:firstLine="708"/>
        <w:jc w:val="both"/>
        <w:rPr>
          <w:rFonts w:ascii="Verdana" w:hAnsi="Verdana"/>
        </w:rPr>
      </w:pPr>
      <w:r w:rsidRPr="00794C2C">
        <w:rPr>
          <w:rFonts w:ascii="Verdana" w:hAnsi="Verdana"/>
        </w:rPr>
        <w:t>Respecto al valor del contrato, señala el artículo citado, en el numeral 4, que la entidad debe incluir en los estudios y documentos previos “el valor estimado del contrato y la justificación del mismo. Cuando el valor del contrato esté determinado por precios unitarios, la Entidad Estatal debe incluir la forma como los calculó y soportar sus cálculos de presupuesto en la estimación de aquellos”. Es decir, al estructurar el procedimiento de contratación se debe justificar la manera como definió el valor o presupuesto oficial, para lo cual debe señalar, por ejemplo, si el valor del proceso de contratación se obtuvo del análisis de precios históricos del bien o servicio a adquirir, cotizaciones, actualización de valores de contratos anteriores, estudio de mercado, precios unitarios o cualquier otro mecanismo. Así mismo, tratándose de precios unitarios, la entidad debe señalar la forma como los calculó y el soporte de la estimación de los mismos, en este caso la entidad debe publicar, si esta fue la metodología utilizada, los análisis de precios unitarios o las cotizaciones, de manera que los interesados en el procedimiento de contratación puedan conocer y entender cómo se obtuvo el presupuesto oficial. Ello permitirá que los eventuales proponentes</w:t>
      </w:r>
      <w:r w:rsidRPr="00794C2C">
        <w:rPr>
          <w:rFonts w:ascii="Verdana" w:hAnsi="Verdana"/>
          <w:spacing w:val="20"/>
        </w:rPr>
        <w:t xml:space="preserve"> </w:t>
      </w:r>
      <w:r w:rsidRPr="00794C2C">
        <w:rPr>
          <w:rFonts w:ascii="Verdana" w:hAnsi="Verdana"/>
        </w:rPr>
        <w:t>puedan</w:t>
      </w:r>
      <w:r w:rsidRPr="00794C2C">
        <w:rPr>
          <w:rFonts w:ascii="Verdana" w:hAnsi="Verdana"/>
          <w:spacing w:val="21"/>
        </w:rPr>
        <w:t xml:space="preserve"> </w:t>
      </w:r>
      <w:r w:rsidRPr="00794C2C">
        <w:rPr>
          <w:rFonts w:ascii="Verdana" w:hAnsi="Verdana"/>
        </w:rPr>
        <w:t>realizar</w:t>
      </w:r>
      <w:r w:rsidRPr="00794C2C">
        <w:rPr>
          <w:rFonts w:ascii="Verdana" w:hAnsi="Verdana"/>
          <w:spacing w:val="21"/>
        </w:rPr>
        <w:t xml:space="preserve"> </w:t>
      </w:r>
      <w:r w:rsidRPr="00794C2C">
        <w:rPr>
          <w:rFonts w:ascii="Verdana" w:hAnsi="Verdana"/>
        </w:rPr>
        <w:t>las</w:t>
      </w:r>
      <w:r w:rsidRPr="00794C2C">
        <w:rPr>
          <w:rFonts w:ascii="Verdana" w:hAnsi="Verdana"/>
          <w:spacing w:val="21"/>
        </w:rPr>
        <w:t xml:space="preserve"> </w:t>
      </w:r>
      <w:r w:rsidRPr="00794C2C">
        <w:rPr>
          <w:rFonts w:ascii="Verdana" w:hAnsi="Verdana"/>
        </w:rPr>
        <w:t>estimaciones</w:t>
      </w:r>
      <w:r w:rsidRPr="00794C2C">
        <w:rPr>
          <w:rFonts w:ascii="Verdana" w:hAnsi="Verdana"/>
          <w:spacing w:val="21"/>
        </w:rPr>
        <w:t xml:space="preserve"> </w:t>
      </w:r>
      <w:r w:rsidRPr="00794C2C">
        <w:rPr>
          <w:rFonts w:ascii="Verdana" w:hAnsi="Verdana"/>
        </w:rPr>
        <w:t>correspondientes,</w:t>
      </w:r>
      <w:r w:rsidRPr="00794C2C">
        <w:rPr>
          <w:rFonts w:ascii="Verdana" w:hAnsi="Verdana"/>
          <w:spacing w:val="20"/>
        </w:rPr>
        <w:t xml:space="preserve"> </w:t>
      </w:r>
      <w:r w:rsidRPr="00794C2C">
        <w:rPr>
          <w:rFonts w:ascii="Verdana" w:hAnsi="Verdana"/>
        </w:rPr>
        <w:t>bien</w:t>
      </w:r>
      <w:r w:rsidRPr="00794C2C">
        <w:rPr>
          <w:rFonts w:ascii="Verdana" w:hAnsi="Verdana"/>
          <w:spacing w:val="21"/>
        </w:rPr>
        <w:t xml:space="preserve"> </w:t>
      </w:r>
      <w:r w:rsidRPr="00794C2C">
        <w:rPr>
          <w:rFonts w:ascii="Verdana" w:hAnsi="Verdana"/>
        </w:rPr>
        <w:t>sea</w:t>
      </w:r>
      <w:r w:rsidRPr="00794C2C">
        <w:rPr>
          <w:rFonts w:ascii="Verdana" w:hAnsi="Verdana"/>
          <w:spacing w:val="21"/>
        </w:rPr>
        <w:t xml:space="preserve"> </w:t>
      </w:r>
      <w:r w:rsidRPr="00794C2C">
        <w:rPr>
          <w:rFonts w:ascii="Verdana" w:hAnsi="Verdana"/>
        </w:rPr>
        <w:t>para</w:t>
      </w:r>
      <w:r w:rsidRPr="00794C2C">
        <w:rPr>
          <w:rFonts w:ascii="Verdana" w:hAnsi="Verdana"/>
          <w:spacing w:val="20"/>
        </w:rPr>
        <w:t xml:space="preserve"> </w:t>
      </w:r>
      <w:r w:rsidRPr="00794C2C">
        <w:rPr>
          <w:rFonts w:ascii="Verdana" w:hAnsi="Verdana"/>
        </w:rPr>
        <w:t>presentar observaciones al procedimiento de contratación, por considerar que el presupuesto no es suficiente para cubrir el costo de los bienes o servicios a adquirir, o para decidir si se presenta oferta al procedimiento de selección.</w:t>
      </w:r>
    </w:p>
    <w:p w14:paraId="5D6B4FFB" w14:textId="77777777" w:rsidR="00C1413B" w:rsidRPr="00794C2C" w:rsidRDefault="00C1413B" w:rsidP="00C1413B">
      <w:pPr>
        <w:pStyle w:val="Textoindependiente"/>
        <w:ind w:right="209"/>
        <w:jc w:val="both"/>
        <w:rPr>
          <w:rFonts w:ascii="Verdana" w:hAnsi="Verdana"/>
        </w:rPr>
      </w:pPr>
      <w:r w:rsidRPr="00794C2C">
        <w:rPr>
          <w:rFonts w:ascii="Verdana" w:hAnsi="Verdana"/>
        </w:rPr>
        <w:t>Con base en la información obtenida en la etapa de planeación, la entidad debe estructurar los pliegos de condiciones, para lo cual, deberá contener la información que señala el artículo 2.2.1.1.2.1.3. del Decreto 1082 de 2015, que incluye las reglas relacionadas con los criterios de evaluación y la presentación de las ofertas,</w:t>
      </w:r>
      <w:r w:rsidRPr="00794C2C">
        <w:rPr>
          <w:rFonts w:ascii="Verdana" w:hAnsi="Verdana"/>
          <w:spacing w:val="-17"/>
        </w:rPr>
        <w:t xml:space="preserve"> </w:t>
      </w:r>
      <w:r w:rsidRPr="00794C2C">
        <w:rPr>
          <w:rFonts w:ascii="Verdana" w:hAnsi="Verdana"/>
        </w:rPr>
        <w:t>así:</w:t>
      </w:r>
    </w:p>
    <w:p w14:paraId="015E2ECA" w14:textId="77777777" w:rsidR="00C1413B" w:rsidRPr="00794C2C" w:rsidRDefault="00C1413B" w:rsidP="00C1413B">
      <w:pPr>
        <w:ind w:left="709" w:right="709"/>
        <w:jc w:val="both"/>
        <w:rPr>
          <w:rFonts w:ascii="Verdana" w:hAnsi="Verdana"/>
          <w:sz w:val="20"/>
        </w:rPr>
      </w:pPr>
      <w:r w:rsidRPr="00794C2C">
        <w:rPr>
          <w:rFonts w:ascii="Verdana" w:hAnsi="Verdana"/>
          <w:sz w:val="20"/>
        </w:rPr>
        <w:t>Artículo 2.2.1.1.2.1.3. Pliegos de condiciones. Los pliegos de condiciones deben contener por lo menos la siguiente información:</w:t>
      </w:r>
    </w:p>
    <w:p w14:paraId="1535B741" w14:textId="77777777" w:rsidR="00C1413B" w:rsidRPr="00794C2C" w:rsidRDefault="00C1413B" w:rsidP="00C1413B">
      <w:pPr>
        <w:ind w:left="709" w:right="709"/>
        <w:jc w:val="both"/>
        <w:rPr>
          <w:rFonts w:ascii="Verdana" w:hAnsi="Verdana"/>
          <w:sz w:val="20"/>
        </w:rPr>
      </w:pPr>
      <w:r w:rsidRPr="00794C2C">
        <w:rPr>
          <w:rFonts w:ascii="Verdana" w:hAnsi="Verdana"/>
          <w:sz w:val="20"/>
        </w:rPr>
        <w:t>(…)</w:t>
      </w:r>
    </w:p>
    <w:p w14:paraId="2005A2DE" w14:textId="77777777" w:rsidR="00C1413B" w:rsidRPr="00794C2C" w:rsidRDefault="00C1413B" w:rsidP="00C1413B">
      <w:pPr>
        <w:pStyle w:val="Prrafodelista"/>
        <w:widowControl w:val="0"/>
        <w:numPr>
          <w:ilvl w:val="0"/>
          <w:numId w:val="22"/>
        </w:numPr>
        <w:tabs>
          <w:tab w:val="left" w:pos="1503"/>
        </w:tabs>
        <w:autoSpaceDE w:val="0"/>
        <w:autoSpaceDN w:val="0"/>
        <w:spacing w:after="0" w:line="240" w:lineRule="auto"/>
        <w:ind w:left="709" w:right="709" w:firstLine="0"/>
        <w:contextualSpacing w:val="0"/>
        <w:jc w:val="both"/>
        <w:rPr>
          <w:rFonts w:ascii="Verdana" w:hAnsi="Verdana"/>
          <w:sz w:val="20"/>
        </w:rPr>
      </w:pPr>
      <w:r w:rsidRPr="00794C2C">
        <w:rPr>
          <w:rFonts w:ascii="Verdana" w:hAnsi="Verdana"/>
          <w:sz w:val="20"/>
        </w:rPr>
        <w:t>Las condiciones de costo y/o calidad que la Entidad Estatal debe tener en cuenta para la selección objetiva, de acuerdo con la modalidad de selección del contratista.</w:t>
      </w:r>
    </w:p>
    <w:p w14:paraId="799ABBC9" w14:textId="77777777" w:rsidR="00C1413B" w:rsidRPr="00794C2C" w:rsidRDefault="00C1413B" w:rsidP="00C1413B">
      <w:pPr>
        <w:pStyle w:val="Prrafodelista"/>
        <w:widowControl w:val="0"/>
        <w:numPr>
          <w:ilvl w:val="0"/>
          <w:numId w:val="22"/>
        </w:numPr>
        <w:tabs>
          <w:tab w:val="left" w:pos="1485"/>
        </w:tabs>
        <w:autoSpaceDE w:val="0"/>
        <w:autoSpaceDN w:val="0"/>
        <w:spacing w:after="0" w:line="240" w:lineRule="auto"/>
        <w:ind w:left="709" w:right="709" w:firstLine="0"/>
        <w:contextualSpacing w:val="0"/>
        <w:jc w:val="both"/>
        <w:rPr>
          <w:rFonts w:ascii="Verdana" w:hAnsi="Verdana"/>
          <w:sz w:val="20"/>
        </w:rPr>
      </w:pPr>
      <w:r w:rsidRPr="00794C2C">
        <w:rPr>
          <w:rFonts w:ascii="Verdana" w:hAnsi="Verdana"/>
          <w:sz w:val="20"/>
        </w:rPr>
        <w:t>Las reglas aplicables a la presentación de las ofertas, su evaluación y a la adjudicación del</w:t>
      </w:r>
      <w:r w:rsidRPr="00794C2C">
        <w:rPr>
          <w:rFonts w:ascii="Verdana" w:hAnsi="Verdana"/>
          <w:spacing w:val="-4"/>
          <w:sz w:val="20"/>
        </w:rPr>
        <w:t xml:space="preserve"> </w:t>
      </w:r>
      <w:r w:rsidRPr="00794C2C">
        <w:rPr>
          <w:rFonts w:ascii="Verdana" w:hAnsi="Verdana"/>
          <w:sz w:val="20"/>
        </w:rPr>
        <w:t>contrato.</w:t>
      </w:r>
    </w:p>
    <w:p w14:paraId="4022F845" w14:textId="77777777" w:rsidR="00C1413B" w:rsidRPr="00794C2C" w:rsidRDefault="00C1413B" w:rsidP="00C1413B">
      <w:pPr>
        <w:pStyle w:val="Textoindependiente"/>
        <w:spacing w:before="1"/>
        <w:rPr>
          <w:rFonts w:ascii="Verdana" w:hAnsi="Verdana"/>
          <w:sz w:val="25"/>
        </w:rPr>
      </w:pPr>
    </w:p>
    <w:p w14:paraId="189B386D" w14:textId="77777777" w:rsidR="00C1413B" w:rsidRPr="00794C2C" w:rsidRDefault="00C1413B" w:rsidP="00C1413B">
      <w:pPr>
        <w:pStyle w:val="Textoindependiente"/>
        <w:ind w:right="211"/>
        <w:jc w:val="both"/>
        <w:rPr>
          <w:rFonts w:ascii="Verdana" w:hAnsi="Verdana"/>
        </w:rPr>
      </w:pPr>
      <w:r w:rsidRPr="00794C2C">
        <w:rPr>
          <w:rFonts w:ascii="Verdana" w:hAnsi="Verdana"/>
        </w:rPr>
        <w:lastRenderedPageBreak/>
        <w:t>Conforme a los anteriores numerales, la entidad debe definir clara y expresamente las condiciones o aspectos a evaluar, relacionados con el costo y calidad ofertados por los proponentes, así como las reglas que deben tener en cuenta los proponentes para elaborar y presentar sus ofertas.</w:t>
      </w:r>
    </w:p>
    <w:p w14:paraId="75291315" w14:textId="77777777" w:rsidR="00C1413B" w:rsidRPr="00794C2C" w:rsidRDefault="00C1413B" w:rsidP="00C1413B">
      <w:pPr>
        <w:pStyle w:val="Textoindependiente"/>
        <w:ind w:right="205" w:firstLine="708"/>
        <w:jc w:val="both"/>
        <w:rPr>
          <w:rFonts w:ascii="Verdana" w:hAnsi="Verdana"/>
        </w:rPr>
      </w:pPr>
      <w:r w:rsidRPr="00794C2C">
        <w:rPr>
          <w:rFonts w:ascii="Verdana" w:hAnsi="Verdana"/>
        </w:rPr>
        <w:t xml:space="preserve">Estos numerales imponen la obligación de definir, en los pliegos de condiciones, </w:t>
      </w:r>
      <w:r w:rsidRPr="00794C2C">
        <w:rPr>
          <w:rFonts w:ascii="Verdana" w:hAnsi="Verdana"/>
          <w:spacing w:val="2"/>
        </w:rPr>
        <w:t xml:space="preserve">las </w:t>
      </w:r>
      <w:r w:rsidRPr="00794C2C">
        <w:rPr>
          <w:rFonts w:ascii="Verdana" w:hAnsi="Verdana"/>
        </w:rPr>
        <w:t>reglas que debe tener en cuenta el proponente para estructurar su ofrecimiento, y a las cuales se sujeta la entidad al realizar la verificación del cumplimiento de los requisitos previamente establecidos. Por lo tanto, se reitera, la entidad debe evaluar las ofertas con las reglas que definió en el pliego de condiciones durante la etapa de planeación, incluidas las modificaciones realizadas producto de las observaciones presentadas por los interesados y previo a la recepción de las ofertas, por cuanto es el pliego de condiciones el documento que constituye la ley del contrato y donde se deben fijar las reglas claras, objetivas, justas y completas del procedimiento de</w:t>
      </w:r>
      <w:r w:rsidRPr="00794C2C">
        <w:rPr>
          <w:rFonts w:ascii="Verdana" w:hAnsi="Verdana"/>
          <w:spacing w:val="-9"/>
        </w:rPr>
        <w:t xml:space="preserve"> </w:t>
      </w:r>
      <w:r w:rsidRPr="00794C2C">
        <w:rPr>
          <w:rFonts w:ascii="Verdana" w:hAnsi="Verdana"/>
        </w:rPr>
        <w:t>contratación.</w:t>
      </w:r>
    </w:p>
    <w:p w14:paraId="38EC84EC" w14:textId="77777777" w:rsidR="00C1413B" w:rsidRPr="00794C2C" w:rsidRDefault="00C1413B" w:rsidP="00C1413B">
      <w:pPr>
        <w:pStyle w:val="Textoindependiente"/>
        <w:ind w:right="204" w:firstLine="708"/>
        <w:jc w:val="both"/>
        <w:rPr>
          <w:rFonts w:ascii="Verdana" w:hAnsi="Verdana"/>
          <w:sz w:val="20"/>
        </w:rPr>
      </w:pPr>
      <w:r w:rsidRPr="00794C2C">
        <w:rPr>
          <w:rFonts w:ascii="Verdana" w:eastAsia="Calibri" w:hAnsi="Verdana"/>
          <w:lang w:val="es-MX"/>
        </w:rPr>
        <w:t>Ahora bien, El precio es el “valor pecuniario en que se estima algo”</w:t>
      </w:r>
      <w:r w:rsidRPr="00794C2C">
        <w:rPr>
          <w:rStyle w:val="Refdenotaalpie"/>
          <w:rFonts w:ascii="Verdana" w:eastAsia="Calibri" w:hAnsi="Verdana"/>
          <w:lang w:val="es-MX"/>
        </w:rPr>
        <w:footnoteReference w:id="2"/>
      </w:r>
      <w:r w:rsidRPr="00794C2C">
        <w:rPr>
          <w:rFonts w:ascii="Verdana" w:eastAsia="Calibri" w:hAnsi="Verdana"/>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64B4256D" w14:textId="77777777" w:rsidR="00C1413B" w:rsidRPr="00794C2C" w:rsidRDefault="00C1413B" w:rsidP="00C1413B">
      <w:pPr>
        <w:spacing w:after="0"/>
        <w:jc w:val="both"/>
        <w:rPr>
          <w:rFonts w:ascii="Verdana" w:eastAsia="Calibri" w:hAnsi="Verdana" w:cs="Arial"/>
          <w:lang w:val="es-MX"/>
        </w:rPr>
      </w:pPr>
      <w:r w:rsidRPr="00794C2C">
        <w:rPr>
          <w:rFonts w:ascii="Verdana" w:eastAsia="Calibri" w:hAnsi="Verdana" w:cs="Arial"/>
          <w:lang w:val="es-MX"/>
        </w:rPr>
        <w:t xml:space="preserve"> </w:t>
      </w:r>
    </w:p>
    <w:p w14:paraId="6E0CC2AD" w14:textId="77777777" w:rsidR="00C1413B" w:rsidRPr="00794C2C" w:rsidRDefault="00C1413B" w:rsidP="00C1413B">
      <w:pPr>
        <w:spacing w:after="120" w:line="240" w:lineRule="auto"/>
        <w:ind w:left="709" w:right="709"/>
        <w:jc w:val="both"/>
        <w:rPr>
          <w:rFonts w:ascii="Verdana" w:eastAsia="Calibri" w:hAnsi="Verdana" w:cs="Arial"/>
          <w:sz w:val="21"/>
          <w:szCs w:val="21"/>
          <w:lang w:val="es-MX"/>
        </w:rPr>
      </w:pPr>
      <w:r w:rsidRPr="00794C2C">
        <w:rPr>
          <w:rFonts w:ascii="Verdana" w:eastAsia="Calibri" w:hAnsi="Verdana" w:cs="Arial"/>
          <w:sz w:val="21"/>
          <w:szCs w:val="21"/>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7A955F41" w14:textId="77777777" w:rsidR="00C1413B" w:rsidRPr="00794C2C" w:rsidRDefault="00C1413B" w:rsidP="00C1413B">
      <w:pPr>
        <w:spacing w:after="0" w:line="240" w:lineRule="auto"/>
        <w:ind w:left="709" w:right="709"/>
        <w:jc w:val="both"/>
        <w:rPr>
          <w:rFonts w:ascii="Verdana" w:eastAsia="Calibri" w:hAnsi="Verdana" w:cs="Arial"/>
          <w:sz w:val="21"/>
          <w:szCs w:val="21"/>
          <w:lang w:val="es-MX"/>
        </w:rPr>
      </w:pPr>
      <w:r w:rsidRPr="00794C2C">
        <w:rPr>
          <w:rFonts w:ascii="Verdana" w:eastAsia="Calibri" w:hAnsi="Verdana" w:cs="Arial"/>
          <w:sz w:val="21"/>
          <w:szCs w:val="21"/>
          <w:lang w:val="es-MX"/>
        </w:rPr>
        <w:t>[Artículo 905 del Código de Comercio]: La compraventa es un contrato en que una de las partes se obliga a trasmitir la propiedad de una cosa y la otra a pagarla en dinero. El dinero que el comprador da por la cosa vendida se llama precio”.</w:t>
      </w:r>
    </w:p>
    <w:p w14:paraId="4F743CEB" w14:textId="77777777" w:rsidR="00C1413B" w:rsidRPr="00794C2C" w:rsidRDefault="00C1413B" w:rsidP="00C1413B">
      <w:pPr>
        <w:spacing w:after="120" w:line="276" w:lineRule="auto"/>
        <w:jc w:val="both"/>
        <w:rPr>
          <w:rFonts w:ascii="Verdana" w:hAnsi="Verdana" w:cs="Arial"/>
          <w:bCs/>
          <w:lang w:val="es-ES_tradnl"/>
        </w:rPr>
      </w:pPr>
      <w:bookmarkStart w:id="0" w:name="_Hlk131175734"/>
    </w:p>
    <w:p w14:paraId="3951EA66" w14:textId="77777777" w:rsidR="00C1413B" w:rsidRPr="00794C2C" w:rsidRDefault="00C1413B" w:rsidP="00C1413B">
      <w:pPr>
        <w:spacing w:after="120" w:line="276" w:lineRule="auto"/>
        <w:ind w:firstLine="708"/>
        <w:jc w:val="both"/>
        <w:rPr>
          <w:rFonts w:ascii="Verdana" w:hAnsi="Verdana" w:cs="Arial"/>
          <w:bCs/>
          <w:lang w:val="es-ES_tradnl"/>
        </w:rPr>
      </w:pPr>
      <w:r w:rsidRPr="00794C2C">
        <w:rPr>
          <w:rFonts w:ascii="Verdana" w:hAnsi="Verdana" w:cs="Arial"/>
          <w:bCs/>
          <w:lang w:val="es-ES_tradnl"/>
        </w:rPr>
        <w:t xml:space="preserve">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w:t>
      </w:r>
      <w:r w:rsidRPr="00794C2C">
        <w:rPr>
          <w:rFonts w:ascii="Verdana" w:hAnsi="Verdana" w:cs="Arial"/>
          <w:bCs/>
          <w:lang w:val="es-ES_tradnl"/>
        </w:rPr>
        <w:lastRenderedPageBreak/>
        <w:t>como conmutativos, cuando hay un acuerdo entre el objeto y la contraprestación pactado por escrito entre la entidad estatal y el contratista</w:t>
      </w:r>
      <w:r w:rsidRPr="00794C2C">
        <w:rPr>
          <w:rStyle w:val="Refdenotaalpie"/>
          <w:rFonts w:ascii="Verdana" w:hAnsi="Verdana" w:cs="Arial"/>
          <w:bCs/>
          <w:lang w:val="es-ES_tradnl"/>
        </w:rPr>
        <w:footnoteReference w:id="3"/>
      </w:r>
      <w:r w:rsidRPr="00794C2C">
        <w:rPr>
          <w:rFonts w:ascii="Verdana" w:hAnsi="Verdana" w:cs="Arial"/>
          <w:bCs/>
          <w:lang w:val="es-ES_tradnl"/>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794C2C">
        <w:rPr>
          <w:rStyle w:val="Refdenotaalpie"/>
          <w:rFonts w:ascii="Verdana" w:hAnsi="Verdana" w:cs="Arial"/>
          <w:bCs/>
          <w:lang w:val="es-ES_tradnl"/>
        </w:rPr>
        <w:footnoteReference w:id="4"/>
      </w:r>
      <w:r w:rsidRPr="00794C2C">
        <w:rPr>
          <w:rFonts w:ascii="Verdana" w:hAnsi="Verdana"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794C2C">
        <w:rPr>
          <w:rStyle w:val="Refdenotaalpie"/>
          <w:rFonts w:ascii="Verdana" w:hAnsi="Verdana" w:cs="Arial"/>
          <w:bCs/>
          <w:lang w:val="es-ES_tradnl"/>
        </w:rPr>
        <w:footnoteReference w:id="5"/>
      </w:r>
      <w:r w:rsidRPr="00794C2C">
        <w:rPr>
          <w:rFonts w:ascii="Verdana" w:hAnsi="Verdana" w:cs="Arial"/>
          <w:bCs/>
          <w:lang w:val="es-ES_tradnl"/>
        </w:rPr>
        <w:t>.</w:t>
      </w:r>
      <w:bookmarkStart w:id="1" w:name="_Hlk131175799"/>
      <w:bookmarkEnd w:id="0"/>
    </w:p>
    <w:p w14:paraId="169A1B88" w14:textId="77777777" w:rsidR="00C1413B" w:rsidRPr="00794C2C" w:rsidRDefault="00C1413B" w:rsidP="00C1413B">
      <w:pPr>
        <w:spacing w:after="120" w:line="276" w:lineRule="auto"/>
        <w:ind w:firstLine="360"/>
        <w:jc w:val="both"/>
        <w:rPr>
          <w:rFonts w:ascii="Verdana" w:hAnsi="Verdana" w:cs="Arial"/>
          <w:bCs/>
          <w:lang w:val="es-ES"/>
        </w:rPr>
      </w:pPr>
      <w:r w:rsidRPr="00794C2C">
        <w:rPr>
          <w:rFonts w:ascii="Verdana" w:hAnsi="Verdana" w:cs="Arial"/>
          <w:lang w:val="es-ES"/>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794C2C">
        <w:rPr>
          <w:rStyle w:val="Refdenotaalpie"/>
          <w:rFonts w:ascii="Verdana" w:hAnsi="Verdana" w:cs="Arial"/>
          <w:lang w:val="es-ES"/>
        </w:rPr>
        <w:footnoteReference w:id="6"/>
      </w:r>
      <w:r w:rsidRPr="00794C2C">
        <w:rPr>
          <w:rFonts w:ascii="Verdana" w:hAnsi="Verdana" w:cs="Arial"/>
          <w:lang w:val="es-ES"/>
        </w:rPr>
        <w:t xml:space="preserve">. No hay, pues, una sola metodología para pactar </w:t>
      </w:r>
      <w:r w:rsidRPr="00794C2C">
        <w:rPr>
          <w:rFonts w:ascii="Verdana" w:hAnsi="Verdana" w:cs="Arial"/>
          <w:lang w:val="es-ES"/>
        </w:rPr>
        <w:lastRenderedPageBreak/>
        <w:t xml:space="preserve">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94C2C">
        <w:rPr>
          <w:rFonts w:ascii="Verdana" w:hAnsi="Verdana" w:cs="Arial"/>
          <w:lang w:val="es-ES"/>
        </w:rPr>
        <w:t>ii</w:t>
      </w:r>
      <w:proofErr w:type="spellEnd"/>
      <w:r w:rsidRPr="00794C2C">
        <w:rPr>
          <w:rFonts w:ascii="Verdana" w:hAnsi="Verdana" w:cs="Arial"/>
          <w:lang w:val="es-ES"/>
        </w:rPr>
        <w:t xml:space="preserve">) el precio global –que equivale al monto total, sin discriminar unidades–, y </w:t>
      </w:r>
      <w:proofErr w:type="spellStart"/>
      <w:r w:rsidRPr="00794C2C">
        <w:rPr>
          <w:rFonts w:ascii="Verdana" w:hAnsi="Verdana" w:cs="Arial"/>
          <w:lang w:val="es-ES"/>
        </w:rPr>
        <w:t>iii</w:t>
      </w:r>
      <w:proofErr w:type="spellEnd"/>
      <w:r w:rsidRPr="00794C2C">
        <w:rPr>
          <w:rFonts w:ascii="Verdana" w:hAnsi="Verdana" w:cs="Arial"/>
          <w:lang w:val="es-ES"/>
        </w:rPr>
        <w:t>) la administración delegada de recursos –en la que se distinguen los costos de inversión de los honorarios del administrador–.</w:t>
      </w:r>
      <w:bookmarkEnd w:id="1"/>
    </w:p>
    <w:p w14:paraId="0991E158" w14:textId="56DDA7BC" w:rsidR="00C1413B" w:rsidRPr="00C1413B" w:rsidRDefault="00C1413B" w:rsidP="00C1413B">
      <w:pPr>
        <w:spacing w:before="120" w:after="0" w:line="276" w:lineRule="auto"/>
        <w:ind w:firstLine="360"/>
        <w:jc w:val="both"/>
        <w:rPr>
          <w:rFonts w:ascii="Verdana" w:hAnsi="Verdana" w:cs="Arial"/>
        </w:rPr>
      </w:pPr>
      <w:r w:rsidRPr="00C1413B">
        <w:rPr>
          <w:rFonts w:ascii="Verdana" w:hAnsi="Verdana" w:cs="Ari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es más pertinente para los contratos de tracto sucesivo, como lo son, por ejemplo, los contratos de suministro y obra, respectivamente. Por ende,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el cual exige la optimización de los recursos públicos.</w:t>
      </w:r>
    </w:p>
    <w:p w14:paraId="3C7EB2BA" w14:textId="77777777" w:rsidR="00C1413B" w:rsidRPr="00794C2C" w:rsidRDefault="00C1413B" w:rsidP="00C1413B">
      <w:pPr>
        <w:spacing w:after="0" w:line="276" w:lineRule="auto"/>
        <w:jc w:val="both"/>
        <w:rPr>
          <w:rFonts w:ascii="Verdana" w:hAnsi="Verdana" w:cs="Arial"/>
          <w:bCs/>
          <w:lang w:val="es-ES_tradnl"/>
        </w:rPr>
      </w:pPr>
    </w:p>
    <w:p w14:paraId="639B6787" w14:textId="460557A9" w:rsidR="00C1413B" w:rsidRPr="00C1413B" w:rsidRDefault="00C1413B" w:rsidP="00C1413B">
      <w:pPr>
        <w:tabs>
          <w:tab w:val="left" w:pos="0"/>
        </w:tabs>
        <w:spacing w:line="276" w:lineRule="auto"/>
        <w:jc w:val="both"/>
        <w:rPr>
          <w:rFonts w:ascii="Verdana" w:eastAsia="Calibri" w:hAnsi="Verdana" w:cs="Arial"/>
          <w:lang w:val="es-MX"/>
        </w:rPr>
      </w:pPr>
      <w:r>
        <w:rPr>
          <w:rFonts w:ascii="Verdana" w:eastAsia="Calibri" w:hAnsi="Verdana" w:cs="Arial"/>
          <w:lang w:val="es-MX"/>
        </w:rPr>
        <w:tab/>
      </w:r>
      <w:r w:rsidRPr="00C1413B">
        <w:rPr>
          <w:rFonts w:ascii="Verdana" w:eastAsia="Calibri" w:hAnsi="Verdana" w:cs="Arial"/>
          <w:lang w:val="es-MX"/>
        </w:rPr>
        <w:t xml:space="preserve">En la etapa precontractual de la contratación estatal, cuando la Administración está elaborando los estudios previos, para lograr con éxito el proceso de contratación que requiere para satisfacer una necesidad de bienes, </w:t>
      </w:r>
      <w:r w:rsidRPr="00C1413B">
        <w:rPr>
          <w:rFonts w:ascii="Verdana" w:eastAsia="Calibri" w:hAnsi="Verdana" w:cs="Arial"/>
          <w:lang w:val="es-MX"/>
        </w:rPr>
        <w:lastRenderedPageBreak/>
        <w:t xml:space="preserve">obras o servicios con la finalidad de cumplir los cometidos estatales, debe analizarse, según el objeto a contratar, cuál es el tipo de contrato, las obligaciones y prestaciones a pactar que mejor satisfagan los intereses de la Administración como entidad contratante. </w:t>
      </w:r>
      <w:r w:rsidRPr="00C1413B">
        <w:rPr>
          <w:rFonts w:ascii="Verdana" w:hAnsi="Verdana" w:cs="Arial"/>
          <w:bCs/>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14:paraId="2CB1DF4E" w14:textId="25B068EB" w:rsidR="00C1413B" w:rsidRPr="00C1413B" w:rsidRDefault="00C1413B" w:rsidP="00C1413B">
      <w:pPr>
        <w:spacing w:after="120" w:line="276" w:lineRule="auto"/>
        <w:ind w:firstLine="708"/>
        <w:jc w:val="both"/>
        <w:rPr>
          <w:rFonts w:ascii="Verdana" w:hAnsi="Verdana" w:cs="Arial"/>
          <w:bCs/>
        </w:rPr>
      </w:pPr>
      <w:r>
        <w:rPr>
          <w:rFonts w:ascii="Verdana" w:hAnsi="Verdana" w:cs="Arial"/>
          <w:bCs/>
        </w:rPr>
        <w:t xml:space="preserve">  </w:t>
      </w:r>
      <w:r w:rsidRPr="00C1413B">
        <w:rPr>
          <w:rFonts w:ascii="Verdana" w:hAnsi="Verdana" w:cs="Arial"/>
          <w:bCs/>
        </w:rPr>
        <w:t>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w:t>
      </w:r>
      <w:r w:rsidRPr="00794C2C">
        <w:rPr>
          <w:rStyle w:val="Refdenotaalpie"/>
          <w:rFonts w:ascii="Verdana" w:hAnsi="Verdana" w:cs="Arial"/>
          <w:bCs/>
        </w:rPr>
        <w:footnoteReference w:id="7"/>
      </w:r>
      <w:r w:rsidRPr="00C1413B">
        <w:rPr>
          <w:rFonts w:ascii="Verdana" w:hAnsi="Verdana" w:cs="Arial"/>
          <w:bCs/>
        </w:rPr>
        <w:t xml:space="preserve"> en la legislación civil y comercial de derecho privado</w:t>
      </w:r>
      <w:r w:rsidRPr="00794C2C">
        <w:rPr>
          <w:rStyle w:val="Refdenotaalpie"/>
          <w:rFonts w:ascii="Verdana" w:hAnsi="Verdana" w:cs="Arial"/>
          <w:bCs/>
        </w:rPr>
        <w:footnoteReference w:id="8"/>
      </w:r>
      <w:r w:rsidRPr="00C1413B">
        <w:rPr>
          <w:rFonts w:ascii="Verdana" w:hAnsi="Verdana" w:cs="Arial"/>
          <w:bCs/>
        </w:rPr>
        <w:t xml:space="preserve"> o en el Estatuto General de Contratación Pública</w:t>
      </w:r>
      <w:r w:rsidRPr="00794C2C">
        <w:rPr>
          <w:rStyle w:val="Refdenotaalpie"/>
          <w:rFonts w:ascii="Verdana" w:hAnsi="Verdana" w:cs="Arial"/>
          <w:bCs/>
        </w:rPr>
        <w:footnoteReference w:id="9"/>
      </w:r>
      <w:r w:rsidRPr="00C1413B">
        <w:rPr>
          <w:rFonts w:ascii="Verdana" w:hAnsi="Verdana" w:cs="Arial"/>
          <w:bCs/>
        </w:rPr>
        <w:t xml:space="preserve">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r w:rsidRPr="00794C2C">
        <w:rPr>
          <w:rStyle w:val="Refdenotaalpie"/>
          <w:rFonts w:ascii="Verdana" w:hAnsi="Verdana" w:cs="Arial"/>
          <w:bCs/>
        </w:rPr>
        <w:footnoteReference w:id="10"/>
      </w:r>
      <w:r w:rsidRPr="00C1413B">
        <w:rPr>
          <w:rFonts w:ascii="Verdana" w:hAnsi="Verdana" w:cs="Arial"/>
          <w:bCs/>
        </w:rPr>
        <w:t>.</w:t>
      </w:r>
    </w:p>
    <w:p w14:paraId="2431314D" w14:textId="6862686A" w:rsidR="00C1413B" w:rsidRPr="00FD35EB" w:rsidRDefault="00C1413B" w:rsidP="00C1413B">
      <w:pPr>
        <w:spacing w:after="120" w:line="276" w:lineRule="auto"/>
        <w:jc w:val="both"/>
        <w:rPr>
          <w:rFonts w:ascii="Verdana" w:eastAsia="Arial" w:hAnsi="Verdana" w:cs="Arial"/>
        </w:rPr>
      </w:pPr>
      <w:r>
        <w:rPr>
          <w:rFonts w:ascii="Verdana" w:eastAsia="Arial" w:hAnsi="Verdana" w:cs="Arial"/>
        </w:rPr>
        <w:t xml:space="preserve">           Ahora bien, en atención al problema jurídico planteado</w:t>
      </w:r>
      <w:r w:rsidRPr="00FD35EB">
        <w:rPr>
          <w:rFonts w:ascii="Verdana" w:eastAsia="Arial" w:hAnsi="Verdana" w:cs="Arial"/>
        </w:rPr>
        <w:t xml:space="preserve">, el artículo 5 de la Ley 1150 de 2007 consagra el principio de selección objetiva, conforme al cual la escogencia del contratista debe recaer sobre el ofrecimiento más favorable para la entidad y para los fines que ella busca satisfacer, atendiendo los criterios previamente establecidos en los documentos del proceso. De esta disposición no se desprende una obligación de adjudicar necesariamente a la oferta de menor precio, sino a aquella que, de conformidad con las reglas definidas por la entidad </w:t>
      </w:r>
      <w:r w:rsidRPr="00FD35EB">
        <w:rPr>
          <w:rFonts w:ascii="Verdana" w:eastAsia="Arial" w:hAnsi="Verdana" w:cs="Arial"/>
        </w:rPr>
        <w:lastRenderedPageBreak/>
        <w:t>y las necesidades que pretende satisfacer, represente la mejor alternativa para el interés público.</w:t>
      </w:r>
    </w:p>
    <w:p w14:paraId="0E3D28A6" w14:textId="77777777" w:rsidR="00C1413B" w:rsidRPr="00FD35EB" w:rsidRDefault="00C1413B" w:rsidP="00C1413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Sobre este aspecto, la Agencia Nacional de Contratación Pública – Colombia Compra Eficiente, en el Concepto C-609 del 25 de octubre de 2024, indicó que la adjudicación del contrato por la totalidad del presupuesto oficial constituye una modalidad de pacto contractual admisible dentro del Sistema de Compra Pública. Señaló que esta alternativa puede resultar procedente cuando, como resultado de los estudios previos, el análisis del sector y el análisis de los oferentes, la entidad advierte que dicha configuración contractual permite satisfacer adecuadamente la necesidad pública y genera beneficios asociados a la ejecución del contrato, tales como la estabilidad de los precios durante su ejecución o un mejor control del gasto público. Asimismo, precisó que la incorporación de este tipo de mecanismos forma parte de la autonomía de gestión de las entidades estatales, siempre que exista una justificación suficiente en los estudios previos que soportan el proceso de contratación.</w:t>
      </w:r>
    </w:p>
    <w:p w14:paraId="5B4D1B54" w14:textId="77777777" w:rsidR="00C1413B" w:rsidRPr="00FD35EB" w:rsidRDefault="00C1413B" w:rsidP="00C1413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De igual forma, la doctrina de Colombia Compra Eficiente ha señalado que el precio constituye uno de los elementos esenciales del contrato estatal y corresponde al valor total que debe asumir la entidad para obtener los bienes, obras o servicios requeridos. En el Concepto C-717 del 11 de junio de 2026 se reiteró que dentro del precio se encuentran comprendidos todos los costos necesarios para la ejecución de las obligaciones contractuales, incluyendo costos directos e indirectos, cargas tributarias, contribuciones, estampillas, gastos asociados a la ejecución y la utilidad esperada por el contratista. Bajo esta perspectiva, el precio ofertado no puede analizarse exclusivamente desde la óptica de una reducción nominal frente al presupuesto oficial, sino a partir de su correspondencia con el costo real de ejecución del contrato y con las condiciones económicas del mercado.</w:t>
      </w:r>
    </w:p>
    <w:p w14:paraId="381E5A1B" w14:textId="77777777" w:rsidR="00C1413B" w:rsidRPr="00FD35EB" w:rsidRDefault="00C1413B" w:rsidP="00C1413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 xml:space="preserve">Así las cosas, la evaluación jurídica de una adjudicación no depende de la existencia de una diferencia entre el presupuesto oficial y el valor finalmente adjudicado. Lo relevante es verificar que el presupuesto oficial haya sido estructurado con fundamento en estudios previos suficientes, análisis del sector y condiciones objetivas de mercado; que el valor adjudicado corresponda al costo real de los bienes, obras o servicios requeridos; que la oferta seleccionada satisfaga integralmente la necesidad pública identificada por la entidad; que la selección se haya realizado conforme a las reglas previamente establecidas en </w:t>
      </w:r>
      <w:r w:rsidRPr="00FD35EB">
        <w:rPr>
          <w:rFonts w:ascii="Verdana" w:eastAsia="Arial" w:hAnsi="Verdana" w:cs="Arial"/>
        </w:rPr>
        <w:lastRenderedPageBreak/>
        <w:t>los documentos del proceso; y que la contratación garantice una adecuada relación entre costo, calidad, oportunidad y resultados esperados.</w:t>
      </w:r>
    </w:p>
    <w:p w14:paraId="7F73898F" w14:textId="77777777" w:rsidR="00C1413B" w:rsidRPr="00FD35EB" w:rsidRDefault="00C1413B" w:rsidP="00C1413B">
      <w:pPr>
        <w:spacing w:after="120" w:line="276" w:lineRule="auto"/>
        <w:jc w:val="both"/>
        <w:rPr>
          <w:rFonts w:ascii="Verdana" w:eastAsia="Arial" w:hAnsi="Verdana" w:cs="Arial"/>
        </w:rPr>
      </w:pPr>
      <w:r>
        <w:rPr>
          <w:rFonts w:ascii="Verdana" w:eastAsia="Arial" w:hAnsi="Verdana" w:cs="Arial"/>
        </w:rPr>
        <w:t xml:space="preserve">           </w:t>
      </w:r>
      <w:r w:rsidRPr="00FD35EB">
        <w:rPr>
          <w:rFonts w:ascii="Verdana" w:eastAsia="Arial" w:hAnsi="Verdana" w:cs="Arial"/>
        </w:rPr>
        <w:t>Con fundamento en las disposiciones citadas y en la doctrina de Colombia Compra Eficiente, se concluye que el ordenamiento jurídico colombiano no establece una obligación de adjudicar al menor precio ni prohíbe adjudicar por el valor total del presupuesto oficial. En consecuencia, cuando el presupuesto oficial ha sido determinado mediante una adecuada planeación contractual, sustentada en estudios previos, análisis del sector y condiciones objetivas de mercado, y la oferta seleccionada constituye el ofrecimiento más favorable para la satisfacción de la necesidad pública, la adjudicación por la totalidad del presupuesto oficial resulta compatible con los principios de economía, selección objetiva, responsabilidad y eficiencia que rigen la contratación estatal.</w:t>
      </w:r>
    </w:p>
    <w:p w14:paraId="6434AB33" w14:textId="08F24055" w:rsidR="00D31547" w:rsidRPr="00B643B2" w:rsidRDefault="00D31547" w:rsidP="00D31547">
      <w:pPr>
        <w:spacing w:after="120" w:line="276" w:lineRule="auto"/>
        <w:jc w:val="both"/>
        <w:rPr>
          <w:rFonts w:ascii="Verdana" w:eastAsia="Calibri" w:hAnsi="Verdana"/>
        </w:rPr>
      </w:pPr>
      <w:r w:rsidRPr="009C504B">
        <w:rPr>
          <w:rFonts w:ascii="Verdana" w:eastAsia="Arial" w:hAnsi="Verdana" w:cs="Arial"/>
        </w:rPr>
        <w:t xml:space="preserve"> </w:t>
      </w: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5398B472" w14:textId="77777777" w:rsidR="00D31547" w:rsidRDefault="00D31547" w:rsidP="00D31547">
      <w:pPr>
        <w:spacing w:after="120" w:line="276" w:lineRule="auto"/>
        <w:jc w:val="both"/>
        <w:rPr>
          <w:rFonts w:ascii="Verdana" w:eastAsia="Arial" w:hAnsi="Verdana" w:cs="Arial"/>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5D65FDA" w14:textId="77777777" w:rsidR="00D31547" w:rsidRPr="006B17A7" w:rsidRDefault="00D31547" w:rsidP="008202F6">
      <w:pPr>
        <w:spacing w:after="120" w:line="276" w:lineRule="auto"/>
        <w:ind w:firstLine="708"/>
        <w:jc w:val="both"/>
        <w:rPr>
          <w:rFonts w:ascii="Verdana" w:eastAsia="Calibri" w:hAnsi="Verdana" w:cs="Arial"/>
        </w:rPr>
      </w:pPr>
    </w:p>
    <w:p w14:paraId="161183F2" w14:textId="77777777" w:rsidR="00B93DCB" w:rsidRPr="006B17A7" w:rsidRDefault="00B93DCB" w:rsidP="00B93DCB">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38FF991B" w14:textId="77777777" w:rsidR="00B93DCB" w:rsidRPr="006B17A7" w:rsidRDefault="00B93DCB" w:rsidP="00B93DCB">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3DCB" w:rsidRPr="006B17A7" w14:paraId="6426238B" w14:textId="77777777">
        <w:trPr>
          <w:trHeight w:val="870"/>
        </w:trPr>
        <w:tc>
          <w:tcPr>
            <w:tcW w:w="8647" w:type="dxa"/>
          </w:tcPr>
          <w:p w14:paraId="7DEBED80" w14:textId="77777777" w:rsidR="00C1413B" w:rsidRPr="00100432" w:rsidRDefault="00C1413B" w:rsidP="00C1413B">
            <w:pPr>
              <w:pStyle w:val="Prrafodelista"/>
              <w:widowControl w:val="0"/>
              <w:numPr>
                <w:ilvl w:val="0"/>
                <w:numId w:val="2"/>
              </w:numPr>
              <w:autoSpaceDE w:val="0"/>
              <w:autoSpaceDN w:val="0"/>
              <w:spacing w:after="120" w:line="276" w:lineRule="auto"/>
              <w:jc w:val="both"/>
              <w:rPr>
                <w:rFonts w:ascii="Verdana" w:hAnsi="Verdana" w:cs="Arial"/>
                <w:lang w:val="es-CO"/>
              </w:rPr>
            </w:pPr>
            <w:r w:rsidRPr="00FC4A16">
              <w:rPr>
                <w:rFonts w:ascii="Verdana" w:hAnsi="Verdana" w:cs="Arial"/>
              </w:rPr>
              <w:t>Ley 80 de 1993</w:t>
            </w:r>
            <w:r>
              <w:rPr>
                <w:rFonts w:ascii="Verdana" w:hAnsi="Verdana" w:cs="Arial"/>
              </w:rPr>
              <w:t>,</w:t>
            </w:r>
            <w:r w:rsidRPr="00FC4A16">
              <w:rPr>
                <w:rFonts w:ascii="Verdana" w:hAnsi="Verdana" w:cs="Arial"/>
              </w:rPr>
              <w:t xml:space="preserve"> artículo 41</w:t>
            </w:r>
            <w:r>
              <w:rPr>
                <w:rFonts w:ascii="Verdana" w:hAnsi="Verdana" w:cs="Arial"/>
              </w:rPr>
              <w:t>.</w:t>
            </w:r>
          </w:p>
          <w:p w14:paraId="5F034BF9" w14:textId="77777777" w:rsidR="00C1413B" w:rsidRPr="00FC4A16" w:rsidRDefault="00C1413B" w:rsidP="00C1413B">
            <w:pPr>
              <w:pStyle w:val="Prrafodelista"/>
              <w:widowControl w:val="0"/>
              <w:numPr>
                <w:ilvl w:val="0"/>
                <w:numId w:val="2"/>
              </w:numPr>
              <w:autoSpaceDE w:val="0"/>
              <w:autoSpaceDN w:val="0"/>
              <w:spacing w:after="120" w:line="276" w:lineRule="auto"/>
              <w:jc w:val="both"/>
              <w:rPr>
                <w:rFonts w:ascii="Verdana" w:hAnsi="Verdana" w:cs="Arial"/>
                <w:lang w:val="es-CO"/>
              </w:rPr>
            </w:pPr>
            <w:r w:rsidRPr="00FC4A16">
              <w:rPr>
                <w:rFonts w:ascii="Verdana" w:hAnsi="Verdana" w:cs="Arial"/>
              </w:rPr>
              <w:t>Ley 1150 de 2007</w:t>
            </w:r>
            <w:r>
              <w:rPr>
                <w:rFonts w:ascii="Verdana" w:hAnsi="Verdana" w:cs="Arial"/>
              </w:rPr>
              <w:t>,</w:t>
            </w:r>
            <w:r w:rsidRPr="00FC4A16">
              <w:rPr>
                <w:rFonts w:ascii="Verdana" w:hAnsi="Verdana" w:cs="Arial"/>
              </w:rPr>
              <w:t xml:space="preserve"> artículo 7</w:t>
            </w:r>
            <w:r>
              <w:rPr>
                <w:rFonts w:ascii="Verdana" w:hAnsi="Verdana" w:cs="Arial"/>
              </w:rPr>
              <w:t>.</w:t>
            </w:r>
            <w:r w:rsidRPr="00FC4A16">
              <w:rPr>
                <w:rFonts w:ascii="Verdana" w:hAnsi="Verdana" w:cs="Arial"/>
              </w:rPr>
              <w:t xml:space="preserve"> </w:t>
            </w:r>
          </w:p>
          <w:p w14:paraId="4B0A45D7" w14:textId="3607B914" w:rsidR="00BB054D" w:rsidRPr="006B17A7" w:rsidRDefault="00C1413B" w:rsidP="00C1413B">
            <w:pPr>
              <w:pStyle w:val="Prrafodelista"/>
              <w:widowControl w:val="0"/>
              <w:numPr>
                <w:ilvl w:val="0"/>
                <w:numId w:val="2"/>
              </w:numPr>
              <w:autoSpaceDE w:val="0"/>
              <w:autoSpaceDN w:val="0"/>
              <w:spacing w:after="120" w:line="276" w:lineRule="auto"/>
              <w:jc w:val="both"/>
              <w:rPr>
                <w:rFonts w:ascii="Verdana" w:eastAsia="Aptos" w:hAnsi="Verdana" w:cs="Arial"/>
              </w:rPr>
            </w:pPr>
            <w:r w:rsidRPr="00725A3D">
              <w:rPr>
                <w:rFonts w:ascii="Verdana" w:hAnsi="Verdana" w:cs="Arial"/>
              </w:rPr>
              <w:t>Decreto 1082 de 2015</w:t>
            </w:r>
            <w:r>
              <w:rPr>
                <w:rFonts w:ascii="Verdana" w:hAnsi="Verdana" w:cs="Arial"/>
              </w:rPr>
              <w:t>,</w:t>
            </w:r>
            <w:r w:rsidRPr="00725A3D">
              <w:rPr>
                <w:rFonts w:ascii="Verdana" w:hAnsi="Verdana" w:cs="Arial"/>
              </w:rPr>
              <w:t xml:space="preserve"> artículo 2.2.1.2.3.1.18. </w:t>
            </w:r>
          </w:p>
        </w:tc>
      </w:tr>
    </w:tbl>
    <w:p w14:paraId="262E6E8E" w14:textId="77777777" w:rsidR="00B93DCB" w:rsidRPr="006B17A7" w:rsidRDefault="00B93DCB" w:rsidP="00B93DCB">
      <w:pPr>
        <w:widowControl w:val="0"/>
        <w:autoSpaceDE w:val="0"/>
        <w:autoSpaceDN w:val="0"/>
        <w:spacing w:after="0" w:line="276" w:lineRule="auto"/>
        <w:jc w:val="both"/>
        <w:rPr>
          <w:rFonts w:ascii="Verdana" w:eastAsia="Aptos" w:hAnsi="Verdana" w:cs="Arial"/>
        </w:rPr>
      </w:pPr>
    </w:p>
    <w:p w14:paraId="5E53F601" w14:textId="77777777" w:rsidR="00B93DCB" w:rsidRPr="006B17A7" w:rsidRDefault="00B93DCB" w:rsidP="00B93DCB">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lastRenderedPageBreak/>
        <w:t>5. Doctrina de la Agencia Nacional de Contratación Pública:</w:t>
      </w:r>
    </w:p>
    <w:p w14:paraId="56117BF3" w14:textId="77777777" w:rsidR="00B93DCB" w:rsidRPr="006B17A7" w:rsidRDefault="00B93DCB" w:rsidP="00B93DCB">
      <w:pPr>
        <w:widowControl w:val="0"/>
        <w:autoSpaceDE w:val="0"/>
        <w:autoSpaceDN w:val="0"/>
        <w:spacing w:after="0" w:line="276" w:lineRule="auto"/>
        <w:jc w:val="both"/>
        <w:rPr>
          <w:rFonts w:ascii="Verdana" w:eastAsia="Aptos" w:hAnsi="Verdana" w:cs="Arial"/>
        </w:rPr>
      </w:pPr>
    </w:p>
    <w:p w14:paraId="0C920705" w14:textId="754D6AD1" w:rsidR="00AA3441" w:rsidRPr="00ED0098" w:rsidRDefault="00D1143F" w:rsidP="00AA3441">
      <w:pPr>
        <w:widowControl w:val="0"/>
        <w:autoSpaceDE w:val="0"/>
        <w:autoSpaceDN w:val="0"/>
        <w:spacing w:after="0" w:line="276" w:lineRule="auto"/>
        <w:jc w:val="both"/>
        <w:rPr>
          <w:rStyle w:val="normaltextrun"/>
          <w:rFonts w:ascii="Verdana" w:hAnsi="Verdana" w:cs="Arial"/>
          <w:shd w:val="clear" w:color="auto" w:fill="FFFFFF"/>
        </w:rPr>
      </w:pPr>
      <w:r w:rsidRPr="005A5095">
        <w:rPr>
          <w:rFonts w:ascii="Verdana" w:hAnsi="Verdana" w:cs="Arial"/>
          <w:shd w:val="clear" w:color="auto" w:fill="FFFFFF"/>
          <w:lang w:val="es-ES"/>
        </w:rPr>
        <w:t xml:space="preserve">Esta Subdirección se ha pronunciado sobre el régimen contractual de las ESAL con fundamento en el </w:t>
      </w:r>
      <w:r w:rsidR="00C1413B" w:rsidRPr="003A7CDE">
        <w:rPr>
          <w:rStyle w:val="normaltextrun"/>
          <w:rFonts w:ascii="Verdana" w:hAnsi="Verdana" w:cs="Arial"/>
          <w:shd w:val="clear" w:color="auto" w:fill="FFFFFF"/>
          <w:lang w:val="es-ES"/>
        </w:rPr>
        <w:t xml:space="preserve">Sobre </w:t>
      </w:r>
      <w:r w:rsidR="00C1413B" w:rsidRPr="00DB06FE">
        <w:rPr>
          <w:rFonts w:ascii="Verdana" w:eastAsia="Calibri" w:hAnsi="Verdana" w:cs="Arial"/>
          <w:color w:val="000000" w:themeColor="text1"/>
          <w:lang w:val="es-ES"/>
        </w:rPr>
        <w:t>el régimen del precio en la contratación estatal</w:t>
      </w:r>
      <w:r w:rsidR="00C1413B" w:rsidRPr="00DB06FE">
        <w:rPr>
          <w:rFonts w:ascii="Verdana" w:eastAsia="Calibri" w:hAnsi="Verdana" w:cs="Arial"/>
          <w:color w:val="000000"/>
          <w:lang w:val="es-ES_tradnl"/>
        </w:rPr>
        <w:t xml:space="preserve">, </w:t>
      </w:r>
      <w:r w:rsidR="00C1413B" w:rsidRPr="00DB06FE">
        <w:rPr>
          <w:rStyle w:val="normaltextrun"/>
          <w:rFonts w:ascii="Verdana" w:hAnsi="Verdana" w:cs="Arial"/>
          <w:shd w:val="clear" w:color="auto" w:fill="FFFFFF"/>
          <w:lang w:val="es-ES"/>
        </w:rPr>
        <w:t xml:space="preserve">se pronunció esta Subdirección </w:t>
      </w:r>
      <w:r w:rsidR="00C1413B" w:rsidRPr="00DB06FE">
        <w:rPr>
          <w:rFonts w:ascii="Verdana" w:eastAsia="Calibri" w:hAnsi="Verdana" w:cs="Arial"/>
          <w:lang w:val="es-ES"/>
        </w:rPr>
        <w:t xml:space="preserve">en los conceptos </w:t>
      </w:r>
      <w:r w:rsidR="00C1413B" w:rsidRPr="00DB06FE">
        <w:rPr>
          <w:rFonts w:ascii="Verdana" w:eastAsia="Calibri" w:hAnsi="Verdana" w:cs="Arial"/>
          <w:color w:val="000000" w:themeColor="text1"/>
        </w:rPr>
        <w:t>4201912000007092 del 29 de noviembre de 2019, 2201913000008566 del 18 de noviembre de 2019, 4201913000007822 de 27 de diciembre de 2019, C-037 del 28 de enero de 2020, C-191 del 16 de marzo de 2020 y C-211 del 8 de abril de 2020, C-469 del 27 de septiembre de 2020, C-480 del 16 de septiembre de 2020, C-059 del 10 de marzo de 2021, C-613 del 6 de octubre de 2022, C-716 del 15 de noviembre de 2022</w:t>
      </w:r>
      <w:r w:rsidR="00C1413B" w:rsidRPr="00DB06FE">
        <w:rPr>
          <w:rFonts w:ascii="Verdana" w:eastAsia="Calibri" w:hAnsi="Verdana" w:cs="Arial"/>
          <w:color w:val="000000" w:themeColor="text1"/>
          <w:lang w:val="es-ES"/>
        </w:rPr>
        <w:t>, C-017 del 22 de febrero de 2022</w:t>
      </w:r>
      <w:r w:rsidR="00C1413B">
        <w:rPr>
          <w:rFonts w:ascii="Verdana" w:eastAsia="Calibri" w:hAnsi="Verdana" w:cs="Arial"/>
          <w:color w:val="000000" w:themeColor="text1"/>
          <w:lang w:val="es-ES"/>
        </w:rPr>
        <w:t xml:space="preserve">, </w:t>
      </w:r>
      <w:r w:rsidR="00C1413B" w:rsidRPr="00DB06FE">
        <w:rPr>
          <w:rFonts w:ascii="Verdana" w:eastAsia="Calibri" w:hAnsi="Verdana" w:cs="Arial"/>
          <w:color w:val="000000" w:themeColor="text1"/>
          <w:lang w:val="es-ES"/>
        </w:rPr>
        <w:t>C-104 del 27 de abril de 2023</w:t>
      </w:r>
      <w:r w:rsidR="00C1413B">
        <w:rPr>
          <w:rFonts w:ascii="Verdana" w:eastAsia="Calibri" w:hAnsi="Verdana" w:cs="Arial"/>
          <w:color w:val="000000" w:themeColor="text1"/>
          <w:lang w:val="es-ES"/>
        </w:rPr>
        <w:t>, C-609 del 25 de octubre de 2024 y C-717 del 11 de junio de 2026</w:t>
      </w:r>
      <w:r w:rsidR="00AA3441">
        <w:rPr>
          <w:rFonts w:ascii="Verdana" w:eastAsia="Calibri" w:hAnsi="Verdana" w:cs="Arial"/>
          <w:shd w:val="clear" w:color="auto" w:fill="FFFFFF"/>
        </w:rPr>
        <w:t>.</w:t>
      </w:r>
      <w:r w:rsidR="00AA3441">
        <w:rPr>
          <w:rStyle w:val="normaltextrun"/>
          <w:rFonts w:ascii="Verdana" w:hAnsi="Verdana" w:cs="Arial"/>
          <w:shd w:val="clear" w:color="auto" w:fill="FFFFFF"/>
        </w:rPr>
        <w:t xml:space="preserve"> </w:t>
      </w:r>
      <w:r w:rsidR="00AA3441" w:rsidRPr="00E278D2">
        <w:rPr>
          <w:rStyle w:val="normaltextrun"/>
          <w:rFonts w:ascii="Verdana" w:hAnsi="Verdana" w:cs="Arial"/>
          <w:shd w:val="clear" w:color="auto" w:fill="FFFFFF"/>
        </w:rPr>
        <w:t>Estos y otros conceptos se encuentran disponibles para consulta en el Sistema de relatoría de la Agencia</w:t>
      </w:r>
      <w:r w:rsidR="00AA3441" w:rsidRPr="00A1554D">
        <w:rPr>
          <w:rFonts w:ascii="Verdana" w:hAnsi="Verdana"/>
        </w:rPr>
        <w:t>, al cual puede acceder</w:t>
      </w:r>
      <w:r w:rsidR="00AA3441">
        <w:rPr>
          <w:rFonts w:ascii="Verdana" w:hAnsi="Verdana"/>
        </w:rPr>
        <w:t>se</w:t>
      </w:r>
      <w:r w:rsidR="00AA3441" w:rsidRPr="00A1554D">
        <w:rPr>
          <w:rFonts w:ascii="Verdana" w:hAnsi="Verdana"/>
        </w:rPr>
        <w:t xml:space="preserve"> a través del siguiente enlace:</w:t>
      </w:r>
      <w:r w:rsidR="00AA3441">
        <w:rPr>
          <w:rFonts w:ascii="Verdana" w:hAnsi="Verdana" w:cs="Arial"/>
          <w:shd w:val="clear" w:color="auto" w:fill="FFFFFF"/>
        </w:rPr>
        <w:t xml:space="preserve"> </w:t>
      </w:r>
      <w:hyperlink r:id="rId13" w:history="1">
        <w:r w:rsidR="00AA3441" w:rsidRPr="00186F77">
          <w:rPr>
            <w:rStyle w:val="Hipervnculo"/>
            <w:rFonts w:ascii="Verdana" w:hAnsi="Verdana" w:cs="Arial"/>
            <w:shd w:val="clear" w:color="auto" w:fill="FFFFFF"/>
          </w:rPr>
          <w:t>https://relatoria.colombiacompra.gov.co/busqueda/conceptos</w:t>
        </w:r>
      </w:hyperlink>
      <w:r w:rsidR="00AA3441">
        <w:rPr>
          <w:rStyle w:val="normaltextrun"/>
          <w:rFonts w:ascii="Verdana" w:hAnsi="Verdana" w:cs="Arial"/>
          <w:shd w:val="clear" w:color="auto" w:fill="FFFFFF"/>
        </w:rPr>
        <w:t>.</w:t>
      </w:r>
      <w:r w:rsidR="00AA3441" w:rsidRPr="008D0AB0">
        <w:rPr>
          <w:rStyle w:val="normaltextrun"/>
          <w:rFonts w:ascii="Verdana" w:hAnsi="Verdana" w:cs="Arial"/>
          <w:shd w:val="clear" w:color="auto" w:fill="FFFFFF"/>
        </w:rPr>
        <w:t xml:space="preserve"> </w:t>
      </w:r>
      <w:r w:rsidR="00AA3441">
        <w:rPr>
          <w:rStyle w:val="normaltextrun"/>
          <w:rFonts w:ascii="Verdana" w:hAnsi="Verdana" w:cs="Arial"/>
          <w:color w:val="FF0000"/>
          <w:shd w:val="clear" w:color="auto" w:fill="FFFFFF"/>
          <w:lang w:val="es-ES"/>
        </w:rPr>
        <w:t xml:space="preserve"> </w:t>
      </w:r>
    </w:p>
    <w:p w14:paraId="7744516C" w14:textId="77777777" w:rsidR="00D46548" w:rsidRPr="00115E3D" w:rsidRDefault="00D46548" w:rsidP="00D4654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12F48BF5" w14:textId="77777777" w:rsidR="00D46548" w:rsidRPr="009A385A" w:rsidRDefault="00D46548" w:rsidP="00D46548">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4AA9E2E3" w14:textId="77777777" w:rsidR="00D46548" w:rsidRDefault="00D46548" w:rsidP="00D46548">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7271F0BC" w14:textId="77777777" w:rsidR="00D46548" w:rsidRPr="009A385A" w:rsidRDefault="00D46548" w:rsidP="00D46548">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 xml:space="preserve">se incorporaron orientaciones prácticas dirigidas a entidades </w:t>
      </w:r>
      <w:r w:rsidRPr="00797327">
        <w:rPr>
          <w:rFonts w:ascii="Verdana" w:hAnsi="Verdana"/>
        </w:rPr>
        <w:lastRenderedPageBreak/>
        <w:t>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82D4713" w14:textId="77777777" w:rsidR="00D46548" w:rsidRPr="00115E3D" w:rsidRDefault="00D46548" w:rsidP="00D46548">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1C0C513D" w14:textId="77777777" w:rsidR="00D46548" w:rsidRPr="00115E3D" w:rsidRDefault="00D46548" w:rsidP="00D46548">
      <w:pPr>
        <w:spacing w:after="0" w:line="240" w:lineRule="auto"/>
        <w:jc w:val="both"/>
        <w:rPr>
          <w:rFonts w:ascii="Verdana" w:hAnsi="Verdana"/>
          <w:color w:val="000000" w:themeColor="text1"/>
        </w:rPr>
      </w:pPr>
    </w:p>
    <w:p w14:paraId="1F954084" w14:textId="77777777" w:rsidR="00D46548" w:rsidRPr="00115E3D" w:rsidRDefault="00D46548" w:rsidP="00D46548">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3BD8DA00" w14:textId="77777777" w:rsidR="00D46548" w:rsidRPr="00115E3D" w:rsidRDefault="00D46548" w:rsidP="00D46548">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093007DF" w14:textId="77777777" w:rsidR="00D46548" w:rsidRPr="00115E3D" w:rsidRDefault="00D46548" w:rsidP="00D46548">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2AAAFA2" w14:textId="77777777" w:rsidR="00D46548" w:rsidRPr="00115E3D" w:rsidRDefault="00D46548" w:rsidP="00D46548">
      <w:pPr>
        <w:widowControl w:val="0"/>
        <w:autoSpaceDE w:val="0"/>
        <w:autoSpaceDN w:val="0"/>
        <w:spacing w:after="0" w:line="276" w:lineRule="auto"/>
        <w:jc w:val="both"/>
        <w:rPr>
          <w:rFonts w:ascii="Verdana" w:hAnsi="Verdana" w:cs="Arial"/>
          <w:color w:val="000000" w:themeColor="text1"/>
        </w:rPr>
      </w:pPr>
    </w:p>
    <w:p w14:paraId="3920A77A" w14:textId="77777777" w:rsidR="00D46548" w:rsidRPr="00115E3D" w:rsidRDefault="00D46548" w:rsidP="00D46548">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0E06F9E" w14:textId="77777777" w:rsidR="00D46548" w:rsidRDefault="00D46548" w:rsidP="005B261C">
      <w:pPr>
        <w:spacing w:after="0" w:line="240" w:lineRule="auto"/>
        <w:rPr>
          <w:rFonts w:ascii="Verdana" w:eastAsia="Times New Roman" w:hAnsi="Verdana" w:cs="Arial"/>
          <w:color w:val="000000" w:themeColor="text1"/>
          <w:lang w:eastAsia="es-CO"/>
        </w:rPr>
      </w:pPr>
    </w:p>
    <w:p w14:paraId="577ADD3A" w14:textId="77777777" w:rsidR="00D46548" w:rsidRDefault="00D46548" w:rsidP="005B261C">
      <w:pPr>
        <w:spacing w:after="0" w:line="240" w:lineRule="auto"/>
        <w:rPr>
          <w:rFonts w:ascii="Verdana" w:eastAsia="Times New Roman" w:hAnsi="Verdana" w:cs="Arial"/>
          <w:color w:val="000000" w:themeColor="text1"/>
          <w:lang w:eastAsia="es-CO"/>
        </w:rPr>
      </w:pPr>
    </w:p>
    <w:p w14:paraId="41D52C97" w14:textId="7D26E061" w:rsidR="005B261C" w:rsidRPr="00115E3D" w:rsidRDefault="005B261C" w:rsidP="005B261C">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3D879F8" w14:textId="77777777" w:rsidR="00147428" w:rsidRDefault="00147428" w:rsidP="005B261C">
      <w:pPr>
        <w:spacing w:line="276" w:lineRule="auto"/>
        <w:jc w:val="center"/>
        <w:rPr>
          <w:noProof/>
        </w:rPr>
      </w:pPr>
    </w:p>
    <w:p w14:paraId="6963F49A" w14:textId="4932BEB6" w:rsidR="00147428" w:rsidRDefault="00147428" w:rsidP="005B261C">
      <w:pPr>
        <w:spacing w:line="276" w:lineRule="auto"/>
        <w:jc w:val="center"/>
        <w:rPr>
          <w:noProof/>
        </w:rPr>
      </w:pPr>
      <w:r>
        <w:rPr>
          <w:noProof/>
        </w:rPr>
        <w:drawing>
          <wp:inline distT="0" distB="0" distL="0" distR="0" wp14:anchorId="20D08AC4" wp14:editId="5AAD656F">
            <wp:extent cx="2640330" cy="1133448"/>
            <wp:effectExtent l="0" t="0" r="7620" b="0"/>
            <wp:docPr id="13488273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9259" cy="1137281"/>
                    </a:xfrm>
                    <a:prstGeom prst="rect">
                      <a:avLst/>
                    </a:prstGeom>
                    <a:noFill/>
                    <a:ln>
                      <a:noFill/>
                    </a:ln>
                  </pic:spPr>
                </pic:pic>
              </a:graphicData>
            </a:graphic>
          </wp:inline>
        </w:drawing>
      </w:r>
    </w:p>
    <w:p w14:paraId="34E04CC3" w14:textId="77777777" w:rsidR="00AB5151" w:rsidRDefault="00AB5151" w:rsidP="005B261C">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261C" w:rsidRPr="00115E3D" w14:paraId="62B6198F" w14:textId="77777777">
        <w:trPr>
          <w:trHeight w:val="315"/>
        </w:trPr>
        <w:tc>
          <w:tcPr>
            <w:tcW w:w="893" w:type="dxa"/>
            <w:vAlign w:val="center"/>
            <w:hideMark/>
          </w:tcPr>
          <w:p w14:paraId="22558D14" w14:textId="77777777" w:rsidR="005B261C" w:rsidRPr="00115E3D" w:rsidRDefault="005B261C">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711F7BB" w14:textId="474BC748" w:rsidR="005B261C" w:rsidRPr="00115E3D" w:rsidRDefault="00AB5151">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w:t>
            </w:r>
            <w:r w:rsidR="005B261C">
              <w:rPr>
                <w:rFonts w:ascii="Verdana" w:eastAsia="Arial" w:hAnsi="Verdana" w:cs="Arial"/>
                <w:color w:val="000000" w:themeColor="text1"/>
                <w:sz w:val="16"/>
                <w:szCs w:val="16"/>
              </w:rPr>
              <w:t xml:space="preserve"> </w:t>
            </w:r>
          </w:p>
          <w:p w14:paraId="17599502" w14:textId="11540CED" w:rsidR="005B261C" w:rsidRPr="00115E3D" w:rsidRDefault="00AB5151">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005B261C" w:rsidRPr="00115E3D">
              <w:rPr>
                <w:rStyle w:val="normaltextrun"/>
                <w:rFonts w:ascii="Verdana" w:eastAsia="Arial" w:hAnsi="Verdana" w:cs="Arial"/>
                <w:color w:val="000000" w:themeColor="text1"/>
                <w:sz w:val="16"/>
                <w:szCs w:val="16"/>
              </w:rPr>
              <w:t>de la Subdirección de Gestión Contractual</w:t>
            </w:r>
          </w:p>
        </w:tc>
      </w:tr>
      <w:tr w:rsidR="005B261C" w:rsidRPr="00115E3D" w14:paraId="7ACE6661" w14:textId="77777777">
        <w:trPr>
          <w:trHeight w:val="330"/>
        </w:trPr>
        <w:tc>
          <w:tcPr>
            <w:tcW w:w="893" w:type="dxa"/>
            <w:vAlign w:val="center"/>
            <w:hideMark/>
          </w:tcPr>
          <w:p w14:paraId="7EFF66C0" w14:textId="77777777" w:rsidR="005B261C" w:rsidRPr="00115E3D" w:rsidRDefault="005B261C">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85C015" w14:textId="77777777" w:rsidR="00404EDF" w:rsidRDefault="00404EDF">
            <w:pPr>
              <w:pStyle w:val="paragraph"/>
              <w:spacing w:before="0" w:beforeAutospacing="0" w:after="0" w:afterAutospacing="0"/>
              <w:contextualSpacing/>
              <w:textAlignment w:val="baseline"/>
              <w:rPr>
                <w:rFonts w:ascii="Verdana" w:hAnsi="Verdana" w:cs="Segoe UI"/>
                <w:color w:val="000000" w:themeColor="text1"/>
                <w:sz w:val="16"/>
                <w:szCs w:val="16"/>
              </w:rPr>
            </w:pPr>
            <w:r w:rsidRPr="00404EDF">
              <w:rPr>
                <w:rFonts w:ascii="Verdana" w:hAnsi="Verdana" w:cs="Segoe UI"/>
                <w:color w:val="000000" w:themeColor="text1"/>
                <w:sz w:val="16"/>
                <w:szCs w:val="16"/>
              </w:rPr>
              <w:t>Juan David Cárdenas</w:t>
            </w:r>
          </w:p>
          <w:p w14:paraId="0B208D03" w14:textId="54F2C53E" w:rsidR="005B261C" w:rsidRPr="00115E3D" w:rsidRDefault="005B261C">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5B261C" w:rsidRPr="00115E3D" w14:paraId="0756A38D" w14:textId="77777777">
        <w:trPr>
          <w:trHeight w:val="300"/>
        </w:trPr>
        <w:tc>
          <w:tcPr>
            <w:tcW w:w="893" w:type="dxa"/>
            <w:vAlign w:val="center"/>
          </w:tcPr>
          <w:p w14:paraId="5B3AA394" w14:textId="77777777" w:rsidR="005B261C" w:rsidRPr="00115E3D" w:rsidRDefault="005B261C">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A246D8" w14:textId="77777777" w:rsidR="005B261C" w:rsidRPr="00115E3D" w:rsidRDefault="005B261C">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3384C3C1" w14:textId="77777777" w:rsidR="005B261C" w:rsidRPr="00115E3D" w:rsidRDefault="005B261C">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3900974D" w14:textId="6B82F99B" w:rsidR="003D5B0D" w:rsidRDefault="003D5B0D" w:rsidP="005B261C"/>
    <w:sectPr w:rsidR="003D5B0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E9ACC" w14:textId="77777777" w:rsidR="00BE7E7F" w:rsidRDefault="00BE7E7F" w:rsidP="004A1847">
      <w:pPr>
        <w:spacing w:after="0" w:line="240" w:lineRule="auto"/>
      </w:pPr>
      <w:r>
        <w:separator/>
      </w:r>
    </w:p>
  </w:endnote>
  <w:endnote w:type="continuationSeparator" w:id="0">
    <w:p w14:paraId="67C96B7C" w14:textId="77777777" w:rsidR="00BE7E7F" w:rsidRDefault="00BE7E7F" w:rsidP="004A1847">
      <w:pPr>
        <w:spacing w:after="0" w:line="240" w:lineRule="auto"/>
      </w:pPr>
      <w:r>
        <w:continuationSeparator/>
      </w:r>
    </w:p>
  </w:endnote>
  <w:endnote w:type="continuationNotice" w:id="1">
    <w:p w14:paraId="2BD18CEC" w14:textId="77777777" w:rsidR="00BE7E7F" w:rsidRDefault="00BE7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88071" w14:textId="77777777" w:rsidR="00BE7E7F" w:rsidRDefault="00BE7E7F" w:rsidP="004A1847">
      <w:pPr>
        <w:spacing w:after="0" w:line="240" w:lineRule="auto"/>
      </w:pPr>
      <w:r>
        <w:separator/>
      </w:r>
    </w:p>
  </w:footnote>
  <w:footnote w:type="continuationSeparator" w:id="0">
    <w:p w14:paraId="186E3E5E" w14:textId="77777777" w:rsidR="00BE7E7F" w:rsidRDefault="00BE7E7F" w:rsidP="004A1847">
      <w:pPr>
        <w:spacing w:after="0" w:line="240" w:lineRule="auto"/>
      </w:pPr>
      <w:r>
        <w:continuationSeparator/>
      </w:r>
    </w:p>
  </w:footnote>
  <w:footnote w:type="continuationNotice" w:id="1">
    <w:p w14:paraId="44C21F80" w14:textId="77777777" w:rsidR="00BE7E7F" w:rsidRDefault="00BE7E7F">
      <w:pPr>
        <w:spacing w:after="0" w:line="240" w:lineRule="auto"/>
      </w:pPr>
    </w:p>
  </w:footnote>
  <w:footnote w:id="2">
    <w:p w14:paraId="7B2D8098" w14:textId="77777777" w:rsidR="00C1413B" w:rsidRPr="00C1413B" w:rsidRDefault="00C1413B" w:rsidP="00C1413B">
      <w:pPr>
        <w:pStyle w:val="Textonotapie"/>
        <w:ind w:firstLine="708"/>
        <w:jc w:val="both"/>
        <w:rPr>
          <w:rFonts w:ascii="Verdana" w:hAnsi="Verdana" w:cs="Arial"/>
          <w:sz w:val="16"/>
          <w:szCs w:val="16"/>
          <w:lang w:val="es-ES"/>
        </w:rPr>
      </w:pPr>
      <w:r w:rsidRPr="00C1413B">
        <w:rPr>
          <w:rStyle w:val="Refdenotaalpie"/>
          <w:rFonts w:ascii="Verdana" w:hAnsi="Verdana" w:cs="Arial"/>
          <w:sz w:val="16"/>
          <w:szCs w:val="16"/>
        </w:rPr>
        <w:footnoteRef/>
      </w:r>
      <w:r w:rsidRPr="00C1413B">
        <w:rPr>
          <w:rFonts w:ascii="Verdana" w:hAnsi="Verdana" w:cs="Arial"/>
          <w:sz w:val="16"/>
          <w:szCs w:val="16"/>
        </w:rPr>
        <w:t xml:space="preserve"> </w:t>
      </w:r>
      <w:r w:rsidRPr="00C1413B">
        <w:rPr>
          <w:rFonts w:ascii="Verdana" w:hAnsi="Verdana" w:cs="Arial"/>
          <w:sz w:val="16"/>
          <w:szCs w:val="16"/>
          <w:lang w:val="es-ES"/>
        </w:rPr>
        <w:t>Diccionario de la Lengua Española.</w:t>
      </w:r>
    </w:p>
    <w:p w14:paraId="1BAB5403" w14:textId="77777777" w:rsidR="00C1413B" w:rsidRPr="00C1413B" w:rsidRDefault="00C1413B" w:rsidP="00C1413B">
      <w:pPr>
        <w:pStyle w:val="Textonotapie"/>
        <w:ind w:firstLine="708"/>
        <w:jc w:val="both"/>
        <w:rPr>
          <w:rFonts w:ascii="Verdana" w:hAnsi="Verdana" w:cs="Arial"/>
          <w:sz w:val="16"/>
          <w:szCs w:val="16"/>
          <w:lang w:val="es-ES"/>
        </w:rPr>
      </w:pPr>
    </w:p>
  </w:footnote>
  <w:footnote w:id="3">
    <w:p w14:paraId="16C2B642" w14:textId="05E9B091" w:rsidR="00C1413B" w:rsidRPr="00C1413B" w:rsidRDefault="00C1413B" w:rsidP="00C1413B">
      <w:pPr>
        <w:pStyle w:val="Textonotapie"/>
        <w:ind w:firstLine="708"/>
        <w:jc w:val="both"/>
        <w:rPr>
          <w:rFonts w:ascii="Verdana" w:hAnsi="Verdana" w:cs="Arial"/>
          <w:sz w:val="16"/>
          <w:szCs w:val="16"/>
        </w:rPr>
      </w:pPr>
      <w:r w:rsidRPr="00C1413B">
        <w:rPr>
          <w:rStyle w:val="Refdenotaalpie"/>
          <w:rFonts w:ascii="Verdana" w:hAnsi="Verdana" w:cs="Arial"/>
          <w:sz w:val="16"/>
          <w:szCs w:val="16"/>
        </w:rPr>
        <w:footnoteRef/>
      </w:r>
      <w:r w:rsidRPr="00C1413B">
        <w:rPr>
          <w:rFonts w:ascii="Verdana" w:hAnsi="Verdana" w:cs="Arial"/>
          <w:sz w:val="16"/>
          <w:szCs w:val="16"/>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t>
      </w:r>
      <w:r w:rsidRPr="00C1413B">
        <w:rPr>
          <w:rFonts w:ascii="Verdana" w:hAnsi="Verdana" w:cs="Arial"/>
          <w:sz w:val="16"/>
          <w:szCs w:val="16"/>
        </w:rPr>
        <w:t xml:space="preserve">Wolker Kluwer, 2018. P. 268).  </w:t>
      </w:r>
    </w:p>
    <w:p w14:paraId="46D6BA2C" w14:textId="77777777" w:rsidR="00C1413B" w:rsidRPr="00C1413B" w:rsidRDefault="00C1413B" w:rsidP="00C1413B">
      <w:pPr>
        <w:pStyle w:val="Textonotapie"/>
        <w:ind w:firstLine="708"/>
        <w:jc w:val="both"/>
        <w:rPr>
          <w:rFonts w:ascii="Verdana" w:hAnsi="Verdana" w:cs="Arial"/>
          <w:sz w:val="16"/>
          <w:szCs w:val="16"/>
        </w:rPr>
      </w:pPr>
    </w:p>
  </w:footnote>
  <w:footnote w:id="4">
    <w:p w14:paraId="36B10CAA" w14:textId="71276C3C" w:rsidR="00C1413B" w:rsidRPr="00C1413B" w:rsidRDefault="00C1413B" w:rsidP="00C1413B">
      <w:pPr>
        <w:pStyle w:val="Textonotapie"/>
        <w:ind w:firstLine="708"/>
        <w:jc w:val="both"/>
        <w:rPr>
          <w:rFonts w:ascii="Verdana" w:hAnsi="Verdana" w:cs="Arial"/>
          <w:sz w:val="16"/>
          <w:szCs w:val="16"/>
          <w:lang w:val="es-ES"/>
        </w:rPr>
      </w:pPr>
      <w:r w:rsidRPr="00C1413B">
        <w:rPr>
          <w:rStyle w:val="Refdenotaalpie"/>
          <w:rFonts w:ascii="Verdana" w:hAnsi="Verdana" w:cs="Arial"/>
          <w:sz w:val="16"/>
          <w:szCs w:val="16"/>
        </w:rPr>
        <w:footnoteRef/>
      </w:r>
      <w:r w:rsidRPr="00C1413B">
        <w:rPr>
          <w:rFonts w:ascii="Verdana" w:hAnsi="Verdana" w:cs="Arial"/>
          <w:sz w:val="16"/>
          <w:szCs w:val="16"/>
        </w:rPr>
        <w:t xml:space="preserve"> </w:t>
      </w:r>
      <w:r w:rsidRPr="00C1413B">
        <w:rPr>
          <w:rFonts w:ascii="Verdana" w:hAnsi="Verdana" w:cs="Arial"/>
          <w:sz w:val="16"/>
          <w:szCs w:val="16"/>
          <w:lang w:val="es-ES"/>
        </w:rPr>
        <w:t>MARÍN CORTÉS, Fabián G. El precio. Ed. Librería Jurídica Sánchez R. Ltda. y Centro de Estudios de Derecho Administrativo, Medellín, 2012, p. 60.</w:t>
      </w:r>
    </w:p>
  </w:footnote>
  <w:footnote w:id="5">
    <w:p w14:paraId="413FB810" w14:textId="77777777" w:rsidR="00C1413B" w:rsidRPr="00C1413B" w:rsidRDefault="00C1413B" w:rsidP="00C1413B">
      <w:pPr>
        <w:pStyle w:val="Textonotapie"/>
        <w:ind w:firstLine="708"/>
        <w:jc w:val="both"/>
        <w:rPr>
          <w:rFonts w:ascii="Verdana" w:hAnsi="Verdana" w:cs="Arial"/>
          <w:sz w:val="16"/>
          <w:szCs w:val="16"/>
        </w:rPr>
      </w:pPr>
    </w:p>
    <w:p w14:paraId="448523A4" w14:textId="77777777" w:rsidR="00C1413B" w:rsidRPr="00C1413B" w:rsidRDefault="00C1413B" w:rsidP="00C1413B">
      <w:pPr>
        <w:pStyle w:val="Textonotapie"/>
        <w:ind w:firstLine="708"/>
        <w:jc w:val="both"/>
        <w:rPr>
          <w:rFonts w:ascii="Verdana" w:hAnsi="Verdana" w:cs="Arial"/>
          <w:sz w:val="16"/>
          <w:szCs w:val="16"/>
        </w:rPr>
      </w:pPr>
      <w:r w:rsidRPr="00C1413B">
        <w:rPr>
          <w:rStyle w:val="Refdenotaalpie"/>
          <w:rFonts w:ascii="Verdana" w:hAnsi="Verdana" w:cs="Arial"/>
          <w:sz w:val="16"/>
          <w:szCs w:val="16"/>
        </w:rPr>
        <w:footnoteRef/>
      </w:r>
      <w:r w:rsidRPr="00C1413B">
        <w:rPr>
          <w:rFonts w:ascii="Verdana" w:hAnsi="Verdana" w:cs="Arial"/>
          <w:sz w:val="16"/>
          <w:szCs w:val="16"/>
        </w:rPr>
        <w:t xml:space="preserve"> </w:t>
      </w:r>
      <w:r w:rsidRPr="00C1413B">
        <w:rPr>
          <w:rFonts w:ascii="Verdana" w:hAnsi="Verdana" w:cs="Arial"/>
          <w:sz w:val="16"/>
          <w:szCs w:val="16"/>
          <w:lang w:val="es-ES"/>
        </w:rPr>
        <w:t>Consejo de Estado, Sección Tercera, Subsección A sentencia de 19 de julio de 2018, M.P. Marta Nubia Velázquez Rico, Rad. 2013-01826(57.576)</w:t>
      </w:r>
      <w:r w:rsidRPr="00C1413B">
        <w:rPr>
          <w:rFonts w:ascii="Verdana" w:hAnsi="Verdana" w:cs="Arial"/>
          <w:sz w:val="16"/>
          <w:szCs w:val="16"/>
        </w:rPr>
        <w:t xml:space="preserve"> </w:t>
      </w:r>
    </w:p>
  </w:footnote>
  <w:footnote w:id="6">
    <w:p w14:paraId="42B51EA6" w14:textId="77777777" w:rsidR="00C1413B" w:rsidRPr="00C1413B" w:rsidRDefault="00C1413B" w:rsidP="00C1413B">
      <w:pPr>
        <w:pStyle w:val="Textonotapie"/>
        <w:ind w:firstLine="709"/>
        <w:jc w:val="both"/>
        <w:rPr>
          <w:rFonts w:ascii="Verdana" w:hAnsi="Verdana" w:cs="Arial"/>
          <w:sz w:val="16"/>
          <w:szCs w:val="16"/>
        </w:rPr>
      </w:pPr>
    </w:p>
    <w:p w14:paraId="39659880" w14:textId="77777777" w:rsidR="00C1413B" w:rsidRPr="00C1413B" w:rsidRDefault="00C1413B" w:rsidP="00C1413B">
      <w:pPr>
        <w:pStyle w:val="Textonotapie"/>
        <w:ind w:firstLine="709"/>
        <w:jc w:val="both"/>
        <w:rPr>
          <w:rFonts w:ascii="Verdana" w:hAnsi="Verdana" w:cs="Arial"/>
          <w:sz w:val="16"/>
          <w:szCs w:val="16"/>
          <w:lang w:val="es-ES"/>
        </w:rPr>
      </w:pPr>
      <w:r w:rsidRPr="00C1413B">
        <w:rPr>
          <w:rStyle w:val="Refdenotaalpie"/>
          <w:rFonts w:ascii="Verdana" w:hAnsi="Verdana" w:cs="Arial"/>
          <w:sz w:val="16"/>
          <w:szCs w:val="16"/>
        </w:rPr>
        <w:footnoteRef/>
      </w:r>
      <w:r w:rsidRPr="00C1413B">
        <w:rPr>
          <w:rFonts w:ascii="Verdana" w:hAnsi="Verdana" w:cs="Arial"/>
          <w:sz w:val="16"/>
          <w:szCs w:val="16"/>
        </w:rPr>
        <w:t xml:space="preserve"> </w:t>
      </w:r>
      <w:r w:rsidRPr="00C1413B">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9984A4F" w14:textId="77777777" w:rsidR="00C1413B" w:rsidRPr="00C1413B" w:rsidRDefault="00C1413B" w:rsidP="00C1413B">
      <w:pPr>
        <w:pStyle w:val="Textonotapie"/>
        <w:ind w:firstLine="709"/>
        <w:jc w:val="both"/>
        <w:rPr>
          <w:rFonts w:ascii="Verdana" w:hAnsi="Verdana" w:cs="Arial"/>
          <w:sz w:val="16"/>
          <w:szCs w:val="16"/>
          <w:lang w:val="es-ES"/>
        </w:rPr>
      </w:pPr>
      <w:r w:rsidRPr="00C1413B">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C1413B">
        <w:rPr>
          <w:rFonts w:ascii="Verdana" w:hAnsi="Verdana" w:cs="Arial"/>
          <w:i/>
          <w:iCs/>
          <w:sz w:val="16"/>
          <w:szCs w:val="16"/>
          <w:lang w:val="es-ES"/>
        </w:rPr>
        <w:t>costos directos</w:t>
      </w:r>
      <w:r w:rsidRPr="00C1413B">
        <w:rPr>
          <w:rFonts w:ascii="Verdana" w:hAnsi="Verdana" w:cs="Arial"/>
          <w:sz w:val="16"/>
          <w:szCs w:val="16"/>
          <w:lang w:val="es-ES"/>
        </w:rPr>
        <w:t xml:space="preserve"> y los</w:t>
      </w:r>
      <w:r w:rsidRPr="00C1413B">
        <w:rPr>
          <w:rFonts w:ascii="Verdana" w:hAnsi="Verdana" w:cs="Arial"/>
          <w:i/>
          <w:iCs/>
          <w:sz w:val="16"/>
          <w:szCs w:val="16"/>
          <w:lang w:val="es-ES"/>
        </w:rPr>
        <w:t xml:space="preserve"> costos indirectos</w:t>
      </w:r>
      <w:r w:rsidRPr="00C1413B">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C1413B">
        <w:rPr>
          <w:rFonts w:ascii="Verdana" w:hAnsi="Verdana" w:cs="Arial"/>
          <w:i/>
          <w:iCs/>
          <w:sz w:val="16"/>
          <w:szCs w:val="16"/>
          <w:lang w:val="es-ES"/>
        </w:rPr>
        <w:t>ítems</w:t>
      </w:r>
      <w:r w:rsidRPr="00C1413B">
        <w:rPr>
          <w:rFonts w:ascii="Verdana" w:hAnsi="Verdana" w:cs="Arial"/>
          <w:sz w:val="16"/>
          <w:szCs w:val="16"/>
          <w:lang w:val="es-ES"/>
        </w:rPr>
        <w:t xml:space="preserve"> que componen el contrato–. Los costos </w:t>
      </w:r>
      <w:r w:rsidRPr="00C1413B">
        <w:rPr>
          <w:rFonts w:ascii="Verdana" w:hAnsi="Verdana" w:cs="Arial"/>
          <w:i/>
          <w:iCs/>
          <w:sz w:val="16"/>
          <w:szCs w:val="16"/>
          <w:lang w:val="es-ES"/>
        </w:rPr>
        <w:t>indirectos</w:t>
      </w:r>
      <w:r w:rsidRPr="00C1413B">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7">
    <w:p w14:paraId="445D4FA4" w14:textId="10703788" w:rsidR="00C1413B" w:rsidRPr="00C1413B" w:rsidRDefault="00C1413B" w:rsidP="00C1413B">
      <w:pPr>
        <w:pStyle w:val="Textonotapie"/>
        <w:ind w:firstLine="708"/>
        <w:jc w:val="both"/>
        <w:rPr>
          <w:rFonts w:ascii="Verdana" w:hAnsi="Verdana" w:cs="Arial"/>
          <w:sz w:val="16"/>
          <w:szCs w:val="16"/>
        </w:rPr>
      </w:pPr>
      <w:r w:rsidRPr="00C1413B">
        <w:rPr>
          <w:rStyle w:val="Refdenotaalpie"/>
          <w:rFonts w:ascii="Verdana" w:hAnsi="Verdana" w:cs="Arial"/>
          <w:sz w:val="16"/>
          <w:szCs w:val="16"/>
        </w:rPr>
        <w:footnoteRef/>
      </w:r>
      <w:r w:rsidRPr="00C1413B">
        <w:rPr>
          <w:rFonts w:ascii="Verdana" w:hAnsi="Verdana" w:cs="Arial"/>
          <w:sz w:val="16"/>
          <w:szCs w:val="16"/>
        </w:rPr>
        <w:t xml:space="preserve"> Que tienen una definición y regulación establecida en la ley. </w:t>
      </w:r>
    </w:p>
  </w:footnote>
  <w:footnote w:id="8">
    <w:p w14:paraId="4AC52044" w14:textId="3C0F0817" w:rsidR="00C1413B" w:rsidRPr="00C1413B" w:rsidRDefault="00C1413B" w:rsidP="00C1413B">
      <w:pPr>
        <w:pStyle w:val="Textonotapie"/>
        <w:ind w:firstLine="708"/>
        <w:jc w:val="both"/>
        <w:rPr>
          <w:rFonts w:ascii="Verdana" w:hAnsi="Verdana" w:cs="Arial"/>
          <w:sz w:val="16"/>
          <w:szCs w:val="16"/>
        </w:rPr>
      </w:pPr>
      <w:r w:rsidRPr="00C1413B">
        <w:rPr>
          <w:rStyle w:val="Refdenotaalpie"/>
          <w:rFonts w:ascii="Verdana" w:hAnsi="Verdana" w:cs="Arial"/>
          <w:sz w:val="16"/>
          <w:szCs w:val="16"/>
        </w:rPr>
        <w:footnoteRef/>
      </w:r>
      <w:r w:rsidRPr="00C1413B">
        <w:rPr>
          <w:rFonts w:ascii="Verdana" w:hAnsi="Verdana" w:cs="Arial"/>
          <w:sz w:val="16"/>
          <w:szCs w:val="16"/>
        </w:rPr>
        <w:t xml:space="preserve"> Por ejemplo: contratos de compraventa, suministro, depósito, seguro, arrendamiento, mutuo, mandato etc.</w:t>
      </w:r>
    </w:p>
  </w:footnote>
  <w:footnote w:id="9">
    <w:p w14:paraId="0773BACE" w14:textId="77777777" w:rsidR="00C1413B" w:rsidRPr="00C1413B" w:rsidRDefault="00C1413B" w:rsidP="00C1413B">
      <w:pPr>
        <w:pStyle w:val="Textonotapie"/>
        <w:ind w:firstLine="708"/>
        <w:jc w:val="both"/>
        <w:rPr>
          <w:rFonts w:ascii="Verdana" w:hAnsi="Verdana" w:cs="Arial"/>
          <w:sz w:val="16"/>
          <w:szCs w:val="16"/>
        </w:rPr>
      </w:pPr>
    </w:p>
    <w:p w14:paraId="7DD22C1A" w14:textId="77777777" w:rsidR="00C1413B" w:rsidRPr="00C1413B" w:rsidRDefault="00C1413B" w:rsidP="00C1413B">
      <w:pPr>
        <w:pStyle w:val="Textonotapie"/>
        <w:ind w:firstLine="708"/>
        <w:jc w:val="both"/>
        <w:rPr>
          <w:rFonts w:ascii="Verdana" w:hAnsi="Verdana" w:cs="Arial"/>
          <w:sz w:val="16"/>
          <w:szCs w:val="16"/>
        </w:rPr>
      </w:pPr>
      <w:r w:rsidRPr="00C1413B">
        <w:rPr>
          <w:rStyle w:val="Refdenotaalpie"/>
          <w:rFonts w:ascii="Verdana" w:hAnsi="Verdana" w:cs="Arial"/>
          <w:sz w:val="16"/>
          <w:szCs w:val="16"/>
        </w:rPr>
        <w:footnoteRef/>
      </w:r>
      <w:r w:rsidRPr="00C1413B">
        <w:rPr>
          <w:rFonts w:ascii="Verdana" w:hAnsi="Verdana" w:cs="Arial"/>
          <w:sz w:val="16"/>
          <w:szCs w:val="16"/>
        </w:rPr>
        <w:t xml:space="preserve"> Por ejemplo: contratos de obra pública, prestación de servicios, consultoría, concesión, fiducia pública y encargo fiduciario. </w:t>
      </w:r>
    </w:p>
  </w:footnote>
  <w:footnote w:id="10">
    <w:p w14:paraId="02F2D54A" w14:textId="77777777" w:rsidR="00C1413B" w:rsidRPr="00C1413B" w:rsidRDefault="00C1413B" w:rsidP="00C1413B">
      <w:pPr>
        <w:pStyle w:val="Textonotapie"/>
        <w:ind w:firstLine="708"/>
        <w:jc w:val="both"/>
        <w:rPr>
          <w:rFonts w:ascii="Verdana" w:hAnsi="Verdana" w:cs="Arial"/>
          <w:sz w:val="16"/>
          <w:szCs w:val="16"/>
        </w:rPr>
      </w:pPr>
      <w:r w:rsidRPr="00C1413B">
        <w:rPr>
          <w:rStyle w:val="Refdenotaalpie"/>
          <w:rFonts w:ascii="Verdana" w:hAnsi="Verdana" w:cs="Arial"/>
          <w:sz w:val="16"/>
          <w:szCs w:val="16"/>
        </w:rPr>
        <w:footnoteRef/>
      </w:r>
      <w:r w:rsidRPr="00C1413B">
        <w:rPr>
          <w:rFonts w:ascii="Verdana" w:hAnsi="Verdana" w:cs="Arial"/>
          <w:sz w:val="16"/>
          <w:szCs w:val="16"/>
        </w:rPr>
        <w:t xml:space="preserve"> OSPINA MENA, Jesús Marino. Régimen de la Contratación Estatal. Un salto a la contratación liquida, Ed 1ª Dike, 2020, Bogotá, p. 164. </w:t>
      </w:r>
    </w:p>
    <w:p w14:paraId="38ED2477" w14:textId="77777777" w:rsidR="00C1413B" w:rsidRPr="00C1413B" w:rsidRDefault="00C1413B" w:rsidP="00C1413B">
      <w:pPr>
        <w:pStyle w:val="Textonotapie"/>
        <w:ind w:firstLine="708"/>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F391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6750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6667" w:hanging="360"/>
      </w:pPr>
      <w:rPr>
        <w:b/>
        <w:color w:val="000000" w:themeColor="text1"/>
      </w:rPr>
    </w:lvl>
    <w:lvl w:ilvl="1">
      <w:start w:val="2"/>
      <w:numFmt w:val="decimal"/>
      <w:isLgl/>
      <w:lvlText w:val="%1.%2"/>
      <w:lvlJc w:val="left"/>
      <w:pPr>
        <w:ind w:left="6307" w:hanging="360"/>
      </w:pPr>
    </w:lvl>
    <w:lvl w:ilvl="2">
      <w:start w:val="1"/>
      <w:numFmt w:val="decimal"/>
      <w:isLgl/>
      <w:lvlText w:val="%1.%2.%3"/>
      <w:lvlJc w:val="left"/>
      <w:pPr>
        <w:ind w:left="7027" w:hanging="720"/>
      </w:pPr>
    </w:lvl>
    <w:lvl w:ilvl="3">
      <w:start w:val="1"/>
      <w:numFmt w:val="decimal"/>
      <w:isLgl/>
      <w:lvlText w:val="%1.%2.%3.%4"/>
      <w:lvlJc w:val="left"/>
      <w:pPr>
        <w:ind w:left="7027" w:hanging="720"/>
      </w:pPr>
    </w:lvl>
    <w:lvl w:ilvl="4">
      <w:start w:val="1"/>
      <w:numFmt w:val="decimal"/>
      <w:isLgl/>
      <w:lvlText w:val="%1.%2.%3.%4.%5"/>
      <w:lvlJc w:val="left"/>
      <w:pPr>
        <w:ind w:left="7387" w:hanging="1080"/>
      </w:pPr>
    </w:lvl>
    <w:lvl w:ilvl="5">
      <w:start w:val="1"/>
      <w:numFmt w:val="decimal"/>
      <w:isLgl/>
      <w:lvlText w:val="%1.%2.%3.%4.%5.%6"/>
      <w:lvlJc w:val="left"/>
      <w:pPr>
        <w:ind w:left="7387" w:hanging="1080"/>
      </w:pPr>
    </w:lvl>
    <w:lvl w:ilvl="6">
      <w:start w:val="1"/>
      <w:numFmt w:val="decimal"/>
      <w:isLgl/>
      <w:lvlText w:val="%1.%2.%3.%4.%5.%6.%7"/>
      <w:lvlJc w:val="left"/>
      <w:pPr>
        <w:ind w:left="7747" w:hanging="1440"/>
      </w:pPr>
    </w:lvl>
    <w:lvl w:ilvl="7">
      <w:start w:val="1"/>
      <w:numFmt w:val="decimal"/>
      <w:isLgl/>
      <w:lvlText w:val="%1.%2.%3.%4.%5.%6.%7.%8"/>
      <w:lvlJc w:val="left"/>
      <w:pPr>
        <w:ind w:left="7747" w:hanging="1440"/>
      </w:pPr>
    </w:lvl>
    <w:lvl w:ilvl="8">
      <w:start w:val="1"/>
      <w:numFmt w:val="decimal"/>
      <w:isLgl/>
      <w:lvlText w:val="%1.%2.%3.%4.%5.%6.%7.%8.%9"/>
      <w:lvlJc w:val="left"/>
      <w:pPr>
        <w:ind w:left="8107" w:hanging="1800"/>
      </w:pPr>
    </w:lvl>
  </w:abstractNum>
  <w:abstractNum w:abstractNumId="3" w15:restartNumberingAfterBreak="0">
    <w:nsid w:val="03980216"/>
    <w:multiLevelType w:val="multilevel"/>
    <w:tmpl w:val="8976F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802078"/>
    <w:multiLevelType w:val="hybridMultilevel"/>
    <w:tmpl w:val="CF824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613BFD"/>
    <w:multiLevelType w:val="hybridMultilevel"/>
    <w:tmpl w:val="47562414"/>
    <w:lvl w:ilvl="0" w:tplc="240A0015">
      <w:start w:val="8"/>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9" w15:restartNumberingAfterBreak="0">
    <w:nsid w:val="2B4D5A6A"/>
    <w:multiLevelType w:val="hybridMultilevel"/>
    <w:tmpl w:val="7B6A28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075157B"/>
    <w:multiLevelType w:val="hybridMultilevel"/>
    <w:tmpl w:val="141E3880"/>
    <w:lvl w:ilvl="0" w:tplc="B73E7620">
      <w:start w:val="24"/>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3"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7320E89"/>
    <w:multiLevelType w:val="hybridMultilevel"/>
    <w:tmpl w:val="41C0BF20"/>
    <w:lvl w:ilvl="0" w:tplc="240A0001">
      <w:start w:val="1"/>
      <w:numFmt w:val="bullet"/>
      <w:lvlText w:val=""/>
      <w:lvlJc w:val="left"/>
      <w:pPr>
        <w:ind w:left="6" w:hanging="360"/>
      </w:pPr>
      <w:rPr>
        <w:rFonts w:ascii="Symbol" w:hAnsi="Symbol" w:hint="default"/>
      </w:rPr>
    </w:lvl>
    <w:lvl w:ilvl="1" w:tplc="240A0003" w:tentative="1">
      <w:start w:val="1"/>
      <w:numFmt w:val="bullet"/>
      <w:lvlText w:val="o"/>
      <w:lvlJc w:val="left"/>
      <w:pPr>
        <w:ind w:left="726" w:hanging="360"/>
      </w:pPr>
      <w:rPr>
        <w:rFonts w:ascii="Courier New" w:hAnsi="Courier New" w:cs="Courier New" w:hint="default"/>
      </w:rPr>
    </w:lvl>
    <w:lvl w:ilvl="2" w:tplc="240A0005" w:tentative="1">
      <w:start w:val="1"/>
      <w:numFmt w:val="bullet"/>
      <w:lvlText w:val=""/>
      <w:lvlJc w:val="left"/>
      <w:pPr>
        <w:ind w:left="1446" w:hanging="360"/>
      </w:pPr>
      <w:rPr>
        <w:rFonts w:ascii="Wingdings" w:hAnsi="Wingdings" w:hint="default"/>
      </w:rPr>
    </w:lvl>
    <w:lvl w:ilvl="3" w:tplc="240A0001" w:tentative="1">
      <w:start w:val="1"/>
      <w:numFmt w:val="bullet"/>
      <w:lvlText w:val=""/>
      <w:lvlJc w:val="left"/>
      <w:pPr>
        <w:ind w:left="2166" w:hanging="360"/>
      </w:pPr>
      <w:rPr>
        <w:rFonts w:ascii="Symbol" w:hAnsi="Symbol" w:hint="default"/>
      </w:rPr>
    </w:lvl>
    <w:lvl w:ilvl="4" w:tplc="240A0003" w:tentative="1">
      <w:start w:val="1"/>
      <w:numFmt w:val="bullet"/>
      <w:lvlText w:val="o"/>
      <w:lvlJc w:val="left"/>
      <w:pPr>
        <w:ind w:left="2886" w:hanging="360"/>
      </w:pPr>
      <w:rPr>
        <w:rFonts w:ascii="Courier New" w:hAnsi="Courier New" w:cs="Courier New" w:hint="default"/>
      </w:rPr>
    </w:lvl>
    <w:lvl w:ilvl="5" w:tplc="240A0005" w:tentative="1">
      <w:start w:val="1"/>
      <w:numFmt w:val="bullet"/>
      <w:lvlText w:val=""/>
      <w:lvlJc w:val="left"/>
      <w:pPr>
        <w:ind w:left="3606" w:hanging="360"/>
      </w:pPr>
      <w:rPr>
        <w:rFonts w:ascii="Wingdings" w:hAnsi="Wingdings" w:hint="default"/>
      </w:rPr>
    </w:lvl>
    <w:lvl w:ilvl="6" w:tplc="240A0001" w:tentative="1">
      <w:start w:val="1"/>
      <w:numFmt w:val="bullet"/>
      <w:lvlText w:val=""/>
      <w:lvlJc w:val="left"/>
      <w:pPr>
        <w:ind w:left="4326" w:hanging="360"/>
      </w:pPr>
      <w:rPr>
        <w:rFonts w:ascii="Symbol" w:hAnsi="Symbol" w:hint="default"/>
      </w:rPr>
    </w:lvl>
    <w:lvl w:ilvl="7" w:tplc="240A0003" w:tentative="1">
      <w:start w:val="1"/>
      <w:numFmt w:val="bullet"/>
      <w:lvlText w:val="o"/>
      <w:lvlJc w:val="left"/>
      <w:pPr>
        <w:ind w:left="5046" w:hanging="360"/>
      </w:pPr>
      <w:rPr>
        <w:rFonts w:ascii="Courier New" w:hAnsi="Courier New" w:cs="Courier New" w:hint="default"/>
      </w:rPr>
    </w:lvl>
    <w:lvl w:ilvl="8" w:tplc="240A0005" w:tentative="1">
      <w:start w:val="1"/>
      <w:numFmt w:val="bullet"/>
      <w:lvlText w:val=""/>
      <w:lvlJc w:val="left"/>
      <w:pPr>
        <w:ind w:left="5766" w:hanging="360"/>
      </w:pPr>
      <w:rPr>
        <w:rFonts w:ascii="Wingdings" w:hAnsi="Wingdings" w:hint="default"/>
      </w:rPr>
    </w:lvl>
  </w:abstractNum>
  <w:abstractNum w:abstractNumId="1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6" w15:restartNumberingAfterBreak="0">
    <w:nsid w:val="663B2B87"/>
    <w:multiLevelType w:val="hybridMultilevel"/>
    <w:tmpl w:val="18AE16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70E3F50"/>
    <w:multiLevelType w:val="hybridMultilevel"/>
    <w:tmpl w:val="469C2D86"/>
    <w:lvl w:ilvl="0" w:tplc="BB342CEE">
      <w:start w:val="4"/>
      <w:numFmt w:val="decimal"/>
      <w:lvlText w:val="%1."/>
      <w:lvlJc w:val="left"/>
      <w:pPr>
        <w:ind w:left="968" w:hanging="535"/>
      </w:pPr>
      <w:rPr>
        <w:rFonts w:ascii="Arial" w:eastAsia="Arial" w:hAnsi="Arial" w:cs="Arial" w:hint="default"/>
        <w:color w:val="4E4D4D"/>
        <w:spacing w:val="-20"/>
        <w:w w:val="100"/>
        <w:sz w:val="20"/>
        <w:szCs w:val="20"/>
        <w:lang w:val="es-ES" w:eastAsia="en-US" w:bidi="ar-SA"/>
      </w:rPr>
    </w:lvl>
    <w:lvl w:ilvl="1" w:tplc="1C789076">
      <w:numFmt w:val="bullet"/>
      <w:lvlText w:val="•"/>
      <w:lvlJc w:val="left"/>
      <w:pPr>
        <w:ind w:left="1804" w:hanging="535"/>
      </w:pPr>
      <w:rPr>
        <w:rFonts w:hint="default"/>
        <w:lang w:val="es-ES" w:eastAsia="en-US" w:bidi="ar-SA"/>
      </w:rPr>
    </w:lvl>
    <w:lvl w:ilvl="2" w:tplc="6AFCBF2A">
      <w:numFmt w:val="bullet"/>
      <w:lvlText w:val="•"/>
      <w:lvlJc w:val="left"/>
      <w:pPr>
        <w:ind w:left="2648" w:hanging="535"/>
      </w:pPr>
      <w:rPr>
        <w:rFonts w:hint="default"/>
        <w:lang w:val="es-ES" w:eastAsia="en-US" w:bidi="ar-SA"/>
      </w:rPr>
    </w:lvl>
    <w:lvl w:ilvl="3" w:tplc="3F748F58">
      <w:numFmt w:val="bullet"/>
      <w:lvlText w:val="•"/>
      <w:lvlJc w:val="left"/>
      <w:pPr>
        <w:ind w:left="3492" w:hanging="535"/>
      </w:pPr>
      <w:rPr>
        <w:rFonts w:hint="default"/>
        <w:lang w:val="es-ES" w:eastAsia="en-US" w:bidi="ar-SA"/>
      </w:rPr>
    </w:lvl>
    <w:lvl w:ilvl="4" w:tplc="C6C89C04">
      <w:numFmt w:val="bullet"/>
      <w:lvlText w:val="•"/>
      <w:lvlJc w:val="left"/>
      <w:pPr>
        <w:ind w:left="4336" w:hanging="535"/>
      </w:pPr>
      <w:rPr>
        <w:rFonts w:hint="default"/>
        <w:lang w:val="es-ES" w:eastAsia="en-US" w:bidi="ar-SA"/>
      </w:rPr>
    </w:lvl>
    <w:lvl w:ilvl="5" w:tplc="B302CD28">
      <w:numFmt w:val="bullet"/>
      <w:lvlText w:val="•"/>
      <w:lvlJc w:val="left"/>
      <w:pPr>
        <w:ind w:left="5180" w:hanging="535"/>
      </w:pPr>
      <w:rPr>
        <w:rFonts w:hint="default"/>
        <w:lang w:val="es-ES" w:eastAsia="en-US" w:bidi="ar-SA"/>
      </w:rPr>
    </w:lvl>
    <w:lvl w:ilvl="6" w:tplc="EF7C1184">
      <w:numFmt w:val="bullet"/>
      <w:lvlText w:val="•"/>
      <w:lvlJc w:val="left"/>
      <w:pPr>
        <w:ind w:left="6024" w:hanging="535"/>
      </w:pPr>
      <w:rPr>
        <w:rFonts w:hint="default"/>
        <w:lang w:val="es-ES" w:eastAsia="en-US" w:bidi="ar-SA"/>
      </w:rPr>
    </w:lvl>
    <w:lvl w:ilvl="7" w:tplc="3C8C58C4">
      <w:numFmt w:val="bullet"/>
      <w:lvlText w:val="•"/>
      <w:lvlJc w:val="left"/>
      <w:pPr>
        <w:ind w:left="6868" w:hanging="535"/>
      </w:pPr>
      <w:rPr>
        <w:rFonts w:hint="default"/>
        <w:lang w:val="es-ES" w:eastAsia="en-US" w:bidi="ar-SA"/>
      </w:rPr>
    </w:lvl>
    <w:lvl w:ilvl="8" w:tplc="F094E6FE">
      <w:numFmt w:val="bullet"/>
      <w:lvlText w:val="•"/>
      <w:lvlJc w:val="left"/>
      <w:pPr>
        <w:ind w:left="7712" w:hanging="535"/>
      </w:pPr>
      <w:rPr>
        <w:rFonts w:hint="default"/>
        <w:lang w:val="es-ES" w:eastAsia="en-US" w:bidi="ar-SA"/>
      </w:rPr>
    </w:lvl>
  </w:abstractNum>
  <w:abstractNum w:abstractNumId="18" w15:restartNumberingAfterBreak="0">
    <w:nsid w:val="6EC101B1"/>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FFC6F58"/>
    <w:multiLevelType w:val="hybridMultilevel"/>
    <w:tmpl w:val="AD226C04"/>
    <w:lvl w:ilvl="0" w:tplc="44AE12E2">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73415C76"/>
    <w:multiLevelType w:val="hybridMultilevel"/>
    <w:tmpl w:val="9C8C101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1" w15:restartNumberingAfterBreak="0">
    <w:nsid w:val="753C5CEB"/>
    <w:multiLevelType w:val="hybridMultilevel"/>
    <w:tmpl w:val="0B0ACE34"/>
    <w:lvl w:ilvl="0" w:tplc="63A052FC">
      <w:start w:val="1"/>
      <w:numFmt w:val="lowerRoman"/>
      <w:lvlText w:val="%1."/>
      <w:lvlJc w:val="left"/>
      <w:pPr>
        <w:ind w:left="1080" w:hanging="720"/>
      </w:pPr>
      <w:rPr>
        <w:rFonts w:eastAsia="Century Gothic" w:cs="Century Gothic"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41274352">
    <w:abstractNumId w:val="2"/>
  </w:num>
  <w:num w:numId="2" w16cid:durableId="140847646">
    <w:abstractNumId w:val="11"/>
  </w:num>
  <w:num w:numId="3" w16cid:durableId="651374235">
    <w:abstractNumId w:val="21"/>
  </w:num>
  <w:num w:numId="4" w16cid:durableId="1492209491">
    <w:abstractNumId w:val="10"/>
  </w:num>
  <w:num w:numId="5" w16cid:durableId="966934083">
    <w:abstractNumId w:val="18"/>
  </w:num>
  <w:num w:numId="6" w16cid:durableId="19822139">
    <w:abstractNumId w:val="4"/>
  </w:num>
  <w:num w:numId="7" w16cid:durableId="1358431546">
    <w:abstractNumId w:val="7"/>
  </w:num>
  <w:num w:numId="8" w16cid:durableId="1790396750">
    <w:abstractNumId w:val="3"/>
  </w:num>
  <w:num w:numId="9" w16cid:durableId="1548419692">
    <w:abstractNumId w:val="19"/>
  </w:num>
  <w:num w:numId="10" w16cid:durableId="1443304022">
    <w:abstractNumId w:val="8"/>
  </w:num>
  <w:num w:numId="11" w16cid:durableId="501051064">
    <w:abstractNumId w:val="12"/>
  </w:num>
  <w:num w:numId="12" w16cid:durableId="1355153779">
    <w:abstractNumId w:val="15"/>
  </w:num>
  <w:num w:numId="13" w16cid:durableId="507788157">
    <w:abstractNumId w:val="5"/>
  </w:num>
  <w:num w:numId="14" w16cid:durableId="1648316839">
    <w:abstractNumId w:val="9"/>
  </w:num>
  <w:num w:numId="15" w16cid:durableId="153255849">
    <w:abstractNumId w:val="13"/>
  </w:num>
  <w:num w:numId="16" w16cid:durableId="565342365">
    <w:abstractNumId w:val="0"/>
  </w:num>
  <w:num w:numId="17" w16cid:durableId="1062756676">
    <w:abstractNumId w:val="14"/>
  </w:num>
  <w:num w:numId="18" w16cid:durableId="938488944">
    <w:abstractNumId w:val="1"/>
  </w:num>
  <w:num w:numId="19" w16cid:durableId="1601723362">
    <w:abstractNumId w:val="6"/>
  </w:num>
  <w:num w:numId="20" w16cid:durableId="1523519647">
    <w:abstractNumId w:val="16"/>
  </w:num>
  <w:num w:numId="21" w16cid:durableId="1210918066">
    <w:abstractNumId w:val="20"/>
  </w:num>
  <w:num w:numId="22" w16cid:durableId="1900483209">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297"/>
    <w:rsid w:val="000031D4"/>
    <w:rsid w:val="0000366A"/>
    <w:rsid w:val="000036CD"/>
    <w:rsid w:val="0000413F"/>
    <w:rsid w:val="00004E03"/>
    <w:rsid w:val="0000660E"/>
    <w:rsid w:val="00006ED5"/>
    <w:rsid w:val="00007841"/>
    <w:rsid w:val="000130B1"/>
    <w:rsid w:val="00016F78"/>
    <w:rsid w:val="00020742"/>
    <w:rsid w:val="00023841"/>
    <w:rsid w:val="00025FAD"/>
    <w:rsid w:val="00026E67"/>
    <w:rsid w:val="00030157"/>
    <w:rsid w:val="0003198F"/>
    <w:rsid w:val="00040435"/>
    <w:rsid w:val="000428CA"/>
    <w:rsid w:val="00043F94"/>
    <w:rsid w:val="00046945"/>
    <w:rsid w:val="00050A45"/>
    <w:rsid w:val="0005583D"/>
    <w:rsid w:val="000569D7"/>
    <w:rsid w:val="000612AF"/>
    <w:rsid w:val="00061B2A"/>
    <w:rsid w:val="00061BF9"/>
    <w:rsid w:val="00064216"/>
    <w:rsid w:val="00066257"/>
    <w:rsid w:val="00070A47"/>
    <w:rsid w:val="000715F9"/>
    <w:rsid w:val="00071D04"/>
    <w:rsid w:val="000741CF"/>
    <w:rsid w:val="000744A4"/>
    <w:rsid w:val="00074755"/>
    <w:rsid w:val="00075B38"/>
    <w:rsid w:val="00080D3D"/>
    <w:rsid w:val="00082362"/>
    <w:rsid w:val="00096CB6"/>
    <w:rsid w:val="000A4C59"/>
    <w:rsid w:val="000A5510"/>
    <w:rsid w:val="000A683E"/>
    <w:rsid w:val="000B19B9"/>
    <w:rsid w:val="000B5978"/>
    <w:rsid w:val="000C41A1"/>
    <w:rsid w:val="000C5BB0"/>
    <w:rsid w:val="000D0334"/>
    <w:rsid w:val="000D1527"/>
    <w:rsid w:val="000D32F2"/>
    <w:rsid w:val="000D374A"/>
    <w:rsid w:val="000D39A8"/>
    <w:rsid w:val="000D6575"/>
    <w:rsid w:val="000E553C"/>
    <w:rsid w:val="000F2673"/>
    <w:rsid w:val="000F3B46"/>
    <w:rsid w:val="000F44F1"/>
    <w:rsid w:val="000F6486"/>
    <w:rsid w:val="000F7495"/>
    <w:rsid w:val="00103B36"/>
    <w:rsid w:val="00103B37"/>
    <w:rsid w:val="00104557"/>
    <w:rsid w:val="00105873"/>
    <w:rsid w:val="0011036B"/>
    <w:rsid w:val="001115F7"/>
    <w:rsid w:val="001120E1"/>
    <w:rsid w:val="00115596"/>
    <w:rsid w:val="00116BF3"/>
    <w:rsid w:val="00117910"/>
    <w:rsid w:val="001216D8"/>
    <w:rsid w:val="00121D93"/>
    <w:rsid w:val="00123942"/>
    <w:rsid w:val="00125105"/>
    <w:rsid w:val="00127233"/>
    <w:rsid w:val="00131F6C"/>
    <w:rsid w:val="00134D45"/>
    <w:rsid w:val="00136DDB"/>
    <w:rsid w:val="00147428"/>
    <w:rsid w:val="001511A0"/>
    <w:rsid w:val="001550A9"/>
    <w:rsid w:val="00155790"/>
    <w:rsid w:val="00155AF4"/>
    <w:rsid w:val="00157516"/>
    <w:rsid w:val="0016458B"/>
    <w:rsid w:val="001672EF"/>
    <w:rsid w:val="00171455"/>
    <w:rsid w:val="001805EB"/>
    <w:rsid w:val="00184FD0"/>
    <w:rsid w:val="00190152"/>
    <w:rsid w:val="00190921"/>
    <w:rsid w:val="001951C0"/>
    <w:rsid w:val="001A1D91"/>
    <w:rsid w:val="001B36DA"/>
    <w:rsid w:val="001B6057"/>
    <w:rsid w:val="001C2B2F"/>
    <w:rsid w:val="001C2C21"/>
    <w:rsid w:val="001D1CC2"/>
    <w:rsid w:val="001D556A"/>
    <w:rsid w:val="001D6A29"/>
    <w:rsid w:val="001E4177"/>
    <w:rsid w:val="001E4D2C"/>
    <w:rsid w:val="001F0087"/>
    <w:rsid w:val="001F2608"/>
    <w:rsid w:val="001F2CD0"/>
    <w:rsid w:val="001F3274"/>
    <w:rsid w:val="001F32BC"/>
    <w:rsid w:val="001F3C2F"/>
    <w:rsid w:val="001F7DC6"/>
    <w:rsid w:val="0020008A"/>
    <w:rsid w:val="002016D7"/>
    <w:rsid w:val="00202133"/>
    <w:rsid w:val="002103B5"/>
    <w:rsid w:val="00213E81"/>
    <w:rsid w:val="002153FB"/>
    <w:rsid w:val="00217D56"/>
    <w:rsid w:val="0022654C"/>
    <w:rsid w:val="00227D83"/>
    <w:rsid w:val="00236655"/>
    <w:rsid w:val="00240332"/>
    <w:rsid w:val="00241C6F"/>
    <w:rsid w:val="002421BB"/>
    <w:rsid w:val="00243D94"/>
    <w:rsid w:val="00243EB3"/>
    <w:rsid w:val="00244003"/>
    <w:rsid w:val="00246C1B"/>
    <w:rsid w:val="002565C6"/>
    <w:rsid w:val="0025796E"/>
    <w:rsid w:val="00261865"/>
    <w:rsid w:val="002707A2"/>
    <w:rsid w:val="002768F9"/>
    <w:rsid w:val="00281F2F"/>
    <w:rsid w:val="0028627B"/>
    <w:rsid w:val="0029110A"/>
    <w:rsid w:val="002951A0"/>
    <w:rsid w:val="002962BC"/>
    <w:rsid w:val="002A093D"/>
    <w:rsid w:val="002A0DD0"/>
    <w:rsid w:val="002A49AC"/>
    <w:rsid w:val="002A5959"/>
    <w:rsid w:val="002A64FD"/>
    <w:rsid w:val="002B07F5"/>
    <w:rsid w:val="002B2C5D"/>
    <w:rsid w:val="002C0D56"/>
    <w:rsid w:val="002C2C14"/>
    <w:rsid w:val="002C4DD6"/>
    <w:rsid w:val="002C7A84"/>
    <w:rsid w:val="002C7C31"/>
    <w:rsid w:val="002D09DF"/>
    <w:rsid w:val="002D2F95"/>
    <w:rsid w:val="002D4655"/>
    <w:rsid w:val="002D6CA8"/>
    <w:rsid w:val="002D7BA3"/>
    <w:rsid w:val="002E1DE9"/>
    <w:rsid w:val="002E4FD9"/>
    <w:rsid w:val="002E7823"/>
    <w:rsid w:val="002F181B"/>
    <w:rsid w:val="002F50D4"/>
    <w:rsid w:val="003034EB"/>
    <w:rsid w:val="00307E2F"/>
    <w:rsid w:val="00310F02"/>
    <w:rsid w:val="0031246C"/>
    <w:rsid w:val="00312C79"/>
    <w:rsid w:val="003156F7"/>
    <w:rsid w:val="003210B9"/>
    <w:rsid w:val="00322A85"/>
    <w:rsid w:val="00324168"/>
    <w:rsid w:val="00333812"/>
    <w:rsid w:val="0034115E"/>
    <w:rsid w:val="003434C2"/>
    <w:rsid w:val="003439EA"/>
    <w:rsid w:val="003448F4"/>
    <w:rsid w:val="003449DF"/>
    <w:rsid w:val="00347989"/>
    <w:rsid w:val="00354733"/>
    <w:rsid w:val="00354921"/>
    <w:rsid w:val="00356BB6"/>
    <w:rsid w:val="003574B8"/>
    <w:rsid w:val="00357CBC"/>
    <w:rsid w:val="00361D55"/>
    <w:rsid w:val="003638DA"/>
    <w:rsid w:val="0036566B"/>
    <w:rsid w:val="00366ECA"/>
    <w:rsid w:val="0037185D"/>
    <w:rsid w:val="00374F5E"/>
    <w:rsid w:val="00375D58"/>
    <w:rsid w:val="00377E3E"/>
    <w:rsid w:val="00384BC1"/>
    <w:rsid w:val="003851C4"/>
    <w:rsid w:val="00385D7A"/>
    <w:rsid w:val="00392243"/>
    <w:rsid w:val="00393E99"/>
    <w:rsid w:val="003967EF"/>
    <w:rsid w:val="003A779E"/>
    <w:rsid w:val="003B4357"/>
    <w:rsid w:val="003B7A7F"/>
    <w:rsid w:val="003C1482"/>
    <w:rsid w:val="003C1E04"/>
    <w:rsid w:val="003C201D"/>
    <w:rsid w:val="003C34EC"/>
    <w:rsid w:val="003C60CC"/>
    <w:rsid w:val="003C7DF5"/>
    <w:rsid w:val="003D038F"/>
    <w:rsid w:val="003D0F4D"/>
    <w:rsid w:val="003D5B0D"/>
    <w:rsid w:val="003D6DC3"/>
    <w:rsid w:val="003E0499"/>
    <w:rsid w:val="003E157B"/>
    <w:rsid w:val="003E4C15"/>
    <w:rsid w:val="003F1356"/>
    <w:rsid w:val="003F36D8"/>
    <w:rsid w:val="003F3941"/>
    <w:rsid w:val="003F4477"/>
    <w:rsid w:val="00400257"/>
    <w:rsid w:val="004041D3"/>
    <w:rsid w:val="00404EDF"/>
    <w:rsid w:val="00406575"/>
    <w:rsid w:val="00412485"/>
    <w:rsid w:val="0041325A"/>
    <w:rsid w:val="00414C74"/>
    <w:rsid w:val="00414ED9"/>
    <w:rsid w:val="00420D97"/>
    <w:rsid w:val="0042722E"/>
    <w:rsid w:val="004278EC"/>
    <w:rsid w:val="00431C9C"/>
    <w:rsid w:val="00432F47"/>
    <w:rsid w:val="00433266"/>
    <w:rsid w:val="00434706"/>
    <w:rsid w:val="00434C7E"/>
    <w:rsid w:val="004352F5"/>
    <w:rsid w:val="0043540B"/>
    <w:rsid w:val="00435C1F"/>
    <w:rsid w:val="00440F69"/>
    <w:rsid w:val="0044528D"/>
    <w:rsid w:val="00445873"/>
    <w:rsid w:val="00450DBE"/>
    <w:rsid w:val="00451319"/>
    <w:rsid w:val="0045301D"/>
    <w:rsid w:val="00453E51"/>
    <w:rsid w:val="004571FD"/>
    <w:rsid w:val="00457487"/>
    <w:rsid w:val="0046108F"/>
    <w:rsid w:val="0046338E"/>
    <w:rsid w:val="0046750B"/>
    <w:rsid w:val="00467D00"/>
    <w:rsid w:val="00471225"/>
    <w:rsid w:val="004801D1"/>
    <w:rsid w:val="004806B0"/>
    <w:rsid w:val="0048243F"/>
    <w:rsid w:val="00486830"/>
    <w:rsid w:val="00490984"/>
    <w:rsid w:val="004957D9"/>
    <w:rsid w:val="00496C3E"/>
    <w:rsid w:val="004A153D"/>
    <w:rsid w:val="004A1847"/>
    <w:rsid w:val="004A210F"/>
    <w:rsid w:val="004A305D"/>
    <w:rsid w:val="004B1A01"/>
    <w:rsid w:val="004B2C42"/>
    <w:rsid w:val="004B4626"/>
    <w:rsid w:val="004B4703"/>
    <w:rsid w:val="004B557B"/>
    <w:rsid w:val="004B5BD7"/>
    <w:rsid w:val="004C29E8"/>
    <w:rsid w:val="004C3ACE"/>
    <w:rsid w:val="004C64F4"/>
    <w:rsid w:val="004C7B86"/>
    <w:rsid w:val="004D1C63"/>
    <w:rsid w:val="004D1C85"/>
    <w:rsid w:val="004D77CE"/>
    <w:rsid w:val="004E3AD0"/>
    <w:rsid w:val="004E6EAC"/>
    <w:rsid w:val="004F21C4"/>
    <w:rsid w:val="004F345C"/>
    <w:rsid w:val="004F35BB"/>
    <w:rsid w:val="004F685F"/>
    <w:rsid w:val="004F6A51"/>
    <w:rsid w:val="004F73E8"/>
    <w:rsid w:val="005016D1"/>
    <w:rsid w:val="005018F0"/>
    <w:rsid w:val="005123B8"/>
    <w:rsid w:val="00514F13"/>
    <w:rsid w:val="00517B15"/>
    <w:rsid w:val="00527CDF"/>
    <w:rsid w:val="00535F3F"/>
    <w:rsid w:val="00543501"/>
    <w:rsid w:val="0055236C"/>
    <w:rsid w:val="00552511"/>
    <w:rsid w:val="005539B5"/>
    <w:rsid w:val="005566E8"/>
    <w:rsid w:val="00557A80"/>
    <w:rsid w:val="005612F9"/>
    <w:rsid w:val="00561564"/>
    <w:rsid w:val="00571FDA"/>
    <w:rsid w:val="00574867"/>
    <w:rsid w:val="00575B29"/>
    <w:rsid w:val="0057684F"/>
    <w:rsid w:val="005906F4"/>
    <w:rsid w:val="00591460"/>
    <w:rsid w:val="00593890"/>
    <w:rsid w:val="005A1A21"/>
    <w:rsid w:val="005A25FF"/>
    <w:rsid w:val="005A2AF9"/>
    <w:rsid w:val="005A3A3B"/>
    <w:rsid w:val="005A52F5"/>
    <w:rsid w:val="005A7413"/>
    <w:rsid w:val="005A76EA"/>
    <w:rsid w:val="005A7CD6"/>
    <w:rsid w:val="005B0E91"/>
    <w:rsid w:val="005B261C"/>
    <w:rsid w:val="005B2D46"/>
    <w:rsid w:val="005B3816"/>
    <w:rsid w:val="005B3E70"/>
    <w:rsid w:val="005B5954"/>
    <w:rsid w:val="005B6B50"/>
    <w:rsid w:val="005C3596"/>
    <w:rsid w:val="005C3777"/>
    <w:rsid w:val="005C57E4"/>
    <w:rsid w:val="005C5868"/>
    <w:rsid w:val="005C5893"/>
    <w:rsid w:val="005C5BE7"/>
    <w:rsid w:val="005C5CDC"/>
    <w:rsid w:val="005D29E2"/>
    <w:rsid w:val="005D2DF8"/>
    <w:rsid w:val="005D476C"/>
    <w:rsid w:val="005D5755"/>
    <w:rsid w:val="005D5B46"/>
    <w:rsid w:val="005D5FB1"/>
    <w:rsid w:val="005E0D10"/>
    <w:rsid w:val="005E0DA4"/>
    <w:rsid w:val="005E256F"/>
    <w:rsid w:val="005E450B"/>
    <w:rsid w:val="005E4B19"/>
    <w:rsid w:val="005F338A"/>
    <w:rsid w:val="005F4E30"/>
    <w:rsid w:val="005F6BCE"/>
    <w:rsid w:val="0060028A"/>
    <w:rsid w:val="0060398A"/>
    <w:rsid w:val="00606398"/>
    <w:rsid w:val="006149BD"/>
    <w:rsid w:val="00616168"/>
    <w:rsid w:val="00617D2D"/>
    <w:rsid w:val="006219F8"/>
    <w:rsid w:val="00632B76"/>
    <w:rsid w:val="00632FA8"/>
    <w:rsid w:val="00654612"/>
    <w:rsid w:val="00654A87"/>
    <w:rsid w:val="006612CC"/>
    <w:rsid w:val="0066306F"/>
    <w:rsid w:val="00665D70"/>
    <w:rsid w:val="00676C8B"/>
    <w:rsid w:val="00677DC3"/>
    <w:rsid w:val="00682B04"/>
    <w:rsid w:val="006900D9"/>
    <w:rsid w:val="00692C49"/>
    <w:rsid w:val="006A3C99"/>
    <w:rsid w:val="006A78A2"/>
    <w:rsid w:val="006B1DE1"/>
    <w:rsid w:val="006B2B96"/>
    <w:rsid w:val="006B3F5C"/>
    <w:rsid w:val="006B413C"/>
    <w:rsid w:val="006C1950"/>
    <w:rsid w:val="006C4E5C"/>
    <w:rsid w:val="006C7F81"/>
    <w:rsid w:val="006D0D53"/>
    <w:rsid w:val="006D4F11"/>
    <w:rsid w:val="006D6AAA"/>
    <w:rsid w:val="006D7BF9"/>
    <w:rsid w:val="006E7067"/>
    <w:rsid w:val="006E7345"/>
    <w:rsid w:val="006F167F"/>
    <w:rsid w:val="00703736"/>
    <w:rsid w:val="00704B58"/>
    <w:rsid w:val="00706413"/>
    <w:rsid w:val="00706C16"/>
    <w:rsid w:val="0071184A"/>
    <w:rsid w:val="007125A9"/>
    <w:rsid w:val="00713684"/>
    <w:rsid w:val="0071623C"/>
    <w:rsid w:val="00720B92"/>
    <w:rsid w:val="007223C5"/>
    <w:rsid w:val="0073059A"/>
    <w:rsid w:val="00731199"/>
    <w:rsid w:val="00733AEE"/>
    <w:rsid w:val="00733B67"/>
    <w:rsid w:val="00735EB7"/>
    <w:rsid w:val="007422C9"/>
    <w:rsid w:val="00742913"/>
    <w:rsid w:val="00743A31"/>
    <w:rsid w:val="007451DA"/>
    <w:rsid w:val="00746725"/>
    <w:rsid w:val="00746BBA"/>
    <w:rsid w:val="00747076"/>
    <w:rsid w:val="00747D96"/>
    <w:rsid w:val="00755E25"/>
    <w:rsid w:val="00756841"/>
    <w:rsid w:val="00761E70"/>
    <w:rsid w:val="00763385"/>
    <w:rsid w:val="00763ED9"/>
    <w:rsid w:val="00764682"/>
    <w:rsid w:val="007649AB"/>
    <w:rsid w:val="00766762"/>
    <w:rsid w:val="007716C6"/>
    <w:rsid w:val="00771D0C"/>
    <w:rsid w:val="00776E9E"/>
    <w:rsid w:val="00781732"/>
    <w:rsid w:val="00781AF3"/>
    <w:rsid w:val="007833AC"/>
    <w:rsid w:val="007879E1"/>
    <w:rsid w:val="007900B1"/>
    <w:rsid w:val="00791489"/>
    <w:rsid w:val="00793894"/>
    <w:rsid w:val="00793E41"/>
    <w:rsid w:val="007B268C"/>
    <w:rsid w:val="007B3587"/>
    <w:rsid w:val="007B7171"/>
    <w:rsid w:val="007C0C0F"/>
    <w:rsid w:val="007C3DC2"/>
    <w:rsid w:val="007C5F20"/>
    <w:rsid w:val="007D0010"/>
    <w:rsid w:val="007D0BFC"/>
    <w:rsid w:val="007E09CB"/>
    <w:rsid w:val="007E2168"/>
    <w:rsid w:val="007E403E"/>
    <w:rsid w:val="007E5497"/>
    <w:rsid w:val="007E7317"/>
    <w:rsid w:val="007E7D62"/>
    <w:rsid w:val="007F1040"/>
    <w:rsid w:val="007F6E00"/>
    <w:rsid w:val="0080153E"/>
    <w:rsid w:val="0080594D"/>
    <w:rsid w:val="00806F5F"/>
    <w:rsid w:val="00807DB8"/>
    <w:rsid w:val="008102AC"/>
    <w:rsid w:val="00810858"/>
    <w:rsid w:val="00811930"/>
    <w:rsid w:val="00816D34"/>
    <w:rsid w:val="00817038"/>
    <w:rsid w:val="00820278"/>
    <w:rsid w:val="008202F6"/>
    <w:rsid w:val="008244CD"/>
    <w:rsid w:val="008256D1"/>
    <w:rsid w:val="00825828"/>
    <w:rsid w:val="008340AE"/>
    <w:rsid w:val="0084038E"/>
    <w:rsid w:val="008432AB"/>
    <w:rsid w:val="0084385E"/>
    <w:rsid w:val="00843B35"/>
    <w:rsid w:val="00844C49"/>
    <w:rsid w:val="0085036F"/>
    <w:rsid w:val="008547CB"/>
    <w:rsid w:val="008616CA"/>
    <w:rsid w:val="0086797B"/>
    <w:rsid w:val="00867F95"/>
    <w:rsid w:val="00870C64"/>
    <w:rsid w:val="0087638A"/>
    <w:rsid w:val="00877183"/>
    <w:rsid w:val="008772F9"/>
    <w:rsid w:val="00881BC3"/>
    <w:rsid w:val="00882648"/>
    <w:rsid w:val="00883374"/>
    <w:rsid w:val="008836D3"/>
    <w:rsid w:val="00883B40"/>
    <w:rsid w:val="008843B6"/>
    <w:rsid w:val="00884CB5"/>
    <w:rsid w:val="00890C94"/>
    <w:rsid w:val="00890FDC"/>
    <w:rsid w:val="00891928"/>
    <w:rsid w:val="00897CB4"/>
    <w:rsid w:val="008A209A"/>
    <w:rsid w:val="008A446D"/>
    <w:rsid w:val="008A746E"/>
    <w:rsid w:val="008B3958"/>
    <w:rsid w:val="008C0E3B"/>
    <w:rsid w:val="008C221F"/>
    <w:rsid w:val="008C6458"/>
    <w:rsid w:val="008C7DF6"/>
    <w:rsid w:val="008D01D1"/>
    <w:rsid w:val="008D09A2"/>
    <w:rsid w:val="008D180B"/>
    <w:rsid w:val="008D7291"/>
    <w:rsid w:val="008E2777"/>
    <w:rsid w:val="008E277C"/>
    <w:rsid w:val="008E3F53"/>
    <w:rsid w:val="008E4B93"/>
    <w:rsid w:val="008E585A"/>
    <w:rsid w:val="008F0EA7"/>
    <w:rsid w:val="008F1280"/>
    <w:rsid w:val="008F19D1"/>
    <w:rsid w:val="008F33B0"/>
    <w:rsid w:val="008F59A4"/>
    <w:rsid w:val="0090297D"/>
    <w:rsid w:val="00915A8E"/>
    <w:rsid w:val="009171F4"/>
    <w:rsid w:val="00917399"/>
    <w:rsid w:val="00920390"/>
    <w:rsid w:val="00920927"/>
    <w:rsid w:val="00923D4F"/>
    <w:rsid w:val="00923EEF"/>
    <w:rsid w:val="0092621F"/>
    <w:rsid w:val="009326F6"/>
    <w:rsid w:val="00933013"/>
    <w:rsid w:val="0093362A"/>
    <w:rsid w:val="00933E8F"/>
    <w:rsid w:val="00934AA1"/>
    <w:rsid w:val="009413B7"/>
    <w:rsid w:val="009419F9"/>
    <w:rsid w:val="009439F8"/>
    <w:rsid w:val="00946693"/>
    <w:rsid w:val="00953249"/>
    <w:rsid w:val="0095597B"/>
    <w:rsid w:val="0095685E"/>
    <w:rsid w:val="00956B73"/>
    <w:rsid w:val="00961B09"/>
    <w:rsid w:val="00965334"/>
    <w:rsid w:val="0097093E"/>
    <w:rsid w:val="00970C7D"/>
    <w:rsid w:val="00974D47"/>
    <w:rsid w:val="00976293"/>
    <w:rsid w:val="009814A0"/>
    <w:rsid w:val="009826BF"/>
    <w:rsid w:val="00984D71"/>
    <w:rsid w:val="00985FAD"/>
    <w:rsid w:val="00986AC5"/>
    <w:rsid w:val="00991DFF"/>
    <w:rsid w:val="009924B0"/>
    <w:rsid w:val="0099297C"/>
    <w:rsid w:val="00993BF0"/>
    <w:rsid w:val="00993FE7"/>
    <w:rsid w:val="00994BF0"/>
    <w:rsid w:val="009A0DFA"/>
    <w:rsid w:val="009A3617"/>
    <w:rsid w:val="009A449C"/>
    <w:rsid w:val="009A50F7"/>
    <w:rsid w:val="009A6BD6"/>
    <w:rsid w:val="009A72F0"/>
    <w:rsid w:val="009B15B0"/>
    <w:rsid w:val="009B1EE9"/>
    <w:rsid w:val="009B2D26"/>
    <w:rsid w:val="009C0A2D"/>
    <w:rsid w:val="009C32E2"/>
    <w:rsid w:val="009C504B"/>
    <w:rsid w:val="009C71FA"/>
    <w:rsid w:val="009C72E7"/>
    <w:rsid w:val="009D3058"/>
    <w:rsid w:val="009D30AE"/>
    <w:rsid w:val="009D6B77"/>
    <w:rsid w:val="009D6CCC"/>
    <w:rsid w:val="009D7D6F"/>
    <w:rsid w:val="009E3247"/>
    <w:rsid w:val="009E3429"/>
    <w:rsid w:val="009E51D5"/>
    <w:rsid w:val="009E7E8C"/>
    <w:rsid w:val="009F3A13"/>
    <w:rsid w:val="009F4DC5"/>
    <w:rsid w:val="00A02729"/>
    <w:rsid w:val="00A075D4"/>
    <w:rsid w:val="00A109EE"/>
    <w:rsid w:val="00A10EF7"/>
    <w:rsid w:val="00A122D3"/>
    <w:rsid w:val="00A130ED"/>
    <w:rsid w:val="00A17F13"/>
    <w:rsid w:val="00A20739"/>
    <w:rsid w:val="00A2144E"/>
    <w:rsid w:val="00A3122D"/>
    <w:rsid w:val="00A32E97"/>
    <w:rsid w:val="00A3355E"/>
    <w:rsid w:val="00A33C78"/>
    <w:rsid w:val="00A372B7"/>
    <w:rsid w:val="00A37DB9"/>
    <w:rsid w:val="00A439E2"/>
    <w:rsid w:val="00A44730"/>
    <w:rsid w:val="00A447D3"/>
    <w:rsid w:val="00A4486B"/>
    <w:rsid w:val="00A44DE0"/>
    <w:rsid w:val="00A47026"/>
    <w:rsid w:val="00A53A79"/>
    <w:rsid w:val="00A56252"/>
    <w:rsid w:val="00A6090C"/>
    <w:rsid w:val="00A62282"/>
    <w:rsid w:val="00A62427"/>
    <w:rsid w:val="00A71890"/>
    <w:rsid w:val="00A7517A"/>
    <w:rsid w:val="00A77479"/>
    <w:rsid w:val="00A82B3F"/>
    <w:rsid w:val="00A8567B"/>
    <w:rsid w:val="00A876CC"/>
    <w:rsid w:val="00A87E80"/>
    <w:rsid w:val="00AA3441"/>
    <w:rsid w:val="00AA758E"/>
    <w:rsid w:val="00AB08E1"/>
    <w:rsid w:val="00AB0ADB"/>
    <w:rsid w:val="00AB0FE9"/>
    <w:rsid w:val="00AB2829"/>
    <w:rsid w:val="00AB30E0"/>
    <w:rsid w:val="00AB493F"/>
    <w:rsid w:val="00AB5151"/>
    <w:rsid w:val="00AB6153"/>
    <w:rsid w:val="00AB717F"/>
    <w:rsid w:val="00AC00FA"/>
    <w:rsid w:val="00AC40F4"/>
    <w:rsid w:val="00AC64A5"/>
    <w:rsid w:val="00AD0755"/>
    <w:rsid w:val="00AD0E92"/>
    <w:rsid w:val="00AD374D"/>
    <w:rsid w:val="00AD41EA"/>
    <w:rsid w:val="00AD4293"/>
    <w:rsid w:val="00AD7C7C"/>
    <w:rsid w:val="00AE1EB5"/>
    <w:rsid w:val="00AE2A82"/>
    <w:rsid w:val="00AE4817"/>
    <w:rsid w:val="00AF28B8"/>
    <w:rsid w:val="00AF523C"/>
    <w:rsid w:val="00AF5919"/>
    <w:rsid w:val="00AF5D48"/>
    <w:rsid w:val="00AF71F4"/>
    <w:rsid w:val="00B0078D"/>
    <w:rsid w:val="00B01B1A"/>
    <w:rsid w:val="00B0274A"/>
    <w:rsid w:val="00B04D1C"/>
    <w:rsid w:val="00B07844"/>
    <w:rsid w:val="00B1003F"/>
    <w:rsid w:val="00B108F3"/>
    <w:rsid w:val="00B14DA5"/>
    <w:rsid w:val="00B17BD7"/>
    <w:rsid w:val="00B2067D"/>
    <w:rsid w:val="00B2184C"/>
    <w:rsid w:val="00B21B15"/>
    <w:rsid w:val="00B23093"/>
    <w:rsid w:val="00B25258"/>
    <w:rsid w:val="00B26F4D"/>
    <w:rsid w:val="00B30302"/>
    <w:rsid w:val="00B30ABC"/>
    <w:rsid w:val="00B358A5"/>
    <w:rsid w:val="00B3769A"/>
    <w:rsid w:val="00B42FD4"/>
    <w:rsid w:val="00B43EB6"/>
    <w:rsid w:val="00B511C1"/>
    <w:rsid w:val="00B52AE4"/>
    <w:rsid w:val="00B5360F"/>
    <w:rsid w:val="00B54DCC"/>
    <w:rsid w:val="00B643B2"/>
    <w:rsid w:val="00B66319"/>
    <w:rsid w:val="00B70819"/>
    <w:rsid w:val="00B72CD3"/>
    <w:rsid w:val="00B72FFF"/>
    <w:rsid w:val="00B73EBA"/>
    <w:rsid w:val="00B7412A"/>
    <w:rsid w:val="00B74EFD"/>
    <w:rsid w:val="00B80F4F"/>
    <w:rsid w:val="00B82E2D"/>
    <w:rsid w:val="00B83107"/>
    <w:rsid w:val="00B93DCB"/>
    <w:rsid w:val="00B94795"/>
    <w:rsid w:val="00B9515E"/>
    <w:rsid w:val="00B9589D"/>
    <w:rsid w:val="00B97A8E"/>
    <w:rsid w:val="00BA1EB5"/>
    <w:rsid w:val="00BB054D"/>
    <w:rsid w:val="00BB4CBD"/>
    <w:rsid w:val="00BB55BC"/>
    <w:rsid w:val="00BB725A"/>
    <w:rsid w:val="00BC3D36"/>
    <w:rsid w:val="00BC604D"/>
    <w:rsid w:val="00BC7BEC"/>
    <w:rsid w:val="00BD7F72"/>
    <w:rsid w:val="00BE09A3"/>
    <w:rsid w:val="00BE7E7F"/>
    <w:rsid w:val="00BF508A"/>
    <w:rsid w:val="00C04FB3"/>
    <w:rsid w:val="00C07B89"/>
    <w:rsid w:val="00C1413B"/>
    <w:rsid w:val="00C141CA"/>
    <w:rsid w:val="00C142DA"/>
    <w:rsid w:val="00C14446"/>
    <w:rsid w:val="00C2001F"/>
    <w:rsid w:val="00C20CF0"/>
    <w:rsid w:val="00C2256E"/>
    <w:rsid w:val="00C240FC"/>
    <w:rsid w:val="00C2709C"/>
    <w:rsid w:val="00C27C38"/>
    <w:rsid w:val="00C32A10"/>
    <w:rsid w:val="00C32DF4"/>
    <w:rsid w:val="00C3305F"/>
    <w:rsid w:val="00C330EB"/>
    <w:rsid w:val="00C35426"/>
    <w:rsid w:val="00C3723A"/>
    <w:rsid w:val="00C41061"/>
    <w:rsid w:val="00C443DB"/>
    <w:rsid w:val="00C45E77"/>
    <w:rsid w:val="00C4730A"/>
    <w:rsid w:val="00C562D4"/>
    <w:rsid w:val="00C61C77"/>
    <w:rsid w:val="00C73662"/>
    <w:rsid w:val="00C748EE"/>
    <w:rsid w:val="00C75373"/>
    <w:rsid w:val="00C754BE"/>
    <w:rsid w:val="00C76123"/>
    <w:rsid w:val="00C76B1C"/>
    <w:rsid w:val="00C8101E"/>
    <w:rsid w:val="00C829CA"/>
    <w:rsid w:val="00C868B9"/>
    <w:rsid w:val="00C918F1"/>
    <w:rsid w:val="00CA3A18"/>
    <w:rsid w:val="00CA769F"/>
    <w:rsid w:val="00CB1DA6"/>
    <w:rsid w:val="00CB5E27"/>
    <w:rsid w:val="00CB6357"/>
    <w:rsid w:val="00CB73C5"/>
    <w:rsid w:val="00CC1B26"/>
    <w:rsid w:val="00CC5626"/>
    <w:rsid w:val="00CC6F7D"/>
    <w:rsid w:val="00CC7574"/>
    <w:rsid w:val="00CE48F4"/>
    <w:rsid w:val="00CE7597"/>
    <w:rsid w:val="00CF5ED9"/>
    <w:rsid w:val="00CF76EA"/>
    <w:rsid w:val="00CF7E4C"/>
    <w:rsid w:val="00D0301D"/>
    <w:rsid w:val="00D03EF8"/>
    <w:rsid w:val="00D04F91"/>
    <w:rsid w:val="00D05B14"/>
    <w:rsid w:val="00D07047"/>
    <w:rsid w:val="00D1143F"/>
    <w:rsid w:val="00D11E8A"/>
    <w:rsid w:val="00D132BA"/>
    <w:rsid w:val="00D140B6"/>
    <w:rsid w:val="00D160AF"/>
    <w:rsid w:val="00D211A0"/>
    <w:rsid w:val="00D21B16"/>
    <w:rsid w:val="00D23F68"/>
    <w:rsid w:val="00D2627C"/>
    <w:rsid w:val="00D31547"/>
    <w:rsid w:val="00D340CB"/>
    <w:rsid w:val="00D363E4"/>
    <w:rsid w:val="00D423A2"/>
    <w:rsid w:val="00D44EA8"/>
    <w:rsid w:val="00D451B1"/>
    <w:rsid w:val="00D46548"/>
    <w:rsid w:val="00D47AC9"/>
    <w:rsid w:val="00D47EA7"/>
    <w:rsid w:val="00D520D8"/>
    <w:rsid w:val="00D53B1F"/>
    <w:rsid w:val="00D54A96"/>
    <w:rsid w:val="00D57FE3"/>
    <w:rsid w:val="00D61AF1"/>
    <w:rsid w:val="00D63AC2"/>
    <w:rsid w:val="00D65944"/>
    <w:rsid w:val="00D669A6"/>
    <w:rsid w:val="00D6724E"/>
    <w:rsid w:val="00D675EA"/>
    <w:rsid w:val="00D67CCD"/>
    <w:rsid w:val="00D7383B"/>
    <w:rsid w:val="00D83413"/>
    <w:rsid w:val="00D84681"/>
    <w:rsid w:val="00D85FC2"/>
    <w:rsid w:val="00D86999"/>
    <w:rsid w:val="00D92AFD"/>
    <w:rsid w:val="00D92CE7"/>
    <w:rsid w:val="00D9340F"/>
    <w:rsid w:val="00D9402A"/>
    <w:rsid w:val="00D94DCC"/>
    <w:rsid w:val="00D956FE"/>
    <w:rsid w:val="00D968D1"/>
    <w:rsid w:val="00DA1112"/>
    <w:rsid w:val="00DA1AE6"/>
    <w:rsid w:val="00DA231B"/>
    <w:rsid w:val="00DA3880"/>
    <w:rsid w:val="00DA4396"/>
    <w:rsid w:val="00DB16FD"/>
    <w:rsid w:val="00DB2B00"/>
    <w:rsid w:val="00DB6D9E"/>
    <w:rsid w:val="00DC156F"/>
    <w:rsid w:val="00DC2265"/>
    <w:rsid w:val="00DC347A"/>
    <w:rsid w:val="00DC39FC"/>
    <w:rsid w:val="00DD2E20"/>
    <w:rsid w:val="00DD53C0"/>
    <w:rsid w:val="00DD5A44"/>
    <w:rsid w:val="00DE2467"/>
    <w:rsid w:val="00DE48FD"/>
    <w:rsid w:val="00DE7466"/>
    <w:rsid w:val="00DF13B0"/>
    <w:rsid w:val="00DF2194"/>
    <w:rsid w:val="00DF2C39"/>
    <w:rsid w:val="00DF521A"/>
    <w:rsid w:val="00DF5254"/>
    <w:rsid w:val="00DF7D5D"/>
    <w:rsid w:val="00E103CF"/>
    <w:rsid w:val="00E16018"/>
    <w:rsid w:val="00E16408"/>
    <w:rsid w:val="00E20884"/>
    <w:rsid w:val="00E20894"/>
    <w:rsid w:val="00E22A16"/>
    <w:rsid w:val="00E240F3"/>
    <w:rsid w:val="00E245AB"/>
    <w:rsid w:val="00E2764C"/>
    <w:rsid w:val="00E27F2E"/>
    <w:rsid w:val="00E30958"/>
    <w:rsid w:val="00E31648"/>
    <w:rsid w:val="00E31F68"/>
    <w:rsid w:val="00E41FCD"/>
    <w:rsid w:val="00E4271C"/>
    <w:rsid w:val="00E44A93"/>
    <w:rsid w:val="00E470D1"/>
    <w:rsid w:val="00E50AFE"/>
    <w:rsid w:val="00E51404"/>
    <w:rsid w:val="00E618C8"/>
    <w:rsid w:val="00E6227E"/>
    <w:rsid w:val="00E626B5"/>
    <w:rsid w:val="00E640B4"/>
    <w:rsid w:val="00E67F55"/>
    <w:rsid w:val="00E72277"/>
    <w:rsid w:val="00E7385A"/>
    <w:rsid w:val="00E7389E"/>
    <w:rsid w:val="00E74B20"/>
    <w:rsid w:val="00E7517B"/>
    <w:rsid w:val="00E75C92"/>
    <w:rsid w:val="00E771DC"/>
    <w:rsid w:val="00E807F5"/>
    <w:rsid w:val="00E8517B"/>
    <w:rsid w:val="00E86781"/>
    <w:rsid w:val="00E8772A"/>
    <w:rsid w:val="00E90E3E"/>
    <w:rsid w:val="00E90F6B"/>
    <w:rsid w:val="00E92A30"/>
    <w:rsid w:val="00E92C27"/>
    <w:rsid w:val="00E9418A"/>
    <w:rsid w:val="00E94542"/>
    <w:rsid w:val="00EA0E3D"/>
    <w:rsid w:val="00EA5B0C"/>
    <w:rsid w:val="00EA5E12"/>
    <w:rsid w:val="00EA6460"/>
    <w:rsid w:val="00EA7F40"/>
    <w:rsid w:val="00EB5053"/>
    <w:rsid w:val="00EB52C1"/>
    <w:rsid w:val="00EC14DC"/>
    <w:rsid w:val="00EC38A7"/>
    <w:rsid w:val="00EC420D"/>
    <w:rsid w:val="00EC449E"/>
    <w:rsid w:val="00EC5C83"/>
    <w:rsid w:val="00EC6AC6"/>
    <w:rsid w:val="00EC7930"/>
    <w:rsid w:val="00EC7E5C"/>
    <w:rsid w:val="00ED0358"/>
    <w:rsid w:val="00ED0BAB"/>
    <w:rsid w:val="00ED1EA7"/>
    <w:rsid w:val="00ED3D0B"/>
    <w:rsid w:val="00ED65FB"/>
    <w:rsid w:val="00ED6E39"/>
    <w:rsid w:val="00ED7384"/>
    <w:rsid w:val="00EE1AA8"/>
    <w:rsid w:val="00EE2CAA"/>
    <w:rsid w:val="00EF1F93"/>
    <w:rsid w:val="00EF43E9"/>
    <w:rsid w:val="00EF48BA"/>
    <w:rsid w:val="00EF7078"/>
    <w:rsid w:val="00F01979"/>
    <w:rsid w:val="00F04DA2"/>
    <w:rsid w:val="00F07496"/>
    <w:rsid w:val="00F136D9"/>
    <w:rsid w:val="00F16374"/>
    <w:rsid w:val="00F16AF8"/>
    <w:rsid w:val="00F20726"/>
    <w:rsid w:val="00F258B7"/>
    <w:rsid w:val="00F277D9"/>
    <w:rsid w:val="00F3096C"/>
    <w:rsid w:val="00F31EDC"/>
    <w:rsid w:val="00F32244"/>
    <w:rsid w:val="00F372E5"/>
    <w:rsid w:val="00F40F4F"/>
    <w:rsid w:val="00F45BE1"/>
    <w:rsid w:val="00F462B3"/>
    <w:rsid w:val="00F516DC"/>
    <w:rsid w:val="00F519C6"/>
    <w:rsid w:val="00F54432"/>
    <w:rsid w:val="00F54CBD"/>
    <w:rsid w:val="00F5664F"/>
    <w:rsid w:val="00F5687A"/>
    <w:rsid w:val="00F63CCB"/>
    <w:rsid w:val="00F65B8A"/>
    <w:rsid w:val="00F666C4"/>
    <w:rsid w:val="00F76AFC"/>
    <w:rsid w:val="00F7787F"/>
    <w:rsid w:val="00F811A6"/>
    <w:rsid w:val="00F83081"/>
    <w:rsid w:val="00F83C0E"/>
    <w:rsid w:val="00F86273"/>
    <w:rsid w:val="00F9394E"/>
    <w:rsid w:val="00F943E6"/>
    <w:rsid w:val="00FA47C0"/>
    <w:rsid w:val="00FB2223"/>
    <w:rsid w:val="00FB2604"/>
    <w:rsid w:val="00FB39EA"/>
    <w:rsid w:val="00FB5DD1"/>
    <w:rsid w:val="00FC056B"/>
    <w:rsid w:val="00FC2B5D"/>
    <w:rsid w:val="00FC574F"/>
    <w:rsid w:val="00FD1EB0"/>
    <w:rsid w:val="00FD35EB"/>
    <w:rsid w:val="00FD7C3C"/>
    <w:rsid w:val="00FE001E"/>
    <w:rsid w:val="00FE15D1"/>
    <w:rsid w:val="00FE1E98"/>
    <w:rsid w:val="00FE3017"/>
    <w:rsid w:val="00FE30F1"/>
    <w:rsid w:val="00FF1449"/>
    <w:rsid w:val="00FF7AB3"/>
    <w:rsid w:val="00FF7ED3"/>
    <w:rsid w:val="3D38C6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622A002-AE24-4B04-B9E5-658CE2BD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5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uiPriority w:val="1"/>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B26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261C"/>
    <w:rPr>
      <w:rFonts w:ascii="Geomanist Light" w:hAnsi="Geomanist Light"/>
      <w:lang w:val="es-ES"/>
    </w:rPr>
  </w:style>
  <w:style w:type="character" w:customStyle="1" w:styleId="baj">
    <w:name w:val="b_aj"/>
    <w:basedOn w:val="Fuentedeprrafopredeter"/>
    <w:rsid w:val="005B261C"/>
  </w:style>
  <w:style w:type="character" w:styleId="Refdecomentario">
    <w:name w:val="annotation reference"/>
    <w:basedOn w:val="Fuentedeprrafopredeter"/>
    <w:uiPriority w:val="99"/>
    <w:semiHidden/>
    <w:unhideWhenUsed/>
    <w:rsid w:val="0060028A"/>
    <w:rPr>
      <w:sz w:val="16"/>
      <w:szCs w:val="16"/>
    </w:rPr>
  </w:style>
  <w:style w:type="paragraph" w:styleId="Textocomentario">
    <w:name w:val="annotation text"/>
    <w:basedOn w:val="Normal"/>
    <w:link w:val="TextocomentarioCar"/>
    <w:uiPriority w:val="99"/>
    <w:unhideWhenUsed/>
    <w:rsid w:val="0060028A"/>
    <w:pPr>
      <w:spacing w:line="240" w:lineRule="auto"/>
    </w:pPr>
    <w:rPr>
      <w:sz w:val="20"/>
      <w:szCs w:val="20"/>
    </w:rPr>
  </w:style>
  <w:style w:type="character" w:customStyle="1" w:styleId="TextocomentarioCar">
    <w:name w:val="Texto comentario Car"/>
    <w:basedOn w:val="Fuentedeprrafopredeter"/>
    <w:link w:val="Textocomentario"/>
    <w:uiPriority w:val="99"/>
    <w:rsid w:val="0060028A"/>
    <w:rPr>
      <w:sz w:val="20"/>
      <w:szCs w:val="20"/>
    </w:rPr>
  </w:style>
  <w:style w:type="paragraph" w:styleId="Asuntodelcomentario">
    <w:name w:val="annotation subject"/>
    <w:basedOn w:val="Textocomentario"/>
    <w:next w:val="Textocomentario"/>
    <w:link w:val="AsuntodelcomentarioCar"/>
    <w:uiPriority w:val="99"/>
    <w:semiHidden/>
    <w:unhideWhenUsed/>
    <w:rsid w:val="0060028A"/>
    <w:rPr>
      <w:b/>
      <w:bCs/>
    </w:rPr>
  </w:style>
  <w:style w:type="character" w:customStyle="1" w:styleId="AsuntodelcomentarioCar">
    <w:name w:val="Asunto del comentario Car"/>
    <w:basedOn w:val="TextocomentarioCar"/>
    <w:link w:val="Asuntodelcomentario"/>
    <w:uiPriority w:val="99"/>
    <w:semiHidden/>
    <w:rsid w:val="0060028A"/>
    <w:rPr>
      <w:b/>
      <w:bCs/>
      <w:sz w:val="20"/>
      <w:szCs w:val="20"/>
    </w:rPr>
  </w:style>
  <w:style w:type="paragraph" w:styleId="Subttulo">
    <w:name w:val="Subtitle"/>
    <w:basedOn w:val="Normal"/>
    <w:next w:val="Normal"/>
    <w:link w:val="SubttuloCar"/>
    <w:uiPriority w:val="11"/>
    <w:qFormat/>
    <w:rsid w:val="004F34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345C"/>
    <w:rPr>
      <w:rFonts w:eastAsiaTheme="majorEastAsia" w:cstheme="majorBidi"/>
      <w:color w:val="595959" w:themeColor="text1" w:themeTint="A6"/>
      <w:spacing w:val="15"/>
      <w:sz w:val="28"/>
      <w:szCs w:val="28"/>
    </w:rPr>
  </w:style>
  <w:style w:type="character" w:customStyle="1" w:styleId="s15">
    <w:name w:val="s15"/>
    <w:basedOn w:val="Fuentedeprrafopredeter"/>
    <w:rsid w:val="0095597B"/>
  </w:style>
  <w:style w:type="character" w:customStyle="1" w:styleId="NormalWebCar">
    <w:name w:val="Normal (Web) Car"/>
    <w:link w:val="NormalWeb"/>
    <w:uiPriority w:val="99"/>
    <w:locked/>
    <w:rsid w:val="001B36D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unhideWhenUsed/>
    <w:rsid w:val="00281F2F"/>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81F2F"/>
    <w:rPr>
      <w:rFonts w:eastAsiaTheme="minorEastAsia"/>
      <w:lang w:eastAsia="es-CO"/>
    </w:rPr>
  </w:style>
  <w:style w:type="paragraph" w:styleId="Sinespaciado">
    <w:name w:val="No Spacing"/>
    <w:aliases w:val="No Indent"/>
    <w:uiPriority w:val="1"/>
    <w:qFormat/>
    <w:rsid w:val="00EA5B0C"/>
    <w:pPr>
      <w:spacing w:after="0" w:line="240" w:lineRule="auto"/>
    </w:pPr>
    <w:rPr>
      <w:sz w:val="24"/>
      <w:lang w:val="es-MX"/>
    </w:rPr>
  </w:style>
  <w:style w:type="paragraph" w:customStyle="1" w:styleId="Textoindependiente1">
    <w:name w:val="Texto independiente1"/>
    <w:basedOn w:val="Normal"/>
    <w:next w:val="Textoindependiente"/>
    <w:uiPriority w:val="99"/>
    <w:unhideWhenUsed/>
    <w:rsid w:val="00D9340F"/>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D9340F"/>
    <w:pPr>
      <w:spacing w:after="120"/>
    </w:pPr>
  </w:style>
  <w:style w:type="character" w:customStyle="1" w:styleId="superscript">
    <w:name w:val="superscript"/>
    <w:basedOn w:val="Fuentedeprrafopredeter"/>
    <w:rsid w:val="00801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99330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6723710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oyerolayatorres52@gmail.com"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A9908-0046-4257-A04F-40CBA2972892}"/>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E7AC9E9E-64A4-4638-BD23-E9BB0BD2A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14208</TotalTime>
  <Pages>17</Pages>
  <Words>5931</Words>
  <Characters>32626</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14</cp:revision>
  <cp:lastPrinted>2023-01-10T21:18:00Z</cp:lastPrinted>
  <dcterms:created xsi:type="dcterms:W3CDTF">2025-12-30T05:05:00Z</dcterms:created>
  <dcterms:modified xsi:type="dcterms:W3CDTF">2026-06-25T16:50:00Z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