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B0456" w14:textId="77777777" w:rsidR="00D40DFA" w:rsidRDefault="00D40DFA" w:rsidP="00D40DFA">
      <w:pPr>
        <w:spacing w:after="0"/>
        <w:jc w:val="both"/>
        <w:rPr>
          <w:rFonts w:ascii="Verdana" w:eastAsia="Verdana" w:hAnsi="Verdana" w:cs="Verdana"/>
          <w:b/>
          <w:bCs/>
        </w:rPr>
      </w:pPr>
      <w:bookmarkStart w:id="0" w:name="_Hlk143780582"/>
      <w:r w:rsidRPr="00426BBE">
        <w:rPr>
          <w:rFonts w:ascii="Verdana" w:eastAsia="Verdana" w:hAnsi="Verdana" w:cs="Verdana"/>
          <w:b/>
          <w:bCs/>
        </w:rPr>
        <w:t>LEY DE GARANTÍAS ELECTORALES – Propósito</w:t>
      </w:r>
    </w:p>
    <w:p w14:paraId="1FC22C83" w14:textId="77777777" w:rsidR="00D40DFA" w:rsidRPr="00426BBE" w:rsidRDefault="00D40DFA" w:rsidP="00D40DFA">
      <w:pPr>
        <w:spacing w:after="0"/>
        <w:jc w:val="both"/>
        <w:rPr>
          <w:rFonts w:ascii="Verdana" w:eastAsia="Verdana" w:hAnsi="Verdana" w:cs="Verdana"/>
        </w:rPr>
      </w:pPr>
    </w:p>
    <w:p w14:paraId="77326C30" w14:textId="77777777" w:rsidR="00D40DFA" w:rsidRPr="00426BBE" w:rsidRDefault="00D40DFA" w:rsidP="00D40DFA">
      <w:pPr>
        <w:spacing w:after="0"/>
        <w:jc w:val="both"/>
        <w:rPr>
          <w:rFonts w:ascii="Verdana" w:eastAsia="Verdana" w:hAnsi="Verdana" w:cs="Verdana"/>
          <w:sz w:val="20"/>
          <w:szCs w:val="20"/>
        </w:rPr>
      </w:pPr>
      <w:r w:rsidRPr="00426BBE">
        <w:rPr>
          <w:rFonts w:ascii="Verdana" w:eastAsia="Verdana" w:hAnsi="Verdana" w:cs="Verdana"/>
          <w:sz w:val="20"/>
          <w:szCs w:val="20"/>
        </w:rPr>
        <w:t>[…] la Ley de Garantías Electorales establece el marco jurídico para el desarrollo de las elecciones, procurando condiciones de igualdad y transparencia para los aspirantes y paralelamente se incluyen restricciones en el actuar de los servidores públicos, evitando interferencias en la contienda electoral, así como la posible desviación de recursos públicos en aspiraciones electorales […]</w:t>
      </w:r>
    </w:p>
    <w:p w14:paraId="646D5C08" w14:textId="77777777" w:rsidR="00D40DFA" w:rsidRPr="00426BBE" w:rsidRDefault="00D40DFA" w:rsidP="00D40DFA">
      <w:pPr>
        <w:spacing w:after="0"/>
        <w:jc w:val="both"/>
        <w:rPr>
          <w:rFonts w:ascii="Verdana" w:eastAsia="Verdana" w:hAnsi="Verdana" w:cs="Verdana"/>
        </w:rPr>
      </w:pPr>
    </w:p>
    <w:p w14:paraId="52707CA4" w14:textId="77777777" w:rsidR="00D40DFA" w:rsidRDefault="00D40DFA" w:rsidP="00D40DFA">
      <w:pPr>
        <w:spacing w:after="0"/>
        <w:jc w:val="both"/>
        <w:rPr>
          <w:rFonts w:ascii="Verdana" w:eastAsia="Verdana" w:hAnsi="Verdana" w:cs="Verdana"/>
          <w:b/>
          <w:bCs/>
        </w:rPr>
      </w:pPr>
      <w:r w:rsidRPr="00426BBE">
        <w:rPr>
          <w:rFonts w:ascii="Verdana" w:eastAsia="Verdana" w:hAnsi="Verdana" w:cs="Verdana"/>
          <w:b/>
          <w:bCs/>
        </w:rPr>
        <w:t>LEY DE GARANTÍAS ELECTORALES – Prohibiciones – Restricciones</w:t>
      </w:r>
    </w:p>
    <w:p w14:paraId="406A8255" w14:textId="77777777" w:rsidR="00D40DFA" w:rsidRPr="00426BBE" w:rsidRDefault="00D40DFA" w:rsidP="00D40DFA">
      <w:pPr>
        <w:spacing w:after="0"/>
        <w:jc w:val="both"/>
        <w:rPr>
          <w:rFonts w:ascii="Verdana" w:eastAsia="Verdana" w:hAnsi="Verdana" w:cs="Verdana"/>
          <w:sz w:val="20"/>
          <w:szCs w:val="20"/>
        </w:rPr>
      </w:pPr>
    </w:p>
    <w:p w14:paraId="5116E027" w14:textId="77777777" w:rsidR="00D40DFA" w:rsidRPr="00426BBE" w:rsidRDefault="00D40DFA" w:rsidP="00D40DFA">
      <w:pPr>
        <w:spacing w:after="0"/>
        <w:jc w:val="both"/>
        <w:rPr>
          <w:rFonts w:ascii="Verdana" w:eastAsia="Verdana" w:hAnsi="Verdana" w:cs="Verdana"/>
          <w:sz w:val="20"/>
          <w:szCs w:val="20"/>
        </w:rPr>
      </w:pPr>
      <w:r w:rsidRPr="00426BBE">
        <w:rPr>
          <w:rFonts w:ascii="Verdana" w:eastAsia="Verdana" w:hAnsi="Verdana" w:cs="Verdana"/>
          <w:sz w:val="20"/>
          <w:szCs w:val="20"/>
        </w:rPr>
        <w:t>[…] la Ley de Garantías Electorales fijó una serie de regulaciones y prohibiciones dirigidas a los servidores públicos. Así, con la finalidad de preservar la igualdad entre los candidatos en las elecciones, aumentó las garantías en materia de contratación, de forma que no exista siquiera sospecha de que, por ese medio, en los periodos previos a la contienda electoral, se altere las condiciones de igualdad entre los candidatos. Específicamente, las restricciones consagradas en la citada ley se dirigen a dos (2) tipos de campañas electorales claramente diferenciadas: las presidenciales y las demás que se adelanten para la elección de los demás cargos de elección popular, tanto a nivel nacional como a nivel territorial.</w:t>
      </w:r>
    </w:p>
    <w:p w14:paraId="75A219DF" w14:textId="77777777" w:rsidR="00D40DFA" w:rsidRPr="00426BBE" w:rsidRDefault="00D40DFA" w:rsidP="00D40DFA">
      <w:pPr>
        <w:spacing w:after="0"/>
        <w:jc w:val="both"/>
        <w:rPr>
          <w:rFonts w:ascii="Verdana" w:eastAsia="Verdana" w:hAnsi="Verdana" w:cs="Verdana"/>
          <w:sz w:val="20"/>
          <w:szCs w:val="20"/>
        </w:rPr>
      </w:pPr>
    </w:p>
    <w:p w14:paraId="66C77AD1" w14:textId="77777777" w:rsidR="00D40DFA" w:rsidRPr="00426BBE" w:rsidRDefault="00D40DFA" w:rsidP="00D40DFA">
      <w:pPr>
        <w:spacing w:after="0"/>
        <w:jc w:val="both"/>
        <w:rPr>
          <w:rFonts w:ascii="Verdana" w:eastAsia="Verdana" w:hAnsi="Verdana" w:cs="Verdana"/>
          <w:sz w:val="20"/>
          <w:szCs w:val="20"/>
        </w:rPr>
      </w:pPr>
      <w:r w:rsidRPr="00426BBE">
        <w:rPr>
          <w:rFonts w:ascii="Verdana" w:eastAsia="Verdana" w:hAnsi="Verdana" w:cs="Verdana"/>
          <w:sz w:val="20"/>
          <w:szCs w:val="20"/>
        </w:rPr>
        <w:t>Por un lado, el artículo 33 de la Ley 996 de 2005 prohíbe “(…) la contratación directa por parte de todos los entes del Estado” durante los cuatro (4) meses anteriores a las elecciones presidenciales, salvo “(…) 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p>
    <w:p w14:paraId="0DBF990B" w14:textId="77777777" w:rsidR="00D40DFA" w:rsidRPr="00426BBE" w:rsidRDefault="00D40DFA" w:rsidP="00D40DFA">
      <w:pPr>
        <w:spacing w:after="0"/>
        <w:jc w:val="both"/>
        <w:rPr>
          <w:rFonts w:ascii="Verdana" w:eastAsia="Verdana" w:hAnsi="Verdana" w:cs="Verdana"/>
          <w:sz w:val="20"/>
          <w:szCs w:val="20"/>
        </w:rPr>
      </w:pPr>
    </w:p>
    <w:p w14:paraId="0A5EEACE" w14:textId="77777777" w:rsidR="00D40DFA" w:rsidRDefault="00D40DFA" w:rsidP="00D40DFA">
      <w:pPr>
        <w:spacing w:after="0"/>
        <w:jc w:val="both"/>
        <w:rPr>
          <w:rFonts w:ascii="Verdana" w:eastAsia="Verdana" w:hAnsi="Verdana" w:cs="Verdana"/>
          <w:sz w:val="20"/>
          <w:szCs w:val="20"/>
        </w:rPr>
      </w:pPr>
      <w:r w:rsidRPr="00426BBE">
        <w:rPr>
          <w:rFonts w:ascii="Verdana" w:eastAsia="Verdana" w:hAnsi="Verdana" w:cs="Verdana"/>
          <w:sz w:val="20"/>
          <w:szCs w:val="20"/>
        </w:rPr>
        <w:t>Por otro lado, el parágrafo del artículo 38 de la Ley 996 de 2005 prevé una restricción, aplicable respecto de cualquier tipo de contienda electoral, que prohíbe a los gobernadores, alcaldes municipales o distritales, secretarios, gerentes y directores de entidades descentralizadas del orden municipal, departamental o distrital “(…) celebrar convenios interadministrativos para la ejecución de recursos públicos, ni participar, promover y destinar recursos públicos de las entidades a su cargo, como tampoco de las que participen como miembros de sus juntas directivas, en o para reuniones de carácter proselitista.</w:t>
      </w:r>
    </w:p>
    <w:p w14:paraId="76628FF6" w14:textId="77777777" w:rsidR="00D40DFA" w:rsidRPr="00426BBE" w:rsidRDefault="00D40DFA" w:rsidP="00D40DFA">
      <w:pPr>
        <w:spacing w:after="0"/>
        <w:jc w:val="both"/>
        <w:rPr>
          <w:rFonts w:ascii="Verdana" w:eastAsia="Verdana" w:hAnsi="Verdana" w:cs="Verdana"/>
          <w:sz w:val="20"/>
          <w:szCs w:val="20"/>
        </w:rPr>
      </w:pPr>
    </w:p>
    <w:p w14:paraId="3E39DA3C" w14:textId="77777777" w:rsidR="00D40DFA" w:rsidRPr="00426BBE" w:rsidRDefault="00D40DFA" w:rsidP="00D40DFA">
      <w:pPr>
        <w:spacing w:after="0"/>
        <w:jc w:val="both"/>
        <w:rPr>
          <w:rFonts w:ascii="Verdana" w:eastAsia="Verdana" w:hAnsi="Verdana" w:cs="Verdana"/>
          <w:sz w:val="20"/>
          <w:szCs w:val="20"/>
        </w:rPr>
      </w:pPr>
      <w:r w:rsidRPr="00426BBE">
        <w:rPr>
          <w:rFonts w:ascii="Verdana" w:eastAsia="Verdana" w:hAnsi="Verdana" w:cs="Verdana"/>
          <w:sz w:val="20"/>
          <w:szCs w:val="20"/>
        </w:rPr>
        <w:t xml:space="preserve">Ambas restricciones no son excluyentes, lo que permite concluir que en el período preelectoral para elección de </w:t>
      </w:r>
      <w:proofErr w:type="gramStart"/>
      <w:r w:rsidRPr="00426BBE">
        <w:rPr>
          <w:rFonts w:ascii="Verdana" w:eastAsia="Verdana" w:hAnsi="Verdana" w:cs="Verdana"/>
          <w:sz w:val="20"/>
          <w:szCs w:val="20"/>
        </w:rPr>
        <w:t>Presidente</w:t>
      </w:r>
      <w:proofErr w:type="gramEnd"/>
      <w:r w:rsidRPr="00426BBE">
        <w:rPr>
          <w:rFonts w:ascii="Verdana" w:eastAsia="Verdana" w:hAnsi="Verdana" w:cs="Verdana"/>
          <w:sz w:val="20"/>
          <w:szCs w:val="20"/>
        </w:rPr>
        <w:t xml:space="preserve"> de la República, a todos los entes del Estado, incluidos los territoriales, aplican las restricciones del artículo 33 con sus excepciones, así como las del parágrafo del artículo 38. En cambio, tratándose de elecciones en </w:t>
      </w:r>
      <w:r w:rsidRPr="00426BBE">
        <w:rPr>
          <w:rFonts w:ascii="Verdana" w:eastAsia="Verdana" w:hAnsi="Verdana" w:cs="Verdana"/>
          <w:sz w:val="20"/>
          <w:szCs w:val="20"/>
        </w:rPr>
        <w:lastRenderedPageBreak/>
        <w:t xml:space="preserve">general, excluyendo las correspondientes al </w:t>
      </w:r>
      <w:proofErr w:type="gramStart"/>
      <w:r w:rsidRPr="00426BBE">
        <w:rPr>
          <w:rFonts w:ascii="Verdana" w:eastAsia="Verdana" w:hAnsi="Verdana" w:cs="Verdana"/>
          <w:sz w:val="20"/>
          <w:szCs w:val="20"/>
        </w:rPr>
        <w:t>Presidente</w:t>
      </w:r>
      <w:proofErr w:type="gramEnd"/>
      <w:r w:rsidRPr="00426BBE">
        <w:rPr>
          <w:rFonts w:ascii="Verdana" w:eastAsia="Verdana" w:hAnsi="Verdana" w:cs="Verdana"/>
          <w:sz w:val="20"/>
          <w:szCs w:val="20"/>
        </w:rPr>
        <w:t xml:space="preserve"> de la República, las autoridades allí mencionadas sólo deben aplicar las restricciones contenidas en el parágrafo del artículo 38.</w:t>
      </w:r>
    </w:p>
    <w:p w14:paraId="4C761207" w14:textId="77777777" w:rsidR="00D40DFA" w:rsidRPr="00426BBE" w:rsidRDefault="00D40DFA" w:rsidP="00D40DFA">
      <w:pPr>
        <w:spacing w:after="0"/>
        <w:jc w:val="both"/>
        <w:rPr>
          <w:rFonts w:ascii="Verdana" w:eastAsia="Verdana" w:hAnsi="Verdana" w:cs="Verdana"/>
        </w:rPr>
      </w:pPr>
    </w:p>
    <w:p w14:paraId="689E7566" w14:textId="77777777" w:rsidR="00D40DFA" w:rsidRDefault="00D40DFA" w:rsidP="00D40DFA">
      <w:pPr>
        <w:spacing w:after="0"/>
        <w:jc w:val="both"/>
        <w:rPr>
          <w:rFonts w:ascii="Verdana" w:eastAsia="Verdana" w:hAnsi="Verdana" w:cs="Verdana"/>
          <w:b/>
          <w:bCs/>
        </w:rPr>
      </w:pPr>
      <w:r w:rsidRPr="00426BBE">
        <w:rPr>
          <w:rFonts w:ascii="Verdana" w:eastAsia="Verdana" w:hAnsi="Verdana" w:cs="Verdana"/>
          <w:b/>
          <w:bCs/>
        </w:rPr>
        <w:t xml:space="preserve">LEY DE GARANTÍAS ELECTORALES – Artículo 33 – Ámbito material - Destinatarios </w:t>
      </w:r>
      <w:r>
        <w:rPr>
          <w:rFonts w:ascii="Verdana" w:eastAsia="Verdana" w:hAnsi="Verdana" w:cs="Verdana"/>
          <w:b/>
          <w:bCs/>
        </w:rPr>
        <w:t>–</w:t>
      </w:r>
      <w:r w:rsidRPr="00426BBE">
        <w:rPr>
          <w:rFonts w:ascii="Verdana" w:eastAsia="Verdana" w:hAnsi="Verdana" w:cs="Verdana"/>
          <w:b/>
          <w:bCs/>
        </w:rPr>
        <w:t xml:space="preserve"> Excepciones</w:t>
      </w:r>
    </w:p>
    <w:p w14:paraId="220AC89C" w14:textId="77777777" w:rsidR="00D40DFA" w:rsidRPr="00426BBE" w:rsidRDefault="00D40DFA" w:rsidP="00D40DFA">
      <w:pPr>
        <w:spacing w:after="0"/>
        <w:jc w:val="both"/>
        <w:rPr>
          <w:rFonts w:ascii="Verdana" w:eastAsia="Verdana" w:hAnsi="Verdana" w:cs="Verdana"/>
        </w:rPr>
      </w:pPr>
    </w:p>
    <w:p w14:paraId="12BEDA7F" w14:textId="77777777" w:rsidR="00D40DFA" w:rsidRPr="00426BBE" w:rsidRDefault="00D40DFA" w:rsidP="00D40DFA">
      <w:pPr>
        <w:spacing w:after="0"/>
        <w:jc w:val="both"/>
        <w:rPr>
          <w:rFonts w:ascii="Verdana" w:eastAsia="Verdana" w:hAnsi="Verdana" w:cs="Verdana"/>
          <w:sz w:val="20"/>
          <w:szCs w:val="20"/>
        </w:rPr>
      </w:pPr>
      <w:r w:rsidRPr="00426BBE">
        <w:rPr>
          <w:rFonts w:ascii="Verdana" w:eastAsia="Verdana" w:hAnsi="Verdana" w:cs="Verdana"/>
          <w:sz w:val="20"/>
          <w:szCs w:val="20"/>
        </w:rPr>
        <w:t>[…] el artículo 33 de la Ley 996 de 2005 prohíbe “(…) la contratación directa por parte de todos los entes del Estado” durante los cuatro (4) meses anteriores a las elecciones presidenciales [...]</w:t>
      </w:r>
    </w:p>
    <w:p w14:paraId="3ED0FB1A" w14:textId="77777777" w:rsidR="00D40DFA" w:rsidRPr="00426BBE" w:rsidRDefault="00D40DFA" w:rsidP="00D40DFA">
      <w:pPr>
        <w:spacing w:after="0"/>
        <w:jc w:val="both"/>
        <w:rPr>
          <w:rFonts w:ascii="Verdana" w:eastAsia="Verdana" w:hAnsi="Verdana" w:cs="Verdana"/>
          <w:sz w:val="20"/>
          <w:szCs w:val="20"/>
        </w:rPr>
      </w:pPr>
    </w:p>
    <w:p w14:paraId="723DDA6D" w14:textId="77777777" w:rsidR="00D40DFA" w:rsidRPr="00426BBE" w:rsidRDefault="00D40DFA" w:rsidP="00D40DFA">
      <w:pPr>
        <w:spacing w:after="0"/>
        <w:jc w:val="both"/>
        <w:rPr>
          <w:rFonts w:ascii="Verdana" w:eastAsia="Verdana" w:hAnsi="Verdana" w:cs="Verdana"/>
          <w:sz w:val="20"/>
          <w:szCs w:val="20"/>
        </w:rPr>
      </w:pPr>
      <w:r w:rsidRPr="00426BBE">
        <w:rPr>
          <w:rFonts w:ascii="Verdana" w:eastAsia="Verdana" w:hAnsi="Verdana" w:cs="Verdana"/>
          <w:sz w:val="20"/>
          <w:szCs w:val="20"/>
        </w:rPr>
        <w:t xml:space="preserve">[…] las entidades públicas, de acuerdo con el inciso final del artículo 33 de la Ley 996 de 2005 –Ley de Garantías Electorales–, y previo análisis de la naturaleza de las actividades que adelantan, podrán realizar procedimientos de selección directa en períodos previos a la contienda electoral por la Presidencia, cuando el contrato a celebrar se enmarquen dentro de algunas de las excepciones consagradas en dicha disposición, esto es: i) la defensa y seguridad del Estado; ii) los contratos de crédito público; iii) los requeridos para cubrir las emergencias educativas, sanitarias y desastres; </w:t>
      </w:r>
      <w:proofErr w:type="spellStart"/>
      <w:r w:rsidRPr="00426BBE">
        <w:rPr>
          <w:rFonts w:ascii="Verdana" w:eastAsia="Verdana" w:hAnsi="Verdana" w:cs="Verdana"/>
          <w:sz w:val="20"/>
          <w:szCs w:val="20"/>
        </w:rPr>
        <w:t>iv</w:t>
      </w:r>
      <w:proofErr w:type="spellEnd"/>
      <w:r w:rsidRPr="00426BBE">
        <w:rPr>
          <w:rFonts w:ascii="Verdana" w:eastAsia="Verdana" w:hAnsi="Verdana" w:cs="Verdana"/>
          <w:sz w:val="20"/>
          <w:szCs w:val="20"/>
        </w:rPr>
        <w:t>) los utilizados para la reconstrucción de vías, puentes, carreteras, infraestructura energética y de comunicaciones, en caso de que hayan sido objeto de atentados, acciones terroristas, desastres naturales o casos de fuerza mayor; y, v) los que deban realizar las entidades sanitarias y hospitalarias. En todo caso, se aclara que, la planeación, los estudios técnicos, jurídicos y económicos, que debe preceder la celebración de cada contrato, y que determinan su viabilidad desde tales perspectivas, son asuntos que competen a las entidades estatales que adelantan los procesos de contratación respectivos, con el apoyo de sus funcionarios y órganos asesores.</w:t>
      </w:r>
    </w:p>
    <w:p w14:paraId="49F17A76" w14:textId="77777777" w:rsidR="00D40DFA" w:rsidRPr="00426BBE" w:rsidRDefault="00D40DFA" w:rsidP="00D40DFA">
      <w:pPr>
        <w:spacing w:after="0"/>
        <w:jc w:val="both"/>
        <w:rPr>
          <w:rFonts w:ascii="Verdana" w:eastAsia="Verdana" w:hAnsi="Verdana" w:cs="Verdana"/>
        </w:rPr>
      </w:pPr>
    </w:p>
    <w:p w14:paraId="4FF3EC3D" w14:textId="77777777" w:rsidR="00D40DFA" w:rsidRPr="00426BBE" w:rsidRDefault="00D40DFA" w:rsidP="00D40DFA">
      <w:pPr>
        <w:spacing w:after="0"/>
        <w:jc w:val="both"/>
        <w:rPr>
          <w:rFonts w:ascii="Verdana" w:eastAsia="Verdana" w:hAnsi="Verdana" w:cs="Verdana"/>
        </w:rPr>
      </w:pPr>
      <w:r w:rsidRPr="00426BBE">
        <w:rPr>
          <w:rFonts w:ascii="Verdana" w:eastAsia="Verdana" w:hAnsi="Verdana" w:cs="Verdana"/>
          <w:b/>
          <w:bCs/>
        </w:rPr>
        <w:t>LEY DE GARANTÍAS ELECTORALES – Parágrafo del artículo 38 - Alcance</w:t>
      </w:r>
    </w:p>
    <w:p w14:paraId="5BBAC52A" w14:textId="77777777" w:rsidR="00D40DFA" w:rsidRDefault="00D40DFA" w:rsidP="00D40DFA">
      <w:pPr>
        <w:spacing w:after="0"/>
        <w:jc w:val="both"/>
        <w:rPr>
          <w:rFonts w:ascii="Verdana" w:eastAsia="Verdana" w:hAnsi="Verdana" w:cs="Verdana"/>
        </w:rPr>
      </w:pPr>
    </w:p>
    <w:p w14:paraId="272AB067" w14:textId="77777777" w:rsidR="00D40DFA" w:rsidRDefault="00D40DFA" w:rsidP="00D40DFA">
      <w:pPr>
        <w:spacing w:after="0"/>
        <w:jc w:val="both"/>
        <w:rPr>
          <w:rFonts w:ascii="Verdana" w:eastAsia="Verdana" w:hAnsi="Verdana" w:cs="Verdana"/>
          <w:sz w:val="20"/>
          <w:szCs w:val="20"/>
        </w:rPr>
      </w:pPr>
      <w:r w:rsidRPr="00426BBE">
        <w:rPr>
          <w:rFonts w:ascii="Verdana" w:eastAsia="Verdana" w:hAnsi="Verdana" w:cs="Verdana"/>
          <w:sz w:val="20"/>
          <w:szCs w:val="20"/>
        </w:rPr>
        <w:t xml:space="preserve">[…] el parágrafo del artículo 38 de la Ley 996 de 2005 prohíbe a los </w:t>
      </w:r>
      <w:proofErr w:type="gramStart"/>
      <w:r w:rsidRPr="00426BBE">
        <w:rPr>
          <w:rFonts w:ascii="Verdana" w:eastAsia="Verdana" w:hAnsi="Verdana" w:cs="Verdana"/>
          <w:sz w:val="20"/>
          <w:szCs w:val="20"/>
        </w:rPr>
        <w:t>Alcaldes</w:t>
      </w:r>
      <w:proofErr w:type="gramEnd"/>
      <w:r w:rsidRPr="00426BBE">
        <w:rPr>
          <w:rFonts w:ascii="Verdana" w:eastAsia="Verdana" w:hAnsi="Verdana" w:cs="Verdana"/>
          <w:sz w:val="20"/>
          <w:szCs w:val="20"/>
        </w:rPr>
        <w:t xml:space="preserve">, Gobernadores, </w:t>
      </w:r>
      <w:proofErr w:type="gramStart"/>
      <w:r w:rsidRPr="00426BBE">
        <w:rPr>
          <w:rFonts w:ascii="Verdana" w:eastAsia="Verdana" w:hAnsi="Verdana" w:cs="Verdana"/>
          <w:sz w:val="20"/>
          <w:szCs w:val="20"/>
        </w:rPr>
        <w:t>Secretarios</w:t>
      </w:r>
      <w:proofErr w:type="gramEnd"/>
      <w:r w:rsidRPr="00426BBE">
        <w:rPr>
          <w:rFonts w:ascii="Verdana" w:eastAsia="Verdana" w:hAnsi="Verdana" w:cs="Verdana"/>
          <w:sz w:val="20"/>
          <w:szCs w:val="20"/>
        </w:rPr>
        <w:t xml:space="preserve">, Gerentes y </w:t>
      </w:r>
      <w:proofErr w:type="gramStart"/>
      <w:r w:rsidRPr="00426BBE">
        <w:rPr>
          <w:rFonts w:ascii="Verdana" w:eastAsia="Verdana" w:hAnsi="Verdana" w:cs="Verdana"/>
          <w:sz w:val="20"/>
          <w:szCs w:val="20"/>
        </w:rPr>
        <w:t>Directores</w:t>
      </w:r>
      <w:proofErr w:type="gramEnd"/>
      <w:r w:rsidRPr="00426BBE">
        <w:rPr>
          <w:rFonts w:ascii="Verdana" w:eastAsia="Verdana" w:hAnsi="Verdana" w:cs="Verdana"/>
          <w:sz w:val="20"/>
          <w:szCs w:val="20"/>
        </w:rPr>
        <w:t xml:space="preserve"> de las entidades del orden municipal, departamental o distrital celebrar </w:t>
      </w:r>
      <w:r w:rsidRPr="00426BBE">
        <w:rPr>
          <w:rFonts w:ascii="Verdana" w:eastAsia="Verdana" w:hAnsi="Verdana" w:cs="Verdana"/>
          <w:i/>
          <w:iCs/>
          <w:sz w:val="20"/>
          <w:szCs w:val="20"/>
        </w:rPr>
        <w:t>convenios interadministrativos</w:t>
      </w:r>
      <w:r w:rsidRPr="00426BBE">
        <w:rPr>
          <w:rFonts w:ascii="Verdana" w:eastAsia="Verdana" w:hAnsi="Verdana" w:cs="Verdana"/>
          <w:sz w:val="20"/>
          <w:szCs w:val="20"/>
        </w:rPr>
        <w:t xml:space="preserve"> para la ejecución de recursos públicos. En este sentido, si una o ambas partes de la relación contractual es una entidad de aquellas descritas en el parágrafo </w:t>
      </w:r>
      <w:r w:rsidRPr="00426BBE">
        <w:rPr>
          <w:rFonts w:ascii="Verdana" w:eastAsia="Verdana" w:hAnsi="Verdana" w:cs="Verdana"/>
          <w:i/>
          <w:iCs/>
          <w:sz w:val="20"/>
          <w:szCs w:val="20"/>
        </w:rPr>
        <w:t>ibidem</w:t>
      </w:r>
      <w:r w:rsidRPr="00426BBE">
        <w:rPr>
          <w:rFonts w:ascii="Verdana" w:eastAsia="Verdana" w:hAnsi="Verdana" w:cs="Verdana"/>
          <w:sz w:val="20"/>
          <w:szCs w:val="20"/>
        </w:rPr>
        <w:t xml:space="preserve">, es decir, alcaldías, gobernaciones, secretarías de despacho, así como entidades descentralizadas por servicios del orden municipal, departamental o distrital no podrá celebrar tales </w:t>
      </w:r>
      <w:r w:rsidRPr="00426BBE">
        <w:rPr>
          <w:rFonts w:ascii="Verdana" w:eastAsia="Verdana" w:hAnsi="Verdana" w:cs="Verdana"/>
          <w:i/>
          <w:iCs/>
          <w:sz w:val="20"/>
          <w:szCs w:val="20"/>
        </w:rPr>
        <w:t>convenios</w:t>
      </w:r>
      <w:r w:rsidRPr="00426BBE">
        <w:rPr>
          <w:rFonts w:ascii="Verdana" w:eastAsia="Verdana" w:hAnsi="Verdana" w:cs="Verdana"/>
          <w:sz w:val="20"/>
          <w:szCs w:val="20"/>
        </w:rPr>
        <w:t xml:space="preserve"> durante la aplicación de la Ley de Garantías Electorales, toda vez que la citada disposición se refiere a dicha tipología contractual sin que el legislador hubiere contemplado un efecto extensivo a otra tipología.</w:t>
      </w:r>
    </w:p>
    <w:p w14:paraId="2BBE3896" w14:textId="77777777" w:rsidR="00D40DFA" w:rsidRDefault="00D40DFA" w:rsidP="00D40DFA">
      <w:pPr>
        <w:spacing w:after="0"/>
        <w:jc w:val="both"/>
        <w:rPr>
          <w:rFonts w:ascii="Verdana" w:eastAsia="Verdana" w:hAnsi="Verdana" w:cs="Verdana"/>
          <w:sz w:val="20"/>
          <w:szCs w:val="20"/>
        </w:rPr>
      </w:pPr>
    </w:p>
    <w:p w14:paraId="3B8D8BD0" w14:textId="77777777" w:rsidR="00D40DFA" w:rsidRPr="00426BBE" w:rsidRDefault="00D40DFA" w:rsidP="00D40DFA">
      <w:pPr>
        <w:spacing w:after="0"/>
        <w:jc w:val="both"/>
        <w:rPr>
          <w:rFonts w:ascii="Verdana" w:eastAsia="Verdana" w:hAnsi="Verdana" w:cs="Verdana"/>
          <w:sz w:val="20"/>
          <w:szCs w:val="20"/>
        </w:rPr>
      </w:pPr>
    </w:p>
    <w:p w14:paraId="403982AE" w14:textId="77777777" w:rsidR="00D40DFA" w:rsidRPr="00426BBE" w:rsidRDefault="00D40DFA" w:rsidP="00D40DFA">
      <w:pPr>
        <w:spacing w:after="0"/>
        <w:jc w:val="both"/>
        <w:rPr>
          <w:rFonts w:ascii="Verdana" w:eastAsia="Verdana" w:hAnsi="Verdana" w:cs="Verdana"/>
          <w:b/>
          <w:bCs/>
        </w:rPr>
      </w:pPr>
      <w:r w:rsidRPr="00426BBE">
        <w:rPr>
          <w:rFonts w:ascii="Verdana" w:eastAsia="Verdana" w:hAnsi="Verdana" w:cs="Verdana"/>
          <w:b/>
          <w:bCs/>
        </w:rPr>
        <w:lastRenderedPageBreak/>
        <w:t>LEY DE GARANTÍAS ELECTORALES – Convenios interadministrativos – Contratos interadministrativos</w:t>
      </w:r>
    </w:p>
    <w:p w14:paraId="79571810" w14:textId="77777777" w:rsidR="00D40DFA" w:rsidRPr="00426BBE" w:rsidRDefault="00D40DFA" w:rsidP="00D40DFA">
      <w:pPr>
        <w:spacing w:after="0"/>
        <w:jc w:val="both"/>
        <w:rPr>
          <w:rFonts w:ascii="Verdana" w:eastAsia="Verdana" w:hAnsi="Verdana" w:cs="Verdana"/>
        </w:rPr>
      </w:pPr>
    </w:p>
    <w:p w14:paraId="1D430943" w14:textId="77777777" w:rsidR="00D40DFA" w:rsidRPr="00426BBE" w:rsidRDefault="00D40DFA" w:rsidP="00D40DFA">
      <w:pPr>
        <w:spacing w:after="0"/>
        <w:jc w:val="both"/>
        <w:rPr>
          <w:rFonts w:ascii="Verdana" w:eastAsia="Verdana" w:hAnsi="Verdana" w:cs="Verdana"/>
          <w:sz w:val="20"/>
          <w:szCs w:val="20"/>
        </w:rPr>
      </w:pPr>
      <w:r w:rsidRPr="00426BBE">
        <w:rPr>
          <w:rFonts w:ascii="Verdana" w:eastAsia="Verdana" w:hAnsi="Verdana" w:cs="Verdana"/>
          <w:sz w:val="20"/>
          <w:szCs w:val="20"/>
        </w:rPr>
        <w:t>[…] los contratos o convenios interadministrativos están determinados por un criterio orgánico, pues es necesario que los extremos de la relación contractual sean entidades públicas, independientemente de las normas que regulan la relación contractual. En este sentido, los convenios interadministrativos solo pueden ser celebrados entre entidades públicas, pues a éstas corresponde la realización de los fines y tareas que el legislador les ha asignado.</w:t>
      </w:r>
    </w:p>
    <w:p w14:paraId="2FC71519" w14:textId="77777777" w:rsidR="00D40DFA" w:rsidRPr="00426BBE" w:rsidRDefault="00D40DFA" w:rsidP="00D40DFA">
      <w:pPr>
        <w:spacing w:after="0"/>
        <w:jc w:val="both"/>
        <w:rPr>
          <w:rFonts w:ascii="Verdana" w:eastAsia="Verdana" w:hAnsi="Verdana" w:cs="Verdana"/>
          <w:sz w:val="20"/>
          <w:szCs w:val="20"/>
        </w:rPr>
      </w:pPr>
    </w:p>
    <w:p w14:paraId="03813E0C" w14:textId="77777777" w:rsidR="00D40DFA" w:rsidRPr="00426BBE" w:rsidRDefault="00D40DFA" w:rsidP="00D40DFA">
      <w:pPr>
        <w:spacing w:after="0"/>
        <w:jc w:val="both"/>
        <w:rPr>
          <w:rFonts w:ascii="Verdana" w:eastAsia="Verdana" w:hAnsi="Verdana" w:cs="Verdana"/>
          <w:sz w:val="20"/>
          <w:szCs w:val="20"/>
        </w:rPr>
      </w:pPr>
      <w:r w:rsidRPr="00426BBE">
        <w:rPr>
          <w:rFonts w:ascii="Verdana" w:eastAsia="Verdana" w:hAnsi="Verdana" w:cs="Verdana"/>
          <w:sz w:val="20"/>
          <w:szCs w:val="20"/>
        </w:rPr>
        <w:t>Un contrato o convenio interadministrativo no está determinado por la modalidad de selección utilizada para celebrarlo. La Ley 1150 de 2007 establece que pueden celebrarse directamente, siempre que las obligaciones derivadas del mismo tengan relación directa con el objeto de la entidad ejecutora, señalado en la ley o en sus reglamentos, a menos que, según las excepciones previstas en dicha Ley, deba adelantarse un procedimiento susceptible de pluralidad de oferentes […]</w:t>
      </w:r>
    </w:p>
    <w:p w14:paraId="1035FD4C" w14:textId="77777777" w:rsidR="00D40DFA" w:rsidRPr="00426BBE" w:rsidRDefault="00D40DFA" w:rsidP="00D40DFA">
      <w:pPr>
        <w:spacing w:after="0"/>
        <w:jc w:val="both"/>
        <w:rPr>
          <w:rFonts w:ascii="Verdana" w:eastAsia="Verdana" w:hAnsi="Verdana" w:cs="Verdana"/>
          <w:sz w:val="20"/>
          <w:szCs w:val="20"/>
        </w:rPr>
      </w:pPr>
    </w:p>
    <w:p w14:paraId="02430329" w14:textId="77777777" w:rsidR="00D40DFA" w:rsidRPr="00426BBE" w:rsidRDefault="00D40DFA" w:rsidP="00D40DFA">
      <w:pPr>
        <w:spacing w:after="0"/>
        <w:jc w:val="both"/>
        <w:rPr>
          <w:rFonts w:ascii="Verdana" w:eastAsia="Verdana" w:hAnsi="Verdana" w:cs="Verdana"/>
          <w:sz w:val="20"/>
          <w:szCs w:val="20"/>
        </w:rPr>
      </w:pPr>
      <w:r w:rsidRPr="00426BBE">
        <w:rPr>
          <w:rFonts w:ascii="Verdana" w:eastAsia="Verdana" w:hAnsi="Verdana" w:cs="Verdana"/>
          <w:sz w:val="20"/>
          <w:szCs w:val="20"/>
        </w:rPr>
        <w:t>Además, es necesario tener en cuenta que para que un contrato o convenio interadministrativo exista debe cumplir con los siguientes elementos: acuerdo sobre el objeto y la contraprestación y que conste por escrito […]</w:t>
      </w:r>
    </w:p>
    <w:p w14:paraId="5FDCF85C" w14:textId="77777777" w:rsidR="00D40DFA" w:rsidRPr="00426BBE" w:rsidRDefault="00D40DFA" w:rsidP="00D40DFA">
      <w:pPr>
        <w:spacing w:after="0"/>
        <w:jc w:val="both"/>
        <w:rPr>
          <w:rFonts w:ascii="Verdana" w:eastAsia="Verdana" w:hAnsi="Verdana" w:cs="Verdana"/>
        </w:rPr>
      </w:pPr>
    </w:p>
    <w:p w14:paraId="3B30D1AB" w14:textId="77777777" w:rsidR="00D40DFA" w:rsidRDefault="00D40DFA" w:rsidP="00D40DFA">
      <w:pPr>
        <w:spacing w:after="0"/>
        <w:jc w:val="both"/>
        <w:rPr>
          <w:rFonts w:ascii="Verdana" w:eastAsia="Verdana" w:hAnsi="Verdana" w:cs="Verdana"/>
          <w:b/>
          <w:bCs/>
        </w:rPr>
      </w:pPr>
      <w:r w:rsidRPr="00426BBE">
        <w:rPr>
          <w:rFonts w:ascii="Verdana" w:eastAsia="Verdana" w:hAnsi="Verdana" w:cs="Verdana"/>
          <w:b/>
          <w:bCs/>
        </w:rPr>
        <w:t>CONSEJO DE ESTADO – Posición</w:t>
      </w:r>
    </w:p>
    <w:p w14:paraId="5AE85B58" w14:textId="77777777" w:rsidR="00D40DFA" w:rsidRPr="00426BBE" w:rsidRDefault="00D40DFA" w:rsidP="00D40DFA">
      <w:pPr>
        <w:spacing w:after="0"/>
        <w:jc w:val="both"/>
        <w:rPr>
          <w:rFonts w:ascii="Verdana" w:eastAsia="Verdana" w:hAnsi="Verdana" w:cs="Verdana"/>
        </w:rPr>
      </w:pPr>
    </w:p>
    <w:p w14:paraId="1F053116" w14:textId="77777777" w:rsidR="00D40DFA" w:rsidRPr="00426BBE" w:rsidRDefault="00D40DFA" w:rsidP="00D40DFA">
      <w:pPr>
        <w:spacing w:after="0"/>
        <w:jc w:val="both"/>
        <w:rPr>
          <w:rFonts w:ascii="Verdana" w:eastAsia="Verdana" w:hAnsi="Verdana" w:cs="Verdana"/>
          <w:sz w:val="20"/>
          <w:szCs w:val="20"/>
        </w:rPr>
      </w:pPr>
      <w:r w:rsidRPr="00426BBE">
        <w:rPr>
          <w:rFonts w:ascii="Verdana" w:eastAsia="Verdana" w:hAnsi="Verdana" w:cs="Verdana"/>
          <w:sz w:val="20"/>
          <w:szCs w:val="20"/>
        </w:rPr>
        <w:t>[…] mediante sentencia del 17 de octubre de 2025, emitida por la Sección Tercera del Consejo de Estado, dentro del expediente 11001-03-26-000-2023-00139-00, se declaró la nulidad parcial del numeral 16.2 de la Circular Externa Única de 2022 expedida por la Agencia Nacional de Contratación Pública - Colombia Compra Eficiente que indicaba: “Esta restricción es aplicable tanto a los convenios como a los contratos interadministrativos (…)”.</w:t>
      </w:r>
    </w:p>
    <w:p w14:paraId="2538E4F9" w14:textId="77777777" w:rsidR="00D40DFA" w:rsidRPr="00426BBE" w:rsidRDefault="00D40DFA" w:rsidP="00D40DFA">
      <w:pPr>
        <w:spacing w:after="0"/>
        <w:jc w:val="both"/>
        <w:rPr>
          <w:rFonts w:ascii="Verdana" w:eastAsia="Verdana" w:hAnsi="Verdana" w:cs="Verdana"/>
          <w:sz w:val="20"/>
          <w:szCs w:val="20"/>
        </w:rPr>
      </w:pPr>
    </w:p>
    <w:p w14:paraId="12B4DEFB" w14:textId="77777777" w:rsidR="00D40DFA" w:rsidRPr="00426BBE" w:rsidRDefault="00D40DFA" w:rsidP="00D40DFA">
      <w:pPr>
        <w:spacing w:after="0"/>
        <w:jc w:val="both"/>
        <w:rPr>
          <w:rFonts w:ascii="Verdana" w:eastAsia="Verdana" w:hAnsi="Verdana" w:cs="Verdana"/>
          <w:sz w:val="20"/>
          <w:szCs w:val="20"/>
        </w:rPr>
      </w:pPr>
      <w:r w:rsidRPr="00426BBE">
        <w:rPr>
          <w:rFonts w:ascii="Verdana" w:eastAsia="Verdana" w:hAnsi="Verdana" w:cs="Verdana"/>
          <w:sz w:val="20"/>
          <w:szCs w:val="20"/>
        </w:rPr>
        <w:t>La anterior decisión se adoptó al considerar que la Agencia excedió su competencia material al incluir contratos en una restricción que la Ley de Garantías Electorales solo previó para convenios, cuando no es posible aplicar por analogía o extensión una norma que establece prohibiciones. Sobre el particular, la Sala concluyó que contratos y convenios interadministrativos son figuras distintas en naturaleza, objeto y efectos, pues mientras los contratos implican obligaciones patrimoniales y contraprestación, los convenios se basan en cooperación sin ánimo económico. Por ello, la restricción legal no podía aplicarse extensivamente a los contratos.</w:t>
      </w:r>
    </w:p>
    <w:p w14:paraId="3FDAF157" w14:textId="77777777" w:rsidR="00D40DFA" w:rsidRDefault="00D40DFA" w:rsidP="00D40DFA">
      <w:pPr>
        <w:spacing w:after="0"/>
        <w:jc w:val="both"/>
        <w:rPr>
          <w:rFonts w:ascii="Verdana" w:eastAsia="Verdana" w:hAnsi="Verdana" w:cs="Verdana"/>
          <w:sz w:val="20"/>
          <w:szCs w:val="20"/>
        </w:rPr>
      </w:pPr>
    </w:p>
    <w:p w14:paraId="4D696C3F" w14:textId="77777777" w:rsidR="00D40DFA" w:rsidRDefault="00D40DFA" w:rsidP="00D40DFA">
      <w:pPr>
        <w:spacing w:after="0"/>
        <w:jc w:val="both"/>
        <w:rPr>
          <w:rFonts w:ascii="Verdana" w:eastAsia="Verdana" w:hAnsi="Verdana" w:cs="Verdana"/>
          <w:sz w:val="20"/>
          <w:szCs w:val="20"/>
        </w:rPr>
      </w:pPr>
    </w:p>
    <w:p w14:paraId="606A9E54" w14:textId="77777777" w:rsidR="00D40DFA" w:rsidRPr="00426BBE" w:rsidRDefault="00D40DFA" w:rsidP="00D40DFA">
      <w:pPr>
        <w:spacing w:after="0"/>
        <w:jc w:val="both"/>
        <w:rPr>
          <w:rFonts w:ascii="Verdana" w:eastAsia="Verdana" w:hAnsi="Verdana" w:cs="Verdana"/>
          <w:sz w:val="20"/>
          <w:szCs w:val="20"/>
        </w:rPr>
      </w:pPr>
    </w:p>
    <w:p w14:paraId="7548D680" w14:textId="77777777" w:rsidR="00D40DFA" w:rsidRDefault="00D40DFA" w:rsidP="00D40DFA">
      <w:pPr>
        <w:spacing w:after="0"/>
        <w:jc w:val="both"/>
        <w:rPr>
          <w:rFonts w:ascii="Verdana" w:eastAsia="Verdana" w:hAnsi="Verdana" w:cs="Verdana"/>
          <w:b/>
          <w:bCs/>
        </w:rPr>
      </w:pPr>
      <w:r w:rsidRPr="00426BBE">
        <w:rPr>
          <w:rFonts w:ascii="Verdana" w:eastAsia="Verdana" w:hAnsi="Verdana" w:cs="Verdana"/>
          <w:b/>
          <w:bCs/>
        </w:rPr>
        <w:lastRenderedPageBreak/>
        <w:t xml:space="preserve">LEY DE GARANTÍAS ELECTORALES </w:t>
      </w:r>
      <w:r w:rsidRPr="00311FAF">
        <w:rPr>
          <w:rFonts w:ascii="Verdana" w:eastAsia="Verdana" w:hAnsi="Verdana" w:cs="Verdana"/>
          <w:b/>
          <w:bCs/>
          <w:lang w:val="es-ES"/>
        </w:rPr>
        <w:t>–</w:t>
      </w:r>
      <w:r w:rsidRPr="00426BBE">
        <w:rPr>
          <w:rFonts w:ascii="Verdana" w:eastAsia="Verdana" w:hAnsi="Verdana" w:cs="Verdana"/>
          <w:b/>
          <w:bCs/>
        </w:rPr>
        <w:t xml:space="preserve"> Excepción a las entidades sanitarias y hospitalarias</w:t>
      </w:r>
    </w:p>
    <w:p w14:paraId="0659F27A" w14:textId="77777777" w:rsidR="00D40DFA" w:rsidRPr="00426BBE" w:rsidRDefault="00D40DFA" w:rsidP="00D40DFA">
      <w:pPr>
        <w:spacing w:after="0"/>
        <w:jc w:val="both"/>
        <w:rPr>
          <w:rFonts w:ascii="Verdana" w:eastAsia="Verdana" w:hAnsi="Verdana" w:cs="Verdana"/>
        </w:rPr>
      </w:pPr>
    </w:p>
    <w:p w14:paraId="43B7DD1B" w14:textId="77777777" w:rsidR="00D40DFA" w:rsidRPr="00426BBE" w:rsidRDefault="00D40DFA" w:rsidP="00D40DFA">
      <w:pPr>
        <w:spacing w:after="0"/>
        <w:jc w:val="both"/>
        <w:rPr>
          <w:rFonts w:ascii="Verdana" w:eastAsia="Verdana" w:hAnsi="Verdana" w:cs="Verdana"/>
          <w:sz w:val="20"/>
          <w:szCs w:val="20"/>
        </w:rPr>
      </w:pPr>
      <w:r w:rsidRPr="00426BBE">
        <w:rPr>
          <w:rFonts w:ascii="Verdana" w:eastAsia="Verdana" w:hAnsi="Verdana" w:cs="Verdana"/>
          <w:sz w:val="20"/>
          <w:szCs w:val="20"/>
        </w:rPr>
        <w:t>En torno a la procedencia de la contratación directa por parte de entidades estatales relacionadas al sector salud, es necesario analizar el quinto evento exceptuado de la prohibición contemplada en el inciso segundo del artículo 33 de la Ley 996 de 2005, relacionado con la contratación por parte de entidades sanitarias y hospitalarias. Para ello, el artículo 94 de la Ley 100 de 1993 dispone que “la prestación de servicios de salud en forma directa por la nación o por las entidades territoriales, se hará principalmente a través de las Empresas Sociales del Estado, que constituyen una categoría especial de entidad pública descentralizada, con personería jurídica, patrimonio propio y autonomía administrativa, creadas por la Ley o por las asambleas o concejos, según el caso, sometidas al régimen jurídico previsto en este capítulo”.</w:t>
      </w:r>
    </w:p>
    <w:p w14:paraId="7FAA23C8" w14:textId="77777777" w:rsidR="00D40DFA" w:rsidRPr="00426BBE" w:rsidRDefault="00D40DFA" w:rsidP="00D40DFA">
      <w:pPr>
        <w:spacing w:after="0"/>
        <w:jc w:val="both"/>
        <w:rPr>
          <w:rFonts w:ascii="Verdana" w:eastAsia="Verdana" w:hAnsi="Verdana" w:cs="Verdana"/>
          <w:sz w:val="20"/>
          <w:szCs w:val="20"/>
        </w:rPr>
      </w:pPr>
    </w:p>
    <w:p w14:paraId="3D2B9ABB" w14:textId="77777777" w:rsidR="00D40DFA" w:rsidRPr="00426BBE" w:rsidRDefault="00D40DFA" w:rsidP="00D40DFA">
      <w:pPr>
        <w:spacing w:after="0"/>
        <w:jc w:val="both"/>
        <w:rPr>
          <w:rFonts w:ascii="Verdana" w:eastAsia="Verdana" w:hAnsi="Verdana" w:cs="Verdana"/>
          <w:sz w:val="20"/>
          <w:szCs w:val="20"/>
        </w:rPr>
      </w:pPr>
      <w:r w:rsidRPr="00426BBE">
        <w:rPr>
          <w:rFonts w:ascii="Verdana" w:eastAsia="Verdana" w:hAnsi="Verdana" w:cs="Verdana"/>
          <w:sz w:val="20"/>
          <w:szCs w:val="20"/>
        </w:rPr>
        <w:t>[…]</w:t>
      </w:r>
    </w:p>
    <w:p w14:paraId="4CDBC123" w14:textId="77777777" w:rsidR="00D40DFA" w:rsidRPr="00426BBE" w:rsidRDefault="00D40DFA" w:rsidP="00D40DFA">
      <w:pPr>
        <w:spacing w:after="0"/>
        <w:jc w:val="both"/>
        <w:rPr>
          <w:rFonts w:ascii="Verdana" w:eastAsia="Verdana" w:hAnsi="Verdana" w:cs="Verdana"/>
          <w:sz w:val="20"/>
          <w:szCs w:val="20"/>
        </w:rPr>
      </w:pPr>
    </w:p>
    <w:p w14:paraId="258D4750" w14:textId="77777777" w:rsidR="00D40DFA" w:rsidRPr="00426BBE" w:rsidRDefault="00D40DFA" w:rsidP="00D40DFA">
      <w:pPr>
        <w:spacing w:after="0"/>
        <w:jc w:val="both"/>
        <w:rPr>
          <w:rFonts w:ascii="Verdana" w:eastAsia="Verdana" w:hAnsi="Verdana" w:cs="Verdana"/>
          <w:sz w:val="20"/>
          <w:szCs w:val="20"/>
        </w:rPr>
      </w:pPr>
      <w:r w:rsidRPr="00426BBE">
        <w:rPr>
          <w:rFonts w:ascii="Verdana" w:eastAsia="Verdana" w:hAnsi="Verdana" w:cs="Verdana"/>
          <w:sz w:val="20"/>
          <w:szCs w:val="20"/>
        </w:rPr>
        <w:t xml:space="preserve">Sobre lo anterior, el Consejo de Estado ha señalado que “las entidades que presten servicios tendientes a preservar la salud pública o humana deben ser consideradas como entidades sanitarias y en principio estarían exceptuadas de la prohibición de contratación directa”. Sobre la excepción dirigida a las entidades hospitalarias de carácter público resaltó que “debe ser entendida solo en aquellos eventos en que ocurran emergencias sanitarias o de salubridad que requieran la atención o prestación inmediata y oportuna de los servicios de salud”, pues las excepciones buscan que la red hospitalaria no limite su actuación en la prestación del servicio de salud en eventos catastróficos o de urgencia que se presenten. En consecuencia, sostuvo que las excepciones no se extienden a “los contratos que habitual y ordinariamente celebran las entidades territoriales con las entidades hospitalarias, ya que dichos órganos deben planear y desarrollar su gestión contractual con suficiente antelación para que no sea cobijada por la prohibición de contratación que establece la ley de garantías”. </w:t>
      </w:r>
    </w:p>
    <w:p w14:paraId="37F59B9C" w14:textId="77777777" w:rsidR="00D40DFA" w:rsidRPr="00426BBE" w:rsidRDefault="00D40DFA" w:rsidP="00D40DFA">
      <w:pPr>
        <w:spacing w:after="0"/>
        <w:jc w:val="both"/>
        <w:rPr>
          <w:rFonts w:ascii="Verdana" w:eastAsia="Verdana" w:hAnsi="Verdana" w:cs="Verdana"/>
          <w:sz w:val="20"/>
          <w:szCs w:val="20"/>
        </w:rPr>
      </w:pPr>
    </w:p>
    <w:p w14:paraId="645F7774" w14:textId="77777777" w:rsidR="00D40DFA" w:rsidRPr="00426BBE" w:rsidRDefault="00D40DFA" w:rsidP="00D40DFA">
      <w:pPr>
        <w:spacing w:after="0"/>
        <w:jc w:val="both"/>
        <w:rPr>
          <w:rFonts w:ascii="Verdana" w:eastAsia="Verdana" w:hAnsi="Verdana" w:cs="Verdana"/>
          <w:sz w:val="20"/>
          <w:szCs w:val="20"/>
        </w:rPr>
      </w:pPr>
      <w:r w:rsidRPr="00426BBE">
        <w:rPr>
          <w:rFonts w:ascii="Verdana" w:eastAsia="Verdana" w:hAnsi="Verdana" w:cs="Verdana"/>
          <w:sz w:val="20"/>
          <w:szCs w:val="20"/>
        </w:rPr>
        <w:t>Conforme con lo expuesto, las entidades que requieran adelantar procesos de contratación directa durante el periodo de garantías electorales deberán analizar, primero, si se configuran los supuestos establecidos en el artículo 33 de la Ley 996 de 2005, es decir, si se trata de cualquier entidad pública que pretenda adelantar un proceso no competitivo. Adicionalmente, será pertinente analizar si se configura alguna de las excepciones previstas en la norma.</w:t>
      </w:r>
    </w:p>
    <w:p w14:paraId="3D76776E" w14:textId="77777777" w:rsidR="00D40DFA" w:rsidRPr="00426BBE" w:rsidRDefault="00D40DFA" w:rsidP="00D40DFA">
      <w:pPr>
        <w:spacing w:after="0"/>
        <w:rPr>
          <w:rFonts w:ascii="Verdana" w:eastAsia="Verdana" w:hAnsi="Verdana" w:cs="Verdana"/>
          <w:sz w:val="20"/>
          <w:szCs w:val="20"/>
        </w:rPr>
      </w:pPr>
    </w:p>
    <w:p w14:paraId="236CEE61" w14:textId="4448D2D0" w:rsidR="00111A13" w:rsidRDefault="00D40DFA" w:rsidP="00111A13">
      <w:r>
        <w:rPr>
          <w:rFonts w:ascii="Verdana" w:eastAsia="Verdana" w:hAnsi="Verdana" w:cs="Verdana"/>
        </w:rPr>
        <w:br w:type="page"/>
      </w:r>
      <w:r w:rsidR="00185F68" w:rsidRPr="00185F68">
        <w:rPr>
          <w:rFonts w:ascii="Verdana" w:eastAsia="Verdana" w:hAnsi="Verdana" w:cs="Verdana"/>
          <w:noProof/>
        </w:rPr>
        <w:lastRenderedPageBreak/>
        <w:drawing>
          <wp:anchor distT="0" distB="0" distL="114300" distR="114300" simplePos="0" relativeHeight="251659264" behindDoc="1" locked="0" layoutInCell="1" allowOverlap="1" wp14:anchorId="2BF852C1" wp14:editId="0179278B">
            <wp:simplePos x="0" y="0"/>
            <wp:positionH relativeFrom="column">
              <wp:posOffset>4231005</wp:posOffset>
            </wp:positionH>
            <wp:positionV relativeFrom="paragraph">
              <wp:posOffset>635</wp:posOffset>
            </wp:positionV>
            <wp:extent cx="1939290" cy="627380"/>
            <wp:effectExtent l="0" t="0" r="3810" b="1270"/>
            <wp:wrapTight wrapText="bothSides">
              <wp:wrapPolygon edited="0">
                <wp:start x="0" y="0"/>
                <wp:lineTo x="0" y="20988"/>
                <wp:lineTo x="21430" y="20988"/>
                <wp:lineTo x="21430" y="0"/>
                <wp:lineTo x="0" y="0"/>
              </wp:wrapPolygon>
            </wp:wrapTight>
            <wp:docPr id="8593402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39290" cy="627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5139" w:rsidRPr="30821638">
        <w:rPr>
          <w:rFonts w:ascii="Verdana" w:eastAsia="Verdana" w:hAnsi="Verdana" w:cs="Verdana"/>
        </w:rPr>
        <w:t xml:space="preserve">Bogotá D.C., </w:t>
      </w:r>
      <w:r w:rsidR="00185F68">
        <w:rPr>
          <w:rFonts w:ascii="Verdana" w:eastAsia="Verdana" w:hAnsi="Verdana" w:cs="Verdana"/>
        </w:rPr>
        <w:t>24 junio 2026</w:t>
      </w:r>
      <w:r w:rsidR="00C15139">
        <w:tab/>
      </w:r>
      <w:r w:rsidR="00C15139">
        <w:br/>
      </w:r>
    </w:p>
    <w:p w14:paraId="12443EE0" w14:textId="49D5A021" w:rsidR="00C15139" w:rsidRDefault="005422CF" w:rsidP="00111A13">
      <w:pPr>
        <w:rPr>
          <w:rFonts w:ascii="Verdana" w:eastAsia="Verdana" w:hAnsi="Verdana" w:cs="Verdana"/>
        </w:rPr>
      </w:pPr>
      <w:r>
        <w:rPr>
          <w:rFonts w:ascii="Verdana" w:eastAsia="Verdana" w:hAnsi="Verdana" w:cs="Verdana"/>
        </w:rPr>
        <w:t xml:space="preserve">Señores </w:t>
      </w:r>
    </w:p>
    <w:p w14:paraId="1EFE95ED" w14:textId="42E167B9" w:rsidR="005422CF" w:rsidRPr="00CE60CA" w:rsidRDefault="005422CF" w:rsidP="30821638">
      <w:pPr>
        <w:spacing w:after="0"/>
        <w:rPr>
          <w:rFonts w:ascii="Verdana" w:eastAsia="Verdana" w:hAnsi="Verdana" w:cs="Verdana"/>
          <w:b/>
          <w:bCs/>
        </w:rPr>
      </w:pPr>
      <w:r w:rsidRPr="00CE60CA">
        <w:rPr>
          <w:rFonts w:ascii="Verdana" w:eastAsia="Verdana" w:hAnsi="Verdana" w:cs="Verdana"/>
          <w:b/>
          <w:bCs/>
        </w:rPr>
        <w:t>Alcaldía Municipal de U</w:t>
      </w:r>
      <w:r w:rsidR="00CE60CA" w:rsidRPr="00CE60CA">
        <w:rPr>
          <w:rFonts w:ascii="Verdana" w:eastAsia="Verdana" w:hAnsi="Verdana" w:cs="Verdana"/>
          <w:b/>
          <w:bCs/>
        </w:rPr>
        <w:t>ne</w:t>
      </w:r>
      <w:r w:rsidRPr="00CE60CA">
        <w:rPr>
          <w:rFonts w:ascii="Verdana" w:eastAsia="Verdana" w:hAnsi="Verdana" w:cs="Verdana"/>
          <w:b/>
          <w:bCs/>
        </w:rPr>
        <w:t>- C</w:t>
      </w:r>
      <w:r w:rsidR="00CE60CA" w:rsidRPr="00CE60CA">
        <w:rPr>
          <w:rFonts w:ascii="Verdana" w:eastAsia="Verdana" w:hAnsi="Verdana" w:cs="Verdana"/>
          <w:b/>
          <w:bCs/>
        </w:rPr>
        <w:t>undinamarca</w:t>
      </w:r>
    </w:p>
    <w:p w14:paraId="5B6A7287" w14:textId="0E09F804" w:rsidR="005422CF" w:rsidRDefault="00141CA3" w:rsidP="30821638">
      <w:pPr>
        <w:spacing w:after="0"/>
        <w:rPr>
          <w:rFonts w:ascii="Verdana" w:eastAsia="Verdana" w:hAnsi="Verdana" w:cs="Verdana"/>
        </w:rPr>
      </w:pPr>
      <w:hyperlink r:id="rId11" w:history="1">
        <w:r w:rsidRPr="00676C78">
          <w:rPr>
            <w:rStyle w:val="Hipervnculo"/>
            <w:rFonts w:ascii="Verdana" w:eastAsia="Verdana" w:hAnsi="Verdana" w:cs="Verdana"/>
          </w:rPr>
          <w:t>alcaldia@une-cundinamarca.gov</w:t>
        </w:r>
      </w:hyperlink>
      <w:r>
        <w:rPr>
          <w:rFonts w:ascii="Verdana" w:eastAsia="Verdana" w:hAnsi="Verdana" w:cs="Verdana"/>
        </w:rPr>
        <w:t xml:space="preserve"> </w:t>
      </w:r>
    </w:p>
    <w:p w14:paraId="2EFF65C1" w14:textId="795B13FA" w:rsidR="00141CA3" w:rsidRPr="00CE60CA" w:rsidRDefault="00141CA3" w:rsidP="30821638">
      <w:pPr>
        <w:spacing w:after="0"/>
        <w:rPr>
          <w:rFonts w:ascii="Verdana" w:eastAsia="Verdana" w:hAnsi="Verdana" w:cs="Verdana"/>
          <w:b/>
          <w:bCs/>
        </w:rPr>
      </w:pPr>
      <w:r w:rsidRPr="00CE60CA">
        <w:rPr>
          <w:rFonts w:ascii="Verdana" w:eastAsia="Verdana" w:hAnsi="Verdana" w:cs="Verdana"/>
          <w:b/>
          <w:bCs/>
        </w:rPr>
        <w:t xml:space="preserve">Ministerio de Salud y Protección Social </w:t>
      </w:r>
    </w:p>
    <w:p w14:paraId="297C819F" w14:textId="1FF5215C" w:rsidR="00141CA3" w:rsidRDefault="006F6453" w:rsidP="30821638">
      <w:pPr>
        <w:spacing w:after="0"/>
        <w:rPr>
          <w:rFonts w:ascii="Verdana" w:eastAsia="Verdana" w:hAnsi="Verdana" w:cs="Verdana"/>
        </w:rPr>
      </w:pPr>
      <w:hyperlink r:id="rId12" w:history="1">
        <w:r w:rsidRPr="00676C78">
          <w:rPr>
            <w:rStyle w:val="Hipervnculo"/>
            <w:rFonts w:ascii="Verdana" w:eastAsia="Verdana" w:hAnsi="Verdana" w:cs="Verdana"/>
          </w:rPr>
          <w:t>correo@minsalud.gov.co</w:t>
        </w:r>
      </w:hyperlink>
      <w:r>
        <w:rPr>
          <w:rFonts w:ascii="Verdana" w:eastAsia="Verdana" w:hAnsi="Verdana" w:cs="Verdana"/>
        </w:rPr>
        <w:t xml:space="preserve"> </w:t>
      </w:r>
    </w:p>
    <w:p w14:paraId="650273A3" w14:textId="64AC9401" w:rsidR="006F6453" w:rsidRDefault="006F6453" w:rsidP="30821638">
      <w:pPr>
        <w:spacing w:after="0"/>
        <w:rPr>
          <w:rFonts w:ascii="Verdana" w:eastAsia="Verdana" w:hAnsi="Verdana" w:cs="Verdana"/>
        </w:rPr>
      </w:pPr>
      <w:r>
        <w:rPr>
          <w:rFonts w:ascii="Verdana" w:eastAsia="Verdana" w:hAnsi="Verdana" w:cs="Verdana"/>
        </w:rPr>
        <w:t>Une, Cundinamarca</w:t>
      </w:r>
    </w:p>
    <w:p w14:paraId="421ED57E" w14:textId="77777777" w:rsidR="00CE60CA" w:rsidRDefault="00CE60CA" w:rsidP="30821638">
      <w:pPr>
        <w:spacing w:after="0"/>
        <w:rPr>
          <w:rFonts w:ascii="Verdana" w:eastAsia="Verdana" w:hAnsi="Verdana" w:cs="Verdana"/>
        </w:rPr>
      </w:pPr>
    </w:p>
    <w:p w14:paraId="40F54676" w14:textId="77777777" w:rsidR="00CE60CA" w:rsidRDefault="00CE60CA" w:rsidP="30821638">
      <w:pPr>
        <w:spacing w:after="0"/>
        <w:rPr>
          <w:rFonts w:ascii="Verdana" w:eastAsia="Verdana" w:hAnsi="Verdana" w:cs="Verdana"/>
        </w:rPr>
      </w:pPr>
    </w:p>
    <w:p w14:paraId="4F2974E2" w14:textId="77777777" w:rsidR="00D766A0" w:rsidRPr="00E9728D" w:rsidRDefault="00D766A0" w:rsidP="00D766A0">
      <w:pPr>
        <w:spacing w:after="0" w:line="240" w:lineRule="auto"/>
        <w:rPr>
          <w:rFonts w:ascii="Verdana" w:eastAsia="Calibri" w:hAnsi="Verdana" w:cs="Arial"/>
          <w:b/>
          <w:bCs/>
          <w:color w:val="000000"/>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D766A0" w:rsidRPr="00E9728D" w14:paraId="60A7D1A8" w14:textId="77777777" w:rsidTr="00682525">
        <w:trPr>
          <w:trHeight w:val="884"/>
        </w:trPr>
        <w:tc>
          <w:tcPr>
            <w:tcW w:w="2689" w:type="dxa"/>
          </w:tcPr>
          <w:p w14:paraId="0475DC3F" w14:textId="77777777" w:rsidR="00D766A0" w:rsidRPr="00114F4E" w:rsidRDefault="00D766A0" w:rsidP="00682525">
            <w:pPr>
              <w:jc w:val="both"/>
              <w:rPr>
                <w:rFonts w:ascii="Verdana" w:eastAsia="Calibri" w:hAnsi="Verdana" w:cs="Arial"/>
                <w:b/>
                <w:bCs/>
                <w:color w:val="7030A0"/>
                <w:highlight w:val="green"/>
                <w:lang w:val="es-ES_tradnl" w:eastAsia="es-ES_tradnl"/>
              </w:rPr>
            </w:pPr>
          </w:p>
        </w:tc>
        <w:tc>
          <w:tcPr>
            <w:tcW w:w="6100" w:type="dxa"/>
          </w:tcPr>
          <w:p w14:paraId="388EFDB5" w14:textId="6CE84916" w:rsidR="00D766A0" w:rsidRPr="004267FD" w:rsidRDefault="00D766A0" w:rsidP="00682525">
            <w:pPr>
              <w:jc w:val="both"/>
              <w:rPr>
                <w:rFonts w:ascii="Verdana" w:eastAsia="Calibri" w:hAnsi="Verdana" w:cs="Arial"/>
                <w:b/>
                <w:bCs/>
                <w:lang w:val="es-ES" w:eastAsia="es-ES"/>
              </w:rPr>
            </w:pPr>
            <w:r w:rsidRPr="00A831DD">
              <w:rPr>
                <w:rFonts w:ascii="Verdana" w:eastAsia="Calibri" w:hAnsi="Verdana" w:cs="Arial"/>
                <w:b/>
                <w:bCs/>
                <w:lang w:val="es-ES" w:eastAsia="es-ES"/>
              </w:rPr>
              <w:t xml:space="preserve">Concepto </w:t>
            </w:r>
            <w:r w:rsidRPr="004360D4">
              <w:rPr>
                <w:rFonts w:ascii="Verdana" w:eastAsia="Calibri" w:hAnsi="Verdana" w:cs="Arial"/>
                <w:b/>
                <w:bCs/>
                <w:lang w:eastAsia="es-ES"/>
              </w:rPr>
              <w:t>C-8</w:t>
            </w:r>
            <w:r w:rsidR="00F961E6">
              <w:rPr>
                <w:rFonts w:ascii="Verdana" w:eastAsia="Calibri" w:hAnsi="Verdana" w:cs="Arial"/>
                <w:b/>
                <w:bCs/>
                <w:lang w:eastAsia="es-ES"/>
              </w:rPr>
              <w:t>07</w:t>
            </w:r>
            <w:r w:rsidRPr="004360D4">
              <w:rPr>
                <w:rFonts w:ascii="Verdana" w:eastAsia="Calibri" w:hAnsi="Verdana" w:cs="Arial"/>
                <w:b/>
                <w:bCs/>
                <w:lang w:eastAsia="es-ES"/>
              </w:rPr>
              <w:t xml:space="preserve"> </w:t>
            </w:r>
            <w:r w:rsidRPr="00A831DD">
              <w:rPr>
                <w:rFonts w:ascii="Verdana" w:eastAsia="Calibri" w:hAnsi="Verdana" w:cs="Arial"/>
                <w:b/>
                <w:bCs/>
                <w:lang w:val="es-ES" w:eastAsia="es-ES"/>
              </w:rPr>
              <w:t>de 2026</w:t>
            </w:r>
          </w:p>
        </w:tc>
      </w:tr>
      <w:tr w:rsidR="00D766A0" w:rsidRPr="00E9728D" w14:paraId="1A915367" w14:textId="77777777" w:rsidTr="00682525">
        <w:trPr>
          <w:trHeight w:val="884"/>
        </w:trPr>
        <w:tc>
          <w:tcPr>
            <w:tcW w:w="2689" w:type="dxa"/>
          </w:tcPr>
          <w:p w14:paraId="2123101F" w14:textId="77777777" w:rsidR="00D766A0" w:rsidRPr="00A50078" w:rsidRDefault="00D766A0" w:rsidP="00682525">
            <w:pPr>
              <w:jc w:val="both"/>
              <w:rPr>
                <w:rFonts w:ascii="Verdana" w:eastAsia="Calibri" w:hAnsi="Verdana" w:cs="Arial"/>
                <w:color w:val="000000"/>
                <w:lang w:val="es-ES_tradnl" w:eastAsia="es-ES_tradnl"/>
              </w:rPr>
            </w:pPr>
            <w:r w:rsidRPr="00950EBB">
              <w:rPr>
                <w:rFonts w:ascii="Verdana" w:eastAsia="Calibri" w:hAnsi="Verdana" w:cs="Arial"/>
                <w:b/>
                <w:color w:val="000000"/>
                <w:lang w:val="es-ES_tradnl" w:eastAsia="es-ES_tradnl"/>
              </w:rPr>
              <w:t>Temas:</w:t>
            </w:r>
            <w:r w:rsidRPr="00A50078">
              <w:rPr>
                <w:rFonts w:ascii="Verdana" w:eastAsia="Calibri" w:hAnsi="Verdana" w:cs="Arial"/>
                <w:color w:val="000000"/>
                <w:lang w:val="es-ES_tradnl" w:eastAsia="es-ES_tradnl"/>
              </w:rPr>
              <w:t xml:space="preserve">                   </w:t>
            </w:r>
          </w:p>
        </w:tc>
        <w:tc>
          <w:tcPr>
            <w:tcW w:w="6100" w:type="dxa"/>
          </w:tcPr>
          <w:p w14:paraId="592E32ED" w14:textId="77777777" w:rsidR="00D766A0" w:rsidRDefault="00D766A0" w:rsidP="00682525">
            <w:pPr>
              <w:spacing w:line="276" w:lineRule="auto"/>
              <w:jc w:val="both"/>
              <w:rPr>
                <w:rFonts w:ascii="Verdana" w:hAnsi="Verdana" w:cs="Arial"/>
                <w:bCs/>
                <w:color w:val="000000" w:themeColor="text1"/>
              </w:rPr>
            </w:pPr>
            <w:r w:rsidRPr="00937FB6">
              <w:rPr>
                <w:rFonts w:ascii="Verdana" w:hAnsi="Verdana" w:cs="Arial"/>
                <w:color w:val="000000" w:themeColor="text1"/>
              </w:rPr>
              <w:t>LEY DE GARANTÍAS ELECTORALES – Propósito /LEY DE GARANTÍAS ELECTORALES – Prohibiciones – Restricciones / LEY DE GARANTÍAS ELECTORALES – Artículo 33 – Ámbito material</w:t>
            </w:r>
            <w:r>
              <w:rPr>
                <w:rFonts w:ascii="Verdana" w:hAnsi="Verdana" w:cs="Arial"/>
                <w:color w:val="000000" w:themeColor="text1"/>
              </w:rPr>
              <w:t xml:space="preserve"> - </w:t>
            </w:r>
            <w:r w:rsidRPr="00937FB6">
              <w:rPr>
                <w:rFonts w:ascii="Verdana" w:hAnsi="Verdana" w:cs="Arial"/>
                <w:color w:val="000000" w:themeColor="text1"/>
              </w:rPr>
              <w:t xml:space="preserve">Destinatarios </w:t>
            </w:r>
            <w:r>
              <w:rPr>
                <w:rFonts w:ascii="Verdana" w:hAnsi="Verdana" w:cs="Arial"/>
                <w:color w:val="000000" w:themeColor="text1"/>
              </w:rPr>
              <w:t xml:space="preserve">- </w:t>
            </w:r>
            <w:r w:rsidRPr="00937FB6">
              <w:rPr>
                <w:rFonts w:ascii="Verdana" w:hAnsi="Verdana" w:cs="Arial"/>
                <w:color w:val="000000" w:themeColor="text1"/>
              </w:rPr>
              <w:t>Excepciones / LEY DE GARANTÍAS ELECTORALES – Parágrafo del artículo 38 - Alcance / LEY DE GARANTÍAS ELECTORALES – Convenios interadministrativos – Contratos interadministrativos / CONSEJO DE ESTADO</w:t>
            </w:r>
            <w:r>
              <w:rPr>
                <w:rFonts w:ascii="Verdana" w:hAnsi="Verdana" w:cs="Arial"/>
                <w:color w:val="000000" w:themeColor="text1"/>
              </w:rPr>
              <w:t xml:space="preserve"> – Posición </w:t>
            </w:r>
            <w:r w:rsidRPr="00937FB6">
              <w:rPr>
                <w:rFonts w:ascii="Verdana" w:hAnsi="Verdana" w:cs="Arial"/>
                <w:color w:val="000000" w:themeColor="text1"/>
              </w:rPr>
              <w:t>/</w:t>
            </w:r>
            <w:r w:rsidRPr="00937FB6">
              <w:rPr>
                <w:rFonts w:ascii="Verdana" w:hAnsi="Verdana"/>
                <w:color w:val="000000" w:themeColor="text1"/>
              </w:rPr>
              <w:t xml:space="preserve"> LEY DE GARANTÍAS ELECTORALES -</w:t>
            </w:r>
            <w:r w:rsidRPr="00937FB6">
              <w:rPr>
                <w:color w:val="000000" w:themeColor="text1"/>
              </w:rPr>
              <w:t xml:space="preserve"> </w:t>
            </w:r>
            <w:r w:rsidRPr="00937FB6">
              <w:rPr>
                <w:rFonts w:ascii="Verdana" w:eastAsia="Calibri" w:hAnsi="Verdana" w:cs="Arial"/>
                <w:lang w:val="es-ES" w:eastAsia="es-ES"/>
              </w:rPr>
              <w:t>Excepción</w:t>
            </w:r>
            <w:r w:rsidRPr="00937FB6">
              <w:rPr>
                <w:rFonts w:ascii="Verdana" w:hAnsi="Verdana" w:cs="Arial"/>
                <w:bCs/>
                <w:color w:val="000000" w:themeColor="text1"/>
              </w:rPr>
              <w:t xml:space="preserve"> </w:t>
            </w:r>
            <w:r>
              <w:rPr>
                <w:rFonts w:ascii="Verdana" w:hAnsi="Verdana" w:cs="Arial"/>
                <w:bCs/>
                <w:color w:val="000000" w:themeColor="text1"/>
              </w:rPr>
              <w:t xml:space="preserve">a las </w:t>
            </w:r>
            <w:r w:rsidRPr="00937FB6">
              <w:rPr>
                <w:rFonts w:ascii="Verdana" w:hAnsi="Verdana" w:cs="Arial"/>
                <w:bCs/>
                <w:color w:val="000000" w:themeColor="text1"/>
              </w:rPr>
              <w:t>entidades sanitarias y hospitalaria</w:t>
            </w:r>
            <w:r>
              <w:rPr>
                <w:rFonts w:ascii="Verdana" w:hAnsi="Verdana" w:cs="Arial"/>
                <w:bCs/>
                <w:color w:val="000000" w:themeColor="text1"/>
              </w:rPr>
              <w:t>s</w:t>
            </w:r>
          </w:p>
          <w:p w14:paraId="5C649ABE" w14:textId="77777777" w:rsidR="00D766A0" w:rsidRPr="00A50078" w:rsidRDefault="00D766A0" w:rsidP="00682525">
            <w:pPr>
              <w:spacing w:line="276" w:lineRule="auto"/>
              <w:jc w:val="both"/>
              <w:rPr>
                <w:rFonts w:ascii="Verdana" w:eastAsia="Calibri" w:hAnsi="Verdana" w:cs="Arial"/>
                <w:lang w:val="es-ES" w:eastAsia="es-ES"/>
              </w:rPr>
            </w:pPr>
            <w:r w:rsidRPr="00937FB6">
              <w:rPr>
                <w:rFonts w:ascii="Verdana" w:hAnsi="Verdana" w:cs="Arial"/>
                <w:color w:val="000000" w:themeColor="text1"/>
              </w:rPr>
              <w:t xml:space="preserve"> </w:t>
            </w:r>
          </w:p>
        </w:tc>
      </w:tr>
      <w:tr w:rsidR="00D766A0" w:rsidRPr="00E9728D" w14:paraId="76CC0340" w14:textId="77777777" w:rsidTr="00682525">
        <w:trPr>
          <w:trHeight w:val="432"/>
        </w:trPr>
        <w:tc>
          <w:tcPr>
            <w:tcW w:w="2689" w:type="dxa"/>
          </w:tcPr>
          <w:p w14:paraId="54394ADE" w14:textId="77777777" w:rsidR="00D766A0" w:rsidRPr="00E9728D" w:rsidRDefault="00D766A0" w:rsidP="00682525">
            <w:pPr>
              <w:jc w:val="both"/>
              <w:rPr>
                <w:rFonts w:ascii="Verdana" w:eastAsia="Calibri" w:hAnsi="Verdana" w:cs="Arial"/>
                <w:b/>
                <w:lang w:val="es-ES_tradnl" w:eastAsia="es-ES_tradnl"/>
              </w:rPr>
            </w:pPr>
            <w:r w:rsidRPr="00E9728D">
              <w:rPr>
                <w:rFonts w:ascii="Verdana" w:eastAsia="Calibri" w:hAnsi="Verdana" w:cs="Arial"/>
                <w:b/>
                <w:lang w:val="es-ES_tradnl" w:eastAsia="es-ES_tradnl"/>
              </w:rPr>
              <w:t>Radicación:</w:t>
            </w:r>
            <w:r w:rsidRPr="00E9728D">
              <w:rPr>
                <w:rFonts w:ascii="Verdana" w:eastAsia="Calibri" w:hAnsi="Verdana" w:cs="Arial"/>
                <w:lang w:val="es-ES_tradnl" w:eastAsia="es-ES_tradnl"/>
              </w:rPr>
              <w:t xml:space="preserve">               </w:t>
            </w:r>
          </w:p>
        </w:tc>
        <w:tc>
          <w:tcPr>
            <w:tcW w:w="6100" w:type="dxa"/>
          </w:tcPr>
          <w:p w14:paraId="373D4958" w14:textId="64FDD525" w:rsidR="00041020" w:rsidRPr="00041020" w:rsidRDefault="00D766A0" w:rsidP="00041020">
            <w:pPr>
              <w:jc w:val="both"/>
              <w:rPr>
                <w:rFonts w:ascii="Verdana" w:eastAsia="Calibri" w:hAnsi="Verdana" w:cs="Arial"/>
                <w:lang w:val="es-ES_tradnl" w:eastAsia="es-ES_tradnl"/>
              </w:rPr>
            </w:pPr>
            <w:r w:rsidRPr="004267FD">
              <w:rPr>
                <w:rFonts w:ascii="Verdana" w:eastAsia="Calibri" w:hAnsi="Verdana" w:cs="Arial"/>
                <w:lang w:val="es-ES_tradnl" w:eastAsia="es-ES_tradnl"/>
              </w:rPr>
              <w:t>Respuesta a consulta con radicado No.</w:t>
            </w:r>
            <w:r w:rsidRPr="002873C7">
              <w:rPr>
                <w:rFonts w:ascii="Verdana" w:eastAsia="Calibri" w:hAnsi="Verdana" w:cs="Arial"/>
                <w:lang w:eastAsia="es-ES_tradnl"/>
              </w:rPr>
              <w:t> </w:t>
            </w:r>
            <w:r w:rsidR="00041020">
              <w:rPr>
                <w:rFonts w:ascii="Verdana" w:hAnsi="Verdana" w:cs="Calibri"/>
              </w:rPr>
              <w:t>1_2026_05_15_006569</w:t>
            </w:r>
          </w:p>
          <w:p w14:paraId="34FA062F" w14:textId="5108C90C" w:rsidR="00D766A0" w:rsidRPr="004267FD" w:rsidRDefault="00D766A0" w:rsidP="00682525">
            <w:pPr>
              <w:jc w:val="both"/>
              <w:rPr>
                <w:rFonts w:ascii="Verdana" w:eastAsia="Calibri" w:hAnsi="Verdana" w:cs="Arial"/>
                <w:lang w:val="es-ES_tradnl" w:eastAsia="es-ES_tradnl"/>
              </w:rPr>
            </w:pPr>
          </w:p>
        </w:tc>
      </w:tr>
    </w:tbl>
    <w:p w14:paraId="0BA5A7B6" w14:textId="77777777" w:rsidR="00D766A0" w:rsidRPr="00E9728D" w:rsidRDefault="00D766A0" w:rsidP="00D766A0">
      <w:pPr>
        <w:spacing w:after="0" w:line="240" w:lineRule="auto"/>
        <w:jc w:val="both"/>
        <w:rPr>
          <w:rFonts w:ascii="Verdana" w:eastAsia="Calibri" w:hAnsi="Verdana" w:cs="Arial"/>
          <w:lang w:val="es-ES_tradnl" w:eastAsia="es-ES_tradnl"/>
        </w:rPr>
      </w:pPr>
    </w:p>
    <w:p w14:paraId="6D1FB586" w14:textId="77777777" w:rsidR="00D766A0" w:rsidRPr="00E9728D" w:rsidRDefault="00D766A0" w:rsidP="00D766A0">
      <w:pPr>
        <w:spacing w:after="0" w:line="240" w:lineRule="auto"/>
        <w:jc w:val="both"/>
        <w:rPr>
          <w:rFonts w:ascii="Verdana" w:eastAsia="Calibri" w:hAnsi="Verdana" w:cs="Arial"/>
          <w:color w:val="000000"/>
          <w:lang w:val="es-ES_tradnl" w:eastAsia="es-ES_tradnl"/>
        </w:rPr>
      </w:pPr>
    </w:p>
    <w:p w14:paraId="7483CFA9" w14:textId="47B5FD18" w:rsidR="00D766A0" w:rsidRDefault="00501E63" w:rsidP="00D766A0">
      <w:pPr>
        <w:spacing w:after="0" w:line="276" w:lineRule="auto"/>
        <w:jc w:val="both"/>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Respetados señores:</w:t>
      </w:r>
    </w:p>
    <w:p w14:paraId="7FC27B81" w14:textId="77777777" w:rsidR="00D766A0" w:rsidRPr="00E9728D" w:rsidRDefault="00D766A0" w:rsidP="00D766A0">
      <w:pPr>
        <w:spacing w:after="0" w:line="276" w:lineRule="auto"/>
        <w:jc w:val="both"/>
        <w:rPr>
          <w:rFonts w:ascii="Verdana" w:eastAsia="Calibri" w:hAnsi="Verdana" w:cs="Arial"/>
          <w:color w:val="000000" w:themeColor="text1"/>
          <w:lang w:val="es-ES" w:eastAsia="es-ES"/>
        </w:rPr>
      </w:pPr>
    </w:p>
    <w:p w14:paraId="63090078" w14:textId="34C24682" w:rsidR="00D766A0" w:rsidRPr="00950EBB" w:rsidRDefault="00D766A0" w:rsidP="00D766A0">
      <w:pPr>
        <w:spacing w:after="0" w:line="276" w:lineRule="auto"/>
        <w:jc w:val="both"/>
        <w:rPr>
          <w:rFonts w:ascii="Verdana" w:eastAsia="Calibri" w:hAnsi="Verdana" w:cs="Arial"/>
          <w:color w:val="7030A0"/>
          <w:lang w:val="es-ES" w:eastAsia="es-ES"/>
        </w:rPr>
      </w:pPr>
      <w:r w:rsidRPr="00950EBB">
        <w:rPr>
          <w:rFonts w:ascii="Verdana" w:eastAsia="Calibri" w:hAnsi="Verdana" w:cs="Arial"/>
          <w:color w:val="000000" w:themeColor="text1"/>
          <w:lang w:val="es-ES" w:eastAsia="es-ES"/>
        </w:rPr>
        <w:t>En ejercicio de la competencia otorgada por los artículos 3, numeral 5º, y 11, numeral 8º, del Decreto Ley 4170 de 2011,</w:t>
      </w:r>
      <w:r w:rsidRPr="00950EBB">
        <w:rPr>
          <w:rFonts w:ascii="Verdana" w:eastAsia="Arial MT" w:hAnsi="Verdana" w:cs="Arial MT"/>
          <w:lang w:val="es-ES" w:eastAsia="es-ES"/>
        </w:rPr>
        <w:t xml:space="preserve"> </w:t>
      </w:r>
      <w:r w:rsidRPr="00950EBB">
        <w:rPr>
          <w:rFonts w:ascii="Verdana" w:hAnsi="Verdana" w:cs="Arial"/>
        </w:rPr>
        <w:t xml:space="preserve">así como lo establecido la </w:t>
      </w:r>
      <w:r w:rsidRPr="00950EBB">
        <w:rPr>
          <w:rFonts w:ascii="Verdana" w:eastAsia="Verdana" w:hAnsi="Verdana" w:cs="Verdana"/>
          <w:color w:val="000000" w:themeColor="text1"/>
        </w:rPr>
        <w:t>Resolución 469 de 2025</w:t>
      </w:r>
      <w:r w:rsidRPr="00950EBB">
        <w:rPr>
          <w:rFonts w:ascii="Verdana" w:hAnsi="Verdana" w:cs="Arial"/>
        </w:rPr>
        <w:t xml:space="preserve"> expedida por esta Entidad, </w:t>
      </w:r>
      <w:r w:rsidRPr="00950EBB">
        <w:rPr>
          <w:rFonts w:ascii="Verdana" w:eastAsia="Calibri" w:hAnsi="Verdana" w:cs="Arial"/>
          <w:color w:val="000000" w:themeColor="text1"/>
          <w:lang w:val="es-ES" w:eastAsia="es-ES"/>
        </w:rPr>
        <w:t xml:space="preserve">la Agencia Nacional de Contratación Pública – Colombia Compra Eficiente– responde su solicitud de consulta de fecha </w:t>
      </w:r>
      <w:r w:rsidRPr="00950EBB">
        <w:rPr>
          <w:rFonts w:ascii="Verdana" w:eastAsia="Calibri" w:hAnsi="Verdana" w:cs="Arial"/>
          <w:lang w:val="es-ES" w:eastAsia="es-ES"/>
        </w:rPr>
        <w:t>1</w:t>
      </w:r>
      <w:r w:rsidR="00501E63">
        <w:rPr>
          <w:rFonts w:ascii="Verdana" w:eastAsia="Calibri" w:hAnsi="Verdana" w:cs="Arial"/>
          <w:lang w:val="es-ES" w:eastAsia="es-ES"/>
        </w:rPr>
        <w:t>5</w:t>
      </w:r>
      <w:r w:rsidRPr="00950EBB">
        <w:rPr>
          <w:rFonts w:ascii="Verdana" w:eastAsia="Calibri" w:hAnsi="Verdana" w:cs="Arial"/>
          <w:lang w:val="es-ES" w:eastAsia="es-ES"/>
        </w:rPr>
        <w:t xml:space="preserve"> de </w:t>
      </w:r>
      <w:r w:rsidR="00501E63">
        <w:rPr>
          <w:rFonts w:ascii="Verdana" w:eastAsia="Calibri" w:hAnsi="Verdana" w:cs="Arial"/>
          <w:lang w:val="es-ES" w:eastAsia="es-ES"/>
        </w:rPr>
        <w:t>mayo</w:t>
      </w:r>
      <w:r w:rsidRPr="00950EBB">
        <w:rPr>
          <w:rFonts w:ascii="Verdana" w:eastAsia="Calibri" w:hAnsi="Verdana" w:cs="Arial"/>
          <w:lang w:val="es-ES" w:eastAsia="es-ES"/>
        </w:rPr>
        <w:t xml:space="preserve"> de 2026, en la cual manifiesta lo siguiente: </w:t>
      </w:r>
    </w:p>
    <w:p w14:paraId="6B63D821" w14:textId="77777777" w:rsidR="00D766A0" w:rsidRPr="00950EBB" w:rsidRDefault="00D766A0" w:rsidP="00D766A0">
      <w:pPr>
        <w:pStyle w:val="Prrafodelista"/>
        <w:tabs>
          <w:tab w:val="left" w:pos="142"/>
          <w:tab w:val="left" w:pos="284"/>
        </w:tabs>
        <w:spacing w:line="276" w:lineRule="auto"/>
        <w:ind w:left="0"/>
        <w:jc w:val="both"/>
        <w:rPr>
          <w:rFonts w:ascii="Verdana" w:eastAsia="Century Gothic" w:hAnsi="Verdana" w:cs="Century Gothic"/>
          <w:b/>
          <w:bCs/>
          <w:i/>
          <w:iCs/>
        </w:rPr>
      </w:pPr>
    </w:p>
    <w:p w14:paraId="70675056" w14:textId="77777777" w:rsidR="00D766A0" w:rsidRPr="00111A13" w:rsidRDefault="00D766A0" w:rsidP="00111A13">
      <w:pPr>
        <w:pStyle w:val="Prrafodelista"/>
        <w:spacing w:after="0" w:line="240" w:lineRule="auto"/>
        <w:ind w:left="709" w:right="709"/>
        <w:jc w:val="both"/>
        <w:rPr>
          <w:rFonts w:ascii="Verdana" w:eastAsia="Century Gothic" w:hAnsi="Verdana" w:cs="Century Gothic"/>
          <w:i/>
          <w:iCs/>
          <w:sz w:val="21"/>
          <w:szCs w:val="21"/>
          <w:lang w:val="es-CO"/>
        </w:rPr>
      </w:pPr>
      <w:r w:rsidRPr="00111A13">
        <w:rPr>
          <w:rFonts w:ascii="Verdana" w:eastAsia="Century Gothic" w:hAnsi="Verdana" w:cs="Century Gothic"/>
          <w:i/>
          <w:iCs/>
          <w:sz w:val="21"/>
          <w:szCs w:val="21"/>
        </w:rPr>
        <w:t>“</w:t>
      </w:r>
      <w:r w:rsidRPr="00111A13">
        <w:rPr>
          <w:rFonts w:ascii="Verdana" w:eastAsia="Century Gothic" w:hAnsi="Verdana" w:cs="Century Gothic"/>
          <w:i/>
          <w:iCs/>
          <w:sz w:val="21"/>
          <w:szCs w:val="21"/>
          <w:lang w:val="es-CO"/>
        </w:rPr>
        <w:t xml:space="preserve">[…] </w:t>
      </w:r>
    </w:p>
    <w:p w14:paraId="7D3883B1" w14:textId="7F18FAA6" w:rsidR="00D766A0" w:rsidRPr="00111A13" w:rsidRDefault="009464D4" w:rsidP="00111A13">
      <w:pPr>
        <w:spacing w:after="0" w:line="240" w:lineRule="auto"/>
        <w:ind w:left="709" w:right="709"/>
        <w:jc w:val="both"/>
        <w:rPr>
          <w:rFonts w:ascii="Verdana" w:eastAsia="Century Gothic" w:hAnsi="Verdana" w:cs="Century Gothic"/>
          <w:i/>
          <w:iCs/>
          <w:sz w:val="21"/>
          <w:szCs w:val="21"/>
        </w:rPr>
      </w:pPr>
      <w:r w:rsidRPr="00111A13">
        <w:rPr>
          <w:rFonts w:ascii="Verdana" w:eastAsia="Century Gothic" w:hAnsi="Verdana" w:cs="Century Gothic"/>
          <w:i/>
          <w:iCs/>
          <w:sz w:val="21"/>
          <w:szCs w:val="21"/>
        </w:rPr>
        <w:t>¿Puede un municipio celebrar un convenio interadministrativo con la Empresa Social del Estado (ESE) de su jurisdicción, en cumplimiento de lo establecido en la Resolución 857 de 2020, mediante la cual se fijan los lineamientos para el uso y ejecución de los recursos del subcomponente se subsidio a la Oferta del Sistema General de Participación en Salud, teniendo en cuenta en actualmente se encuentra vigente la Ley de Garantías Electorales?</w:t>
      </w:r>
    </w:p>
    <w:p w14:paraId="55293B63" w14:textId="77777777" w:rsidR="00D86CC0" w:rsidRDefault="00D86CC0" w:rsidP="00501E63">
      <w:pPr>
        <w:spacing w:after="0" w:line="240" w:lineRule="auto"/>
        <w:ind w:left="1069" w:right="709"/>
        <w:jc w:val="both"/>
        <w:rPr>
          <w:rFonts w:ascii="Verdana" w:eastAsia="Century Gothic" w:hAnsi="Verdana" w:cs="Century Gothic"/>
          <w:i/>
          <w:iCs/>
          <w:sz w:val="20"/>
          <w:szCs w:val="20"/>
        </w:rPr>
      </w:pPr>
    </w:p>
    <w:p w14:paraId="663BF2D0" w14:textId="69DAC2E1" w:rsidR="00D86CC0" w:rsidRPr="00950EBB" w:rsidRDefault="00D86CC0" w:rsidP="00501E63">
      <w:pPr>
        <w:spacing w:after="0" w:line="240" w:lineRule="auto"/>
        <w:ind w:left="1069" w:right="709"/>
        <w:jc w:val="both"/>
        <w:rPr>
          <w:rFonts w:ascii="Verdana" w:eastAsia="Century Gothic" w:hAnsi="Verdana" w:cs="Century Gothic"/>
          <w:i/>
          <w:iCs/>
          <w:sz w:val="20"/>
          <w:szCs w:val="20"/>
        </w:rPr>
      </w:pPr>
      <w:r>
        <w:rPr>
          <w:rFonts w:ascii="Verdana" w:eastAsia="Century Gothic" w:hAnsi="Verdana" w:cs="Century Gothic"/>
          <w:i/>
          <w:iCs/>
          <w:sz w:val="20"/>
          <w:szCs w:val="20"/>
        </w:rPr>
        <w:t>[..]”.</w:t>
      </w:r>
    </w:p>
    <w:p w14:paraId="7C212B96" w14:textId="77777777" w:rsidR="00D766A0" w:rsidRPr="00950EBB" w:rsidRDefault="00D766A0" w:rsidP="00D766A0">
      <w:pPr>
        <w:spacing w:after="0" w:line="240" w:lineRule="auto"/>
        <w:ind w:right="709"/>
        <w:jc w:val="both"/>
        <w:rPr>
          <w:rFonts w:ascii="Verdana" w:eastAsia="Century Gothic" w:hAnsi="Verdana" w:cs="Century Gothic"/>
          <w:i/>
          <w:iCs/>
          <w:sz w:val="20"/>
          <w:szCs w:val="20"/>
        </w:rPr>
      </w:pPr>
    </w:p>
    <w:p w14:paraId="1F92174D" w14:textId="77777777" w:rsidR="00D766A0" w:rsidRPr="00950EBB" w:rsidRDefault="00D766A0" w:rsidP="00D766A0">
      <w:pPr>
        <w:spacing w:after="120" w:line="276" w:lineRule="auto"/>
        <w:ind w:firstLine="709"/>
        <w:jc w:val="both"/>
        <w:rPr>
          <w:rFonts w:ascii="Verdana" w:eastAsia="Calibri" w:hAnsi="Verdana" w:cs="Arial"/>
          <w:color w:val="000000"/>
          <w:szCs w:val="24"/>
          <w:lang w:val="es-ES_tradnl" w:eastAsia="es-ES_tradnl"/>
        </w:rPr>
      </w:pPr>
      <w:r w:rsidRPr="00950EBB">
        <w:rPr>
          <w:rFonts w:ascii="Verdana" w:eastAsia="Calibri" w:hAnsi="Verdana" w:cs="Arial"/>
          <w:color w:val="000000"/>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Pública -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950EBB">
        <w:rPr>
          <w:rFonts w:ascii="Verdana" w:eastAsia="Calibri" w:hAnsi="Verdana" w:cs="Arial"/>
          <w:color w:val="000000"/>
          <w:szCs w:val="24"/>
          <w:lang w:val="es-ES_tradnl" w:eastAsia="es-ES_tradnl"/>
        </w:rPr>
        <w:tab/>
      </w:r>
    </w:p>
    <w:p w14:paraId="4294978D" w14:textId="77777777" w:rsidR="00D766A0" w:rsidRPr="00950EBB" w:rsidRDefault="00D766A0" w:rsidP="00D766A0">
      <w:pPr>
        <w:spacing w:after="0" w:line="276" w:lineRule="auto"/>
        <w:ind w:firstLine="709"/>
        <w:jc w:val="both"/>
        <w:rPr>
          <w:rFonts w:ascii="Verdana" w:eastAsia="Calibri" w:hAnsi="Verdana" w:cs="Arial"/>
          <w:color w:val="000000"/>
          <w:lang w:val="es-ES" w:eastAsia="es-ES"/>
        </w:rPr>
      </w:pPr>
      <w:r w:rsidRPr="00950EBB">
        <w:rPr>
          <w:rFonts w:ascii="Verdana" w:eastAsia="Calibri" w:hAnsi="Verdana" w:cs="Arial"/>
          <w:color w:val="000000"/>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señalando unas consideraciones sobre las normas generales relacionadas con </w:t>
      </w:r>
      <w:r w:rsidRPr="00950EBB">
        <w:rPr>
          <w:rFonts w:ascii="Verdana" w:eastAsia="Calibri" w:hAnsi="Verdana" w:cs="Arial"/>
          <w:lang w:val="es-ES" w:eastAsia="es-ES"/>
        </w:rPr>
        <w:t xml:space="preserve">el problema </w:t>
      </w:r>
      <w:r w:rsidRPr="00950EBB">
        <w:rPr>
          <w:rFonts w:ascii="Verdana" w:eastAsia="Calibri" w:hAnsi="Verdana" w:cs="Arial"/>
          <w:color w:val="000000"/>
          <w:lang w:val="es-ES" w:eastAsia="es-ES"/>
        </w:rPr>
        <w:t>jurídico de su consulta.</w:t>
      </w:r>
    </w:p>
    <w:p w14:paraId="5986C700" w14:textId="77777777" w:rsidR="00D766A0" w:rsidRPr="00950EBB" w:rsidRDefault="00D766A0" w:rsidP="00D766A0">
      <w:pPr>
        <w:spacing w:after="0" w:line="276" w:lineRule="auto"/>
        <w:ind w:firstLine="709"/>
        <w:jc w:val="both"/>
        <w:rPr>
          <w:rFonts w:ascii="Verdana" w:eastAsia="Calibri" w:hAnsi="Verdana" w:cs="Arial"/>
          <w:color w:val="000000"/>
          <w:lang w:val="es-ES" w:eastAsia="es-ES"/>
        </w:rPr>
      </w:pPr>
      <w:r w:rsidRPr="00950EBB">
        <w:rPr>
          <w:rFonts w:ascii="Verdana" w:eastAsia="Calibri" w:hAnsi="Verdana" w:cs="Arial"/>
          <w:color w:val="000000"/>
          <w:lang w:val="es-ES" w:eastAsia="es-ES"/>
        </w:rPr>
        <w:t xml:space="preserve"> </w:t>
      </w:r>
    </w:p>
    <w:p w14:paraId="228D2F7B" w14:textId="77777777" w:rsidR="00D766A0" w:rsidRPr="00950EBB" w:rsidRDefault="00D766A0" w:rsidP="00D766A0">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rPr>
      </w:pPr>
      <w:r w:rsidRPr="00950EBB">
        <w:rPr>
          <w:rFonts w:ascii="Verdana" w:eastAsia="Century Gothic" w:hAnsi="Verdana" w:cs="Century Gothic"/>
          <w:b/>
          <w:bCs/>
        </w:rPr>
        <w:t>Problema planteado:</w:t>
      </w:r>
    </w:p>
    <w:p w14:paraId="1D634B6A" w14:textId="77777777" w:rsidR="00D766A0" w:rsidRPr="00950EBB" w:rsidRDefault="00D766A0" w:rsidP="00D766A0">
      <w:pPr>
        <w:tabs>
          <w:tab w:val="left" w:pos="426"/>
        </w:tabs>
        <w:spacing w:after="0" w:line="276" w:lineRule="auto"/>
        <w:jc w:val="both"/>
        <w:rPr>
          <w:rFonts w:ascii="Verdana" w:eastAsia="Century Gothic" w:hAnsi="Verdana" w:cs="Century Gothic"/>
          <w:lang w:val="es-ES"/>
        </w:rPr>
      </w:pPr>
    </w:p>
    <w:p w14:paraId="0550F129" w14:textId="0C8AA14F" w:rsidR="00D766A0" w:rsidRPr="00950EBB" w:rsidRDefault="00D766A0" w:rsidP="00D766A0">
      <w:pPr>
        <w:spacing w:after="0" w:line="276" w:lineRule="auto"/>
        <w:ind w:firstLine="709"/>
        <w:jc w:val="both"/>
        <w:rPr>
          <w:rFonts w:ascii="Verdana" w:eastAsia="Century Gothic" w:hAnsi="Verdana" w:cs="Century Gothic"/>
        </w:rPr>
      </w:pPr>
      <w:r w:rsidRPr="00950EBB">
        <w:rPr>
          <w:rFonts w:ascii="Verdana" w:eastAsia="Century Gothic" w:hAnsi="Verdana" w:cs="Century Gothic"/>
        </w:rPr>
        <w:t>De acuerdo con el contenido de su solicitud, esta Agencia el siguiente problema jurídico: De conformidad con el régimen jurídico de la contratación estatal ¿</w:t>
      </w:r>
      <w:r w:rsidR="004772FE">
        <w:rPr>
          <w:rFonts w:ascii="Verdana" w:eastAsia="Century Gothic" w:hAnsi="Verdana" w:cs="Century Gothic"/>
        </w:rPr>
        <w:t xml:space="preserve">Prohíbe la Ley de Garantías Electorales </w:t>
      </w:r>
      <w:r w:rsidR="00C81B5A">
        <w:rPr>
          <w:rFonts w:ascii="Verdana" w:eastAsia="Century Gothic" w:hAnsi="Verdana" w:cs="Century Gothic"/>
        </w:rPr>
        <w:t xml:space="preserve">la celebración de un convenio interadministrativo entre una Empresa Social del Estado y </w:t>
      </w:r>
      <w:r w:rsidR="00E9249A">
        <w:rPr>
          <w:rFonts w:ascii="Verdana" w:eastAsia="Century Gothic" w:hAnsi="Verdana" w:cs="Century Gothic"/>
        </w:rPr>
        <w:t xml:space="preserve">un municipio para la ejecución de los recursos </w:t>
      </w:r>
      <w:r w:rsidR="00BF5DB4">
        <w:rPr>
          <w:rFonts w:ascii="Verdana" w:eastAsia="Century Gothic" w:hAnsi="Verdana" w:cs="Century Gothic"/>
        </w:rPr>
        <w:t xml:space="preserve">del subsidio </w:t>
      </w:r>
      <w:r w:rsidR="00525768">
        <w:rPr>
          <w:rFonts w:ascii="Verdana" w:eastAsia="Century Gothic" w:hAnsi="Verdana" w:cs="Century Gothic"/>
        </w:rPr>
        <w:t>a la oferta en salud?</w:t>
      </w:r>
    </w:p>
    <w:p w14:paraId="0D406898" w14:textId="77777777" w:rsidR="00D766A0" w:rsidRPr="00950EBB" w:rsidRDefault="00D766A0" w:rsidP="00D766A0">
      <w:pPr>
        <w:spacing w:after="0" w:line="276" w:lineRule="auto"/>
        <w:jc w:val="both"/>
        <w:rPr>
          <w:rFonts w:ascii="Verdana" w:eastAsia="Century Gothic" w:hAnsi="Verdana" w:cs="Century Gothic"/>
        </w:rPr>
      </w:pPr>
    </w:p>
    <w:p w14:paraId="7AF9599F" w14:textId="77777777" w:rsidR="00D766A0" w:rsidRPr="00950EBB" w:rsidRDefault="00D766A0" w:rsidP="00D766A0">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950EBB">
        <w:rPr>
          <w:rFonts w:ascii="Verdana" w:eastAsia="Century Gothic" w:hAnsi="Verdana" w:cs="Century Gothic"/>
          <w:b/>
          <w:bCs/>
        </w:rPr>
        <w:t>Respuesta:</w:t>
      </w:r>
    </w:p>
    <w:p w14:paraId="4AF010C3" w14:textId="77777777" w:rsidR="00D766A0" w:rsidRPr="00950EBB" w:rsidRDefault="00D766A0" w:rsidP="00D766A0">
      <w:pPr>
        <w:tabs>
          <w:tab w:val="left" w:pos="142"/>
          <w:tab w:val="left" w:pos="284"/>
        </w:tabs>
        <w:spacing w:after="0" w:line="276" w:lineRule="auto"/>
        <w:jc w:val="both"/>
        <w:rPr>
          <w:rFonts w:ascii="Verdana" w:eastAsia="Century Gothic" w:hAnsi="Verdana" w:cs="Century Gothic"/>
          <w:b/>
          <w:bCs/>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D766A0" w:rsidRPr="00950EBB" w14:paraId="12D836C7" w14:textId="77777777" w:rsidTr="00682525">
        <w:tc>
          <w:tcPr>
            <w:tcW w:w="8828" w:type="dxa"/>
          </w:tcPr>
          <w:p w14:paraId="3938360C" w14:textId="77777777" w:rsidR="007822C7" w:rsidRPr="006A09E3" w:rsidRDefault="00D766A0" w:rsidP="007822C7">
            <w:pPr>
              <w:spacing w:after="120" w:line="276" w:lineRule="auto"/>
              <w:jc w:val="both"/>
              <w:rPr>
                <w:rFonts w:ascii="Verdana" w:eastAsia="Calibri" w:hAnsi="Verdana" w:cs="Arial"/>
                <w:lang w:eastAsia="es-ES"/>
              </w:rPr>
            </w:pPr>
            <w:r w:rsidRPr="00950EBB">
              <w:rPr>
                <w:rFonts w:ascii="Verdana" w:eastAsia="Calibri" w:hAnsi="Verdana" w:cs="Arial"/>
                <w:lang w:eastAsia="es-ES"/>
              </w:rPr>
              <w:t xml:space="preserve">Las restricciones contenidas en el artículo 33 de la Ley 996 de 2005 aplica para “la contratación directa” de todos los entes del Estado, </w:t>
            </w:r>
            <w:r w:rsidRPr="00950EBB">
              <w:rPr>
                <w:rFonts w:ascii="Verdana" w:hAnsi="Verdana" w:cs="Arial"/>
                <w:color w:val="000000" w:themeColor="text1"/>
                <w:lang w:val="es-MX"/>
              </w:rPr>
              <w:t xml:space="preserve">sin distinción del régimen jurídico, forma de organización o naturaleza, su pertenencia a una u otra rama del poder público o su autonomía, e incluso si las entidades estatales tienen régimen especial de contratación y están exceptuadas del ámbito de aplicación del Estatuto General de Contratación de la Administración Pública. </w:t>
            </w:r>
            <w:r w:rsidRPr="00950EBB">
              <w:rPr>
                <w:rFonts w:ascii="Verdana" w:eastAsia="Calibri" w:hAnsi="Verdana" w:cs="Arial"/>
                <w:lang w:eastAsia="es-ES"/>
              </w:rPr>
              <w:t xml:space="preserve"> Se trata de la prohibición de </w:t>
            </w:r>
            <w:r w:rsidRPr="00950EBB">
              <w:rPr>
                <w:rFonts w:ascii="Verdana" w:hAnsi="Verdana" w:cs="Arial"/>
                <w:bCs/>
                <w:lang w:eastAsia="x-none"/>
              </w:rPr>
              <w:t>aquellos contratos en los que no exista un proceso abierto y competitivo.</w:t>
            </w:r>
            <w:r w:rsidRPr="00950EBB">
              <w:rPr>
                <w:rFonts w:ascii="Verdana" w:hAnsi="Verdana" w:cs="Arial"/>
                <w:lang w:eastAsia="x-none"/>
              </w:rPr>
              <w:t xml:space="preserve"> Por lo tanto, no son materia de la prohibición las demás modalidades de selección previstas en la Ley 1150 de 2007, esto es, la licitación pública, el concurso de méritos, la selección abreviada y la contratación de mínima cuantía. Adicionalmente, la celebración de la contratación directa </w:t>
            </w:r>
            <w:r w:rsidRPr="00950EBB">
              <w:rPr>
                <w:rFonts w:ascii="Verdana" w:eastAsia="Calibri" w:hAnsi="Verdana" w:cs="Arial"/>
                <w:lang w:eastAsia="es-ES"/>
              </w:rPr>
              <w:t xml:space="preserve">no se encuentra condicionada por la ejecución de recursos en el marco de los respectivos contratos o el origen de estos, de manera que aplica las restricciones independientemente de que el contrato implique o no la ejecución de recursos o si los recursos destinados son de naturaleza pública o privada. </w:t>
            </w:r>
          </w:p>
          <w:p w14:paraId="3C7E3091" w14:textId="77777777" w:rsidR="007822C7" w:rsidRPr="006A09E3" w:rsidRDefault="007822C7" w:rsidP="007822C7">
            <w:pPr>
              <w:spacing w:after="120" w:line="276" w:lineRule="auto"/>
              <w:ind w:firstLine="709"/>
              <w:jc w:val="both"/>
              <w:rPr>
                <w:rFonts w:ascii="Verdana" w:eastAsia="Calibri" w:hAnsi="Verdana" w:cs="Arial"/>
                <w:lang w:eastAsia="es-ES"/>
              </w:rPr>
            </w:pPr>
            <w:r w:rsidRPr="006A09E3">
              <w:rPr>
                <w:rFonts w:ascii="Verdana" w:eastAsia="Calibri" w:hAnsi="Verdana" w:cs="Arial"/>
                <w:lang w:eastAsia="es-ES"/>
              </w:rPr>
              <w:t xml:space="preserve">Por su parte, la entidad definirá si la contratación que pretende celebrar se enmarca en alguna de las excepciones definidas en el artículo 33 de la Ley 996 de 2005, esto es, que se pretenda cubrir emergencias sanitarias o los que deban realizar las entidades sanitarias y hospitalarias, de tal manera que las excepciones contempladas no permiten efectuar una interpretación extensiva para incluir otros supuestos. </w:t>
            </w:r>
          </w:p>
          <w:p w14:paraId="501A0C15" w14:textId="77777777" w:rsidR="007822C7" w:rsidRPr="006A09E3" w:rsidRDefault="007822C7" w:rsidP="007822C7">
            <w:pPr>
              <w:spacing w:after="120" w:line="276" w:lineRule="auto"/>
              <w:ind w:firstLine="709"/>
              <w:jc w:val="both"/>
              <w:rPr>
                <w:rFonts w:ascii="Verdana" w:eastAsia="Calibri" w:hAnsi="Verdana" w:cs="Arial"/>
                <w:lang w:eastAsia="es-ES"/>
              </w:rPr>
            </w:pPr>
            <w:r w:rsidRPr="006A09E3">
              <w:rPr>
                <w:rFonts w:ascii="Verdana" w:eastAsia="Calibri" w:hAnsi="Verdana" w:cs="Arial"/>
                <w:lang w:eastAsia="es-ES"/>
              </w:rPr>
              <w:t>De otro lado, la restricción definida en el artículo 38 de la Ley 996 de 2005 se refiere a la celebración de convenios interadministrativos para la ejecución de recursos públicos, independientemente de que se configuren los supuestos de excepción que señala en artículo 33 de la misma ley. Actualmente las restricciones del artículo 33 y del artículo 38 de la Ley están en curso, de tal manera que los gobernadores, secretarios, gerentes y directores de las entidades del orden municipal, departamental o distrital no podrán no solo celebrar convenios interadministrativos para la ejecución de recursos sino también cualquier contratación directa.</w:t>
            </w:r>
          </w:p>
          <w:p w14:paraId="124E6091" w14:textId="77777777" w:rsidR="007822C7" w:rsidRPr="006A09E3" w:rsidRDefault="007822C7" w:rsidP="007822C7">
            <w:pPr>
              <w:spacing w:after="120" w:line="276" w:lineRule="auto"/>
              <w:ind w:firstLine="709"/>
              <w:jc w:val="both"/>
              <w:rPr>
                <w:rFonts w:ascii="Verdana" w:eastAsia="Calibri" w:hAnsi="Verdana" w:cs="Arial"/>
                <w:lang w:eastAsia="es-ES"/>
              </w:rPr>
            </w:pPr>
            <w:r w:rsidRPr="006A09E3">
              <w:rPr>
                <w:rFonts w:ascii="Verdana" w:eastAsia="Calibri" w:hAnsi="Verdana" w:cs="Arial"/>
                <w:lang w:eastAsia="es-ES"/>
              </w:rPr>
              <w:lastRenderedPageBreak/>
              <w:t xml:space="preserve">Por último, la posición definida en las decisiones adoptadas por la Sección Tercera del Consejo de Estado se enmarcó en la imposibilidad de extender la aplicación de la restricción a los contratos interadministrativos que, en vigencia de la prohibición del parágrafo del artículo 38 de la Ley de Garantías Electorales se trata, esto es, en las elecciones distintas a las presidenciales. Específicamente, en la sentencia del 17 de octubre de 2025, el alto tribunal declaró la nulidad parcial del numeral 16.2 de la Circular Externa Única de 2022, por lo tanto, cuando dos entidades públicas celebran un contrato interadministrativo, independientemente del objeto, dicho contrato puede suscribirse durante el periodo preelectoral. </w:t>
            </w:r>
          </w:p>
          <w:p w14:paraId="63DB5378" w14:textId="77777777" w:rsidR="007822C7" w:rsidRPr="0078433B" w:rsidRDefault="007822C7" w:rsidP="007822C7">
            <w:pPr>
              <w:pStyle w:val="paragraph"/>
              <w:shd w:val="clear" w:color="auto" w:fill="FFFFFF"/>
              <w:spacing w:before="0" w:beforeAutospacing="0" w:after="120" w:afterAutospacing="0" w:line="276" w:lineRule="auto"/>
              <w:ind w:firstLine="708"/>
              <w:jc w:val="both"/>
              <w:textAlignment w:val="baseline"/>
              <w:rPr>
                <w:rFonts w:ascii="Verdana" w:eastAsia="Calibri" w:hAnsi="Verdana" w:cs="Arial"/>
                <w:bCs/>
                <w:color w:val="000000" w:themeColor="text1"/>
                <w:sz w:val="22"/>
                <w:szCs w:val="22"/>
              </w:rPr>
            </w:pPr>
            <w:r w:rsidRPr="006A09E3">
              <w:rPr>
                <w:rFonts w:ascii="Verdana" w:eastAsia="Calibri" w:hAnsi="Verdana" w:cs="Arial"/>
                <w:bCs/>
                <w:color w:val="000000" w:themeColor="text1"/>
                <w:sz w:val="22"/>
                <w:szCs w:val="22"/>
              </w:rPr>
              <w:t xml:space="preserve">En torno a la procedencia de la contratación directa por parte de las E.S.E., es necesario </w:t>
            </w:r>
            <w:r w:rsidRPr="006A09E3">
              <w:rPr>
                <w:rFonts w:ascii="Verdana" w:hAnsi="Verdana" w:cs="Arial"/>
                <w:bCs/>
                <w:color w:val="000000" w:themeColor="text1"/>
                <w:sz w:val="22"/>
                <w:szCs w:val="22"/>
              </w:rPr>
              <w:t>analizar el quinto evento exceptuado</w:t>
            </w:r>
            <w:r w:rsidRPr="00EC1732">
              <w:rPr>
                <w:rFonts w:ascii="Verdana" w:hAnsi="Verdana" w:cs="Arial"/>
                <w:bCs/>
                <w:color w:val="000000" w:themeColor="text1"/>
                <w:sz w:val="22"/>
                <w:szCs w:val="22"/>
              </w:rPr>
              <w:t xml:space="preserve"> de la prohibición contemplada en el inciso segundo del artículo 33 de la Ley 996 de 2005, relacionado con la contratación por parte de entidades sanitarias y hospitalarias. Para ello, el artículo 94 de la Ley 100 de 1993 dispone que “la prestación de servicios de salud en forma directa por la nación o por las entidades territoriales, se hará principalmente a través de las Empresas Sociales del Estado, que constituyen una categoría especial de entidad pública descentralizada, con personería jurídica, patrimonio propio y autonomía administrativa, creadas por la Ley o por las asambleas o concejos, según el caso, sometidas al régimen jurídico previsto en este capítulo”.</w:t>
            </w:r>
            <w:r w:rsidRPr="0078433B">
              <w:rPr>
                <w:rFonts w:ascii="Verdana" w:hAnsi="Verdana" w:cs="Arial"/>
                <w:bCs/>
                <w:color w:val="000000" w:themeColor="text1"/>
                <w:sz w:val="22"/>
                <w:szCs w:val="22"/>
              </w:rPr>
              <w:t xml:space="preserve"> </w:t>
            </w:r>
          </w:p>
          <w:p w14:paraId="701E16A8" w14:textId="77777777" w:rsidR="007822C7" w:rsidRPr="00FF007A" w:rsidRDefault="007822C7" w:rsidP="007822C7">
            <w:pPr>
              <w:spacing w:before="120" w:after="120" w:line="276" w:lineRule="auto"/>
              <w:ind w:firstLine="709"/>
              <w:jc w:val="both"/>
              <w:rPr>
                <w:rFonts w:ascii="Verdana" w:eastAsia="Arial" w:hAnsi="Verdana" w:cs="Arial"/>
                <w:bCs/>
                <w:color w:val="000000" w:themeColor="text1"/>
              </w:rPr>
            </w:pPr>
            <w:r w:rsidRPr="00FF007A">
              <w:rPr>
                <w:rFonts w:ascii="Verdana" w:eastAsia="Arial" w:hAnsi="Verdana" w:cs="Arial"/>
                <w:bCs/>
                <w:color w:val="000000" w:themeColor="text1"/>
              </w:rPr>
              <w:t xml:space="preserve">De otro lado, el artículo 2.8.8.1.1.3 del Decreto 780 de 2016, </w:t>
            </w:r>
            <w:r>
              <w:rPr>
                <w:rFonts w:ascii="Verdana" w:eastAsia="Arial" w:hAnsi="Verdana" w:cs="Arial"/>
                <w:bCs/>
                <w:color w:val="000000" w:themeColor="text1"/>
              </w:rPr>
              <w:t>“</w:t>
            </w:r>
            <w:r w:rsidRPr="00FF007A">
              <w:rPr>
                <w:rFonts w:ascii="Verdana" w:eastAsia="Arial" w:hAnsi="Verdana" w:cs="Arial"/>
                <w:bCs/>
                <w:color w:val="000000" w:themeColor="text1"/>
              </w:rPr>
              <w:t>Por medio del cual se expide el Decreto Único Reglamentario del Sector Salud y Protección Social</w:t>
            </w:r>
            <w:r>
              <w:rPr>
                <w:rFonts w:ascii="Verdana" w:eastAsia="Arial" w:hAnsi="Verdana" w:cs="Arial"/>
                <w:bCs/>
                <w:color w:val="000000" w:themeColor="text1"/>
              </w:rPr>
              <w:t>”</w:t>
            </w:r>
            <w:r w:rsidRPr="00FF007A">
              <w:rPr>
                <w:rFonts w:ascii="Verdana" w:eastAsia="Arial" w:hAnsi="Verdana" w:cs="Arial"/>
                <w:bCs/>
                <w:color w:val="000000" w:themeColor="text1"/>
              </w:rPr>
              <w:t xml:space="preserve">, definió a las </w:t>
            </w:r>
            <w:r w:rsidRPr="00FF007A">
              <w:rPr>
                <w:rFonts w:ascii="Verdana" w:eastAsia="Arial" w:hAnsi="Verdana" w:cs="Arial"/>
                <w:bCs/>
                <w:i/>
                <w:iCs/>
                <w:color w:val="000000" w:themeColor="text1"/>
              </w:rPr>
              <w:t>entidades sanitarias</w:t>
            </w:r>
            <w:r w:rsidRPr="00FF007A">
              <w:rPr>
                <w:rFonts w:ascii="Verdana" w:eastAsia="Arial" w:hAnsi="Verdana" w:cs="Arial"/>
                <w:bCs/>
                <w:color w:val="000000" w:themeColor="text1"/>
              </w:rPr>
              <w:t xml:space="preserve"> como</w:t>
            </w:r>
            <w:r>
              <w:rPr>
                <w:rFonts w:ascii="Verdana" w:eastAsia="Arial" w:hAnsi="Verdana" w:cs="Arial"/>
                <w:bCs/>
                <w:color w:val="000000" w:themeColor="text1"/>
              </w:rPr>
              <w:t xml:space="preserve"> las</w:t>
            </w:r>
            <w:r w:rsidRPr="00FF007A">
              <w:rPr>
                <w:rFonts w:ascii="Verdana" w:eastAsia="Arial" w:hAnsi="Verdana" w:cs="Arial"/>
                <w:bCs/>
                <w:color w:val="000000" w:themeColor="text1"/>
              </w:rPr>
              <w:t xml:space="preserve"> “Entidades del Estado que prestan servicios sanitarios o de sanidad con el propósito de preservar la salud humana y la salud pública”. El artículo citado también define las </w:t>
            </w:r>
            <w:r w:rsidRPr="00FF007A">
              <w:rPr>
                <w:rFonts w:ascii="Verdana" w:eastAsia="Arial" w:hAnsi="Verdana" w:cs="Arial"/>
                <w:bCs/>
                <w:i/>
                <w:iCs/>
                <w:color w:val="000000" w:themeColor="text1"/>
              </w:rPr>
              <w:t>autoridades sanitarias</w:t>
            </w:r>
            <w:r w:rsidRPr="00FF007A">
              <w:rPr>
                <w:rFonts w:ascii="Verdana" w:eastAsia="Arial" w:hAnsi="Verdana" w:cs="Arial"/>
                <w:bCs/>
                <w:color w:val="000000" w:themeColor="text1"/>
              </w:rPr>
              <w:t xml:space="preserve"> como </w:t>
            </w:r>
            <w:r>
              <w:rPr>
                <w:rFonts w:ascii="Verdana" w:eastAsia="Arial" w:hAnsi="Verdana" w:cs="Arial"/>
                <w:bCs/>
                <w:color w:val="000000" w:themeColor="text1"/>
              </w:rPr>
              <w:t xml:space="preserve">las </w:t>
            </w:r>
            <w:r w:rsidRPr="00FF007A">
              <w:rPr>
                <w:rFonts w:ascii="Verdana" w:eastAsia="Arial" w:hAnsi="Verdana" w:cs="Arial"/>
                <w:bCs/>
                <w:color w:val="000000" w:themeColor="text1"/>
              </w:rPr>
              <w:t xml:space="preserve">“Entidades jurídicas de carácter público con atribuciones para ejercer funciones de rectoría, regulación, inspección, vigilancia y control de los sectores público y privado en salud y adoptar medidas de prevención y seguimiento que garanticen la protección de la salud pública”. De esta forma, </w:t>
            </w:r>
            <w:r>
              <w:rPr>
                <w:rFonts w:ascii="Verdana" w:eastAsia="Arial" w:hAnsi="Verdana" w:cs="Arial"/>
                <w:bCs/>
                <w:color w:val="000000" w:themeColor="text1"/>
              </w:rPr>
              <w:t xml:space="preserve">para efectos de la aplicación de la excepción, se debe verificar que se cumplan los requisitos del </w:t>
            </w:r>
            <w:r w:rsidRPr="00FF007A">
              <w:rPr>
                <w:rFonts w:ascii="Verdana" w:eastAsia="Arial" w:hAnsi="Verdana" w:cs="Arial"/>
                <w:bCs/>
                <w:color w:val="000000" w:themeColor="text1"/>
              </w:rPr>
              <w:t xml:space="preserve">artículo 33 de la Ley </w:t>
            </w:r>
            <w:r>
              <w:rPr>
                <w:rFonts w:ascii="Verdana" w:eastAsia="Arial" w:hAnsi="Verdana" w:cs="Arial"/>
                <w:bCs/>
                <w:color w:val="000000" w:themeColor="text1"/>
              </w:rPr>
              <w:t xml:space="preserve">996 de 2005. </w:t>
            </w:r>
          </w:p>
          <w:p w14:paraId="2073BAF6" w14:textId="25964E33" w:rsidR="00D766A0" w:rsidRPr="00950EBB" w:rsidRDefault="007822C7" w:rsidP="00682525">
            <w:pPr>
              <w:spacing w:after="120" w:line="276" w:lineRule="auto"/>
              <w:ind w:firstLine="709"/>
              <w:jc w:val="both"/>
              <w:rPr>
                <w:rFonts w:ascii="Verdana" w:eastAsia="Calibri" w:hAnsi="Verdana" w:cs="Arial"/>
                <w:lang w:eastAsia="es-ES"/>
              </w:rPr>
            </w:pPr>
            <w:r>
              <w:rPr>
                <w:rFonts w:ascii="Verdana" w:eastAsia="Arial" w:hAnsi="Verdana" w:cs="Arial"/>
                <w:bCs/>
                <w:color w:val="000000" w:themeColor="text1"/>
              </w:rPr>
              <w:t xml:space="preserve">Teniendo en cuenta lo expuesto, </w:t>
            </w:r>
            <w:r w:rsidRPr="00FF007A">
              <w:rPr>
                <w:rFonts w:ascii="Verdana" w:eastAsia="Arial" w:hAnsi="Verdana" w:cs="Arial"/>
                <w:bCs/>
                <w:color w:val="000000" w:themeColor="text1"/>
              </w:rPr>
              <w:t>la entidad</w:t>
            </w:r>
            <w:r>
              <w:rPr>
                <w:rFonts w:ascii="Verdana" w:eastAsia="Arial" w:hAnsi="Verdana" w:cs="Arial"/>
                <w:bCs/>
                <w:color w:val="000000" w:themeColor="text1"/>
              </w:rPr>
              <w:t>,</w:t>
            </w:r>
            <w:r w:rsidRPr="00FF007A">
              <w:rPr>
                <w:rFonts w:ascii="Verdana" w:eastAsia="Arial" w:hAnsi="Verdana" w:cs="Arial"/>
                <w:bCs/>
                <w:color w:val="000000" w:themeColor="text1"/>
              </w:rPr>
              <w:t xml:space="preserve"> </w:t>
            </w:r>
            <w:r>
              <w:rPr>
                <w:rFonts w:ascii="Verdana" w:eastAsia="Arial" w:hAnsi="Verdana" w:cs="Arial"/>
                <w:bCs/>
                <w:color w:val="000000" w:themeColor="text1"/>
              </w:rPr>
              <w:t xml:space="preserve">previo análisis de las excepciones, podrá proceder en tal sentido y contratar directamente </w:t>
            </w:r>
            <w:r w:rsidRPr="00FF007A">
              <w:rPr>
                <w:rFonts w:ascii="Verdana" w:eastAsia="Arial" w:hAnsi="Verdana" w:cs="Arial"/>
                <w:bCs/>
                <w:color w:val="000000" w:themeColor="text1"/>
              </w:rPr>
              <w:t xml:space="preserve">a pesar </w:t>
            </w:r>
            <w:r w:rsidRPr="00FF007A">
              <w:rPr>
                <w:rFonts w:ascii="Verdana" w:eastAsia="Arial" w:hAnsi="Verdana" w:cs="Arial"/>
                <w:bCs/>
                <w:color w:val="000000" w:themeColor="text1"/>
              </w:rPr>
              <w:lastRenderedPageBreak/>
              <w:t xml:space="preserve">de que haya iniciado el periodo de garantías electorales correspondiente al artículo 33 de la Ley 996 de </w:t>
            </w:r>
            <w:proofErr w:type="gramStart"/>
            <w:r w:rsidRPr="00FF007A">
              <w:rPr>
                <w:rFonts w:ascii="Verdana" w:eastAsia="Arial" w:hAnsi="Verdana" w:cs="Arial"/>
                <w:bCs/>
                <w:color w:val="000000" w:themeColor="text1"/>
              </w:rPr>
              <w:t>2005.</w:t>
            </w:r>
            <w:r w:rsidR="00D766A0" w:rsidRPr="00950EBB">
              <w:rPr>
                <w:rFonts w:ascii="Verdana" w:hAnsi="Verdana" w:cs="Arial"/>
                <w:lang w:eastAsia="es-CO"/>
              </w:rPr>
              <w:t>.</w:t>
            </w:r>
            <w:proofErr w:type="gramEnd"/>
            <w:r w:rsidR="00D766A0" w:rsidRPr="00950EBB">
              <w:rPr>
                <w:rFonts w:ascii="Verdana" w:hAnsi="Verdana" w:cs="Arial"/>
                <w:lang w:eastAsia="es-CO"/>
              </w:rPr>
              <w:t xml:space="preserve"> </w:t>
            </w:r>
          </w:p>
        </w:tc>
      </w:tr>
    </w:tbl>
    <w:p w14:paraId="0BBA27BE" w14:textId="77777777" w:rsidR="00D766A0" w:rsidRPr="00950EBB" w:rsidRDefault="00D766A0" w:rsidP="00D766A0">
      <w:pPr>
        <w:tabs>
          <w:tab w:val="left" w:pos="142"/>
          <w:tab w:val="left" w:pos="284"/>
        </w:tabs>
        <w:spacing w:after="0" w:line="276" w:lineRule="auto"/>
        <w:jc w:val="both"/>
        <w:rPr>
          <w:rFonts w:ascii="Verdana" w:eastAsia="Century Gothic" w:hAnsi="Verdana" w:cs="Century Gothic"/>
          <w:b/>
          <w:bCs/>
          <w:lang w:val="es-ES"/>
        </w:rPr>
      </w:pPr>
    </w:p>
    <w:p w14:paraId="7F936761" w14:textId="77777777" w:rsidR="00D766A0" w:rsidRPr="00950EBB" w:rsidRDefault="00D766A0" w:rsidP="00D766A0">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950EBB">
        <w:rPr>
          <w:rFonts w:ascii="Verdana" w:eastAsia="Century Gothic" w:hAnsi="Verdana" w:cs="Century Gothic"/>
          <w:b/>
          <w:bCs/>
        </w:rPr>
        <w:t>Razones de la respuesta:</w:t>
      </w:r>
    </w:p>
    <w:p w14:paraId="54F1FFC1" w14:textId="77777777" w:rsidR="00D766A0" w:rsidRPr="00950EBB" w:rsidRDefault="00D766A0" w:rsidP="00D766A0">
      <w:pPr>
        <w:spacing w:after="0" w:line="276" w:lineRule="auto"/>
        <w:jc w:val="both"/>
        <w:rPr>
          <w:rFonts w:ascii="Verdana" w:eastAsia="Calibri" w:hAnsi="Verdana" w:cs="Arial"/>
          <w:color w:val="7030A0"/>
          <w:lang w:val="es-ES"/>
        </w:rPr>
      </w:pPr>
    </w:p>
    <w:p w14:paraId="62ED7158" w14:textId="77777777" w:rsidR="00D766A0" w:rsidRPr="00950EBB" w:rsidRDefault="00D766A0" w:rsidP="00D766A0">
      <w:pPr>
        <w:spacing w:after="0" w:line="276" w:lineRule="auto"/>
        <w:jc w:val="both"/>
        <w:rPr>
          <w:rFonts w:ascii="Verdana" w:eastAsia="Calibri" w:hAnsi="Verdana" w:cs="Arial"/>
          <w:lang w:val="es-ES"/>
        </w:rPr>
      </w:pPr>
      <w:r w:rsidRPr="00950EBB">
        <w:rPr>
          <w:rFonts w:ascii="Verdana" w:eastAsia="Calibri" w:hAnsi="Verdana" w:cs="Arial"/>
          <w:lang w:val="es-ES"/>
        </w:rPr>
        <w:t xml:space="preserve">Lo anterior se sustenta en las siguientes consideraciones: </w:t>
      </w:r>
    </w:p>
    <w:p w14:paraId="4A221BD4" w14:textId="77777777" w:rsidR="00D766A0" w:rsidRPr="00950EBB" w:rsidRDefault="00D766A0" w:rsidP="00D766A0">
      <w:pPr>
        <w:spacing w:after="0"/>
        <w:ind w:firstLine="709"/>
        <w:jc w:val="both"/>
        <w:rPr>
          <w:rFonts w:ascii="Verdana" w:eastAsia="Calibri" w:hAnsi="Verdana" w:cs="Arial"/>
          <w:b/>
          <w:color w:val="000000" w:themeColor="text1"/>
        </w:rPr>
      </w:pPr>
    </w:p>
    <w:p w14:paraId="19926C35" w14:textId="1312E006" w:rsidR="00D766A0" w:rsidRPr="00950EBB" w:rsidRDefault="001C6BA8" w:rsidP="001C6BA8">
      <w:pPr>
        <w:tabs>
          <w:tab w:val="left" w:pos="0"/>
        </w:tabs>
        <w:spacing w:after="120" w:line="276" w:lineRule="auto"/>
        <w:jc w:val="both"/>
        <w:rPr>
          <w:rFonts w:ascii="Verdana" w:eastAsia="Arial" w:hAnsi="Verdana" w:cs="Arial"/>
          <w:color w:val="000000"/>
        </w:rPr>
      </w:pPr>
      <w:r>
        <w:rPr>
          <w:rFonts w:ascii="Verdana" w:eastAsia="Arial" w:hAnsi="Verdana" w:cs="Arial"/>
          <w:b/>
          <w:bCs/>
          <w:color w:val="000000"/>
        </w:rPr>
        <w:tab/>
      </w:r>
      <w:r w:rsidR="00D766A0" w:rsidRPr="00950EBB">
        <w:rPr>
          <w:rFonts w:ascii="Verdana" w:eastAsia="Arial" w:hAnsi="Verdana" w:cs="Arial"/>
          <w:color w:val="000000"/>
        </w:rPr>
        <w:t>El ordenamiento jurídico colombiano contempla una serie de previsiones para evitar la obtención de beneficios personales en asuntos propios de la administración. Un ejemplo destacado de lo anterior es la Ley 996 de 2005, conocida como “Ley de Garantías Electorales”, cuyo propósito central es asegurar la igualdad, la transparencia y la imparcialidad durante los procesos electorales. Esta Ley busca impedir que quienes ejercen el poder público utilicen los recursos del Estado para incidir en la voluntad del electorado.</w:t>
      </w:r>
    </w:p>
    <w:p w14:paraId="214DFF14" w14:textId="77777777" w:rsidR="00D766A0" w:rsidRPr="00950EBB" w:rsidRDefault="00D766A0" w:rsidP="00D766A0">
      <w:pPr>
        <w:tabs>
          <w:tab w:val="left" w:pos="426"/>
        </w:tabs>
        <w:spacing w:after="120" w:line="276" w:lineRule="auto"/>
        <w:ind w:firstLine="709"/>
        <w:jc w:val="both"/>
        <w:rPr>
          <w:rFonts w:ascii="Verdana" w:eastAsia="Times New Roman" w:hAnsi="Verdana" w:cs="Arial"/>
          <w:bCs/>
          <w:lang w:eastAsia="es-CO"/>
        </w:rPr>
      </w:pPr>
      <w:r w:rsidRPr="00950EBB">
        <w:rPr>
          <w:rFonts w:ascii="Verdana" w:eastAsia="Times New Roman" w:hAnsi="Verdana" w:cs="Arial"/>
          <w:bCs/>
          <w:lang w:eastAsia="es-CO"/>
        </w:rPr>
        <w:t>En armonía con lo anterior, la Corte Constitucional ha abordado la definición de la Ley de Garantías Electorales. De esta manera, explica que tiene como propósito:</w:t>
      </w:r>
    </w:p>
    <w:p w14:paraId="483F633A" w14:textId="77777777" w:rsidR="00D766A0" w:rsidRPr="001C6BA8" w:rsidRDefault="00D766A0" w:rsidP="00D766A0">
      <w:pPr>
        <w:spacing w:after="0" w:line="240" w:lineRule="auto"/>
        <w:ind w:left="709" w:right="709"/>
        <w:jc w:val="both"/>
        <w:rPr>
          <w:rFonts w:ascii="Verdana" w:eastAsia="Times New Roman" w:hAnsi="Verdana" w:cs="Arial"/>
          <w:sz w:val="21"/>
          <w:szCs w:val="21"/>
          <w:lang w:val="es-ES" w:eastAsia="es-CO"/>
        </w:rPr>
      </w:pPr>
      <w:r w:rsidRPr="001C6BA8">
        <w:rPr>
          <w:rFonts w:ascii="Verdana" w:eastAsia="Times New Roman" w:hAnsi="Verdana" w:cs="Arial"/>
          <w:sz w:val="21"/>
          <w:szCs w:val="21"/>
          <w:lang w:val="es-ES" w:eastAsia="es-CO"/>
        </w:rPr>
        <w:t xml:space="preserve">“(…) </w:t>
      </w:r>
      <w:r w:rsidRPr="001C6BA8">
        <w:rPr>
          <w:rFonts w:ascii="Verdana" w:eastAsia="Times New Roman" w:hAnsi="Verdana" w:cs="Arial"/>
          <w:bCs/>
          <w:sz w:val="21"/>
          <w:szCs w:val="21"/>
          <w:lang w:eastAsia="es-CO"/>
        </w:rPr>
        <w:t>La definición de reglas claras que permitan acceder a los canales de expresión democrática de manera efectiva e igualitaria. El objetivo de una ley de garantías es definir esas reglas.</w:t>
      </w:r>
    </w:p>
    <w:p w14:paraId="42CE946B" w14:textId="77777777" w:rsidR="00D766A0" w:rsidRPr="001C6BA8" w:rsidRDefault="00D766A0" w:rsidP="00D766A0">
      <w:pPr>
        <w:spacing w:after="0" w:line="240" w:lineRule="auto"/>
        <w:ind w:left="709" w:right="709"/>
        <w:jc w:val="both"/>
        <w:rPr>
          <w:rFonts w:ascii="Verdana" w:eastAsia="Times New Roman" w:hAnsi="Verdana" w:cs="Arial"/>
          <w:bCs/>
          <w:sz w:val="21"/>
          <w:szCs w:val="21"/>
          <w:lang w:eastAsia="es-CO"/>
        </w:rPr>
      </w:pPr>
    </w:p>
    <w:p w14:paraId="0A209960" w14:textId="77777777" w:rsidR="00D766A0" w:rsidRPr="001C6BA8" w:rsidRDefault="00D766A0" w:rsidP="00D766A0">
      <w:pPr>
        <w:spacing w:after="0" w:line="240" w:lineRule="auto"/>
        <w:ind w:left="709" w:right="709"/>
        <w:jc w:val="both"/>
        <w:rPr>
          <w:rFonts w:ascii="Verdana" w:eastAsia="Times New Roman" w:hAnsi="Verdana" w:cs="Arial"/>
          <w:bCs/>
          <w:sz w:val="21"/>
          <w:szCs w:val="21"/>
          <w:lang w:eastAsia="es-CO"/>
        </w:rPr>
      </w:pPr>
      <w:r w:rsidRPr="001C6BA8">
        <w:rPr>
          <w:rFonts w:ascii="Verdana" w:eastAsia="Times New Roman" w:hAnsi="Verdana" w:cs="Arial"/>
          <w:bCs/>
          <w:sz w:val="21"/>
          <w:szCs w:val="21"/>
          <w:lang w:eastAsia="es-CO"/>
        </w:rPr>
        <w:t>Una ley de garantías electorales es una guía para el ejercicio equitativo y transparente de la democracia representativa. Un estatuto diseñado para asegurar que la contienda democrática se cumpla en condiciones igualitarias y transparentes para a los electores. Una ley de garantías busca afianzar la neutralidad de los servidores públicos que organizan y supervisan las disputas electorales, e intenta garantizar el acceso igualitario a los canales de comunicación de los candidatos. Igualmente, una ley de garantías debe permitir que, en el debate democrático, sean las ideas y las propuestas las que definan el ascenso al poder, y no el músculo económico de los que se lo disputan (…)”</w:t>
      </w:r>
      <w:r w:rsidRPr="001C6BA8">
        <w:rPr>
          <w:rStyle w:val="Refdenotaalpie"/>
          <w:rFonts w:ascii="Verdana" w:hAnsi="Verdana" w:cs="Arial"/>
          <w:sz w:val="21"/>
          <w:szCs w:val="21"/>
        </w:rPr>
        <w:footnoteReference w:id="2"/>
      </w:r>
      <w:r w:rsidRPr="001C6BA8">
        <w:rPr>
          <w:rFonts w:ascii="Verdana" w:eastAsia="Times New Roman" w:hAnsi="Verdana" w:cs="Arial"/>
          <w:bCs/>
          <w:sz w:val="21"/>
          <w:szCs w:val="21"/>
          <w:lang w:eastAsia="es-CO"/>
        </w:rPr>
        <w:t xml:space="preserve">. </w:t>
      </w:r>
    </w:p>
    <w:p w14:paraId="1FA8BCD0" w14:textId="77777777" w:rsidR="00D766A0" w:rsidRPr="00950EBB" w:rsidRDefault="00D766A0" w:rsidP="00D766A0">
      <w:pPr>
        <w:spacing w:after="0" w:line="240" w:lineRule="auto"/>
        <w:ind w:firstLine="709"/>
        <w:jc w:val="both"/>
        <w:rPr>
          <w:rFonts w:ascii="Verdana" w:eastAsia="Times New Roman" w:hAnsi="Verdana" w:cs="Arial"/>
          <w:bCs/>
          <w:lang w:eastAsia="es-CO"/>
        </w:rPr>
      </w:pPr>
    </w:p>
    <w:p w14:paraId="27602F3C" w14:textId="77777777" w:rsidR="00D766A0" w:rsidRPr="00950EBB" w:rsidRDefault="00D766A0" w:rsidP="00D766A0">
      <w:pPr>
        <w:spacing w:after="120" w:line="276" w:lineRule="auto"/>
        <w:ind w:firstLine="709"/>
        <w:jc w:val="both"/>
        <w:rPr>
          <w:rFonts w:ascii="Verdana" w:eastAsia="Times New Roman" w:hAnsi="Verdana" w:cs="Arial"/>
          <w:bCs/>
          <w:lang w:eastAsia="es-CO"/>
        </w:rPr>
      </w:pPr>
      <w:r w:rsidRPr="00950EBB">
        <w:rPr>
          <w:rFonts w:ascii="Verdana" w:eastAsia="Times New Roman" w:hAnsi="Verdana" w:cs="Arial"/>
          <w:bCs/>
          <w:lang w:eastAsia="es-CO"/>
        </w:rPr>
        <w:t xml:space="preserve">En este contexto, la Ley de Garantías Electorales establece el marco jurídico para el desarrollo de las elecciones, procurando condiciones de igualdad y transparencia para los aspirantes y paralelamente se incluyen restricciones en el actuar de los servidores públicos, evitando interferencias en la contienda </w:t>
      </w:r>
      <w:r w:rsidRPr="00950EBB">
        <w:rPr>
          <w:rFonts w:ascii="Verdana" w:eastAsia="Times New Roman" w:hAnsi="Verdana" w:cs="Arial"/>
          <w:bCs/>
          <w:lang w:eastAsia="es-CO"/>
        </w:rPr>
        <w:lastRenderedPageBreak/>
        <w:t>electoral, así como la posible desviación de recursos públicos en aspiraciones electorales. Por ello, varias de las disposiciones de la Ley 996 de 2005, al contener normas prohibitivas, no admiten una interpretación amplia, sino que deben interpretarse restrictivamente. En efecto, la Sala de Consulta y Servicio Civil del Consejo de Estado al analizar la referida ley, precisó lo siguiente:</w:t>
      </w:r>
    </w:p>
    <w:p w14:paraId="3000E910" w14:textId="77777777" w:rsidR="00D766A0" w:rsidRPr="00996ED4" w:rsidRDefault="00D766A0" w:rsidP="00D766A0">
      <w:pPr>
        <w:spacing w:after="0" w:line="240" w:lineRule="auto"/>
        <w:ind w:left="709" w:right="709"/>
        <w:jc w:val="both"/>
        <w:rPr>
          <w:rFonts w:ascii="Verdana" w:eastAsia="Times New Roman" w:hAnsi="Verdana" w:cs="Arial"/>
          <w:bCs/>
          <w:sz w:val="21"/>
          <w:szCs w:val="21"/>
          <w:lang w:eastAsia="es-CO"/>
        </w:rPr>
      </w:pPr>
      <w:r w:rsidRPr="00996ED4">
        <w:rPr>
          <w:rFonts w:ascii="Verdana" w:eastAsia="Times New Roman" w:hAnsi="Verdana" w:cs="Arial"/>
          <w:bCs/>
          <w:sz w:val="21"/>
          <w:szCs w:val="21"/>
          <w:lang w:eastAsia="es-CO"/>
        </w:rPr>
        <w:t>“No está de más recordar que las prohibiciones, en tanto limitan la libertad y los derechos de las personas, son de origen constitucional y legal; la tipificación de sus causas, vigencia, naturaleza y efectos es rígida y taxativa; y su aplicación es restrictiva, de manera que excluye la analogía legis o iuris y la interpretación extensiva. Las normas legales de contenido prohibitivo hacen parte de un conjunto de disposiciones que integran un régimen jurídico imperativo y de orden público, razón por la cual no son disponibles ni pueden ser derogadas, modificadas, ampliadas o adicionadas por acuerdo o convenio o acto unilateral.</w:t>
      </w:r>
    </w:p>
    <w:p w14:paraId="2DF9E39B" w14:textId="77777777" w:rsidR="00D766A0" w:rsidRPr="00996ED4" w:rsidRDefault="00D766A0" w:rsidP="00D766A0">
      <w:pPr>
        <w:spacing w:after="0" w:line="240" w:lineRule="auto"/>
        <w:ind w:left="709" w:right="709"/>
        <w:jc w:val="both"/>
        <w:rPr>
          <w:rFonts w:ascii="Verdana" w:eastAsia="Times New Roman" w:hAnsi="Verdana" w:cs="Arial"/>
          <w:bCs/>
          <w:sz w:val="21"/>
          <w:szCs w:val="21"/>
          <w:lang w:eastAsia="es-CO"/>
        </w:rPr>
      </w:pPr>
    </w:p>
    <w:p w14:paraId="669D6E26" w14:textId="77777777" w:rsidR="00D766A0" w:rsidRPr="00996ED4" w:rsidRDefault="00D766A0" w:rsidP="00D766A0">
      <w:pPr>
        <w:spacing w:after="0" w:line="240" w:lineRule="auto"/>
        <w:ind w:left="709" w:right="709"/>
        <w:jc w:val="both"/>
        <w:rPr>
          <w:rFonts w:ascii="Verdana" w:eastAsia="Times New Roman" w:hAnsi="Verdana" w:cs="Arial"/>
          <w:bCs/>
          <w:sz w:val="21"/>
          <w:szCs w:val="21"/>
          <w:lang w:eastAsia="es-CO"/>
        </w:rPr>
      </w:pPr>
      <w:r w:rsidRPr="00996ED4">
        <w:rPr>
          <w:rFonts w:ascii="Verdana" w:eastAsia="Times New Roman" w:hAnsi="Verdana" w:cs="Arial"/>
          <w:bCs/>
          <w:sz w:val="21"/>
          <w:szCs w:val="21"/>
          <w:lang w:eastAsia="es-CO"/>
        </w:rPr>
        <w:t>La jurisprudencia de la Corte Constitucional</w:t>
      </w:r>
      <w:r w:rsidRPr="00996ED4">
        <w:rPr>
          <w:rStyle w:val="Refdenotaalpie"/>
          <w:rFonts w:ascii="Verdana" w:eastAsia="Times New Roman" w:hAnsi="Verdana" w:cs="Arial"/>
          <w:bCs/>
          <w:sz w:val="21"/>
          <w:szCs w:val="21"/>
          <w:lang w:eastAsia="es-CO"/>
        </w:rPr>
        <w:footnoteReference w:id="3"/>
      </w:r>
      <w:r w:rsidRPr="00996ED4">
        <w:rPr>
          <w:rFonts w:ascii="Verdana" w:eastAsia="Times New Roman" w:hAnsi="Verdana" w:cs="Arial"/>
          <w:bCs/>
          <w:sz w:val="21"/>
          <w:szCs w:val="21"/>
          <w:lang w:eastAsia="es-CO"/>
        </w:rPr>
        <w:t> y del Consejo de Estado</w:t>
      </w:r>
      <w:r w:rsidRPr="00996ED4">
        <w:rPr>
          <w:rStyle w:val="Refdenotaalpie"/>
          <w:rFonts w:ascii="Verdana" w:eastAsia="Times New Roman" w:hAnsi="Verdana" w:cs="Arial"/>
          <w:bCs/>
          <w:sz w:val="21"/>
          <w:szCs w:val="21"/>
          <w:lang w:eastAsia="es-CO"/>
        </w:rPr>
        <w:footnoteReference w:id="4"/>
      </w:r>
      <w:r w:rsidRPr="00996ED4">
        <w:rPr>
          <w:rFonts w:ascii="Verdana" w:eastAsia="Times New Roman" w:hAnsi="Verdana" w:cs="Arial"/>
          <w:bCs/>
          <w:sz w:val="21"/>
          <w:szCs w:val="21"/>
          <w:lang w:eastAsia="es-CO"/>
        </w:rPr>
        <w:t>, coinciden en que las normas que establecen prohibiciones deben estar de manera explícita en la Constitución o en la ley y no podrán ser excesivas ni desproporcionadas. No pueden interpretarse extensivamente sino siempre en forma restrictiva o estricta; es decir, en la aplicación de las normas prohibitivas, el intérprete solamente habrá de tener en cuenta lo que en ellas expresamente se menciona y, por tanto, no le es permitido ampliar el natural y obvio alcance de los supuestos que contemplan, pues como entrañan una limitación -así fuere justificada- a la libertad de actuar o capacidad de obrar, sobrepasar sus precisos términos comporta el desconocimiento de la voluntad del legislador”</w:t>
      </w:r>
      <w:r w:rsidRPr="00996ED4">
        <w:rPr>
          <w:rStyle w:val="Refdenotaalpie"/>
          <w:rFonts w:ascii="Verdana" w:eastAsia="Times New Roman" w:hAnsi="Verdana" w:cs="Arial"/>
          <w:bCs/>
          <w:sz w:val="21"/>
          <w:szCs w:val="21"/>
          <w:lang w:eastAsia="es-CO"/>
        </w:rPr>
        <w:footnoteReference w:id="5"/>
      </w:r>
      <w:r w:rsidRPr="00996ED4">
        <w:rPr>
          <w:rFonts w:ascii="Verdana" w:eastAsia="Times New Roman" w:hAnsi="Verdana" w:cs="Arial"/>
          <w:bCs/>
          <w:sz w:val="21"/>
          <w:szCs w:val="21"/>
          <w:lang w:eastAsia="es-CO"/>
        </w:rPr>
        <w:t>.</w:t>
      </w:r>
    </w:p>
    <w:p w14:paraId="40979487" w14:textId="77777777" w:rsidR="00D766A0" w:rsidRPr="00950EBB" w:rsidRDefault="00D766A0" w:rsidP="00D766A0">
      <w:pPr>
        <w:tabs>
          <w:tab w:val="left" w:pos="0"/>
        </w:tabs>
        <w:spacing w:after="120" w:line="276" w:lineRule="auto"/>
        <w:ind w:firstLine="709"/>
        <w:jc w:val="both"/>
        <w:rPr>
          <w:rFonts w:ascii="Verdana" w:eastAsia="Arial" w:hAnsi="Verdana" w:cs="Arial"/>
          <w:b/>
          <w:bCs/>
          <w:color w:val="000000"/>
        </w:rPr>
      </w:pPr>
    </w:p>
    <w:p w14:paraId="1229C807" w14:textId="77777777" w:rsidR="00D766A0" w:rsidRPr="00950EBB" w:rsidRDefault="00D766A0" w:rsidP="00996ED4">
      <w:pPr>
        <w:spacing w:after="120" w:line="276" w:lineRule="auto"/>
        <w:ind w:firstLine="709"/>
        <w:jc w:val="both"/>
        <w:rPr>
          <w:rFonts w:ascii="Verdana" w:eastAsia="Arial" w:hAnsi="Verdana" w:cs="Arial"/>
          <w:lang w:val="es-ES" w:eastAsia="es-ES" w:bidi="es-ES"/>
        </w:rPr>
      </w:pPr>
      <w:r w:rsidRPr="00950EBB">
        <w:rPr>
          <w:rFonts w:ascii="Verdana" w:eastAsia="Times New Roman" w:hAnsi="Verdana" w:cs="Arial"/>
          <w:bCs/>
          <w:lang w:eastAsia="es-CO"/>
        </w:rPr>
        <w:t>De</w:t>
      </w:r>
      <w:r w:rsidRPr="00950EBB">
        <w:rPr>
          <w:rFonts w:ascii="Verdana" w:eastAsia="Arial" w:hAnsi="Verdana" w:cs="Arial"/>
          <w:lang w:val="es-ES" w:eastAsia="es-ES" w:bidi="es-ES"/>
        </w:rPr>
        <w:t xml:space="preserve"> conformidad con lo anterior, la Ley de Garantías Electorales fijó una serie de regulaciones y prohibiciones dirigidas a los servidores públicos. Así, con la finalidad de preservar la igualdad entre los candidatos en las elecciones, </w:t>
      </w:r>
      <w:r w:rsidRPr="00950EBB">
        <w:rPr>
          <w:rFonts w:ascii="Verdana" w:eastAsia="Arial" w:hAnsi="Verdana" w:cs="Arial"/>
          <w:lang w:val="es-ES" w:eastAsia="es-ES" w:bidi="es-ES"/>
        </w:rPr>
        <w:lastRenderedPageBreak/>
        <w:t xml:space="preserve">aumentó las garantías en materia de contratación, de forma que no exista siquiera sospecha de que, por ese medio, en los periodos previos a la contienda electoral, se altere las condiciones de igualdad entre los candidatos. </w:t>
      </w:r>
    </w:p>
    <w:p w14:paraId="67EB64DF" w14:textId="77777777" w:rsidR="00D766A0" w:rsidRPr="00950EBB" w:rsidRDefault="00D766A0" w:rsidP="00996ED4">
      <w:pPr>
        <w:spacing w:after="120" w:line="276" w:lineRule="auto"/>
        <w:ind w:firstLine="709"/>
        <w:jc w:val="both"/>
        <w:rPr>
          <w:rFonts w:ascii="Verdana" w:eastAsia="Arial" w:hAnsi="Verdana" w:cs="Arial"/>
          <w:lang w:val="es-ES" w:eastAsia="es-ES" w:bidi="es-ES"/>
        </w:rPr>
      </w:pPr>
      <w:r w:rsidRPr="00950EBB">
        <w:rPr>
          <w:rFonts w:ascii="Verdana" w:eastAsia="Arial" w:hAnsi="Verdana" w:cs="Arial"/>
          <w:lang w:val="es-ES" w:eastAsia="es-ES" w:bidi="es-ES"/>
        </w:rPr>
        <w:t>Específicamente, las restricciones consagradas en la citada ley se dirigen a dos (2) tipos de campañas electorales claramente diferenciadas: las presidenciales y las demás que se adelanten para la elección de los demás cargos de elección popular, tanto a nivel nacional como a nivel territorial.</w:t>
      </w:r>
    </w:p>
    <w:p w14:paraId="4C899EEB" w14:textId="77777777" w:rsidR="00D766A0" w:rsidRPr="00950EBB" w:rsidRDefault="00D766A0" w:rsidP="00996ED4">
      <w:pPr>
        <w:spacing w:after="120" w:line="276" w:lineRule="auto"/>
        <w:ind w:firstLine="709"/>
        <w:jc w:val="both"/>
        <w:rPr>
          <w:rFonts w:ascii="Verdana" w:eastAsia="Calibri" w:hAnsi="Verdana" w:cs="Arial"/>
        </w:rPr>
      </w:pPr>
      <w:r w:rsidRPr="00950EBB">
        <w:rPr>
          <w:rFonts w:ascii="Verdana" w:eastAsia="Calibri" w:hAnsi="Verdana" w:cs="Arial"/>
        </w:rPr>
        <w:t>Por un lado, el artículo 33 de la Ley 996 de 2005 prohíbe “</w:t>
      </w:r>
      <w:r w:rsidRPr="00950EBB">
        <w:rPr>
          <w:rFonts w:ascii="Verdana" w:eastAsia="Calibri" w:hAnsi="Verdana" w:cs="Arial"/>
          <w:bCs/>
        </w:rPr>
        <w:t xml:space="preserve">(…) </w:t>
      </w:r>
      <w:r w:rsidRPr="00950EBB">
        <w:rPr>
          <w:rFonts w:ascii="Verdana" w:eastAsia="Calibri" w:hAnsi="Verdana" w:cs="Arial"/>
        </w:rPr>
        <w:t>la contratación directa por parte de todos los entes del Estado</w:t>
      </w:r>
      <w:r w:rsidRPr="00950EBB">
        <w:rPr>
          <w:rFonts w:ascii="Verdana" w:eastAsia="Calibri" w:hAnsi="Verdana" w:cs="Arial"/>
          <w:bCs/>
        </w:rPr>
        <w:t>”</w:t>
      </w:r>
      <w:r w:rsidRPr="00950EBB">
        <w:rPr>
          <w:rFonts w:ascii="Verdana" w:eastAsia="Calibri" w:hAnsi="Verdana" w:cs="Arial"/>
        </w:rPr>
        <w:t xml:space="preserve"> durante los cuatro (4) meses anteriores a las elecciones presidenciales, salvo </w:t>
      </w:r>
      <w:r w:rsidRPr="00950EBB">
        <w:rPr>
          <w:rFonts w:ascii="Verdana" w:eastAsia="Calibri" w:hAnsi="Verdana" w:cs="Arial"/>
          <w:bCs/>
        </w:rPr>
        <w:t xml:space="preserve">“(…) </w:t>
      </w:r>
      <w:r w:rsidRPr="00950EBB">
        <w:rPr>
          <w:rFonts w:ascii="Verdana" w:eastAsia="Calibri" w:hAnsi="Verdana" w:cs="Arial"/>
        </w:rPr>
        <w:t>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r w:rsidRPr="00950EBB">
        <w:rPr>
          <w:rFonts w:ascii="Verdana" w:eastAsia="Calibri" w:hAnsi="Verdana" w:cs="Arial"/>
          <w:bCs/>
        </w:rPr>
        <w:t>”</w:t>
      </w:r>
      <w:r w:rsidRPr="00950EBB">
        <w:rPr>
          <w:rFonts w:ascii="Verdana" w:eastAsia="Calibri" w:hAnsi="Verdana" w:cs="Arial"/>
          <w:bCs/>
          <w:vertAlign w:val="superscript"/>
        </w:rPr>
        <w:footnoteReference w:id="6"/>
      </w:r>
      <w:r w:rsidRPr="00950EBB">
        <w:rPr>
          <w:rFonts w:ascii="Verdana" w:eastAsia="Calibri" w:hAnsi="Verdana" w:cs="Arial"/>
        </w:rPr>
        <w:t>.</w:t>
      </w:r>
    </w:p>
    <w:p w14:paraId="56A28A64" w14:textId="77777777" w:rsidR="00D766A0" w:rsidRPr="00950EBB" w:rsidRDefault="00D766A0" w:rsidP="00996ED4">
      <w:pPr>
        <w:widowControl w:val="0"/>
        <w:autoSpaceDE w:val="0"/>
        <w:autoSpaceDN w:val="0"/>
        <w:spacing w:after="120" w:line="276" w:lineRule="auto"/>
        <w:ind w:firstLine="709"/>
        <w:jc w:val="both"/>
        <w:rPr>
          <w:rFonts w:ascii="Verdana" w:eastAsia="Arial" w:hAnsi="Verdana" w:cs="Arial"/>
          <w:lang w:val="es-ES" w:eastAsia="es-ES" w:bidi="es-ES"/>
        </w:rPr>
      </w:pPr>
      <w:r w:rsidRPr="00950EBB">
        <w:rPr>
          <w:rFonts w:ascii="Verdana" w:eastAsia="Calibri" w:hAnsi="Verdana" w:cs="Arial"/>
        </w:rPr>
        <w:t xml:space="preserve">Por otro lado, el parágrafo del artículo 38 de la Ley 996 de 2005 prevé una restricción, aplicable respecto de cualquier tipo de contienda electoral, que prohíbe a los gobernadores, alcaldes municipales o distritales, secretarios, gerentes y directores de entidades descentralizadas del orden municipal, departamental o distrital </w:t>
      </w:r>
      <w:r w:rsidRPr="00950EBB">
        <w:rPr>
          <w:rFonts w:ascii="Verdana" w:eastAsia="Calibri" w:hAnsi="Verdana" w:cs="Arial"/>
          <w:bCs/>
        </w:rPr>
        <w:t xml:space="preserve">“(…) </w:t>
      </w:r>
      <w:r w:rsidRPr="00950EBB">
        <w:rPr>
          <w:rFonts w:ascii="Verdana" w:eastAsia="Calibri" w:hAnsi="Verdana" w:cs="Arial"/>
        </w:rPr>
        <w:t>celebrar convenios interadministrativos para la ejecución de recursos públicos, ni participar, promover y destinar recursos públicos de las entidades a su cargo, como tampoco de las que participen como miembros de sus juntas directivas, en o para reuniones de carácter proselitista</w:t>
      </w:r>
      <w:r w:rsidRPr="00950EBB">
        <w:rPr>
          <w:rFonts w:ascii="Verdana" w:eastAsia="Calibri" w:hAnsi="Verdana" w:cs="Arial"/>
          <w:bCs/>
        </w:rPr>
        <w:t>”</w:t>
      </w:r>
      <w:r w:rsidRPr="00950EBB">
        <w:rPr>
          <w:rFonts w:ascii="Verdana" w:eastAsia="Calibri" w:hAnsi="Verdana" w:cs="Arial"/>
          <w:bCs/>
          <w:vertAlign w:val="superscript"/>
        </w:rPr>
        <w:footnoteReference w:id="7"/>
      </w:r>
      <w:r w:rsidRPr="00950EBB">
        <w:rPr>
          <w:rFonts w:ascii="Verdana" w:eastAsia="Calibri" w:hAnsi="Verdana" w:cs="Arial"/>
        </w:rPr>
        <w:t>.</w:t>
      </w:r>
      <w:r w:rsidRPr="00950EBB">
        <w:rPr>
          <w:rFonts w:ascii="Verdana" w:eastAsia="Arial" w:hAnsi="Verdana" w:cs="Arial"/>
          <w:lang w:val="es-ES" w:eastAsia="es-ES" w:bidi="es-ES"/>
        </w:rPr>
        <w:t xml:space="preserve"> </w:t>
      </w:r>
    </w:p>
    <w:p w14:paraId="34A4032F" w14:textId="77777777" w:rsidR="00D766A0" w:rsidRPr="00950EBB" w:rsidRDefault="00D766A0" w:rsidP="00996ED4">
      <w:pPr>
        <w:spacing w:after="120" w:line="276" w:lineRule="auto"/>
        <w:ind w:firstLine="709"/>
        <w:jc w:val="both"/>
        <w:rPr>
          <w:rFonts w:ascii="Verdana" w:eastAsia="Arial" w:hAnsi="Verdana" w:cs="Arial"/>
          <w:lang w:val="es-ES" w:eastAsia="es-ES" w:bidi="es-ES"/>
        </w:rPr>
      </w:pPr>
      <w:r w:rsidRPr="00950EBB">
        <w:rPr>
          <w:rFonts w:ascii="Verdana" w:eastAsia="Arial" w:hAnsi="Verdana" w:cs="Arial"/>
          <w:lang w:val="es-ES" w:eastAsia="es-ES" w:bidi="es-ES"/>
        </w:rPr>
        <w:lastRenderedPageBreak/>
        <w:t xml:space="preserve">Ambas restricciones no son excluyentes, lo que permite concluir que en el período preelectoral para elección de </w:t>
      </w:r>
      <w:proofErr w:type="gramStart"/>
      <w:r w:rsidRPr="00950EBB">
        <w:rPr>
          <w:rFonts w:ascii="Verdana" w:eastAsia="Arial" w:hAnsi="Verdana" w:cs="Arial"/>
          <w:lang w:val="es-ES" w:eastAsia="es-ES" w:bidi="es-ES"/>
        </w:rPr>
        <w:t>Presidente</w:t>
      </w:r>
      <w:proofErr w:type="gramEnd"/>
      <w:r w:rsidRPr="00950EBB">
        <w:rPr>
          <w:rFonts w:ascii="Verdana" w:eastAsia="Arial" w:hAnsi="Verdana" w:cs="Arial"/>
          <w:lang w:val="es-ES" w:eastAsia="es-ES" w:bidi="es-ES"/>
        </w:rPr>
        <w:t xml:space="preserve"> de la República, a todos los entes del Estado, incluidos los territoriales, aplican las restricciones del artículo 33 con sus excepciones, así como las del parágrafo del artículo 38. En cambio, tratándose de elecciones en general, excluyendo las correspondientes al </w:t>
      </w:r>
      <w:proofErr w:type="gramStart"/>
      <w:r w:rsidRPr="00950EBB">
        <w:rPr>
          <w:rFonts w:ascii="Verdana" w:eastAsia="Arial" w:hAnsi="Verdana" w:cs="Arial"/>
          <w:lang w:val="es-ES" w:eastAsia="es-ES" w:bidi="es-ES"/>
        </w:rPr>
        <w:t>Presidente</w:t>
      </w:r>
      <w:proofErr w:type="gramEnd"/>
      <w:r w:rsidRPr="00950EBB">
        <w:rPr>
          <w:rFonts w:ascii="Verdana" w:eastAsia="Arial" w:hAnsi="Verdana" w:cs="Arial"/>
          <w:lang w:val="es-ES" w:eastAsia="es-ES" w:bidi="es-ES"/>
        </w:rPr>
        <w:t xml:space="preserve"> de la República, las autoridades allí mencionadas sólo deben aplicar las restricciones contenidas en el parágrafo del artículo 38.</w:t>
      </w:r>
    </w:p>
    <w:p w14:paraId="131AE849" w14:textId="77777777" w:rsidR="00D766A0" w:rsidRPr="00950EBB" w:rsidRDefault="00D766A0" w:rsidP="00996ED4">
      <w:pPr>
        <w:spacing w:after="120" w:line="276" w:lineRule="auto"/>
        <w:ind w:firstLine="709"/>
        <w:jc w:val="both"/>
        <w:rPr>
          <w:rFonts w:ascii="Verdana" w:hAnsi="Verdana" w:cs="Arial"/>
          <w:bCs/>
          <w:lang w:eastAsia="x-none"/>
        </w:rPr>
      </w:pPr>
      <w:r w:rsidRPr="00950EBB">
        <w:rPr>
          <w:rFonts w:ascii="Verdana" w:eastAsia="Times New Roman" w:hAnsi="Verdana" w:cs="Arial"/>
          <w:bCs/>
          <w:lang w:val="es-ES" w:eastAsia="es-CO" w:bidi="es-ES"/>
        </w:rPr>
        <w:t xml:space="preserve">Ahora bien, las entidades públicas, de acuerdo con el inciso final del artículo 33 de la Ley 996 de 2005 –Ley de Garantías Electorales–, y previo análisis de la naturaleza de las actividades que adelantan, podrán realizar procedimientos de selección directa en períodos previos a la contienda electoral por la Presidencia, cuando el contrato a celebrar se enmarquen dentro de algunas de las excepciones consagradas en dicha disposición, esto es: i) la defensa y seguridad del Estado; ii) los contratos de crédito público; iii) los requeridos para cubrir las emergencias educativas, sanitarias y desastres; </w:t>
      </w:r>
      <w:proofErr w:type="spellStart"/>
      <w:r w:rsidRPr="00950EBB">
        <w:rPr>
          <w:rFonts w:ascii="Verdana" w:eastAsia="Times New Roman" w:hAnsi="Verdana" w:cs="Arial"/>
          <w:bCs/>
          <w:lang w:val="es-ES" w:eastAsia="es-CO" w:bidi="es-ES"/>
        </w:rPr>
        <w:t>iv</w:t>
      </w:r>
      <w:proofErr w:type="spellEnd"/>
      <w:r w:rsidRPr="00950EBB">
        <w:rPr>
          <w:rFonts w:ascii="Verdana" w:eastAsia="Times New Roman" w:hAnsi="Verdana" w:cs="Arial"/>
          <w:bCs/>
          <w:lang w:val="es-ES" w:eastAsia="es-CO" w:bidi="es-ES"/>
        </w:rPr>
        <w:t xml:space="preserve">) los utilizados para la reconstrucción de vías, puentes, carreteras, infraestructura energética y de comunicaciones, en caso de que hayan sido objeto de atentados, acciones terroristas, desastres naturales o casos de fuerza mayor; y, v) los que deban realizar las entidades sanitarias y hospitalarias. En todo caso, </w:t>
      </w:r>
      <w:r w:rsidRPr="00950EBB">
        <w:rPr>
          <w:rFonts w:ascii="Verdana" w:hAnsi="Verdana" w:cs="Arial"/>
          <w:bCs/>
          <w:lang w:eastAsia="x-none"/>
        </w:rPr>
        <w:t xml:space="preserve">se aclara que, la planeación, los estudios técnicos, jurídicos y económicos, que debe preceder la celebración de cada contrato, y que determinan su viabilidad desde tales perspectivas, son asuntos que competen a las entidades estatales que adelantan los procesos de contratación respectivos, con el apoyo de sus funcionarios y órganos asesores.   </w:t>
      </w:r>
    </w:p>
    <w:p w14:paraId="0A4DF391" w14:textId="77777777" w:rsidR="00D766A0" w:rsidRPr="00FB2590" w:rsidRDefault="00D766A0" w:rsidP="00996ED4">
      <w:pPr>
        <w:spacing w:after="120" w:line="276" w:lineRule="auto"/>
        <w:ind w:firstLine="709"/>
        <w:jc w:val="both"/>
        <w:rPr>
          <w:rFonts w:ascii="Verdana" w:hAnsi="Verdana" w:cs="Arial"/>
          <w:bCs/>
          <w:lang w:val="es-MX" w:eastAsia="x-none"/>
        </w:rPr>
      </w:pPr>
      <w:r w:rsidRPr="00950EBB">
        <w:rPr>
          <w:rFonts w:ascii="Verdana" w:hAnsi="Verdana" w:cs="Arial"/>
          <w:bCs/>
          <w:lang w:val="es-MX" w:eastAsia="x-none"/>
        </w:rPr>
        <w:t xml:space="preserve">En esta labor es importante tener en cuenta, como lo anotó la Corte Constitucional, en Sentencia C-1153 de noviembre 11 de 2005 </w:t>
      </w:r>
      <w:bookmarkStart w:id="3" w:name="_Hlk74309042"/>
      <w:r w:rsidRPr="00950EBB">
        <w:rPr>
          <w:rFonts w:ascii="Verdana" w:hAnsi="Verdana" w:cs="Arial"/>
          <w:bCs/>
          <w:lang w:val="es-MX" w:eastAsia="x-none"/>
        </w:rPr>
        <w:t>que “</w:t>
      </w:r>
      <w:bookmarkEnd w:id="3"/>
      <w:r w:rsidRPr="00950EBB">
        <w:rPr>
          <w:rFonts w:ascii="Verdana" w:hAnsi="Verdana" w:cs="Arial"/>
          <w:bCs/>
          <w:lang w:val="es-MX" w:eastAsia="x-none"/>
        </w:rPr>
        <w:t xml:space="preserve">si bien la limitación garantiza la igualdad de condiciones, también es necesario que tal limitación que pretende la igualdad </w:t>
      </w:r>
      <w:bookmarkStart w:id="4" w:name="_Hlk75768308"/>
      <w:r w:rsidRPr="00950EBB">
        <w:rPr>
          <w:rFonts w:ascii="Verdana" w:hAnsi="Verdana" w:cs="Arial"/>
          <w:bCs/>
          <w:lang w:val="es-MX" w:eastAsia="x-none"/>
        </w:rPr>
        <w:t>no termine yendo en detrimento de intereses públicos, cuya garantía está en cabeza del ejecutivo, como son los inmersos en las excepciones para la prohibición de contratación”</w:t>
      </w:r>
      <w:r w:rsidRPr="00950EBB">
        <w:rPr>
          <w:rFonts w:ascii="Verdana" w:hAnsi="Verdana" w:cs="Arial"/>
          <w:vertAlign w:val="superscript"/>
          <w:lang w:val="es-MX"/>
        </w:rPr>
        <w:footnoteReference w:id="8"/>
      </w:r>
      <w:r w:rsidRPr="00950EBB">
        <w:rPr>
          <w:rFonts w:ascii="Verdana" w:hAnsi="Verdana" w:cs="Arial"/>
          <w:bCs/>
          <w:lang w:val="es-MX" w:eastAsia="x-none"/>
        </w:rPr>
        <w:t xml:space="preserve">. De ahí que la Corte haya señalado que las excepciones a la restricción protegen diversos tipos de urgencias de defensa, </w:t>
      </w:r>
      <w:r w:rsidRPr="00950EBB">
        <w:rPr>
          <w:rFonts w:ascii="Verdana" w:hAnsi="Verdana" w:cs="Arial"/>
          <w:b/>
          <w:lang w:val="es-MX" w:eastAsia="x-none"/>
        </w:rPr>
        <w:t>salud</w:t>
      </w:r>
      <w:r w:rsidRPr="00950EBB">
        <w:rPr>
          <w:rFonts w:ascii="Verdana" w:hAnsi="Verdana" w:cs="Arial"/>
          <w:bCs/>
          <w:lang w:val="es-MX" w:eastAsia="x-none"/>
        </w:rPr>
        <w:t xml:space="preserve">, educación, infraestructura vial y de servicios </w:t>
      </w:r>
      <w:r w:rsidRPr="00950EBB">
        <w:rPr>
          <w:rFonts w:ascii="Verdana" w:hAnsi="Verdana" w:cs="Arial"/>
          <w:bCs/>
          <w:lang w:val="es-MX" w:eastAsia="x-none"/>
        </w:rPr>
        <w:lastRenderedPageBreak/>
        <w:t xml:space="preserve">públicos y ecológicas, que tienden a no limitar desproporcionadamente la acción del Estado en el cumplimiento de sus fines, en procura de la igualdad entre los candidatos como garantía </w:t>
      </w:r>
      <w:r w:rsidRPr="00FB2590">
        <w:rPr>
          <w:rFonts w:ascii="Verdana" w:hAnsi="Verdana" w:cs="Arial"/>
          <w:bCs/>
          <w:lang w:val="es-MX" w:eastAsia="x-none"/>
        </w:rPr>
        <w:t>electoral.</w:t>
      </w:r>
      <w:bookmarkEnd w:id="4"/>
    </w:p>
    <w:p w14:paraId="6B85BA3F" w14:textId="77777777" w:rsidR="00D766A0" w:rsidRPr="00950EBB" w:rsidRDefault="00D766A0" w:rsidP="00996ED4">
      <w:pPr>
        <w:spacing w:after="120" w:line="276" w:lineRule="auto"/>
        <w:ind w:firstLine="709"/>
        <w:jc w:val="both"/>
        <w:rPr>
          <w:rFonts w:ascii="Verdana" w:hAnsi="Verdana" w:cs="Arial"/>
          <w:bCs/>
          <w:lang w:val="es-MX" w:eastAsia="x-none"/>
        </w:rPr>
      </w:pPr>
      <w:r w:rsidRPr="00FB2590">
        <w:rPr>
          <w:rFonts w:ascii="Verdana" w:hAnsi="Verdana" w:cs="Arial"/>
          <w:bCs/>
          <w:lang w:val="es-MX" w:eastAsia="x-none"/>
        </w:rPr>
        <w:t>Es importante reiterar que el segundo inciso del artículo 33 de la Ley de Garantías Electorales consagró las excepciones aplicables a la prohibición de contratación directa establecida en el mismo artículo. La Sala de Consulta y Servicio Civil del Consejo de Estado, en Concepto del 4 de febrero de 2010, explica que “(…) Las excepciones establecidas en los artículos 32 y 33 en comento, guardan relación, exclusivamente, con algunos servicios públicos que por su naturaleza no admiten postergaciones en la atención de sus necesidades de personal, bienes y servicios (…)”</w:t>
      </w:r>
      <w:r w:rsidRPr="00FB2590">
        <w:rPr>
          <w:rStyle w:val="Refdenotaalpie"/>
          <w:rFonts w:ascii="Verdana" w:hAnsi="Verdana" w:cs="Arial"/>
          <w:lang w:val="es-ES_tradnl" w:eastAsia="es-CO"/>
        </w:rPr>
        <w:footnoteReference w:id="9"/>
      </w:r>
      <w:r w:rsidRPr="00FB2590">
        <w:rPr>
          <w:rFonts w:ascii="Verdana" w:hAnsi="Verdana" w:cs="Arial"/>
          <w:bCs/>
          <w:lang w:val="es-MX" w:eastAsia="x-none"/>
        </w:rPr>
        <w:t>.</w:t>
      </w:r>
    </w:p>
    <w:p w14:paraId="0446E20D" w14:textId="77777777" w:rsidR="00D766A0" w:rsidRPr="00950EBB" w:rsidRDefault="00D766A0" w:rsidP="00996ED4">
      <w:pPr>
        <w:shd w:val="clear" w:color="auto" w:fill="FFFFFF" w:themeFill="background1"/>
        <w:spacing w:after="120" w:line="276" w:lineRule="auto"/>
        <w:ind w:firstLine="709"/>
        <w:jc w:val="both"/>
        <w:rPr>
          <w:rFonts w:ascii="Verdana" w:hAnsi="Verdana" w:cs="Arial"/>
          <w:lang w:val="es-ES" w:eastAsia="es-CO"/>
        </w:rPr>
      </w:pPr>
      <w:r w:rsidRPr="00950EBB">
        <w:rPr>
          <w:rFonts w:ascii="Verdana" w:hAnsi="Verdana" w:cs="Arial"/>
          <w:lang w:val="es-ES" w:eastAsia="es-CO"/>
        </w:rPr>
        <w:t>A su vez, la Corte Constitucional, al analizar la constitucionalidad de la Ley de Garantías Electorales, consideró que las prohibiciones consagradas en los artículos 32 y 33 de la ley mencionada no pueden ir en detrimento de intereses públicos. Por lo anterior, la Alta Corte consideró que las excepciones para la prohibición de contratación se encontraban justificadas, declarando su exequibilidad. Así, por ejemplo, la Corte Constitucional explicó que “(…) las excepciones de limitación protegen diversos tipos de urgencias de defensa, salud, educación, infraestructura vial y de servicios públicos y ecológicas tienden a no limitar desproporcionadamente la acción del Estado en el cumplimiento de sus fines, en procura de la igualdad entre candidatos como garantía electoral”</w:t>
      </w:r>
      <w:r w:rsidRPr="00950EBB">
        <w:rPr>
          <w:rStyle w:val="Refdenotaalpie"/>
          <w:rFonts w:ascii="Verdana" w:hAnsi="Verdana" w:cs="Arial"/>
          <w:lang w:val="es-ES" w:eastAsia="es-CO"/>
        </w:rPr>
        <w:footnoteReference w:id="10"/>
      </w:r>
      <w:r w:rsidRPr="00950EBB">
        <w:rPr>
          <w:rFonts w:ascii="Verdana" w:hAnsi="Verdana" w:cs="Arial"/>
          <w:lang w:val="es-ES" w:eastAsia="es-CO"/>
        </w:rPr>
        <w:t xml:space="preserve">. </w:t>
      </w:r>
    </w:p>
    <w:p w14:paraId="2E5AB436" w14:textId="77777777" w:rsidR="00D766A0" w:rsidRPr="00950EBB" w:rsidRDefault="00D766A0" w:rsidP="00996ED4">
      <w:pPr>
        <w:shd w:val="clear" w:color="auto" w:fill="FFFFFF"/>
        <w:spacing w:after="120" w:line="276" w:lineRule="auto"/>
        <w:ind w:firstLine="709"/>
        <w:jc w:val="both"/>
        <w:rPr>
          <w:rFonts w:ascii="Verdana" w:hAnsi="Verdana" w:cs="Arial"/>
          <w:lang w:val="es-ES_tradnl" w:eastAsia="es-CO"/>
        </w:rPr>
      </w:pPr>
      <w:r w:rsidRPr="00950EBB">
        <w:rPr>
          <w:rFonts w:ascii="Verdana" w:hAnsi="Verdana" w:cs="Arial"/>
          <w:bCs/>
          <w:lang w:val="es-ES_tradnl"/>
        </w:rPr>
        <w:t xml:space="preserve">Por tanto, las excepciones a la prohibición contenida en el inciso segundo de artículo 33 de la ley de garantías electorales tienen por finalidad garantizar la prestación ininterrumpida de algunos servicios públicos que, dada su importancia en el orden interno, se verían irrazonablemente afectados por la restricción explicada. Lo anterior implica que las excepciones al artículo 33 en comento deben interpretarse y aplicarse de manera restrictiva. En otras palabras, que no sería factible hacer interpretaciones extensivas para incluir otros supuestos de hecho similares a las circunstancias previstas en dicho artículo, pues el carácter taxativo implica que solo en los eventos consagrados </w:t>
      </w:r>
      <w:r w:rsidRPr="00950EBB">
        <w:rPr>
          <w:rFonts w:ascii="Verdana" w:hAnsi="Verdana" w:cs="Arial"/>
          <w:bCs/>
          <w:lang w:val="es-ES_tradnl"/>
        </w:rPr>
        <w:lastRenderedPageBreak/>
        <w:t>expresamente en la norma permiten que ciertas entidades estatales se vean exceptuadas de la prohibición.</w:t>
      </w:r>
    </w:p>
    <w:p w14:paraId="68C04AE4" w14:textId="77777777" w:rsidR="00D766A0" w:rsidRPr="00950EBB" w:rsidRDefault="00D766A0" w:rsidP="00996ED4">
      <w:pPr>
        <w:spacing w:after="120" w:line="276" w:lineRule="auto"/>
        <w:ind w:firstLine="709"/>
        <w:jc w:val="both"/>
        <w:rPr>
          <w:rFonts w:ascii="Verdana" w:eastAsia="Times New Roman" w:hAnsi="Verdana" w:cs="Arial"/>
          <w:lang w:val="es-MX" w:eastAsia="x-none"/>
        </w:rPr>
      </w:pPr>
      <w:r w:rsidRPr="00950EBB">
        <w:rPr>
          <w:rFonts w:ascii="Verdana" w:hAnsi="Verdana" w:cs="Arial"/>
          <w:lang w:val="es-ES"/>
        </w:rPr>
        <w:t xml:space="preserve">Ahora bien, respecto del alcance del parágrafo </w:t>
      </w:r>
      <w:r w:rsidRPr="00950EBB">
        <w:rPr>
          <w:rFonts w:ascii="Verdana" w:hAnsi="Verdana" w:cs="Arial"/>
        </w:rPr>
        <w:t xml:space="preserve">del artículo 38 de la Ley 996 de 2005, esta prohibición dispone en primera medida que: “[l]os Gobernadores, </w:t>
      </w:r>
      <w:proofErr w:type="gramStart"/>
      <w:r w:rsidRPr="00950EBB">
        <w:rPr>
          <w:rFonts w:ascii="Verdana" w:hAnsi="Verdana" w:cs="Arial"/>
        </w:rPr>
        <w:t>Alcaldes</w:t>
      </w:r>
      <w:proofErr w:type="gramEnd"/>
      <w:r w:rsidRPr="00950EBB">
        <w:rPr>
          <w:rFonts w:ascii="Verdana" w:hAnsi="Verdana" w:cs="Arial"/>
        </w:rPr>
        <w:t xml:space="preserve"> Municipales y/o Distritales, </w:t>
      </w:r>
      <w:proofErr w:type="gramStart"/>
      <w:r w:rsidRPr="00950EBB">
        <w:rPr>
          <w:rFonts w:ascii="Verdana" w:hAnsi="Verdana" w:cs="Arial"/>
        </w:rPr>
        <w:t>Secretarios</w:t>
      </w:r>
      <w:proofErr w:type="gramEnd"/>
      <w:r w:rsidRPr="00950EBB">
        <w:rPr>
          <w:rFonts w:ascii="Verdana" w:hAnsi="Verdana" w:cs="Arial"/>
        </w:rPr>
        <w:t xml:space="preserve">, Gerentes y directores de Entidades Descentralizadas del orden Municipal, Departamental o Distrital, dentro de los cuatro (4) meses anteriores a las elecciones, no podrán celebrar </w:t>
      </w:r>
      <w:r w:rsidRPr="00950EBB">
        <w:rPr>
          <w:rFonts w:ascii="Verdana" w:hAnsi="Verdana" w:cs="Arial"/>
          <w:i/>
          <w:iCs/>
        </w:rPr>
        <w:t>convenios interadministrativos</w:t>
      </w:r>
      <w:r w:rsidRPr="00950EBB">
        <w:rPr>
          <w:rFonts w:ascii="Verdana" w:hAnsi="Verdana" w:cs="Arial"/>
        </w:rPr>
        <w:t xml:space="preserve"> </w:t>
      </w:r>
      <w:r w:rsidRPr="00950EBB">
        <w:rPr>
          <w:rFonts w:ascii="Verdana" w:hAnsi="Verdana" w:cs="Arial"/>
          <w:i/>
          <w:iCs/>
        </w:rPr>
        <w:t>para la ejecución de recursos públicos</w:t>
      </w:r>
      <w:r w:rsidRPr="00950EBB">
        <w:rPr>
          <w:rFonts w:ascii="Verdana" w:hAnsi="Verdana" w:cs="Arial"/>
        </w:rPr>
        <w:t>”.</w:t>
      </w:r>
      <w:r w:rsidRPr="00950EBB">
        <w:rPr>
          <w:rFonts w:ascii="Verdana" w:eastAsia="Times New Roman" w:hAnsi="Verdana" w:cs="Arial"/>
          <w:lang w:val="es-MX" w:eastAsia="x-none"/>
        </w:rPr>
        <w:t xml:space="preserve"> (Énfasis fuera del texto original).</w:t>
      </w:r>
    </w:p>
    <w:p w14:paraId="3405ED69" w14:textId="77777777" w:rsidR="00D766A0" w:rsidRPr="00950EBB" w:rsidRDefault="00D766A0" w:rsidP="00996ED4">
      <w:pPr>
        <w:spacing w:after="120" w:line="276" w:lineRule="auto"/>
        <w:ind w:firstLine="709"/>
        <w:jc w:val="both"/>
        <w:rPr>
          <w:rFonts w:ascii="Verdana" w:eastAsia="Calibri" w:hAnsi="Verdana" w:cs="Arial"/>
          <w:lang w:val="es-ES"/>
        </w:rPr>
      </w:pPr>
    </w:p>
    <w:p w14:paraId="6271B427" w14:textId="77777777" w:rsidR="00D766A0" w:rsidRPr="00950EBB" w:rsidRDefault="00D766A0" w:rsidP="00996ED4">
      <w:pPr>
        <w:spacing w:after="120" w:line="276" w:lineRule="auto"/>
        <w:ind w:firstLine="709"/>
        <w:jc w:val="both"/>
        <w:rPr>
          <w:rFonts w:ascii="Verdana" w:hAnsi="Verdana" w:cs="Arial"/>
          <w:lang w:eastAsia="es-ES"/>
        </w:rPr>
      </w:pPr>
      <w:r w:rsidRPr="00950EBB">
        <w:rPr>
          <w:rFonts w:ascii="Verdana" w:eastAsia="Times New Roman" w:hAnsi="Verdana" w:cs="Arial"/>
          <w:lang w:val="es-ES" w:eastAsia="es-ES"/>
        </w:rPr>
        <w:t xml:space="preserve">Para tales efectos, debe precisarse que </w:t>
      </w:r>
      <w:r w:rsidRPr="00950EBB">
        <w:rPr>
          <w:rFonts w:ascii="Verdana" w:eastAsia="Times New Roman" w:hAnsi="Verdana" w:cs="Arial"/>
          <w:color w:val="000000" w:themeColor="text1"/>
          <w:lang w:val="es-ES" w:eastAsia="es-CO"/>
        </w:rPr>
        <w:t xml:space="preserve">los contratos o convenios interadministrativos están determinados por un criterio orgánico, pues es necesario que los extremos de la relación contractual sean entidades públicas, </w:t>
      </w:r>
      <w:r w:rsidRPr="00950EBB">
        <w:rPr>
          <w:rFonts w:ascii="Verdana" w:hAnsi="Verdana" w:cs="Arial"/>
          <w:lang w:eastAsia="es-ES"/>
        </w:rPr>
        <w:t>independientemente de las normas que regulan la relación contractual. En este sentido, los convenios interadministrativos solo pueden ser celebrados entre entidades públicas, pues a éstas corresponde la realización de los fines y tareas que el legislador les ha asignado</w:t>
      </w:r>
      <w:r w:rsidRPr="00950EBB">
        <w:rPr>
          <w:rFonts w:ascii="Verdana" w:hAnsi="Verdana" w:cs="Arial"/>
          <w:vertAlign w:val="superscript"/>
          <w:lang w:eastAsia="es-ES"/>
        </w:rPr>
        <w:footnoteReference w:id="11"/>
      </w:r>
      <w:r w:rsidRPr="00950EBB">
        <w:rPr>
          <w:rFonts w:ascii="Verdana" w:hAnsi="Verdana" w:cs="Arial"/>
          <w:lang w:eastAsia="es-ES"/>
        </w:rPr>
        <w:t>.</w:t>
      </w:r>
    </w:p>
    <w:p w14:paraId="3F19224C" w14:textId="77777777" w:rsidR="00D766A0" w:rsidRPr="00950EBB" w:rsidRDefault="00D766A0" w:rsidP="00996ED4">
      <w:pPr>
        <w:spacing w:after="120" w:line="276" w:lineRule="auto"/>
        <w:ind w:firstLine="709"/>
        <w:jc w:val="both"/>
        <w:rPr>
          <w:rFonts w:ascii="Verdana" w:hAnsi="Verdana" w:cs="Arial"/>
          <w:lang w:val="es-ES_tradnl"/>
        </w:rPr>
      </w:pPr>
      <w:r w:rsidRPr="00950EBB">
        <w:rPr>
          <w:rFonts w:ascii="Verdana" w:hAnsi="Verdana" w:cs="Arial"/>
          <w:lang w:val="es-ES"/>
        </w:rPr>
        <w:t>Un contrato o convenio interadministrativo no está determinado por la modalidad de selección utilizada para celebrarlo. La Ley 1150 de 2007 establece que pueden celebrarse directamente, siempre que las obligaciones derivadas del mismo tengan relación directa con el objeto de la entidad ejecutora, señalado en la ley o en sus reglamentos, a menos que, según las excepciones previstas en dicha Ley, deba adelantarse un procedimiento susceptible de pluralidad de oferentes</w:t>
      </w:r>
      <w:r w:rsidRPr="00950EBB">
        <w:rPr>
          <w:rFonts w:ascii="Verdana" w:hAnsi="Verdana" w:cs="Arial"/>
          <w:vertAlign w:val="superscript"/>
          <w:lang w:val="es-ES"/>
        </w:rPr>
        <w:footnoteReference w:id="12"/>
      </w:r>
      <w:r w:rsidRPr="00950EBB">
        <w:rPr>
          <w:rFonts w:ascii="Verdana" w:hAnsi="Verdana" w:cs="Arial"/>
          <w:lang w:val="es-ES"/>
        </w:rPr>
        <w:t>. Nótese que, en este caso, lo que cambia es la modalidad de selección y no la naturaleza de contrato interadministrativo.</w:t>
      </w:r>
    </w:p>
    <w:p w14:paraId="42458730" w14:textId="77777777" w:rsidR="00D766A0" w:rsidRPr="00950EBB" w:rsidRDefault="00D766A0" w:rsidP="00996ED4">
      <w:pPr>
        <w:spacing w:after="120" w:line="276" w:lineRule="auto"/>
        <w:ind w:firstLine="709"/>
        <w:jc w:val="both"/>
        <w:rPr>
          <w:rFonts w:ascii="Verdana" w:hAnsi="Verdana" w:cs="Arial"/>
          <w:lang w:val="es-ES_tradnl"/>
        </w:rPr>
      </w:pPr>
      <w:r w:rsidRPr="00950EBB">
        <w:rPr>
          <w:rFonts w:ascii="Verdana" w:hAnsi="Verdana" w:cs="Arial"/>
          <w:lang w:val="es-ES"/>
        </w:rPr>
        <w:t xml:space="preserve">Además, es necesario tener en cuenta que para que un contrato o convenio interadministrativo exista debe cumplir con los siguientes elementos: </w:t>
      </w:r>
      <w:r w:rsidRPr="00950EBB">
        <w:rPr>
          <w:rFonts w:ascii="Verdana" w:hAnsi="Verdana" w:cs="Arial"/>
          <w:lang w:val="es-ES"/>
        </w:rPr>
        <w:lastRenderedPageBreak/>
        <w:t>acuerdo sobre el objeto y la contraprestación y que conste por escrito</w:t>
      </w:r>
      <w:r w:rsidRPr="00950EBB">
        <w:rPr>
          <w:rFonts w:ascii="Verdana" w:hAnsi="Verdana" w:cs="Arial"/>
          <w:vertAlign w:val="superscript"/>
          <w:lang w:val="es-ES"/>
        </w:rPr>
        <w:footnoteReference w:id="13"/>
      </w:r>
      <w:r w:rsidRPr="00950EBB">
        <w:rPr>
          <w:rFonts w:ascii="Verdana" w:hAnsi="Verdana" w:cs="Arial"/>
          <w:lang w:val="es-ES"/>
        </w:rPr>
        <w:t>. Entonces, si ambas partes son entidades estatales, pueden celebrar convenios interadministrativos, porque las disposiciones que regulan esta tipología hacen referencia a la calidad de los sujetos que intervienen en la contratación, que deben ser entidades estatales o de derecho público.</w:t>
      </w:r>
    </w:p>
    <w:p w14:paraId="00602484" w14:textId="77777777" w:rsidR="00D766A0" w:rsidRPr="00950EBB" w:rsidRDefault="00D766A0" w:rsidP="00996ED4">
      <w:pPr>
        <w:spacing w:after="120" w:line="276" w:lineRule="auto"/>
        <w:ind w:firstLine="709"/>
        <w:jc w:val="both"/>
        <w:rPr>
          <w:rFonts w:ascii="Verdana" w:eastAsia="Times New Roman" w:hAnsi="Verdana" w:cs="Arial"/>
          <w:lang w:val="es-MX" w:eastAsia="es-CO"/>
        </w:rPr>
      </w:pPr>
      <w:r w:rsidRPr="00950EBB">
        <w:rPr>
          <w:rFonts w:ascii="Verdana" w:eastAsia="Arial" w:hAnsi="Verdana" w:cs="Arial"/>
          <w:lang w:val="es-MX" w:eastAsia="es-ES" w:bidi="es-ES"/>
        </w:rPr>
        <w:t>De esta manera, se</w:t>
      </w:r>
      <w:r w:rsidRPr="00950EBB">
        <w:rPr>
          <w:rFonts w:ascii="Verdana" w:eastAsia="Times New Roman" w:hAnsi="Verdana" w:cs="Arial"/>
          <w:lang w:eastAsia="es-CO"/>
        </w:rPr>
        <w:t xml:space="preserve"> observa entonces que </w:t>
      </w:r>
      <w:r w:rsidRPr="00950EBB">
        <w:rPr>
          <w:rFonts w:ascii="Verdana" w:eastAsia="Times New Roman" w:hAnsi="Verdana" w:cs="Arial"/>
          <w:lang w:val="es-MX" w:eastAsia="es-CO"/>
        </w:rPr>
        <w:t xml:space="preserve">el parágrafo del artículo 38 de la Ley 996 de 2005 prohíbe a los </w:t>
      </w:r>
      <w:proofErr w:type="gramStart"/>
      <w:r w:rsidRPr="00950EBB">
        <w:rPr>
          <w:rFonts w:ascii="Verdana" w:eastAsia="Times New Roman" w:hAnsi="Verdana" w:cs="Arial"/>
          <w:lang w:val="es-MX" w:eastAsia="es-CO"/>
        </w:rPr>
        <w:t>Alcaldes</w:t>
      </w:r>
      <w:proofErr w:type="gramEnd"/>
      <w:r w:rsidRPr="00950EBB">
        <w:rPr>
          <w:rFonts w:ascii="Verdana" w:eastAsia="Times New Roman" w:hAnsi="Verdana" w:cs="Arial"/>
          <w:lang w:val="es-MX" w:eastAsia="es-CO"/>
        </w:rPr>
        <w:t xml:space="preserve">, Gobernadores, </w:t>
      </w:r>
      <w:proofErr w:type="gramStart"/>
      <w:r w:rsidRPr="00950EBB">
        <w:rPr>
          <w:rFonts w:ascii="Verdana" w:eastAsia="Times New Roman" w:hAnsi="Verdana" w:cs="Arial"/>
          <w:lang w:val="es-MX" w:eastAsia="es-CO"/>
        </w:rPr>
        <w:t>Secretarios</w:t>
      </w:r>
      <w:proofErr w:type="gramEnd"/>
      <w:r w:rsidRPr="00950EBB">
        <w:rPr>
          <w:rFonts w:ascii="Verdana" w:eastAsia="Times New Roman" w:hAnsi="Verdana" w:cs="Arial"/>
          <w:lang w:val="es-MX" w:eastAsia="es-CO"/>
        </w:rPr>
        <w:t xml:space="preserve">, Gerentes y </w:t>
      </w:r>
      <w:proofErr w:type="gramStart"/>
      <w:r w:rsidRPr="00950EBB">
        <w:rPr>
          <w:rFonts w:ascii="Verdana" w:eastAsia="Times New Roman" w:hAnsi="Verdana" w:cs="Arial"/>
          <w:lang w:val="es-MX" w:eastAsia="es-CO"/>
        </w:rPr>
        <w:t>Directores</w:t>
      </w:r>
      <w:proofErr w:type="gramEnd"/>
      <w:r w:rsidRPr="00950EBB">
        <w:rPr>
          <w:rFonts w:ascii="Verdana" w:eastAsia="Times New Roman" w:hAnsi="Verdana" w:cs="Arial"/>
          <w:lang w:val="es-MX" w:eastAsia="es-CO"/>
        </w:rPr>
        <w:t xml:space="preserve"> de las entidades del orden municipal, departamental o distrital celebrar </w:t>
      </w:r>
      <w:r w:rsidRPr="00950EBB">
        <w:rPr>
          <w:rFonts w:ascii="Verdana" w:eastAsia="Times New Roman" w:hAnsi="Verdana" w:cs="Arial"/>
          <w:i/>
          <w:iCs/>
          <w:lang w:val="es-MX" w:eastAsia="es-CO"/>
        </w:rPr>
        <w:t>convenios interadministrativos</w:t>
      </w:r>
      <w:r w:rsidRPr="00950EBB">
        <w:rPr>
          <w:rFonts w:ascii="Verdana" w:eastAsia="Times New Roman" w:hAnsi="Verdana" w:cs="Arial"/>
          <w:lang w:val="es-MX" w:eastAsia="es-CO"/>
        </w:rPr>
        <w:t xml:space="preserve"> para la ejecución de recursos públicos. En este sentido, si una o ambas partes de la relación contractual es una entidad de aquellas descritas en el parágrafo </w:t>
      </w:r>
      <w:r w:rsidRPr="00950EBB">
        <w:rPr>
          <w:rFonts w:ascii="Verdana" w:eastAsia="Times New Roman" w:hAnsi="Verdana" w:cs="Arial"/>
          <w:i/>
          <w:lang w:val="es-MX" w:eastAsia="es-CO"/>
        </w:rPr>
        <w:t>ibidem</w:t>
      </w:r>
      <w:r w:rsidRPr="00950EBB">
        <w:rPr>
          <w:rFonts w:ascii="Verdana" w:eastAsia="Times New Roman" w:hAnsi="Verdana" w:cs="Arial"/>
          <w:lang w:val="es-MX" w:eastAsia="es-CO"/>
        </w:rPr>
        <w:t xml:space="preserve">, es decir, </w:t>
      </w:r>
      <w:r w:rsidRPr="00950EBB">
        <w:rPr>
          <w:rFonts w:ascii="Verdana" w:eastAsia="Times New Roman" w:hAnsi="Verdana" w:cs="Arial"/>
          <w:lang w:eastAsia="es-CO"/>
        </w:rPr>
        <w:t xml:space="preserve">alcaldías, gobernaciones, secretarías de despacho, así como entidades descentralizadas por servicios del orden municipal, departamental o distrital </w:t>
      </w:r>
      <w:r w:rsidRPr="00950EBB">
        <w:rPr>
          <w:rFonts w:ascii="Verdana" w:eastAsia="Times New Roman" w:hAnsi="Verdana" w:cs="Arial"/>
          <w:lang w:val="es-MX" w:eastAsia="es-CO"/>
        </w:rPr>
        <w:t xml:space="preserve">no podrá celebrar tales </w:t>
      </w:r>
      <w:r w:rsidRPr="00950EBB">
        <w:rPr>
          <w:rFonts w:ascii="Verdana" w:eastAsia="Times New Roman" w:hAnsi="Verdana" w:cs="Arial"/>
          <w:i/>
          <w:iCs/>
          <w:lang w:val="es-MX" w:eastAsia="es-CO"/>
        </w:rPr>
        <w:t>convenios</w:t>
      </w:r>
      <w:r w:rsidRPr="00950EBB">
        <w:rPr>
          <w:rFonts w:ascii="Verdana" w:eastAsia="Times New Roman" w:hAnsi="Verdana" w:cs="Arial"/>
          <w:lang w:val="es-MX" w:eastAsia="es-CO"/>
        </w:rPr>
        <w:t xml:space="preserve"> durante la aplicación de la Ley de Garantías Electorales, toda vez que la citada disposición se refiere a dicha tipología contractual sin que el legislador hubiere contemplado un efecto extensivo a otra tipología. </w:t>
      </w:r>
    </w:p>
    <w:p w14:paraId="03659AE6" w14:textId="77777777" w:rsidR="00D766A0" w:rsidRPr="00950EBB" w:rsidRDefault="00D766A0" w:rsidP="00996ED4">
      <w:pPr>
        <w:spacing w:after="120" w:line="276" w:lineRule="auto"/>
        <w:ind w:firstLine="709"/>
        <w:jc w:val="both"/>
        <w:rPr>
          <w:rFonts w:ascii="Verdana" w:eastAsia="Times New Roman" w:hAnsi="Verdana" w:cs="Arial"/>
          <w:lang w:eastAsia="es-CO"/>
        </w:rPr>
      </w:pPr>
      <w:r w:rsidRPr="00950EBB">
        <w:rPr>
          <w:rFonts w:ascii="Verdana" w:eastAsia="Times New Roman" w:hAnsi="Verdana" w:cs="Arial"/>
          <w:lang w:val="es-MX" w:eastAsia="es-CO"/>
        </w:rPr>
        <w:t xml:space="preserve">Respecto del alcance de esta prohibición la Circular Externa No. 006 de 2025 expedida por la ANCP -CCE, en los literales ii) y </w:t>
      </w:r>
      <w:proofErr w:type="spellStart"/>
      <w:r w:rsidRPr="00950EBB">
        <w:rPr>
          <w:rFonts w:ascii="Verdana" w:eastAsia="Times New Roman" w:hAnsi="Verdana" w:cs="Arial"/>
          <w:lang w:val="es-MX" w:eastAsia="es-CO"/>
        </w:rPr>
        <w:t>iv</w:t>
      </w:r>
      <w:proofErr w:type="spellEnd"/>
      <w:r w:rsidRPr="00950EBB">
        <w:rPr>
          <w:rFonts w:ascii="Verdana" w:eastAsia="Times New Roman" w:hAnsi="Verdana" w:cs="Arial"/>
          <w:lang w:val="es-MX" w:eastAsia="es-CO"/>
        </w:rPr>
        <w:t>) del numeral 2</w:t>
      </w:r>
      <w:r w:rsidRPr="00950EBB">
        <w:rPr>
          <w:rFonts w:ascii="Verdana" w:eastAsia="Times New Roman" w:hAnsi="Verdana" w:cs="Arial"/>
          <w:lang w:eastAsia="es-CO"/>
        </w:rPr>
        <w:t>,</w:t>
      </w:r>
      <w:r w:rsidRPr="00950EBB">
        <w:rPr>
          <w:rFonts w:ascii="Verdana" w:eastAsia="Times New Roman" w:hAnsi="Verdana" w:cs="Arial"/>
          <w:lang w:val="es-MX" w:eastAsia="es-CO"/>
        </w:rPr>
        <w:t xml:space="preserve"> indica que el </w:t>
      </w:r>
      <w:r w:rsidRPr="00950EBB">
        <w:rPr>
          <w:rFonts w:ascii="Verdana" w:eastAsia="Times New Roman" w:hAnsi="Verdana" w:cs="Arial"/>
          <w:lang w:eastAsia="es-CO"/>
        </w:rPr>
        <w:t xml:space="preserve">parágrafo del artículo 38 de la Ley 996 de 2005 cobija expresamente a los </w:t>
      </w:r>
      <w:r w:rsidRPr="00950EBB">
        <w:rPr>
          <w:rFonts w:ascii="Verdana" w:eastAsia="Times New Roman" w:hAnsi="Verdana" w:cs="Arial"/>
          <w:i/>
          <w:iCs/>
          <w:lang w:eastAsia="es-CO"/>
        </w:rPr>
        <w:t>convenios interadministrativos</w:t>
      </w:r>
      <w:r w:rsidRPr="00950EBB">
        <w:rPr>
          <w:rFonts w:ascii="Verdana" w:eastAsia="Times New Roman" w:hAnsi="Verdana" w:cs="Arial"/>
          <w:lang w:eastAsia="es-CO"/>
        </w:rPr>
        <w:t xml:space="preserve"> en los que se contemple la ejecución de recursos públicos. Además, precisa que el parágrafo referido no estableció ningún supuesto que exceptúe la aplicación de esta prohibición, por lo que la restricción referida a la celebración de convenios interadministrativos aplicará a los sujetos allí señalados, </w:t>
      </w:r>
      <w:r w:rsidRPr="00950EBB">
        <w:rPr>
          <w:rFonts w:ascii="Verdana" w:eastAsia="Times New Roman" w:hAnsi="Verdana" w:cs="Arial"/>
          <w:i/>
          <w:iCs/>
          <w:lang w:eastAsia="es-CO"/>
        </w:rPr>
        <w:t>“aunque se configure alguno de los supuestos de excepción que señaló el inciso final del artículo 33”.</w:t>
      </w:r>
      <w:r w:rsidRPr="00950EBB">
        <w:rPr>
          <w:rFonts w:ascii="Verdana" w:eastAsia="Times New Roman" w:hAnsi="Verdana" w:cs="Arial"/>
          <w:lang w:eastAsia="es-CO"/>
        </w:rPr>
        <w:t xml:space="preserve"> </w:t>
      </w:r>
    </w:p>
    <w:p w14:paraId="6BF40CD8" w14:textId="77777777" w:rsidR="00D766A0" w:rsidRPr="00950EBB" w:rsidRDefault="00D766A0" w:rsidP="00996ED4">
      <w:pPr>
        <w:spacing w:after="120" w:line="276" w:lineRule="auto"/>
        <w:ind w:firstLine="709"/>
        <w:jc w:val="both"/>
        <w:rPr>
          <w:rFonts w:ascii="Verdana" w:eastAsia="Times New Roman" w:hAnsi="Verdana" w:cs="Arial"/>
          <w:lang w:eastAsia="es-CO"/>
        </w:rPr>
      </w:pPr>
      <w:r w:rsidRPr="00950EBB">
        <w:rPr>
          <w:rFonts w:ascii="Verdana" w:eastAsia="Times New Roman" w:hAnsi="Verdana" w:cs="Arial"/>
          <w:lang w:eastAsia="es-CO"/>
        </w:rPr>
        <w:t xml:space="preserve">Sin embargo, el ámbito de aplicación de la restricción prevista en el parágrafo del artículo 38 de la Ley 996 de 2005 comprende a los </w:t>
      </w:r>
      <w:r w:rsidRPr="00950EBB">
        <w:rPr>
          <w:rFonts w:ascii="Verdana" w:eastAsia="Times New Roman" w:hAnsi="Verdana" w:cs="Arial"/>
          <w:i/>
          <w:iCs/>
          <w:lang w:eastAsia="es-CO"/>
        </w:rPr>
        <w:t>convenios interadministrativos</w:t>
      </w:r>
      <w:r w:rsidRPr="00950EBB">
        <w:rPr>
          <w:rFonts w:ascii="Verdana" w:eastAsia="Times New Roman" w:hAnsi="Verdana" w:cs="Arial"/>
          <w:lang w:eastAsia="es-CO"/>
        </w:rPr>
        <w:t xml:space="preserve"> en los que exista </w:t>
      </w:r>
      <w:r w:rsidRPr="00950EBB">
        <w:rPr>
          <w:rFonts w:ascii="Verdana" w:eastAsia="Times New Roman" w:hAnsi="Verdana" w:cs="Arial"/>
          <w:i/>
          <w:iCs/>
          <w:lang w:eastAsia="es-CO"/>
        </w:rPr>
        <w:t>ejecución de recursos públicos</w:t>
      </w:r>
      <w:r w:rsidRPr="00950EBB">
        <w:rPr>
          <w:rFonts w:ascii="Verdana" w:eastAsia="Times New Roman" w:hAnsi="Verdana" w:cs="Arial"/>
          <w:lang w:eastAsia="es-CO"/>
        </w:rPr>
        <w:t xml:space="preserve">, sin importar de que estos sean en dinero o en especie, ya que la norma no distingue. </w:t>
      </w:r>
      <w:r w:rsidRPr="00950EBB">
        <w:rPr>
          <w:rFonts w:ascii="Verdana" w:eastAsia="Times New Roman" w:hAnsi="Verdana" w:cs="Arial"/>
          <w:lang w:val="es-ES" w:eastAsia="es-CO"/>
        </w:rPr>
        <w:t xml:space="preserve">Lo anterior conforme a la directriz interpretativa del artículo 31 del Código Civil, según la cual “Lo favorable u odioso de una disposición no se tomará en cuenta para ampliar o restringir su interpretación. La extensión que deba darse a toda </w:t>
      </w:r>
      <w:r w:rsidRPr="00950EBB">
        <w:rPr>
          <w:rFonts w:ascii="Verdana" w:eastAsia="Times New Roman" w:hAnsi="Verdana" w:cs="Arial"/>
          <w:lang w:val="es-ES" w:eastAsia="es-CO"/>
        </w:rPr>
        <w:lastRenderedPageBreak/>
        <w:t>ley se determinará por su genuino sentido, y según las reglas de interpretación precedentes”</w:t>
      </w:r>
      <w:r w:rsidRPr="00950EBB">
        <w:rPr>
          <w:rStyle w:val="Refdenotaalpie"/>
          <w:rFonts w:ascii="Verdana" w:hAnsi="Verdana" w:cs="Arial"/>
          <w:lang w:val="es-ES"/>
        </w:rPr>
        <w:footnoteReference w:id="14"/>
      </w:r>
      <w:r w:rsidRPr="00950EBB">
        <w:rPr>
          <w:rFonts w:ascii="Verdana" w:eastAsia="Times New Roman" w:hAnsi="Verdana" w:cs="Arial"/>
          <w:lang w:val="es-ES" w:eastAsia="es-CO"/>
        </w:rPr>
        <w:t>.</w:t>
      </w:r>
      <w:r w:rsidRPr="00950EBB">
        <w:rPr>
          <w:rFonts w:ascii="Verdana" w:eastAsia="Times New Roman" w:hAnsi="Verdana" w:cs="Arial"/>
          <w:lang w:eastAsia="es-CO"/>
        </w:rPr>
        <w:t xml:space="preserve"> Por ello, en el Concepto 2201913000006634 del 6 de septiembre de 2019, la Agencia sostuvo que la ejecución de recursos no se agota en el “[…] el dinero que integra el ciclo presupuestal de la entidad […]”, pues “[…] también los bienes muebles, inmuebles y personal hacen parte del concepto de ‘recursos públicos’”.</w:t>
      </w:r>
    </w:p>
    <w:p w14:paraId="1D97D458" w14:textId="77777777" w:rsidR="00996ED4" w:rsidRDefault="00D766A0" w:rsidP="00996ED4">
      <w:pPr>
        <w:spacing w:after="120" w:line="276" w:lineRule="auto"/>
        <w:ind w:firstLine="709"/>
        <w:jc w:val="both"/>
        <w:rPr>
          <w:rFonts w:ascii="Verdana" w:eastAsia="Calibri" w:hAnsi="Verdana" w:cs="Arial"/>
        </w:rPr>
      </w:pPr>
      <w:r w:rsidRPr="00950EBB">
        <w:rPr>
          <w:rFonts w:ascii="Verdana" w:eastAsia="Times New Roman" w:hAnsi="Verdana" w:cs="Arial"/>
          <w:lang w:eastAsia="es-CO"/>
        </w:rPr>
        <w:t xml:space="preserve">De esta manera, conforme a lo dispuesto en la Circular referida, si se suscriben </w:t>
      </w:r>
      <w:r w:rsidRPr="00950EBB">
        <w:rPr>
          <w:rFonts w:ascii="Verdana" w:eastAsia="Times New Roman" w:hAnsi="Verdana" w:cs="Arial"/>
          <w:i/>
          <w:iCs/>
          <w:lang w:eastAsia="es-CO"/>
        </w:rPr>
        <w:t>convenios interadministrativos para la ejecución de recursos públicos</w:t>
      </w:r>
      <w:r w:rsidRPr="00950EBB">
        <w:rPr>
          <w:rFonts w:ascii="Verdana" w:eastAsia="Times New Roman" w:hAnsi="Verdana" w:cs="Arial"/>
          <w:lang w:eastAsia="es-CO"/>
        </w:rPr>
        <w:t xml:space="preserve"> por los alcaldes, gobernadores, secretarios, gerentes y directores de las entidades del orden municipal, departamental o distrital, aplicará la prohibición del parágrafo del artículo 38 </w:t>
      </w:r>
      <w:r w:rsidRPr="00950EBB">
        <w:rPr>
          <w:rFonts w:ascii="Verdana" w:eastAsia="Times New Roman" w:hAnsi="Verdana" w:cs="Arial"/>
          <w:i/>
          <w:iCs/>
          <w:lang w:eastAsia="es-CO"/>
        </w:rPr>
        <w:t>ibidem</w:t>
      </w:r>
      <w:r w:rsidRPr="00950EBB">
        <w:rPr>
          <w:rFonts w:ascii="Verdana" w:eastAsia="Times New Roman" w:hAnsi="Verdana" w:cs="Arial"/>
          <w:lang w:eastAsia="es-CO"/>
        </w:rPr>
        <w:t>, independientemente de que se configure alguno de los supuestos de excepción que señaló el inciso final del artículo 33, es decir, que se trate de:</w:t>
      </w:r>
      <w:r w:rsidRPr="00950EBB">
        <w:rPr>
          <w:rFonts w:ascii="Verdana" w:hAnsi="Verdana" w:cs="Arial"/>
          <w:bCs/>
          <w:lang w:val="es-MX" w:eastAsia="x-none"/>
        </w:rPr>
        <w:t xml:space="preserve"> i) la defensa y seguridad del Estado; ii) los contratos de crédito público; iii) los requeridos para cubrir las emergencias educativas, sanitarias y desastres; </w:t>
      </w:r>
      <w:proofErr w:type="spellStart"/>
      <w:r w:rsidRPr="00950EBB">
        <w:rPr>
          <w:rFonts w:ascii="Verdana" w:hAnsi="Verdana" w:cs="Arial"/>
          <w:bCs/>
          <w:lang w:val="es-MX" w:eastAsia="x-none"/>
        </w:rPr>
        <w:t>iv</w:t>
      </w:r>
      <w:proofErr w:type="spellEnd"/>
      <w:r w:rsidRPr="00950EBB">
        <w:rPr>
          <w:rFonts w:ascii="Verdana" w:hAnsi="Verdana" w:cs="Arial"/>
          <w:bCs/>
          <w:lang w:val="es-MX" w:eastAsia="x-none"/>
        </w:rPr>
        <w:t>) los utilizados para la reconstrucción de vías, puentes, carreteras, infraestructura energética y de comunicaciones, en caso de que hayan sido objeto de atentados, acciones terroristas, desastres naturales o casos de fuerza mayor; y, v) los que deban realizar las entidades sanitarias y hospitalarias.</w:t>
      </w:r>
      <w:r w:rsidRPr="00950EBB">
        <w:rPr>
          <w:rFonts w:ascii="Verdana" w:hAnsi="Verdana" w:cs="Arial"/>
          <w:bCs/>
          <w:lang w:val="es-MX" w:eastAsia="es-CO"/>
        </w:rPr>
        <w:t xml:space="preserve"> </w:t>
      </w:r>
      <w:r w:rsidRPr="00950EBB">
        <w:rPr>
          <w:rFonts w:ascii="Verdana" w:eastAsia="Times New Roman" w:hAnsi="Verdana" w:cs="Arial"/>
          <w:lang w:eastAsia="es-CO"/>
        </w:rPr>
        <w:t xml:space="preserve">  </w:t>
      </w:r>
    </w:p>
    <w:p w14:paraId="4DFAB9ED" w14:textId="244C48F6" w:rsidR="00D766A0" w:rsidRPr="00996ED4" w:rsidRDefault="00D766A0" w:rsidP="00996ED4">
      <w:pPr>
        <w:spacing w:after="120" w:line="276" w:lineRule="auto"/>
        <w:ind w:firstLine="709"/>
        <w:jc w:val="both"/>
        <w:rPr>
          <w:rFonts w:ascii="Verdana" w:eastAsia="Calibri" w:hAnsi="Verdana" w:cs="Arial"/>
          <w:lang w:val="es-ES"/>
        </w:rPr>
      </w:pPr>
      <w:r w:rsidRPr="00950EBB">
        <w:rPr>
          <w:rFonts w:ascii="Verdana" w:eastAsia="Times New Roman" w:hAnsi="Verdana" w:cs="Arial"/>
          <w:lang w:eastAsia="es-CO"/>
        </w:rPr>
        <w:t xml:space="preserve">En este punto, vale la pena destacar que, </w:t>
      </w:r>
      <w:r w:rsidRPr="00950EBB">
        <w:rPr>
          <w:rFonts w:ascii="Verdana" w:eastAsia="Arial" w:hAnsi="Verdana" w:cs="Arial"/>
          <w:lang w:val="es-MX" w:eastAsia="es-ES" w:bidi="es-ES"/>
        </w:rPr>
        <w:t xml:space="preserve">mediante auto de 4 de octubre del 2024, el Consejo de Estado, Subsección C de la Sección Tercera, decretó medida de suspensión provisional parcial del </w:t>
      </w:r>
      <w:r w:rsidRPr="00950EBB">
        <w:rPr>
          <w:rFonts w:ascii="Verdana" w:hAnsi="Verdana" w:cs="Arial"/>
        </w:rPr>
        <w:t>numeral 16.2 de la Circular Externa Única de 2022 expedida por la Agencia Nacional de Contratación Pública – Colombia Compra Eficiente, concretamente, respecto de los siguientes apartes normativos</w:t>
      </w:r>
      <w:r w:rsidRPr="00950EBB">
        <w:rPr>
          <w:rFonts w:ascii="Verdana" w:hAnsi="Verdana" w:cs="Arial"/>
          <w:vertAlign w:val="superscript"/>
        </w:rPr>
        <w:footnoteReference w:id="15"/>
      </w:r>
      <w:r w:rsidRPr="00950EBB">
        <w:rPr>
          <w:rFonts w:ascii="Verdana" w:hAnsi="Verdana" w:cs="Arial"/>
        </w:rPr>
        <w:t xml:space="preserve">: </w:t>
      </w:r>
    </w:p>
    <w:p w14:paraId="26BB92A4" w14:textId="77777777" w:rsidR="00D766A0" w:rsidRPr="00996ED4" w:rsidRDefault="00D766A0" w:rsidP="00996ED4">
      <w:pPr>
        <w:spacing w:after="0" w:line="240" w:lineRule="auto"/>
        <w:ind w:left="709" w:right="709"/>
        <w:jc w:val="both"/>
        <w:rPr>
          <w:rFonts w:ascii="Verdana" w:hAnsi="Verdana" w:cs="Arial"/>
          <w:sz w:val="21"/>
          <w:szCs w:val="21"/>
        </w:rPr>
      </w:pPr>
    </w:p>
    <w:p w14:paraId="04F55361" w14:textId="77777777" w:rsidR="00D766A0" w:rsidRPr="00996ED4" w:rsidRDefault="00D766A0" w:rsidP="00996ED4">
      <w:pPr>
        <w:spacing w:after="0" w:line="240" w:lineRule="auto"/>
        <w:ind w:left="709" w:right="709"/>
        <w:jc w:val="both"/>
        <w:rPr>
          <w:rFonts w:ascii="Verdana" w:hAnsi="Verdana" w:cs="Arial"/>
          <w:sz w:val="21"/>
          <w:szCs w:val="21"/>
        </w:rPr>
      </w:pPr>
      <w:r w:rsidRPr="00996ED4">
        <w:rPr>
          <w:rFonts w:ascii="Verdana" w:hAnsi="Verdana" w:cs="Arial"/>
          <w:sz w:val="21"/>
          <w:szCs w:val="21"/>
          <w:lang w:val="es-MX"/>
        </w:rPr>
        <w:t>“i)</w:t>
      </w:r>
      <w:r w:rsidRPr="00996ED4">
        <w:rPr>
          <w:rFonts w:ascii="Verdana" w:hAnsi="Verdana" w:cs="Arial"/>
          <w:sz w:val="21"/>
          <w:szCs w:val="21"/>
        </w:rPr>
        <w:t xml:space="preserve"> el inciso segundo 2 que dispone: ‘Esta restricción es aplicable tanto a los convenios como a los contratos interadministrativos, toda vez que, al no existir definición legal que diferencie el concepto de convenio del concepto de contrato, la denominación prevista por la Ley 80 de 1993 y la Ley 1150 de 2007 para tal fin se entenderán en el mismo sentido. Es así como el Decreto 1082 de 2015 trata indistintamente a los convenios y contratos interadministrativos, al establecer la contratación directa como la modalidad de selección para la contratación entre entidades públicas a través de estas dos figuras jurídicas’ y, </w:t>
      </w:r>
    </w:p>
    <w:p w14:paraId="528C73BF" w14:textId="77777777" w:rsidR="00D766A0" w:rsidRPr="00996ED4" w:rsidRDefault="00D766A0" w:rsidP="00996ED4">
      <w:pPr>
        <w:spacing w:after="0" w:line="240" w:lineRule="auto"/>
        <w:ind w:left="709" w:right="709"/>
        <w:jc w:val="both"/>
        <w:rPr>
          <w:rFonts w:ascii="Verdana" w:hAnsi="Verdana" w:cs="Arial"/>
          <w:sz w:val="21"/>
          <w:szCs w:val="21"/>
        </w:rPr>
      </w:pPr>
    </w:p>
    <w:p w14:paraId="71415979" w14:textId="77777777" w:rsidR="00D766A0" w:rsidRPr="00996ED4" w:rsidRDefault="00D766A0" w:rsidP="00996ED4">
      <w:pPr>
        <w:spacing w:after="0" w:line="240" w:lineRule="auto"/>
        <w:ind w:left="709" w:right="709"/>
        <w:jc w:val="both"/>
        <w:rPr>
          <w:rFonts w:ascii="Verdana" w:hAnsi="Verdana" w:cs="Arial"/>
          <w:sz w:val="21"/>
          <w:szCs w:val="21"/>
        </w:rPr>
      </w:pPr>
      <w:r w:rsidRPr="00996ED4">
        <w:rPr>
          <w:rFonts w:ascii="Verdana" w:hAnsi="Verdana" w:cs="Arial"/>
          <w:sz w:val="21"/>
          <w:szCs w:val="21"/>
        </w:rPr>
        <w:t xml:space="preserve">ii) la expresión y el siguiente párrafo contenidos en el inciso cuarto ‘contratos’ y ‘En este sentido, la prohibición que establece el parágrafo del artículo 38 de la Ley de Garantías consiste en evitar que los recursos del Estado se ejecuten para lograr apoyos indebidos mediante la suscripción de contratos y/o convenios, que, para efectos de la Ley de Garantías, tienen la misma connotación y propósito”. </w:t>
      </w:r>
    </w:p>
    <w:p w14:paraId="73127728" w14:textId="77777777" w:rsidR="00D766A0" w:rsidRPr="00950EBB" w:rsidRDefault="00D766A0" w:rsidP="00D766A0">
      <w:pPr>
        <w:spacing w:after="0" w:line="276" w:lineRule="auto"/>
        <w:ind w:left="709" w:right="709"/>
        <w:jc w:val="both"/>
        <w:rPr>
          <w:rFonts w:ascii="Verdana" w:hAnsi="Verdana" w:cs="Arial"/>
        </w:rPr>
      </w:pPr>
    </w:p>
    <w:p w14:paraId="267231A5" w14:textId="77777777" w:rsidR="00D766A0" w:rsidRPr="00950EBB" w:rsidRDefault="00D766A0" w:rsidP="00996ED4">
      <w:pPr>
        <w:spacing w:after="120" w:line="276" w:lineRule="auto"/>
        <w:ind w:firstLine="709"/>
        <w:jc w:val="both"/>
        <w:rPr>
          <w:rFonts w:ascii="Verdana" w:eastAsia="Arial" w:hAnsi="Verdana" w:cs="Arial"/>
          <w:i/>
          <w:iCs/>
          <w:lang w:eastAsia="es-ES" w:bidi="es-ES"/>
        </w:rPr>
      </w:pPr>
      <w:r w:rsidRPr="00950EBB">
        <w:rPr>
          <w:rFonts w:ascii="Verdana" w:eastAsia="Arial" w:hAnsi="Verdana" w:cs="Arial"/>
          <w:lang w:val="es-MX" w:eastAsia="es-ES" w:bidi="es-ES"/>
        </w:rPr>
        <w:t xml:space="preserve">De conformidad con los argumentos de dicha providencia, se parte de la distinción entre los conceptos </w:t>
      </w:r>
      <w:r w:rsidRPr="00950EBB">
        <w:rPr>
          <w:rFonts w:ascii="Verdana" w:eastAsia="Arial" w:hAnsi="Verdana" w:cs="Arial"/>
          <w:lang w:eastAsia="es-ES" w:bidi="es-ES"/>
        </w:rPr>
        <w:t>de “convenio” y “contrato” interadministrativos, para diferenciarlos en su naturaleza, contenido y alcance, lo cual ha servido de fundamento para que tanto la Sección Tercera como también la Sala de Consulta y Servicio Civil de esa Corporación hayan realzado la distinción entre uno y otro negocio jurídico.</w:t>
      </w:r>
      <w:r w:rsidRPr="00950EBB">
        <w:rPr>
          <w:rFonts w:ascii="Verdana" w:hAnsi="Verdana"/>
          <w:sz w:val="24"/>
          <w:szCs w:val="24"/>
          <w:lang w:eastAsia="es-CO"/>
        </w:rPr>
        <w:t xml:space="preserve"> </w:t>
      </w:r>
      <w:r w:rsidRPr="00950EBB">
        <w:rPr>
          <w:rFonts w:ascii="Verdana" w:eastAsia="Arial" w:hAnsi="Verdana" w:cs="Arial"/>
          <w:lang w:eastAsia="es-ES" w:bidi="es-ES"/>
        </w:rPr>
        <w:t xml:space="preserve">En este sentido, en relación con el parágrafo del artículo 38 de la Ley 996 de 2005 concluyó que </w:t>
      </w:r>
      <w:r w:rsidRPr="00950EBB">
        <w:rPr>
          <w:rFonts w:ascii="Verdana" w:eastAsia="Arial" w:hAnsi="Verdana" w:cs="Arial"/>
          <w:i/>
          <w:iCs/>
          <w:lang w:eastAsia="es-ES" w:bidi="es-ES"/>
        </w:rPr>
        <w:t xml:space="preserve">“si el legislador no diferenció al establecer la prohibición o la restricción, mal haría el reglamento en aplicar un efecto expansivo o extensivo para incluir una categoría no cobijada con la limitación, (…)”. </w:t>
      </w:r>
      <w:r w:rsidRPr="00950EBB">
        <w:rPr>
          <w:rFonts w:ascii="Verdana" w:eastAsia="Arial" w:hAnsi="Verdana" w:cs="Arial"/>
          <w:lang w:eastAsia="es-ES" w:bidi="es-ES"/>
        </w:rPr>
        <w:t xml:space="preserve">Por tal motivo, para efectos de decretar la medida de suspensión provisional de los apartes señalados del numeral 16.2 de la Circular Externa Única, argumentó que </w:t>
      </w:r>
      <w:r w:rsidRPr="00950EBB">
        <w:rPr>
          <w:rFonts w:ascii="Verdana" w:eastAsia="Arial" w:hAnsi="Verdana" w:cs="Arial"/>
          <w:i/>
          <w:iCs/>
          <w:lang w:eastAsia="es-ES" w:bidi="es-ES"/>
        </w:rPr>
        <w:t>“con independencia del propósito loable o plausible de la disposición ya que, procura que no se usen los recursos estatales para incidir o afectar la contienda electoral, no cabe duda de que la entidad demandada incorporó en la prohibición una categoría que no quedó comprendida expresa e inequívocamente en la ley</w:t>
      </w:r>
      <w:r w:rsidRPr="00950EBB">
        <w:rPr>
          <w:rFonts w:ascii="Verdana" w:eastAsia="Arial" w:hAnsi="Verdana" w:cs="Arial"/>
          <w:lang w:eastAsia="es-ES" w:bidi="es-ES"/>
        </w:rPr>
        <w:t>”</w:t>
      </w:r>
      <w:r w:rsidRPr="00950EBB">
        <w:rPr>
          <w:rFonts w:ascii="Verdana" w:eastAsia="Arial" w:hAnsi="Verdana" w:cs="Arial"/>
          <w:i/>
          <w:iCs/>
          <w:lang w:eastAsia="es-ES" w:bidi="es-ES"/>
        </w:rPr>
        <w:t xml:space="preserve">. </w:t>
      </w:r>
    </w:p>
    <w:p w14:paraId="05E74104" w14:textId="77777777" w:rsidR="00D766A0" w:rsidRPr="00950EBB" w:rsidRDefault="00D766A0" w:rsidP="00996ED4">
      <w:pPr>
        <w:spacing w:after="120" w:line="276" w:lineRule="auto"/>
        <w:ind w:firstLine="709"/>
        <w:jc w:val="both"/>
        <w:rPr>
          <w:rFonts w:ascii="Verdana" w:eastAsia="Arial" w:hAnsi="Verdana" w:cs="Arial"/>
          <w:lang w:eastAsia="es-ES" w:bidi="es-ES"/>
        </w:rPr>
      </w:pPr>
      <w:r w:rsidRPr="00950EBB">
        <w:rPr>
          <w:rFonts w:ascii="Verdana" w:eastAsia="Arial" w:hAnsi="Verdana" w:cs="Arial"/>
          <w:lang w:eastAsia="es-ES" w:bidi="es-ES"/>
        </w:rPr>
        <w:t>De igual manera, mediante auto del 6 de noviembre de 2025, el Consejo de Estado, Subsección A de la Sección Tercera, decretó</w:t>
      </w:r>
      <w:r w:rsidRPr="00950EBB">
        <w:rPr>
          <w:rFonts w:ascii="Verdana" w:eastAsia="Arial" w:hAnsi="Verdana" w:cs="Arial"/>
          <w:b/>
          <w:bCs/>
          <w:lang w:eastAsia="es-ES" w:bidi="es-ES"/>
        </w:rPr>
        <w:t xml:space="preserve"> </w:t>
      </w:r>
      <w:r w:rsidRPr="00950EBB">
        <w:rPr>
          <w:rFonts w:ascii="Verdana" w:eastAsia="Arial" w:hAnsi="Verdana" w:cs="Arial"/>
          <w:lang w:eastAsia="es-ES" w:bidi="es-ES"/>
        </w:rPr>
        <w:t xml:space="preserve">la suspensión provisional de los apartes cuestionados del inciso segundo y del inciso cuarto del numeral 16.2 de la Circular Externa Única, versión 3 del 27 de diciembre de 2023, </w:t>
      </w:r>
      <w:r w:rsidRPr="00950EBB">
        <w:rPr>
          <w:rFonts w:ascii="Verdana" w:eastAsia="Arial" w:hAnsi="Verdana" w:cs="Arial"/>
          <w:lang w:eastAsia="es-ES" w:bidi="es-ES"/>
        </w:rPr>
        <w:lastRenderedPageBreak/>
        <w:t>expedida por la Agencia Nacional de Contratación Pública – Colombia Compra Eficiente relacionados con los contratos interadministrativos</w:t>
      </w:r>
      <w:r w:rsidRPr="00950EBB">
        <w:rPr>
          <w:rFonts w:ascii="Verdana" w:eastAsia="Arial" w:hAnsi="Verdana" w:cs="Arial"/>
          <w:vertAlign w:val="superscript"/>
          <w:lang w:eastAsia="es-ES" w:bidi="es-ES"/>
        </w:rPr>
        <w:footnoteReference w:id="16"/>
      </w:r>
      <w:r w:rsidRPr="00950EBB">
        <w:rPr>
          <w:rFonts w:ascii="Verdana" w:eastAsia="Arial" w:hAnsi="Verdana" w:cs="Arial"/>
          <w:lang w:eastAsia="es-ES" w:bidi="es-ES"/>
        </w:rPr>
        <w:t xml:space="preserve">. Para tales efectos, el alto tribunal resaltó la interpretación restrictiva de las normas que contienen prohibiciones, como la del parágrafo del artículo 38 de la Ley 996 de 2005, por manera que se excluye la analogía legis o iuris y la interpretación extensiva y reiteró los argumentos sobre la diferencia entre contratos y convenios interadministrativos. </w:t>
      </w:r>
    </w:p>
    <w:p w14:paraId="13B5E12A" w14:textId="77777777" w:rsidR="00D766A0" w:rsidRPr="00950EBB" w:rsidRDefault="00D766A0" w:rsidP="00996ED4">
      <w:pPr>
        <w:spacing w:after="120" w:line="276" w:lineRule="auto"/>
        <w:ind w:firstLine="709"/>
        <w:jc w:val="both"/>
        <w:rPr>
          <w:rFonts w:ascii="Verdana" w:eastAsia="Times New Roman" w:hAnsi="Verdana" w:cs="Times New Roman"/>
          <w:lang w:eastAsia="es-ES"/>
        </w:rPr>
      </w:pPr>
      <w:r w:rsidRPr="00950EBB">
        <w:rPr>
          <w:rFonts w:ascii="Verdana" w:eastAsia="Arial" w:hAnsi="Verdana" w:cs="Arial"/>
          <w:lang w:eastAsia="es-ES" w:bidi="es-ES"/>
        </w:rPr>
        <w:t xml:space="preserve">Finalmente, mediante sentencia del 17 de octubre de 2025, emitida por la Sección Tercera del Consejo de Estado, dentro del expediente </w:t>
      </w:r>
      <w:r w:rsidRPr="00950EBB">
        <w:rPr>
          <w:rFonts w:ascii="Verdana" w:eastAsia="Times New Roman" w:hAnsi="Verdana" w:cs="Times New Roman"/>
          <w:lang w:eastAsia="es-ES"/>
        </w:rPr>
        <w:t xml:space="preserve">11001-03-26-000-2023-00139-00, se declaró la nulidad parcial del numeral 16.2 de la Circular Externa Única de 2022 expedida por la Agencia Nacional de Contratación Pública - Colombia Compra Eficiente que indicaba: “Esta restricción es aplicable tanto a los convenios como a los contratos interadministrativos (…)”. </w:t>
      </w:r>
    </w:p>
    <w:p w14:paraId="438BD044" w14:textId="77777777" w:rsidR="00D766A0" w:rsidRPr="00950EBB" w:rsidRDefault="00D766A0" w:rsidP="00996ED4">
      <w:pPr>
        <w:spacing w:after="120" w:line="276" w:lineRule="auto"/>
        <w:ind w:firstLine="709"/>
        <w:jc w:val="both"/>
        <w:rPr>
          <w:rFonts w:ascii="Verdana" w:eastAsia="Times New Roman" w:hAnsi="Verdana" w:cs="Times New Roman"/>
          <w:lang w:eastAsia="es-ES"/>
        </w:rPr>
      </w:pPr>
      <w:r w:rsidRPr="00950EBB">
        <w:rPr>
          <w:rFonts w:ascii="Verdana" w:eastAsia="Times New Roman" w:hAnsi="Verdana" w:cs="Times New Roman"/>
          <w:lang w:eastAsia="es-ES"/>
        </w:rPr>
        <w:t>La anterior decisión se adoptó al considerar que la Agencia excedió su competencia material al incluir contratos en una restricción que la Ley de Garantías Electorales solo previó para convenios, cuando no es posible aplicar por analogía o extensión una norma que establece prohibiciones</w:t>
      </w:r>
      <w:r w:rsidRPr="00950EBB">
        <w:rPr>
          <w:rStyle w:val="Refdenotaalpie"/>
          <w:rFonts w:ascii="Verdana" w:eastAsia="Times New Roman" w:hAnsi="Verdana" w:cs="Times New Roman"/>
          <w:lang w:eastAsia="es-ES"/>
        </w:rPr>
        <w:footnoteReference w:id="17"/>
      </w:r>
      <w:r w:rsidRPr="00950EBB">
        <w:rPr>
          <w:rFonts w:ascii="Verdana" w:eastAsia="Times New Roman" w:hAnsi="Verdana" w:cs="Times New Roman"/>
          <w:lang w:eastAsia="es-ES"/>
        </w:rPr>
        <w:t xml:space="preserve">. Sobre el particular, la Sala concluyó que contratos y convenios interadministrativos son </w:t>
      </w:r>
      <w:r w:rsidRPr="00950EBB">
        <w:rPr>
          <w:rFonts w:ascii="Verdana" w:eastAsia="Times New Roman" w:hAnsi="Verdana" w:cs="Times New Roman"/>
          <w:lang w:eastAsia="es-ES"/>
        </w:rPr>
        <w:lastRenderedPageBreak/>
        <w:t xml:space="preserve">figuras distintas en naturaleza, objeto y efectos, pues mientras los contratos implican obligaciones patrimoniales y contraprestación, los convenios se basan en cooperación sin ánimo económico. Por ello, la restricción legal no podía aplicarse extensivamente a los contratos. </w:t>
      </w:r>
    </w:p>
    <w:p w14:paraId="65C18988" w14:textId="77777777" w:rsidR="00D766A0" w:rsidRPr="00950EBB" w:rsidRDefault="00D766A0" w:rsidP="00996ED4">
      <w:pPr>
        <w:spacing w:after="120" w:line="276" w:lineRule="auto"/>
        <w:ind w:firstLine="709"/>
        <w:jc w:val="both"/>
        <w:rPr>
          <w:rFonts w:ascii="Verdana" w:eastAsia="Times New Roman" w:hAnsi="Verdana" w:cs="Arial"/>
          <w:lang w:eastAsia="es-CO"/>
        </w:rPr>
      </w:pPr>
      <w:r w:rsidRPr="00950EBB">
        <w:rPr>
          <w:rFonts w:ascii="Verdana" w:eastAsia="Times New Roman" w:hAnsi="Verdana" w:cs="Times New Roman"/>
          <w:lang w:eastAsia="es-ES"/>
        </w:rPr>
        <w:t xml:space="preserve">A juicio de la Sala, aunque el propósito de la Circular Externa era legítimo –evitar el uso indebido de recursos en época electoral–, el numeral 16.2. desconoció el alcance literal del artículo 38 de la Ley 996 de 2005 y los límites de la potestad reglamentaria, lo que configuró un vicio de contenido. </w:t>
      </w:r>
      <w:r w:rsidRPr="00950EBB">
        <w:rPr>
          <w:rFonts w:ascii="Verdana" w:eastAsia="Times New Roman" w:hAnsi="Verdana" w:cs="Arial"/>
          <w:lang w:eastAsia="es-CO"/>
        </w:rPr>
        <w:t xml:space="preserve">Así las cosas, a la luz de lo expuesto por el Consejo de Estado, en la sentencia expedida por la Sección Tercera de la Sala de lo Contencioso Administrativo del 17 de octubre de 2025, en los autos del 4 de octubre de 2024 y 6 de noviembre de 2025, no resultaría aplicable la prohibición del parágrafo del artículo 38 de la Ley de Garantías Electorales a los </w:t>
      </w:r>
      <w:r w:rsidRPr="00950EBB">
        <w:rPr>
          <w:rFonts w:ascii="Verdana" w:eastAsia="Times New Roman" w:hAnsi="Verdana" w:cs="Arial"/>
          <w:i/>
          <w:iCs/>
          <w:lang w:eastAsia="es-CO"/>
        </w:rPr>
        <w:t>contratos interadministrativos</w:t>
      </w:r>
      <w:r w:rsidRPr="00950EBB">
        <w:rPr>
          <w:rFonts w:ascii="Verdana" w:eastAsia="Times New Roman" w:hAnsi="Verdana" w:cs="Arial"/>
          <w:lang w:eastAsia="es-CO"/>
        </w:rPr>
        <w:t>, esta prohibición solo aplicaría a los convenios interadministrativos que impliquen la ejecución de recursos públicos</w:t>
      </w:r>
      <w:r w:rsidRPr="00950EBB">
        <w:rPr>
          <w:rStyle w:val="Refdenotaalpie"/>
          <w:rFonts w:ascii="Verdana" w:eastAsia="Times New Roman" w:hAnsi="Verdana" w:cs="Arial"/>
          <w:lang w:eastAsia="es-CO"/>
        </w:rPr>
        <w:footnoteReference w:id="18"/>
      </w:r>
      <w:r w:rsidRPr="00950EBB">
        <w:rPr>
          <w:rFonts w:ascii="Verdana" w:eastAsia="Times New Roman" w:hAnsi="Verdana" w:cs="Arial"/>
          <w:lang w:eastAsia="es-CO"/>
        </w:rPr>
        <w:t xml:space="preserve">. Conforme a lo señalado por el Consejo de Estado, cuando dos entidades públicas celebren un </w:t>
      </w:r>
      <w:r w:rsidRPr="00950EBB">
        <w:rPr>
          <w:rFonts w:ascii="Verdana" w:eastAsia="Times New Roman" w:hAnsi="Verdana" w:cs="Arial"/>
          <w:i/>
          <w:iCs/>
          <w:lang w:eastAsia="es-CO"/>
        </w:rPr>
        <w:t>contrato interadministrativo,</w:t>
      </w:r>
      <w:r w:rsidRPr="00950EBB">
        <w:rPr>
          <w:rFonts w:ascii="Verdana" w:eastAsia="Times New Roman" w:hAnsi="Verdana" w:cs="Arial"/>
          <w:lang w:eastAsia="es-CO"/>
        </w:rPr>
        <w:t xml:space="preserve"> independientemente del objeto, dicho contrato puede suscribirse durante el periodo preelectoral.</w:t>
      </w:r>
    </w:p>
    <w:p w14:paraId="4CC61586" w14:textId="77777777" w:rsidR="00D766A0" w:rsidRPr="00950EBB" w:rsidRDefault="00D766A0" w:rsidP="00996ED4">
      <w:pPr>
        <w:spacing w:after="120" w:line="276" w:lineRule="auto"/>
        <w:ind w:firstLine="709"/>
        <w:jc w:val="both"/>
        <w:rPr>
          <w:rFonts w:ascii="Verdana" w:eastAsia="Times New Roman" w:hAnsi="Verdana" w:cs="Arial"/>
          <w:lang w:eastAsia="es-CO"/>
        </w:rPr>
      </w:pPr>
      <w:r w:rsidRPr="00950EBB">
        <w:rPr>
          <w:rFonts w:ascii="Verdana" w:eastAsia="Times New Roman" w:hAnsi="Verdana" w:cs="Arial"/>
          <w:lang w:eastAsia="es-CO"/>
        </w:rPr>
        <w:t>En este aspecto, se encuentra que la restricción para la celebración de convenios interadministrativos para la ejecución de recursos públicos no puede aludirse a contratantes o contratistas, sino de partes cooperantes o colaboradoras. Así mismo, aplica para cualquier tipo de elección, lo que implica que la restricción del parágrafo del artículo 38</w:t>
      </w:r>
      <w:r w:rsidRPr="00950EBB">
        <w:rPr>
          <w:rFonts w:ascii="Verdana" w:eastAsia="Times New Roman" w:hAnsi="Verdana" w:cs="Arial"/>
          <w:bCs/>
          <w:lang w:val="es-MX" w:eastAsia="x-none"/>
        </w:rPr>
        <w:t xml:space="preserve"> aplica desde el 8 de noviembre de 2025, teniendo en cuenta que la Resolución 02580 del 5 de marzo de 2025 de la Registraduría Nacional del Estado Civil dispuso que las elecciones de senado y cámara se celebrarán el 8 de marzo de 2026. Esta restricción se extiende a las elecciones presidenciales que se celebrarán el 31 de mayo de 2026, así como una posible segunda vuelta tres semanas después, es decir, el 21 de junio de 2026. </w:t>
      </w:r>
    </w:p>
    <w:p w14:paraId="66349DD4" w14:textId="77777777" w:rsidR="00D766A0" w:rsidRPr="00950EBB" w:rsidRDefault="00D766A0" w:rsidP="00996ED4">
      <w:pPr>
        <w:spacing w:after="120" w:line="276" w:lineRule="auto"/>
        <w:ind w:firstLine="709"/>
        <w:jc w:val="both"/>
        <w:rPr>
          <w:rFonts w:ascii="Verdana" w:eastAsia="Calibri" w:hAnsi="Verdana" w:cs="Arial"/>
          <w:lang w:val="es-ES" w:eastAsia="es-ES"/>
        </w:rPr>
      </w:pPr>
      <w:r w:rsidRPr="00950EBB">
        <w:rPr>
          <w:rFonts w:ascii="Verdana" w:eastAsia="Times New Roman" w:hAnsi="Verdana" w:cs="Arial"/>
          <w:lang w:eastAsia="es-CO"/>
        </w:rPr>
        <w:t xml:space="preserve"> No obstante, es importante mencionar que aún se encuentra por definir la demanda </w:t>
      </w:r>
      <w:r w:rsidRPr="00950EBB">
        <w:rPr>
          <w:rFonts w:ascii="Verdana" w:eastAsia="Calibri" w:hAnsi="Verdana" w:cs="Arial"/>
          <w:lang w:val="es-ES" w:eastAsia="es-ES"/>
        </w:rPr>
        <w:t xml:space="preserve">de nulidad simple, identificada con el Radicado número 11001-03-26-000-2025-00016-00, en la cual se cuestiona </w:t>
      </w:r>
      <w:r w:rsidRPr="00950EBB">
        <w:rPr>
          <w:rFonts w:ascii="Verdana" w:eastAsia="Calibri" w:hAnsi="Verdana" w:cs="Arial"/>
          <w:lang w:eastAsia="es-ES"/>
        </w:rPr>
        <w:t xml:space="preserve">parcialmente el numeral 16.2 </w:t>
      </w:r>
      <w:r w:rsidRPr="00950EBB">
        <w:rPr>
          <w:rFonts w:ascii="Verdana" w:eastAsia="Calibri" w:hAnsi="Verdana" w:cs="Arial"/>
          <w:lang w:eastAsia="es-ES"/>
        </w:rPr>
        <w:lastRenderedPageBreak/>
        <w:t>de la Circular Externa Única CCE-EICP-MA-06, Versión 03 del 27 de diciembre de 2023.</w:t>
      </w:r>
      <w:r w:rsidRPr="00950EBB">
        <w:rPr>
          <w:rFonts w:ascii="Verdana" w:eastAsia="Calibri" w:hAnsi="Verdana" w:cs="Arial"/>
          <w:lang w:val="es-ES" w:eastAsia="es-ES"/>
        </w:rPr>
        <w:t xml:space="preserve"> </w:t>
      </w:r>
    </w:p>
    <w:p w14:paraId="0B97BA4A" w14:textId="77777777" w:rsidR="00D766A0" w:rsidRPr="00950EBB" w:rsidRDefault="00D766A0" w:rsidP="00996ED4">
      <w:pPr>
        <w:spacing w:after="120" w:line="276" w:lineRule="auto"/>
        <w:ind w:firstLine="709"/>
        <w:jc w:val="both"/>
        <w:rPr>
          <w:rFonts w:ascii="Verdana" w:hAnsi="Verdana" w:cs="Arial"/>
          <w:bCs/>
          <w:color w:val="000000" w:themeColor="text1"/>
        </w:rPr>
      </w:pPr>
      <w:r w:rsidRPr="00950EBB">
        <w:rPr>
          <w:rFonts w:ascii="Verdana" w:eastAsia="Calibri" w:hAnsi="Verdana" w:cs="Arial"/>
          <w:bCs/>
          <w:color w:val="000000" w:themeColor="text1"/>
        </w:rPr>
        <w:t xml:space="preserve">En torno a la procedencia de la contratación directa por parte de entidades estatales relacionadas al sector salud, es necesario </w:t>
      </w:r>
      <w:r w:rsidRPr="00950EBB">
        <w:rPr>
          <w:rFonts w:ascii="Verdana" w:hAnsi="Verdana" w:cs="Arial"/>
          <w:bCs/>
          <w:color w:val="000000" w:themeColor="text1"/>
        </w:rPr>
        <w:t>analizar el quinto evento exceptuado de la prohibición contemplada en el inciso segundo del artículo 33 de la Ley 996 de 2005, relacionado con la contratación por parte de entidades sanitarias y hospitalarias. Para ello, el artículo 94 de la Ley 100 de 1993 dispone que “la prestación de servicios de salud en forma directa por la nación o por las entidades territoriales, se hará principalmente a través de las Empresas Sociales del Estado, que constituyen una categoría especial de entidad pública descentralizada, con personería jurídica, patrimonio propio y autonomía administrativa, creadas por la Ley o por las asambleas o concejos, según el caso, sometidas al régimen jurídico previsto en este capítulo”.</w:t>
      </w:r>
    </w:p>
    <w:p w14:paraId="56D26E6A" w14:textId="77777777" w:rsidR="00D766A0" w:rsidRPr="00950EBB" w:rsidRDefault="00D766A0" w:rsidP="00996ED4">
      <w:pPr>
        <w:spacing w:after="120" w:line="276" w:lineRule="auto"/>
        <w:ind w:firstLine="709"/>
        <w:jc w:val="both"/>
        <w:rPr>
          <w:rFonts w:ascii="Verdana" w:hAnsi="Verdana" w:cs="Arial"/>
          <w:bCs/>
          <w:color w:val="000000" w:themeColor="text1"/>
        </w:rPr>
      </w:pPr>
    </w:p>
    <w:p w14:paraId="443C2B7E" w14:textId="77777777" w:rsidR="007822C7" w:rsidRPr="006A09E3" w:rsidRDefault="007822C7" w:rsidP="007822C7">
      <w:pPr>
        <w:spacing w:after="120" w:line="276" w:lineRule="auto"/>
        <w:jc w:val="both"/>
        <w:rPr>
          <w:rFonts w:ascii="Verdana" w:eastAsia="Calibri" w:hAnsi="Verdana" w:cs="Arial"/>
          <w:lang w:eastAsia="es-ES"/>
        </w:rPr>
      </w:pPr>
      <w:r w:rsidRPr="006A09E3">
        <w:rPr>
          <w:rFonts w:ascii="Verdana" w:eastAsia="Calibri" w:hAnsi="Verdana" w:cs="Arial"/>
          <w:lang w:eastAsia="es-ES"/>
        </w:rPr>
        <w:t xml:space="preserve">Las restricciones contenidas en el artículo 33 de la Ley 996 de 2005 aplica para “la contratación directa” de todos los entes del Estado, </w:t>
      </w:r>
      <w:r w:rsidRPr="006A09E3">
        <w:rPr>
          <w:rFonts w:ascii="Verdana" w:hAnsi="Verdana" w:cs="Arial"/>
          <w:color w:val="000000" w:themeColor="text1"/>
          <w:lang w:val="es-MX"/>
        </w:rPr>
        <w:t xml:space="preserve">sin distinción del régimen jurídico, forma de organización o naturaleza, su pertenencia a una u otra rama del poder público o su autonomía, e incluso si las entidades estatales tienen régimen especial de contratación y están exceptuadas del ámbito de aplicación del Estatuto General de Contratación de la Administración Pública. </w:t>
      </w:r>
      <w:r w:rsidRPr="006A09E3">
        <w:rPr>
          <w:rFonts w:ascii="Verdana" w:eastAsia="Calibri" w:hAnsi="Verdana" w:cs="Arial"/>
          <w:lang w:eastAsia="es-ES"/>
        </w:rPr>
        <w:t xml:space="preserve"> Se trata de la prohibición de </w:t>
      </w:r>
      <w:r w:rsidRPr="006A09E3">
        <w:rPr>
          <w:rFonts w:ascii="Verdana" w:hAnsi="Verdana" w:cs="Arial"/>
          <w:bCs/>
          <w:lang w:eastAsia="x-none"/>
        </w:rPr>
        <w:t>aquellos contratos en los que no exista un proceso abierto y competitivo.</w:t>
      </w:r>
      <w:r w:rsidRPr="006A09E3">
        <w:rPr>
          <w:rFonts w:ascii="Verdana" w:hAnsi="Verdana" w:cs="Arial"/>
          <w:lang w:eastAsia="x-none"/>
        </w:rPr>
        <w:t xml:space="preserve"> Por lo tanto, no son materia de la prohibición las demás modalidades de selección previstas en la Ley 1150 de 2007, esto es, la licitación pública, el concurso de méritos, la selección abreviada y la contratación de mínima cuantía. Adicionalmente, la celebración de la contratación directa </w:t>
      </w:r>
      <w:r w:rsidRPr="006A09E3">
        <w:rPr>
          <w:rFonts w:ascii="Verdana" w:eastAsia="Calibri" w:hAnsi="Verdana" w:cs="Arial"/>
          <w:lang w:eastAsia="es-ES"/>
        </w:rPr>
        <w:t xml:space="preserve">no se encuentra condicionada por la ejecución de recursos en el marco de los respectivos contratos o el origen de estos, de manera que aplica las restricciones independientemente de que el contrato implique o no la ejecución de recursos o si los recursos destinados son de naturaleza pública o privada. </w:t>
      </w:r>
    </w:p>
    <w:p w14:paraId="535D560A" w14:textId="77777777" w:rsidR="007822C7" w:rsidRPr="006A09E3" w:rsidRDefault="007822C7" w:rsidP="007822C7">
      <w:pPr>
        <w:spacing w:after="120" w:line="276" w:lineRule="auto"/>
        <w:ind w:firstLine="709"/>
        <w:jc w:val="both"/>
        <w:rPr>
          <w:rFonts w:ascii="Verdana" w:eastAsia="Calibri" w:hAnsi="Verdana" w:cs="Arial"/>
          <w:lang w:eastAsia="es-ES"/>
        </w:rPr>
      </w:pPr>
      <w:r w:rsidRPr="006A09E3">
        <w:rPr>
          <w:rFonts w:ascii="Verdana" w:eastAsia="Calibri" w:hAnsi="Verdana" w:cs="Arial"/>
          <w:lang w:eastAsia="es-ES"/>
        </w:rPr>
        <w:t xml:space="preserve">Por su parte, la entidad definirá si la contratación que pretende celebrar se enmarca en alguna de las excepciones definidas en el artículo 33 de la Ley 996 de 2005, esto es, que se pretenda cubrir emergencias sanitarias o los que deban realizar las entidades sanitarias y hospitalarias, de tal manera que las excepciones contempladas no permiten efectuar una interpretación extensiva para incluir otros supuestos. </w:t>
      </w:r>
    </w:p>
    <w:p w14:paraId="3EBAB299" w14:textId="77777777" w:rsidR="007822C7" w:rsidRPr="006A09E3" w:rsidRDefault="007822C7" w:rsidP="007822C7">
      <w:pPr>
        <w:spacing w:after="120" w:line="276" w:lineRule="auto"/>
        <w:ind w:firstLine="709"/>
        <w:jc w:val="both"/>
        <w:rPr>
          <w:rFonts w:ascii="Verdana" w:eastAsia="Calibri" w:hAnsi="Verdana" w:cs="Arial"/>
          <w:lang w:eastAsia="es-ES"/>
        </w:rPr>
      </w:pPr>
      <w:r w:rsidRPr="006A09E3">
        <w:rPr>
          <w:rFonts w:ascii="Verdana" w:eastAsia="Calibri" w:hAnsi="Verdana" w:cs="Arial"/>
          <w:lang w:eastAsia="es-ES"/>
        </w:rPr>
        <w:lastRenderedPageBreak/>
        <w:t>De otro lado, la restricción definida en el artículo 38 de la Ley 996 de 2005 se refiere a la celebración de convenios interadministrativos para la ejecución de recursos públicos, independientemente de que se configuren los supuestos de excepción que señala en artículo 33 de la misma ley. Actualmente las restricciones del artículo 33 y del artículo 38 de la Ley están en curso, de tal manera que los gobernadores, secretarios, gerentes y directores de las entidades del orden municipal, departamental o distrital no podrán no solo celebrar convenios interadministrativos para la ejecución de recursos sino también cualquier contratación directa.</w:t>
      </w:r>
    </w:p>
    <w:p w14:paraId="1B625FD1" w14:textId="77777777" w:rsidR="007822C7" w:rsidRPr="006A09E3" w:rsidRDefault="007822C7" w:rsidP="007822C7">
      <w:pPr>
        <w:spacing w:after="120" w:line="276" w:lineRule="auto"/>
        <w:ind w:firstLine="709"/>
        <w:jc w:val="both"/>
        <w:rPr>
          <w:rFonts w:ascii="Verdana" w:eastAsia="Calibri" w:hAnsi="Verdana" w:cs="Arial"/>
          <w:lang w:eastAsia="es-ES"/>
        </w:rPr>
      </w:pPr>
      <w:r w:rsidRPr="006A09E3">
        <w:rPr>
          <w:rFonts w:ascii="Verdana" w:eastAsia="Calibri" w:hAnsi="Verdana" w:cs="Arial"/>
          <w:lang w:eastAsia="es-ES"/>
        </w:rPr>
        <w:t xml:space="preserve">Por último, la posición definida en las decisiones adoptadas por la Sección Tercera del Consejo de Estado se enmarcó en la imposibilidad de extender la aplicación de la restricción a los contratos interadministrativos que, en vigencia de la prohibición del parágrafo del artículo 38 de la Ley de Garantías Electorales se trata, esto es, en las elecciones distintas a las presidenciales. Específicamente, en la sentencia del 17 de octubre de 2025, el alto tribunal declaró la nulidad parcial del numeral 16.2 de la Circular Externa Única de 2022, por lo tanto, cuando dos entidades públicas celebran un contrato interadministrativo, independientemente del objeto, dicho contrato puede suscribirse durante el periodo preelectoral. </w:t>
      </w:r>
    </w:p>
    <w:p w14:paraId="28028C4D" w14:textId="77777777" w:rsidR="007822C7" w:rsidRPr="0078433B" w:rsidRDefault="007822C7" w:rsidP="007822C7">
      <w:pPr>
        <w:pStyle w:val="paragraph"/>
        <w:shd w:val="clear" w:color="auto" w:fill="FFFFFF"/>
        <w:spacing w:before="0" w:beforeAutospacing="0" w:after="120" w:afterAutospacing="0" w:line="276" w:lineRule="auto"/>
        <w:ind w:firstLine="708"/>
        <w:jc w:val="both"/>
        <w:textAlignment w:val="baseline"/>
        <w:rPr>
          <w:rFonts w:ascii="Verdana" w:eastAsia="Calibri" w:hAnsi="Verdana" w:cs="Arial"/>
          <w:bCs/>
          <w:color w:val="000000" w:themeColor="text1"/>
          <w:sz w:val="22"/>
          <w:szCs w:val="22"/>
        </w:rPr>
      </w:pPr>
      <w:r w:rsidRPr="006A09E3">
        <w:rPr>
          <w:rFonts w:ascii="Verdana" w:eastAsia="Calibri" w:hAnsi="Verdana" w:cs="Arial"/>
          <w:bCs/>
          <w:color w:val="000000" w:themeColor="text1"/>
          <w:sz w:val="22"/>
          <w:szCs w:val="22"/>
        </w:rPr>
        <w:t xml:space="preserve">En torno a la procedencia de la contratación directa por parte de las E.S.E., es necesario </w:t>
      </w:r>
      <w:r w:rsidRPr="006A09E3">
        <w:rPr>
          <w:rFonts w:ascii="Verdana" w:hAnsi="Verdana" w:cs="Arial"/>
          <w:bCs/>
          <w:color w:val="000000" w:themeColor="text1"/>
          <w:sz w:val="22"/>
          <w:szCs w:val="22"/>
        </w:rPr>
        <w:t>analizar el quinto evento exceptuado</w:t>
      </w:r>
      <w:r w:rsidRPr="00EC1732">
        <w:rPr>
          <w:rFonts w:ascii="Verdana" w:hAnsi="Verdana" w:cs="Arial"/>
          <w:bCs/>
          <w:color w:val="000000" w:themeColor="text1"/>
          <w:sz w:val="22"/>
          <w:szCs w:val="22"/>
        </w:rPr>
        <w:t xml:space="preserve"> de la prohibición contemplada en el inciso segundo del artículo 33 de la Ley 996 de 2005, relacionado con la contratación por parte de entidades sanitarias y hospitalarias. Para ello, el artículo 94 de la Ley 100 de 1993 dispone que “la prestación de servicios de salud en forma directa por la nación o por las entidades territoriales, se hará principalmente a través de las Empresas Sociales del Estado, que constituyen una categoría especial de entidad pública descentralizada, con personería jurídica, patrimonio propio y autonomía administrativa, creadas por la Ley o por las asambleas o concejos, según el caso, sometidas al régimen jurídico previsto en este capítulo”.</w:t>
      </w:r>
      <w:r w:rsidRPr="0078433B">
        <w:rPr>
          <w:rFonts w:ascii="Verdana" w:hAnsi="Verdana" w:cs="Arial"/>
          <w:bCs/>
          <w:color w:val="000000" w:themeColor="text1"/>
          <w:sz w:val="22"/>
          <w:szCs w:val="22"/>
        </w:rPr>
        <w:t xml:space="preserve"> </w:t>
      </w:r>
    </w:p>
    <w:p w14:paraId="04CD225E" w14:textId="77777777" w:rsidR="007822C7" w:rsidRPr="00FF007A" w:rsidRDefault="007822C7" w:rsidP="007822C7">
      <w:pPr>
        <w:spacing w:before="120" w:after="120" w:line="276" w:lineRule="auto"/>
        <w:ind w:firstLine="709"/>
        <w:jc w:val="both"/>
        <w:rPr>
          <w:rFonts w:ascii="Verdana" w:eastAsia="Arial" w:hAnsi="Verdana" w:cs="Arial"/>
          <w:bCs/>
          <w:color w:val="000000" w:themeColor="text1"/>
        </w:rPr>
      </w:pPr>
      <w:r w:rsidRPr="00FF007A">
        <w:rPr>
          <w:rFonts w:ascii="Verdana" w:eastAsia="Arial" w:hAnsi="Verdana" w:cs="Arial"/>
          <w:bCs/>
          <w:color w:val="000000" w:themeColor="text1"/>
        </w:rPr>
        <w:t xml:space="preserve">De otro lado, el artículo 2.8.8.1.1.3 del Decreto 780 de 2016, </w:t>
      </w:r>
      <w:r>
        <w:rPr>
          <w:rFonts w:ascii="Verdana" w:eastAsia="Arial" w:hAnsi="Verdana" w:cs="Arial"/>
          <w:bCs/>
          <w:color w:val="000000" w:themeColor="text1"/>
        </w:rPr>
        <w:t>“</w:t>
      </w:r>
      <w:r w:rsidRPr="00FF007A">
        <w:rPr>
          <w:rFonts w:ascii="Verdana" w:eastAsia="Arial" w:hAnsi="Verdana" w:cs="Arial"/>
          <w:bCs/>
          <w:color w:val="000000" w:themeColor="text1"/>
        </w:rPr>
        <w:t>Por medio del cual se expide el Decreto Único Reglamentario del Sector Salud y Protección Social</w:t>
      </w:r>
      <w:r>
        <w:rPr>
          <w:rFonts w:ascii="Verdana" w:eastAsia="Arial" w:hAnsi="Verdana" w:cs="Arial"/>
          <w:bCs/>
          <w:color w:val="000000" w:themeColor="text1"/>
        </w:rPr>
        <w:t>”</w:t>
      </w:r>
      <w:r w:rsidRPr="00FF007A">
        <w:rPr>
          <w:rFonts w:ascii="Verdana" w:eastAsia="Arial" w:hAnsi="Verdana" w:cs="Arial"/>
          <w:bCs/>
          <w:color w:val="000000" w:themeColor="text1"/>
        </w:rPr>
        <w:t xml:space="preserve">, definió a las </w:t>
      </w:r>
      <w:r w:rsidRPr="00FF007A">
        <w:rPr>
          <w:rFonts w:ascii="Verdana" w:eastAsia="Arial" w:hAnsi="Verdana" w:cs="Arial"/>
          <w:bCs/>
          <w:i/>
          <w:iCs/>
          <w:color w:val="000000" w:themeColor="text1"/>
        </w:rPr>
        <w:t>entidades sanitarias</w:t>
      </w:r>
      <w:r w:rsidRPr="00FF007A">
        <w:rPr>
          <w:rFonts w:ascii="Verdana" w:eastAsia="Arial" w:hAnsi="Verdana" w:cs="Arial"/>
          <w:bCs/>
          <w:color w:val="000000" w:themeColor="text1"/>
        </w:rPr>
        <w:t xml:space="preserve"> como</w:t>
      </w:r>
      <w:r>
        <w:rPr>
          <w:rFonts w:ascii="Verdana" w:eastAsia="Arial" w:hAnsi="Verdana" w:cs="Arial"/>
          <w:bCs/>
          <w:color w:val="000000" w:themeColor="text1"/>
        </w:rPr>
        <w:t xml:space="preserve"> las</w:t>
      </w:r>
      <w:r w:rsidRPr="00FF007A">
        <w:rPr>
          <w:rFonts w:ascii="Verdana" w:eastAsia="Arial" w:hAnsi="Verdana" w:cs="Arial"/>
          <w:bCs/>
          <w:color w:val="000000" w:themeColor="text1"/>
        </w:rPr>
        <w:t xml:space="preserve"> “Entidades del Estado que prestan servicios sanitarios o de sanidad con el propósito de preservar la salud humana y la salud pública”. El artículo citado también define las </w:t>
      </w:r>
      <w:r w:rsidRPr="00FF007A">
        <w:rPr>
          <w:rFonts w:ascii="Verdana" w:eastAsia="Arial" w:hAnsi="Verdana" w:cs="Arial"/>
          <w:bCs/>
          <w:i/>
          <w:iCs/>
          <w:color w:val="000000" w:themeColor="text1"/>
        </w:rPr>
        <w:t xml:space="preserve">autoridades </w:t>
      </w:r>
      <w:r w:rsidRPr="00FF007A">
        <w:rPr>
          <w:rFonts w:ascii="Verdana" w:eastAsia="Arial" w:hAnsi="Verdana" w:cs="Arial"/>
          <w:bCs/>
          <w:i/>
          <w:iCs/>
          <w:color w:val="000000" w:themeColor="text1"/>
        </w:rPr>
        <w:lastRenderedPageBreak/>
        <w:t>sanitarias</w:t>
      </w:r>
      <w:r w:rsidRPr="00FF007A">
        <w:rPr>
          <w:rFonts w:ascii="Verdana" w:eastAsia="Arial" w:hAnsi="Verdana" w:cs="Arial"/>
          <w:bCs/>
          <w:color w:val="000000" w:themeColor="text1"/>
        </w:rPr>
        <w:t xml:space="preserve"> como </w:t>
      </w:r>
      <w:r>
        <w:rPr>
          <w:rFonts w:ascii="Verdana" w:eastAsia="Arial" w:hAnsi="Verdana" w:cs="Arial"/>
          <w:bCs/>
          <w:color w:val="000000" w:themeColor="text1"/>
        </w:rPr>
        <w:t xml:space="preserve">las </w:t>
      </w:r>
      <w:r w:rsidRPr="00FF007A">
        <w:rPr>
          <w:rFonts w:ascii="Verdana" w:eastAsia="Arial" w:hAnsi="Verdana" w:cs="Arial"/>
          <w:bCs/>
          <w:color w:val="000000" w:themeColor="text1"/>
        </w:rPr>
        <w:t xml:space="preserve">“Entidades jurídicas de carácter público con atribuciones para ejercer funciones de rectoría, regulación, inspección, vigilancia y control de los sectores público y privado en salud y adoptar medidas de prevención y seguimiento que garanticen la protección de la salud pública”. De esta forma, </w:t>
      </w:r>
      <w:r>
        <w:rPr>
          <w:rFonts w:ascii="Verdana" w:eastAsia="Arial" w:hAnsi="Verdana" w:cs="Arial"/>
          <w:bCs/>
          <w:color w:val="000000" w:themeColor="text1"/>
        </w:rPr>
        <w:t xml:space="preserve">para efectos de la aplicación de la excepción, se debe verificar que se cumplan los requisitos del </w:t>
      </w:r>
      <w:r w:rsidRPr="00FF007A">
        <w:rPr>
          <w:rFonts w:ascii="Verdana" w:eastAsia="Arial" w:hAnsi="Verdana" w:cs="Arial"/>
          <w:bCs/>
          <w:color w:val="000000" w:themeColor="text1"/>
        </w:rPr>
        <w:t xml:space="preserve">artículo 33 de la Ley </w:t>
      </w:r>
      <w:r>
        <w:rPr>
          <w:rFonts w:ascii="Verdana" w:eastAsia="Arial" w:hAnsi="Verdana" w:cs="Arial"/>
          <w:bCs/>
          <w:color w:val="000000" w:themeColor="text1"/>
        </w:rPr>
        <w:t xml:space="preserve">996 de 2005. </w:t>
      </w:r>
    </w:p>
    <w:p w14:paraId="347ACD5D" w14:textId="5F78BE98" w:rsidR="007822C7" w:rsidRPr="00950EBB" w:rsidRDefault="007822C7" w:rsidP="007822C7">
      <w:pPr>
        <w:spacing w:after="120" w:line="276" w:lineRule="auto"/>
        <w:ind w:firstLine="709"/>
        <w:jc w:val="both"/>
        <w:rPr>
          <w:rFonts w:ascii="Verdana" w:hAnsi="Verdana" w:cs="Arial"/>
          <w:bCs/>
          <w:color w:val="000000" w:themeColor="text1"/>
        </w:rPr>
      </w:pPr>
      <w:r>
        <w:rPr>
          <w:rFonts w:ascii="Verdana" w:eastAsia="Arial" w:hAnsi="Verdana" w:cs="Arial"/>
          <w:bCs/>
          <w:color w:val="000000" w:themeColor="text1"/>
        </w:rPr>
        <w:t xml:space="preserve">Teniendo en cuenta lo expuesto, </w:t>
      </w:r>
      <w:r w:rsidRPr="00FF007A">
        <w:rPr>
          <w:rFonts w:ascii="Verdana" w:eastAsia="Arial" w:hAnsi="Verdana" w:cs="Arial"/>
          <w:bCs/>
          <w:color w:val="000000" w:themeColor="text1"/>
        </w:rPr>
        <w:t>la entidad</w:t>
      </w:r>
      <w:r>
        <w:rPr>
          <w:rFonts w:ascii="Verdana" w:eastAsia="Arial" w:hAnsi="Verdana" w:cs="Arial"/>
          <w:bCs/>
          <w:color w:val="000000" w:themeColor="text1"/>
        </w:rPr>
        <w:t>,</w:t>
      </w:r>
      <w:r w:rsidRPr="00FF007A">
        <w:rPr>
          <w:rFonts w:ascii="Verdana" w:eastAsia="Arial" w:hAnsi="Verdana" w:cs="Arial"/>
          <w:bCs/>
          <w:color w:val="000000" w:themeColor="text1"/>
        </w:rPr>
        <w:t xml:space="preserve"> </w:t>
      </w:r>
      <w:r>
        <w:rPr>
          <w:rFonts w:ascii="Verdana" w:eastAsia="Arial" w:hAnsi="Verdana" w:cs="Arial"/>
          <w:bCs/>
          <w:color w:val="000000" w:themeColor="text1"/>
        </w:rPr>
        <w:t xml:space="preserve">previo análisis de las excepciones, podrá proceder en tal sentido y contratar directamente </w:t>
      </w:r>
      <w:r w:rsidRPr="00FF007A">
        <w:rPr>
          <w:rFonts w:ascii="Verdana" w:eastAsia="Arial" w:hAnsi="Verdana" w:cs="Arial"/>
          <w:bCs/>
          <w:color w:val="000000" w:themeColor="text1"/>
        </w:rPr>
        <w:t>a pesar de que haya iniciado el periodo de garantías electorales correspondiente al artículo 33 de la Ley 996 de 2005.</w:t>
      </w:r>
      <w:r>
        <w:rPr>
          <w:rFonts w:ascii="Verdana" w:eastAsia="Arial" w:hAnsi="Verdana" w:cs="Arial"/>
          <w:bCs/>
          <w:color w:val="000000" w:themeColor="text1"/>
        </w:rPr>
        <w:t xml:space="preserve"> </w:t>
      </w:r>
    </w:p>
    <w:p w14:paraId="4F850E42" w14:textId="77777777" w:rsidR="00D766A0" w:rsidRPr="00950EBB" w:rsidRDefault="00D766A0" w:rsidP="00D766A0">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950EBB">
        <w:rPr>
          <w:rFonts w:ascii="Verdana" w:eastAsia="Century Gothic" w:hAnsi="Verdana" w:cs="Century Gothic"/>
          <w:b/>
          <w:bCs/>
        </w:rPr>
        <w:t>Referencias normativas, jurisprudenciales y otras fuentes:</w:t>
      </w:r>
    </w:p>
    <w:p w14:paraId="3E80E054" w14:textId="77777777" w:rsidR="00D766A0" w:rsidRPr="00950EBB" w:rsidRDefault="00D766A0" w:rsidP="00D766A0">
      <w:pPr>
        <w:widowControl w:val="0"/>
        <w:autoSpaceDE w:val="0"/>
        <w:autoSpaceDN w:val="0"/>
        <w:spacing w:after="0" w:line="276" w:lineRule="auto"/>
        <w:jc w:val="both"/>
        <w:rPr>
          <w:rFonts w:ascii="Verdana" w:hAnsi="Verdana" w:cs="Arial"/>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D766A0" w:rsidRPr="00950EBB" w14:paraId="132015F2" w14:textId="77777777" w:rsidTr="00682525">
        <w:trPr>
          <w:trHeight w:val="870"/>
        </w:trPr>
        <w:tc>
          <w:tcPr>
            <w:tcW w:w="8647" w:type="dxa"/>
          </w:tcPr>
          <w:p w14:paraId="712AD4FF" w14:textId="77777777" w:rsidR="00D766A0" w:rsidRPr="00950EBB" w:rsidRDefault="00D766A0" w:rsidP="00682525">
            <w:pPr>
              <w:pStyle w:val="Prrafodelista"/>
              <w:numPr>
                <w:ilvl w:val="0"/>
                <w:numId w:val="17"/>
              </w:numPr>
              <w:spacing w:after="120"/>
              <w:jc w:val="both"/>
              <w:rPr>
                <w:rFonts w:ascii="Verdana" w:hAnsi="Verdana" w:cs="Arial"/>
                <w:lang w:eastAsia="es-ES"/>
              </w:rPr>
            </w:pPr>
            <w:r w:rsidRPr="00950EBB">
              <w:rPr>
                <w:rFonts w:ascii="Verdana" w:hAnsi="Verdana" w:cs="Arial"/>
                <w:lang w:eastAsia="es-ES"/>
              </w:rPr>
              <w:t>Ley 80 de 1993 artículos 41 y 42.</w:t>
            </w:r>
          </w:p>
          <w:p w14:paraId="133A3CB7" w14:textId="77777777" w:rsidR="00D766A0" w:rsidRPr="00950EBB" w:rsidRDefault="00D766A0" w:rsidP="00682525">
            <w:pPr>
              <w:pStyle w:val="Prrafodelista"/>
              <w:numPr>
                <w:ilvl w:val="0"/>
                <w:numId w:val="17"/>
              </w:numPr>
              <w:spacing w:after="120"/>
              <w:jc w:val="both"/>
              <w:rPr>
                <w:rFonts w:ascii="Verdana" w:hAnsi="Verdana" w:cs="Arial"/>
                <w:lang w:eastAsia="es-ES"/>
              </w:rPr>
            </w:pPr>
            <w:r w:rsidRPr="00950EBB">
              <w:rPr>
                <w:rFonts w:ascii="Verdana" w:hAnsi="Verdana" w:cs="Arial"/>
                <w:lang w:eastAsia="es-ES"/>
              </w:rPr>
              <w:t>Ley 1150 de 2007</w:t>
            </w:r>
          </w:p>
          <w:p w14:paraId="3C37F88B" w14:textId="77777777" w:rsidR="00D766A0" w:rsidRPr="00950EBB" w:rsidRDefault="00D766A0" w:rsidP="00682525">
            <w:pPr>
              <w:pStyle w:val="Prrafodelista"/>
              <w:numPr>
                <w:ilvl w:val="0"/>
                <w:numId w:val="17"/>
              </w:numPr>
              <w:spacing w:after="120"/>
              <w:jc w:val="both"/>
              <w:rPr>
                <w:rFonts w:ascii="Verdana" w:hAnsi="Verdana" w:cs="Arial"/>
                <w:lang w:eastAsia="es-ES"/>
              </w:rPr>
            </w:pPr>
            <w:r w:rsidRPr="00950EBB">
              <w:rPr>
                <w:rFonts w:ascii="Verdana" w:hAnsi="Verdana" w:cs="Arial"/>
                <w:lang w:eastAsia="es-ES"/>
              </w:rPr>
              <w:t>Ley 996 de 2005. Artículos 33 y parágrafo del artículo 38.</w:t>
            </w:r>
          </w:p>
          <w:p w14:paraId="4A46D1F3" w14:textId="77777777" w:rsidR="00D766A0" w:rsidRPr="00950EBB" w:rsidRDefault="00D766A0" w:rsidP="00682525">
            <w:pPr>
              <w:pStyle w:val="Prrafodelista"/>
              <w:numPr>
                <w:ilvl w:val="0"/>
                <w:numId w:val="17"/>
              </w:numPr>
              <w:spacing w:after="120"/>
              <w:jc w:val="both"/>
              <w:rPr>
                <w:rFonts w:ascii="Verdana" w:hAnsi="Verdana" w:cs="Arial"/>
                <w:lang w:eastAsia="es-ES"/>
              </w:rPr>
            </w:pPr>
            <w:r w:rsidRPr="00950EBB">
              <w:rPr>
                <w:rFonts w:ascii="Verdana" w:hAnsi="Verdana" w:cs="Arial"/>
                <w:lang w:eastAsia="es-ES"/>
              </w:rPr>
              <w:t>Ley 100 de 1993. Artículos 94, 194.</w:t>
            </w:r>
          </w:p>
          <w:p w14:paraId="19F12EDF" w14:textId="77777777" w:rsidR="00D766A0" w:rsidRPr="00950EBB" w:rsidRDefault="00D766A0" w:rsidP="00682525">
            <w:pPr>
              <w:pStyle w:val="Prrafodelista"/>
              <w:numPr>
                <w:ilvl w:val="0"/>
                <w:numId w:val="17"/>
              </w:numPr>
              <w:spacing w:after="120"/>
              <w:jc w:val="both"/>
              <w:rPr>
                <w:rFonts w:ascii="Verdana" w:hAnsi="Verdana" w:cs="Arial"/>
                <w:lang w:eastAsia="es-ES"/>
              </w:rPr>
            </w:pPr>
            <w:r w:rsidRPr="00950EBB">
              <w:rPr>
                <w:rFonts w:ascii="Verdana" w:eastAsia="Arial" w:hAnsi="Verdana" w:cs="Arial"/>
                <w:bCs/>
                <w:color w:val="000000" w:themeColor="text1"/>
              </w:rPr>
              <w:t>Decreto 780 de 2016. Artículo 2.8.8.1.1.3.</w:t>
            </w:r>
            <w:r w:rsidRPr="00950EBB">
              <w:rPr>
                <w:rFonts w:ascii="Verdana" w:hAnsi="Verdana" w:cs="Arial"/>
                <w:lang w:eastAsia="es-ES"/>
              </w:rPr>
              <w:t xml:space="preserve"> </w:t>
            </w:r>
          </w:p>
          <w:p w14:paraId="549FE173" w14:textId="77777777" w:rsidR="00D766A0" w:rsidRPr="00950EBB" w:rsidRDefault="00D766A0" w:rsidP="00682525">
            <w:pPr>
              <w:pStyle w:val="Prrafodelista"/>
              <w:numPr>
                <w:ilvl w:val="0"/>
                <w:numId w:val="17"/>
              </w:numPr>
              <w:spacing w:after="120"/>
              <w:jc w:val="both"/>
              <w:rPr>
                <w:rFonts w:ascii="Verdana" w:hAnsi="Verdana" w:cs="Arial"/>
                <w:lang w:eastAsia="es-ES"/>
              </w:rPr>
            </w:pPr>
            <w:r w:rsidRPr="00950EBB">
              <w:rPr>
                <w:rFonts w:ascii="Verdana" w:hAnsi="Verdana" w:cs="Arial"/>
                <w:lang w:eastAsia="es-ES"/>
              </w:rPr>
              <w:t xml:space="preserve">Consejo de Estado. Sala de lo Contencioso Administrativo. Sección Primera. Sentencia de 3 de marzo de 2005. Radicado: 25001-23-15-000-2004-00823-01 (PI). C.P: Camilo Arciniegas Andrade. </w:t>
            </w:r>
          </w:p>
          <w:p w14:paraId="1498DAB6" w14:textId="77777777" w:rsidR="00D766A0" w:rsidRPr="00950EBB" w:rsidRDefault="00D766A0" w:rsidP="00682525">
            <w:pPr>
              <w:pStyle w:val="Prrafodelista"/>
              <w:numPr>
                <w:ilvl w:val="0"/>
                <w:numId w:val="17"/>
              </w:numPr>
              <w:spacing w:after="120"/>
              <w:jc w:val="both"/>
              <w:rPr>
                <w:rFonts w:ascii="Verdana" w:hAnsi="Verdana" w:cs="Arial"/>
                <w:lang w:eastAsia="es-ES"/>
              </w:rPr>
            </w:pPr>
            <w:r w:rsidRPr="00950EBB">
              <w:rPr>
                <w:rFonts w:ascii="Verdana" w:hAnsi="Verdana" w:cs="Arial"/>
                <w:lang w:eastAsia="es-ES"/>
              </w:rPr>
              <w:t xml:space="preserve">Consejo de Estado. Sala de lo Contencioso Administrativo. Sección Tercera. Sentencia de 22 de enero de 2002, expediente número 2001-0148-01 </w:t>
            </w:r>
          </w:p>
          <w:p w14:paraId="470B3B1A" w14:textId="77777777" w:rsidR="00D766A0" w:rsidRPr="00950EBB" w:rsidRDefault="00D766A0" w:rsidP="00682525">
            <w:pPr>
              <w:pStyle w:val="Prrafodelista"/>
              <w:numPr>
                <w:ilvl w:val="0"/>
                <w:numId w:val="17"/>
              </w:numPr>
              <w:spacing w:after="120"/>
              <w:jc w:val="both"/>
              <w:rPr>
                <w:rFonts w:ascii="Verdana" w:hAnsi="Verdana" w:cs="Arial"/>
                <w:lang w:eastAsia="es-ES"/>
              </w:rPr>
            </w:pPr>
            <w:r w:rsidRPr="00950EBB">
              <w:rPr>
                <w:rFonts w:ascii="Verdana" w:hAnsi="Verdana" w:cs="Arial"/>
                <w:lang w:eastAsia="es-ES"/>
              </w:rPr>
              <w:t>Consejo de Estado. Sala de lo Contencioso Administrativo. Sección Tercera. Sentencia de 20 de noviembre de 2001, expediente número 2001-0130-01(PI).</w:t>
            </w:r>
          </w:p>
          <w:p w14:paraId="14E73D20" w14:textId="77777777" w:rsidR="00D766A0" w:rsidRPr="00950EBB" w:rsidRDefault="00D766A0" w:rsidP="00682525">
            <w:pPr>
              <w:pStyle w:val="Prrafodelista"/>
              <w:numPr>
                <w:ilvl w:val="0"/>
                <w:numId w:val="17"/>
              </w:numPr>
              <w:spacing w:after="120" w:line="276" w:lineRule="auto"/>
              <w:jc w:val="both"/>
              <w:rPr>
                <w:rFonts w:ascii="Verdana" w:hAnsi="Verdana" w:cs="Arial"/>
                <w:lang w:eastAsia="es-ES"/>
              </w:rPr>
            </w:pPr>
            <w:r w:rsidRPr="00950EBB">
              <w:rPr>
                <w:rFonts w:ascii="Verdana" w:hAnsi="Verdana" w:cs="Arial"/>
                <w:lang w:eastAsia="es-ES"/>
              </w:rPr>
              <w:t>Consejo de Estado. Sala de Consulta y Servicio Civil. Concepto del 18 de febrero 2010. Rad. 11001-03-06-000-2010-00006-00 (1985). C.P. Enrique José Arboleda Perdomo.</w:t>
            </w:r>
          </w:p>
          <w:p w14:paraId="06209E97" w14:textId="77777777" w:rsidR="00D766A0" w:rsidRPr="00950EBB" w:rsidRDefault="00D766A0" w:rsidP="00682525">
            <w:pPr>
              <w:pStyle w:val="Prrafodelista"/>
              <w:numPr>
                <w:ilvl w:val="0"/>
                <w:numId w:val="17"/>
              </w:numPr>
              <w:spacing w:after="120" w:line="276" w:lineRule="auto"/>
              <w:jc w:val="both"/>
              <w:rPr>
                <w:rFonts w:ascii="Verdana" w:hAnsi="Verdana" w:cs="Arial"/>
                <w:lang w:eastAsia="es-ES"/>
              </w:rPr>
            </w:pPr>
            <w:r w:rsidRPr="00950EBB">
              <w:rPr>
                <w:rFonts w:ascii="Verdana" w:hAnsi="Verdana" w:cs="Arial"/>
                <w:lang w:eastAsia="es-ES"/>
              </w:rPr>
              <w:t>Consejo de Estado. Sala de lo Contencioso Administrativo. Sección Tercera. Sentencia del 21 de febrero de 2025. Exp. 68.280. CP: José Roberto Sáchica Méndez.</w:t>
            </w:r>
          </w:p>
          <w:p w14:paraId="2C70AF8B" w14:textId="77777777" w:rsidR="00D766A0" w:rsidRPr="00950EBB" w:rsidRDefault="00D766A0" w:rsidP="00682525">
            <w:pPr>
              <w:pStyle w:val="Prrafodelista"/>
              <w:numPr>
                <w:ilvl w:val="0"/>
                <w:numId w:val="17"/>
              </w:numPr>
              <w:spacing w:after="120" w:line="276" w:lineRule="auto"/>
              <w:jc w:val="both"/>
              <w:rPr>
                <w:rFonts w:ascii="Verdana" w:hAnsi="Verdana" w:cs="Arial"/>
                <w:lang w:eastAsia="es-ES"/>
              </w:rPr>
            </w:pPr>
            <w:r w:rsidRPr="00950EBB">
              <w:rPr>
                <w:rFonts w:ascii="Verdana" w:hAnsi="Verdana"/>
                <w:lang w:val="es-CO"/>
              </w:rPr>
              <w:t>Consejo de Estado. Sala de lo Contencioso Administrativo. Sección Tercera. Subsección B. Auto del 4 de octubre de 2024. Exp. 70.313. C.P: Fredy Ibarra Martínez.</w:t>
            </w:r>
          </w:p>
          <w:p w14:paraId="7A0B332C" w14:textId="77777777" w:rsidR="00D766A0" w:rsidRPr="00950EBB" w:rsidRDefault="00D766A0" w:rsidP="00682525">
            <w:pPr>
              <w:pStyle w:val="Prrafodelista"/>
              <w:numPr>
                <w:ilvl w:val="0"/>
                <w:numId w:val="17"/>
              </w:numPr>
              <w:spacing w:after="120" w:line="276" w:lineRule="auto"/>
              <w:jc w:val="both"/>
              <w:rPr>
                <w:rFonts w:ascii="Verdana" w:hAnsi="Verdana" w:cs="Arial"/>
                <w:lang w:eastAsia="es-ES"/>
              </w:rPr>
            </w:pPr>
            <w:r w:rsidRPr="00950EBB">
              <w:rPr>
                <w:rFonts w:ascii="Verdana" w:hAnsi="Verdana" w:cs="Arial"/>
                <w:lang w:eastAsia="es-ES"/>
              </w:rPr>
              <w:lastRenderedPageBreak/>
              <w:t>Consejo de Estado. Sala de lo Contencioso Administrativo. Sección Tercera. Subsección B. 17 de octubre de 2025. C.P. Fredy Ibarra Martínez.</w:t>
            </w:r>
          </w:p>
          <w:p w14:paraId="1AB70A5C" w14:textId="77777777" w:rsidR="00D766A0" w:rsidRPr="00950EBB" w:rsidRDefault="00D766A0" w:rsidP="00682525">
            <w:pPr>
              <w:pStyle w:val="Prrafodelista"/>
              <w:numPr>
                <w:ilvl w:val="0"/>
                <w:numId w:val="17"/>
              </w:numPr>
              <w:spacing w:after="120" w:line="276" w:lineRule="auto"/>
              <w:jc w:val="both"/>
              <w:rPr>
                <w:rFonts w:ascii="Verdana" w:hAnsi="Verdana" w:cs="Arial"/>
                <w:lang w:eastAsia="es-ES"/>
              </w:rPr>
            </w:pPr>
            <w:r w:rsidRPr="00950EBB">
              <w:rPr>
                <w:rFonts w:ascii="Verdana" w:hAnsi="Verdana" w:cs="Arial"/>
                <w:lang w:eastAsia="es-ES"/>
              </w:rPr>
              <w:t xml:space="preserve">Consejo de Estado. Sala de Consulta y Servicio Civil. Concepto del 12 de junio de 2018. Radicación: 11001-03-06-000-2018-0043-00. (2371). C.P: Oscar Darío Amaya Navas. </w:t>
            </w:r>
          </w:p>
          <w:p w14:paraId="7B152A22" w14:textId="77777777" w:rsidR="00D766A0" w:rsidRPr="00950EBB" w:rsidRDefault="00D766A0" w:rsidP="00682525">
            <w:pPr>
              <w:pStyle w:val="Prrafodelista"/>
              <w:numPr>
                <w:ilvl w:val="0"/>
                <w:numId w:val="17"/>
              </w:numPr>
              <w:spacing w:after="120" w:line="276" w:lineRule="auto"/>
              <w:jc w:val="both"/>
              <w:rPr>
                <w:rFonts w:ascii="Verdana" w:hAnsi="Verdana" w:cs="Arial"/>
                <w:lang w:eastAsia="es-ES"/>
              </w:rPr>
            </w:pPr>
            <w:r w:rsidRPr="00950EBB">
              <w:rPr>
                <w:rFonts w:ascii="Verdana" w:hAnsi="Verdana" w:cs="Arial"/>
                <w:lang w:eastAsia="es-ES"/>
              </w:rPr>
              <w:t>Corte Constitucional. Sentencia C- 1153 de 2005, M.P: Marco Gerardo Monroy Cabra.</w:t>
            </w:r>
            <w:r w:rsidRPr="00950EBB">
              <w:rPr>
                <w:rFonts w:ascii="Verdana" w:hAnsi="Verdana" w:cs="Arial"/>
                <w:lang w:eastAsia="es-ES"/>
              </w:rPr>
              <w:tab/>
            </w:r>
          </w:p>
          <w:p w14:paraId="75FE5BD3" w14:textId="77777777" w:rsidR="00D766A0" w:rsidRPr="00950EBB" w:rsidRDefault="00D766A0" w:rsidP="00682525">
            <w:pPr>
              <w:pStyle w:val="Prrafodelista"/>
              <w:numPr>
                <w:ilvl w:val="0"/>
                <w:numId w:val="17"/>
              </w:numPr>
              <w:spacing w:after="120" w:line="276" w:lineRule="auto"/>
              <w:jc w:val="both"/>
              <w:rPr>
                <w:rFonts w:ascii="Verdana" w:hAnsi="Verdana" w:cs="Arial"/>
                <w:lang w:eastAsia="es-ES"/>
              </w:rPr>
            </w:pPr>
            <w:r w:rsidRPr="00950EBB">
              <w:rPr>
                <w:rFonts w:ascii="Verdana" w:hAnsi="Verdana" w:cs="Arial"/>
                <w:lang w:eastAsia="es-ES"/>
              </w:rPr>
              <w:t>Corte Constitucional. Sentencia C-233 de 4 de abril de 2002. M.P: Álvaro Tafur Galvis.</w:t>
            </w:r>
          </w:p>
          <w:p w14:paraId="3A15A90F" w14:textId="77777777" w:rsidR="00D766A0" w:rsidRPr="00950EBB" w:rsidRDefault="00D766A0" w:rsidP="00682525">
            <w:pPr>
              <w:pStyle w:val="Prrafodelista"/>
              <w:numPr>
                <w:ilvl w:val="0"/>
                <w:numId w:val="17"/>
              </w:numPr>
              <w:spacing w:after="120" w:line="276" w:lineRule="auto"/>
              <w:jc w:val="both"/>
              <w:rPr>
                <w:rFonts w:ascii="Verdana" w:hAnsi="Verdana" w:cs="Arial"/>
                <w:lang w:eastAsia="es-ES"/>
              </w:rPr>
            </w:pPr>
            <w:r w:rsidRPr="00950EBB">
              <w:rPr>
                <w:rFonts w:ascii="Verdana" w:hAnsi="Verdana" w:cs="Arial"/>
                <w:lang w:eastAsia="es-ES"/>
              </w:rPr>
              <w:t>Corte Constitucional. Sentencia C-551 de 9 de julio de 2003. M.P: Eduardo Montealegre Lynnet.</w:t>
            </w:r>
          </w:p>
          <w:p w14:paraId="6C038494" w14:textId="77777777" w:rsidR="00D766A0" w:rsidRPr="00950EBB" w:rsidRDefault="00D766A0" w:rsidP="00682525">
            <w:pPr>
              <w:pStyle w:val="Prrafodelista"/>
              <w:numPr>
                <w:ilvl w:val="0"/>
                <w:numId w:val="17"/>
              </w:numPr>
              <w:spacing w:after="120" w:line="276" w:lineRule="auto"/>
              <w:jc w:val="both"/>
              <w:rPr>
                <w:rFonts w:ascii="Verdana" w:hAnsi="Verdana" w:cs="Arial"/>
                <w:lang w:eastAsia="es-ES"/>
              </w:rPr>
            </w:pPr>
            <w:r w:rsidRPr="00950EBB">
              <w:rPr>
                <w:rFonts w:ascii="Verdana" w:hAnsi="Verdana" w:cs="Arial"/>
                <w:lang w:eastAsia="es-ES"/>
              </w:rPr>
              <w:t xml:space="preserve">Corte Constitucional. Sentencia C-353 de 20 de mayo de 2009. M.P: Jorge Iván Palacio </w:t>
            </w:r>
            <w:proofErr w:type="spellStart"/>
            <w:r w:rsidRPr="00950EBB">
              <w:rPr>
                <w:rFonts w:ascii="Verdana" w:hAnsi="Verdana" w:cs="Arial"/>
                <w:lang w:eastAsia="es-ES"/>
              </w:rPr>
              <w:t>Palacio</w:t>
            </w:r>
            <w:proofErr w:type="spellEnd"/>
            <w:r w:rsidRPr="00950EBB">
              <w:rPr>
                <w:rFonts w:ascii="Verdana" w:hAnsi="Verdana" w:cs="Arial"/>
                <w:lang w:eastAsia="es-ES"/>
              </w:rPr>
              <w:t>.</w:t>
            </w:r>
          </w:p>
          <w:p w14:paraId="5E0223B1" w14:textId="77777777" w:rsidR="00D766A0" w:rsidRPr="00950EBB" w:rsidRDefault="00D766A0" w:rsidP="00682525">
            <w:pPr>
              <w:pStyle w:val="Prrafodelista"/>
              <w:numPr>
                <w:ilvl w:val="0"/>
                <w:numId w:val="17"/>
              </w:numPr>
              <w:spacing w:after="120" w:line="276" w:lineRule="auto"/>
              <w:jc w:val="both"/>
              <w:rPr>
                <w:rFonts w:ascii="Verdana" w:hAnsi="Verdana" w:cs="Arial"/>
                <w:lang w:eastAsia="es-ES"/>
              </w:rPr>
            </w:pPr>
            <w:r w:rsidRPr="00950EBB">
              <w:rPr>
                <w:rFonts w:ascii="Verdana" w:hAnsi="Verdana"/>
              </w:rPr>
              <w:t xml:space="preserve">Agencia Nacional de Contratación Pública. Circular Externa 006 del 25 de septiembre de 2025. Disponible en </w:t>
            </w:r>
            <w:hyperlink r:id="rId13" w:history="1">
              <w:r w:rsidRPr="00950EBB">
                <w:rPr>
                  <w:rStyle w:val="Hipervnculo"/>
                  <w:rFonts w:ascii="Verdana" w:hAnsi="Verdana"/>
                  <w:lang w:val="es-CO"/>
                </w:rPr>
                <w:t>006-de-2025-Circular-Externa-L996-ajustado-comentarios-BM-BID-Rev-ARSC-V3.d-1.pdf</w:t>
              </w:r>
            </w:hyperlink>
          </w:p>
        </w:tc>
      </w:tr>
    </w:tbl>
    <w:p w14:paraId="50F693D2" w14:textId="77777777" w:rsidR="00D766A0" w:rsidRPr="00950EBB" w:rsidRDefault="00D766A0" w:rsidP="00D766A0">
      <w:pPr>
        <w:widowControl w:val="0"/>
        <w:autoSpaceDE w:val="0"/>
        <w:autoSpaceDN w:val="0"/>
        <w:spacing w:after="0" w:line="276" w:lineRule="auto"/>
        <w:jc w:val="both"/>
        <w:rPr>
          <w:rFonts w:ascii="Verdana" w:hAnsi="Verdana" w:cs="Arial"/>
        </w:rPr>
      </w:pPr>
    </w:p>
    <w:p w14:paraId="1E91ADE4" w14:textId="77777777" w:rsidR="00D766A0" w:rsidRPr="00950EBB" w:rsidRDefault="00D766A0" w:rsidP="00D766A0">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950EBB">
        <w:rPr>
          <w:rFonts w:ascii="Verdana" w:eastAsia="Century Gothic" w:hAnsi="Verdana" w:cs="Century Gothic"/>
          <w:b/>
          <w:bCs/>
        </w:rPr>
        <w:t>Doctrina de la Agencia Nacional de Contratación Pública:</w:t>
      </w:r>
    </w:p>
    <w:p w14:paraId="55C8CC0F" w14:textId="77777777" w:rsidR="00D766A0" w:rsidRPr="00950EBB" w:rsidRDefault="00D766A0" w:rsidP="00D766A0">
      <w:pPr>
        <w:widowControl w:val="0"/>
        <w:autoSpaceDE w:val="0"/>
        <w:autoSpaceDN w:val="0"/>
        <w:spacing w:after="0" w:line="276" w:lineRule="auto"/>
        <w:jc w:val="both"/>
        <w:rPr>
          <w:rFonts w:ascii="Verdana" w:hAnsi="Verdana" w:cs="Arial"/>
        </w:rPr>
      </w:pPr>
    </w:p>
    <w:p w14:paraId="13493930" w14:textId="77777777" w:rsidR="00D766A0" w:rsidRPr="00950EBB" w:rsidRDefault="00D766A0" w:rsidP="00D766A0">
      <w:pPr>
        <w:widowControl w:val="0"/>
        <w:autoSpaceDE w:val="0"/>
        <w:autoSpaceDN w:val="0"/>
        <w:spacing w:after="0" w:line="276" w:lineRule="auto"/>
        <w:jc w:val="both"/>
        <w:rPr>
          <w:rFonts w:ascii="Verdana" w:hAnsi="Verdana" w:cs="Arial"/>
          <w:color w:val="000000" w:themeColor="text1"/>
          <w:shd w:val="clear" w:color="auto" w:fill="FFFFFF"/>
          <w:lang w:val="es-ES"/>
        </w:rPr>
      </w:pPr>
      <w:r w:rsidRPr="00950EBB">
        <w:rPr>
          <w:rFonts w:ascii="Verdana" w:hAnsi="Verdana" w:cs="Arial"/>
          <w:shd w:val="clear" w:color="auto" w:fill="FFFFFF"/>
        </w:rPr>
        <w:t xml:space="preserve">Esta Subdirección se ha referido sobre la Ley de Garantías Electorales en los conceptos con radicado 4201913000006306 del 21 de octubre de 2019, 4201912000006552 del 07 de noviembre de 2019, 4201913000006604 del 17 de diciembre de 2019,  C-227 del 24 de mayo de 2021 y 396 del 13 de agosto de 2021, C-439 del 27 de agosto de 2021, C-456 del 3 de septiembre, C-481 del 9 de septiembre de 2021, C- 528 del 27 de septiembre de 2021, C-550 del 5 de octubre de 2021, C-523 del 10 de octubre de 2021, C-606 del 28 de octubre de 2021, C-614 del 2 de noviembre de 2021, C-636 del 16 de noviembre de 2021, C-681 del 7 de diciembre de 2021, C-686 del 21 de diciembre de 2021, C-697 del 3 de enero de 2022, C-180 del 21 de marzo de 2025, C-317 del 25 de abril de 2025, C-510 del 4 de junio de 2025, C -635 del 27 de junio de 2025, C–750 de 17 de julio 2025, C-868 del 12 de agosto de 2025, C-1124 del 18 de septiembre de 2025, C-1491 del 20 de noviembre de 2025, C- 1492 del </w:t>
      </w:r>
      <w:r w:rsidRPr="00950EBB">
        <w:rPr>
          <w:rFonts w:ascii="Verdana" w:hAnsi="Verdana"/>
        </w:rPr>
        <w:t>21 de noviembre del 2025, C-1629, C-1646 del 17 de diciembre de 2025, C-1662 del 22 de diciembre de 2025</w:t>
      </w:r>
      <w:r w:rsidRPr="00950EBB">
        <w:rPr>
          <w:rStyle w:val="normaltextrun"/>
          <w:rFonts w:ascii="Verdana" w:hAnsi="Verdana" w:cs="Arial"/>
          <w:shd w:val="clear" w:color="auto" w:fill="FFFFFF"/>
          <w:lang w:val="es-ES"/>
        </w:rPr>
        <w:t>, C-160 del 24 de febrero de 2026, C-108 del 4 de marzo de 2026, entre otros.</w:t>
      </w:r>
      <w:r w:rsidRPr="00950EBB">
        <w:rPr>
          <w:rFonts w:ascii="Verdana" w:hAnsi="Verdana" w:cs="Arial"/>
          <w:shd w:val="clear" w:color="auto" w:fill="FFFFFF"/>
          <w:lang w:val="es-ES"/>
        </w:rPr>
        <w:t xml:space="preserve"> </w:t>
      </w:r>
      <w:r w:rsidRPr="00950EBB">
        <w:rPr>
          <w:rFonts w:ascii="Verdana" w:hAnsi="Verdana" w:cs="Arial"/>
        </w:rPr>
        <w:t xml:space="preserve">Estos y otros </w:t>
      </w:r>
      <w:r w:rsidRPr="00950EBB">
        <w:rPr>
          <w:rFonts w:ascii="Verdana" w:hAnsi="Verdana"/>
        </w:rPr>
        <w:t xml:space="preserve">conceptos se encuentran disponibles </w:t>
      </w:r>
      <w:r w:rsidRPr="00950EBB">
        <w:rPr>
          <w:rFonts w:ascii="Verdana" w:hAnsi="Verdana"/>
        </w:rPr>
        <w:lastRenderedPageBreak/>
        <w:t>para consulta en el Sistema de relatoría de la Agencia, al cual se puede acceder a través del siguiente enlace:</w:t>
      </w:r>
      <w:r w:rsidRPr="00950EBB">
        <w:rPr>
          <w:rFonts w:ascii="Verdana" w:hAnsi="Verdana" w:cs="Arial"/>
          <w:shd w:val="clear" w:color="auto" w:fill="FFFFFF"/>
        </w:rPr>
        <w:t xml:space="preserve"> </w:t>
      </w:r>
      <w:hyperlink r:id="rId14" w:history="1">
        <w:r w:rsidRPr="00950EBB">
          <w:rPr>
            <w:rStyle w:val="Hipervnculo"/>
            <w:rFonts w:ascii="Verdana" w:hAnsi="Verdana" w:cs="Arial"/>
            <w:shd w:val="clear" w:color="auto" w:fill="FFFFFF"/>
          </w:rPr>
          <w:t>https://relatoria.colombiacompra.gov.co/busqueda/conceptos</w:t>
        </w:r>
      </w:hyperlink>
      <w:r w:rsidRPr="00950EBB">
        <w:rPr>
          <w:rStyle w:val="Hipervnculo"/>
          <w:rFonts w:ascii="Verdana" w:hAnsi="Verdana"/>
        </w:rPr>
        <w:t>.</w:t>
      </w:r>
      <w:r w:rsidRPr="00950EBB">
        <w:rPr>
          <w:rStyle w:val="normaltextrun"/>
          <w:rFonts w:ascii="Verdana" w:hAnsi="Verdana" w:cs="Arial"/>
          <w:color w:val="000000" w:themeColor="text1"/>
          <w:shd w:val="clear" w:color="auto" w:fill="FFFFFF"/>
        </w:rPr>
        <w:t xml:space="preserve"> </w:t>
      </w:r>
      <w:r w:rsidRPr="00950EBB">
        <w:rPr>
          <w:rStyle w:val="normaltextrun"/>
          <w:rFonts w:ascii="Verdana" w:hAnsi="Verdana" w:cs="Arial"/>
          <w:color w:val="000000" w:themeColor="text1"/>
          <w:shd w:val="clear" w:color="auto" w:fill="FFFFFF"/>
          <w:lang w:val="es-ES"/>
        </w:rPr>
        <w:t xml:space="preserve"> </w:t>
      </w:r>
    </w:p>
    <w:p w14:paraId="4CD6ADBE" w14:textId="77777777" w:rsidR="00CE60CA" w:rsidRDefault="00CE60CA" w:rsidP="30821638">
      <w:pPr>
        <w:spacing w:after="0"/>
        <w:rPr>
          <w:rFonts w:ascii="Verdana" w:eastAsia="Verdana" w:hAnsi="Verdana" w:cs="Verdana"/>
          <w:lang w:val="es-ES"/>
        </w:rPr>
      </w:pPr>
    </w:p>
    <w:p w14:paraId="2B491521" w14:textId="77777777" w:rsidR="001E6F10" w:rsidRPr="009A385A" w:rsidRDefault="001E6F10" w:rsidP="001E6F10">
      <w:pPr>
        <w:spacing w:after="0" w:line="276" w:lineRule="auto"/>
        <w:jc w:val="both"/>
        <w:rPr>
          <w:rFonts w:ascii="Verdana" w:hAnsi="Verdana"/>
        </w:rPr>
      </w:pPr>
      <w:r w:rsidRPr="009A385A">
        <w:rPr>
          <w:rFonts w:ascii="Verdana" w:hAnsi="Verdana"/>
        </w:rPr>
        <w:t xml:space="preserve">La sostenibilidad no es una opción, es una </w:t>
      </w:r>
      <w:r>
        <w:rPr>
          <w:rFonts w:ascii="Verdana" w:hAnsi="Verdana"/>
        </w:rPr>
        <w:t>obligación</w:t>
      </w:r>
      <w:r w:rsidRPr="009A385A">
        <w:rPr>
          <w:rFonts w:ascii="Verdana" w:hAnsi="Verdana"/>
        </w:rPr>
        <w:t xml:space="preserve">. Por ello, la Agencia Nacional de Contratación Pública –Colombia Compra Eficiente– te invita a realizar el </w:t>
      </w:r>
      <w:r w:rsidRPr="009A385A">
        <w:rPr>
          <w:rFonts w:ascii="Verdana" w:hAnsi="Verdana"/>
          <w:b/>
          <w:bCs/>
        </w:rPr>
        <w:t>Curso de Contratación Pública Sostenible y Socialmente Responsable</w:t>
      </w:r>
      <w:r w:rsidRPr="009A385A">
        <w:rPr>
          <w:rFonts w:ascii="Verdana" w:hAnsi="Verdana"/>
        </w:rPr>
        <w:t xml:space="preserve">, una herramienta clave para fortalecer las capacidades de todos los </w:t>
      </w:r>
      <w:r>
        <w:rPr>
          <w:rFonts w:ascii="Verdana" w:hAnsi="Verdana"/>
        </w:rPr>
        <w:t xml:space="preserve">compradores públicos, proveedores, servidores públicos v para </w:t>
      </w:r>
      <w:r w:rsidRPr="009A385A">
        <w:rPr>
          <w:rFonts w:ascii="Verdana" w:hAnsi="Verdana"/>
        </w:rPr>
        <w:t>generar mayor valor público. Accede al curso</w:t>
      </w:r>
      <w:r>
        <w:rPr>
          <w:rFonts w:ascii="Verdana" w:hAnsi="Verdana"/>
        </w:rPr>
        <w:t xml:space="preserve"> y aprende como implementar criterios sociales y ambientales en las diferentes etapas del proceso de contratación</w:t>
      </w:r>
      <w:r w:rsidRPr="009A385A">
        <w:rPr>
          <w:rFonts w:ascii="Verdana" w:hAnsi="Verdana"/>
        </w:rPr>
        <w:t>:</w:t>
      </w:r>
      <w:r w:rsidRPr="009A385A">
        <w:rPr>
          <w:rFonts w:ascii="Verdana" w:hAnsi="Verdana"/>
        </w:rPr>
        <w:br/>
      </w:r>
      <w:hyperlink r:id="rId15" w:tgtFrame="_new" w:history="1">
        <w:r w:rsidRPr="009A385A">
          <w:rPr>
            <w:rStyle w:val="Hipervnculo"/>
            <w:rFonts w:ascii="Verdana" w:hAnsi="Verdana"/>
          </w:rPr>
          <w:t>https://formacionvirtual.colombiacompra.gov.co/mod/page/view.php?id=3718</w:t>
        </w:r>
      </w:hyperlink>
    </w:p>
    <w:p w14:paraId="2DBC5873" w14:textId="77777777" w:rsidR="001E6F10" w:rsidRDefault="001E6F10" w:rsidP="001E6F10">
      <w:pPr>
        <w:spacing w:after="0" w:line="276" w:lineRule="auto"/>
        <w:jc w:val="both"/>
        <w:rPr>
          <w:rFonts w:ascii="Verdana" w:hAnsi="Verdana"/>
        </w:rPr>
      </w:pPr>
      <w:r>
        <w:rPr>
          <w:rFonts w:ascii="Verdana" w:hAnsi="Verdana"/>
        </w:rPr>
        <w:t>De otro lado, te contamos que</w:t>
      </w:r>
      <w:r w:rsidRPr="00B36954">
        <w:rPr>
          <w:rFonts w:ascii="Verdana" w:hAnsi="Verdana"/>
        </w:rPr>
        <w:t xml:space="preserve"> </w:t>
      </w:r>
      <w:r>
        <w:rPr>
          <w:rFonts w:ascii="Verdana" w:hAnsi="Verdana"/>
        </w:rPr>
        <w:t>esta</w:t>
      </w:r>
      <w:r w:rsidRPr="00B36954">
        <w:rPr>
          <w:rFonts w:ascii="Verdana" w:hAnsi="Verdana"/>
        </w:rPr>
        <w:t xml:space="preserve"> Agencia </w:t>
      </w:r>
      <w:r>
        <w:rPr>
          <w:rFonts w:ascii="Verdana" w:hAnsi="Verdana"/>
        </w:rPr>
        <w:t xml:space="preserve">ha </w:t>
      </w:r>
      <w:r w:rsidRPr="00635F16">
        <w:rPr>
          <w:rFonts w:ascii="Verdana" w:hAnsi="Verdana"/>
        </w:rPr>
        <w:t xml:space="preserve">da un paso decisivo en la estandarización y modernización del </w:t>
      </w:r>
      <w:r w:rsidRPr="009A385A">
        <w:rPr>
          <w:rFonts w:ascii="Verdana" w:hAnsi="Verdana"/>
          <w:b/>
          <w:bCs/>
        </w:rPr>
        <w:t>sector  social</w:t>
      </w:r>
      <w:r w:rsidRPr="00635F16">
        <w:rPr>
          <w:rFonts w:ascii="Verdana" w:hAnsi="Verdana"/>
        </w:rPr>
        <w:t xml:space="preserve"> con la expedición de las </w:t>
      </w:r>
      <w:r w:rsidRPr="009A385A">
        <w:rPr>
          <w:rFonts w:ascii="Verdana" w:hAnsi="Verdana"/>
          <w:b/>
          <w:bCs/>
        </w:rPr>
        <w:t>Resoluciones 539, 540, 541, 952 y 953 de 2025</w:t>
      </w:r>
      <w:r w:rsidRPr="00635F16">
        <w:rPr>
          <w:rFonts w:ascii="Verdana" w:hAnsi="Verdana"/>
        </w:rPr>
        <w:t xml:space="preserve">, </w:t>
      </w:r>
      <w:r w:rsidRPr="009A385A">
        <w:rPr>
          <w:rFonts w:ascii="Verdana" w:hAnsi="Verdana"/>
          <w:b/>
          <w:bCs/>
        </w:rPr>
        <w:t>mediante las cuales adopt</w:t>
      </w:r>
      <w:r>
        <w:rPr>
          <w:rFonts w:ascii="Verdana" w:hAnsi="Verdana"/>
          <w:b/>
          <w:bCs/>
        </w:rPr>
        <w:t>ó</w:t>
      </w:r>
      <w:r w:rsidRPr="009A385A">
        <w:rPr>
          <w:rFonts w:ascii="Verdana" w:hAnsi="Verdana"/>
          <w:b/>
          <w:bCs/>
        </w:rPr>
        <w:t xml:space="preserve"> Documentos Tipo</w:t>
      </w:r>
      <w:r w:rsidRPr="00635F16">
        <w:rPr>
          <w:rFonts w:ascii="Verdana" w:hAnsi="Verdana"/>
        </w:rPr>
        <w:t xml:space="preserve"> para</w:t>
      </w:r>
      <w:r>
        <w:rPr>
          <w:rFonts w:ascii="Verdana" w:hAnsi="Verdana"/>
        </w:rPr>
        <w:t xml:space="preserve"> las modalidades de selección </w:t>
      </w:r>
      <w:r w:rsidRPr="007D7084">
        <w:rPr>
          <w:rFonts w:ascii="Verdana" w:hAnsi="Verdana"/>
        </w:rPr>
        <w:t>de</w:t>
      </w:r>
      <w:r w:rsidRPr="009A385A">
        <w:rPr>
          <w:rFonts w:ascii="Verdana" w:hAnsi="Verdana"/>
          <w:b/>
          <w:bCs/>
        </w:rPr>
        <w:t xml:space="preserve"> licitación pública (versión 2), selección abreviada de menor cuantía, mínima cuantía, consultoría e interventoría</w:t>
      </w:r>
      <w:r w:rsidRPr="00635F16">
        <w:rPr>
          <w:rFonts w:ascii="Verdana" w:hAnsi="Verdana"/>
        </w:rPr>
        <w:t>, promoviendo procesos más transparentes, eficientes  competitivos</w:t>
      </w:r>
      <w:r>
        <w:rPr>
          <w:rFonts w:ascii="Verdana" w:hAnsi="Verdana"/>
        </w:rPr>
        <w:t xml:space="preserve"> y sostenibles</w:t>
      </w:r>
      <w:r w:rsidRPr="00635F16">
        <w:rPr>
          <w:rFonts w:ascii="Verdana" w:hAnsi="Verdana"/>
        </w:rPr>
        <w:t xml:space="preserve"> en sectores estratégicos como educación, salud, cultura, recreación</w:t>
      </w:r>
      <w:r>
        <w:rPr>
          <w:rFonts w:ascii="Verdana" w:hAnsi="Verdana"/>
        </w:rPr>
        <w:t xml:space="preserve">, </w:t>
      </w:r>
      <w:r w:rsidRPr="00635F16">
        <w:rPr>
          <w:rFonts w:ascii="Verdana" w:hAnsi="Verdana"/>
        </w:rPr>
        <w:t xml:space="preserve">deporte, institucional y vivienda. Consulta y descarga los documentos aquí: </w:t>
      </w:r>
      <w:hyperlink r:id="rId16" w:tgtFrame="_new" w:history="1">
        <w:r w:rsidRPr="00635F16">
          <w:rPr>
            <w:rStyle w:val="Hipervnculo"/>
            <w:rFonts w:ascii="Verdana" w:hAnsi="Verdana"/>
          </w:rPr>
          <w:t>https://www.colombiacompra.gov.co/normativa-y-relatoria/documentos-tipo</w:t>
        </w:r>
      </w:hyperlink>
    </w:p>
    <w:p w14:paraId="2D99F5DE" w14:textId="77777777" w:rsidR="001E6F10" w:rsidRPr="00C25CDD" w:rsidRDefault="001E6F10" w:rsidP="001E6F10">
      <w:pPr>
        <w:spacing w:after="0" w:line="276" w:lineRule="auto"/>
        <w:jc w:val="both"/>
        <w:rPr>
          <w:rFonts w:ascii="Verdana" w:hAnsi="Verdana"/>
        </w:rPr>
      </w:pPr>
    </w:p>
    <w:p w14:paraId="067A0112" w14:textId="77777777" w:rsidR="001E6F10" w:rsidRDefault="001E6F10" w:rsidP="001E6F10">
      <w:pPr>
        <w:spacing w:after="0" w:line="276" w:lineRule="auto"/>
        <w:jc w:val="both"/>
        <w:rPr>
          <w:rFonts w:ascii="Verdana" w:hAnsi="Verdana"/>
        </w:rPr>
      </w:pPr>
      <w:r>
        <w:rPr>
          <w:rFonts w:ascii="Verdana" w:hAnsi="Verdana"/>
        </w:rPr>
        <w:t>Si quieres conocer más sobre la aplicación de Documentos Tipo</w:t>
      </w:r>
      <w:r w:rsidRPr="009A385A">
        <w:rPr>
          <w:rFonts w:ascii="Verdana" w:hAnsi="Verdana"/>
        </w:rPr>
        <w:t xml:space="preserve"> </w:t>
      </w:r>
      <w:r>
        <w:rPr>
          <w:rFonts w:ascii="Verdana" w:hAnsi="Verdana"/>
        </w:rPr>
        <w:t xml:space="preserve">puedes </w:t>
      </w:r>
      <w:r w:rsidRPr="00797327">
        <w:rPr>
          <w:rFonts w:ascii="Verdana" w:hAnsi="Verdana"/>
        </w:rPr>
        <w:t>consulta</w:t>
      </w:r>
      <w:r>
        <w:rPr>
          <w:rFonts w:ascii="Verdana" w:hAnsi="Verdana"/>
        </w:rPr>
        <w:t>r</w:t>
      </w:r>
      <w:r w:rsidRPr="009A385A">
        <w:rPr>
          <w:rFonts w:ascii="Verdana" w:hAnsi="Verdana"/>
        </w:rPr>
        <w:t xml:space="preserve"> la</w:t>
      </w:r>
      <w:r w:rsidRPr="00797327">
        <w:rPr>
          <w:rFonts w:ascii="Verdana" w:hAnsi="Verdana"/>
        </w:rPr>
        <w:t xml:space="preserve"> última versión de la</w:t>
      </w:r>
      <w:r w:rsidRPr="009A385A">
        <w:rPr>
          <w:rFonts w:ascii="Verdana" w:hAnsi="Verdana"/>
        </w:rPr>
        <w:t xml:space="preserve"> </w:t>
      </w:r>
      <w:r w:rsidRPr="009A385A">
        <w:rPr>
          <w:rFonts w:ascii="Verdana" w:hAnsi="Verdana"/>
          <w:b/>
          <w:bCs/>
        </w:rPr>
        <w:t>Guía para la comprensión e implementación de los Documentos Tipo de obra pública de infraestructura de transporte</w:t>
      </w:r>
      <w:r w:rsidRPr="00797327">
        <w:rPr>
          <w:rFonts w:ascii="Verdana" w:hAnsi="Verdana"/>
        </w:rPr>
        <w:t xml:space="preserve">. En </w:t>
      </w:r>
      <w:r>
        <w:rPr>
          <w:rFonts w:ascii="Verdana" w:hAnsi="Verdana"/>
        </w:rPr>
        <w:t xml:space="preserve">esta </w:t>
      </w:r>
      <w:r w:rsidRPr="00797327">
        <w:rPr>
          <w:rFonts w:ascii="Verdana" w:hAnsi="Verdana"/>
        </w:rPr>
        <w:t>actualización</w:t>
      </w:r>
      <w:r>
        <w:rPr>
          <w:rFonts w:ascii="Verdana" w:hAnsi="Verdana"/>
        </w:rPr>
        <w:t xml:space="preserve"> </w:t>
      </w:r>
      <w:r w:rsidRPr="00797327">
        <w:rPr>
          <w:rFonts w:ascii="Verdana" w:hAnsi="Verdana"/>
        </w:rPr>
        <w:t>se incorporaron orientaciones prácticas dirigidas a entidades públicas, proveedores, organismos de control y demás interesados, con el propósito de facilitar la adecuada implementación de est</w:t>
      </w:r>
      <w:r>
        <w:rPr>
          <w:rFonts w:ascii="Verdana" w:hAnsi="Verdana"/>
        </w:rPr>
        <w:t>os</w:t>
      </w:r>
      <w:r w:rsidRPr="00797327">
        <w:rPr>
          <w:rFonts w:ascii="Verdana" w:hAnsi="Verdana"/>
        </w:rPr>
        <w:t xml:space="preserve"> instrumento</w:t>
      </w:r>
      <w:r>
        <w:rPr>
          <w:rFonts w:ascii="Verdana" w:hAnsi="Verdana"/>
        </w:rPr>
        <w:t>s</w:t>
      </w:r>
      <w:r w:rsidRPr="00797327">
        <w:rPr>
          <w:rFonts w:ascii="Verdana" w:hAnsi="Verdana"/>
        </w:rPr>
        <w:t xml:space="preserve"> en los procesos contractuales.</w:t>
      </w:r>
      <w:r w:rsidRPr="009A385A">
        <w:rPr>
          <w:rFonts w:ascii="Verdana" w:hAnsi="Verdana"/>
        </w:rPr>
        <w:t xml:space="preserve"> </w:t>
      </w:r>
      <w:r w:rsidRPr="00797327">
        <w:rPr>
          <w:rFonts w:ascii="Verdana" w:hAnsi="Verdana"/>
        </w:rPr>
        <w:t>Además se incluye</w:t>
      </w:r>
      <w:r>
        <w:rPr>
          <w:rFonts w:ascii="Verdana" w:hAnsi="Verdana"/>
        </w:rPr>
        <w:t>ron</w:t>
      </w:r>
      <w:r w:rsidRPr="00797327">
        <w:rPr>
          <w:rFonts w:ascii="Verdana" w:hAnsi="Verdana"/>
        </w:rPr>
        <w:t xml:space="preserve"> lineamientos que orientan la implementación de los criterios ambientales y sociales incluidos en los documentos tipo: </w:t>
      </w:r>
      <w:r w:rsidRPr="009A385A">
        <w:rPr>
          <w:rFonts w:ascii="Verdana" w:hAnsi="Verdana"/>
        </w:rPr>
        <w:t>Consulta la guía aquí:</w:t>
      </w:r>
      <w:r w:rsidRPr="009A385A">
        <w:rPr>
          <w:rFonts w:ascii="Verdana" w:hAnsi="Verdana"/>
        </w:rPr>
        <w:br/>
      </w:r>
      <w:hyperlink r:id="rId17" w:tgtFrame="_new" w:history="1">
        <w:r w:rsidRPr="009A385A">
          <w:rPr>
            <w:rStyle w:val="Hipervnculo"/>
            <w:rFonts w:ascii="Verdana" w:hAnsi="Verdana"/>
          </w:rPr>
          <w:t>https://www.colombiacompra.gov.co/archivos/manual/guia-para-la-comprension-e-implementacion-de-los-documentos-tipo-de-obra-publica-de-infraestructura-de-transporte-bajo-las-diferentes-modalidades-de-contratacion-vigentes</w:t>
        </w:r>
      </w:hyperlink>
    </w:p>
    <w:p w14:paraId="1187C497" w14:textId="77777777" w:rsidR="001E6F10" w:rsidRPr="00605E0D" w:rsidRDefault="001E6F10" w:rsidP="001E6F10">
      <w:pPr>
        <w:spacing w:after="0" w:line="276" w:lineRule="auto"/>
        <w:jc w:val="both"/>
        <w:rPr>
          <w:rFonts w:ascii="Verdana" w:hAnsi="Verdana"/>
        </w:rPr>
      </w:pPr>
      <w:r w:rsidRPr="00284526">
        <w:rPr>
          <w:rFonts w:ascii="Verdana" w:hAnsi="Verdana" w:cs="Arial"/>
          <w:shd w:val="clear" w:color="auto" w:fill="FFFFFF"/>
        </w:rPr>
        <w:lastRenderedPageBreak/>
        <w:t xml:space="preserve">Por último, lo invitamos a seguirnos en las redes sociales en las cuales se difunde información institucional: </w:t>
      </w:r>
    </w:p>
    <w:p w14:paraId="208D9F69" w14:textId="77777777" w:rsidR="001E6F10" w:rsidRPr="00284526" w:rsidRDefault="001E6F10" w:rsidP="001E6F10">
      <w:pPr>
        <w:spacing w:after="0" w:line="276" w:lineRule="auto"/>
        <w:jc w:val="both"/>
        <w:rPr>
          <w:rFonts w:ascii="Verdana" w:hAnsi="Verdana" w:cs="Arial"/>
          <w:shd w:val="clear" w:color="auto" w:fill="FFFFFF"/>
        </w:rPr>
      </w:pPr>
    </w:p>
    <w:p w14:paraId="74294EB7" w14:textId="77777777" w:rsidR="001E6F10" w:rsidRPr="00284526" w:rsidRDefault="001E6F10" w:rsidP="001E6F10">
      <w:pPr>
        <w:spacing w:after="0" w:line="276" w:lineRule="auto"/>
        <w:jc w:val="both"/>
        <w:rPr>
          <w:rFonts w:ascii="Verdana" w:hAnsi="Verdana" w:cs="Arial"/>
          <w:shd w:val="clear" w:color="auto" w:fill="FFFFFF"/>
        </w:rPr>
      </w:pPr>
      <w:r w:rsidRPr="00284526">
        <w:rPr>
          <w:rFonts w:ascii="Verdana" w:hAnsi="Verdana" w:cs="Arial"/>
          <w:shd w:val="clear" w:color="auto" w:fill="FFFFFF"/>
        </w:rPr>
        <w:t xml:space="preserve">Twitter: </w:t>
      </w:r>
      <w:r w:rsidRPr="00284526">
        <w:rPr>
          <w:rStyle w:val="Hipervnculo"/>
          <w:rFonts w:ascii="Verdana" w:hAnsi="Verdana"/>
          <w:lang w:val="es-ES"/>
        </w:rPr>
        <w:t xml:space="preserve">@colombiacompra </w:t>
      </w:r>
    </w:p>
    <w:p w14:paraId="6FBDBEEF" w14:textId="77777777" w:rsidR="001E6F10" w:rsidRPr="00284526" w:rsidRDefault="001E6F10" w:rsidP="001E6F10">
      <w:pPr>
        <w:spacing w:after="0" w:line="276" w:lineRule="auto"/>
        <w:jc w:val="both"/>
        <w:rPr>
          <w:rFonts w:ascii="Verdana" w:hAnsi="Verdana" w:cs="Arial"/>
          <w:shd w:val="clear" w:color="auto" w:fill="FFFFFF"/>
        </w:rPr>
      </w:pPr>
      <w:r w:rsidRPr="00284526">
        <w:rPr>
          <w:rFonts w:ascii="Verdana" w:hAnsi="Verdana" w:cs="Arial"/>
          <w:shd w:val="clear" w:color="auto" w:fill="FFFFFF"/>
        </w:rPr>
        <w:t>Facebook:</w:t>
      </w:r>
      <w:r w:rsidRPr="00284526">
        <w:rPr>
          <w:rStyle w:val="Hipervnculo"/>
          <w:rFonts w:ascii="Verdana" w:hAnsi="Verdana"/>
          <w:color w:val="auto"/>
          <w:lang w:val="es-ES"/>
        </w:rPr>
        <w:t xml:space="preserve"> </w:t>
      </w:r>
      <w:proofErr w:type="spellStart"/>
      <w:r w:rsidRPr="00284526">
        <w:rPr>
          <w:rStyle w:val="Hipervnculo"/>
          <w:rFonts w:ascii="Verdana" w:hAnsi="Verdana"/>
          <w:lang w:val="es-ES"/>
        </w:rPr>
        <w:t>ColombiaCompraEficiente</w:t>
      </w:r>
      <w:proofErr w:type="spellEnd"/>
    </w:p>
    <w:p w14:paraId="5D52CBC9" w14:textId="77777777" w:rsidR="001E6F10" w:rsidRPr="00284526" w:rsidRDefault="001E6F10" w:rsidP="001E6F10">
      <w:pPr>
        <w:spacing w:after="0" w:line="276" w:lineRule="auto"/>
        <w:jc w:val="both"/>
        <w:rPr>
          <w:rFonts w:ascii="Verdana" w:hAnsi="Verdana" w:cs="Arial"/>
          <w:color w:val="0000FF"/>
          <w:shd w:val="clear" w:color="auto" w:fill="FFFFFF"/>
        </w:rPr>
      </w:pPr>
      <w:r w:rsidRPr="00284526">
        <w:rPr>
          <w:rFonts w:ascii="Verdana" w:hAnsi="Verdana" w:cs="Arial"/>
          <w:shd w:val="clear" w:color="auto" w:fill="FFFFFF"/>
        </w:rPr>
        <w:t xml:space="preserve">LinkedIn: </w:t>
      </w:r>
      <w:r w:rsidRPr="00284526">
        <w:rPr>
          <w:rStyle w:val="Hipervnculo"/>
          <w:rFonts w:ascii="Verdana" w:hAnsi="Verdana"/>
          <w:lang w:val="es-ES"/>
        </w:rPr>
        <w:t>Agencia Nacional de Contratación Pública - Colombia Compra Eficiente</w:t>
      </w:r>
      <w:r w:rsidRPr="00284526">
        <w:rPr>
          <w:rFonts w:ascii="Verdana" w:hAnsi="Verdana" w:cs="Arial"/>
          <w:color w:val="0000FF"/>
          <w:shd w:val="clear" w:color="auto" w:fill="FFFFFF"/>
        </w:rPr>
        <w:t xml:space="preserve"> </w:t>
      </w:r>
    </w:p>
    <w:p w14:paraId="4C60CCB0" w14:textId="77777777" w:rsidR="001E6F10" w:rsidRPr="00284526" w:rsidRDefault="001E6F10" w:rsidP="001E6F10">
      <w:pPr>
        <w:spacing w:after="0" w:line="276" w:lineRule="auto"/>
        <w:jc w:val="both"/>
        <w:rPr>
          <w:rFonts w:ascii="Verdana" w:hAnsi="Verdana" w:cs="Arial"/>
          <w:shd w:val="clear" w:color="auto" w:fill="FFFFFF"/>
        </w:rPr>
      </w:pPr>
      <w:r w:rsidRPr="00284526">
        <w:rPr>
          <w:rFonts w:ascii="Verdana" w:hAnsi="Verdana" w:cs="Arial"/>
          <w:shd w:val="clear" w:color="auto" w:fill="FFFFFF"/>
        </w:rPr>
        <w:t xml:space="preserve">Instagram: </w:t>
      </w:r>
      <w:r w:rsidRPr="00284526">
        <w:rPr>
          <w:rStyle w:val="Hipervnculo"/>
          <w:rFonts w:ascii="Verdana" w:hAnsi="Verdana"/>
          <w:lang w:val="es-ES"/>
        </w:rPr>
        <w:t>@colombiacompraeficiente_cce</w:t>
      </w:r>
    </w:p>
    <w:p w14:paraId="389960A4" w14:textId="77777777" w:rsidR="001E6F10" w:rsidRPr="00284526" w:rsidRDefault="001E6F10" w:rsidP="001E6F10">
      <w:pPr>
        <w:widowControl w:val="0"/>
        <w:autoSpaceDE w:val="0"/>
        <w:autoSpaceDN w:val="0"/>
        <w:spacing w:after="0" w:line="276" w:lineRule="auto"/>
        <w:jc w:val="both"/>
        <w:rPr>
          <w:rFonts w:ascii="Verdana" w:hAnsi="Verdana" w:cs="Arial"/>
          <w:lang w:val="es-ES"/>
        </w:rPr>
      </w:pPr>
    </w:p>
    <w:p w14:paraId="6F1D5236" w14:textId="77777777" w:rsidR="001E6F10" w:rsidRPr="00284526" w:rsidRDefault="001E6F10" w:rsidP="001E6F10">
      <w:pPr>
        <w:widowControl w:val="0"/>
        <w:autoSpaceDE w:val="0"/>
        <w:autoSpaceDN w:val="0"/>
        <w:spacing w:after="0" w:line="276" w:lineRule="auto"/>
        <w:jc w:val="both"/>
        <w:rPr>
          <w:rFonts w:ascii="Verdana" w:hAnsi="Verdana" w:cs="Arial"/>
          <w:lang w:val="es-ES"/>
        </w:rPr>
      </w:pPr>
      <w:r w:rsidRPr="00284526">
        <w:rPr>
          <w:rFonts w:ascii="Verdana" w:hAnsi="Verdana" w:cs="Arial"/>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52E7CB44" w14:textId="77777777" w:rsidR="001E6F10" w:rsidRPr="00116940" w:rsidRDefault="001E6F10" w:rsidP="001E6F10">
      <w:pPr>
        <w:spacing w:after="0" w:line="276" w:lineRule="auto"/>
        <w:jc w:val="both"/>
        <w:rPr>
          <w:rFonts w:ascii="Verdana" w:eastAsia="Verdana" w:hAnsi="Verdana" w:cs="Verdana"/>
        </w:rPr>
      </w:pPr>
    </w:p>
    <w:p w14:paraId="216DCE0A" w14:textId="77777777" w:rsidR="001E6F10" w:rsidRPr="00116940" w:rsidRDefault="001E6F10" w:rsidP="001E6F10">
      <w:pPr>
        <w:spacing w:after="0" w:line="276" w:lineRule="auto"/>
        <w:rPr>
          <w:rFonts w:ascii="Verdana" w:eastAsia="Verdana" w:hAnsi="Verdana" w:cs="Verdana"/>
        </w:rPr>
      </w:pPr>
      <w:r w:rsidRPr="30821638">
        <w:rPr>
          <w:rFonts w:ascii="Verdana" w:eastAsia="Verdana" w:hAnsi="Verdana" w:cs="Verdana"/>
        </w:rPr>
        <w:t>Evalúa el servicio que ofrece la Agencia por el canal de atención de PQRSD en el siguiente enlace</w:t>
      </w:r>
      <w:r w:rsidRPr="00C25CDD">
        <w:rPr>
          <w:rFonts w:ascii="Verdana" w:eastAsia="Verdana" w:hAnsi="Verdana" w:cs="Verdana"/>
        </w:rPr>
        <w:t>:</w:t>
      </w:r>
      <w:r>
        <w:rPr>
          <w:rFonts w:ascii="Verdana" w:eastAsia="Verdana" w:hAnsi="Verdana" w:cs="Verdana"/>
        </w:rPr>
        <w:t xml:space="preserve"> </w:t>
      </w:r>
      <w:hyperlink r:id="rId18" w:history="1">
        <w:r w:rsidRPr="00C25CDD">
          <w:rPr>
            <w:rStyle w:val="Hipervnculo"/>
            <w:rFonts w:ascii="Verdana" w:eastAsia="Verdana" w:hAnsi="Verdana" w:cs="Verdana"/>
          </w:rPr>
          <w:t>https://forms.office.com/r/pPHyWVs2SZ</w:t>
        </w:r>
      </w:hyperlink>
      <w:r w:rsidRPr="30821638">
        <w:rPr>
          <w:rFonts w:ascii="Verdana" w:eastAsia="Verdana" w:hAnsi="Verdana" w:cs="Verdana"/>
        </w:rPr>
        <w:t xml:space="preserve"> .¡Ayúdanos a mejorar porque el compromiso es de todos!</w:t>
      </w:r>
    </w:p>
    <w:p w14:paraId="0C862369" w14:textId="16124F5A" w:rsidR="001E6F10" w:rsidRPr="00116940" w:rsidRDefault="001E6F10" w:rsidP="001E6F10">
      <w:pPr>
        <w:spacing w:after="0" w:line="276" w:lineRule="auto"/>
        <w:rPr>
          <w:rFonts w:ascii="Verdana" w:eastAsia="Verdana" w:hAnsi="Verdana" w:cs="Verdana"/>
        </w:rPr>
      </w:pPr>
    </w:p>
    <w:p w14:paraId="11093B74" w14:textId="10E95C50" w:rsidR="001E6F10" w:rsidRDefault="001E6F10" w:rsidP="001E6F10">
      <w:pPr>
        <w:spacing w:after="0" w:line="276" w:lineRule="auto"/>
        <w:jc w:val="both"/>
        <w:rPr>
          <w:rFonts w:ascii="Verdana" w:eastAsia="Verdana" w:hAnsi="Verdana" w:cs="Verdana"/>
          <w:lang w:val="es-MX"/>
        </w:rPr>
      </w:pPr>
      <w:r w:rsidRPr="30821638">
        <w:rPr>
          <w:rFonts w:ascii="Verdana" w:eastAsia="Verdana" w:hAnsi="Verdana" w:cs="Verdana"/>
          <w:lang w:val="es-MX"/>
        </w:rPr>
        <w:t>Cordialmente,</w:t>
      </w:r>
      <w:r>
        <w:rPr>
          <w:rFonts w:ascii="Verdana" w:eastAsia="Verdana" w:hAnsi="Verdana" w:cs="Verdana"/>
          <w:lang w:val="es-MX"/>
        </w:rPr>
        <w:t xml:space="preserve"> </w:t>
      </w:r>
    </w:p>
    <w:p w14:paraId="2A3A8F7C" w14:textId="638734D0" w:rsidR="001E6F10" w:rsidRDefault="00185F68" w:rsidP="001E6F10">
      <w:pPr>
        <w:spacing w:after="0" w:line="276" w:lineRule="auto"/>
        <w:jc w:val="both"/>
        <w:rPr>
          <w:rFonts w:ascii="Verdana" w:eastAsia="Century Gothic" w:hAnsi="Verdana" w:cs="Century Gothic"/>
        </w:rPr>
      </w:pPr>
      <w:r w:rsidRPr="002C3AD6">
        <w:rPr>
          <w:rFonts w:ascii="Century Gothic" w:hAnsi="Century Gothic"/>
          <w:noProof/>
        </w:rPr>
        <w:drawing>
          <wp:anchor distT="0" distB="0" distL="114300" distR="114300" simplePos="0" relativeHeight="251660288" behindDoc="1" locked="0" layoutInCell="1" allowOverlap="1" wp14:anchorId="3394EEE5" wp14:editId="2C60C3AE">
            <wp:simplePos x="0" y="0"/>
            <wp:positionH relativeFrom="column">
              <wp:posOffset>1089025</wp:posOffset>
            </wp:positionH>
            <wp:positionV relativeFrom="paragraph">
              <wp:posOffset>41275</wp:posOffset>
            </wp:positionV>
            <wp:extent cx="3771900" cy="1079500"/>
            <wp:effectExtent l="0" t="0" r="0" b="6350"/>
            <wp:wrapTight wrapText="bothSides">
              <wp:wrapPolygon edited="0">
                <wp:start x="0" y="0"/>
                <wp:lineTo x="0" y="21346"/>
                <wp:lineTo x="21491" y="21346"/>
                <wp:lineTo x="21491" y="0"/>
                <wp:lineTo x="0" y="0"/>
              </wp:wrapPolygon>
            </wp:wrapTight>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9">
                      <a:extLst>
                        <a:ext uri="{28A0092B-C50C-407E-A947-70E740481C1C}">
                          <a14:useLocalDpi xmlns:a14="http://schemas.microsoft.com/office/drawing/2010/main" val="0"/>
                        </a:ext>
                      </a:extLst>
                    </a:blip>
                    <a:stretch>
                      <a:fillRect/>
                    </a:stretch>
                  </pic:blipFill>
                  <pic:spPr>
                    <a:xfrm>
                      <a:off x="0" y="0"/>
                      <a:ext cx="3771900" cy="1079500"/>
                    </a:xfrm>
                    <a:prstGeom prst="rect">
                      <a:avLst/>
                    </a:prstGeom>
                  </pic:spPr>
                </pic:pic>
              </a:graphicData>
            </a:graphic>
            <wp14:sizeRelV relativeFrom="margin">
              <wp14:pctHeight>0</wp14:pctHeight>
            </wp14:sizeRelV>
          </wp:anchor>
        </w:drawing>
      </w:r>
    </w:p>
    <w:p w14:paraId="239F4052" w14:textId="77777777" w:rsidR="001E6F10" w:rsidRDefault="001E6F10" w:rsidP="001E6F10">
      <w:pPr>
        <w:spacing w:after="0" w:line="276" w:lineRule="auto"/>
        <w:jc w:val="both"/>
        <w:rPr>
          <w:rFonts w:ascii="Verdana" w:eastAsia="Century Gothic" w:hAnsi="Verdana" w:cs="Century Gothic"/>
        </w:rPr>
      </w:pPr>
    </w:p>
    <w:p w14:paraId="2F734D13" w14:textId="77777777" w:rsidR="001E6F10" w:rsidRDefault="001E6F10" w:rsidP="001E6F10">
      <w:pPr>
        <w:spacing w:after="0" w:line="276" w:lineRule="auto"/>
        <w:jc w:val="both"/>
        <w:rPr>
          <w:rFonts w:ascii="Verdana" w:eastAsia="Century Gothic" w:hAnsi="Verdana" w:cs="Century Gothic"/>
        </w:rPr>
      </w:pPr>
    </w:p>
    <w:p w14:paraId="7560B016" w14:textId="77777777" w:rsidR="001E6F10" w:rsidRDefault="001E6F10" w:rsidP="001E6F10">
      <w:pPr>
        <w:spacing w:after="0" w:line="276" w:lineRule="auto"/>
        <w:jc w:val="both"/>
        <w:rPr>
          <w:rFonts w:ascii="Verdana" w:eastAsia="Century Gothic" w:hAnsi="Verdana" w:cs="Century Gothic"/>
        </w:rPr>
      </w:pPr>
    </w:p>
    <w:p w14:paraId="19502232" w14:textId="77777777" w:rsidR="001E6F10" w:rsidRDefault="001E6F10" w:rsidP="001E6F10">
      <w:pPr>
        <w:spacing w:after="0" w:line="276" w:lineRule="auto"/>
        <w:jc w:val="both"/>
        <w:rPr>
          <w:rFonts w:ascii="Verdana" w:eastAsia="Century Gothic" w:hAnsi="Verdana" w:cs="Century Gothic"/>
        </w:rPr>
      </w:pPr>
    </w:p>
    <w:p w14:paraId="323CA8B7" w14:textId="77777777" w:rsidR="001E6F10" w:rsidRDefault="001E6F10" w:rsidP="001E6F10">
      <w:pPr>
        <w:spacing w:after="120" w:line="276" w:lineRule="auto"/>
        <w:contextualSpacing/>
        <w:jc w:val="both"/>
        <w:rPr>
          <w:rFonts w:ascii="Verdana" w:eastAsia="Aptos" w:hAnsi="Verdana" w:cs="Arial"/>
          <w:shd w:val="clear" w:color="auto" w:fill="FFFFFF"/>
          <w:lang w:val="es-ES"/>
        </w:rPr>
      </w:pPr>
    </w:p>
    <w:tbl>
      <w:tblPr>
        <w:tblStyle w:val="Tablaconcuadrcula"/>
        <w:tblW w:w="63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436"/>
      </w:tblGrid>
      <w:tr w:rsidR="001E6F10" w:rsidRPr="004C0111" w14:paraId="0E90F368" w14:textId="77777777" w:rsidTr="00682525">
        <w:trPr>
          <w:trHeight w:val="622"/>
        </w:trPr>
        <w:tc>
          <w:tcPr>
            <w:tcW w:w="893" w:type="dxa"/>
            <w:vAlign w:val="center"/>
            <w:hideMark/>
          </w:tcPr>
          <w:p w14:paraId="5C213212" w14:textId="77777777" w:rsidR="001E6F10" w:rsidRPr="004C0111" w:rsidRDefault="001E6F10" w:rsidP="00682525">
            <w:pPr>
              <w:rPr>
                <w:rFonts w:ascii="Verdana" w:eastAsia="Calibri" w:hAnsi="Verdana" w:cs="Arial"/>
                <w:sz w:val="16"/>
                <w:szCs w:val="16"/>
                <w:lang w:val="es-ES_tradnl"/>
              </w:rPr>
            </w:pPr>
            <w:r w:rsidRPr="004C0111">
              <w:rPr>
                <w:rFonts w:ascii="Verdana" w:eastAsia="Calibri" w:hAnsi="Verdana" w:cs="Arial"/>
                <w:sz w:val="16"/>
                <w:szCs w:val="16"/>
                <w:lang w:val="es-ES_tradnl"/>
              </w:rPr>
              <w:t>Elaboró:</w:t>
            </w:r>
          </w:p>
        </w:tc>
        <w:tc>
          <w:tcPr>
            <w:tcW w:w="5436" w:type="dxa"/>
            <w:tcBorders>
              <w:top w:val="nil"/>
              <w:left w:val="nil"/>
              <w:bottom w:val="dotted" w:sz="4" w:space="0" w:color="7F7F7F" w:themeColor="text1" w:themeTint="80"/>
              <w:right w:val="nil"/>
            </w:tcBorders>
            <w:vAlign w:val="center"/>
            <w:hideMark/>
          </w:tcPr>
          <w:tbl>
            <w:tblPr>
              <w:tblW w:w="509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91"/>
            </w:tblGrid>
            <w:tr w:rsidR="001E6F10" w:rsidRPr="004C0111" w14:paraId="3237B6C3" w14:textId="77777777" w:rsidTr="00682525">
              <w:trPr>
                <w:trHeight w:val="45"/>
              </w:trPr>
              <w:tc>
                <w:tcPr>
                  <w:tcW w:w="5091" w:type="dxa"/>
                  <w:tcBorders>
                    <w:top w:val="dotted" w:sz="6" w:space="0" w:color="7F7F7F" w:themeColor="text1" w:themeTint="80"/>
                    <w:left w:val="nil"/>
                    <w:bottom w:val="dotted" w:sz="6" w:space="0" w:color="7F7F7F" w:themeColor="text1" w:themeTint="80"/>
                    <w:right w:val="nil"/>
                  </w:tcBorders>
                  <w:vAlign w:val="center"/>
                  <w:hideMark/>
                </w:tcPr>
                <w:p w14:paraId="008AC239" w14:textId="77777777" w:rsidR="001E6F10" w:rsidRPr="004C0111" w:rsidRDefault="001E6F10" w:rsidP="00682525">
                  <w:pPr>
                    <w:spacing w:after="0" w:line="240" w:lineRule="auto"/>
                    <w:rPr>
                      <w:rFonts w:ascii="Verdana" w:eastAsia="Times New Roman" w:hAnsi="Verdana" w:cs="Arial"/>
                      <w:sz w:val="16"/>
                      <w:szCs w:val="16"/>
                      <w:lang w:val="es-ES" w:eastAsia="es-ES"/>
                    </w:rPr>
                  </w:pPr>
                  <w:r w:rsidRPr="731A4B47">
                    <w:rPr>
                      <w:rFonts w:ascii="Verdana" w:eastAsia="Times New Roman" w:hAnsi="Verdana" w:cs="Arial"/>
                      <w:sz w:val="16"/>
                      <w:szCs w:val="16"/>
                      <w:lang w:val="es-ES" w:eastAsia="es-ES"/>
                    </w:rPr>
                    <w:t>Kelmis Yirama Brugés Alvarado</w:t>
                  </w:r>
                </w:p>
                <w:p w14:paraId="6649A47A" w14:textId="77777777" w:rsidR="001E6F10" w:rsidRPr="004C0111" w:rsidRDefault="001E6F10" w:rsidP="00682525">
                  <w:pPr>
                    <w:spacing w:after="0" w:line="240" w:lineRule="auto"/>
                    <w:rPr>
                      <w:rFonts w:ascii="Verdana" w:eastAsia="Times New Roman" w:hAnsi="Verdana" w:cs="Arial"/>
                      <w:sz w:val="16"/>
                      <w:szCs w:val="16"/>
                      <w:lang w:val="es-MX" w:eastAsia="es-CO"/>
                    </w:rPr>
                  </w:pPr>
                  <w:r w:rsidRPr="004C0111">
                    <w:rPr>
                      <w:rFonts w:ascii="Verdana" w:eastAsia="Times New Roman" w:hAnsi="Verdana" w:cs="Arial"/>
                      <w:sz w:val="16"/>
                      <w:szCs w:val="16"/>
                      <w:lang w:eastAsia="es-ES"/>
                    </w:rPr>
                    <w:t>Analista T2-</w:t>
                  </w:r>
                  <w:r>
                    <w:rPr>
                      <w:rFonts w:ascii="Verdana" w:eastAsia="Times New Roman" w:hAnsi="Verdana" w:cs="Arial"/>
                      <w:sz w:val="16"/>
                      <w:szCs w:val="16"/>
                      <w:lang w:eastAsia="es-ES"/>
                    </w:rPr>
                    <w:t>04</w:t>
                  </w:r>
                  <w:r w:rsidRPr="004C0111">
                    <w:rPr>
                      <w:rFonts w:ascii="Verdana" w:eastAsia="Times New Roman" w:hAnsi="Verdana" w:cs="Arial"/>
                      <w:sz w:val="16"/>
                      <w:szCs w:val="16"/>
                      <w:lang w:eastAsia="es-ES"/>
                    </w:rPr>
                    <w:t xml:space="preserve"> de la Subdirección de Gestión Contractual</w:t>
                  </w:r>
                </w:p>
              </w:tc>
            </w:tr>
          </w:tbl>
          <w:p w14:paraId="1E6B1F00" w14:textId="77777777" w:rsidR="001E6F10" w:rsidRPr="004C0111" w:rsidRDefault="001E6F10" w:rsidP="00682525">
            <w:pPr>
              <w:rPr>
                <w:rFonts w:ascii="Verdana" w:eastAsia="Calibri" w:hAnsi="Verdana" w:cs="Arial"/>
                <w:sz w:val="16"/>
                <w:szCs w:val="16"/>
                <w:lang w:val="es-MX"/>
              </w:rPr>
            </w:pPr>
          </w:p>
        </w:tc>
      </w:tr>
      <w:tr w:rsidR="001E6F10" w:rsidRPr="004C0111" w14:paraId="4456202C" w14:textId="77777777" w:rsidTr="00682525">
        <w:trPr>
          <w:trHeight w:val="330"/>
        </w:trPr>
        <w:tc>
          <w:tcPr>
            <w:tcW w:w="893" w:type="dxa"/>
            <w:vAlign w:val="center"/>
            <w:hideMark/>
          </w:tcPr>
          <w:p w14:paraId="69D69D4B" w14:textId="77777777" w:rsidR="001E6F10" w:rsidRPr="004C0111" w:rsidRDefault="001E6F10" w:rsidP="00682525">
            <w:pPr>
              <w:rPr>
                <w:rFonts w:ascii="Verdana" w:eastAsia="Calibri" w:hAnsi="Verdana" w:cs="Arial"/>
                <w:sz w:val="16"/>
                <w:szCs w:val="16"/>
                <w:lang w:val="es-ES_tradnl"/>
              </w:rPr>
            </w:pPr>
            <w:r w:rsidRPr="004C0111">
              <w:rPr>
                <w:rFonts w:ascii="Verdana" w:eastAsia="Calibri" w:hAnsi="Verdana" w:cs="Arial"/>
                <w:sz w:val="16"/>
                <w:szCs w:val="16"/>
                <w:lang w:val="es-ES_tradnl"/>
              </w:rPr>
              <w:t>Revisó:</w:t>
            </w:r>
          </w:p>
        </w:tc>
        <w:tc>
          <w:tcPr>
            <w:tcW w:w="5436" w:type="dxa"/>
            <w:tcBorders>
              <w:top w:val="dotted" w:sz="4" w:space="0" w:color="7F7F7F" w:themeColor="text1" w:themeTint="80"/>
              <w:left w:val="nil"/>
              <w:bottom w:val="dotted" w:sz="4" w:space="0" w:color="7F7F7F" w:themeColor="text1" w:themeTint="80"/>
              <w:right w:val="nil"/>
            </w:tcBorders>
            <w:vAlign w:val="center"/>
            <w:hideMark/>
          </w:tcPr>
          <w:p w14:paraId="695D2F25" w14:textId="77777777" w:rsidR="001E6F10" w:rsidRPr="004C0111" w:rsidRDefault="001E6F10" w:rsidP="00682525">
            <w:pPr>
              <w:textAlignment w:val="baseline"/>
              <w:rPr>
                <w:rFonts w:ascii="Verdana" w:eastAsia="Times New Roman" w:hAnsi="Verdana" w:cs="Arial"/>
                <w:sz w:val="16"/>
                <w:szCs w:val="16"/>
                <w:lang w:eastAsia="es-CO"/>
              </w:rPr>
            </w:pPr>
            <w:r>
              <w:rPr>
                <w:rFonts w:ascii="Verdana" w:eastAsia="Times New Roman" w:hAnsi="Verdana" w:cs="Arial"/>
                <w:sz w:val="16"/>
                <w:szCs w:val="16"/>
                <w:lang w:eastAsia="es-CO"/>
              </w:rPr>
              <w:t xml:space="preserve">Adriana López Rodríguez  </w:t>
            </w:r>
          </w:p>
          <w:p w14:paraId="36E683AC" w14:textId="77777777" w:rsidR="001E6F10" w:rsidRPr="004C0111" w:rsidRDefault="001E6F10" w:rsidP="00682525">
            <w:pPr>
              <w:textAlignment w:val="baseline"/>
              <w:rPr>
                <w:rFonts w:ascii="Verdana" w:eastAsia="Times New Roman" w:hAnsi="Verdana" w:cs="Arial"/>
                <w:sz w:val="16"/>
                <w:szCs w:val="16"/>
                <w:lang w:val="es-MX" w:eastAsia="es-CO"/>
              </w:rPr>
            </w:pPr>
            <w:r>
              <w:rPr>
                <w:rFonts w:ascii="Verdana" w:eastAsia="Times New Roman" w:hAnsi="Verdana" w:cs="Arial"/>
                <w:sz w:val="16"/>
                <w:szCs w:val="16"/>
                <w:lang w:eastAsia="es-CO"/>
              </w:rPr>
              <w:t xml:space="preserve">Contratista </w:t>
            </w:r>
            <w:r w:rsidRPr="004C0111">
              <w:rPr>
                <w:rFonts w:ascii="Verdana" w:eastAsia="Times New Roman" w:hAnsi="Verdana" w:cs="Arial"/>
                <w:sz w:val="16"/>
                <w:szCs w:val="16"/>
                <w:lang w:eastAsia="es-CO"/>
              </w:rPr>
              <w:t>de la Subdirección de Gestión Contractual</w:t>
            </w:r>
          </w:p>
        </w:tc>
      </w:tr>
      <w:tr w:rsidR="001E6F10" w:rsidRPr="004C0111" w14:paraId="76B5E983" w14:textId="77777777" w:rsidTr="00682525">
        <w:trPr>
          <w:trHeight w:val="77"/>
        </w:trPr>
        <w:tc>
          <w:tcPr>
            <w:tcW w:w="893" w:type="dxa"/>
            <w:vAlign w:val="center"/>
          </w:tcPr>
          <w:p w14:paraId="371D04C9" w14:textId="77777777" w:rsidR="001E6F10" w:rsidRPr="004C0111" w:rsidRDefault="001E6F10" w:rsidP="00682525">
            <w:pPr>
              <w:rPr>
                <w:rFonts w:ascii="Verdana" w:eastAsia="Calibri" w:hAnsi="Verdana" w:cs="Arial"/>
                <w:sz w:val="16"/>
                <w:szCs w:val="16"/>
                <w:lang w:val="es-ES_tradnl"/>
              </w:rPr>
            </w:pPr>
            <w:r w:rsidRPr="004C0111">
              <w:rPr>
                <w:rFonts w:ascii="Verdana" w:eastAsia="Calibri" w:hAnsi="Verdana" w:cs="Arial"/>
                <w:sz w:val="16"/>
                <w:szCs w:val="16"/>
                <w:lang w:val="es-ES_tradnl"/>
              </w:rPr>
              <w:t>Aprobó:</w:t>
            </w:r>
          </w:p>
        </w:tc>
        <w:tc>
          <w:tcPr>
            <w:tcW w:w="5436" w:type="dxa"/>
            <w:tcBorders>
              <w:top w:val="dotted" w:sz="4" w:space="0" w:color="7F7F7F" w:themeColor="text1" w:themeTint="80"/>
              <w:left w:val="nil"/>
              <w:bottom w:val="dotted" w:sz="4" w:space="0" w:color="7F7F7F" w:themeColor="text1" w:themeTint="80"/>
              <w:right w:val="nil"/>
            </w:tcBorders>
            <w:vAlign w:val="center"/>
          </w:tcPr>
          <w:p w14:paraId="6F4D73D3" w14:textId="77777777" w:rsidR="001E6F10" w:rsidRPr="002F2853" w:rsidRDefault="001E6F10" w:rsidP="00682525">
            <w:pPr>
              <w:rPr>
                <w:rFonts w:ascii="Verdana" w:eastAsia="Times New Roman" w:hAnsi="Verdana" w:cs="Arial"/>
                <w:sz w:val="16"/>
                <w:szCs w:val="16"/>
                <w:lang w:eastAsia="es-ES"/>
              </w:rPr>
            </w:pPr>
            <w:r w:rsidRPr="002F2853">
              <w:rPr>
                <w:rFonts w:ascii="Verdana" w:eastAsia="Times New Roman" w:hAnsi="Verdana" w:cs="Arial"/>
                <w:sz w:val="16"/>
                <w:szCs w:val="16"/>
                <w:lang w:eastAsia="es-ES"/>
              </w:rPr>
              <w:t>Carolina Quintero Gacharná</w:t>
            </w:r>
          </w:p>
          <w:p w14:paraId="09615992" w14:textId="77777777" w:rsidR="001E6F10" w:rsidRPr="004C0111" w:rsidRDefault="001E6F10" w:rsidP="00682525">
            <w:pPr>
              <w:rPr>
                <w:rFonts w:ascii="Verdana" w:eastAsia="Calibri" w:hAnsi="Verdana" w:cs="Arial"/>
                <w:sz w:val="16"/>
                <w:szCs w:val="16"/>
                <w:lang w:val="es-ES_tradnl"/>
              </w:rPr>
            </w:pPr>
            <w:r w:rsidRPr="002F2853">
              <w:rPr>
                <w:rFonts w:ascii="Verdana" w:eastAsia="Times New Roman" w:hAnsi="Verdana" w:cs="Arial"/>
                <w:sz w:val="16"/>
                <w:szCs w:val="16"/>
                <w:lang w:eastAsia="es-ES"/>
              </w:rPr>
              <w:t>Subdirectora de Gestión Contractual ANCP – CCE</w:t>
            </w:r>
          </w:p>
        </w:tc>
      </w:tr>
    </w:tbl>
    <w:p w14:paraId="1006A388" w14:textId="77777777" w:rsidR="00C15139" w:rsidRPr="000E2B93" w:rsidRDefault="00C15139" w:rsidP="30821638">
      <w:pPr>
        <w:spacing w:after="0" w:line="240" w:lineRule="auto"/>
        <w:jc w:val="both"/>
        <w:textAlignment w:val="baseline"/>
        <w:rPr>
          <w:rFonts w:ascii="Verdana" w:eastAsia="Verdana" w:hAnsi="Verdana" w:cs="Verdana"/>
          <w:lang w:eastAsia="es-CO"/>
        </w:rPr>
      </w:pPr>
    </w:p>
    <w:p w14:paraId="69BC4D14" w14:textId="1FEEBAC4" w:rsidR="00C15139" w:rsidRPr="000E2B93" w:rsidRDefault="00C15139" w:rsidP="30821638">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sectPr w:rsidR="00C15139" w:rsidRPr="000E2B93" w:rsidSect="007C0C0F">
      <w:headerReference w:type="default" r:id="rId20"/>
      <w:footerReference w:type="default" r:id="rId21"/>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D7742" w14:textId="77777777" w:rsidR="00F2560F" w:rsidRDefault="00F2560F" w:rsidP="004A1847">
      <w:pPr>
        <w:spacing w:after="0" w:line="240" w:lineRule="auto"/>
      </w:pPr>
      <w:r>
        <w:separator/>
      </w:r>
    </w:p>
  </w:endnote>
  <w:endnote w:type="continuationSeparator" w:id="0">
    <w:p w14:paraId="540D0083" w14:textId="77777777" w:rsidR="00F2560F" w:rsidRDefault="00F2560F" w:rsidP="004A1847">
      <w:pPr>
        <w:spacing w:after="0" w:line="240" w:lineRule="auto"/>
      </w:pPr>
      <w:r>
        <w:continuationSeparator/>
      </w:r>
    </w:p>
  </w:endnote>
  <w:endnote w:type="continuationNotice" w:id="1">
    <w:p w14:paraId="5FC877FA" w14:textId="77777777" w:rsidR="00F2560F" w:rsidRDefault="00F256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altName w:val="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6A316" w14:textId="77777777" w:rsidR="00F2560F" w:rsidRDefault="00F2560F" w:rsidP="004A1847">
      <w:pPr>
        <w:spacing w:after="0" w:line="240" w:lineRule="auto"/>
      </w:pPr>
      <w:r>
        <w:separator/>
      </w:r>
    </w:p>
  </w:footnote>
  <w:footnote w:type="continuationSeparator" w:id="0">
    <w:p w14:paraId="7C1606D9" w14:textId="77777777" w:rsidR="00F2560F" w:rsidRDefault="00F2560F" w:rsidP="004A1847">
      <w:pPr>
        <w:spacing w:after="0" w:line="240" w:lineRule="auto"/>
      </w:pPr>
      <w:r>
        <w:continuationSeparator/>
      </w:r>
    </w:p>
  </w:footnote>
  <w:footnote w:type="continuationNotice" w:id="1">
    <w:p w14:paraId="66FCC75B" w14:textId="77777777" w:rsidR="00F2560F" w:rsidRDefault="00F2560F">
      <w:pPr>
        <w:spacing w:after="0" w:line="240" w:lineRule="auto"/>
      </w:pPr>
    </w:p>
  </w:footnote>
  <w:footnote w:id="2">
    <w:p w14:paraId="7B23A2D4" w14:textId="77777777" w:rsidR="00D766A0" w:rsidRPr="00435A6A" w:rsidRDefault="00D766A0" w:rsidP="00D766A0">
      <w:pPr>
        <w:pStyle w:val="Textonotapie"/>
        <w:tabs>
          <w:tab w:val="left" w:pos="8145"/>
        </w:tabs>
        <w:ind w:firstLine="709"/>
        <w:jc w:val="both"/>
        <w:rPr>
          <w:rFonts w:ascii="Verdana" w:hAnsi="Verdana" w:cs="Arial"/>
          <w:sz w:val="14"/>
          <w:szCs w:val="14"/>
          <w:lang w:val="pt-PT"/>
        </w:rPr>
      </w:pPr>
      <w:r w:rsidRPr="00435A6A">
        <w:rPr>
          <w:rStyle w:val="Refdenotaalpie"/>
          <w:rFonts w:ascii="Verdana" w:hAnsi="Verdana" w:cs="Arial"/>
          <w:sz w:val="14"/>
          <w:szCs w:val="14"/>
        </w:rPr>
        <w:footnoteRef/>
      </w:r>
      <w:r w:rsidRPr="00435A6A">
        <w:rPr>
          <w:rFonts w:ascii="Verdana" w:hAnsi="Verdana" w:cs="Arial"/>
          <w:sz w:val="14"/>
          <w:szCs w:val="14"/>
          <w:lang w:val="pt-PT"/>
        </w:rPr>
        <w:t xml:space="preserve"> Corte Constitucional. Sentencia C- 1153 de 2005, M.P: Marco Gerardo Monroy Cabra.</w:t>
      </w:r>
      <w:r w:rsidRPr="00435A6A">
        <w:rPr>
          <w:rFonts w:ascii="Verdana" w:hAnsi="Verdana" w:cs="Arial"/>
          <w:sz w:val="14"/>
          <w:szCs w:val="14"/>
          <w:lang w:val="pt-PT"/>
        </w:rPr>
        <w:tab/>
      </w:r>
    </w:p>
    <w:p w14:paraId="212A884B" w14:textId="77777777" w:rsidR="00D766A0" w:rsidRPr="00435A6A" w:rsidRDefault="00D766A0" w:rsidP="00D766A0">
      <w:pPr>
        <w:pStyle w:val="Textonotapie"/>
        <w:tabs>
          <w:tab w:val="left" w:pos="8145"/>
        </w:tabs>
        <w:ind w:firstLine="709"/>
        <w:jc w:val="both"/>
        <w:rPr>
          <w:rFonts w:ascii="Verdana" w:hAnsi="Verdana" w:cs="Arial"/>
          <w:sz w:val="14"/>
          <w:szCs w:val="14"/>
          <w:lang w:val="pt-PT"/>
        </w:rPr>
      </w:pPr>
    </w:p>
  </w:footnote>
  <w:footnote w:id="3">
    <w:p w14:paraId="77BB60A9" w14:textId="77777777" w:rsidR="00D766A0" w:rsidRPr="00435A6A" w:rsidRDefault="00D766A0" w:rsidP="00D766A0">
      <w:pPr>
        <w:pStyle w:val="Textonotapie"/>
        <w:ind w:firstLine="709"/>
        <w:jc w:val="both"/>
        <w:rPr>
          <w:rFonts w:ascii="Verdana" w:hAnsi="Verdana" w:cs="Arial"/>
          <w:sz w:val="14"/>
          <w:szCs w:val="14"/>
          <w:lang w:val="pt-PT"/>
        </w:rPr>
      </w:pPr>
      <w:r w:rsidRPr="00435A6A">
        <w:rPr>
          <w:rStyle w:val="Refdenotaalpie"/>
          <w:rFonts w:ascii="Verdana" w:hAnsi="Verdana" w:cs="Arial"/>
          <w:sz w:val="14"/>
          <w:szCs w:val="14"/>
        </w:rPr>
        <w:footnoteRef/>
      </w:r>
      <w:r w:rsidRPr="00435A6A">
        <w:rPr>
          <w:rFonts w:ascii="Verdana" w:hAnsi="Verdana" w:cs="Arial"/>
          <w:sz w:val="14"/>
          <w:szCs w:val="14"/>
          <w:lang w:val="pt-PT"/>
        </w:rPr>
        <w:t xml:space="preserve"> </w:t>
      </w:r>
      <w:r w:rsidRPr="00435A6A">
        <w:rPr>
          <w:rFonts w:ascii="Verdana" w:hAnsi="Verdana" w:cs="Arial"/>
          <w:sz w:val="14"/>
          <w:szCs w:val="14"/>
          <w:lang w:val="es-CO"/>
        </w:rPr>
        <w:t>Corte Constitucional. Sentencias: C-233 de 4 de abril de 2002. M.P: Álvaro Tafur Galvis; C-551 de 9 de julio de 2003. M.P: Eduardo Montealegre Lynnet; C-353 de 20 de mayo de 2009. M.P: Jorge Iván Palacio Palacio; C-541 de 30 de junio de 2010. M.P: Gabriel Eduardo Mendoza Martelo; entre otras.</w:t>
      </w:r>
    </w:p>
    <w:p w14:paraId="6A78352B" w14:textId="77777777" w:rsidR="00D766A0" w:rsidRPr="00435A6A" w:rsidRDefault="00D766A0" w:rsidP="00D766A0">
      <w:pPr>
        <w:pStyle w:val="Textonotapie"/>
        <w:ind w:firstLine="709"/>
        <w:jc w:val="both"/>
        <w:rPr>
          <w:rFonts w:ascii="Verdana" w:hAnsi="Verdana" w:cs="Arial"/>
          <w:sz w:val="14"/>
          <w:szCs w:val="14"/>
          <w:lang w:val="pt-PT"/>
        </w:rPr>
      </w:pPr>
    </w:p>
  </w:footnote>
  <w:footnote w:id="4">
    <w:p w14:paraId="209CA38A" w14:textId="77777777" w:rsidR="00D766A0" w:rsidRPr="00435A6A" w:rsidRDefault="00D766A0" w:rsidP="00D766A0">
      <w:pPr>
        <w:pStyle w:val="Textonotapie"/>
        <w:ind w:firstLine="709"/>
        <w:jc w:val="both"/>
        <w:rPr>
          <w:rFonts w:ascii="Verdana" w:hAnsi="Verdana" w:cs="Arial"/>
          <w:sz w:val="14"/>
          <w:szCs w:val="14"/>
          <w:lang w:val="es-CO"/>
        </w:rPr>
      </w:pPr>
      <w:r w:rsidRPr="00435A6A">
        <w:rPr>
          <w:rStyle w:val="Refdenotaalpie"/>
          <w:rFonts w:ascii="Verdana" w:hAnsi="Verdana" w:cs="Arial"/>
          <w:sz w:val="14"/>
          <w:szCs w:val="14"/>
        </w:rPr>
        <w:footnoteRef/>
      </w:r>
      <w:r w:rsidRPr="00435A6A">
        <w:rPr>
          <w:rFonts w:ascii="Verdana" w:hAnsi="Verdana" w:cs="Arial"/>
          <w:sz w:val="14"/>
          <w:szCs w:val="14"/>
          <w:lang w:val="es-CO"/>
        </w:rPr>
        <w:t xml:space="preserve"> Consejo de Estado. Sala de lo Contencioso Administrativo. Sección Primera. Sentencia de 3 de marzo de 2005. Radicado: </w:t>
      </w:r>
      <w:r w:rsidRPr="00435A6A">
        <w:rPr>
          <w:rFonts w:ascii="Verdana" w:hAnsi="Verdana" w:cs="Arial"/>
          <w:sz w:val="14"/>
          <w:szCs w:val="14"/>
          <w:lang w:val="es-ES"/>
        </w:rPr>
        <w:t xml:space="preserve">25001-23-15-000-2004-00823-01 (PI). </w:t>
      </w:r>
      <w:r w:rsidRPr="00435A6A">
        <w:rPr>
          <w:rFonts w:ascii="Verdana" w:hAnsi="Verdana" w:cs="Arial"/>
          <w:sz w:val="14"/>
          <w:szCs w:val="14"/>
          <w:lang w:val="es-CO"/>
        </w:rPr>
        <w:t>C.P: Camilo Arciniegas Andrade. Ver también, de la Sección Tercera. Sentencia de 22 de enero de 2002, expediente número 2001-0148-01 y, Sección Tercera. Sentencia de 20 de noviembre de 2001, expediente número 2001-0130-01(PI), entre otras.</w:t>
      </w:r>
    </w:p>
    <w:p w14:paraId="343AB4B5" w14:textId="77777777" w:rsidR="00D766A0" w:rsidRPr="00435A6A" w:rsidRDefault="00D766A0" w:rsidP="00D766A0">
      <w:pPr>
        <w:pStyle w:val="Textonotapie"/>
        <w:ind w:firstLine="709"/>
        <w:jc w:val="both"/>
        <w:rPr>
          <w:rFonts w:ascii="Verdana" w:hAnsi="Verdana" w:cs="Arial"/>
          <w:sz w:val="14"/>
          <w:szCs w:val="14"/>
          <w:lang w:val="es-CO"/>
        </w:rPr>
      </w:pPr>
    </w:p>
  </w:footnote>
  <w:footnote w:id="5">
    <w:p w14:paraId="4B3359D9" w14:textId="77777777" w:rsidR="00D766A0" w:rsidRPr="00435A6A" w:rsidRDefault="00D766A0" w:rsidP="00D766A0">
      <w:pPr>
        <w:pStyle w:val="Textonotapie"/>
        <w:ind w:firstLine="709"/>
        <w:jc w:val="both"/>
        <w:rPr>
          <w:rFonts w:ascii="Verdana" w:hAnsi="Verdana" w:cs="Arial"/>
          <w:sz w:val="14"/>
          <w:szCs w:val="14"/>
        </w:rPr>
      </w:pPr>
      <w:r w:rsidRPr="00435A6A">
        <w:rPr>
          <w:rStyle w:val="Refdenotaalpie"/>
          <w:rFonts w:ascii="Verdana" w:hAnsi="Verdana" w:cs="Arial"/>
          <w:sz w:val="14"/>
          <w:szCs w:val="14"/>
        </w:rPr>
        <w:footnoteRef/>
      </w:r>
      <w:r w:rsidRPr="00435A6A">
        <w:rPr>
          <w:rFonts w:ascii="Verdana" w:hAnsi="Verdana" w:cs="Arial"/>
          <w:sz w:val="14"/>
          <w:szCs w:val="14"/>
        </w:rPr>
        <w:t xml:space="preserve"> Consejo de Estado, Sala de Consulta y Servicio Civil. 24 de julio de 2013. Radicado: </w:t>
      </w:r>
      <w:r w:rsidRPr="00435A6A">
        <w:rPr>
          <w:rFonts w:ascii="Verdana" w:hAnsi="Verdana" w:cs="Arial"/>
          <w:sz w:val="14"/>
          <w:szCs w:val="14"/>
          <w:lang w:val="es-CO"/>
        </w:rPr>
        <w:t xml:space="preserve">11001-03-06-000-2013-00407-00 </w:t>
      </w:r>
      <w:r w:rsidRPr="00435A6A">
        <w:rPr>
          <w:rFonts w:ascii="Verdana" w:hAnsi="Verdana" w:cs="Arial"/>
          <w:sz w:val="14"/>
          <w:szCs w:val="14"/>
        </w:rPr>
        <w:t xml:space="preserve">(2166). C.P. Álvaro Namén Vargas.  </w:t>
      </w:r>
    </w:p>
    <w:p w14:paraId="0C0AA85C" w14:textId="77777777" w:rsidR="00D766A0" w:rsidRPr="00435A6A" w:rsidRDefault="00D766A0" w:rsidP="00D766A0">
      <w:pPr>
        <w:pStyle w:val="Textonotapie"/>
        <w:ind w:firstLine="709"/>
        <w:jc w:val="both"/>
        <w:rPr>
          <w:rFonts w:ascii="Verdana" w:hAnsi="Verdana" w:cs="Arial"/>
          <w:sz w:val="14"/>
          <w:szCs w:val="14"/>
        </w:rPr>
      </w:pPr>
    </w:p>
  </w:footnote>
  <w:footnote w:id="6">
    <w:p w14:paraId="0FE992B0" w14:textId="77777777" w:rsidR="00D766A0" w:rsidRPr="00435A6A" w:rsidRDefault="00D766A0" w:rsidP="00D766A0">
      <w:pPr>
        <w:spacing w:after="0" w:line="240" w:lineRule="auto"/>
        <w:ind w:firstLine="709"/>
        <w:jc w:val="both"/>
        <w:rPr>
          <w:rFonts w:ascii="Verdana" w:eastAsia="Times New Roman" w:hAnsi="Verdana" w:cs="Arial"/>
          <w:sz w:val="14"/>
          <w:szCs w:val="14"/>
        </w:rPr>
      </w:pPr>
      <w:r w:rsidRPr="00435A6A">
        <w:rPr>
          <w:rStyle w:val="Refdenotaalpie"/>
          <w:rFonts w:ascii="Verdana" w:hAnsi="Verdana" w:cs="Arial"/>
          <w:sz w:val="14"/>
          <w:szCs w:val="14"/>
        </w:rPr>
        <w:footnoteRef/>
      </w:r>
      <w:r w:rsidRPr="00435A6A">
        <w:rPr>
          <w:rFonts w:ascii="Verdana" w:hAnsi="Verdana" w:cs="Arial"/>
          <w:sz w:val="14"/>
          <w:szCs w:val="14"/>
        </w:rPr>
        <w:t xml:space="preserve"> </w:t>
      </w:r>
      <w:bookmarkStart w:id="1" w:name="33"/>
      <w:r w:rsidRPr="00435A6A">
        <w:rPr>
          <w:rFonts w:ascii="Verdana" w:eastAsia="Calibri" w:hAnsi="Verdana" w:cs="Arial"/>
          <w:color w:val="000000"/>
          <w:sz w:val="14"/>
          <w:szCs w:val="14"/>
        </w:rPr>
        <w:t>“</w:t>
      </w:r>
      <w:r w:rsidRPr="00435A6A">
        <w:rPr>
          <w:rFonts w:ascii="Verdana" w:eastAsia="Times New Roman" w:hAnsi="Verdana" w:cs="Arial"/>
          <w:sz w:val="14"/>
          <w:szCs w:val="14"/>
        </w:rPr>
        <w:t>Artículo 33. Restricciones a la contratación pública.</w:t>
      </w:r>
      <w:bookmarkEnd w:id="1"/>
      <w:r w:rsidRPr="00435A6A">
        <w:rPr>
          <w:rFonts w:ascii="Verdana" w:eastAsia="Times New Roman" w:hAnsi="Verdana" w:cs="Arial"/>
          <w:sz w:val="14"/>
          <w:szCs w:val="14"/>
        </w:rPr>
        <w:t> Durante los cuatro (4) meses anteriores a la elección presidencial y hasta la realización de la elección en la segunda vuelta, si fuere el caso, queda prohibida la contratación directa por parte de todos los entes del Estado.</w:t>
      </w:r>
    </w:p>
    <w:p w14:paraId="0EAD256F" w14:textId="77777777" w:rsidR="00D766A0" w:rsidRPr="00435A6A" w:rsidRDefault="00D766A0" w:rsidP="00D766A0">
      <w:pPr>
        <w:spacing w:after="0" w:line="240" w:lineRule="auto"/>
        <w:ind w:firstLine="709"/>
        <w:jc w:val="both"/>
        <w:rPr>
          <w:rFonts w:ascii="Verdana" w:eastAsia="Times New Roman" w:hAnsi="Verdana" w:cs="Arial"/>
          <w:sz w:val="14"/>
          <w:szCs w:val="14"/>
        </w:rPr>
      </w:pPr>
      <w:r w:rsidRPr="00435A6A">
        <w:rPr>
          <w:rFonts w:ascii="Verdana" w:eastAsia="Times New Roman" w:hAnsi="Verdana" w:cs="Arial"/>
          <w:sz w:val="14"/>
          <w:szCs w:val="14"/>
        </w:rPr>
        <w:t>Queda exceptuado 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p>
    <w:p w14:paraId="2381CF58" w14:textId="77777777" w:rsidR="00D766A0" w:rsidRPr="00435A6A" w:rsidRDefault="00D766A0" w:rsidP="00D766A0">
      <w:pPr>
        <w:spacing w:after="0" w:line="240" w:lineRule="auto"/>
        <w:ind w:firstLine="709"/>
        <w:jc w:val="both"/>
        <w:rPr>
          <w:rFonts w:ascii="Verdana" w:eastAsia="Times New Roman" w:hAnsi="Verdana" w:cs="Arial"/>
          <w:sz w:val="14"/>
          <w:szCs w:val="14"/>
        </w:rPr>
      </w:pPr>
    </w:p>
  </w:footnote>
  <w:footnote w:id="7">
    <w:p w14:paraId="45FC2967" w14:textId="77777777" w:rsidR="00D766A0" w:rsidRPr="00435A6A" w:rsidRDefault="00D766A0" w:rsidP="00D766A0">
      <w:pPr>
        <w:pStyle w:val="NormalWeb"/>
        <w:spacing w:before="0" w:beforeAutospacing="0" w:after="0" w:afterAutospacing="0"/>
        <w:ind w:firstLine="709"/>
        <w:jc w:val="both"/>
        <w:rPr>
          <w:rFonts w:ascii="Verdana" w:hAnsi="Verdana" w:cs="Arial"/>
          <w:sz w:val="14"/>
          <w:szCs w:val="14"/>
          <w:lang w:val="es-MX"/>
        </w:rPr>
      </w:pPr>
      <w:r w:rsidRPr="00435A6A">
        <w:rPr>
          <w:rStyle w:val="Refdenotaalpie"/>
          <w:rFonts w:ascii="Verdana" w:eastAsiaTheme="majorEastAsia" w:hAnsi="Verdana" w:cs="Arial"/>
          <w:sz w:val="14"/>
          <w:szCs w:val="14"/>
        </w:rPr>
        <w:footnoteRef/>
      </w:r>
      <w:r w:rsidRPr="00435A6A">
        <w:rPr>
          <w:rFonts w:ascii="Verdana" w:hAnsi="Verdana" w:cs="Arial"/>
          <w:sz w:val="14"/>
          <w:szCs w:val="14"/>
        </w:rPr>
        <w:t xml:space="preserve"> </w:t>
      </w:r>
      <w:bookmarkStart w:id="2" w:name="38"/>
      <w:r w:rsidRPr="00435A6A">
        <w:rPr>
          <w:rFonts w:ascii="Verdana" w:eastAsia="Calibri" w:hAnsi="Verdana" w:cs="Arial"/>
          <w:color w:val="000000"/>
          <w:sz w:val="14"/>
          <w:szCs w:val="14"/>
        </w:rPr>
        <w:t>“</w:t>
      </w:r>
      <w:r w:rsidRPr="00435A6A">
        <w:rPr>
          <w:rFonts w:ascii="Verdana" w:hAnsi="Verdana" w:cs="Arial"/>
          <w:sz w:val="14"/>
          <w:szCs w:val="14"/>
          <w:lang w:val="es-MX"/>
        </w:rPr>
        <w:t>Artículo 38. Prohibiciones para los servidores públicos. A los empleados del Estado les está prohibido:</w:t>
      </w:r>
      <w:bookmarkEnd w:id="2"/>
    </w:p>
    <w:p w14:paraId="75CD245D" w14:textId="77777777" w:rsidR="00D766A0" w:rsidRPr="00435A6A" w:rsidRDefault="00D766A0" w:rsidP="00D766A0">
      <w:pPr>
        <w:pStyle w:val="NormalWeb"/>
        <w:spacing w:before="0" w:beforeAutospacing="0" w:after="0" w:afterAutospacing="0"/>
        <w:ind w:firstLine="709"/>
        <w:jc w:val="both"/>
        <w:rPr>
          <w:rFonts w:ascii="Verdana" w:hAnsi="Verdana" w:cs="Arial"/>
          <w:sz w:val="14"/>
          <w:szCs w:val="14"/>
          <w:lang w:val="es-MX"/>
        </w:rPr>
      </w:pPr>
      <w:r w:rsidRPr="00435A6A">
        <w:rPr>
          <w:rFonts w:ascii="Verdana" w:hAnsi="Verdana" w:cs="Arial"/>
          <w:sz w:val="14"/>
          <w:szCs w:val="14"/>
          <w:lang w:val="es-MX"/>
        </w:rPr>
        <w:t>(…)</w:t>
      </w:r>
    </w:p>
    <w:p w14:paraId="59F8FCB8" w14:textId="77777777" w:rsidR="00D766A0" w:rsidRPr="00435A6A" w:rsidRDefault="00D766A0" w:rsidP="00D766A0">
      <w:pPr>
        <w:pStyle w:val="NormalWeb"/>
        <w:spacing w:before="0" w:beforeAutospacing="0" w:after="0" w:afterAutospacing="0"/>
        <w:ind w:firstLine="709"/>
        <w:jc w:val="both"/>
        <w:rPr>
          <w:rFonts w:ascii="Verdana" w:eastAsia="Calibri" w:hAnsi="Verdana" w:cs="Arial"/>
          <w:color w:val="000000"/>
          <w:sz w:val="14"/>
          <w:szCs w:val="14"/>
        </w:rPr>
      </w:pPr>
      <w:r w:rsidRPr="00435A6A">
        <w:rPr>
          <w:rStyle w:val="baj"/>
          <w:rFonts w:ascii="Verdana" w:hAnsi="Verdana" w:cs="Arial"/>
          <w:sz w:val="14"/>
          <w:szCs w:val="14"/>
          <w:lang w:val="es-MX"/>
        </w:rPr>
        <w:t>Parágrafo.</w:t>
      </w:r>
      <w:r w:rsidRPr="00435A6A">
        <w:rPr>
          <w:rFonts w:ascii="Verdana" w:hAnsi="Verdana" w:cs="Arial"/>
          <w:sz w:val="14"/>
          <w:szCs w:val="14"/>
          <w:lang w:val="es-MX"/>
        </w:rPr>
        <w:t> Los gobernadores, alcaldes municipales y/o distritales, secretarios, gerentes y directores de entidades descentralizadas del orden municipal, departamental o distrital, dentro de los cuatro (4) meses anteriores a las elecciones, no podrán celebrar convenios interadministrativos para la ejecución de recursos públicos, ni participar, promover y destinar recursos públicos de las entidades a su cargo, como tampoco de las que participen como miembros de sus juntas directivas, en o para reuniones de carácter proselitista</w:t>
      </w:r>
      <w:r w:rsidRPr="00435A6A">
        <w:rPr>
          <w:rFonts w:ascii="Verdana" w:eastAsia="Calibri" w:hAnsi="Verdana" w:cs="Arial"/>
          <w:color w:val="000000"/>
          <w:sz w:val="14"/>
          <w:szCs w:val="14"/>
        </w:rPr>
        <w:t>”.</w:t>
      </w:r>
    </w:p>
    <w:p w14:paraId="4003FF47" w14:textId="77777777" w:rsidR="00D766A0" w:rsidRPr="00435A6A" w:rsidRDefault="00D766A0" w:rsidP="00D766A0">
      <w:pPr>
        <w:pStyle w:val="NormalWeb"/>
        <w:spacing w:before="0" w:beforeAutospacing="0" w:after="0" w:afterAutospacing="0"/>
        <w:ind w:firstLine="709"/>
        <w:jc w:val="both"/>
        <w:rPr>
          <w:rFonts w:ascii="Verdana" w:hAnsi="Verdana" w:cs="Arial"/>
          <w:sz w:val="14"/>
          <w:szCs w:val="14"/>
          <w:lang w:val="es-MX"/>
        </w:rPr>
      </w:pPr>
    </w:p>
  </w:footnote>
  <w:footnote w:id="8">
    <w:p w14:paraId="746517DD" w14:textId="77777777" w:rsidR="00D766A0" w:rsidRDefault="00D766A0" w:rsidP="00D766A0">
      <w:pPr>
        <w:pStyle w:val="Textonotapie"/>
        <w:ind w:firstLine="709"/>
        <w:jc w:val="both"/>
        <w:rPr>
          <w:rFonts w:ascii="Verdana" w:hAnsi="Verdana" w:cs="Arial"/>
          <w:sz w:val="14"/>
          <w:szCs w:val="14"/>
        </w:rPr>
      </w:pPr>
      <w:r w:rsidRPr="00FB5770">
        <w:rPr>
          <w:rStyle w:val="Refdenotaalpie"/>
          <w:rFonts w:ascii="Verdana" w:hAnsi="Verdana" w:cs="Arial"/>
          <w:sz w:val="14"/>
          <w:szCs w:val="14"/>
        </w:rPr>
        <w:footnoteRef/>
      </w:r>
      <w:r w:rsidRPr="00FB5770">
        <w:rPr>
          <w:rFonts w:ascii="Verdana" w:hAnsi="Verdana" w:cs="Arial"/>
          <w:sz w:val="14"/>
          <w:szCs w:val="14"/>
        </w:rPr>
        <w:t xml:space="preserve"> La Corte Constitucional mediante Sentencia C-1153-05 de 11 de noviembre de 2005, Magistrado Ponente Marco Gerardo Monroy Cabra, efectuó el Control constitucional al Proyecto de Ley Estatutaria N° 216/05 Senado, N° 235-Cámara que dio lugar a la Ley de Garantías Electorales.</w:t>
      </w:r>
    </w:p>
    <w:p w14:paraId="655167A7" w14:textId="77777777" w:rsidR="00D766A0" w:rsidRPr="00FB5770" w:rsidRDefault="00D766A0" w:rsidP="00D766A0">
      <w:pPr>
        <w:pStyle w:val="Textonotapie"/>
        <w:ind w:firstLine="709"/>
        <w:jc w:val="both"/>
        <w:rPr>
          <w:rFonts w:ascii="Verdana" w:hAnsi="Verdana" w:cs="Arial"/>
          <w:sz w:val="14"/>
          <w:szCs w:val="14"/>
        </w:rPr>
      </w:pPr>
    </w:p>
  </w:footnote>
  <w:footnote w:id="9">
    <w:p w14:paraId="7F0260EF" w14:textId="77777777" w:rsidR="00D766A0" w:rsidRDefault="00D766A0" w:rsidP="00D766A0">
      <w:pPr>
        <w:pStyle w:val="Textonotapie"/>
        <w:ind w:firstLine="708"/>
        <w:jc w:val="both"/>
        <w:rPr>
          <w:rFonts w:ascii="Verdana" w:hAnsi="Verdana" w:cs="Arial"/>
          <w:sz w:val="14"/>
          <w:szCs w:val="14"/>
        </w:rPr>
      </w:pPr>
      <w:r w:rsidRPr="00FB5770">
        <w:rPr>
          <w:rStyle w:val="Refdenotaalpie"/>
          <w:rFonts w:ascii="Verdana" w:hAnsi="Verdana" w:cs="Arial"/>
          <w:sz w:val="14"/>
          <w:szCs w:val="14"/>
        </w:rPr>
        <w:footnoteRef/>
      </w:r>
      <w:r w:rsidRPr="00FB5770">
        <w:rPr>
          <w:rFonts w:ascii="Verdana" w:hAnsi="Verdana" w:cs="Arial"/>
          <w:sz w:val="14"/>
          <w:szCs w:val="14"/>
        </w:rPr>
        <w:t xml:space="preserve"> Consejo de Estado. Sala de Consulta y Servicio Civil. Concepto del 18 de febrero 2010. Rad. 11001-03-06-000-2010-00006-00 (1985). C.P. Enrique José Arboleda Perdomo.</w:t>
      </w:r>
    </w:p>
    <w:p w14:paraId="194DA6EA" w14:textId="77777777" w:rsidR="00D766A0" w:rsidRPr="00FB5770" w:rsidRDefault="00D766A0" w:rsidP="00D766A0">
      <w:pPr>
        <w:pStyle w:val="Textonotapie"/>
        <w:ind w:firstLine="708"/>
        <w:jc w:val="both"/>
        <w:rPr>
          <w:rFonts w:ascii="Verdana" w:hAnsi="Verdana" w:cs="Arial"/>
          <w:sz w:val="14"/>
          <w:szCs w:val="14"/>
        </w:rPr>
      </w:pPr>
    </w:p>
  </w:footnote>
  <w:footnote w:id="10">
    <w:p w14:paraId="53091CAC" w14:textId="77777777" w:rsidR="00D766A0" w:rsidRPr="00FB5770" w:rsidRDefault="00D766A0" w:rsidP="00D766A0">
      <w:pPr>
        <w:pStyle w:val="Textonotapie"/>
        <w:ind w:firstLine="708"/>
        <w:jc w:val="both"/>
        <w:rPr>
          <w:rFonts w:ascii="Verdana" w:hAnsi="Verdana" w:cs="Arial"/>
          <w:sz w:val="14"/>
          <w:szCs w:val="14"/>
        </w:rPr>
      </w:pPr>
      <w:r w:rsidRPr="00FB5770">
        <w:rPr>
          <w:rStyle w:val="Refdenotaalpie"/>
          <w:rFonts w:ascii="Verdana" w:hAnsi="Verdana" w:cs="Arial"/>
          <w:sz w:val="14"/>
          <w:szCs w:val="14"/>
        </w:rPr>
        <w:footnoteRef/>
      </w:r>
      <w:r w:rsidRPr="00FB5770">
        <w:rPr>
          <w:rFonts w:ascii="Verdana" w:hAnsi="Verdana" w:cs="Arial"/>
          <w:sz w:val="14"/>
          <w:szCs w:val="14"/>
        </w:rPr>
        <w:t xml:space="preserve"> Corte Constitucional. Sentencia C-1153 de 2005 M.P. Marco Gerardo Monroy Cabra. </w:t>
      </w:r>
    </w:p>
    <w:p w14:paraId="1F9DDF22" w14:textId="77777777" w:rsidR="00D766A0" w:rsidRPr="00FB5770" w:rsidRDefault="00D766A0" w:rsidP="00D766A0">
      <w:pPr>
        <w:pStyle w:val="Textonotapie"/>
        <w:ind w:firstLine="708"/>
        <w:jc w:val="both"/>
        <w:rPr>
          <w:rFonts w:ascii="Verdana" w:hAnsi="Verdana" w:cs="Arial"/>
          <w:sz w:val="14"/>
          <w:szCs w:val="14"/>
        </w:rPr>
      </w:pPr>
    </w:p>
  </w:footnote>
  <w:footnote w:id="11">
    <w:p w14:paraId="0685DD5E" w14:textId="77777777" w:rsidR="00D766A0" w:rsidRDefault="00D766A0" w:rsidP="00D766A0">
      <w:pPr>
        <w:pStyle w:val="Textonotapie"/>
        <w:ind w:firstLine="709"/>
        <w:contextualSpacing/>
        <w:jc w:val="both"/>
        <w:rPr>
          <w:rFonts w:ascii="Verdana" w:hAnsi="Verdana" w:cs="Arial"/>
          <w:sz w:val="14"/>
          <w:szCs w:val="14"/>
        </w:rPr>
      </w:pPr>
      <w:r w:rsidRPr="00FB5770">
        <w:rPr>
          <w:rStyle w:val="Refdenotaalpie"/>
          <w:rFonts w:ascii="Verdana" w:hAnsi="Verdana"/>
          <w:sz w:val="14"/>
          <w:szCs w:val="14"/>
        </w:rPr>
        <w:footnoteRef/>
      </w:r>
      <w:r w:rsidRPr="00FB5770">
        <w:rPr>
          <w:rFonts w:ascii="Verdana" w:hAnsi="Verdana"/>
          <w:sz w:val="14"/>
          <w:szCs w:val="14"/>
        </w:rPr>
        <w:t xml:space="preserve"> </w:t>
      </w:r>
      <w:r w:rsidRPr="00FB5770">
        <w:rPr>
          <w:rFonts w:ascii="Verdana" w:hAnsi="Verdana" w:cs="Arial"/>
          <w:sz w:val="14"/>
          <w:szCs w:val="14"/>
        </w:rPr>
        <w:t>Consejo de Estado. Sala de lo Contencioso Administrativo. Sección Tercera. Sentencia del 21 de febrero de 2025. Exp. 68.280. CP: José Roberto Sáchica Méndez.</w:t>
      </w:r>
    </w:p>
    <w:p w14:paraId="588A1399" w14:textId="77777777" w:rsidR="00D766A0" w:rsidRPr="009D0D83" w:rsidRDefault="00D766A0" w:rsidP="00D766A0">
      <w:pPr>
        <w:pStyle w:val="Textonotapie"/>
        <w:ind w:firstLine="709"/>
        <w:contextualSpacing/>
        <w:jc w:val="both"/>
        <w:rPr>
          <w:rFonts w:ascii="Verdana" w:hAnsi="Verdana" w:cs="Arial"/>
          <w:sz w:val="16"/>
          <w:szCs w:val="16"/>
        </w:rPr>
      </w:pPr>
    </w:p>
  </w:footnote>
  <w:footnote w:id="12">
    <w:p w14:paraId="441EB41E" w14:textId="77777777" w:rsidR="00D766A0" w:rsidRPr="00FB5770" w:rsidRDefault="00D766A0" w:rsidP="00D766A0">
      <w:pPr>
        <w:pStyle w:val="Textonotapie"/>
        <w:ind w:firstLine="709"/>
        <w:contextualSpacing/>
        <w:jc w:val="both"/>
        <w:rPr>
          <w:rFonts w:ascii="Verdana" w:hAnsi="Verdana" w:cs="Arial"/>
          <w:sz w:val="14"/>
          <w:szCs w:val="14"/>
        </w:rPr>
      </w:pPr>
      <w:r w:rsidRPr="00FB5770">
        <w:rPr>
          <w:rFonts w:ascii="Verdana" w:hAnsi="Verdana"/>
          <w:sz w:val="14"/>
          <w:szCs w:val="14"/>
          <w:vertAlign w:val="superscript"/>
        </w:rPr>
        <w:footnoteRef/>
      </w:r>
      <w:r w:rsidRPr="00FB5770">
        <w:rPr>
          <w:rFonts w:ascii="Verdana" w:hAnsi="Verdana"/>
          <w:sz w:val="14"/>
          <w:szCs w:val="14"/>
          <w:vertAlign w:val="superscript"/>
        </w:rPr>
        <w:t xml:space="preserve"> </w:t>
      </w:r>
      <w:r w:rsidRPr="00FB5770">
        <w:rPr>
          <w:rFonts w:ascii="Verdana" w:hAnsi="Verdana" w:cs="Arial"/>
          <w:sz w:val="14"/>
          <w:szCs w:val="14"/>
        </w:rPr>
        <w:t>Ley 1150 de 2007: Artículo 2, numeral 4, literal c. […] Se exceptúan los contratos de obra, suministro, prestación de servicios de evaluación de conformidad respecto de las normas o reglamentos técnicos, encargos fiduciarios y fiducia pública cuando las instituciones de educación superior públicas o las Sociedades de Economía Mixta con participación mayoritaria del Estado, o las personas jurídicas sin ánimo de lucro conformadas por la asociación de entidades públicas, o las federaciones de entidades territoriales sean las ejecutoras. Estos contratos podrán ser ejecutados por las mismas, siempre que participen en procesos de licitación pública o contratación abreviada de acuerdo con lo dispuesto por los numerales 1 y 2 del presente artículo.</w:t>
      </w:r>
    </w:p>
    <w:p w14:paraId="68F0AD13" w14:textId="77777777" w:rsidR="00D766A0" w:rsidRPr="00FB5770" w:rsidRDefault="00D766A0" w:rsidP="00D766A0">
      <w:pPr>
        <w:pStyle w:val="Textonotapie"/>
        <w:ind w:firstLine="709"/>
        <w:contextualSpacing/>
        <w:jc w:val="both"/>
        <w:rPr>
          <w:rFonts w:ascii="Verdana" w:hAnsi="Verdana" w:cs="Arial"/>
          <w:sz w:val="14"/>
          <w:szCs w:val="14"/>
        </w:rPr>
      </w:pPr>
    </w:p>
  </w:footnote>
  <w:footnote w:id="13">
    <w:p w14:paraId="742CAB5C" w14:textId="77777777" w:rsidR="00D766A0" w:rsidRPr="00FB5770" w:rsidRDefault="00D766A0" w:rsidP="00D766A0">
      <w:pPr>
        <w:pStyle w:val="Textonotapie"/>
        <w:ind w:firstLine="709"/>
        <w:contextualSpacing/>
        <w:jc w:val="both"/>
        <w:rPr>
          <w:rFonts w:ascii="Verdana" w:hAnsi="Verdana" w:cs="Arial"/>
          <w:sz w:val="14"/>
          <w:szCs w:val="14"/>
        </w:rPr>
      </w:pPr>
      <w:r w:rsidRPr="00FB5770">
        <w:rPr>
          <w:rFonts w:ascii="Verdana" w:hAnsi="Verdana"/>
          <w:sz w:val="14"/>
          <w:szCs w:val="14"/>
          <w:vertAlign w:val="superscript"/>
        </w:rPr>
        <w:footnoteRef/>
      </w:r>
      <w:r w:rsidRPr="00FB5770">
        <w:rPr>
          <w:rFonts w:ascii="Verdana" w:hAnsi="Verdana" w:cs="Arial"/>
          <w:sz w:val="14"/>
          <w:szCs w:val="14"/>
          <w:vertAlign w:val="superscript"/>
        </w:rPr>
        <w:t xml:space="preserve"> </w:t>
      </w:r>
      <w:r w:rsidRPr="00FB5770">
        <w:rPr>
          <w:rFonts w:ascii="Verdana" w:hAnsi="Verdana" w:cs="Arial"/>
          <w:sz w:val="14"/>
          <w:szCs w:val="14"/>
        </w:rPr>
        <w:t>Ley 80 de 1993: “Artículo 41. Del perfeccionamiento del contrato. Los contratos del Estado se perfeccionan cuando se logre acuerdo sobre el objeto y la contraprestación y éste se eleve a escrito.</w:t>
      </w:r>
    </w:p>
    <w:p w14:paraId="70B6D31E" w14:textId="77777777" w:rsidR="00D766A0" w:rsidRPr="00FB5770" w:rsidRDefault="00D766A0" w:rsidP="00D766A0">
      <w:pPr>
        <w:pStyle w:val="Textonotapie"/>
        <w:ind w:firstLine="709"/>
        <w:contextualSpacing/>
        <w:jc w:val="both"/>
        <w:rPr>
          <w:rFonts w:ascii="Verdana" w:hAnsi="Verdana" w:cs="Arial"/>
          <w:sz w:val="14"/>
          <w:szCs w:val="14"/>
        </w:rPr>
      </w:pPr>
    </w:p>
  </w:footnote>
  <w:footnote w:id="14">
    <w:p w14:paraId="30CE18EA" w14:textId="77777777" w:rsidR="00D766A0" w:rsidRPr="00FB5770" w:rsidRDefault="00D766A0" w:rsidP="00D766A0">
      <w:pPr>
        <w:pStyle w:val="Textonotapie"/>
        <w:ind w:firstLine="708"/>
        <w:jc w:val="both"/>
        <w:rPr>
          <w:rFonts w:ascii="Verdana" w:hAnsi="Verdana"/>
          <w:sz w:val="14"/>
          <w:szCs w:val="14"/>
          <w:lang w:val="es-ES"/>
        </w:rPr>
      </w:pPr>
      <w:r w:rsidRPr="00FB5770">
        <w:rPr>
          <w:rStyle w:val="Refdenotaalpie"/>
          <w:rFonts w:ascii="Verdana" w:hAnsi="Verdana"/>
          <w:sz w:val="14"/>
          <w:szCs w:val="14"/>
        </w:rPr>
        <w:footnoteRef/>
      </w:r>
      <w:r w:rsidRPr="00FB5770">
        <w:rPr>
          <w:rFonts w:ascii="Verdana" w:hAnsi="Verdana"/>
          <w:sz w:val="14"/>
          <w:szCs w:val="14"/>
        </w:rPr>
        <w:t xml:space="preserve"> </w:t>
      </w:r>
      <w:r w:rsidRPr="00FB5770">
        <w:rPr>
          <w:rFonts w:ascii="Verdana" w:hAnsi="Verdana"/>
          <w:sz w:val="14"/>
          <w:szCs w:val="14"/>
          <w:lang w:val="es-ES"/>
        </w:rPr>
        <w:t xml:space="preserve">La doctrina chilena ilustra su aplicación en los siguientes términos: “La ley se ha de entender general e indistintamente. Cuando la ley no hace excepción alguna, pudiendo haberla hecho, no podemos separarnos de su disposición general por medio de una distinción que ella no ha formulado. </w:t>
      </w:r>
      <w:r w:rsidRPr="00FB5770">
        <w:rPr>
          <w:rFonts w:ascii="Verdana" w:hAnsi="Verdana"/>
          <w:i/>
          <w:iCs/>
          <w:sz w:val="14"/>
          <w:szCs w:val="14"/>
          <w:lang w:val="es-ES"/>
        </w:rPr>
        <w:t>Ubi lex non distinguit nec nos distinguere debemus</w:t>
      </w:r>
      <w:r w:rsidRPr="00FB5770">
        <w:rPr>
          <w:rFonts w:ascii="Verdana" w:hAnsi="Verdana"/>
          <w:sz w:val="14"/>
          <w:szCs w:val="14"/>
          <w:lang w:val="es-ES"/>
        </w:rPr>
        <w:t>, ‘donde la ley no distingue no puede el hombre distinguir’. ‘La extensión que deba dársele a la ley se determinará por su genuino sentido y según las reglas de interpretación precedentes’, dice el artículo 23.</w:t>
      </w:r>
    </w:p>
    <w:p w14:paraId="6D9E9BF3" w14:textId="77777777" w:rsidR="00D766A0" w:rsidRDefault="00D766A0" w:rsidP="00D766A0">
      <w:pPr>
        <w:pStyle w:val="Textonotapie"/>
        <w:ind w:firstLine="708"/>
        <w:jc w:val="both"/>
        <w:rPr>
          <w:rFonts w:ascii="Verdana" w:hAnsi="Verdana"/>
          <w:sz w:val="14"/>
          <w:szCs w:val="14"/>
        </w:rPr>
      </w:pPr>
      <w:r w:rsidRPr="00FB5770">
        <w:rPr>
          <w:rFonts w:ascii="Verdana" w:hAnsi="Verdana"/>
          <w:sz w:val="14"/>
          <w:szCs w:val="14"/>
          <w:lang w:val="es-ES"/>
        </w:rPr>
        <w:t xml:space="preserve">En el derecho antiguo y en el derecho canónico se distinguían las leyes en favorables y odiosas, para ampliar o restringir su interpretación. </w:t>
      </w:r>
      <w:r w:rsidRPr="00FB5770">
        <w:rPr>
          <w:rFonts w:ascii="Verdana" w:hAnsi="Verdana"/>
          <w:i/>
          <w:iCs/>
          <w:sz w:val="14"/>
          <w:szCs w:val="14"/>
          <w:lang w:val="es-ES"/>
        </w:rPr>
        <w:t>Odia restringí et favores convenit ampliari</w:t>
      </w:r>
      <w:r w:rsidRPr="00FB5770">
        <w:rPr>
          <w:rFonts w:ascii="Verdana" w:hAnsi="Verdana"/>
          <w:sz w:val="14"/>
          <w:szCs w:val="14"/>
          <w:lang w:val="es-ES"/>
        </w:rPr>
        <w:t xml:space="preserve">. Según esto se tomaban las palabras en su más amplia y extensa significación en materia favorable y se procuraba limitar en lo posible, en caso de duda, en materia odiosa. Estas reglas de aplicación de las leyes eran contrarias a los principios de una correcta interpretación, que no tiene otro objeto que reconstruir el pensamiento del legislador y llegar por este medio al conocimiento completo de la ley. Por este motivo el Código no las admite […]” (Cfr. </w:t>
      </w:r>
      <w:r w:rsidRPr="00FB5770">
        <w:rPr>
          <w:rFonts w:ascii="Verdana" w:hAnsi="Verdana"/>
          <w:sz w:val="14"/>
          <w:szCs w:val="14"/>
        </w:rPr>
        <w:t>CLARO SOLAR, Luis. Explicaciones de derecho civil chileno y comparado. Volumen I. Tomo I. Santiago: Editorial Jurídica de Chile, 2013. p. 119. Énfasis dentro del texto).</w:t>
      </w:r>
    </w:p>
    <w:p w14:paraId="78D1BC66" w14:textId="77777777" w:rsidR="00D766A0" w:rsidRPr="00FB5770" w:rsidRDefault="00D766A0" w:rsidP="00D766A0">
      <w:pPr>
        <w:pStyle w:val="Textonotapie"/>
        <w:ind w:firstLine="708"/>
        <w:jc w:val="both"/>
        <w:rPr>
          <w:rFonts w:ascii="Verdana" w:hAnsi="Verdana"/>
          <w:sz w:val="14"/>
          <w:szCs w:val="14"/>
          <w:lang w:val="es-CO"/>
        </w:rPr>
      </w:pPr>
    </w:p>
  </w:footnote>
  <w:footnote w:id="15">
    <w:p w14:paraId="21359077" w14:textId="77777777" w:rsidR="00D766A0" w:rsidRPr="00FB5770" w:rsidRDefault="00D766A0" w:rsidP="00D766A0">
      <w:pPr>
        <w:spacing w:after="0" w:line="240" w:lineRule="auto"/>
        <w:ind w:firstLine="709"/>
        <w:jc w:val="both"/>
        <w:rPr>
          <w:rFonts w:ascii="Verdana" w:hAnsi="Verdana" w:cs="Arial"/>
          <w:sz w:val="14"/>
          <w:szCs w:val="14"/>
          <w:lang w:eastAsia="es-ES"/>
        </w:rPr>
      </w:pPr>
      <w:r w:rsidRPr="00FB5770">
        <w:rPr>
          <w:rStyle w:val="Refdenotaalpie"/>
          <w:rFonts w:ascii="Verdana" w:hAnsi="Verdana"/>
          <w:sz w:val="14"/>
          <w:szCs w:val="14"/>
        </w:rPr>
        <w:footnoteRef/>
      </w:r>
      <w:r w:rsidRPr="00FB5770">
        <w:rPr>
          <w:rFonts w:ascii="Verdana" w:hAnsi="Verdana"/>
          <w:sz w:val="14"/>
          <w:szCs w:val="14"/>
        </w:rPr>
        <w:t xml:space="preserve"> Consejo de Estado. Sala de lo Contencioso Administrativo. Sección Tercera. Subsección B. Auto del 4 de octubre de 2024. Exp. 70.313. C.P: Fredy Ibarra Martínez.</w:t>
      </w:r>
    </w:p>
    <w:p w14:paraId="1EF3DF01" w14:textId="77777777" w:rsidR="00D766A0" w:rsidRPr="00FB5770" w:rsidRDefault="00D766A0" w:rsidP="00D766A0">
      <w:pPr>
        <w:pStyle w:val="Textonotapie"/>
        <w:ind w:firstLine="709"/>
        <w:contextualSpacing/>
        <w:jc w:val="both"/>
        <w:rPr>
          <w:rFonts w:ascii="Verdana" w:hAnsi="Verdana"/>
          <w:sz w:val="14"/>
          <w:szCs w:val="14"/>
          <w:lang w:val="es-CO"/>
        </w:rPr>
      </w:pPr>
    </w:p>
  </w:footnote>
  <w:footnote w:id="16">
    <w:p w14:paraId="0CBEDE91" w14:textId="77777777" w:rsidR="00D766A0" w:rsidRPr="00FB5770" w:rsidRDefault="00D766A0" w:rsidP="00D766A0">
      <w:pPr>
        <w:pStyle w:val="Textonotapie"/>
        <w:ind w:firstLine="709"/>
        <w:contextualSpacing/>
        <w:jc w:val="both"/>
        <w:rPr>
          <w:rFonts w:ascii="Verdana" w:hAnsi="Verdana"/>
          <w:sz w:val="14"/>
          <w:szCs w:val="14"/>
          <w:lang w:val="es-CO"/>
        </w:rPr>
      </w:pPr>
      <w:r w:rsidRPr="00FB5770">
        <w:rPr>
          <w:rStyle w:val="Refdenotaalpie"/>
          <w:rFonts w:ascii="Verdana" w:hAnsi="Verdana"/>
          <w:sz w:val="14"/>
          <w:szCs w:val="14"/>
        </w:rPr>
        <w:footnoteRef/>
      </w:r>
      <w:r w:rsidRPr="00FB5770">
        <w:rPr>
          <w:rFonts w:ascii="Verdana" w:hAnsi="Verdana"/>
          <w:sz w:val="14"/>
          <w:szCs w:val="14"/>
        </w:rPr>
        <w:t xml:space="preserve"> La parte resolutiva del auto dispone lo siguiente; “</w:t>
      </w:r>
      <w:r w:rsidRPr="00FB5770">
        <w:rPr>
          <w:rFonts w:ascii="Verdana" w:hAnsi="Verdana"/>
          <w:b/>
          <w:sz w:val="14"/>
          <w:szCs w:val="14"/>
          <w:lang w:val="es-CO"/>
        </w:rPr>
        <w:t xml:space="preserve">PRIMERO: DECRETAR </w:t>
      </w:r>
      <w:r w:rsidRPr="00FB5770">
        <w:rPr>
          <w:rFonts w:ascii="Verdana" w:hAnsi="Verdana"/>
          <w:sz w:val="14"/>
          <w:szCs w:val="14"/>
          <w:lang w:val="es-CO"/>
        </w:rPr>
        <w:t xml:space="preserve">la suspensión provisional de los apartes cuestionados del inciso segundo del numeral 16.2 de la Circular Externa única, versión 3 del 27 de diciembre de 2023, expedida por la Agencia Nacional de Contratación Pública – Colombia Compra Eficiente, según el cual </w:t>
      </w:r>
      <w:r w:rsidRPr="00FB5770">
        <w:rPr>
          <w:rFonts w:ascii="Verdana" w:hAnsi="Verdana"/>
          <w:i/>
          <w:sz w:val="14"/>
          <w:szCs w:val="14"/>
          <w:lang w:val="es-CO"/>
        </w:rPr>
        <w:t>“[e]sta restricción es aplicable (…) como a los contratos interadministrativos, toda vez que, al no existir definición legal que diferencie el concepto de convenio del concepto de contrato, la denominación prevista por la Ley 80 de 1993 y la Ley 1150 de 2007 para tal fin se entenderán en el mismo sentido. Es así como el Decreto 1082 de 2015 trata indistintamente a los convenios y contratos interadministrativos, al establecer la contratación directa como la modalidad de selección para la contratación entre entidades públicas a través de estas dos figuras jurídicas”</w:t>
      </w:r>
      <w:r w:rsidRPr="00FB5770">
        <w:rPr>
          <w:rFonts w:ascii="Verdana" w:hAnsi="Verdana"/>
          <w:sz w:val="14"/>
          <w:szCs w:val="14"/>
          <w:lang w:val="es-CO"/>
        </w:rPr>
        <w:t xml:space="preserve">, por las razones expuestas en precedencia. </w:t>
      </w:r>
    </w:p>
    <w:p w14:paraId="116D12CE" w14:textId="77777777" w:rsidR="00D766A0" w:rsidRDefault="00D766A0" w:rsidP="00D766A0">
      <w:pPr>
        <w:pStyle w:val="Textonotapie"/>
        <w:ind w:firstLine="709"/>
        <w:contextualSpacing/>
        <w:jc w:val="both"/>
        <w:rPr>
          <w:rFonts w:ascii="Verdana" w:hAnsi="Verdana"/>
          <w:sz w:val="16"/>
          <w:szCs w:val="16"/>
          <w:lang w:val="es-CO"/>
        </w:rPr>
      </w:pPr>
      <w:r w:rsidRPr="00FB5770">
        <w:rPr>
          <w:rFonts w:ascii="Verdana" w:hAnsi="Verdana"/>
          <w:b/>
          <w:sz w:val="14"/>
          <w:szCs w:val="14"/>
          <w:lang w:val="es-CO"/>
        </w:rPr>
        <w:t xml:space="preserve">SEGUNDO: DECRETAR </w:t>
      </w:r>
      <w:r w:rsidRPr="00FB5770">
        <w:rPr>
          <w:rFonts w:ascii="Verdana" w:hAnsi="Verdana"/>
          <w:sz w:val="14"/>
          <w:szCs w:val="14"/>
          <w:lang w:val="es-CO"/>
        </w:rPr>
        <w:t>la suspensión provisional de la expresión “</w:t>
      </w:r>
      <w:r w:rsidRPr="00FB5770">
        <w:rPr>
          <w:rFonts w:ascii="Verdana" w:hAnsi="Verdana"/>
          <w:i/>
          <w:sz w:val="14"/>
          <w:szCs w:val="14"/>
          <w:lang w:val="es-CO"/>
        </w:rPr>
        <w:t>contratos</w:t>
      </w:r>
      <w:r w:rsidRPr="00FB5770">
        <w:rPr>
          <w:rFonts w:ascii="Verdana" w:hAnsi="Verdana"/>
          <w:sz w:val="14"/>
          <w:szCs w:val="14"/>
          <w:lang w:val="es-CO"/>
        </w:rPr>
        <w:t xml:space="preserve">” y del párrafo </w:t>
      </w:r>
      <w:r w:rsidRPr="00FB5770">
        <w:rPr>
          <w:rFonts w:ascii="Verdana" w:hAnsi="Verdana"/>
          <w:i/>
          <w:sz w:val="14"/>
          <w:szCs w:val="14"/>
          <w:lang w:val="es-CO"/>
        </w:rPr>
        <w:t>“[e]n este sentido, la prohibición que establece el parágrafo del artículo 38 de la Ley de Garantías consiste en evitar que los recursos del Estado se ejecuten para lograr apoyos indebidos mediante la suscripción de contratos (…) que, para efectos de la Ley de Garantías, tienen la misma connotación y propósito</w:t>
      </w:r>
      <w:r w:rsidRPr="00FB5770">
        <w:rPr>
          <w:rFonts w:ascii="Verdana" w:hAnsi="Verdana"/>
          <w:sz w:val="14"/>
          <w:szCs w:val="14"/>
          <w:lang w:val="es-CO"/>
        </w:rPr>
        <w:t>”, contenidos en el inciso cuarto del numeral 16.2 de la Circular Externa única, versión 3 del 27 de diciembre de 2023, expedida por la Agencia Nacional de Contratación Pública – Colombia Compra Eficiente, por las razones expuestas de manera precedente”. Consejo de Estado, Sección Tercera. Auto del 6 de noviembre de 2025. Exp. 72.424. C.P: Fernando Alexei Pardo Flórez.</w:t>
      </w:r>
      <w:r w:rsidRPr="009D0D83">
        <w:rPr>
          <w:rFonts w:ascii="Verdana" w:hAnsi="Verdana"/>
          <w:sz w:val="16"/>
          <w:szCs w:val="16"/>
          <w:lang w:val="es-CO"/>
        </w:rPr>
        <w:t xml:space="preserve"> </w:t>
      </w:r>
    </w:p>
    <w:p w14:paraId="2077302C" w14:textId="77777777" w:rsidR="00D766A0" w:rsidRPr="009D0D83" w:rsidRDefault="00D766A0" w:rsidP="00D766A0">
      <w:pPr>
        <w:pStyle w:val="Textonotapie"/>
        <w:ind w:firstLine="709"/>
        <w:contextualSpacing/>
        <w:jc w:val="both"/>
        <w:rPr>
          <w:rFonts w:ascii="Verdana" w:hAnsi="Verdana"/>
          <w:sz w:val="16"/>
          <w:szCs w:val="16"/>
          <w:lang w:val="es-CO"/>
        </w:rPr>
      </w:pPr>
    </w:p>
  </w:footnote>
  <w:footnote w:id="17">
    <w:p w14:paraId="177FB877" w14:textId="77777777" w:rsidR="00D766A0" w:rsidRDefault="00D766A0" w:rsidP="00D766A0">
      <w:pPr>
        <w:spacing w:after="0" w:line="240" w:lineRule="auto"/>
        <w:ind w:firstLine="709"/>
        <w:contextualSpacing/>
        <w:jc w:val="both"/>
        <w:rPr>
          <w:rFonts w:ascii="Verdana" w:eastAsia="Times New Roman" w:hAnsi="Verdana" w:cs="Times New Roman"/>
          <w:sz w:val="14"/>
          <w:szCs w:val="14"/>
          <w:lang w:eastAsia="es-ES"/>
        </w:rPr>
      </w:pPr>
      <w:r w:rsidRPr="00FB5770">
        <w:rPr>
          <w:rStyle w:val="Refdenotaalpie"/>
          <w:rFonts w:ascii="Verdana" w:hAnsi="Verdana"/>
          <w:sz w:val="14"/>
          <w:szCs w:val="14"/>
        </w:rPr>
        <w:footnoteRef/>
      </w:r>
      <w:r w:rsidRPr="00FB5770">
        <w:rPr>
          <w:rFonts w:ascii="Verdana" w:hAnsi="Verdana"/>
          <w:sz w:val="14"/>
          <w:szCs w:val="14"/>
        </w:rPr>
        <w:t xml:space="preserve"> </w:t>
      </w:r>
      <w:r w:rsidRPr="00FB5770">
        <w:rPr>
          <w:rFonts w:ascii="Verdana" w:eastAsia="Times New Roman" w:hAnsi="Verdana" w:cs="Times New Roman"/>
          <w:sz w:val="14"/>
          <w:szCs w:val="14"/>
          <w:lang w:eastAsia="es-ES"/>
        </w:rPr>
        <w:t xml:space="preserve">Consejo de Estado. </w:t>
      </w:r>
      <w:r>
        <w:rPr>
          <w:rFonts w:ascii="Verdana" w:eastAsia="Times New Roman" w:hAnsi="Verdana" w:cs="Times New Roman"/>
          <w:sz w:val="14"/>
          <w:szCs w:val="14"/>
          <w:lang w:eastAsia="es-ES"/>
        </w:rPr>
        <w:t xml:space="preserve">Sala de lo Contencioso Administrativo. </w:t>
      </w:r>
      <w:r w:rsidRPr="00FB5770">
        <w:rPr>
          <w:rFonts w:ascii="Verdana" w:eastAsia="Times New Roman" w:hAnsi="Verdana" w:cs="Times New Roman"/>
          <w:sz w:val="14"/>
          <w:szCs w:val="14"/>
          <w:lang w:eastAsia="es-ES"/>
        </w:rPr>
        <w:t xml:space="preserve">Sección Tercera. Subsección B. 17 de octubre de 2025. C.P. Fredy Ibarra Martínez. </w:t>
      </w:r>
      <w:r w:rsidRPr="00FB5770">
        <w:rPr>
          <w:rFonts w:ascii="Verdana" w:hAnsi="Verdana"/>
          <w:sz w:val="14"/>
          <w:szCs w:val="14"/>
        </w:rPr>
        <w:t xml:space="preserve">La parte de la providencia señala: </w:t>
      </w:r>
      <w:r w:rsidRPr="00FB5770">
        <w:rPr>
          <w:rFonts w:ascii="Verdana" w:eastAsia="Times New Roman" w:hAnsi="Verdana" w:cs="Times New Roman"/>
          <w:sz w:val="14"/>
          <w:szCs w:val="14"/>
          <w:lang w:eastAsia="es-ES"/>
        </w:rPr>
        <w:t>Declárase la nulidad parcial del numeral 16.2 de la Circular Externa Única de 2022 expedida por la Agencia Nacional de Contratación Pública -Colombia Compra Eficiente-, concretamente, de los siguientes apartes normativos: i) el inciso tercero que dispone: “Esta restricción es aplicable tanto a los convenios como a los contratos interadministrativos, toda vez que, al no existir definición legal que diferencie el concepto de convenio del concepto de contrato, la denominación prevista por la Ley 80 de 1993 y la Ley 1150 de 2007 para tal fin se entenderán en el mismo sentido. Es así como el Decreto 1082 de 2015 trata indistintamente a los convenios y contratos interadministrativos, al establecer la contratación directa como la modalidad de selección para la contratación entre entidades públicas a través de estas dos figuras jurídicas” y, ii) la expresión y el siguiente párrafo contenidos en el inciso quinto “contratos” y “En este sentido, la prohibición que establece el parágrafo del artículo 38 de la Ley de Garantías consiste en evitar que los recursos del Estado se ejecuten para lograr apoyos indebidos mediante la suscripción de contratos y/o convenios, que, para efectos de la Ley de Garantías, tienen la misma connotación y propósito”.</w:t>
      </w:r>
    </w:p>
    <w:p w14:paraId="19D474B7" w14:textId="77777777" w:rsidR="00D766A0" w:rsidRPr="00FB5770" w:rsidRDefault="00D766A0" w:rsidP="00D766A0">
      <w:pPr>
        <w:spacing w:after="0" w:line="240" w:lineRule="auto"/>
        <w:ind w:firstLine="709"/>
        <w:contextualSpacing/>
        <w:jc w:val="both"/>
        <w:rPr>
          <w:rFonts w:ascii="Verdana" w:eastAsia="Times New Roman" w:hAnsi="Verdana" w:cs="Times New Roman"/>
          <w:sz w:val="14"/>
          <w:szCs w:val="14"/>
          <w:lang w:eastAsia="es-ES"/>
        </w:rPr>
      </w:pPr>
    </w:p>
  </w:footnote>
  <w:footnote w:id="18">
    <w:p w14:paraId="068E4EE6" w14:textId="77777777" w:rsidR="00D766A0" w:rsidRPr="00FB5770" w:rsidRDefault="00D766A0" w:rsidP="00D766A0">
      <w:pPr>
        <w:pStyle w:val="Textonotapie"/>
        <w:ind w:firstLine="709"/>
        <w:jc w:val="both"/>
        <w:rPr>
          <w:rFonts w:ascii="Verdana" w:hAnsi="Verdana"/>
          <w:sz w:val="14"/>
          <w:szCs w:val="14"/>
          <w:lang w:val="es-CO"/>
        </w:rPr>
      </w:pPr>
      <w:r w:rsidRPr="00FB5770">
        <w:rPr>
          <w:rStyle w:val="Refdenotaalpie"/>
          <w:rFonts w:ascii="Verdana" w:hAnsi="Verdana"/>
          <w:sz w:val="14"/>
          <w:szCs w:val="14"/>
        </w:rPr>
        <w:footnoteRef/>
      </w:r>
      <w:r w:rsidRPr="00FB5770">
        <w:rPr>
          <w:rFonts w:ascii="Verdana" w:hAnsi="Verdana"/>
          <w:sz w:val="14"/>
          <w:szCs w:val="14"/>
        </w:rPr>
        <w:t xml:space="preserve"> No obstante lo anterior, es importante mencionar que aún se encuentra por definir la demanda de nulidad simple, identificada con el Radicado número 11001-03-26-000-2025-00016-00, en la cual se cuestiona parcialmente el numeral 16.2 de la Circular Externa Única CCE-EICP-MA-06, Versión 03 del 27 de diciembre de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3054"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0DE53DD3"/>
    <w:multiLevelType w:val="hybridMultilevel"/>
    <w:tmpl w:val="50F66902"/>
    <w:lvl w:ilvl="0" w:tplc="995034EA">
      <w:start w:val="1"/>
      <w:numFmt w:val="decimal"/>
      <w:lvlText w:val="%1."/>
      <w:lvlJc w:val="left"/>
      <w:pPr>
        <w:ind w:left="1429" w:hanging="360"/>
      </w:pPr>
      <w:rPr>
        <w:rFonts w:hint="default"/>
      </w:rPr>
    </w:lvl>
    <w:lvl w:ilvl="1" w:tplc="240A0019" w:tentative="1">
      <w:start w:val="1"/>
      <w:numFmt w:val="lowerLetter"/>
      <w:lvlText w:val="%2."/>
      <w:lvlJc w:val="left"/>
      <w:pPr>
        <w:ind w:left="2149" w:hanging="360"/>
      </w:pPr>
    </w:lvl>
    <w:lvl w:ilvl="2" w:tplc="240A001B" w:tentative="1">
      <w:start w:val="1"/>
      <w:numFmt w:val="lowerRoman"/>
      <w:lvlText w:val="%3."/>
      <w:lvlJc w:val="right"/>
      <w:pPr>
        <w:ind w:left="2869" w:hanging="180"/>
      </w:pPr>
    </w:lvl>
    <w:lvl w:ilvl="3" w:tplc="240A000F" w:tentative="1">
      <w:start w:val="1"/>
      <w:numFmt w:val="decimal"/>
      <w:lvlText w:val="%4."/>
      <w:lvlJc w:val="left"/>
      <w:pPr>
        <w:ind w:left="3589" w:hanging="360"/>
      </w:pPr>
    </w:lvl>
    <w:lvl w:ilvl="4" w:tplc="240A0019" w:tentative="1">
      <w:start w:val="1"/>
      <w:numFmt w:val="lowerLetter"/>
      <w:lvlText w:val="%5."/>
      <w:lvlJc w:val="left"/>
      <w:pPr>
        <w:ind w:left="4309" w:hanging="360"/>
      </w:pPr>
    </w:lvl>
    <w:lvl w:ilvl="5" w:tplc="240A001B" w:tentative="1">
      <w:start w:val="1"/>
      <w:numFmt w:val="lowerRoman"/>
      <w:lvlText w:val="%6."/>
      <w:lvlJc w:val="right"/>
      <w:pPr>
        <w:ind w:left="5029" w:hanging="180"/>
      </w:pPr>
    </w:lvl>
    <w:lvl w:ilvl="6" w:tplc="240A000F" w:tentative="1">
      <w:start w:val="1"/>
      <w:numFmt w:val="decimal"/>
      <w:lvlText w:val="%7."/>
      <w:lvlJc w:val="left"/>
      <w:pPr>
        <w:ind w:left="5749" w:hanging="360"/>
      </w:pPr>
    </w:lvl>
    <w:lvl w:ilvl="7" w:tplc="240A0019" w:tentative="1">
      <w:start w:val="1"/>
      <w:numFmt w:val="lowerLetter"/>
      <w:lvlText w:val="%8."/>
      <w:lvlJc w:val="left"/>
      <w:pPr>
        <w:ind w:left="6469" w:hanging="360"/>
      </w:pPr>
    </w:lvl>
    <w:lvl w:ilvl="8" w:tplc="240A001B" w:tentative="1">
      <w:start w:val="1"/>
      <w:numFmt w:val="lowerRoman"/>
      <w:lvlText w:val="%9."/>
      <w:lvlJc w:val="right"/>
      <w:pPr>
        <w:ind w:left="7189" w:hanging="180"/>
      </w:pPr>
    </w:lvl>
  </w:abstractNum>
  <w:abstractNum w:abstractNumId="4"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2"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7"/>
  </w:num>
  <w:num w:numId="2" w16cid:durableId="19822139">
    <w:abstractNumId w:val="2"/>
  </w:num>
  <w:num w:numId="3" w16cid:durableId="876742304">
    <w:abstractNumId w:val="5"/>
  </w:num>
  <w:num w:numId="4" w16cid:durableId="245186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4"/>
  </w:num>
  <w:num w:numId="7" w16cid:durableId="1946422806">
    <w:abstractNumId w:val="6"/>
  </w:num>
  <w:num w:numId="8" w16cid:durableId="152644682">
    <w:abstractNumId w:val="13"/>
  </w:num>
  <w:num w:numId="9" w16cid:durableId="1317221377">
    <w:abstractNumId w:val="8"/>
  </w:num>
  <w:num w:numId="10" w16cid:durableId="1471245386">
    <w:abstractNumId w:val="12"/>
  </w:num>
  <w:num w:numId="11" w16cid:durableId="289172385">
    <w:abstractNumId w:val="9"/>
  </w:num>
  <w:num w:numId="12" w16cid:durableId="1470781324">
    <w:abstractNumId w:val="1"/>
  </w:num>
  <w:num w:numId="13" w16cid:durableId="1512908409">
    <w:abstractNumId w:val="4"/>
  </w:num>
  <w:num w:numId="14" w16cid:durableId="895897244">
    <w:abstractNumId w:val="15"/>
  </w:num>
  <w:num w:numId="15" w16cid:durableId="390349800">
    <w:abstractNumId w:val="11"/>
  </w:num>
  <w:num w:numId="16" w16cid:durableId="1227110730">
    <w:abstractNumId w:val="0"/>
  </w:num>
  <w:num w:numId="17" w16cid:durableId="531266698">
    <w:abstractNumId w:val="10"/>
  </w:num>
  <w:num w:numId="18" w16cid:durableId="9396035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1020"/>
    <w:rsid w:val="00046945"/>
    <w:rsid w:val="00061B2A"/>
    <w:rsid w:val="00082362"/>
    <w:rsid w:val="000A683E"/>
    <w:rsid w:val="000B19B9"/>
    <w:rsid w:val="000D0334"/>
    <w:rsid w:val="000D5DA7"/>
    <w:rsid w:val="000E10F3"/>
    <w:rsid w:val="000F6486"/>
    <w:rsid w:val="00111A13"/>
    <w:rsid w:val="00116940"/>
    <w:rsid w:val="00125105"/>
    <w:rsid w:val="00127233"/>
    <w:rsid w:val="00141CA3"/>
    <w:rsid w:val="0015699B"/>
    <w:rsid w:val="00185F68"/>
    <w:rsid w:val="001A33BF"/>
    <w:rsid w:val="001B177A"/>
    <w:rsid w:val="001C6BA8"/>
    <w:rsid w:val="001E4177"/>
    <w:rsid w:val="001E6F10"/>
    <w:rsid w:val="001F0B24"/>
    <w:rsid w:val="001F7DC6"/>
    <w:rsid w:val="00203C89"/>
    <w:rsid w:val="0022400B"/>
    <w:rsid w:val="002319E4"/>
    <w:rsid w:val="002421BB"/>
    <w:rsid w:val="0025796E"/>
    <w:rsid w:val="00262E67"/>
    <w:rsid w:val="002707A2"/>
    <w:rsid w:val="00284F4D"/>
    <w:rsid w:val="002951A0"/>
    <w:rsid w:val="002962BC"/>
    <w:rsid w:val="002A093D"/>
    <w:rsid w:val="002A0DD0"/>
    <w:rsid w:val="002A49AC"/>
    <w:rsid w:val="002A64FD"/>
    <w:rsid w:val="002C58E2"/>
    <w:rsid w:val="002C7A84"/>
    <w:rsid w:val="002E2BF8"/>
    <w:rsid w:val="002E4FD9"/>
    <w:rsid w:val="0030657A"/>
    <w:rsid w:val="00322A85"/>
    <w:rsid w:val="00324168"/>
    <w:rsid w:val="00330834"/>
    <w:rsid w:val="00340621"/>
    <w:rsid w:val="003448F4"/>
    <w:rsid w:val="00374F5E"/>
    <w:rsid w:val="00377E3E"/>
    <w:rsid w:val="003A779E"/>
    <w:rsid w:val="003D0F4D"/>
    <w:rsid w:val="003D5B0D"/>
    <w:rsid w:val="003E0499"/>
    <w:rsid w:val="003E4F80"/>
    <w:rsid w:val="003E6439"/>
    <w:rsid w:val="003F3941"/>
    <w:rsid w:val="00406575"/>
    <w:rsid w:val="00414C74"/>
    <w:rsid w:val="0042722E"/>
    <w:rsid w:val="0044528D"/>
    <w:rsid w:val="00466E39"/>
    <w:rsid w:val="004772FE"/>
    <w:rsid w:val="004870E0"/>
    <w:rsid w:val="004A1847"/>
    <w:rsid w:val="004A305D"/>
    <w:rsid w:val="004F21C4"/>
    <w:rsid w:val="004F685F"/>
    <w:rsid w:val="00501E63"/>
    <w:rsid w:val="005066E1"/>
    <w:rsid w:val="00525768"/>
    <w:rsid w:val="005422CF"/>
    <w:rsid w:val="005566E8"/>
    <w:rsid w:val="00574867"/>
    <w:rsid w:val="00591460"/>
    <w:rsid w:val="005A65E0"/>
    <w:rsid w:val="005C3777"/>
    <w:rsid w:val="005C5CDC"/>
    <w:rsid w:val="005D476C"/>
    <w:rsid w:val="005E44B6"/>
    <w:rsid w:val="005E50D8"/>
    <w:rsid w:val="006200BF"/>
    <w:rsid w:val="006219F8"/>
    <w:rsid w:val="006302F7"/>
    <w:rsid w:val="00646B9F"/>
    <w:rsid w:val="00665D70"/>
    <w:rsid w:val="00677C30"/>
    <w:rsid w:val="006802AB"/>
    <w:rsid w:val="006900D9"/>
    <w:rsid w:val="006F6453"/>
    <w:rsid w:val="00706C16"/>
    <w:rsid w:val="007340C3"/>
    <w:rsid w:val="0075235A"/>
    <w:rsid w:val="00756841"/>
    <w:rsid w:val="007649AB"/>
    <w:rsid w:val="00771D0C"/>
    <w:rsid w:val="007822C7"/>
    <w:rsid w:val="007833AC"/>
    <w:rsid w:val="007B268C"/>
    <w:rsid w:val="007B7171"/>
    <w:rsid w:val="007C0C0F"/>
    <w:rsid w:val="007C3DC2"/>
    <w:rsid w:val="007E45E0"/>
    <w:rsid w:val="007E5497"/>
    <w:rsid w:val="00806F5F"/>
    <w:rsid w:val="00820278"/>
    <w:rsid w:val="008258C9"/>
    <w:rsid w:val="00844AE9"/>
    <w:rsid w:val="00867F95"/>
    <w:rsid w:val="008843B6"/>
    <w:rsid w:val="00891928"/>
    <w:rsid w:val="008A446D"/>
    <w:rsid w:val="008B25F1"/>
    <w:rsid w:val="008D180B"/>
    <w:rsid w:val="008D7B82"/>
    <w:rsid w:val="008F0EA7"/>
    <w:rsid w:val="00923EEF"/>
    <w:rsid w:val="009419F9"/>
    <w:rsid w:val="009464D4"/>
    <w:rsid w:val="0095685E"/>
    <w:rsid w:val="00961B09"/>
    <w:rsid w:val="00965334"/>
    <w:rsid w:val="0097093E"/>
    <w:rsid w:val="00996ED4"/>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37F22"/>
    <w:rsid w:val="00A402D8"/>
    <w:rsid w:val="00A82949"/>
    <w:rsid w:val="00AB0ADB"/>
    <w:rsid w:val="00B00C0E"/>
    <w:rsid w:val="00B01B1A"/>
    <w:rsid w:val="00B0381D"/>
    <w:rsid w:val="00B44A47"/>
    <w:rsid w:val="00B72CD3"/>
    <w:rsid w:val="00B72FFF"/>
    <w:rsid w:val="00BC3D36"/>
    <w:rsid w:val="00BD54A6"/>
    <w:rsid w:val="00BD7F72"/>
    <w:rsid w:val="00BF5DB4"/>
    <w:rsid w:val="00BF7425"/>
    <w:rsid w:val="00C01CAD"/>
    <w:rsid w:val="00C04FB3"/>
    <w:rsid w:val="00C11D8B"/>
    <w:rsid w:val="00C15139"/>
    <w:rsid w:val="00C330EB"/>
    <w:rsid w:val="00C50D69"/>
    <w:rsid w:val="00C5365C"/>
    <w:rsid w:val="00C64EF6"/>
    <w:rsid w:val="00C754BE"/>
    <w:rsid w:val="00C76B1C"/>
    <w:rsid w:val="00C81B5A"/>
    <w:rsid w:val="00C835B8"/>
    <w:rsid w:val="00C925AC"/>
    <w:rsid w:val="00CB6357"/>
    <w:rsid w:val="00CC1B26"/>
    <w:rsid w:val="00CE60CA"/>
    <w:rsid w:val="00D22C8A"/>
    <w:rsid w:val="00D361FD"/>
    <w:rsid w:val="00D40DFA"/>
    <w:rsid w:val="00D423A2"/>
    <w:rsid w:val="00D44E26"/>
    <w:rsid w:val="00D520D8"/>
    <w:rsid w:val="00D63AC2"/>
    <w:rsid w:val="00D7383B"/>
    <w:rsid w:val="00D766A0"/>
    <w:rsid w:val="00D7788A"/>
    <w:rsid w:val="00D86CC0"/>
    <w:rsid w:val="00DA231B"/>
    <w:rsid w:val="00DC39FC"/>
    <w:rsid w:val="00DF5254"/>
    <w:rsid w:val="00E02524"/>
    <w:rsid w:val="00E16408"/>
    <w:rsid w:val="00E20894"/>
    <w:rsid w:val="00E245AB"/>
    <w:rsid w:val="00E2764C"/>
    <w:rsid w:val="00E27F2E"/>
    <w:rsid w:val="00E50AFE"/>
    <w:rsid w:val="00E75C92"/>
    <w:rsid w:val="00E771DC"/>
    <w:rsid w:val="00E8772A"/>
    <w:rsid w:val="00E90F6B"/>
    <w:rsid w:val="00E9249A"/>
    <w:rsid w:val="00E92C27"/>
    <w:rsid w:val="00EA0E3D"/>
    <w:rsid w:val="00EC38A7"/>
    <w:rsid w:val="00EE1AA8"/>
    <w:rsid w:val="00F23FEA"/>
    <w:rsid w:val="00F2560F"/>
    <w:rsid w:val="00F31EDC"/>
    <w:rsid w:val="00F462B3"/>
    <w:rsid w:val="00F5664F"/>
    <w:rsid w:val="00F666C4"/>
    <w:rsid w:val="00F76AFC"/>
    <w:rsid w:val="00F961E6"/>
    <w:rsid w:val="00FA47C0"/>
    <w:rsid w:val="00FB5DD1"/>
    <w:rsid w:val="00FC2B5D"/>
    <w:rsid w:val="00FF1449"/>
    <w:rsid w:val="00FF7963"/>
    <w:rsid w:val="071B8F93"/>
    <w:rsid w:val="07C73DD1"/>
    <w:rsid w:val="09908A09"/>
    <w:rsid w:val="0EFE6349"/>
    <w:rsid w:val="0FF4CCA8"/>
    <w:rsid w:val="13CFC91B"/>
    <w:rsid w:val="19A2EC2C"/>
    <w:rsid w:val="21779BE6"/>
    <w:rsid w:val="2859CA1B"/>
    <w:rsid w:val="2C4D2425"/>
    <w:rsid w:val="2E3B6186"/>
    <w:rsid w:val="2EE1E026"/>
    <w:rsid w:val="2F44F38F"/>
    <w:rsid w:val="30821638"/>
    <w:rsid w:val="32A4F9CF"/>
    <w:rsid w:val="33A1FF93"/>
    <w:rsid w:val="356CEDFD"/>
    <w:rsid w:val="3C591AFD"/>
    <w:rsid w:val="42183F0A"/>
    <w:rsid w:val="45EB1688"/>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1"/>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D766A0"/>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1"/>
    <w:qFormat/>
    <w:locked/>
    <w:rsid w:val="00D766A0"/>
    <w:rPr>
      <w:rFonts w:ascii="Geomanist Light" w:hAnsi="Geomanist Light"/>
      <w:lang w:val="es-ES"/>
    </w:rPr>
  </w:style>
  <w:style w:type="character" w:customStyle="1" w:styleId="NormalWebCar">
    <w:name w:val="Normal (Web) Car"/>
    <w:link w:val="NormalWeb"/>
    <w:uiPriority w:val="99"/>
    <w:locked/>
    <w:rsid w:val="00D766A0"/>
    <w:rPr>
      <w:rFonts w:ascii="Times New Roman" w:eastAsia="Times New Roman" w:hAnsi="Times New Roman" w:cs="Times New Roman"/>
      <w:sz w:val="24"/>
      <w:szCs w:val="24"/>
      <w:lang w:eastAsia="es-CO"/>
    </w:rPr>
  </w:style>
  <w:style w:type="character" w:customStyle="1" w:styleId="baj">
    <w:name w:val="b_aj"/>
    <w:basedOn w:val="Fuentedeprrafopredeter"/>
    <w:rsid w:val="00D766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139112435">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olombiacompra.gov.co/wp-content/uploads/2025/09/006-de-2025-Circular-Externa-L996-ajustado-comentarios-BM-BID-Rev-ARSC-V3.d-1.pdf" TargetMode="External"/><Relationship Id="rId18" Type="http://schemas.openxmlformats.org/officeDocument/2006/relationships/hyperlink" Target="https://forms.office.com/r/pPHyWVs2SZ"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mailto:correo@minsalud.gov.co" TargetMode="External"/><Relationship Id="rId17"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 Type="http://schemas.openxmlformats.org/officeDocument/2006/relationships/customXml" Target="../customXml/item2.xml"/><Relationship Id="rId16" Type="http://schemas.openxmlformats.org/officeDocument/2006/relationships/hyperlink" Target="https://www.colombiacompra.gov.co/normativa-y-relatoria/documentos-tip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lcaldia@une-cundinamarca.gov" TargetMode="External"/><Relationship Id="rId5" Type="http://schemas.openxmlformats.org/officeDocument/2006/relationships/styles" Target="styles.xml"/><Relationship Id="rId15" Type="http://schemas.openxmlformats.org/officeDocument/2006/relationships/hyperlink" Target="https://formacionvirtual.colombiacompra.gov.co/mod/page/view.php?id=3718" TargetMode="Externa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relatoria.colombiacompra.gov.co/busqueda/concepto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F1A31A3-EAD1-4A94-8996-652AC4D4A9EF}"/>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TotalTime>
  <Pages>25</Pages>
  <Words>8408</Words>
  <Characters>46246</Characters>
  <Application>Microsoft Office Word</Application>
  <DocSecurity>0</DocSecurity>
  <Lines>385</Lines>
  <Paragraphs>109</Paragraphs>
  <ScaleCrop>false</ScaleCrop>
  <Company/>
  <LinksUpToDate>false</LinksUpToDate>
  <CharactersWithSpaces>54545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Kelmis Yimara Bruges Alvarado</cp:lastModifiedBy>
  <cp:revision>2</cp:revision>
  <cp:lastPrinted>2023-01-10T21:18:00Z</cp:lastPrinted>
  <dcterms:created xsi:type="dcterms:W3CDTF">2026-06-24T18:41:00Z</dcterms:created>
  <dcterms:modified xsi:type="dcterms:W3CDTF">2026-06-24T18:41:00Z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