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D62087" w14:textId="77777777" w:rsidR="001C3C9B" w:rsidRPr="00B774CC" w:rsidRDefault="001C3C9B" w:rsidP="001C3C9B">
      <w:pPr>
        <w:spacing w:after="0" w:line="276" w:lineRule="auto"/>
        <w:jc w:val="both"/>
        <w:rPr>
          <w:rFonts w:ascii="Verdana" w:eastAsia="Calibri" w:hAnsi="Verdana" w:cs="Arial"/>
          <w:b/>
          <w:bCs/>
          <w:lang w:val="es-ES_tradnl" w:eastAsia="es-MX"/>
        </w:rPr>
      </w:pPr>
      <w:bookmarkStart w:id="0" w:name="_Hlk143780582"/>
      <w:bookmarkEnd w:id="0"/>
      <w:r w:rsidRPr="00B774CC">
        <w:rPr>
          <w:rFonts w:ascii="Verdana" w:eastAsia="Calibri" w:hAnsi="Verdana" w:cs="Arial"/>
          <w:b/>
          <w:bCs/>
          <w:lang w:val="es-ES_tradnl" w:eastAsia="es-MX"/>
        </w:rPr>
        <w:t xml:space="preserve">DOCUMENTOS TIPO – Fundamento normativo – Obligatoriedad </w:t>
      </w:r>
    </w:p>
    <w:p w14:paraId="42AAA419" w14:textId="77777777" w:rsidR="001C3C9B" w:rsidRPr="00B774CC" w:rsidRDefault="001C3C9B" w:rsidP="001C3C9B">
      <w:pPr>
        <w:spacing w:after="0" w:line="276" w:lineRule="auto"/>
        <w:jc w:val="both"/>
        <w:rPr>
          <w:rFonts w:ascii="Verdana" w:eastAsia="Calibri" w:hAnsi="Verdana" w:cs="Arial"/>
          <w:b/>
          <w:bCs/>
          <w:sz w:val="20"/>
          <w:szCs w:val="20"/>
          <w:lang w:val="es-ES_tradnl" w:eastAsia="es-MX"/>
        </w:rPr>
      </w:pPr>
    </w:p>
    <w:p w14:paraId="276630BF" w14:textId="77777777" w:rsidR="001C3C9B" w:rsidRPr="00B774CC" w:rsidRDefault="001C3C9B" w:rsidP="001C3C9B">
      <w:pPr>
        <w:tabs>
          <w:tab w:val="left" w:pos="709"/>
        </w:tabs>
        <w:spacing w:after="0" w:line="240" w:lineRule="auto"/>
        <w:jc w:val="both"/>
        <w:rPr>
          <w:rFonts w:ascii="Verdana" w:eastAsia="Calibri" w:hAnsi="Verdana" w:cs="Arial"/>
          <w:sz w:val="20"/>
          <w:szCs w:val="20"/>
          <w:lang w:val="es-ES" w:eastAsia="es-MX"/>
        </w:rPr>
      </w:pPr>
      <w:r w:rsidRPr="00B774CC">
        <w:rPr>
          <w:rFonts w:ascii="Verdana" w:eastAsia="Calibri" w:hAnsi="Verdana" w:cs="Arial"/>
          <w:sz w:val="20"/>
          <w:szCs w:val="20"/>
          <w:lang w:val="es-ES" w:eastAsia="es-MX"/>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1668C4D0" w14:textId="77777777" w:rsidR="001C3C9B" w:rsidRPr="00B774CC" w:rsidRDefault="001C3C9B" w:rsidP="001C3C9B">
      <w:pPr>
        <w:spacing w:after="0" w:line="276" w:lineRule="auto"/>
        <w:jc w:val="both"/>
        <w:rPr>
          <w:rFonts w:ascii="Verdana" w:eastAsia="Calibri" w:hAnsi="Verdana" w:cs="Arial"/>
          <w:b/>
          <w:bCs/>
          <w:lang w:val="es-ES_tradnl" w:eastAsia="es-MX"/>
        </w:rPr>
      </w:pPr>
    </w:p>
    <w:p w14:paraId="4C532698" w14:textId="77777777" w:rsidR="001C3C9B" w:rsidRPr="00B774CC" w:rsidRDefault="001C3C9B" w:rsidP="001C3C9B">
      <w:pPr>
        <w:widowControl w:val="0"/>
        <w:autoSpaceDE w:val="0"/>
        <w:autoSpaceDN w:val="0"/>
        <w:spacing w:after="0" w:line="276" w:lineRule="auto"/>
        <w:jc w:val="both"/>
        <w:rPr>
          <w:rFonts w:ascii="Verdana" w:eastAsia="Calibri" w:hAnsi="Verdana" w:cs="Times New Roman"/>
          <w:b/>
          <w:bCs/>
          <w:lang w:val="es-ES" w:eastAsia="es-MX"/>
        </w:rPr>
      </w:pPr>
      <w:r w:rsidRPr="00B774CC">
        <w:rPr>
          <w:rFonts w:ascii="Verdana" w:eastAsia="Calibri" w:hAnsi="Verdana" w:cs="Arial"/>
          <w:b/>
          <w:bCs/>
          <w:lang w:val="es-ES_tradnl" w:eastAsia="es-MX"/>
        </w:rPr>
        <w:t>SECTOR SOCIAL</w:t>
      </w:r>
      <w:r w:rsidRPr="00B774CC">
        <w:rPr>
          <w:rFonts w:ascii="Verdana" w:eastAsia="Calibri" w:hAnsi="Verdana" w:cs="Times New Roman"/>
          <w:lang w:val="es-ES" w:eastAsia="es-MX"/>
        </w:rPr>
        <w:t xml:space="preserve"> </w:t>
      </w:r>
      <w:r w:rsidRPr="00B774CC">
        <w:rPr>
          <w:rFonts w:ascii="Verdana" w:eastAsia="Calibri" w:hAnsi="Verdana" w:cs="Times New Roman"/>
          <w:b/>
          <w:bCs/>
          <w:lang w:val="es-ES" w:eastAsia="es-MX"/>
        </w:rPr>
        <w:t>– Documentos tipo – Vigentes</w:t>
      </w:r>
    </w:p>
    <w:p w14:paraId="2CFC768D" w14:textId="77777777" w:rsidR="001C3C9B" w:rsidRPr="00B774CC" w:rsidRDefault="001C3C9B" w:rsidP="001C3C9B">
      <w:pPr>
        <w:widowControl w:val="0"/>
        <w:autoSpaceDE w:val="0"/>
        <w:autoSpaceDN w:val="0"/>
        <w:spacing w:after="0" w:line="276" w:lineRule="auto"/>
        <w:jc w:val="both"/>
        <w:rPr>
          <w:rFonts w:ascii="Verdana" w:eastAsia="Calibri" w:hAnsi="Verdana" w:cs="Times New Roman"/>
          <w:b/>
          <w:bCs/>
          <w:lang w:val="es-ES" w:eastAsia="es-MX"/>
        </w:rPr>
      </w:pPr>
    </w:p>
    <w:p w14:paraId="6C5CD730" w14:textId="77777777" w:rsidR="001C3C9B" w:rsidRPr="00B774CC" w:rsidRDefault="001C3C9B" w:rsidP="001C3C9B">
      <w:pPr>
        <w:widowControl w:val="0"/>
        <w:autoSpaceDE w:val="0"/>
        <w:autoSpaceDN w:val="0"/>
        <w:spacing w:after="0" w:line="240" w:lineRule="auto"/>
        <w:jc w:val="both"/>
        <w:rPr>
          <w:rFonts w:ascii="Verdana" w:eastAsia="Calibri" w:hAnsi="Verdana" w:cs="Times New Roman"/>
          <w:b/>
          <w:bCs/>
          <w:sz w:val="20"/>
          <w:szCs w:val="20"/>
          <w:lang w:val="es-ES" w:eastAsia="es-MX"/>
        </w:rPr>
      </w:pPr>
      <w:r w:rsidRPr="00B774CC">
        <w:rPr>
          <w:rFonts w:ascii="Verdana" w:eastAsia="Aptos" w:hAnsi="Verdana" w:cs="Times New Roman"/>
          <w:sz w:val="20"/>
          <w:szCs w:val="20"/>
          <w:lang w:eastAsia="es-MX"/>
        </w:rPr>
        <w:t xml:space="preserve">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de salud, cultura, recreación y deporte, institucional y vivienda, en los procesos de selección cuyo aviso de convocatoria se publique a partir del 16 de febrero de 2026. </w:t>
      </w:r>
    </w:p>
    <w:p w14:paraId="40B82FB8" w14:textId="77777777" w:rsidR="001C3C9B" w:rsidRPr="00B774CC" w:rsidRDefault="001C3C9B" w:rsidP="001C3C9B">
      <w:pPr>
        <w:spacing w:after="0"/>
        <w:rPr>
          <w:rFonts w:ascii="Verdana" w:hAnsi="Verdana"/>
          <w:lang w:val="es-ES"/>
        </w:rPr>
      </w:pPr>
    </w:p>
    <w:p w14:paraId="750B733E" w14:textId="77777777" w:rsidR="001C3C9B" w:rsidRPr="00B774CC" w:rsidRDefault="001C3C9B" w:rsidP="001C3C9B">
      <w:pPr>
        <w:spacing w:after="0" w:line="276" w:lineRule="auto"/>
        <w:jc w:val="both"/>
        <w:rPr>
          <w:rFonts w:ascii="Verdana" w:eastAsia="Calibri" w:hAnsi="Verdana" w:cs="Times New Roman"/>
          <w:sz w:val="20"/>
          <w:szCs w:val="20"/>
          <w:lang w:val="es-ES" w:eastAsia="es-MX"/>
        </w:rPr>
      </w:pPr>
      <w:r w:rsidRPr="00B774CC">
        <w:rPr>
          <w:rFonts w:ascii="Verdana" w:eastAsia="Calibri" w:hAnsi="Verdana" w:cs="Times New Roman"/>
          <w:b/>
          <w:bCs/>
          <w:lang w:val="es-ES" w:eastAsia="es-MX"/>
        </w:rPr>
        <w:t xml:space="preserve">DOCUMENTOS TIPO – Aplicación – Matriz de Experiencia </w:t>
      </w:r>
    </w:p>
    <w:p w14:paraId="535103B7" w14:textId="77777777" w:rsidR="001C3C9B" w:rsidRPr="00B774CC" w:rsidRDefault="001C3C9B" w:rsidP="001C3C9B">
      <w:pPr>
        <w:spacing w:after="0" w:line="240" w:lineRule="auto"/>
        <w:rPr>
          <w:rFonts w:ascii="Verdana" w:eastAsia="Geomanist Light" w:hAnsi="Verdana" w:cs="Arial"/>
          <w:lang w:val="es-MX" w:eastAsia="es-MX"/>
        </w:rPr>
      </w:pPr>
    </w:p>
    <w:p w14:paraId="6608566D" w14:textId="77777777" w:rsidR="001C3C9B" w:rsidRPr="00B774CC" w:rsidRDefault="001C3C9B" w:rsidP="001C3C9B">
      <w:pPr>
        <w:widowControl w:val="0"/>
        <w:autoSpaceDE w:val="0"/>
        <w:autoSpaceDN w:val="0"/>
        <w:spacing w:after="0" w:line="240" w:lineRule="auto"/>
        <w:jc w:val="both"/>
        <w:rPr>
          <w:rFonts w:ascii="Verdana" w:eastAsia="Calibri" w:hAnsi="Verdana" w:cs="Times New Roman"/>
          <w:sz w:val="20"/>
          <w:szCs w:val="20"/>
          <w:lang w:val="es-ES" w:eastAsia="es-MX"/>
        </w:rPr>
      </w:pPr>
      <w:r w:rsidRPr="00B774CC">
        <w:rPr>
          <w:rFonts w:ascii="Verdana" w:eastAsia="Calibri" w:hAnsi="Verdana" w:cs="Times New Roman"/>
          <w:sz w:val="20"/>
          <w:szCs w:val="20"/>
          <w:lang w:val="es-ES" w:eastAsia="es-MX"/>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68E8705B" w14:textId="77777777" w:rsidR="001C3C9B" w:rsidRPr="00B774CC" w:rsidRDefault="001C3C9B" w:rsidP="001C3C9B">
      <w:pPr>
        <w:widowControl w:val="0"/>
        <w:autoSpaceDE w:val="0"/>
        <w:autoSpaceDN w:val="0"/>
        <w:spacing w:after="0" w:line="240" w:lineRule="auto"/>
        <w:jc w:val="both"/>
        <w:rPr>
          <w:rFonts w:ascii="Verdana" w:eastAsia="Calibri" w:hAnsi="Verdana" w:cs="Times New Roman"/>
          <w:sz w:val="20"/>
          <w:szCs w:val="20"/>
          <w:lang w:val="es-ES" w:eastAsia="es-MX"/>
        </w:rPr>
      </w:pPr>
    </w:p>
    <w:p w14:paraId="382B4E51" w14:textId="77777777" w:rsidR="001C3C9B" w:rsidRPr="00B774CC" w:rsidRDefault="001C3C9B" w:rsidP="001C3C9B">
      <w:pPr>
        <w:widowControl w:val="0"/>
        <w:autoSpaceDE w:val="0"/>
        <w:autoSpaceDN w:val="0"/>
        <w:spacing w:after="0" w:line="240" w:lineRule="auto"/>
        <w:jc w:val="both"/>
        <w:rPr>
          <w:rFonts w:ascii="Verdana" w:eastAsia="Calibri" w:hAnsi="Verdana" w:cs="Times New Roman"/>
          <w:sz w:val="20"/>
          <w:szCs w:val="20"/>
          <w:lang w:val="es-ES" w:eastAsia="es-MX"/>
        </w:rPr>
      </w:pPr>
      <w:r w:rsidRPr="00B774CC">
        <w:rPr>
          <w:rFonts w:ascii="Verdana" w:eastAsia="Calibri" w:hAnsi="Verdana" w:cs="Times New Roman"/>
          <w:sz w:val="20"/>
          <w:szCs w:val="20"/>
          <w:lang w:val="es-ES" w:eastAsia="es-MX"/>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70684B8B" w14:textId="77777777" w:rsidR="001C3C9B" w:rsidRPr="00B774CC" w:rsidRDefault="001C3C9B" w:rsidP="001C3C9B">
      <w:pPr>
        <w:widowControl w:val="0"/>
        <w:autoSpaceDE w:val="0"/>
        <w:autoSpaceDN w:val="0"/>
        <w:spacing w:after="0" w:line="240" w:lineRule="auto"/>
        <w:jc w:val="both"/>
        <w:rPr>
          <w:rFonts w:ascii="Verdana" w:eastAsia="Calibri" w:hAnsi="Verdana" w:cs="Times New Roman"/>
          <w:sz w:val="20"/>
          <w:szCs w:val="20"/>
          <w:lang w:val="es-ES" w:eastAsia="es-MX"/>
        </w:rPr>
      </w:pPr>
    </w:p>
    <w:p w14:paraId="6C2716B1" w14:textId="77777777" w:rsidR="001C3C9B" w:rsidRPr="00B774CC" w:rsidRDefault="001C3C9B" w:rsidP="001C3C9B">
      <w:pPr>
        <w:widowControl w:val="0"/>
        <w:autoSpaceDE w:val="0"/>
        <w:autoSpaceDN w:val="0"/>
        <w:spacing w:after="0" w:line="240" w:lineRule="auto"/>
        <w:jc w:val="both"/>
        <w:rPr>
          <w:rFonts w:ascii="Verdana" w:eastAsia="Calibri" w:hAnsi="Verdana" w:cs="Times New Roman"/>
          <w:b/>
          <w:bCs/>
          <w:lang w:val="es-ES" w:eastAsia="es-MX"/>
        </w:rPr>
      </w:pPr>
      <w:r w:rsidRPr="00B774CC">
        <w:rPr>
          <w:rFonts w:ascii="Verdana" w:eastAsia="Calibri" w:hAnsi="Verdana" w:cs="Times New Roman"/>
          <w:b/>
          <w:bCs/>
          <w:lang w:val="es-ES" w:eastAsia="es-MX"/>
        </w:rPr>
        <w:t>NSR10 – Subgrupo de ocupación institucional – Documentos tipo – Sector social – Aplicación</w:t>
      </w:r>
    </w:p>
    <w:p w14:paraId="329E869A" w14:textId="77777777" w:rsidR="001C3C9B" w:rsidRDefault="001C3C9B" w:rsidP="001C3C9B">
      <w:pPr>
        <w:spacing w:after="0" w:line="276" w:lineRule="auto"/>
        <w:jc w:val="both"/>
        <w:rPr>
          <w:rFonts w:ascii="Verdana" w:eastAsia="Aptos" w:hAnsi="Verdana" w:cs="Times New Roman"/>
          <w:color w:val="6699FF"/>
          <w:kern w:val="2"/>
          <w:sz w:val="20"/>
          <w:szCs w:val="20"/>
          <w:lang w:eastAsia="es-CO"/>
          <w14:ligatures w14:val="standardContextual"/>
        </w:rPr>
      </w:pPr>
    </w:p>
    <w:p w14:paraId="069E96FE" w14:textId="77777777" w:rsidR="001C3C9B" w:rsidRPr="00B774CC" w:rsidRDefault="001C3C9B" w:rsidP="001C3C9B">
      <w:pPr>
        <w:spacing w:after="0" w:line="276" w:lineRule="auto"/>
        <w:jc w:val="both"/>
        <w:rPr>
          <w:rFonts w:ascii="Verdana" w:eastAsia="Calibri" w:hAnsi="Verdana" w:cs="Arial"/>
          <w:sz w:val="20"/>
          <w:szCs w:val="20"/>
          <w:lang w:val="es-ES_tradnl" w:eastAsia="es-MX"/>
        </w:rPr>
      </w:pPr>
      <w:r w:rsidRPr="00B774CC">
        <w:rPr>
          <w:rFonts w:ascii="Verdana" w:eastAsia="Calibri" w:hAnsi="Verdana" w:cs="Arial"/>
          <w:sz w:val="20"/>
          <w:szCs w:val="20"/>
          <w:lang w:eastAsia="es-MX"/>
        </w:rPr>
        <w:t xml:space="preserve">La nota general 1 contenida en la Matriz 1 – Experiencia de los Documentos Tipo indicados, es congruente con </w:t>
      </w:r>
      <w:r w:rsidRPr="00B774CC">
        <w:rPr>
          <w:rFonts w:ascii="Verdana" w:eastAsia="Calibri" w:hAnsi="Verdana" w:cs="Arial"/>
          <w:sz w:val="20"/>
          <w:szCs w:val="20"/>
          <w:lang w:val="es-ES_tradnl" w:eastAsia="es-MX"/>
        </w:rPr>
        <w:t xml:space="preserve">el numeral 1.10 del documento base que dispone que </w:t>
      </w:r>
      <w:r w:rsidRPr="00B774CC">
        <w:rPr>
          <w:rFonts w:ascii="Verdana" w:eastAsia="Calibri" w:hAnsi="Verdana" w:cs="Arial"/>
          <w:sz w:val="20"/>
          <w:szCs w:val="20"/>
          <w:lang w:val="es-ES_tradnl" w:eastAsia="es-MX"/>
        </w:rPr>
        <w:lastRenderedPageBreak/>
        <w:t>“</w:t>
      </w:r>
      <w:r w:rsidRPr="00B774CC">
        <w:rPr>
          <w:rFonts w:ascii="Verdana" w:eastAsia="Calibri" w:hAnsi="Verdana" w:cs="Arial"/>
          <w:sz w:val="20"/>
          <w:szCs w:val="20"/>
          <w:lang w:val="es-MX" w:eastAsia="es-MX"/>
        </w:rPr>
        <w:t>[p]ara los fines de este Pliego de Condiciones, a menos que expresamente se estipule de otra manera, los términos deben entenderse de acuerdo con la definición contenida en el artículo 2.2.1.1.1.3.1 del Decreto 1082 de 2015, el glosario aplicable a la obra pública de infraestructura social y demás normas, decretos reglamentarios y legislación aplicable en la materia</w:t>
      </w:r>
      <w:r w:rsidRPr="00B774CC">
        <w:rPr>
          <w:rFonts w:ascii="Verdana" w:eastAsia="Calibri" w:hAnsi="Verdana" w:cs="Arial"/>
          <w:sz w:val="20"/>
          <w:szCs w:val="20"/>
          <w:lang w:val="es-ES_tradnl" w:eastAsia="es-MX"/>
        </w:rPr>
        <w:t>”.</w:t>
      </w:r>
    </w:p>
    <w:p w14:paraId="0D1347F9" w14:textId="77777777" w:rsidR="001C3C9B" w:rsidRPr="00B774CC" w:rsidRDefault="001C3C9B" w:rsidP="001C3C9B">
      <w:pPr>
        <w:spacing w:after="0" w:line="276" w:lineRule="auto"/>
        <w:jc w:val="both"/>
        <w:rPr>
          <w:rFonts w:ascii="Verdana" w:eastAsia="Calibri" w:hAnsi="Verdana" w:cs="Arial"/>
          <w:sz w:val="20"/>
          <w:szCs w:val="20"/>
          <w:lang w:val="es-ES_tradnl" w:eastAsia="es-MX"/>
        </w:rPr>
      </w:pPr>
    </w:p>
    <w:p w14:paraId="37BCC9B0" w14:textId="77777777" w:rsidR="001C3C9B" w:rsidRDefault="001C3C9B" w:rsidP="001C3C9B">
      <w:pPr>
        <w:spacing w:after="0" w:line="276" w:lineRule="auto"/>
        <w:jc w:val="both"/>
        <w:rPr>
          <w:rFonts w:ascii="Verdana" w:eastAsia="Calibri" w:hAnsi="Verdana" w:cs="Arial"/>
          <w:sz w:val="20"/>
          <w:szCs w:val="20"/>
          <w:lang w:eastAsia="es-MX"/>
        </w:rPr>
      </w:pPr>
      <w:r w:rsidRPr="00B774CC">
        <w:rPr>
          <w:rFonts w:ascii="Verdana" w:eastAsia="Calibri" w:hAnsi="Verdana" w:cs="Arial"/>
          <w:sz w:val="20"/>
          <w:szCs w:val="20"/>
          <w:lang w:val="es-ES_tradnl" w:eastAsia="es-MX"/>
        </w:rPr>
        <w:t xml:space="preserve">De esta forma, considerando que las actividades señaladas recaen sobre </w:t>
      </w:r>
      <w:r w:rsidRPr="00B774CC">
        <w:rPr>
          <w:rFonts w:ascii="Verdana" w:eastAsia="Calibri" w:hAnsi="Verdana" w:cs="Arial"/>
          <w:sz w:val="20"/>
          <w:szCs w:val="20"/>
          <w:lang w:eastAsia="es-MX"/>
        </w:rPr>
        <w:t>obras en proyectos de infraestructura de salud, para determinar qué abarca este tipo de infraestructura, debe indicarse que de conformidad con la norma NSR-10 en el Subgrupo de Ocupación Institucional (I) “se clasifican las edificaciones o espacios utilizados para la reclusión de personas que adolecen de limitaciones mentales o están sujetas a castigos penales o correccionales; en el tratamiento o cuidado de personas o en su reunión con propósitos educativos o de instrucción”.</w:t>
      </w:r>
    </w:p>
    <w:p w14:paraId="6092418C" w14:textId="77777777" w:rsidR="001C3C9B" w:rsidRPr="00B774CC" w:rsidRDefault="001C3C9B" w:rsidP="001C3C9B">
      <w:pPr>
        <w:spacing w:after="0" w:line="276" w:lineRule="auto"/>
        <w:jc w:val="both"/>
        <w:rPr>
          <w:rFonts w:ascii="Verdana" w:eastAsia="Calibri" w:hAnsi="Verdana" w:cs="Arial"/>
          <w:sz w:val="20"/>
          <w:szCs w:val="20"/>
          <w:lang w:eastAsia="es-MX"/>
        </w:rPr>
      </w:pPr>
    </w:p>
    <w:p w14:paraId="65E9852E" w14:textId="77777777" w:rsidR="001C3C9B" w:rsidRPr="00B774CC" w:rsidRDefault="001C3C9B" w:rsidP="001C3C9B">
      <w:pPr>
        <w:spacing w:after="0" w:line="276" w:lineRule="auto"/>
        <w:jc w:val="both"/>
        <w:rPr>
          <w:rFonts w:ascii="Verdana" w:eastAsia="Calibri" w:hAnsi="Verdana" w:cs="Arial"/>
          <w:sz w:val="20"/>
          <w:szCs w:val="20"/>
          <w:lang w:eastAsia="es-MX"/>
        </w:rPr>
      </w:pPr>
      <w:r w:rsidRPr="00B774CC">
        <w:rPr>
          <w:rFonts w:ascii="Verdana" w:eastAsia="Calibri" w:hAnsi="Verdana" w:cs="Arial"/>
          <w:sz w:val="20"/>
          <w:szCs w:val="20"/>
          <w:lang w:eastAsia="es-MX"/>
        </w:rPr>
        <w:t>En consideración con lo anterior, a efectos de precisar el alcance de las actividades relacionadas con infraestructura institucional, resulta pertinente acudir a lo dispuesto en la NSR-10, la cual establece la clasificación de las edificaciones dentro del Grupo de Ocupación Institucional (I), integrado por los Subgrupos de Ocupación Institucional de Reclusión (I-1), de Salud o Incapacidad (I-2), de Educación (I-3), de Seguridad Pública (I-4) y de Servicio Público (I-5).</w:t>
      </w:r>
    </w:p>
    <w:p w14:paraId="4AA71013" w14:textId="77777777" w:rsidR="001C3C9B" w:rsidRPr="00003B7F" w:rsidRDefault="001C3C9B" w:rsidP="001C3C9B">
      <w:pPr>
        <w:spacing w:after="0" w:line="276" w:lineRule="auto"/>
        <w:jc w:val="both"/>
        <w:rPr>
          <w:rFonts w:ascii="Verdana" w:eastAsia="Calibri" w:hAnsi="Verdana" w:cs="Arial"/>
          <w:b/>
          <w:bCs/>
          <w:color w:val="6699FF"/>
          <w:sz w:val="20"/>
          <w:szCs w:val="20"/>
          <w:lang w:eastAsia="es-MX"/>
        </w:rPr>
      </w:pPr>
    </w:p>
    <w:p w14:paraId="062084FE" w14:textId="77777777" w:rsidR="001C3C9B" w:rsidRPr="00003B7F" w:rsidRDefault="001C3C9B" w:rsidP="001C3C9B">
      <w:pPr>
        <w:spacing w:after="0" w:line="240" w:lineRule="auto"/>
        <w:jc w:val="both"/>
        <w:rPr>
          <w:rFonts w:ascii="Verdana" w:eastAsia="Calibri" w:hAnsi="Verdana" w:cs="Times New Roman"/>
          <w:b/>
          <w:bCs/>
          <w:lang w:val="es-ES" w:eastAsia="es-MX"/>
        </w:rPr>
      </w:pPr>
      <w:r w:rsidRPr="00003B7F">
        <w:rPr>
          <w:rFonts w:ascii="Verdana" w:eastAsia="Calibri" w:hAnsi="Verdana" w:cs="Times New Roman"/>
          <w:b/>
          <w:bCs/>
          <w:lang w:eastAsia="es-MX"/>
        </w:rPr>
        <w:t>INFRAESTRUCTURA INSTITUCIONAL</w:t>
      </w:r>
      <w:r w:rsidRPr="00003B7F">
        <w:rPr>
          <w:rFonts w:ascii="Verdana" w:eastAsia="Calibri" w:hAnsi="Verdana" w:cs="Times New Roman"/>
          <w:b/>
          <w:bCs/>
          <w:lang w:val="es-ES" w:eastAsia="es-MX"/>
        </w:rPr>
        <w:t xml:space="preserve"> – Documentos tipo – Complementarios – Sector Institucional – </w:t>
      </w:r>
      <w:r w:rsidRPr="00003B7F">
        <w:rPr>
          <w:rFonts w:ascii="Verdana" w:eastAsia="Aptos" w:hAnsi="Verdana" w:cs="Aptos"/>
          <w:b/>
          <w:bCs/>
          <w:kern w:val="2"/>
          <w:sz w:val="20"/>
          <w:szCs w:val="20"/>
          <w14:ligatures w14:val="standardContextual"/>
        </w:rPr>
        <w:t>Instituto Nacional de Medicina Legal y Ciencias Forenses</w:t>
      </w:r>
    </w:p>
    <w:p w14:paraId="289AC0D1" w14:textId="77777777" w:rsidR="001C3C9B" w:rsidRPr="00E17A6F" w:rsidRDefault="001C3C9B" w:rsidP="001C3C9B">
      <w:pPr>
        <w:spacing w:after="0"/>
        <w:jc w:val="both"/>
        <w:rPr>
          <w:rFonts w:ascii="Verdana" w:eastAsia="Calibri" w:hAnsi="Verdana" w:cs="Times New Roman"/>
          <w:kern w:val="2"/>
          <w:sz w:val="20"/>
          <w:szCs w:val="20"/>
          <w14:ligatures w14:val="standardContextual"/>
        </w:rPr>
      </w:pPr>
    </w:p>
    <w:p w14:paraId="53E3E2C6" w14:textId="77777777" w:rsidR="001C3C9B" w:rsidRPr="00B14235" w:rsidRDefault="001C3C9B" w:rsidP="001C3C9B">
      <w:pPr>
        <w:spacing w:after="120" w:line="276" w:lineRule="auto"/>
        <w:jc w:val="both"/>
        <w:rPr>
          <w:rFonts w:ascii="Verdana" w:eastAsia="Aptos" w:hAnsi="Verdana" w:cs="Aptos"/>
          <w:kern w:val="2"/>
          <w:sz w:val="20"/>
          <w:szCs w:val="20"/>
          <w14:ligatures w14:val="standardContextual"/>
        </w:rPr>
      </w:pPr>
      <w:r w:rsidRPr="00B14235">
        <w:rPr>
          <w:rFonts w:ascii="Verdana" w:eastAsia="Aptos" w:hAnsi="Verdana" w:cs="Aptos"/>
          <w:kern w:val="2"/>
          <w:sz w:val="20"/>
          <w:szCs w:val="20"/>
          <w14:ligatures w14:val="standardContextual"/>
        </w:rPr>
        <w:t xml:space="preserve">En ese sentido, la construcción de infraestructura de servicio público que, para este caso, comprende las sedes del Instituto Nacional de Medicina Legal y Ciencias Forenses, deberá adelantarse bajo la actividad anteriormente señalada. En consecuencia, todos los espacios que integren la edificación, tales como áreas administrativas, salas de atención, laboratorios forenses, morgues y demás dependencias requeridas para el cumplimiento de sus funciones institucionales, deberán contratarse bajo la referida actividad. Esto, en consideración a que la incorporación de componentes técnicos o especializados dentro de la infraestructura no modifica la naturaleza principal del proyecto ni desvirtúa su clasificación como infraestructura institucional de servicio público. Por el contrario, dichos espacios constituyen áreas funcionales necesarias para el desarrollo de las funciones misionales del Instituto, relacionadas con el apoyo técnico-científico a la administración de justicia, razón por la cual hacen parte integral de una edificación institucional de carácter judicial y no de otro tipo de infraestructura. </w:t>
      </w:r>
    </w:p>
    <w:p w14:paraId="687F9F64" w14:textId="77777777" w:rsidR="001C3C9B" w:rsidRPr="00E17A6F" w:rsidRDefault="001C3C9B" w:rsidP="001C3C9B">
      <w:pPr>
        <w:spacing w:after="0"/>
        <w:jc w:val="both"/>
        <w:rPr>
          <w:rFonts w:ascii="Verdana" w:eastAsia="Calibri" w:hAnsi="Verdana" w:cs="Times New Roman"/>
          <w:kern w:val="2"/>
          <w:sz w:val="20"/>
          <w:szCs w:val="20"/>
          <w14:ligatures w14:val="standardContextual"/>
        </w:rPr>
      </w:pPr>
    </w:p>
    <w:p w14:paraId="0312BAE4" w14:textId="77777777" w:rsidR="001C3C9B" w:rsidRPr="00AD224F" w:rsidRDefault="001C3C9B" w:rsidP="001C3C9B">
      <w:pPr>
        <w:spacing w:after="0"/>
        <w:rPr>
          <w:rFonts w:ascii="Verdana" w:eastAsia="Calibri" w:hAnsi="Verdana" w:cs="Times New Roman"/>
          <w:color w:val="00B0F0"/>
          <w:kern w:val="2"/>
          <w:sz w:val="20"/>
          <w:szCs w:val="20"/>
          <w14:ligatures w14:val="standardContextual"/>
        </w:rPr>
      </w:pPr>
    </w:p>
    <w:p w14:paraId="5D4FBE0E" w14:textId="77777777" w:rsidR="00B84708" w:rsidRDefault="00B84708" w:rsidP="001C3C9B">
      <w:pPr>
        <w:spacing w:after="0"/>
        <w:rPr>
          <w:rFonts w:ascii="Verdana" w:hAnsi="Verdana"/>
        </w:rPr>
      </w:pPr>
      <w:r w:rsidRPr="00B84708">
        <w:rPr>
          <w:rFonts w:ascii="Verdana" w:hAnsi="Verdana"/>
        </w:rPr>
        <w:lastRenderedPageBreak/>
        <w:t xml:space="preserve">Bogotá D.C, 24 Junio 2026 </w:t>
      </w:r>
    </w:p>
    <w:p w14:paraId="705EB16F" w14:textId="3999D366" w:rsidR="001C3C9B" w:rsidRPr="00A11AA2" w:rsidRDefault="000F78B3" w:rsidP="001C3C9B">
      <w:pPr>
        <w:spacing w:after="0"/>
        <w:rPr>
          <w:rFonts w:ascii="Verdana" w:hAnsi="Verdana"/>
        </w:rPr>
      </w:pPr>
      <w:r w:rsidRPr="000F78B3">
        <w:rPr>
          <w:rFonts w:ascii="Verdana" w:eastAsia="Calibri" w:hAnsi="Verdana" w:cs="Arial"/>
          <w:lang w:val="es-ES" w:eastAsia="es-ES"/>
        </w:rPr>
        <w:drawing>
          <wp:anchor distT="0" distB="0" distL="114300" distR="114300" simplePos="0" relativeHeight="251659264" behindDoc="0" locked="0" layoutInCell="1" allowOverlap="1" wp14:anchorId="3CEB232C" wp14:editId="2B1FD5FD">
            <wp:simplePos x="0" y="0"/>
            <wp:positionH relativeFrom="margin">
              <wp:posOffset>3329010</wp:posOffset>
            </wp:positionH>
            <wp:positionV relativeFrom="margin">
              <wp:posOffset>341971</wp:posOffset>
            </wp:positionV>
            <wp:extent cx="2676525" cy="857250"/>
            <wp:effectExtent l="0" t="0" r="9525" b="0"/>
            <wp:wrapSquare wrapText="bothSides"/>
            <wp:docPr id="20721308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13087" name=""/>
                    <pic:cNvPicPr/>
                  </pic:nvPicPr>
                  <pic:blipFill>
                    <a:blip r:embed="rId10">
                      <a:extLst>
                        <a:ext uri="{28A0092B-C50C-407E-A947-70E740481C1C}">
                          <a14:useLocalDpi xmlns:a14="http://schemas.microsoft.com/office/drawing/2010/main" val="0"/>
                        </a:ext>
                      </a:extLst>
                    </a:blip>
                    <a:stretch>
                      <a:fillRect/>
                    </a:stretch>
                  </pic:blipFill>
                  <pic:spPr>
                    <a:xfrm>
                      <a:off x="0" y="0"/>
                      <a:ext cx="2676525" cy="857250"/>
                    </a:xfrm>
                    <a:prstGeom prst="rect">
                      <a:avLst/>
                    </a:prstGeom>
                  </pic:spPr>
                </pic:pic>
              </a:graphicData>
            </a:graphic>
          </wp:anchor>
        </w:drawing>
      </w:r>
    </w:p>
    <w:p w14:paraId="3CFAB749" w14:textId="77777777" w:rsidR="000F78B3" w:rsidRDefault="001C3C9B" w:rsidP="000F78B3">
      <w:pPr>
        <w:tabs>
          <w:tab w:val="left" w:pos="6954"/>
        </w:tabs>
        <w:spacing w:after="0" w:line="276" w:lineRule="auto"/>
        <w:rPr>
          <w:rFonts w:ascii="Verdana" w:eastAsia="Calibri" w:hAnsi="Verdana" w:cs="Arial"/>
          <w:lang w:val="es-ES" w:eastAsia="es-ES"/>
        </w:rPr>
      </w:pPr>
      <w:r w:rsidRPr="002204F7">
        <w:rPr>
          <w:rFonts w:ascii="Verdana" w:eastAsia="Calibri" w:hAnsi="Verdana" w:cs="Arial"/>
          <w:lang w:val="es-ES" w:eastAsia="es-ES"/>
        </w:rPr>
        <w:t>Señora</w:t>
      </w:r>
    </w:p>
    <w:p w14:paraId="0B307AAF" w14:textId="6AE70D6B" w:rsidR="001C3C9B" w:rsidRPr="000F78B3" w:rsidRDefault="001C3C9B" w:rsidP="000F78B3">
      <w:pPr>
        <w:tabs>
          <w:tab w:val="left" w:pos="6954"/>
        </w:tabs>
        <w:spacing w:after="0" w:line="276" w:lineRule="auto"/>
        <w:rPr>
          <w:rFonts w:ascii="Verdana" w:eastAsia="Calibri" w:hAnsi="Verdana" w:cs="Arial"/>
          <w:lang w:val="es-ES" w:eastAsia="es-ES"/>
        </w:rPr>
      </w:pPr>
      <w:r w:rsidRPr="000F78B3">
        <w:rPr>
          <w:rFonts w:ascii="Verdana" w:eastAsia="Calibri" w:hAnsi="Verdana" w:cs="Arial"/>
          <w:b/>
          <w:bCs/>
          <w:lang w:val="en-US" w:eastAsia="es-ES"/>
        </w:rPr>
        <w:t>Jakelin Ortega</w:t>
      </w:r>
    </w:p>
    <w:p w14:paraId="5DDF3169" w14:textId="5735A24C" w:rsidR="001C3C9B" w:rsidRPr="000F78B3" w:rsidRDefault="001C3C9B" w:rsidP="001C3C9B">
      <w:pPr>
        <w:spacing w:after="0" w:line="276" w:lineRule="auto"/>
        <w:rPr>
          <w:rFonts w:ascii="Verdana" w:hAnsi="Verdana"/>
          <w:lang w:val="en-US"/>
        </w:rPr>
      </w:pPr>
      <w:hyperlink r:id="rId11" w:history="1">
        <w:r w:rsidRPr="000F78B3">
          <w:rPr>
            <w:rStyle w:val="Hipervnculo"/>
            <w:rFonts w:ascii="Verdana" w:hAnsi="Verdana"/>
            <w:lang w:val="en-US"/>
          </w:rPr>
          <w:t>jakeline.ortega@gmail.com</w:t>
        </w:r>
      </w:hyperlink>
    </w:p>
    <w:p w14:paraId="56777EEE" w14:textId="77777777" w:rsidR="001C3C9B" w:rsidRPr="002204F7" w:rsidRDefault="001C3C9B" w:rsidP="001C3C9B">
      <w:pPr>
        <w:spacing w:after="0" w:line="276" w:lineRule="auto"/>
        <w:rPr>
          <w:rFonts w:ascii="Verdana" w:hAnsi="Verdana"/>
        </w:rPr>
      </w:pPr>
      <w:r w:rsidRPr="002204F7">
        <w:rPr>
          <w:rFonts w:ascii="Verdana" w:hAnsi="Verdana"/>
        </w:rPr>
        <w:t>Bogotá D.C.</w:t>
      </w:r>
    </w:p>
    <w:p w14:paraId="414D5EFB" w14:textId="77777777" w:rsidR="001C3C9B" w:rsidRPr="007E53B7" w:rsidRDefault="001C3C9B" w:rsidP="001C3C9B">
      <w:pPr>
        <w:spacing w:after="0" w:line="276" w:lineRule="auto"/>
        <w:rPr>
          <w:rFonts w:ascii="Verdana" w:eastAsia="Calibri" w:hAnsi="Verdana" w:cs="Arial"/>
          <w:b/>
          <w:bCs/>
          <w:color w:val="66CCFF"/>
          <w:lang w:val="es-ES_tradnl" w:eastAsia="es-ES_tradnl"/>
        </w:rPr>
      </w:pPr>
    </w:p>
    <w:tbl>
      <w:tblPr>
        <w:tblStyle w:val="Tablaconcuadrcula1"/>
        <w:tblW w:w="92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261"/>
        <w:gridCol w:w="5972"/>
      </w:tblGrid>
      <w:tr w:rsidR="001C3C9B" w:rsidRPr="007E53B7" w14:paraId="66794F11" w14:textId="77777777" w:rsidTr="00E03CAE">
        <w:trPr>
          <w:trHeight w:val="463"/>
        </w:trPr>
        <w:tc>
          <w:tcPr>
            <w:tcW w:w="3261" w:type="dxa"/>
          </w:tcPr>
          <w:p w14:paraId="504199F3" w14:textId="77777777" w:rsidR="001C3C9B" w:rsidRPr="007E53B7" w:rsidRDefault="001C3C9B" w:rsidP="00E03CAE">
            <w:pPr>
              <w:spacing w:line="276" w:lineRule="auto"/>
              <w:jc w:val="both"/>
              <w:rPr>
                <w:rFonts w:ascii="Verdana" w:eastAsia="Calibri" w:hAnsi="Verdana" w:cs="Arial"/>
                <w:b/>
                <w:bCs/>
                <w:color w:val="66CCFF"/>
                <w:lang w:val="es-ES_tradnl" w:eastAsia="es-ES_tradnl"/>
              </w:rPr>
            </w:pPr>
          </w:p>
        </w:tc>
        <w:tc>
          <w:tcPr>
            <w:tcW w:w="5972" w:type="dxa"/>
            <w:hideMark/>
          </w:tcPr>
          <w:p w14:paraId="7FBBE626" w14:textId="77777777" w:rsidR="001C3C9B" w:rsidRPr="00DF2EA7" w:rsidRDefault="001C3C9B" w:rsidP="00E03CAE">
            <w:pPr>
              <w:spacing w:line="276" w:lineRule="auto"/>
              <w:jc w:val="both"/>
              <w:rPr>
                <w:rFonts w:ascii="Verdana" w:eastAsia="Calibri" w:hAnsi="Verdana" w:cs="Arial"/>
                <w:b/>
                <w:bCs/>
                <w:lang w:val="es-ES" w:eastAsia="es-ES"/>
              </w:rPr>
            </w:pPr>
            <w:r>
              <w:rPr>
                <w:rFonts w:ascii="Verdana" w:eastAsia="Calibri" w:hAnsi="Verdana" w:cs="Arial"/>
                <w:b/>
                <w:bCs/>
                <w:lang w:val="es-ES" w:eastAsia="es-ES"/>
              </w:rPr>
              <w:t>C</w:t>
            </w:r>
            <w:r w:rsidRPr="00DF2EA7">
              <w:rPr>
                <w:rFonts w:ascii="Verdana" w:eastAsia="Calibri" w:hAnsi="Verdana" w:cs="Arial"/>
                <w:b/>
                <w:bCs/>
                <w:lang w:val="es-ES" w:eastAsia="es-ES"/>
              </w:rPr>
              <w:t xml:space="preserve">oncepto C – </w:t>
            </w:r>
            <w:r>
              <w:rPr>
                <w:rFonts w:ascii="Verdana" w:eastAsia="Calibri" w:hAnsi="Verdana" w:cs="Arial"/>
                <w:b/>
                <w:bCs/>
                <w:lang w:val="es-ES" w:eastAsia="es-ES"/>
              </w:rPr>
              <w:t xml:space="preserve">810 </w:t>
            </w:r>
            <w:r w:rsidRPr="00DF2EA7">
              <w:rPr>
                <w:rFonts w:ascii="Verdana" w:eastAsia="Calibri" w:hAnsi="Verdana" w:cs="Arial"/>
                <w:b/>
                <w:bCs/>
                <w:lang w:val="es-ES" w:eastAsia="es-ES"/>
              </w:rPr>
              <w:t>de 2026</w:t>
            </w:r>
          </w:p>
        </w:tc>
      </w:tr>
      <w:tr w:rsidR="001C3C9B" w:rsidRPr="003C33C1" w14:paraId="2244370E" w14:textId="77777777" w:rsidTr="00E03CAE">
        <w:trPr>
          <w:trHeight w:val="2385"/>
        </w:trPr>
        <w:tc>
          <w:tcPr>
            <w:tcW w:w="3261" w:type="dxa"/>
            <w:hideMark/>
          </w:tcPr>
          <w:p w14:paraId="56DB2467" w14:textId="77777777" w:rsidR="001C3C9B" w:rsidRPr="00A11AA2" w:rsidRDefault="001C3C9B" w:rsidP="00E03CAE">
            <w:pPr>
              <w:spacing w:line="276" w:lineRule="auto"/>
              <w:jc w:val="both"/>
              <w:rPr>
                <w:rFonts w:ascii="Verdana" w:eastAsia="Calibri" w:hAnsi="Verdana" w:cs="Arial"/>
                <w:color w:val="66CCFF"/>
                <w:lang w:val="es-ES_tradnl" w:eastAsia="es-ES_tradnl"/>
              </w:rPr>
            </w:pPr>
            <w:r w:rsidRPr="00A11AA2">
              <w:rPr>
                <w:rFonts w:ascii="Verdana" w:eastAsia="Calibri" w:hAnsi="Verdana" w:cs="Arial"/>
                <w:b/>
                <w:lang w:val="es-ES_tradnl" w:eastAsia="es-ES_tradnl"/>
              </w:rPr>
              <w:t>Temas:</w:t>
            </w:r>
            <w:r w:rsidRPr="00A11AA2">
              <w:rPr>
                <w:rFonts w:ascii="Verdana" w:eastAsia="Calibri" w:hAnsi="Verdana" w:cs="Arial"/>
                <w:lang w:val="es-ES_tradnl" w:eastAsia="es-ES_tradnl"/>
              </w:rPr>
              <w:t xml:space="preserve">                  </w:t>
            </w:r>
          </w:p>
        </w:tc>
        <w:tc>
          <w:tcPr>
            <w:tcW w:w="5972" w:type="dxa"/>
          </w:tcPr>
          <w:p w14:paraId="011E0466" w14:textId="57A60F40" w:rsidR="001C3C9B" w:rsidRPr="00003B7F" w:rsidRDefault="001C3C9B" w:rsidP="00E03CAE">
            <w:pPr>
              <w:widowControl w:val="0"/>
              <w:autoSpaceDE w:val="0"/>
              <w:autoSpaceDN w:val="0"/>
              <w:jc w:val="both"/>
              <w:rPr>
                <w:rFonts w:ascii="Verdana" w:eastAsia="Calibri" w:hAnsi="Verdana" w:cs="Times New Roman"/>
                <w:lang w:val="es-ES" w:eastAsia="es-MX"/>
              </w:rPr>
            </w:pPr>
            <w:r w:rsidRPr="00003B7F">
              <w:rPr>
                <w:rFonts w:ascii="Verdana" w:eastAsia="Calibri" w:hAnsi="Verdana" w:cs="Arial"/>
                <w:lang w:val="es-ES_tradnl" w:eastAsia="es-MX"/>
              </w:rPr>
              <w:t>DOCUMENTOS TIPO – Fundamento normativo – Obligatoriedad / SECTOR SOCIAL</w:t>
            </w:r>
            <w:r w:rsidRPr="00003B7F">
              <w:rPr>
                <w:rFonts w:ascii="Verdana" w:eastAsia="Calibri" w:hAnsi="Verdana" w:cs="Times New Roman"/>
                <w:lang w:val="es-ES" w:eastAsia="es-MX"/>
              </w:rPr>
              <w:t xml:space="preserve"> – Documentos tipo – Vigentes / DOCUMENTOS TIPO – Aplicación – Matriz de Experiencia / NSR10 – Subgrupo de ocupación institucional – Documentos tipo – Sector social – Aplicación / INFRAESTRUCTURA INSTITUCIONAL – Documentos tipo – Complementarios – Sector Institucional – Instituto Nacional de Medicina Legal y Ciencias Forenses</w:t>
            </w:r>
          </w:p>
          <w:p w14:paraId="779B777F" w14:textId="77777777" w:rsidR="001C3C9B" w:rsidRPr="00003B7F" w:rsidRDefault="001C3C9B" w:rsidP="00E03CAE">
            <w:pPr>
              <w:widowControl w:val="0"/>
              <w:autoSpaceDE w:val="0"/>
              <w:autoSpaceDN w:val="0"/>
              <w:jc w:val="both"/>
              <w:rPr>
                <w:rFonts w:ascii="Verdana" w:eastAsia="Calibri" w:hAnsi="Verdana" w:cs="Times New Roman"/>
                <w:lang w:val="es-ES" w:eastAsia="es-MX"/>
              </w:rPr>
            </w:pPr>
          </w:p>
        </w:tc>
      </w:tr>
      <w:tr w:rsidR="001C3C9B" w:rsidRPr="00724695" w14:paraId="0FB1E0B8" w14:textId="77777777" w:rsidTr="00E03CAE">
        <w:trPr>
          <w:trHeight w:val="597"/>
        </w:trPr>
        <w:tc>
          <w:tcPr>
            <w:tcW w:w="3261" w:type="dxa"/>
            <w:hideMark/>
          </w:tcPr>
          <w:p w14:paraId="2E00D31A" w14:textId="77777777" w:rsidR="001C3C9B" w:rsidRPr="008C5E3B" w:rsidRDefault="001C3C9B" w:rsidP="00E03CAE">
            <w:pPr>
              <w:spacing w:line="276" w:lineRule="auto"/>
              <w:jc w:val="both"/>
              <w:rPr>
                <w:rFonts w:ascii="Verdana" w:eastAsia="Calibri" w:hAnsi="Verdana" w:cs="Arial"/>
                <w:b/>
                <w:lang w:val="es-ES_tradnl" w:eastAsia="es-ES_tradnl"/>
              </w:rPr>
            </w:pPr>
            <w:r w:rsidRPr="008C5E3B">
              <w:rPr>
                <w:rFonts w:ascii="Verdana" w:eastAsia="Calibri" w:hAnsi="Verdana" w:cs="Arial"/>
                <w:b/>
                <w:lang w:val="es-ES_tradnl" w:eastAsia="es-ES_tradnl"/>
              </w:rPr>
              <w:t xml:space="preserve">Radicación:               </w:t>
            </w:r>
          </w:p>
        </w:tc>
        <w:tc>
          <w:tcPr>
            <w:tcW w:w="5972" w:type="dxa"/>
          </w:tcPr>
          <w:p w14:paraId="70AF5D11" w14:textId="25472BCA" w:rsidR="001C3C9B" w:rsidRPr="003C33C1" w:rsidRDefault="001C3C9B" w:rsidP="00E03CAE">
            <w:pPr>
              <w:spacing w:line="276" w:lineRule="auto"/>
              <w:jc w:val="both"/>
              <w:rPr>
                <w:rFonts w:ascii="Verdana" w:eastAsia="Calibri" w:hAnsi="Verdana" w:cs="Arial"/>
                <w:bCs/>
                <w:lang w:eastAsia="es-ES_tradnl"/>
              </w:rPr>
            </w:pPr>
            <w:r w:rsidRPr="00724695">
              <w:rPr>
                <w:rFonts w:ascii="Verdana" w:eastAsia="Calibri" w:hAnsi="Verdana" w:cs="Arial"/>
                <w:bCs/>
                <w:lang w:val="es-ES_tradnl" w:eastAsia="es-ES_tradnl"/>
              </w:rPr>
              <w:t>Respuesta a</w:t>
            </w:r>
            <w:r w:rsidR="00A07EA1">
              <w:rPr>
                <w:rFonts w:ascii="Verdana" w:eastAsia="Calibri" w:hAnsi="Verdana" w:cs="Arial"/>
                <w:bCs/>
                <w:lang w:val="es-ES_tradnl" w:eastAsia="es-ES_tradnl"/>
              </w:rPr>
              <w:t xml:space="preserve"> las</w:t>
            </w:r>
            <w:r w:rsidR="00A07EA1" w:rsidRPr="00724695">
              <w:rPr>
                <w:rFonts w:ascii="Verdana" w:eastAsia="Calibri" w:hAnsi="Verdana" w:cs="Arial"/>
                <w:bCs/>
                <w:lang w:val="es-ES_tradnl" w:eastAsia="es-ES_tradnl"/>
              </w:rPr>
              <w:t xml:space="preserve"> consultas</w:t>
            </w:r>
            <w:r w:rsidRPr="00724695">
              <w:rPr>
                <w:rFonts w:ascii="Verdana" w:eastAsia="Calibri" w:hAnsi="Verdana" w:cs="Arial"/>
                <w:bCs/>
                <w:lang w:val="es-ES_tradnl" w:eastAsia="es-ES_tradnl"/>
              </w:rPr>
              <w:t xml:space="preserve"> con radicado </w:t>
            </w:r>
            <w:r w:rsidRPr="00724695">
              <w:rPr>
                <w:rFonts w:ascii="Verdana" w:eastAsia="Calibri" w:hAnsi="Verdana" w:cs="Arial"/>
                <w:bCs/>
                <w:lang w:eastAsia="es-ES_tradnl"/>
              </w:rPr>
              <w:t xml:space="preserve">No. </w:t>
            </w:r>
            <w:r w:rsidRPr="003C33C1">
              <w:rPr>
                <w:rFonts w:ascii="Verdana" w:eastAsia="Calibri" w:hAnsi="Verdana" w:cs="Arial"/>
                <w:bCs/>
                <w:lang w:eastAsia="es-ES_tradnl"/>
              </w:rPr>
              <w:t>1_2026_05_19_006662</w:t>
            </w:r>
            <w:r w:rsidR="00A07EA1">
              <w:rPr>
                <w:rFonts w:ascii="Verdana" w:eastAsia="Calibri" w:hAnsi="Verdana" w:cs="Arial"/>
                <w:bCs/>
                <w:lang w:eastAsia="es-ES_tradnl"/>
              </w:rPr>
              <w:t xml:space="preserve"> y No. </w:t>
            </w:r>
            <w:r w:rsidR="00A07EA1" w:rsidRPr="00A07EA1">
              <w:rPr>
                <w:rFonts w:ascii="Verdana" w:eastAsia="Calibri" w:hAnsi="Verdana" w:cs="Arial"/>
                <w:bCs/>
                <w:lang w:eastAsia="es-ES_tradnl"/>
              </w:rPr>
              <w:t>1_2026_05_26_007095</w:t>
            </w:r>
            <w:r w:rsidR="00A07EA1">
              <w:rPr>
                <w:rFonts w:ascii="Verdana" w:eastAsia="Calibri" w:hAnsi="Verdana" w:cs="Arial"/>
                <w:bCs/>
                <w:lang w:eastAsia="es-ES_tradnl"/>
              </w:rPr>
              <w:t xml:space="preserve"> (Acumuladas).</w:t>
            </w:r>
          </w:p>
          <w:p w14:paraId="1292401A" w14:textId="77777777" w:rsidR="001C3C9B" w:rsidRPr="003C33C1" w:rsidRDefault="001C3C9B" w:rsidP="00E03CAE">
            <w:pPr>
              <w:spacing w:line="276" w:lineRule="auto"/>
              <w:jc w:val="both"/>
              <w:rPr>
                <w:rFonts w:ascii="Verdana" w:eastAsia="Calibri" w:hAnsi="Verdana" w:cs="Arial"/>
                <w:bCs/>
                <w:lang w:eastAsia="es-ES_tradnl"/>
              </w:rPr>
            </w:pPr>
          </w:p>
        </w:tc>
      </w:tr>
    </w:tbl>
    <w:p w14:paraId="360699F5" w14:textId="77777777" w:rsidR="001C3C9B" w:rsidRPr="00AB5C52" w:rsidRDefault="001C3C9B" w:rsidP="001C3C9B">
      <w:pPr>
        <w:spacing w:after="0" w:line="276" w:lineRule="auto"/>
        <w:jc w:val="both"/>
        <w:rPr>
          <w:rFonts w:ascii="Verdana" w:eastAsia="Calibri" w:hAnsi="Verdana" w:cs="Arial"/>
          <w:bCs/>
          <w:lang w:val="es-ES_tradnl" w:eastAsia="es-ES_tradnl"/>
        </w:rPr>
      </w:pPr>
    </w:p>
    <w:p w14:paraId="364D1ECD" w14:textId="77777777" w:rsidR="001C3C9B" w:rsidRPr="00AB5C52" w:rsidRDefault="001C3C9B" w:rsidP="001C3C9B">
      <w:pPr>
        <w:spacing w:after="0" w:line="276" w:lineRule="auto"/>
        <w:jc w:val="both"/>
        <w:rPr>
          <w:rFonts w:ascii="Verdana" w:eastAsia="Calibri" w:hAnsi="Verdana" w:cs="Arial"/>
          <w:bCs/>
          <w:lang w:val="es-ES" w:eastAsia="es-ES"/>
        </w:rPr>
      </w:pPr>
      <w:r w:rsidRPr="00AB5C52">
        <w:rPr>
          <w:rFonts w:ascii="Verdana" w:eastAsia="Calibri" w:hAnsi="Verdana" w:cs="Arial"/>
          <w:bCs/>
          <w:lang w:val="es-ES" w:eastAsia="es-ES"/>
        </w:rPr>
        <w:t xml:space="preserve">Estimada señora </w:t>
      </w:r>
      <w:r w:rsidRPr="003C33C1">
        <w:rPr>
          <w:rFonts w:ascii="Verdana" w:eastAsia="Calibri" w:hAnsi="Verdana" w:cs="Arial"/>
          <w:bCs/>
          <w:lang w:eastAsia="es-ES"/>
        </w:rPr>
        <w:t>Jakelin</w:t>
      </w:r>
      <w:r w:rsidRPr="00AB5C52">
        <w:rPr>
          <w:rFonts w:ascii="Verdana" w:eastAsia="Calibri" w:hAnsi="Verdana" w:cs="Arial"/>
          <w:bCs/>
          <w:lang w:val="es-ES" w:eastAsia="es-ES"/>
        </w:rPr>
        <w:t xml:space="preserve">:  </w:t>
      </w:r>
    </w:p>
    <w:p w14:paraId="47A36D4C" w14:textId="77777777" w:rsidR="001C3C9B" w:rsidRPr="00AB5C52" w:rsidRDefault="001C3C9B" w:rsidP="001C3C9B">
      <w:pPr>
        <w:tabs>
          <w:tab w:val="left" w:pos="3768"/>
        </w:tabs>
        <w:spacing w:after="0" w:line="276" w:lineRule="auto"/>
        <w:jc w:val="both"/>
        <w:rPr>
          <w:rFonts w:ascii="Verdana" w:eastAsia="Calibri" w:hAnsi="Verdana" w:cs="Arial"/>
          <w:bCs/>
          <w:lang w:val="es-ES" w:eastAsia="es-ES"/>
        </w:rPr>
      </w:pPr>
      <w:r w:rsidRPr="00AB5C52">
        <w:rPr>
          <w:rFonts w:ascii="Verdana" w:eastAsia="Calibri" w:hAnsi="Verdana" w:cs="Arial"/>
          <w:bCs/>
          <w:lang w:val="es-ES" w:eastAsia="es-ES"/>
        </w:rPr>
        <w:tab/>
      </w:r>
    </w:p>
    <w:p w14:paraId="63A4D9BE" w14:textId="77777777" w:rsidR="001C3C9B" w:rsidRPr="003125D1" w:rsidRDefault="001C3C9B" w:rsidP="001C3C9B">
      <w:pPr>
        <w:spacing w:after="0" w:line="276" w:lineRule="auto"/>
        <w:jc w:val="both"/>
        <w:rPr>
          <w:rFonts w:ascii="Verdana" w:eastAsia="Calibri" w:hAnsi="Verdana" w:cs="Arial"/>
          <w:lang w:val="es-ES" w:eastAsia="es-ES"/>
        </w:rPr>
      </w:pPr>
      <w:r w:rsidRPr="003125D1">
        <w:rPr>
          <w:rFonts w:ascii="Verdana" w:eastAsia="Calibri" w:hAnsi="Verdana" w:cs="Arial"/>
          <w:lang w:val="es-ES" w:eastAsia="es-ES"/>
        </w:rPr>
        <w:t>En ejercicio de la competencia otorgada por los artículos 3, numeral 5º, y 11, numeral 8º, del Decreto Ley 4170 de 2011,</w:t>
      </w:r>
      <w:r w:rsidRPr="003125D1">
        <w:rPr>
          <w:rFonts w:ascii="Verdana" w:eastAsia="Arial MT" w:hAnsi="Verdana" w:cs="Arial MT"/>
          <w:lang w:val="es-ES" w:eastAsia="es-ES"/>
        </w:rPr>
        <w:t xml:space="preserve"> </w:t>
      </w:r>
      <w:r w:rsidRPr="003125D1">
        <w:rPr>
          <w:rFonts w:ascii="Verdana" w:eastAsia="Calibri" w:hAnsi="Verdana" w:cs="Arial"/>
        </w:rPr>
        <w:t xml:space="preserve">así como lo establecido en el artículo 4 de la Resolución 1707 de 2018 expedida por esta Entidad, </w:t>
      </w:r>
      <w:r w:rsidRPr="003125D1">
        <w:rPr>
          <w:rFonts w:ascii="Verdana" w:eastAsia="Calibri" w:hAnsi="Verdana" w:cs="Arial"/>
          <w:lang w:val="es-ES" w:eastAsia="es-ES"/>
        </w:rPr>
        <w:t xml:space="preserve">la Agencia Nacional de Contratación Pública –Colombia Compra Eficiente– responde su solicitud de consulta de fecha </w:t>
      </w:r>
      <w:r>
        <w:rPr>
          <w:rFonts w:ascii="Verdana" w:eastAsia="Calibri" w:hAnsi="Verdana" w:cs="Arial"/>
          <w:lang w:val="es-ES" w:eastAsia="es-ES"/>
        </w:rPr>
        <w:t>19 de mayo</w:t>
      </w:r>
      <w:r w:rsidRPr="003125D1">
        <w:rPr>
          <w:rFonts w:ascii="Verdana" w:eastAsia="Calibri" w:hAnsi="Verdana" w:cs="Arial"/>
          <w:lang w:val="es-ES" w:eastAsia="es-ES"/>
        </w:rPr>
        <w:t xml:space="preserve"> de 2026, en la cual manifiesta lo siguiente: </w:t>
      </w:r>
      <w:bookmarkStart w:id="1" w:name="_Hlk95313578"/>
    </w:p>
    <w:p w14:paraId="464245C2" w14:textId="77777777" w:rsidR="001C3C9B" w:rsidRPr="003125D1" w:rsidRDefault="001C3C9B" w:rsidP="001C3C9B">
      <w:pPr>
        <w:spacing w:after="0" w:line="276" w:lineRule="auto"/>
        <w:jc w:val="both"/>
        <w:rPr>
          <w:rFonts w:ascii="Verdana" w:eastAsia="Calibri" w:hAnsi="Verdana" w:cs="Arial"/>
          <w:bCs/>
          <w:lang w:val="es-ES" w:eastAsia="es-ES"/>
        </w:rPr>
      </w:pPr>
    </w:p>
    <w:bookmarkEnd w:id="1"/>
    <w:p w14:paraId="777B075A" w14:textId="77777777" w:rsidR="001C3C9B" w:rsidRPr="008F18F2" w:rsidRDefault="001C3C9B" w:rsidP="001C3C9B">
      <w:pPr>
        <w:spacing w:after="0" w:line="240" w:lineRule="auto"/>
        <w:ind w:left="709" w:right="709"/>
        <w:jc w:val="both"/>
        <w:rPr>
          <w:rFonts w:ascii="Verdana" w:eastAsia="Calibri" w:hAnsi="Verdana" w:cs="Arial"/>
          <w:i/>
          <w:iCs/>
          <w:sz w:val="20"/>
          <w:szCs w:val="20"/>
          <w:lang w:val="es-ES" w:eastAsia="es-ES"/>
        </w:rPr>
      </w:pPr>
      <w:r w:rsidRPr="008F18F2">
        <w:rPr>
          <w:rFonts w:ascii="Verdana" w:eastAsia="Calibri" w:hAnsi="Verdana" w:cs="Arial"/>
          <w:i/>
          <w:iCs/>
          <w:sz w:val="20"/>
          <w:szCs w:val="20"/>
          <w:lang w:val="es-ES" w:eastAsia="es-ES"/>
        </w:rPr>
        <w:t>“(…)</w:t>
      </w:r>
    </w:p>
    <w:p w14:paraId="45D60CC5" w14:textId="77777777" w:rsidR="001C3C9B" w:rsidRDefault="001C3C9B" w:rsidP="001C3C9B">
      <w:pPr>
        <w:spacing w:after="0" w:line="240" w:lineRule="auto"/>
        <w:ind w:left="709" w:right="709"/>
        <w:jc w:val="both"/>
        <w:rPr>
          <w:rFonts w:ascii="Verdana" w:eastAsia="Calibri" w:hAnsi="Verdana" w:cs="Arial"/>
          <w:i/>
          <w:iCs/>
          <w:sz w:val="20"/>
          <w:szCs w:val="20"/>
          <w:lang w:val="es-ES" w:eastAsia="es-ES"/>
        </w:rPr>
      </w:pPr>
    </w:p>
    <w:p w14:paraId="3FB4ABD2" w14:textId="77777777" w:rsidR="001C3C9B" w:rsidRPr="00710348" w:rsidRDefault="001C3C9B" w:rsidP="001C3C9B">
      <w:pPr>
        <w:spacing w:after="0" w:line="240" w:lineRule="auto"/>
        <w:ind w:left="709" w:right="709"/>
        <w:jc w:val="both"/>
        <w:rPr>
          <w:rFonts w:ascii="Verdana" w:eastAsia="Calibri" w:hAnsi="Verdana" w:cs="Arial"/>
          <w:i/>
          <w:iCs/>
          <w:sz w:val="20"/>
          <w:szCs w:val="20"/>
          <w:lang w:val="es-ES" w:eastAsia="es-ES"/>
        </w:rPr>
      </w:pPr>
      <w:r w:rsidRPr="00710348">
        <w:rPr>
          <w:rFonts w:ascii="Verdana" w:eastAsia="Calibri" w:hAnsi="Verdana" w:cs="Arial"/>
          <w:i/>
          <w:iCs/>
          <w:sz w:val="20"/>
          <w:szCs w:val="20"/>
          <w:lang w:val="es-ES" w:eastAsia="es-ES"/>
        </w:rPr>
        <w:t xml:space="preserve">Teniendo en </w:t>
      </w:r>
      <w:proofErr w:type="spellStart"/>
      <w:r w:rsidRPr="00710348">
        <w:rPr>
          <w:rFonts w:ascii="Verdana" w:eastAsia="Calibri" w:hAnsi="Verdana" w:cs="Arial"/>
          <w:i/>
          <w:iCs/>
          <w:sz w:val="20"/>
          <w:szCs w:val="20"/>
          <w:lang w:val="es-ES" w:eastAsia="es-ES"/>
        </w:rPr>
        <w:t>cuneta</w:t>
      </w:r>
      <w:proofErr w:type="spellEnd"/>
      <w:r w:rsidRPr="00710348">
        <w:rPr>
          <w:rFonts w:ascii="Verdana" w:eastAsia="Calibri" w:hAnsi="Verdana" w:cs="Arial"/>
          <w:i/>
          <w:iCs/>
          <w:sz w:val="20"/>
          <w:szCs w:val="20"/>
          <w:lang w:val="es-ES" w:eastAsia="es-ES"/>
        </w:rPr>
        <w:t xml:space="preserve"> que al </w:t>
      </w:r>
      <w:proofErr w:type="spellStart"/>
      <w:r w:rsidRPr="00710348">
        <w:rPr>
          <w:rFonts w:ascii="Verdana" w:eastAsia="Calibri" w:hAnsi="Verdana" w:cs="Arial"/>
          <w:i/>
          <w:iCs/>
          <w:sz w:val="20"/>
          <w:szCs w:val="20"/>
          <w:lang w:val="es-ES" w:eastAsia="es-ES"/>
        </w:rPr>
        <w:t>Intituto</w:t>
      </w:r>
      <w:proofErr w:type="spellEnd"/>
      <w:r w:rsidRPr="00710348">
        <w:rPr>
          <w:rFonts w:ascii="Verdana" w:eastAsia="Calibri" w:hAnsi="Verdana" w:cs="Arial"/>
          <w:i/>
          <w:iCs/>
          <w:sz w:val="20"/>
          <w:szCs w:val="20"/>
          <w:lang w:val="es-ES" w:eastAsia="es-ES"/>
        </w:rPr>
        <w:t xml:space="preserve"> de Medicina Legal va a adelantar proceso de </w:t>
      </w:r>
      <w:proofErr w:type="spellStart"/>
      <w:r w:rsidRPr="00710348">
        <w:rPr>
          <w:rFonts w:ascii="Verdana" w:eastAsia="Calibri" w:hAnsi="Verdana" w:cs="Arial"/>
          <w:i/>
          <w:iCs/>
          <w:sz w:val="20"/>
          <w:szCs w:val="20"/>
          <w:lang w:val="es-ES" w:eastAsia="es-ES"/>
        </w:rPr>
        <w:t>contratacion</w:t>
      </w:r>
      <w:proofErr w:type="spellEnd"/>
      <w:r w:rsidRPr="00710348">
        <w:rPr>
          <w:rFonts w:ascii="Verdana" w:eastAsia="Calibri" w:hAnsi="Verdana" w:cs="Arial"/>
          <w:i/>
          <w:iCs/>
          <w:sz w:val="20"/>
          <w:szCs w:val="20"/>
          <w:lang w:val="es-ES" w:eastAsia="es-ES"/>
        </w:rPr>
        <w:t xml:space="preserve"> para la construcción de la Sede de Soacha que incluye, oficinas, morgue, parqueaderos, laboratorios </w:t>
      </w:r>
      <w:proofErr w:type="spellStart"/>
      <w:r w:rsidRPr="00710348">
        <w:rPr>
          <w:rFonts w:ascii="Verdana" w:eastAsia="Calibri" w:hAnsi="Verdana" w:cs="Arial"/>
          <w:i/>
          <w:iCs/>
          <w:sz w:val="20"/>
          <w:szCs w:val="20"/>
          <w:lang w:val="es-ES" w:eastAsia="es-ES"/>
        </w:rPr>
        <w:t>etcs</w:t>
      </w:r>
      <w:proofErr w:type="spellEnd"/>
      <w:r w:rsidRPr="00710348">
        <w:rPr>
          <w:rFonts w:ascii="Verdana" w:eastAsia="Calibri" w:hAnsi="Verdana" w:cs="Arial"/>
          <w:i/>
          <w:iCs/>
          <w:sz w:val="20"/>
          <w:szCs w:val="20"/>
          <w:lang w:val="es-ES" w:eastAsia="es-ES"/>
        </w:rPr>
        <w:t>. atentamente me permito solicitar su</w:t>
      </w:r>
      <w:r>
        <w:rPr>
          <w:rFonts w:ascii="Verdana" w:eastAsia="Calibri" w:hAnsi="Verdana" w:cs="Arial"/>
          <w:i/>
          <w:iCs/>
          <w:sz w:val="20"/>
          <w:szCs w:val="20"/>
          <w:lang w:val="es-ES" w:eastAsia="es-ES"/>
        </w:rPr>
        <w:t xml:space="preserve"> </w:t>
      </w:r>
      <w:r w:rsidRPr="00710348">
        <w:rPr>
          <w:rFonts w:ascii="Verdana" w:eastAsia="Calibri" w:hAnsi="Verdana" w:cs="Arial"/>
          <w:i/>
          <w:iCs/>
          <w:sz w:val="20"/>
          <w:szCs w:val="20"/>
          <w:lang w:val="es-ES" w:eastAsia="es-ES"/>
        </w:rPr>
        <w:t xml:space="preserve">concepto para indicarme si este tipo de edificaciones es una estructura social, </w:t>
      </w:r>
      <w:proofErr w:type="spellStart"/>
      <w:r w:rsidRPr="00710348">
        <w:rPr>
          <w:rFonts w:ascii="Verdana" w:eastAsia="Calibri" w:hAnsi="Verdana" w:cs="Arial"/>
          <w:i/>
          <w:iCs/>
          <w:sz w:val="20"/>
          <w:szCs w:val="20"/>
          <w:lang w:val="es-ES" w:eastAsia="es-ES"/>
        </w:rPr>
        <w:t>teneindo</w:t>
      </w:r>
      <w:proofErr w:type="spellEnd"/>
      <w:r w:rsidRPr="00710348">
        <w:rPr>
          <w:rFonts w:ascii="Verdana" w:eastAsia="Calibri" w:hAnsi="Verdana" w:cs="Arial"/>
          <w:i/>
          <w:iCs/>
          <w:sz w:val="20"/>
          <w:szCs w:val="20"/>
          <w:lang w:val="es-ES" w:eastAsia="es-ES"/>
        </w:rPr>
        <w:t xml:space="preserve"> en </w:t>
      </w:r>
      <w:proofErr w:type="spellStart"/>
      <w:r w:rsidRPr="00710348">
        <w:rPr>
          <w:rFonts w:ascii="Verdana" w:eastAsia="Calibri" w:hAnsi="Verdana" w:cs="Arial"/>
          <w:i/>
          <w:iCs/>
          <w:sz w:val="20"/>
          <w:szCs w:val="20"/>
          <w:lang w:val="es-ES" w:eastAsia="es-ES"/>
        </w:rPr>
        <w:t>cuneta</w:t>
      </w:r>
      <w:proofErr w:type="spellEnd"/>
      <w:r w:rsidRPr="00710348">
        <w:rPr>
          <w:rFonts w:ascii="Verdana" w:eastAsia="Calibri" w:hAnsi="Verdana" w:cs="Arial"/>
          <w:i/>
          <w:iCs/>
          <w:sz w:val="20"/>
          <w:szCs w:val="20"/>
          <w:lang w:val="es-ES" w:eastAsia="es-ES"/>
        </w:rPr>
        <w:t xml:space="preserve"> que</w:t>
      </w:r>
    </w:p>
    <w:p w14:paraId="1130715B" w14:textId="77777777" w:rsidR="001C3C9B" w:rsidRDefault="001C3C9B" w:rsidP="001C3C9B">
      <w:pPr>
        <w:spacing w:after="0" w:line="240" w:lineRule="auto"/>
        <w:ind w:left="709" w:right="709"/>
        <w:jc w:val="both"/>
        <w:rPr>
          <w:rFonts w:ascii="Verdana" w:eastAsia="Calibri" w:hAnsi="Verdana" w:cs="Arial"/>
          <w:i/>
          <w:iCs/>
          <w:sz w:val="20"/>
          <w:szCs w:val="20"/>
          <w:lang w:val="es-ES" w:eastAsia="es-ES"/>
        </w:rPr>
      </w:pPr>
    </w:p>
    <w:p w14:paraId="0A797047" w14:textId="77777777" w:rsidR="001C3C9B" w:rsidRPr="00710348" w:rsidRDefault="001C3C9B" w:rsidP="001C3C9B">
      <w:pPr>
        <w:spacing w:after="0" w:line="240" w:lineRule="auto"/>
        <w:ind w:left="709" w:right="709"/>
        <w:jc w:val="both"/>
        <w:rPr>
          <w:rFonts w:ascii="Verdana" w:eastAsia="Calibri" w:hAnsi="Verdana" w:cs="Arial"/>
          <w:i/>
          <w:iCs/>
          <w:sz w:val="20"/>
          <w:szCs w:val="20"/>
          <w:lang w:val="es-ES" w:eastAsia="es-ES"/>
        </w:rPr>
      </w:pPr>
      <w:r w:rsidRPr="00710348">
        <w:rPr>
          <w:rFonts w:ascii="Verdana" w:eastAsia="Calibri" w:hAnsi="Verdana" w:cs="Arial"/>
          <w:i/>
          <w:iCs/>
          <w:sz w:val="20"/>
          <w:szCs w:val="20"/>
          <w:lang w:val="es-ES" w:eastAsia="es-ES"/>
        </w:rPr>
        <w:lastRenderedPageBreak/>
        <w:t>Una morgue (o sede de medicina legal), Es una instalación técnico-científica especializada</w:t>
      </w:r>
    </w:p>
    <w:p w14:paraId="6FD4FA74" w14:textId="77777777" w:rsidR="001C3C9B" w:rsidRDefault="001C3C9B" w:rsidP="001C3C9B">
      <w:pPr>
        <w:spacing w:after="0" w:line="240" w:lineRule="auto"/>
        <w:ind w:left="709" w:right="709"/>
        <w:jc w:val="both"/>
        <w:rPr>
          <w:rFonts w:ascii="Verdana" w:eastAsia="Calibri" w:hAnsi="Verdana" w:cs="Arial"/>
          <w:i/>
          <w:iCs/>
          <w:sz w:val="20"/>
          <w:szCs w:val="20"/>
          <w:lang w:val="es-ES" w:eastAsia="es-ES"/>
        </w:rPr>
      </w:pPr>
    </w:p>
    <w:p w14:paraId="589929DA" w14:textId="77777777" w:rsidR="001C3C9B" w:rsidRDefault="001C3C9B" w:rsidP="001C3C9B">
      <w:pPr>
        <w:spacing w:after="0" w:line="240" w:lineRule="auto"/>
        <w:ind w:left="709" w:right="709"/>
        <w:jc w:val="both"/>
        <w:rPr>
          <w:rFonts w:ascii="Verdana" w:eastAsia="Calibri" w:hAnsi="Verdana" w:cs="Arial"/>
          <w:i/>
          <w:iCs/>
          <w:sz w:val="20"/>
          <w:szCs w:val="20"/>
          <w:lang w:val="es-ES" w:eastAsia="es-ES"/>
        </w:rPr>
      </w:pPr>
      <w:r w:rsidRPr="00710348">
        <w:rPr>
          <w:rFonts w:ascii="Verdana" w:eastAsia="Calibri" w:hAnsi="Verdana" w:cs="Arial"/>
          <w:i/>
          <w:iCs/>
          <w:sz w:val="20"/>
          <w:szCs w:val="20"/>
          <w:lang w:val="es-ES" w:eastAsia="es-ES"/>
        </w:rPr>
        <w:t>Su finalidad es:</w:t>
      </w:r>
    </w:p>
    <w:p w14:paraId="06E777D3" w14:textId="77777777" w:rsidR="001C3C9B" w:rsidRPr="00710348" w:rsidRDefault="001C3C9B" w:rsidP="001C3C9B">
      <w:pPr>
        <w:spacing w:after="0" w:line="240" w:lineRule="auto"/>
        <w:ind w:left="709" w:right="709"/>
        <w:jc w:val="both"/>
        <w:rPr>
          <w:rFonts w:ascii="Verdana" w:eastAsia="Calibri" w:hAnsi="Verdana" w:cs="Arial"/>
          <w:i/>
          <w:iCs/>
          <w:sz w:val="20"/>
          <w:szCs w:val="20"/>
          <w:lang w:val="es-ES" w:eastAsia="es-ES"/>
        </w:rPr>
      </w:pPr>
    </w:p>
    <w:p w14:paraId="78EC9524" w14:textId="77777777" w:rsidR="001C3C9B" w:rsidRPr="007F7B46" w:rsidRDefault="001C3C9B" w:rsidP="007F7B46">
      <w:pPr>
        <w:pStyle w:val="Prrafodelista"/>
        <w:numPr>
          <w:ilvl w:val="0"/>
          <w:numId w:val="19"/>
        </w:numPr>
        <w:spacing w:after="0" w:line="240" w:lineRule="auto"/>
        <w:ind w:right="709"/>
        <w:jc w:val="both"/>
        <w:rPr>
          <w:rFonts w:ascii="Verdana" w:eastAsia="Calibri" w:hAnsi="Verdana" w:cs="Arial"/>
          <w:i/>
          <w:iCs/>
          <w:sz w:val="20"/>
          <w:szCs w:val="20"/>
          <w:lang w:eastAsia="es-ES"/>
        </w:rPr>
      </w:pPr>
      <w:r w:rsidRPr="007F7B46">
        <w:rPr>
          <w:rFonts w:ascii="Verdana" w:eastAsia="Calibri" w:hAnsi="Verdana" w:cs="Arial"/>
          <w:i/>
          <w:iCs/>
          <w:sz w:val="20"/>
          <w:szCs w:val="20"/>
          <w:lang w:eastAsia="es-ES"/>
        </w:rPr>
        <w:t>Práctica de necropsias</w:t>
      </w:r>
    </w:p>
    <w:p w14:paraId="27228ED3" w14:textId="77777777" w:rsidR="001C3C9B" w:rsidRPr="007F7B46" w:rsidRDefault="001C3C9B" w:rsidP="007F7B46">
      <w:pPr>
        <w:pStyle w:val="Prrafodelista"/>
        <w:numPr>
          <w:ilvl w:val="0"/>
          <w:numId w:val="19"/>
        </w:numPr>
        <w:spacing w:after="0" w:line="240" w:lineRule="auto"/>
        <w:ind w:right="709"/>
        <w:jc w:val="both"/>
        <w:rPr>
          <w:rFonts w:ascii="Verdana" w:eastAsia="Calibri" w:hAnsi="Verdana" w:cs="Arial"/>
          <w:i/>
          <w:iCs/>
          <w:sz w:val="20"/>
          <w:szCs w:val="20"/>
          <w:lang w:eastAsia="es-ES"/>
        </w:rPr>
      </w:pPr>
      <w:r w:rsidRPr="007F7B46">
        <w:rPr>
          <w:rFonts w:ascii="Verdana" w:eastAsia="Calibri" w:hAnsi="Verdana" w:cs="Arial"/>
          <w:i/>
          <w:iCs/>
          <w:sz w:val="20"/>
          <w:szCs w:val="20"/>
          <w:lang w:eastAsia="es-ES"/>
        </w:rPr>
        <w:t>Investigación forense</w:t>
      </w:r>
    </w:p>
    <w:p w14:paraId="73CDFB28" w14:textId="77777777" w:rsidR="001C3C9B" w:rsidRPr="007F7B46" w:rsidRDefault="001C3C9B" w:rsidP="007F7B46">
      <w:pPr>
        <w:pStyle w:val="Prrafodelista"/>
        <w:numPr>
          <w:ilvl w:val="0"/>
          <w:numId w:val="19"/>
        </w:numPr>
        <w:spacing w:after="0" w:line="240" w:lineRule="auto"/>
        <w:ind w:right="709"/>
        <w:jc w:val="both"/>
        <w:rPr>
          <w:rFonts w:ascii="Verdana" w:eastAsia="Calibri" w:hAnsi="Verdana" w:cs="Arial"/>
          <w:i/>
          <w:iCs/>
          <w:sz w:val="20"/>
          <w:szCs w:val="20"/>
          <w:lang w:eastAsia="es-ES"/>
        </w:rPr>
      </w:pPr>
      <w:r w:rsidRPr="007F7B46">
        <w:rPr>
          <w:rFonts w:ascii="Verdana" w:eastAsia="Calibri" w:hAnsi="Verdana" w:cs="Arial"/>
          <w:i/>
          <w:iCs/>
          <w:sz w:val="20"/>
          <w:szCs w:val="20"/>
          <w:lang w:eastAsia="es-ES"/>
        </w:rPr>
        <w:t>Apoyo a la administración de justicia</w:t>
      </w:r>
    </w:p>
    <w:p w14:paraId="40292AD0" w14:textId="77777777" w:rsidR="001C3C9B" w:rsidRPr="00710348" w:rsidRDefault="001C3C9B" w:rsidP="001C3C9B">
      <w:pPr>
        <w:spacing w:after="0" w:line="240" w:lineRule="auto"/>
        <w:ind w:left="1276" w:right="709"/>
        <w:jc w:val="both"/>
        <w:rPr>
          <w:rFonts w:ascii="Verdana" w:eastAsia="Calibri" w:hAnsi="Verdana" w:cs="Arial"/>
          <w:i/>
          <w:iCs/>
          <w:sz w:val="20"/>
          <w:szCs w:val="20"/>
          <w:lang w:val="es-ES" w:eastAsia="es-ES"/>
        </w:rPr>
      </w:pPr>
    </w:p>
    <w:p w14:paraId="065C3C04" w14:textId="77777777" w:rsidR="001C3C9B" w:rsidRDefault="001C3C9B" w:rsidP="001C3C9B">
      <w:pPr>
        <w:spacing w:after="0" w:line="240" w:lineRule="auto"/>
        <w:ind w:left="709" w:right="709"/>
        <w:jc w:val="both"/>
        <w:rPr>
          <w:rFonts w:ascii="Verdana" w:eastAsia="Calibri" w:hAnsi="Verdana" w:cs="Arial"/>
          <w:i/>
          <w:iCs/>
          <w:sz w:val="20"/>
          <w:szCs w:val="20"/>
          <w:lang w:val="es-ES" w:eastAsia="es-ES"/>
        </w:rPr>
      </w:pPr>
      <w:r w:rsidRPr="00710348">
        <w:rPr>
          <w:rFonts w:ascii="Verdana" w:eastAsia="Calibri" w:hAnsi="Verdana" w:cs="Arial"/>
          <w:i/>
          <w:iCs/>
          <w:sz w:val="20"/>
          <w:szCs w:val="20"/>
          <w:lang w:val="es-ES" w:eastAsia="es-ES"/>
        </w:rPr>
        <w:t>NO presta servicios sociales directos</w:t>
      </w:r>
    </w:p>
    <w:p w14:paraId="1B771FC0" w14:textId="77777777" w:rsidR="001C3C9B" w:rsidRPr="00710348" w:rsidRDefault="001C3C9B" w:rsidP="001C3C9B">
      <w:pPr>
        <w:spacing w:after="0" w:line="240" w:lineRule="auto"/>
        <w:ind w:left="709" w:right="709"/>
        <w:jc w:val="both"/>
        <w:rPr>
          <w:rFonts w:ascii="Verdana" w:eastAsia="Calibri" w:hAnsi="Verdana" w:cs="Arial"/>
          <w:i/>
          <w:iCs/>
          <w:sz w:val="20"/>
          <w:szCs w:val="20"/>
          <w:lang w:val="es-ES" w:eastAsia="es-ES"/>
        </w:rPr>
      </w:pPr>
    </w:p>
    <w:p w14:paraId="4409C85D" w14:textId="77777777" w:rsidR="001C3C9B" w:rsidRDefault="001C3C9B" w:rsidP="001C3C9B">
      <w:pPr>
        <w:spacing w:after="0" w:line="240" w:lineRule="auto"/>
        <w:ind w:left="709" w:right="709"/>
        <w:jc w:val="both"/>
        <w:rPr>
          <w:rFonts w:ascii="Verdana" w:eastAsia="Calibri" w:hAnsi="Verdana" w:cs="Arial"/>
          <w:i/>
          <w:iCs/>
          <w:sz w:val="20"/>
          <w:szCs w:val="20"/>
          <w:lang w:val="es-ES" w:eastAsia="es-ES"/>
        </w:rPr>
      </w:pPr>
      <w:r w:rsidRPr="00710348">
        <w:rPr>
          <w:rFonts w:ascii="Verdana" w:eastAsia="Calibri" w:hAnsi="Verdana" w:cs="Arial"/>
          <w:i/>
          <w:iCs/>
          <w:sz w:val="20"/>
          <w:szCs w:val="20"/>
          <w:lang w:val="es-ES" w:eastAsia="es-ES"/>
        </w:rPr>
        <w:t>NO tiene finalidad asistencial ni comunitaria</w:t>
      </w:r>
    </w:p>
    <w:p w14:paraId="465879CB" w14:textId="77777777" w:rsidR="001C3C9B" w:rsidRPr="00710348" w:rsidRDefault="001C3C9B" w:rsidP="001C3C9B">
      <w:pPr>
        <w:spacing w:after="0" w:line="240" w:lineRule="auto"/>
        <w:ind w:left="709" w:right="709"/>
        <w:jc w:val="both"/>
        <w:rPr>
          <w:rFonts w:ascii="Verdana" w:eastAsia="Calibri" w:hAnsi="Verdana" w:cs="Arial"/>
          <w:i/>
          <w:iCs/>
          <w:sz w:val="20"/>
          <w:szCs w:val="20"/>
          <w:lang w:val="es-ES" w:eastAsia="es-ES"/>
        </w:rPr>
      </w:pPr>
    </w:p>
    <w:p w14:paraId="4B452AB3" w14:textId="77777777" w:rsidR="001C3C9B" w:rsidRDefault="001C3C9B" w:rsidP="001C3C9B">
      <w:pPr>
        <w:spacing w:after="0" w:line="240" w:lineRule="auto"/>
        <w:ind w:left="709" w:right="709"/>
        <w:jc w:val="both"/>
        <w:rPr>
          <w:rFonts w:ascii="Verdana" w:eastAsia="Calibri" w:hAnsi="Verdana" w:cs="Arial"/>
          <w:i/>
          <w:iCs/>
          <w:sz w:val="20"/>
          <w:szCs w:val="20"/>
          <w:lang w:val="es-ES" w:eastAsia="es-ES"/>
        </w:rPr>
      </w:pPr>
      <w:r w:rsidRPr="00710348">
        <w:rPr>
          <w:rFonts w:ascii="Verdana" w:eastAsia="Calibri" w:hAnsi="Verdana" w:cs="Arial"/>
          <w:i/>
          <w:iCs/>
          <w:sz w:val="20"/>
          <w:szCs w:val="20"/>
          <w:lang w:val="es-ES" w:eastAsia="es-ES"/>
        </w:rPr>
        <w:t>Está orientada a funciones:</w:t>
      </w:r>
    </w:p>
    <w:p w14:paraId="3783F995" w14:textId="77777777" w:rsidR="001C3C9B" w:rsidRPr="00710348" w:rsidRDefault="001C3C9B" w:rsidP="001C3C9B">
      <w:pPr>
        <w:spacing w:after="0" w:line="240" w:lineRule="auto"/>
        <w:ind w:left="709" w:right="709"/>
        <w:jc w:val="both"/>
        <w:rPr>
          <w:rFonts w:ascii="Verdana" w:eastAsia="Calibri" w:hAnsi="Verdana" w:cs="Arial"/>
          <w:i/>
          <w:iCs/>
          <w:sz w:val="20"/>
          <w:szCs w:val="20"/>
          <w:lang w:val="es-ES" w:eastAsia="es-ES"/>
        </w:rPr>
      </w:pPr>
    </w:p>
    <w:p w14:paraId="5D0A99D3" w14:textId="77777777" w:rsidR="001C3C9B" w:rsidRPr="007F7B46" w:rsidRDefault="001C3C9B" w:rsidP="007F7B46">
      <w:pPr>
        <w:pStyle w:val="Prrafodelista"/>
        <w:numPr>
          <w:ilvl w:val="2"/>
          <w:numId w:val="20"/>
        </w:numPr>
        <w:spacing w:after="0" w:line="240" w:lineRule="auto"/>
        <w:ind w:right="709"/>
        <w:jc w:val="both"/>
        <w:rPr>
          <w:rFonts w:ascii="Verdana" w:eastAsia="Calibri" w:hAnsi="Verdana" w:cs="Arial"/>
          <w:i/>
          <w:iCs/>
          <w:sz w:val="20"/>
          <w:szCs w:val="20"/>
          <w:lang w:eastAsia="es-ES"/>
        </w:rPr>
      </w:pPr>
      <w:r w:rsidRPr="007F7B46">
        <w:rPr>
          <w:rFonts w:ascii="Verdana" w:eastAsia="Calibri" w:hAnsi="Verdana" w:cs="Arial"/>
          <w:i/>
          <w:iCs/>
          <w:sz w:val="20"/>
          <w:szCs w:val="20"/>
          <w:lang w:eastAsia="es-ES"/>
        </w:rPr>
        <w:t>Periciales</w:t>
      </w:r>
    </w:p>
    <w:p w14:paraId="7ABC258A" w14:textId="77777777" w:rsidR="001C3C9B" w:rsidRPr="007F7B46" w:rsidRDefault="001C3C9B" w:rsidP="007F7B46">
      <w:pPr>
        <w:pStyle w:val="Prrafodelista"/>
        <w:numPr>
          <w:ilvl w:val="2"/>
          <w:numId w:val="20"/>
        </w:numPr>
        <w:spacing w:after="0" w:line="240" w:lineRule="auto"/>
        <w:ind w:right="709"/>
        <w:jc w:val="both"/>
        <w:rPr>
          <w:rFonts w:ascii="Verdana" w:eastAsia="Calibri" w:hAnsi="Verdana" w:cs="Arial"/>
          <w:i/>
          <w:iCs/>
          <w:sz w:val="20"/>
          <w:szCs w:val="20"/>
          <w:lang w:eastAsia="es-ES"/>
        </w:rPr>
      </w:pPr>
      <w:r w:rsidRPr="007F7B46">
        <w:rPr>
          <w:rFonts w:ascii="Verdana" w:eastAsia="Calibri" w:hAnsi="Verdana" w:cs="Arial"/>
          <w:i/>
          <w:iCs/>
          <w:sz w:val="20"/>
          <w:szCs w:val="20"/>
          <w:lang w:eastAsia="es-ES"/>
        </w:rPr>
        <w:t>Judiciales</w:t>
      </w:r>
    </w:p>
    <w:p w14:paraId="1EF922EF" w14:textId="77777777" w:rsidR="001C3C9B" w:rsidRPr="00710348" w:rsidRDefault="001C3C9B" w:rsidP="001C3C9B">
      <w:pPr>
        <w:spacing w:after="0" w:line="240" w:lineRule="auto"/>
        <w:ind w:left="1276" w:right="709"/>
        <w:jc w:val="both"/>
        <w:rPr>
          <w:rFonts w:ascii="Verdana" w:eastAsia="Calibri" w:hAnsi="Verdana" w:cs="Arial"/>
          <w:i/>
          <w:iCs/>
          <w:sz w:val="20"/>
          <w:szCs w:val="20"/>
          <w:lang w:val="es-ES" w:eastAsia="es-ES"/>
        </w:rPr>
      </w:pPr>
    </w:p>
    <w:p w14:paraId="56BDF1C8" w14:textId="77777777" w:rsidR="001C3C9B" w:rsidRPr="008F18F2" w:rsidRDefault="001C3C9B" w:rsidP="001C3C9B">
      <w:pPr>
        <w:spacing w:after="0" w:line="240" w:lineRule="auto"/>
        <w:ind w:left="709" w:right="709"/>
        <w:jc w:val="both"/>
        <w:rPr>
          <w:rFonts w:ascii="Verdana" w:eastAsia="Calibri" w:hAnsi="Verdana" w:cs="Arial"/>
          <w:i/>
          <w:iCs/>
          <w:sz w:val="20"/>
          <w:szCs w:val="20"/>
          <w:lang w:val="es-ES" w:eastAsia="es-ES"/>
        </w:rPr>
      </w:pPr>
      <w:r w:rsidRPr="00710348">
        <w:rPr>
          <w:rFonts w:ascii="Verdana" w:eastAsia="Calibri" w:hAnsi="Verdana" w:cs="Arial"/>
          <w:i/>
          <w:iCs/>
          <w:sz w:val="20"/>
          <w:szCs w:val="20"/>
          <w:lang w:val="es-ES" w:eastAsia="es-ES"/>
        </w:rPr>
        <w:t xml:space="preserve">No </w:t>
      </w:r>
      <w:proofErr w:type="gramStart"/>
      <w:r w:rsidRPr="00710348">
        <w:rPr>
          <w:rFonts w:ascii="Verdana" w:eastAsia="Calibri" w:hAnsi="Verdana" w:cs="Arial"/>
          <w:i/>
          <w:iCs/>
          <w:sz w:val="20"/>
          <w:szCs w:val="20"/>
          <w:lang w:val="es-ES" w:eastAsia="es-ES"/>
        </w:rPr>
        <w:t>obstante</w:t>
      </w:r>
      <w:proofErr w:type="gramEnd"/>
      <w:r w:rsidRPr="00710348">
        <w:rPr>
          <w:rFonts w:ascii="Verdana" w:eastAsia="Calibri" w:hAnsi="Verdana" w:cs="Arial"/>
          <w:i/>
          <w:iCs/>
          <w:sz w:val="20"/>
          <w:szCs w:val="20"/>
          <w:lang w:val="es-ES" w:eastAsia="es-ES"/>
        </w:rPr>
        <w:t xml:space="preserve"> lo anterior, se solicita el concepto de la naturaleza de esta edificación para descartar o no la obligatoriedad de Pliegos Tipo indicando que es una infraestructura social.</w:t>
      </w:r>
    </w:p>
    <w:p w14:paraId="4FF16005" w14:textId="77777777" w:rsidR="001C3C9B" w:rsidRPr="005277C6" w:rsidRDefault="001C3C9B" w:rsidP="001C3C9B">
      <w:pPr>
        <w:spacing w:after="0" w:line="240" w:lineRule="auto"/>
        <w:ind w:right="709"/>
        <w:jc w:val="both"/>
        <w:rPr>
          <w:rFonts w:ascii="Verdana" w:eastAsia="Calibri" w:hAnsi="Verdana" w:cs="Arial"/>
          <w:i/>
          <w:iCs/>
          <w:sz w:val="20"/>
          <w:szCs w:val="20"/>
          <w:lang w:eastAsia="es-ES"/>
        </w:rPr>
      </w:pPr>
    </w:p>
    <w:p w14:paraId="79FD7BE6" w14:textId="77777777" w:rsidR="001C3C9B" w:rsidRPr="005277C6" w:rsidRDefault="001C3C9B" w:rsidP="001C3C9B">
      <w:pPr>
        <w:spacing w:after="0" w:line="240" w:lineRule="auto"/>
        <w:ind w:left="709" w:right="709"/>
        <w:jc w:val="both"/>
        <w:rPr>
          <w:rFonts w:ascii="Verdana" w:eastAsia="Calibri" w:hAnsi="Verdana" w:cs="Arial"/>
          <w:i/>
          <w:iCs/>
          <w:sz w:val="20"/>
          <w:szCs w:val="20"/>
          <w:lang w:val="es-ES" w:eastAsia="es-ES"/>
        </w:rPr>
      </w:pPr>
      <w:r w:rsidRPr="005277C6">
        <w:rPr>
          <w:rFonts w:ascii="Verdana" w:eastAsia="Calibri" w:hAnsi="Verdana" w:cs="Arial"/>
          <w:i/>
          <w:iCs/>
          <w:sz w:val="20"/>
          <w:szCs w:val="20"/>
          <w:lang w:val="es-ES" w:eastAsia="es-ES"/>
        </w:rPr>
        <w:t>(…)</w:t>
      </w:r>
      <w:r w:rsidRPr="005277C6">
        <w:rPr>
          <w:rFonts w:ascii="Verdana" w:eastAsia="Calibri" w:hAnsi="Verdana" w:cs="Arial"/>
          <w:i/>
          <w:iCs/>
          <w:sz w:val="20"/>
          <w:szCs w:val="20"/>
          <w:lang w:eastAsia="es-ES"/>
        </w:rPr>
        <w:t>”</w:t>
      </w:r>
    </w:p>
    <w:p w14:paraId="0C872FD4" w14:textId="77777777" w:rsidR="001C3C9B" w:rsidRPr="00FC181B" w:rsidRDefault="001C3C9B" w:rsidP="001C3C9B">
      <w:pPr>
        <w:spacing w:after="0" w:line="276" w:lineRule="auto"/>
        <w:ind w:left="709" w:right="709"/>
        <w:jc w:val="both"/>
        <w:rPr>
          <w:rFonts w:ascii="Verdana" w:eastAsia="Times New Roman" w:hAnsi="Verdana" w:cs="Times New Roman"/>
          <w:sz w:val="20"/>
          <w:szCs w:val="20"/>
          <w:lang w:eastAsia="es-CO"/>
        </w:rPr>
      </w:pPr>
    </w:p>
    <w:p w14:paraId="39428280" w14:textId="77777777" w:rsidR="001C3C9B" w:rsidRPr="003125D1" w:rsidRDefault="001C3C9B" w:rsidP="001C3C9B">
      <w:pPr>
        <w:spacing w:after="120" w:line="276" w:lineRule="auto"/>
        <w:ind w:firstLine="709"/>
        <w:jc w:val="both"/>
        <w:rPr>
          <w:rFonts w:ascii="Verdana" w:eastAsia="Calibri" w:hAnsi="Verdana" w:cs="Arial"/>
          <w:lang w:val="es-ES_tradnl" w:eastAsia="es-ES_tradnl"/>
        </w:rPr>
      </w:pPr>
      <w:r w:rsidRPr="003125D1">
        <w:rPr>
          <w:rFonts w:ascii="Verdana" w:eastAsia="Calibri" w:hAnsi="Verdana" w:cs="Arial"/>
          <w:lang w:val="es-ES" w:eastAsia="es-ES"/>
        </w:rPr>
        <w:t xml:space="preserve">De manera preliminar, resulta necesario resaltar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3125D1">
        <w:rPr>
          <w:rFonts w:ascii="Verdana" w:eastAsia="Calibri" w:hAnsi="Verdana" w:cs="Arial"/>
          <w:lang w:val="es-ES_tradnl" w:eastAsia="es-ES_tradnl"/>
        </w:rPr>
        <w:tab/>
      </w:r>
    </w:p>
    <w:p w14:paraId="479541F7" w14:textId="77777777" w:rsidR="001C3C9B" w:rsidRPr="003125D1" w:rsidRDefault="001C3C9B" w:rsidP="001C3C9B">
      <w:pPr>
        <w:spacing w:after="0" w:line="276" w:lineRule="auto"/>
        <w:ind w:firstLine="708"/>
        <w:jc w:val="both"/>
        <w:rPr>
          <w:rFonts w:ascii="Verdana" w:eastAsia="Calibri" w:hAnsi="Verdana" w:cs="Arial"/>
          <w:lang w:val="es-ES" w:eastAsia="es-ES"/>
        </w:rPr>
      </w:pPr>
      <w:r w:rsidRPr="003125D1">
        <w:rPr>
          <w:rFonts w:ascii="Verdana" w:eastAsia="Calibri" w:hAnsi="Verdana" w:cs="Arial"/>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441075ED" w14:textId="77777777" w:rsidR="001C3C9B" w:rsidRPr="003125D1" w:rsidRDefault="001C3C9B" w:rsidP="001C3C9B">
      <w:pPr>
        <w:spacing w:after="0" w:line="276" w:lineRule="auto"/>
        <w:ind w:firstLine="709"/>
        <w:jc w:val="both"/>
        <w:rPr>
          <w:rFonts w:ascii="Verdana" w:eastAsia="Calibri" w:hAnsi="Verdana" w:cs="Arial"/>
          <w:lang w:val="es-ES" w:eastAsia="es-ES"/>
        </w:rPr>
      </w:pPr>
    </w:p>
    <w:p w14:paraId="4688CCBB" w14:textId="77777777" w:rsidR="001C3C9B" w:rsidRPr="003125D1" w:rsidRDefault="001C3C9B" w:rsidP="001C3C9B">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3125D1">
        <w:rPr>
          <w:rFonts w:ascii="Verdana" w:eastAsia="Century Gothic" w:hAnsi="Verdana" w:cs="Century Gothic"/>
          <w:b/>
          <w:bCs/>
          <w:lang w:val="es-ES"/>
        </w:rPr>
        <w:t>Problema planteado:</w:t>
      </w:r>
    </w:p>
    <w:p w14:paraId="0922EE4A" w14:textId="77777777" w:rsidR="001C3C9B" w:rsidRPr="003125D1" w:rsidRDefault="001C3C9B" w:rsidP="001C3C9B">
      <w:pPr>
        <w:tabs>
          <w:tab w:val="left" w:pos="426"/>
        </w:tabs>
        <w:spacing w:after="0" w:line="276" w:lineRule="auto"/>
        <w:jc w:val="both"/>
        <w:rPr>
          <w:rFonts w:ascii="Verdana" w:eastAsia="Century Gothic" w:hAnsi="Verdana" w:cs="Century Gothic"/>
          <w:lang w:val="es-ES"/>
        </w:rPr>
      </w:pPr>
    </w:p>
    <w:p w14:paraId="1C1C43E2" w14:textId="77777777" w:rsidR="001C3C9B" w:rsidRPr="003125D1" w:rsidRDefault="001C3C9B" w:rsidP="001C3C9B">
      <w:pPr>
        <w:spacing w:line="276" w:lineRule="auto"/>
        <w:jc w:val="both"/>
        <w:rPr>
          <w:rFonts w:ascii="Verdana" w:eastAsia="Century Gothic" w:hAnsi="Verdana" w:cs="Century Gothic"/>
        </w:rPr>
      </w:pPr>
      <w:r w:rsidRPr="003125D1">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I). </w:t>
      </w:r>
      <w:r w:rsidRPr="00490758">
        <w:rPr>
          <w:rFonts w:ascii="Verdana" w:eastAsia="Century Gothic" w:hAnsi="Verdana" w:cs="Century Gothic"/>
        </w:rPr>
        <w:t>¿la construcción de una sede de medicina legal puede considerarse una obra de infraestructura social y, en consecuencia, estar sujeta a la aplicación obligatoria de los Documentos Tipo previstos para este tipo de proyectos?</w:t>
      </w:r>
    </w:p>
    <w:p w14:paraId="0364F505" w14:textId="77777777" w:rsidR="001C3C9B" w:rsidRPr="003125D1" w:rsidRDefault="001C3C9B" w:rsidP="001C3C9B">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3125D1">
        <w:rPr>
          <w:rFonts w:ascii="Verdana" w:eastAsia="Century Gothic" w:hAnsi="Verdana" w:cs="Century Gothic"/>
          <w:b/>
          <w:bCs/>
          <w:lang w:val="es-ES"/>
        </w:rPr>
        <w:t>Respuesta:</w:t>
      </w:r>
    </w:p>
    <w:p w14:paraId="531871F8" w14:textId="77777777" w:rsidR="001C3C9B" w:rsidRPr="00AB496C" w:rsidRDefault="001C3C9B" w:rsidP="001C3C9B">
      <w:pPr>
        <w:tabs>
          <w:tab w:val="left" w:pos="142"/>
          <w:tab w:val="left" w:pos="284"/>
        </w:tabs>
        <w:spacing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C3C9B" w:rsidRPr="00AB496C" w14:paraId="5A621E65" w14:textId="77777777" w:rsidTr="00E03CAE">
        <w:trPr>
          <w:trHeight w:val="5698"/>
        </w:trPr>
        <w:tc>
          <w:tcPr>
            <w:tcW w:w="8828" w:type="dxa"/>
            <w:tcBorders>
              <w:top w:val="dotted" w:sz="4" w:space="0" w:color="auto"/>
              <w:left w:val="dotted" w:sz="4" w:space="0" w:color="auto"/>
              <w:bottom w:val="dotted" w:sz="4" w:space="0" w:color="auto"/>
              <w:right w:val="dotted" w:sz="4" w:space="0" w:color="auto"/>
            </w:tcBorders>
          </w:tcPr>
          <w:p w14:paraId="6BD916ED" w14:textId="77777777" w:rsidR="001C3C9B" w:rsidRPr="006D2FE6" w:rsidRDefault="001C3C9B" w:rsidP="00E03CAE">
            <w:pPr>
              <w:tabs>
                <w:tab w:val="left" w:pos="2657"/>
              </w:tabs>
              <w:spacing w:after="120" w:line="276" w:lineRule="auto"/>
              <w:jc w:val="both"/>
              <w:rPr>
                <w:rFonts w:ascii="Verdana" w:eastAsia="Calibri" w:hAnsi="Verdana" w:cs="Arial"/>
                <w:shd w:val="clear" w:color="auto" w:fill="FFFFFF"/>
              </w:rPr>
            </w:pPr>
            <w:r w:rsidRPr="006D2FE6">
              <w:rPr>
                <w:rFonts w:ascii="Verdana" w:eastAsia="Calibri" w:hAnsi="Verdana" w:cs="Arial"/>
                <w:shd w:val="clear" w:color="auto" w:fill="FFFFFF"/>
              </w:rPr>
              <w:t xml:space="preserve">La construcción de una sede del Instituto Nacional de Medicina Legal y Ciencias Forenses puede considerarse una obra de infraestructura social, específicamente </w:t>
            </w:r>
            <w:r>
              <w:rPr>
                <w:rFonts w:ascii="Verdana" w:eastAsia="Calibri" w:hAnsi="Verdana" w:cs="Arial"/>
                <w:shd w:val="clear" w:color="auto" w:fill="FFFFFF"/>
              </w:rPr>
              <w:t>del sector infraestructura</w:t>
            </w:r>
            <w:r w:rsidRPr="006D2FE6">
              <w:rPr>
                <w:rFonts w:ascii="Verdana" w:eastAsia="Calibri" w:hAnsi="Verdana" w:cs="Arial"/>
                <w:shd w:val="clear" w:color="auto" w:fill="FFFFFF"/>
              </w:rPr>
              <w:t xml:space="preserve"> institucional de servicio público, razón por la cual se encuentra sujeta a la aplicación obligatoria de los Documentos Tipo correspondientes.</w:t>
            </w:r>
          </w:p>
          <w:p w14:paraId="02516827" w14:textId="77777777" w:rsidR="001C3C9B" w:rsidRDefault="001C3C9B" w:rsidP="00E03CAE">
            <w:pPr>
              <w:tabs>
                <w:tab w:val="left" w:pos="2657"/>
              </w:tabs>
              <w:spacing w:after="120" w:line="276" w:lineRule="auto"/>
              <w:ind w:firstLine="709"/>
              <w:jc w:val="both"/>
              <w:rPr>
                <w:rFonts w:ascii="Verdana" w:eastAsia="Calibri" w:hAnsi="Verdana" w:cs="Arial"/>
                <w:shd w:val="clear" w:color="auto" w:fill="FFFFFF"/>
              </w:rPr>
            </w:pPr>
            <w:r w:rsidRPr="006D2FE6">
              <w:rPr>
                <w:rFonts w:ascii="Verdana" w:eastAsia="Calibri" w:hAnsi="Verdana" w:cs="Arial"/>
                <w:shd w:val="clear" w:color="auto" w:fill="FFFFFF"/>
              </w:rPr>
              <w:t>Lo anterior, por cuanto los Documentos Tipo complementarios del sector institucional contemplan dentro de la Matriz 1, capítulo 2, las obras relacionadas con proyectos de infraestructura institucional de servicio público, incluyendo actividades de construcción, ampliación, reconstrucción, adecuación y demás intervenciones sobre este tipo de edificaciones</w:t>
            </w:r>
            <w:r>
              <w:rPr>
                <w:rFonts w:ascii="Verdana" w:eastAsia="Calibri" w:hAnsi="Verdana" w:cs="Arial"/>
                <w:shd w:val="clear" w:color="auto" w:fill="FFFFFF"/>
              </w:rPr>
              <w:t>, entre ellas se pueden destacar las siguientes:</w:t>
            </w:r>
          </w:p>
          <w:p w14:paraId="081562EF" w14:textId="77777777" w:rsidR="001C3C9B" w:rsidRPr="00FE66BB" w:rsidRDefault="001C3C9B" w:rsidP="00E03CAE">
            <w:pPr>
              <w:snapToGrid w:val="0"/>
              <w:spacing w:after="120"/>
              <w:ind w:left="709" w:right="709"/>
              <w:jc w:val="both"/>
              <w:rPr>
                <w:rFonts w:ascii="Verdana" w:eastAsia="Arial" w:hAnsi="Verdana" w:cs="Aptos"/>
                <w:kern w:val="2"/>
                <w:sz w:val="21"/>
                <w:szCs w:val="21"/>
                <w:lang w:eastAsia="es-ES"/>
                <w14:ligatures w14:val="standardContextual"/>
              </w:rPr>
            </w:pPr>
            <w:r w:rsidRPr="00FE66BB">
              <w:rPr>
                <w:rFonts w:ascii="Verdana" w:eastAsia="Arial" w:hAnsi="Verdana" w:cs="Aptos"/>
                <w:kern w:val="2"/>
                <w:sz w:val="21"/>
                <w:szCs w:val="21"/>
                <w:lang w:eastAsia="es-ES"/>
                <w14:ligatures w14:val="standardContextual"/>
              </w:rPr>
              <w:t>2.10. PROYECTOS DE CONSTRUCCIÓN Y/O HABILITACIÓN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ZONAS VERDES, Y/O ACTIVIDADES DE URBANISMO Y/O DE PAISAJISMO ASOCIADA A INFRAESTRUCTURA DE SERVICIO PUBLICO</w:t>
            </w:r>
          </w:p>
          <w:p w14:paraId="3781183C" w14:textId="77777777" w:rsidR="001C3C9B" w:rsidRPr="00FE66BB" w:rsidRDefault="001C3C9B" w:rsidP="00E03CAE">
            <w:pPr>
              <w:snapToGrid w:val="0"/>
              <w:spacing w:after="120"/>
              <w:ind w:left="709" w:right="709"/>
              <w:jc w:val="both"/>
              <w:rPr>
                <w:rFonts w:ascii="Verdana" w:eastAsia="Arial" w:hAnsi="Verdana" w:cs="Aptos"/>
                <w:kern w:val="2"/>
                <w:sz w:val="21"/>
                <w:szCs w:val="21"/>
                <w:lang w:eastAsia="es-ES"/>
                <w14:ligatures w14:val="standardContextual"/>
              </w:rPr>
            </w:pPr>
            <w:r w:rsidRPr="00FE66BB">
              <w:rPr>
                <w:rFonts w:ascii="Verdana" w:eastAsia="Arial" w:hAnsi="Verdana" w:cs="Aptos"/>
                <w:kern w:val="2"/>
                <w:sz w:val="21"/>
                <w:szCs w:val="21"/>
                <w:lang w:eastAsia="es-ES"/>
                <w14:ligatures w14:val="standardContextual"/>
              </w:rPr>
              <w:t>2.11. PROYECTOS DE SUMINISTRO Y/O INSTALACIÓN DE DOTACIÓN Y/O DE MOBILIARIO INTERNO O EXTERNO PARA INFRAESTRUCTURA DE SERVICIO PUBLICO</w:t>
            </w:r>
          </w:p>
          <w:p w14:paraId="6E8B831C" w14:textId="77777777" w:rsidR="001C3C9B" w:rsidRPr="00FE66BB" w:rsidRDefault="001C3C9B" w:rsidP="00E03CAE">
            <w:pPr>
              <w:snapToGrid w:val="0"/>
              <w:spacing w:after="120"/>
              <w:ind w:left="709" w:right="709"/>
              <w:jc w:val="both"/>
              <w:rPr>
                <w:rFonts w:ascii="Verdana" w:eastAsia="Arial" w:hAnsi="Verdana" w:cs="Aptos"/>
                <w:kern w:val="2"/>
                <w:sz w:val="21"/>
                <w:szCs w:val="21"/>
                <w:lang w:eastAsia="es-ES"/>
                <w14:ligatures w14:val="standardContextual"/>
              </w:rPr>
            </w:pPr>
            <w:r w:rsidRPr="00FE66BB">
              <w:rPr>
                <w:rFonts w:ascii="Verdana" w:eastAsia="Arial" w:hAnsi="Verdana" w:cs="Aptos"/>
                <w:kern w:val="2"/>
                <w:sz w:val="21"/>
                <w:szCs w:val="21"/>
                <w:lang w:eastAsia="es-ES"/>
                <w14:ligatures w14:val="standardContextual"/>
              </w:rPr>
              <w:t xml:space="preserve">2.12. PROYECTOS DE SUMINISTRO Y/O INSTALACION DE EQUIPOS ESPECIALES Y/O ELECTROMECÁNICOS Y/O ELECTRÓNICOS Y/O </w:t>
            </w:r>
            <w:r w:rsidRPr="00FE66BB">
              <w:rPr>
                <w:rFonts w:ascii="Verdana" w:eastAsia="Arial" w:hAnsi="Verdana" w:cs="Aptos"/>
                <w:kern w:val="2"/>
                <w:sz w:val="21"/>
                <w:szCs w:val="21"/>
                <w:lang w:eastAsia="es-ES"/>
                <w14:ligatures w14:val="standardContextual"/>
              </w:rPr>
              <w:lastRenderedPageBreak/>
              <w:t>MAQUINARIA U OTROS TIPOS DE EQUIPOS PARA INFRAESTRUCTURA DE SERVICIO PUBLICO</w:t>
            </w:r>
          </w:p>
          <w:p w14:paraId="7931CB78" w14:textId="77777777" w:rsidR="001C3C9B" w:rsidRPr="00FE66BB" w:rsidRDefault="001C3C9B" w:rsidP="00E03CAE">
            <w:pPr>
              <w:snapToGrid w:val="0"/>
              <w:spacing w:after="120"/>
              <w:ind w:left="709" w:right="709"/>
              <w:jc w:val="both"/>
              <w:rPr>
                <w:rFonts w:ascii="Verdana" w:eastAsia="Arial" w:hAnsi="Verdana" w:cs="Aptos"/>
                <w:kern w:val="2"/>
                <w:sz w:val="21"/>
                <w:szCs w:val="21"/>
                <w:lang w:eastAsia="es-ES"/>
                <w14:ligatures w14:val="standardContextual"/>
              </w:rPr>
            </w:pPr>
            <w:r w:rsidRPr="00FE66BB">
              <w:rPr>
                <w:rFonts w:ascii="Verdana" w:eastAsia="Arial" w:hAnsi="Verdana" w:cs="Aptos"/>
                <w:kern w:val="2"/>
                <w:sz w:val="21"/>
                <w:szCs w:val="21"/>
                <w:lang w:eastAsia="es-ES"/>
                <w14:ligatures w14:val="standardContextual"/>
              </w:rPr>
              <w:t>2.13.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REDES DE VAPOR Y/O REDES DE GASES Y/O REDES DE GAS NATURAL Y/O SISTEMAS DE COCCIÓN DE INFRAESTRUCTURA INSTITUCIONAL - SERVICIO PÚBLICO</w:t>
            </w:r>
          </w:p>
          <w:p w14:paraId="0657B601" w14:textId="77777777" w:rsidR="001C3C9B" w:rsidRPr="00FB4C55" w:rsidRDefault="001C3C9B" w:rsidP="00E03CAE">
            <w:pPr>
              <w:snapToGrid w:val="0"/>
              <w:spacing w:after="120"/>
              <w:ind w:left="709" w:right="709"/>
              <w:jc w:val="both"/>
              <w:rPr>
                <w:rFonts w:ascii="Verdana" w:eastAsia="Arial" w:hAnsi="Verdana" w:cs="Aptos"/>
                <w:kern w:val="2"/>
                <w:sz w:val="21"/>
                <w:szCs w:val="21"/>
                <w:lang w:eastAsia="es-ES"/>
                <w14:ligatures w14:val="standardContextual"/>
              </w:rPr>
            </w:pPr>
            <w:r w:rsidRPr="00FE66BB">
              <w:rPr>
                <w:rFonts w:ascii="Verdana" w:eastAsia="Arial" w:hAnsi="Verdana" w:cs="Aptos"/>
                <w:kern w:val="2"/>
                <w:sz w:val="21"/>
                <w:szCs w:val="21"/>
                <w:lang w:eastAsia="es-ES"/>
                <w14:ligatures w14:val="standardContextual"/>
              </w:rPr>
              <w:t>2.14. PROYECTOS DE SUMINISTRO Y/O INSTALACIÓN DE SISTEMAS DE AIRES ACONDICIONADOS O SISTEMAS DE VENTILACIÓN O SIMILARES PARA INFRAESTRUCTURA DE SERVICIO PUBLICO”</w:t>
            </w:r>
            <w:r>
              <w:rPr>
                <w:rFonts w:ascii="Verdana" w:eastAsia="Arial" w:hAnsi="Verdana" w:cs="Aptos"/>
                <w:kern w:val="2"/>
                <w:sz w:val="21"/>
                <w:szCs w:val="21"/>
                <w:lang w:eastAsia="es-ES"/>
                <w14:ligatures w14:val="standardContextual"/>
              </w:rPr>
              <w:t>.</w:t>
            </w:r>
          </w:p>
          <w:p w14:paraId="6DEDFE21" w14:textId="77777777" w:rsidR="001C3C9B" w:rsidRPr="00EA4F3C" w:rsidRDefault="001C3C9B" w:rsidP="00E03CAE">
            <w:pPr>
              <w:tabs>
                <w:tab w:val="left" w:pos="2657"/>
              </w:tabs>
              <w:spacing w:after="120" w:line="276" w:lineRule="auto"/>
              <w:ind w:firstLine="709"/>
              <w:jc w:val="both"/>
              <w:rPr>
                <w:rFonts w:ascii="Verdana" w:eastAsia="Calibri" w:hAnsi="Verdana" w:cs="Arial"/>
                <w:shd w:val="clear" w:color="auto" w:fill="FFFFFF"/>
              </w:rPr>
            </w:pPr>
            <w:r w:rsidRPr="00EA4F3C">
              <w:rPr>
                <w:rFonts w:ascii="Verdana" w:eastAsia="Calibri" w:hAnsi="Verdana" w:cs="Arial"/>
                <w:shd w:val="clear" w:color="auto" w:fill="FFFFFF"/>
              </w:rPr>
              <w:t>Asimismo, de conformidad con el Reglamento Colombiano de Construcción Sismo Resistente NSR-10, las edificaciones destinadas al desarrollo de funciones administrativas y a la prestación de servicios públicos necesarios para el adecuado funcionamiento de las ciudades se clasifican dentro del Subgrupo de Ocupación Institucional de Servicio Público (I-5). Esta categoría comprende, entre otras, edificaciones como centros de comunicación, centros administrativos municipales, distritales y gubernamentales, centros de servicios públicos, juzgados y demás instalaciones de naturaleza similar.</w:t>
            </w:r>
          </w:p>
          <w:p w14:paraId="5E3B39EA" w14:textId="77777777" w:rsidR="001C3C9B" w:rsidRDefault="001C3C9B" w:rsidP="00E03CAE">
            <w:pPr>
              <w:tabs>
                <w:tab w:val="left" w:pos="2657"/>
              </w:tabs>
              <w:spacing w:after="120" w:line="276" w:lineRule="auto"/>
              <w:ind w:firstLine="709"/>
              <w:jc w:val="both"/>
              <w:rPr>
                <w:rFonts w:ascii="Verdana" w:eastAsia="Calibri" w:hAnsi="Verdana" w:cs="Arial"/>
                <w:shd w:val="clear" w:color="auto" w:fill="FFFFFF"/>
              </w:rPr>
            </w:pPr>
            <w:r w:rsidRPr="00EA4F3C">
              <w:rPr>
                <w:rFonts w:ascii="Verdana" w:eastAsia="Calibri" w:hAnsi="Verdana" w:cs="Arial"/>
                <w:shd w:val="clear" w:color="auto" w:fill="FFFFFF"/>
              </w:rPr>
              <w:t>Dicha clasificación agrupa inmuebles destinados al ejercicio de funciones institucionales del Estado y a la prestación de servicios públicos esenciales. Adicionalmente, la inclusión de la expresión “otros similares” evidencia que la relación de edificaciones prevista en la norma tiene carácter enunciativo y no taxativo, permitiendo incorporar aquellas construcciones que, atendiendo a su naturaleza, finalidad y función, se encuentren orientadas al cumplimiento de actividades institucionales o a la prestación de servicios públicos equivalentes.</w:t>
            </w:r>
          </w:p>
          <w:p w14:paraId="21299EA6" w14:textId="77777777" w:rsidR="001C3C9B" w:rsidRPr="00121669" w:rsidRDefault="001C3C9B" w:rsidP="00E03CAE">
            <w:pPr>
              <w:tabs>
                <w:tab w:val="left" w:pos="2657"/>
              </w:tabs>
              <w:spacing w:after="120" w:line="276" w:lineRule="auto"/>
              <w:ind w:firstLine="709"/>
              <w:jc w:val="both"/>
              <w:rPr>
                <w:rFonts w:ascii="Verdana" w:eastAsia="Calibri" w:hAnsi="Verdana" w:cs="Arial"/>
                <w:shd w:val="clear" w:color="auto" w:fill="FFFFFF"/>
              </w:rPr>
            </w:pPr>
            <w:r w:rsidRPr="00177BDB">
              <w:rPr>
                <w:rFonts w:ascii="Verdana" w:hAnsi="Verdana" w:cs="Calibri"/>
              </w:rPr>
              <w:t>Por su parte, el artículo 4 del Decreto 2762 de 2001, relativo a la prestación de este servicio público, dispone que dicho servicio será prestado por personas jurídicas que cumplan los requisitos establecidos en esa norma y en las disposiciones que la complementen o adicionen. Bajo ese marco, y frente a la inquietud sobre si una morgue o una sede de medicina legal —</w:t>
            </w:r>
            <w:r w:rsidRPr="00121669">
              <w:rPr>
                <w:rFonts w:ascii="Verdana" w:hAnsi="Verdana" w:cs="Calibri"/>
                <w:i/>
                <w:iCs/>
              </w:rPr>
              <w:t>como instalación técnico-científica especializada—</w:t>
            </w:r>
            <w:r w:rsidRPr="00177BDB">
              <w:rPr>
                <w:rFonts w:ascii="Verdana" w:hAnsi="Verdana" w:cs="Calibri"/>
              </w:rPr>
              <w:t xml:space="preserve"> puede considerarse como una </w:t>
            </w:r>
            <w:r w:rsidRPr="00177BDB">
              <w:rPr>
                <w:rFonts w:ascii="Verdana" w:hAnsi="Verdana" w:cs="Calibri"/>
              </w:rPr>
              <w:lastRenderedPageBreak/>
              <w:t>infraestructura social, debe concluirse que a la entidad sí le corresponde adoptar los documentos tipo del sector institucional.</w:t>
            </w:r>
          </w:p>
          <w:p w14:paraId="54B81B92" w14:textId="77777777" w:rsidR="001C3C9B" w:rsidRDefault="001C3C9B" w:rsidP="00E03CAE">
            <w:pPr>
              <w:tabs>
                <w:tab w:val="left" w:pos="2657"/>
              </w:tabs>
              <w:spacing w:after="120" w:line="276" w:lineRule="auto"/>
              <w:ind w:firstLine="709"/>
              <w:jc w:val="both"/>
              <w:rPr>
                <w:rFonts w:ascii="Verdana" w:hAnsi="Verdana" w:cs="Calibri"/>
              </w:rPr>
            </w:pPr>
            <w:r w:rsidRPr="00177BDB">
              <w:rPr>
                <w:rFonts w:ascii="Verdana" w:hAnsi="Verdana" w:cs="Calibri"/>
              </w:rPr>
              <w:t>En efecto, dentro del Subgrupo de Ocupación Institucional de Servicio Público se encuentran las edificaciones institucionales judiciales, entendidas como los edificios, sedes u oficinas destinados al funcionamiento de los órganos que integran la administración de justicia, tales como tribunales, juzgados, fiscalías y demás entidades</w:t>
            </w:r>
          </w:p>
          <w:p w14:paraId="3606A501" w14:textId="77777777" w:rsidR="001C3C9B" w:rsidRPr="006D2FE6" w:rsidRDefault="001C3C9B" w:rsidP="00E03CAE">
            <w:pPr>
              <w:tabs>
                <w:tab w:val="left" w:pos="2657"/>
              </w:tabs>
              <w:spacing w:after="120" w:line="276" w:lineRule="auto"/>
              <w:ind w:firstLine="709"/>
              <w:jc w:val="both"/>
              <w:rPr>
                <w:rFonts w:ascii="Verdana" w:eastAsia="Calibri" w:hAnsi="Verdana" w:cs="Arial"/>
                <w:shd w:val="clear" w:color="auto" w:fill="FFFFFF"/>
              </w:rPr>
            </w:pPr>
            <w:r w:rsidRPr="006D2FE6">
              <w:rPr>
                <w:rFonts w:ascii="Verdana" w:eastAsia="Calibri" w:hAnsi="Verdana" w:cs="Arial"/>
                <w:shd w:val="clear" w:color="auto" w:fill="FFFFFF"/>
              </w:rPr>
              <w:t xml:space="preserve">En el caso del Instituto Nacional de Medicina Legal y Ciencias Forenses, su naturaleza jurídica, su adscripción a la </w:t>
            </w:r>
            <w:proofErr w:type="gramStart"/>
            <w:r w:rsidRPr="006D2FE6">
              <w:rPr>
                <w:rFonts w:ascii="Verdana" w:eastAsia="Calibri" w:hAnsi="Verdana" w:cs="Arial"/>
                <w:shd w:val="clear" w:color="auto" w:fill="FFFFFF"/>
              </w:rPr>
              <w:t>Fiscalía General</w:t>
            </w:r>
            <w:proofErr w:type="gramEnd"/>
            <w:r w:rsidRPr="006D2FE6">
              <w:rPr>
                <w:rFonts w:ascii="Verdana" w:eastAsia="Calibri" w:hAnsi="Verdana" w:cs="Arial"/>
                <w:shd w:val="clear" w:color="auto" w:fill="FFFFFF"/>
              </w:rPr>
              <w:t xml:space="preserve"> de la Nación y su función de apoyo científico y técnico a la administración de justicia permiten concluir que sus sedes constituyen infraestructura institucional de servicio público. En consecuencia, las edificaciones destinadas al funcionamiento de dicha entidad —incluyendo oficinas, laboratorios forenses, morgues, áreas de atención al público y demás espacios requeridos para el desarrollo de su misión institucional— forman parte de una infraestructura pública de carácter institucional.</w:t>
            </w:r>
          </w:p>
          <w:p w14:paraId="37F4DF98" w14:textId="77777777" w:rsidR="001C3C9B" w:rsidRPr="006D2FE6" w:rsidRDefault="001C3C9B" w:rsidP="00E03CAE">
            <w:pPr>
              <w:tabs>
                <w:tab w:val="left" w:pos="2657"/>
              </w:tabs>
              <w:spacing w:after="120" w:line="276" w:lineRule="auto"/>
              <w:ind w:firstLine="709"/>
              <w:jc w:val="both"/>
              <w:rPr>
                <w:rFonts w:ascii="Verdana" w:eastAsia="Calibri" w:hAnsi="Verdana" w:cs="Arial"/>
                <w:shd w:val="clear" w:color="auto" w:fill="FFFFFF"/>
              </w:rPr>
            </w:pPr>
            <w:r w:rsidRPr="006D2FE6">
              <w:rPr>
                <w:rFonts w:ascii="Verdana" w:eastAsia="Calibri" w:hAnsi="Verdana" w:cs="Arial"/>
                <w:shd w:val="clear" w:color="auto" w:fill="FFFFFF"/>
              </w:rPr>
              <w:t>Por tanto, la construcción de una sede de Medicina Legal debe clasificarse dentro de la actividad correspondiente a proyectos de construcción de infraestructura de servicio público y, en consecuencia, la entidad deberá aplicar los Documentos Tipo del sector institucional que resulten procedentes para el proceso de contratación. La existencia de áreas técnicas o especializadas, como laboratorios o morgues, no altera la naturaleza principal del proyecto ni excluye la aplicación de dichos documentos, en la medida en que tales espacios constituyen componentes funcionales de una misma infraestructura institucional destinada a la prestación de un servicio público asociado a la administración de justicia.</w:t>
            </w:r>
          </w:p>
          <w:p w14:paraId="4832A7F4" w14:textId="77777777" w:rsidR="001C3C9B" w:rsidRPr="00BB7386" w:rsidRDefault="001C3C9B" w:rsidP="00E03CAE">
            <w:pPr>
              <w:tabs>
                <w:tab w:val="left" w:pos="2657"/>
              </w:tabs>
              <w:spacing w:after="120" w:line="276" w:lineRule="auto"/>
              <w:jc w:val="both"/>
              <w:rPr>
                <w:rFonts w:ascii="Verdana" w:eastAsia="Calibri" w:hAnsi="Verdana" w:cs="Arial"/>
                <w:shd w:val="clear" w:color="auto" w:fill="FFFFFF"/>
              </w:rPr>
            </w:pPr>
          </w:p>
        </w:tc>
      </w:tr>
    </w:tbl>
    <w:p w14:paraId="0134F1F8" w14:textId="77777777" w:rsidR="001C3C9B" w:rsidRPr="0010023F" w:rsidRDefault="001C3C9B" w:rsidP="001C3C9B">
      <w:pPr>
        <w:tabs>
          <w:tab w:val="left" w:pos="142"/>
          <w:tab w:val="left" w:pos="284"/>
        </w:tabs>
        <w:spacing w:after="0" w:line="276" w:lineRule="auto"/>
        <w:ind w:left="142" w:hanging="142"/>
        <w:jc w:val="both"/>
        <w:rPr>
          <w:rFonts w:ascii="Verdana" w:eastAsia="Century Gothic" w:hAnsi="Verdana" w:cs="Century Gothic"/>
          <w:b/>
          <w:bCs/>
          <w:lang w:val="es-ES"/>
        </w:rPr>
      </w:pPr>
    </w:p>
    <w:p w14:paraId="6733726F" w14:textId="77777777" w:rsidR="001C3C9B" w:rsidRPr="0010023F" w:rsidRDefault="001C3C9B" w:rsidP="001C3C9B">
      <w:pPr>
        <w:numPr>
          <w:ilvl w:val="0"/>
          <w:numId w:val="16"/>
        </w:numPr>
        <w:tabs>
          <w:tab w:val="left" w:pos="142"/>
          <w:tab w:val="left" w:pos="284"/>
        </w:tabs>
        <w:spacing w:after="0" w:line="276" w:lineRule="auto"/>
        <w:contextualSpacing/>
        <w:jc w:val="both"/>
        <w:rPr>
          <w:rFonts w:ascii="Verdana" w:eastAsia="Calibri" w:hAnsi="Verdana" w:cs="Arial"/>
          <w:lang w:val="es-ES" w:eastAsia="es-MX"/>
        </w:rPr>
      </w:pPr>
      <w:r w:rsidRPr="0010023F">
        <w:rPr>
          <w:rFonts w:ascii="Verdana" w:eastAsia="Century Gothic" w:hAnsi="Verdana" w:cs="Century Gothic"/>
          <w:b/>
          <w:bCs/>
          <w:lang w:val="es-ES"/>
        </w:rPr>
        <w:t>Razones de la respuesta:</w:t>
      </w:r>
    </w:p>
    <w:p w14:paraId="3BBA0722" w14:textId="77777777" w:rsidR="001C3C9B" w:rsidRPr="0010023F" w:rsidRDefault="001C3C9B" w:rsidP="001C3C9B">
      <w:pPr>
        <w:tabs>
          <w:tab w:val="left" w:pos="142"/>
          <w:tab w:val="left" w:pos="284"/>
        </w:tabs>
        <w:spacing w:after="0" w:line="276" w:lineRule="auto"/>
        <w:contextualSpacing/>
        <w:jc w:val="both"/>
        <w:rPr>
          <w:rFonts w:ascii="Verdana" w:eastAsia="Century Gothic" w:hAnsi="Verdana" w:cs="Century Gothic"/>
          <w:b/>
          <w:bCs/>
          <w:lang w:val="es-ES"/>
        </w:rPr>
      </w:pPr>
    </w:p>
    <w:p w14:paraId="6AB07D7D" w14:textId="77777777" w:rsidR="001C3C9B" w:rsidRDefault="001C3C9B" w:rsidP="001C3C9B">
      <w:pPr>
        <w:tabs>
          <w:tab w:val="left" w:pos="142"/>
          <w:tab w:val="left" w:pos="284"/>
        </w:tabs>
        <w:spacing w:after="0" w:line="276" w:lineRule="auto"/>
        <w:contextualSpacing/>
        <w:jc w:val="both"/>
        <w:rPr>
          <w:rFonts w:ascii="Verdana" w:eastAsia="Calibri" w:hAnsi="Verdana" w:cs="Arial"/>
          <w:lang w:val="es-ES" w:eastAsia="es-MX"/>
        </w:rPr>
      </w:pPr>
      <w:r w:rsidRPr="0010023F">
        <w:rPr>
          <w:rFonts w:ascii="Verdana" w:eastAsia="Calibri" w:hAnsi="Verdana" w:cs="Arial"/>
          <w:lang w:val="es-ES" w:eastAsia="es-MX"/>
        </w:rPr>
        <w:t xml:space="preserve">Lo anterior se sustenta en las siguientes consideraciones: </w:t>
      </w:r>
    </w:p>
    <w:p w14:paraId="0FCB11F5" w14:textId="77777777" w:rsidR="001C3C9B" w:rsidRPr="00647825" w:rsidRDefault="001C3C9B" w:rsidP="001C3C9B">
      <w:pPr>
        <w:tabs>
          <w:tab w:val="left" w:pos="142"/>
          <w:tab w:val="left" w:pos="284"/>
        </w:tabs>
        <w:spacing w:after="0" w:line="276" w:lineRule="auto"/>
        <w:contextualSpacing/>
        <w:jc w:val="both"/>
        <w:rPr>
          <w:rFonts w:ascii="Verdana" w:eastAsia="Calibri" w:hAnsi="Verdana" w:cs="Arial"/>
          <w:lang w:val="es-ES" w:eastAsia="es-MX"/>
        </w:rPr>
      </w:pPr>
    </w:p>
    <w:p w14:paraId="7C7CACE8" w14:textId="77777777" w:rsidR="001C3C9B" w:rsidRPr="00FE66BB" w:rsidRDefault="001C3C9B" w:rsidP="001C3C9B">
      <w:pPr>
        <w:spacing w:after="120" w:line="276" w:lineRule="auto"/>
        <w:jc w:val="both"/>
        <w:rPr>
          <w:rFonts w:ascii="Verdana" w:eastAsia="Aptos" w:hAnsi="Verdana" w:cs="Arial"/>
          <w:lang w:eastAsia="es-MX"/>
        </w:rPr>
      </w:pPr>
      <w:r>
        <w:rPr>
          <w:rFonts w:ascii="Verdana" w:eastAsia="Aptos" w:hAnsi="Verdana" w:cs="Arial"/>
          <w:lang w:eastAsia="es-MX"/>
        </w:rPr>
        <w:t>I)</w:t>
      </w:r>
      <w:r w:rsidRPr="00FE66BB">
        <w:rPr>
          <w:rFonts w:ascii="Verdana" w:eastAsia="Aptos" w:hAnsi="Verdana" w:cs="Arial"/>
          <w:lang w:eastAsia="es-MX"/>
        </w:rPr>
        <w:t xml:space="preserve">. El artículo 1 de la Ley 2022 de 2020 “Por la cual modifica el artículo 4 de la Ley 1882 de 2018 y se dictan otras disposiciones” otorga a la Agencia Nacional </w:t>
      </w:r>
      <w:r w:rsidRPr="00FE66BB">
        <w:rPr>
          <w:rFonts w:ascii="Verdana" w:eastAsia="Aptos" w:hAnsi="Verdana" w:cs="Arial"/>
          <w:lang w:eastAsia="es-MX"/>
        </w:rPr>
        <w:lastRenderedPageBreak/>
        <w:t>de Contratación Pública – Colombia Compra Eficiente la competencia para adoptar los Documentos Tipo que serán de obligatorio cumplimiento en la actividad contractual de todas las entidades sometidas al Estatuto General de la Administración Pública.</w:t>
      </w:r>
    </w:p>
    <w:p w14:paraId="5602365E" w14:textId="77777777" w:rsidR="001C3C9B" w:rsidRPr="00FE66BB" w:rsidRDefault="001C3C9B" w:rsidP="001C3C9B">
      <w:pPr>
        <w:spacing w:after="120" w:line="276" w:lineRule="auto"/>
        <w:ind w:firstLine="708"/>
        <w:jc w:val="both"/>
        <w:rPr>
          <w:rFonts w:ascii="Verdana" w:eastAsia="Aptos" w:hAnsi="Verdana" w:cs="Arial"/>
          <w:lang w:eastAsia="es-MX"/>
        </w:rPr>
      </w:pPr>
      <w:r w:rsidRPr="00FE66BB">
        <w:rPr>
          <w:rFonts w:ascii="Verdana" w:eastAsia="Aptos" w:hAnsi="Verdana" w:cs="Arial"/>
          <w:lang w:val="es-ES" w:eastAsia="es-MX"/>
        </w:rPr>
        <w:t>Con sustento en esta competencia, esta Agencia expidió diversos grupos de Documentos Tipo aplicables principalmente a la contratación de obras públicas de infraestructura de transporte, de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2DEC982E" w14:textId="77777777" w:rsidR="001C3C9B" w:rsidRPr="00FE66BB" w:rsidRDefault="001C3C9B" w:rsidP="001C3C9B">
      <w:pPr>
        <w:spacing w:after="120" w:line="276" w:lineRule="auto"/>
        <w:ind w:firstLine="708"/>
        <w:jc w:val="both"/>
        <w:rPr>
          <w:rFonts w:ascii="Verdana" w:eastAsia="Times New Roman" w:hAnsi="Verdana" w:cs="Times New Roman"/>
          <w:color w:val="000000"/>
          <w:lang w:eastAsia="es-CO"/>
        </w:rPr>
      </w:pPr>
      <w:r w:rsidRPr="00FE66BB">
        <w:rPr>
          <w:rFonts w:ascii="Verdana" w:eastAsia="Aptos" w:hAnsi="Verdana" w:cs="Arial"/>
          <w:lang w:eastAsia="es-MX"/>
        </w:rPr>
        <w:t xml:space="preserve">En el sector social, </w:t>
      </w:r>
      <w:r w:rsidRPr="00FE66BB">
        <w:rPr>
          <w:rFonts w:ascii="Verdana" w:eastAsia="Calibri" w:hAnsi="Verdana" w:cs="Arial"/>
          <w:lang w:val="es-MX" w:eastAsia="es-MX"/>
        </w:rPr>
        <w:t xml:space="preserve">la Agencia Nacional de Contratación Pública – Colombia Compra </w:t>
      </w:r>
      <w:r w:rsidRPr="00FE66BB">
        <w:rPr>
          <w:rFonts w:ascii="Verdana" w:eastAsia="Calibri" w:hAnsi="Verdana" w:cs="Arial"/>
          <w:lang w:eastAsia="es-MX"/>
        </w:rPr>
        <w:t xml:space="preserve">Eficiente </w:t>
      </w:r>
      <w:r w:rsidRPr="00FE66BB">
        <w:rPr>
          <w:rFonts w:ascii="Verdana" w:eastAsia="Times New Roman" w:hAnsi="Verdana" w:cs="Times New Roman"/>
          <w:color w:val="000000"/>
          <w:lang w:eastAsia="es-CO"/>
        </w:rPr>
        <w:t>en el segundo semestre del año 2025 adoptó las siguientes Resoluciones para contratar obra pública y concurso de méritos:</w:t>
      </w:r>
    </w:p>
    <w:p w14:paraId="6896E2FE" w14:textId="77777777" w:rsidR="001C3C9B" w:rsidRPr="00FE66BB" w:rsidRDefault="001C3C9B" w:rsidP="001C3C9B">
      <w:pPr>
        <w:spacing w:after="120" w:line="276" w:lineRule="auto"/>
        <w:ind w:firstLine="708"/>
        <w:jc w:val="both"/>
        <w:rPr>
          <w:rFonts w:ascii="Verdana" w:eastAsia="Times New Roman" w:hAnsi="Verdana" w:cs="Times New Roman"/>
          <w:color w:val="000000"/>
          <w:lang w:eastAsia="es-CO"/>
        </w:rPr>
      </w:pPr>
      <w:r w:rsidRPr="00FE66BB">
        <w:rPr>
          <w:rFonts w:ascii="Verdana" w:eastAsia="Times New Roman" w:hAnsi="Verdana" w:cs="Times New Roman"/>
          <w:color w:val="000000"/>
          <w:lang w:eastAsia="es-CO"/>
        </w:rPr>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7F8F12A5" w14:textId="77777777" w:rsidR="001C3C9B" w:rsidRPr="00FE66BB" w:rsidRDefault="001C3C9B" w:rsidP="001C3C9B">
      <w:pPr>
        <w:spacing w:after="120" w:line="276" w:lineRule="auto"/>
        <w:ind w:firstLine="708"/>
        <w:jc w:val="both"/>
        <w:rPr>
          <w:rFonts w:ascii="Verdana" w:eastAsia="Times New Roman" w:hAnsi="Verdana" w:cs="Times New Roman"/>
          <w:color w:val="000000"/>
          <w:lang w:eastAsia="es-CO"/>
        </w:rPr>
      </w:pPr>
      <w:r w:rsidRPr="00FE66BB">
        <w:rPr>
          <w:rFonts w:ascii="Verdana" w:eastAsia="Times New Roman" w:hAnsi="Verdana" w:cs="Times New Roman"/>
          <w:color w:val="000000"/>
          <w:lang w:eastAsia="es-CO"/>
        </w:rPr>
        <w:t xml:space="preserve"> </w:t>
      </w:r>
      <w:proofErr w:type="spellStart"/>
      <w:r w:rsidRPr="00FE66BB">
        <w:rPr>
          <w:rFonts w:ascii="Verdana" w:eastAsia="Times New Roman" w:hAnsi="Verdana" w:cs="Times New Roman"/>
          <w:color w:val="000000"/>
          <w:lang w:eastAsia="es-CO"/>
        </w:rPr>
        <w:t>ii</w:t>
      </w:r>
      <w:proofErr w:type="spellEnd"/>
      <w:r w:rsidRPr="00FE66BB">
        <w:rPr>
          <w:rFonts w:ascii="Verdana" w:eastAsia="Times New Roman" w:hAnsi="Verdana" w:cs="Times New Roman"/>
          <w:color w:val="000000"/>
          <w:lang w:eastAsia="es-CO"/>
        </w:rPr>
        <w:t>)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2ECB451F" w14:textId="77777777" w:rsidR="001C3C9B" w:rsidRPr="00FE66BB" w:rsidRDefault="001C3C9B" w:rsidP="001C3C9B">
      <w:pPr>
        <w:spacing w:after="120" w:line="276" w:lineRule="auto"/>
        <w:ind w:firstLine="708"/>
        <w:jc w:val="both"/>
        <w:rPr>
          <w:rFonts w:ascii="Verdana" w:eastAsia="Times New Roman" w:hAnsi="Verdana" w:cs="Times New Roman"/>
          <w:color w:val="000000"/>
          <w:lang w:eastAsia="es-CO"/>
        </w:rPr>
      </w:pPr>
      <w:proofErr w:type="spellStart"/>
      <w:r w:rsidRPr="00FE66BB">
        <w:rPr>
          <w:rFonts w:ascii="Verdana" w:eastAsia="Times New Roman" w:hAnsi="Verdana" w:cs="Times New Roman"/>
          <w:color w:val="000000"/>
          <w:lang w:eastAsia="es-CO"/>
        </w:rPr>
        <w:t>iii</w:t>
      </w:r>
      <w:proofErr w:type="spellEnd"/>
      <w:r w:rsidRPr="00FE66BB">
        <w:rPr>
          <w:rFonts w:ascii="Verdana" w:eastAsia="Times New Roman" w:hAnsi="Verdana" w:cs="Times New Roman"/>
          <w:color w:val="000000"/>
          <w:lang w:eastAsia="es-CO"/>
        </w:rPr>
        <w:t xml:space="preserve">) Resolución 541 del 21 de agosto de 2025 “Por la cual se adoptan los documentos tipo para los procesos de mínima cuantía de obra pública de </w:t>
      </w:r>
      <w:r w:rsidRPr="00FE66BB">
        <w:rPr>
          <w:rFonts w:ascii="Verdana" w:eastAsia="Times New Roman" w:hAnsi="Verdana" w:cs="Times New Roman"/>
          <w:color w:val="000000"/>
          <w:lang w:eastAsia="es-CO"/>
        </w:rPr>
        <w:lastRenderedPageBreak/>
        <w:t xml:space="preserve">infraestructura social; y los documentos tipo complementarios para los procesos de mínima cuantía de obra pública de infraestructura social relacionados con los sectores educación, salud, cultura, recreación y deporte, institucional y vivienda”. </w:t>
      </w:r>
    </w:p>
    <w:p w14:paraId="47276F6F" w14:textId="77777777" w:rsidR="001C3C9B" w:rsidRPr="00FE66BB" w:rsidRDefault="001C3C9B" w:rsidP="001C3C9B">
      <w:pPr>
        <w:spacing w:after="120" w:line="276" w:lineRule="auto"/>
        <w:ind w:firstLine="708"/>
        <w:jc w:val="both"/>
        <w:rPr>
          <w:rFonts w:ascii="Verdana" w:eastAsia="Times New Roman" w:hAnsi="Verdana" w:cs="Times New Roman"/>
          <w:color w:val="000000"/>
          <w:lang w:eastAsia="es-CO"/>
        </w:rPr>
      </w:pPr>
      <w:proofErr w:type="spellStart"/>
      <w:r w:rsidRPr="00FE66BB">
        <w:rPr>
          <w:rFonts w:ascii="Verdana" w:eastAsia="Times New Roman" w:hAnsi="Verdana" w:cs="Times New Roman"/>
          <w:color w:val="000000"/>
          <w:lang w:eastAsia="es-CO"/>
        </w:rPr>
        <w:t>iv</w:t>
      </w:r>
      <w:proofErr w:type="spellEnd"/>
      <w:r w:rsidRPr="00FE66BB">
        <w:rPr>
          <w:rFonts w:ascii="Verdana" w:eastAsia="Times New Roman" w:hAnsi="Verdana" w:cs="Times New Roman"/>
          <w:color w:val="000000"/>
          <w:lang w:eastAsia="es-CO"/>
        </w:rPr>
        <w:t>)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4EEABF81" w14:textId="77777777" w:rsidR="001C3C9B" w:rsidRPr="00FE66BB" w:rsidRDefault="001C3C9B" w:rsidP="001C3C9B">
      <w:pPr>
        <w:spacing w:after="120" w:line="276" w:lineRule="auto"/>
        <w:ind w:firstLine="708"/>
        <w:jc w:val="both"/>
        <w:rPr>
          <w:rFonts w:ascii="Verdana" w:eastAsia="Times New Roman" w:hAnsi="Verdana" w:cs="Times New Roman"/>
          <w:color w:val="000000"/>
          <w:lang w:eastAsia="es-CO"/>
        </w:rPr>
      </w:pPr>
      <w:r w:rsidRPr="00FE66BB">
        <w:rPr>
          <w:rFonts w:ascii="Verdana" w:eastAsia="Times New Roman" w:hAnsi="Verdana" w:cs="Times New Roman"/>
          <w:color w:val="000000"/>
          <w:lang w:eastAsia="es-CO"/>
        </w:rPr>
        <w:t>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w:t>
      </w:r>
      <w:r w:rsidRPr="00FE66BB">
        <w:rPr>
          <w:rFonts w:ascii="Verdana" w:eastAsia="Aptos" w:hAnsi="Verdana" w:cs="Times New Roman"/>
          <w:lang w:eastAsia="es-MX"/>
        </w:rPr>
        <w:t xml:space="preserve"> </w:t>
      </w:r>
    </w:p>
    <w:p w14:paraId="1EC18AF6" w14:textId="77777777" w:rsidR="001C3C9B" w:rsidRPr="00FE66BB" w:rsidRDefault="001C3C9B" w:rsidP="001C3C9B">
      <w:pPr>
        <w:spacing w:after="120" w:line="276" w:lineRule="auto"/>
        <w:ind w:firstLine="708"/>
        <w:jc w:val="both"/>
        <w:textAlignment w:val="baseline"/>
        <w:rPr>
          <w:rFonts w:ascii="Verdana" w:eastAsia="Calibri" w:hAnsi="Verdana" w:cs="Arial"/>
          <w:lang w:eastAsia="es-MX"/>
        </w:rPr>
      </w:pPr>
      <w:r w:rsidRPr="00FE66BB">
        <w:rPr>
          <w:rFonts w:ascii="Verdana" w:eastAsia="Aptos" w:hAnsi="Verdana" w:cs="Times New Roman"/>
          <w:lang w:eastAsia="es-MX"/>
        </w:rPr>
        <w:t>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salud, cultura, recreación y deporte, institucional y vivienda, en los procesos de selección cuyo aviso de convocatoria se publique a partir del 16 de febrero de 2026</w:t>
      </w:r>
      <w:r w:rsidRPr="00FE66BB">
        <w:rPr>
          <w:rFonts w:ascii="Verdana" w:eastAsia="Calibri" w:hAnsi="Verdana" w:cs="Arial"/>
          <w:vertAlign w:val="superscript"/>
          <w:lang w:eastAsia="es-MX"/>
        </w:rPr>
        <w:footnoteReference w:id="1"/>
      </w:r>
      <w:r w:rsidRPr="00FE66BB">
        <w:rPr>
          <w:rFonts w:ascii="Verdana" w:eastAsia="Calibri" w:hAnsi="Verdana" w:cs="Arial"/>
          <w:lang w:eastAsia="es-MX"/>
        </w:rPr>
        <w:t>.</w:t>
      </w:r>
    </w:p>
    <w:p w14:paraId="01FCC3B5" w14:textId="77777777" w:rsidR="001C3C9B" w:rsidRPr="00FE66BB" w:rsidRDefault="001C3C9B" w:rsidP="001C3C9B">
      <w:pPr>
        <w:widowControl w:val="0"/>
        <w:autoSpaceDE w:val="0"/>
        <w:autoSpaceDN w:val="0"/>
        <w:spacing w:after="120" w:line="276" w:lineRule="auto"/>
        <w:ind w:firstLine="708"/>
        <w:jc w:val="both"/>
        <w:rPr>
          <w:rFonts w:ascii="Verdana" w:eastAsia="Calibri" w:hAnsi="Verdana" w:cs="Times New Roman"/>
          <w:lang w:val="es-ES" w:eastAsia="es-MX"/>
        </w:rPr>
      </w:pPr>
      <w:r w:rsidRPr="00FE66BB">
        <w:rPr>
          <w:rFonts w:ascii="Verdana" w:eastAsia="Calibri" w:hAnsi="Verdana" w:cs="Times New Roman"/>
          <w:lang w:val="es-ES" w:eastAsia="es-MX"/>
        </w:rPr>
        <w:lastRenderedPageBreak/>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Pr="00FE66BB">
        <w:rPr>
          <w:rFonts w:ascii="Verdana" w:eastAsia="Calibri" w:hAnsi="Verdana" w:cs="Times New Roman"/>
          <w:shd w:val="clear" w:color="auto" w:fill="E8E8E8"/>
          <w:lang w:val="es-ES" w:eastAsia="es-MX"/>
        </w:rPr>
        <w:t>–[texto]–,</w:t>
      </w:r>
      <w:r w:rsidRPr="00FE66BB">
        <w:rPr>
          <w:rFonts w:ascii="Verdana" w:eastAsia="Calibri" w:hAnsi="Verdana" w:cs="Times New Roman"/>
          <w:lang w:val="es-ES" w:eastAsia="es-MX"/>
        </w:rPr>
        <w:t xml:space="preserve"> para lo cual deberán observarse las instrucciones contenidas en los mismos para su diligenciamiento.</w:t>
      </w:r>
    </w:p>
    <w:p w14:paraId="58EC9D0B" w14:textId="77777777" w:rsidR="001C3C9B" w:rsidRPr="00FE66BB" w:rsidRDefault="001C3C9B" w:rsidP="001C3C9B">
      <w:pPr>
        <w:widowControl w:val="0"/>
        <w:autoSpaceDE w:val="0"/>
        <w:autoSpaceDN w:val="0"/>
        <w:spacing w:after="120" w:line="276" w:lineRule="auto"/>
        <w:ind w:firstLine="708"/>
        <w:jc w:val="both"/>
        <w:rPr>
          <w:rFonts w:ascii="Verdana" w:eastAsia="Calibri" w:hAnsi="Verdana" w:cs="Times New Roman"/>
          <w:lang w:val="es-ES" w:eastAsia="es-MX"/>
        </w:rPr>
      </w:pPr>
      <w:r w:rsidRPr="00FE66BB">
        <w:rPr>
          <w:rFonts w:ascii="Verdana" w:eastAsia="Calibri" w:hAnsi="Verdana" w:cs="Times New Roman"/>
          <w:lang w:val="es-ES" w:eastAsia="es-MX"/>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085181DF" w14:textId="77777777" w:rsidR="001C3C9B" w:rsidRPr="00FE66BB" w:rsidRDefault="001C3C9B" w:rsidP="001C3C9B">
      <w:pPr>
        <w:widowControl w:val="0"/>
        <w:autoSpaceDE w:val="0"/>
        <w:autoSpaceDN w:val="0"/>
        <w:spacing w:after="120" w:line="276" w:lineRule="auto"/>
        <w:ind w:firstLine="708"/>
        <w:jc w:val="both"/>
        <w:rPr>
          <w:rFonts w:ascii="Verdana" w:eastAsia="Calibri" w:hAnsi="Verdana" w:cs="Times New Roman"/>
          <w:lang w:val="es-ES" w:eastAsia="es-MX"/>
        </w:rPr>
      </w:pPr>
      <w:r w:rsidRPr="00FE66BB">
        <w:rPr>
          <w:rFonts w:ascii="Verdana" w:eastAsia="Calibri" w:hAnsi="Verdana" w:cs="Times New Roman"/>
          <w:lang w:val="es-ES" w:eastAsia="es-MX"/>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39F00E72" w14:textId="77777777" w:rsidR="001C3C9B" w:rsidRPr="00FE66BB" w:rsidRDefault="001C3C9B" w:rsidP="001C3C9B">
      <w:pPr>
        <w:widowControl w:val="0"/>
        <w:autoSpaceDE w:val="0"/>
        <w:autoSpaceDN w:val="0"/>
        <w:spacing w:after="120" w:line="276" w:lineRule="auto"/>
        <w:ind w:firstLine="708"/>
        <w:jc w:val="both"/>
        <w:rPr>
          <w:rFonts w:ascii="Verdana" w:eastAsia="Calibri" w:hAnsi="Verdana" w:cs="Times New Roman"/>
          <w:lang w:val="es-ES" w:eastAsia="es-MX"/>
        </w:rPr>
      </w:pPr>
      <w:r w:rsidRPr="00FE66BB">
        <w:rPr>
          <w:rFonts w:ascii="Verdana" w:eastAsia="Calibri" w:hAnsi="Verdana" w:cs="Times New Roman"/>
          <w:lang w:val="es-ES" w:eastAsia="es-MX"/>
        </w:rPr>
        <w:t xml:space="preserve">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w:t>
      </w:r>
      <w:r w:rsidRPr="00FE66BB">
        <w:rPr>
          <w:rFonts w:ascii="Verdana" w:eastAsia="Calibri" w:hAnsi="Verdana" w:cs="Times New Roman"/>
          <w:lang w:val="es-ES" w:eastAsia="es-MX"/>
        </w:rPr>
        <w:lastRenderedPageBreak/>
        <w:t>las definiciones de los términos usados en los documentos del proceso. Utilizando estos dos documentos, la entidad estatal puede definir si el objeto a contratarse debe emplear los documentos tipo adoptados por esta Agencia.</w:t>
      </w:r>
    </w:p>
    <w:p w14:paraId="4966FB5D" w14:textId="77777777" w:rsidR="001C3C9B" w:rsidRPr="00FE66BB" w:rsidRDefault="001C3C9B" w:rsidP="001C3C9B">
      <w:pPr>
        <w:widowControl w:val="0"/>
        <w:autoSpaceDE w:val="0"/>
        <w:autoSpaceDN w:val="0"/>
        <w:spacing w:after="120" w:line="276" w:lineRule="auto"/>
        <w:ind w:firstLine="708"/>
        <w:jc w:val="both"/>
        <w:rPr>
          <w:rFonts w:ascii="Verdana" w:eastAsia="Calibri" w:hAnsi="Verdana" w:cs="Times New Roman"/>
          <w:lang w:val="es-ES" w:eastAsia="es-MX"/>
        </w:rPr>
      </w:pPr>
      <w:r w:rsidRPr="00FE66BB">
        <w:rPr>
          <w:rFonts w:ascii="Verdana" w:eastAsia="Calibri" w:hAnsi="Verdana" w:cs="Times New Roman"/>
          <w:lang w:val="es-ES" w:eastAsia="es-MX"/>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0EC5F15C" w14:textId="77777777" w:rsidR="001C3C9B" w:rsidRPr="00FE66BB" w:rsidRDefault="001C3C9B" w:rsidP="001C3C9B">
      <w:pPr>
        <w:widowControl w:val="0"/>
        <w:autoSpaceDE w:val="0"/>
        <w:autoSpaceDN w:val="0"/>
        <w:spacing w:after="0" w:line="276" w:lineRule="auto"/>
        <w:ind w:firstLine="708"/>
        <w:jc w:val="both"/>
        <w:rPr>
          <w:rFonts w:ascii="Verdana" w:eastAsia="Calibri" w:hAnsi="Verdana" w:cs="Times New Roman"/>
          <w:lang w:val="es-ES" w:eastAsia="es-MX"/>
        </w:rPr>
      </w:pPr>
      <w:r w:rsidRPr="00FE66BB">
        <w:rPr>
          <w:rFonts w:ascii="Verdana" w:eastAsia="Calibri" w:hAnsi="Verdana" w:cs="Times New Roman"/>
          <w:lang w:val="es-ES" w:eastAsia="es-MX"/>
        </w:rPr>
        <w:t>De esta manera, para saber a qué actividades deben aplicarse los documentos tipo de licitación de obra pública de infraestructura social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5AC91057" w14:textId="77777777" w:rsidR="001C3C9B" w:rsidRDefault="001C3C9B" w:rsidP="001C3C9B">
      <w:pPr>
        <w:widowControl w:val="0"/>
        <w:autoSpaceDE w:val="0"/>
        <w:autoSpaceDN w:val="0"/>
        <w:spacing w:after="0" w:line="276" w:lineRule="auto"/>
        <w:jc w:val="both"/>
        <w:rPr>
          <w:rFonts w:ascii="Verdana" w:eastAsia="Calibri" w:hAnsi="Verdana" w:cs="Times New Roman"/>
          <w:lang w:val="es-ES" w:eastAsia="es-MX"/>
        </w:rPr>
      </w:pPr>
    </w:p>
    <w:p w14:paraId="6E84C31A" w14:textId="77777777" w:rsidR="001C3C9B" w:rsidRPr="00FE66BB" w:rsidRDefault="001C3C9B" w:rsidP="001C3C9B">
      <w:pPr>
        <w:spacing w:after="0" w:line="276" w:lineRule="auto"/>
        <w:jc w:val="both"/>
        <w:rPr>
          <w:rFonts w:ascii="Verdana" w:eastAsia="Calibri" w:hAnsi="Verdana" w:cs="Times New Roman"/>
          <w:lang w:eastAsia="es-MX"/>
        </w:rPr>
      </w:pPr>
      <w:r>
        <w:rPr>
          <w:rFonts w:ascii="Verdana" w:eastAsia="Calibri" w:hAnsi="Verdana" w:cs="Times New Roman"/>
          <w:lang w:val="es-ES" w:eastAsia="es-MX"/>
        </w:rPr>
        <w:t xml:space="preserve">II). </w:t>
      </w:r>
      <w:r w:rsidRPr="00FE66BB">
        <w:rPr>
          <w:rFonts w:ascii="Verdana" w:eastAsia="Times New Roman" w:hAnsi="Verdana" w:cs="Times New Roman"/>
          <w:color w:val="000000"/>
          <w:lang w:eastAsia="es-CO"/>
        </w:rPr>
        <w:t>En los documentos tipo complementarios del sector Institucional, en la modalidad de licitación pública, selección abreviada de menor cuantía y mínima cuantía, en la Matriz 1 se encuentran los siguientes tipos de infraestructura:</w:t>
      </w:r>
      <w:r w:rsidRPr="00FE66BB">
        <w:rPr>
          <w:rFonts w:ascii="Verdana" w:eastAsia="Arial" w:hAnsi="Verdana" w:cs="Aptos"/>
          <w:lang w:eastAsia="es-ES"/>
        </w:rPr>
        <w:t xml:space="preserve"> “1) OBRAS EN PROYECTOS DE INFRAESTRUCTURA INSTITUCIONAL DE SEGURIDAD PUBLICA, 2) OBRAS EN PROYECTOS DE INFRAESTRUCTURA INSTITUCIONAL DE SERVICIO PÚBLICO, 3) OBRAS EN PROYECTOS DE INFRAESTRUCTURA INSTITUCIONAL - SITIOS DE RECLUSIÓN, 4) OBRAS EN VÍAS DE ACCESO O PARQUEADEROS O ZONAS DE CIRCULACIÓN (VEHICULAR O PEATONAL) O PLAZUELAS O PLAZAS O PLAZUELAS EN EDIFICACIONES INSTITUCIONALES, y 5) OBRAS PARA ATENCIÓN, PREVENCIÓN O MITIGACIÓN DE EMERGENCIAS DIFERENTES A CONTRATACIÓN DIRECTA PARA EL SECTOR INSTITUCIONAL”</w:t>
      </w:r>
      <w:r w:rsidRPr="00FE66BB">
        <w:rPr>
          <w:rFonts w:ascii="Verdana" w:eastAsia="Times New Roman" w:hAnsi="Verdana" w:cs="Arial"/>
          <w:lang w:eastAsia="es-MX"/>
        </w:rPr>
        <w:t>.</w:t>
      </w:r>
      <w:r w:rsidRPr="00FE66BB">
        <w:rPr>
          <w:rFonts w:ascii="Verdana" w:eastAsia="Calibri" w:hAnsi="Verdana" w:cs="Times New Roman"/>
          <w:lang w:eastAsia="es-MX"/>
        </w:rPr>
        <w:t xml:space="preserve"> Particularmente, en relación con el primer problema jurídico planteado en este concepto, en el Capítulo dos (2) “</w:t>
      </w:r>
      <w:r w:rsidRPr="00FE66BB">
        <w:rPr>
          <w:rFonts w:ascii="Verdana" w:eastAsia="Arial" w:hAnsi="Verdana" w:cs="Aptos"/>
          <w:lang w:eastAsia="es-ES"/>
        </w:rPr>
        <w:t>Obras en proyectos de infraestructura institucional de servicio público”,</w:t>
      </w:r>
      <w:r w:rsidRPr="00FE66BB">
        <w:rPr>
          <w:rFonts w:ascii="Verdana" w:eastAsia="Calibri" w:hAnsi="Verdana" w:cs="Times New Roman"/>
          <w:lang w:eastAsia="es-MX"/>
        </w:rPr>
        <w:t xml:space="preserve"> se incluyen las siguientes actividades:  </w:t>
      </w:r>
    </w:p>
    <w:p w14:paraId="763DB30E" w14:textId="77777777" w:rsidR="001C3C9B" w:rsidRPr="00FE66BB" w:rsidRDefault="001C3C9B" w:rsidP="001C3C9B">
      <w:pPr>
        <w:spacing w:after="0" w:line="276" w:lineRule="auto"/>
        <w:ind w:firstLine="708"/>
        <w:jc w:val="both"/>
        <w:rPr>
          <w:rFonts w:ascii="Verdana" w:eastAsia="Calibri" w:hAnsi="Verdana" w:cs="Times New Roman"/>
          <w:lang w:eastAsia="es-MX"/>
        </w:rPr>
      </w:pPr>
    </w:p>
    <w:p w14:paraId="380B0E9B" w14:textId="77777777" w:rsidR="001C3C9B" w:rsidRPr="00FE66BB" w:rsidRDefault="001C3C9B" w:rsidP="001C3C9B">
      <w:pPr>
        <w:snapToGrid w:val="0"/>
        <w:spacing w:after="120" w:line="240" w:lineRule="auto"/>
        <w:ind w:left="709" w:right="709"/>
        <w:jc w:val="both"/>
        <w:rPr>
          <w:rFonts w:ascii="Verdana" w:eastAsia="Arial" w:hAnsi="Verdana" w:cs="Aptos"/>
          <w:i/>
          <w:iCs/>
          <w:sz w:val="21"/>
          <w:szCs w:val="21"/>
          <w:lang w:eastAsia="es-ES"/>
        </w:rPr>
      </w:pPr>
      <w:r w:rsidRPr="00FE66BB">
        <w:rPr>
          <w:rFonts w:ascii="Verdana" w:eastAsia="Calibri" w:hAnsi="Verdana" w:cs="Times New Roman"/>
          <w:sz w:val="21"/>
          <w:szCs w:val="21"/>
          <w:lang w:eastAsia="es-MX"/>
        </w:rPr>
        <w:lastRenderedPageBreak/>
        <w:t>“</w:t>
      </w:r>
      <w:r w:rsidRPr="00FE66BB">
        <w:rPr>
          <w:rFonts w:ascii="Verdana" w:eastAsia="Arial" w:hAnsi="Verdana" w:cs="Aptos"/>
          <w:i/>
          <w:iCs/>
          <w:sz w:val="21"/>
          <w:szCs w:val="21"/>
          <w:lang w:eastAsia="es-ES"/>
        </w:rPr>
        <w:t>2.2. PROYECTOS DE ADECUACIÓN Y/O CONSERVACIÓN Y/O INTERVENCIÓN Y/O INSTALACIÓN Y/O MANTENIMIENTO Y/O MEJORAMIENTO Y/O MODIFICACIÓN U OPTIMIZACIÓN Y/O REHABILITACIÓN Y/O REMODELACIÓN Y/O REPOSICIÓN Y/O REPARACIÓN LOCATIVA Y/O RESTAURACIÓN Y/O RESTITUCIÓN Y/O TERMINACIÓN DE INFRAESTRUCTURA DE SERVICIO PÚBLICO.</w:t>
      </w:r>
    </w:p>
    <w:p w14:paraId="1B3C2727" w14:textId="77777777" w:rsidR="001C3C9B" w:rsidRPr="00FE66BB" w:rsidRDefault="001C3C9B" w:rsidP="001C3C9B">
      <w:pPr>
        <w:snapToGrid w:val="0"/>
        <w:spacing w:after="120" w:line="240" w:lineRule="auto"/>
        <w:ind w:left="709" w:right="709"/>
        <w:jc w:val="both"/>
        <w:rPr>
          <w:rFonts w:ascii="Verdana" w:eastAsia="Arial" w:hAnsi="Verdana" w:cs="Aptos"/>
          <w:i/>
          <w:iCs/>
          <w:sz w:val="21"/>
          <w:szCs w:val="21"/>
          <w:lang w:eastAsia="es-ES"/>
        </w:rPr>
      </w:pPr>
      <w:r w:rsidRPr="00FE66BB">
        <w:rPr>
          <w:rFonts w:ascii="Verdana" w:eastAsia="Arial" w:hAnsi="Verdana" w:cs="Aptos"/>
          <w:i/>
          <w:iCs/>
          <w:sz w:val="21"/>
          <w:szCs w:val="21"/>
          <w:lang w:eastAsia="es-ES"/>
        </w:rPr>
        <w:t>2.6. PROYECTOS DE CONSTRUCCIÓN Y/O AMPLIACIÓN Y/O RECONSTRUCCIÓN ADECUACIÓN Y/O CONSERVACIÓN Y/O INTERVENCIÓN Y/O INSTALACIÓN Y/O MANTENIMIENTO Y/O MEJORAMIENTO Y/O MODIFICACIÓN U OPTIMIZACIÓN Y/O REHABILITACIÓN Y/O REMODELACIÓN Y/O REPOSICIÓN Y/O REPARACIÓN LOCATIVA Y/O RESTAURACIÓN Y/O RESTITUCIÓN Y/O TERMINACIÓN DE BATERÍAS SANITARIAS Y/O REDES HIDROSANITARIAS Y/O TANQUES DE ALMACENAMIENTO Y/O SISTEMAS DE BOMBEO Y/O REDES CONTRA INCENDIOS DE INFRAESTRUCTURA DE SERVICIO PÚBLICO.</w:t>
      </w:r>
    </w:p>
    <w:p w14:paraId="6DB6CAA6" w14:textId="77777777" w:rsidR="001C3C9B" w:rsidRPr="00FE66BB" w:rsidRDefault="001C3C9B" w:rsidP="001C3C9B">
      <w:pPr>
        <w:snapToGrid w:val="0"/>
        <w:spacing w:after="120" w:line="240" w:lineRule="auto"/>
        <w:ind w:left="709" w:right="709"/>
        <w:jc w:val="both"/>
        <w:rPr>
          <w:rFonts w:ascii="Verdana" w:eastAsia="Calibri" w:hAnsi="Verdana" w:cs="Times New Roman"/>
          <w:sz w:val="21"/>
          <w:szCs w:val="21"/>
          <w:lang w:eastAsia="es-MX"/>
        </w:rPr>
      </w:pPr>
      <w:r w:rsidRPr="00FE66BB">
        <w:rPr>
          <w:rFonts w:ascii="Verdana" w:eastAsia="Arial" w:hAnsi="Verdana" w:cs="Aptos"/>
          <w:i/>
          <w:iCs/>
          <w:sz w:val="21"/>
          <w:szCs w:val="21"/>
          <w:lang w:eastAsia="es-ES"/>
        </w:rPr>
        <w:t>2.9.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REDES ELÉCTRICAS Y/O CIRCUITOS CERRADOS DE TV Y/O SISTEMAS DE SEGURIDAD Y/O CIRCUITOS DE VOZ Y DATOS Y/O   PLANTAS ELÉCTRICAS Y/O SUBESTACIONES Y/O REDES DE TELEMÁTICA Y/O COMUNICACIÓN Y/O SONIDO Y/O TELEFONÍA Y/O REDES O SISTEMAS DE ILUMINACIÓN O LUMINARIAS INTERIORES O EXTERIORES DE INFRAESTRUCTURA DE SERVICIO PÚBLICO</w:t>
      </w:r>
      <w:r w:rsidRPr="00FE66BB">
        <w:rPr>
          <w:rFonts w:ascii="Verdana" w:eastAsia="Calibri" w:hAnsi="Verdana" w:cs="Times New Roman"/>
          <w:sz w:val="21"/>
          <w:szCs w:val="21"/>
          <w:lang w:eastAsia="es-MX"/>
        </w:rPr>
        <w:t>.</w:t>
      </w:r>
    </w:p>
    <w:p w14:paraId="18892716" w14:textId="77777777" w:rsidR="001C3C9B" w:rsidRPr="00FE66BB" w:rsidRDefault="001C3C9B" w:rsidP="001C3C9B">
      <w:pPr>
        <w:snapToGrid w:val="0"/>
        <w:spacing w:after="120" w:line="240" w:lineRule="auto"/>
        <w:ind w:left="709" w:right="709"/>
        <w:jc w:val="both"/>
        <w:rPr>
          <w:rFonts w:ascii="Verdana" w:eastAsia="Arial" w:hAnsi="Verdana" w:cs="Aptos"/>
          <w:kern w:val="2"/>
          <w:sz w:val="21"/>
          <w:szCs w:val="21"/>
          <w:lang w:eastAsia="es-ES"/>
          <w14:ligatures w14:val="standardContextual"/>
        </w:rPr>
      </w:pPr>
      <w:r w:rsidRPr="00FE66BB">
        <w:rPr>
          <w:rFonts w:ascii="Verdana" w:eastAsia="Arial" w:hAnsi="Verdana" w:cs="Aptos"/>
          <w:kern w:val="2"/>
          <w:sz w:val="21"/>
          <w:szCs w:val="21"/>
          <w:lang w:eastAsia="es-ES"/>
          <w14:ligatures w14:val="standardContextual"/>
        </w:rPr>
        <w:t>2.10. PROYECTOS DE CONSTRUCCIÓN Y/O HABILITACIÓN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ZONAS VERDES, Y/O ACTIVIDADES DE URBANISMO Y/O DE PAISAJISMO ASOCIADA A INFRAESTRUCTURA DE SERVICIO PUBLICO</w:t>
      </w:r>
    </w:p>
    <w:p w14:paraId="60AD364E" w14:textId="77777777" w:rsidR="001C3C9B" w:rsidRPr="00FE66BB" w:rsidRDefault="001C3C9B" w:rsidP="001C3C9B">
      <w:pPr>
        <w:snapToGrid w:val="0"/>
        <w:spacing w:after="120" w:line="240" w:lineRule="auto"/>
        <w:ind w:left="709" w:right="709"/>
        <w:jc w:val="both"/>
        <w:rPr>
          <w:rFonts w:ascii="Verdana" w:eastAsia="Arial" w:hAnsi="Verdana" w:cs="Aptos"/>
          <w:kern w:val="2"/>
          <w:sz w:val="21"/>
          <w:szCs w:val="21"/>
          <w:lang w:eastAsia="es-ES"/>
          <w14:ligatures w14:val="standardContextual"/>
        </w:rPr>
      </w:pPr>
      <w:r w:rsidRPr="00FE66BB">
        <w:rPr>
          <w:rFonts w:ascii="Verdana" w:eastAsia="Arial" w:hAnsi="Verdana" w:cs="Aptos"/>
          <w:kern w:val="2"/>
          <w:sz w:val="21"/>
          <w:szCs w:val="21"/>
          <w:lang w:eastAsia="es-ES"/>
          <w14:ligatures w14:val="standardContextual"/>
        </w:rPr>
        <w:t>2.11. PROYECTOS DE SUMINISTRO Y/O INSTALACIÓN DE DOTACIÓN Y/O DE MOBILIARIO INTERNO O EXTERNO PARA INFRAESTRUCTURA DE SERVICIO PUBLICO</w:t>
      </w:r>
    </w:p>
    <w:p w14:paraId="70093AD4" w14:textId="77777777" w:rsidR="001C3C9B" w:rsidRPr="00FE66BB" w:rsidRDefault="001C3C9B" w:rsidP="001C3C9B">
      <w:pPr>
        <w:snapToGrid w:val="0"/>
        <w:spacing w:after="120" w:line="240" w:lineRule="auto"/>
        <w:ind w:left="709" w:right="709"/>
        <w:jc w:val="both"/>
        <w:rPr>
          <w:rFonts w:ascii="Verdana" w:eastAsia="Arial" w:hAnsi="Verdana" w:cs="Aptos"/>
          <w:kern w:val="2"/>
          <w:sz w:val="21"/>
          <w:szCs w:val="21"/>
          <w:lang w:eastAsia="es-ES"/>
          <w14:ligatures w14:val="standardContextual"/>
        </w:rPr>
      </w:pPr>
      <w:r w:rsidRPr="00FE66BB">
        <w:rPr>
          <w:rFonts w:ascii="Verdana" w:eastAsia="Arial" w:hAnsi="Verdana" w:cs="Aptos"/>
          <w:kern w:val="2"/>
          <w:sz w:val="21"/>
          <w:szCs w:val="21"/>
          <w:lang w:eastAsia="es-ES"/>
          <w14:ligatures w14:val="standardContextual"/>
        </w:rPr>
        <w:lastRenderedPageBreak/>
        <w:t>2.12. PROYECTOS DE SUMINISTRO Y/O INSTALACION DE EQUIPOS ESPECIALES Y/O ELECTROMECÁNICOS Y/O ELECTRÓNICOS Y/O MAQUINARIA U OTROS TIPOS DE EQUIPOS PARA INFRAESTRUCTURA DE SERVICIO PUBLICO</w:t>
      </w:r>
    </w:p>
    <w:p w14:paraId="2D22D7D2" w14:textId="77777777" w:rsidR="001C3C9B" w:rsidRPr="00FE66BB" w:rsidRDefault="001C3C9B" w:rsidP="001C3C9B">
      <w:pPr>
        <w:snapToGrid w:val="0"/>
        <w:spacing w:after="120" w:line="240" w:lineRule="auto"/>
        <w:ind w:left="709" w:right="709"/>
        <w:jc w:val="both"/>
        <w:rPr>
          <w:rFonts w:ascii="Verdana" w:eastAsia="Arial" w:hAnsi="Verdana" w:cs="Aptos"/>
          <w:kern w:val="2"/>
          <w:sz w:val="21"/>
          <w:szCs w:val="21"/>
          <w:lang w:eastAsia="es-ES"/>
          <w14:ligatures w14:val="standardContextual"/>
        </w:rPr>
      </w:pPr>
      <w:r w:rsidRPr="00FE66BB">
        <w:rPr>
          <w:rFonts w:ascii="Verdana" w:eastAsia="Arial" w:hAnsi="Verdana" w:cs="Aptos"/>
          <w:kern w:val="2"/>
          <w:sz w:val="21"/>
          <w:szCs w:val="21"/>
          <w:lang w:eastAsia="es-ES"/>
          <w14:ligatures w14:val="standardContextual"/>
        </w:rPr>
        <w:t>2.13.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REDES DE VAPOR Y/O REDES DE GASES Y/O REDES DE GAS NATURAL Y/O SISTEMAS DE COCCIÓN DE INFRAESTRUCTURA INSTITUCIONAL - SERVICIO PÚBLICO</w:t>
      </w:r>
    </w:p>
    <w:p w14:paraId="2CBE500F" w14:textId="77777777" w:rsidR="001C3C9B" w:rsidRPr="00FE66BB" w:rsidRDefault="001C3C9B" w:rsidP="001C3C9B">
      <w:pPr>
        <w:snapToGrid w:val="0"/>
        <w:spacing w:after="120" w:line="240" w:lineRule="auto"/>
        <w:ind w:left="709" w:right="709"/>
        <w:jc w:val="both"/>
        <w:rPr>
          <w:rFonts w:ascii="Verdana" w:eastAsia="Arial" w:hAnsi="Verdana" w:cs="Aptos"/>
          <w:kern w:val="2"/>
          <w:sz w:val="21"/>
          <w:szCs w:val="21"/>
          <w:lang w:eastAsia="es-ES"/>
          <w14:ligatures w14:val="standardContextual"/>
        </w:rPr>
      </w:pPr>
      <w:r w:rsidRPr="00FE66BB">
        <w:rPr>
          <w:rFonts w:ascii="Verdana" w:eastAsia="Arial" w:hAnsi="Verdana" w:cs="Aptos"/>
          <w:kern w:val="2"/>
          <w:sz w:val="21"/>
          <w:szCs w:val="21"/>
          <w:lang w:eastAsia="es-ES"/>
          <w14:ligatures w14:val="standardContextual"/>
        </w:rPr>
        <w:t>2.14. PROYECTOS DE SUMINISTRO Y/O INSTALACIÓN DE SISTEMAS DE AIRES ACONDICIONADOS O SISTEMAS DE VENTILACIÓN O SIMILARES PARA INFRAESTRUCTURA DE SERVICIO PUBLICO”.</w:t>
      </w:r>
    </w:p>
    <w:p w14:paraId="1C120ED7" w14:textId="77777777" w:rsidR="001C3C9B" w:rsidRPr="00FE66BB" w:rsidRDefault="001C3C9B" w:rsidP="001C3C9B">
      <w:pPr>
        <w:spacing w:after="0" w:line="276" w:lineRule="auto"/>
        <w:ind w:firstLine="708"/>
        <w:jc w:val="both"/>
        <w:rPr>
          <w:rFonts w:ascii="Verdana" w:eastAsia="Calibri" w:hAnsi="Verdana" w:cs="Times New Roman"/>
          <w:lang w:eastAsia="es-MX"/>
        </w:rPr>
      </w:pPr>
    </w:p>
    <w:p w14:paraId="7BD01B34" w14:textId="77777777" w:rsidR="001C3C9B" w:rsidRPr="00FE66BB" w:rsidRDefault="001C3C9B" w:rsidP="001C3C9B">
      <w:pPr>
        <w:spacing w:after="120" w:line="276" w:lineRule="auto"/>
        <w:ind w:firstLine="708"/>
        <w:jc w:val="both"/>
        <w:rPr>
          <w:rFonts w:ascii="Verdana" w:eastAsia="Times New Roman" w:hAnsi="Verdana" w:cs="Aptos"/>
          <w:kern w:val="2"/>
          <w:lang w:eastAsia="es-MX"/>
          <w14:ligatures w14:val="standardContextual"/>
        </w:rPr>
      </w:pPr>
      <w:r w:rsidRPr="00FE66BB">
        <w:rPr>
          <w:rFonts w:ascii="Verdana" w:eastAsia="Times New Roman" w:hAnsi="Verdana" w:cs="Aptos"/>
          <w:kern w:val="2"/>
          <w:lang w:eastAsia="es-MX"/>
          <w14:ligatures w14:val="standardContextual"/>
        </w:rPr>
        <w:t xml:space="preserve">Las actividades señaladas, contenidas el capítulo 2 “Obras en proyectos de infraestructura institucional de servicio público” de los documentos tipo del sector institucional, de manera general corresponden entre otras, a las siguientes: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y/o suministro y/o instalación y/o dotación de mobiliario interno y externo; y/o suministro y/o instalación de equipos especiales y/o electromecánicos y/o electrónicos y/o maquinaria; y/o suministro y/o instalación de sistemas de aires acondicionados o sistemas de ventilación o similares; todos estos proyectos sobre </w:t>
      </w:r>
      <w:r w:rsidRPr="00FE66BB">
        <w:rPr>
          <w:rFonts w:ascii="Verdana" w:eastAsia="Arial" w:hAnsi="Verdana" w:cs="Aptos"/>
          <w:i/>
          <w:iCs/>
          <w:kern w:val="2"/>
          <w:lang w:eastAsia="es-ES"/>
          <w14:ligatures w14:val="standardContextual"/>
        </w:rPr>
        <w:t>infraestructura de servicio público</w:t>
      </w:r>
      <w:r w:rsidRPr="00FE66BB">
        <w:rPr>
          <w:rFonts w:ascii="Verdana" w:eastAsia="Times New Roman" w:hAnsi="Verdana" w:cs="Aptos"/>
          <w:kern w:val="2"/>
          <w:lang w:eastAsia="es-MX"/>
          <w14:ligatures w14:val="standardContextual"/>
        </w:rPr>
        <w:t>.</w:t>
      </w:r>
    </w:p>
    <w:p w14:paraId="79B09691" w14:textId="77777777" w:rsidR="001C3C9B" w:rsidRPr="00FE66BB" w:rsidRDefault="001C3C9B" w:rsidP="001C3C9B">
      <w:pPr>
        <w:spacing w:after="120" w:line="276" w:lineRule="auto"/>
        <w:ind w:firstLine="708"/>
        <w:jc w:val="both"/>
        <w:rPr>
          <w:rFonts w:ascii="Verdana" w:eastAsia="Times New Roman" w:hAnsi="Verdana" w:cs="Aptos"/>
          <w:kern w:val="2"/>
          <w:lang w:eastAsia="es-MX"/>
          <w14:ligatures w14:val="standardContextual"/>
        </w:rPr>
      </w:pPr>
      <w:r w:rsidRPr="00FE66BB">
        <w:rPr>
          <w:rFonts w:ascii="Verdana" w:eastAsia="Times New Roman" w:hAnsi="Verdana" w:cs="Aptos"/>
          <w:kern w:val="2"/>
          <w:lang w:eastAsia="es-MX"/>
          <w14:ligatures w14:val="standardContextual"/>
        </w:rPr>
        <w:t xml:space="preserve">Para interpretar el alcance del tipo de infraestructura de servicio público, se debe tener en cuenta la nota general 1 de la Matriz 1– Experiencia del Sector Institucional, en las distintas modalidades de los documentos tipo adoptados por esta Agencia. En esta se indica que “(l)as definiciones contenidas en esta Matriz deben enmarcarse en la normativa vigente en la materia, así como en la NSR 10 </w:t>
      </w:r>
      <w:r w:rsidRPr="00FE66BB">
        <w:rPr>
          <w:rFonts w:ascii="Verdana" w:eastAsia="Times New Roman" w:hAnsi="Verdana" w:cs="Aptos"/>
          <w:kern w:val="2"/>
          <w:lang w:eastAsia="es-MX"/>
          <w14:ligatures w14:val="standardContextual"/>
        </w:rPr>
        <w:lastRenderedPageBreak/>
        <w:t>o aquellas que los modifiquen, adicionen o sustituyan, así como a las definiciones contenidas en el "Anexo - Glosario del Sector Social””.</w:t>
      </w:r>
    </w:p>
    <w:p w14:paraId="068D4279" w14:textId="77777777" w:rsidR="001C3C9B" w:rsidRPr="00FE66BB" w:rsidRDefault="001C3C9B" w:rsidP="001C3C9B">
      <w:pPr>
        <w:spacing w:after="120" w:line="276" w:lineRule="auto"/>
        <w:ind w:firstLine="708"/>
        <w:jc w:val="both"/>
        <w:rPr>
          <w:rFonts w:ascii="Verdana" w:eastAsia="Times New Roman" w:hAnsi="Verdana" w:cs="Aptos"/>
          <w:kern w:val="2"/>
          <w:lang w:eastAsia="es-MX"/>
          <w14:ligatures w14:val="standardContextual"/>
        </w:rPr>
      </w:pPr>
      <w:r w:rsidRPr="00FE66BB">
        <w:rPr>
          <w:rFonts w:ascii="Verdana" w:eastAsia="Times New Roman" w:hAnsi="Verdana" w:cs="Aptos"/>
          <w:kern w:val="2"/>
          <w:lang w:eastAsia="es-MX"/>
          <w14:ligatures w14:val="standardContextual"/>
        </w:rPr>
        <w:t>La nota general 1 contenida en la Matriz 1 – Experiencia de los Documentos Tipo indicados, es congruente con el numeral 1.10 del documento base que dispone que “[p]ara los fines de este Pliego de Condiciones, a menos que expresamente se estipule de otra manera, los términos deben entenderse de acuerdo con la definición contenida en el artículo 2.2.1.1.1.3.1 del Decreto 1082 de 2015, el glosario aplicable a la obra pública de infraestructura social y demás normas, decretos reglamentarios y legislación aplicable en la materia”.</w:t>
      </w:r>
    </w:p>
    <w:p w14:paraId="743BD0EE" w14:textId="77777777" w:rsidR="001C3C9B" w:rsidRPr="00FE66BB" w:rsidRDefault="001C3C9B" w:rsidP="001C3C9B">
      <w:pPr>
        <w:spacing w:after="120" w:line="276" w:lineRule="auto"/>
        <w:ind w:firstLine="708"/>
        <w:jc w:val="both"/>
        <w:rPr>
          <w:rFonts w:ascii="Verdana" w:eastAsia="Calibri" w:hAnsi="Verdana" w:cs="Arial"/>
          <w:color w:val="0D0D0D"/>
          <w:lang w:eastAsia="es-MX"/>
        </w:rPr>
      </w:pPr>
      <w:r w:rsidRPr="00FE66BB">
        <w:rPr>
          <w:rFonts w:ascii="Verdana" w:eastAsia="Calibri" w:hAnsi="Verdana" w:cs="Arial"/>
          <w:lang w:val="es-ES_tradnl" w:eastAsia="es-MX"/>
        </w:rPr>
        <w:t xml:space="preserve">Ahora bien, como se precisó las actividades señaladas recaen sobre </w:t>
      </w:r>
      <w:r w:rsidRPr="00FE66BB">
        <w:rPr>
          <w:rFonts w:ascii="Verdana" w:eastAsia="Times New Roman" w:hAnsi="Verdana" w:cs="Calibri"/>
          <w:lang w:eastAsia="es-MX"/>
        </w:rPr>
        <w:t xml:space="preserve">obras en proyectos de infraestructura institucional de servicio público. De esta forma, para determinar qué abarca este tipo de infraestructura, debe indicarse que, de conformidad con la norma </w:t>
      </w:r>
      <w:r w:rsidRPr="00FE66BB">
        <w:rPr>
          <w:rFonts w:ascii="Verdana" w:eastAsia="Calibri" w:hAnsi="Verdana" w:cs="Arial"/>
          <w:color w:val="0D0D0D"/>
          <w:lang w:eastAsia="es-MX"/>
        </w:rPr>
        <w:t>NSR-10 en el Subgrupo de Ocupación Institucional de Servicio Público (I-5) “se clasifican las edificaciones o espacios destinados a funciones administrativas y prestación de servicios públicos necesarios para el buen funcionamiento de las ciudades”</w:t>
      </w:r>
      <w:r w:rsidRPr="00FE66BB">
        <w:rPr>
          <w:rFonts w:ascii="Verdana" w:eastAsia="Calibri" w:hAnsi="Verdana" w:cs="Arial"/>
          <w:color w:val="0D0D0D"/>
          <w:vertAlign w:val="superscript"/>
          <w:lang w:eastAsia="es-MX"/>
        </w:rPr>
        <w:footnoteReference w:id="2"/>
      </w:r>
      <w:r w:rsidRPr="00FE66BB">
        <w:rPr>
          <w:rFonts w:ascii="Verdana" w:eastAsia="Calibri" w:hAnsi="Verdana" w:cs="Arial"/>
          <w:color w:val="0D0D0D"/>
          <w:lang w:eastAsia="es-MX"/>
        </w:rPr>
        <w:t>. Entre las edificaciones o espacios que pertenecen a este Subgrupo se encuentran las siguientes: “Centros de comunicación o administrativos o administrativos de servicios municipales, distritales o gubernamentales, juzgados y otros similares”</w:t>
      </w:r>
      <w:r w:rsidRPr="00FE66BB">
        <w:rPr>
          <w:rFonts w:ascii="Verdana" w:eastAsia="Calibri" w:hAnsi="Verdana" w:cs="Arial"/>
          <w:color w:val="0D0D0D"/>
          <w:vertAlign w:val="superscript"/>
          <w:lang w:eastAsia="es-MX"/>
        </w:rPr>
        <w:footnoteReference w:id="3"/>
      </w:r>
      <w:r w:rsidRPr="00FE66BB">
        <w:rPr>
          <w:rFonts w:ascii="Verdana" w:eastAsia="Calibri" w:hAnsi="Verdana" w:cs="Arial"/>
          <w:color w:val="0D0D0D"/>
          <w:lang w:eastAsia="es-MX"/>
        </w:rPr>
        <w:t>.</w:t>
      </w:r>
    </w:p>
    <w:p w14:paraId="35CB2469" w14:textId="77777777" w:rsidR="001C3C9B" w:rsidRPr="00FE66BB" w:rsidRDefault="001C3C9B" w:rsidP="001C3C9B">
      <w:pPr>
        <w:spacing w:after="120" w:line="276" w:lineRule="auto"/>
        <w:ind w:firstLine="708"/>
        <w:jc w:val="both"/>
        <w:rPr>
          <w:rFonts w:ascii="Verdana" w:eastAsia="Calibri" w:hAnsi="Verdana" w:cs="Arial"/>
          <w:color w:val="0D0D0D"/>
          <w:lang w:eastAsia="es-MX"/>
        </w:rPr>
      </w:pPr>
      <w:r w:rsidRPr="00FE66BB">
        <w:rPr>
          <w:rFonts w:ascii="Verdana" w:eastAsia="Calibri" w:hAnsi="Verdana" w:cs="Arial"/>
          <w:color w:val="0D0D0D"/>
          <w:lang w:eastAsia="es-MX"/>
        </w:rPr>
        <w:t xml:space="preserve">En este sentido, el Subgrupo de Ocupación Institucional de Servicio Público corresponde a una categoría de clasificación establecida por la NSR-10 que agrupa a aquellas edificaciones o espacios destinados al ejercicio de funciones administrativas y a la prestación de servicios públicos esenciales para el adecuado funcionamiento de las ciudades. Este subgrupo comprende centros de comunicación, administrativos y sedes de servicios en distintos niveles, juzgados y otros similares. La expresión “Otros similares” evidencia que la enumeración no es taxativa, sino enunciativa, por lo incluye todas aquellas edificaciones </w:t>
      </w:r>
      <w:proofErr w:type="gramStart"/>
      <w:r w:rsidRPr="00FE66BB">
        <w:rPr>
          <w:rFonts w:ascii="Verdana" w:eastAsia="Calibri" w:hAnsi="Verdana" w:cs="Arial"/>
          <w:color w:val="0D0D0D"/>
          <w:lang w:eastAsia="es-MX"/>
        </w:rPr>
        <w:t>que</w:t>
      </w:r>
      <w:proofErr w:type="gramEnd"/>
      <w:r w:rsidRPr="00FE66BB">
        <w:rPr>
          <w:rFonts w:ascii="Verdana" w:eastAsia="Calibri" w:hAnsi="Verdana" w:cs="Arial"/>
          <w:color w:val="0D0D0D"/>
          <w:lang w:eastAsia="es-MX"/>
        </w:rPr>
        <w:t xml:space="preserve"> por su naturaleza y finalidad, están orientadas a la prestación de servicios públicos y al desarrollo de funciones institucionales del Estado.  </w:t>
      </w:r>
    </w:p>
    <w:p w14:paraId="4D40A3FD" w14:textId="77777777" w:rsidR="001C3C9B" w:rsidRPr="00FE66BB" w:rsidRDefault="001C3C9B" w:rsidP="001C3C9B">
      <w:pPr>
        <w:spacing w:after="120" w:line="276" w:lineRule="auto"/>
        <w:ind w:firstLine="708"/>
        <w:jc w:val="both"/>
        <w:rPr>
          <w:rFonts w:ascii="Verdana" w:eastAsia="Calibri" w:hAnsi="Verdana" w:cs="Arial"/>
          <w:color w:val="000000"/>
          <w:lang w:eastAsia="es-MX"/>
        </w:rPr>
      </w:pPr>
      <w:r w:rsidRPr="00FE66BB">
        <w:rPr>
          <w:rFonts w:ascii="Verdana" w:eastAsia="Calibri" w:hAnsi="Verdana" w:cs="Arial"/>
          <w:color w:val="000000"/>
          <w:lang w:eastAsia="es-MX"/>
        </w:rPr>
        <w:t xml:space="preserve">De acuerdo con la definición del Subgrupo de Ocupación Institucional y las edificaciones que este comprende, dentro de este se encuentran las </w:t>
      </w:r>
      <w:r w:rsidRPr="00FE66BB">
        <w:rPr>
          <w:rFonts w:ascii="Verdana" w:eastAsia="Calibri" w:hAnsi="Verdana" w:cs="Arial"/>
          <w:color w:val="000000"/>
          <w:lang w:eastAsia="es-MX"/>
        </w:rPr>
        <w:lastRenderedPageBreak/>
        <w:t>edificaciones institucionales judiciales, entendidas estas como el lugar físico –edificio, sedes u oficinas– destinados al funcionamiento de los órganos que integran la administración de justicia, tales como tribunales, juzgados, fiscalías y demás entidades que cumplen funciones relacionadas con la actividad judicial y de apoyo a esta</w:t>
      </w:r>
      <w:r w:rsidRPr="00FE66BB">
        <w:rPr>
          <w:rFonts w:ascii="Verdana" w:eastAsia="Calibri" w:hAnsi="Verdana" w:cs="Arial"/>
          <w:color w:val="000000"/>
          <w:vertAlign w:val="superscript"/>
          <w:lang w:eastAsia="es-MX"/>
        </w:rPr>
        <w:footnoteReference w:id="4"/>
      </w:r>
      <w:r w:rsidRPr="00FE66BB">
        <w:rPr>
          <w:rFonts w:ascii="Verdana" w:eastAsia="Calibri" w:hAnsi="Verdana" w:cs="Arial"/>
          <w:color w:val="000000"/>
          <w:lang w:eastAsia="es-MX"/>
        </w:rPr>
        <w:t xml:space="preserve">. </w:t>
      </w:r>
    </w:p>
    <w:p w14:paraId="43E00491" w14:textId="77777777" w:rsidR="001C3C9B" w:rsidRPr="00FE66BB" w:rsidRDefault="001C3C9B" w:rsidP="001C3C9B">
      <w:pPr>
        <w:spacing w:after="120" w:line="278" w:lineRule="auto"/>
        <w:ind w:firstLine="708"/>
        <w:jc w:val="both"/>
        <w:rPr>
          <w:rFonts w:ascii="Verdana" w:eastAsia="Calibri" w:hAnsi="Verdana" w:cs="Arial"/>
          <w:color w:val="000000"/>
          <w:lang w:eastAsia="es-MX"/>
        </w:rPr>
      </w:pPr>
      <w:r w:rsidRPr="00FE66BB">
        <w:rPr>
          <w:rFonts w:ascii="Verdana" w:eastAsia="Calibri" w:hAnsi="Verdana" w:cs="Arial"/>
          <w:color w:val="000000"/>
          <w:lang w:eastAsia="es-MX"/>
        </w:rPr>
        <w:t>Considerando que el Instituto Nacional de Medicina Legal y Ciencias Forenses pertenece a la Rama Judicial y se encuentra adscrito a la Fiscalía General de la Nación</w:t>
      </w:r>
      <w:r w:rsidRPr="00FE66BB">
        <w:rPr>
          <w:rFonts w:ascii="Verdana" w:eastAsia="Calibri" w:hAnsi="Verdana" w:cs="Arial"/>
          <w:color w:val="000000"/>
          <w:vertAlign w:val="superscript"/>
          <w:lang w:eastAsia="es-MX"/>
        </w:rPr>
        <w:footnoteReference w:id="5"/>
      </w:r>
      <w:r w:rsidRPr="00FE66BB">
        <w:rPr>
          <w:rFonts w:ascii="Verdana" w:eastAsia="Calibri" w:hAnsi="Verdana" w:cs="Arial"/>
          <w:color w:val="000000"/>
          <w:lang w:eastAsia="es-MX"/>
        </w:rPr>
        <w:t xml:space="preserve">, y que su </w:t>
      </w:r>
      <w:r w:rsidRPr="00FE66BB">
        <w:rPr>
          <w:rFonts w:ascii="Verdana" w:eastAsia="Calibri" w:hAnsi="Verdana" w:cs="Arial"/>
          <w:i/>
          <w:iCs/>
          <w:color w:val="000000"/>
          <w:lang w:eastAsia="es-MX"/>
        </w:rPr>
        <w:t>“(…) misión</w:t>
      </w:r>
      <w:r w:rsidRPr="00FE66BB">
        <w:rPr>
          <w:rFonts w:ascii="Verdana" w:eastAsia="Aptos" w:hAnsi="Verdana" w:cs="Times New Roman"/>
          <w:i/>
          <w:iCs/>
          <w:color w:val="000000"/>
          <w:kern w:val="2"/>
          <w:shd w:val="clear" w:color="auto" w:fill="FFFFFF"/>
          <w14:ligatures w14:val="standardContextual"/>
        </w:rPr>
        <w:t xml:space="preserve"> fundamental (…) es prestar auxilio y soporte científico y técnico a la administración de justicia en todo el territorio nacional, en lo concerniente a medicina legal y las ciencias forenses”</w:t>
      </w:r>
      <w:r w:rsidRPr="00FE66BB">
        <w:rPr>
          <w:rFonts w:ascii="Verdana" w:eastAsia="Calibri" w:hAnsi="Verdana" w:cs="Arial"/>
          <w:i/>
          <w:iCs/>
          <w:color w:val="000000"/>
          <w:vertAlign w:val="superscript"/>
          <w:lang w:eastAsia="es-MX"/>
        </w:rPr>
        <w:footnoteReference w:id="6"/>
      </w:r>
      <w:r w:rsidRPr="00FE66BB">
        <w:rPr>
          <w:rFonts w:ascii="Verdana" w:eastAsia="Calibri" w:hAnsi="Verdana" w:cs="Arial"/>
          <w:i/>
          <w:iCs/>
          <w:color w:val="000000"/>
          <w:lang w:eastAsia="es-MX"/>
        </w:rPr>
        <w:t>;</w:t>
      </w:r>
      <w:r w:rsidRPr="00FE66BB">
        <w:rPr>
          <w:rFonts w:ascii="Verdana" w:eastAsia="Calibri" w:hAnsi="Verdana" w:cs="Arial"/>
          <w:color w:val="000000"/>
          <w:lang w:eastAsia="es-MX"/>
        </w:rPr>
        <w:t xml:space="preserve"> bajo este contexto, las actividades desarrolladas por el Instituto revisten la naturaleza de un servicio asociado a la administración de justicia, en la medida en que realiza labores médico-legales, periciales, científicas, </w:t>
      </w:r>
      <w:proofErr w:type="spellStart"/>
      <w:r w:rsidRPr="00FE66BB">
        <w:rPr>
          <w:rFonts w:ascii="Verdana" w:eastAsia="Calibri" w:hAnsi="Verdana" w:cs="Arial"/>
          <w:color w:val="000000"/>
          <w:lang w:eastAsia="es-MX"/>
        </w:rPr>
        <w:t>extra-periciales</w:t>
      </w:r>
      <w:proofErr w:type="spellEnd"/>
      <w:r w:rsidRPr="00FE66BB">
        <w:rPr>
          <w:rFonts w:ascii="Verdana" w:eastAsia="Calibri" w:hAnsi="Verdana" w:cs="Arial"/>
          <w:color w:val="000000"/>
          <w:lang w:eastAsia="es-MX"/>
        </w:rPr>
        <w:t>, entre otras, requeridas por los jueces, fiscales, policía judicial, defensoría pública y demás autoridades competentes en todo el territorio nacional</w:t>
      </w:r>
      <w:r w:rsidRPr="00FE66BB">
        <w:rPr>
          <w:rFonts w:ascii="Verdana" w:eastAsia="Aptos" w:hAnsi="Verdana" w:cs="Times New Roman"/>
          <w:kern w:val="2"/>
          <w:sz w:val="24"/>
          <w:szCs w:val="24"/>
          <w:vertAlign w:val="superscript"/>
          <w14:ligatures w14:val="standardContextual"/>
        </w:rPr>
        <w:footnoteReference w:id="7"/>
      </w:r>
      <w:r w:rsidRPr="00FE66BB">
        <w:rPr>
          <w:rFonts w:ascii="Verdana" w:eastAsia="Calibri" w:hAnsi="Verdana" w:cs="Arial"/>
          <w:color w:val="000000"/>
          <w:lang w:eastAsia="es-MX"/>
        </w:rPr>
        <w:t xml:space="preserve">. </w:t>
      </w:r>
    </w:p>
    <w:p w14:paraId="041BF87C" w14:textId="77777777" w:rsidR="001C3C9B" w:rsidRPr="00FE66BB" w:rsidRDefault="001C3C9B" w:rsidP="001C3C9B">
      <w:pPr>
        <w:spacing w:after="120" w:line="276" w:lineRule="auto"/>
        <w:ind w:firstLine="708"/>
        <w:jc w:val="both"/>
        <w:rPr>
          <w:rFonts w:ascii="Verdana" w:eastAsia="Calibri" w:hAnsi="Verdana" w:cs="Arial"/>
          <w:color w:val="000000"/>
          <w:lang w:eastAsia="es-MX"/>
        </w:rPr>
      </w:pPr>
      <w:r w:rsidRPr="00FE66BB">
        <w:rPr>
          <w:rFonts w:ascii="Verdana" w:eastAsia="Calibri" w:hAnsi="Verdana" w:cs="Arial"/>
          <w:color w:val="000000"/>
          <w:lang w:eastAsia="es-MX"/>
        </w:rPr>
        <w:t>Considerando la naturaleza jurídica, funcional y misional del Instituto Nacional de Medicina Legal y Ciencias Forenses, así como el uso y la destinación de sus edificaciones, orientadas al ejercicio de funciones asociadas al auxilio y soporte científico y técnico a la administración de justicia, estas deben clasificarse dentro del Subgrupo de Ocupación Institucional de Servicio Público. En consecuencia, les resultan aplicables los documentos tipo del sector institucional, particularmente las actividades contenidas en el capítulo 2 “Obras en proyectos de infraestructura institucional de servicio público”.</w:t>
      </w:r>
    </w:p>
    <w:p w14:paraId="40185D4D" w14:textId="77777777" w:rsidR="001C3C9B" w:rsidRPr="00FE66BB" w:rsidRDefault="001C3C9B" w:rsidP="001C3C9B">
      <w:pPr>
        <w:spacing w:after="120" w:line="276" w:lineRule="auto"/>
        <w:ind w:firstLine="708"/>
        <w:jc w:val="both"/>
        <w:rPr>
          <w:rFonts w:ascii="Verdana" w:eastAsia="Aptos" w:hAnsi="Verdana" w:cs="Aptos"/>
          <w:kern w:val="2"/>
          <w14:ligatures w14:val="standardContextual"/>
        </w:rPr>
      </w:pPr>
      <w:r w:rsidRPr="00FE66BB">
        <w:rPr>
          <w:rFonts w:ascii="Verdana" w:eastAsia="Calibri" w:hAnsi="Verdana" w:cs="Arial"/>
          <w:color w:val="000000"/>
          <w:lang w:eastAsia="es-MX"/>
        </w:rPr>
        <w:t>Ahora bien, aclarado que los documentos tipo del sector institucional,</w:t>
      </w:r>
      <w:r w:rsidRPr="00FE66BB">
        <w:rPr>
          <w:rFonts w:ascii="Verdana" w:eastAsia="Aptos" w:hAnsi="Verdana" w:cs="Aptos"/>
          <w:kern w:val="2"/>
          <w14:ligatures w14:val="standardContextual"/>
        </w:rPr>
        <w:t xml:space="preserve"> específicamente los del capítulo 2 “Obras en proyectos de infraestructura institucional de servicio público”, resultan aplicables a las actividades que </w:t>
      </w:r>
      <w:r w:rsidRPr="00FE66BB">
        <w:rPr>
          <w:rFonts w:ascii="Verdana" w:eastAsia="Aptos" w:hAnsi="Verdana" w:cs="Aptos"/>
          <w:kern w:val="2"/>
          <w14:ligatures w14:val="standardContextual"/>
        </w:rPr>
        <w:lastRenderedPageBreak/>
        <w:t>adelante el Instituto Nacional de Medicina Legal y Ciencias Forenses sobre sus sedes, conviene referirse puntualmente al segundo problema jurídico planteado en este concepto, en el cual se indaga si resulta obligatoria la aplicación de los pliegos tipo en procesos cuyo objeto corresponda a la construcción de sedes de dicha entidad que incluyan componentes especializados, tales como morgues, laboratorios forenses, salas de atención al público, áreas administrativas y zonas comunes.</w:t>
      </w:r>
    </w:p>
    <w:p w14:paraId="01C02BEB" w14:textId="77777777" w:rsidR="001C3C9B" w:rsidRPr="00FE66BB" w:rsidRDefault="001C3C9B" w:rsidP="001C3C9B">
      <w:pPr>
        <w:spacing w:after="120" w:line="278" w:lineRule="auto"/>
        <w:ind w:firstLine="708"/>
        <w:jc w:val="both"/>
        <w:rPr>
          <w:rFonts w:ascii="Verdana" w:eastAsia="Aptos" w:hAnsi="Verdana" w:cs="Aptos"/>
          <w:kern w:val="2"/>
          <w14:ligatures w14:val="standardContextual"/>
        </w:rPr>
      </w:pPr>
      <w:r w:rsidRPr="00FE66BB">
        <w:rPr>
          <w:rFonts w:ascii="Verdana" w:eastAsia="Aptos" w:hAnsi="Verdana" w:cs="Aptos"/>
          <w:kern w:val="2"/>
          <w14:ligatures w14:val="standardContextual"/>
        </w:rPr>
        <w:t xml:space="preserve">Sobre el particular, la </w:t>
      </w:r>
      <w:r w:rsidRPr="00356C7C">
        <w:rPr>
          <w:rFonts w:ascii="Verdana" w:eastAsia="Aptos" w:hAnsi="Verdana" w:cs="Aptos"/>
          <w:kern w:val="2"/>
          <w14:ligatures w14:val="standardContextual"/>
        </w:rPr>
        <w:t>Agencia Nacional de Contratación Pública – Colombia Compra Eficiente</w:t>
      </w:r>
      <w:r w:rsidRPr="00FE66BB">
        <w:rPr>
          <w:rFonts w:ascii="Verdana" w:eastAsia="Aptos" w:hAnsi="Verdana" w:cs="Aptos"/>
          <w:kern w:val="2"/>
          <w14:ligatures w14:val="standardContextual"/>
        </w:rPr>
        <w:t xml:space="preserve"> le informa que, para efectos de la construcción de las sedes del </w:t>
      </w:r>
      <w:r w:rsidRPr="00356C7C">
        <w:rPr>
          <w:rFonts w:ascii="Verdana" w:eastAsia="Aptos" w:hAnsi="Verdana" w:cs="Aptos"/>
          <w:kern w:val="2"/>
          <w14:ligatures w14:val="standardContextual"/>
        </w:rPr>
        <w:t>Instituto Nacional de Medicina Legal y Ciencias Forenses</w:t>
      </w:r>
      <w:r w:rsidRPr="00FE66BB">
        <w:rPr>
          <w:rFonts w:ascii="Verdana" w:eastAsia="Aptos" w:hAnsi="Verdana" w:cs="Aptos"/>
          <w:kern w:val="2"/>
          <w14:ligatures w14:val="standardContextual"/>
        </w:rPr>
        <w:t xml:space="preserve">, debe aplicarse la actividad 2.1 contenida en el capítulo 2 “Obras en proyectos de infraestructura institucional de servicio público” de la Matriz 1 – Experiencia del Sector Institucional, considerando que esta corresponde a “PROYECTOS DE CONSTRUCCIÓN Y/O AMPLIACIÓN Y/O RECONSTRUCCIÓN DE INFRAESTRUCTURA DE SERVICIO PUBLICO”. </w:t>
      </w:r>
    </w:p>
    <w:p w14:paraId="44617AC9" w14:textId="77777777" w:rsidR="001C3C9B" w:rsidRPr="00FE66BB" w:rsidRDefault="001C3C9B" w:rsidP="001C3C9B">
      <w:pPr>
        <w:spacing w:after="120" w:line="276" w:lineRule="auto"/>
        <w:ind w:firstLine="708"/>
        <w:jc w:val="both"/>
        <w:rPr>
          <w:rFonts w:ascii="Verdana" w:eastAsia="Aptos" w:hAnsi="Verdana" w:cs="Aptos"/>
          <w:kern w:val="2"/>
          <w14:ligatures w14:val="standardContextual"/>
        </w:rPr>
      </w:pPr>
      <w:r w:rsidRPr="00FE66BB">
        <w:rPr>
          <w:rFonts w:ascii="Verdana" w:eastAsia="Aptos" w:hAnsi="Verdana" w:cs="Aptos"/>
          <w:kern w:val="2"/>
          <w14:ligatures w14:val="standardContextual"/>
        </w:rPr>
        <w:t xml:space="preserve">En ese sentido, la construcción de infraestructura de servicio público que, para este caso, comprende las sedes del Instituto Nacional de Medicina Legal y Ciencias Forenses, deberá adelantarse bajo la actividad anteriormente señalada. En consecuencia, todos los espacios que integren la edificación, tales como áreas administrativas, salas de atención, laboratorios forenses, morgues y demás dependencias requeridas para el cumplimiento de sus funciones institucionales, deberán contratarse bajo la referida actividad. Esto, en consideración a que la incorporación de componentes técnicos o especializados dentro de la infraestructura no modifica la naturaleza principal del proyecto ni desvirtúa su clasificación como infraestructura institucional de servicio público. Por el contrario, dichos espacios constituyen áreas funcionales necesarias para el desarrollo de las funciones misionales del Instituto, relacionadas con el apoyo técnico-científico a la administración de justicia, razón por la cual hacen parte integral de una edificación institucional de carácter judicial y no de otro tipo de infraestructura. </w:t>
      </w:r>
    </w:p>
    <w:p w14:paraId="6AB05580" w14:textId="77777777" w:rsidR="001C3C9B" w:rsidRPr="00FE66BB" w:rsidRDefault="001C3C9B" w:rsidP="001C3C9B">
      <w:pPr>
        <w:spacing w:after="0" w:line="278" w:lineRule="auto"/>
        <w:ind w:firstLine="708"/>
        <w:jc w:val="both"/>
        <w:rPr>
          <w:rFonts w:ascii="Verdana" w:eastAsia="Calibri" w:hAnsi="Verdana" w:cs="Arial"/>
          <w:bCs/>
          <w:color w:val="000000"/>
          <w:kern w:val="2"/>
          <w14:ligatures w14:val="standardContextual"/>
        </w:rPr>
      </w:pPr>
      <w:r w:rsidRPr="00FE66BB">
        <w:rPr>
          <w:rFonts w:ascii="Verdana" w:eastAsia="Aptos" w:hAnsi="Verdana" w:cs="Aptos"/>
          <w:kern w:val="2"/>
          <w14:ligatures w14:val="standardContextual"/>
        </w:rPr>
        <w:t xml:space="preserve">Sin perjuicio de las aclaraciones anteriores, debe advertirse que es la entidad contratante, al momento de adelantar sus actividades de planeación de cada proceso contractual, quien debe determinar si de acuerdo con las particularidades del contrato a ejecutar, este encaja o no dentro de alguna de las actividades de la matriz 1 de cada Documento Tipo, y si en consecuencia </w:t>
      </w:r>
      <w:r w:rsidRPr="00FE66BB">
        <w:rPr>
          <w:rFonts w:ascii="Verdana" w:eastAsia="Aptos" w:hAnsi="Verdana" w:cs="Aptos"/>
          <w:kern w:val="2"/>
          <w14:ligatures w14:val="standardContextual"/>
        </w:rPr>
        <w:lastRenderedPageBreak/>
        <w:t>deben aplicarse o no determinados Documentos Tipo, conforme a los parámetros indicados en este concepto. Lo anterior sin que pueda apartarse de su aplicación cuando materialmente el objeto a contratar corresponde con alguna actividad de contemplada en dicha matriz.</w:t>
      </w:r>
      <w:r w:rsidRPr="00FE66BB">
        <w:rPr>
          <w:rFonts w:ascii="Verdana" w:eastAsia="Times New Roman" w:hAnsi="Verdana" w:cs="Arial"/>
          <w:kern w:val="2"/>
          <w:shd w:val="clear" w:color="auto" w:fill="FFFFFF"/>
          <w:lang w:val="es-ES_tradnl" w:eastAsia="es-ES_tradnl"/>
          <w14:ligatures w14:val="standardContextual"/>
        </w:rPr>
        <w:t xml:space="preserve"> </w:t>
      </w:r>
      <w:r w:rsidRPr="00FE66BB">
        <w:rPr>
          <w:rFonts w:ascii="Verdana" w:eastAsia="Calibri" w:hAnsi="Verdana" w:cs="Arial"/>
          <w:bCs/>
          <w:color w:val="000000"/>
          <w:kern w:val="2"/>
          <w14:ligatures w14:val="standardContextual"/>
        </w:rPr>
        <w:t xml:space="preserve"> </w:t>
      </w:r>
    </w:p>
    <w:p w14:paraId="09CCF03C" w14:textId="77777777" w:rsidR="001C3C9B" w:rsidRPr="00FE66BB" w:rsidRDefault="001C3C9B" w:rsidP="001C3C9B">
      <w:pPr>
        <w:spacing w:after="0" w:line="278" w:lineRule="auto"/>
        <w:ind w:firstLine="708"/>
        <w:jc w:val="both"/>
        <w:rPr>
          <w:rFonts w:ascii="Verdana" w:eastAsia="Calibri" w:hAnsi="Verdana" w:cs="Arial"/>
          <w:bCs/>
          <w:color w:val="000000"/>
          <w:kern w:val="2"/>
          <w14:ligatures w14:val="standardContextual"/>
        </w:rPr>
      </w:pPr>
    </w:p>
    <w:p w14:paraId="1628F462" w14:textId="77777777" w:rsidR="001C3C9B" w:rsidRPr="00FE66BB" w:rsidRDefault="001C3C9B" w:rsidP="001C3C9B">
      <w:pPr>
        <w:spacing w:after="120" w:line="276" w:lineRule="auto"/>
        <w:jc w:val="both"/>
        <w:rPr>
          <w:rFonts w:ascii="Verdana" w:eastAsia="Times New Roman" w:hAnsi="Verdana" w:cs="Times New Roman"/>
          <w:lang w:eastAsia="es-MX"/>
        </w:rPr>
      </w:pPr>
      <w:r>
        <w:rPr>
          <w:rFonts w:ascii="Verdana" w:eastAsia="Calibri" w:hAnsi="Verdana" w:cs="Times New Roman"/>
          <w:lang w:eastAsia="es-MX"/>
        </w:rPr>
        <w:t xml:space="preserve">III). </w:t>
      </w:r>
      <w:r w:rsidRPr="00FE66BB">
        <w:rPr>
          <w:rFonts w:ascii="Verdana" w:eastAsia="Calibri" w:hAnsi="Verdana" w:cs="Arial"/>
          <w:bCs/>
          <w:color w:val="000000"/>
          <w:lang w:eastAsia="es-MX"/>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C340B20" w14:textId="77777777" w:rsidR="001C3C9B" w:rsidRPr="002C01B4" w:rsidRDefault="001C3C9B" w:rsidP="001C3C9B">
      <w:pPr>
        <w:spacing w:after="120" w:line="276" w:lineRule="auto"/>
        <w:ind w:firstLine="708"/>
        <w:jc w:val="both"/>
        <w:rPr>
          <w:rFonts w:ascii="Verdana" w:eastAsia="Calibri" w:hAnsi="Verdana" w:cs="Arial"/>
          <w:bCs/>
          <w:color w:val="000000"/>
          <w:lang w:eastAsia="es-MX"/>
        </w:rPr>
      </w:pPr>
      <w:r w:rsidRPr="00FE66BB">
        <w:rPr>
          <w:rFonts w:ascii="Verdana" w:eastAsia="Calibri" w:hAnsi="Verdana" w:cs="Arial"/>
          <w:bCs/>
          <w:color w:val="000000"/>
          <w:lang w:eastAsia="es-MX"/>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339B94F4" w14:textId="77777777" w:rsidR="001C3C9B" w:rsidRPr="004D7523" w:rsidRDefault="001C3C9B" w:rsidP="001C3C9B">
      <w:pPr>
        <w:numPr>
          <w:ilvl w:val="0"/>
          <w:numId w:val="18"/>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4D7523">
        <w:rPr>
          <w:rFonts w:ascii="Verdana" w:eastAsia="Century Gothic" w:hAnsi="Verdana" w:cs="Century Gothic"/>
          <w:b/>
          <w:bCs/>
          <w:lang w:val="es-ES_tradnl"/>
        </w:rPr>
        <w:t>Referencias normativas, jurisprudenciales y otras fuentes:</w:t>
      </w:r>
    </w:p>
    <w:p w14:paraId="72AE35AC" w14:textId="77777777" w:rsidR="001C3C9B" w:rsidRPr="004D7523" w:rsidRDefault="001C3C9B" w:rsidP="001C3C9B">
      <w:pPr>
        <w:tabs>
          <w:tab w:val="left" w:pos="970"/>
        </w:tabs>
        <w:spacing w:after="0" w:line="276" w:lineRule="auto"/>
        <w:ind w:left="-15840"/>
        <w:jc w:val="both"/>
        <w:rPr>
          <w:rFonts w:ascii="Verdana" w:eastAsia="Calibri" w:hAnsi="Verdana" w:cs="Arial"/>
          <w:b/>
          <w:bCs/>
        </w:rPr>
      </w:pPr>
      <w:r w:rsidRPr="004D7523">
        <w:rPr>
          <w:rFonts w:ascii="Verdana" w:eastAsia="Calibri" w:hAnsi="Verdana" w:cs="Arial"/>
          <w:b/>
          <w:bCs/>
        </w:rPr>
        <w:t>4. Referencias normativas, jurisprudenciales y otras fuentes:</w:t>
      </w:r>
      <w:r w:rsidRPr="004D7523">
        <w:rPr>
          <w:rFonts w:ascii="Verdana" w:eastAsia="Calibri" w:hAnsi="Verdana" w:cs="Arial"/>
          <w:b/>
          <w:bCs/>
        </w:rPr>
        <w:tab/>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1C3C9B" w:rsidRPr="00D56B2A" w14:paraId="6679ED96" w14:textId="77777777" w:rsidTr="00E03CAE">
        <w:trPr>
          <w:trHeight w:val="242"/>
        </w:trPr>
        <w:tc>
          <w:tcPr>
            <w:tcW w:w="8647" w:type="dxa"/>
            <w:tcBorders>
              <w:top w:val="dotted" w:sz="4" w:space="0" w:color="auto"/>
              <w:left w:val="dotted" w:sz="4" w:space="0" w:color="auto"/>
              <w:bottom w:val="dotted" w:sz="4" w:space="0" w:color="auto"/>
              <w:right w:val="dotted" w:sz="4" w:space="0" w:color="auto"/>
            </w:tcBorders>
          </w:tcPr>
          <w:p w14:paraId="204DE9F1" w14:textId="77777777" w:rsidR="001C3C9B" w:rsidRPr="00D56B2A" w:rsidRDefault="001C3C9B" w:rsidP="00E03CAE">
            <w:pPr>
              <w:widowControl w:val="0"/>
              <w:autoSpaceDE w:val="0"/>
              <w:autoSpaceDN w:val="0"/>
              <w:snapToGrid w:val="0"/>
              <w:spacing w:after="120" w:line="276" w:lineRule="auto"/>
              <w:ind w:left="714"/>
              <w:jc w:val="both"/>
              <w:rPr>
                <w:rFonts w:ascii="Verdana" w:eastAsia="Calibri" w:hAnsi="Verdana" w:cs="Arial"/>
                <w:color w:val="3399FF"/>
                <w:lang w:val="es-ES_tradnl"/>
              </w:rPr>
            </w:pPr>
          </w:p>
          <w:p w14:paraId="68149019" w14:textId="77777777" w:rsidR="001C3C9B" w:rsidRPr="00DA2A79" w:rsidRDefault="001C3C9B" w:rsidP="001C3C9B">
            <w:pPr>
              <w:widowControl w:val="0"/>
              <w:numPr>
                <w:ilvl w:val="0"/>
                <w:numId w:val="17"/>
              </w:numPr>
              <w:autoSpaceDE w:val="0"/>
              <w:autoSpaceDN w:val="0"/>
              <w:spacing w:after="160" w:line="276" w:lineRule="auto"/>
              <w:ind w:left="714" w:hanging="357"/>
              <w:jc w:val="both"/>
              <w:rPr>
                <w:rFonts w:ascii="Verdana" w:eastAsia="Calibri" w:hAnsi="Verdana" w:cs="Arial"/>
                <w:lang w:val="es-ES_tradnl" w:eastAsia="es-MX"/>
              </w:rPr>
            </w:pPr>
            <w:r w:rsidRPr="00DA2A79">
              <w:rPr>
                <w:rFonts w:ascii="Verdana" w:eastAsia="Calibri" w:hAnsi="Verdana" w:cs="Arial"/>
                <w:lang w:val="es-ES_tradnl" w:eastAsia="es-MX"/>
              </w:rPr>
              <w:t xml:space="preserve">Ley 2022 de 2020, artículo 1. </w:t>
            </w:r>
          </w:p>
          <w:p w14:paraId="77E90F35" w14:textId="77777777" w:rsidR="001C3C9B" w:rsidRPr="00DA2A79" w:rsidRDefault="001C3C9B" w:rsidP="001C3C9B">
            <w:pPr>
              <w:widowControl w:val="0"/>
              <w:numPr>
                <w:ilvl w:val="0"/>
                <w:numId w:val="17"/>
              </w:numPr>
              <w:autoSpaceDE w:val="0"/>
              <w:autoSpaceDN w:val="0"/>
              <w:spacing w:after="160" w:line="276" w:lineRule="auto"/>
              <w:jc w:val="both"/>
              <w:rPr>
                <w:rFonts w:ascii="Verdana" w:eastAsia="Calibri" w:hAnsi="Verdana" w:cs="Arial"/>
                <w:lang w:eastAsia="es-MX"/>
              </w:rPr>
            </w:pPr>
            <w:r w:rsidRPr="00DA2A79">
              <w:rPr>
                <w:rFonts w:ascii="Verdana" w:eastAsia="Calibri" w:hAnsi="Verdana" w:cs="Arial"/>
                <w:lang w:eastAsia="es-MX"/>
              </w:rPr>
              <w:t>Ley 1150 de 2007, artículo 2.</w:t>
            </w:r>
          </w:p>
          <w:p w14:paraId="42F95552" w14:textId="77777777" w:rsidR="001C3C9B" w:rsidRPr="00C22730" w:rsidRDefault="001C3C9B" w:rsidP="001C3C9B">
            <w:pPr>
              <w:widowControl w:val="0"/>
              <w:numPr>
                <w:ilvl w:val="0"/>
                <w:numId w:val="17"/>
              </w:numPr>
              <w:autoSpaceDE w:val="0"/>
              <w:autoSpaceDN w:val="0"/>
              <w:spacing w:after="120" w:line="276" w:lineRule="auto"/>
              <w:jc w:val="both"/>
              <w:rPr>
                <w:rFonts w:ascii="Verdana" w:hAnsi="Verdana" w:cs="Arial"/>
                <w:color w:val="3399FF"/>
              </w:rPr>
            </w:pPr>
            <w:r w:rsidRPr="00DA2A79">
              <w:rPr>
                <w:rFonts w:ascii="Verdana" w:eastAsia="Calibri" w:hAnsi="Verdana" w:cs="Arial"/>
                <w:lang w:val="es-ES_tradnl" w:eastAsia="es-MX"/>
              </w:rPr>
              <w:t xml:space="preserve">Documentos Tipo. Disponibles en: </w:t>
            </w:r>
            <w:hyperlink r:id="rId12" w:history="1">
              <w:r w:rsidRPr="00DA2A79">
                <w:rPr>
                  <w:rFonts w:ascii="Verdana" w:eastAsia="Calibri" w:hAnsi="Verdana" w:cs="Arial"/>
                  <w:color w:val="0000FF"/>
                  <w:u w:val="single"/>
                  <w:lang w:val="es-ES_tradnl" w:eastAsia="es-MX"/>
                </w:rPr>
                <w:t>https://www.colombiacompra.gov.co/documentos-tipo/documentos-tipo</w:t>
              </w:r>
            </w:hyperlink>
            <w:r w:rsidRPr="00DA2A79">
              <w:rPr>
                <w:rFonts w:ascii="Verdana" w:eastAsia="Calibri" w:hAnsi="Verdana" w:cs="Arial"/>
                <w:lang w:val="es-ES_tradnl" w:eastAsia="es-MX"/>
              </w:rPr>
              <w:t>.</w:t>
            </w:r>
          </w:p>
          <w:p w14:paraId="724B085F" w14:textId="77777777" w:rsidR="001C3C9B" w:rsidRPr="0034004A" w:rsidRDefault="001C3C9B" w:rsidP="001C3C9B">
            <w:pPr>
              <w:widowControl w:val="0"/>
              <w:numPr>
                <w:ilvl w:val="0"/>
                <w:numId w:val="17"/>
              </w:numPr>
              <w:autoSpaceDE w:val="0"/>
              <w:autoSpaceDN w:val="0"/>
              <w:spacing w:after="160" w:line="276" w:lineRule="auto"/>
              <w:contextualSpacing/>
              <w:jc w:val="both"/>
              <w:rPr>
                <w:rFonts w:ascii="Verdana" w:eastAsia="Calibri" w:hAnsi="Verdana" w:cs="Arial"/>
                <w:kern w:val="2"/>
                <w:lang w:eastAsia="es-MX"/>
                <w14:ligatures w14:val="standardContextual"/>
              </w:rPr>
            </w:pPr>
            <w:r w:rsidRPr="0034004A">
              <w:rPr>
                <w:rFonts w:ascii="Verdana" w:eastAsia="Calibri" w:hAnsi="Verdana" w:cs="Arial"/>
                <w:kern w:val="2"/>
                <w:lang w:val="es-ES_tradnl" w:eastAsia="es-MX"/>
                <w14:ligatures w14:val="standardContextual"/>
              </w:rPr>
              <w:t>Reglamento Colombiano de Construcción Sismo Resistente NSR-10</w:t>
            </w:r>
          </w:p>
          <w:p w14:paraId="438D1FB2" w14:textId="77777777" w:rsidR="001C3C9B" w:rsidRPr="0034004A" w:rsidRDefault="001C3C9B" w:rsidP="001C3C9B">
            <w:pPr>
              <w:widowControl w:val="0"/>
              <w:numPr>
                <w:ilvl w:val="0"/>
                <w:numId w:val="17"/>
              </w:numPr>
              <w:autoSpaceDE w:val="0"/>
              <w:autoSpaceDN w:val="0"/>
              <w:spacing w:after="160" w:line="276" w:lineRule="auto"/>
              <w:contextualSpacing/>
              <w:jc w:val="both"/>
              <w:rPr>
                <w:rFonts w:ascii="Verdana" w:eastAsia="Calibri" w:hAnsi="Verdana" w:cs="Arial"/>
                <w:kern w:val="2"/>
                <w:lang w:eastAsia="es-MX"/>
                <w14:ligatures w14:val="standardContextual"/>
              </w:rPr>
            </w:pPr>
            <w:r w:rsidRPr="0034004A">
              <w:rPr>
                <w:rFonts w:ascii="Verdana" w:eastAsia="Aptos" w:hAnsi="Verdana" w:cs="Arial"/>
                <w:kern w:val="2"/>
                <w14:ligatures w14:val="standardContextual"/>
              </w:rPr>
              <w:lastRenderedPageBreak/>
              <w:t>PODETTI, Humberto. El contrato de construcción. Buenos Aires: Astrea, 2004. Pp. 254-255.</w:t>
            </w:r>
          </w:p>
          <w:p w14:paraId="1805BAD2" w14:textId="77777777" w:rsidR="001C3C9B" w:rsidRPr="00D56B2A" w:rsidRDefault="001C3C9B" w:rsidP="001C3C9B">
            <w:pPr>
              <w:widowControl w:val="0"/>
              <w:numPr>
                <w:ilvl w:val="0"/>
                <w:numId w:val="17"/>
              </w:numPr>
              <w:autoSpaceDE w:val="0"/>
              <w:autoSpaceDN w:val="0"/>
              <w:spacing w:after="120" w:line="276" w:lineRule="auto"/>
              <w:jc w:val="both"/>
              <w:rPr>
                <w:rFonts w:ascii="Verdana" w:hAnsi="Verdana" w:cs="Arial"/>
                <w:color w:val="3399FF"/>
              </w:rPr>
            </w:pPr>
            <w:r w:rsidRPr="0034004A">
              <w:rPr>
                <w:rFonts w:ascii="Verdana" w:eastAsia="Aptos" w:hAnsi="Verdana" w:cs="Arial"/>
                <w:kern w:val="2"/>
                <w14:ligatures w14:val="standardContextual"/>
              </w:rPr>
              <w:t>PLANIOL, Marcel &amp; RIPERT, Jeorge. Tratado práctico de derecho civil francés. Tomo XI. La Habana: Cultural SA, 1940. p. 163.</w:t>
            </w:r>
          </w:p>
          <w:p w14:paraId="2EDCC4E2" w14:textId="77777777" w:rsidR="001C3C9B" w:rsidRPr="00D56B2A" w:rsidRDefault="001C3C9B" w:rsidP="00E03CAE">
            <w:pPr>
              <w:widowControl w:val="0"/>
              <w:autoSpaceDE w:val="0"/>
              <w:autoSpaceDN w:val="0"/>
              <w:spacing w:after="120" w:line="276" w:lineRule="auto"/>
              <w:ind w:left="720"/>
              <w:jc w:val="both"/>
              <w:rPr>
                <w:rFonts w:ascii="Verdana" w:hAnsi="Verdana" w:cs="Arial"/>
                <w:color w:val="3399FF"/>
              </w:rPr>
            </w:pPr>
          </w:p>
        </w:tc>
      </w:tr>
    </w:tbl>
    <w:p w14:paraId="6E9C8B60" w14:textId="77777777" w:rsidR="001C3C9B" w:rsidRPr="00155CC1" w:rsidRDefault="001C3C9B" w:rsidP="001C3C9B">
      <w:pPr>
        <w:tabs>
          <w:tab w:val="left" w:pos="142"/>
          <w:tab w:val="left" w:pos="284"/>
        </w:tabs>
        <w:spacing w:after="0" w:line="276" w:lineRule="auto"/>
        <w:jc w:val="both"/>
        <w:rPr>
          <w:rFonts w:ascii="Verdana" w:eastAsia="Calibri" w:hAnsi="Verdana" w:cs="Arial"/>
          <w:color w:val="6699FF"/>
        </w:rPr>
      </w:pPr>
    </w:p>
    <w:p w14:paraId="069BD3B2" w14:textId="77777777" w:rsidR="001C3C9B" w:rsidRPr="0026211F" w:rsidRDefault="001C3C9B" w:rsidP="001C3C9B">
      <w:pPr>
        <w:tabs>
          <w:tab w:val="left" w:pos="142"/>
          <w:tab w:val="left" w:pos="284"/>
        </w:tabs>
        <w:spacing w:after="0" w:line="276" w:lineRule="auto"/>
        <w:jc w:val="both"/>
        <w:rPr>
          <w:rFonts w:ascii="Verdana" w:eastAsia="Century Gothic" w:hAnsi="Verdana" w:cs="Century Gothic"/>
          <w:b/>
          <w:bCs/>
          <w:lang w:val="es-ES"/>
        </w:rPr>
      </w:pPr>
      <w:r w:rsidRPr="0026211F">
        <w:rPr>
          <w:rFonts w:ascii="Verdana" w:eastAsia="Calibri" w:hAnsi="Verdana" w:cs="Arial"/>
          <w:b/>
          <w:bCs/>
        </w:rPr>
        <w:t>5</w:t>
      </w:r>
      <w:r w:rsidRPr="0026211F">
        <w:rPr>
          <w:rFonts w:ascii="Verdana" w:eastAsia="Calibri" w:hAnsi="Verdana" w:cs="Arial"/>
        </w:rPr>
        <w:t>.</w:t>
      </w:r>
      <w:r w:rsidRPr="0026211F">
        <w:rPr>
          <w:rFonts w:ascii="Verdana" w:eastAsia="Century Gothic" w:hAnsi="Verdana" w:cs="Century Gothic"/>
          <w:b/>
          <w:bCs/>
          <w:lang w:val="es-ES"/>
        </w:rPr>
        <w:t>Doctrina de la Agencia Nacional de Contratación Pública:</w:t>
      </w:r>
    </w:p>
    <w:p w14:paraId="231503D8" w14:textId="77777777" w:rsidR="001C3C9B" w:rsidRPr="00DA2A79" w:rsidRDefault="001C3C9B" w:rsidP="001C3C9B">
      <w:pPr>
        <w:widowControl w:val="0"/>
        <w:autoSpaceDE w:val="0"/>
        <w:autoSpaceDN w:val="0"/>
        <w:spacing w:after="0" w:line="276" w:lineRule="auto"/>
        <w:jc w:val="both"/>
        <w:rPr>
          <w:rFonts w:ascii="Verdana" w:eastAsia="Calibri" w:hAnsi="Verdana" w:cs="Arial"/>
          <w:lang w:eastAsia="es-MX"/>
        </w:rPr>
      </w:pPr>
    </w:p>
    <w:p w14:paraId="78414770" w14:textId="77777777" w:rsidR="001C3C9B" w:rsidRPr="00C15B51" w:rsidRDefault="001C3C9B" w:rsidP="001C3C9B">
      <w:pPr>
        <w:spacing w:after="0" w:line="276" w:lineRule="auto"/>
        <w:jc w:val="both"/>
        <w:rPr>
          <w:rFonts w:ascii="Verdana" w:eastAsia="Calibri" w:hAnsi="Verdana" w:cs="Arial"/>
          <w:shd w:val="clear" w:color="auto" w:fill="FFFFFF"/>
          <w:lang w:val="es-ES" w:eastAsia="es-MX"/>
        </w:rPr>
      </w:pPr>
      <w:r w:rsidRPr="00FE66BB">
        <w:rPr>
          <w:rFonts w:ascii="Verdana" w:eastAsia="Calibri" w:hAnsi="Verdana" w:cs="Arial"/>
          <w:shd w:val="clear" w:color="auto" w:fill="FFFFFF"/>
          <w:lang w:val="es-ES" w:eastAsia="es-MX"/>
        </w:rPr>
        <w:t>La Agencia Nacional de Contratación Pública – Colombia Compra Eficiente se pronunció</w:t>
      </w:r>
      <w:r w:rsidRPr="00FE66BB">
        <w:rPr>
          <w:rFonts w:ascii="Verdana" w:eastAsia="Calibri" w:hAnsi="Verdana" w:cs="Times New Roman"/>
          <w:lang w:eastAsia="es-MX"/>
        </w:rPr>
        <w:t xml:space="preserve"> </w:t>
      </w:r>
      <w:r w:rsidRPr="00FE66BB">
        <w:rPr>
          <w:rFonts w:ascii="Verdana" w:eastAsia="Calibri" w:hAnsi="Verdana" w:cs="Arial"/>
          <w:shd w:val="clear" w:color="auto" w:fill="FFFFFF"/>
          <w:lang w:val="es-ES" w:eastAsia="es-MX"/>
        </w:rPr>
        <w:t>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FE66BB">
        <w:rPr>
          <w:rFonts w:ascii="Verdana" w:eastAsia="Calibri" w:hAnsi="Verdana" w:cs="Arial"/>
          <w:shd w:val="clear" w:color="auto" w:fill="FFFFFF"/>
          <w:lang w:val="es-ES" w:eastAsia="es-MX"/>
        </w:rPr>
        <w:tab/>
        <w:t>C-636 del 1 de noviembre de 2024, C-777 del 9 de diciembre de 2024, C-971 del 21 de enero de 2025 y C-1813 del 31 de diciembre de 2025, entre otros. Concretamente, sobre los documentos tipo del sector institucional, esta Agencia se pronunció en los conceptos C-258 del 19 de marzo de 2026, C-385 del 15 de abril, C-392 del 20 de abril de 2026, C-583 del 8 de mayo de 2026</w:t>
      </w:r>
      <w:r>
        <w:rPr>
          <w:rFonts w:ascii="Verdana" w:eastAsia="Calibri" w:hAnsi="Verdana" w:cs="Arial"/>
          <w:shd w:val="clear" w:color="auto" w:fill="FFFFFF"/>
          <w:lang w:val="es-ES" w:eastAsia="es-MX"/>
        </w:rPr>
        <w:t xml:space="preserve">, </w:t>
      </w:r>
      <w:r w:rsidRPr="00FE66BB">
        <w:rPr>
          <w:rFonts w:ascii="Verdana" w:eastAsia="Calibri" w:hAnsi="Verdana" w:cs="Arial"/>
          <w:shd w:val="clear" w:color="auto" w:fill="FFFFFF"/>
          <w:lang w:val="es-ES" w:eastAsia="es-MX"/>
        </w:rPr>
        <w:t>C-682 del 22 de mayo de 2026</w:t>
      </w:r>
      <w:r>
        <w:rPr>
          <w:rFonts w:ascii="Verdana" w:eastAsia="Calibri" w:hAnsi="Verdana" w:cs="Arial"/>
          <w:shd w:val="clear" w:color="auto" w:fill="FFFFFF"/>
          <w:lang w:val="es-ES" w:eastAsia="es-MX"/>
        </w:rPr>
        <w:t xml:space="preserve">, C-720 del 05 de junio de 2026, C-764 del </w:t>
      </w:r>
      <w:r w:rsidRPr="008E77F5">
        <w:rPr>
          <w:rFonts w:ascii="Verdana" w:eastAsia="Calibri" w:hAnsi="Verdana" w:cs="Arial"/>
          <w:shd w:val="clear" w:color="auto" w:fill="FFFFFF"/>
          <w:lang w:val="es-ES" w:eastAsia="es-MX"/>
        </w:rPr>
        <w:t>17 de junio de 2026</w:t>
      </w:r>
      <w:r>
        <w:rPr>
          <w:rFonts w:ascii="Verdana" w:eastAsia="Calibri" w:hAnsi="Verdana" w:cs="Arial"/>
          <w:shd w:val="clear" w:color="auto" w:fill="FFFFFF"/>
          <w:lang w:val="es-ES" w:eastAsia="es-MX"/>
        </w:rPr>
        <w:t xml:space="preserve"> y entre otros.</w:t>
      </w:r>
      <w:r w:rsidRPr="00FE66BB">
        <w:rPr>
          <w:rFonts w:ascii="Verdana" w:eastAsia="Calibri" w:hAnsi="Verdana" w:cs="Arial"/>
          <w:shd w:val="clear" w:color="auto" w:fill="FFFFFF"/>
          <w:lang w:val="es-ES" w:eastAsia="es-MX"/>
        </w:rPr>
        <w:t xml:space="preserve"> </w:t>
      </w:r>
    </w:p>
    <w:p w14:paraId="7B5E88F2" w14:textId="77777777" w:rsidR="001C3C9B" w:rsidRDefault="001C3C9B" w:rsidP="001C3C9B">
      <w:pPr>
        <w:spacing w:after="0" w:line="276" w:lineRule="auto"/>
        <w:jc w:val="both"/>
        <w:rPr>
          <w:rFonts w:ascii="Verdana" w:eastAsia="Calibri" w:hAnsi="Verdana" w:cs="Arial"/>
          <w:lang w:val="es-ES"/>
        </w:rPr>
      </w:pPr>
    </w:p>
    <w:p w14:paraId="74B8B674" w14:textId="77777777" w:rsidR="001C3C9B" w:rsidRPr="003C2A6A" w:rsidRDefault="001C3C9B" w:rsidP="001C3C9B">
      <w:pPr>
        <w:spacing w:after="0" w:line="276" w:lineRule="auto"/>
        <w:jc w:val="both"/>
        <w:rPr>
          <w:rFonts w:ascii="Verdana" w:eastAsia="Calibri" w:hAnsi="Verdana" w:cs="Arial"/>
        </w:rPr>
      </w:pPr>
      <w:r w:rsidRPr="00240C45">
        <w:rPr>
          <w:rFonts w:ascii="Verdana" w:eastAsia="Calibri" w:hAnsi="Verdana" w:cs="Arial"/>
        </w:rPr>
        <w:t xml:space="preserve">Estos y otros conceptos se encuentran disponibles para consulta en el Sistema de relatoría de la Agencia, al cual se puede acceder a través del siguiente enlace: </w:t>
      </w:r>
      <w:hyperlink r:id="rId13" w:history="1">
        <w:r w:rsidRPr="00DE636B">
          <w:rPr>
            <w:rStyle w:val="Hipervnculo"/>
            <w:rFonts w:ascii="Verdana" w:eastAsia="Calibri" w:hAnsi="Verdana" w:cs="Arial"/>
          </w:rPr>
          <w:t>https://relatoria.colombiacompra.gov.co/busqueda/conceptos</w:t>
        </w:r>
      </w:hyperlink>
      <w:r w:rsidRPr="00240C45">
        <w:rPr>
          <w:rFonts w:ascii="Verdana" w:eastAsia="Calibri" w:hAnsi="Verdana" w:cs="Arial"/>
        </w:rPr>
        <w:t>.</w:t>
      </w:r>
    </w:p>
    <w:p w14:paraId="6D3C7ACC" w14:textId="77777777" w:rsidR="001C3C9B" w:rsidRPr="00EF54B1" w:rsidRDefault="001C3C9B" w:rsidP="001C3C9B">
      <w:pPr>
        <w:spacing w:after="0" w:line="240" w:lineRule="auto"/>
        <w:jc w:val="both"/>
        <w:rPr>
          <w:rFonts w:ascii="Verdana" w:eastAsia="Calibri" w:hAnsi="Verdana" w:cs="Arial"/>
          <w:color w:val="000000" w:themeColor="text1"/>
          <w:shd w:val="clear" w:color="auto" w:fill="FFFFFF"/>
        </w:rPr>
      </w:pPr>
    </w:p>
    <w:p w14:paraId="443FCB49" w14:textId="77777777" w:rsidR="001C3C9B" w:rsidRDefault="001C3C9B" w:rsidP="001C3C9B">
      <w:pPr>
        <w:widowControl w:val="0"/>
        <w:autoSpaceDE w:val="0"/>
        <w:autoSpaceDN w:val="0"/>
        <w:spacing w:after="0" w:line="276" w:lineRule="auto"/>
        <w:jc w:val="both"/>
        <w:rPr>
          <w:rFonts w:ascii="Verdana" w:eastAsia="Calibri" w:hAnsi="Verdana" w:cs="Arial"/>
          <w:color w:val="000000" w:themeColor="text1"/>
          <w:kern w:val="2"/>
          <w:shd w:val="clear" w:color="auto" w:fill="FFFFFF"/>
          <w:lang w:val="es-ES_tradnl"/>
          <w14:ligatures w14:val="standardContextual"/>
        </w:rPr>
      </w:pPr>
      <w:r w:rsidRPr="00EF54B1">
        <w:rPr>
          <w:rFonts w:ascii="Verdana" w:eastAsia="Calibri" w:hAnsi="Verdana" w:cs="Arial"/>
          <w:color w:val="000000" w:themeColor="text1"/>
          <w:kern w:val="2"/>
          <w:shd w:val="clear" w:color="auto" w:fill="FFFFFF"/>
          <w:lang w:val="es-ES_tradnl"/>
          <w14:ligatures w14:val="standardContextual"/>
        </w:rPr>
        <w:t>La</w:t>
      </w:r>
      <w:r w:rsidRPr="00EF54B1">
        <w:rPr>
          <w:rFonts w:ascii="Verdana" w:eastAsia="Calibri" w:hAnsi="Verdana" w:cs="Arial"/>
          <w:b/>
          <w:bCs/>
          <w:color w:val="000000" w:themeColor="text1"/>
          <w:kern w:val="2"/>
          <w:shd w:val="clear" w:color="auto" w:fill="FFFFFF"/>
          <w:lang w:val="es-ES_tradnl"/>
          <w14:ligatures w14:val="standardContextual"/>
        </w:rPr>
        <w:t xml:space="preserve"> Agencia Nacional de Contratación Pública - Colombia Compra Eficiente</w:t>
      </w:r>
      <w:r w:rsidRPr="00EF54B1">
        <w:rPr>
          <w:rFonts w:ascii="Verdana" w:eastAsia="Calibri" w:hAnsi="Verdana" w:cs="Arial"/>
          <w:color w:val="000000" w:themeColor="text1"/>
          <w:kern w:val="2"/>
          <w:shd w:val="clear" w:color="auto" w:fill="FFFFFF"/>
          <w:lang w:val="es-ES_tradnl"/>
          <w14:ligatures w14:val="standardContextual"/>
        </w:rPr>
        <w:t> recomienda a todas las entidades públicas, independientemente de su naturaleza, que gestionan recursos públicos, la aplicación de los </w:t>
      </w:r>
      <w:r w:rsidRPr="00EF54B1">
        <w:rPr>
          <w:rFonts w:ascii="Verdana" w:eastAsia="Calibri" w:hAnsi="Verdana" w:cs="Arial"/>
          <w:b/>
          <w:bCs/>
          <w:color w:val="000000" w:themeColor="text1"/>
          <w:kern w:val="2"/>
          <w:shd w:val="clear" w:color="auto" w:fill="FFFFFF"/>
          <w:lang w:val="es-ES_tradnl"/>
          <w14:ligatures w14:val="standardContextual"/>
        </w:rPr>
        <w:t>Documentos Tipo</w:t>
      </w:r>
      <w:r w:rsidRPr="00EF54B1">
        <w:rPr>
          <w:rFonts w:ascii="Verdana" w:eastAsia="Calibri" w:hAnsi="Verdana" w:cs="Arial"/>
          <w:color w:val="000000" w:themeColor="text1"/>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EF54B1">
        <w:rPr>
          <w:rFonts w:ascii="Verdana" w:eastAsia="Calibri" w:hAnsi="Verdana" w:cs="Arial"/>
          <w:b/>
          <w:bCs/>
          <w:color w:val="000000" w:themeColor="text1"/>
          <w:kern w:val="2"/>
          <w:shd w:val="clear" w:color="auto" w:fill="FFFFFF"/>
          <w:lang w:val="es-ES_tradnl"/>
          <w14:ligatures w14:val="standardContextual"/>
        </w:rPr>
        <w:t>transparencia</w:t>
      </w:r>
      <w:r w:rsidRPr="00EF54B1">
        <w:rPr>
          <w:rFonts w:ascii="Verdana" w:eastAsia="Calibri" w:hAnsi="Verdana" w:cs="Arial"/>
          <w:color w:val="000000" w:themeColor="text1"/>
          <w:kern w:val="2"/>
          <w:shd w:val="clear" w:color="auto" w:fill="FFFFFF"/>
          <w:lang w:val="es-ES_tradnl"/>
          <w14:ligatures w14:val="standardContextual"/>
        </w:rPr>
        <w:t> y promover un proceso de </w:t>
      </w:r>
      <w:r w:rsidRPr="00EF54B1">
        <w:rPr>
          <w:rFonts w:ascii="Verdana" w:eastAsia="Calibri" w:hAnsi="Verdana" w:cs="Arial"/>
          <w:b/>
          <w:bCs/>
          <w:color w:val="000000" w:themeColor="text1"/>
          <w:kern w:val="2"/>
          <w:shd w:val="clear" w:color="auto" w:fill="FFFFFF"/>
          <w:lang w:val="es-ES_tradnl"/>
          <w14:ligatures w14:val="standardContextual"/>
        </w:rPr>
        <w:t>selección objetiva</w:t>
      </w:r>
      <w:r w:rsidRPr="00EF54B1">
        <w:rPr>
          <w:rFonts w:ascii="Verdana" w:eastAsia="Calibri" w:hAnsi="Verdana" w:cs="Arial"/>
          <w:color w:val="000000" w:themeColor="text1"/>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5E668E01" w14:textId="77777777" w:rsidR="001C3C9B" w:rsidRDefault="001C3C9B" w:rsidP="001C3C9B">
      <w:pPr>
        <w:widowControl w:val="0"/>
        <w:autoSpaceDE w:val="0"/>
        <w:autoSpaceDN w:val="0"/>
        <w:spacing w:after="0" w:line="276" w:lineRule="auto"/>
        <w:jc w:val="both"/>
        <w:rPr>
          <w:rFonts w:ascii="Verdana" w:eastAsia="Calibri" w:hAnsi="Verdana" w:cs="Arial"/>
          <w:color w:val="000000" w:themeColor="text1"/>
          <w:kern w:val="2"/>
          <w:shd w:val="clear" w:color="auto" w:fill="FFFFFF"/>
          <w:lang w:val="es-ES_tradnl"/>
          <w14:ligatures w14:val="standardContextual"/>
        </w:rPr>
      </w:pPr>
    </w:p>
    <w:p w14:paraId="1F629814" w14:textId="77777777" w:rsidR="001C3C9B" w:rsidRPr="00B774CC" w:rsidRDefault="001C3C9B" w:rsidP="001C3C9B">
      <w:pPr>
        <w:widowControl w:val="0"/>
        <w:autoSpaceDE w:val="0"/>
        <w:autoSpaceDN w:val="0"/>
        <w:spacing w:after="0" w:line="276" w:lineRule="auto"/>
        <w:jc w:val="both"/>
        <w:rPr>
          <w:rFonts w:ascii="Verdana" w:eastAsia="Calibri" w:hAnsi="Verdana" w:cs="Arial"/>
          <w:color w:val="000000" w:themeColor="text1"/>
          <w:kern w:val="2"/>
          <w:shd w:val="clear" w:color="auto" w:fill="FFFFFF"/>
          <w14:ligatures w14:val="standardContextual"/>
        </w:rPr>
      </w:pPr>
      <w:r w:rsidRPr="00B774CC">
        <w:rPr>
          <w:rFonts w:ascii="Verdana" w:eastAsia="Calibri" w:hAnsi="Verdana" w:cs="Arial"/>
          <w:color w:val="000000" w:themeColor="text1"/>
          <w:kern w:val="2"/>
          <w:shd w:val="clear" w:color="auto" w:fill="FFFFFF"/>
          <w14:ligatures w14:val="standardContextual"/>
        </w:rPr>
        <w:t>La sostenibilidad no es una opción, es una obligación. Por ello, la Agencia Nacional de Contratación Pública –Colombia Compra Eficiente– te invita a realizar el </w:t>
      </w:r>
      <w:r w:rsidRPr="00B774CC">
        <w:rPr>
          <w:rFonts w:ascii="Verdana" w:eastAsia="Calibri" w:hAnsi="Verdana" w:cs="Arial"/>
          <w:b/>
          <w:bCs/>
          <w:color w:val="000000" w:themeColor="text1"/>
          <w:kern w:val="2"/>
          <w:shd w:val="clear" w:color="auto" w:fill="FFFFFF"/>
          <w14:ligatures w14:val="standardContextual"/>
        </w:rPr>
        <w:t>Curso de Contratación Pública Sostenible y Socialmente Responsable</w:t>
      </w:r>
      <w:r w:rsidRPr="00B774CC">
        <w:rPr>
          <w:rFonts w:ascii="Verdana" w:eastAsia="Calibri" w:hAnsi="Verdana" w:cs="Arial"/>
          <w:color w:val="000000" w:themeColor="text1"/>
          <w:kern w:val="2"/>
          <w:shd w:val="clear" w:color="auto" w:fill="FFFFFF"/>
          <w14:ligatures w14:val="standardContextual"/>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 </w:t>
      </w:r>
      <w:r w:rsidRPr="00B774CC">
        <w:rPr>
          <w:rFonts w:ascii="Verdana" w:eastAsia="Calibri" w:hAnsi="Verdana" w:cs="Arial"/>
          <w:color w:val="000000" w:themeColor="text1"/>
          <w:kern w:val="2"/>
          <w:shd w:val="clear" w:color="auto" w:fill="FFFFFF"/>
          <w14:ligatures w14:val="standardContextual"/>
        </w:rPr>
        <w:br/>
      </w:r>
      <w:hyperlink r:id="rId14" w:tgtFrame="_blank" w:history="1">
        <w:r w:rsidRPr="00B774CC">
          <w:rPr>
            <w:rStyle w:val="Hipervnculo"/>
            <w:rFonts w:ascii="Verdana" w:eastAsia="Calibri" w:hAnsi="Verdana" w:cs="Arial"/>
            <w:kern w:val="2"/>
            <w:shd w:val="clear" w:color="auto" w:fill="FFFFFF"/>
            <w14:ligatures w14:val="standardContextual"/>
          </w:rPr>
          <w:t>https://formacionvirtual.colombiacompra.gov.co/mod/page/view.php?id=3718</w:t>
        </w:r>
      </w:hyperlink>
      <w:r w:rsidRPr="00B774CC">
        <w:rPr>
          <w:rFonts w:ascii="Verdana" w:eastAsia="Calibri" w:hAnsi="Verdana" w:cs="Arial"/>
          <w:color w:val="000000" w:themeColor="text1"/>
          <w:kern w:val="2"/>
          <w:shd w:val="clear" w:color="auto" w:fill="FFFFFF"/>
          <w14:ligatures w14:val="standardContextual"/>
        </w:rPr>
        <w:t> </w:t>
      </w:r>
    </w:p>
    <w:p w14:paraId="2470F755" w14:textId="77777777" w:rsidR="001C3C9B" w:rsidRPr="00B774CC" w:rsidRDefault="001C3C9B" w:rsidP="001C3C9B">
      <w:pPr>
        <w:widowControl w:val="0"/>
        <w:autoSpaceDE w:val="0"/>
        <w:autoSpaceDN w:val="0"/>
        <w:spacing w:after="0" w:line="276" w:lineRule="auto"/>
        <w:jc w:val="both"/>
        <w:rPr>
          <w:rFonts w:ascii="Verdana" w:eastAsia="Calibri" w:hAnsi="Verdana" w:cs="Arial"/>
          <w:color w:val="000000" w:themeColor="text1"/>
          <w:kern w:val="2"/>
          <w:shd w:val="clear" w:color="auto" w:fill="FFFFFF"/>
          <w14:ligatures w14:val="standardContextual"/>
        </w:rPr>
      </w:pPr>
      <w:r w:rsidRPr="00B774CC">
        <w:rPr>
          <w:rFonts w:ascii="Verdana" w:eastAsia="Calibri" w:hAnsi="Verdana" w:cs="Arial"/>
          <w:color w:val="000000" w:themeColor="text1"/>
          <w:kern w:val="2"/>
          <w:shd w:val="clear" w:color="auto" w:fill="FFFFFF"/>
          <w14:ligatures w14:val="standardContextual"/>
        </w:rPr>
        <w:t> </w:t>
      </w:r>
    </w:p>
    <w:p w14:paraId="1CCD36F9" w14:textId="77777777" w:rsidR="001C3C9B" w:rsidRPr="00B774CC" w:rsidRDefault="001C3C9B" w:rsidP="001C3C9B">
      <w:pPr>
        <w:widowControl w:val="0"/>
        <w:autoSpaceDE w:val="0"/>
        <w:autoSpaceDN w:val="0"/>
        <w:spacing w:after="0" w:line="276" w:lineRule="auto"/>
        <w:jc w:val="both"/>
        <w:rPr>
          <w:rFonts w:ascii="Verdana" w:eastAsia="Calibri" w:hAnsi="Verdana" w:cs="Arial"/>
          <w:color w:val="000000" w:themeColor="text1"/>
          <w:kern w:val="2"/>
          <w:shd w:val="clear" w:color="auto" w:fill="FFFFFF"/>
          <w14:ligatures w14:val="standardContextual"/>
        </w:rPr>
      </w:pPr>
      <w:r w:rsidRPr="00B774CC">
        <w:rPr>
          <w:rFonts w:ascii="Verdana" w:eastAsia="Calibri" w:hAnsi="Verdana" w:cs="Arial"/>
          <w:color w:val="000000" w:themeColor="text1"/>
          <w:kern w:val="2"/>
          <w:shd w:val="clear" w:color="auto" w:fill="FFFFFF"/>
          <w14:ligatures w14:val="standardContextual"/>
        </w:rPr>
        <w:t>De otro lado, te contamos que esta Agencia ha da un paso decisivo en la estandarización y modernización del </w:t>
      </w:r>
      <w:r w:rsidRPr="00B774CC">
        <w:rPr>
          <w:rFonts w:ascii="Verdana" w:eastAsia="Calibri" w:hAnsi="Verdana" w:cs="Arial"/>
          <w:b/>
          <w:bCs/>
          <w:color w:val="000000" w:themeColor="text1"/>
          <w:kern w:val="2"/>
          <w:shd w:val="clear" w:color="auto" w:fill="FFFFFF"/>
          <w14:ligatures w14:val="standardContextual"/>
        </w:rPr>
        <w:t>sector  social</w:t>
      </w:r>
      <w:r w:rsidRPr="00B774CC">
        <w:rPr>
          <w:rFonts w:ascii="Verdana" w:eastAsia="Calibri" w:hAnsi="Verdana" w:cs="Arial"/>
          <w:color w:val="000000" w:themeColor="text1"/>
          <w:kern w:val="2"/>
          <w:shd w:val="clear" w:color="auto" w:fill="FFFFFF"/>
          <w14:ligatures w14:val="standardContextual"/>
        </w:rPr>
        <w:t> con la expedición de las </w:t>
      </w:r>
      <w:r w:rsidRPr="00B774CC">
        <w:rPr>
          <w:rFonts w:ascii="Verdana" w:eastAsia="Calibri" w:hAnsi="Verdana" w:cs="Arial"/>
          <w:b/>
          <w:bCs/>
          <w:color w:val="000000" w:themeColor="text1"/>
          <w:kern w:val="2"/>
          <w:shd w:val="clear" w:color="auto" w:fill="FFFFFF"/>
          <w14:ligatures w14:val="standardContextual"/>
        </w:rPr>
        <w:t>Resoluciones 539, 540, 541, 952 y 953 de 2025</w:t>
      </w:r>
      <w:r w:rsidRPr="00B774CC">
        <w:rPr>
          <w:rFonts w:ascii="Verdana" w:eastAsia="Calibri" w:hAnsi="Verdana" w:cs="Arial"/>
          <w:color w:val="000000" w:themeColor="text1"/>
          <w:kern w:val="2"/>
          <w:shd w:val="clear" w:color="auto" w:fill="FFFFFF"/>
          <w14:ligatures w14:val="standardContextual"/>
        </w:rPr>
        <w:t>, </w:t>
      </w:r>
      <w:r w:rsidRPr="00B774CC">
        <w:rPr>
          <w:rFonts w:ascii="Verdana" w:eastAsia="Calibri" w:hAnsi="Verdana" w:cs="Arial"/>
          <w:b/>
          <w:bCs/>
          <w:color w:val="000000" w:themeColor="text1"/>
          <w:kern w:val="2"/>
          <w:shd w:val="clear" w:color="auto" w:fill="FFFFFF"/>
          <w14:ligatures w14:val="standardContextual"/>
        </w:rPr>
        <w:t>mediante las cuales adoptó Documentos Tipo</w:t>
      </w:r>
      <w:r w:rsidRPr="00B774CC">
        <w:rPr>
          <w:rFonts w:ascii="Verdana" w:eastAsia="Calibri" w:hAnsi="Verdana" w:cs="Arial"/>
          <w:color w:val="000000" w:themeColor="text1"/>
          <w:kern w:val="2"/>
          <w:shd w:val="clear" w:color="auto" w:fill="FFFFFF"/>
          <w14:ligatures w14:val="standardContextual"/>
        </w:rPr>
        <w:t> para las modalidades de selección de</w:t>
      </w:r>
      <w:r w:rsidRPr="00B774CC">
        <w:rPr>
          <w:rFonts w:ascii="Verdana" w:eastAsia="Calibri" w:hAnsi="Verdana" w:cs="Arial"/>
          <w:b/>
          <w:bCs/>
          <w:color w:val="000000" w:themeColor="text1"/>
          <w:kern w:val="2"/>
          <w:shd w:val="clear" w:color="auto" w:fill="FFFFFF"/>
          <w14:ligatures w14:val="standardContextual"/>
        </w:rPr>
        <w:t> licitación pública (versión 2), selección abreviada de menor cuantía, mínima cuantía, consultoría e interventoría</w:t>
      </w:r>
      <w:r w:rsidRPr="00B774CC">
        <w:rPr>
          <w:rFonts w:ascii="Verdana" w:eastAsia="Calibri" w:hAnsi="Verdana" w:cs="Arial"/>
          <w:color w:val="000000" w:themeColor="text1"/>
          <w:kern w:val="2"/>
          <w:shd w:val="clear" w:color="auto" w:fill="FFFFFF"/>
          <w14:ligatures w14:val="standardContextual"/>
        </w:rPr>
        <w:t>, promoviendo procesos más transparentes, eficientes  competitivos y sostenibles en sectores estratégicos como educación, salud, cultura, recreación, deporte, institucional y vivienda. Consulta y descarga los documentos aquí: </w:t>
      </w:r>
      <w:hyperlink r:id="rId15" w:tgtFrame="_blank" w:history="1">
        <w:r w:rsidRPr="00B774CC">
          <w:rPr>
            <w:rStyle w:val="Hipervnculo"/>
            <w:rFonts w:ascii="Verdana" w:eastAsia="Calibri" w:hAnsi="Verdana" w:cs="Arial"/>
            <w:kern w:val="2"/>
            <w:shd w:val="clear" w:color="auto" w:fill="FFFFFF"/>
            <w14:ligatures w14:val="standardContextual"/>
          </w:rPr>
          <w:t>https://www.colombiacompra.gov.co/normativa-y-relatoria/documentos-tipo</w:t>
        </w:r>
      </w:hyperlink>
      <w:r w:rsidRPr="00B774CC">
        <w:rPr>
          <w:rFonts w:ascii="Verdana" w:eastAsia="Calibri" w:hAnsi="Verdana" w:cs="Arial"/>
          <w:color w:val="000000" w:themeColor="text1"/>
          <w:kern w:val="2"/>
          <w:shd w:val="clear" w:color="auto" w:fill="FFFFFF"/>
          <w14:ligatures w14:val="standardContextual"/>
        </w:rPr>
        <w:t> </w:t>
      </w:r>
    </w:p>
    <w:p w14:paraId="07C29FB0" w14:textId="77777777" w:rsidR="001C3C9B" w:rsidRPr="00B774CC" w:rsidRDefault="001C3C9B" w:rsidP="001C3C9B">
      <w:pPr>
        <w:widowControl w:val="0"/>
        <w:autoSpaceDE w:val="0"/>
        <w:autoSpaceDN w:val="0"/>
        <w:spacing w:after="0" w:line="276" w:lineRule="auto"/>
        <w:jc w:val="both"/>
        <w:rPr>
          <w:rFonts w:ascii="Verdana" w:eastAsia="Calibri" w:hAnsi="Verdana" w:cs="Arial"/>
          <w:color w:val="000000" w:themeColor="text1"/>
          <w:kern w:val="2"/>
          <w:shd w:val="clear" w:color="auto" w:fill="FFFFFF"/>
          <w14:ligatures w14:val="standardContextual"/>
        </w:rPr>
      </w:pPr>
      <w:r w:rsidRPr="00B774CC">
        <w:rPr>
          <w:rFonts w:ascii="Verdana" w:eastAsia="Calibri" w:hAnsi="Verdana" w:cs="Arial"/>
          <w:color w:val="000000" w:themeColor="text1"/>
          <w:kern w:val="2"/>
          <w:shd w:val="clear" w:color="auto" w:fill="FFFFFF"/>
          <w14:ligatures w14:val="standardContextual"/>
        </w:rPr>
        <w:t> </w:t>
      </w:r>
    </w:p>
    <w:p w14:paraId="5074E360" w14:textId="77777777" w:rsidR="001C3C9B" w:rsidRPr="00B774CC" w:rsidRDefault="001C3C9B" w:rsidP="001C3C9B">
      <w:pPr>
        <w:widowControl w:val="0"/>
        <w:autoSpaceDE w:val="0"/>
        <w:autoSpaceDN w:val="0"/>
        <w:spacing w:after="0" w:line="276" w:lineRule="auto"/>
        <w:jc w:val="both"/>
        <w:rPr>
          <w:rFonts w:ascii="Verdana" w:eastAsia="Calibri" w:hAnsi="Verdana" w:cs="Arial"/>
          <w:color w:val="000000" w:themeColor="text1"/>
          <w:kern w:val="2"/>
          <w:shd w:val="clear" w:color="auto" w:fill="FFFFFF"/>
          <w14:ligatures w14:val="standardContextual"/>
        </w:rPr>
      </w:pPr>
      <w:r w:rsidRPr="00B774CC">
        <w:rPr>
          <w:rFonts w:ascii="Verdana" w:eastAsia="Calibri" w:hAnsi="Verdana" w:cs="Arial"/>
          <w:color w:val="000000" w:themeColor="text1"/>
          <w:kern w:val="2"/>
          <w:shd w:val="clear" w:color="auto" w:fill="FFFFFF"/>
          <w14:ligatures w14:val="standardContextual"/>
        </w:rPr>
        <w:t>Si quieres conocer más sobre la aplicación de Documentos Tipo puedes consultar la última versión de la </w:t>
      </w:r>
      <w:r w:rsidRPr="00B774CC">
        <w:rPr>
          <w:rFonts w:ascii="Verdana" w:eastAsia="Calibri" w:hAnsi="Verdana" w:cs="Arial"/>
          <w:b/>
          <w:bCs/>
          <w:color w:val="000000" w:themeColor="text1"/>
          <w:kern w:val="2"/>
          <w:shd w:val="clear" w:color="auto" w:fill="FFFFFF"/>
          <w14:ligatures w14:val="standardContextual"/>
        </w:rPr>
        <w:t>Guía para la comprensión e implementación de los Documentos Tipo de obra pública de infraestructura de transporte</w:t>
      </w:r>
      <w:r w:rsidRPr="00B774CC">
        <w:rPr>
          <w:rFonts w:ascii="Verdana" w:eastAsia="Calibri" w:hAnsi="Verdana" w:cs="Arial"/>
          <w:color w:val="000000" w:themeColor="text1"/>
          <w:kern w:val="2"/>
          <w:shd w:val="clear" w:color="auto" w:fill="FFFFFF"/>
          <w14:ligatures w14:val="standardContextu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 </w:t>
      </w:r>
      <w:r w:rsidRPr="00B774CC">
        <w:rPr>
          <w:rFonts w:ascii="Verdana" w:eastAsia="Calibri" w:hAnsi="Verdana" w:cs="Arial"/>
          <w:color w:val="000000" w:themeColor="text1"/>
          <w:kern w:val="2"/>
          <w:shd w:val="clear" w:color="auto" w:fill="FFFFFF"/>
          <w14:ligatures w14:val="standardContextual"/>
        </w:rPr>
        <w:br/>
      </w:r>
      <w:hyperlink r:id="rId16" w:tgtFrame="_blank" w:history="1">
        <w:r w:rsidRPr="00B774CC">
          <w:rPr>
            <w:rStyle w:val="Hipervnculo"/>
            <w:rFonts w:ascii="Verdana" w:eastAsia="Calibri" w:hAnsi="Verdana" w:cs="Arial"/>
            <w:kern w:val="2"/>
            <w:shd w:val="clear" w:color="auto" w:fill="FFFFFF"/>
            <w14:ligatures w14:val="standardContextual"/>
          </w:rPr>
          <w:t>https://www.colombiacompra.gov.co/archivos/manual/guia-para-la-comprension-e-implementacion-de-los-documentos-tipo-de-obra-publica-de-infraestructura-de-transporte-bajo-las-diferentes-modalidades-de-contratacion-vigentes</w:t>
        </w:r>
      </w:hyperlink>
      <w:r w:rsidRPr="00B774CC">
        <w:rPr>
          <w:rFonts w:ascii="Verdana" w:eastAsia="Calibri" w:hAnsi="Verdana" w:cs="Arial"/>
          <w:color w:val="000000" w:themeColor="text1"/>
          <w:kern w:val="2"/>
          <w:shd w:val="clear" w:color="auto" w:fill="FFFFFF"/>
          <w14:ligatures w14:val="standardContextual"/>
        </w:rPr>
        <w:t> </w:t>
      </w:r>
    </w:p>
    <w:p w14:paraId="2F43BBCF" w14:textId="77777777" w:rsidR="001C3C9B" w:rsidRPr="00EF54B1" w:rsidRDefault="001C3C9B" w:rsidP="001C3C9B">
      <w:pPr>
        <w:widowControl w:val="0"/>
        <w:autoSpaceDE w:val="0"/>
        <w:autoSpaceDN w:val="0"/>
        <w:spacing w:after="0" w:line="276" w:lineRule="auto"/>
        <w:jc w:val="both"/>
        <w:rPr>
          <w:rFonts w:ascii="Verdana" w:eastAsia="Calibri" w:hAnsi="Verdana" w:cs="Arial"/>
          <w:color w:val="000000" w:themeColor="text1"/>
          <w:kern w:val="2"/>
          <w:shd w:val="clear" w:color="auto" w:fill="FFFFFF"/>
          <w:lang w:val="es-ES_tradnl"/>
          <w14:ligatures w14:val="standardContextual"/>
        </w:rPr>
      </w:pPr>
    </w:p>
    <w:p w14:paraId="5488B72F" w14:textId="77777777" w:rsidR="001C3C9B" w:rsidRPr="009552C8" w:rsidRDefault="001C3C9B" w:rsidP="001C3C9B">
      <w:pPr>
        <w:spacing w:after="0" w:line="240" w:lineRule="auto"/>
        <w:jc w:val="both"/>
        <w:rPr>
          <w:rFonts w:ascii="Verdana" w:eastAsia="Calibri" w:hAnsi="Verdana" w:cs="Times New Roman"/>
          <w:kern w:val="2"/>
          <w14:ligatures w14:val="standardContextual"/>
        </w:rPr>
      </w:pPr>
      <w:r w:rsidRPr="009552C8">
        <w:rPr>
          <w:rFonts w:ascii="Verdana" w:eastAsia="Aptos" w:hAnsi="Verdana" w:cs="Times New Roman"/>
          <w:kern w:val="2"/>
          <w14:ligatures w14:val="standardContextual"/>
        </w:rPr>
        <w:lastRenderedPageBreak/>
        <w:t xml:space="preserve">Por último, lo invitamos a seguirnos en las redes sociales en las cuales se difunde información institucional: </w:t>
      </w:r>
    </w:p>
    <w:p w14:paraId="1BE86EC0" w14:textId="77777777" w:rsidR="001C3C9B" w:rsidRPr="009552C8" w:rsidRDefault="001C3C9B" w:rsidP="001C3C9B">
      <w:pPr>
        <w:spacing w:after="0" w:line="240" w:lineRule="auto"/>
        <w:jc w:val="both"/>
        <w:rPr>
          <w:rFonts w:ascii="Verdana" w:eastAsia="Aptos" w:hAnsi="Verdana" w:cs="Times New Roman"/>
          <w:kern w:val="2"/>
          <w14:ligatures w14:val="standardContextual"/>
        </w:rPr>
      </w:pPr>
    </w:p>
    <w:p w14:paraId="3EED8C13" w14:textId="77777777" w:rsidR="001C3C9B" w:rsidRPr="009552C8" w:rsidRDefault="001C3C9B" w:rsidP="001C3C9B">
      <w:pPr>
        <w:spacing w:after="0" w:line="240" w:lineRule="auto"/>
        <w:jc w:val="both"/>
        <w:rPr>
          <w:rFonts w:ascii="Verdana" w:eastAsia="Aptos" w:hAnsi="Verdana" w:cs="Times New Roman"/>
          <w:kern w:val="2"/>
          <w14:ligatures w14:val="standardContextual"/>
        </w:rPr>
      </w:pPr>
      <w:r w:rsidRPr="009552C8">
        <w:rPr>
          <w:rFonts w:ascii="Verdana" w:eastAsia="Aptos" w:hAnsi="Verdana" w:cs="Times New Roman"/>
          <w:kern w:val="2"/>
          <w14:ligatures w14:val="standardContextual"/>
        </w:rPr>
        <w:t xml:space="preserve">Twitter: </w:t>
      </w:r>
      <w:r w:rsidRPr="007603CE">
        <w:rPr>
          <w:rFonts w:ascii="Verdana" w:eastAsia="Calibri" w:hAnsi="Verdana" w:cs="Times New Roman"/>
          <w:color w:val="0000FF"/>
          <w:kern w:val="2"/>
          <w:u w:val="single"/>
          <w14:ligatures w14:val="standardContextual"/>
        </w:rPr>
        <w:t>@colombiacompra</w:t>
      </w:r>
      <w:r w:rsidRPr="007603CE">
        <w:rPr>
          <w:rFonts w:ascii="Verdana" w:eastAsia="Calibri" w:hAnsi="Verdana" w:cs="Times New Roman"/>
          <w:color w:val="0000FF"/>
          <w:kern w:val="2"/>
          <w14:ligatures w14:val="standardContextual"/>
        </w:rPr>
        <w:t xml:space="preserve"> </w:t>
      </w:r>
    </w:p>
    <w:p w14:paraId="3A2383F4" w14:textId="77777777" w:rsidR="001C3C9B" w:rsidRPr="009552C8" w:rsidRDefault="001C3C9B" w:rsidP="001C3C9B">
      <w:pPr>
        <w:spacing w:after="0" w:line="240" w:lineRule="auto"/>
        <w:jc w:val="both"/>
        <w:rPr>
          <w:rFonts w:ascii="Verdana" w:eastAsia="Aptos" w:hAnsi="Verdana" w:cs="Times New Roman"/>
          <w:kern w:val="2"/>
          <w14:ligatures w14:val="standardContextual"/>
        </w:rPr>
      </w:pPr>
      <w:r w:rsidRPr="009552C8">
        <w:rPr>
          <w:rFonts w:ascii="Verdana" w:eastAsia="Aptos" w:hAnsi="Verdana" w:cs="Times New Roman"/>
          <w:kern w:val="2"/>
          <w14:ligatures w14:val="standardContextual"/>
        </w:rPr>
        <w:t xml:space="preserve">Facebook: </w:t>
      </w:r>
      <w:proofErr w:type="spellStart"/>
      <w:r w:rsidRPr="007603CE">
        <w:rPr>
          <w:rFonts w:ascii="Verdana" w:eastAsia="Calibri" w:hAnsi="Verdana" w:cs="Times New Roman"/>
          <w:color w:val="0000FF"/>
          <w:kern w:val="2"/>
          <w:u w:val="single"/>
          <w14:ligatures w14:val="standardContextual"/>
        </w:rPr>
        <w:t>ColombiaCompraEficiente</w:t>
      </w:r>
      <w:proofErr w:type="spellEnd"/>
    </w:p>
    <w:p w14:paraId="7F89F351" w14:textId="77777777" w:rsidR="001C3C9B" w:rsidRPr="009552C8" w:rsidRDefault="001C3C9B" w:rsidP="001C3C9B">
      <w:pPr>
        <w:spacing w:after="0" w:line="240" w:lineRule="auto"/>
        <w:jc w:val="both"/>
        <w:rPr>
          <w:rFonts w:ascii="Verdana" w:eastAsia="Aptos" w:hAnsi="Verdana" w:cs="Times New Roman"/>
          <w:kern w:val="2"/>
          <w14:ligatures w14:val="standardContextual"/>
        </w:rPr>
      </w:pPr>
      <w:r w:rsidRPr="009552C8">
        <w:rPr>
          <w:rFonts w:ascii="Verdana" w:eastAsia="Aptos" w:hAnsi="Verdana" w:cs="Times New Roman"/>
          <w:kern w:val="2"/>
          <w14:ligatures w14:val="standardContextual"/>
        </w:rPr>
        <w:t xml:space="preserve">LinkedIn: </w:t>
      </w:r>
      <w:r w:rsidRPr="007603CE">
        <w:rPr>
          <w:rFonts w:ascii="Verdana" w:eastAsia="Calibri" w:hAnsi="Verdana" w:cs="Times New Roman"/>
          <w:color w:val="0000FF"/>
          <w:kern w:val="2"/>
          <w:u w:val="single"/>
          <w14:ligatures w14:val="standardContextual"/>
        </w:rPr>
        <w:t>Agencia Nacional de Contratación Pública - Colombia Compra Eficiente</w:t>
      </w:r>
      <w:r w:rsidRPr="007603CE">
        <w:rPr>
          <w:rFonts w:ascii="Verdana" w:eastAsia="Calibri" w:hAnsi="Verdana" w:cs="Times New Roman"/>
          <w:color w:val="0000FF"/>
          <w:kern w:val="2"/>
          <w14:ligatures w14:val="standardContextual"/>
        </w:rPr>
        <w:t xml:space="preserve"> </w:t>
      </w:r>
      <w:r w:rsidRPr="009552C8">
        <w:rPr>
          <w:rFonts w:ascii="Verdana" w:eastAsia="Aptos" w:hAnsi="Verdana" w:cs="Times New Roman"/>
          <w:kern w:val="2"/>
          <w14:ligatures w14:val="standardContextual"/>
        </w:rPr>
        <w:t xml:space="preserve">Instagram: </w:t>
      </w:r>
      <w:r w:rsidRPr="007603CE">
        <w:rPr>
          <w:rFonts w:ascii="Verdana" w:eastAsia="Calibri" w:hAnsi="Verdana" w:cs="Times New Roman"/>
          <w:color w:val="0000FF"/>
          <w:kern w:val="2"/>
          <w:u w:val="single"/>
          <w14:ligatures w14:val="standardContextual"/>
        </w:rPr>
        <w:t>@colombiacompraeficiente_cce</w:t>
      </w:r>
    </w:p>
    <w:p w14:paraId="6A4855CC" w14:textId="77777777" w:rsidR="001C3C9B" w:rsidRPr="005D21BF" w:rsidRDefault="001C3C9B" w:rsidP="001C3C9B">
      <w:pPr>
        <w:widowControl w:val="0"/>
        <w:autoSpaceDE w:val="0"/>
        <w:autoSpaceDN w:val="0"/>
        <w:spacing w:after="0" w:line="276" w:lineRule="auto"/>
        <w:jc w:val="both"/>
        <w:rPr>
          <w:rFonts w:ascii="Verdana" w:eastAsia="Calibri" w:hAnsi="Verdana" w:cs="Arial"/>
          <w:color w:val="000000" w:themeColor="text1"/>
          <w:kern w:val="2"/>
          <w14:ligatures w14:val="standardContextual"/>
        </w:rPr>
      </w:pPr>
    </w:p>
    <w:p w14:paraId="7410582F" w14:textId="77777777" w:rsidR="001C3C9B" w:rsidRDefault="001C3C9B" w:rsidP="001C3C9B">
      <w:pPr>
        <w:widowControl w:val="0"/>
        <w:autoSpaceDE w:val="0"/>
        <w:autoSpaceDN w:val="0"/>
        <w:spacing w:after="0" w:line="276" w:lineRule="auto"/>
        <w:jc w:val="both"/>
        <w:rPr>
          <w:rFonts w:ascii="Verdana" w:eastAsia="Calibri" w:hAnsi="Verdana" w:cs="Arial"/>
          <w:color w:val="000000" w:themeColor="text1"/>
          <w:kern w:val="2"/>
          <w:lang w:val="es-ES_tradnl"/>
          <w14:ligatures w14:val="standardContextual"/>
        </w:rPr>
      </w:pPr>
      <w:r w:rsidRPr="00EF54B1">
        <w:rPr>
          <w:rFonts w:ascii="Verdana" w:eastAsia="Calibri" w:hAnsi="Verdana" w:cs="Arial"/>
          <w:color w:val="000000" w:themeColor="text1"/>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3214048D" w14:textId="77777777" w:rsidR="001C3C9B" w:rsidRPr="00EF54B1" w:rsidRDefault="001C3C9B" w:rsidP="001C3C9B">
      <w:pPr>
        <w:widowControl w:val="0"/>
        <w:autoSpaceDE w:val="0"/>
        <w:autoSpaceDN w:val="0"/>
        <w:spacing w:after="0" w:line="276" w:lineRule="auto"/>
        <w:jc w:val="both"/>
        <w:rPr>
          <w:rFonts w:ascii="Verdana" w:eastAsia="Calibri" w:hAnsi="Verdana" w:cs="Arial"/>
          <w:color w:val="000000" w:themeColor="text1"/>
        </w:rPr>
      </w:pPr>
    </w:p>
    <w:p w14:paraId="44FF6A44" w14:textId="71B45939" w:rsidR="001C3C9B" w:rsidRPr="00EF54B1" w:rsidRDefault="001C3C9B" w:rsidP="001C3C9B">
      <w:pPr>
        <w:spacing w:after="0" w:line="240" w:lineRule="auto"/>
        <w:rPr>
          <w:rFonts w:ascii="Verdana" w:eastAsia="Calibri" w:hAnsi="Verdana" w:cs="Arial"/>
          <w:color w:val="000000" w:themeColor="text1"/>
          <w:lang w:eastAsia="es-CO"/>
        </w:rPr>
      </w:pPr>
      <w:r w:rsidRPr="00EF54B1">
        <w:rPr>
          <w:rFonts w:ascii="Verdana" w:eastAsia="Times New Roman" w:hAnsi="Verdana" w:cs="Arial"/>
          <w:color w:val="000000" w:themeColor="text1"/>
          <w:lang w:eastAsia="es-CO"/>
        </w:rPr>
        <w:t>Atentamente,</w:t>
      </w:r>
      <w:r w:rsidRPr="00EF54B1">
        <w:rPr>
          <w:rFonts w:ascii="Verdana" w:eastAsia="Calibri" w:hAnsi="Verdana" w:cs="Arial"/>
          <w:color w:val="000000" w:themeColor="text1"/>
          <w:lang w:eastAsia="es-CO"/>
        </w:rPr>
        <w:t xml:space="preserve"> </w:t>
      </w:r>
    </w:p>
    <w:p w14:paraId="159C92C4" w14:textId="2ECFC22A" w:rsidR="001C3C9B" w:rsidRDefault="00B84708" w:rsidP="001C3C9B">
      <w:pPr>
        <w:tabs>
          <w:tab w:val="left" w:pos="1320"/>
        </w:tabs>
        <w:rPr>
          <w:noProof/>
        </w:rPr>
      </w:pPr>
      <w:r>
        <w:rPr>
          <w:noProof/>
        </w:rPr>
        <w:drawing>
          <wp:anchor distT="0" distB="0" distL="114300" distR="114300" simplePos="0" relativeHeight="251660288" behindDoc="0" locked="0" layoutInCell="1" allowOverlap="1" wp14:anchorId="0806BECB" wp14:editId="21B4C90E">
            <wp:simplePos x="0" y="0"/>
            <wp:positionH relativeFrom="margin">
              <wp:posOffset>760730</wp:posOffset>
            </wp:positionH>
            <wp:positionV relativeFrom="margin">
              <wp:posOffset>2575560</wp:posOffset>
            </wp:positionV>
            <wp:extent cx="3493135" cy="1297940"/>
            <wp:effectExtent l="0" t="0" r="0" b="0"/>
            <wp:wrapSquare wrapText="bothSides"/>
            <wp:docPr id="158836777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8367770" name="Imagen 1588367770"/>
                    <pic:cNvPicPr/>
                  </pic:nvPicPr>
                  <pic:blipFill>
                    <a:blip r:embed="rId17">
                      <a:extLst>
                        <a:ext uri="{28A0092B-C50C-407E-A947-70E740481C1C}">
                          <a14:useLocalDpi xmlns:a14="http://schemas.microsoft.com/office/drawing/2010/main" val="0"/>
                        </a:ext>
                      </a:extLst>
                    </a:blip>
                    <a:stretch>
                      <a:fillRect/>
                    </a:stretch>
                  </pic:blipFill>
                  <pic:spPr>
                    <a:xfrm>
                      <a:off x="0" y="0"/>
                      <a:ext cx="3493135" cy="1297940"/>
                    </a:xfrm>
                    <a:prstGeom prst="rect">
                      <a:avLst/>
                    </a:prstGeom>
                  </pic:spPr>
                </pic:pic>
              </a:graphicData>
            </a:graphic>
            <wp14:sizeRelH relativeFrom="margin">
              <wp14:pctWidth>0</wp14:pctWidth>
            </wp14:sizeRelH>
            <wp14:sizeRelV relativeFrom="margin">
              <wp14:pctHeight>0</wp14:pctHeight>
            </wp14:sizeRelV>
          </wp:anchor>
        </w:drawing>
      </w:r>
    </w:p>
    <w:p w14:paraId="32B7176F" w14:textId="613794B1" w:rsidR="001C3C9B" w:rsidRDefault="001C3C9B" w:rsidP="001C3C9B">
      <w:pPr>
        <w:tabs>
          <w:tab w:val="left" w:pos="1320"/>
        </w:tabs>
        <w:rPr>
          <w:noProof/>
        </w:rPr>
      </w:pPr>
    </w:p>
    <w:p w14:paraId="350AD9F0" w14:textId="09D9B504" w:rsidR="001C3C9B" w:rsidRDefault="001C3C9B" w:rsidP="001C3C9B">
      <w:pPr>
        <w:tabs>
          <w:tab w:val="left" w:pos="1320"/>
        </w:tabs>
        <w:rPr>
          <w:rFonts w:ascii="Verdana" w:eastAsia="Verdana" w:hAnsi="Verdana" w:cs="Verdana"/>
          <w:noProof/>
          <w:color w:val="000000" w:themeColor="text1"/>
        </w:rPr>
      </w:pPr>
    </w:p>
    <w:p w14:paraId="7C579324" w14:textId="335986D8" w:rsidR="001C3C9B" w:rsidRDefault="001C3C9B" w:rsidP="001C3C9B">
      <w:pPr>
        <w:tabs>
          <w:tab w:val="left" w:pos="1320"/>
        </w:tabs>
        <w:rPr>
          <w:rFonts w:ascii="Verdana" w:eastAsia="Verdana" w:hAnsi="Verdana" w:cs="Verdana"/>
          <w:noProof/>
          <w:color w:val="000000" w:themeColor="text1"/>
        </w:rPr>
      </w:pPr>
    </w:p>
    <w:p w14:paraId="46B4CCCE" w14:textId="2F15C293" w:rsidR="001C3C9B" w:rsidRDefault="001C3C9B" w:rsidP="001C3C9B">
      <w:pPr>
        <w:tabs>
          <w:tab w:val="left" w:pos="1320"/>
        </w:tabs>
        <w:rPr>
          <w:rFonts w:ascii="Verdana" w:eastAsia="Verdana" w:hAnsi="Verdana" w:cs="Verdana"/>
          <w:noProof/>
          <w:color w:val="000000" w:themeColor="text1"/>
        </w:rPr>
      </w:pPr>
    </w:p>
    <w:tbl>
      <w:tblPr>
        <w:tblStyle w:val="Tablaconcuadrcula"/>
        <w:tblW w:w="0" w:type="auto"/>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1185"/>
        <w:gridCol w:w="5925"/>
      </w:tblGrid>
      <w:tr w:rsidR="001C3C9B" w14:paraId="693B422B" w14:textId="77777777" w:rsidTr="00E03CAE">
        <w:trPr>
          <w:trHeight w:val="315"/>
        </w:trPr>
        <w:tc>
          <w:tcPr>
            <w:tcW w:w="1185" w:type="dxa"/>
            <w:tcBorders>
              <w:top w:val="nil"/>
              <w:left w:val="nil"/>
              <w:bottom w:val="nil"/>
              <w:right w:val="nil"/>
            </w:tcBorders>
            <w:tcMar>
              <w:left w:w="105" w:type="dxa"/>
              <w:right w:w="105" w:type="dxa"/>
            </w:tcMar>
            <w:vAlign w:val="center"/>
          </w:tcPr>
          <w:p w14:paraId="2121D713" w14:textId="77777777" w:rsidR="001C3C9B" w:rsidRDefault="001C3C9B" w:rsidP="00E03CAE">
            <w:pPr>
              <w:rPr>
                <w:rFonts w:ascii="Verdana" w:eastAsia="Verdana" w:hAnsi="Verdana" w:cs="Verdana"/>
                <w:sz w:val="16"/>
                <w:szCs w:val="16"/>
              </w:rPr>
            </w:pPr>
            <w:r w:rsidRPr="3F869DD7">
              <w:rPr>
                <w:rFonts w:ascii="Verdana" w:eastAsia="Verdana" w:hAnsi="Verdana" w:cs="Verdana"/>
                <w:sz w:val="16"/>
                <w:szCs w:val="16"/>
              </w:rPr>
              <w:t>Elabor</w:t>
            </w:r>
            <w:r>
              <w:rPr>
                <w:rFonts w:ascii="Verdana" w:eastAsia="Verdana" w:hAnsi="Verdana" w:cs="Verdana"/>
                <w:sz w:val="16"/>
                <w:szCs w:val="16"/>
              </w:rPr>
              <w:t>o</w:t>
            </w:r>
            <w:r w:rsidRPr="3F869DD7">
              <w:rPr>
                <w:rFonts w:ascii="Verdana" w:eastAsia="Verdana" w:hAnsi="Verdana" w:cs="Verdana"/>
                <w:sz w:val="16"/>
                <w:szCs w:val="16"/>
              </w:rPr>
              <w:t>:</w:t>
            </w:r>
          </w:p>
        </w:tc>
        <w:tc>
          <w:tcPr>
            <w:tcW w:w="5925" w:type="dxa"/>
            <w:tcBorders>
              <w:top w:val="nil"/>
              <w:left w:val="nil"/>
              <w:bottom w:val="dotted" w:sz="4" w:space="0" w:color="7F7F7F" w:themeColor="text1" w:themeTint="80"/>
              <w:right w:val="nil"/>
            </w:tcBorders>
            <w:tcMar>
              <w:left w:w="105" w:type="dxa"/>
              <w:right w:w="105" w:type="dxa"/>
            </w:tcMar>
            <w:vAlign w:val="center"/>
          </w:tcPr>
          <w:p w14:paraId="2A44BE62" w14:textId="77777777" w:rsidR="001C3C9B" w:rsidRDefault="001C3C9B" w:rsidP="00E03CAE">
            <w:pPr>
              <w:rPr>
                <w:rFonts w:ascii="Verdana" w:eastAsia="Times New Roman" w:hAnsi="Verdana" w:cs="Segoe UI"/>
                <w:color w:val="000000" w:themeColor="text1"/>
                <w:sz w:val="16"/>
                <w:szCs w:val="16"/>
                <w:lang w:eastAsia="es-ES"/>
              </w:rPr>
            </w:pPr>
            <w:r w:rsidRPr="3F869DD7">
              <w:rPr>
                <w:rFonts w:ascii="Verdana" w:eastAsia="Arial" w:hAnsi="Verdana" w:cs="Arial"/>
                <w:color w:val="000000" w:themeColor="text1"/>
                <w:sz w:val="16"/>
                <w:szCs w:val="16"/>
                <w:lang w:val="es-ES"/>
              </w:rPr>
              <w:t>Denis Andrea Cárdenas Hernández</w:t>
            </w:r>
          </w:p>
          <w:p w14:paraId="41BF76BF" w14:textId="3EC2B229" w:rsidR="001C3C9B" w:rsidRPr="005F5CE0" w:rsidRDefault="001C3C9B" w:rsidP="00E03CAE">
            <w:pPr>
              <w:rPr>
                <w:rFonts w:ascii="Verdana" w:eastAsia="Arial" w:hAnsi="Verdana" w:cs="Arial"/>
                <w:color w:val="000000" w:themeColor="text1"/>
                <w:sz w:val="16"/>
                <w:szCs w:val="16"/>
                <w:lang w:val="es-ES"/>
              </w:rPr>
            </w:pPr>
            <w:r w:rsidRPr="3F869DD7">
              <w:rPr>
                <w:rFonts w:ascii="Verdana" w:eastAsia="Arial" w:hAnsi="Verdana" w:cs="Arial"/>
                <w:color w:val="000000" w:themeColor="text1"/>
                <w:sz w:val="16"/>
                <w:szCs w:val="16"/>
                <w:lang w:val="es-ES"/>
              </w:rPr>
              <w:t>Analista T2-01 de la Subdirección de Gestión Contractual</w:t>
            </w:r>
          </w:p>
        </w:tc>
      </w:tr>
      <w:tr w:rsidR="001C3C9B" w14:paraId="17927470" w14:textId="77777777" w:rsidTr="00E03CAE">
        <w:trPr>
          <w:trHeight w:val="315"/>
        </w:trPr>
        <w:tc>
          <w:tcPr>
            <w:tcW w:w="1185" w:type="dxa"/>
            <w:tcBorders>
              <w:top w:val="nil"/>
              <w:left w:val="nil"/>
              <w:bottom w:val="nil"/>
              <w:right w:val="nil"/>
            </w:tcBorders>
            <w:tcMar>
              <w:left w:w="105" w:type="dxa"/>
              <w:right w:w="105" w:type="dxa"/>
            </w:tcMar>
            <w:vAlign w:val="center"/>
          </w:tcPr>
          <w:p w14:paraId="21666216" w14:textId="77777777" w:rsidR="001C3C9B" w:rsidRDefault="001C3C9B" w:rsidP="00E03CAE">
            <w:pPr>
              <w:rPr>
                <w:rFonts w:ascii="Verdana" w:eastAsia="Verdana" w:hAnsi="Verdana" w:cs="Verdana"/>
                <w:sz w:val="16"/>
                <w:szCs w:val="16"/>
              </w:rPr>
            </w:pPr>
            <w:r w:rsidRPr="3F869DD7">
              <w:rPr>
                <w:rFonts w:ascii="Verdana" w:eastAsia="Verdana" w:hAnsi="Verdana" w:cs="Verdana"/>
                <w:sz w:val="16"/>
                <w:szCs w:val="16"/>
              </w:rPr>
              <w:t>Revisó:</w:t>
            </w:r>
          </w:p>
        </w:tc>
        <w:tc>
          <w:tcPr>
            <w:tcW w:w="5925" w:type="dxa"/>
            <w:tcBorders>
              <w:top w:val="dotted" w:sz="4" w:space="0" w:color="7F7F7F" w:themeColor="text1" w:themeTint="80"/>
              <w:left w:val="nil"/>
              <w:bottom w:val="dotted" w:sz="4" w:space="0" w:color="7F7F7F" w:themeColor="text1" w:themeTint="80"/>
              <w:right w:val="nil"/>
            </w:tcBorders>
            <w:tcMar>
              <w:left w:w="105" w:type="dxa"/>
              <w:right w:w="105" w:type="dxa"/>
            </w:tcMar>
            <w:vAlign w:val="center"/>
          </w:tcPr>
          <w:p w14:paraId="6FCDA022" w14:textId="5D7E6688" w:rsidR="001C3C9B" w:rsidRDefault="001C3C9B" w:rsidP="00E03CAE">
            <w:pPr>
              <w:rPr>
                <w:rFonts w:ascii="Verdana" w:eastAsia="Verdana" w:hAnsi="Verdana" w:cs="Verdana"/>
                <w:sz w:val="16"/>
                <w:szCs w:val="16"/>
              </w:rPr>
            </w:pPr>
            <w:r>
              <w:rPr>
                <w:rFonts w:ascii="Verdana" w:eastAsia="Verdana" w:hAnsi="Verdana" w:cs="Verdana"/>
                <w:sz w:val="16"/>
                <w:szCs w:val="16"/>
              </w:rPr>
              <w:t xml:space="preserve">Adriana Katherine Lopéz </w:t>
            </w:r>
            <w:proofErr w:type="spellStart"/>
            <w:r>
              <w:rPr>
                <w:rFonts w:ascii="Verdana" w:eastAsia="Verdana" w:hAnsi="Verdana" w:cs="Verdana"/>
                <w:sz w:val="16"/>
                <w:szCs w:val="16"/>
              </w:rPr>
              <w:t>Rodriguez</w:t>
            </w:r>
            <w:proofErr w:type="spellEnd"/>
          </w:p>
          <w:p w14:paraId="3E8536C2" w14:textId="77777777" w:rsidR="001C3C9B" w:rsidRDefault="001C3C9B" w:rsidP="00E03CAE">
            <w:pPr>
              <w:rPr>
                <w:rFonts w:ascii="Verdana" w:eastAsia="Verdana" w:hAnsi="Verdana" w:cs="Verdana"/>
                <w:sz w:val="16"/>
                <w:szCs w:val="16"/>
              </w:rPr>
            </w:pPr>
            <w:r w:rsidRPr="3F869DD7">
              <w:rPr>
                <w:rFonts w:ascii="Verdana" w:eastAsia="Verdana" w:hAnsi="Verdana" w:cs="Verdana"/>
                <w:sz w:val="16"/>
                <w:szCs w:val="16"/>
              </w:rPr>
              <w:t>Contratista de la Subdirección de Gestión Contractual</w:t>
            </w:r>
          </w:p>
        </w:tc>
      </w:tr>
      <w:tr w:rsidR="001C3C9B" w14:paraId="4FC82A14" w14:textId="77777777" w:rsidTr="00E03CAE">
        <w:trPr>
          <w:trHeight w:val="300"/>
        </w:trPr>
        <w:tc>
          <w:tcPr>
            <w:tcW w:w="1185" w:type="dxa"/>
            <w:tcBorders>
              <w:top w:val="nil"/>
              <w:left w:val="nil"/>
              <w:bottom w:val="nil"/>
              <w:right w:val="nil"/>
            </w:tcBorders>
            <w:tcMar>
              <w:left w:w="105" w:type="dxa"/>
              <w:right w:w="105" w:type="dxa"/>
            </w:tcMar>
            <w:vAlign w:val="center"/>
          </w:tcPr>
          <w:p w14:paraId="6889BCDC" w14:textId="77777777" w:rsidR="001C3C9B" w:rsidRDefault="001C3C9B" w:rsidP="00E03CAE">
            <w:pPr>
              <w:rPr>
                <w:rFonts w:ascii="Verdana" w:eastAsia="Verdana" w:hAnsi="Verdana" w:cs="Verdana"/>
                <w:sz w:val="16"/>
                <w:szCs w:val="16"/>
              </w:rPr>
            </w:pPr>
            <w:r w:rsidRPr="3F869DD7">
              <w:rPr>
                <w:rFonts w:ascii="Verdana" w:eastAsia="Verdana" w:hAnsi="Verdana" w:cs="Verdana"/>
                <w:sz w:val="16"/>
                <w:szCs w:val="16"/>
              </w:rPr>
              <w:t>Aprobó:</w:t>
            </w:r>
          </w:p>
        </w:tc>
        <w:tc>
          <w:tcPr>
            <w:tcW w:w="5925" w:type="dxa"/>
            <w:tcBorders>
              <w:top w:val="dotted" w:sz="4" w:space="0" w:color="7F7F7F" w:themeColor="text1" w:themeTint="80"/>
              <w:left w:val="nil"/>
              <w:bottom w:val="dotted" w:sz="4" w:space="0" w:color="7F7F7F" w:themeColor="text1" w:themeTint="80"/>
              <w:right w:val="nil"/>
            </w:tcBorders>
            <w:tcMar>
              <w:left w:w="105" w:type="dxa"/>
              <w:right w:w="105" w:type="dxa"/>
            </w:tcMar>
            <w:vAlign w:val="center"/>
          </w:tcPr>
          <w:p w14:paraId="071F2B67" w14:textId="77777777" w:rsidR="001C3C9B" w:rsidRDefault="001C3C9B" w:rsidP="00E03CAE">
            <w:pPr>
              <w:rPr>
                <w:rFonts w:ascii="Verdana" w:eastAsia="Verdana" w:hAnsi="Verdana" w:cs="Verdana"/>
                <w:sz w:val="16"/>
                <w:szCs w:val="16"/>
              </w:rPr>
            </w:pPr>
            <w:r w:rsidRPr="3F869DD7">
              <w:rPr>
                <w:rFonts w:ascii="Verdana" w:eastAsia="Verdana" w:hAnsi="Verdana" w:cs="Verdana"/>
                <w:sz w:val="16"/>
                <w:szCs w:val="16"/>
              </w:rPr>
              <w:t>Carolina Quintero Gacharná</w:t>
            </w:r>
          </w:p>
          <w:p w14:paraId="51D0BBF9" w14:textId="77777777" w:rsidR="001C3C9B" w:rsidRDefault="001C3C9B" w:rsidP="00E03CAE">
            <w:pPr>
              <w:rPr>
                <w:rFonts w:ascii="Verdana" w:eastAsia="Verdana" w:hAnsi="Verdana" w:cs="Verdana"/>
                <w:sz w:val="16"/>
                <w:szCs w:val="16"/>
              </w:rPr>
            </w:pPr>
            <w:r w:rsidRPr="3F869DD7">
              <w:rPr>
                <w:rFonts w:ascii="Verdana" w:eastAsia="Verdana" w:hAnsi="Verdana" w:cs="Verdana"/>
                <w:sz w:val="16"/>
                <w:szCs w:val="16"/>
              </w:rPr>
              <w:t>Subdirectora de Gestión Contractual ANCP – CCE</w:t>
            </w:r>
          </w:p>
        </w:tc>
      </w:tr>
    </w:tbl>
    <w:p w14:paraId="4D032D50" w14:textId="3A269AA3" w:rsidR="001C3C9B" w:rsidRPr="000E2B93" w:rsidRDefault="001C3C9B" w:rsidP="001C3C9B">
      <w:pPr>
        <w:spacing w:after="0" w:line="240" w:lineRule="auto"/>
        <w:jc w:val="both"/>
        <w:textAlignment w:val="baseline"/>
        <w:rPr>
          <w:rFonts w:ascii="Verdana" w:eastAsia="Verdana" w:hAnsi="Verdana" w:cs="Verdana"/>
          <w:lang w:eastAsia="es-CO"/>
        </w:rPr>
      </w:pPr>
    </w:p>
    <w:p w14:paraId="0DEE2D0F" w14:textId="0CEDC7F4" w:rsidR="001C3C9B" w:rsidRPr="000E2B93" w:rsidRDefault="001C3C9B" w:rsidP="001C3C9B">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p w14:paraId="05434782" w14:textId="3B03E4CE" w:rsidR="001C3C9B" w:rsidRDefault="001C3C9B" w:rsidP="001C3C9B"/>
    <w:p w14:paraId="0F293BF4" w14:textId="1F144C5F" w:rsidR="00127233" w:rsidRPr="0015699B" w:rsidRDefault="00127233" w:rsidP="180EA12C">
      <w:pPr>
        <w:spacing w:after="0" w:line="240" w:lineRule="auto"/>
        <w:jc w:val="both"/>
        <w:textAlignment w:val="baseline"/>
        <w:rPr>
          <w:rFonts w:ascii="Verdana" w:eastAsia="Verdana" w:hAnsi="Verdana" w:cs="Verdana"/>
          <w:color w:val="4E4D4D"/>
          <w:lang w:val="es-ES" w:eastAsia="es-CO"/>
        </w:rPr>
      </w:pPr>
    </w:p>
    <w:sectPr w:rsidR="00127233" w:rsidRPr="0015699B"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476F5F" w14:textId="77777777" w:rsidR="00F62166" w:rsidRDefault="00F62166" w:rsidP="004A1847">
      <w:pPr>
        <w:spacing w:after="0" w:line="240" w:lineRule="auto"/>
      </w:pPr>
      <w:r>
        <w:separator/>
      </w:r>
    </w:p>
  </w:endnote>
  <w:endnote w:type="continuationSeparator" w:id="0">
    <w:p w14:paraId="32EFFD63" w14:textId="77777777" w:rsidR="00F62166" w:rsidRDefault="00F6216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0796A5" w14:textId="77777777" w:rsidR="00F62166" w:rsidRDefault="00F62166" w:rsidP="004A1847">
      <w:pPr>
        <w:spacing w:after="0" w:line="240" w:lineRule="auto"/>
      </w:pPr>
      <w:r>
        <w:separator/>
      </w:r>
    </w:p>
  </w:footnote>
  <w:footnote w:type="continuationSeparator" w:id="0">
    <w:p w14:paraId="08D3C3AD" w14:textId="77777777" w:rsidR="00F62166" w:rsidRDefault="00F62166" w:rsidP="004A1847">
      <w:pPr>
        <w:spacing w:after="0" w:line="240" w:lineRule="auto"/>
      </w:pPr>
      <w:r>
        <w:continuationSeparator/>
      </w:r>
    </w:p>
  </w:footnote>
  <w:footnote w:id="1">
    <w:p w14:paraId="42A90531" w14:textId="77777777" w:rsidR="001C3C9B" w:rsidRPr="00332C8A" w:rsidRDefault="001C3C9B" w:rsidP="001C3C9B">
      <w:pPr>
        <w:pStyle w:val="Textonotapie"/>
        <w:ind w:firstLine="708"/>
        <w:jc w:val="both"/>
        <w:rPr>
          <w:rFonts w:ascii="Verdana" w:hAnsi="Verdana"/>
          <w:sz w:val="18"/>
          <w:szCs w:val="18"/>
        </w:rPr>
      </w:pPr>
      <w:r w:rsidRPr="00332C8A">
        <w:rPr>
          <w:rStyle w:val="Refdenotaalpie"/>
          <w:rFonts w:ascii="Verdana" w:hAnsi="Verdana"/>
          <w:sz w:val="18"/>
          <w:szCs w:val="18"/>
        </w:rPr>
        <w:footnoteRef/>
      </w:r>
      <w:r w:rsidRPr="00332C8A">
        <w:rPr>
          <w:rFonts w:ascii="Verdana" w:hAnsi="Verdana"/>
          <w:sz w:val="18"/>
          <w:szCs w:val="18"/>
        </w:rPr>
        <w:t xml:space="preserve"> Resolución 539 del 21 de agosto de 2025, artículo 23. “Vigencia. La presente resolución rige a partir de su publicación y aplicará a los procedimientos de selección de licitación de obra pública de infraestructura social en los sectores educación, salud, cultura, recreación y deporte, institucional y vivienda, cuyo aviso de convocatoria sea publicado a partir del 16 de febrero de 2026”.</w:t>
      </w:r>
    </w:p>
    <w:p w14:paraId="69390F00" w14:textId="77777777" w:rsidR="001C3C9B" w:rsidRPr="00332C8A" w:rsidRDefault="001C3C9B" w:rsidP="001C3C9B">
      <w:pPr>
        <w:pStyle w:val="Textonotapie"/>
        <w:ind w:firstLine="708"/>
        <w:jc w:val="both"/>
        <w:rPr>
          <w:rFonts w:ascii="Verdana" w:hAnsi="Verdana"/>
          <w:sz w:val="18"/>
          <w:szCs w:val="18"/>
        </w:rPr>
      </w:pPr>
    </w:p>
    <w:p w14:paraId="4D0169E9" w14:textId="77777777" w:rsidR="001C3C9B" w:rsidRPr="00332C8A" w:rsidRDefault="001C3C9B" w:rsidP="001C3C9B">
      <w:pPr>
        <w:pStyle w:val="Textonotapie"/>
        <w:ind w:firstLine="708"/>
        <w:jc w:val="both"/>
        <w:rPr>
          <w:rFonts w:ascii="Verdana" w:hAnsi="Verdana"/>
          <w:sz w:val="18"/>
          <w:szCs w:val="18"/>
        </w:rPr>
      </w:pPr>
      <w:r w:rsidRPr="00332C8A">
        <w:rPr>
          <w:rFonts w:ascii="Verdana" w:hAnsi="Verdana"/>
          <w:sz w:val="18"/>
          <w:szCs w:val="18"/>
        </w:rPr>
        <w:t>Resolución 540 del 21 de agosto de 2025, artículo 22. Vigencia. La presente resolución rige a partir de su publicación y aplicará a los procedimientos de selección abreviada de menor cuantía de obra pública de infraestructura social de los sectores educación, salud, cultura, recreación y deporte, institucional y vivienda, cuyo aviso de convocatoria sea publicado a partir del 16 de febrero de 2026.</w:t>
      </w:r>
    </w:p>
    <w:p w14:paraId="4A48F399" w14:textId="77777777" w:rsidR="001C3C9B" w:rsidRPr="00332C8A" w:rsidRDefault="001C3C9B" w:rsidP="001C3C9B">
      <w:pPr>
        <w:pStyle w:val="Textonotapie"/>
        <w:ind w:firstLine="708"/>
        <w:jc w:val="both"/>
        <w:rPr>
          <w:rFonts w:ascii="Verdana" w:hAnsi="Verdana"/>
          <w:sz w:val="18"/>
          <w:szCs w:val="18"/>
        </w:rPr>
      </w:pPr>
    </w:p>
    <w:p w14:paraId="6BB61A42" w14:textId="77777777" w:rsidR="001C3C9B" w:rsidRPr="00332C8A" w:rsidRDefault="001C3C9B" w:rsidP="001C3C9B">
      <w:pPr>
        <w:pStyle w:val="Textonotapie"/>
        <w:ind w:firstLine="708"/>
        <w:jc w:val="both"/>
        <w:rPr>
          <w:rFonts w:ascii="Verdana" w:hAnsi="Verdana"/>
          <w:sz w:val="18"/>
          <w:szCs w:val="18"/>
        </w:rPr>
      </w:pPr>
      <w:r w:rsidRPr="00332C8A">
        <w:rPr>
          <w:rFonts w:ascii="Verdana" w:hAnsi="Verdana"/>
          <w:sz w:val="18"/>
          <w:szCs w:val="18"/>
        </w:rPr>
        <w:t>Resolución 541 del 21 de agosto de 2025, artículo 22. Vigencia. La presente resolución rige a partir de su publicación y aplicará a los procedimientos de mínima cuantía de obra pública de infraestructura de los sectores educación, salud, cultura, recreación y deporte, institucional y vivienda, cuyo aviso de convocatoria sea publicado a partir del 16 de febrero de 2026.</w:t>
      </w:r>
    </w:p>
    <w:p w14:paraId="441A4279" w14:textId="77777777" w:rsidR="001C3C9B" w:rsidRPr="00332C8A" w:rsidRDefault="001C3C9B" w:rsidP="001C3C9B">
      <w:pPr>
        <w:pStyle w:val="Textonotapie"/>
        <w:ind w:firstLine="708"/>
        <w:jc w:val="both"/>
        <w:rPr>
          <w:rFonts w:ascii="Verdana" w:hAnsi="Verdana"/>
          <w:sz w:val="18"/>
          <w:szCs w:val="18"/>
        </w:rPr>
      </w:pPr>
    </w:p>
    <w:p w14:paraId="3E74F665" w14:textId="77777777" w:rsidR="001C3C9B" w:rsidRPr="00332C8A" w:rsidRDefault="001C3C9B" w:rsidP="001C3C9B">
      <w:pPr>
        <w:pStyle w:val="Textonotapie"/>
        <w:ind w:firstLine="708"/>
        <w:jc w:val="both"/>
        <w:rPr>
          <w:rFonts w:ascii="Verdana" w:hAnsi="Verdana"/>
          <w:sz w:val="18"/>
          <w:szCs w:val="18"/>
        </w:rPr>
      </w:pPr>
      <w:r w:rsidRPr="00332C8A">
        <w:rPr>
          <w:rFonts w:ascii="Verdana" w:hAnsi="Verdana"/>
          <w:sz w:val="18"/>
          <w:szCs w:val="18"/>
        </w:rPr>
        <w:t>Resolución 952 del 15 de diciembre de 2025, artículo 22. Vigencia. La presente resolución rige a partir de su publicación, y aplicará para los procesos de selección de concurso de méritos para contratar la consultoría de estudios de ingeniería de infraestructura social en los sectores educación, salud, cultura, recreación y deporte, institucional y vivienda, cuyo aviso de convocatoria se publique a partir del 16 de febrero de 2026.</w:t>
      </w:r>
    </w:p>
    <w:p w14:paraId="281D63C0" w14:textId="77777777" w:rsidR="001C3C9B" w:rsidRPr="00332C8A" w:rsidRDefault="001C3C9B" w:rsidP="001C3C9B">
      <w:pPr>
        <w:pStyle w:val="Textonotapie"/>
        <w:ind w:firstLine="708"/>
        <w:jc w:val="both"/>
        <w:rPr>
          <w:rFonts w:ascii="Verdana" w:hAnsi="Verdana"/>
          <w:sz w:val="18"/>
          <w:szCs w:val="18"/>
        </w:rPr>
      </w:pPr>
    </w:p>
    <w:p w14:paraId="0A88752D" w14:textId="77777777" w:rsidR="001C3C9B" w:rsidRPr="00332C8A" w:rsidRDefault="001C3C9B" w:rsidP="001C3C9B">
      <w:pPr>
        <w:pStyle w:val="Textonotapie"/>
        <w:ind w:firstLine="708"/>
        <w:jc w:val="both"/>
        <w:rPr>
          <w:rFonts w:ascii="Verdana" w:hAnsi="Verdana"/>
          <w:sz w:val="18"/>
          <w:szCs w:val="18"/>
        </w:rPr>
      </w:pPr>
      <w:r w:rsidRPr="00332C8A">
        <w:rPr>
          <w:rFonts w:ascii="Verdana" w:hAnsi="Verdana"/>
          <w:sz w:val="18"/>
          <w:szCs w:val="18"/>
        </w:rPr>
        <w:t>Resolución 953 del 15 de diciembre de 2025, artículo 22. Vigencia y derogatorias. La presente resolución rige a partir de su publicación, deroga la Resolución 798 del 29 de diciembre de 2023 y sus modificaciones posteriores, y aplicará para los procesos de selección de concurso de méritos para contratar la interventoría de obras públicas de infraestructura social en los sectores educación, salud, cultura, recreación y deporte, institucional y vivienda, cuyo aviso de convocatoria se publique a partir del 16 de febrero de 2026.</w:t>
      </w:r>
    </w:p>
  </w:footnote>
  <w:footnote w:id="2">
    <w:p w14:paraId="3003EA35" w14:textId="77777777" w:rsidR="001C3C9B" w:rsidRPr="00332C8A" w:rsidRDefault="001C3C9B" w:rsidP="001C3C9B">
      <w:pPr>
        <w:pStyle w:val="Textonotapie"/>
        <w:ind w:firstLine="708"/>
        <w:jc w:val="both"/>
        <w:rPr>
          <w:rFonts w:ascii="Verdana" w:hAnsi="Verdana"/>
          <w:sz w:val="18"/>
          <w:szCs w:val="18"/>
        </w:rPr>
      </w:pPr>
      <w:r w:rsidRPr="00332C8A">
        <w:rPr>
          <w:rStyle w:val="Refdenotaalpie"/>
          <w:rFonts w:ascii="Verdana" w:hAnsi="Verdana"/>
          <w:sz w:val="18"/>
          <w:szCs w:val="18"/>
        </w:rPr>
        <w:footnoteRef/>
      </w:r>
      <w:r w:rsidRPr="00332C8A">
        <w:rPr>
          <w:rFonts w:ascii="Verdana" w:hAnsi="Verdana"/>
          <w:sz w:val="18"/>
          <w:szCs w:val="18"/>
        </w:rPr>
        <w:t xml:space="preserve"> Reglamento Colombiano de Construcción Sismo Resistente NSR-10</w:t>
      </w:r>
    </w:p>
    <w:p w14:paraId="213CC933" w14:textId="77777777" w:rsidR="001C3C9B" w:rsidRPr="00332C8A" w:rsidRDefault="001C3C9B" w:rsidP="001C3C9B">
      <w:pPr>
        <w:pStyle w:val="Textonotapie"/>
        <w:ind w:firstLine="708"/>
        <w:jc w:val="both"/>
        <w:rPr>
          <w:rFonts w:ascii="Verdana" w:hAnsi="Verdana"/>
          <w:sz w:val="18"/>
          <w:szCs w:val="18"/>
          <w:lang w:val="es-ES_tradnl"/>
        </w:rPr>
      </w:pPr>
    </w:p>
  </w:footnote>
  <w:footnote w:id="3">
    <w:p w14:paraId="33FF6A1E" w14:textId="77777777" w:rsidR="001C3C9B" w:rsidRPr="00332C8A" w:rsidRDefault="001C3C9B" w:rsidP="001C3C9B">
      <w:pPr>
        <w:pStyle w:val="Textonotapie"/>
        <w:ind w:firstLine="708"/>
        <w:jc w:val="both"/>
        <w:rPr>
          <w:rFonts w:ascii="Verdana" w:hAnsi="Verdana"/>
          <w:sz w:val="18"/>
          <w:szCs w:val="18"/>
          <w:lang w:val="es-ES_tradnl"/>
        </w:rPr>
      </w:pPr>
      <w:r w:rsidRPr="00332C8A">
        <w:rPr>
          <w:rStyle w:val="Refdenotaalpie"/>
          <w:rFonts w:ascii="Verdana" w:hAnsi="Verdana"/>
          <w:sz w:val="18"/>
          <w:szCs w:val="18"/>
        </w:rPr>
        <w:footnoteRef/>
      </w:r>
      <w:r w:rsidRPr="00332C8A">
        <w:rPr>
          <w:rFonts w:ascii="Verdana" w:hAnsi="Verdana"/>
          <w:sz w:val="18"/>
          <w:szCs w:val="18"/>
        </w:rPr>
        <w:t xml:space="preserve"> </w:t>
      </w:r>
      <w:r w:rsidRPr="00332C8A">
        <w:rPr>
          <w:rFonts w:ascii="Verdana" w:hAnsi="Verdana"/>
          <w:sz w:val="18"/>
          <w:szCs w:val="18"/>
          <w:lang w:val="es-ES_tradnl"/>
        </w:rPr>
        <w:t xml:space="preserve">Ibidem </w:t>
      </w:r>
    </w:p>
    <w:p w14:paraId="6896CA67" w14:textId="77777777" w:rsidR="001C3C9B" w:rsidRPr="00332C8A" w:rsidRDefault="001C3C9B" w:rsidP="001C3C9B">
      <w:pPr>
        <w:pStyle w:val="Textonotapie"/>
        <w:ind w:firstLine="708"/>
        <w:jc w:val="both"/>
        <w:rPr>
          <w:rFonts w:ascii="Verdana" w:hAnsi="Verdana"/>
          <w:sz w:val="18"/>
          <w:szCs w:val="18"/>
          <w:lang w:val="es-ES_tradnl"/>
        </w:rPr>
      </w:pPr>
    </w:p>
  </w:footnote>
  <w:footnote w:id="4">
    <w:p w14:paraId="7BDFB286" w14:textId="77777777" w:rsidR="001C3C9B" w:rsidRPr="00332C8A" w:rsidRDefault="001C3C9B" w:rsidP="001C3C9B">
      <w:pPr>
        <w:pStyle w:val="Textonotapie"/>
        <w:ind w:firstLine="708"/>
        <w:jc w:val="both"/>
        <w:rPr>
          <w:rFonts w:ascii="Verdana" w:hAnsi="Verdana"/>
          <w:sz w:val="18"/>
          <w:szCs w:val="18"/>
        </w:rPr>
      </w:pPr>
      <w:r w:rsidRPr="00332C8A">
        <w:rPr>
          <w:rStyle w:val="Refdenotaalpie"/>
          <w:rFonts w:ascii="Verdana" w:hAnsi="Verdana"/>
          <w:sz w:val="18"/>
          <w:szCs w:val="18"/>
        </w:rPr>
        <w:footnoteRef/>
      </w:r>
      <w:r w:rsidRPr="00332C8A">
        <w:rPr>
          <w:rFonts w:ascii="Verdana" w:hAnsi="Verdana"/>
          <w:sz w:val="18"/>
          <w:szCs w:val="18"/>
        </w:rPr>
        <w:t xml:space="preserve"> Definición construida con base, entre otros de los diccionarios: Lexvademecum y Poder Judicial de la República de Costa Rica. </w:t>
      </w:r>
    </w:p>
    <w:p w14:paraId="4FD0A81A" w14:textId="77777777" w:rsidR="001C3C9B" w:rsidRPr="00332C8A" w:rsidRDefault="001C3C9B" w:rsidP="001C3C9B">
      <w:pPr>
        <w:pStyle w:val="Textonotapie"/>
        <w:ind w:firstLine="708"/>
        <w:jc w:val="both"/>
        <w:rPr>
          <w:rFonts w:ascii="Verdana" w:hAnsi="Verdana"/>
          <w:sz w:val="18"/>
          <w:szCs w:val="18"/>
          <w:lang w:val="es-ES_tradnl"/>
        </w:rPr>
      </w:pPr>
    </w:p>
  </w:footnote>
  <w:footnote w:id="5">
    <w:p w14:paraId="12CDDD2B" w14:textId="77777777" w:rsidR="001C3C9B" w:rsidRPr="00332C8A" w:rsidRDefault="001C3C9B" w:rsidP="001C3C9B">
      <w:pPr>
        <w:pStyle w:val="Textonotapie"/>
        <w:ind w:firstLine="708"/>
        <w:jc w:val="both"/>
        <w:rPr>
          <w:rFonts w:ascii="Verdana" w:hAnsi="Verdana"/>
          <w:sz w:val="18"/>
          <w:szCs w:val="18"/>
        </w:rPr>
      </w:pPr>
      <w:r w:rsidRPr="00332C8A">
        <w:rPr>
          <w:rStyle w:val="Refdenotaalpie"/>
          <w:rFonts w:ascii="Verdana" w:hAnsi="Verdana"/>
          <w:sz w:val="18"/>
          <w:szCs w:val="18"/>
        </w:rPr>
        <w:footnoteRef/>
      </w:r>
      <w:r w:rsidRPr="00332C8A">
        <w:rPr>
          <w:rFonts w:ascii="Verdana" w:hAnsi="Verdana"/>
          <w:sz w:val="18"/>
          <w:szCs w:val="18"/>
        </w:rPr>
        <w:t xml:space="preserve"> Ley 938 de 2004 “Por la cual se expide el Estatuto Orgánico de la Fiscalía General de la Nación, </w:t>
      </w:r>
      <w:r>
        <w:rPr>
          <w:rFonts w:ascii="Verdana" w:hAnsi="Verdana"/>
          <w:sz w:val="18"/>
          <w:szCs w:val="18"/>
        </w:rPr>
        <w:t>A</w:t>
      </w:r>
      <w:r w:rsidRPr="00332C8A">
        <w:rPr>
          <w:rFonts w:ascii="Verdana" w:hAnsi="Verdana"/>
          <w:sz w:val="18"/>
          <w:szCs w:val="18"/>
        </w:rPr>
        <w:t>rtículo 33</w:t>
      </w:r>
      <w:r>
        <w:rPr>
          <w:rFonts w:ascii="Verdana" w:hAnsi="Verdana"/>
          <w:sz w:val="18"/>
          <w:szCs w:val="18"/>
        </w:rPr>
        <w:t>.</w:t>
      </w:r>
    </w:p>
    <w:p w14:paraId="7EAA676D" w14:textId="77777777" w:rsidR="001C3C9B" w:rsidRPr="00332C8A" w:rsidRDefault="001C3C9B" w:rsidP="001C3C9B">
      <w:pPr>
        <w:pStyle w:val="Textonotapie"/>
        <w:ind w:firstLine="708"/>
        <w:jc w:val="both"/>
        <w:rPr>
          <w:rFonts w:ascii="Verdana" w:hAnsi="Verdana"/>
          <w:sz w:val="18"/>
          <w:szCs w:val="18"/>
          <w:lang w:val="es-ES_tradnl"/>
        </w:rPr>
      </w:pPr>
    </w:p>
  </w:footnote>
  <w:footnote w:id="6">
    <w:p w14:paraId="6A4EB243" w14:textId="77777777" w:rsidR="001C3C9B" w:rsidRDefault="001C3C9B" w:rsidP="001C3C9B">
      <w:pPr>
        <w:pStyle w:val="Textonotapie"/>
        <w:ind w:firstLine="708"/>
        <w:jc w:val="both"/>
        <w:rPr>
          <w:rFonts w:ascii="Verdana" w:hAnsi="Verdana"/>
          <w:sz w:val="18"/>
          <w:szCs w:val="18"/>
        </w:rPr>
      </w:pPr>
      <w:r w:rsidRPr="00332C8A">
        <w:rPr>
          <w:rStyle w:val="Refdenotaalpie"/>
          <w:rFonts w:ascii="Verdana" w:hAnsi="Verdana"/>
          <w:sz w:val="18"/>
          <w:szCs w:val="18"/>
        </w:rPr>
        <w:footnoteRef/>
      </w:r>
      <w:r w:rsidRPr="00332C8A">
        <w:rPr>
          <w:rFonts w:ascii="Verdana" w:hAnsi="Verdana"/>
          <w:sz w:val="18"/>
          <w:szCs w:val="18"/>
        </w:rPr>
        <w:t xml:space="preserve"> Información tomada de la página web del Instituto Nacional de Medicina Legal y Ciencias Forenses disponible en el siguiente enlace: </w:t>
      </w:r>
      <w:hyperlink r:id="rId1" w:history="1">
        <w:r w:rsidRPr="00332C8A">
          <w:rPr>
            <w:rStyle w:val="Hipervnculo"/>
            <w:rFonts w:ascii="Verdana" w:hAnsi="Verdana"/>
            <w:sz w:val="18"/>
            <w:szCs w:val="18"/>
          </w:rPr>
          <w:t>https://www.medicinalegal.gov.co/objetivos-y-funciones</w:t>
        </w:r>
      </w:hyperlink>
      <w:r w:rsidRPr="00332C8A">
        <w:rPr>
          <w:rFonts w:ascii="Verdana" w:hAnsi="Verdana"/>
          <w:sz w:val="18"/>
          <w:szCs w:val="18"/>
        </w:rPr>
        <w:t xml:space="preserve"> </w:t>
      </w:r>
    </w:p>
    <w:p w14:paraId="6819A34E" w14:textId="77777777" w:rsidR="001C3C9B" w:rsidRPr="00332C8A" w:rsidRDefault="001C3C9B" w:rsidP="001C3C9B">
      <w:pPr>
        <w:pStyle w:val="Textonotapie"/>
        <w:ind w:firstLine="708"/>
        <w:jc w:val="both"/>
        <w:rPr>
          <w:rFonts w:ascii="Verdana" w:hAnsi="Verdana"/>
          <w:sz w:val="18"/>
          <w:szCs w:val="18"/>
          <w:lang w:val="es-ES_tradnl"/>
        </w:rPr>
      </w:pPr>
    </w:p>
  </w:footnote>
  <w:footnote w:id="7">
    <w:p w14:paraId="3A9AE7EA" w14:textId="77777777" w:rsidR="001C3C9B" w:rsidRPr="00550E25" w:rsidRDefault="001C3C9B" w:rsidP="001C3C9B">
      <w:pPr>
        <w:pStyle w:val="Textonotapie"/>
        <w:ind w:firstLine="708"/>
        <w:rPr>
          <w:lang w:val="es-ES_tradnl"/>
        </w:rPr>
      </w:pPr>
      <w:r>
        <w:rPr>
          <w:rStyle w:val="Refdenotaalpie"/>
        </w:rPr>
        <w:footnoteRef/>
      </w:r>
      <w:r>
        <w:t xml:space="preserve"> Ibidem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7pt;height:11.7pt" o:bullet="t">
        <v:imagedata r:id="rId1" o:title="mso1B13"/>
      </v:shape>
    </w:pict>
  </w:numPicBullet>
  <w:abstractNum w:abstractNumId="0" w15:restartNumberingAfterBreak="0">
    <w:nsid w:val="01C06310"/>
    <w:multiLevelType w:val="multilevel"/>
    <w:tmpl w:val="9B2EAF2E"/>
    <w:lvl w:ilvl="0">
      <w:start w:val="1"/>
      <w:numFmt w:val="decimal"/>
      <w:lvlText w:val="%1."/>
      <w:lvlJc w:val="left"/>
      <w:pPr>
        <w:ind w:left="360" w:hanging="360"/>
      </w:pPr>
      <w:rPr>
        <w:b/>
        <w:color w:val="auto"/>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EE8E77B4"/>
    <w:lvl w:ilvl="0" w:tplc="C1D210D2">
      <w:start w:val="1"/>
      <w:numFmt w:val="bullet"/>
      <w:lvlText w:val=""/>
      <w:lvlJc w:val="left"/>
      <w:pPr>
        <w:ind w:left="720" w:hanging="360"/>
      </w:pPr>
      <w:rPr>
        <w:rFonts w:ascii="Symbol" w:hAnsi="Symbol" w:hint="default"/>
        <w:color w:val="auto"/>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574248D4"/>
    <w:multiLevelType w:val="hybridMultilevel"/>
    <w:tmpl w:val="7FD240A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8B10986"/>
    <w:multiLevelType w:val="hybridMultilevel"/>
    <w:tmpl w:val="34B6ACBE"/>
    <w:lvl w:ilvl="0" w:tplc="240A0001">
      <w:start w:val="1"/>
      <w:numFmt w:val="bullet"/>
      <w:lvlText w:val=""/>
      <w:lvlJc w:val="left"/>
      <w:pPr>
        <w:ind w:left="1996" w:hanging="360"/>
      </w:pPr>
      <w:rPr>
        <w:rFonts w:ascii="Symbol" w:hAnsi="Symbol" w:hint="default"/>
      </w:rPr>
    </w:lvl>
    <w:lvl w:ilvl="1" w:tplc="240A0003" w:tentative="1">
      <w:start w:val="1"/>
      <w:numFmt w:val="bullet"/>
      <w:lvlText w:val="o"/>
      <w:lvlJc w:val="left"/>
      <w:pPr>
        <w:ind w:left="2716" w:hanging="360"/>
      </w:pPr>
      <w:rPr>
        <w:rFonts w:ascii="Courier New" w:hAnsi="Courier New" w:cs="Courier New" w:hint="default"/>
      </w:rPr>
    </w:lvl>
    <w:lvl w:ilvl="2" w:tplc="240A0005" w:tentative="1">
      <w:start w:val="1"/>
      <w:numFmt w:val="bullet"/>
      <w:lvlText w:val=""/>
      <w:lvlJc w:val="left"/>
      <w:pPr>
        <w:ind w:left="3436" w:hanging="360"/>
      </w:pPr>
      <w:rPr>
        <w:rFonts w:ascii="Wingdings" w:hAnsi="Wingdings" w:hint="default"/>
      </w:rPr>
    </w:lvl>
    <w:lvl w:ilvl="3" w:tplc="240A0001" w:tentative="1">
      <w:start w:val="1"/>
      <w:numFmt w:val="bullet"/>
      <w:lvlText w:val=""/>
      <w:lvlJc w:val="left"/>
      <w:pPr>
        <w:ind w:left="4156" w:hanging="360"/>
      </w:pPr>
      <w:rPr>
        <w:rFonts w:ascii="Symbol" w:hAnsi="Symbol" w:hint="default"/>
      </w:rPr>
    </w:lvl>
    <w:lvl w:ilvl="4" w:tplc="240A0003" w:tentative="1">
      <w:start w:val="1"/>
      <w:numFmt w:val="bullet"/>
      <w:lvlText w:val="o"/>
      <w:lvlJc w:val="left"/>
      <w:pPr>
        <w:ind w:left="4876" w:hanging="360"/>
      </w:pPr>
      <w:rPr>
        <w:rFonts w:ascii="Courier New" w:hAnsi="Courier New" w:cs="Courier New" w:hint="default"/>
      </w:rPr>
    </w:lvl>
    <w:lvl w:ilvl="5" w:tplc="240A0005" w:tentative="1">
      <w:start w:val="1"/>
      <w:numFmt w:val="bullet"/>
      <w:lvlText w:val=""/>
      <w:lvlJc w:val="left"/>
      <w:pPr>
        <w:ind w:left="5596" w:hanging="360"/>
      </w:pPr>
      <w:rPr>
        <w:rFonts w:ascii="Wingdings" w:hAnsi="Wingdings" w:hint="default"/>
      </w:rPr>
    </w:lvl>
    <w:lvl w:ilvl="6" w:tplc="240A0001" w:tentative="1">
      <w:start w:val="1"/>
      <w:numFmt w:val="bullet"/>
      <w:lvlText w:val=""/>
      <w:lvlJc w:val="left"/>
      <w:pPr>
        <w:ind w:left="6316" w:hanging="360"/>
      </w:pPr>
      <w:rPr>
        <w:rFonts w:ascii="Symbol" w:hAnsi="Symbol" w:hint="default"/>
      </w:rPr>
    </w:lvl>
    <w:lvl w:ilvl="7" w:tplc="240A0003" w:tentative="1">
      <w:start w:val="1"/>
      <w:numFmt w:val="bullet"/>
      <w:lvlText w:val="o"/>
      <w:lvlJc w:val="left"/>
      <w:pPr>
        <w:ind w:left="7036" w:hanging="360"/>
      </w:pPr>
      <w:rPr>
        <w:rFonts w:ascii="Courier New" w:hAnsi="Courier New" w:cs="Courier New" w:hint="default"/>
      </w:rPr>
    </w:lvl>
    <w:lvl w:ilvl="8" w:tplc="240A0005" w:tentative="1">
      <w:start w:val="1"/>
      <w:numFmt w:val="bullet"/>
      <w:lvlText w:val=""/>
      <w:lvlJc w:val="left"/>
      <w:pPr>
        <w:ind w:left="7756"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5"/>
  </w:num>
  <w:num w:numId="8" w16cid:durableId="152644682">
    <w:abstractNumId w:val="14"/>
  </w:num>
  <w:num w:numId="9" w16cid:durableId="1317221377">
    <w:abstractNumId w:val="7"/>
  </w:num>
  <w:num w:numId="10" w16cid:durableId="1471245386">
    <w:abstractNumId w:val="13"/>
  </w:num>
  <w:num w:numId="11" w16cid:durableId="289172385">
    <w:abstractNumId w:val="8"/>
  </w:num>
  <w:num w:numId="12" w16cid:durableId="1470781324">
    <w:abstractNumId w:val="1"/>
  </w:num>
  <w:num w:numId="13" w16cid:durableId="1512908409">
    <w:abstractNumId w:val="3"/>
  </w:num>
  <w:num w:numId="14" w16cid:durableId="895897244">
    <w:abstractNumId w:val="16"/>
  </w:num>
  <w:num w:numId="15" w16cid:durableId="390349800">
    <w:abstractNumId w:val="11"/>
  </w:num>
  <w:num w:numId="16" w16cid:durableId="169981602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27985604">
    <w:abstractNumId w:val="9"/>
  </w:num>
  <w:num w:numId="18" w16cid:durableId="341274352">
    <w:abstractNumId w:val="0"/>
  </w:num>
  <w:num w:numId="19" w16cid:durableId="1959145927">
    <w:abstractNumId w:val="12"/>
  </w:num>
  <w:num w:numId="20" w16cid:durableId="7355126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0F78B3"/>
    <w:rsid w:val="00116940"/>
    <w:rsid w:val="00125105"/>
    <w:rsid w:val="00127233"/>
    <w:rsid w:val="0015699B"/>
    <w:rsid w:val="001640A5"/>
    <w:rsid w:val="001A33BF"/>
    <w:rsid w:val="001C3C9B"/>
    <w:rsid w:val="001E4177"/>
    <w:rsid w:val="001F0B24"/>
    <w:rsid w:val="001F7DC6"/>
    <w:rsid w:val="0022400B"/>
    <w:rsid w:val="002421BB"/>
    <w:rsid w:val="0025796E"/>
    <w:rsid w:val="002707A2"/>
    <w:rsid w:val="002738F0"/>
    <w:rsid w:val="002951A0"/>
    <w:rsid w:val="002962BC"/>
    <w:rsid w:val="002A093D"/>
    <w:rsid w:val="002A0DD0"/>
    <w:rsid w:val="002A49AC"/>
    <w:rsid w:val="002A64FD"/>
    <w:rsid w:val="002B1743"/>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5F5CE0"/>
    <w:rsid w:val="006200BF"/>
    <w:rsid w:val="006219F8"/>
    <w:rsid w:val="006302F7"/>
    <w:rsid w:val="006320E2"/>
    <w:rsid w:val="00646B9F"/>
    <w:rsid w:val="00665D70"/>
    <w:rsid w:val="006900D9"/>
    <w:rsid w:val="00706C16"/>
    <w:rsid w:val="00711878"/>
    <w:rsid w:val="007340C3"/>
    <w:rsid w:val="00737654"/>
    <w:rsid w:val="0075235A"/>
    <w:rsid w:val="00756841"/>
    <w:rsid w:val="00761DEA"/>
    <w:rsid w:val="007649AB"/>
    <w:rsid w:val="00771D0C"/>
    <w:rsid w:val="007833AC"/>
    <w:rsid w:val="007B268C"/>
    <w:rsid w:val="007B7171"/>
    <w:rsid w:val="007C0C0F"/>
    <w:rsid w:val="007C3DC2"/>
    <w:rsid w:val="007E5497"/>
    <w:rsid w:val="007F7B46"/>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07EA1"/>
    <w:rsid w:val="00A122D3"/>
    <w:rsid w:val="00A14468"/>
    <w:rsid w:val="00A17F13"/>
    <w:rsid w:val="00A20739"/>
    <w:rsid w:val="00A23AF9"/>
    <w:rsid w:val="00A33C78"/>
    <w:rsid w:val="00AB0ADB"/>
    <w:rsid w:val="00B00C0E"/>
    <w:rsid w:val="00B01B1A"/>
    <w:rsid w:val="00B0381D"/>
    <w:rsid w:val="00B44A47"/>
    <w:rsid w:val="00B65383"/>
    <w:rsid w:val="00B72CD3"/>
    <w:rsid w:val="00B72FFF"/>
    <w:rsid w:val="00B84708"/>
    <w:rsid w:val="00BB7F87"/>
    <w:rsid w:val="00BC3D36"/>
    <w:rsid w:val="00BD54A6"/>
    <w:rsid w:val="00BD7F72"/>
    <w:rsid w:val="00BF7425"/>
    <w:rsid w:val="00C04FB3"/>
    <w:rsid w:val="00C11D8B"/>
    <w:rsid w:val="00C15139"/>
    <w:rsid w:val="00C330EB"/>
    <w:rsid w:val="00C50D69"/>
    <w:rsid w:val="00C5365C"/>
    <w:rsid w:val="00C754BE"/>
    <w:rsid w:val="00C76B1C"/>
    <w:rsid w:val="00C925AC"/>
    <w:rsid w:val="00CA48BB"/>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2166"/>
    <w:rsid w:val="00F666C4"/>
    <w:rsid w:val="00F76AFC"/>
    <w:rsid w:val="00FA47C0"/>
    <w:rsid w:val="00FB5DD1"/>
    <w:rsid w:val="00FC2B5D"/>
    <w:rsid w:val="00FF1449"/>
    <w:rsid w:val="00FF7963"/>
    <w:rsid w:val="071B8F93"/>
    <w:rsid w:val="07C73DD1"/>
    <w:rsid w:val="09908A09"/>
    <w:rsid w:val="0E0AF0F4"/>
    <w:rsid w:val="0EFE6349"/>
    <w:rsid w:val="0FF4CCA8"/>
    <w:rsid w:val="13CFC91B"/>
    <w:rsid w:val="180EA12C"/>
    <w:rsid w:val="19A2EC2C"/>
    <w:rsid w:val="21779BE6"/>
    <w:rsid w:val="2859CA1B"/>
    <w:rsid w:val="2C4D2425"/>
    <w:rsid w:val="2EE1E026"/>
    <w:rsid w:val="2F44F38F"/>
    <w:rsid w:val="30821638"/>
    <w:rsid w:val="32A4F9CF"/>
    <w:rsid w:val="33A1FF93"/>
    <w:rsid w:val="356CEDFD"/>
    <w:rsid w:val="3C591AFD"/>
    <w:rsid w:val="42183F0A"/>
    <w:rsid w:val="545B112A"/>
    <w:rsid w:val="567B145F"/>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1C3C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1C3C9B"/>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colombiacompra.gov.co/documentos-tipo/documentos-tipo"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akeline.ortega@gmail.com"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medicinalegal.gov.co/objetivos-y-funcione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D15E982-F483-4AA0-9F9A-ADF1C7D831BB}"/>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41</TotalTime>
  <Pages>20</Pages>
  <Words>6412</Words>
  <Characters>35270</Characters>
  <Application>Microsoft Office Word</Application>
  <DocSecurity>0</DocSecurity>
  <Lines>293</Lines>
  <Paragraphs>83</Paragraphs>
  <ScaleCrop>false</ScaleCrop>
  <Company/>
  <LinksUpToDate>false</LinksUpToDate>
  <CharactersWithSpaces>41599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Denis Andrea Cárdenas Hernández</cp:lastModifiedBy>
  <cp:revision>4</cp:revision>
  <cp:lastPrinted>2023-01-10T21:18:00Z</cp:lastPrinted>
  <dcterms:created xsi:type="dcterms:W3CDTF">2026-06-26T16:12:00Z</dcterms:created>
  <dcterms:modified xsi:type="dcterms:W3CDTF">2026-06-26T16:13:00Z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