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7777777" w:rsidR="00F51D39" w:rsidRPr="004C046B" w:rsidRDefault="00F51D39" w:rsidP="00F51D39">
      <w:pPr>
        <w:spacing w:after="0" w:line="240" w:lineRule="auto"/>
        <w:contextualSpacing/>
        <w:jc w:val="both"/>
        <w:rPr>
          <w:rFonts w:ascii="Verdana" w:eastAsia="Calibri" w:hAnsi="Verdana" w:cs="Arial"/>
          <w:b/>
          <w:bCs/>
          <w:lang w:eastAsia="es-ES"/>
        </w:rPr>
      </w:pPr>
      <w:bookmarkStart w:id="0" w:name="_Hlk230693044"/>
      <w:r>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N.°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Pr>
          <w:rFonts w:ascii="Verdana" w:eastAsia="Calibri" w:hAnsi="Verdana" w:cs="Arial"/>
          <w:sz w:val="20"/>
          <w:szCs w:val="20"/>
          <w:lang w:eastAsia="es-ES"/>
        </w:rPr>
        <w:lastRenderedPageBreak/>
        <w:t>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PcD, los documentos están dispuestos en el artículo 2.2.1.2.4.2.7.4, el cual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 El término de tres (3) </w:t>
      </w:r>
      <w:proofErr w:type="gramStart"/>
      <w:r>
        <w:rPr>
          <w:rFonts w:ascii="Verdana" w:eastAsia="Calibri" w:hAnsi="Verdana" w:cs="Arial"/>
          <w:sz w:val="20"/>
          <w:szCs w:val="20"/>
          <w:lang w:eastAsia="es-ES"/>
        </w:rPr>
        <w:t>meses aquí mencionado</w:t>
      </w:r>
      <w:proofErr w:type="gramEnd"/>
      <w:r>
        <w:rPr>
          <w:rFonts w:ascii="Verdana" w:eastAsia="Calibri" w:hAnsi="Verdana" w:cs="Arial"/>
          <w:sz w:val="20"/>
          <w:szCs w:val="20"/>
          <w:lang w:eastAsia="es-ES"/>
        </w:rPr>
        <w:t xml:space="preserve"> es diferente al término de un (1) año mencionado en el artículo 2.2.1.2.4.2.6 respecto de los emprendimientos y empresas de PcD.</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Para efectos de determinar el número mínimo de PcD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PcD a las plantas de personal de posibles proveedores, debe ser a través de contrato laboral con dedicación exclusiva, cuya definición le corresponde al Ministerio del Trabajo. Por otra parte, los documentos para acreditar la otra condición que es ser emprendimiento o empresa de PcD son los indicados en el artículo 2.2.1.2.4.2.6 y no los del artículo 2.2.1.2.4.2.7.4.</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PcD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Estos criterios aplican exclusivamente para el primer sujeto del sistema, es decir, los emprendimientos y empresas de PcD, y no para los empleadores de PcD.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2A86EDD1" w14:textId="67CB5737" w:rsidR="0070378C" w:rsidRDefault="0070378C" w:rsidP="00F51D39">
      <w:pPr>
        <w:spacing w:after="0" w:line="240" w:lineRule="auto"/>
        <w:contextualSpacing/>
        <w:jc w:val="both"/>
        <w:rPr>
          <w:rFonts w:ascii="Verdana" w:eastAsia="Calibri" w:hAnsi="Verdana" w:cs="Arial"/>
          <w:b/>
          <w:bCs/>
          <w:sz w:val="20"/>
          <w:szCs w:val="20"/>
          <w:lang w:eastAsia="es-ES"/>
        </w:rPr>
      </w:pPr>
      <w:r>
        <w:rPr>
          <w:rFonts w:ascii="Verdana" w:eastAsia="Calibri" w:hAnsi="Verdana" w:cs="Arial"/>
          <w:b/>
          <w:bCs/>
          <w:sz w:val="20"/>
          <w:szCs w:val="20"/>
          <w:lang w:eastAsia="es-ES"/>
        </w:rPr>
        <w:t>CIRCULAR 003 DE 2026- Participación de Proveedores Extranjeros</w:t>
      </w:r>
    </w:p>
    <w:p w14:paraId="0231DA2F" w14:textId="77777777" w:rsidR="0070378C" w:rsidRPr="0070378C" w:rsidRDefault="0070378C" w:rsidP="0070378C">
      <w:pPr>
        <w:spacing w:before="120" w:after="120" w:line="276" w:lineRule="auto"/>
        <w:jc w:val="both"/>
        <w:rPr>
          <w:rFonts w:ascii="Verdana" w:hAnsi="Verdana"/>
          <w:sz w:val="20"/>
          <w:szCs w:val="20"/>
        </w:rPr>
      </w:pPr>
      <w:r w:rsidRPr="0070378C">
        <w:rPr>
          <w:rFonts w:ascii="Verdana" w:hAnsi="Verdana"/>
          <w:sz w:val="20"/>
          <w:szCs w:val="20"/>
        </w:rPr>
        <w:t xml:space="preserve">De conformidad con la Guía para la participación de Proveedores Extranjeros en Procesos de Contratación expedida por esta Agencia, a la cual remite expresamente el numeral vii) de la Circular Externa 003 de 2026, es posible la participación de proponentes </w:t>
      </w:r>
      <w:r w:rsidRPr="0070378C">
        <w:rPr>
          <w:rFonts w:ascii="Verdana" w:hAnsi="Verdana"/>
          <w:sz w:val="20"/>
          <w:szCs w:val="20"/>
        </w:rPr>
        <w:lastRenderedPageBreak/>
        <w:t xml:space="preserve">extranjeros cumpliendo los lineamientos allí señalados: los proponentes extranjeros con domicilio en Colombia deben contar con Registro Único de Proponentes (RUP), mientras que aquellos sin domicilio en el país no deben tener dicho registro. Estos últimos, sin embargo, no podrían acceder a la medida afirmativa de criterios habilitantes diferenciales, puesto que el Decreto 287 de 2026 es claro al señalar que con ella se busca promover la participación de emprendimientos y empresas de personas con discapacidad con domicilio en Colombia, según lo precisa el numeral vii) de la Circular Externa 003 de 2026. </w:t>
      </w:r>
    </w:p>
    <w:p w14:paraId="5E69215D" w14:textId="77777777" w:rsidR="0070378C" w:rsidRPr="0070378C" w:rsidRDefault="0070378C" w:rsidP="00F51D39">
      <w:pPr>
        <w:spacing w:after="0" w:line="240" w:lineRule="auto"/>
        <w:contextualSpacing/>
        <w:jc w:val="both"/>
        <w:rPr>
          <w:rFonts w:ascii="Verdana" w:eastAsia="Calibri" w:hAnsi="Verdana" w:cs="Arial"/>
          <w:b/>
          <w:bCs/>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3C25EE7" w14:textId="77777777" w:rsidR="00664C1F" w:rsidRDefault="00664C1F" w:rsidP="001B064E">
      <w:pPr>
        <w:spacing w:after="0"/>
        <w:rPr>
          <w:rFonts w:ascii="Verdana" w:eastAsia="Calibri" w:hAnsi="Verdana" w:cs="Arial"/>
          <w:sz w:val="20"/>
          <w:szCs w:val="20"/>
          <w:lang w:eastAsia="es-ES"/>
        </w:rPr>
      </w:pPr>
    </w:p>
    <w:p w14:paraId="41E2BAD1" w14:textId="77777777" w:rsidR="0070378C" w:rsidRDefault="0070378C" w:rsidP="001B064E">
      <w:pPr>
        <w:spacing w:after="0"/>
        <w:rPr>
          <w:rFonts w:ascii="Verdana" w:hAnsi="Verdana"/>
        </w:rPr>
      </w:pPr>
    </w:p>
    <w:p w14:paraId="6C4CE11D" w14:textId="77777777" w:rsidR="0070378C" w:rsidRDefault="0070378C" w:rsidP="001B064E">
      <w:pPr>
        <w:spacing w:after="0"/>
        <w:rPr>
          <w:rFonts w:ascii="Verdana" w:hAnsi="Verdana"/>
        </w:rPr>
      </w:pPr>
    </w:p>
    <w:p w14:paraId="2D058526" w14:textId="77777777" w:rsidR="0070378C" w:rsidRDefault="0070378C" w:rsidP="001B064E">
      <w:pPr>
        <w:spacing w:after="0"/>
        <w:rPr>
          <w:rFonts w:ascii="Verdana" w:hAnsi="Verdana"/>
        </w:rPr>
      </w:pPr>
    </w:p>
    <w:p w14:paraId="58C85A96" w14:textId="77777777" w:rsidR="0070378C" w:rsidRDefault="0070378C" w:rsidP="001B064E">
      <w:pPr>
        <w:spacing w:after="0"/>
        <w:rPr>
          <w:rFonts w:ascii="Verdana" w:hAnsi="Verdana"/>
        </w:rPr>
      </w:pPr>
    </w:p>
    <w:p w14:paraId="7DCB3E28" w14:textId="77777777" w:rsidR="0070378C" w:rsidRDefault="0070378C" w:rsidP="001B064E">
      <w:pPr>
        <w:spacing w:after="0"/>
        <w:rPr>
          <w:rFonts w:ascii="Verdana" w:hAnsi="Verdana"/>
        </w:rPr>
      </w:pPr>
    </w:p>
    <w:p w14:paraId="54A462E9" w14:textId="77777777" w:rsidR="0070378C" w:rsidRDefault="0070378C" w:rsidP="001B064E">
      <w:pPr>
        <w:spacing w:after="0"/>
        <w:rPr>
          <w:rFonts w:ascii="Verdana" w:hAnsi="Verdana"/>
        </w:rPr>
      </w:pPr>
    </w:p>
    <w:p w14:paraId="02588896" w14:textId="77777777" w:rsidR="0070378C" w:rsidRDefault="0070378C" w:rsidP="001B064E">
      <w:pPr>
        <w:spacing w:after="0"/>
        <w:rPr>
          <w:rFonts w:ascii="Verdana" w:hAnsi="Verdana"/>
        </w:rPr>
      </w:pPr>
    </w:p>
    <w:p w14:paraId="58FCFA83" w14:textId="77777777" w:rsidR="0070378C" w:rsidRDefault="0070378C" w:rsidP="001B064E">
      <w:pPr>
        <w:spacing w:after="0"/>
        <w:rPr>
          <w:rFonts w:ascii="Verdana" w:hAnsi="Verdana"/>
        </w:rPr>
      </w:pPr>
    </w:p>
    <w:p w14:paraId="7310531A" w14:textId="77777777" w:rsidR="0070378C" w:rsidRDefault="0070378C" w:rsidP="001B064E">
      <w:pPr>
        <w:spacing w:after="0"/>
        <w:rPr>
          <w:rFonts w:ascii="Verdana" w:hAnsi="Verdana"/>
        </w:rPr>
      </w:pPr>
    </w:p>
    <w:p w14:paraId="430BDD50" w14:textId="77777777" w:rsidR="0070378C" w:rsidRDefault="0070378C" w:rsidP="001B064E">
      <w:pPr>
        <w:spacing w:after="0"/>
        <w:rPr>
          <w:rFonts w:ascii="Verdana" w:hAnsi="Verdana"/>
        </w:rPr>
      </w:pPr>
    </w:p>
    <w:p w14:paraId="6B8F9CCE" w14:textId="77777777" w:rsidR="0070378C" w:rsidRDefault="0070378C" w:rsidP="001B064E">
      <w:pPr>
        <w:spacing w:after="0"/>
        <w:rPr>
          <w:rFonts w:ascii="Verdana" w:hAnsi="Verdana"/>
        </w:rPr>
      </w:pPr>
    </w:p>
    <w:p w14:paraId="5800933E" w14:textId="77777777" w:rsidR="0070378C" w:rsidRDefault="0070378C" w:rsidP="001B064E">
      <w:pPr>
        <w:spacing w:after="0"/>
        <w:rPr>
          <w:rFonts w:ascii="Verdana" w:hAnsi="Verdana"/>
        </w:rPr>
      </w:pPr>
    </w:p>
    <w:p w14:paraId="6EE82FE7" w14:textId="77777777" w:rsidR="0070378C" w:rsidRDefault="0070378C" w:rsidP="001B064E">
      <w:pPr>
        <w:spacing w:after="0"/>
        <w:rPr>
          <w:rFonts w:ascii="Verdana" w:hAnsi="Verdana"/>
        </w:rPr>
      </w:pPr>
    </w:p>
    <w:p w14:paraId="1870B673" w14:textId="77777777" w:rsidR="0070378C" w:rsidRDefault="0070378C" w:rsidP="001B064E">
      <w:pPr>
        <w:spacing w:after="0"/>
        <w:rPr>
          <w:rFonts w:ascii="Verdana" w:hAnsi="Verdana"/>
        </w:rPr>
      </w:pPr>
    </w:p>
    <w:p w14:paraId="17AC2405" w14:textId="77777777" w:rsidR="0070378C" w:rsidRDefault="0070378C" w:rsidP="001B064E">
      <w:pPr>
        <w:spacing w:after="0"/>
        <w:rPr>
          <w:rFonts w:ascii="Verdana" w:hAnsi="Verdana"/>
        </w:rPr>
      </w:pPr>
    </w:p>
    <w:p w14:paraId="79559C8F" w14:textId="77777777" w:rsidR="0070378C" w:rsidRDefault="0070378C" w:rsidP="001B064E">
      <w:pPr>
        <w:spacing w:after="0"/>
        <w:rPr>
          <w:rFonts w:ascii="Verdana" w:hAnsi="Verdana"/>
        </w:rPr>
      </w:pPr>
    </w:p>
    <w:p w14:paraId="6D049617" w14:textId="77777777" w:rsidR="0070378C" w:rsidRDefault="0070378C" w:rsidP="001B064E">
      <w:pPr>
        <w:spacing w:after="0"/>
        <w:rPr>
          <w:rFonts w:ascii="Verdana" w:hAnsi="Verdana"/>
        </w:rPr>
      </w:pPr>
    </w:p>
    <w:p w14:paraId="45319D5A" w14:textId="77777777" w:rsidR="0070378C" w:rsidRDefault="0070378C" w:rsidP="001B064E">
      <w:pPr>
        <w:spacing w:after="0"/>
        <w:rPr>
          <w:rFonts w:ascii="Verdana" w:hAnsi="Verdana"/>
        </w:rPr>
      </w:pPr>
    </w:p>
    <w:p w14:paraId="723494E2" w14:textId="77777777" w:rsidR="0070378C" w:rsidRDefault="0070378C" w:rsidP="001B064E">
      <w:pPr>
        <w:spacing w:after="0"/>
        <w:rPr>
          <w:rFonts w:ascii="Verdana" w:hAnsi="Verdana"/>
        </w:rPr>
      </w:pPr>
    </w:p>
    <w:p w14:paraId="548BEAF4" w14:textId="77777777" w:rsidR="0070378C" w:rsidRDefault="0070378C" w:rsidP="001B064E">
      <w:pPr>
        <w:spacing w:after="0"/>
        <w:rPr>
          <w:rFonts w:ascii="Verdana" w:hAnsi="Verdana"/>
        </w:rPr>
      </w:pPr>
    </w:p>
    <w:p w14:paraId="15519D86" w14:textId="77777777" w:rsidR="0070378C" w:rsidRDefault="0070378C" w:rsidP="001B064E">
      <w:pPr>
        <w:spacing w:after="0"/>
        <w:rPr>
          <w:rFonts w:ascii="Verdana" w:hAnsi="Verdana"/>
        </w:rPr>
      </w:pPr>
    </w:p>
    <w:p w14:paraId="7466A02D" w14:textId="77777777" w:rsidR="0070378C" w:rsidRDefault="0070378C" w:rsidP="001B064E">
      <w:pPr>
        <w:spacing w:after="0"/>
        <w:rPr>
          <w:rFonts w:ascii="Verdana" w:hAnsi="Verdana"/>
        </w:rPr>
      </w:pPr>
    </w:p>
    <w:p w14:paraId="651C3CA9" w14:textId="77777777" w:rsidR="0070378C" w:rsidRDefault="0070378C" w:rsidP="001B064E">
      <w:pPr>
        <w:spacing w:after="0"/>
        <w:rPr>
          <w:rFonts w:ascii="Verdana" w:hAnsi="Verdana"/>
        </w:rPr>
      </w:pPr>
    </w:p>
    <w:p w14:paraId="26CDAE48" w14:textId="77777777" w:rsidR="0070378C" w:rsidRDefault="0070378C" w:rsidP="001B064E">
      <w:pPr>
        <w:spacing w:after="0"/>
        <w:rPr>
          <w:rFonts w:ascii="Verdana" w:hAnsi="Verdana"/>
        </w:rPr>
      </w:pPr>
    </w:p>
    <w:p w14:paraId="17CF3EBC" w14:textId="77777777" w:rsidR="0070378C" w:rsidRDefault="0070378C" w:rsidP="001B064E">
      <w:pPr>
        <w:spacing w:after="0"/>
        <w:rPr>
          <w:rFonts w:ascii="Verdana" w:hAnsi="Verdana"/>
        </w:rPr>
      </w:pPr>
    </w:p>
    <w:p w14:paraId="7F954359" w14:textId="77777777" w:rsidR="0070378C" w:rsidRDefault="0070378C" w:rsidP="001B064E">
      <w:pPr>
        <w:spacing w:after="0"/>
        <w:rPr>
          <w:rFonts w:ascii="Verdana" w:hAnsi="Verdana"/>
        </w:rPr>
      </w:pPr>
    </w:p>
    <w:p w14:paraId="359BF0D5" w14:textId="487F415E" w:rsidR="0070378C" w:rsidRPr="00777292" w:rsidRDefault="00DA6F8B" w:rsidP="0070378C">
      <w:pPr>
        <w:spacing w:after="0"/>
        <w:rPr>
          <w:rFonts w:ascii="Verdana" w:hAnsi="Verdana"/>
          <w:lang w:val="es-ES_tradnl"/>
        </w:rPr>
      </w:pPr>
      <w:r w:rsidRPr="00DA6F8B">
        <w:rPr>
          <w:rFonts w:ascii="Verdana" w:eastAsia="Calibri" w:hAnsi="Verdana" w:cs="Arial"/>
          <w:b/>
          <w:bCs/>
          <w:noProof/>
          <w:lang w:val="es-ES" w:eastAsia="es-ES"/>
        </w:rPr>
        <w:lastRenderedPageBreak/>
        <w:drawing>
          <wp:anchor distT="0" distB="0" distL="114300" distR="114300" simplePos="0" relativeHeight="251658240" behindDoc="1" locked="0" layoutInCell="1" allowOverlap="1" wp14:anchorId="43A8CD2B" wp14:editId="5DF698C8">
            <wp:simplePos x="0" y="0"/>
            <wp:positionH relativeFrom="column">
              <wp:posOffset>4101465</wp:posOffset>
            </wp:positionH>
            <wp:positionV relativeFrom="paragraph">
              <wp:posOffset>112395</wp:posOffset>
            </wp:positionV>
            <wp:extent cx="2239645" cy="765175"/>
            <wp:effectExtent l="0" t="0" r="8255" b="0"/>
            <wp:wrapTight wrapText="bothSides">
              <wp:wrapPolygon edited="0">
                <wp:start x="0" y="0"/>
                <wp:lineTo x="0" y="20973"/>
                <wp:lineTo x="21496" y="20973"/>
                <wp:lineTo x="21496" y="0"/>
                <wp:lineTo x="0" y="0"/>
              </wp:wrapPolygon>
            </wp:wrapTight>
            <wp:docPr id="92046974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469745"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39645" cy="765175"/>
                    </a:xfrm>
                    <a:prstGeom prst="rect">
                      <a:avLst/>
                    </a:prstGeom>
                  </pic:spPr>
                </pic:pic>
              </a:graphicData>
            </a:graphic>
            <wp14:sizeRelH relativeFrom="page">
              <wp14:pctWidth>0</wp14:pctWidth>
            </wp14:sizeRelH>
            <wp14:sizeRelV relativeFrom="page">
              <wp14:pctHeight>0</wp14:pctHeight>
            </wp14:sizeRelV>
          </wp:anchor>
        </w:drawing>
      </w:r>
      <w:r w:rsidRPr="00DA6F8B">
        <w:t xml:space="preserve"> </w:t>
      </w:r>
      <w:r w:rsidRPr="00DA6F8B">
        <w:rPr>
          <w:rFonts w:ascii="Verdana" w:hAnsi="Verdana"/>
        </w:rPr>
        <w:t xml:space="preserve">Bogotá D.C., 24 de </w:t>
      </w:r>
      <w:r w:rsidR="00CB1DFA" w:rsidRPr="00DA6F8B">
        <w:rPr>
          <w:rFonts w:ascii="Verdana" w:hAnsi="Verdana"/>
        </w:rPr>
        <w:t>junio</w:t>
      </w:r>
      <w:r w:rsidRPr="00DA6F8B">
        <w:rPr>
          <w:rFonts w:ascii="Verdana" w:hAnsi="Verdana"/>
        </w:rPr>
        <w:t xml:space="preserve"> de 2026</w:t>
      </w:r>
    </w:p>
    <w:p w14:paraId="5DF4E0A1" w14:textId="3A49367C" w:rsidR="008D5774" w:rsidRPr="00777292" w:rsidRDefault="008D5774" w:rsidP="008D5774">
      <w:pPr>
        <w:spacing w:after="0"/>
        <w:rPr>
          <w:rFonts w:ascii="Verdana" w:hAnsi="Verdana"/>
          <w:lang w:val="es-ES_tradnl"/>
        </w:rPr>
      </w:pPr>
    </w:p>
    <w:p w14:paraId="165A5F33" w14:textId="04ECC5B2" w:rsidR="008D5774" w:rsidRPr="00777292" w:rsidRDefault="008D5774" w:rsidP="008D5774">
      <w:pPr>
        <w:spacing w:after="0" w:line="240" w:lineRule="auto"/>
        <w:rPr>
          <w:rFonts w:ascii="Verdana" w:hAnsi="Verdana"/>
          <w:lang w:val="es-ES"/>
        </w:rPr>
      </w:pPr>
      <w:bookmarkStart w:id="1" w:name="_Hlk143780582"/>
      <w:r>
        <w:rPr>
          <w:rFonts w:ascii="Verdana" w:eastAsia="Calibri" w:hAnsi="Verdana" w:cs="Arial"/>
          <w:lang w:val="es-ES" w:eastAsia="es-ES"/>
        </w:rPr>
        <w:t>Señora</w:t>
      </w:r>
    </w:p>
    <w:p w14:paraId="2402F1C9" w14:textId="50E8CE00" w:rsidR="008D5774" w:rsidRPr="006B694D" w:rsidRDefault="00127F4E" w:rsidP="008D5774">
      <w:pPr>
        <w:spacing w:after="0"/>
        <w:rPr>
          <w:rFonts w:ascii="Verdana" w:eastAsia="Calibri" w:hAnsi="Verdana" w:cs="Arial"/>
          <w:b/>
          <w:bCs/>
          <w:lang w:val="es-ES" w:eastAsia="es-ES"/>
        </w:rPr>
      </w:pPr>
      <w:r>
        <w:rPr>
          <w:rFonts w:ascii="Verdana" w:eastAsia="Calibri" w:hAnsi="Verdana" w:cs="Arial"/>
          <w:b/>
          <w:bCs/>
          <w:lang w:val="es-ES" w:eastAsia="es-ES"/>
        </w:rPr>
        <w:t>Mauricio Pinzón Cárdenas</w:t>
      </w:r>
      <w:r w:rsidR="00DA6F8B" w:rsidRPr="00DA6F8B">
        <w:rPr>
          <w:noProof/>
        </w:rPr>
        <w:t xml:space="preserve"> </w:t>
      </w:r>
    </w:p>
    <w:p w14:paraId="161EFC6C" w14:textId="7436F9B2" w:rsidR="008D5774" w:rsidRPr="006B694D" w:rsidRDefault="00127F4E" w:rsidP="008D5774">
      <w:pPr>
        <w:spacing w:after="0"/>
        <w:rPr>
          <w:rStyle w:val="Hipervnculo"/>
          <w:rFonts w:ascii="Verdana" w:hAnsi="Verdana"/>
          <w:color w:val="ED7D31" w:themeColor="accent2"/>
        </w:rPr>
      </w:pPr>
      <w:r>
        <w:rPr>
          <w:rFonts w:ascii="Verdana" w:hAnsi="Verdana"/>
        </w:rPr>
        <w:t>m.pinzon@gicolombia.com</w:t>
      </w:r>
    </w:p>
    <w:p w14:paraId="61203DA3" w14:textId="1E8DF0B7" w:rsidR="001B6C7C" w:rsidRDefault="00127F4E" w:rsidP="001B6C7C">
      <w:pPr>
        <w:spacing w:after="0"/>
        <w:rPr>
          <w:rFonts w:ascii="Verdana" w:eastAsia="Calibri" w:hAnsi="Verdana" w:cs="Arial"/>
          <w:lang w:eastAsia="es-ES"/>
        </w:rPr>
      </w:pPr>
      <w:r>
        <w:rPr>
          <w:rFonts w:ascii="Verdana" w:eastAsia="Calibri" w:hAnsi="Verdana" w:cs="Arial"/>
          <w:lang w:eastAsia="es-ES"/>
        </w:rPr>
        <w:t>Representante Legal de Global Innovations S.A.S. — Apoderado de FlightSafety International</w:t>
      </w:r>
    </w:p>
    <w:p w14:paraId="4AB2548D" w14:textId="3EF8D410" w:rsidR="00E97E29" w:rsidRDefault="00E97E29" w:rsidP="001B6C7C">
      <w:pPr>
        <w:spacing w:after="0"/>
        <w:rPr>
          <w:rFonts w:ascii="Verdana" w:eastAsia="Calibri" w:hAnsi="Verdana" w:cs="Arial"/>
          <w:lang w:eastAsia="es-ES"/>
        </w:rPr>
      </w:pPr>
      <w:r>
        <w:rPr>
          <w:rFonts w:ascii="Verdana" w:eastAsia="Calibri" w:hAnsi="Verdana" w:cs="Arial"/>
          <w:lang w:eastAsia="es-ES"/>
        </w:rPr>
        <w:t>Bogotá, Cundinamarca</w:t>
      </w:r>
    </w:p>
    <w:p w14:paraId="038D7F1F" w14:textId="77777777" w:rsidR="00E97E29" w:rsidRPr="00777292" w:rsidRDefault="00E97E29" w:rsidP="001B6C7C">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5494A169" w:rsidR="001B6C7C" w:rsidRPr="00777292" w:rsidRDefault="001B6C7C">
            <w:pPr>
              <w:jc w:val="both"/>
              <w:rPr>
                <w:rFonts w:ascii="Verdana" w:eastAsia="Calibri" w:hAnsi="Verdana" w:cs="Arial"/>
                <w:b/>
                <w:bCs/>
                <w:lang w:eastAsia="es-ES"/>
              </w:rPr>
            </w:pPr>
            <w:r>
              <w:rPr>
                <w:rFonts w:ascii="Verdana" w:eastAsia="Calibri" w:hAnsi="Verdana" w:cs="Arial"/>
                <w:b/>
                <w:bCs/>
                <w:lang w:eastAsia="es-ES"/>
              </w:rPr>
              <w:t>Concepto C-816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Pr>
                <w:rFonts w:ascii="Verdana" w:eastAsia="Calibri" w:hAnsi="Verdana" w:cs="Arial"/>
                <w:b/>
                <w:lang w:eastAsia="es-ES_tradnl"/>
              </w:rPr>
              <w:t>Tema:</w:t>
            </w:r>
            <w:r>
              <w:rPr>
                <w:rFonts w:ascii="Verdana" w:eastAsia="Calibri" w:hAnsi="Verdana" w:cs="Arial"/>
                <w:lang w:eastAsia="es-ES_tradnl"/>
              </w:rPr>
              <w:t xml:space="preserve">                   </w:t>
            </w:r>
          </w:p>
        </w:tc>
        <w:tc>
          <w:tcPr>
            <w:tcW w:w="6100" w:type="dxa"/>
          </w:tcPr>
          <w:p w14:paraId="4A479B16" w14:textId="66F1CC61" w:rsidR="00D37910" w:rsidRDefault="00D37910" w:rsidP="00664C1F">
            <w:pPr>
              <w:contextualSpacing/>
              <w:jc w:val="both"/>
              <w:rPr>
                <w:rFonts w:ascii="Verdana" w:eastAsia="Calibri" w:hAnsi="Verdana" w:cs="Arial"/>
                <w:lang w:eastAsia="es-ES"/>
              </w:rPr>
            </w:pPr>
            <w:r>
              <w:rPr>
                <w:rFonts w:ascii="Verdana" w:eastAsia="Calibri" w:hAnsi="Verdana" w:cs="Arial"/>
                <w:lang w:eastAsia="es-ES"/>
              </w:rPr>
              <w:t>DECRETO 0287 DE 2026 ‒ Sistema Integral de Preferencias ‒ Contratación pública inclusiva ‒ Personas con discapacidad / DECRETO 0287 DE 2026 ‒ Antecedentes normativos ‒ Decreto 392 de 2018 ‒ Omisiones reglamentarias ‒ Sentencia de acción de cumplimiento / DECRETO 0287 DE 2026 ‒ Sujetos del sistema ‒ Emprendimientos y empresas de personas con discapacidad ‒ Empleadores de personas con discapacidad ‒ Definición y diferenciación / DECRETO 0287 DE 2026 ‒ Puntaje adicional del 2% ‒ No acumulabilidad ‒ Acreditación simultánea de condiciones ‒ Modalidades de selección aplicables / DECRETO 0287 DE 2026 ‒ Puntaje adicional del 2% ‒ Vinculación de personas con discapacidad ‒ Planillas de seguridad social ‒ Período de tres meses ‒ Vinculaciones recientes / DECRETO 0287 DE 2026 ‒ Criterios habilitantes diferenciales ‒ Ajustados ‒ Obligatoriedad ‒ Proporcionalidad ‒ Proponentes plurales ‒ Consorcios y uniones temporales</w:t>
            </w:r>
            <w:r w:rsidR="0070378C">
              <w:rPr>
                <w:rFonts w:ascii="Verdana" w:eastAsia="Calibri" w:hAnsi="Verdana" w:cs="Arial"/>
                <w:lang w:eastAsia="es-ES"/>
              </w:rPr>
              <w:t>/</w:t>
            </w:r>
            <w:r w:rsidR="0070378C">
              <w:t xml:space="preserve"> </w:t>
            </w:r>
            <w:r w:rsidR="0070378C" w:rsidRPr="0070378C">
              <w:rPr>
                <w:rFonts w:ascii="Verdana" w:eastAsia="Calibri" w:hAnsi="Verdana" w:cs="Arial"/>
                <w:lang w:eastAsia="es-ES"/>
              </w:rPr>
              <w:t>CIRCULAR 003 DE 2026</w:t>
            </w:r>
            <w:r w:rsidR="00CB1DFA">
              <w:rPr>
                <w:rFonts w:ascii="Verdana" w:eastAsia="Calibri" w:hAnsi="Verdana" w:cs="Arial"/>
                <w:lang w:eastAsia="es-ES"/>
              </w:rPr>
              <w:t xml:space="preserve"> </w:t>
            </w:r>
            <w:r w:rsidR="00CB1DFA" w:rsidRPr="00CB1DFA">
              <w:rPr>
                <w:rFonts w:ascii="Verdana" w:eastAsia="Calibri" w:hAnsi="Verdana" w:cs="Arial"/>
                <w:b/>
                <w:bCs/>
                <w:lang w:val="es-ES" w:eastAsia="es-ES"/>
              </w:rPr>
              <w:t>–</w:t>
            </w:r>
            <w:r w:rsidR="0070378C" w:rsidRPr="0070378C">
              <w:rPr>
                <w:rFonts w:ascii="Verdana" w:eastAsia="Calibri" w:hAnsi="Verdana" w:cs="Arial"/>
                <w:lang w:eastAsia="es-ES"/>
              </w:rPr>
              <w:t xml:space="preserve"> Participación de Proveedores Extranjeros</w:t>
            </w:r>
            <w:r>
              <w:rPr>
                <w:rFonts w:ascii="Verdana" w:eastAsia="Calibri" w:hAnsi="Verdana" w:cs="Arial"/>
                <w:lang w:eastAsia="es-ES"/>
              </w:rPr>
              <w:t xml:space="preserve"> </w:t>
            </w:r>
          </w:p>
          <w:p w14:paraId="34C0CDD8" w14:textId="72BF8E2B" w:rsidR="00664C1F" w:rsidRPr="00777292" w:rsidRDefault="00664C1F" w:rsidP="00664C1F">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Pr>
                <w:rFonts w:ascii="Verdana" w:eastAsia="Calibri" w:hAnsi="Verdana" w:cs="Arial"/>
                <w:b/>
                <w:lang w:eastAsia="es-ES_tradnl"/>
              </w:rPr>
              <w:t>Radicación:</w:t>
            </w:r>
            <w:r>
              <w:rPr>
                <w:rFonts w:ascii="Verdana" w:eastAsia="Calibri" w:hAnsi="Verdana" w:cs="Arial"/>
                <w:lang w:eastAsia="es-ES_tradnl"/>
              </w:rPr>
              <w:t xml:space="preserve">               </w:t>
            </w:r>
          </w:p>
        </w:tc>
        <w:tc>
          <w:tcPr>
            <w:tcW w:w="6100" w:type="dxa"/>
          </w:tcPr>
          <w:p w14:paraId="7EDDA735" w14:textId="13E27D08" w:rsidR="00D37910" w:rsidRPr="00777292" w:rsidRDefault="00D37910" w:rsidP="00D37910">
            <w:pPr>
              <w:jc w:val="both"/>
              <w:rPr>
                <w:rFonts w:ascii="Verdana" w:eastAsia="Calibri" w:hAnsi="Verdana" w:cs="Arial"/>
                <w:lang w:eastAsia="es-ES_tradnl"/>
              </w:rPr>
            </w:pPr>
            <w:r>
              <w:rPr>
                <w:rFonts w:ascii="Verdana" w:eastAsia="Calibri" w:hAnsi="Verdana" w:cs="Arial"/>
                <w:lang w:eastAsia="es-ES_tradnl"/>
              </w:rPr>
              <w:t>Respuesta a derecho de petición con radicado No. 1_2026_05_15_006624</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06306C5D" w:rsidR="008D5774" w:rsidRPr="00206556" w:rsidRDefault="008D5774" w:rsidP="008D5774">
      <w:pPr>
        <w:spacing w:after="0" w:line="276" w:lineRule="auto"/>
        <w:jc w:val="both"/>
        <w:rPr>
          <w:rFonts w:ascii="Verdana" w:eastAsia="Calibri" w:hAnsi="Verdana" w:cs="Arial"/>
          <w:lang w:val="es-ES" w:eastAsia="es-ES"/>
        </w:rPr>
      </w:pPr>
      <w:r>
        <w:rPr>
          <w:rFonts w:ascii="Verdana" w:eastAsia="Calibri" w:hAnsi="Verdana" w:cs="Arial"/>
          <w:lang w:val="es-ES" w:eastAsia="es-ES"/>
        </w:rPr>
        <w:t>Estimado señor Pinzón,</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Pr>
          <w:rFonts w:ascii="Verdana" w:eastAsia="Calibri" w:hAnsi="Verdana" w:cs="Arial"/>
          <w:lang w:val="es-ES" w:eastAsia="es-ES"/>
        </w:rPr>
        <w:tab/>
      </w:r>
    </w:p>
    <w:p w14:paraId="258F404F" w14:textId="77777777" w:rsidR="00DA6F8B" w:rsidRDefault="00DA6F8B" w:rsidP="008D5774">
      <w:pPr>
        <w:spacing w:after="0" w:line="276" w:lineRule="auto"/>
        <w:jc w:val="both"/>
        <w:rPr>
          <w:rFonts w:ascii="Verdana" w:eastAsia="Calibri" w:hAnsi="Verdana" w:cs="Arial"/>
          <w:lang w:val="es-ES" w:eastAsia="es-ES"/>
        </w:rPr>
      </w:pPr>
    </w:p>
    <w:p w14:paraId="19AB5592" w14:textId="77777777" w:rsidR="00DA6F8B" w:rsidRDefault="00DA6F8B" w:rsidP="008D5774">
      <w:pPr>
        <w:spacing w:after="0" w:line="276" w:lineRule="auto"/>
        <w:jc w:val="both"/>
        <w:rPr>
          <w:rFonts w:ascii="Verdana" w:eastAsia="Calibri" w:hAnsi="Verdana" w:cs="Arial"/>
          <w:lang w:val="es-ES" w:eastAsia="es-ES"/>
        </w:rPr>
      </w:pPr>
    </w:p>
    <w:p w14:paraId="3426E35D" w14:textId="03A2DAAA" w:rsidR="008D5774" w:rsidRPr="00206556" w:rsidRDefault="008D5774" w:rsidP="008D5774">
      <w:pPr>
        <w:spacing w:after="0" w:line="276" w:lineRule="auto"/>
        <w:jc w:val="both"/>
        <w:rPr>
          <w:rFonts w:ascii="Verdana" w:eastAsia="Calibri" w:hAnsi="Verdana" w:cs="Arial"/>
          <w:lang w:val="es-ES" w:eastAsia="es-ES"/>
        </w:rPr>
      </w:pPr>
      <w:r>
        <w:rPr>
          <w:rFonts w:ascii="Verdana" w:eastAsia="Calibri" w:hAnsi="Verdana" w:cs="Arial"/>
          <w:lang w:val="es-ES" w:eastAsia="es-ES"/>
        </w:rPr>
        <w:lastRenderedPageBreak/>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lang w:val="es-ES"/>
        </w:rPr>
        <w:t xml:space="preserve">así como lo establecido en la Resolución 469 de 2025 expedida por esta Entidad, </w:t>
      </w:r>
      <w:r>
        <w:rPr>
          <w:rFonts w:ascii="Verdana" w:eastAsia="Calibri" w:hAnsi="Verdana" w:cs="Arial"/>
          <w:lang w:val="es-ES" w:eastAsia="es-ES"/>
        </w:rPr>
        <w:t xml:space="preserve">la Agencia Nacional de Contratación Pública – Colombia Compra Eficiente– responde su solicitud de consulta de fecha 24 de abril de 2026, en la cual manifiesta lo siguiente: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07A0E538" w14:textId="345942DC" w:rsidR="008D5774" w:rsidRPr="00E97E29" w:rsidRDefault="00377CDF" w:rsidP="00E97E29">
      <w:pPr>
        <w:spacing w:before="120" w:after="120" w:line="240" w:lineRule="auto"/>
        <w:ind w:left="709" w:right="709"/>
        <w:contextualSpacing/>
        <w:jc w:val="both"/>
        <w:rPr>
          <w:rFonts w:ascii="Verdana" w:eastAsia="Calibri" w:hAnsi="Verdana" w:cs="Arial"/>
          <w:sz w:val="20"/>
          <w:szCs w:val="20"/>
          <w:lang w:val="es-ES" w:eastAsia="es-ES"/>
        </w:rPr>
      </w:pPr>
      <w:r>
        <w:rPr>
          <w:rFonts w:ascii="Verdana" w:eastAsia="Century Gothic" w:hAnsi="Verdana" w:cs="Century Gothic"/>
          <w:sz w:val="20"/>
          <w:szCs w:val="20"/>
        </w:rPr>
        <w:t xml:space="preserve">“1 ¿Cuál es el mecanismo válido para que una empresa con sede en el extranjero acredite la vinculación laboral de personas con discapacidad en un proceso de contratación pública en Colombia? 2 ¿Qué documentos son aceptados por las entidades estatales para demostrar dicha condición cuando la empresa se encuentra constituida fuera del territorio colombiano? 3 ¿La certificación puede ser expedida por una autoridad competente del país de origen de la empresa extranjera? En caso afirmativo, indicar cuáles autoridades serían válidas. 4 ¿Los documentos expedidos en el exterior deben presentarse apostillados o legalizados y acompañados de traducción oficial al español? 5 ¿Existe algún concepto, guía, circular o lineamiento emitido por Colombia Compra Eficiente relacionado con este tema? De existir, solicito indicar el enlace o remitir copia </w:t>
      </w:r>
      <w:proofErr w:type="gramStart"/>
      <w:r>
        <w:rPr>
          <w:rFonts w:ascii="Verdana" w:eastAsia="Century Gothic" w:hAnsi="Verdana" w:cs="Century Gothic"/>
          <w:sz w:val="20"/>
          <w:szCs w:val="20"/>
        </w:rPr>
        <w:t>del mismo</w:t>
      </w:r>
      <w:proofErr w:type="gramEnd"/>
      <w:r>
        <w:rPr>
          <w:rFonts w:ascii="Verdana" w:eastAsia="Century Gothic" w:hAnsi="Verdana" w:cs="Century Gothic"/>
          <w:sz w:val="20"/>
          <w:szCs w:val="20"/>
        </w:rPr>
        <w:t>.</w:t>
      </w:r>
      <w:r>
        <w:rPr>
          <w:rFonts w:ascii="Verdana" w:eastAsia="Calibri" w:hAnsi="Verdana" w:cs="Arial"/>
          <w:sz w:val="20"/>
          <w:szCs w:val="20"/>
          <w:lang w:val="es-ES" w:eastAsia="es-ES"/>
        </w:rPr>
        <w:t xml:space="preserve">” </w:t>
      </w:r>
      <w:r>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525FA4B" w14:textId="77777777" w:rsidR="009502B2" w:rsidRPr="00206556" w:rsidRDefault="009502B2" w:rsidP="00E97E29">
      <w:pPr>
        <w:spacing w:after="0" w:line="276" w:lineRule="auto"/>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0FD0DFCB" w14:textId="1A766CE2" w:rsidR="008D5774" w:rsidRDefault="008D5774" w:rsidP="008D5774">
      <w:pPr>
        <w:spacing w:after="0" w:line="276" w:lineRule="auto"/>
        <w:jc w:val="both"/>
        <w:rPr>
          <w:rFonts w:ascii="Verdana" w:eastAsia="Century Gothic" w:hAnsi="Verdana" w:cs="Century Gothic"/>
        </w:rPr>
      </w:pPr>
      <w:r>
        <w:rPr>
          <w:rFonts w:ascii="Verdana" w:eastAsia="Century Gothic" w:hAnsi="Verdana" w:cs="Century Gothic"/>
          <w:lang w:val="es-ES"/>
        </w:rPr>
        <w:t xml:space="preserve">De acuerdo con el contenido de su solicitud, esta Agencia resolverá el siguiente problema jurídico: </w:t>
      </w:r>
      <w:r>
        <w:rPr>
          <w:rFonts w:ascii="Verdana" w:eastAsia="Century Gothic" w:hAnsi="Verdana" w:cs="Century Gothic"/>
        </w:rPr>
        <w:t>¿Cuál es el mecanismo para que las empresas extranjeras acrediten la vinculación laboral de personas con discapacidad en los procesos de contratación pública en Colombia y cuáles son los documentos, certificaciones, autoridades competentes y requisitos de legalización, apostilla o traducción aplicables para demostrar dicha condición cuando la información es expedida en el exterior?</w:t>
      </w:r>
    </w:p>
    <w:p w14:paraId="47BFE32D" w14:textId="77777777" w:rsidR="009502B2" w:rsidRPr="009502B2" w:rsidRDefault="009502B2" w:rsidP="008D5774">
      <w:pPr>
        <w:spacing w:after="0" w:line="276" w:lineRule="auto"/>
        <w:jc w:val="both"/>
        <w:rPr>
          <w:rFonts w:ascii="Verdana" w:eastAsia="Century Gothic" w:hAnsi="Verdana" w:cs="Century Gothic"/>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53DE0D2D" w14:textId="57C90787" w:rsidR="00E97E29" w:rsidRDefault="00EA381F" w:rsidP="00AD17AD">
            <w:pPr>
              <w:spacing w:before="120" w:after="120" w:line="276" w:lineRule="auto"/>
              <w:jc w:val="both"/>
              <w:rPr>
                <w:rFonts w:ascii="Verdana" w:eastAsia="Calibri" w:hAnsi="Verdana" w:cs="Arial"/>
              </w:rPr>
            </w:pPr>
            <w:r>
              <w:rPr>
                <w:rFonts w:ascii="Verdana" w:eastAsia="Calibri" w:hAnsi="Verdana" w:cs="Arial"/>
              </w:rPr>
              <w:lastRenderedPageBreak/>
              <w:t xml:space="preserve">En primer lugar, el mecanismo para acceder a las medidas afirmativas es el previsto en el Decreto 287 de 2026, aplicándose el puntaje adicional con respeto de los Acuerdos Comerciales vigentes para Colombia. Ahora bien, debe distinguirse entre las dos situaciones que dan lugar al puntaje del artículo 2.2.1.2.4.2.7.4.: ser emprendimiento o empresa de personas con discapacidad, o ser empleador de personas con discapacidad. </w:t>
            </w:r>
          </w:p>
          <w:p w14:paraId="4A94D44E" w14:textId="77777777" w:rsidR="00EA381F" w:rsidRDefault="00EA381F" w:rsidP="00AD17AD">
            <w:pPr>
              <w:spacing w:before="120" w:after="120" w:line="276" w:lineRule="auto"/>
              <w:jc w:val="both"/>
              <w:rPr>
                <w:rFonts w:ascii="Verdana" w:eastAsia="Calibri" w:hAnsi="Verdana" w:cs="Arial"/>
              </w:rPr>
            </w:pPr>
            <w:r>
              <w:rPr>
                <w:rFonts w:ascii="Verdana" w:eastAsia="Calibri" w:hAnsi="Verdana" w:cs="Arial"/>
              </w:rPr>
              <w:t xml:space="preserve">       Tratándose de empleadores de personas con discapacidad, la acreditación se realiza con los documentos enlistados en el artículo 2.2.1.2.4.2.7.4. (contrato o certificación laboral con dedicación exclusiva regida por el Código Sustantivo del Trabajo, y aportes a seguridad social que demuestren la vinculación durante los tres meses anteriores al cierre); tratándose de emprendimientos y empresas de personas con discapacidad, con los documentos del artículo 2.2.1.2.4.2.6., permitiéndose la cédula de extranjería o el pasaporte para acreditar la condición de discapacidad de la persona, salvo el supuesto del numeral 4 (persona con discapacidad en cargo de nivel directivo).  </w:t>
            </w:r>
          </w:p>
          <w:p w14:paraId="472C438B" w14:textId="4A2B01F4" w:rsidR="001F019C" w:rsidRDefault="00EA381F" w:rsidP="00AD17AD">
            <w:pPr>
              <w:spacing w:before="120" w:after="120" w:line="276" w:lineRule="auto"/>
              <w:jc w:val="both"/>
              <w:rPr>
                <w:rFonts w:ascii="Verdana" w:eastAsia="Calibri" w:hAnsi="Verdana" w:cs="Arial"/>
              </w:rPr>
            </w:pPr>
            <w:r>
              <w:rPr>
                <w:rFonts w:ascii="Verdana" w:eastAsia="Calibri" w:hAnsi="Verdana" w:cs="Arial"/>
              </w:rPr>
              <w:t xml:space="preserve">       </w:t>
            </w:r>
            <w:r w:rsidR="00DA6F8B" w:rsidRPr="00DA6F8B">
              <w:rPr>
                <w:rFonts w:ascii="Verdana" w:eastAsia="Calibri" w:hAnsi="Verdana" w:cs="Arial"/>
              </w:rPr>
              <w:t>Los documentos de evidencia pueden provenir de autoridades del país de origen, pero deben surtir el trámite de validez de los documentos otorgados en el exterior. En tal sentido, conforme al régimen general, los documentos públicos otorgados en el extranjero deben presentarse apostillados, si el país de origen es parte del Convenio de La Haya de 1961, aprobado por la Ley 455 de 1998, o legalizados por vía consular en caso contrario, y acompañados de traducción oficial al español cuando estén en otro idioma, de conformidad con el artículo 251 del Código General del Proceso y el artículo 480 del Código de Comercio.</w:t>
            </w:r>
            <w:r w:rsidR="00E97E29">
              <w:rPr>
                <w:rFonts w:ascii="Verdana" w:eastAsia="Calibri" w:hAnsi="Verdana" w:cs="Arial"/>
              </w:rPr>
              <w:t xml:space="preserve"> </w:t>
            </w:r>
          </w:p>
          <w:p w14:paraId="59BB8292" w14:textId="54BFF7E7" w:rsidR="005510BC" w:rsidRPr="00670CFB" w:rsidRDefault="00C247A0" w:rsidP="00C247A0">
            <w:pPr>
              <w:spacing w:before="120" w:after="120" w:line="276" w:lineRule="auto"/>
              <w:jc w:val="both"/>
              <w:rPr>
                <w:rFonts w:ascii="Verdana" w:eastAsia="Calibri" w:hAnsi="Verdana" w:cs="Arial"/>
              </w:rPr>
            </w:pPr>
            <w:r>
              <w:rPr>
                <w:rFonts w:ascii="Verdana" w:eastAsia="Calibri" w:hAnsi="Verdana" w:cs="Arial"/>
              </w:rPr>
              <w:t xml:space="preserve">      Finalmente, es necesario indicar que sí existe pronunciamiento institucional aplicable frente al problema jurídico planteado y se trata de la Circular Externa 003 de 2026 y la Guía para la participación de Proveedores Extranjeros en Procesos de Contratación de la ANCP-CCE, que se relacionan al final de este concepto. Se advierte, además, que los criterios habilitantes diferenciales solo aplican a emprendimientos y empresas de personas con discapacidad con domicilio en Colombia, por lo que un proponente extranjero sin domicilio en el país no accede a esa medida específica, conforme lo precisa la Circular Externa 003 de 2026. </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5930F651" w:rsidR="005510BC" w:rsidRPr="00206556" w:rsidRDefault="005510BC" w:rsidP="005510BC">
      <w:pPr>
        <w:spacing w:after="120" w:line="276" w:lineRule="auto"/>
        <w:jc w:val="both"/>
        <w:rPr>
          <w:rFonts w:ascii="Verdana" w:hAnsi="Verdana"/>
        </w:rPr>
      </w:pPr>
      <w:r>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Pr>
          <w:rFonts w:ascii="Verdana" w:eastAsia="Times New Roman" w:hAnsi="Verdana" w:cs="Times New Roman"/>
        </w:rPr>
        <w:t>El fundamento del Sistema de Preferencias para PcD en la contratación pública es el principio de igualdad real y efectiva consagrado en el artículo 13 de la Constitución Política de 1991</w:t>
      </w:r>
      <w:r>
        <w:rPr>
          <w:rStyle w:val="Refdenotaalpie"/>
          <w:rFonts w:ascii="Verdana" w:eastAsia="Times New Roman" w:hAnsi="Verdana" w:cs="Times New Roman"/>
        </w:rPr>
        <w:footnoteReference w:id="1"/>
      </w:r>
      <w:r>
        <w:rPr>
          <w:rFonts w:ascii="Verdana" w:eastAsia="Times New Roman" w:hAnsi="Verdana" w:cs="Times New Roman"/>
        </w:rPr>
        <w:t xml:space="preserve">, que impone al Estado el deber positivo de adoptar </w:t>
      </w:r>
      <w:r>
        <w:rPr>
          <w:rFonts w:ascii="Verdana" w:eastAsia="Times New Roman" w:hAnsi="Verdana" w:cs="Times New Roman"/>
          <w:i/>
          <w:iCs/>
        </w:rPr>
        <w:t>acciones afirmativas</w:t>
      </w:r>
      <w:r>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Pr>
          <w:rStyle w:val="Refdenotaalpie"/>
          <w:rFonts w:ascii="Verdana" w:eastAsia="Times New Roman" w:hAnsi="Verdana" w:cs="Times New Roman"/>
        </w:rPr>
        <w:footnoteReference w:id="3"/>
      </w:r>
      <w:r>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Pr>
          <w:rStyle w:val="Refdenotaalpie"/>
          <w:rFonts w:ascii="Verdana" w:eastAsia="Times New Roman" w:hAnsi="Verdana" w:cs="Times New Roman"/>
        </w:rPr>
        <w:footnoteReference w:id="4"/>
      </w:r>
      <w:r>
        <w:rPr>
          <w:rFonts w:ascii="Verdana" w:eastAsia="Times New Roman" w:hAnsi="Verdana" w:cs="Times New Roman"/>
        </w:rPr>
        <w:t xml:space="preserve"> ordena eliminar progresivamente la discriminación en la prestación de servicios, incluido el </w:t>
      </w:r>
      <w:r>
        <w:rPr>
          <w:rFonts w:ascii="Verdana" w:eastAsia="Times New Roman" w:hAnsi="Verdana" w:cs="Times New Roman"/>
        </w:rPr>
        <w:lastRenderedPageBreak/>
        <w:t>empleo. El Convenio 159 de la OIT</w:t>
      </w:r>
      <w:r>
        <w:rPr>
          <w:rStyle w:val="Refdenotaalpie"/>
          <w:rFonts w:ascii="Verdana" w:eastAsia="Times New Roman" w:hAnsi="Verdana" w:cs="Times New Roman"/>
        </w:rPr>
        <w:footnoteReference w:id="5"/>
      </w:r>
      <w:r>
        <w:rPr>
          <w:rFonts w:ascii="Verdana" w:eastAsia="Times New Roman" w:hAnsi="Verdana" w:cs="Times New Roman"/>
        </w:rPr>
        <w:t xml:space="preserve"> exige medidas orientadas a garantizar la igualdad de oportunidades de todas las categorías de PcD en materia de empleo.</w:t>
      </w:r>
    </w:p>
    <w:p w14:paraId="5165B87A" w14:textId="77777777" w:rsidR="005510BC" w:rsidRPr="00206556" w:rsidRDefault="005510BC" w:rsidP="005510BC">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Pr>
          <w:rStyle w:val="Refdenotaalpie"/>
          <w:rFonts w:ascii="Verdana" w:eastAsia="Times New Roman" w:hAnsi="Verdana" w:cs="Times New Roman"/>
        </w:rPr>
        <w:footnoteReference w:id="6"/>
      </w:r>
      <w:r>
        <w:rPr>
          <w:rFonts w:ascii="Verdana" w:eastAsia="Times New Roman" w:hAnsi="Verdana" w:cs="Times New Roman"/>
        </w:rPr>
        <w:t>.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4662F524" w14:textId="77777777" w:rsidR="005510BC" w:rsidRPr="00206556" w:rsidRDefault="005510BC" w:rsidP="005510BC">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 xml:space="preserve">La Ley Estatutaria 1618 de 2013 representó un salto cualitativo en el marco jurídico de protección de las PcD, al definir a estas como </w:t>
      </w:r>
      <w:r>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Pr>
          <w:rStyle w:val="Refdenotaalpie"/>
          <w:rFonts w:ascii="Verdana" w:eastAsia="Times New Roman" w:hAnsi="Verdana" w:cs="Times New Roman"/>
          <w:i/>
          <w:iCs/>
        </w:rPr>
        <w:footnoteReference w:id="7"/>
      </w:r>
      <w:r>
        <w:rPr>
          <w:rFonts w:ascii="Verdana" w:eastAsia="Times New Roman" w:hAnsi="Verdana" w:cs="Times New Roman"/>
          <w:i/>
          <w:iCs/>
        </w:rPr>
        <w:t>.</w:t>
      </w:r>
      <w:r>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Pr>
          <w:rStyle w:val="Refdenotaalpie"/>
          <w:rFonts w:ascii="Verdana" w:eastAsia="Times New Roman" w:hAnsi="Verdana" w:cs="Times New Roman"/>
        </w:rPr>
        <w:footnoteReference w:id="8"/>
      </w:r>
      <w:r>
        <w:rPr>
          <w:rFonts w:ascii="Verdana" w:eastAsia="Times New Roman" w:hAnsi="Verdana" w:cs="Times New Roman"/>
        </w:rPr>
        <w:t xml:space="preserve">. Este último mandato fue especialmente significativo porque introdujo el concepto de </w:t>
      </w:r>
      <w:r>
        <w:rPr>
          <w:rFonts w:ascii="Verdana" w:eastAsia="Times New Roman" w:hAnsi="Verdana" w:cs="Times New Roman"/>
          <w:i/>
          <w:iCs/>
        </w:rPr>
        <w:t>"sistema de preferencias"</w:t>
      </w:r>
      <w:r>
        <w:rPr>
          <w:rFonts w:ascii="Verdana" w:eastAsia="Times New Roman" w:hAnsi="Verdana" w:cs="Times New Roman"/>
        </w:rPr>
        <w:t xml:space="preserve">, que por definición no puede reducirse a una sola </w:t>
      </w:r>
      <w:proofErr w:type="gramStart"/>
      <w:r>
        <w:rPr>
          <w:rFonts w:ascii="Verdana" w:eastAsia="Times New Roman" w:hAnsi="Verdana" w:cs="Times New Roman"/>
        </w:rPr>
        <w:t>medida</w:t>
      </w:r>
      <w:proofErr w:type="gramEnd"/>
      <w:r>
        <w:rPr>
          <w:rFonts w:ascii="Verdana" w:eastAsia="Times New Roman" w:hAnsi="Verdana" w:cs="Times New Roman"/>
        </w:rPr>
        <w:t xml:space="preserve">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w:t>
      </w:r>
      <w:r>
        <w:rPr>
          <w:rFonts w:ascii="Verdana" w:hAnsi="Verdana"/>
        </w:rPr>
        <w:lastRenderedPageBreak/>
        <w:t>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34CE263B" w14:textId="7EEB223E" w:rsidR="005510BC" w:rsidRDefault="005510BC" w:rsidP="00960D60">
      <w:pPr>
        <w:spacing w:after="120" w:line="276" w:lineRule="auto"/>
        <w:ind w:firstLine="709"/>
        <w:jc w:val="both"/>
        <w:rPr>
          <w:rFonts w:ascii="Verdana" w:hAnsi="Verdana"/>
        </w:rPr>
      </w:pPr>
      <w:r>
        <w:rPr>
          <w:rFonts w:ascii="Verdana" w:hAnsi="Verdana"/>
        </w:rPr>
        <w:t>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Pr>
          <w:rFonts w:ascii="Verdana" w:hAnsi="Verdana"/>
        </w:rPr>
        <w:t xml:space="preserve">En cumplimiento de esa decisión fue expedido el Decreto 0287 de 2026, el cual, como se indicó en la respuesta, establece un Sistema Integral de Preferencias compuesto por cinco medidas afirmativas que actúan en todas las fases del proceso contractual, planeación, selección, adjudicación y ejecución, y que benefician a dos sujetos diferenciados: los emprendimientos y empresas de PcD y los empleadores de PcD. A continuación, se desarrolla el alcance de cada aspecto del sistema planteado en los problemas jurídicos. </w:t>
      </w:r>
    </w:p>
    <w:p w14:paraId="2BA717EC" w14:textId="134B5A94" w:rsidR="005510BC" w:rsidRPr="00E727F0" w:rsidRDefault="005510BC" w:rsidP="005510BC">
      <w:pPr>
        <w:spacing w:after="120" w:line="276" w:lineRule="auto"/>
        <w:ind w:firstLine="708"/>
        <w:jc w:val="both"/>
        <w:rPr>
          <w:rFonts w:ascii="Verdana" w:hAnsi="Verdana"/>
        </w:rPr>
      </w:pPr>
      <w:r>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w:t>
      </w:r>
      <w:r>
        <w:rPr>
          <w:rFonts w:ascii="Verdana" w:eastAsia="Times New Roman" w:hAnsi="Verdana" w:cs="Times New Roman"/>
        </w:rPr>
        <w:lastRenderedPageBreak/>
        <w:t>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D3C6E2B" w14:textId="128607C5" w:rsidR="005510BC" w:rsidRPr="00D22B7C" w:rsidRDefault="005510BC" w:rsidP="00960D60">
      <w:pPr>
        <w:spacing w:after="120" w:line="276" w:lineRule="auto"/>
        <w:ind w:firstLine="709"/>
        <w:jc w:val="both"/>
        <w:rPr>
          <w:rFonts w:ascii="Verdana" w:hAnsi="Verdana"/>
        </w:rPr>
      </w:pPr>
      <w:r>
        <w:rPr>
          <w:rFonts w:ascii="Verdana" w:eastAsia="Times New Roman" w:hAnsi="Verdana" w:cs="Times New Roman"/>
        </w:rPr>
        <w:t>En cuanto a la exigencia del número mínimo de PcD vinculadas y la acreditación mediante planillas de seguridad social, el artículo 2.2.1.2.4.2.7.4. del Decreto 0287 de 2026 establece que para acceder al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lastRenderedPageBreak/>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p>
    <w:p w14:paraId="34B9593A" w14:textId="77777777" w:rsidR="005510BC" w:rsidRPr="00D22B7C" w:rsidRDefault="005510BC" w:rsidP="005510BC">
      <w:pPr>
        <w:spacing w:after="120" w:line="276" w:lineRule="auto"/>
        <w:ind w:firstLine="709"/>
        <w:jc w:val="both"/>
        <w:rPr>
          <w:rFonts w:ascii="Verdana" w:hAnsi="Verdana"/>
        </w:rPr>
      </w:pPr>
      <w:r>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del Trabajo, entre otros documentos. La razón de este requisito es garantizar que la vinculación sea real, estable y verificable, y no meramente instrumental para un proceso contractual específico. La Circular Externa 003 de 2026 de Colombia Compra Eficiente, sobre orientaciones para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p>
    <w:p w14:paraId="4CE21EAF" w14:textId="118618DD" w:rsidR="005510BC" w:rsidRDefault="005510BC" w:rsidP="00960D60">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w:t>
      </w:r>
      <w:r>
        <w:rPr>
          <w:rFonts w:ascii="Verdana" w:eastAsia="Times New Roman" w:hAnsi="Verdana" w:cs="Times New Roman"/>
        </w:rPr>
        <w:lastRenderedPageBreak/>
        <w:t>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Es importante precisar que la vinculación de PcD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 entre otros;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Pr>
          <w:rFonts w:ascii="Verdana" w:eastAsia="Times New Roman" w:hAnsi="Verdana" w:cs="Times New Roman"/>
        </w:rPr>
        <w:t>meses aquí mencionado</w:t>
      </w:r>
      <w:proofErr w:type="gramEnd"/>
      <w:r>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76EF70BC" w14:textId="7367D2D6" w:rsidR="005510BC" w:rsidRPr="00D22B7C" w:rsidRDefault="005510BC" w:rsidP="005510BC">
      <w:pPr>
        <w:spacing w:after="120" w:line="276" w:lineRule="auto"/>
        <w:ind w:firstLine="709"/>
        <w:jc w:val="both"/>
        <w:rPr>
          <w:rFonts w:ascii="Verdana" w:hAnsi="Verdana"/>
        </w:rPr>
      </w:pPr>
      <w:r>
        <w:rPr>
          <w:rFonts w:ascii="Verdana" w:hAnsi="Verdana"/>
        </w:rPr>
        <w:t>En relación, al ámbito de aplicación del puntaje adicional del 2%, el artículo 2.2.1.2.4.2.7.4. del Decreto 0287 de 2026 establece este puntaje exclusivamente en los procedimientos de licitación pública y concurso de méritos, para entidades regidas por el Estatuto General de Contratación Pública.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de selección; y la contratación directa tiene su propia medida afirmativa a través de los contratos de prestación de servicios con PcD.</w:t>
      </w:r>
    </w:p>
    <w:p w14:paraId="0499C934" w14:textId="508D9DFB" w:rsidR="005510BC" w:rsidRPr="00670CFB" w:rsidRDefault="005510BC" w:rsidP="005510BC">
      <w:pPr>
        <w:spacing w:after="120" w:line="276" w:lineRule="auto"/>
        <w:ind w:firstLine="709"/>
        <w:jc w:val="both"/>
        <w:rPr>
          <w:rFonts w:ascii="Verdana" w:hAnsi="Verdana"/>
        </w:rPr>
      </w:pPr>
      <w:r>
        <w:rPr>
          <w:rFonts w:ascii="Verdana" w:hAnsi="Verdana"/>
        </w:rPr>
        <w:lastRenderedPageBreak/>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Pr>
          <w:rFonts w:ascii="Verdana" w:hAnsi="Verdana"/>
        </w:rPr>
        <w:t>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sometidas al Estatuto General de Contratación Pública 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La segunda medida son los criterios habilitantes diferenciales, regulados en el artículo 2.2.1.2.4.2.7.3. del Decreto 1082 de 2015 (modificado), que </w:t>
      </w:r>
      <w:r>
        <w:rPr>
          <w:rFonts w:ascii="Verdana" w:hAnsi="Verdana"/>
        </w:rPr>
        <w:lastRenderedPageBreak/>
        <w:t>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del Estatuto General de Contratación Pública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Como ya se indicó anteriormente, este puntaje es único y no acumulable: aunque el proponente acredite ambas condiciones simultáneamente, el puntaje máximo a otorgar es siempre el 2%, sin que las condiciones sean sumables. Aplica únicamente en entidades sometidas al Estatuto General de Contratación Pública,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w:t>
      </w:r>
      <w:r>
        <w:rPr>
          <w:rFonts w:ascii="Verdana" w:hAnsi="Verdana"/>
        </w:rPr>
        <w:lastRenderedPageBreak/>
        <w:t>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45285651" w14:textId="77777777" w:rsidR="005510BC" w:rsidRPr="00670CFB" w:rsidRDefault="005510BC" w:rsidP="005510BC">
      <w:pPr>
        <w:spacing w:after="120" w:line="276" w:lineRule="auto"/>
        <w:ind w:firstLine="709"/>
        <w:jc w:val="both"/>
        <w:rPr>
          <w:rFonts w:ascii="Verdana" w:hAnsi="Verdana"/>
        </w:rPr>
      </w:pPr>
      <w:r>
        <w:rPr>
          <w:rFonts w:ascii="Verdana" w:hAnsi="Verdana"/>
        </w:rPr>
        <w:t>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w:t>
      </w:r>
      <w:r>
        <w:rPr>
          <w:rFonts w:ascii="Verdana" w:hAnsi="Verdana"/>
        </w:rPr>
        <w:lastRenderedPageBreak/>
        <w:t>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los que se adquieran bienes, obras o servicios.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w:t>
      </w:r>
      <w:proofErr w:type="gramStart"/>
      <w:r>
        <w:rPr>
          <w:rFonts w:ascii="Verdana" w:hAnsi="Verdana"/>
        </w:rPr>
        <w:t>obligación</w:t>
      </w:r>
      <w:proofErr w:type="gramEnd"/>
      <w:r>
        <w:rPr>
          <w:rFonts w:ascii="Verdana" w:hAnsi="Verdana"/>
        </w:rPr>
        <w:t xml:space="preserve"> sino que la convierte en autora de sus propios estándares de accesibilidad para ese contrato específico.</w:t>
      </w:r>
    </w:p>
    <w:p w14:paraId="78BD1F62" w14:textId="77777777" w:rsidR="005510BC" w:rsidRPr="00670CFB" w:rsidRDefault="005510BC" w:rsidP="005510BC">
      <w:pPr>
        <w:spacing w:after="120" w:line="276" w:lineRule="auto"/>
        <w:ind w:firstLine="709"/>
        <w:jc w:val="both"/>
        <w:rPr>
          <w:rFonts w:ascii="Verdana" w:hAnsi="Verdana"/>
        </w:rPr>
      </w:pPr>
      <w:r>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E71F0B1" w14:textId="2775CEF2" w:rsidR="005510BC" w:rsidRPr="00206556" w:rsidRDefault="005510BC" w:rsidP="00C247A0">
      <w:pPr>
        <w:spacing w:before="120" w:after="120" w:line="276" w:lineRule="auto"/>
        <w:ind w:firstLine="708"/>
        <w:jc w:val="both"/>
        <w:rPr>
          <w:rFonts w:ascii="Verdana" w:hAnsi="Verdana"/>
        </w:rPr>
      </w:pPr>
      <w:r>
        <w:rPr>
          <w:rFonts w:ascii="Verdana" w:hAnsi="Verdana"/>
        </w:rPr>
        <w:t xml:space="preserve">En relación con las inquietudes sobre la participación de empresas con sede en el extranjero, que constituyen el eje del problema jurídico planteado, esta Agencia se pronunció de manera expresa en el numeral vii) “Acuerdos </w:t>
      </w:r>
      <w:r>
        <w:rPr>
          <w:rFonts w:ascii="Verdana" w:hAnsi="Verdana"/>
        </w:rPr>
        <w:lastRenderedPageBreak/>
        <w:t>comerciales y proponentes extranjeros” de la Circular Externa 003 de 2026, mediante la cual se impartieron orientaciones para la aplicación del Decreto 287 de 2026. Conforme a dicho pronunciamiento, el inciso final del artículo 2.2.1.2.4.2.7.4. del Decreto 1082 de 2015 (modificado por el Decreto 287 de 2026) dispone que el puntaje adicional se aplica respetando los Acuerdos Comerciales vigentes para Colombia, y la definición de emprendimientos y empresas de personas con discapacidad admite, como documento para acreditar los distintos supuestos, la cédula de extranjería o el pasaporte, salvo el supuesto del numeral 4 del citado artículo, referido a personas con discapacidad en cargos de nivel directivo. No obstante, la medida de criterios habilitantes diferenciales se prevé únicamente para emprendimientos y empresas de personas con discapacidad con domicilio en el territorio nacional, de modo que, como lo precisa la citada Circular Externa 003 de 2026, un proponente extranjero sin domicilio en Colombia no puede acceder a esa medida afirmativa específica, sin perjuicio de que sí pueda participar en el proceso de contratación y acceder al puntaje adicional, correspondiendo a la entidad contratante verificar en cada caso el cumplimiento de los requisitos conforme a la normativa aplicable.</w:t>
      </w:r>
    </w:p>
    <w:p w14:paraId="74225CD7" w14:textId="77777777" w:rsidR="00B721EE" w:rsidRDefault="005510BC" w:rsidP="00C247A0">
      <w:pPr>
        <w:spacing w:before="120" w:after="120" w:line="276" w:lineRule="auto"/>
        <w:ind w:firstLine="708"/>
        <w:jc w:val="both"/>
        <w:rPr>
          <w:rFonts w:ascii="Verdana" w:hAnsi="Verdana"/>
        </w:rPr>
      </w:pPr>
      <w:r>
        <w:rPr>
          <w:rFonts w:ascii="Verdana" w:hAnsi="Verdana"/>
        </w:rPr>
        <w:t>De conformidad con la Guía para la participación de Proveedores Extranjeros en Procesos de Contratación expedida por esta Agencia</w:t>
      </w:r>
      <w:r w:rsidR="00B721EE">
        <w:rPr>
          <w:rFonts w:ascii="Verdana" w:hAnsi="Verdana"/>
        </w:rPr>
        <w:t xml:space="preserve">, </w:t>
      </w:r>
      <w:r>
        <w:rPr>
          <w:rFonts w:ascii="Verdana" w:hAnsi="Verdana"/>
        </w:rPr>
        <w:t xml:space="preserve">a la cual remite expresamente el numeral vii) de la Circular Externa 003 de 2026, es posible la participación de proponentes extranjeros cumpliendo los lineamientos allí señalados: los proponentes extranjeros con domicilio en Colombia deben contar con Registro Único de Proponentes (RUP), mientras que aquellos sin domicilio en el país no deben tener dicho registro. Estos últimos, sin embargo, no podrían acceder a la medida afirmativa de criterios habilitantes diferenciales, puesto que el Decreto 287 de 2026 es claro al señalar que con ella se busca promover la participación de emprendimientos y empresas de personas con discapacidad con domicilio en Colombia, según lo precisa el numeral vii) de la Circular Externa 003 de 2026. </w:t>
      </w:r>
    </w:p>
    <w:p w14:paraId="1E71F0B2" w14:textId="7934A81D" w:rsidR="005510BC" w:rsidRPr="00206556" w:rsidRDefault="005510BC" w:rsidP="00C247A0">
      <w:pPr>
        <w:spacing w:before="120" w:after="120" w:line="276" w:lineRule="auto"/>
        <w:ind w:firstLine="708"/>
        <w:jc w:val="both"/>
        <w:rPr>
          <w:rFonts w:ascii="Verdana" w:hAnsi="Verdana"/>
        </w:rPr>
      </w:pPr>
      <w:r>
        <w:rPr>
          <w:rFonts w:ascii="Verdana" w:hAnsi="Verdana"/>
        </w:rPr>
        <w:t xml:space="preserve">En cuanto a la validez de los documentos otorgados en el exterior para acreditar la condición de discapacidad o la vinculación laboral, estos deben presentarse apostillados cuando provengan de un Estado parte del Convenio de La Haya de 1961 sobre abolición del requisito de legalización para documentos públicos extranjeros, aprobado mediante la Ley 455 de 1998, o legalizados por la vía consular cuando el país de origen no sea parte de dicho convenio; y, </w:t>
      </w:r>
      <w:r>
        <w:rPr>
          <w:rFonts w:ascii="Verdana" w:hAnsi="Verdana"/>
        </w:rPr>
        <w:lastRenderedPageBreak/>
        <w:t>cuando estén otorgados en idioma distinto al español, deben acompañarse de la correspondiente traducción oficial, conforme al artículo 251 del Código General del Proceso y al artículo 480 del Código de Comercio. La certificación de la condición de discapacidad o de la vinculación laboral puede ser expedida por la autoridad competente del país de origen, siempre que el documento surta el trámite de apostilla o legalización y traducción descrito, sin que esta Agencia pueda enlistar de manera exhaustiva y previa las autoridades extranjeras válidas, por cuanto ello depende de la organización institucional de cada Estado; corresponderá a la entidad contratante, en cada proceso, valorar la idoneidad del documento aportado conforme a las reglas de validez aquí señaladas.</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 xml:space="preserve">Decreto 0287 de 2026. Por el cual se modifican los artículos </w:t>
            </w:r>
            <w:r>
              <w:rPr>
                <w:rFonts w:ascii="Verdana" w:eastAsia="Arial MT" w:hAnsi="Verdana" w:cs="Arial"/>
                <w:lang w:eastAsia="es-ES" w:bidi="es-ES"/>
              </w:rPr>
              <w:lastRenderedPageBreak/>
              <w:t>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Consejo de Estado. Sala de lo Contencioso Administrativo, Sección Quinta. Sentencia de acción de cumplimiento del 12 de diciembre de 2024. Rad. n.°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Circular Externa 003 de 2026,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Pr>
          <w:rFonts w:ascii="Verdana" w:eastAsia="Calibri" w:hAnsi="Verdana" w:cs="Arial"/>
          <w:lang w:val="es-ES"/>
        </w:rPr>
        <w:t xml:space="preserve">La Agencia Nacional de Contratación Pública – Colombia Compra Eficiente se ha referido </w:t>
      </w:r>
      <w:r>
        <w:rPr>
          <w:rFonts w:ascii="Verdana" w:hAnsi="Verdana" w:cs="Arial"/>
          <w:shd w:val="clear" w:color="auto" w:fill="FFFFFF"/>
          <w:lang w:val="es-ES"/>
        </w:rPr>
        <w:t>sobre el alcance del Decreto 0287 de 2026 en este concepto</w:t>
      </w:r>
      <w:r>
        <w:rPr>
          <w:rFonts w:ascii="Verdana" w:eastAsia="Calibri" w:hAnsi="Verdana" w:cs="Arial"/>
          <w:lang w:val="es-ES_tradnl" w:eastAsia="es-ES"/>
        </w:rPr>
        <w:t>.</w:t>
      </w:r>
      <w:r>
        <w:rPr>
          <w:rFonts w:ascii="Verdana" w:hAnsi="Verdana" w:cs="Arial"/>
          <w:shd w:val="clear" w:color="auto" w:fill="FFFFFF"/>
          <w:lang w:val="es-ES"/>
        </w:rPr>
        <w:t xml:space="preserve"> Este</w:t>
      </w:r>
      <w:r>
        <w:rPr>
          <w:rFonts w:ascii="Verdana" w:hAnsi="Verdana"/>
          <w:lang w:val="es-ES"/>
        </w:rPr>
        <w:t xml:space="preserve"> y otros se encuentran disponibles para consulta en el Sistema de relatoría de la </w:t>
      </w:r>
      <w:r>
        <w:rPr>
          <w:rFonts w:ascii="Verdana" w:hAnsi="Verdana"/>
          <w:lang w:val="es-ES"/>
        </w:rPr>
        <w:lastRenderedPageBreak/>
        <w:t>Agencia, al cual se puede acceder a través del siguiente enlace:</w:t>
      </w:r>
      <w:r>
        <w:rPr>
          <w:rFonts w:ascii="Verdana" w:hAnsi="Verdana" w:cs="Arial"/>
          <w:shd w:val="clear" w:color="auto" w:fill="FFFFFF"/>
          <w:lang w:val="es-ES"/>
        </w:rPr>
        <w:t xml:space="preserve"> </w:t>
      </w:r>
      <w:hyperlink r:id="rId12" w:history="1">
        <w:r>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Pr>
            <w:rStyle w:val="Hipervnculo"/>
            <w:rFonts w:ascii="Verdana" w:hAnsi="Verdana" w:cs="Arial"/>
            <w:shd w:val="clear" w:color="auto" w:fill="FFFFFF"/>
          </w:rPr>
          <w:t>https://formacionvirtual.colombiacompra.gov.co/mod/page/view.php?id=3718</w:t>
        </w:r>
      </w:hyperlink>
      <w:r>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Pr>
          <w:rFonts w:ascii="Verdana" w:hAnsi="Verdana" w:cs="Arial"/>
          <w:shd w:val="clear" w:color="auto" w:fill="FFFFFF"/>
        </w:rPr>
        <w:t>Además</w:t>
      </w:r>
      <w:proofErr w:type="gramEnd"/>
      <w:r>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Twitter: </w:t>
      </w:r>
      <w:r>
        <w:rPr>
          <w:rStyle w:val="Hipervnculo"/>
          <w:rFonts w:ascii="Verdana" w:hAnsi="Verdana"/>
          <w:lang w:val="es-ES"/>
        </w:rPr>
        <w:t>@colombiacompra</w:t>
      </w:r>
      <w:r>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Facebook:</w:t>
      </w:r>
      <w:r>
        <w:rPr>
          <w:rStyle w:val="Hipervnculo"/>
          <w:rFonts w:ascii="Verdana" w:hAnsi="Verdana"/>
          <w:lang w:val="es-ES"/>
        </w:rPr>
        <w:t xml:space="preserve"> ColombiaCompraEficiente</w:t>
      </w:r>
    </w:p>
    <w:p w14:paraId="1CA81020"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LinkedIn: </w:t>
      </w:r>
      <w:r>
        <w:rPr>
          <w:rStyle w:val="Hipervnculo"/>
          <w:rFonts w:ascii="Verdana" w:hAnsi="Verdana"/>
          <w:lang w:val="es-ES"/>
        </w:rPr>
        <w:t>Agencia Nacional de Contratación Pública - Colombia Compra Eficiente</w:t>
      </w:r>
      <w:r>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Instagram: </w:t>
      </w:r>
      <w:r>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Pr>
          <w:rFonts w:ascii="Verdana" w:eastAsia="Times New Roman" w:hAnsi="Verdana" w:cs="Arial"/>
          <w:lang w:val="es-ES" w:eastAsia="es-CO"/>
        </w:rPr>
        <w:t>Atentamente,</w:t>
      </w:r>
      <w:r>
        <w:rPr>
          <w:rFonts w:ascii="Verdana" w:hAnsi="Verdana" w:cs="Arial"/>
          <w:lang w:val="es-ES" w:eastAsia="es-CO"/>
        </w:rPr>
        <w:t xml:space="preserve"> </w:t>
      </w:r>
    </w:p>
    <w:p w14:paraId="13C0EB0F" w14:textId="78B05680" w:rsidR="00A754B1" w:rsidRPr="00206556" w:rsidRDefault="00602459"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1FF360A4" wp14:editId="50D56272">
            <wp:extent cx="3639058" cy="1343212"/>
            <wp:effectExtent l="0" t="0" r="0" b="0"/>
            <wp:docPr id="204861584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615847"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Elaboró:         </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eastAsia="es-ES"/>
              </w:rPr>
              <w:t xml:space="preserve">Contratista </w:t>
            </w:r>
            <w:r>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Revisó: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7ACE8142" w14:textId="77777777" w:rsidR="00B721EE" w:rsidRPr="00206556" w:rsidRDefault="00B721EE" w:rsidP="00B721EE">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Alejandro Raúl Sarmiento Cantillo </w:t>
            </w:r>
          </w:p>
          <w:p w14:paraId="5F41BC4F" w14:textId="77777777" w:rsidR="00B721EE" w:rsidRPr="00D415B4" w:rsidRDefault="00B721EE" w:rsidP="00B721EE">
            <w:pPr>
              <w:autoSpaceDE w:val="0"/>
              <w:autoSpaceDN w:val="0"/>
              <w:adjustRightInd w:val="0"/>
              <w:spacing w:after="0" w:line="276" w:lineRule="auto"/>
              <w:rPr>
                <w:rFonts w:ascii="Verdana" w:eastAsia="Calibri" w:hAnsi="Verdana" w:cs="Arial"/>
                <w:sz w:val="16"/>
                <w:szCs w:val="16"/>
              </w:rPr>
            </w:pPr>
            <w:r w:rsidRPr="00D415B4">
              <w:rPr>
                <w:rFonts w:ascii="Verdana" w:eastAsia="Calibri" w:hAnsi="Verdana" w:cs="Arial"/>
                <w:sz w:val="16"/>
                <w:szCs w:val="16"/>
              </w:rPr>
              <w:t>Gestor Código T1 Grado15 Subdirección de</w:t>
            </w:r>
          </w:p>
          <w:p w14:paraId="4F030FDF" w14:textId="77E1FBF0" w:rsidR="00A754B1" w:rsidRPr="00206556" w:rsidRDefault="00B721EE" w:rsidP="00B721EE">
            <w:pPr>
              <w:autoSpaceDE w:val="0"/>
              <w:autoSpaceDN w:val="0"/>
              <w:adjustRightInd w:val="0"/>
              <w:spacing w:after="0" w:line="276" w:lineRule="auto"/>
              <w:rPr>
                <w:rFonts w:ascii="Verdana" w:eastAsia="Times New Roman" w:hAnsi="Verdana" w:cs="Times New Roman"/>
                <w:sz w:val="16"/>
                <w:szCs w:val="16"/>
                <w:lang w:eastAsia="es-CO"/>
              </w:rPr>
            </w:pPr>
            <w:r w:rsidRPr="00D415B4">
              <w:rPr>
                <w:rFonts w:ascii="Verdana" w:eastAsia="Calibri" w:hAnsi="Verdana" w:cs="Arial"/>
                <w:sz w:val="16"/>
                <w:szCs w:val="16"/>
              </w:rPr>
              <w:t>Gestión Contractual</w:t>
            </w: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Aprobó: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Subdirectora de Gestión Contractual ANCP – CCE</w:t>
            </w:r>
          </w:p>
        </w:tc>
      </w:tr>
      <w:bookmarkEnd w:id="1"/>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bookmarkEnd w:id="0"/>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9998F" w14:textId="77777777" w:rsidR="0043637C" w:rsidRDefault="0043637C" w:rsidP="004A1847">
      <w:pPr>
        <w:spacing w:after="0" w:line="240" w:lineRule="auto"/>
      </w:pPr>
      <w:r>
        <w:separator/>
      </w:r>
    </w:p>
  </w:endnote>
  <w:endnote w:type="continuationSeparator" w:id="0">
    <w:p w14:paraId="3C86C8E4" w14:textId="77777777" w:rsidR="0043637C" w:rsidRDefault="0043637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32350" w14:textId="77777777" w:rsidR="0043637C" w:rsidRDefault="0043637C" w:rsidP="004A1847">
      <w:pPr>
        <w:spacing w:after="0" w:line="240" w:lineRule="auto"/>
      </w:pPr>
      <w:r>
        <w:separator/>
      </w:r>
    </w:p>
  </w:footnote>
  <w:footnote w:type="continuationSeparator" w:id="0">
    <w:p w14:paraId="0DC293E7" w14:textId="77777777" w:rsidR="0043637C" w:rsidRDefault="0043637C" w:rsidP="004A1847">
      <w:pPr>
        <w:spacing w:after="0" w:line="240" w:lineRule="auto"/>
      </w:pPr>
      <w:r>
        <w:continuationSeparator/>
      </w:r>
    </w:p>
  </w:footnote>
  <w:footnote w:id="1">
    <w:p w14:paraId="146E5890" w14:textId="6EF6B92A" w:rsidR="005510BC" w:rsidRPr="00DA6F8B" w:rsidRDefault="005510BC" w:rsidP="00DA6F8B">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47898830" w14:textId="0A2A840F" w:rsidR="005510BC" w:rsidRPr="00DA6F8B" w:rsidRDefault="005510BC" w:rsidP="00DA6F8B">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152A2E9B" w14:textId="054B4226" w:rsidR="005510BC" w:rsidRPr="00DA6F8B" w:rsidRDefault="005510BC" w:rsidP="00DA6F8B">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footnote>
  <w:footnote w:id="6">
    <w:p w14:paraId="61E73744" w14:textId="1C18FA69" w:rsidR="005510BC" w:rsidRPr="00DA6F8B" w:rsidRDefault="005510BC" w:rsidP="00DA6F8B">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footnote>
  <w:footnote w:id="7">
    <w:p w14:paraId="7B1E4046" w14:textId="33356188" w:rsidR="005510BC" w:rsidRPr="00DA6F8B" w:rsidRDefault="005510BC" w:rsidP="00DA6F8B">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  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C2D"/>
    <w:rsid w:val="000D5DA7"/>
    <w:rsid w:val="000E7C7B"/>
    <w:rsid w:val="000F1443"/>
    <w:rsid w:val="000F3D1E"/>
    <w:rsid w:val="000F6486"/>
    <w:rsid w:val="000F7771"/>
    <w:rsid w:val="00103BFE"/>
    <w:rsid w:val="001068E1"/>
    <w:rsid w:val="00112DCB"/>
    <w:rsid w:val="00115970"/>
    <w:rsid w:val="00116940"/>
    <w:rsid w:val="00117A5A"/>
    <w:rsid w:val="001228DC"/>
    <w:rsid w:val="00124C21"/>
    <w:rsid w:val="00125105"/>
    <w:rsid w:val="0012666F"/>
    <w:rsid w:val="00127233"/>
    <w:rsid w:val="00127F4E"/>
    <w:rsid w:val="00134886"/>
    <w:rsid w:val="001406B4"/>
    <w:rsid w:val="00142035"/>
    <w:rsid w:val="00143FFF"/>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A5CA5"/>
    <w:rsid w:val="001B064E"/>
    <w:rsid w:val="001B3AEB"/>
    <w:rsid w:val="001B6C7C"/>
    <w:rsid w:val="001C2502"/>
    <w:rsid w:val="001C73B4"/>
    <w:rsid w:val="001E4177"/>
    <w:rsid w:val="001F019C"/>
    <w:rsid w:val="001F0B24"/>
    <w:rsid w:val="001F46EB"/>
    <w:rsid w:val="001F7294"/>
    <w:rsid w:val="001F7DC6"/>
    <w:rsid w:val="00203EC3"/>
    <w:rsid w:val="00206556"/>
    <w:rsid w:val="00206F7B"/>
    <w:rsid w:val="0022400B"/>
    <w:rsid w:val="00224979"/>
    <w:rsid w:val="002303D1"/>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1115"/>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3719"/>
    <w:rsid w:val="0035753C"/>
    <w:rsid w:val="00361923"/>
    <w:rsid w:val="00363F8D"/>
    <w:rsid w:val="00366AAB"/>
    <w:rsid w:val="00373B36"/>
    <w:rsid w:val="00374F5E"/>
    <w:rsid w:val="00377CDF"/>
    <w:rsid w:val="00377E3E"/>
    <w:rsid w:val="00395FD0"/>
    <w:rsid w:val="003974B1"/>
    <w:rsid w:val="003A613F"/>
    <w:rsid w:val="003A779E"/>
    <w:rsid w:val="003B1810"/>
    <w:rsid w:val="003B4D9D"/>
    <w:rsid w:val="003C3B8B"/>
    <w:rsid w:val="003C64A5"/>
    <w:rsid w:val="003D0F4D"/>
    <w:rsid w:val="003D15AD"/>
    <w:rsid w:val="003D37EE"/>
    <w:rsid w:val="003D3EB2"/>
    <w:rsid w:val="003D45B0"/>
    <w:rsid w:val="003D5B0D"/>
    <w:rsid w:val="003E0499"/>
    <w:rsid w:val="003E4F80"/>
    <w:rsid w:val="003E6439"/>
    <w:rsid w:val="003E67A6"/>
    <w:rsid w:val="003E68FC"/>
    <w:rsid w:val="003F0D9A"/>
    <w:rsid w:val="003F0E92"/>
    <w:rsid w:val="003F21FF"/>
    <w:rsid w:val="003F3941"/>
    <w:rsid w:val="00406575"/>
    <w:rsid w:val="00414C74"/>
    <w:rsid w:val="00424469"/>
    <w:rsid w:val="0042722E"/>
    <w:rsid w:val="004317A8"/>
    <w:rsid w:val="0043275B"/>
    <w:rsid w:val="0043526E"/>
    <w:rsid w:val="0043637C"/>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E19DC"/>
    <w:rsid w:val="004E7B1E"/>
    <w:rsid w:val="004F21C4"/>
    <w:rsid w:val="004F244F"/>
    <w:rsid w:val="004F2BF5"/>
    <w:rsid w:val="004F5ED9"/>
    <w:rsid w:val="004F685F"/>
    <w:rsid w:val="00502309"/>
    <w:rsid w:val="00511EE2"/>
    <w:rsid w:val="00516F85"/>
    <w:rsid w:val="005179DF"/>
    <w:rsid w:val="005259F2"/>
    <w:rsid w:val="0053070B"/>
    <w:rsid w:val="00534597"/>
    <w:rsid w:val="00536F7E"/>
    <w:rsid w:val="005510BC"/>
    <w:rsid w:val="005541CB"/>
    <w:rsid w:val="005562C3"/>
    <w:rsid w:val="005566E8"/>
    <w:rsid w:val="00556BFA"/>
    <w:rsid w:val="005608AE"/>
    <w:rsid w:val="00573584"/>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058"/>
    <w:rsid w:val="005E492A"/>
    <w:rsid w:val="005E76F5"/>
    <w:rsid w:val="005E7FBC"/>
    <w:rsid w:val="00602459"/>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4C1F"/>
    <w:rsid w:val="00665D70"/>
    <w:rsid w:val="00670568"/>
    <w:rsid w:val="00670CFB"/>
    <w:rsid w:val="00671A77"/>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378C"/>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5772"/>
    <w:rsid w:val="00886133"/>
    <w:rsid w:val="00887E82"/>
    <w:rsid w:val="0089143B"/>
    <w:rsid w:val="008917C7"/>
    <w:rsid w:val="00891928"/>
    <w:rsid w:val="008A2EBF"/>
    <w:rsid w:val="008A3A49"/>
    <w:rsid w:val="008A446D"/>
    <w:rsid w:val="008A5E24"/>
    <w:rsid w:val="008B25F1"/>
    <w:rsid w:val="008C1642"/>
    <w:rsid w:val="008C4CF4"/>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02B2"/>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044C"/>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607"/>
    <w:rsid w:val="00A33C78"/>
    <w:rsid w:val="00A420A9"/>
    <w:rsid w:val="00A42C60"/>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66FB"/>
    <w:rsid w:val="00B4752F"/>
    <w:rsid w:val="00B53C1C"/>
    <w:rsid w:val="00B5706D"/>
    <w:rsid w:val="00B6113F"/>
    <w:rsid w:val="00B721EE"/>
    <w:rsid w:val="00B72CD3"/>
    <w:rsid w:val="00B72FFF"/>
    <w:rsid w:val="00B75E25"/>
    <w:rsid w:val="00B902B6"/>
    <w:rsid w:val="00B9043C"/>
    <w:rsid w:val="00B94F8F"/>
    <w:rsid w:val="00BA0647"/>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247A0"/>
    <w:rsid w:val="00C330EB"/>
    <w:rsid w:val="00C34A82"/>
    <w:rsid w:val="00C44188"/>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1DFA"/>
    <w:rsid w:val="00CB44F3"/>
    <w:rsid w:val="00CB6357"/>
    <w:rsid w:val="00CC1B26"/>
    <w:rsid w:val="00CC29BA"/>
    <w:rsid w:val="00CE2A60"/>
    <w:rsid w:val="00CF24C0"/>
    <w:rsid w:val="00D027C3"/>
    <w:rsid w:val="00D0376A"/>
    <w:rsid w:val="00D05F46"/>
    <w:rsid w:val="00D062DD"/>
    <w:rsid w:val="00D078C9"/>
    <w:rsid w:val="00D109FE"/>
    <w:rsid w:val="00D11C80"/>
    <w:rsid w:val="00D22B7C"/>
    <w:rsid w:val="00D24AA6"/>
    <w:rsid w:val="00D27B04"/>
    <w:rsid w:val="00D31DC0"/>
    <w:rsid w:val="00D33696"/>
    <w:rsid w:val="00D35983"/>
    <w:rsid w:val="00D361FD"/>
    <w:rsid w:val="00D372F5"/>
    <w:rsid w:val="00D37660"/>
    <w:rsid w:val="00D37910"/>
    <w:rsid w:val="00D423A2"/>
    <w:rsid w:val="00D44E26"/>
    <w:rsid w:val="00D520D8"/>
    <w:rsid w:val="00D63AC2"/>
    <w:rsid w:val="00D7383B"/>
    <w:rsid w:val="00D7788A"/>
    <w:rsid w:val="00D851ED"/>
    <w:rsid w:val="00D9033C"/>
    <w:rsid w:val="00D92301"/>
    <w:rsid w:val="00DA1940"/>
    <w:rsid w:val="00DA231B"/>
    <w:rsid w:val="00DA6F8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2FA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97E29"/>
    <w:rsid w:val="00EA02F5"/>
    <w:rsid w:val="00EA06E6"/>
    <w:rsid w:val="00EA0E3D"/>
    <w:rsid w:val="00EA16FC"/>
    <w:rsid w:val="00EA31C7"/>
    <w:rsid w:val="00EA381F"/>
    <w:rsid w:val="00EA44A1"/>
    <w:rsid w:val="00EA5D59"/>
    <w:rsid w:val="00EB7308"/>
    <w:rsid w:val="00EC38A7"/>
    <w:rsid w:val="00EC7C37"/>
    <w:rsid w:val="00EE1AA8"/>
    <w:rsid w:val="00EE7A5D"/>
    <w:rsid w:val="00EF41C4"/>
    <w:rsid w:val="00F14CCF"/>
    <w:rsid w:val="00F23FEA"/>
    <w:rsid w:val="00F31EDC"/>
    <w:rsid w:val="00F32723"/>
    <w:rsid w:val="00F33CF5"/>
    <w:rsid w:val="00F37985"/>
    <w:rsid w:val="00F41C3E"/>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10183662">
      <w:bodyDiv w:val="1"/>
      <w:marLeft w:val="0"/>
      <w:marRight w:val="0"/>
      <w:marTop w:val="0"/>
      <w:marBottom w:val="0"/>
      <w:divBdr>
        <w:top w:val="none" w:sz="0" w:space="0" w:color="auto"/>
        <w:left w:val="none" w:sz="0" w:space="0" w:color="auto"/>
        <w:bottom w:val="none" w:sz="0" w:space="0" w:color="auto"/>
        <w:right w:val="none" w:sz="0" w:space="0" w:color="auto"/>
      </w:divBdr>
      <w:divsChild>
        <w:div w:id="1115979248">
          <w:marLeft w:val="0"/>
          <w:marRight w:val="0"/>
          <w:marTop w:val="0"/>
          <w:marBottom w:val="0"/>
          <w:divBdr>
            <w:top w:val="none" w:sz="0" w:space="0" w:color="auto"/>
            <w:left w:val="none" w:sz="0" w:space="0" w:color="auto"/>
            <w:bottom w:val="none" w:sz="0" w:space="0" w:color="auto"/>
            <w:right w:val="none" w:sz="0" w:space="0" w:color="auto"/>
          </w:divBdr>
          <w:divsChild>
            <w:div w:id="534586462">
              <w:marLeft w:val="0"/>
              <w:marRight w:val="0"/>
              <w:marTop w:val="0"/>
              <w:marBottom w:val="0"/>
              <w:divBdr>
                <w:top w:val="none" w:sz="0" w:space="0" w:color="auto"/>
                <w:left w:val="none" w:sz="0" w:space="0" w:color="auto"/>
                <w:bottom w:val="none" w:sz="0" w:space="0" w:color="auto"/>
                <w:right w:val="none" w:sz="0" w:space="0" w:color="auto"/>
              </w:divBdr>
              <w:divsChild>
                <w:div w:id="1972711121">
                  <w:marLeft w:val="0"/>
                  <w:marRight w:val="0"/>
                  <w:marTop w:val="0"/>
                  <w:marBottom w:val="0"/>
                  <w:divBdr>
                    <w:top w:val="none" w:sz="0" w:space="0" w:color="auto"/>
                    <w:left w:val="none" w:sz="0" w:space="0" w:color="auto"/>
                    <w:bottom w:val="none" w:sz="0" w:space="0" w:color="auto"/>
                    <w:right w:val="none" w:sz="0" w:space="0" w:color="auto"/>
                  </w:divBdr>
                  <w:divsChild>
                    <w:div w:id="783618552">
                      <w:marLeft w:val="0"/>
                      <w:marRight w:val="0"/>
                      <w:marTop w:val="0"/>
                      <w:marBottom w:val="0"/>
                      <w:divBdr>
                        <w:top w:val="none" w:sz="0" w:space="0" w:color="auto"/>
                        <w:left w:val="none" w:sz="0" w:space="0" w:color="auto"/>
                        <w:bottom w:val="none" w:sz="0" w:space="0" w:color="auto"/>
                        <w:right w:val="none" w:sz="0" w:space="0" w:color="auto"/>
                      </w:divBdr>
                      <w:divsChild>
                        <w:div w:id="1644503414">
                          <w:marLeft w:val="0"/>
                          <w:marRight w:val="0"/>
                          <w:marTop w:val="0"/>
                          <w:marBottom w:val="0"/>
                          <w:divBdr>
                            <w:top w:val="none" w:sz="0" w:space="0" w:color="auto"/>
                            <w:left w:val="none" w:sz="0" w:space="0" w:color="auto"/>
                            <w:bottom w:val="none" w:sz="0" w:space="0" w:color="auto"/>
                            <w:right w:val="none" w:sz="0" w:space="0" w:color="auto"/>
                          </w:divBdr>
                          <w:divsChild>
                            <w:div w:id="1623419293">
                              <w:marLeft w:val="0"/>
                              <w:marRight w:val="0"/>
                              <w:marTop w:val="0"/>
                              <w:marBottom w:val="0"/>
                              <w:divBdr>
                                <w:top w:val="none" w:sz="0" w:space="0" w:color="auto"/>
                                <w:left w:val="none" w:sz="0" w:space="0" w:color="auto"/>
                                <w:bottom w:val="none" w:sz="0" w:space="0" w:color="auto"/>
                                <w:right w:val="none" w:sz="0" w:space="0" w:color="auto"/>
                              </w:divBdr>
                              <w:divsChild>
                                <w:div w:id="7976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0974869">
      <w:bodyDiv w:val="1"/>
      <w:marLeft w:val="0"/>
      <w:marRight w:val="0"/>
      <w:marTop w:val="0"/>
      <w:marBottom w:val="0"/>
      <w:divBdr>
        <w:top w:val="none" w:sz="0" w:space="0" w:color="auto"/>
        <w:left w:val="none" w:sz="0" w:space="0" w:color="auto"/>
        <w:bottom w:val="none" w:sz="0" w:space="0" w:color="auto"/>
        <w:right w:val="none" w:sz="0" w:space="0" w:color="auto"/>
      </w:divBdr>
      <w:divsChild>
        <w:div w:id="1404647611">
          <w:marLeft w:val="0"/>
          <w:marRight w:val="0"/>
          <w:marTop w:val="240"/>
          <w:marBottom w:val="0"/>
          <w:divBdr>
            <w:top w:val="none" w:sz="0" w:space="0" w:color="auto"/>
            <w:left w:val="none" w:sz="0" w:space="0" w:color="auto"/>
            <w:bottom w:val="none" w:sz="0" w:space="0" w:color="auto"/>
            <w:right w:val="none" w:sz="0" w:space="0" w:color="auto"/>
          </w:divBdr>
        </w:div>
        <w:div w:id="70470492">
          <w:marLeft w:val="0"/>
          <w:marRight w:val="0"/>
          <w:marTop w:val="240"/>
          <w:marBottom w:val="0"/>
          <w:divBdr>
            <w:top w:val="none" w:sz="0" w:space="0" w:color="auto"/>
            <w:left w:val="none" w:sz="0" w:space="0" w:color="auto"/>
            <w:bottom w:val="none" w:sz="0" w:space="0" w:color="auto"/>
            <w:right w:val="none" w:sz="0" w:space="0" w:color="auto"/>
          </w:divBdr>
        </w:div>
      </w:divsChild>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7331548">
      <w:bodyDiv w:val="1"/>
      <w:marLeft w:val="0"/>
      <w:marRight w:val="0"/>
      <w:marTop w:val="0"/>
      <w:marBottom w:val="0"/>
      <w:divBdr>
        <w:top w:val="none" w:sz="0" w:space="0" w:color="auto"/>
        <w:left w:val="none" w:sz="0" w:space="0" w:color="auto"/>
        <w:bottom w:val="none" w:sz="0" w:space="0" w:color="auto"/>
        <w:right w:val="none" w:sz="0" w:space="0" w:color="auto"/>
      </w:divBdr>
      <w:divsChild>
        <w:div w:id="37899448">
          <w:marLeft w:val="0"/>
          <w:marRight w:val="0"/>
          <w:marTop w:val="240"/>
          <w:marBottom w:val="0"/>
          <w:divBdr>
            <w:top w:val="none" w:sz="0" w:space="0" w:color="auto"/>
            <w:left w:val="none" w:sz="0" w:space="0" w:color="auto"/>
            <w:bottom w:val="none" w:sz="0" w:space="0" w:color="auto"/>
            <w:right w:val="none" w:sz="0" w:space="0" w:color="auto"/>
          </w:divBdr>
        </w:div>
        <w:div w:id="1618021105">
          <w:marLeft w:val="0"/>
          <w:marRight w:val="0"/>
          <w:marTop w:val="240"/>
          <w:marBottom w:val="0"/>
          <w:divBdr>
            <w:top w:val="none" w:sz="0" w:space="0" w:color="auto"/>
            <w:left w:val="none" w:sz="0" w:space="0" w:color="auto"/>
            <w:bottom w:val="none" w:sz="0" w:space="0" w:color="auto"/>
            <w:right w:val="none" w:sz="0" w:space="0" w:color="auto"/>
          </w:divBdr>
        </w:div>
      </w:divsChild>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1876044635">
      <w:bodyDiv w:val="1"/>
      <w:marLeft w:val="0"/>
      <w:marRight w:val="0"/>
      <w:marTop w:val="0"/>
      <w:marBottom w:val="0"/>
      <w:divBdr>
        <w:top w:val="none" w:sz="0" w:space="0" w:color="auto"/>
        <w:left w:val="none" w:sz="0" w:space="0" w:color="auto"/>
        <w:bottom w:val="none" w:sz="0" w:space="0" w:color="auto"/>
        <w:right w:val="none" w:sz="0" w:space="0" w:color="auto"/>
      </w:divBdr>
      <w:divsChild>
        <w:div w:id="1581402430">
          <w:marLeft w:val="0"/>
          <w:marRight w:val="0"/>
          <w:marTop w:val="0"/>
          <w:marBottom w:val="0"/>
          <w:divBdr>
            <w:top w:val="none" w:sz="0" w:space="0" w:color="auto"/>
            <w:left w:val="none" w:sz="0" w:space="0" w:color="auto"/>
            <w:bottom w:val="none" w:sz="0" w:space="0" w:color="auto"/>
            <w:right w:val="none" w:sz="0" w:space="0" w:color="auto"/>
          </w:divBdr>
          <w:divsChild>
            <w:div w:id="1221668342">
              <w:marLeft w:val="0"/>
              <w:marRight w:val="0"/>
              <w:marTop w:val="0"/>
              <w:marBottom w:val="0"/>
              <w:divBdr>
                <w:top w:val="none" w:sz="0" w:space="0" w:color="auto"/>
                <w:left w:val="none" w:sz="0" w:space="0" w:color="auto"/>
                <w:bottom w:val="none" w:sz="0" w:space="0" w:color="auto"/>
                <w:right w:val="none" w:sz="0" w:space="0" w:color="auto"/>
              </w:divBdr>
              <w:divsChild>
                <w:div w:id="1930846667">
                  <w:marLeft w:val="0"/>
                  <w:marRight w:val="0"/>
                  <w:marTop w:val="0"/>
                  <w:marBottom w:val="0"/>
                  <w:divBdr>
                    <w:top w:val="none" w:sz="0" w:space="0" w:color="auto"/>
                    <w:left w:val="none" w:sz="0" w:space="0" w:color="auto"/>
                    <w:bottom w:val="none" w:sz="0" w:space="0" w:color="auto"/>
                    <w:right w:val="none" w:sz="0" w:space="0" w:color="auto"/>
                  </w:divBdr>
                  <w:divsChild>
                    <w:div w:id="1265455703">
                      <w:marLeft w:val="0"/>
                      <w:marRight w:val="0"/>
                      <w:marTop w:val="0"/>
                      <w:marBottom w:val="0"/>
                      <w:divBdr>
                        <w:top w:val="none" w:sz="0" w:space="0" w:color="auto"/>
                        <w:left w:val="none" w:sz="0" w:space="0" w:color="auto"/>
                        <w:bottom w:val="none" w:sz="0" w:space="0" w:color="auto"/>
                        <w:right w:val="none" w:sz="0" w:space="0" w:color="auto"/>
                      </w:divBdr>
                      <w:divsChild>
                        <w:div w:id="148984696">
                          <w:marLeft w:val="0"/>
                          <w:marRight w:val="0"/>
                          <w:marTop w:val="0"/>
                          <w:marBottom w:val="0"/>
                          <w:divBdr>
                            <w:top w:val="none" w:sz="0" w:space="0" w:color="auto"/>
                            <w:left w:val="none" w:sz="0" w:space="0" w:color="auto"/>
                            <w:bottom w:val="none" w:sz="0" w:space="0" w:color="auto"/>
                            <w:right w:val="none" w:sz="0" w:space="0" w:color="auto"/>
                          </w:divBdr>
                          <w:divsChild>
                            <w:div w:id="1688215885">
                              <w:marLeft w:val="0"/>
                              <w:marRight w:val="0"/>
                              <w:marTop w:val="0"/>
                              <w:marBottom w:val="0"/>
                              <w:divBdr>
                                <w:top w:val="none" w:sz="0" w:space="0" w:color="auto"/>
                                <w:left w:val="none" w:sz="0" w:space="0" w:color="auto"/>
                                <w:bottom w:val="none" w:sz="0" w:space="0" w:color="auto"/>
                                <w:right w:val="none" w:sz="0" w:space="0" w:color="auto"/>
                              </w:divBdr>
                              <w:divsChild>
                                <w:div w:id="33295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D639F-06E4-438C-ABA3-E139843CDD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22</Pages>
  <Words>7588</Words>
  <Characters>41735</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2026-06-21T22:36:00Z</dcterms:created>
  <dcterms:modified xsi:type="dcterms:W3CDTF">2026-06-26T17:36:00Z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