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58A1" w14:textId="77777777" w:rsidR="00461517" w:rsidRDefault="00461517" w:rsidP="002B7ECD">
      <w:pPr>
        <w:spacing w:after="0"/>
        <w:rPr>
          <w:rFonts w:ascii="Verdana" w:eastAsia="Verdana" w:hAnsi="Verdana" w:cs="Verdana"/>
        </w:rPr>
      </w:pPr>
      <w:bookmarkStart w:id="0" w:name="_Hlk143780582"/>
    </w:p>
    <w:p w14:paraId="683A84E6" w14:textId="77777777" w:rsidR="00461517" w:rsidRDefault="00461517">
      <w:pPr>
        <w:rPr>
          <w:rFonts w:ascii="Verdana" w:eastAsia="Verdana" w:hAnsi="Verdana" w:cs="Verdana"/>
          <w:b/>
          <w:bCs/>
        </w:rPr>
      </w:pPr>
      <w:r w:rsidRPr="00461517">
        <w:rPr>
          <w:rFonts w:ascii="Verdana" w:eastAsia="Verdana" w:hAnsi="Verdana" w:cs="Verdana"/>
          <w:b/>
          <w:bCs/>
        </w:rPr>
        <w:t xml:space="preserve">CONTRATO DE PRESTACIÓN DE SERVICIOS – Noción </w:t>
      </w:r>
    </w:p>
    <w:p w14:paraId="471D3045" w14:textId="2CDB3B54" w:rsidR="00461517" w:rsidRPr="00461517" w:rsidRDefault="00F81CD6" w:rsidP="00F81CD6">
      <w:pPr>
        <w:jc w:val="both"/>
        <w:rPr>
          <w:rFonts w:ascii="Verdana" w:eastAsia="Verdana" w:hAnsi="Verdana" w:cs="Verdana"/>
          <w:sz w:val="20"/>
          <w:szCs w:val="20"/>
        </w:rPr>
      </w:pPr>
      <w:r>
        <w:rPr>
          <w:rFonts w:ascii="Verdana" w:eastAsia="Verdana" w:hAnsi="Verdana" w:cs="Verdana"/>
          <w:sz w:val="20"/>
          <w:szCs w:val="20"/>
        </w:rPr>
        <w:t xml:space="preserve">[…] </w:t>
      </w:r>
      <w:r w:rsidRPr="00F81CD6">
        <w:rPr>
          <w:rFonts w:ascii="Verdana" w:eastAsia="Verdana" w:hAnsi="Verdana" w:cs="Verdana"/>
          <w:sz w:val="20"/>
          <w:szCs w:val="20"/>
        </w:rPr>
        <w:t>instrumento jurídico mediante la cual las entidades públicas vinculan a personas naturales o jurídicas para desarrollar actividades relacionadas con su administración o funcionamiento. Su finalidad principal consiste en satisfacer necesidades institucionales que no pueden ser atendidas directamente por el personal de planta o que requieren conocimientos especializados, sin que ello implique la creación de cargos públicos o el establecimiento de una relación laboral. Por esta razón, constituye un instrumento de colaboración con la administración pública que permite a las entidades contar con apoyo técnico, profesional, científico o asistencial para el cumplimiento de sus fines.</w:t>
      </w:r>
    </w:p>
    <w:p w14:paraId="1897C495" w14:textId="77777777" w:rsidR="00461517" w:rsidRDefault="00461517">
      <w:pPr>
        <w:rPr>
          <w:rFonts w:ascii="Verdana" w:eastAsia="Verdana" w:hAnsi="Verdana" w:cs="Verdana"/>
        </w:rPr>
      </w:pPr>
      <w:r w:rsidRPr="00461517">
        <w:rPr>
          <w:rFonts w:ascii="Verdana" w:eastAsia="Verdana" w:hAnsi="Verdana" w:cs="Verdana"/>
          <w:b/>
          <w:bCs/>
        </w:rPr>
        <w:t>CONTRATO DE PRESTACIÓN DE SERVICIOS – Características</w:t>
      </w:r>
      <w:r>
        <w:rPr>
          <w:rFonts w:ascii="Verdana" w:eastAsia="Verdana" w:hAnsi="Verdana" w:cs="Verdana"/>
        </w:rPr>
        <w:t xml:space="preserve"> </w:t>
      </w:r>
    </w:p>
    <w:p w14:paraId="5FAF0468" w14:textId="77777777" w:rsidR="005662CF" w:rsidRDefault="004176AC" w:rsidP="004176AC">
      <w:pPr>
        <w:jc w:val="both"/>
        <w:rPr>
          <w:rFonts w:ascii="Verdana" w:eastAsia="Verdana" w:hAnsi="Verdana" w:cs="Verdana"/>
          <w:sz w:val="20"/>
          <w:szCs w:val="20"/>
        </w:rPr>
      </w:pPr>
      <w:r w:rsidRPr="004176AC">
        <w:rPr>
          <w:rFonts w:ascii="Verdana" w:eastAsia="Verdana" w:hAnsi="Verdana" w:cs="Verdana"/>
          <w:sz w:val="20"/>
          <w:szCs w:val="20"/>
        </w:rPr>
        <w:t xml:space="preserve">Desde el punto de vista jurídico, el contrato de prestación de servicios es un contrato estatal de naturaleza bilateral, onerosa y temporal, que se rige por las disposiciones del Estatuto General de Contratación de la Administración Pública y por las normas civiles y comerciales aplicables. Su celebración responde a la necesidad de ejecutar actividades específicas previamente identificadas en los estudios y documentos previos, por lo que su objeto debe encontrarse claramente determinado y vinculado al cumplimiento de las funciones y competencias de la entidad contratante. </w:t>
      </w:r>
    </w:p>
    <w:p w14:paraId="40BDDF3C" w14:textId="2EEAAAD5" w:rsidR="00461517" w:rsidRPr="004176AC" w:rsidRDefault="005662CF" w:rsidP="004176AC">
      <w:pPr>
        <w:jc w:val="both"/>
        <w:rPr>
          <w:rFonts w:ascii="Verdana" w:eastAsia="Verdana" w:hAnsi="Verdana" w:cs="Verdana"/>
        </w:rPr>
      </w:pPr>
      <w:r w:rsidRPr="005662CF">
        <w:rPr>
          <w:rFonts w:ascii="Verdana" w:eastAsia="Verdana" w:hAnsi="Verdana" w:cs="Verdana"/>
          <w:sz w:val="20"/>
          <w:szCs w:val="20"/>
        </w:rPr>
        <w:t>Una de las características esenciales de esta modalidad contractual es la autonomía e independencia del contratista. A diferencia de la relación laboral, en el contrato de prestación de servicios no existe subordinación jurídica frente a la entidad estatal, lo que significa que el contratista conserva libertad técnica y administrativa para desarrollar las actividades encomendadas, sin perjuicio de la supervisión que ejerza la entidad para verificar el cumplimiento de las obligaciones contractuales. En consecuencia, la remuneración que recibe el contratista corresponde a honorarios pactados entre las partes y no constituye salario.</w:t>
      </w:r>
      <w:r w:rsidR="00461517" w:rsidRPr="004176AC">
        <w:rPr>
          <w:rFonts w:ascii="Verdana" w:eastAsia="Verdana" w:hAnsi="Verdana" w:cs="Verdana"/>
        </w:rPr>
        <w:br w:type="page"/>
      </w:r>
    </w:p>
    <w:p w14:paraId="7C9026E2" w14:textId="7450C04C" w:rsidR="002A0DD0" w:rsidRDefault="00C15139" w:rsidP="002B7ECD">
      <w:pPr>
        <w:spacing w:after="0"/>
      </w:pPr>
      <w:r w:rsidRPr="30821638">
        <w:rPr>
          <w:rFonts w:ascii="Verdana" w:eastAsia="Verdana" w:hAnsi="Verdana" w:cs="Verdana"/>
        </w:rPr>
        <w:lastRenderedPageBreak/>
        <w:t>Bogotá D.C.,</w:t>
      </w:r>
      <w:r w:rsidR="00942F04">
        <w:rPr>
          <w:rFonts w:ascii="Verdana" w:eastAsia="Verdana" w:hAnsi="Verdana" w:cs="Verdana"/>
        </w:rPr>
        <w:t xml:space="preserve"> </w:t>
      </w:r>
      <w:r w:rsidR="00461517">
        <w:rPr>
          <w:rFonts w:ascii="Verdana" w:eastAsia="Times New Roman" w:hAnsi="Verdana" w:cs="Arial"/>
          <w:lang w:val="es-ES" w:eastAsia="es-ES"/>
        </w:rPr>
        <w:t xml:space="preserve">26 </w:t>
      </w:r>
      <w:r w:rsidR="00A75B14">
        <w:rPr>
          <w:rFonts w:ascii="Verdana" w:eastAsia="Times New Roman" w:hAnsi="Verdana" w:cs="Arial"/>
          <w:lang w:val="es-ES" w:eastAsia="es-ES"/>
        </w:rPr>
        <w:t>junio</w:t>
      </w:r>
      <w:r w:rsidR="00461517">
        <w:rPr>
          <w:rFonts w:ascii="Verdana" w:eastAsia="Times New Roman" w:hAnsi="Verdana" w:cs="Arial"/>
          <w:lang w:val="es-ES" w:eastAsia="es-ES"/>
        </w:rPr>
        <w:t xml:space="preserve"> 2026</w:t>
      </w:r>
      <w:r>
        <w:tab/>
      </w:r>
    </w:p>
    <w:p w14:paraId="1D1D8D63" w14:textId="77777777" w:rsidR="00EA0EB3" w:rsidRDefault="00EA0EB3" w:rsidP="002B7ECD">
      <w:pPr>
        <w:spacing w:after="0"/>
        <w:rPr>
          <w:rFonts w:ascii="Verdana" w:eastAsia="Verdana" w:hAnsi="Verdana" w:cs="Verdana"/>
          <w:lang w:val="es-MX"/>
        </w:rPr>
      </w:pPr>
    </w:p>
    <w:p w14:paraId="7F1C988F" w14:textId="691D523E" w:rsidR="00A575B5" w:rsidRDefault="00EA0EB3" w:rsidP="00A575B5">
      <w:pPr>
        <w:spacing w:after="0" w:line="240" w:lineRule="auto"/>
        <w:jc w:val="right"/>
        <w:rPr>
          <w:rFonts w:ascii="Verdana" w:eastAsia="Calibri" w:hAnsi="Verdana" w:cs="Arial"/>
          <w:b/>
          <w:bCs/>
          <w:lang w:val="es-ES" w:eastAsia="es-ES"/>
        </w:rPr>
      </w:pPr>
      <w:r w:rsidRPr="00EA0EB3">
        <w:rPr>
          <w:rFonts w:ascii="Verdana" w:eastAsia="Calibri" w:hAnsi="Verdana" w:cs="Arial"/>
          <w:b/>
          <w:bCs/>
          <w:noProof/>
          <w:lang w:val="es-ES" w:eastAsia="es-ES"/>
        </w:rPr>
        <w:drawing>
          <wp:inline distT="0" distB="0" distL="0" distR="0" wp14:anchorId="24E901C5" wp14:editId="19F5B5F7">
            <wp:extent cx="2438740" cy="628738"/>
            <wp:effectExtent l="0" t="0" r="0" b="0"/>
            <wp:docPr id="88500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0393" name=""/>
                    <pic:cNvPicPr/>
                  </pic:nvPicPr>
                  <pic:blipFill>
                    <a:blip r:embed="rId11"/>
                    <a:stretch>
                      <a:fillRect/>
                    </a:stretch>
                  </pic:blipFill>
                  <pic:spPr>
                    <a:xfrm>
                      <a:off x="0" y="0"/>
                      <a:ext cx="2438740" cy="628738"/>
                    </a:xfrm>
                    <a:prstGeom prst="rect">
                      <a:avLst/>
                    </a:prstGeom>
                  </pic:spPr>
                </pic:pic>
              </a:graphicData>
            </a:graphic>
          </wp:inline>
        </w:drawing>
      </w:r>
    </w:p>
    <w:bookmarkEnd w:id="0"/>
    <w:p w14:paraId="1F723010" w14:textId="4E4282C0" w:rsidR="00EA0EB3" w:rsidRPr="00EA0EB3" w:rsidRDefault="00D45F4E" w:rsidP="00EA0EB3">
      <w:pPr>
        <w:spacing w:after="0" w:line="240" w:lineRule="auto"/>
        <w:jc w:val="both"/>
        <w:rPr>
          <w:rFonts w:ascii="Verdana" w:eastAsia="Calibri" w:hAnsi="Verdana" w:cs="Arial"/>
          <w:b/>
          <w:lang w:val="es-ES" w:eastAsia="es-ES"/>
        </w:rPr>
      </w:pPr>
      <w:r w:rsidRPr="00EA0EB3">
        <w:rPr>
          <w:rFonts w:ascii="Verdana" w:eastAsia="Calibri" w:hAnsi="Verdana" w:cs="Arial"/>
          <w:b/>
          <w:lang w:val="es-ES" w:eastAsia="es-ES"/>
        </w:rPr>
        <w:t>Señora</w:t>
      </w:r>
    </w:p>
    <w:p w14:paraId="0A213FFD" w14:textId="5A343215" w:rsidR="00D45F4E" w:rsidRPr="00EA0EB3" w:rsidRDefault="00D45F4E" w:rsidP="00EA0EB3">
      <w:pPr>
        <w:spacing w:after="0" w:line="240" w:lineRule="auto"/>
        <w:jc w:val="both"/>
        <w:rPr>
          <w:rFonts w:ascii="Verdana" w:eastAsia="Calibri" w:hAnsi="Verdana" w:cs="Arial"/>
          <w:b/>
          <w:lang w:val="es-ES" w:eastAsia="es-ES"/>
        </w:rPr>
      </w:pPr>
      <w:r w:rsidRPr="00EA0EB3">
        <w:rPr>
          <w:rFonts w:ascii="Verdana" w:eastAsia="Calibri" w:hAnsi="Verdana" w:cs="Arial"/>
          <w:b/>
          <w:lang w:val="es-ES" w:eastAsia="es-ES"/>
        </w:rPr>
        <w:t xml:space="preserve">Maryori Aracely Combariza Gómez  </w:t>
      </w:r>
    </w:p>
    <w:p w14:paraId="38A08D20" w14:textId="77777777" w:rsidR="00D45F4E" w:rsidRPr="00EA0EB3" w:rsidRDefault="00D45F4E" w:rsidP="00EA0EB3">
      <w:pPr>
        <w:spacing w:after="0" w:line="240" w:lineRule="auto"/>
        <w:rPr>
          <w:rFonts w:ascii="Verdana" w:eastAsia="Calibri" w:hAnsi="Verdana" w:cs="Arial"/>
          <w:b/>
          <w:lang w:val="es-ES" w:eastAsia="es-ES"/>
        </w:rPr>
      </w:pPr>
      <w:r w:rsidRPr="00EA0EB3">
        <w:rPr>
          <w:rFonts w:ascii="Verdana" w:eastAsia="Calibri" w:hAnsi="Verdana" w:cs="Arial"/>
          <w:b/>
          <w:lang w:val="es-ES" w:eastAsia="es-ES"/>
        </w:rPr>
        <w:t xml:space="preserve">Contratista GIT Area Gestión Contractual </w:t>
      </w:r>
    </w:p>
    <w:p w14:paraId="0252E8A6" w14:textId="77777777" w:rsidR="00D45F4E" w:rsidRPr="00EA0EB3" w:rsidRDefault="00D45F4E" w:rsidP="00EA0EB3">
      <w:pPr>
        <w:spacing w:after="0" w:line="240" w:lineRule="auto"/>
        <w:rPr>
          <w:rFonts w:ascii="Verdana" w:eastAsia="Calibri" w:hAnsi="Verdana" w:cs="Arial"/>
          <w:b/>
          <w:lang w:val="es-ES" w:eastAsia="es-ES"/>
        </w:rPr>
      </w:pPr>
      <w:r w:rsidRPr="00EA0EB3">
        <w:rPr>
          <w:rFonts w:ascii="Verdana" w:eastAsia="Calibri" w:hAnsi="Verdana" w:cs="Arial"/>
          <w:b/>
          <w:lang w:val="es-ES" w:eastAsia="es-ES"/>
        </w:rPr>
        <w:t xml:space="preserve">Departamento Administrativo Nacional de Estadística </w:t>
      </w:r>
    </w:p>
    <w:p w14:paraId="41B3DF4D" w14:textId="77777777" w:rsidR="00D45F4E" w:rsidRPr="00EA0EB3" w:rsidRDefault="00D45F4E" w:rsidP="00EA0EB3">
      <w:pPr>
        <w:spacing w:after="0" w:line="240" w:lineRule="auto"/>
        <w:rPr>
          <w:rFonts w:ascii="Verdana" w:eastAsia="Calibri" w:hAnsi="Verdana" w:cs="Arial"/>
          <w:b/>
          <w:lang w:val="es-ES" w:eastAsia="es-ES"/>
        </w:rPr>
      </w:pPr>
      <w:hyperlink r:id="rId12" w:history="1">
        <w:r w:rsidRPr="00EA0EB3">
          <w:rPr>
            <w:rStyle w:val="Hipervnculo"/>
            <w:rFonts w:ascii="Verdana" w:eastAsia="Calibri" w:hAnsi="Verdana" w:cs="Arial"/>
            <w:b/>
            <w:bCs/>
            <w:lang w:val="es-ES" w:eastAsia="es-ES"/>
          </w:rPr>
          <w:t>macombarizag@dane.gov.co</w:t>
        </w:r>
      </w:hyperlink>
      <w:r w:rsidRPr="00EA0EB3">
        <w:rPr>
          <w:rFonts w:ascii="Verdana" w:eastAsia="Calibri" w:hAnsi="Verdana" w:cs="Arial"/>
          <w:b/>
          <w:bCs/>
          <w:lang w:val="es-ES" w:eastAsia="es-ES"/>
        </w:rPr>
        <w:t xml:space="preserve"> </w:t>
      </w:r>
    </w:p>
    <w:p w14:paraId="46B1F855" w14:textId="423E7C13" w:rsidR="00D45F4E" w:rsidRDefault="00D45F4E" w:rsidP="00EA0EB3">
      <w:pPr>
        <w:spacing w:after="0" w:line="240" w:lineRule="auto"/>
        <w:rPr>
          <w:rFonts w:ascii="Verdana" w:eastAsia="Calibri" w:hAnsi="Verdana" w:cs="Arial"/>
          <w:lang w:val="es-ES" w:eastAsia="es-ES"/>
        </w:rPr>
      </w:pPr>
      <w:r w:rsidRPr="00EA0EB3">
        <w:rPr>
          <w:rFonts w:ascii="Verdana" w:eastAsia="Calibri" w:hAnsi="Verdana" w:cs="Arial"/>
          <w:lang w:val="es-ES" w:eastAsia="es-ES"/>
        </w:rPr>
        <w:t xml:space="preserve">Villa de Leyva, Boyacá </w:t>
      </w:r>
    </w:p>
    <w:p w14:paraId="6E3A614E" w14:textId="77777777" w:rsidR="00EA0EB3" w:rsidRPr="00EA0EB3" w:rsidRDefault="00EA0EB3" w:rsidP="00EA0EB3">
      <w:pPr>
        <w:spacing w:after="0" w:line="240" w:lineRule="auto"/>
        <w:rPr>
          <w:rFonts w:ascii="Verdana" w:eastAsia="Calibri" w:hAnsi="Verdana" w:cs="Arial"/>
          <w:lang w:val="es-ES"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45F4E" w:rsidRPr="005C170B" w14:paraId="4506E87A" w14:textId="77777777" w:rsidTr="001C55F1">
        <w:trPr>
          <w:trHeight w:val="133"/>
        </w:trPr>
        <w:tc>
          <w:tcPr>
            <w:tcW w:w="2689" w:type="dxa"/>
          </w:tcPr>
          <w:p w14:paraId="3490BBC2" w14:textId="77777777" w:rsidR="00D45F4E" w:rsidRPr="00883967" w:rsidRDefault="00D45F4E" w:rsidP="001C55F1">
            <w:pPr>
              <w:jc w:val="both"/>
              <w:rPr>
                <w:rFonts w:ascii="Verdana" w:eastAsia="Calibri" w:hAnsi="Verdana" w:cs="Arial"/>
                <w:b/>
                <w:color w:val="7030A0"/>
                <w:lang w:val="es-ES_tradnl"/>
              </w:rPr>
            </w:pPr>
          </w:p>
        </w:tc>
        <w:tc>
          <w:tcPr>
            <w:tcW w:w="6100" w:type="dxa"/>
          </w:tcPr>
          <w:p w14:paraId="2F7FC404" w14:textId="77777777" w:rsidR="00D45F4E" w:rsidRPr="00883967" w:rsidRDefault="00D45F4E" w:rsidP="001C55F1">
            <w:pPr>
              <w:jc w:val="both"/>
              <w:rPr>
                <w:rFonts w:ascii="Verdana" w:eastAsia="Calibri" w:hAnsi="Verdana" w:cs="Arial"/>
                <w:b/>
                <w:bCs/>
                <w:lang w:val="es-ES" w:eastAsia="es-ES"/>
              </w:rPr>
            </w:pPr>
            <w:r w:rsidRPr="00883967">
              <w:rPr>
                <w:rFonts w:ascii="Verdana" w:eastAsia="Calibri" w:hAnsi="Verdana" w:cs="Arial"/>
                <w:b/>
                <w:lang w:val="es-ES" w:eastAsia="es-ES"/>
              </w:rPr>
              <w:t xml:space="preserve">Concepto </w:t>
            </w:r>
            <w:r w:rsidRPr="00883967">
              <w:rPr>
                <w:rFonts w:ascii="Verdana" w:eastAsia="Calibri" w:hAnsi="Verdana" w:cs="Arial"/>
                <w:b/>
                <w:lang w:eastAsia="es-ES"/>
              </w:rPr>
              <w:t xml:space="preserve">C-819 </w:t>
            </w:r>
            <w:r w:rsidRPr="00883967">
              <w:rPr>
                <w:rFonts w:ascii="Verdana" w:eastAsia="Calibri" w:hAnsi="Verdana" w:cs="Arial"/>
                <w:b/>
                <w:lang w:val="es-ES" w:eastAsia="es-ES"/>
              </w:rPr>
              <w:t>de 2026</w:t>
            </w:r>
          </w:p>
          <w:p w14:paraId="538F8C51" w14:textId="77777777" w:rsidR="00D45F4E" w:rsidRPr="00883967" w:rsidRDefault="00D45F4E" w:rsidP="001C55F1">
            <w:pPr>
              <w:jc w:val="both"/>
              <w:rPr>
                <w:rFonts w:ascii="Verdana" w:eastAsia="Calibri" w:hAnsi="Verdana" w:cs="Arial"/>
                <w:b/>
                <w:lang w:val="es-ES" w:eastAsia="es-ES"/>
              </w:rPr>
            </w:pPr>
          </w:p>
        </w:tc>
      </w:tr>
      <w:tr w:rsidR="00D45F4E" w:rsidRPr="003E348A" w14:paraId="2860D332" w14:textId="77777777" w:rsidTr="001C55F1">
        <w:trPr>
          <w:trHeight w:val="884"/>
        </w:trPr>
        <w:tc>
          <w:tcPr>
            <w:tcW w:w="2689" w:type="dxa"/>
          </w:tcPr>
          <w:p w14:paraId="35115D1F" w14:textId="77777777" w:rsidR="00D45F4E" w:rsidRPr="00883967" w:rsidRDefault="00D45F4E" w:rsidP="001C55F1">
            <w:pPr>
              <w:jc w:val="both"/>
              <w:rPr>
                <w:rFonts w:ascii="Verdana" w:eastAsia="Calibri" w:hAnsi="Verdana" w:cs="Arial"/>
                <w:color w:val="000000"/>
                <w:lang w:val="es-ES_tradnl"/>
              </w:rPr>
            </w:pPr>
            <w:r w:rsidRPr="00883967">
              <w:rPr>
                <w:rFonts w:ascii="Verdana" w:eastAsia="Calibri" w:hAnsi="Verdana" w:cs="Arial"/>
                <w:b/>
                <w:color w:val="000000"/>
                <w:lang w:val="es-ES_tradnl"/>
              </w:rPr>
              <w:t>Temas:</w:t>
            </w:r>
            <w:r w:rsidRPr="00883967">
              <w:rPr>
                <w:rFonts w:ascii="Verdana" w:eastAsia="Calibri" w:hAnsi="Verdana" w:cs="Arial"/>
                <w:color w:val="000000"/>
                <w:lang w:val="es-ES_tradnl"/>
              </w:rPr>
              <w:t xml:space="preserve">                   </w:t>
            </w:r>
          </w:p>
        </w:tc>
        <w:tc>
          <w:tcPr>
            <w:tcW w:w="6100" w:type="dxa"/>
          </w:tcPr>
          <w:p w14:paraId="762E4F11" w14:textId="77777777" w:rsidR="00D45F4E" w:rsidRPr="00883967" w:rsidRDefault="00D45F4E" w:rsidP="001C55F1">
            <w:pPr>
              <w:spacing w:line="276" w:lineRule="auto"/>
              <w:jc w:val="both"/>
              <w:rPr>
                <w:rFonts w:ascii="Verdana" w:eastAsia="Calibri" w:hAnsi="Verdana" w:cs="Arial"/>
                <w:lang w:eastAsia="es-ES"/>
              </w:rPr>
            </w:pPr>
            <w:r w:rsidRPr="00883967">
              <w:rPr>
                <w:rFonts w:ascii="Verdana" w:eastAsia="Calibri" w:hAnsi="Verdana" w:cs="Arial"/>
                <w:lang w:eastAsia="es-ES"/>
              </w:rPr>
              <w:t xml:space="preserve">CONTRATO DE PRESTACIÓN DE SERVICIOS – Noción / CONTRATO DE PRESTACIÓN DE SERVICIOS – Características </w:t>
            </w:r>
          </w:p>
          <w:p w14:paraId="699C3316" w14:textId="77777777" w:rsidR="00D45F4E" w:rsidRPr="00883967" w:rsidRDefault="00D45F4E" w:rsidP="001C55F1">
            <w:pPr>
              <w:spacing w:line="276" w:lineRule="auto"/>
              <w:jc w:val="both"/>
              <w:rPr>
                <w:rFonts w:ascii="Verdana" w:eastAsia="Calibri" w:hAnsi="Verdana" w:cs="Arial"/>
                <w:lang w:val="es-ES" w:eastAsia="es-ES"/>
              </w:rPr>
            </w:pPr>
          </w:p>
        </w:tc>
      </w:tr>
      <w:tr w:rsidR="00D45F4E" w:rsidRPr="00752103" w14:paraId="2F466B94" w14:textId="77777777" w:rsidTr="001C55F1">
        <w:trPr>
          <w:trHeight w:val="242"/>
        </w:trPr>
        <w:tc>
          <w:tcPr>
            <w:tcW w:w="2689" w:type="dxa"/>
          </w:tcPr>
          <w:p w14:paraId="2592F6D6" w14:textId="77777777" w:rsidR="00D45F4E" w:rsidRPr="00883967" w:rsidRDefault="00D45F4E" w:rsidP="001C55F1">
            <w:pPr>
              <w:jc w:val="both"/>
              <w:rPr>
                <w:rFonts w:ascii="Verdana" w:eastAsia="Calibri" w:hAnsi="Verdana" w:cs="Arial"/>
                <w:b/>
                <w:lang w:val="es-ES_tradnl"/>
              </w:rPr>
            </w:pPr>
            <w:r w:rsidRPr="00883967">
              <w:rPr>
                <w:rFonts w:ascii="Verdana" w:eastAsia="Calibri" w:hAnsi="Verdana" w:cs="Arial"/>
                <w:b/>
                <w:lang w:val="es-ES_tradnl"/>
              </w:rPr>
              <w:t>Radicación:</w:t>
            </w:r>
            <w:r w:rsidRPr="00883967">
              <w:rPr>
                <w:rFonts w:ascii="Verdana" w:eastAsia="Calibri" w:hAnsi="Verdana" w:cs="Arial"/>
                <w:lang w:val="es-ES_tradnl"/>
              </w:rPr>
              <w:t xml:space="preserve">               </w:t>
            </w:r>
          </w:p>
        </w:tc>
        <w:tc>
          <w:tcPr>
            <w:tcW w:w="6100" w:type="dxa"/>
          </w:tcPr>
          <w:p w14:paraId="12144923" w14:textId="4B809246" w:rsidR="00D45F4E" w:rsidRPr="00883967" w:rsidRDefault="00D45F4E" w:rsidP="001C55F1">
            <w:pPr>
              <w:jc w:val="both"/>
              <w:rPr>
                <w:rFonts w:ascii="Verdana" w:eastAsia="Calibri" w:hAnsi="Verdana" w:cs="Arial"/>
                <w:lang w:val="es-ES_tradnl"/>
              </w:rPr>
            </w:pPr>
            <w:r w:rsidRPr="00883967">
              <w:rPr>
                <w:rFonts w:ascii="Verdana" w:eastAsia="Calibri" w:hAnsi="Verdana" w:cs="Arial"/>
                <w:lang w:val="es-ES_tradnl"/>
              </w:rPr>
              <w:t>Respuesta a consulta con radicado No.</w:t>
            </w:r>
            <w:r w:rsidRPr="00883967">
              <w:rPr>
                <w:rFonts w:ascii="Verdana" w:hAnsi="Verdana"/>
              </w:rPr>
              <w:t xml:space="preserve"> 1_2026_05_15_006645</w:t>
            </w:r>
          </w:p>
        </w:tc>
      </w:tr>
    </w:tbl>
    <w:p w14:paraId="1814324C" w14:textId="77777777" w:rsidR="00D45F4E" w:rsidRPr="00883967" w:rsidRDefault="00D45F4E" w:rsidP="00D45F4E">
      <w:pPr>
        <w:jc w:val="both"/>
        <w:rPr>
          <w:rFonts w:ascii="Verdana" w:eastAsia="Calibri" w:hAnsi="Verdana" w:cs="Arial"/>
          <w:color w:val="000000"/>
          <w:lang w:val="es-ES_tradnl"/>
        </w:rPr>
      </w:pPr>
    </w:p>
    <w:p w14:paraId="260DEE82" w14:textId="0B998151" w:rsidR="00D45F4E" w:rsidRPr="00883967" w:rsidRDefault="00D45F4E" w:rsidP="00D45F4E">
      <w:pPr>
        <w:spacing w:line="276" w:lineRule="auto"/>
        <w:jc w:val="both"/>
        <w:rPr>
          <w:rFonts w:ascii="Verdana" w:eastAsia="Calibri" w:hAnsi="Verdana" w:cs="Arial"/>
          <w:color w:val="000000" w:themeColor="text1"/>
          <w:lang w:val="es-ES" w:eastAsia="es-ES"/>
        </w:rPr>
      </w:pPr>
      <w:r w:rsidRPr="00883967">
        <w:rPr>
          <w:rFonts w:ascii="Verdana" w:eastAsia="Calibri" w:hAnsi="Verdana" w:cs="Arial"/>
          <w:color w:val="000000" w:themeColor="text1"/>
          <w:lang w:val="es-ES" w:eastAsia="es-ES"/>
        </w:rPr>
        <w:t xml:space="preserve">Estimada señora Combariza Gómez, cordial saludo, </w:t>
      </w:r>
    </w:p>
    <w:p w14:paraId="7D712416" w14:textId="03440227" w:rsidR="00D45F4E" w:rsidRPr="00520018" w:rsidRDefault="00D45F4E" w:rsidP="00D45F4E">
      <w:pPr>
        <w:spacing w:line="276" w:lineRule="auto"/>
        <w:jc w:val="both"/>
        <w:rPr>
          <w:rFonts w:ascii="Verdana" w:eastAsia="Calibri" w:hAnsi="Verdana" w:cs="Arial"/>
          <w:lang w:val="es-ES" w:eastAsia="es-ES"/>
        </w:rPr>
      </w:pPr>
      <w:r w:rsidRPr="00883967">
        <w:rPr>
          <w:rFonts w:ascii="Verdana" w:eastAsia="Calibri" w:hAnsi="Verdana" w:cs="Arial"/>
          <w:color w:val="000000" w:themeColor="text1"/>
          <w:lang w:val="es-ES" w:eastAsia="es-ES"/>
        </w:rPr>
        <w:t>En ejercicio de la competencia otorgada por los artículos 3, numeral 5º, y 11, numeral 8º, del Decreto Ley 4170 de 2011,</w:t>
      </w:r>
      <w:r w:rsidRPr="00883967">
        <w:rPr>
          <w:rFonts w:ascii="Verdana" w:eastAsia="Arial MT" w:hAnsi="Verdana" w:cs="Arial MT"/>
          <w:lang w:val="es-ES" w:eastAsia="es-ES"/>
        </w:rPr>
        <w:t xml:space="preserve"> </w:t>
      </w:r>
      <w:r w:rsidRPr="00883967">
        <w:rPr>
          <w:rFonts w:ascii="Verdana" w:hAnsi="Verdana" w:cs="Arial"/>
        </w:rPr>
        <w:t xml:space="preserve">así como lo establecido la </w:t>
      </w:r>
      <w:r w:rsidRPr="00883967">
        <w:rPr>
          <w:rFonts w:ascii="Verdana" w:eastAsia="Verdana" w:hAnsi="Verdana" w:cs="Verdana"/>
          <w:color w:val="000000" w:themeColor="text1"/>
        </w:rPr>
        <w:t>Resolución 469 de 2025</w:t>
      </w:r>
      <w:r w:rsidRPr="00883967">
        <w:rPr>
          <w:rFonts w:ascii="Verdana" w:hAnsi="Verdana" w:cs="Arial"/>
        </w:rPr>
        <w:t xml:space="preserve"> expedida por esta Entidad, </w:t>
      </w:r>
      <w:r w:rsidRPr="0088396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Pr="00883967">
        <w:rPr>
          <w:rFonts w:ascii="Verdana" w:eastAsia="Calibri" w:hAnsi="Verdana" w:cs="Arial"/>
          <w:lang w:val="es-ES" w:eastAsia="es-ES"/>
        </w:rPr>
        <w:t xml:space="preserve">15 de mayo de 2026, en la cual manifiesta lo siguiente: </w:t>
      </w:r>
    </w:p>
    <w:p w14:paraId="7882607E" w14:textId="77777777" w:rsidR="00D45F4E" w:rsidRDefault="00D45F4E" w:rsidP="00D45F4E">
      <w:pPr>
        <w:ind w:left="709" w:right="709"/>
        <w:jc w:val="both"/>
        <w:rPr>
          <w:rFonts w:ascii="Verdana" w:eastAsia="Calibri" w:hAnsi="Verdana" w:cs="Arial"/>
          <w:i/>
          <w:color w:val="000000"/>
          <w:sz w:val="20"/>
          <w:szCs w:val="20"/>
          <w:lang w:val="es-ES" w:eastAsia="es-ES"/>
        </w:rPr>
      </w:pPr>
      <w:r w:rsidRPr="00CF0A77">
        <w:rPr>
          <w:rFonts w:ascii="Verdana" w:eastAsia="Calibri" w:hAnsi="Verdana" w:cs="Arial"/>
          <w:i/>
          <w:color w:val="000000"/>
          <w:sz w:val="20"/>
          <w:szCs w:val="20"/>
          <w:lang w:val="es-ES" w:eastAsia="es-ES"/>
        </w:rPr>
        <w:t>“</w:t>
      </w:r>
      <w:r>
        <w:rPr>
          <w:rFonts w:ascii="Verdana" w:eastAsia="Calibri" w:hAnsi="Verdana" w:cs="Arial"/>
          <w:i/>
          <w:color w:val="000000"/>
          <w:sz w:val="20"/>
          <w:szCs w:val="20"/>
          <w:lang w:val="es-ES" w:eastAsia="es-ES"/>
        </w:rPr>
        <w:t>[…]</w:t>
      </w:r>
    </w:p>
    <w:p w14:paraId="3CBCAF65" w14:textId="77777777" w:rsidR="00D45F4E" w:rsidRDefault="00D45F4E" w:rsidP="00D45F4E">
      <w:pPr>
        <w:ind w:left="709" w:right="709"/>
        <w:jc w:val="both"/>
        <w:rPr>
          <w:rFonts w:ascii="Verdana" w:eastAsia="Calibri" w:hAnsi="Verdana" w:cs="Arial"/>
          <w:i/>
          <w:color w:val="000000"/>
          <w:sz w:val="20"/>
          <w:szCs w:val="20"/>
          <w:lang w:val="es-ES" w:eastAsia="es-ES"/>
        </w:rPr>
      </w:pPr>
      <w:r>
        <w:rPr>
          <w:rFonts w:ascii="Verdana" w:eastAsia="Calibri" w:hAnsi="Verdana" w:cs="Arial"/>
          <w:i/>
          <w:color w:val="000000"/>
          <w:sz w:val="20"/>
          <w:szCs w:val="20"/>
          <w:lang w:val="es-ES" w:eastAsia="es-ES"/>
        </w:rPr>
        <w:t xml:space="preserve">En atención a los contratos de prestación de servicios y de apoyo a la gestión de acuerdo a la normatividad los mismos no son objeto de liquidación, no obstante, en situaciones que lo ameriten la entidad estatal podrá realizar la liquidación con el fin de que las partes verifiquen y/o realicen ajuste en relación con las cuentas y el estado de cumplimiento del contrato estatal conforme al objeto y obligaciones allí pactadas. </w:t>
      </w:r>
    </w:p>
    <w:p w14:paraId="2DA185A4" w14:textId="77777777" w:rsidR="00D45F4E" w:rsidRDefault="00D45F4E" w:rsidP="00D45F4E">
      <w:pPr>
        <w:ind w:right="709"/>
        <w:jc w:val="both"/>
        <w:rPr>
          <w:rFonts w:ascii="Verdana" w:eastAsia="Calibri" w:hAnsi="Verdana" w:cs="Arial"/>
          <w:i/>
          <w:color w:val="000000"/>
          <w:sz w:val="20"/>
          <w:szCs w:val="20"/>
          <w:lang w:val="es-ES" w:eastAsia="es-ES"/>
        </w:rPr>
      </w:pPr>
    </w:p>
    <w:p w14:paraId="2890B727" w14:textId="77777777" w:rsidR="00D45F4E" w:rsidRDefault="00D45F4E" w:rsidP="00D45F4E">
      <w:pPr>
        <w:ind w:left="70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val="es-ES" w:eastAsia="es-ES"/>
        </w:rPr>
        <w:lastRenderedPageBreak/>
        <w:t>En ese orden, me permito elevar una cuestión que surge de la entidad e</w:t>
      </w:r>
      <w:r w:rsidRPr="00E91CA9">
        <w:rPr>
          <w:rFonts w:ascii="Verdana" w:eastAsia="Calibri" w:hAnsi="Verdana" w:cs="Arial"/>
          <w:i/>
          <w:color w:val="000000"/>
          <w:sz w:val="20"/>
          <w:szCs w:val="20"/>
          <w:lang w:eastAsia="es-ES"/>
        </w:rPr>
        <w:t>n referencia a un contrato de prestación de servicios profesionales de conformidad con los siguientes hechos que brevemente se relacionan:</w:t>
      </w:r>
    </w:p>
    <w:p w14:paraId="52CF0D16" w14:textId="77777777" w:rsidR="00D45F4E" w:rsidRDefault="00D45F4E" w:rsidP="00D45F4E">
      <w:pPr>
        <w:pStyle w:val="Prrafodelista"/>
        <w:numPr>
          <w:ilvl w:val="0"/>
          <w:numId w:val="20"/>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El contratista presentó una solicitud de suspensión del contrato por un tiempo determinado dentro del plazo de ejecución, de acuerdo a situaciones personales. </w:t>
      </w:r>
    </w:p>
    <w:p w14:paraId="6C35EE7D" w14:textId="77777777" w:rsidR="00D45F4E" w:rsidRDefault="00D45F4E" w:rsidP="00D45F4E">
      <w:pPr>
        <w:pStyle w:val="Prrafodelista"/>
        <w:numPr>
          <w:ilvl w:val="0"/>
          <w:numId w:val="20"/>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La supervisión presentó los documentos soportes al ordenador del gasto, quien dio aprobación y traslado al área contractual con el fin de que se realizara la suspensión por el tiempo requerido por el contratista. </w:t>
      </w:r>
    </w:p>
    <w:p w14:paraId="6C0B2805" w14:textId="77777777" w:rsidR="00D45F4E" w:rsidRDefault="00D45F4E" w:rsidP="00D45F4E">
      <w:pPr>
        <w:pStyle w:val="Prrafodelista"/>
        <w:numPr>
          <w:ilvl w:val="0"/>
          <w:numId w:val="20"/>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El área competente adelantó una modificación, la cual consistía en la suspensión de un tiempo determinado del plazo de ejecución, no obstante, por un error de digitación en el documento de solicitud de suspensión que presentó el supervisor, no estableció la fecha de reinicio, por lo cual el profesional encargado de adelantar la modificación no la ajustó en la plataforma transaccional del SECOP II. </w:t>
      </w:r>
    </w:p>
    <w:p w14:paraId="030B3657" w14:textId="77777777" w:rsidR="00D45F4E" w:rsidRDefault="00D45F4E" w:rsidP="00D45F4E">
      <w:pPr>
        <w:pStyle w:val="Prrafodelista"/>
        <w:numPr>
          <w:ilvl w:val="0"/>
          <w:numId w:val="20"/>
        </w:numPr>
        <w:spacing w:after="0" w:line="240" w:lineRule="auto"/>
        <w:ind w:left="709" w:right="709"/>
        <w:jc w:val="both"/>
        <w:rPr>
          <w:rFonts w:ascii="Verdana" w:eastAsia="Calibri" w:hAnsi="Verdana" w:cs="Arial"/>
          <w:i/>
          <w:color w:val="000000"/>
          <w:sz w:val="20"/>
          <w:szCs w:val="20"/>
          <w:lang w:eastAsia="es-ES"/>
        </w:rPr>
      </w:pPr>
      <w:r w:rsidRPr="000612FD">
        <w:rPr>
          <w:rFonts w:ascii="Verdana" w:eastAsia="Calibri" w:hAnsi="Verdana" w:cs="Arial"/>
          <w:i/>
          <w:color w:val="000000"/>
          <w:sz w:val="20"/>
          <w:szCs w:val="20"/>
          <w:lang w:eastAsia="es-ES"/>
        </w:rPr>
        <w:t>De acuerdo a la modificación de suspensión realizada en el SECOP II, al contrato no se le realizó reinicio de plazo de ejecución a la fecha</w:t>
      </w:r>
      <w:r>
        <w:rPr>
          <w:rFonts w:ascii="Verdana" w:eastAsia="Calibri" w:hAnsi="Verdana" w:cs="Arial"/>
          <w:i/>
          <w:color w:val="000000"/>
          <w:sz w:val="20"/>
          <w:szCs w:val="20"/>
          <w:lang w:eastAsia="es-ES"/>
        </w:rPr>
        <w:t xml:space="preserve">, feneciendo su plazo de ejecución en la vigencia 2025 y quedó en estado suspendido a la fecha. </w:t>
      </w:r>
    </w:p>
    <w:p w14:paraId="60305815" w14:textId="77777777" w:rsidR="00D45F4E" w:rsidRDefault="00D45F4E" w:rsidP="00D45F4E">
      <w:pPr>
        <w:pStyle w:val="Prrafodelista"/>
        <w:spacing w:after="0" w:line="240" w:lineRule="auto"/>
        <w:ind w:left="709" w:right="709"/>
        <w:jc w:val="both"/>
        <w:rPr>
          <w:rFonts w:ascii="Verdana" w:eastAsia="Calibri" w:hAnsi="Verdana" w:cs="Arial"/>
          <w:i/>
          <w:color w:val="000000"/>
          <w:sz w:val="20"/>
          <w:szCs w:val="20"/>
          <w:lang w:eastAsia="es-ES"/>
        </w:rPr>
      </w:pPr>
    </w:p>
    <w:p w14:paraId="31B51CBD" w14:textId="036A1FEB" w:rsidR="00D45F4E" w:rsidRDefault="00D45F4E" w:rsidP="00520018">
      <w:pPr>
        <w:ind w:left="34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2. CUESTIONES</w:t>
      </w:r>
    </w:p>
    <w:p w14:paraId="36E37384" w14:textId="7609EFC2" w:rsidR="00D45F4E" w:rsidRDefault="00D45F4E" w:rsidP="00520018">
      <w:pPr>
        <w:ind w:left="34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En referencia a los hechos brevemente mencionados del contrato de prestación de servicios profesionales, y verificada la normatividad y las circulares emitidas por Colombia Compra Eficiente surgen unas cuestiones y/o dudas que se relacionan a continuación:</w:t>
      </w:r>
    </w:p>
    <w:p w14:paraId="4ED36D70" w14:textId="77777777" w:rsidR="00D45F4E" w:rsidRDefault="00D45F4E" w:rsidP="00D45F4E">
      <w:pPr>
        <w:pStyle w:val="Prrafodelista"/>
        <w:numPr>
          <w:ilvl w:val="0"/>
          <w:numId w:val="21"/>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¿Con el fin de liquidar el contrato de prestación de servicios profesionales y que las partes lleguen a común acuerdo y ajuste de cuentas y del estado de cumplimiento del contrato conforme la situación presentada, el contrato se puede reiniciar, a pesar de que ya haya fenecido el plazo de ejecución en el año 2025, con el fin de realizar liquidación y posterior cierre contractual? </w:t>
      </w:r>
    </w:p>
    <w:p w14:paraId="201A3D67" w14:textId="77777777" w:rsidR="00D45F4E" w:rsidRDefault="00D45F4E" w:rsidP="00D45F4E">
      <w:pPr>
        <w:pStyle w:val="Prrafodelista"/>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Lo anterior debido a que el contrato en la plataforma SECOP II en su módulo correspondiente modificaciones, al darle clic para realizar el cargue de la liquidación solo deja realizar la modificación de reiniciar el contrato y no da más opciones. </w:t>
      </w:r>
    </w:p>
    <w:p w14:paraId="29B2587C" w14:textId="77777777" w:rsidR="00D45F4E" w:rsidRDefault="00D45F4E" w:rsidP="00D45F4E">
      <w:pPr>
        <w:pStyle w:val="Prrafodelista"/>
        <w:spacing w:after="0" w:line="240" w:lineRule="auto"/>
        <w:ind w:right="709"/>
        <w:jc w:val="both"/>
        <w:rPr>
          <w:rFonts w:ascii="Verdana" w:eastAsia="Calibri" w:hAnsi="Verdana" w:cs="Arial"/>
          <w:i/>
          <w:color w:val="000000"/>
          <w:sz w:val="20"/>
          <w:szCs w:val="20"/>
          <w:lang w:eastAsia="es-ES"/>
        </w:rPr>
      </w:pPr>
    </w:p>
    <w:p w14:paraId="39F94C23" w14:textId="77777777" w:rsidR="00D45F4E" w:rsidRDefault="00D45F4E" w:rsidP="00D45F4E">
      <w:pPr>
        <w:pStyle w:val="Prrafodelista"/>
        <w:numPr>
          <w:ilvl w:val="0"/>
          <w:numId w:val="21"/>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¿Durante el tiempo suspendido se pueden adelantar pagos por concepto de honorarios que se adeuden de la ejecución del contrato antes de la suspensión al contratista?, ¿o se debe reiniciar el contrato y realizar el pago correspondiente de lo adeudado al contratista por parte de la entidad a través del módulo correspondiente y el “plan de pagos” del SECOP II?</w:t>
      </w:r>
    </w:p>
    <w:p w14:paraId="2BEAB24F" w14:textId="77777777" w:rsidR="00D45F4E" w:rsidRDefault="00D45F4E" w:rsidP="00D45F4E">
      <w:pPr>
        <w:pStyle w:val="Prrafodelista"/>
        <w:spacing w:after="0" w:line="240" w:lineRule="auto"/>
        <w:ind w:right="709"/>
        <w:jc w:val="both"/>
        <w:rPr>
          <w:rFonts w:ascii="Verdana" w:eastAsia="Calibri" w:hAnsi="Verdana" w:cs="Arial"/>
          <w:i/>
          <w:color w:val="000000"/>
          <w:sz w:val="20"/>
          <w:szCs w:val="20"/>
          <w:lang w:eastAsia="es-ES"/>
        </w:rPr>
      </w:pPr>
    </w:p>
    <w:p w14:paraId="65C74123" w14:textId="77777777" w:rsidR="00D45F4E" w:rsidRDefault="00D45F4E" w:rsidP="00D45F4E">
      <w:pPr>
        <w:pStyle w:val="Prrafodelista"/>
        <w:numPr>
          <w:ilvl w:val="0"/>
          <w:numId w:val="21"/>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lastRenderedPageBreak/>
        <w:t xml:space="preserve">¿Qué otra posible opción se puede realizar en el evento de que la primera pregunta no se pueda adelantar en la plataforma de SECOP II, toda vez que es una plataforma transaccional en la cual se regula y gestiona en línea todo el proceso de contratación, desde la planeación hasta la adjudicación y ejecución de los contratos de las entidades estatales? </w:t>
      </w:r>
    </w:p>
    <w:p w14:paraId="281ABDA6" w14:textId="77777777" w:rsidR="00D45F4E" w:rsidRPr="00C416B1" w:rsidRDefault="00D45F4E" w:rsidP="00D45F4E">
      <w:pPr>
        <w:pStyle w:val="Prrafodelista"/>
        <w:rPr>
          <w:rFonts w:ascii="Verdana" w:eastAsia="Calibri" w:hAnsi="Verdana" w:cs="Arial"/>
          <w:i/>
          <w:color w:val="000000"/>
          <w:sz w:val="20"/>
          <w:szCs w:val="20"/>
          <w:lang w:eastAsia="es-ES"/>
        </w:rPr>
      </w:pPr>
    </w:p>
    <w:p w14:paraId="24EA4C4B" w14:textId="77777777" w:rsidR="00D45F4E" w:rsidRDefault="00D45F4E" w:rsidP="00D45F4E">
      <w:pPr>
        <w:pStyle w:val="Prrafodelista"/>
        <w:numPr>
          <w:ilvl w:val="0"/>
          <w:numId w:val="21"/>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¿Se puede realizar cual modificación, o pago de facturas estando suspendido el contrato?</w:t>
      </w:r>
    </w:p>
    <w:p w14:paraId="4B7D9B8F" w14:textId="77777777" w:rsidR="00D45F4E" w:rsidRPr="00CA2A60" w:rsidRDefault="00D45F4E" w:rsidP="00D45F4E">
      <w:pPr>
        <w:pStyle w:val="Prrafodelista"/>
        <w:rPr>
          <w:rFonts w:ascii="Verdana" w:eastAsia="Calibri" w:hAnsi="Verdana" w:cs="Arial"/>
          <w:i/>
          <w:color w:val="000000"/>
          <w:sz w:val="20"/>
          <w:szCs w:val="20"/>
          <w:lang w:eastAsia="es-ES"/>
        </w:rPr>
      </w:pPr>
    </w:p>
    <w:p w14:paraId="2CC58D46" w14:textId="77777777" w:rsidR="00D45F4E" w:rsidRPr="00883967" w:rsidRDefault="00D45F4E" w:rsidP="00D45F4E">
      <w:pPr>
        <w:pStyle w:val="Prrafodelista"/>
        <w:spacing w:after="0" w:line="240" w:lineRule="auto"/>
        <w:ind w:right="709"/>
        <w:jc w:val="both"/>
      </w:pPr>
      <w:r w:rsidRPr="00C25E2E">
        <w:rPr>
          <w:rFonts w:ascii="Verdana" w:eastAsia="Calibri" w:hAnsi="Verdana" w:cs="Arial"/>
          <w:i/>
          <w:color w:val="000000"/>
          <w:sz w:val="20"/>
          <w:szCs w:val="20"/>
          <w:lang w:eastAsia="es-ES"/>
        </w:rPr>
        <w:t>[…]”</w:t>
      </w:r>
      <w:r>
        <w:rPr>
          <w:rFonts w:ascii="Verdana" w:eastAsia="Calibri" w:hAnsi="Verdana" w:cs="Arial"/>
          <w:i/>
          <w:color w:val="000000"/>
          <w:sz w:val="20"/>
          <w:szCs w:val="20"/>
          <w:lang w:eastAsia="es-ES"/>
        </w:rPr>
        <w:t xml:space="preserve">. </w:t>
      </w:r>
    </w:p>
    <w:p w14:paraId="31C9857B" w14:textId="77777777" w:rsidR="00D45F4E" w:rsidRPr="00883967" w:rsidRDefault="00D45F4E" w:rsidP="00D45F4E">
      <w:pPr>
        <w:ind w:left="709" w:right="709"/>
        <w:jc w:val="both"/>
        <w:rPr>
          <w:rFonts w:ascii="Verdana" w:eastAsia="Calibri" w:hAnsi="Verdana" w:cs="Arial"/>
          <w:i/>
          <w:color w:val="000000"/>
          <w:lang w:val="es-ES" w:eastAsia="es-ES"/>
        </w:rPr>
      </w:pPr>
    </w:p>
    <w:p w14:paraId="1B128B5D" w14:textId="77777777" w:rsidR="00D45F4E" w:rsidRPr="00883967" w:rsidRDefault="00D45F4E" w:rsidP="00D45F4E">
      <w:pPr>
        <w:spacing w:after="120" w:line="276" w:lineRule="auto"/>
        <w:ind w:firstLine="709"/>
        <w:jc w:val="both"/>
        <w:rPr>
          <w:rFonts w:ascii="Verdana" w:eastAsia="Calibri" w:hAnsi="Verdana" w:cs="Arial"/>
          <w:color w:val="000000"/>
          <w:lang w:val="es-ES_tradnl"/>
        </w:rPr>
      </w:pPr>
      <w:r w:rsidRPr="00883967">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883967">
        <w:rPr>
          <w:rFonts w:ascii="Verdana" w:eastAsia="Calibri" w:hAnsi="Verdana" w:cs="Arial"/>
          <w:color w:val="000000"/>
          <w:lang w:val="es-ES_tradnl"/>
        </w:rPr>
        <w:tab/>
      </w:r>
    </w:p>
    <w:p w14:paraId="11C4D7C1" w14:textId="3322B631" w:rsidR="00D45F4E" w:rsidRPr="00883967" w:rsidRDefault="00D45F4E" w:rsidP="00520018">
      <w:pPr>
        <w:spacing w:line="276" w:lineRule="auto"/>
        <w:ind w:firstLine="709"/>
        <w:jc w:val="both"/>
        <w:rPr>
          <w:rFonts w:ascii="Verdana" w:eastAsia="Calibri" w:hAnsi="Verdana" w:cs="Arial"/>
          <w:color w:val="000000"/>
          <w:lang w:val="es-ES" w:eastAsia="es-ES"/>
        </w:rPr>
      </w:pPr>
      <w:r w:rsidRPr="00883967">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unas consideraciones sobre las normas generales relacionadas con </w:t>
      </w:r>
      <w:r w:rsidRPr="00883967">
        <w:rPr>
          <w:rFonts w:ascii="Verdana" w:eastAsia="Calibri" w:hAnsi="Verdana" w:cs="Arial"/>
          <w:lang w:val="es-ES" w:eastAsia="es-ES"/>
        </w:rPr>
        <w:t xml:space="preserve">el problema </w:t>
      </w:r>
      <w:r w:rsidRPr="00883967">
        <w:rPr>
          <w:rFonts w:ascii="Verdana" w:eastAsia="Calibri" w:hAnsi="Verdana" w:cs="Arial"/>
          <w:color w:val="000000"/>
          <w:lang w:val="es-ES" w:eastAsia="es-ES"/>
        </w:rPr>
        <w:t xml:space="preserve">jurídico de su consulta. </w:t>
      </w:r>
    </w:p>
    <w:p w14:paraId="55498E5B" w14:textId="0762B36E" w:rsidR="00D45F4E" w:rsidRDefault="00D45F4E" w:rsidP="00D45F4E">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484987">
        <w:rPr>
          <w:rFonts w:ascii="Verdana" w:eastAsia="Century Gothic" w:hAnsi="Verdana" w:cs="Century Gothic"/>
          <w:b/>
          <w:bCs/>
        </w:rPr>
        <w:t>Problema planteado:</w:t>
      </w:r>
    </w:p>
    <w:p w14:paraId="7EC82D20" w14:textId="77777777" w:rsidR="00520018" w:rsidRPr="00520018" w:rsidRDefault="00520018" w:rsidP="00520018">
      <w:pPr>
        <w:pStyle w:val="Prrafodelista"/>
        <w:tabs>
          <w:tab w:val="left" w:pos="142"/>
          <w:tab w:val="left" w:pos="284"/>
        </w:tabs>
        <w:spacing w:after="0" w:line="276" w:lineRule="auto"/>
        <w:ind w:left="0"/>
        <w:jc w:val="both"/>
        <w:rPr>
          <w:rFonts w:ascii="Verdana" w:eastAsia="Century Gothic" w:hAnsi="Verdana" w:cs="Century Gothic"/>
          <w:b/>
          <w:bCs/>
        </w:rPr>
      </w:pPr>
    </w:p>
    <w:p w14:paraId="19AD0924" w14:textId="144FA615" w:rsidR="00D45F4E" w:rsidRPr="00883967" w:rsidRDefault="00D45F4E" w:rsidP="00D45F4E">
      <w:pPr>
        <w:spacing w:line="276" w:lineRule="auto"/>
        <w:jc w:val="both"/>
        <w:rPr>
          <w:rFonts w:ascii="Verdana" w:eastAsia="Century Gothic" w:hAnsi="Verdana" w:cs="Century Gothic"/>
        </w:rPr>
      </w:pPr>
      <w:r w:rsidRPr="00883967">
        <w:rPr>
          <w:rFonts w:ascii="Verdana" w:eastAsia="Century Gothic" w:hAnsi="Verdana" w:cs="Century Gothic"/>
        </w:rPr>
        <w:t xml:space="preserve">De acuerdo con el contenido de su solicitud y nuestra competencia, esta Agencia abordará los siguientes problemas jurídicos: i) ¿Puede una entidad estatal efectuar pagos derivados de obligaciones causadas con anterioridad a la suspensión de un contrato de prestación de servicios profesionales mientras este permanece suspendido, o resulta necesario reanudar previamente la ejecución contractual para tramitar dichos pagos a través de los mecanismos previstos en </w:t>
      </w:r>
      <w:r w:rsidRPr="00883967">
        <w:rPr>
          <w:rFonts w:ascii="Verdana" w:eastAsia="Century Gothic" w:hAnsi="Verdana" w:cs="Century Gothic"/>
        </w:rPr>
        <w:lastRenderedPageBreak/>
        <w:t>SECOP II? ii)</w:t>
      </w:r>
      <w:r w:rsidRPr="00883967">
        <w:t xml:space="preserve"> </w:t>
      </w:r>
      <w:r w:rsidRPr="00883967">
        <w:rPr>
          <w:rFonts w:ascii="Verdana" w:eastAsia="Century Gothic" w:hAnsi="Verdana" w:cs="Century Gothic"/>
        </w:rPr>
        <w:t>¿Qué actuaciones administrativas y contractuales puede adelantar una entidad estatal cuando las funcionalidades de SECOP II impiden registrar directamente la liquidación de un contrato estatal, pese a que jurídicamente se encuentra configurada la necesidad de efectuar su liquidación y cierre contractual? iii)  ¿Es procedente realizar modificaciones contractuales o efectuar pagos derivados de la ejecución contractual durante el período de suspensión de un contrato estatal, y cuáles son los límites jurídicos aplicables a dichas actuaciones?</w:t>
      </w:r>
    </w:p>
    <w:p w14:paraId="4346D0E9" w14:textId="1FAC2DEF" w:rsidR="00D45F4E" w:rsidRDefault="00D45F4E" w:rsidP="00D45F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F4EAF">
        <w:rPr>
          <w:rFonts w:ascii="Verdana" w:eastAsia="Century Gothic" w:hAnsi="Verdana" w:cs="Century Gothic"/>
          <w:b/>
          <w:bCs/>
        </w:rPr>
        <w:t>Respuesta:</w:t>
      </w:r>
    </w:p>
    <w:p w14:paraId="406A888B" w14:textId="77777777" w:rsidR="00944733" w:rsidRPr="00520018" w:rsidRDefault="00944733" w:rsidP="00944733">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45F4E" w:rsidRPr="005C170B" w14:paraId="0A0FE7AE" w14:textId="77777777" w:rsidTr="001C55F1">
        <w:tc>
          <w:tcPr>
            <w:tcW w:w="8828" w:type="dxa"/>
          </w:tcPr>
          <w:p w14:paraId="0EC95D8E" w14:textId="77777777" w:rsidR="00D45F4E" w:rsidRPr="00883967" w:rsidRDefault="00D45F4E" w:rsidP="001C55F1">
            <w:pPr>
              <w:spacing w:line="276" w:lineRule="auto"/>
              <w:jc w:val="both"/>
              <w:rPr>
                <w:rFonts w:ascii="Verdana" w:eastAsia="Calibri" w:hAnsi="Verdana" w:cs="Arial"/>
                <w:color w:val="000000" w:themeColor="text1"/>
              </w:rPr>
            </w:pPr>
            <w:r w:rsidRPr="00883967">
              <w:rPr>
                <w:rFonts w:ascii="Verdana" w:eastAsia="Calibri" w:hAnsi="Verdana" w:cs="Arial"/>
                <w:color w:val="000000" w:themeColor="text1"/>
              </w:rPr>
              <w:t>Antes de abordar los problemas jurídicos planteados, resulta pertinente precisar que esta Subdirección se pronunciará sobre las nociones generales aplicables al contrato de prestación de servicios. Por su parte, el Grupo de Uso y Apropiación de la Subdirección de Información y Desarrollo Tecnológico atenderá los interrogantes relacionados con la operación y el manejo de la plataforma SECOP, mediante el documento adjunto a la presente respuesta.</w:t>
            </w:r>
          </w:p>
          <w:p w14:paraId="5E16BB12" w14:textId="77777777" w:rsidR="00D45F4E" w:rsidRPr="00883967" w:rsidRDefault="00D45F4E" w:rsidP="001C55F1">
            <w:pPr>
              <w:spacing w:after="120" w:line="276" w:lineRule="auto"/>
              <w:jc w:val="both"/>
              <w:rPr>
                <w:rFonts w:ascii="Verdana" w:hAnsi="Verdana"/>
                <w:b/>
                <w:bCs/>
              </w:rPr>
            </w:pPr>
          </w:p>
          <w:p w14:paraId="29137B01" w14:textId="77777777" w:rsidR="00D45F4E" w:rsidRPr="00883967" w:rsidRDefault="00D45F4E" w:rsidP="001C55F1">
            <w:pPr>
              <w:spacing w:after="120" w:line="276" w:lineRule="auto"/>
              <w:jc w:val="both"/>
              <w:rPr>
                <w:rFonts w:ascii="Verdana" w:hAnsi="Verdana"/>
              </w:rPr>
            </w:pPr>
            <w:r w:rsidRPr="00883967">
              <w:rPr>
                <w:rFonts w:ascii="Verdana" w:hAnsi="Verdana"/>
                <w:b/>
              </w:rPr>
              <w:t>i.</w:t>
            </w:r>
            <w:r w:rsidRPr="00883967">
              <w:rPr>
                <w:rFonts w:ascii="Verdana" w:hAnsi="Verdana"/>
              </w:rPr>
              <w:t xml:space="preserve"> En ese orden de ideas, conforme a la interpretación general de las normas que estructuran el régimen de contratación estatal, la Ley 80 de 1993 y la Ley 1150 de 2007 reconocen la figura del </w:t>
            </w:r>
            <w:r w:rsidRPr="00883967">
              <w:rPr>
                <w:rFonts w:ascii="Verdana" w:hAnsi="Verdana"/>
                <w:i/>
              </w:rPr>
              <w:t xml:space="preserve">contrato de prestación de servicios </w:t>
            </w:r>
            <w:r w:rsidRPr="00883967">
              <w:rPr>
                <w:rFonts w:ascii="Verdana" w:hAnsi="Verdana"/>
              </w:rPr>
              <w:t xml:space="preserve">como un instrumento jurídico mediante la cual las entidades públicas vinculan a personas naturales o jurídicas para desarrollar actividades relacionadas con su administración o funcionamiento. Su finalidad principal consiste en satisfacer necesidades institucionales que no pueden ser atendidas directamente por el personal de planta o que requieren conocimientos especializados, sin que ello implique la creación de cargos públicos o el establecimiento de una relación laboral. Por esta razón, constituye un instrumento de colaboración con la administración pública que permite a las entidades contar con apoyo técnico, profesional, científico o asistencial para el cumplimiento de sus fines. </w:t>
            </w:r>
          </w:p>
          <w:p w14:paraId="6B62AA8E" w14:textId="77777777" w:rsidR="00D45F4E" w:rsidRPr="00883967" w:rsidRDefault="00D45F4E" w:rsidP="001C55F1">
            <w:pPr>
              <w:spacing w:after="120" w:line="276" w:lineRule="auto"/>
              <w:ind w:firstLine="709"/>
              <w:jc w:val="both"/>
              <w:rPr>
                <w:rFonts w:ascii="Verdana" w:eastAsia="Arial" w:hAnsi="Verdana" w:cs="Arial"/>
                <w:color w:val="000000" w:themeColor="text1"/>
              </w:rPr>
            </w:pPr>
            <w:r w:rsidRPr="00883967">
              <w:rPr>
                <w:rFonts w:ascii="Verdana" w:eastAsia="Arial" w:hAnsi="Verdana" w:cs="Arial"/>
                <w:color w:val="000000" w:themeColor="text1"/>
              </w:rPr>
              <w:t xml:space="preserve">Desde el punto de vista jurídico, el contrato de prestación de servicios es un contrato estatal de naturaleza bilateral, onerosa y temporal, que se rige por las disposiciones del Estatuto General de Contratación de la Administración Pública y por las normas civiles y comerciales aplicables. Su celebración responde a la necesidad de ejecutar actividades específicas previamente identificadas en los estudios y documentos previos, por lo que su objeto debe </w:t>
            </w:r>
            <w:r w:rsidRPr="00883967">
              <w:rPr>
                <w:rFonts w:ascii="Verdana" w:eastAsia="Arial" w:hAnsi="Verdana" w:cs="Arial"/>
                <w:color w:val="000000" w:themeColor="text1"/>
              </w:rPr>
              <w:lastRenderedPageBreak/>
              <w:t>encontrarse claramente determinado y vinculado al cumplimiento de las funciones y competencias de la entidad contratante.</w:t>
            </w:r>
          </w:p>
          <w:p w14:paraId="4335F795" w14:textId="77777777" w:rsidR="00D45F4E" w:rsidRPr="00883967" w:rsidRDefault="00D45F4E" w:rsidP="001C55F1">
            <w:pPr>
              <w:spacing w:after="120" w:line="276" w:lineRule="auto"/>
              <w:ind w:firstLine="709"/>
              <w:jc w:val="both"/>
              <w:rPr>
                <w:rFonts w:ascii="Verdana" w:eastAsia="Arial" w:hAnsi="Verdana" w:cs="Arial"/>
                <w:color w:val="000000" w:themeColor="text1"/>
              </w:rPr>
            </w:pPr>
            <w:r w:rsidRPr="00883967">
              <w:rPr>
                <w:rFonts w:ascii="Verdana" w:eastAsia="Arial" w:hAnsi="Verdana" w:cs="Arial"/>
                <w:color w:val="000000" w:themeColor="text1"/>
              </w:rPr>
              <w:t>Una de las características esenciales de esta modalidad contractual es la autonomía e independencia del contratista. A diferencia de la relación laboral, en el contrato de prestación de servicios no existe subordinación jurídica frente a la entidad estatal, lo que significa que el contratista conserva libertad técnica y administrativa para desarrollar las actividades encomendadas, sin perjuicio de la supervisión que ejerza la entidad para verificar el cumplimiento de las obligaciones contractuales. En consecuencia, la remuneración que recibe el contratista corresponde a honorarios pactados entre las partes y no constituye salario.</w:t>
            </w:r>
          </w:p>
          <w:p w14:paraId="0867DB7C" w14:textId="77777777" w:rsidR="00D45F4E" w:rsidRPr="00883967" w:rsidRDefault="00D45F4E" w:rsidP="001C55F1">
            <w:pPr>
              <w:spacing w:after="120" w:line="276" w:lineRule="auto"/>
              <w:ind w:firstLine="709"/>
              <w:jc w:val="both"/>
              <w:rPr>
                <w:rFonts w:ascii="Verdana" w:eastAsia="Arial" w:hAnsi="Verdana" w:cs="Arial"/>
                <w:color w:val="000000" w:themeColor="text1"/>
              </w:rPr>
            </w:pPr>
            <w:r w:rsidRPr="00883967">
              <w:rPr>
                <w:rFonts w:ascii="Verdana" w:eastAsia="Arial" w:hAnsi="Verdana" w:cs="Arial"/>
                <w:color w:val="000000" w:themeColor="text1"/>
              </w:rPr>
              <w:t>Asimismo, la ley establece expresamente que los contratos de prestación de servicios no generan relación laboral ni prestaciones sociales, y tampoco confieren al contratista la calidad de empleado público o trabajador oficial. No obstante, la jurisprudencia de la Corte Constitucional y del Consejo de Estado ha señalado que, cuando en la práctica se demuestra la existencia de elementos propios de una relación laboral, especialmente la subordinación permanente, puede configurarse la figura del contrato realidad, con las consecuencias jurídicas y económicas derivadas del reconocimiento de derechos laborales.</w:t>
            </w:r>
          </w:p>
          <w:p w14:paraId="135BDB0C" w14:textId="77777777" w:rsidR="00D45F4E" w:rsidRPr="00883967" w:rsidRDefault="00D45F4E" w:rsidP="001C55F1">
            <w:pPr>
              <w:spacing w:after="120" w:line="276" w:lineRule="auto"/>
              <w:ind w:firstLine="709"/>
              <w:jc w:val="both"/>
              <w:rPr>
                <w:rFonts w:ascii="Verdana" w:eastAsia="Arial" w:hAnsi="Verdana" w:cs="Arial"/>
                <w:color w:val="000000" w:themeColor="text1"/>
              </w:rPr>
            </w:pPr>
            <w:r w:rsidRPr="00883967">
              <w:rPr>
                <w:rFonts w:ascii="Verdana" w:eastAsia="Arial" w:hAnsi="Verdana" w:cs="Arial"/>
                <w:color w:val="000000" w:themeColor="text1"/>
              </w:rPr>
              <w:t>En ese orden de ideas, el contrato de prestación de servicios debe analizarse a la luz de los principios que orientan la actividad contractual del Estado, entre ellos la transparencia, la economía, la responsabilidad, la planeación y la selección objetiva. En ese sentido, la jurisprudencia ha insistido en que esta modalidad contractual no puede utilizarse como mecanismo para suplir de manera permanente funciones ordinarias de la administración ni para evadir las reglas que regulan el empleo público. Por el contrario, su utilización debe responder a necesidades temporales, específicas y justificadas, garantizando siempre el adecuado cumplimiento de los fines estatales y la correcta administración de los recursos públicos.</w:t>
            </w:r>
          </w:p>
          <w:p w14:paraId="45EF1B46" w14:textId="77777777" w:rsidR="00D45F4E" w:rsidRPr="00883967" w:rsidRDefault="00D45F4E" w:rsidP="001C55F1">
            <w:pPr>
              <w:spacing w:line="276" w:lineRule="auto"/>
              <w:ind w:firstLine="709"/>
              <w:jc w:val="both"/>
              <w:rPr>
                <w:rFonts w:ascii="Verdana" w:eastAsia="Arial" w:hAnsi="Verdana" w:cs="Arial"/>
                <w:bCs/>
                <w:color w:val="000000" w:themeColor="text1"/>
              </w:rPr>
            </w:pPr>
            <w:r w:rsidRPr="00883967">
              <w:rPr>
                <w:rFonts w:ascii="Verdana" w:eastAsia="Arial" w:hAnsi="Verdana" w:cs="Arial"/>
                <w:bCs/>
                <w:color w:val="000000" w:themeColor="text1"/>
              </w:rPr>
              <w:t xml:space="preserve">Una entidad estatal sí puede efectuar pagos derivados de obligaciones causadas con anterioridad a la suspensión de un contrato de prestación de servicios profesionales mientras este permanezca suspendido, siempre que dichas obligaciones correspondan a actividades efectivamente ejecutadas, recibidas a satisfacción y debidamente soportadas antes de la suspensión, ya </w:t>
            </w:r>
            <w:r w:rsidRPr="00883967">
              <w:rPr>
                <w:rFonts w:ascii="Verdana" w:eastAsia="Arial" w:hAnsi="Verdana" w:cs="Arial"/>
                <w:bCs/>
                <w:color w:val="000000" w:themeColor="text1"/>
              </w:rPr>
              <w:lastRenderedPageBreak/>
              <w:t>que la suspensión afecta la ejecución futura del contrato, pero no extingue ni impide el reconocimiento y pago de prestaciones ya causadas; en este sentido, no resulta jurídicamente necesario reanudar el contrato para tramitar dichos pagos, pues estos constituyen el cumplimiento de obligaciones exigibles y consolidadas</w:t>
            </w:r>
            <w:r>
              <w:rPr>
                <w:rFonts w:ascii="Verdana" w:eastAsia="Arial" w:hAnsi="Verdana" w:cs="Arial"/>
                <w:bCs/>
                <w:color w:val="000000" w:themeColor="text1"/>
              </w:rPr>
              <w:t>.</w:t>
            </w:r>
          </w:p>
          <w:p w14:paraId="00F623F3" w14:textId="77777777" w:rsidR="00D45F4E" w:rsidRPr="00883967" w:rsidRDefault="00D45F4E" w:rsidP="001C55F1">
            <w:pPr>
              <w:spacing w:line="276" w:lineRule="auto"/>
              <w:jc w:val="both"/>
              <w:rPr>
                <w:rFonts w:ascii="Verdana" w:hAnsi="Verdana"/>
              </w:rPr>
            </w:pPr>
          </w:p>
          <w:p w14:paraId="7DCDDABE" w14:textId="77777777" w:rsidR="00D45F4E" w:rsidRPr="00883967" w:rsidRDefault="00D45F4E" w:rsidP="001C55F1">
            <w:pPr>
              <w:spacing w:line="276" w:lineRule="auto"/>
              <w:jc w:val="both"/>
              <w:rPr>
                <w:rFonts w:ascii="Verdana" w:eastAsia="Calibri" w:hAnsi="Verdana" w:cs="Arial"/>
                <w:color w:val="000000" w:themeColor="text1"/>
              </w:rPr>
            </w:pPr>
            <w:r w:rsidRPr="00883967">
              <w:rPr>
                <w:rFonts w:ascii="Verdana" w:eastAsia="Calibri" w:hAnsi="Verdana" w:cs="Arial"/>
                <w:b/>
                <w:color w:val="000000" w:themeColor="text1"/>
              </w:rPr>
              <w:t>ii.</w:t>
            </w:r>
            <w:r w:rsidRPr="00883967">
              <w:rPr>
                <w:rFonts w:ascii="Verdana" w:eastAsia="Calibri" w:hAnsi="Verdana" w:cs="Arial"/>
                <w:color w:val="000000" w:themeColor="text1"/>
              </w:rPr>
              <w:t xml:space="preserve"> Ahora bien, para dar respuesta a los problemas jurídicos planteados en los numerales 2, 3 y 4 de su consulta, se adjunta el pronunciamiento emitido por la</w:t>
            </w:r>
            <w:r w:rsidRPr="00883967">
              <w:rPr>
                <w:rFonts w:ascii="Verdana" w:eastAsia="Calibri" w:hAnsi="Verdana" w:cs="Arial"/>
              </w:rPr>
              <w:t xml:space="preserve"> Subdirección de Información y Desarrollo Tecnológico de la Agencia Nacional de Contratación Pública – Colombia Compra Eficiente,</w:t>
            </w:r>
            <w:r w:rsidRPr="00883967">
              <w:rPr>
                <w:rFonts w:ascii="Verdana" w:eastAsia="Calibri" w:hAnsi="Verdana" w:cs="Arial"/>
                <w:color w:val="000000" w:themeColor="text1"/>
              </w:rPr>
              <w:t xml:space="preserve"> en el que se atienden las inquietudes relacionadas con el funcionamiento de la suspensión y reinicio de contratos en el SECOP. </w:t>
            </w:r>
          </w:p>
          <w:p w14:paraId="5D4DB770" w14:textId="77777777" w:rsidR="00D45F4E" w:rsidRDefault="00D45F4E" w:rsidP="001C55F1">
            <w:pPr>
              <w:spacing w:line="276" w:lineRule="auto"/>
              <w:jc w:val="both"/>
              <w:rPr>
                <w:rFonts w:ascii="Verdana" w:eastAsia="Calibri" w:hAnsi="Verdana" w:cs="Arial"/>
                <w:b/>
                <w:bCs/>
                <w:color w:val="000000" w:themeColor="text1"/>
              </w:rPr>
            </w:pPr>
          </w:p>
          <w:p w14:paraId="09833834" w14:textId="77777777" w:rsidR="00D45F4E" w:rsidRPr="00883967" w:rsidRDefault="00D45F4E" w:rsidP="001C55F1">
            <w:pPr>
              <w:spacing w:after="120" w:line="276" w:lineRule="auto"/>
              <w:jc w:val="both"/>
              <w:rPr>
                <w:rFonts w:ascii="Verdana" w:eastAsia="Calibri" w:hAnsi="Verdana" w:cs="Arial"/>
                <w:color w:val="000000" w:themeColor="text1"/>
              </w:rPr>
            </w:pPr>
            <w:r w:rsidRPr="00883967">
              <w:rPr>
                <w:rFonts w:ascii="Verdana" w:eastAsia="Calibri" w:hAnsi="Verdana" w:cs="Arial"/>
                <w:b/>
                <w:color w:val="000000" w:themeColor="text1"/>
              </w:rPr>
              <w:t>iii.</w:t>
            </w:r>
            <w:r w:rsidRPr="00883967">
              <w:rPr>
                <w:rFonts w:ascii="Verdana" w:eastAsia="Calibri" w:hAnsi="Verdana" w:cs="Arial"/>
                <w:color w:val="000000" w:themeColor="text1"/>
              </w:rPr>
              <w:t xml:space="preserve"> Finalmente, se precisa que esta Agencia no puede definir un</w:t>
            </w:r>
            <w:r w:rsidRPr="00883967">
              <w:rPr>
                <w:color w:val="000000" w:themeColor="text1"/>
              </w:rPr>
              <w:t xml:space="preserve"> </w:t>
            </w:r>
            <w:r w:rsidRPr="00883967">
              <w:rPr>
                <w:rFonts w:ascii="Verdana" w:eastAsia="Calibri" w:hAnsi="Verdana" w:cs="Arial"/>
                <w:color w:val="000000" w:themeColor="text1"/>
              </w:rPr>
              <w:t xml:space="preserve">criterio universal y absoluto por vía consultiva, sino que brinda elementos hermenéuticos de carácter general para que los partícipes del sistema de compras y contratación pública adopten la decisión que corresponda, lo o es acorde con el principio de juridicidad. Por lo anterior, previo concepto de sus órganos asesores, la solución de estos temas corresponde a la entidad de adoptar la decisión correspondiente y, en caso de conflicto, a las autoridades judiciales, fiscales y disciplinarias. </w:t>
            </w:r>
            <w:r w:rsidRPr="00883967">
              <w:rPr>
                <w:rFonts w:ascii="Verdana" w:eastAsia="Calibri" w:hAnsi="Verdana" w:cs="Arial"/>
              </w:rPr>
              <w:t>Así, corresponderá a cada entidad contratante definir la forma de adelantar su gestión contractual, sin que sea atribución de Colombia Compra Eficiente validar sus actuaciones.</w:t>
            </w:r>
          </w:p>
        </w:tc>
      </w:tr>
    </w:tbl>
    <w:p w14:paraId="1F37A7F3" w14:textId="77777777" w:rsidR="00D45F4E" w:rsidRPr="00883967" w:rsidRDefault="00D45F4E" w:rsidP="00D45F4E">
      <w:pPr>
        <w:tabs>
          <w:tab w:val="left" w:pos="142"/>
          <w:tab w:val="left" w:pos="284"/>
        </w:tabs>
        <w:spacing w:line="276" w:lineRule="auto"/>
        <w:jc w:val="both"/>
        <w:rPr>
          <w:rFonts w:ascii="Verdana" w:eastAsia="Century Gothic" w:hAnsi="Verdana" w:cs="Century Gothic"/>
          <w:b/>
          <w:lang w:val="es-ES"/>
        </w:rPr>
      </w:pPr>
    </w:p>
    <w:p w14:paraId="794C3A46" w14:textId="7DA06FD5" w:rsidR="00D45F4E" w:rsidRDefault="00D45F4E" w:rsidP="00D45F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773F9C">
        <w:rPr>
          <w:rFonts w:ascii="Verdana" w:eastAsia="Century Gothic" w:hAnsi="Verdana" w:cs="Century Gothic"/>
          <w:b/>
          <w:bCs/>
        </w:rPr>
        <w:t>Razones de la respuesta:</w:t>
      </w:r>
    </w:p>
    <w:p w14:paraId="26C9A357" w14:textId="77777777" w:rsidR="00944733" w:rsidRPr="00520018" w:rsidRDefault="00944733" w:rsidP="00944733">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359CD191" w14:textId="088D34B5" w:rsidR="00D45F4E" w:rsidRPr="00883967" w:rsidRDefault="00D45F4E" w:rsidP="00D45F4E">
      <w:pPr>
        <w:spacing w:line="276" w:lineRule="auto"/>
        <w:jc w:val="both"/>
        <w:rPr>
          <w:rFonts w:ascii="Verdana" w:eastAsia="Calibri" w:hAnsi="Verdana" w:cs="Arial"/>
          <w:lang w:val="es-ES"/>
        </w:rPr>
      </w:pPr>
      <w:r w:rsidRPr="00883967">
        <w:rPr>
          <w:rFonts w:ascii="Verdana" w:eastAsia="Calibri" w:hAnsi="Verdana" w:cs="Arial"/>
          <w:lang w:val="es-ES"/>
        </w:rPr>
        <w:t xml:space="preserve">Lo anterior se sustenta en las siguientes consideraciones: </w:t>
      </w:r>
    </w:p>
    <w:p w14:paraId="65188201" w14:textId="387703F3" w:rsidR="00D45F4E" w:rsidRPr="00883967" w:rsidRDefault="00D45F4E" w:rsidP="00D45F4E">
      <w:pPr>
        <w:spacing w:line="276" w:lineRule="auto"/>
        <w:jc w:val="both"/>
        <w:rPr>
          <w:rFonts w:ascii="Verdana" w:eastAsia="Calibri" w:hAnsi="Verdana" w:cs="Arial"/>
          <w:color w:val="000000"/>
        </w:rPr>
      </w:pPr>
      <w:r w:rsidRPr="00883967">
        <w:rPr>
          <w:rFonts w:ascii="Verdana" w:eastAsia="Calibri" w:hAnsi="Verdana" w:cs="Arial"/>
          <w:b/>
          <w:lang w:val="es-ES"/>
        </w:rPr>
        <w:t>i.</w:t>
      </w:r>
      <w:r w:rsidRPr="00883967">
        <w:rPr>
          <w:rFonts w:ascii="Verdana" w:eastAsia="Verdana" w:hAnsi="Verdana" w:cs="Verdana"/>
          <w:lang w:val="es-ES"/>
        </w:rPr>
        <w:t xml:space="preserve"> </w:t>
      </w:r>
      <w:r w:rsidRPr="00883967">
        <w:rPr>
          <w:rFonts w:ascii="Verdana" w:eastAsia="Calibri" w:hAnsi="Verdana" w:cs="Arial"/>
        </w:rPr>
        <w:t xml:space="preserve">El </w:t>
      </w:r>
      <w:r w:rsidRPr="00883967">
        <w:rPr>
          <w:rFonts w:ascii="Verdana" w:eastAsia="Calibri" w:hAnsi="Verdana" w:cs="Arial"/>
          <w:color w:val="000000"/>
        </w:rPr>
        <w:t>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558F5155" w14:textId="5D994915" w:rsidR="00D45F4E" w:rsidRPr="00C70EEC" w:rsidRDefault="00D45F4E" w:rsidP="00520018">
      <w:pPr>
        <w:ind w:left="709" w:right="709"/>
        <w:jc w:val="both"/>
        <w:rPr>
          <w:rFonts w:ascii="Verdana" w:eastAsia="Calibri" w:hAnsi="Verdana" w:cs="Arial"/>
          <w:color w:val="000000"/>
          <w:sz w:val="20"/>
          <w:szCs w:val="20"/>
        </w:rPr>
      </w:pPr>
      <w:r w:rsidRPr="00C70EEC">
        <w:rPr>
          <w:rFonts w:ascii="Verdana" w:eastAsia="Calibri" w:hAnsi="Verdana" w:cs="Arial"/>
          <w:color w:val="000000"/>
          <w:sz w:val="20"/>
          <w:szCs w:val="20"/>
        </w:rPr>
        <w:t xml:space="preserve">“Son contratos de prestación de servicios los que celebren las entidades estatales para desarrollar actividades relacionadas con la administración o funcionamiento de la entidad. Estos contratos sólo podrán celebrarse con </w:t>
      </w:r>
      <w:r w:rsidRPr="00C70EEC">
        <w:rPr>
          <w:rFonts w:ascii="Verdana" w:eastAsia="Calibri" w:hAnsi="Verdana" w:cs="Arial"/>
          <w:color w:val="000000"/>
          <w:sz w:val="20"/>
          <w:szCs w:val="20"/>
        </w:rPr>
        <w:lastRenderedPageBreak/>
        <w:t>personas naturales cuando dichas actividades no puedan realizarse con personal de planta o requieran conocimientos especializados.</w:t>
      </w:r>
    </w:p>
    <w:p w14:paraId="2F21CC71" w14:textId="1B7B0C54" w:rsidR="00D45F4E" w:rsidRPr="00520018" w:rsidRDefault="00D45F4E" w:rsidP="00520018">
      <w:pPr>
        <w:ind w:left="709" w:right="709"/>
        <w:jc w:val="both"/>
        <w:rPr>
          <w:rFonts w:ascii="Verdana" w:eastAsia="Calibri" w:hAnsi="Verdana" w:cs="Arial"/>
          <w:color w:val="000000"/>
          <w:sz w:val="20"/>
          <w:szCs w:val="20"/>
        </w:rPr>
      </w:pPr>
      <w:r w:rsidRPr="00C70EEC">
        <w:rPr>
          <w:rFonts w:ascii="Verdana" w:eastAsia="Calibri" w:hAnsi="Verdana" w:cs="Arial"/>
          <w:color w:val="000000"/>
          <w:sz w:val="20"/>
          <w:szCs w:val="20"/>
        </w:rPr>
        <w:t>En ningún caso estos contratos generan relación laboral ni prestaciones sociales y se celebrarán por el término estrictamente indispensable.”</w:t>
      </w:r>
    </w:p>
    <w:p w14:paraId="0934D7BF" w14:textId="5D6B8C71" w:rsidR="00D45F4E" w:rsidRPr="00883967" w:rsidRDefault="00D45F4E" w:rsidP="00520018">
      <w:pPr>
        <w:spacing w:line="276" w:lineRule="auto"/>
        <w:ind w:firstLine="709"/>
        <w:jc w:val="both"/>
        <w:rPr>
          <w:rFonts w:ascii="Verdana" w:eastAsia="Calibri" w:hAnsi="Verdana" w:cs="Arial"/>
          <w:color w:val="000000"/>
        </w:rPr>
      </w:pPr>
      <w:r w:rsidRPr="00883967">
        <w:rPr>
          <w:rFonts w:ascii="Verdana" w:eastAsia="Calibri" w:hAnsi="Verdana" w:cs="Arial"/>
          <w:color w:val="000000"/>
        </w:rPr>
        <w:t>De otro lado, la celebración de dicho contrato debe efectuarse mediante la modalidad de la contratación directa. Así lo prevé el artículo 2, numeral 4º, literal h) de la Ley 1150 de 2007, que dispone:</w:t>
      </w:r>
    </w:p>
    <w:p w14:paraId="4B456E03" w14:textId="77777777" w:rsidR="00D45F4E" w:rsidRPr="009C2CE9" w:rsidRDefault="00D45F4E" w:rsidP="00D45F4E">
      <w:pPr>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9C2CE9">
        <w:rPr>
          <w:rFonts w:ascii="Verdana" w:eastAsia="Calibri" w:hAnsi="Verdana" w:cs="Arial"/>
          <w:color w:val="000000"/>
          <w:sz w:val="20"/>
          <w:szCs w:val="20"/>
        </w:rPr>
        <w:t>[…]</w:t>
      </w:r>
    </w:p>
    <w:p w14:paraId="419A48B3" w14:textId="77777777" w:rsidR="00D45F4E" w:rsidRPr="009C2CE9" w:rsidRDefault="00D45F4E" w:rsidP="00D45F4E">
      <w:pPr>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Contratación directa. La modalidad de selección de contratación directa solamente procederá en los siguientes casos:</w:t>
      </w:r>
    </w:p>
    <w:p w14:paraId="56E3CC2C" w14:textId="77777777" w:rsidR="00D45F4E" w:rsidRPr="009C2CE9" w:rsidRDefault="00D45F4E" w:rsidP="00D45F4E">
      <w:pPr>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w:t>
      </w:r>
    </w:p>
    <w:p w14:paraId="729899DC" w14:textId="101A9C7C" w:rsidR="00D45F4E" w:rsidRPr="00520018" w:rsidRDefault="00D45F4E" w:rsidP="00520018">
      <w:pPr>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h) Para la prestación de servicios profesionales y de apoyo a la gestión, o para la ejecución de trabajos artísticos que sólo puedan encomendarse a determinadas personas naturales;</w:t>
      </w:r>
      <w:r>
        <w:rPr>
          <w:rFonts w:ascii="Verdana" w:eastAsia="Calibri" w:hAnsi="Verdana" w:cs="Arial"/>
          <w:color w:val="000000"/>
          <w:sz w:val="20"/>
          <w:szCs w:val="20"/>
        </w:rPr>
        <w:t>”</w:t>
      </w:r>
    </w:p>
    <w:p w14:paraId="63537C7D"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14DBB316"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4B720724"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b)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7088DA19"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lastRenderedPageBreak/>
        <w:t>c) Si bien se celebran para obtener la prestación personal de un servicio, se diferencian del contrato de trabajo</w:t>
      </w:r>
      <w:r w:rsidRPr="00883967">
        <w:rPr>
          <w:rFonts w:ascii="Verdana" w:eastAsia="Calibri" w:hAnsi="Verdana" w:cs="Arial"/>
          <w:color w:val="000000"/>
          <w:vertAlign w:val="superscript"/>
        </w:rPr>
        <w:footnoteReference w:id="1"/>
      </w:r>
      <w:r w:rsidRPr="00883967">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w:t>
      </w:r>
      <w:r w:rsidRPr="00883967">
        <w:rPr>
          <w:rFonts w:ascii="Verdana" w:eastAsia="Calibri" w:hAnsi="Verdana" w:cs="Arial"/>
          <w:i/>
          <w:color w:val="000000"/>
        </w:rPr>
        <w:t>subordinación y dependencia</w:t>
      </w:r>
      <w:r w:rsidRPr="00883967">
        <w:rPr>
          <w:rFonts w:ascii="Verdana" w:eastAsia="Calibri" w:hAnsi="Verdana" w:cs="Arial"/>
          <w:color w:val="000000"/>
        </w:rPr>
        <w:t xml:space="preserve">, que es uno de los elementos constitutivos del vínculo laboral. 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w:t>
      </w:r>
      <w:r w:rsidRPr="00883967">
        <w:rPr>
          <w:rFonts w:ascii="Verdana" w:eastAsia="Calibri" w:hAnsi="Verdana" w:cs="Arial"/>
          <w:i/>
          <w:color w:val="000000"/>
        </w:rPr>
        <w:t>no pueden</w:t>
      </w:r>
      <w:r w:rsidRPr="00883967">
        <w:rPr>
          <w:rFonts w:ascii="Verdana" w:eastAsia="Calibri" w:hAnsi="Verdana" w:cs="Arial"/>
          <w:color w:val="000000"/>
        </w:rPr>
        <w:t xml:space="preserve"> generar relación laboral, ni dar lugar a que las entidades estatales paguen por su cuenta los aportes al Sistema de Seguridad Social Integral del contratista. </w:t>
      </w:r>
    </w:p>
    <w:p w14:paraId="4D23F21C"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Lo anterior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w:t>
      </w:r>
      <w:r w:rsidRPr="00883967">
        <w:rPr>
          <w:rFonts w:ascii="Verdana" w:eastAsia="Calibri" w:hAnsi="Verdana" w:cs="Arial"/>
          <w:color w:val="000000"/>
          <w:vertAlign w:val="superscript"/>
        </w:rPr>
        <w:footnoteReference w:id="2"/>
      </w:r>
      <w:r w:rsidRPr="00883967">
        <w:rPr>
          <w:rFonts w:ascii="Verdana" w:eastAsia="Calibri" w:hAnsi="Verdana" w:cs="Arial"/>
          <w:color w:val="000000"/>
        </w:rPr>
        <w:t xml:space="preserve">. </w:t>
      </w:r>
    </w:p>
    <w:p w14:paraId="770BEDEA"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 xml:space="preserve">Pero es posible que, a pesar de este mandato deontológico, en la práctica surja la relación laboral, pues, como se sabe, el contrato de trabajo es un </w:t>
      </w:r>
      <w:r w:rsidRPr="00883967">
        <w:rPr>
          <w:rFonts w:ascii="Verdana" w:eastAsia="Calibri" w:hAnsi="Verdana" w:cs="Arial"/>
          <w:i/>
          <w:color w:val="000000"/>
        </w:rPr>
        <w:lastRenderedPageBreak/>
        <w:t>contrato realidad</w:t>
      </w:r>
      <w:r w:rsidRPr="00883967">
        <w:rPr>
          <w:rFonts w:ascii="Verdana" w:eastAsia="Calibri" w:hAnsi="Verdana" w:cs="Arial"/>
          <w:color w:val="000000"/>
        </w:rPr>
        <w:t xml:space="preserve">, ya que para su perfeccionamiento rige el principio de la prevalencia de la realidad sobre las formalidades. </w:t>
      </w:r>
    </w:p>
    <w:p w14:paraId="38614030" w14:textId="55945659" w:rsidR="00D45F4E" w:rsidRPr="00883967" w:rsidRDefault="00D45F4E" w:rsidP="00520018">
      <w:pPr>
        <w:spacing w:line="276" w:lineRule="auto"/>
        <w:ind w:firstLine="709"/>
        <w:jc w:val="both"/>
        <w:rPr>
          <w:rFonts w:ascii="Verdana" w:eastAsia="Calibri" w:hAnsi="Verdana" w:cs="Arial"/>
          <w:color w:val="000000"/>
        </w:rPr>
      </w:pPr>
      <w:r w:rsidRPr="00883967">
        <w:rPr>
          <w:rFonts w:ascii="Verdana" w:eastAsia="Calibri" w:hAnsi="Verdana" w:cs="Arial"/>
          <w:color w:val="000000"/>
        </w:rPr>
        <w:t>d) Deben ser temporales. Así lo señaló la Corte Constitucional en la misma providencia a la que se aludió previamente, expresando que:</w:t>
      </w:r>
    </w:p>
    <w:p w14:paraId="3BA55414" w14:textId="796D8BB4" w:rsidR="00D45F4E" w:rsidRPr="00520018" w:rsidRDefault="00D45F4E" w:rsidP="00520018">
      <w:pPr>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9C2CE9">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Pr>
          <w:rFonts w:ascii="Verdana" w:eastAsia="Calibri" w:hAnsi="Verdana" w:cs="Arial"/>
          <w:color w:val="000000"/>
          <w:sz w:val="20"/>
          <w:szCs w:val="20"/>
        </w:rPr>
        <w:t>”</w:t>
      </w:r>
      <w:r w:rsidRPr="00883967">
        <w:rPr>
          <w:rFonts w:ascii="Verdana" w:eastAsia="Calibri" w:hAnsi="Verdana" w:cs="Arial"/>
          <w:color w:val="000000"/>
          <w:sz w:val="20"/>
          <w:szCs w:val="20"/>
          <w:vertAlign w:val="superscript"/>
        </w:rPr>
        <w:footnoteReference w:id="3"/>
      </w:r>
      <w:r w:rsidRPr="00883967">
        <w:rPr>
          <w:rFonts w:ascii="Verdana" w:eastAsia="Calibri" w:hAnsi="Verdana" w:cs="Arial"/>
          <w:color w:val="000000"/>
          <w:sz w:val="20"/>
          <w:szCs w:val="20"/>
        </w:rPr>
        <w:t>.</w:t>
      </w:r>
    </w:p>
    <w:p w14:paraId="5097504B" w14:textId="77777777" w:rsidR="00D45F4E" w:rsidRPr="00883967" w:rsidRDefault="00D45F4E" w:rsidP="00D45F4E">
      <w:pPr>
        <w:spacing w:line="276" w:lineRule="auto"/>
        <w:ind w:firstLine="709"/>
        <w:jc w:val="both"/>
        <w:rPr>
          <w:rFonts w:ascii="Verdana" w:eastAsia="Calibri" w:hAnsi="Verdana" w:cs="Arial"/>
          <w:color w:val="000000"/>
        </w:rPr>
      </w:pPr>
      <w:r w:rsidRPr="00883967">
        <w:rPr>
          <w:rFonts w:ascii="Verdana" w:eastAsia="Calibri" w:hAnsi="Verdana" w:cs="Arial"/>
          <w:color w:val="000000"/>
        </w:rPr>
        <w:t>e) Los contratos de prestación es el género, y dentro de él se encuentran diferentes especies o clases, tales como el contrato de prestación de servicios profesionales, los contratos de prestación de servicios de apoyo a la gestión y los contratos de prestación de servicios artísticos que solo pueden encomendarse a determinadas personas naturales, de acuerdo con lo reglamentado en el artículo 2.2.1.2.4.9. del Decreto 1082 de 2015</w:t>
      </w:r>
      <w:r w:rsidRPr="00883967">
        <w:rPr>
          <w:rFonts w:ascii="Verdana" w:eastAsia="Calibri" w:hAnsi="Verdana" w:cs="Arial"/>
          <w:color w:val="000000"/>
          <w:vertAlign w:val="superscript"/>
        </w:rPr>
        <w:footnoteReference w:id="4"/>
      </w:r>
      <w:r w:rsidRPr="00883967">
        <w:rPr>
          <w:rFonts w:ascii="Verdana" w:eastAsia="Calibri" w:hAnsi="Verdana" w:cs="Arial"/>
          <w:color w:val="000000"/>
        </w:rPr>
        <w:t xml:space="preserve">. La diferencia entre el contrato de prestación de servicios </w:t>
      </w:r>
      <w:r w:rsidRPr="00883967">
        <w:rPr>
          <w:rFonts w:ascii="Verdana" w:eastAsia="Calibri" w:hAnsi="Verdana" w:cs="Arial"/>
          <w:i/>
          <w:color w:val="000000"/>
        </w:rPr>
        <w:t>profesionales</w:t>
      </w:r>
      <w:r w:rsidRPr="00883967">
        <w:rPr>
          <w:rFonts w:ascii="Verdana" w:eastAsia="Calibri" w:hAnsi="Verdana" w:cs="Arial"/>
          <w:color w:val="000000"/>
        </w:rPr>
        <w:t xml:space="preserve"> con las otras dos especies del género en el cual se ubican radica en su contenido intelectual intangible y, al mismo tiempo, en la formación profesional que se exige para desempeñar la labor. Así lo consideró el Consejo de Estado, en sentencia de unificación jurisprudencial del 2 de diciembre de 2013, al indicar, respecto del contrato de prestación de servicios profesionales, que:</w:t>
      </w:r>
    </w:p>
    <w:p w14:paraId="57F01C98" w14:textId="77777777" w:rsidR="00D45F4E" w:rsidRPr="00883967" w:rsidRDefault="00D45F4E" w:rsidP="00D45F4E">
      <w:pPr>
        <w:spacing w:line="276" w:lineRule="auto"/>
        <w:ind w:firstLine="709"/>
        <w:jc w:val="both"/>
        <w:rPr>
          <w:rFonts w:ascii="Verdana" w:eastAsia="Calibri" w:hAnsi="Verdana" w:cs="Arial"/>
          <w:color w:val="000000"/>
        </w:rPr>
      </w:pPr>
    </w:p>
    <w:p w14:paraId="77269274" w14:textId="79FB5A65" w:rsidR="00D45F4E" w:rsidRPr="00520018" w:rsidRDefault="00D45F4E" w:rsidP="00520018">
      <w:pPr>
        <w:ind w:left="709" w:right="709"/>
        <w:jc w:val="both"/>
        <w:rPr>
          <w:rFonts w:ascii="Verdana" w:eastAsia="Calibri" w:hAnsi="Verdana" w:cs="Arial"/>
          <w:color w:val="000000"/>
          <w:sz w:val="20"/>
          <w:szCs w:val="20"/>
        </w:rPr>
      </w:pPr>
      <w:r w:rsidRPr="0070352A">
        <w:rPr>
          <w:rFonts w:ascii="Verdana" w:eastAsia="Calibri" w:hAnsi="Verdana" w:cs="Arial"/>
          <w:color w:val="000000"/>
          <w:sz w:val="20"/>
          <w:szCs w:val="20"/>
        </w:rPr>
        <w:lastRenderedPageBreak/>
        <w:t>“</w:t>
      </w:r>
      <w:r w:rsidRPr="009C2CE9">
        <w:rPr>
          <w:rFonts w:ascii="Verdana" w:eastAsia="Calibri" w:hAnsi="Verdana" w:cs="Arial"/>
          <w:color w:val="000000"/>
          <w:sz w:val="20"/>
          <w:szCs w:val="20"/>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3925DB">
        <w:rPr>
          <w:rFonts w:ascii="Verdana" w:eastAsia="Calibri" w:hAnsi="Verdana" w:cs="Arial"/>
          <w:color w:val="000000"/>
          <w:sz w:val="20"/>
          <w:szCs w:val="20"/>
        </w:rPr>
        <w:t>”</w:t>
      </w:r>
      <w:r w:rsidRPr="00072FBB">
        <w:rPr>
          <w:rFonts w:ascii="Verdana" w:eastAsia="Calibri" w:hAnsi="Verdana" w:cs="Arial"/>
          <w:color w:val="000000"/>
          <w:sz w:val="20"/>
          <w:szCs w:val="20"/>
          <w:vertAlign w:val="superscript"/>
        </w:rPr>
        <w:footnoteReference w:id="5"/>
      </w:r>
      <w:r w:rsidRPr="00072FBB">
        <w:rPr>
          <w:rFonts w:ascii="Verdana" w:eastAsia="Calibri" w:hAnsi="Verdana" w:cs="Arial"/>
          <w:color w:val="000000"/>
          <w:sz w:val="20"/>
          <w:szCs w:val="20"/>
        </w:rPr>
        <w:t>.</w:t>
      </w:r>
    </w:p>
    <w:p w14:paraId="68E849FF" w14:textId="2F4F5807" w:rsidR="00D45F4E" w:rsidRPr="00883967" w:rsidRDefault="00D45F4E" w:rsidP="00520018">
      <w:pPr>
        <w:spacing w:line="276" w:lineRule="auto"/>
        <w:ind w:firstLine="709"/>
        <w:jc w:val="both"/>
        <w:rPr>
          <w:rFonts w:ascii="Verdana" w:eastAsia="Calibri" w:hAnsi="Verdana" w:cs="Arial"/>
          <w:color w:val="000000"/>
        </w:rPr>
      </w:pPr>
      <w:r w:rsidRPr="00883967">
        <w:rPr>
          <w:rFonts w:ascii="Verdana" w:eastAsia="Calibri" w:hAnsi="Verdana" w:cs="Arial"/>
          <w:color w:val="000000"/>
        </w:rPr>
        <w:t>Objeto que, según la sentencia que se cita, se diferencia del objeto del contrato de prestación de servicios de apoyo a la gestión, porque en este:</w:t>
      </w:r>
    </w:p>
    <w:p w14:paraId="691DA3C5" w14:textId="32FE01D9" w:rsidR="00D45F4E" w:rsidRPr="009C2CE9" w:rsidRDefault="00D45F4E" w:rsidP="00520018">
      <w:pPr>
        <w:ind w:left="709" w:right="709"/>
        <w:jc w:val="both"/>
        <w:rPr>
          <w:rFonts w:ascii="Verdana" w:eastAsia="Calibri" w:hAnsi="Verdana" w:cs="Arial"/>
          <w:color w:val="000000"/>
          <w:sz w:val="20"/>
          <w:szCs w:val="20"/>
        </w:rPr>
      </w:pPr>
      <w:r w:rsidRPr="00883967">
        <w:rPr>
          <w:rFonts w:ascii="Verdana" w:eastAsia="Calibri" w:hAnsi="Verdana" w:cs="Arial"/>
          <w:color w:val="000000"/>
          <w:sz w:val="20"/>
          <w:szCs w:val="20"/>
        </w:rPr>
        <w:t>“</w:t>
      </w:r>
      <w:r w:rsidRPr="009C2CE9">
        <w:rPr>
          <w:rFonts w:ascii="Verdana" w:eastAsia="Calibri" w:hAnsi="Verdana" w:cs="Arial"/>
          <w:color w:val="000000"/>
          <w:sz w:val="20"/>
          <w:szCs w:val="20"/>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4AE63D90" w14:textId="49550E06" w:rsidR="00D45F4E" w:rsidRPr="009C2CE9" w:rsidRDefault="00D45F4E" w:rsidP="00520018">
      <w:pPr>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Aunque también se caracteriza por el desempeño de actividad intelectiva, ésta se enmarca dentro de un saber propiamente técnico; igualmente involucra actividades en donde prima el esfuerzo físico o mecánico, en donde no se requiere de personal profesional.</w:t>
      </w:r>
    </w:p>
    <w:p w14:paraId="62388800" w14:textId="2850924C" w:rsidR="00D45F4E" w:rsidRPr="009C2CE9" w:rsidRDefault="00D45F4E" w:rsidP="00520018">
      <w:pPr>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Dentro de su objeto contractual pueden tener lugar actividades operativas, logísticas o asistenciales, siempre que satisfaga los requisitos antes mencionados y sea acorde con las necesidades de la Administración y el principio de planeación.</w:t>
      </w:r>
    </w:p>
    <w:p w14:paraId="2A0C6473" w14:textId="2ED5AC9E" w:rsidR="00D45F4E" w:rsidRPr="00520018" w:rsidRDefault="00D45F4E" w:rsidP="00520018">
      <w:pPr>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Dentro de su objeto contractual pueden tener lugar actividades operativas, logísticas o asistenciales, siempre que satisfaga los requisitos antes mencionados y sea acorde con las necesidades de la Administración y el principio de planeación</w:t>
      </w:r>
      <w:r w:rsidRPr="00883967">
        <w:rPr>
          <w:rFonts w:ascii="Verdana" w:eastAsia="Calibri" w:hAnsi="Verdana" w:cs="Arial"/>
          <w:color w:val="000000"/>
          <w:sz w:val="20"/>
          <w:szCs w:val="20"/>
        </w:rPr>
        <w:t>”</w:t>
      </w:r>
      <w:r w:rsidRPr="00072FBB">
        <w:rPr>
          <w:rFonts w:ascii="Verdana" w:eastAsia="Calibri" w:hAnsi="Verdana" w:cs="Arial"/>
          <w:color w:val="000000"/>
          <w:sz w:val="20"/>
          <w:szCs w:val="20"/>
          <w:vertAlign w:val="superscript"/>
        </w:rPr>
        <w:footnoteReference w:id="6"/>
      </w:r>
      <w:r w:rsidRPr="00072FBB">
        <w:rPr>
          <w:rFonts w:ascii="Verdana" w:eastAsia="Calibri" w:hAnsi="Verdana" w:cs="Arial"/>
          <w:color w:val="000000"/>
          <w:sz w:val="20"/>
          <w:szCs w:val="20"/>
        </w:rPr>
        <w:t>.</w:t>
      </w:r>
    </w:p>
    <w:p w14:paraId="38766BB7"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 xml:space="preserve">f) Su celebración debe realizarse a través de la modalidad de contratación directa, independientemente de la cuantía y del tipo de servicio profesional, siempre que este no ingrese dentro del objeto del contrato de consultoría. Como lo indicó el Consejo de Estado, en la sentencia de unificación jurisprudencial a la que se hizo referencia, si bien en ambos existe un componente intelectual, profesional e intangible, el objeto del contrato de consultoría es especial y debe </w:t>
      </w:r>
      <w:r w:rsidRPr="00883967">
        <w:rPr>
          <w:rFonts w:ascii="Verdana" w:eastAsia="Calibri" w:hAnsi="Verdana" w:cs="Arial"/>
          <w:color w:val="000000"/>
        </w:rPr>
        <w:lastRenderedPageBreak/>
        <w:t>celebrarse, por regla general, precedido de un concurso de méritos</w:t>
      </w:r>
      <w:r w:rsidRPr="00883967">
        <w:rPr>
          <w:rFonts w:ascii="Verdana" w:eastAsia="Calibri" w:hAnsi="Verdana" w:cs="Arial"/>
          <w:color w:val="000000"/>
          <w:vertAlign w:val="superscript"/>
        </w:rPr>
        <w:footnoteReference w:id="7"/>
      </w:r>
      <w:r w:rsidRPr="00883967">
        <w:rPr>
          <w:rFonts w:ascii="Verdana" w:eastAsia="Calibri" w:hAnsi="Verdana" w:cs="Arial"/>
          <w:color w:val="000000"/>
        </w:rPr>
        <w:t>. Pero, tampoco puede suscribirse un contrato de prestación de servicios profesionales para que el contratista ejecute labores que se enmarcan dentro de los otros contratos tipificados en el artículo 32 de la Ley 80 de 1993, como, por ejemplo, para que el contratista de prestación de servicios construya una obra.</w:t>
      </w:r>
    </w:p>
    <w:p w14:paraId="320F2073"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g) Para su celebración no se requiere la expedición del acto administrativo de justificación de la contratación directa</w:t>
      </w:r>
      <w:r w:rsidRPr="00883967">
        <w:rPr>
          <w:rFonts w:ascii="Verdana" w:eastAsia="Calibri" w:hAnsi="Verdana" w:cs="Arial"/>
          <w:color w:val="000000"/>
          <w:vertAlign w:val="superscript"/>
        </w:rPr>
        <w:footnoteReference w:id="8"/>
      </w:r>
      <w:r w:rsidRPr="00883967">
        <w:rPr>
          <w:rFonts w:ascii="Verdana" w:eastAsia="Calibri" w:hAnsi="Verdana" w:cs="Arial"/>
          <w:color w:val="000000"/>
        </w:rPr>
        <w:t xml:space="preserve">. </w:t>
      </w:r>
    </w:p>
    <w:p w14:paraId="095CB4DF"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h) Admiten el pacto de cláusulas excepcionales. Es decir, en los contratos de prestación de servicios puede estipularse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883967">
        <w:rPr>
          <w:rFonts w:ascii="Verdana" w:eastAsia="Calibri" w:hAnsi="Verdana" w:cs="Arial"/>
          <w:color w:val="000000"/>
          <w:vertAlign w:val="superscript"/>
        </w:rPr>
        <w:footnoteReference w:id="9"/>
      </w:r>
      <w:r w:rsidRPr="00883967">
        <w:rPr>
          <w:rFonts w:ascii="Verdana" w:eastAsia="Calibri" w:hAnsi="Verdana" w:cs="Arial"/>
          <w:color w:val="000000"/>
        </w:rPr>
        <w:t>.</w:t>
      </w:r>
    </w:p>
    <w:p w14:paraId="4493815D"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lastRenderedPageBreak/>
        <w:t>i) En ellos no es obligatoria la liquidación, pues así lo estableció el artículo 217 del Decreto 019 de 2012, que modificó el artículo 60 de la Ley 80 de 1993</w:t>
      </w:r>
      <w:r w:rsidRPr="00883967">
        <w:rPr>
          <w:rFonts w:ascii="Verdana" w:eastAsia="Calibri" w:hAnsi="Verdana" w:cs="Arial"/>
          <w:color w:val="000000"/>
          <w:vertAlign w:val="superscript"/>
        </w:rPr>
        <w:footnoteReference w:id="10"/>
      </w:r>
      <w:r w:rsidRPr="00883967">
        <w:rPr>
          <w:rFonts w:ascii="Verdana" w:eastAsia="Calibri" w:hAnsi="Verdana" w:cs="Arial"/>
          <w:color w:val="000000"/>
        </w:rPr>
        <w:t xml:space="preserve">, </w:t>
      </w:r>
      <w:r w:rsidRPr="00883967">
        <w:rPr>
          <w:rFonts w:ascii="Verdana" w:eastAsia="Calibri" w:hAnsi="Verdana" w:cs="Arial"/>
          <w:color w:val="000000"/>
          <w:lang w:val="es-ES" w:eastAsia="es-ES"/>
        </w:rPr>
        <w:t>refiriéndose expresamente a los contratos de prestación de servicios profesionales y de apoyo a la gestión.</w:t>
      </w:r>
    </w:p>
    <w:p w14:paraId="69D6A905"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j) Para su celebración no se requiere inscripción en el Registro Único de Proponentes (RUP), según lo prevé el artículo 6 de la Ley 1150 de 2007</w:t>
      </w:r>
      <w:r w:rsidRPr="00883967">
        <w:rPr>
          <w:rFonts w:ascii="Verdana" w:eastAsia="Calibri" w:hAnsi="Verdana" w:cs="Arial"/>
          <w:color w:val="000000"/>
          <w:vertAlign w:val="superscript"/>
        </w:rPr>
        <w:footnoteReference w:id="11"/>
      </w:r>
      <w:r w:rsidRPr="00883967">
        <w:rPr>
          <w:rFonts w:ascii="Verdana" w:eastAsia="Calibri" w:hAnsi="Verdana" w:cs="Arial"/>
          <w:color w:val="000000"/>
        </w:rPr>
        <w:t>.</w:t>
      </w:r>
    </w:p>
    <w:p w14:paraId="6B1F15A8" w14:textId="77777777" w:rsidR="00D45F4E" w:rsidRPr="00883967" w:rsidRDefault="00D45F4E" w:rsidP="00D45F4E">
      <w:pPr>
        <w:spacing w:after="120" w:line="276" w:lineRule="auto"/>
        <w:ind w:firstLine="709"/>
        <w:jc w:val="both"/>
        <w:rPr>
          <w:rFonts w:ascii="Verdana" w:eastAsia="Calibri" w:hAnsi="Verdana" w:cs="Arial"/>
          <w:color w:val="000000"/>
        </w:rPr>
      </w:pPr>
      <w:r w:rsidRPr="00883967">
        <w:rPr>
          <w:rFonts w:ascii="Verdana" w:eastAsia="Calibri" w:hAnsi="Verdana" w:cs="Arial"/>
          <w:color w:val="000000"/>
        </w:rPr>
        <w:t>k) En ellos no son necesarias las garantías</w:t>
      </w:r>
      <w:r w:rsidRPr="00883967">
        <w:rPr>
          <w:rFonts w:ascii="Verdana" w:eastAsia="Calibri" w:hAnsi="Verdana" w:cs="Arial"/>
          <w:color w:val="000000"/>
          <w:vertAlign w:val="superscript"/>
        </w:rPr>
        <w:footnoteReference w:id="12"/>
      </w:r>
      <w:r w:rsidRPr="00883967">
        <w:rPr>
          <w:rFonts w:ascii="Verdana" w:eastAsia="Calibri" w:hAnsi="Verdana" w:cs="Arial"/>
          <w:color w:val="000000"/>
        </w:rPr>
        <w:t>.</w:t>
      </w:r>
    </w:p>
    <w:p w14:paraId="228EBD01" w14:textId="77777777" w:rsidR="00D45F4E" w:rsidRPr="00883967" w:rsidRDefault="00D45F4E" w:rsidP="00D45F4E">
      <w:pPr>
        <w:spacing w:line="276" w:lineRule="auto"/>
        <w:ind w:firstLine="708"/>
        <w:jc w:val="both"/>
        <w:rPr>
          <w:rFonts w:ascii="Verdana" w:hAnsi="Verdana" w:cs="Segoe UI"/>
        </w:rPr>
      </w:pPr>
      <w:r w:rsidRPr="00883967">
        <w:rPr>
          <w:rFonts w:ascii="Verdana" w:hAnsi="Verdana" w:cs="Segoe UI"/>
        </w:rPr>
        <w:t xml:space="preserve">Respecto de los problemas jurídicos </w:t>
      </w:r>
      <w:r w:rsidRPr="00863FF7">
        <w:rPr>
          <w:rFonts w:ascii="Verdana" w:hAnsi="Verdana" w:cs="Segoe UI"/>
        </w:rPr>
        <w:t>planteados</w:t>
      </w:r>
      <w:r w:rsidRPr="00883967">
        <w:rPr>
          <w:rFonts w:ascii="Verdana" w:hAnsi="Verdana" w:cs="Segoe UI"/>
        </w:rPr>
        <w:t xml:space="preserve"> debe señalarse que, una entidad estatal sí puede efectuar pagos derivados de obligaciones causadas con anterioridad a la suspensión de un contrato de prestación de servicios profesionales mientras este permanezca suspendido, siempre que dichas obligaciones correspondan a actividades efectivamente ejecutadas, recibidas a satisfacción y debidamente soportadas antes de la suspensión, ya que la suspensión afecta la ejecución futura del contrato, pero no extingue ni impide el reconocimiento y pago de prestaciones ya causadas; en este sentido, no resulta jurídicamente necesario reanudar el contrato para tramitar dichos pagos, pues estos constituyen el cumplimiento de obligaciones exigibles y consolidadas,</w:t>
      </w:r>
    </w:p>
    <w:p w14:paraId="58F5834A" w14:textId="77777777" w:rsidR="00D45F4E" w:rsidRPr="00883967" w:rsidRDefault="00D45F4E" w:rsidP="00D45F4E">
      <w:pPr>
        <w:spacing w:line="276" w:lineRule="auto"/>
        <w:ind w:firstLine="709"/>
        <w:jc w:val="both"/>
        <w:rPr>
          <w:rFonts w:ascii="Verdana" w:eastAsia="Arial" w:hAnsi="Verdana" w:cs="Arial"/>
          <w:color w:val="000000" w:themeColor="text1"/>
        </w:rPr>
      </w:pPr>
    </w:p>
    <w:p w14:paraId="5DBA8300" w14:textId="77777777" w:rsidR="00D45F4E" w:rsidRPr="00883967" w:rsidRDefault="00D45F4E" w:rsidP="00D45F4E">
      <w:pPr>
        <w:spacing w:after="120" w:line="276" w:lineRule="auto"/>
        <w:jc w:val="both"/>
        <w:rPr>
          <w:rFonts w:ascii="Verdana" w:eastAsia="Calibri" w:hAnsi="Verdana" w:cs="Arial"/>
          <w:color w:val="000000" w:themeColor="text1"/>
        </w:rPr>
      </w:pPr>
      <w:r w:rsidRPr="00883967">
        <w:rPr>
          <w:rFonts w:ascii="Verdana" w:eastAsia="Calibri" w:hAnsi="Verdana" w:cs="Arial"/>
          <w:b/>
          <w:color w:val="000000" w:themeColor="text1"/>
        </w:rPr>
        <w:lastRenderedPageBreak/>
        <w:t>ii.</w:t>
      </w:r>
      <w:r w:rsidRPr="00883967">
        <w:rPr>
          <w:rFonts w:ascii="Verdana" w:eastAsia="Calibri" w:hAnsi="Verdana" w:cs="Arial"/>
          <w:color w:val="000000" w:themeColor="text1"/>
        </w:rPr>
        <w:t xml:space="preserve"> Ahora bien, para dar respuesta a los problemas jurídicos planteados en los numerales 2, 3 y 4 de su consulta, se adjunta el pronunciamiento emitido por la</w:t>
      </w:r>
      <w:r w:rsidRPr="00883967">
        <w:rPr>
          <w:rFonts w:ascii="Verdana" w:eastAsia="Calibri" w:hAnsi="Verdana" w:cs="Arial"/>
        </w:rPr>
        <w:t xml:space="preserve"> Subdirección de Información y Desarrollo Tecnológico de la Agencia Nacional de Contratación Pública – Colombia Compra Eficiente,</w:t>
      </w:r>
      <w:r w:rsidRPr="00883967">
        <w:rPr>
          <w:rFonts w:ascii="Verdana" w:eastAsia="Calibri" w:hAnsi="Verdana" w:cs="Arial"/>
          <w:color w:val="000000" w:themeColor="text1"/>
        </w:rPr>
        <w:t xml:space="preserve"> en el que se atienden las inquietudes relacionadas con el funcionamiento de la suspensión y reinicio de contratos en el SECOP. </w:t>
      </w:r>
    </w:p>
    <w:p w14:paraId="57407E06" w14:textId="77777777" w:rsidR="00D45F4E" w:rsidRPr="00883967" w:rsidRDefault="00D45F4E" w:rsidP="00D45F4E">
      <w:pPr>
        <w:spacing w:after="120" w:line="276" w:lineRule="auto"/>
        <w:ind w:firstLine="709"/>
        <w:jc w:val="both"/>
        <w:rPr>
          <w:rFonts w:ascii="Verdana" w:hAnsi="Verdana" w:cs="Arial"/>
        </w:rPr>
      </w:pPr>
      <w:r w:rsidRPr="00883967">
        <w:rPr>
          <w:rFonts w:ascii="Verdana" w:eastAsia="Calibri" w:hAnsi="Verdana" w:cs="Arial"/>
          <w:color w:val="000000" w:themeColor="text1"/>
        </w:rPr>
        <w:t>Finalmente, se precisa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E8DAD71" w14:textId="545D9980" w:rsidR="00D45F4E" w:rsidRPr="004224AD" w:rsidRDefault="00D45F4E" w:rsidP="004224AD">
      <w:pPr>
        <w:spacing w:line="276" w:lineRule="auto"/>
        <w:ind w:firstLine="708"/>
        <w:jc w:val="both"/>
        <w:rPr>
          <w:rFonts w:ascii="Verdana" w:eastAsia="Calibri" w:hAnsi="Verdana" w:cs="Arial"/>
          <w:color w:val="000000" w:themeColor="text1"/>
        </w:rPr>
      </w:pPr>
      <w:r w:rsidRPr="00883967">
        <w:rPr>
          <w:rFonts w:ascii="Verdana" w:eastAsia="Calibri" w:hAnsi="Verdana" w:cs="Arial"/>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C438B7D" w14:textId="77777777" w:rsidR="00D45F4E" w:rsidRPr="002925C2" w:rsidRDefault="00D45F4E" w:rsidP="00D45F4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925C2">
        <w:rPr>
          <w:rFonts w:ascii="Verdana" w:eastAsia="Century Gothic" w:hAnsi="Verdana" w:cs="Century Gothic"/>
          <w:b/>
          <w:bCs/>
        </w:rPr>
        <w:t>Referencias normativas, jurisprudenciales y otras fuentes:</w:t>
      </w:r>
    </w:p>
    <w:p w14:paraId="064B002C" w14:textId="77777777" w:rsidR="00D45F4E" w:rsidRPr="008A08C2" w:rsidRDefault="00D45F4E" w:rsidP="00D45F4E">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45F4E" w:rsidRPr="005C170B" w14:paraId="54EF8F43" w14:textId="77777777" w:rsidTr="001C55F1">
        <w:trPr>
          <w:trHeight w:val="870"/>
        </w:trPr>
        <w:tc>
          <w:tcPr>
            <w:tcW w:w="8647" w:type="dxa"/>
          </w:tcPr>
          <w:p w14:paraId="06524F96" w14:textId="77777777" w:rsidR="00D45F4E" w:rsidRPr="00C25E2E" w:rsidRDefault="00D45F4E" w:rsidP="00D45F4E">
            <w:pPr>
              <w:pStyle w:val="Prrafodelista"/>
              <w:numPr>
                <w:ilvl w:val="0"/>
                <w:numId w:val="18"/>
              </w:numPr>
              <w:spacing w:after="160" w:line="276" w:lineRule="auto"/>
              <w:jc w:val="both"/>
              <w:rPr>
                <w:rFonts w:ascii="Verdana" w:hAnsi="Verdana"/>
                <w:lang w:eastAsia="es-CO"/>
              </w:rPr>
            </w:pPr>
            <w:r w:rsidRPr="00C25E2E">
              <w:rPr>
                <w:rFonts w:ascii="Verdana" w:hAnsi="Verdana"/>
                <w:lang w:eastAsia="es-CO"/>
              </w:rPr>
              <w:t>Ley 80 de 1993. Artículo 14 y 32.</w:t>
            </w:r>
          </w:p>
          <w:p w14:paraId="1EC3D86E" w14:textId="77777777" w:rsidR="00D45F4E" w:rsidRPr="00C25E2E" w:rsidRDefault="00D45F4E" w:rsidP="00D45F4E">
            <w:pPr>
              <w:pStyle w:val="Prrafodelista"/>
              <w:numPr>
                <w:ilvl w:val="0"/>
                <w:numId w:val="18"/>
              </w:numPr>
              <w:spacing w:after="160" w:line="276" w:lineRule="auto"/>
              <w:jc w:val="both"/>
              <w:rPr>
                <w:rFonts w:ascii="Verdana" w:hAnsi="Verdana"/>
                <w:lang w:eastAsia="es-CO"/>
              </w:rPr>
            </w:pPr>
            <w:r w:rsidRPr="00C25E2E">
              <w:rPr>
                <w:rFonts w:ascii="Verdana" w:hAnsi="Verdana"/>
                <w:lang w:eastAsia="es-CO"/>
              </w:rPr>
              <w:t>Ley 1150 de 2007. Artículo 2.</w:t>
            </w:r>
          </w:p>
          <w:p w14:paraId="5A52AA82" w14:textId="77777777" w:rsidR="00D45F4E" w:rsidRPr="00C25E2E" w:rsidRDefault="00D45F4E" w:rsidP="00D45F4E">
            <w:pPr>
              <w:pStyle w:val="Prrafodelista"/>
              <w:numPr>
                <w:ilvl w:val="0"/>
                <w:numId w:val="18"/>
              </w:numPr>
              <w:spacing w:after="160" w:line="276" w:lineRule="auto"/>
              <w:jc w:val="both"/>
              <w:rPr>
                <w:rFonts w:ascii="Verdana" w:hAnsi="Verdana"/>
                <w:lang w:eastAsia="es-CO"/>
              </w:rPr>
            </w:pPr>
            <w:r w:rsidRPr="00C25E2E">
              <w:rPr>
                <w:rFonts w:ascii="Verdana" w:hAnsi="Verdana"/>
                <w:lang w:eastAsia="es-CO"/>
              </w:rPr>
              <w:t xml:space="preserve">Ley 1955 de 2015. </w:t>
            </w:r>
          </w:p>
          <w:p w14:paraId="5C4745E4" w14:textId="77777777" w:rsidR="004224AD" w:rsidRDefault="00D45F4E" w:rsidP="004224AD">
            <w:pPr>
              <w:pStyle w:val="Prrafodelista"/>
              <w:widowControl w:val="0"/>
              <w:numPr>
                <w:ilvl w:val="0"/>
                <w:numId w:val="18"/>
              </w:numPr>
              <w:autoSpaceDE w:val="0"/>
              <w:autoSpaceDN w:val="0"/>
              <w:spacing w:after="160" w:line="276" w:lineRule="auto"/>
              <w:contextualSpacing w:val="0"/>
              <w:jc w:val="both"/>
              <w:rPr>
                <w:rFonts w:ascii="Verdana" w:hAnsi="Verdana" w:cs="Arial"/>
              </w:rPr>
            </w:pPr>
            <w:r>
              <w:rPr>
                <w:rFonts w:ascii="Verdana" w:hAnsi="Verdana" w:cs="Arial"/>
              </w:rPr>
              <w:t>Decreto 1082 de 2015. Artículo 2.2.1.2.1.4.1, 2.2.1.2.1.4.5, 2.2.1.2.1.4.9.</w:t>
            </w:r>
          </w:p>
          <w:p w14:paraId="0C2EA955" w14:textId="2BF7CB84" w:rsidR="00D45F4E" w:rsidRPr="004224AD" w:rsidRDefault="00D45F4E" w:rsidP="004224AD">
            <w:pPr>
              <w:pStyle w:val="Prrafodelista"/>
              <w:widowControl w:val="0"/>
              <w:numPr>
                <w:ilvl w:val="0"/>
                <w:numId w:val="18"/>
              </w:numPr>
              <w:autoSpaceDE w:val="0"/>
              <w:autoSpaceDN w:val="0"/>
              <w:spacing w:after="160" w:line="276" w:lineRule="auto"/>
              <w:contextualSpacing w:val="0"/>
              <w:jc w:val="both"/>
              <w:rPr>
                <w:rFonts w:ascii="Verdana" w:hAnsi="Verdana" w:cs="Arial"/>
              </w:rPr>
            </w:pPr>
            <w:r w:rsidRPr="004224AD">
              <w:rPr>
                <w:rFonts w:ascii="Verdana" w:hAnsi="Verdana" w:cs="Arial"/>
                <w:color w:val="000000"/>
              </w:rPr>
              <w:t>Corte Constitucional. Sentencia C-154 de 1997. Magistrado Ponente: Hernando Herrera Vergara.</w:t>
            </w:r>
          </w:p>
          <w:p w14:paraId="7522D919" w14:textId="77777777" w:rsidR="00D45F4E" w:rsidRPr="00790F4A" w:rsidRDefault="00D45F4E" w:rsidP="00D45F4E">
            <w:pPr>
              <w:pStyle w:val="Prrafodelista"/>
              <w:numPr>
                <w:ilvl w:val="0"/>
                <w:numId w:val="18"/>
              </w:numPr>
              <w:spacing w:after="160" w:line="259" w:lineRule="auto"/>
              <w:rPr>
                <w:rFonts w:ascii="Verdana" w:hAnsi="Verdana"/>
                <w:lang w:eastAsia="es-CO"/>
              </w:rPr>
            </w:pPr>
            <w:r w:rsidRPr="00C25E2E">
              <w:rPr>
                <w:rFonts w:ascii="Verdana" w:hAnsi="Verdana"/>
                <w:lang w:eastAsia="es-CO"/>
              </w:rPr>
              <w:lastRenderedPageBreak/>
              <w:t>Consejo de Estado. Sección Tercera. Subsección C. Sentencia del 2 de diciembre de 2013. Exp. 41719. Consejero Ponente: Jaime Orlando Santofimio Gamboa.</w:t>
            </w:r>
          </w:p>
        </w:tc>
      </w:tr>
    </w:tbl>
    <w:p w14:paraId="0557EEDC" w14:textId="77777777" w:rsidR="00D45F4E" w:rsidRPr="00883967" w:rsidRDefault="00D45F4E" w:rsidP="00D45F4E">
      <w:pPr>
        <w:widowControl w:val="0"/>
        <w:autoSpaceDE w:val="0"/>
        <w:autoSpaceDN w:val="0"/>
        <w:spacing w:line="276" w:lineRule="auto"/>
        <w:jc w:val="both"/>
        <w:rPr>
          <w:rFonts w:ascii="Verdana" w:hAnsi="Verdana" w:cs="Arial"/>
        </w:rPr>
      </w:pPr>
    </w:p>
    <w:p w14:paraId="71E62B70" w14:textId="0E87C158" w:rsidR="00D45F4E" w:rsidRPr="004224AD" w:rsidRDefault="00D45F4E" w:rsidP="004224A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B4C61">
        <w:rPr>
          <w:rFonts w:ascii="Verdana" w:eastAsia="Century Gothic" w:hAnsi="Verdana" w:cs="Century Gothic"/>
          <w:b/>
          <w:bCs/>
        </w:rPr>
        <w:t>Doctrina de la Agencia Nacional de Contratación Pública:</w:t>
      </w:r>
    </w:p>
    <w:p w14:paraId="4FE855DB" w14:textId="7136B167" w:rsidR="00D45F4E" w:rsidRPr="00D45F4E" w:rsidRDefault="00D45F4E" w:rsidP="00D45F4E">
      <w:pPr>
        <w:spacing w:line="276" w:lineRule="auto"/>
        <w:jc w:val="both"/>
        <w:rPr>
          <w:rFonts w:ascii="Verdana" w:hAnsi="Verdana" w:cs="Arial"/>
          <w:shd w:val="clear" w:color="auto" w:fill="FFFFFF"/>
          <w:lang w:val="es-ES"/>
        </w:rPr>
      </w:pPr>
      <w:r w:rsidRPr="00883967">
        <w:rPr>
          <w:rFonts w:ascii="Verdana" w:eastAsia="Calibri" w:hAnsi="Verdana" w:cs="Arial"/>
          <w:lang w:val="es-ES"/>
        </w:rPr>
        <w:t xml:space="preserve">La Agencia Nacional de Contratación Pública – Colombia Compra Eficiente se ha referido </w:t>
      </w:r>
      <w:r w:rsidRPr="00883967">
        <w:rPr>
          <w:rFonts w:ascii="Verdana" w:hAnsi="Verdana" w:cs="Arial"/>
          <w:shd w:val="clear" w:color="auto" w:fill="FFFFFF"/>
          <w:lang w:val="es-ES"/>
        </w:rPr>
        <w:t>sobre los contratos de prestación de servicios, así como los requisitos para su celebración en los conceptos con radicado C-414 del 30 de junio de 2020,C-661 del 17 de noviembre de 2020 C−685 del 18 de diciembre de 2020, C-004 del 12 de febrero de 2021, C-106 del 7 de abril de 2021, C-181 del 07 de abril de 2022, C-214 del 22 de abril de 2022, C-491 de 01 de agosto de 2022, C-008 del 20 de febrero de 2023, C-009 del 20 de febrero de 2023, C-286 del 2023, C-351 del 30 de agosto de 2024, C-372 del 26 de Agosto 2024, C-904 del 9 de diciembre de 2024 , C-363 del 15 de abril de 2025, C-652 del 04 de julio de 2025 y C-706 del 15 de julio de 2025, C-1838 del 23 de enero de 2026, entre otros</w:t>
      </w:r>
      <w:r w:rsidRPr="00883967">
        <w:rPr>
          <w:rFonts w:ascii="Verdana" w:eastAsia="Aptos" w:hAnsi="Verdana" w:cs="Segoe UI"/>
          <w:kern w:val="2"/>
          <w14:ligatures w14:val="standardContextual"/>
        </w:rPr>
        <w:t xml:space="preserve">. </w:t>
      </w:r>
      <w:r w:rsidRPr="00883967">
        <w:rPr>
          <w:rFonts w:ascii="Verdana" w:hAnsi="Verdana" w:cs="Arial"/>
          <w:shd w:val="clear" w:color="auto" w:fill="FFFFFF"/>
          <w:lang w:val="es-ES"/>
        </w:rPr>
        <w:t>Estos</w:t>
      </w:r>
      <w:r w:rsidRPr="00883967">
        <w:rPr>
          <w:rFonts w:ascii="Verdana" w:hAnsi="Verdana"/>
          <w:lang w:val="es-ES"/>
        </w:rPr>
        <w:t xml:space="preserve"> y otros se encuentran disponibles para consulta en el Sistema de relatoría de la Agencia, al cual se puede acceder a través del siguiente enlace:</w:t>
      </w:r>
      <w:r w:rsidRPr="00883967">
        <w:rPr>
          <w:rFonts w:ascii="Verdana" w:hAnsi="Verdana" w:cs="Arial"/>
          <w:shd w:val="clear" w:color="auto" w:fill="FFFFFF"/>
          <w:lang w:val="es-ES"/>
        </w:rPr>
        <w:t xml:space="preserve"> </w:t>
      </w:r>
      <w:hyperlink r:id="rId13" w:history="1">
        <w:r w:rsidRPr="00883967">
          <w:rPr>
            <w:rStyle w:val="Hipervnculo"/>
            <w:rFonts w:ascii="Verdana" w:hAnsi="Verdana" w:cs="Arial"/>
            <w:shd w:val="clear" w:color="auto" w:fill="FFFFFF"/>
            <w:lang w:val="es-ES"/>
          </w:rPr>
          <w:t>https://relatoria.colombiacompra.gov.co/busqueda/conceptos</w:t>
        </w:r>
      </w:hyperlink>
    </w:p>
    <w:p w14:paraId="70BF9C8B" w14:textId="02A5C45B" w:rsidR="00D45F4E" w:rsidRPr="00883967" w:rsidRDefault="00D45F4E" w:rsidP="00D45F4E">
      <w:pPr>
        <w:spacing w:line="276" w:lineRule="auto"/>
        <w:jc w:val="both"/>
        <w:rPr>
          <w:rFonts w:ascii="Verdana" w:hAnsi="Verdana"/>
        </w:rPr>
      </w:pPr>
      <w:r w:rsidRPr="00883967">
        <w:rPr>
          <w:rFonts w:ascii="Verdana" w:hAnsi="Verdana"/>
        </w:rPr>
        <w:t xml:space="preserve">Por último, lo invitamos a seguirnos en las redes sociales en las cuales se difunde información institucional: </w:t>
      </w:r>
    </w:p>
    <w:p w14:paraId="01E579E2" w14:textId="77777777" w:rsidR="00D45F4E" w:rsidRPr="00883967" w:rsidRDefault="00D45F4E" w:rsidP="00944733">
      <w:pPr>
        <w:spacing w:after="0" w:line="276" w:lineRule="auto"/>
        <w:jc w:val="both"/>
        <w:rPr>
          <w:rFonts w:ascii="Verdana" w:hAnsi="Verdana"/>
        </w:rPr>
      </w:pPr>
      <w:r w:rsidRPr="00883967">
        <w:rPr>
          <w:rFonts w:ascii="Verdana" w:hAnsi="Verdana"/>
        </w:rPr>
        <w:t xml:space="preserve">Twitter: </w:t>
      </w:r>
      <w:r w:rsidRPr="00883967">
        <w:rPr>
          <w:rStyle w:val="Hipervnculo"/>
          <w:rFonts w:ascii="Verdana" w:hAnsi="Verdana"/>
        </w:rPr>
        <w:t>@colombiacompra</w:t>
      </w:r>
      <w:r w:rsidRPr="00883967">
        <w:rPr>
          <w:rFonts w:ascii="Verdana" w:hAnsi="Verdana"/>
          <w:color w:val="0000FF"/>
        </w:rPr>
        <w:t xml:space="preserve"> </w:t>
      </w:r>
    </w:p>
    <w:p w14:paraId="5B819077" w14:textId="77777777" w:rsidR="00D45F4E" w:rsidRPr="00883967" w:rsidRDefault="00D45F4E" w:rsidP="00944733">
      <w:pPr>
        <w:spacing w:after="0" w:line="276" w:lineRule="auto"/>
        <w:jc w:val="both"/>
        <w:rPr>
          <w:rFonts w:ascii="Verdana" w:hAnsi="Verdana"/>
        </w:rPr>
      </w:pPr>
      <w:r w:rsidRPr="00883967">
        <w:rPr>
          <w:rFonts w:ascii="Verdana" w:hAnsi="Verdana"/>
        </w:rPr>
        <w:t xml:space="preserve">Facebook: </w:t>
      </w:r>
      <w:r w:rsidRPr="00883967">
        <w:rPr>
          <w:rStyle w:val="Hipervnculo"/>
          <w:rFonts w:ascii="Verdana" w:hAnsi="Verdana"/>
        </w:rPr>
        <w:t>ColombiaCompraEficiente</w:t>
      </w:r>
    </w:p>
    <w:p w14:paraId="779D2BA5" w14:textId="3C7CFD9B" w:rsidR="00D45F4E" w:rsidRDefault="00D45F4E" w:rsidP="00944733">
      <w:pPr>
        <w:spacing w:after="0" w:line="276" w:lineRule="auto"/>
        <w:jc w:val="both"/>
        <w:rPr>
          <w:rStyle w:val="Hipervnculo"/>
          <w:rFonts w:ascii="Verdana" w:hAnsi="Verdana"/>
        </w:rPr>
      </w:pPr>
      <w:r w:rsidRPr="00883967">
        <w:rPr>
          <w:rFonts w:ascii="Verdana" w:hAnsi="Verdana"/>
        </w:rPr>
        <w:t xml:space="preserve">LinkedIn: </w:t>
      </w:r>
      <w:r w:rsidRPr="00883967">
        <w:rPr>
          <w:rStyle w:val="Hipervnculo"/>
          <w:rFonts w:ascii="Verdana" w:hAnsi="Verdana"/>
        </w:rPr>
        <w:t>Agencia Nacional de Contratación Pública - Colombia Compra Eficiente</w:t>
      </w:r>
      <w:r w:rsidRPr="00883967">
        <w:rPr>
          <w:rFonts w:ascii="Verdana" w:hAnsi="Verdana"/>
          <w:color w:val="0000FF"/>
        </w:rPr>
        <w:t xml:space="preserve"> </w:t>
      </w:r>
      <w:r w:rsidRPr="00883967">
        <w:rPr>
          <w:rFonts w:ascii="Verdana" w:hAnsi="Verdana"/>
        </w:rPr>
        <w:t xml:space="preserve">Instagram: </w:t>
      </w:r>
      <w:r w:rsidRPr="00883967">
        <w:rPr>
          <w:rStyle w:val="Hipervnculo"/>
          <w:rFonts w:ascii="Verdana" w:hAnsi="Verdana"/>
        </w:rPr>
        <w:t>@colombiacompraeficiente_cce</w:t>
      </w:r>
    </w:p>
    <w:p w14:paraId="22088B01" w14:textId="77777777" w:rsidR="00944733" w:rsidRPr="00D45F4E" w:rsidRDefault="00944733" w:rsidP="00944733">
      <w:pPr>
        <w:spacing w:after="0" w:line="276" w:lineRule="auto"/>
        <w:jc w:val="both"/>
        <w:rPr>
          <w:rFonts w:ascii="Verdana" w:hAnsi="Verdana"/>
        </w:rPr>
      </w:pPr>
    </w:p>
    <w:p w14:paraId="1818C2BF" w14:textId="76F9EB06" w:rsidR="00D45F4E" w:rsidRPr="00944733" w:rsidRDefault="00D45F4E" w:rsidP="00D45F4E">
      <w:pPr>
        <w:widowControl w:val="0"/>
        <w:autoSpaceDE w:val="0"/>
        <w:autoSpaceDN w:val="0"/>
        <w:spacing w:line="276" w:lineRule="auto"/>
        <w:jc w:val="both"/>
        <w:rPr>
          <w:rFonts w:ascii="Verdana" w:hAnsi="Verdana" w:cs="Arial"/>
          <w:lang w:val="es-ES_tradnl"/>
        </w:rPr>
      </w:pPr>
      <w:r w:rsidRPr="00883967">
        <w:rPr>
          <w:rFonts w:ascii="Verdana" w:hAnsi="Verdana" w:cs="Arial"/>
        </w:rPr>
        <w:t xml:space="preserve">Este concepto tiene el alcance previsto en el artículo 28 del Código de Procedimiento Administrativo y de lo Contencioso Administrativo </w:t>
      </w:r>
      <w:r w:rsidRPr="00883967">
        <w:rPr>
          <w:rFonts w:ascii="Verdana" w:hAnsi="Verdana" w:cs="Arial"/>
          <w:lang w:val="es-ES_tradnl"/>
        </w:rPr>
        <w:t>y las expresiones aquí utilizadas con mayúscula inicial deben ser entendidas con el significado que les otorga el artículo 2.2.1.1.1.3.1. del Decreto 1082 de 2015</w:t>
      </w:r>
      <w:r w:rsidR="00944733">
        <w:rPr>
          <w:rFonts w:ascii="Verdana" w:hAnsi="Verdana" w:cs="Arial"/>
          <w:lang w:val="es-ES_tradnl"/>
        </w:rPr>
        <w:t>.</w:t>
      </w:r>
    </w:p>
    <w:p w14:paraId="08F3C9CB" w14:textId="77777777" w:rsidR="00D45F4E" w:rsidRPr="00883967" w:rsidRDefault="00D45F4E" w:rsidP="00D45F4E">
      <w:pPr>
        <w:spacing w:line="276" w:lineRule="auto"/>
        <w:rPr>
          <w:rFonts w:ascii="Verdana" w:hAnsi="Verdana" w:cs="Arial"/>
          <w:lang w:eastAsia="es-CO"/>
        </w:rPr>
      </w:pPr>
      <w:r w:rsidRPr="00883967">
        <w:rPr>
          <w:rFonts w:ascii="Verdana" w:hAnsi="Verdana" w:cs="Arial"/>
          <w:lang w:eastAsia="es-CO"/>
        </w:rPr>
        <w:t xml:space="preserve">Atentamente, </w:t>
      </w:r>
    </w:p>
    <w:p w14:paraId="0B913143" w14:textId="4E47D9AC" w:rsidR="00D45F4E" w:rsidRPr="00883967" w:rsidRDefault="00A4742C" w:rsidP="00A4742C">
      <w:pPr>
        <w:spacing w:line="276" w:lineRule="auto"/>
        <w:jc w:val="center"/>
        <w:rPr>
          <w:rFonts w:ascii="Verdana" w:hAnsi="Verdana" w:cs="Arial"/>
          <w:color w:val="000000"/>
          <w:lang w:eastAsia="es-CO"/>
        </w:rPr>
      </w:pPr>
      <w:r w:rsidRPr="00A4742C">
        <w:rPr>
          <w:rFonts w:ascii="Verdana" w:hAnsi="Verdana" w:cs="Arial"/>
          <w:noProof/>
          <w:color w:val="000000"/>
          <w:lang w:eastAsia="es-CO"/>
        </w:rPr>
        <w:lastRenderedPageBreak/>
        <w:drawing>
          <wp:inline distT="0" distB="0" distL="0" distR="0" wp14:anchorId="3D9B7C35" wp14:editId="0C82E631">
            <wp:extent cx="3370078" cy="1334250"/>
            <wp:effectExtent l="0" t="0" r="1905" b="0"/>
            <wp:docPr id="14760080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0078" cy="1334250"/>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45F4E" w:rsidRPr="00883967" w14:paraId="7458326F" w14:textId="77777777" w:rsidTr="001C55F1">
        <w:trPr>
          <w:trHeight w:val="315"/>
        </w:trPr>
        <w:tc>
          <w:tcPr>
            <w:tcW w:w="893" w:type="dxa"/>
            <w:vAlign w:val="center"/>
            <w:hideMark/>
          </w:tcPr>
          <w:p w14:paraId="5C1B99E0" w14:textId="77777777" w:rsidR="00D45F4E" w:rsidRPr="00883967" w:rsidRDefault="00D45F4E" w:rsidP="001C55F1">
            <w:pPr>
              <w:contextualSpacing/>
              <w:rPr>
                <w:rFonts w:ascii="Verdana" w:hAnsi="Verdana" w:cs="Arial"/>
                <w:sz w:val="16"/>
                <w:szCs w:val="16"/>
                <w:lang w:val="es-ES" w:eastAsia="es-ES"/>
              </w:rPr>
            </w:pPr>
            <w:r w:rsidRPr="0088396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9EB0B9B" w14:textId="77777777" w:rsidR="00D45F4E" w:rsidRPr="00883967" w:rsidRDefault="00D45F4E" w:rsidP="001C55F1">
            <w:pPr>
              <w:contextualSpacing/>
              <w:rPr>
                <w:rFonts w:ascii="Verdana" w:eastAsia="Arial" w:hAnsi="Verdana" w:cs="Arial"/>
                <w:sz w:val="16"/>
                <w:szCs w:val="16"/>
              </w:rPr>
            </w:pPr>
            <w:r w:rsidRPr="00883967">
              <w:rPr>
                <w:rFonts w:ascii="Verdana" w:eastAsia="Arial" w:hAnsi="Verdana" w:cs="Arial"/>
                <w:sz w:val="16"/>
                <w:szCs w:val="16"/>
              </w:rPr>
              <w:t>Andrea Camila Polo Paz</w:t>
            </w:r>
          </w:p>
          <w:p w14:paraId="3928FBFF" w14:textId="77777777" w:rsidR="00D45F4E" w:rsidRPr="00883967" w:rsidRDefault="00D45F4E" w:rsidP="001C55F1">
            <w:pPr>
              <w:contextualSpacing/>
              <w:rPr>
                <w:rFonts w:ascii="Verdana" w:eastAsia="Arial" w:hAnsi="Verdana" w:cs="Arial"/>
                <w:sz w:val="16"/>
                <w:szCs w:val="16"/>
              </w:rPr>
            </w:pPr>
            <w:r w:rsidRPr="00883967">
              <w:rPr>
                <w:rStyle w:val="normaltextrun"/>
                <w:rFonts w:ascii="Verdana" w:eastAsia="Arial" w:hAnsi="Verdana" w:cs="Arial"/>
                <w:sz w:val="16"/>
                <w:szCs w:val="16"/>
              </w:rPr>
              <w:t>Analista T02-1 de la Subdirección de Gestión Contractual</w:t>
            </w:r>
          </w:p>
        </w:tc>
      </w:tr>
      <w:tr w:rsidR="00D45F4E" w:rsidRPr="00883967" w14:paraId="38DAB4F7" w14:textId="77777777" w:rsidTr="001C55F1">
        <w:trPr>
          <w:trHeight w:val="330"/>
        </w:trPr>
        <w:tc>
          <w:tcPr>
            <w:tcW w:w="893" w:type="dxa"/>
            <w:vAlign w:val="center"/>
            <w:hideMark/>
          </w:tcPr>
          <w:p w14:paraId="7693D37E" w14:textId="77777777" w:rsidR="00D45F4E" w:rsidRPr="00883967" w:rsidRDefault="00D45F4E" w:rsidP="001C55F1">
            <w:pPr>
              <w:contextualSpacing/>
              <w:rPr>
                <w:rFonts w:ascii="Verdana" w:hAnsi="Verdana" w:cs="Arial"/>
                <w:sz w:val="16"/>
                <w:szCs w:val="16"/>
                <w:lang w:val="es-ES" w:eastAsia="es-ES"/>
              </w:rPr>
            </w:pPr>
            <w:r w:rsidRPr="0088396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0257CB1" w14:textId="77777777" w:rsidR="00D45F4E" w:rsidRPr="00883967" w:rsidRDefault="00D45F4E" w:rsidP="001C55F1">
            <w:pPr>
              <w:pStyle w:val="paragraph"/>
              <w:spacing w:before="0" w:beforeAutospacing="0" w:after="0" w:afterAutospacing="0"/>
              <w:contextualSpacing/>
              <w:textAlignment w:val="baseline"/>
              <w:rPr>
                <w:rStyle w:val="normaltextrun"/>
                <w:rFonts w:ascii="Verdana" w:hAnsi="Verdana" w:cs="Arial"/>
                <w:sz w:val="16"/>
                <w:szCs w:val="16"/>
                <w:lang w:val="es-ES"/>
              </w:rPr>
            </w:pPr>
            <w:r w:rsidRPr="00883967">
              <w:rPr>
                <w:rStyle w:val="normaltextrun"/>
                <w:rFonts w:ascii="Verdana" w:hAnsi="Verdana" w:cs="Arial"/>
                <w:sz w:val="16"/>
                <w:szCs w:val="16"/>
                <w:lang w:val="es-ES"/>
              </w:rPr>
              <w:t>Diana Lucía Saavedra Castañeda</w:t>
            </w:r>
          </w:p>
          <w:p w14:paraId="592D45C6" w14:textId="77777777" w:rsidR="00D45F4E" w:rsidRPr="00883967" w:rsidRDefault="00D45F4E" w:rsidP="001C55F1">
            <w:pPr>
              <w:pStyle w:val="paragraph"/>
              <w:spacing w:before="0" w:beforeAutospacing="0" w:after="0" w:afterAutospacing="0"/>
              <w:contextualSpacing/>
              <w:textAlignment w:val="baseline"/>
              <w:rPr>
                <w:rFonts w:ascii="Verdana" w:hAnsi="Verdana" w:cs="Arial"/>
                <w:sz w:val="16"/>
                <w:szCs w:val="16"/>
                <w:lang w:val="es-ES"/>
              </w:rPr>
            </w:pPr>
            <w:r w:rsidRPr="00883967">
              <w:rPr>
                <w:rStyle w:val="normaltextrun"/>
                <w:rFonts w:ascii="Verdana" w:hAnsi="Verdana" w:cs="Arial"/>
                <w:sz w:val="16"/>
                <w:szCs w:val="16"/>
                <w:lang w:val="es-ES"/>
              </w:rPr>
              <w:t>Contratista de la Subdirección de Gestión Contractual</w:t>
            </w:r>
            <w:r w:rsidRPr="00883967">
              <w:rPr>
                <w:rStyle w:val="eop"/>
                <w:rFonts w:ascii="Verdana" w:hAnsi="Verdana" w:cs="Arial"/>
                <w:sz w:val="16"/>
                <w:szCs w:val="16"/>
              </w:rPr>
              <w:t> </w:t>
            </w:r>
          </w:p>
        </w:tc>
      </w:tr>
      <w:tr w:rsidR="00D45F4E" w:rsidRPr="00883967" w14:paraId="1FC5B23D" w14:textId="77777777" w:rsidTr="001C55F1">
        <w:trPr>
          <w:trHeight w:val="300"/>
        </w:trPr>
        <w:tc>
          <w:tcPr>
            <w:tcW w:w="893" w:type="dxa"/>
            <w:vAlign w:val="center"/>
          </w:tcPr>
          <w:p w14:paraId="395D411F" w14:textId="77777777" w:rsidR="00D45F4E" w:rsidRPr="00883967" w:rsidRDefault="00D45F4E" w:rsidP="001C55F1">
            <w:pPr>
              <w:contextualSpacing/>
              <w:rPr>
                <w:rFonts w:ascii="Verdana" w:hAnsi="Verdana" w:cs="Arial"/>
                <w:sz w:val="16"/>
                <w:szCs w:val="16"/>
                <w:lang w:val="es-ES" w:eastAsia="es-ES"/>
              </w:rPr>
            </w:pPr>
            <w:r w:rsidRPr="0088396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998107D" w14:textId="77777777" w:rsidR="00D45F4E" w:rsidRPr="00883967" w:rsidRDefault="00D45F4E" w:rsidP="001C55F1">
            <w:pPr>
              <w:contextualSpacing/>
              <w:rPr>
                <w:rFonts w:ascii="Verdana" w:eastAsia="Calibri" w:hAnsi="Verdana" w:cs="Arial"/>
                <w:sz w:val="16"/>
                <w:szCs w:val="16"/>
                <w:lang w:val="pt-BR" w:eastAsia="es-ES"/>
              </w:rPr>
            </w:pPr>
            <w:r w:rsidRPr="00883967">
              <w:rPr>
                <w:rFonts w:ascii="Verdana" w:eastAsia="Calibri" w:hAnsi="Verdana" w:cs="Arial"/>
                <w:sz w:val="16"/>
                <w:szCs w:val="16"/>
                <w:lang w:val="pt-BR" w:eastAsia="es-ES"/>
              </w:rPr>
              <w:t>Carolina Quintero Gacharná</w:t>
            </w:r>
          </w:p>
          <w:p w14:paraId="69BD5729" w14:textId="77777777" w:rsidR="00D45F4E" w:rsidRPr="00883967" w:rsidRDefault="00D45F4E" w:rsidP="001C55F1">
            <w:pPr>
              <w:contextualSpacing/>
              <w:rPr>
                <w:rFonts w:ascii="Verdana" w:eastAsia="Calibri" w:hAnsi="Verdana" w:cs="Arial"/>
                <w:sz w:val="16"/>
                <w:szCs w:val="16"/>
                <w:lang w:val="pt-BR" w:eastAsia="es-ES"/>
              </w:rPr>
            </w:pPr>
            <w:r w:rsidRPr="00883967">
              <w:rPr>
                <w:rFonts w:ascii="Verdana" w:eastAsia="Calibri" w:hAnsi="Verdana" w:cs="Arial"/>
                <w:sz w:val="16"/>
                <w:szCs w:val="16"/>
                <w:lang w:eastAsia="es-ES"/>
              </w:rPr>
              <w:t>Subdirectora</w:t>
            </w:r>
            <w:r w:rsidRPr="00883967">
              <w:rPr>
                <w:rFonts w:ascii="Verdana" w:eastAsia="Calibri" w:hAnsi="Verdana" w:cs="Arial"/>
                <w:sz w:val="16"/>
                <w:szCs w:val="16"/>
                <w:lang w:val="pt-BR" w:eastAsia="es-ES"/>
              </w:rPr>
              <w:t xml:space="preserve"> de Gestión Contractual ANCP – CCE</w:t>
            </w:r>
          </w:p>
        </w:tc>
      </w:tr>
    </w:tbl>
    <w:p w14:paraId="7E5388AD" w14:textId="20C4DCC3" w:rsidR="00D45F4E" w:rsidRDefault="00D45F4E" w:rsidP="00D45F4E">
      <w:pPr>
        <w:rPr>
          <w:rFonts w:ascii="Verdana" w:eastAsia="Verdana" w:hAnsi="Verdana" w:cs="Verdana"/>
          <w:sz w:val="16"/>
          <w:szCs w:val="16"/>
          <w:lang w:val="es-MX"/>
        </w:rPr>
      </w:pPr>
      <w:r w:rsidRPr="00883967">
        <w:rPr>
          <w:rFonts w:ascii="Verdana" w:eastAsia="Verdana" w:hAnsi="Verdana" w:cs="Verdana"/>
          <w:sz w:val="16"/>
          <w:szCs w:val="16"/>
          <w:lang w:val="es-MX"/>
        </w:rPr>
        <w:t xml:space="preserve">  Anexos:    1_2026_05_15_006645 - APOYO CONTRACTUAL PLAN DE PAGOS SUSPENSIÓN VLIADACION </w:t>
      </w:r>
      <w:r w:rsidR="00A4742C">
        <w:rPr>
          <w:rFonts w:ascii="Verdana" w:eastAsia="Verdana" w:hAnsi="Verdana" w:cs="Verdana"/>
          <w:sz w:val="16"/>
          <w:szCs w:val="16"/>
          <w:lang w:val="es-MX"/>
        </w:rPr>
        <w:t xml:space="preserve">      </w:t>
      </w:r>
      <w:r w:rsidRPr="00883967">
        <w:rPr>
          <w:rFonts w:ascii="Verdana" w:eastAsia="Verdana" w:hAnsi="Verdana" w:cs="Verdana"/>
          <w:sz w:val="16"/>
          <w:szCs w:val="16"/>
          <w:lang w:val="es-MX"/>
        </w:rPr>
        <w:t>PLANILLA - MODF CONTRATO</w:t>
      </w:r>
    </w:p>
    <w:p w14:paraId="0F293BF4" w14:textId="5A0631D5" w:rsidR="00127233" w:rsidRPr="0015699B" w:rsidRDefault="00127233" w:rsidP="00D45F4E">
      <w:pPr>
        <w:spacing w:after="0" w:line="240" w:lineRule="auto"/>
        <w:jc w:val="both"/>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2F30" w14:textId="77777777" w:rsidR="0009298C" w:rsidRDefault="0009298C" w:rsidP="004A1847">
      <w:pPr>
        <w:spacing w:after="0" w:line="240" w:lineRule="auto"/>
      </w:pPr>
      <w:r>
        <w:separator/>
      </w:r>
    </w:p>
  </w:endnote>
  <w:endnote w:type="continuationSeparator" w:id="0">
    <w:p w14:paraId="4FF0AA18" w14:textId="77777777" w:rsidR="0009298C" w:rsidRDefault="0009298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4408" w14:textId="77777777" w:rsidR="0009298C" w:rsidRDefault="0009298C" w:rsidP="004A1847">
      <w:pPr>
        <w:spacing w:after="0" w:line="240" w:lineRule="auto"/>
      </w:pPr>
      <w:r>
        <w:separator/>
      </w:r>
    </w:p>
  </w:footnote>
  <w:footnote w:type="continuationSeparator" w:id="0">
    <w:p w14:paraId="0A6C0AAB" w14:textId="77777777" w:rsidR="0009298C" w:rsidRDefault="0009298C" w:rsidP="004A1847">
      <w:pPr>
        <w:spacing w:after="0" w:line="240" w:lineRule="auto"/>
      </w:pPr>
      <w:r>
        <w:continuationSeparator/>
      </w:r>
    </w:p>
  </w:footnote>
  <w:footnote w:id="1">
    <w:p w14:paraId="3E748ED8" w14:textId="77777777" w:rsidR="00D45F4E" w:rsidRDefault="00D45F4E" w:rsidP="00D45F4E">
      <w:pPr>
        <w:pStyle w:val="Textonotapie"/>
        <w:ind w:firstLine="709"/>
        <w:jc w:val="both"/>
        <w:rPr>
          <w:rFonts w:ascii="Verdana" w:hAnsi="Verdana" w:cs="Arial"/>
          <w:color w:val="000000"/>
          <w:sz w:val="16"/>
          <w:szCs w:val="16"/>
          <w:lang w:val="es-ES"/>
        </w:rPr>
      </w:pPr>
      <w:r w:rsidRPr="00C70EEC">
        <w:rPr>
          <w:rStyle w:val="Refdenotaalpie"/>
          <w:rFonts w:ascii="Verdana" w:hAnsi="Verdana"/>
          <w:sz w:val="16"/>
          <w:szCs w:val="16"/>
        </w:rPr>
        <w:footnoteRef/>
      </w:r>
      <w:r w:rsidRPr="00C70EEC">
        <w:rPr>
          <w:rFonts w:ascii="Verdana" w:hAnsi="Verdana"/>
          <w:sz w:val="16"/>
          <w:szCs w:val="16"/>
        </w:rPr>
        <w:t xml:space="preserve"> </w:t>
      </w:r>
      <w:r w:rsidRPr="00C70EEC">
        <w:rPr>
          <w:rFonts w:ascii="Verdana" w:hAnsi="Verdana" w:cs="Arial"/>
          <w:color w:val="000000"/>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Quien presta el servicio se denomina trabajador, quien lo recibe</w:t>
      </w:r>
      <w:r w:rsidRPr="00373AD7">
        <w:rPr>
          <w:rFonts w:ascii="Verdana" w:hAnsi="Verdana" w:cs="Arial"/>
          <w:color w:val="000000"/>
          <w:sz w:val="16"/>
          <w:szCs w:val="16"/>
          <w:lang w:val="es-ES"/>
        </w:rPr>
        <w:t xml:space="preserve"> y remunera, empleador, y la remuneración, cualquiera que sea su forma, salario”.</w:t>
      </w:r>
    </w:p>
    <w:p w14:paraId="1898CE76" w14:textId="77777777" w:rsidR="00D45F4E" w:rsidRPr="00373AD7" w:rsidRDefault="00D45F4E" w:rsidP="00D45F4E">
      <w:pPr>
        <w:pStyle w:val="Textonotapie"/>
        <w:ind w:firstLine="709"/>
        <w:jc w:val="both"/>
        <w:rPr>
          <w:rFonts w:ascii="Verdana" w:hAnsi="Verdana" w:cs="Arial"/>
          <w:color w:val="000000"/>
          <w:sz w:val="16"/>
          <w:szCs w:val="16"/>
          <w:lang w:val="es-ES"/>
        </w:rPr>
      </w:pPr>
    </w:p>
  </w:footnote>
  <w:footnote w:id="2">
    <w:p w14:paraId="39353E1D" w14:textId="77777777" w:rsidR="00D45F4E" w:rsidRPr="00373AD7" w:rsidRDefault="00D45F4E" w:rsidP="00D45F4E">
      <w:pPr>
        <w:pStyle w:val="Textonotapie"/>
        <w:ind w:firstLine="709"/>
        <w:jc w:val="both"/>
        <w:rPr>
          <w:rFonts w:ascii="Verdana" w:hAnsi="Verdana" w:cs="Arial"/>
          <w:color w:val="000000"/>
          <w:sz w:val="16"/>
          <w:szCs w:val="16"/>
          <w:lang w:val="es-ES"/>
        </w:rPr>
      </w:pPr>
      <w:r w:rsidRPr="00373AD7">
        <w:rPr>
          <w:rStyle w:val="Refdenotaalpie"/>
          <w:rFonts w:ascii="Verdana" w:hAnsi="Verdana"/>
          <w:sz w:val="16"/>
          <w:szCs w:val="16"/>
        </w:rPr>
        <w:footnoteRef/>
      </w:r>
      <w:r w:rsidRPr="00373AD7">
        <w:rPr>
          <w:rFonts w:ascii="Verdana" w:hAnsi="Verdana"/>
          <w:sz w:val="16"/>
          <w:szCs w:val="16"/>
        </w:rPr>
        <w:t xml:space="preserve"> </w:t>
      </w:r>
      <w:r w:rsidRPr="00373AD7">
        <w:rPr>
          <w:rFonts w:ascii="Verdana" w:hAnsi="Verdana" w:cs="Arial"/>
          <w:color w:val="000000"/>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4A9CAFAF"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373AD7">
        <w:rPr>
          <w:rFonts w:ascii="Verdana" w:hAnsi="Verdana" w:cs="Arial"/>
          <w:color w:val="000000"/>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w:t>
      </w:r>
      <w:r w:rsidRPr="00AD7D22">
        <w:rPr>
          <w:rFonts w:ascii="Verdana" w:hAnsi="Verdana" w:cs="Arial"/>
          <w:color w:val="000000"/>
          <w:sz w:val="16"/>
          <w:szCs w:val="16"/>
          <w:lang w:val="es-ES"/>
        </w:rPr>
        <w:t xml:space="preserve">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780C9B8C"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El Gobierno nacional reglamentará el mecanismo para realizar la mensualización de que trata el presente artículo.</w:t>
      </w:r>
    </w:p>
    <w:p w14:paraId="16B834EF" w14:textId="77777777" w:rsidR="00D45F4E"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33D37E08" w14:textId="77777777" w:rsidR="00D45F4E" w:rsidRPr="00AD7D22" w:rsidRDefault="00D45F4E" w:rsidP="00D45F4E">
      <w:pPr>
        <w:pStyle w:val="Textonotapie"/>
        <w:ind w:firstLine="709"/>
        <w:jc w:val="both"/>
        <w:rPr>
          <w:rFonts w:ascii="Verdana" w:hAnsi="Verdana" w:cs="Arial"/>
          <w:color w:val="000000"/>
          <w:sz w:val="16"/>
          <w:szCs w:val="16"/>
          <w:lang w:val="es-ES"/>
        </w:rPr>
      </w:pPr>
    </w:p>
  </w:footnote>
  <w:footnote w:id="3">
    <w:p w14:paraId="5396BE24" w14:textId="77777777" w:rsidR="00D45F4E" w:rsidRDefault="00D45F4E" w:rsidP="00D45F4E">
      <w:pPr>
        <w:pStyle w:val="Textonotapie"/>
        <w:ind w:firstLine="709"/>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Corte Constitucional. Sentencia C-154 de 1997. Magistrado Ponente: Hernando Herrera Vergara.</w:t>
      </w:r>
    </w:p>
    <w:p w14:paraId="59093E9F" w14:textId="77777777" w:rsidR="00D45F4E" w:rsidRPr="004D29E2" w:rsidRDefault="00D45F4E" w:rsidP="00D45F4E">
      <w:pPr>
        <w:pStyle w:val="Textonotapie"/>
        <w:ind w:firstLine="709"/>
        <w:rPr>
          <w:rFonts w:ascii="Verdana" w:hAnsi="Verdana" w:cs="Arial"/>
          <w:color w:val="000000"/>
          <w:sz w:val="16"/>
          <w:szCs w:val="16"/>
          <w:lang w:val="es-ES"/>
        </w:rPr>
      </w:pPr>
    </w:p>
  </w:footnote>
  <w:footnote w:id="4">
    <w:p w14:paraId="52B447E8" w14:textId="77777777" w:rsidR="00D45F4E" w:rsidRDefault="00D45F4E" w:rsidP="00D45F4E">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69376991" w14:textId="77777777" w:rsidR="00D45F4E" w:rsidRPr="003917D2" w:rsidRDefault="00D45F4E" w:rsidP="00D45F4E">
      <w:pPr>
        <w:pStyle w:val="Textonotapie"/>
        <w:ind w:firstLine="709"/>
        <w:jc w:val="both"/>
        <w:rPr>
          <w:rFonts w:ascii="Verdana" w:hAnsi="Verdana" w:cs="Arial"/>
          <w:color w:val="000000"/>
          <w:sz w:val="16"/>
          <w:szCs w:val="16"/>
          <w:lang w:val="es-ES"/>
        </w:rPr>
      </w:pPr>
    </w:p>
  </w:footnote>
  <w:footnote w:id="5">
    <w:p w14:paraId="0DD9DB29" w14:textId="77777777" w:rsidR="00D45F4E" w:rsidRDefault="00D45F4E" w:rsidP="00D45F4E">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Consejo de Estado. Sección Tercera. Subsección C. Sentencia del 2 de diciembre de 2013. Exp. 41719. Consejero Ponente: Jaime Orlando Santofimio Gamboa.</w:t>
      </w:r>
    </w:p>
    <w:p w14:paraId="79B9748E" w14:textId="77777777" w:rsidR="00D45F4E" w:rsidRPr="00515310" w:rsidRDefault="00D45F4E" w:rsidP="00D45F4E">
      <w:pPr>
        <w:pStyle w:val="Textonotapie"/>
        <w:ind w:firstLine="709"/>
        <w:jc w:val="both"/>
        <w:rPr>
          <w:rFonts w:ascii="Verdana" w:hAnsi="Verdana" w:cs="Arial"/>
          <w:color w:val="000000"/>
          <w:sz w:val="16"/>
          <w:szCs w:val="16"/>
          <w:lang w:val="es-ES"/>
        </w:rPr>
      </w:pPr>
    </w:p>
  </w:footnote>
  <w:footnote w:id="6">
    <w:p w14:paraId="5AB9626C" w14:textId="77777777" w:rsidR="00D45F4E" w:rsidRDefault="00D45F4E" w:rsidP="00D45F4E">
      <w:pPr>
        <w:pStyle w:val="Textonotapie"/>
        <w:ind w:firstLine="709"/>
        <w:rPr>
          <w:rFonts w:ascii="Verdana" w:hAnsi="Verdana"/>
          <w:sz w:val="16"/>
          <w:szCs w:val="16"/>
        </w:rPr>
      </w:pPr>
      <w:r w:rsidRPr="00AD7D22">
        <w:rPr>
          <w:rStyle w:val="Refdenotaalpie"/>
          <w:rFonts w:ascii="Verdana" w:hAnsi="Verdana"/>
          <w:sz w:val="16"/>
          <w:szCs w:val="16"/>
        </w:rPr>
        <w:footnoteRef/>
      </w:r>
      <w:r w:rsidRPr="00AD7D22">
        <w:rPr>
          <w:rFonts w:ascii="Verdana" w:hAnsi="Verdana"/>
          <w:sz w:val="16"/>
          <w:szCs w:val="16"/>
        </w:rPr>
        <w:t xml:space="preserve"> Ibid. </w:t>
      </w:r>
    </w:p>
    <w:p w14:paraId="1501A660" w14:textId="77777777" w:rsidR="00D45F4E" w:rsidRPr="00AD7D22" w:rsidRDefault="00D45F4E" w:rsidP="00D45F4E">
      <w:pPr>
        <w:pStyle w:val="Textonotapie"/>
        <w:ind w:firstLine="709"/>
        <w:rPr>
          <w:rFonts w:ascii="Verdana" w:hAnsi="Verdana"/>
          <w:sz w:val="16"/>
          <w:szCs w:val="16"/>
          <w:lang w:val="es-ES"/>
        </w:rPr>
      </w:pPr>
    </w:p>
  </w:footnote>
  <w:footnote w:id="7">
    <w:p w14:paraId="7B585BE1"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Ibid.</w:t>
      </w:r>
      <w:r>
        <w:rPr>
          <w:rFonts w:ascii="Verdana" w:hAnsi="Verdana" w:cs="Arial"/>
          <w:color w:val="000000"/>
          <w:sz w:val="16"/>
          <w:szCs w:val="16"/>
          <w:lang w:val="es-ES"/>
        </w:rPr>
        <w:t>-</w:t>
      </w:r>
      <w:r w:rsidRPr="00AD7D22">
        <w:rPr>
          <w:rFonts w:ascii="Verdana" w:hAnsi="Verdana" w:cs="Arial"/>
          <w:color w:val="000000"/>
          <w:sz w:val="16"/>
          <w:szCs w:val="16"/>
          <w:lang w:val="es-ES"/>
        </w:rPr>
        <w:t xml:space="preserve">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07C9D0FC"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Son también contratos de consultoría los que tienen por objeto la interventoría, asesoría, gerencia de obra o de proyectos, dirección, programación y la ejecución de diseños, planos, anteproyectos y proyectos.</w:t>
      </w:r>
    </w:p>
    <w:p w14:paraId="64630BF7" w14:textId="77777777" w:rsidR="00D45F4E"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 xml:space="preserve">Ninguna orden del interventor de una obra podrá darse verbalmente. Es obligatorio para el interventor entregar por escrito sus órdenes o sugerencias y ellas deben enmarcarse dentro de los términos del respectivo contrato”. </w:t>
      </w:r>
    </w:p>
    <w:p w14:paraId="46CEFA51" w14:textId="77777777" w:rsidR="00D45F4E" w:rsidRPr="00B356F2" w:rsidRDefault="00D45F4E" w:rsidP="00D45F4E">
      <w:pPr>
        <w:pStyle w:val="Textonotapie"/>
        <w:ind w:firstLine="709"/>
        <w:jc w:val="both"/>
        <w:rPr>
          <w:rFonts w:ascii="Verdana" w:hAnsi="Verdana" w:cs="Arial"/>
          <w:color w:val="000000"/>
          <w:sz w:val="16"/>
          <w:szCs w:val="16"/>
          <w:lang w:val="es-ES"/>
        </w:rPr>
      </w:pPr>
    </w:p>
  </w:footnote>
  <w:footnote w:id="8">
    <w:p w14:paraId="0D65CB5F"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Así lo prevé el artículo 2.2.1.2.1.4.1. del Decreto 1082 de 2015: “La Entidad Estatal debe señalar en un acto administrativo la justificación para contratar bajo la modalidad de contratación directa, el cual debe contener:</w:t>
      </w:r>
    </w:p>
    <w:p w14:paraId="1537BC1A"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1. La causal que invoca para contratar directamente.</w:t>
      </w:r>
    </w:p>
    <w:p w14:paraId="1637FAF4"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 El objeto del contrato.</w:t>
      </w:r>
    </w:p>
    <w:p w14:paraId="7CA31D62"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3. El presupuesto para la contratación y las condiciones que exigirá al contratista.</w:t>
      </w:r>
    </w:p>
    <w:p w14:paraId="18AB2207"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4. El lugar en el cual los interesados pueden consultar los estudios y documentos previos.</w:t>
      </w:r>
    </w:p>
    <w:p w14:paraId="78452FE5" w14:textId="77777777" w:rsidR="00D45F4E"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p w14:paraId="114B5DBA" w14:textId="77777777" w:rsidR="00D45F4E" w:rsidRPr="00B31452" w:rsidRDefault="00D45F4E" w:rsidP="00D45F4E">
      <w:pPr>
        <w:pStyle w:val="Textonotapie"/>
        <w:ind w:firstLine="709"/>
        <w:jc w:val="both"/>
        <w:rPr>
          <w:rFonts w:ascii="Verdana" w:hAnsi="Verdana" w:cs="Arial"/>
          <w:color w:val="000000"/>
          <w:sz w:val="16"/>
          <w:szCs w:val="16"/>
          <w:lang w:val="es-ES"/>
        </w:rPr>
      </w:pPr>
    </w:p>
  </w:footnote>
  <w:footnote w:id="9">
    <w:p w14:paraId="13577407"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Esta norma expresa: “</w:t>
      </w:r>
      <w:r w:rsidRPr="00AD7D22">
        <w:rPr>
          <w:rFonts w:ascii="Verdana" w:hAnsi="Verdana" w:cs="Arial"/>
          <w:color w:val="000000"/>
          <w:sz w:val="16"/>
          <w:szCs w:val="16"/>
        </w:rPr>
        <w:t>P</w:t>
      </w:r>
      <w:r w:rsidRPr="00AD7D22">
        <w:rPr>
          <w:rFonts w:ascii="Verdana" w:hAnsi="Verdana" w:cs="Arial"/>
          <w:color w:val="000000"/>
          <w:sz w:val="16"/>
          <w:szCs w:val="16"/>
          <w:lang w:val="es-ES"/>
        </w:rPr>
        <w:t>ara el cumplimiento de los fines de la contratación, las entidades estatales al celebrar un contrato:</w:t>
      </w:r>
    </w:p>
    <w:p w14:paraId="1D0AE0A6"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45590B4F"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0413A8B9"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Las entidades estatales podrán pactar estas cláusulas en los contratos de suministro y de prestación de servicios.</w:t>
      </w:r>
    </w:p>
    <w:p w14:paraId="013C7E94" w14:textId="77777777" w:rsidR="00D45F4E" w:rsidRDefault="00D45F4E" w:rsidP="00D45F4E">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08D09E2E" w14:textId="77777777" w:rsidR="00D45F4E" w:rsidRPr="00B356F2" w:rsidRDefault="00D45F4E" w:rsidP="00D45F4E">
      <w:pPr>
        <w:pStyle w:val="Textonotapie"/>
        <w:ind w:firstLine="709"/>
        <w:jc w:val="both"/>
        <w:rPr>
          <w:rFonts w:ascii="Verdana" w:hAnsi="Verdana" w:cs="Arial"/>
          <w:color w:val="000000"/>
          <w:sz w:val="16"/>
          <w:szCs w:val="16"/>
          <w:lang w:val="es-ES"/>
        </w:rPr>
      </w:pPr>
    </w:p>
  </w:footnote>
  <w:footnote w:id="10">
    <w:p w14:paraId="4650F6D8" w14:textId="77777777" w:rsidR="00D45F4E" w:rsidRDefault="00D45F4E" w:rsidP="00D45F4E">
      <w:pPr>
        <w:pStyle w:val="Textonotapie"/>
        <w:ind w:firstLine="709"/>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La norma dispone: “La liquidación a que se refiere el presente artículo no será obligatoria en los contratos de prestación de servicios profesionales y de apoyo a la gestión”.</w:t>
      </w:r>
    </w:p>
    <w:p w14:paraId="2B1AA149" w14:textId="77777777" w:rsidR="00D45F4E" w:rsidRPr="00B356F2" w:rsidRDefault="00D45F4E" w:rsidP="00D45F4E">
      <w:pPr>
        <w:pStyle w:val="Textonotapie"/>
        <w:ind w:firstLine="709"/>
        <w:rPr>
          <w:rFonts w:ascii="Verdana" w:hAnsi="Verdana" w:cs="Arial"/>
          <w:color w:val="000000"/>
          <w:sz w:val="16"/>
          <w:szCs w:val="16"/>
          <w:lang w:val="es-ES"/>
        </w:rPr>
      </w:pPr>
    </w:p>
  </w:footnote>
  <w:footnote w:id="11">
    <w:p w14:paraId="37AA4363" w14:textId="77777777" w:rsidR="00D45F4E" w:rsidRPr="00AD7D22" w:rsidRDefault="00D45F4E" w:rsidP="00D45F4E">
      <w:pPr>
        <w:pStyle w:val="Textonotapie"/>
        <w:ind w:firstLine="709"/>
        <w:jc w:val="both"/>
        <w:rPr>
          <w:rFonts w:ascii="Verdana" w:hAnsi="Verdana" w:cs="Arial"/>
          <w:color w:val="000000"/>
          <w:sz w:val="16"/>
          <w:szCs w:val="16"/>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19E80CF3" w14:textId="77777777" w:rsidR="00D45F4E" w:rsidRPr="00AD7D22" w:rsidRDefault="00D45F4E" w:rsidP="00D45F4E">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764593E6" w14:textId="77777777" w:rsidR="00D45F4E" w:rsidRDefault="00D45F4E" w:rsidP="00D45F4E">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w:t>
      </w:r>
    </w:p>
    <w:p w14:paraId="6647E5A6" w14:textId="77777777" w:rsidR="00D45F4E" w:rsidRPr="00B356F2" w:rsidRDefault="00D45F4E" w:rsidP="00D45F4E">
      <w:pPr>
        <w:pStyle w:val="Textonotapie"/>
        <w:ind w:firstLine="709"/>
        <w:jc w:val="both"/>
        <w:rPr>
          <w:rFonts w:ascii="Verdana" w:hAnsi="Verdana" w:cs="Arial"/>
          <w:color w:val="000000"/>
          <w:sz w:val="16"/>
          <w:szCs w:val="16"/>
        </w:rPr>
      </w:pPr>
    </w:p>
  </w:footnote>
  <w:footnote w:id="12">
    <w:p w14:paraId="6F41FE53" w14:textId="77777777" w:rsidR="00D45F4E" w:rsidRPr="00AD7D22" w:rsidRDefault="00D45F4E" w:rsidP="00D45F4E">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51C69B01" w14:textId="77777777" w:rsidR="00D45F4E" w:rsidRPr="00AD7D22" w:rsidRDefault="00D45F4E" w:rsidP="00D45F4E">
      <w:pPr>
        <w:pStyle w:val="Textonotapie"/>
        <w:ind w:firstLine="709"/>
        <w:rPr>
          <w:rFonts w:ascii="Verdana" w:hAnsi="Verdana"/>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8724"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8679D0"/>
    <w:multiLevelType w:val="hybridMultilevel"/>
    <w:tmpl w:val="702A54A0"/>
    <w:lvl w:ilvl="0" w:tplc="040A0001">
      <w:start w:val="1"/>
      <w:numFmt w:val="bullet"/>
      <w:lvlText w:val=""/>
      <w:lvlJc w:val="left"/>
      <w:pPr>
        <w:ind w:left="720" w:hanging="360"/>
      </w:pPr>
      <w:rPr>
        <w:rFonts w:ascii="Symbol" w:hAnsi="Symbol" w:hint="default"/>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9"/>
  </w:num>
  <w:num w:numId="2" w16cid:durableId="19822139">
    <w:abstractNumId w:val="2"/>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8"/>
  </w:num>
  <w:num w:numId="8" w16cid:durableId="152644682">
    <w:abstractNumId w:val="16"/>
  </w:num>
  <w:num w:numId="9" w16cid:durableId="1317221377">
    <w:abstractNumId w:val="10"/>
  </w:num>
  <w:num w:numId="10" w16cid:durableId="1471245386">
    <w:abstractNumId w:val="15"/>
  </w:num>
  <w:num w:numId="11" w16cid:durableId="289172385">
    <w:abstractNumId w:val="11"/>
  </w:num>
  <w:num w:numId="12" w16cid:durableId="1470781324">
    <w:abstractNumId w:val="1"/>
  </w:num>
  <w:num w:numId="13" w16cid:durableId="1512908409">
    <w:abstractNumId w:val="5"/>
  </w:num>
  <w:num w:numId="14" w16cid:durableId="895897244">
    <w:abstractNumId w:val="18"/>
  </w:num>
  <w:num w:numId="15" w16cid:durableId="390349800">
    <w:abstractNumId w:val="14"/>
  </w:num>
  <w:num w:numId="16" w16cid:durableId="1227110730">
    <w:abstractNumId w:val="0"/>
  </w:num>
  <w:num w:numId="17" w16cid:durableId="2068841316">
    <w:abstractNumId w:val="3"/>
  </w:num>
  <w:num w:numId="18" w16cid:durableId="1144280152">
    <w:abstractNumId w:val="19"/>
  </w:num>
  <w:num w:numId="19" w16cid:durableId="1602300139">
    <w:abstractNumId w:val="4"/>
  </w:num>
  <w:num w:numId="20" w16cid:durableId="1397629488">
    <w:abstractNumId w:val="13"/>
  </w:num>
  <w:num w:numId="21" w16cid:durableId="861283267">
    <w:abstractNumId w:val="6"/>
  </w:num>
  <w:num w:numId="22" w16cid:durableId="153255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4220"/>
    <w:rsid w:val="00027F95"/>
    <w:rsid w:val="00045A4D"/>
    <w:rsid w:val="00046945"/>
    <w:rsid w:val="00054748"/>
    <w:rsid w:val="000612FD"/>
    <w:rsid w:val="00061B2A"/>
    <w:rsid w:val="00063B8B"/>
    <w:rsid w:val="000642C7"/>
    <w:rsid w:val="00071AD1"/>
    <w:rsid w:val="00082362"/>
    <w:rsid w:val="00083164"/>
    <w:rsid w:val="0009298C"/>
    <w:rsid w:val="000943BE"/>
    <w:rsid w:val="000A0B60"/>
    <w:rsid w:val="000A683E"/>
    <w:rsid w:val="000B19B9"/>
    <w:rsid w:val="000B5A93"/>
    <w:rsid w:val="000D0334"/>
    <w:rsid w:val="000D5DA7"/>
    <w:rsid w:val="000E06D3"/>
    <w:rsid w:val="000F6486"/>
    <w:rsid w:val="0010054E"/>
    <w:rsid w:val="00104922"/>
    <w:rsid w:val="0010594F"/>
    <w:rsid w:val="00116940"/>
    <w:rsid w:val="00116E26"/>
    <w:rsid w:val="00125105"/>
    <w:rsid w:val="00127233"/>
    <w:rsid w:val="001279A7"/>
    <w:rsid w:val="00132271"/>
    <w:rsid w:val="0015699B"/>
    <w:rsid w:val="0016337E"/>
    <w:rsid w:val="00165403"/>
    <w:rsid w:val="0018173F"/>
    <w:rsid w:val="00193637"/>
    <w:rsid w:val="001A05CA"/>
    <w:rsid w:val="001A1C4B"/>
    <w:rsid w:val="001A33BF"/>
    <w:rsid w:val="001B7BFE"/>
    <w:rsid w:val="001E4177"/>
    <w:rsid w:val="001F0B24"/>
    <w:rsid w:val="001F7DC6"/>
    <w:rsid w:val="00210F23"/>
    <w:rsid w:val="00211AE1"/>
    <w:rsid w:val="002144E5"/>
    <w:rsid w:val="0022400B"/>
    <w:rsid w:val="002421BB"/>
    <w:rsid w:val="00254843"/>
    <w:rsid w:val="0025796E"/>
    <w:rsid w:val="002707A2"/>
    <w:rsid w:val="00275975"/>
    <w:rsid w:val="002925C2"/>
    <w:rsid w:val="002951A0"/>
    <w:rsid w:val="002962BC"/>
    <w:rsid w:val="002A093D"/>
    <w:rsid w:val="002A0DD0"/>
    <w:rsid w:val="002A3E14"/>
    <w:rsid w:val="002A49AC"/>
    <w:rsid w:val="002A64FD"/>
    <w:rsid w:val="002B1D63"/>
    <w:rsid w:val="002B4237"/>
    <w:rsid w:val="002B7ECD"/>
    <w:rsid w:val="002C1D40"/>
    <w:rsid w:val="002C2DF2"/>
    <w:rsid w:val="002C7A84"/>
    <w:rsid w:val="002E2BF8"/>
    <w:rsid w:val="002E2C4D"/>
    <w:rsid w:val="002E37B2"/>
    <w:rsid w:val="002E4FD9"/>
    <w:rsid w:val="002F1BEB"/>
    <w:rsid w:val="002F4F34"/>
    <w:rsid w:val="0030657A"/>
    <w:rsid w:val="00311A30"/>
    <w:rsid w:val="003148E3"/>
    <w:rsid w:val="00321D63"/>
    <w:rsid w:val="00322A85"/>
    <w:rsid w:val="00324168"/>
    <w:rsid w:val="00327136"/>
    <w:rsid w:val="00330834"/>
    <w:rsid w:val="003448F4"/>
    <w:rsid w:val="003568BE"/>
    <w:rsid w:val="003652FF"/>
    <w:rsid w:val="00373C2A"/>
    <w:rsid w:val="00373DB2"/>
    <w:rsid w:val="00374F5E"/>
    <w:rsid w:val="00377023"/>
    <w:rsid w:val="00377E3E"/>
    <w:rsid w:val="00382C91"/>
    <w:rsid w:val="003A779E"/>
    <w:rsid w:val="003C20F3"/>
    <w:rsid w:val="003D0F4D"/>
    <w:rsid w:val="003D5B0D"/>
    <w:rsid w:val="003E0499"/>
    <w:rsid w:val="003E348A"/>
    <w:rsid w:val="003E4F80"/>
    <w:rsid w:val="003E5B2B"/>
    <w:rsid w:val="003E6439"/>
    <w:rsid w:val="003F1BCC"/>
    <w:rsid w:val="003F3941"/>
    <w:rsid w:val="003F47D7"/>
    <w:rsid w:val="00404262"/>
    <w:rsid w:val="00406424"/>
    <w:rsid w:val="00406575"/>
    <w:rsid w:val="00411024"/>
    <w:rsid w:val="00414C74"/>
    <w:rsid w:val="004176AC"/>
    <w:rsid w:val="004224AD"/>
    <w:rsid w:val="0042722E"/>
    <w:rsid w:val="00427DE5"/>
    <w:rsid w:val="0043641A"/>
    <w:rsid w:val="0044528D"/>
    <w:rsid w:val="00461517"/>
    <w:rsid w:val="00461A0A"/>
    <w:rsid w:val="00466E39"/>
    <w:rsid w:val="004819DB"/>
    <w:rsid w:val="004A1847"/>
    <w:rsid w:val="004A305D"/>
    <w:rsid w:val="004C1F3D"/>
    <w:rsid w:val="004E5211"/>
    <w:rsid w:val="004F21C4"/>
    <w:rsid w:val="004F685F"/>
    <w:rsid w:val="005008AF"/>
    <w:rsid w:val="0050332D"/>
    <w:rsid w:val="00520018"/>
    <w:rsid w:val="00527383"/>
    <w:rsid w:val="0054008D"/>
    <w:rsid w:val="00543EE7"/>
    <w:rsid w:val="0054655A"/>
    <w:rsid w:val="005566E8"/>
    <w:rsid w:val="00561AC2"/>
    <w:rsid w:val="00564BA5"/>
    <w:rsid w:val="005662CF"/>
    <w:rsid w:val="00570B99"/>
    <w:rsid w:val="00574867"/>
    <w:rsid w:val="00591460"/>
    <w:rsid w:val="00593A2E"/>
    <w:rsid w:val="005A65E0"/>
    <w:rsid w:val="005B5E1E"/>
    <w:rsid w:val="005C2AE6"/>
    <w:rsid w:val="005C2D83"/>
    <w:rsid w:val="005C3777"/>
    <w:rsid w:val="005C5CDC"/>
    <w:rsid w:val="005D0056"/>
    <w:rsid w:val="005D0AA9"/>
    <w:rsid w:val="005D476C"/>
    <w:rsid w:val="005E1F8F"/>
    <w:rsid w:val="005E247F"/>
    <w:rsid w:val="005E73C3"/>
    <w:rsid w:val="00613205"/>
    <w:rsid w:val="00617CDD"/>
    <w:rsid w:val="006200BF"/>
    <w:rsid w:val="006219F8"/>
    <w:rsid w:val="006302F7"/>
    <w:rsid w:val="00635CDF"/>
    <w:rsid w:val="00640E35"/>
    <w:rsid w:val="006446CE"/>
    <w:rsid w:val="00646B9F"/>
    <w:rsid w:val="00665D70"/>
    <w:rsid w:val="00670E33"/>
    <w:rsid w:val="006900D9"/>
    <w:rsid w:val="006A193A"/>
    <w:rsid w:val="006D4CFA"/>
    <w:rsid w:val="006E2FD3"/>
    <w:rsid w:val="006E3A2D"/>
    <w:rsid w:val="006E45A1"/>
    <w:rsid w:val="00706C16"/>
    <w:rsid w:val="00724D03"/>
    <w:rsid w:val="00727814"/>
    <w:rsid w:val="007340C3"/>
    <w:rsid w:val="00740F02"/>
    <w:rsid w:val="00751E4C"/>
    <w:rsid w:val="00752103"/>
    <w:rsid w:val="0075235A"/>
    <w:rsid w:val="00756841"/>
    <w:rsid w:val="007574DB"/>
    <w:rsid w:val="007622DD"/>
    <w:rsid w:val="007649AB"/>
    <w:rsid w:val="00771D0C"/>
    <w:rsid w:val="00773F9C"/>
    <w:rsid w:val="007833AC"/>
    <w:rsid w:val="007957F9"/>
    <w:rsid w:val="007A059E"/>
    <w:rsid w:val="007B268C"/>
    <w:rsid w:val="007B3388"/>
    <w:rsid w:val="007B5340"/>
    <w:rsid w:val="007B7171"/>
    <w:rsid w:val="007B7B08"/>
    <w:rsid w:val="007C0C0F"/>
    <w:rsid w:val="007C3DC2"/>
    <w:rsid w:val="007D63CC"/>
    <w:rsid w:val="007E1A66"/>
    <w:rsid w:val="007E5019"/>
    <w:rsid w:val="007E5497"/>
    <w:rsid w:val="008065F8"/>
    <w:rsid w:val="00806F5F"/>
    <w:rsid w:val="00820278"/>
    <w:rsid w:val="0082340A"/>
    <w:rsid w:val="008258C9"/>
    <w:rsid w:val="00842451"/>
    <w:rsid w:val="00844A6B"/>
    <w:rsid w:val="00844AE9"/>
    <w:rsid w:val="00847BC0"/>
    <w:rsid w:val="008576E2"/>
    <w:rsid w:val="0086480A"/>
    <w:rsid w:val="00865247"/>
    <w:rsid w:val="00865EEF"/>
    <w:rsid w:val="00867F95"/>
    <w:rsid w:val="008843B6"/>
    <w:rsid w:val="00891928"/>
    <w:rsid w:val="00895109"/>
    <w:rsid w:val="008A08C2"/>
    <w:rsid w:val="008A446D"/>
    <w:rsid w:val="008A7784"/>
    <w:rsid w:val="008B25F1"/>
    <w:rsid w:val="008C0348"/>
    <w:rsid w:val="008D180B"/>
    <w:rsid w:val="008D34F2"/>
    <w:rsid w:val="008E4C56"/>
    <w:rsid w:val="008E73E1"/>
    <w:rsid w:val="008F0EA7"/>
    <w:rsid w:val="008F6CB9"/>
    <w:rsid w:val="00923EEF"/>
    <w:rsid w:val="009419F9"/>
    <w:rsid w:val="00942F04"/>
    <w:rsid w:val="00944733"/>
    <w:rsid w:val="00947764"/>
    <w:rsid w:val="0095685E"/>
    <w:rsid w:val="00961B09"/>
    <w:rsid w:val="00965334"/>
    <w:rsid w:val="00967D67"/>
    <w:rsid w:val="0097093E"/>
    <w:rsid w:val="009A0DFA"/>
    <w:rsid w:val="009A1C6F"/>
    <w:rsid w:val="009B2D26"/>
    <w:rsid w:val="009B41E6"/>
    <w:rsid w:val="009C5C0F"/>
    <w:rsid w:val="009C71FA"/>
    <w:rsid w:val="009C72E7"/>
    <w:rsid w:val="009C7F7E"/>
    <w:rsid w:val="009D3058"/>
    <w:rsid w:val="009E75C5"/>
    <w:rsid w:val="009F0380"/>
    <w:rsid w:val="009F3A13"/>
    <w:rsid w:val="009F4EAF"/>
    <w:rsid w:val="00A06FFF"/>
    <w:rsid w:val="00A122D3"/>
    <w:rsid w:val="00A14468"/>
    <w:rsid w:val="00A17F13"/>
    <w:rsid w:val="00A20739"/>
    <w:rsid w:val="00A23AF9"/>
    <w:rsid w:val="00A27052"/>
    <w:rsid w:val="00A33C78"/>
    <w:rsid w:val="00A37EAB"/>
    <w:rsid w:val="00A4742C"/>
    <w:rsid w:val="00A54A64"/>
    <w:rsid w:val="00A575B5"/>
    <w:rsid w:val="00A75B14"/>
    <w:rsid w:val="00A8192E"/>
    <w:rsid w:val="00A84A37"/>
    <w:rsid w:val="00A858CF"/>
    <w:rsid w:val="00A859B6"/>
    <w:rsid w:val="00AA4958"/>
    <w:rsid w:val="00AA6777"/>
    <w:rsid w:val="00AB0ADB"/>
    <w:rsid w:val="00AC2A42"/>
    <w:rsid w:val="00AD2ACC"/>
    <w:rsid w:val="00AE329C"/>
    <w:rsid w:val="00AE6D51"/>
    <w:rsid w:val="00B00C0E"/>
    <w:rsid w:val="00B01B1A"/>
    <w:rsid w:val="00B0381D"/>
    <w:rsid w:val="00B11F11"/>
    <w:rsid w:val="00B121F7"/>
    <w:rsid w:val="00B13C46"/>
    <w:rsid w:val="00B13E8D"/>
    <w:rsid w:val="00B14EED"/>
    <w:rsid w:val="00B16875"/>
    <w:rsid w:val="00B275A8"/>
    <w:rsid w:val="00B36AF7"/>
    <w:rsid w:val="00B43476"/>
    <w:rsid w:val="00B44A47"/>
    <w:rsid w:val="00B44E76"/>
    <w:rsid w:val="00B66E67"/>
    <w:rsid w:val="00B711C4"/>
    <w:rsid w:val="00B72CD3"/>
    <w:rsid w:val="00B72FFF"/>
    <w:rsid w:val="00B73969"/>
    <w:rsid w:val="00B93FBD"/>
    <w:rsid w:val="00BB4C61"/>
    <w:rsid w:val="00BC3D36"/>
    <w:rsid w:val="00BC7C12"/>
    <w:rsid w:val="00BD54A6"/>
    <w:rsid w:val="00BD7F72"/>
    <w:rsid w:val="00BE165A"/>
    <w:rsid w:val="00BE2378"/>
    <w:rsid w:val="00BF590D"/>
    <w:rsid w:val="00BF7425"/>
    <w:rsid w:val="00C04FB3"/>
    <w:rsid w:val="00C11D8B"/>
    <w:rsid w:val="00C15139"/>
    <w:rsid w:val="00C330EB"/>
    <w:rsid w:val="00C416B1"/>
    <w:rsid w:val="00C50D69"/>
    <w:rsid w:val="00C5365C"/>
    <w:rsid w:val="00C70581"/>
    <w:rsid w:val="00C70EEC"/>
    <w:rsid w:val="00C754BE"/>
    <w:rsid w:val="00C76B1C"/>
    <w:rsid w:val="00C82AEE"/>
    <w:rsid w:val="00C925AC"/>
    <w:rsid w:val="00CA2A60"/>
    <w:rsid w:val="00CB6357"/>
    <w:rsid w:val="00CC1B26"/>
    <w:rsid w:val="00CC2BCD"/>
    <w:rsid w:val="00CC424E"/>
    <w:rsid w:val="00CC51E0"/>
    <w:rsid w:val="00CD09A7"/>
    <w:rsid w:val="00CF0A77"/>
    <w:rsid w:val="00D05962"/>
    <w:rsid w:val="00D34887"/>
    <w:rsid w:val="00D35B84"/>
    <w:rsid w:val="00D361FD"/>
    <w:rsid w:val="00D36E5B"/>
    <w:rsid w:val="00D375A2"/>
    <w:rsid w:val="00D376FB"/>
    <w:rsid w:val="00D423A2"/>
    <w:rsid w:val="00D42CA7"/>
    <w:rsid w:val="00D44E26"/>
    <w:rsid w:val="00D45F4E"/>
    <w:rsid w:val="00D47A94"/>
    <w:rsid w:val="00D520D8"/>
    <w:rsid w:val="00D63AC2"/>
    <w:rsid w:val="00D72FF9"/>
    <w:rsid w:val="00D7383B"/>
    <w:rsid w:val="00D7788A"/>
    <w:rsid w:val="00D9012C"/>
    <w:rsid w:val="00DA0612"/>
    <w:rsid w:val="00DA231B"/>
    <w:rsid w:val="00DB62F2"/>
    <w:rsid w:val="00DC39FC"/>
    <w:rsid w:val="00DF51B8"/>
    <w:rsid w:val="00DF5254"/>
    <w:rsid w:val="00E02524"/>
    <w:rsid w:val="00E03BB4"/>
    <w:rsid w:val="00E12F1D"/>
    <w:rsid w:val="00E16408"/>
    <w:rsid w:val="00E20894"/>
    <w:rsid w:val="00E245AB"/>
    <w:rsid w:val="00E2764C"/>
    <w:rsid w:val="00E27F2E"/>
    <w:rsid w:val="00E300D2"/>
    <w:rsid w:val="00E33E17"/>
    <w:rsid w:val="00E372B8"/>
    <w:rsid w:val="00E37D67"/>
    <w:rsid w:val="00E50AFE"/>
    <w:rsid w:val="00E56386"/>
    <w:rsid w:val="00E63464"/>
    <w:rsid w:val="00E65215"/>
    <w:rsid w:val="00E75C92"/>
    <w:rsid w:val="00E771DC"/>
    <w:rsid w:val="00E8772A"/>
    <w:rsid w:val="00E90F6B"/>
    <w:rsid w:val="00E91CA9"/>
    <w:rsid w:val="00E92C27"/>
    <w:rsid w:val="00EA0E3D"/>
    <w:rsid w:val="00EA0EB3"/>
    <w:rsid w:val="00EC38A7"/>
    <w:rsid w:val="00ED2182"/>
    <w:rsid w:val="00EE1AA8"/>
    <w:rsid w:val="00EE2ECC"/>
    <w:rsid w:val="00EE5DE5"/>
    <w:rsid w:val="00EE6152"/>
    <w:rsid w:val="00EF0894"/>
    <w:rsid w:val="00EF3663"/>
    <w:rsid w:val="00F00CC9"/>
    <w:rsid w:val="00F23FEA"/>
    <w:rsid w:val="00F31166"/>
    <w:rsid w:val="00F31EDC"/>
    <w:rsid w:val="00F4564D"/>
    <w:rsid w:val="00F462B3"/>
    <w:rsid w:val="00F5664F"/>
    <w:rsid w:val="00F666C4"/>
    <w:rsid w:val="00F76AFC"/>
    <w:rsid w:val="00F81CD6"/>
    <w:rsid w:val="00F82EBA"/>
    <w:rsid w:val="00F8463E"/>
    <w:rsid w:val="00F90CB2"/>
    <w:rsid w:val="00F94BEB"/>
    <w:rsid w:val="00FA47C0"/>
    <w:rsid w:val="00FA5C0C"/>
    <w:rsid w:val="00FB44C9"/>
    <w:rsid w:val="00FB5DD1"/>
    <w:rsid w:val="00FC021D"/>
    <w:rsid w:val="00FC2B5D"/>
    <w:rsid w:val="00FC7F7A"/>
    <w:rsid w:val="00FE029B"/>
    <w:rsid w:val="00FF1116"/>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6DD35D6C"/>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combarizag@dane.gov.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customXml/itemProps4.xml><?xml version="1.0" encoding="utf-8"?>
<ds:datastoreItem xmlns:ds="http://schemas.openxmlformats.org/officeDocument/2006/customXml" ds:itemID="{C697AFAF-C19F-40AD-BDA0-C4AB5A10E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328</TotalTime>
  <Pages>16</Pages>
  <Words>4497</Words>
  <Characters>24736</Characters>
  <Application>Microsoft Office Word</Application>
  <DocSecurity>0</DocSecurity>
  <Lines>206</Lines>
  <Paragraphs>58</Paragraphs>
  <ScaleCrop>false</ScaleCrop>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201</cp:revision>
  <cp:lastPrinted>2023-01-10T21:18:00Z</cp:lastPrinted>
  <dcterms:created xsi:type="dcterms:W3CDTF">2026-05-25T13:41:00Z</dcterms:created>
  <dcterms:modified xsi:type="dcterms:W3CDTF">2026-06-26T18:15:00Z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