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A2882" w14:textId="77777777" w:rsidR="00903F08" w:rsidRDefault="00903F08" w:rsidP="00903F08">
      <w:pPr>
        <w:spacing w:after="0" w:line="240" w:lineRule="auto"/>
        <w:jc w:val="both"/>
        <w:rPr>
          <w:rFonts w:ascii="Verdana" w:eastAsia="Calibri" w:hAnsi="Verdana" w:cs="Arial"/>
          <w:b/>
          <w:bCs/>
          <w:lang w:eastAsia="es-ES"/>
        </w:rPr>
      </w:pPr>
      <w:bookmarkStart w:id="0" w:name="_Hlk143780582"/>
      <w:r w:rsidRPr="00903F08">
        <w:rPr>
          <w:rFonts w:ascii="Verdana" w:eastAsia="Calibri" w:hAnsi="Verdana" w:cs="Arial"/>
          <w:b/>
          <w:bCs/>
          <w:lang w:eastAsia="es-ES"/>
        </w:rPr>
        <w:t xml:space="preserve">CONTRATACIÓN DIRECTA – Pluralidad de oferentes– Inexistencia – Dos eventos </w:t>
      </w:r>
    </w:p>
    <w:p w14:paraId="713CB3E9" w14:textId="77777777" w:rsidR="00903F08" w:rsidRDefault="00903F08" w:rsidP="00903F08">
      <w:pPr>
        <w:spacing w:after="0" w:line="240" w:lineRule="auto"/>
        <w:jc w:val="both"/>
        <w:rPr>
          <w:rFonts w:ascii="Verdana" w:eastAsia="Calibri" w:hAnsi="Verdana" w:cs="Arial"/>
          <w:b/>
          <w:bCs/>
          <w:lang w:eastAsia="es-ES"/>
        </w:rPr>
      </w:pPr>
    </w:p>
    <w:p w14:paraId="3F469297" w14:textId="589BEF6B" w:rsidR="00903F08" w:rsidRPr="00903F08" w:rsidRDefault="00903F08" w:rsidP="00903F08">
      <w:pPr>
        <w:spacing w:after="0" w:line="240" w:lineRule="auto"/>
        <w:jc w:val="both"/>
        <w:rPr>
          <w:rFonts w:ascii="Verdana" w:eastAsia="Calibri" w:hAnsi="Verdana" w:cs="Arial"/>
          <w:color w:val="000000" w:themeColor="text1"/>
          <w:sz w:val="20"/>
          <w:szCs w:val="20"/>
          <w:lang w:val="es-ES_tradnl"/>
        </w:rPr>
      </w:pPr>
      <w:r w:rsidRPr="00903F08">
        <w:rPr>
          <w:rFonts w:ascii="Verdana" w:hAnsi="Verdana" w:cs="Arial"/>
          <w:color w:val="000000" w:themeColor="text1"/>
          <w:sz w:val="20"/>
          <w:szCs w:val="20"/>
          <w:lang w:val="es-ES_tradnl"/>
        </w:rPr>
        <w:t>L</w:t>
      </w:r>
      <w:r w:rsidRPr="00903F08">
        <w:rPr>
          <w:rFonts w:ascii="Verdana" w:eastAsia="Calibri" w:hAnsi="Verdana" w:cs="Arial"/>
          <w:color w:val="000000" w:themeColor="text1"/>
          <w:sz w:val="20"/>
          <w:szCs w:val="20"/>
          <w:lang w:val="es-ES_tradnl"/>
        </w:rPr>
        <w:t>a disposición normativa vigente que desarrolla el alcance de la causal de contratación directa establecida en el artículo 2, numeral 4, literal g), de la Ley 1150 de 2007, está establecida en el artículo 2.2.1.2.1.4.8 del Decreto 1082 de 2015</w:t>
      </w:r>
      <w:r w:rsidRPr="00903F08">
        <w:rPr>
          <w:rFonts w:ascii="Verdana" w:eastAsia="Calibri" w:hAnsi="Verdana" w:cs="Arial"/>
          <w:color w:val="000000" w:themeColor="text1"/>
          <w:sz w:val="20"/>
          <w:szCs w:val="20"/>
          <w:lang w:val="es-ES_tradnl"/>
        </w:rPr>
        <w:t xml:space="preserve"> […] </w:t>
      </w:r>
      <w:r w:rsidRPr="00903F08">
        <w:rPr>
          <w:rFonts w:ascii="Verdana" w:eastAsia="Calibri" w:hAnsi="Verdana" w:cs="Arial"/>
          <w:color w:val="000000" w:themeColor="text1"/>
          <w:sz w:val="20"/>
          <w:szCs w:val="20"/>
          <w:lang w:val="es-ES_tradnl"/>
        </w:rPr>
        <w:t xml:space="preserve">La norma consagra dos (2) hipótesis. </w:t>
      </w:r>
      <w:r w:rsidRPr="00903F08">
        <w:rPr>
          <w:rFonts w:ascii="Verdana" w:eastAsia="Calibri" w:hAnsi="Verdana" w:cs="Arial"/>
          <w:i/>
          <w:iCs/>
          <w:color w:val="000000" w:themeColor="text1"/>
          <w:sz w:val="20"/>
          <w:szCs w:val="20"/>
          <w:lang w:val="es-ES_tradnl"/>
        </w:rPr>
        <w:t>En primer lugar</w:t>
      </w:r>
      <w:r w:rsidRPr="00903F08">
        <w:rPr>
          <w:rFonts w:ascii="Verdana" w:eastAsia="Calibri" w:hAnsi="Verdana" w:cs="Arial"/>
          <w:color w:val="000000" w:themeColor="text1"/>
          <w:sz w:val="20"/>
          <w:szCs w:val="20"/>
          <w:lang w:val="es-ES_tradnl"/>
        </w:rPr>
        <w:t xml:space="preserve">, no existe pluralidad de oferentes cuando solo una persona puede proveer el bien o servicio por ser titular de los derechos de propiedad industrial o de los derechos de autor – hipótesis dentro de la cual se enmarca la consulta presentada –. De esta manera, no basta con que sea la única persona capaz de ejecutar el contrato, pues se debe justificar una situación de derecho que impida que otra lo haga de forma igual o similar. </w:t>
      </w:r>
    </w:p>
    <w:p w14:paraId="5AD6A98B" w14:textId="77777777" w:rsidR="00903F08" w:rsidRDefault="00903F08" w:rsidP="00903F08">
      <w:pPr>
        <w:spacing w:after="0" w:line="240" w:lineRule="auto"/>
        <w:jc w:val="both"/>
        <w:rPr>
          <w:rFonts w:ascii="Verdana" w:eastAsia="Calibri" w:hAnsi="Verdana" w:cs="Arial"/>
          <w:color w:val="000000" w:themeColor="text1"/>
          <w:sz w:val="20"/>
          <w:szCs w:val="20"/>
          <w:lang w:val="es-ES"/>
        </w:rPr>
      </w:pPr>
    </w:p>
    <w:p w14:paraId="7DCA9085" w14:textId="78333307" w:rsidR="00903F08" w:rsidRPr="00903F08" w:rsidRDefault="00903F08" w:rsidP="00903F08">
      <w:pPr>
        <w:spacing w:after="0" w:line="240" w:lineRule="auto"/>
        <w:jc w:val="both"/>
        <w:rPr>
          <w:rFonts w:ascii="Verdana" w:eastAsia="Calibri" w:hAnsi="Verdana" w:cs="Arial"/>
          <w:color w:val="000000" w:themeColor="text1"/>
          <w:sz w:val="20"/>
          <w:szCs w:val="20"/>
          <w:lang w:val="es-ES"/>
        </w:rPr>
      </w:pPr>
      <w:r w:rsidRPr="00903F08">
        <w:rPr>
          <w:rFonts w:ascii="Verdana" w:eastAsia="Calibri" w:hAnsi="Verdana" w:cs="Arial"/>
          <w:color w:val="000000" w:themeColor="text1"/>
          <w:sz w:val="20"/>
          <w:szCs w:val="20"/>
          <w:lang w:val="es-ES"/>
        </w:rPr>
        <w:t xml:space="preserve">Por ello, en la medida que la prestación no esté cubierta por derechos de la naturaleza anteriormente señalada, posibilita que la entidad satisfaga sus necesidades con equivalentes o sustitutos, ya que la presión de la competencia aumenta la oferta y disminuye los costos de adquisición. </w:t>
      </w:r>
    </w:p>
    <w:p w14:paraId="5F17336E" w14:textId="77777777" w:rsidR="00903F08" w:rsidRPr="00903F08" w:rsidRDefault="00903F08" w:rsidP="00903F08">
      <w:pPr>
        <w:spacing w:after="0" w:line="240" w:lineRule="auto"/>
        <w:ind w:firstLine="708"/>
        <w:jc w:val="both"/>
        <w:rPr>
          <w:rFonts w:ascii="Verdana" w:eastAsia="Calibri" w:hAnsi="Verdana" w:cs="Arial"/>
          <w:i/>
          <w:iCs/>
          <w:color w:val="000000" w:themeColor="text1"/>
          <w:sz w:val="20"/>
          <w:szCs w:val="20"/>
          <w:lang w:val="es-ES_tradnl"/>
        </w:rPr>
      </w:pPr>
    </w:p>
    <w:p w14:paraId="6E5689F6" w14:textId="77777777" w:rsidR="00903F08" w:rsidRDefault="00903F08" w:rsidP="00903F08">
      <w:pPr>
        <w:spacing w:after="0" w:line="240" w:lineRule="auto"/>
        <w:jc w:val="both"/>
        <w:rPr>
          <w:rFonts w:ascii="Verdana" w:eastAsia="Calibri" w:hAnsi="Verdana" w:cs="Arial"/>
          <w:color w:val="000000" w:themeColor="text1"/>
          <w:sz w:val="20"/>
          <w:szCs w:val="20"/>
          <w:lang w:val="es-ES_tradnl"/>
        </w:rPr>
      </w:pPr>
      <w:r>
        <w:rPr>
          <w:rFonts w:ascii="Verdana" w:eastAsia="Calibri" w:hAnsi="Verdana" w:cs="Arial"/>
          <w:color w:val="000000" w:themeColor="text1"/>
          <w:sz w:val="20"/>
          <w:szCs w:val="20"/>
          <w:lang w:val="es-ES_tradnl"/>
        </w:rPr>
        <w:t xml:space="preserve">[…] </w:t>
      </w:r>
    </w:p>
    <w:p w14:paraId="1B087C1F" w14:textId="77777777" w:rsidR="00903F08" w:rsidRDefault="00903F08" w:rsidP="00903F08">
      <w:pPr>
        <w:spacing w:after="0" w:line="240" w:lineRule="auto"/>
        <w:jc w:val="both"/>
        <w:rPr>
          <w:rFonts w:ascii="Verdana" w:eastAsia="Calibri" w:hAnsi="Verdana" w:cs="Arial"/>
          <w:color w:val="000000" w:themeColor="text1"/>
          <w:sz w:val="20"/>
          <w:szCs w:val="20"/>
          <w:lang w:val="es-ES_tradnl"/>
        </w:rPr>
      </w:pPr>
    </w:p>
    <w:p w14:paraId="181CD935" w14:textId="08F78726" w:rsidR="00903F08" w:rsidRPr="00903F08" w:rsidRDefault="00903F08" w:rsidP="00903F08">
      <w:pPr>
        <w:spacing w:after="0" w:line="240" w:lineRule="auto"/>
        <w:jc w:val="both"/>
        <w:rPr>
          <w:rFonts w:ascii="Verdana" w:eastAsia="Calibri" w:hAnsi="Verdana" w:cs="Arial"/>
          <w:color w:val="000000" w:themeColor="text1"/>
          <w:sz w:val="20"/>
          <w:szCs w:val="20"/>
          <w:lang w:val="es-ES_tradnl"/>
        </w:rPr>
      </w:pPr>
      <w:r w:rsidRPr="00903F08">
        <w:rPr>
          <w:rFonts w:ascii="Verdana" w:eastAsia="Calibri" w:hAnsi="Verdana" w:cs="Arial"/>
          <w:i/>
          <w:iCs/>
          <w:color w:val="000000" w:themeColor="text1"/>
          <w:sz w:val="20"/>
          <w:szCs w:val="20"/>
          <w:lang w:val="es-ES_tradnl"/>
        </w:rPr>
        <w:t>En segundo lugar</w:t>
      </w:r>
      <w:r w:rsidRPr="00903F08">
        <w:rPr>
          <w:rFonts w:ascii="Verdana" w:eastAsia="Calibri" w:hAnsi="Verdana" w:cs="Arial"/>
          <w:color w:val="000000" w:themeColor="text1"/>
          <w:sz w:val="20"/>
          <w:szCs w:val="20"/>
          <w:lang w:val="es-ES_tradnl"/>
        </w:rPr>
        <w:t xml:space="preserve">, el artículo 2.2.1.2.1.4.8 del Decreto 1082 de 2015 dispone que tampoco existe pluralidad de oferentes cuando existe una sola persona que puede celebrar el contrato por ser proveedor exclusivo en el territorio nacional. A modo de ejemplo, esta causal se comprende en el marco de los contratos de colaboración empresarial –agencia, distribución, franquicia, concesión comercial, etc.– que celebran los productores extranjeros con los proveedores nacionales, los cuales contienen usualmente cláusulas de exclusividad como elemento accidental del negocio. </w:t>
      </w:r>
    </w:p>
    <w:p w14:paraId="1C333377" w14:textId="25C57C5B" w:rsidR="00903F08" w:rsidRPr="00903F08" w:rsidRDefault="00903F08" w:rsidP="00903F08">
      <w:pPr>
        <w:spacing w:after="0" w:line="240" w:lineRule="auto"/>
        <w:jc w:val="both"/>
        <w:rPr>
          <w:rFonts w:ascii="Verdana" w:eastAsia="Calibri" w:hAnsi="Verdana" w:cs="Arial"/>
          <w:b/>
          <w:bCs/>
          <w:lang w:val="es-ES_tradnl" w:eastAsia="es-ES"/>
        </w:rPr>
      </w:pPr>
    </w:p>
    <w:p w14:paraId="79FEC000" w14:textId="77777777" w:rsidR="00903F08" w:rsidRDefault="00903F08" w:rsidP="00903F08">
      <w:pPr>
        <w:jc w:val="both"/>
        <w:rPr>
          <w:rFonts w:ascii="Verdana" w:eastAsia="Calibri" w:hAnsi="Verdana" w:cs="Arial"/>
          <w:lang w:eastAsia="es-ES"/>
        </w:rPr>
      </w:pPr>
      <w:r w:rsidRPr="00903F08">
        <w:rPr>
          <w:rFonts w:ascii="Verdana" w:eastAsia="Calibri" w:hAnsi="Verdana" w:cs="Arial"/>
          <w:b/>
          <w:bCs/>
          <w:lang w:eastAsia="es-ES"/>
        </w:rPr>
        <w:t>ÚNICO PROVEEDOR – Titular – Propiedad industrial – Derechos de autor</w:t>
      </w:r>
      <w:r w:rsidRPr="00E345C6">
        <w:rPr>
          <w:rFonts w:ascii="Verdana" w:eastAsia="Calibri" w:hAnsi="Verdana" w:cs="Arial"/>
          <w:lang w:eastAsia="es-ES"/>
        </w:rPr>
        <w:t xml:space="preserve"> </w:t>
      </w:r>
    </w:p>
    <w:p w14:paraId="7954BF75" w14:textId="77777777" w:rsidR="00903F08" w:rsidRDefault="00903F08" w:rsidP="00903F08">
      <w:pPr>
        <w:spacing w:after="0" w:line="240" w:lineRule="auto"/>
        <w:jc w:val="both"/>
        <w:rPr>
          <w:rFonts w:ascii="Verdana" w:eastAsia="Calibri" w:hAnsi="Verdana" w:cs="Arial"/>
          <w:color w:val="000000" w:themeColor="text1"/>
          <w:sz w:val="20"/>
          <w:szCs w:val="20"/>
          <w:lang w:val="es-ES"/>
        </w:rPr>
      </w:pPr>
      <w:r w:rsidRPr="00903F08">
        <w:rPr>
          <w:rFonts w:ascii="Verdana" w:eastAsia="Calibri" w:hAnsi="Verdana" w:cs="Arial"/>
          <w:color w:val="000000" w:themeColor="text1"/>
          <w:sz w:val="20"/>
          <w:szCs w:val="20"/>
          <w:lang w:val="es-ES"/>
        </w:rPr>
        <w:t>Para la doctrina, en ausencia de una barrera de entrada –como la que se concreta con los derechos de propiedad industrial o de autor– es necesario aplicar el principio de concurrencia. Por lo anterior explica que es posible la contratación directa con el oferente que es titular de una marca o privilegio, agregando lo siguiente:</w:t>
      </w:r>
      <w:r w:rsidRPr="00903F08">
        <w:rPr>
          <w:rFonts w:ascii="Verdana" w:eastAsia="Calibri" w:hAnsi="Verdana" w:cs="Arial"/>
          <w:color w:val="000000" w:themeColor="text1"/>
          <w:sz w:val="20"/>
          <w:szCs w:val="20"/>
          <w:lang w:val="es-ES"/>
        </w:rPr>
        <w:t xml:space="preserve"> </w:t>
      </w:r>
      <w:r w:rsidRPr="00903F08">
        <w:rPr>
          <w:rFonts w:ascii="Verdana" w:eastAsia="Calibri" w:hAnsi="Verdana" w:cs="Arial"/>
          <w:color w:val="000000" w:themeColor="text1"/>
          <w:sz w:val="20"/>
          <w:szCs w:val="20"/>
          <w:lang w:val="es-ES"/>
        </w:rPr>
        <w:t>“La tutela de la propiedad intelectual del oferente o de un privilegio otorgado en modo expreso, vuelven imposible proceder por licitación, ya que solamente la persona, entidad o empresa que posee el privilegio de invención o fabricación, podría presentarse formulando ofertas. Desde luego no habría pluralidad de concurrentes, ni puja que hiciera posible el cumplimiento de las finalidades básicas perseguidas por la licitación”</w:t>
      </w:r>
      <w:r>
        <w:rPr>
          <w:rFonts w:ascii="Verdana" w:eastAsia="Calibri" w:hAnsi="Verdana" w:cs="Arial"/>
          <w:color w:val="000000" w:themeColor="text1"/>
          <w:sz w:val="20"/>
          <w:szCs w:val="20"/>
          <w:lang w:val="es-ES"/>
        </w:rPr>
        <w:t>.</w:t>
      </w:r>
    </w:p>
    <w:p w14:paraId="4F505AB7" w14:textId="77777777" w:rsidR="00903F08" w:rsidRDefault="00903F08" w:rsidP="00903F08">
      <w:pPr>
        <w:spacing w:after="0" w:line="240" w:lineRule="auto"/>
        <w:jc w:val="both"/>
        <w:rPr>
          <w:rFonts w:ascii="Verdana" w:eastAsia="Calibri" w:hAnsi="Verdana" w:cs="Arial"/>
          <w:color w:val="000000" w:themeColor="text1"/>
          <w:sz w:val="20"/>
          <w:szCs w:val="20"/>
          <w:lang w:val="es-ES"/>
        </w:rPr>
      </w:pPr>
    </w:p>
    <w:p w14:paraId="1F19ECE0" w14:textId="4341D334" w:rsidR="00903F08" w:rsidRPr="00903F08" w:rsidRDefault="00903F08" w:rsidP="00903F08">
      <w:pPr>
        <w:spacing w:after="0" w:line="240" w:lineRule="auto"/>
        <w:jc w:val="both"/>
        <w:rPr>
          <w:rFonts w:ascii="Verdana" w:eastAsia="Calibri" w:hAnsi="Verdana" w:cs="Arial"/>
          <w:color w:val="000000" w:themeColor="text1"/>
          <w:sz w:val="20"/>
          <w:szCs w:val="20"/>
          <w:lang w:val="es-ES"/>
        </w:rPr>
      </w:pPr>
      <w:r w:rsidRPr="00903F08">
        <w:rPr>
          <w:rFonts w:ascii="Verdana" w:eastAsia="Calibri" w:hAnsi="Verdana" w:cs="Arial"/>
          <w:b/>
          <w:bCs/>
          <w:lang w:eastAsia="es-ES"/>
        </w:rPr>
        <w:t>ÚNICO PROVEEDOR – Proveedor exclusivo – Territorio nacional</w:t>
      </w:r>
      <w:r w:rsidRPr="00E345C6">
        <w:rPr>
          <w:rFonts w:ascii="Verdana" w:eastAsia="Calibri" w:hAnsi="Verdana" w:cs="Arial"/>
          <w:lang w:eastAsia="es-ES"/>
        </w:rPr>
        <w:t xml:space="preserve"> </w:t>
      </w:r>
    </w:p>
    <w:p w14:paraId="3250CBD5" w14:textId="77777777" w:rsidR="00903F08" w:rsidRDefault="00903F08" w:rsidP="00903F08">
      <w:pPr>
        <w:spacing w:after="0" w:line="276" w:lineRule="auto"/>
        <w:jc w:val="both"/>
        <w:rPr>
          <w:rFonts w:ascii="Verdana" w:eastAsia="Calibri" w:hAnsi="Verdana" w:cs="Arial"/>
          <w:b/>
          <w:bCs/>
          <w:lang w:eastAsia="es-ES"/>
        </w:rPr>
      </w:pPr>
    </w:p>
    <w:p w14:paraId="3FD51265" w14:textId="77777777" w:rsidR="00B74549" w:rsidRPr="00B74549" w:rsidRDefault="00B74549" w:rsidP="00B74549">
      <w:pPr>
        <w:spacing w:after="0" w:line="240" w:lineRule="auto"/>
        <w:jc w:val="both"/>
        <w:rPr>
          <w:rFonts w:ascii="Verdana" w:eastAsia="Calibri" w:hAnsi="Verdana" w:cs="Arial"/>
          <w:color w:val="000000" w:themeColor="text1"/>
          <w:sz w:val="20"/>
          <w:szCs w:val="20"/>
          <w:lang w:val="es-ES"/>
        </w:rPr>
      </w:pPr>
      <w:r w:rsidRPr="00B74549">
        <w:rPr>
          <w:rFonts w:ascii="Verdana" w:eastAsia="Calibri" w:hAnsi="Verdana" w:cs="Arial"/>
          <w:color w:val="000000" w:themeColor="text1"/>
          <w:sz w:val="20"/>
          <w:szCs w:val="20"/>
          <w:lang w:val="es-ES"/>
        </w:rPr>
        <w:t xml:space="preserve">Al igual que la hipótesis precedente, la presencia de un proveedor exclusivo supone una barrera de entrada para otros posibles oferentes, por lo que no es posible garantizar el principio de libertad de concurrencia. Sin embargo, para aplicar la causal de contratación </w:t>
      </w:r>
      <w:r w:rsidRPr="00B74549">
        <w:rPr>
          <w:rFonts w:ascii="Verdana" w:eastAsia="Calibri" w:hAnsi="Verdana" w:cs="Arial"/>
          <w:color w:val="000000" w:themeColor="text1"/>
          <w:sz w:val="20"/>
          <w:szCs w:val="20"/>
          <w:lang w:val="es-ES"/>
        </w:rPr>
        <w:lastRenderedPageBreak/>
        <w:t xml:space="preserve">directa, la exclusividad del proveedor debe cubrir el territorio nacional, como lo establece el reglamento, pues –por ejemplo– si se limita a un municipio o un departamento, es posible encontrar proveedores de bienes y servicios similares o sustitutos en otros lugares del país, por lo que es necesario aplicar procedimientos de selección que permitan la pluralidad de oferentes. </w:t>
      </w:r>
    </w:p>
    <w:p w14:paraId="7789EE39" w14:textId="77777777" w:rsidR="00BE2F8E" w:rsidRDefault="00BE2F8E" w:rsidP="00903F08">
      <w:pPr>
        <w:spacing w:after="0" w:line="240" w:lineRule="auto"/>
        <w:jc w:val="both"/>
        <w:rPr>
          <w:rFonts w:ascii="Verdana" w:eastAsia="Calibri" w:hAnsi="Verdana" w:cs="Arial"/>
          <w:color w:val="000000" w:themeColor="text1"/>
          <w:sz w:val="20"/>
          <w:szCs w:val="20"/>
          <w:lang w:val="es-ES_tradnl"/>
        </w:rPr>
      </w:pPr>
    </w:p>
    <w:p w14:paraId="1D68483D" w14:textId="2830E9E6" w:rsidR="00903F08" w:rsidRDefault="00903F08" w:rsidP="00903F08">
      <w:pPr>
        <w:spacing w:after="0" w:line="240" w:lineRule="auto"/>
        <w:jc w:val="both"/>
        <w:rPr>
          <w:rFonts w:ascii="Verdana" w:eastAsia="Calibri" w:hAnsi="Verdana" w:cs="Arial"/>
          <w:color w:val="000000" w:themeColor="text1"/>
          <w:sz w:val="20"/>
          <w:szCs w:val="20"/>
          <w:lang w:val="es-ES_tradnl"/>
        </w:rPr>
      </w:pPr>
      <w:r w:rsidRPr="00903F08">
        <w:rPr>
          <w:rFonts w:ascii="Verdana" w:eastAsia="Calibri" w:hAnsi="Verdana" w:cs="Arial"/>
          <w:color w:val="000000" w:themeColor="text1"/>
          <w:sz w:val="20"/>
          <w:szCs w:val="20"/>
          <w:lang w:val="es-ES_tradnl"/>
        </w:rPr>
        <w:t>Ni el artículo 2, numeral 4, literal g) de la Ley 1150 de 2007, ni el artículo 2.2.1.2.1.4.8. del Decreto 1082 de 2015, establecen una tarifa legal para acreditar la exclusividad en el territorio nacional, pues las normas no prevén un medio probatorio específico como el único que tenga valor de convicción para las Entidades Estatales en la etapa precontractual. Lo que señala la citada disposición reglamentaria es que “Estas circunstancias deben constar en el estudio previo que soporta la contratación”. En otras palabras, la Entidad Estatal debe hacer un análisis riguroso en la etapa de planeación, para determinar si un proveedor es o no exclusivo en el territorio nacional, pudiendo servirse de los medios probatorios que considere pertinentes y conducentes.</w:t>
      </w:r>
    </w:p>
    <w:p w14:paraId="00D80A69" w14:textId="77777777" w:rsidR="00903F08" w:rsidRDefault="00903F08" w:rsidP="00903F08">
      <w:pPr>
        <w:spacing w:after="0" w:line="240" w:lineRule="auto"/>
        <w:jc w:val="both"/>
        <w:rPr>
          <w:rFonts w:ascii="Verdana" w:eastAsia="Calibri" w:hAnsi="Verdana" w:cs="Arial"/>
          <w:color w:val="000000" w:themeColor="text1"/>
          <w:sz w:val="20"/>
          <w:szCs w:val="20"/>
          <w:lang w:val="es-ES_tradnl"/>
        </w:rPr>
      </w:pPr>
    </w:p>
    <w:p w14:paraId="54203CC6" w14:textId="44A81FC8" w:rsidR="00903F08" w:rsidRDefault="00903F08" w:rsidP="00903F08">
      <w:pPr>
        <w:spacing w:after="0" w:line="240" w:lineRule="auto"/>
        <w:jc w:val="both"/>
        <w:rPr>
          <w:rFonts w:ascii="Verdana" w:eastAsia="Calibri" w:hAnsi="Verdana" w:cs="Arial"/>
          <w:b/>
          <w:bCs/>
          <w:lang w:eastAsia="es-ES"/>
        </w:rPr>
      </w:pPr>
      <w:r w:rsidRPr="00903F08">
        <w:rPr>
          <w:rFonts w:ascii="Verdana" w:eastAsia="Calibri" w:hAnsi="Verdana" w:cs="Arial"/>
          <w:b/>
          <w:bCs/>
          <w:lang w:eastAsia="es-ES"/>
        </w:rPr>
        <w:t xml:space="preserve">GRANDES ALMACENES – Mínima cuantía – Procedimiento </w:t>
      </w:r>
    </w:p>
    <w:p w14:paraId="5E21AD57" w14:textId="77777777" w:rsidR="00BE2F8E" w:rsidRDefault="00BE2F8E" w:rsidP="00903F08">
      <w:pPr>
        <w:spacing w:after="0" w:line="240" w:lineRule="auto"/>
        <w:jc w:val="both"/>
        <w:rPr>
          <w:rFonts w:ascii="Verdana" w:eastAsia="Calibri" w:hAnsi="Verdana" w:cs="Arial"/>
          <w:b/>
          <w:bCs/>
          <w:lang w:eastAsia="es-ES"/>
        </w:rPr>
      </w:pPr>
    </w:p>
    <w:p w14:paraId="7415AC0D" w14:textId="551727C4" w:rsidR="00BE2F8E" w:rsidRPr="00BE2F8E" w:rsidRDefault="00BE2F8E" w:rsidP="00BE2F8E">
      <w:pPr>
        <w:jc w:val="both"/>
        <w:rPr>
          <w:rFonts w:ascii="Verdana" w:hAnsi="Verdana"/>
          <w:sz w:val="20"/>
          <w:szCs w:val="20"/>
        </w:rPr>
      </w:pPr>
      <w:r>
        <w:rPr>
          <w:rFonts w:ascii="Verdana" w:hAnsi="Verdana"/>
          <w:sz w:val="20"/>
          <w:szCs w:val="20"/>
        </w:rPr>
        <w:t xml:space="preserve">[…] </w:t>
      </w:r>
      <w:r w:rsidRPr="00BE2F8E">
        <w:rPr>
          <w:rFonts w:ascii="Verdana" w:hAnsi="Verdana"/>
          <w:sz w:val="20"/>
          <w:szCs w:val="20"/>
        </w:rPr>
        <w:t xml:space="preserve">el procedimiento </w:t>
      </w:r>
      <w:r w:rsidRPr="00BE2F8E">
        <w:rPr>
          <w:rFonts w:ascii="Verdana" w:hAnsi="Verdana"/>
          <w:sz w:val="20"/>
          <w:szCs w:val="20"/>
          <w:lang w:val="es-ES_tradnl"/>
        </w:rPr>
        <w:t>especial para las adquisiciones en grandes almacenes cuando se trate de mínima cuantía</w:t>
      </w:r>
      <w:r w:rsidRPr="00BE2F8E">
        <w:rPr>
          <w:rFonts w:ascii="Verdana" w:hAnsi="Verdana"/>
          <w:sz w:val="20"/>
          <w:szCs w:val="20"/>
        </w:rPr>
        <w:t xml:space="preserve"> debe seguir las reglas previstas en la norma citada y </w:t>
      </w:r>
      <w:r w:rsidRPr="00BE2F8E">
        <w:rPr>
          <w:rFonts w:ascii="Verdana" w:hAnsi="Verdana"/>
          <w:sz w:val="20"/>
          <w:szCs w:val="20"/>
          <w:lang w:val="es-ES_tradnl"/>
        </w:rPr>
        <w:t>debe concebirse como procedimientos que hacen parte de la modalidad de la mínima cuantía. De hecho, los artículos 2.2.1.2.1.5.3. y 2.2.1.2.1.5.4. del Decreto 1082 de 2015, que regulan esas modalidades, están contenidos en la Subsección 5 que lleva por título «Mínima cuantía». Por tanto, la adquisición en grandes superficies o grandes almacenes debe continuar tramitándose bajo las disposiciones normativas del Decreto 1082 de 2015, específicamente, lo contenido en su Subsección 5, modificada recientemente por el artículo 2 del Decreto 1860 de 2021.</w:t>
      </w:r>
    </w:p>
    <w:p w14:paraId="02DF85A7" w14:textId="77777777" w:rsidR="00BE2F8E" w:rsidRPr="00BE2F8E" w:rsidRDefault="00BE2F8E" w:rsidP="00BE2F8E">
      <w:pPr>
        <w:jc w:val="both"/>
        <w:rPr>
          <w:rFonts w:ascii="Verdana" w:hAnsi="Verdana"/>
          <w:sz w:val="20"/>
          <w:szCs w:val="20"/>
        </w:rPr>
      </w:pPr>
    </w:p>
    <w:p w14:paraId="109258F5" w14:textId="77777777" w:rsidR="00BE2F8E" w:rsidRDefault="00BE2F8E" w:rsidP="00BE2F8E">
      <w:pPr>
        <w:jc w:val="both"/>
        <w:rPr>
          <w:rFonts w:ascii="Verdana" w:hAnsi="Verdana"/>
          <w:sz w:val="20"/>
          <w:szCs w:val="20"/>
          <w:lang w:val="es-ES_tradnl"/>
        </w:rPr>
      </w:pPr>
    </w:p>
    <w:p w14:paraId="62DE7371" w14:textId="77777777" w:rsidR="00BE2F8E" w:rsidRDefault="00BE2F8E" w:rsidP="00BE2F8E">
      <w:pPr>
        <w:jc w:val="both"/>
        <w:rPr>
          <w:rFonts w:ascii="Verdana" w:hAnsi="Verdana"/>
          <w:sz w:val="20"/>
          <w:szCs w:val="20"/>
          <w:lang w:val="es-ES_tradnl"/>
        </w:rPr>
      </w:pPr>
    </w:p>
    <w:p w14:paraId="0911F193" w14:textId="77777777" w:rsidR="00BE2F8E" w:rsidRDefault="00BE2F8E" w:rsidP="00BE2F8E">
      <w:pPr>
        <w:jc w:val="both"/>
        <w:rPr>
          <w:rFonts w:ascii="Verdana" w:hAnsi="Verdana"/>
          <w:sz w:val="20"/>
          <w:szCs w:val="20"/>
          <w:lang w:val="es-ES_tradnl"/>
        </w:rPr>
      </w:pPr>
    </w:p>
    <w:p w14:paraId="49BC27CF" w14:textId="77777777" w:rsidR="00BE2F8E" w:rsidRDefault="00BE2F8E" w:rsidP="00BE2F8E">
      <w:pPr>
        <w:jc w:val="both"/>
        <w:rPr>
          <w:rFonts w:ascii="Verdana" w:hAnsi="Verdana"/>
          <w:sz w:val="20"/>
          <w:szCs w:val="20"/>
          <w:lang w:val="es-ES_tradnl"/>
        </w:rPr>
      </w:pPr>
    </w:p>
    <w:p w14:paraId="64336C94" w14:textId="77777777" w:rsidR="00BE2F8E" w:rsidRDefault="00BE2F8E" w:rsidP="00BE2F8E">
      <w:pPr>
        <w:jc w:val="both"/>
        <w:rPr>
          <w:rFonts w:ascii="Verdana" w:hAnsi="Verdana"/>
          <w:sz w:val="20"/>
          <w:szCs w:val="20"/>
          <w:lang w:val="es-ES_tradnl"/>
        </w:rPr>
      </w:pPr>
    </w:p>
    <w:p w14:paraId="63538856" w14:textId="77777777" w:rsidR="00BE2F8E" w:rsidRDefault="00BE2F8E" w:rsidP="00BE2F8E">
      <w:pPr>
        <w:jc w:val="both"/>
        <w:rPr>
          <w:rFonts w:ascii="Verdana" w:hAnsi="Verdana"/>
          <w:sz w:val="20"/>
          <w:szCs w:val="20"/>
          <w:lang w:val="es-ES_tradnl"/>
        </w:rPr>
      </w:pPr>
    </w:p>
    <w:p w14:paraId="6A662F65" w14:textId="77777777" w:rsidR="00BE2F8E" w:rsidRDefault="00BE2F8E" w:rsidP="00BE2F8E">
      <w:pPr>
        <w:jc w:val="both"/>
        <w:rPr>
          <w:rFonts w:ascii="Verdana" w:hAnsi="Verdana"/>
          <w:sz w:val="20"/>
          <w:szCs w:val="20"/>
          <w:lang w:val="es-ES_tradnl"/>
        </w:rPr>
      </w:pPr>
    </w:p>
    <w:p w14:paraId="2BC9363B" w14:textId="77777777" w:rsidR="00BE2F8E" w:rsidRPr="00BE2F8E" w:rsidRDefault="00BE2F8E" w:rsidP="00BE2F8E">
      <w:pPr>
        <w:jc w:val="both"/>
        <w:rPr>
          <w:rFonts w:ascii="Verdana" w:hAnsi="Verdana"/>
          <w:sz w:val="20"/>
          <w:szCs w:val="20"/>
          <w:lang w:val="es-ES_tradnl"/>
        </w:rPr>
      </w:pPr>
    </w:p>
    <w:p w14:paraId="5DA6693D" w14:textId="77777777" w:rsidR="00903F08" w:rsidRDefault="00903F08" w:rsidP="00BC7813">
      <w:pPr>
        <w:spacing w:after="0"/>
        <w:rPr>
          <w:rFonts w:ascii="Verdana" w:eastAsia="Verdana" w:hAnsi="Verdana" w:cs="Verdana"/>
        </w:rPr>
      </w:pPr>
    </w:p>
    <w:p w14:paraId="2B84B4B8" w14:textId="219EA180" w:rsidR="00903F08" w:rsidRDefault="00BC7813" w:rsidP="00BC7813">
      <w:pPr>
        <w:spacing w:after="0"/>
        <w:rPr>
          <w:rFonts w:ascii="Verdana" w:eastAsia="Verdana" w:hAnsi="Verdana" w:cs="Verdana"/>
        </w:rPr>
      </w:pPr>
      <w:r w:rsidRPr="30821638">
        <w:rPr>
          <w:rFonts w:ascii="Verdana" w:eastAsia="Verdana" w:hAnsi="Verdana" w:cs="Verdana"/>
        </w:rPr>
        <w:t xml:space="preserve">Bogotá D.C., </w:t>
      </w:r>
      <w:r w:rsidR="00903F08">
        <w:rPr>
          <w:rFonts w:ascii="Verdana" w:eastAsia="Verdana" w:hAnsi="Verdana" w:cs="Verdana"/>
        </w:rPr>
        <w:t xml:space="preserve">26 </w:t>
      </w:r>
      <w:proofErr w:type="gramStart"/>
      <w:r w:rsidR="00903F08">
        <w:rPr>
          <w:rFonts w:ascii="Verdana" w:eastAsia="Verdana" w:hAnsi="Verdana" w:cs="Verdana"/>
        </w:rPr>
        <w:t>Junio</w:t>
      </w:r>
      <w:proofErr w:type="gramEnd"/>
      <w:r w:rsidR="00903F08">
        <w:rPr>
          <w:rFonts w:ascii="Verdana" w:eastAsia="Verdana" w:hAnsi="Verdana" w:cs="Verdana"/>
        </w:rPr>
        <w:t xml:space="preserve"> 2026</w:t>
      </w:r>
    </w:p>
    <w:p w14:paraId="0C83482E" w14:textId="417A4BA1" w:rsidR="00BC7813" w:rsidRPr="009F5E7D" w:rsidRDefault="00903F08" w:rsidP="00903F08">
      <w:pPr>
        <w:spacing w:after="0"/>
        <w:jc w:val="right"/>
      </w:pPr>
      <w:r w:rsidRPr="00903F08">
        <w:drawing>
          <wp:inline distT="0" distB="0" distL="0" distR="0" wp14:anchorId="0BB435A9" wp14:editId="2FB74908">
            <wp:extent cx="1992081" cy="520700"/>
            <wp:effectExtent l="0" t="0" r="8255" b="0"/>
            <wp:docPr id="13482609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60903" name=""/>
                    <pic:cNvPicPr/>
                  </pic:nvPicPr>
                  <pic:blipFill>
                    <a:blip r:embed="rId10"/>
                    <a:stretch>
                      <a:fillRect/>
                    </a:stretch>
                  </pic:blipFill>
                  <pic:spPr>
                    <a:xfrm>
                      <a:off x="0" y="0"/>
                      <a:ext cx="2024486" cy="529170"/>
                    </a:xfrm>
                    <a:prstGeom prst="rect">
                      <a:avLst/>
                    </a:prstGeom>
                  </pic:spPr>
                </pic:pic>
              </a:graphicData>
            </a:graphic>
          </wp:inline>
        </w:drawing>
      </w:r>
      <w:r w:rsidR="00BC7813">
        <w:tab/>
      </w:r>
      <w:r w:rsidR="00BC7813">
        <w:br/>
      </w:r>
      <w:bookmarkEnd w:id="0"/>
      <w:r w:rsidR="00BC7813">
        <w:tab/>
      </w:r>
    </w:p>
    <w:p w14:paraId="2374CD4D" w14:textId="77777777" w:rsidR="00BC7813" w:rsidRDefault="00BC7813" w:rsidP="00BC7813">
      <w:pPr>
        <w:spacing w:after="0" w:line="240" w:lineRule="auto"/>
        <w:jc w:val="both"/>
        <w:rPr>
          <w:rFonts w:ascii="Verdana" w:eastAsia="Calibri" w:hAnsi="Verdana" w:cs="Arial"/>
          <w:b/>
          <w:bCs/>
          <w:lang w:eastAsia="es-ES"/>
        </w:rPr>
      </w:pPr>
      <w:bookmarkStart w:id="1" w:name="_Hlk214366482"/>
      <w:r>
        <w:rPr>
          <w:rFonts w:ascii="Verdana" w:eastAsia="Calibri" w:hAnsi="Verdana" w:cs="Arial"/>
          <w:b/>
          <w:bCs/>
          <w:lang w:eastAsia="es-ES"/>
        </w:rPr>
        <w:t xml:space="preserve">Señora </w:t>
      </w:r>
    </w:p>
    <w:p w14:paraId="52F4CC7A" w14:textId="77777777" w:rsidR="00BC7813" w:rsidRDefault="00BC7813" w:rsidP="00BC7813">
      <w:pPr>
        <w:spacing w:after="0" w:line="240" w:lineRule="auto"/>
        <w:jc w:val="both"/>
        <w:rPr>
          <w:rFonts w:ascii="Verdana" w:eastAsia="Calibri" w:hAnsi="Verdana" w:cs="Arial"/>
          <w:b/>
          <w:bCs/>
          <w:lang w:eastAsia="es-ES"/>
        </w:rPr>
      </w:pPr>
      <w:r w:rsidRPr="00D5132D">
        <w:rPr>
          <w:rFonts w:ascii="Verdana" w:eastAsia="Calibri" w:hAnsi="Verdana" w:cs="Arial"/>
          <w:b/>
          <w:bCs/>
          <w:lang w:eastAsia="es-ES"/>
        </w:rPr>
        <w:t>Paola Andrea Manrique Caicedo</w:t>
      </w:r>
    </w:p>
    <w:p w14:paraId="1455456E" w14:textId="77777777" w:rsidR="00BC7813" w:rsidRPr="005504B7" w:rsidRDefault="00BC7813" w:rsidP="00BC7813">
      <w:pPr>
        <w:spacing w:after="0" w:line="240" w:lineRule="auto"/>
        <w:jc w:val="both"/>
        <w:rPr>
          <w:rFonts w:ascii="Verdana" w:eastAsia="Calibri" w:hAnsi="Verdana" w:cs="Arial"/>
          <w:lang w:eastAsia="es-ES"/>
        </w:rPr>
      </w:pPr>
      <w:r w:rsidRPr="005504B7">
        <w:rPr>
          <w:rFonts w:ascii="Verdana" w:eastAsia="Calibri" w:hAnsi="Verdana" w:cs="Arial"/>
          <w:lang w:eastAsia="es-ES"/>
        </w:rPr>
        <w:t>Abogada Especialista en Derecho Administrativo - Contratista Secretaría de Seguridad y Convivencia</w:t>
      </w:r>
    </w:p>
    <w:p w14:paraId="26555006" w14:textId="77777777" w:rsidR="00BC7813" w:rsidRPr="00436DB1" w:rsidRDefault="00BC7813" w:rsidP="00BC7813">
      <w:pPr>
        <w:spacing w:after="0" w:line="240" w:lineRule="auto"/>
        <w:jc w:val="both"/>
        <w:rPr>
          <w:rFonts w:ascii="Verdana" w:eastAsia="Calibri" w:hAnsi="Verdana" w:cs="Arial"/>
          <w:b/>
          <w:bCs/>
          <w:lang w:eastAsia="es-ES"/>
        </w:rPr>
      </w:pPr>
      <w:r w:rsidRPr="00436DB1">
        <w:rPr>
          <w:rFonts w:ascii="Verdana" w:eastAsia="Calibri" w:hAnsi="Verdana" w:cs="Arial"/>
          <w:b/>
          <w:bCs/>
          <w:lang w:eastAsia="es-ES"/>
        </w:rPr>
        <w:t xml:space="preserve">Municipio de Candelaria (Valle del Cauca) </w:t>
      </w:r>
    </w:p>
    <w:p w14:paraId="31EBBF76" w14:textId="77777777" w:rsidR="00BC7813" w:rsidRDefault="00BC7813" w:rsidP="00BC7813">
      <w:pPr>
        <w:spacing w:after="0" w:line="240" w:lineRule="auto"/>
        <w:jc w:val="both"/>
        <w:rPr>
          <w:rFonts w:ascii="Verdana" w:eastAsia="Calibri" w:hAnsi="Verdana" w:cs="Arial"/>
          <w:b/>
          <w:bCs/>
          <w:lang w:eastAsia="es-ES"/>
        </w:rPr>
      </w:pPr>
      <w:hyperlink r:id="rId11" w:history="1">
        <w:r w:rsidRPr="005134AE">
          <w:rPr>
            <w:rStyle w:val="Hipervnculo"/>
            <w:rFonts w:ascii="Verdana" w:eastAsia="Calibri" w:hAnsi="Verdana" w:cs="Arial"/>
            <w:b/>
            <w:bCs/>
            <w:lang w:eastAsia="es-ES"/>
          </w:rPr>
          <w:t>seguridad.contratacion@candelaria-valle.gov.co</w:t>
        </w:r>
      </w:hyperlink>
    </w:p>
    <w:p w14:paraId="3C1CDE12" w14:textId="77777777" w:rsidR="00BC7813" w:rsidRPr="007F2AEC" w:rsidRDefault="00BC7813" w:rsidP="00BC7813">
      <w:pPr>
        <w:spacing w:after="0" w:line="240" w:lineRule="auto"/>
        <w:jc w:val="both"/>
        <w:rPr>
          <w:rFonts w:ascii="Verdana" w:hAnsi="Verdana"/>
        </w:rPr>
      </w:pPr>
      <w:r>
        <w:rPr>
          <w:rFonts w:ascii="Verdana" w:hAnsi="Verdana"/>
        </w:rPr>
        <w:t xml:space="preserve">Ciudad </w:t>
      </w:r>
    </w:p>
    <w:p w14:paraId="3A8027F7" w14:textId="77777777" w:rsidR="00BC7813" w:rsidRPr="007F2AEC" w:rsidRDefault="00BC7813" w:rsidP="00BC7813">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BC7813" w:rsidRPr="005644FE" w14:paraId="728D8699" w14:textId="77777777" w:rsidTr="00F76CC4">
        <w:trPr>
          <w:trHeight w:val="162"/>
        </w:trPr>
        <w:tc>
          <w:tcPr>
            <w:tcW w:w="3119" w:type="dxa"/>
          </w:tcPr>
          <w:p w14:paraId="6189F6E2" w14:textId="77777777" w:rsidR="00BC7813" w:rsidRPr="007F2AEC" w:rsidRDefault="00BC7813" w:rsidP="00F76CC4">
            <w:pPr>
              <w:jc w:val="both"/>
              <w:rPr>
                <w:rFonts w:ascii="Verdana" w:eastAsia="Calibri" w:hAnsi="Verdana" w:cs="Arial"/>
                <w:b/>
                <w:bCs/>
                <w:color w:val="7030A0"/>
                <w:lang w:eastAsia="es-ES_tradnl"/>
              </w:rPr>
            </w:pPr>
          </w:p>
        </w:tc>
        <w:tc>
          <w:tcPr>
            <w:tcW w:w="5670" w:type="dxa"/>
          </w:tcPr>
          <w:p w14:paraId="04D1393C" w14:textId="77777777" w:rsidR="00BC7813" w:rsidRPr="005644FE" w:rsidRDefault="00BC7813" w:rsidP="00F76CC4">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826 de 2026</w:t>
            </w:r>
          </w:p>
          <w:p w14:paraId="698D734F" w14:textId="77777777" w:rsidR="00BC7813" w:rsidRPr="005644FE" w:rsidRDefault="00BC7813" w:rsidP="00F76CC4">
            <w:pPr>
              <w:jc w:val="both"/>
              <w:rPr>
                <w:rFonts w:ascii="Verdana" w:eastAsia="Calibri" w:hAnsi="Verdana" w:cs="Arial"/>
                <w:b/>
                <w:bCs/>
                <w:color w:val="7030A0"/>
                <w:lang w:eastAsia="es-ES"/>
              </w:rPr>
            </w:pPr>
          </w:p>
        </w:tc>
      </w:tr>
      <w:tr w:rsidR="00BC7813" w:rsidRPr="005644FE" w14:paraId="59BAEF6B" w14:textId="77777777" w:rsidTr="00F76CC4">
        <w:trPr>
          <w:trHeight w:val="884"/>
        </w:trPr>
        <w:tc>
          <w:tcPr>
            <w:tcW w:w="3119" w:type="dxa"/>
          </w:tcPr>
          <w:p w14:paraId="3A7180D0" w14:textId="77777777" w:rsidR="00BC7813" w:rsidRPr="005644FE" w:rsidRDefault="00BC7813" w:rsidP="00F76CC4">
            <w:pPr>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670" w:type="dxa"/>
          </w:tcPr>
          <w:p w14:paraId="2F676E53" w14:textId="15A9C17B" w:rsidR="00BC7813" w:rsidRPr="00E345C6" w:rsidRDefault="00BC7813" w:rsidP="00F76CC4">
            <w:pPr>
              <w:jc w:val="both"/>
              <w:rPr>
                <w:rFonts w:ascii="Verdana" w:eastAsia="Calibri" w:hAnsi="Verdana" w:cs="Arial"/>
                <w:lang w:eastAsia="es-ES"/>
              </w:rPr>
            </w:pPr>
            <w:r w:rsidRPr="00E345C6">
              <w:rPr>
                <w:rFonts w:ascii="Verdana" w:eastAsia="Calibri" w:hAnsi="Verdana" w:cs="Arial"/>
                <w:lang w:eastAsia="es-ES"/>
              </w:rPr>
              <w:t xml:space="preserve">CONTRATACIÓN DIRECTA – Pluralidad de oferentes– Inexistencia – Dos eventos / ÚNICO PROVEEDOR – Titular – Propiedad industrial – Derechos de autor / ÚNICO PROVEEDOR – Proveedor exclusivo – Territorio nacional / GRANDES ALMACENES – Mínima cuantía – Procedimiento </w:t>
            </w:r>
          </w:p>
          <w:p w14:paraId="2E0039EC" w14:textId="77777777" w:rsidR="00BC7813" w:rsidRPr="00E463FB" w:rsidRDefault="00BC7813" w:rsidP="00F76CC4">
            <w:pPr>
              <w:spacing w:line="276" w:lineRule="auto"/>
              <w:jc w:val="both"/>
              <w:rPr>
                <w:rFonts w:ascii="Verdana" w:eastAsia="Calibri" w:hAnsi="Verdana" w:cs="Arial"/>
                <w:lang w:val="es-ES_tradnl" w:eastAsia="es-ES"/>
              </w:rPr>
            </w:pPr>
          </w:p>
        </w:tc>
      </w:tr>
      <w:tr w:rsidR="00BC7813" w:rsidRPr="005644FE" w14:paraId="7E239A3F" w14:textId="77777777" w:rsidTr="00F76CC4">
        <w:tc>
          <w:tcPr>
            <w:tcW w:w="3119" w:type="dxa"/>
          </w:tcPr>
          <w:p w14:paraId="737FD028" w14:textId="77777777" w:rsidR="00BC7813" w:rsidRPr="005644FE" w:rsidRDefault="00BC7813" w:rsidP="00F76CC4">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670" w:type="dxa"/>
          </w:tcPr>
          <w:p w14:paraId="09618B24" w14:textId="77777777" w:rsidR="00BC7813" w:rsidRPr="00F04657" w:rsidRDefault="00BC7813" w:rsidP="00F76CC4">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D5132D">
              <w:rPr>
                <w:rFonts w:ascii="Verdana" w:eastAsia="Calibri" w:hAnsi="Verdana" w:cs="Arial"/>
                <w:lang w:eastAsia="es-ES"/>
              </w:rPr>
              <w:t>1_2026_05_19_006690</w:t>
            </w:r>
            <w:r>
              <w:rPr>
                <w:rFonts w:ascii="Verdana" w:eastAsia="Calibri" w:hAnsi="Verdana" w:cs="Arial"/>
                <w:lang w:eastAsia="es-ES"/>
              </w:rPr>
              <w:t xml:space="preserve"> </w:t>
            </w:r>
          </w:p>
        </w:tc>
      </w:tr>
    </w:tbl>
    <w:p w14:paraId="36E16F9A" w14:textId="77777777" w:rsidR="00BC7813" w:rsidRPr="005644FE" w:rsidRDefault="00BC7813" w:rsidP="00BC7813">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01834595" w14:textId="77777777" w:rsidR="00BC7813" w:rsidRPr="005644FE" w:rsidRDefault="00BC7813" w:rsidP="00BC7813">
      <w:pPr>
        <w:spacing w:after="0" w:line="276" w:lineRule="auto"/>
        <w:jc w:val="both"/>
        <w:rPr>
          <w:rFonts w:ascii="Verdana" w:eastAsia="Calibri" w:hAnsi="Verdana" w:cs="Arial"/>
          <w:lang w:eastAsia="es-ES"/>
        </w:rPr>
      </w:pPr>
      <w:r>
        <w:rPr>
          <w:rFonts w:ascii="Verdana" w:eastAsia="Calibri" w:hAnsi="Verdana" w:cs="Arial"/>
          <w:lang w:eastAsia="es-ES"/>
        </w:rPr>
        <w:t xml:space="preserve">Estimada entidad: </w:t>
      </w:r>
    </w:p>
    <w:p w14:paraId="2411286B" w14:textId="77777777" w:rsidR="00BC7813" w:rsidRPr="00E02524" w:rsidRDefault="00BC7813" w:rsidP="00BC7813">
      <w:pPr>
        <w:spacing w:after="0" w:line="240" w:lineRule="auto"/>
        <w:jc w:val="both"/>
        <w:rPr>
          <w:rFonts w:ascii="Verdana" w:hAnsi="Verdana"/>
          <w:lang w:val="es-MX"/>
        </w:rPr>
      </w:pPr>
    </w:p>
    <w:p w14:paraId="414848B2" w14:textId="77777777" w:rsidR="00BC7813" w:rsidRPr="0084712D" w:rsidRDefault="00BC7813" w:rsidP="00BC7813">
      <w:pPr>
        <w:spacing w:after="12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w:t>
      </w:r>
      <w:proofErr w:type="spellStart"/>
      <w:r w:rsidRPr="0084712D">
        <w:rPr>
          <w:rFonts w:ascii="Verdana" w:hAnsi="Verdana"/>
        </w:rPr>
        <w:t>N°</w:t>
      </w:r>
      <w:proofErr w:type="spellEnd"/>
      <w:r w:rsidRPr="0084712D">
        <w:rPr>
          <w:rFonts w:ascii="Verdana" w:hAnsi="Verdana"/>
        </w:rPr>
        <w:t xml:space="preserve"> 469 del 2025 expedida por esta Agencia, responde </w:t>
      </w:r>
      <w:r>
        <w:rPr>
          <w:rFonts w:ascii="Verdana" w:hAnsi="Verdana"/>
        </w:rPr>
        <w:t xml:space="preserve">su </w:t>
      </w:r>
      <w:r w:rsidRPr="0084712D">
        <w:rPr>
          <w:rFonts w:ascii="Verdana" w:hAnsi="Verdana"/>
        </w:rPr>
        <w:t>solicitud de consulta</w:t>
      </w:r>
      <w:r>
        <w:rPr>
          <w:rFonts w:ascii="Verdana" w:hAnsi="Verdana"/>
        </w:rPr>
        <w:t xml:space="preserve"> del 19 de mayo de 2026</w:t>
      </w:r>
      <w:r w:rsidRPr="0084712D">
        <w:rPr>
          <w:rFonts w:ascii="Verdana" w:hAnsi="Verdana"/>
        </w:rPr>
        <w:t>, en la cual manifiesta lo siguiente:</w:t>
      </w:r>
    </w:p>
    <w:p w14:paraId="0D19A002" w14:textId="77777777" w:rsidR="00BC7813" w:rsidRDefault="00BC7813" w:rsidP="00BC7813">
      <w:pPr>
        <w:spacing w:after="120" w:line="276" w:lineRule="auto"/>
        <w:jc w:val="both"/>
        <w:rPr>
          <w:rFonts w:ascii="Verdana" w:hAnsi="Verdana"/>
        </w:rPr>
      </w:pPr>
      <w:r w:rsidRPr="00E02524">
        <w:rPr>
          <w:rFonts w:ascii="Verdana" w:hAnsi="Verdana"/>
        </w:rPr>
        <w:t xml:space="preserve">PETICIÓN REALIZADA </w:t>
      </w:r>
    </w:p>
    <w:p w14:paraId="2B1C2586" w14:textId="77777777" w:rsidR="00BC7813" w:rsidRDefault="00BC7813" w:rsidP="00BC7813">
      <w:pPr>
        <w:spacing w:after="0" w:line="240" w:lineRule="auto"/>
        <w:ind w:left="851" w:right="758"/>
        <w:jc w:val="both"/>
        <w:rPr>
          <w:rFonts w:ascii="Verdana" w:hAnsi="Verdana"/>
          <w:sz w:val="20"/>
          <w:szCs w:val="20"/>
        </w:rPr>
      </w:pPr>
      <w:r w:rsidRPr="00D5132D">
        <w:rPr>
          <w:rFonts w:ascii="Verdana" w:hAnsi="Verdana"/>
          <w:sz w:val="20"/>
          <w:szCs w:val="20"/>
        </w:rPr>
        <w:t>Contexto Fáctico:</w:t>
      </w:r>
    </w:p>
    <w:p w14:paraId="71D85361" w14:textId="77777777" w:rsidR="00BC7813" w:rsidRPr="00D5132D" w:rsidRDefault="00BC7813" w:rsidP="00BC7813">
      <w:pPr>
        <w:spacing w:after="0" w:line="240" w:lineRule="auto"/>
        <w:ind w:left="851" w:right="758"/>
        <w:jc w:val="both"/>
        <w:rPr>
          <w:rFonts w:ascii="Verdana" w:hAnsi="Verdana"/>
          <w:sz w:val="20"/>
          <w:szCs w:val="20"/>
        </w:rPr>
      </w:pPr>
    </w:p>
    <w:p w14:paraId="130397F1" w14:textId="77777777" w:rsidR="00BC7813" w:rsidRDefault="00BC7813" w:rsidP="00BC7813">
      <w:pPr>
        <w:numPr>
          <w:ilvl w:val="0"/>
          <w:numId w:val="18"/>
        </w:numPr>
        <w:spacing w:after="0" w:line="240" w:lineRule="auto"/>
        <w:ind w:left="851" w:right="758" w:firstLine="0"/>
        <w:jc w:val="both"/>
        <w:rPr>
          <w:rFonts w:ascii="Verdana" w:hAnsi="Verdana"/>
          <w:sz w:val="20"/>
          <w:szCs w:val="20"/>
        </w:rPr>
      </w:pPr>
      <w:r w:rsidRPr="00D5132D">
        <w:rPr>
          <w:rFonts w:ascii="Verdana" w:hAnsi="Verdana"/>
          <w:sz w:val="20"/>
          <w:szCs w:val="20"/>
        </w:rPr>
        <w:t xml:space="preserve">La Alcaldía de Candelaria requiere adquirir antenas de la marca </w:t>
      </w:r>
      <w:proofErr w:type="spellStart"/>
      <w:r w:rsidRPr="00D5132D">
        <w:rPr>
          <w:rFonts w:ascii="Verdana" w:hAnsi="Verdana"/>
          <w:sz w:val="20"/>
          <w:szCs w:val="20"/>
        </w:rPr>
        <w:t>Starlink</w:t>
      </w:r>
      <w:proofErr w:type="spellEnd"/>
      <w:r w:rsidRPr="00D5132D">
        <w:rPr>
          <w:rFonts w:ascii="Verdana" w:hAnsi="Verdana"/>
          <w:sz w:val="20"/>
          <w:szCs w:val="20"/>
        </w:rPr>
        <w:t xml:space="preserve"> y el respectivo servicio de internet satelital para el funcionamiento y apoyo logístico del Batallón de Infantería No. 8 “Batalla de Pichincha”.</w:t>
      </w:r>
    </w:p>
    <w:p w14:paraId="0BE8BB04" w14:textId="77777777" w:rsidR="00BC7813" w:rsidRPr="00D5132D" w:rsidRDefault="00BC7813" w:rsidP="00BC7813">
      <w:pPr>
        <w:spacing w:after="0" w:line="240" w:lineRule="auto"/>
        <w:ind w:left="851" w:right="758"/>
        <w:jc w:val="both"/>
        <w:rPr>
          <w:rFonts w:ascii="Verdana" w:hAnsi="Verdana"/>
          <w:sz w:val="20"/>
          <w:szCs w:val="20"/>
        </w:rPr>
      </w:pPr>
    </w:p>
    <w:p w14:paraId="7A5B4059" w14:textId="77777777" w:rsidR="00BC7813" w:rsidRPr="00D5132D" w:rsidRDefault="00BC7813" w:rsidP="00BC7813">
      <w:pPr>
        <w:numPr>
          <w:ilvl w:val="0"/>
          <w:numId w:val="18"/>
        </w:numPr>
        <w:spacing w:after="0" w:line="240" w:lineRule="auto"/>
        <w:ind w:left="851" w:right="758" w:firstLine="0"/>
        <w:jc w:val="both"/>
        <w:rPr>
          <w:rFonts w:ascii="Verdana" w:hAnsi="Verdana"/>
          <w:sz w:val="20"/>
          <w:szCs w:val="20"/>
        </w:rPr>
      </w:pPr>
      <w:r w:rsidRPr="00D5132D">
        <w:rPr>
          <w:rFonts w:ascii="Verdana" w:hAnsi="Verdana"/>
          <w:sz w:val="20"/>
          <w:szCs w:val="20"/>
        </w:rPr>
        <w:t>En la fase de estructuración y estudio de mercado, un proveedor local de tecnología informó formalmente a la Alcaldía que la empresa fabricante (</w:t>
      </w:r>
      <w:proofErr w:type="spellStart"/>
      <w:r w:rsidRPr="00D5132D">
        <w:rPr>
          <w:rFonts w:ascii="Verdana" w:hAnsi="Verdana"/>
          <w:sz w:val="20"/>
          <w:szCs w:val="20"/>
        </w:rPr>
        <w:t>Starlink</w:t>
      </w:r>
      <w:proofErr w:type="spellEnd"/>
      <w:r w:rsidRPr="00D5132D">
        <w:rPr>
          <w:rFonts w:ascii="Verdana" w:hAnsi="Verdana"/>
          <w:sz w:val="20"/>
          <w:szCs w:val="20"/>
        </w:rPr>
        <w:t xml:space="preserve">) le restringió la posibilidad de presentar ofertas institucionales, argumentando que la compra de los equipos y la activación del servicio deben realizarse obligatoria y directamente a través de la página web oficial de </w:t>
      </w:r>
      <w:proofErr w:type="spellStart"/>
      <w:r w:rsidRPr="00D5132D">
        <w:rPr>
          <w:rFonts w:ascii="Verdana" w:hAnsi="Verdana"/>
          <w:sz w:val="20"/>
          <w:szCs w:val="20"/>
        </w:rPr>
        <w:t>Starlink</w:t>
      </w:r>
      <w:proofErr w:type="spellEnd"/>
      <w:r w:rsidRPr="00D5132D">
        <w:rPr>
          <w:rFonts w:ascii="Verdana" w:hAnsi="Verdana"/>
          <w:sz w:val="20"/>
          <w:szCs w:val="20"/>
        </w:rPr>
        <w:t>.</w:t>
      </w:r>
    </w:p>
    <w:p w14:paraId="19C08381" w14:textId="77777777" w:rsidR="00BC7813" w:rsidRPr="00D5132D" w:rsidRDefault="00BC7813" w:rsidP="00BC7813">
      <w:pPr>
        <w:numPr>
          <w:ilvl w:val="0"/>
          <w:numId w:val="18"/>
        </w:numPr>
        <w:spacing w:after="0" w:line="240" w:lineRule="auto"/>
        <w:ind w:left="851" w:right="758" w:firstLine="0"/>
        <w:jc w:val="both"/>
        <w:rPr>
          <w:rFonts w:ascii="Verdana" w:hAnsi="Verdana"/>
          <w:sz w:val="20"/>
          <w:szCs w:val="20"/>
        </w:rPr>
      </w:pPr>
      <w:r w:rsidRPr="00D5132D">
        <w:rPr>
          <w:rFonts w:ascii="Verdana" w:hAnsi="Verdana"/>
          <w:sz w:val="20"/>
          <w:szCs w:val="20"/>
        </w:rPr>
        <w:t>El valor estimado de esta contratación se encuentra dentro de los límites presupuestales de la modalidad de selección de </w:t>
      </w:r>
      <w:r w:rsidRPr="00D5132D">
        <w:rPr>
          <w:rFonts w:ascii="Verdana" w:hAnsi="Verdana"/>
          <w:b/>
          <w:bCs/>
          <w:sz w:val="20"/>
          <w:szCs w:val="20"/>
        </w:rPr>
        <w:t>Mínima Cuantía</w:t>
      </w:r>
      <w:r w:rsidRPr="00D5132D">
        <w:rPr>
          <w:rFonts w:ascii="Verdana" w:hAnsi="Verdana"/>
          <w:sz w:val="20"/>
          <w:szCs w:val="20"/>
        </w:rPr>
        <w:t> de la entidad territorial.</w:t>
      </w:r>
    </w:p>
    <w:p w14:paraId="0981B85E" w14:textId="77777777" w:rsidR="00BC7813" w:rsidRDefault="00BC7813" w:rsidP="00BC7813">
      <w:pPr>
        <w:spacing w:after="0" w:line="240" w:lineRule="auto"/>
        <w:ind w:left="851" w:right="758"/>
        <w:jc w:val="both"/>
        <w:rPr>
          <w:rFonts w:ascii="Verdana" w:hAnsi="Verdana"/>
          <w:sz w:val="20"/>
          <w:szCs w:val="20"/>
        </w:rPr>
      </w:pPr>
    </w:p>
    <w:p w14:paraId="508AB315" w14:textId="77777777" w:rsidR="00BC7813" w:rsidRPr="00D5132D" w:rsidRDefault="00BC7813" w:rsidP="00BC7813">
      <w:pPr>
        <w:spacing w:after="0" w:line="240" w:lineRule="auto"/>
        <w:ind w:left="851" w:right="758"/>
        <w:jc w:val="both"/>
        <w:rPr>
          <w:rFonts w:ascii="Verdana" w:hAnsi="Verdana"/>
          <w:sz w:val="20"/>
          <w:szCs w:val="20"/>
        </w:rPr>
      </w:pPr>
      <w:r w:rsidRPr="00D5132D">
        <w:rPr>
          <w:rFonts w:ascii="Verdana" w:hAnsi="Verdana"/>
          <w:sz w:val="20"/>
          <w:szCs w:val="20"/>
        </w:rPr>
        <w:t>Ante esta situación regulatoria y comercial, formulamos las siguientes consultas en abstracto para el análisis de la Subdirección de Gestión Contractual:</w:t>
      </w:r>
    </w:p>
    <w:p w14:paraId="74050AA9" w14:textId="77777777" w:rsidR="00BC7813" w:rsidRDefault="00BC7813" w:rsidP="00BC7813">
      <w:pPr>
        <w:spacing w:after="0" w:line="240" w:lineRule="auto"/>
        <w:ind w:left="851" w:right="758"/>
        <w:jc w:val="both"/>
        <w:rPr>
          <w:rFonts w:ascii="Verdana" w:hAnsi="Verdana"/>
          <w:b/>
          <w:bCs/>
          <w:sz w:val="20"/>
          <w:szCs w:val="20"/>
        </w:rPr>
      </w:pPr>
    </w:p>
    <w:p w14:paraId="0076F407" w14:textId="77777777" w:rsidR="00BC7813" w:rsidRDefault="00BC7813" w:rsidP="00BC7813">
      <w:pPr>
        <w:spacing w:after="0" w:line="240" w:lineRule="auto"/>
        <w:ind w:left="851" w:right="758"/>
        <w:jc w:val="both"/>
        <w:rPr>
          <w:rFonts w:ascii="Verdana" w:hAnsi="Verdana"/>
          <w:b/>
          <w:bCs/>
          <w:sz w:val="20"/>
          <w:szCs w:val="20"/>
        </w:rPr>
      </w:pPr>
      <w:r w:rsidRPr="00D5132D">
        <w:rPr>
          <w:rFonts w:ascii="Verdana" w:hAnsi="Verdana"/>
          <w:b/>
          <w:bCs/>
          <w:sz w:val="20"/>
          <w:szCs w:val="20"/>
        </w:rPr>
        <w:t>Preguntas:</w:t>
      </w:r>
    </w:p>
    <w:p w14:paraId="6E7C631E" w14:textId="77777777" w:rsidR="00BC7813" w:rsidRPr="00D5132D" w:rsidRDefault="00BC7813" w:rsidP="00BC7813">
      <w:pPr>
        <w:spacing w:after="0" w:line="240" w:lineRule="auto"/>
        <w:ind w:left="851" w:right="758"/>
        <w:jc w:val="both"/>
        <w:rPr>
          <w:rFonts w:ascii="Verdana" w:hAnsi="Verdana"/>
          <w:sz w:val="20"/>
          <w:szCs w:val="20"/>
        </w:rPr>
      </w:pPr>
    </w:p>
    <w:p w14:paraId="34F3670B" w14:textId="77777777" w:rsidR="00BC7813" w:rsidRDefault="00BC7813" w:rsidP="00BC7813">
      <w:pPr>
        <w:numPr>
          <w:ilvl w:val="0"/>
          <w:numId w:val="19"/>
        </w:numPr>
        <w:spacing w:after="0" w:line="240" w:lineRule="auto"/>
        <w:ind w:left="851" w:right="758" w:firstLine="0"/>
        <w:jc w:val="both"/>
        <w:rPr>
          <w:rFonts w:ascii="Verdana" w:hAnsi="Verdana"/>
          <w:sz w:val="20"/>
          <w:szCs w:val="20"/>
        </w:rPr>
      </w:pPr>
      <w:r w:rsidRPr="00D5132D">
        <w:rPr>
          <w:rFonts w:ascii="Verdana" w:hAnsi="Verdana"/>
          <w:sz w:val="20"/>
          <w:szCs w:val="20"/>
        </w:rPr>
        <w:t>¿Es jurídicamente viable que una entidad territorial (como una Alcaldía Municipal) adquiera bienes o servicios a través de la plataforma web comercial de un fabricante extranjero (mediante tarjeta de crédito institucional o mecanismos transaccionales web de consumo masivo), bajo el argumento de que el fabricante restringe a sus distribuidores locales la presentación de ofertas institucionales?</w:t>
      </w:r>
    </w:p>
    <w:p w14:paraId="78C4DAA6" w14:textId="77777777" w:rsidR="00BC7813" w:rsidRPr="00D5132D" w:rsidRDefault="00BC7813" w:rsidP="00BC7813">
      <w:pPr>
        <w:spacing w:after="0" w:line="240" w:lineRule="auto"/>
        <w:ind w:left="851" w:right="758"/>
        <w:jc w:val="both"/>
        <w:rPr>
          <w:rFonts w:ascii="Verdana" w:hAnsi="Verdana"/>
          <w:sz w:val="20"/>
          <w:szCs w:val="20"/>
        </w:rPr>
      </w:pPr>
    </w:p>
    <w:p w14:paraId="33050159" w14:textId="77777777" w:rsidR="00BC7813" w:rsidRDefault="00BC7813" w:rsidP="00BC7813">
      <w:pPr>
        <w:numPr>
          <w:ilvl w:val="0"/>
          <w:numId w:val="19"/>
        </w:numPr>
        <w:spacing w:after="0" w:line="240" w:lineRule="auto"/>
        <w:ind w:left="851" w:right="758" w:firstLine="0"/>
        <w:jc w:val="both"/>
        <w:rPr>
          <w:rFonts w:ascii="Verdana" w:hAnsi="Verdana"/>
          <w:sz w:val="20"/>
          <w:szCs w:val="20"/>
        </w:rPr>
      </w:pPr>
      <w:r w:rsidRPr="00D5132D">
        <w:rPr>
          <w:rFonts w:ascii="Verdana" w:hAnsi="Verdana"/>
          <w:sz w:val="20"/>
          <w:szCs w:val="20"/>
        </w:rPr>
        <w:t>Si los equipos tecnológicos y el servicio satelital requerido no se encuentran disponibles en los catálogos vigentes de los Acuerdos Marco de Precios de la Tienda Virtual del Estado Colombiano (TVEC), ¿cuál es la modalidad de selección aplicable (¿Mínima Cuantía u otra?) que garantice los principios de transparencia, economía y selección objetiva ante la negativa del fabricante de permitir ofertas de terceros?</w:t>
      </w:r>
    </w:p>
    <w:p w14:paraId="621194AA" w14:textId="77777777" w:rsidR="00BC7813" w:rsidRPr="00D5132D" w:rsidRDefault="00BC7813" w:rsidP="00BC7813">
      <w:pPr>
        <w:spacing w:after="0" w:line="240" w:lineRule="auto"/>
        <w:ind w:right="758"/>
        <w:jc w:val="both"/>
        <w:rPr>
          <w:rFonts w:ascii="Verdana" w:hAnsi="Verdana"/>
          <w:sz w:val="20"/>
          <w:szCs w:val="20"/>
        </w:rPr>
      </w:pPr>
    </w:p>
    <w:p w14:paraId="578115B9" w14:textId="77777777" w:rsidR="00BC7813" w:rsidRDefault="00BC7813" w:rsidP="00BC7813">
      <w:pPr>
        <w:numPr>
          <w:ilvl w:val="0"/>
          <w:numId w:val="19"/>
        </w:numPr>
        <w:spacing w:after="0" w:line="240" w:lineRule="auto"/>
        <w:ind w:left="851" w:right="758" w:firstLine="0"/>
        <w:jc w:val="both"/>
        <w:rPr>
          <w:rFonts w:ascii="Verdana" w:hAnsi="Verdana"/>
          <w:sz w:val="20"/>
          <w:szCs w:val="20"/>
        </w:rPr>
      </w:pPr>
      <w:r w:rsidRPr="00D5132D">
        <w:rPr>
          <w:rFonts w:ascii="Verdana" w:hAnsi="Verdana"/>
          <w:sz w:val="20"/>
          <w:szCs w:val="20"/>
        </w:rPr>
        <w:t>En el marco del Estatuto General de Contratación Pública, ¿las restricciones comerciales de comercialización digital impuestas por un fabricante internacional de tecnología (como la obligación de comprar exclusivamente en su sitio web) eximen a la entidad estatal de adelantar un proceso público de selección (como la Mínima Cuantía) que permita la libre concurrencia?</w:t>
      </w:r>
    </w:p>
    <w:p w14:paraId="0E2B3D7E" w14:textId="77777777" w:rsidR="00BC7813" w:rsidRPr="00D5132D" w:rsidRDefault="00BC7813" w:rsidP="00BC7813">
      <w:pPr>
        <w:spacing w:after="0" w:line="240" w:lineRule="auto"/>
        <w:ind w:right="758"/>
        <w:jc w:val="both"/>
        <w:rPr>
          <w:rFonts w:ascii="Verdana" w:hAnsi="Verdana"/>
          <w:sz w:val="20"/>
          <w:szCs w:val="20"/>
        </w:rPr>
      </w:pPr>
    </w:p>
    <w:p w14:paraId="32C96485" w14:textId="257973C7" w:rsidR="00BC7813" w:rsidRPr="00903F08" w:rsidRDefault="00BC7813" w:rsidP="00903F08">
      <w:pPr>
        <w:spacing w:after="0" w:line="240" w:lineRule="auto"/>
        <w:ind w:left="851" w:right="758"/>
        <w:jc w:val="both"/>
        <w:rPr>
          <w:rFonts w:ascii="Verdana" w:hAnsi="Verdana"/>
          <w:sz w:val="20"/>
          <w:szCs w:val="20"/>
        </w:rPr>
      </w:pPr>
      <w:r w:rsidRPr="00D5132D">
        <w:rPr>
          <w:rFonts w:ascii="Verdana" w:hAnsi="Verdana"/>
          <w:sz w:val="20"/>
          <w:szCs w:val="20"/>
        </w:rPr>
        <w:t>Si la entidad está obligada a adelantar un proceso de selección que requiere pluralidad de oferentes, pero el mercado está cerrado por directrices del fabricante, ¿qué herramientas administrativas o causales excepcionales contempla la normativa de compra pública para resolver este conflicto sin incurrir en una elusión de los procedimientos legales de selección?  (…)”.</w:t>
      </w:r>
    </w:p>
    <w:p w14:paraId="73221961" w14:textId="77777777" w:rsidR="00BC7813" w:rsidRPr="00F64722" w:rsidRDefault="00BC7813" w:rsidP="00BC7813">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E34A0FC" w14:textId="77777777" w:rsidR="00BC7813" w:rsidRPr="00222DF7" w:rsidRDefault="00BC7813" w:rsidP="00E2423E">
      <w:pPr>
        <w:spacing w:after="0" w:line="276" w:lineRule="auto"/>
        <w:ind w:firstLine="709"/>
        <w:jc w:val="both"/>
        <w:rPr>
          <w:rFonts w:ascii="Verdana" w:eastAsia="Calibri" w:hAnsi="Verdana" w:cs="Arial"/>
          <w:lang w:eastAsia="es-ES"/>
        </w:rPr>
      </w:pPr>
      <w:r w:rsidRPr="00B75E8F">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w:t>
      </w:r>
      <w:r w:rsidRPr="00C52681">
        <w:rPr>
          <w:rFonts w:ascii="Verdana" w:eastAsia="Calibri" w:hAnsi="Verdana" w:cs="Arial"/>
          <w:color w:val="000000"/>
          <w:lang w:eastAsia="es-ES"/>
        </w:rPr>
        <w:t xml:space="preserve">petición, </w:t>
      </w:r>
      <w:r w:rsidRPr="00A954E9">
        <w:rPr>
          <w:rFonts w:ascii="Verdana" w:eastAsia="Calibri" w:hAnsi="Verdana" w:cs="Arial"/>
          <w:color w:val="000000"/>
          <w:lang w:eastAsia="es-ES"/>
        </w:rPr>
        <w:t xml:space="preserve">pero </w:t>
      </w:r>
      <w:r w:rsidRPr="00222DF7">
        <w:rPr>
          <w:rFonts w:ascii="Verdana" w:eastAsia="Calibri" w:hAnsi="Verdana" w:cs="Arial"/>
          <w:color w:val="000000"/>
          <w:lang w:eastAsia="es-ES"/>
        </w:rPr>
        <w:t>señalando algunas consideraciones sobre las normas generales relacionadas a los problemas jurídicos de su consulta.</w:t>
      </w:r>
      <w:r w:rsidRPr="00222DF7">
        <w:rPr>
          <w:rFonts w:ascii="Verdana" w:eastAsia="Calibri" w:hAnsi="Verdana" w:cs="Arial"/>
          <w:lang w:eastAsia="es-ES"/>
        </w:rPr>
        <w:t xml:space="preserve"> </w:t>
      </w:r>
    </w:p>
    <w:p w14:paraId="554DB4E3" w14:textId="77777777" w:rsidR="00E2423E" w:rsidRPr="00222DF7" w:rsidRDefault="00E2423E" w:rsidP="00E2423E">
      <w:pPr>
        <w:spacing w:after="0" w:line="276" w:lineRule="auto"/>
        <w:ind w:firstLine="709"/>
        <w:jc w:val="both"/>
        <w:rPr>
          <w:rFonts w:ascii="Verdana" w:eastAsia="Calibri" w:hAnsi="Verdana" w:cs="Arial"/>
          <w:lang w:eastAsia="es-ES"/>
        </w:rPr>
      </w:pPr>
    </w:p>
    <w:p w14:paraId="4410E267" w14:textId="77777777" w:rsidR="00BC7813" w:rsidRPr="00222DF7" w:rsidRDefault="00BC7813" w:rsidP="00BC781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222DF7">
        <w:rPr>
          <w:rFonts w:ascii="Verdana" w:eastAsia="Century Gothic" w:hAnsi="Verdana" w:cs="Century Gothic"/>
          <w:b/>
          <w:bCs/>
        </w:rPr>
        <w:t>Problema planteado:</w:t>
      </w:r>
    </w:p>
    <w:p w14:paraId="56CA50D3" w14:textId="77777777" w:rsidR="00BC7813" w:rsidRPr="00222DF7" w:rsidRDefault="00BC7813" w:rsidP="00BC7813">
      <w:pPr>
        <w:spacing w:after="0" w:line="240" w:lineRule="auto"/>
        <w:jc w:val="both"/>
        <w:rPr>
          <w:rFonts w:ascii="Verdana" w:eastAsia="Calibri" w:hAnsi="Verdana" w:cs="Arial"/>
          <w:color w:val="000000"/>
          <w:lang w:eastAsia="es-ES"/>
        </w:rPr>
      </w:pPr>
    </w:p>
    <w:p w14:paraId="2A8B8C77" w14:textId="77777777" w:rsidR="00BC7813" w:rsidRPr="00A721FE" w:rsidRDefault="00BC7813" w:rsidP="00BC7813">
      <w:pPr>
        <w:spacing w:after="120" w:line="276" w:lineRule="auto"/>
        <w:jc w:val="both"/>
        <w:rPr>
          <w:rFonts w:ascii="Verdana" w:eastAsia="Century Gothic" w:hAnsi="Verdana" w:cs="Century Gothic"/>
        </w:rPr>
      </w:pPr>
      <w:r w:rsidRPr="00222DF7">
        <w:rPr>
          <w:rFonts w:ascii="Verdana" w:eastAsia="Calibri" w:hAnsi="Verdana" w:cs="Arial"/>
          <w:color w:val="000000"/>
          <w:lang w:eastAsia="es-ES"/>
        </w:rPr>
        <w:t xml:space="preserve">De acuerdo con el contenido de su solicitud, esta Agencia resolverá los siguientes problemas jurídicos: En atención a la necesidad de adquirir un </w:t>
      </w:r>
      <w:r>
        <w:rPr>
          <w:rFonts w:ascii="Verdana" w:eastAsia="Calibri" w:hAnsi="Verdana" w:cs="Arial"/>
          <w:color w:val="000000"/>
          <w:lang w:eastAsia="es-ES"/>
        </w:rPr>
        <w:t xml:space="preserve">bien o </w:t>
      </w:r>
      <w:r w:rsidRPr="00222DF7">
        <w:rPr>
          <w:rFonts w:ascii="Verdana" w:eastAsia="Calibri" w:hAnsi="Verdana" w:cs="Arial"/>
          <w:color w:val="000000"/>
          <w:lang w:eastAsia="es-ES"/>
        </w:rPr>
        <w:t xml:space="preserve">producto </w:t>
      </w:r>
      <w:r>
        <w:rPr>
          <w:rFonts w:ascii="Verdana" w:eastAsia="Calibri" w:hAnsi="Verdana" w:cs="Arial"/>
          <w:color w:val="000000"/>
          <w:lang w:eastAsia="es-ES"/>
        </w:rPr>
        <w:t xml:space="preserve">que no supera la mínima cuantía y </w:t>
      </w:r>
      <w:r w:rsidRPr="00222DF7">
        <w:rPr>
          <w:rFonts w:ascii="Verdana" w:eastAsia="Calibri" w:hAnsi="Verdana" w:cs="Arial"/>
          <w:color w:val="000000"/>
          <w:lang w:eastAsia="es-ES"/>
        </w:rPr>
        <w:t>el cual</w:t>
      </w:r>
      <w:r>
        <w:rPr>
          <w:rFonts w:ascii="Verdana" w:eastAsia="Calibri" w:hAnsi="Verdana" w:cs="Arial"/>
          <w:color w:val="000000"/>
          <w:lang w:eastAsia="es-ES"/>
        </w:rPr>
        <w:t>,</w:t>
      </w:r>
      <w:r w:rsidRPr="00222DF7">
        <w:rPr>
          <w:rFonts w:ascii="Verdana" w:eastAsia="Calibri" w:hAnsi="Verdana" w:cs="Arial"/>
          <w:color w:val="000000"/>
          <w:lang w:eastAsia="es-ES"/>
        </w:rPr>
        <w:t xml:space="preserve"> al parecer tiene una limitación en la adquisición del mismo por existencia de un fabricante exclusivo</w:t>
      </w:r>
      <w:r>
        <w:rPr>
          <w:rFonts w:ascii="Verdana" w:eastAsia="Calibri" w:hAnsi="Verdana" w:cs="Arial"/>
          <w:color w:val="000000"/>
          <w:lang w:eastAsia="es-ES"/>
        </w:rPr>
        <w:t xml:space="preserve">, i) ¿Cuál es el procedimiento de selección más idóneo que puede utilizar la entidad estatal? </w:t>
      </w:r>
      <w:proofErr w:type="spellStart"/>
      <w:r>
        <w:rPr>
          <w:rFonts w:ascii="Verdana" w:eastAsia="Calibri" w:hAnsi="Verdana" w:cs="Arial"/>
          <w:color w:val="000000"/>
          <w:lang w:eastAsia="es-ES"/>
        </w:rPr>
        <w:t>ii</w:t>
      </w:r>
      <w:proofErr w:type="spellEnd"/>
      <w:r>
        <w:rPr>
          <w:rFonts w:ascii="Verdana" w:eastAsia="Calibri" w:hAnsi="Verdana" w:cs="Arial"/>
          <w:color w:val="000000"/>
          <w:lang w:eastAsia="es-ES"/>
        </w:rPr>
        <w:t xml:space="preserve">) ¿La entidad estatal puede adquirir el bien o servicio a través del minisitio de grandes superficies o grandes almacenes? </w:t>
      </w:r>
    </w:p>
    <w:p w14:paraId="46987497" w14:textId="77777777" w:rsidR="00BC7813" w:rsidRDefault="00BC7813" w:rsidP="00BC7813">
      <w:pPr>
        <w:spacing w:after="0" w:line="240" w:lineRule="auto"/>
        <w:jc w:val="both"/>
        <w:rPr>
          <w:rFonts w:ascii="Verdana" w:eastAsia="Century Gothic" w:hAnsi="Verdana" w:cs="Century Gothic"/>
          <w:b/>
          <w:bCs/>
        </w:rPr>
      </w:pPr>
    </w:p>
    <w:p w14:paraId="61BDAA02" w14:textId="77777777" w:rsidR="00BC7813" w:rsidRPr="00C97CA6" w:rsidRDefault="00BC7813" w:rsidP="00BC7813">
      <w:pPr>
        <w:spacing w:after="0" w:line="276" w:lineRule="auto"/>
        <w:jc w:val="both"/>
        <w:rPr>
          <w:rFonts w:ascii="Verdana" w:eastAsia="Century Gothic" w:hAnsi="Verdana" w:cs="Century Gothic"/>
        </w:rPr>
      </w:pPr>
      <w:r w:rsidRPr="00B33011">
        <w:rPr>
          <w:rFonts w:ascii="Verdana" w:eastAsia="Century Gothic" w:hAnsi="Verdana" w:cs="Century Gothic"/>
          <w:b/>
          <w:bCs/>
        </w:rPr>
        <w:t>2. Respuesta:</w:t>
      </w:r>
    </w:p>
    <w:p w14:paraId="442FF0CF" w14:textId="77777777" w:rsidR="00BC7813" w:rsidRPr="005644FE" w:rsidRDefault="00BC7813" w:rsidP="00BC7813">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BC7813" w:rsidRPr="005644FE" w14:paraId="600789CE" w14:textId="77777777" w:rsidTr="00F76CC4">
        <w:tc>
          <w:tcPr>
            <w:tcW w:w="8828" w:type="dxa"/>
          </w:tcPr>
          <w:p w14:paraId="7E36061E" w14:textId="77777777" w:rsidR="00BC7813" w:rsidRDefault="00BC7813" w:rsidP="00675C98">
            <w:pPr>
              <w:spacing w:after="120" w:line="276" w:lineRule="auto"/>
              <w:ind w:left="28"/>
              <w:jc w:val="both"/>
              <w:rPr>
                <w:rFonts w:ascii="Verdana" w:eastAsia="Calibri" w:hAnsi="Verdana" w:cs="Arial"/>
                <w:color w:val="000000" w:themeColor="text1"/>
              </w:rPr>
            </w:pPr>
            <w:r>
              <w:rPr>
                <w:rFonts w:ascii="Verdana" w:eastAsia="Calibri" w:hAnsi="Verdana" w:cs="Arial"/>
                <w:color w:val="000000" w:themeColor="text1"/>
              </w:rPr>
              <w:t xml:space="preserve">i. </w:t>
            </w:r>
            <w:r w:rsidRPr="00911AD2">
              <w:rPr>
                <w:rFonts w:ascii="Verdana" w:eastAsia="Calibri" w:hAnsi="Verdana" w:cs="Arial"/>
                <w:color w:val="000000" w:themeColor="text1"/>
              </w:rPr>
              <w:t xml:space="preserve">La norma vigente para interpretar el alcance de la causal de contratación directa dispuesta en el artículo 2, numeral 4, literal g), de la Ley 1150 de 2007 está compilada en el artículo 2.2.1.2.1.4.8 del Decreto 1082 de 2015, el cual dispone lo siguiente: “Artículo 2.2.1.2.1.4.8. Contratación directa cuando no exista pluralidad de oferentes. Se considera que no existe pluralidad de oferentes cuando existe solamente una persona que puede proveer el bien o el servicio por ser titular de los derechos de propiedad industrial o de los derechos de autor, o por ser proveedor exclusivo en el territorio nacional. </w:t>
            </w:r>
          </w:p>
          <w:p w14:paraId="7995B3B1" w14:textId="77777777" w:rsidR="00BC7813" w:rsidRDefault="00BC7813" w:rsidP="00F76CC4">
            <w:pPr>
              <w:spacing w:after="120" w:line="276" w:lineRule="auto"/>
              <w:ind w:left="28" w:firstLine="709"/>
              <w:jc w:val="both"/>
              <w:rPr>
                <w:rFonts w:ascii="Verdana" w:eastAsia="Calibri" w:hAnsi="Verdana" w:cs="Arial"/>
                <w:color w:val="000000" w:themeColor="text1"/>
              </w:rPr>
            </w:pPr>
            <w:r w:rsidRPr="00911AD2">
              <w:rPr>
                <w:rFonts w:ascii="Verdana" w:eastAsia="Calibri" w:hAnsi="Verdana" w:cs="Arial"/>
                <w:color w:val="000000" w:themeColor="text1"/>
              </w:rPr>
              <w:t>Estas circunstancias deben constar en el estudio previo que soporta la contratación.”</w:t>
            </w:r>
            <w:r>
              <w:rPr>
                <w:rFonts w:ascii="Verdana" w:eastAsia="Calibri" w:hAnsi="Verdana" w:cs="Arial"/>
                <w:color w:val="000000" w:themeColor="text1"/>
              </w:rPr>
              <w:t xml:space="preserve"> L</w:t>
            </w:r>
            <w:r w:rsidRPr="009A68AF">
              <w:rPr>
                <w:rFonts w:ascii="Verdana" w:eastAsia="Calibri" w:hAnsi="Verdana" w:cs="Arial"/>
                <w:color w:val="000000" w:themeColor="text1"/>
              </w:rPr>
              <w:t xml:space="preserve">a norma consagra dos (2) hipótesis. </w:t>
            </w:r>
          </w:p>
          <w:p w14:paraId="7F1B84CF" w14:textId="77777777" w:rsidR="00BC7813" w:rsidRDefault="00BC7813" w:rsidP="00F76CC4">
            <w:pPr>
              <w:spacing w:after="120" w:line="276" w:lineRule="auto"/>
              <w:ind w:left="28" w:firstLine="709"/>
              <w:jc w:val="both"/>
              <w:rPr>
                <w:rFonts w:ascii="Verdana" w:eastAsia="Calibri" w:hAnsi="Verdana" w:cs="Arial"/>
                <w:color w:val="000000" w:themeColor="text1"/>
              </w:rPr>
            </w:pPr>
            <w:r w:rsidRPr="009A68AF">
              <w:rPr>
                <w:rFonts w:ascii="Verdana" w:eastAsia="Calibri" w:hAnsi="Verdana" w:cs="Arial"/>
                <w:i/>
                <w:iCs/>
                <w:color w:val="000000" w:themeColor="text1"/>
              </w:rPr>
              <w:t>En primer lugar</w:t>
            </w:r>
            <w:r w:rsidRPr="009A68AF">
              <w:rPr>
                <w:rFonts w:ascii="Verdana" w:eastAsia="Calibri" w:hAnsi="Verdana" w:cs="Arial"/>
                <w:color w:val="000000" w:themeColor="text1"/>
              </w:rPr>
              <w:t>, no existe pluralidad</w:t>
            </w:r>
            <w:r>
              <w:rPr>
                <w:rFonts w:ascii="Verdana" w:eastAsia="Calibri" w:hAnsi="Verdana" w:cs="Arial"/>
                <w:color w:val="000000" w:themeColor="text1"/>
              </w:rPr>
              <w:t xml:space="preserve"> de oferentes cuando                                                                                                                                                                                                                                                                                                                                                                                                                                 s</w:t>
            </w:r>
            <w:r w:rsidRPr="009A68AF">
              <w:rPr>
                <w:rFonts w:ascii="Verdana" w:eastAsia="Calibri" w:hAnsi="Verdana" w:cs="Arial"/>
                <w:color w:val="000000" w:themeColor="text1"/>
              </w:rPr>
              <w:t xml:space="preserve">olo una persona puede proveer el bien o servicio por ser titular de los derechos de propiedad industrial o de los derechos de autor. De esta manera, no basta con que sea la única persona capaz de ejecutar el contrato, pues la misma se debe justificar una situación de derecho que impida que otra lo haga de forma igual o similar. Para los proponentes, cada bien o servicio tiene características únicas frente a los de la competencia; sin embargo, desde el punto de vista del contratante, no existe mayor diferenciación entre los bienes y servicios cuando ninguno de los aspirantes tiene la titularidad de un derecho industrial o de autor. </w:t>
            </w:r>
          </w:p>
          <w:p w14:paraId="5DC2EE9C" w14:textId="77777777" w:rsidR="00BC7813" w:rsidRDefault="00BC7813" w:rsidP="00F76CC4">
            <w:pPr>
              <w:spacing w:after="120" w:line="276" w:lineRule="auto"/>
              <w:ind w:firstLine="708"/>
              <w:jc w:val="both"/>
              <w:rPr>
                <w:rFonts w:ascii="Verdana" w:eastAsia="Calibri" w:hAnsi="Verdana" w:cs="Arial"/>
                <w:color w:val="000000" w:themeColor="text1"/>
              </w:rPr>
            </w:pPr>
            <w:r w:rsidRPr="009A68AF">
              <w:rPr>
                <w:rFonts w:ascii="Verdana" w:eastAsia="Calibri" w:hAnsi="Verdana" w:cs="Arial"/>
                <w:i/>
                <w:iCs/>
                <w:color w:val="000000" w:themeColor="text1"/>
              </w:rPr>
              <w:t>En segundo lugar</w:t>
            </w:r>
            <w:r w:rsidRPr="009A68AF">
              <w:rPr>
                <w:rFonts w:ascii="Verdana" w:eastAsia="Calibri" w:hAnsi="Verdana" w:cs="Arial"/>
                <w:color w:val="000000" w:themeColor="text1"/>
              </w:rPr>
              <w:t>, el artículo 2.2.1.2.1.4.8 del Decreto 1082 de 2015 dispone que tampoco existe pluralidad de oferentes cuando existe una sola persona que puede celebrar el contrato por ser proveedor exclusivo en el territorio nacional. A modo de ejemplo, esta causal se comprende en el marco de los contratos de colaboración empresarial –agencia, distribución, franquicia concesión comercial, etc.– que celebran los productores extranjeros con los proveedores nacionales, los cuales contienen usualmente cláusulas de exclusividad como elemento accidental del negocio.</w:t>
            </w:r>
          </w:p>
          <w:p w14:paraId="1A48C8CA" w14:textId="77777777" w:rsidR="00BC7813" w:rsidRDefault="00BC7813" w:rsidP="00F76CC4">
            <w:pPr>
              <w:spacing w:after="120" w:line="276" w:lineRule="auto"/>
              <w:ind w:firstLine="708"/>
              <w:jc w:val="both"/>
              <w:rPr>
                <w:rFonts w:ascii="Verdana" w:eastAsia="Calibri" w:hAnsi="Verdana" w:cs="Arial"/>
                <w:color w:val="000000" w:themeColor="text1"/>
              </w:rPr>
            </w:pPr>
            <w:r w:rsidRPr="009A68AF">
              <w:rPr>
                <w:rFonts w:ascii="Verdana" w:eastAsia="Calibri" w:hAnsi="Verdana" w:cs="Arial"/>
                <w:color w:val="000000" w:themeColor="text1"/>
              </w:rPr>
              <w:t>Fuera de estas dos (2) situaciones, no es posible aplicar el artículo 2, numeral 4, literal g), de la Ley 1150 de 2007, ya que las normas citadas integran una causal de contratación directa que excepciona los mecanismos de selección objetiva por convocatoria pública definidos en el Estatuto General de Contratación de la Administración Pública, por lo que se interpretan restrictivamente, es decir, conforme al tenor literal de las normas.</w:t>
            </w:r>
          </w:p>
          <w:p w14:paraId="700D87ED" w14:textId="3F18E527" w:rsidR="00BC7813" w:rsidRDefault="00BC7813" w:rsidP="00675C98">
            <w:pPr>
              <w:spacing w:line="276" w:lineRule="auto"/>
              <w:ind w:firstLine="709"/>
              <w:jc w:val="both"/>
              <w:rPr>
                <w:rFonts w:ascii="Verdana" w:eastAsia="Calibri" w:hAnsi="Verdana" w:cs="Arial"/>
              </w:rPr>
            </w:pPr>
            <w:r w:rsidRPr="00783D3F">
              <w:rPr>
                <w:rFonts w:ascii="Verdana" w:eastAsia="Calibri" w:hAnsi="Verdana" w:cs="Arial"/>
              </w:rPr>
              <w:t xml:space="preserve">Por lo anterior, en consideración a que el artículo 2, numeral 4, literal g) de la Ley 1150 de 2007 consagra como causal de contratación directa la inexistencia de pluralidad de oferentes en el mercado, dicho mecanismo de selección resulta procedente en tales circunstancias. </w:t>
            </w:r>
          </w:p>
          <w:p w14:paraId="55EF41F1" w14:textId="77777777" w:rsidR="00675C98" w:rsidRDefault="00675C98" w:rsidP="00675C98">
            <w:pPr>
              <w:spacing w:line="276" w:lineRule="auto"/>
              <w:ind w:firstLine="709"/>
              <w:jc w:val="both"/>
              <w:rPr>
                <w:rFonts w:ascii="Verdana" w:eastAsia="Calibri" w:hAnsi="Verdana" w:cs="Arial"/>
              </w:rPr>
            </w:pPr>
          </w:p>
          <w:p w14:paraId="52249225" w14:textId="77777777" w:rsidR="00BC7813" w:rsidRPr="00C45AB8" w:rsidRDefault="00BC7813" w:rsidP="00F76CC4">
            <w:pPr>
              <w:spacing w:after="120" w:line="276" w:lineRule="auto"/>
              <w:jc w:val="both"/>
              <w:rPr>
                <w:rFonts w:ascii="Verdana" w:eastAsia="Calibri" w:hAnsi="Verdana" w:cs="Arial"/>
              </w:rPr>
            </w:pPr>
            <w:proofErr w:type="spellStart"/>
            <w:r>
              <w:rPr>
                <w:rFonts w:ascii="Verdana" w:eastAsia="Calibri" w:hAnsi="Verdana" w:cs="Arial"/>
              </w:rPr>
              <w:t>ii</w:t>
            </w:r>
            <w:proofErr w:type="spellEnd"/>
            <w:r>
              <w:rPr>
                <w:rFonts w:ascii="Verdana" w:eastAsia="Calibri" w:hAnsi="Verdana" w:cs="Arial"/>
              </w:rPr>
              <w:t xml:space="preserve">) </w:t>
            </w:r>
            <w:r>
              <w:rPr>
                <w:rFonts w:ascii="Verdana" w:hAnsi="Verdana" w:cs="Arial"/>
                <w:lang w:eastAsia="es-CO"/>
              </w:rPr>
              <w:t>Otra alternativa con la que cuenta la entidad estatal se refiere a la adquisición del bien o producto mediante “grandes almacenes” o “grandes superficies” cuando se trate de mínima cuantía</w:t>
            </w:r>
            <w:r w:rsidRPr="00214436">
              <w:rPr>
                <w:rFonts w:ascii="Verdana" w:eastAsia="Calibri" w:hAnsi="Verdana" w:cs="Arial"/>
                <w:bCs/>
                <w:color w:val="000000"/>
                <w:lang w:val="es-ES_tradnl"/>
              </w:rPr>
              <w:t>,</w:t>
            </w:r>
            <w:r>
              <w:rPr>
                <w:rFonts w:ascii="Verdana" w:eastAsia="Calibri" w:hAnsi="Verdana" w:cs="Arial"/>
                <w:bCs/>
                <w:color w:val="000000"/>
                <w:lang w:val="es-ES_tradnl"/>
              </w:rPr>
              <w:t xml:space="preserve"> de conformidad con lo dispuesto en</w:t>
            </w:r>
            <w:r w:rsidRPr="00214436">
              <w:rPr>
                <w:rFonts w:ascii="Verdana" w:eastAsia="Calibri" w:hAnsi="Verdana" w:cs="Arial"/>
                <w:bCs/>
                <w:color w:val="000000"/>
                <w:lang w:val="es-ES_tradnl"/>
              </w:rPr>
              <w:t xml:space="preserve"> el artículo 2.2.1.2.1.5.3. del Decreto 1082 de 2015, modificado por el artículo 2 de Decreto 1860 de 2021</w:t>
            </w:r>
            <w:r>
              <w:rPr>
                <w:rFonts w:ascii="Verdana" w:hAnsi="Verdana" w:cs="Arial"/>
                <w:lang w:eastAsia="es-CO"/>
              </w:rPr>
              <w:t>.</w:t>
            </w:r>
          </w:p>
        </w:tc>
      </w:tr>
    </w:tbl>
    <w:p w14:paraId="1C3E810D" w14:textId="77777777" w:rsidR="00BC7813" w:rsidRDefault="00BC7813" w:rsidP="00BC7813">
      <w:pPr>
        <w:tabs>
          <w:tab w:val="left" w:pos="142"/>
          <w:tab w:val="left" w:pos="284"/>
        </w:tabs>
        <w:spacing w:after="0" w:line="276" w:lineRule="auto"/>
        <w:jc w:val="both"/>
        <w:rPr>
          <w:rFonts w:ascii="Verdana" w:eastAsia="Century Gothic" w:hAnsi="Verdana" w:cs="Century Gothic"/>
          <w:b/>
          <w:bCs/>
        </w:rPr>
      </w:pPr>
    </w:p>
    <w:p w14:paraId="24E981B4" w14:textId="77777777" w:rsidR="00BC7813" w:rsidRDefault="00BC7813" w:rsidP="00BC7813">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2D218FCA" w14:textId="77777777" w:rsidR="00BC7813" w:rsidRPr="005644FE" w:rsidRDefault="00BC7813" w:rsidP="00BC7813">
      <w:pPr>
        <w:tabs>
          <w:tab w:val="left" w:pos="142"/>
          <w:tab w:val="left" w:pos="284"/>
        </w:tabs>
        <w:spacing w:after="0" w:line="276" w:lineRule="auto"/>
        <w:jc w:val="both"/>
        <w:rPr>
          <w:rFonts w:ascii="Verdana" w:eastAsia="Century Gothic" w:hAnsi="Verdana" w:cs="Century Gothic"/>
          <w:b/>
          <w:bCs/>
        </w:rPr>
      </w:pPr>
    </w:p>
    <w:p w14:paraId="7B95F11A" w14:textId="77777777" w:rsidR="00BC7813" w:rsidRDefault="00BC7813" w:rsidP="00BC7813">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424F5F8B" w14:textId="77777777" w:rsidR="00BC7813" w:rsidRDefault="00BC7813" w:rsidP="00BC7813">
      <w:pPr>
        <w:tabs>
          <w:tab w:val="left" w:pos="142"/>
          <w:tab w:val="left" w:pos="284"/>
          <w:tab w:val="left" w:pos="6975"/>
        </w:tabs>
        <w:spacing w:after="0" w:line="276" w:lineRule="auto"/>
        <w:jc w:val="both"/>
        <w:rPr>
          <w:rFonts w:ascii="Verdana" w:eastAsia="Calibri" w:hAnsi="Verdana" w:cs="Arial"/>
        </w:rPr>
      </w:pPr>
    </w:p>
    <w:p w14:paraId="7A111CF4" w14:textId="77777777" w:rsidR="00BC7813" w:rsidRPr="0041175A" w:rsidRDefault="00BC7813" w:rsidP="00BC7813">
      <w:pPr>
        <w:spacing w:after="120" w:line="276" w:lineRule="auto"/>
        <w:jc w:val="both"/>
        <w:rPr>
          <w:rFonts w:ascii="Verdana" w:hAnsi="Verdana" w:cs="Arial"/>
          <w:color w:val="000000" w:themeColor="text1"/>
          <w:lang w:val="es-ES"/>
        </w:rPr>
      </w:pPr>
      <w:bookmarkStart w:id="2" w:name="_Hlk45531972"/>
      <w:r>
        <w:rPr>
          <w:rFonts w:ascii="Verdana" w:hAnsi="Verdana" w:cs="Arial"/>
          <w:color w:val="000000" w:themeColor="text1"/>
          <w:lang w:val="es-ES"/>
        </w:rPr>
        <w:t xml:space="preserve">i) </w:t>
      </w:r>
      <w:r w:rsidRPr="17DBBBEB">
        <w:rPr>
          <w:rFonts w:ascii="Verdana" w:hAnsi="Verdana" w:cs="Arial"/>
          <w:color w:val="000000" w:themeColor="text1"/>
          <w:lang w:val="es-ES"/>
        </w:rPr>
        <w:t>Si bien la licitación pública es la modalidad de selección que constituye la regla general para las entidades regidas por el Estatuto General de Contratación de la Administración Pública, el numeral 4 del artículo 2 de la Ley 1150 de 2007 consagra algunas excepciones, que atienden a la necesidad de proteger principios como la eficiencia, la eficacia, la economía, la celeridad o la integridad de las personas. Una de las excepciones es la causal de contratación directa prevista en el literal g) del mencionado numeral, que se refiere a la ausencia de pluralidad de oferentes.</w:t>
      </w:r>
      <w:bookmarkEnd w:id="2"/>
    </w:p>
    <w:p w14:paraId="7D90A516" w14:textId="77777777" w:rsidR="00BC7813" w:rsidRPr="0041175A" w:rsidRDefault="00BC7813" w:rsidP="00BC7813">
      <w:pPr>
        <w:spacing w:before="120" w:after="0" w:line="276" w:lineRule="auto"/>
        <w:ind w:firstLine="709"/>
        <w:jc w:val="both"/>
        <w:rPr>
          <w:rFonts w:ascii="Verdana" w:eastAsia="Calibri" w:hAnsi="Verdana" w:cs="Arial"/>
          <w:color w:val="000000" w:themeColor="text1"/>
          <w:lang w:val="es-ES_tradnl"/>
        </w:rPr>
      </w:pPr>
      <w:r w:rsidRPr="0041175A">
        <w:rPr>
          <w:rFonts w:ascii="Verdana" w:hAnsi="Verdana" w:cs="Arial"/>
          <w:color w:val="000000" w:themeColor="text1"/>
          <w:lang w:val="es-ES_tradnl"/>
        </w:rPr>
        <w:t>L</w:t>
      </w:r>
      <w:r w:rsidRPr="0041175A">
        <w:rPr>
          <w:rFonts w:ascii="Verdana" w:eastAsia="Calibri" w:hAnsi="Verdana" w:cs="Arial"/>
          <w:color w:val="000000" w:themeColor="text1"/>
          <w:lang w:val="es-ES_tradnl"/>
        </w:rPr>
        <w:t xml:space="preserve">a disposición normativa vigente que desarrolla el alcance de la causal de contratación directa establecida en el </w:t>
      </w:r>
      <w:bookmarkStart w:id="3" w:name="_Hlk185322580"/>
      <w:r w:rsidRPr="0041175A">
        <w:rPr>
          <w:rFonts w:ascii="Verdana" w:eastAsia="Calibri" w:hAnsi="Verdana" w:cs="Arial"/>
          <w:color w:val="000000" w:themeColor="text1"/>
          <w:lang w:val="es-ES_tradnl"/>
        </w:rPr>
        <w:t>artículo 2, numeral 4, literal g), de la Ley 1150 de 2007, está establecida en el artículo 2.2.1.2.1.4.8 del Decreto 1082 de 2015</w:t>
      </w:r>
      <w:bookmarkEnd w:id="3"/>
      <w:r w:rsidRPr="0041175A">
        <w:rPr>
          <w:rFonts w:ascii="Verdana" w:eastAsia="Calibri" w:hAnsi="Verdana" w:cs="Arial"/>
          <w:color w:val="000000" w:themeColor="text1"/>
          <w:lang w:val="es-ES_tradnl"/>
        </w:rPr>
        <w:t>, el cual dispone lo siguiente:</w:t>
      </w:r>
    </w:p>
    <w:p w14:paraId="311A454A" w14:textId="77777777" w:rsidR="00BC7813" w:rsidRPr="0041175A" w:rsidRDefault="00BC7813" w:rsidP="00BC7813">
      <w:pPr>
        <w:spacing w:after="0" w:line="276" w:lineRule="auto"/>
        <w:ind w:firstLine="708"/>
        <w:jc w:val="both"/>
        <w:rPr>
          <w:rFonts w:ascii="Verdana" w:eastAsia="Calibri" w:hAnsi="Verdana" w:cs="Arial"/>
          <w:color w:val="000000" w:themeColor="text1"/>
          <w:lang w:val="es-ES_tradnl"/>
        </w:rPr>
      </w:pPr>
    </w:p>
    <w:p w14:paraId="57E0EAF1" w14:textId="77777777" w:rsidR="00BC7813" w:rsidRPr="0041175A" w:rsidRDefault="00BC7813" w:rsidP="00BC7813">
      <w:pPr>
        <w:spacing w:after="0" w:line="240" w:lineRule="auto"/>
        <w:ind w:left="709" w:right="709"/>
        <w:jc w:val="both"/>
        <w:rPr>
          <w:rFonts w:ascii="Verdana" w:eastAsia="Calibri" w:hAnsi="Verdana" w:cs="Arial"/>
          <w:color w:val="000000" w:themeColor="text1"/>
          <w:sz w:val="20"/>
          <w:szCs w:val="20"/>
          <w:lang w:val="es-ES"/>
        </w:rPr>
      </w:pPr>
      <w:r w:rsidRPr="17DBBBEB">
        <w:rPr>
          <w:rFonts w:ascii="Verdana" w:eastAsia="Calibri" w:hAnsi="Verdana" w:cs="Arial"/>
          <w:color w:val="000000" w:themeColor="text1"/>
          <w:sz w:val="20"/>
          <w:szCs w:val="20"/>
          <w:lang w:val="es-ES"/>
        </w:rPr>
        <w:t xml:space="preserve">“Se considera que no existe pluralidad de oferentes cuando existe solamente una persona que puede proveer el bien o el servicio por ser titular de los derechos de propiedad industrial o de los derechos de autor, o por ser proveedor exclusivo en el territorio nacional. Estas circunstancias deben constar en el estudio previo que soporta la contratación”. </w:t>
      </w:r>
    </w:p>
    <w:p w14:paraId="6AA20F31" w14:textId="77777777" w:rsidR="00BC7813" w:rsidRPr="0041175A" w:rsidRDefault="00BC7813" w:rsidP="00BC7813">
      <w:pPr>
        <w:spacing w:after="0" w:line="276" w:lineRule="auto"/>
        <w:ind w:firstLine="708"/>
        <w:jc w:val="both"/>
        <w:rPr>
          <w:rFonts w:ascii="Verdana" w:eastAsia="Calibri" w:hAnsi="Verdana" w:cs="Arial"/>
          <w:color w:val="000000" w:themeColor="text1"/>
          <w:lang w:val="es-ES_tradnl"/>
        </w:rPr>
      </w:pPr>
      <w:bookmarkStart w:id="4" w:name="_Hlk45532127"/>
    </w:p>
    <w:p w14:paraId="662DBD5D" w14:textId="77777777" w:rsidR="00BC7813" w:rsidRPr="0041175A" w:rsidRDefault="00BC7813" w:rsidP="00BC7813">
      <w:pPr>
        <w:spacing w:after="120" w:line="276" w:lineRule="auto"/>
        <w:ind w:firstLine="708"/>
        <w:jc w:val="both"/>
        <w:rPr>
          <w:rFonts w:ascii="Verdana" w:eastAsia="Calibri" w:hAnsi="Verdana" w:cs="Arial"/>
          <w:color w:val="000000" w:themeColor="text1"/>
          <w:lang w:val="es-ES_tradnl"/>
        </w:rPr>
      </w:pPr>
      <w:r w:rsidRPr="0041175A">
        <w:rPr>
          <w:rFonts w:ascii="Verdana" w:eastAsia="Calibri" w:hAnsi="Verdana" w:cs="Arial"/>
          <w:color w:val="000000" w:themeColor="text1"/>
          <w:lang w:val="es-ES_tradnl"/>
        </w:rPr>
        <w:t xml:space="preserve">La norma consagra dos (2) hipótesis. </w:t>
      </w:r>
      <w:r w:rsidRPr="0041175A">
        <w:rPr>
          <w:rFonts w:ascii="Verdana" w:eastAsia="Calibri" w:hAnsi="Verdana" w:cs="Arial"/>
          <w:i/>
          <w:iCs/>
          <w:color w:val="000000" w:themeColor="text1"/>
          <w:lang w:val="es-ES_tradnl"/>
        </w:rPr>
        <w:t>En primer lugar</w:t>
      </w:r>
      <w:r w:rsidRPr="0041175A">
        <w:rPr>
          <w:rFonts w:ascii="Verdana" w:eastAsia="Calibri" w:hAnsi="Verdana" w:cs="Arial"/>
          <w:color w:val="000000" w:themeColor="text1"/>
          <w:lang w:val="es-ES_tradnl"/>
        </w:rPr>
        <w:t xml:space="preserve">, </w:t>
      </w:r>
      <w:bookmarkStart w:id="5" w:name="_Hlk45627093"/>
      <w:r w:rsidRPr="0041175A">
        <w:rPr>
          <w:rFonts w:ascii="Verdana" w:eastAsia="Calibri" w:hAnsi="Verdana" w:cs="Arial"/>
          <w:color w:val="000000" w:themeColor="text1"/>
          <w:lang w:val="es-ES_tradnl"/>
        </w:rPr>
        <w:t xml:space="preserve">no existe pluralidad de oferentes cuando solo una persona puede proveer el bien o servicio por ser titular de los derechos de propiedad industrial o de los derechos de autor – hipótesis dentro de la cual se enmarca la consulta presentada –. De esta manera, no basta con que sea la única persona capaz de ejecutar el contrato, pues se debe justificar una situación de derecho que impida que otra lo haga de forma igual o similar. </w:t>
      </w:r>
    </w:p>
    <w:p w14:paraId="03C68E94" w14:textId="77777777" w:rsidR="00BC7813" w:rsidRPr="0041175A" w:rsidRDefault="00BC7813" w:rsidP="00BC7813">
      <w:pPr>
        <w:spacing w:before="120" w:after="0" w:line="276" w:lineRule="auto"/>
        <w:ind w:firstLine="708"/>
        <w:jc w:val="both"/>
        <w:rPr>
          <w:rFonts w:ascii="Verdana" w:eastAsia="Calibri" w:hAnsi="Verdana" w:cs="Arial"/>
          <w:color w:val="000000" w:themeColor="text1"/>
          <w:lang w:val="es-ES"/>
        </w:rPr>
      </w:pPr>
      <w:bookmarkStart w:id="6" w:name="_Hlk45635593"/>
      <w:r w:rsidRPr="17DBBBEB">
        <w:rPr>
          <w:rFonts w:ascii="Verdana" w:eastAsia="Calibri" w:hAnsi="Verdana" w:cs="Arial"/>
          <w:color w:val="000000" w:themeColor="text1"/>
          <w:lang w:val="es-ES"/>
        </w:rPr>
        <w:t>Por ello, en la medida que la prestación no esté cubierta por derechos de la naturaleza anteriormente señalada, posibilita que la entidad satisfaga sus necesidades con equivalentes o sustitutos, ya que la presión de la competencia aumenta la oferta y disminuye los costos de adquisición. Para la doctrina, en ausencia de una barrera de entrada –como la que se concreta con los derechos de propiedad industrial o de autor– es necesario aplicar el principio de concurrencia</w:t>
      </w:r>
      <w:bookmarkEnd w:id="5"/>
      <w:bookmarkEnd w:id="6"/>
      <w:r w:rsidRPr="17DBBBEB">
        <w:rPr>
          <w:rFonts w:ascii="Verdana" w:eastAsia="Calibri" w:hAnsi="Verdana" w:cs="Arial"/>
          <w:color w:val="000000" w:themeColor="text1"/>
          <w:lang w:val="es-ES"/>
        </w:rPr>
        <w:t>.</w:t>
      </w:r>
      <w:bookmarkEnd w:id="4"/>
      <w:r w:rsidRPr="17DBBBEB">
        <w:rPr>
          <w:rFonts w:ascii="Verdana" w:eastAsia="Calibri" w:hAnsi="Verdana" w:cs="Arial"/>
          <w:color w:val="000000" w:themeColor="text1"/>
          <w:lang w:val="es-ES"/>
        </w:rPr>
        <w:t xml:space="preserve"> Por lo anterior explica que es posible la contratación directa con el oferente que es titular de una marca o privilegio, agregando lo siguiente:</w:t>
      </w:r>
    </w:p>
    <w:p w14:paraId="7358658E" w14:textId="77777777" w:rsidR="00BC7813" w:rsidRPr="0041175A" w:rsidRDefault="00BC7813" w:rsidP="00BC7813">
      <w:pPr>
        <w:spacing w:after="0" w:line="276" w:lineRule="auto"/>
        <w:ind w:firstLine="708"/>
        <w:jc w:val="both"/>
        <w:rPr>
          <w:rFonts w:ascii="Verdana" w:eastAsia="Calibri" w:hAnsi="Verdana" w:cs="Arial"/>
          <w:color w:val="000000" w:themeColor="text1"/>
          <w:lang w:val="es-ES_tradnl"/>
        </w:rPr>
      </w:pPr>
    </w:p>
    <w:p w14:paraId="213CF5B8" w14:textId="77777777" w:rsidR="00BC7813" w:rsidRPr="00D4326A" w:rsidRDefault="00BC7813" w:rsidP="00BC7813">
      <w:pPr>
        <w:spacing w:after="0" w:line="240" w:lineRule="auto"/>
        <w:ind w:left="709" w:right="709"/>
        <w:jc w:val="both"/>
        <w:rPr>
          <w:rFonts w:ascii="Verdana" w:eastAsia="Calibri" w:hAnsi="Verdana" w:cs="Arial"/>
          <w:color w:val="000000" w:themeColor="text1"/>
          <w:sz w:val="20"/>
          <w:szCs w:val="20"/>
          <w:lang w:val="es-ES"/>
        </w:rPr>
      </w:pPr>
      <w:r w:rsidRPr="17DBBBEB">
        <w:rPr>
          <w:rFonts w:ascii="Verdana" w:eastAsia="Calibri" w:hAnsi="Verdana" w:cs="Arial"/>
          <w:color w:val="000000" w:themeColor="text1"/>
          <w:sz w:val="20"/>
          <w:szCs w:val="20"/>
          <w:lang w:val="es-ES"/>
        </w:rPr>
        <w:t>“La tutela de la propiedad intelectual del oferente o de un privilegio otorgado en modo expreso, vuelven imposible proceder por licitación, ya que solamente la persona, entidad o empresa que posee el privilegio de invención o fabricación, podría presentarse formulando ofertas. Desde luego no habría pluralidad de concurrentes, ni puja que hiciera posible el cumplimiento de las finalidades básicas perseguidas por la licitación”</w:t>
      </w:r>
      <w:r w:rsidRPr="17DBBBEB">
        <w:rPr>
          <w:rFonts w:ascii="Verdana" w:eastAsia="Calibri" w:hAnsi="Verdana" w:cs="Arial"/>
          <w:color w:val="000000" w:themeColor="text1"/>
          <w:sz w:val="20"/>
          <w:szCs w:val="20"/>
          <w:vertAlign w:val="superscript"/>
          <w:lang w:val="es-ES"/>
        </w:rPr>
        <w:footnoteReference w:id="1"/>
      </w:r>
      <w:r w:rsidRPr="17DBBBEB">
        <w:rPr>
          <w:rFonts w:ascii="Verdana" w:eastAsia="Calibri" w:hAnsi="Verdana" w:cs="Arial"/>
          <w:color w:val="000000" w:themeColor="text1"/>
          <w:sz w:val="20"/>
          <w:szCs w:val="20"/>
          <w:lang w:val="es-ES"/>
        </w:rPr>
        <w:t>.</w:t>
      </w:r>
      <w:bookmarkStart w:id="7" w:name="_Hlk45532434"/>
    </w:p>
    <w:p w14:paraId="71FA9BB0" w14:textId="77777777" w:rsidR="0075281F" w:rsidRDefault="0075281F" w:rsidP="0075281F">
      <w:pPr>
        <w:spacing w:after="0" w:line="276" w:lineRule="auto"/>
        <w:ind w:firstLine="708"/>
        <w:jc w:val="both"/>
        <w:rPr>
          <w:rFonts w:ascii="Verdana" w:eastAsia="Calibri" w:hAnsi="Verdana" w:cs="Arial"/>
          <w:i/>
          <w:iCs/>
          <w:color w:val="000000" w:themeColor="text1"/>
          <w:lang w:val="es-ES_tradnl"/>
        </w:rPr>
      </w:pPr>
    </w:p>
    <w:p w14:paraId="3AAB5482" w14:textId="1B3F99C3" w:rsidR="00BC7813" w:rsidRPr="0041175A" w:rsidRDefault="00BC7813" w:rsidP="00BC7813">
      <w:pPr>
        <w:spacing w:after="120" w:line="276" w:lineRule="auto"/>
        <w:ind w:firstLine="708"/>
        <w:jc w:val="both"/>
        <w:rPr>
          <w:rFonts w:ascii="Verdana" w:eastAsia="Calibri" w:hAnsi="Verdana" w:cs="Arial"/>
          <w:color w:val="000000" w:themeColor="text1"/>
          <w:lang w:val="es-ES_tradnl"/>
        </w:rPr>
      </w:pPr>
      <w:r w:rsidRPr="0041175A">
        <w:rPr>
          <w:rFonts w:ascii="Verdana" w:eastAsia="Calibri" w:hAnsi="Verdana" w:cs="Arial"/>
          <w:i/>
          <w:iCs/>
          <w:color w:val="000000" w:themeColor="text1"/>
          <w:lang w:val="es-ES_tradnl"/>
        </w:rPr>
        <w:t>En segundo lugar</w:t>
      </w:r>
      <w:r w:rsidRPr="0041175A">
        <w:rPr>
          <w:rFonts w:ascii="Verdana" w:eastAsia="Calibri" w:hAnsi="Verdana" w:cs="Arial"/>
          <w:color w:val="000000" w:themeColor="text1"/>
          <w:lang w:val="es-ES_tradnl"/>
        </w:rPr>
        <w:t xml:space="preserve">, </w:t>
      </w:r>
      <w:bookmarkStart w:id="8" w:name="_Hlk45635630"/>
      <w:bookmarkStart w:id="9" w:name="_Hlk45627184"/>
      <w:r w:rsidRPr="0041175A">
        <w:rPr>
          <w:rFonts w:ascii="Verdana" w:eastAsia="Calibri" w:hAnsi="Verdana" w:cs="Arial"/>
          <w:color w:val="000000" w:themeColor="text1"/>
          <w:lang w:val="es-ES_tradnl"/>
        </w:rPr>
        <w:t>el artículo 2.2.1.2.1.4.8 del Decreto 1082 de 2015 dispone que tampoco existe pluralidad de oferentes cuando existe una sola persona que puede celebrar el contrato por ser proveedor exclusivo en el territorio nacional. A modo de ejemplo, esta causal se comprende en el marco de los contratos de colaboración empresarial –agencia, distribución, franquicia, concesión comercial, etc.– que celebran los productores extranjeros con los proveedores nacionales, los cuales contienen usualmente cláusulas de exclusividad como elemento accidental del negocio</w:t>
      </w:r>
      <w:bookmarkEnd w:id="8"/>
      <w:r w:rsidRPr="0041175A">
        <w:rPr>
          <w:rFonts w:ascii="Verdana" w:eastAsia="Calibri" w:hAnsi="Verdana" w:cs="Arial"/>
          <w:color w:val="000000" w:themeColor="text1"/>
          <w:lang w:val="es-ES_tradnl"/>
        </w:rPr>
        <w:t xml:space="preserve">. </w:t>
      </w:r>
    </w:p>
    <w:p w14:paraId="59D5CFB3" w14:textId="77777777" w:rsidR="00BC7813" w:rsidRPr="0041175A" w:rsidRDefault="00BC7813" w:rsidP="00BC7813">
      <w:pPr>
        <w:spacing w:after="120" w:line="276" w:lineRule="auto"/>
        <w:ind w:firstLine="708"/>
        <w:jc w:val="both"/>
        <w:rPr>
          <w:rFonts w:ascii="Verdana" w:eastAsia="Calibri" w:hAnsi="Verdana" w:cs="Arial"/>
          <w:color w:val="000000" w:themeColor="text1"/>
          <w:lang w:val="es-ES"/>
        </w:rPr>
      </w:pPr>
      <w:bookmarkStart w:id="10" w:name="_Hlk45635661"/>
      <w:r w:rsidRPr="17DBBBEB">
        <w:rPr>
          <w:rFonts w:ascii="Verdana" w:eastAsia="Calibri" w:hAnsi="Verdana" w:cs="Arial"/>
          <w:color w:val="000000" w:themeColor="text1"/>
          <w:lang w:val="es-ES"/>
        </w:rPr>
        <w:t>Al igual que la hipótesis precedente, la presencia de un proveedor exclusivo supone una barrera de entrada para otros posibles oferentes, por lo que no es posible garantizar el principio de libertad de concurrencia. Sin embargo, para aplicar la causal de contratación directa, la exclusividad del proveedor debe cubrir el territorio nacional, como lo establece el reglamento, pues –por ejemplo– si se limita a un municipio o un departamento, es posible encontrar proveedores de bienes y servicios similares o sustitutos en otros lugares del país, por lo que es necesario aplicar procedimientos de selección que permitan la pluralidad de oferentes</w:t>
      </w:r>
      <w:bookmarkEnd w:id="10"/>
      <w:r w:rsidRPr="17DBBBEB">
        <w:rPr>
          <w:rFonts w:ascii="Verdana" w:eastAsia="Calibri" w:hAnsi="Verdana" w:cs="Arial"/>
          <w:color w:val="000000" w:themeColor="text1"/>
          <w:lang w:val="es-ES"/>
        </w:rPr>
        <w:t>.</w:t>
      </w:r>
      <w:bookmarkEnd w:id="7"/>
      <w:bookmarkEnd w:id="9"/>
      <w:r w:rsidRPr="17DBBBEB">
        <w:rPr>
          <w:rFonts w:ascii="Verdana" w:eastAsia="Calibri" w:hAnsi="Verdana" w:cs="Arial"/>
          <w:color w:val="000000" w:themeColor="text1"/>
          <w:lang w:val="es-ES"/>
        </w:rPr>
        <w:t xml:space="preserve"> </w:t>
      </w:r>
    </w:p>
    <w:p w14:paraId="7A8DE303" w14:textId="77777777" w:rsidR="00BC7813" w:rsidRDefault="00BC7813" w:rsidP="005C3AD9">
      <w:pPr>
        <w:spacing w:after="0" w:line="276" w:lineRule="auto"/>
        <w:ind w:firstLine="708"/>
        <w:jc w:val="both"/>
        <w:rPr>
          <w:rFonts w:ascii="Verdana" w:eastAsia="Calibri" w:hAnsi="Verdana" w:cs="Arial"/>
          <w:color w:val="000000" w:themeColor="text1"/>
          <w:lang w:val="es-ES_tradnl"/>
        </w:rPr>
      </w:pPr>
      <w:r w:rsidRPr="0041175A">
        <w:rPr>
          <w:rFonts w:ascii="Verdana" w:eastAsia="Calibri" w:hAnsi="Verdana" w:cs="Arial"/>
          <w:color w:val="000000" w:themeColor="text1"/>
          <w:lang w:val="es-ES_tradnl"/>
        </w:rPr>
        <w:t>Ni el artículo 2, numeral 4, literal g) de la Ley 1150 de 2007, ni el artículo 2.2.1.2.1.4.8. del Decreto 1082 de 2015, establecen una tarifa legal para acreditar la exclusividad en el territorio nacional, pues las normas no prevén un medio probatorio específico como el único que tenga valor de convicción para las Entidades Estatales en la etapa precontractual. Lo que señala la citada disposición reglamentaria es que “Estas circunstancias deben constar en el estudio previo que soporta la contratación”. En otras palabras, la Entidad Estatal debe hacer un análisis riguroso en la etapa de planeación, para determinar si un proveedor es o no exclusivo en el territorio nacional, pudiendo servirse de los medios probatorios que considere pertinentes y conducentes</w:t>
      </w:r>
      <w:r w:rsidRPr="0041175A">
        <w:rPr>
          <w:rStyle w:val="Refdenotaalpie"/>
          <w:rFonts w:ascii="Verdana" w:eastAsia="Calibri" w:hAnsi="Verdana" w:cs="Arial"/>
          <w:color w:val="000000" w:themeColor="text1"/>
          <w:lang w:val="es-ES_tradnl"/>
        </w:rPr>
        <w:footnoteReference w:id="2"/>
      </w:r>
      <w:r w:rsidRPr="0041175A">
        <w:rPr>
          <w:rFonts w:ascii="Verdana" w:eastAsia="Calibri" w:hAnsi="Verdana" w:cs="Arial"/>
          <w:color w:val="000000" w:themeColor="text1"/>
          <w:lang w:val="es-ES_tradnl"/>
        </w:rPr>
        <w:t>.</w:t>
      </w:r>
    </w:p>
    <w:p w14:paraId="74A71E9B" w14:textId="77777777" w:rsidR="005C3AD9" w:rsidRDefault="005C3AD9" w:rsidP="005C3AD9">
      <w:pPr>
        <w:spacing w:after="0" w:line="276" w:lineRule="auto"/>
        <w:ind w:firstLine="708"/>
        <w:jc w:val="both"/>
        <w:rPr>
          <w:rFonts w:ascii="Verdana" w:eastAsia="Calibri" w:hAnsi="Verdana" w:cs="Arial"/>
          <w:color w:val="000000" w:themeColor="text1"/>
          <w:lang w:val="es-ES_tradnl"/>
        </w:rPr>
      </w:pPr>
    </w:p>
    <w:p w14:paraId="05B06A16" w14:textId="77777777" w:rsidR="00BC7813" w:rsidRDefault="00BC7813" w:rsidP="007D13EF">
      <w:pPr>
        <w:spacing w:after="0" w:line="276" w:lineRule="auto"/>
        <w:jc w:val="both"/>
        <w:rPr>
          <w:rFonts w:ascii="Verdana" w:hAnsi="Verdana" w:cs="Arial"/>
          <w:lang w:eastAsia="es-CO"/>
        </w:rPr>
      </w:pPr>
      <w:proofErr w:type="spellStart"/>
      <w:r>
        <w:rPr>
          <w:rFonts w:ascii="Verdana" w:hAnsi="Verdana" w:cs="Arial"/>
          <w:lang w:eastAsia="es-CO"/>
        </w:rPr>
        <w:t>ii</w:t>
      </w:r>
      <w:proofErr w:type="spellEnd"/>
      <w:r>
        <w:rPr>
          <w:rFonts w:ascii="Verdana" w:hAnsi="Verdana" w:cs="Arial"/>
          <w:lang w:eastAsia="es-CO"/>
        </w:rPr>
        <w:t xml:space="preserve">)  Otra alternativa con la que cuenta la entidad estatal se refiere a la adquisición del bien o producto mediante “grandes almacenes” o “grandes superficies”. </w:t>
      </w:r>
    </w:p>
    <w:p w14:paraId="5BE2812B" w14:textId="77777777" w:rsidR="00BC7813" w:rsidRDefault="00BC7813" w:rsidP="00BC7813">
      <w:pPr>
        <w:spacing w:before="120" w:after="0" w:line="276" w:lineRule="auto"/>
        <w:ind w:firstLine="709"/>
        <w:jc w:val="both"/>
        <w:rPr>
          <w:rFonts w:ascii="Verdana" w:hAnsi="Verdana" w:cs="Arial"/>
          <w:lang w:eastAsia="es-CO"/>
        </w:rPr>
      </w:pPr>
      <w:r w:rsidRPr="00214436">
        <w:rPr>
          <w:rFonts w:ascii="Verdana" w:eastAsia="Calibri" w:hAnsi="Verdana" w:cs="Arial"/>
          <w:color w:val="000000"/>
          <w:lang w:val="es-ES_tradnl"/>
        </w:rPr>
        <w:t xml:space="preserve">En relación con el procedimiento </w:t>
      </w:r>
      <w:r w:rsidRPr="00214436">
        <w:rPr>
          <w:rFonts w:ascii="Verdana" w:eastAsia="Calibri" w:hAnsi="Verdana" w:cs="Arial"/>
          <w:bCs/>
          <w:color w:val="000000"/>
          <w:lang w:val="es-ES_tradnl"/>
        </w:rPr>
        <w:t xml:space="preserve">especial para las adquisiciones en grandes almacenes cuando se trate de mínima cuantía, el artículo 2.2.1.2.1.5.3. del Decreto 1082 de 2015, modificado por el artículo 2 de Decreto 1860 de 2021, dispone lo siguiente: </w:t>
      </w:r>
    </w:p>
    <w:p w14:paraId="1B822AC9" w14:textId="77777777" w:rsidR="00BC7813" w:rsidRPr="00214436" w:rsidRDefault="00BC7813" w:rsidP="00BC7813">
      <w:pPr>
        <w:tabs>
          <w:tab w:val="left" w:pos="7655"/>
        </w:tabs>
        <w:spacing w:after="0" w:line="240" w:lineRule="auto"/>
        <w:ind w:firstLine="709"/>
        <w:jc w:val="both"/>
        <w:rPr>
          <w:rFonts w:ascii="Verdana" w:hAnsi="Verdana" w:cs="Arial"/>
          <w:lang w:eastAsia="es-CO"/>
        </w:rPr>
      </w:pPr>
    </w:p>
    <w:p w14:paraId="6BB02487" w14:textId="08882009" w:rsidR="00BC7813" w:rsidRPr="00475C1D" w:rsidRDefault="007D13EF" w:rsidP="00BC7813">
      <w:pPr>
        <w:tabs>
          <w:tab w:val="left" w:pos="7655"/>
        </w:tabs>
        <w:spacing w:after="0" w:line="240" w:lineRule="auto"/>
        <w:ind w:left="709" w:right="758"/>
        <w:jc w:val="both"/>
        <w:rPr>
          <w:rFonts w:ascii="Verdana" w:hAnsi="Verdana" w:cs="Arial"/>
          <w:color w:val="000000" w:themeColor="text1"/>
          <w:sz w:val="20"/>
          <w:szCs w:val="20"/>
          <w:lang w:val="es-ES_tradnl"/>
        </w:rPr>
      </w:pPr>
      <w:r>
        <w:rPr>
          <w:rFonts w:ascii="Verdana" w:hAnsi="Verdana" w:cs="Arial"/>
          <w:color w:val="000000" w:themeColor="text1"/>
          <w:sz w:val="20"/>
          <w:szCs w:val="20"/>
          <w:lang w:val="es-ES_tradnl"/>
        </w:rPr>
        <w:t>“</w:t>
      </w:r>
      <w:r w:rsidR="00BC7813" w:rsidRPr="00475C1D">
        <w:rPr>
          <w:rFonts w:ascii="Verdana" w:hAnsi="Verdana" w:cs="Arial"/>
          <w:color w:val="000000" w:themeColor="text1"/>
          <w:sz w:val="20"/>
          <w:szCs w:val="20"/>
          <w:lang w:val="es-ES_tradnl"/>
        </w:rPr>
        <w:t xml:space="preserve">Artículo 2.2.1.2.1.5.3. Adquisiciones en grandes almacenes cuando se trate de mínima cuantía. Las Entidades Estatales deben aplicar las siguientes reglas cuando decidan adquirir bienes hasta por el monto de su mínima cuantía en establecimientos que correspondan a la definición de "gran almacén" señalada por la Superintendencia de Industria y Comercio: </w:t>
      </w:r>
    </w:p>
    <w:p w14:paraId="5F764222" w14:textId="77777777" w:rsidR="00BC7813" w:rsidRPr="00475C1D" w:rsidRDefault="00BC7813" w:rsidP="00BC7813">
      <w:pPr>
        <w:tabs>
          <w:tab w:val="left" w:pos="7655"/>
        </w:tabs>
        <w:spacing w:after="0" w:line="240" w:lineRule="auto"/>
        <w:ind w:left="709" w:right="758"/>
        <w:jc w:val="both"/>
        <w:rPr>
          <w:rFonts w:ascii="Verdana" w:hAnsi="Verdana" w:cs="Arial"/>
          <w:color w:val="000000" w:themeColor="text1"/>
          <w:sz w:val="20"/>
          <w:szCs w:val="20"/>
          <w:lang w:val="es-ES_tradnl"/>
        </w:rPr>
      </w:pPr>
    </w:p>
    <w:p w14:paraId="1B18E57A" w14:textId="2A7983CF" w:rsidR="00BC7813" w:rsidRPr="00475C1D" w:rsidRDefault="00BC7813" w:rsidP="00111AF0">
      <w:pPr>
        <w:tabs>
          <w:tab w:val="left" w:pos="7655"/>
        </w:tabs>
        <w:spacing w:after="0" w:line="240" w:lineRule="auto"/>
        <w:ind w:left="709" w:right="758"/>
        <w:jc w:val="both"/>
        <w:rPr>
          <w:rFonts w:ascii="Verdana" w:hAnsi="Verdana" w:cs="Arial"/>
          <w:color w:val="000000" w:themeColor="text1"/>
          <w:sz w:val="20"/>
          <w:szCs w:val="20"/>
          <w:lang w:val="es-ES_tradnl"/>
        </w:rPr>
      </w:pPr>
      <w:r w:rsidRPr="00475C1D">
        <w:rPr>
          <w:rFonts w:ascii="Verdana" w:hAnsi="Verdana" w:cs="Arial"/>
          <w:color w:val="000000" w:themeColor="text1"/>
          <w:sz w:val="20"/>
          <w:szCs w:val="20"/>
          <w:lang w:val="es-ES_tradnl"/>
        </w:rPr>
        <w:t>1. La invitación debe estar dirigida a los grandes almacenes. Esta invitación deberá publicarse en el SECOP y en la página web de la entidad, y contendrá como mínimo: a) la descripción técnica, detallada y completa del bien, identificado con el cuarto nivel del Clasificador de Bienes y Servicios, de ser posible, o de lo contrario con el tercer nivel; b) la forma de pago; c) el lugar de entrega; d) el plazo para la entrega de la cotización que debe ser de mínimo un (1) día hábil; e) la forma y el lugar de presentación de la cotización, y f) la disponibilidad presupuestal.</w:t>
      </w:r>
    </w:p>
    <w:p w14:paraId="25282C59" w14:textId="77777777" w:rsidR="00BC7813" w:rsidRPr="00475C1D" w:rsidRDefault="00BC7813" w:rsidP="00BC7813">
      <w:pPr>
        <w:tabs>
          <w:tab w:val="left" w:pos="7655"/>
        </w:tabs>
        <w:spacing w:after="0" w:line="240" w:lineRule="auto"/>
        <w:ind w:left="709" w:right="758"/>
        <w:jc w:val="both"/>
        <w:rPr>
          <w:rFonts w:ascii="Verdana" w:hAnsi="Verdana" w:cs="Arial"/>
          <w:color w:val="000000" w:themeColor="text1"/>
          <w:sz w:val="20"/>
          <w:szCs w:val="20"/>
          <w:lang w:val="es-ES_tradnl"/>
        </w:rPr>
      </w:pPr>
      <w:r w:rsidRPr="00475C1D">
        <w:rPr>
          <w:rFonts w:ascii="Verdana" w:hAnsi="Verdana" w:cs="Arial"/>
          <w:color w:val="000000" w:themeColor="text1"/>
          <w:sz w:val="20"/>
          <w:szCs w:val="20"/>
          <w:lang w:val="es-ES_tradnl"/>
        </w:rPr>
        <w:t xml:space="preserve">2. La Entidad Estatal debe evaluar las cotizaciones presentadas y seleccionar a quien, con las condiciones requeridas, ofrezca el menor precio del mercado y aceptar la mejor oferta. </w:t>
      </w:r>
    </w:p>
    <w:p w14:paraId="113A208F" w14:textId="77777777" w:rsidR="00BC7813" w:rsidRPr="00475C1D" w:rsidRDefault="00BC7813" w:rsidP="00BC7813">
      <w:pPr>
        <w:tabs>
          <w:tab w:val="left" w:pos="7655"/>
        </w:tabs>
        <w:spacing w:after="0" w:line="240" w:lineRule="auto"/>
        <w:ind w:left="709" w:right="758"/>
        <w:jc w:val="both"/>
        <w:rPr>
          <w:rFonts w:ascii="Verdana" w:hAnsi="Verdana" w:cs="Arial"/>
          <w:color w:val="000000" w:themeColor="text1"/>
          <w:sz w:val="20"/>
          <w:szCs w:val="20"/>
          <w:lang w:val="es-ES_tradnl"/>
        </w:rPr>
      </w:pPr>
    </w:p>
    <w:p w14:paraId="7DFFD9B3" w14:textId="77777777" w:rsidR="00BC7813" w:rsidRPr="00475C1D" w:rsidRDefault="00BC7813" w:rsidP="00BC7813">
      <w:pPr>
        <w:tabs>
          <w:tab w:val="left" w:pos="7655"/>
        </w:tabs>
        <w:spacing w:after="0" w:line="240" w:lineRule="auto"/>
        <w:ind w:left="709" w:right="758"/>
        <w:jc w:val="both"/>
        <w:rPr>
          <w:rFonts w:ascii="Verdana" w:hAnsi="Verdana" w:cs="Arial"/>
          <w:color w:val="000000" w:themeColor="text1"/>
          <w:sz w:val="20"/>
          <w:szCs w:val="20"/>
          <w:lang w:val="es-ES_tradnl"/>
        </w:rPr>
      </w:pPr>
      <w:r w:rsidRPr="00475C1D">
        <w:rPr>
          <w:rFonts w:ascii="Verdana" w:hAnsi="Verdana" w:cs="Arial"/>
          <w:color w:val="000000" w:themeColor="text1"/>
          <w:sz w:val="20"/>
          <w:szCs w:val="20"/>
          <w:lang w:val="es-ES_tradnl"/>
        </w:rPr>
        <w:t xml:space="preserve">3. En caso de empate, la Entidad Estatal aplicará los criterios de desempate de que trata el artículo 35 de la Ley 2069 de 2020, conforme a los medios de acreditación del artículo 2.2.1.2.4.2.17 del presente Decreto o las normas que los modifiquen, adicionen o sustituyan. </w:t>
      </w:r>
    </w:p>
    <w:p w14:paraId="5B4F9A5E" w14:textId="77777777" w:rsidR="00BC7813" w:rsidRPr="00475C1D" w:rsidRDefault="00BC7813" w:rsidP="00BC7813">
      <w:pPr>
        <w:tabs>
          <w:tab w:val="left" w:pos="7655"/>
        </w:tabs>
        <w:spacing w:after="0" w:line="240" w:lineRule="auto"/>
        <w:ind w:left="709" w:right="758"/>
        <w:jc w:val="both"/>
        <w:rPr>
          <w:rFonts w:ascii="Verdana" w:hAnsi="Verdana" w:cs="Arial"/>
          <w:color w:val="000000" w:themeColor="text1"/>
          <w:sz w:val="20"/>
          <w:szCs w:val="20"/>
          <w:lang w:val="es-ES_tradnl"/>
        </w:rPr>
      </w:pPr>
    </w:p>
    <w:p w14:paraId="17E1E92F" w14:textId="610A3677" w:rsidR="00BC7813" w:rsidRPr="00475C1D" w:rsidRDefault="00BC7813" w:rsidP="00BC7813">
      <w:pPr>
        <w:tabs>
          <w:tab w:val="left" w:pos="7655"/>
        </w:tabs>
        <w:spacing w:after="0" w:line="240" w:lineRule="auto"/>
        <w:ind w:left="709" w:right="758"/>
        <w:jc w:val="both"/>
        <w:rPr>
          <w:rFonts w:ascii="Verdana" w:hAnsi="Verdana" w:cs="Arial"/>
          <w:color w:val="000000" w:themeColor="text1"/>
          <w:sz w:val="20"/>
          <w:szCs w:val="20"/>
          <w:lang w:val="es-ES_tradnl"/>
        </w:rPr>
      </w:pPr>
      <w:r w:rsidRPr="00475C1D">
        <w:rPr>
          <w:rFonts w:ascii="Verdana" w:hAnsi="Verdana" w:cs="Arial"/>
          <w:color w:val="000000" w:themeColor="text1"/>
          <w:sz w:val="20"/>
          <w:szCs w:val="20"/>
          <w:lang w:val="es-ES_tradnl"/>
        </w:rPr>
        <w:t>4. La oferta y su aceptación constituyen el contrato estatal</w:t>
      </w:r>
      <w:r w:rsidR="007D13EF">
        <w:rPr>
          <w:rFonts w:ascii="Verdana" w:hAnsi="Verdana" w:cs="Arial"/>
          <w:color w:val="000000" w:themeColor="text1"/>
          <w:sz w:val="20"/>
          <w:szCs w:val="20"/>
          <w:lang w:val="es-ES_tradnl"/>
        </w:rPr>
        <w:t>”</w:t>
      </w:r>
      <w:r w:rsidRPr="00475C1D">
        <w:rPr>
          <w:rFonts w:ascii="Verdana" w:hAnsi="Verdana" w:cs="Arial"/>
          <w:color w:val="000000" w:themeColor="text1"/>
          <w:sz w:val="20"/>
          <w:szCs w:val="20"/>
          <w:lang w:val="es-ES_tradnl"/>
        </w:rPr>
        <w:t>.</w:t>
      </w:r>
    </w:p>
    <w:p w14:paraId="50BB6C2B" w14:textId="77777777" w:rsidR="00BC7813" w:rsidRPr="00475C1D" w:rsidRDefault="00BC7813" w:rsidP="00BC7813">
      <w:pPr>
        <w:tabs>
          <w:tab w:val="left" w:pos="7655"/>
        </w:tabs>
        <w:spacing w:after="0" w:line="240" w:lineRule="auto"/>
        <w:ind w:left="709" w:right="758"/>
        <w:jc w:val="both"/>
        <w:rPr>
          <w:rFonts w:ascii="Verdana" w:hAnsi="Verdana" w:cs="Arial"/>
          <w:color w:val="000000" w:themeColor="text1"/>
          <w:sz w:val="20"/>
          <w:szCs w:val="20"/>
          <w:lang w:val="es-ES_tradnl"/>
        </w:rPr>
      </w:pPr>
    </w:p>
    <w:p w14:paraId="41317B06" w14:textId="77777777" w:rsidR="00BC7813" w:rsidRPr="00214436" w:rsidRDefault="00BC7813" w:rsidP="00BC7813">
      <w:pPr>
        <w:spacing w:after="120" w:line="276" w:lineRule="auto"/>
        <w:ind w:firstLine="709"/>
        <w:jc w:val="both"/>
        <w:rPr>
          <w:rFonts w:ascii="Verdana" w:eastAsia="Calibri" w:hAnsi="Verdana" w:cs="Arial"/>
        </w:rPr>
      </w:pPr>
      <w:r w:rsidRPr="00214436">
        <w:rPr>
          <w:rFonts w:ascii="Verdana" w:eastAsia="Calibri" w:hAnsi="Verdana" w:cs="Arial"/>
        </w:rPr>
        <w:t xml:space="preserve">De acuerdo con lo anterior, las reglas de este procedimiento especial se pueden resumir así: </w:t>
      </w:r>
    </w:p>
    <w:p w14:paraId="22496102" w14:textId="77777777" w:rsidR="00BC7813" w:rsidRPr="00214436" w:rsidRDefault="00BC7813" w:rsidP="00BC7813">
      <w:pPr>
        <w:spacing w:after="120" w:line="276" w:lineRule="auto"/>
        <w:ind w:firstLine="709"/>
        <w:jc w:val="both"/>
        <w:rPr>
          <w:rFonts w:ascii="Verdana" w:eastAsia="Calibri" w:hAnsi="Verdana" w:cs="Arial"/>
        </w:rPr>
      </w:pPr>
      <w:r w:rsidRPr="00214436">
        <w:rPr>
          <w:rFonts w:ascii="Verdana" w:eastAsia="Calibri" w:hAnsi="Verdana" w:cs="Arial"/>
        </w:rPr>
        <w:t>i) Las entidades deberán elaborar la invitación de la mínima cuantía dirigida a los grandes almacenes, la cual debe publicarse en el SECOP y en la página web de la entidad. En contraste con la disposición anterior, esta norma no establece un límite mínimo de grandes almacenes a los cuales debe dirigirse la invitación. Además, dispuso expresamente la publicación de la invitación en el SECOP y en la página web de la entidad</w:t>
      </w:r>
      <w:r w:rsidRPr="00214436">
        <w:rPr>
          <w:rStyle w:val="Refdenotaalpie"/>
          <w:rFonts w:ascii="Verdana" w:eastAsia="Calibri" w:hAnsi="Verdana" w:cs="Arial"/>
        </w:rPr>
        <w:footnoteReference w:id="3"/>
      </w:r>
      <w:r w:rsidRPr="00214436">
        <w:rPr>
          <w:rFonts w:ascii="Verdana" w:eastAsia="Calibri" w:hAnsi="Verdana" w:cs="Arial"/>
        </w:rPr>
        <w:t xml:space="preserve">. </w:t>
      </w:r>
    </w:p>
    <w:p w14:paraId="741B5CAB" w14:textId="77777777" w:rsidR="00BC7813" w:rsidRPr="00214436" w:rsidRDefault="00BC7813" w:rsidP="00BC7813">
      <w:pPr>
        <w:spacing w:after="120" w:line="276" w:lineRule="auto"/>
        <w:ind w:firstLine="709"/>
        <w:jc w:val="both"/>
        <w:rPr>
          <w:rFonts w:ascii="Verdana" w:eastAsia="Calibri" w:hAnsi="Verdana" w:cs="Arial"/>
        </w:rPr>
      </w:pPr>
      <w:proofErr w:type="spellStart"/>
      <w:r w:rsidRPr="00214436">
        <w:rPr>
          <w:rFonts w:ascii="Verdana" w:eastAsia="Calibri" w:hAnsi="Verdana" w:cs="Arial"/>
        </w:rPr>
        <w:t>ii</w:t>
      </w:r>
      <w:proofErr w:type="spellEnd"/>
      <w:r w:rsidRPr="00214436">
        <w:rPr>
          <w:rFonts w:ascii="Verdana" w:eastAsia="Calibri" w:hAnsi="Verdana" w:cs="Arial"/>
        </w:rPr>
        <w:t xml:space="preserve">) En esta invitación debe incorporarse el conjunto de reglas que definen el proceso de contratación. Por tanto, deberán incluirse aspectos como la forma de presentación de la cotización, el plazo para la entrega de </w:t>
      </w:r>
      <w:proofErr w:type="gramStart"/>
      <w:r w:rsidRPr="00214436">
        <w:rPr>
          <w:rFonts w:ascii="Verdana" w:eastAsia="Calibri" w:hAnsi="Verdana" w:cs="Arial"/>
        </w:rPr>
        <w:t>la misma</w:t>
      </w:r>
      <w:proofErr w:type="gramEnd"/>
      <w:r w:rsidRPr="00214436">
        <w:rPr>
          <w:rFonts w:ascii="Verdana" w:eastAsia="Calibri" w:hAnsi="Verdana" w:cs="Arial"/>
        </w:rPr>
        <w:t xml:space="preserve"> que debe ser mínimo de un (1) día hábil, la forma de pago, el lugar de entrega del bien, la descripción completa del bien a adquirir por parte de la entidad contratante, la disponibilidad presupuestal y la demás información que la entidad considere pertinente incluir. Vale señalar que la invitación a la que alude esta norma es una figura propia del procedimiento de mínima cuantía que se encontraba regulada desde la disposición anterior. </w:t>
      </w:r>
    </w:p>
    <w:p w14:paraId="58BF0F3F" w14:textId="77777777" w:rsidR="00BC7813" w:rsidRPr="00214436" w:rsidRDefault="00BC7813" w:rsidP="00BC7813">
      <w:pPr>
        <w:spacing w:after="120" w:line="276" w:lineRule="auto"/>
        <w:ind w:firstLine="709"/>
        <w:jc w:val="both"/>
        <w:rPr>
          <w:rFonts w:ascii="Verdana" w:eastAsia="Calibri" w:hAnsi="Verdana" w:cs="Arial"/>
        </w:rPr>
      </w:pPr>
      <w:proofErr w:type="spellStart"/>
      <w:r w:rsidRPr="00214436">
        <w:rPr>
          <w:rFonts w:ascii="Verdana" w:eastAsia="Calibri" w:hAnsi="Verdana" w:cs="Arial"/>
        </w:rPr>
        <w:t>iii</w:t>
      </w:r>
      <w:proofErr w:type="spellEnd"/>
      <w:r w:rsidRPr="00214436">
        <w:rPr>
          <w:rFonts w:ascii="Verdana" w:eastAsia="Calibri" w:hAnsi="Verdana" w:cs="Arial"/>
        </w:rPr>
        <w:t xml:space="preserve">) Las cotizaciones presentadas por los grandes almacenes deberán ser evaluadas por la entidad, seleccionando a aquella que ofrezca el menor precio del mercado. En este caso, el criterio para escoger la mejor oferta es el menor precio teniendo en cuenta el cumplimiento de las condiciones requeridas. </w:t>
      </w:r>
    </w:p>
    <w:p w14:paraId="34B8B8EE" w14:textId="77777777" w:rsidR="00BC7813" w:rsidRPr="00214436" w:rsidRDefault="00BC7813" w:rsidP="00BC7813">
      <w:pPr>
        <w:spacing w:after="120" w:line="276" w:lineRule="auto"/>
        <w:ind w:firstLine="709"/>
        <w:jc w:val="both"/>
        <w:rPr>
          <w:rFonts w:ascii="Verdana" w:eastAsia="Calibri" w:hAnsi="Verdana" w:cs="Arial"/>
        </w:rPr>
      </w:pPr>
      <w:proofErr w:type="spellStart"/>
      <w:r w:rsidRPr="00214436">
        <w:rPr>
          <w:rFonts w:ascii="Verdana" w:eastAsia="Calibri" w:hAnsi="Verdana" w:cs="Arial"/>
        </w:rPr>
        <w:t>iv</w:t>
      </w:r>
      <w:proofErr w:type="spellEnd"/>
      <w:r w:rsidRPr="00214436">
        <w:rPr>
          <w:rFonts w:ascii="Verdana" w:eastAsia="Calibri" w:hAnsi="Verdana" w:cs="Arial"/>
        </w:rPr>
        <w:t xml:space="preserve">) En caso de empate deberá aplicarse los criterios de desempate establecidos en el artículo </w:t>
      </w:r>
      <w:r w:rsidRPr="00214436">
        <w:rPr>
          <w:rFonts w:ascii="Verdana" w:eastAsia="Calibri" w:hAnsi="Verdana" w:cs="Arial"/>
          <w:lang w:val="es-ES_tradnl"/>
        </w:rPr>
        <w:t xml:space="preserve">2.2.1.2.4.2.17 del Decreto 1082 de 2015. </w:t>
      </w:r>
    </w:p>
    <w:p w14:paraId="2D9B6285" w14:textId="77777777" w:rsidR="00BC7813" w:rsidRPr="00214436" w:rsidRDefault="00BC7813" w:rsidP="00BC7813">
      <w:pPr>
        <w:spacing w:after="120" w:line="276" w:lineRule="auto"/>
        <w:ind w:firstLine="709"/>
        <w:jc w:val="both"/>
        <w:rPr>
          <w:rFonts w:ascii="Verdana" w:eastAsia="Calibri" w:hAnsi="Verdana" w:cs="Arial"/>
        </w:rPr>
      </w:pPr>
      <w:r w:rsidRPr="00214436">
        <w:rPr>
          <w:rFonts w:ascii="Verdana" w:eastAsia="Calibri" w:hAnsi="Verdana" w:cs="Arial"/>
        </w:rPr>
        <w:t xml:space="preserve">De esta manera, el procedimiento </w:t>
      </w:r>
      <w:r w:rsidRPr="00214436">
        <w:rPr>
          <w:rFonts w:ascii="Verdana" w:eastAsia="Calibri" w:hAnsi="Verdana" w:cs="Arial"/>
          <w:bCs/>
          <w:color w:val="000000"/>
          <w:lang w:val="es-ES_tradnl"/>
        </w:rPr>
        <w:t>especial para las adquisiciones en grandes almacenes cuando se trate de mínima cuantía</w:t>
      </w:r>
      <w:r w:rsidRPr="00214436">
        <w:rPr>
          <w:rFonts w:ascii="Verdana" w:eastAsia="Calibri" w:hAnsi="Verdana" w:cs="Arial"/>
        </w:rPr>
        <w:t xml:space="preserve"> debe seguir las reglas previstas en la norma citada y </w:t>
      </w:r>
      <w:r w:rsidRPr="00214436">
        <w:rPr>
          <w:rFonts w:ascii="Verdana" w:hAnsi="Verdana" w:cs="Arial"/>
          <w:lang w:val="es-ES_tradnl"/>
        </w:rPr>
        <w:t>debe concebirse como procedimientos que hacen parte de la modalidad de la mínima cuantía. De hecho, los artículos 2.2.1.2.1.5.3. y 2.2.1.2.1.5.4. del Decreto 1082 de 2015, que regulan esas modalidades, están contenidos en la Subsección 5 que lleva por título «Mínima cuantía». Por tanto, la adquisición en grandes superficies</w:t>
      </w:r>
      <w:r>
        <w:rPr>
          <w:rFonts w:ascii="Verdana" w:hAnsi="Verdana" w:cs="Arial"/>
          <w:lang w:val="es-ES_tradnl"/>
        </w:rPr>
        <w:t xml:space="preserve"> o grandes almacenes</w:t>
      </w:r>
      <w:r w:rsidRPr="00214436">
        <w:rPr>
          <w:rFonts w:ascii="Verdana" w:hAnsi="Verdana" w:cs="Arial"/>
          <w:lang w:val="es-ES_tradnl"/>
        </w:rPr>
        <w:t xml:space="preserve"> debe continuar tramitándose bajo las disposiciones normativas del Decreto 1082 de 2015, específicamente, lo contenido en su Subsección 5, modificada recientemente por el artículo 2 del Decreto 1860 de 2021.</w:t>
      </w:r>
    </w:p>
    <w:p w14:paraId="3D1F5CE9" w14:textId="77777777" w:rsidR="00BC7813" w:rsidRPr="00214436" w:rsidRDefault="00BC7813" w:rsidP="00BC7813">
      <w:pPr>
        <w:spacing w:after="120" w:line="276" w:lineRule="auto"/>
        <w:ind w:firstLine="708"/>
        <w:jc w:val="both"/>
        <w:rPr>
          <w:rFonts w:ascii="Verdana" w:eastAsia="Calibri" w:hAnsi="Verdana" w:cs="Arial"/>
        </w:rPr>
      </w:pPr>
      <w:r>
        <w:rPr>
          <w:rFonts w:ascii="Verdana" w:eastAsia="Calibri" w:hAnsi="Verdana" w:cs="Arial"/>
        </w:rPr>
        <w:t>L</w:t>
      </w:r>
      <w:r w:rsidRPr="00214436">
        <w:rPr>
          <w:rFonts w:ascii="Verdana" w:eastAsia="Calibri" w:hAnsi="Verdana" w:cs="Arial"/>
        </w:rPr>
        <w:t xml:space="preserve">os procesos de contratación derivados de los acuerdos marco de precios o instrumentos de agregación de demanda deben adelantarse en la Tienda Virtual del Estado Colombiano y no se requiere publicarlos en otras plataformas. Por ello, la publicación que se realice en la Tienda Virtual del Estado Colombiano no debe ser publicado en ninguna otra plataforma del SECOP, pues esto generaría duplicidad de información.  </w:t>
      </w:r>
    </w:p>
    <w:p w14:paraId="773C3341" w14:textId="77777777" w:rsidR="00BC7813" w:rsidRPr="00214436" w:rsidRDefault="00BC7813" w:rsidP="00BC7813">
      <w:pPr>
        <w:spacing w:after="120" w:line="276" w:lineRule="auto"/>
        <w:ind w:firstLine="708"/>
        <w:jc w:val="both"/>
        <w:rPr>
          <w:rFonts w:ascii="Verdana" w:eastAsia="Calibri" w:hAnsi="Verdana" w:cs="Arial"/>
        </w:rPr>
      </w:pPr>
      <w:r>
        <w:rPr>
          <w:rFonts w:ascii="Verdana" w:eastAsia="Calibri" w:hAnsi="Verdana" w:cs="Arial"/>
        </w:rPr>
        <w:t xml:space="preserve">Así mismo, </w:t>
      </w:r>
      <w:r w:rsidRPr="00214436">
        <w:rPr>
          <w:rFonts w:ascii="Verdana" w:eastAsia="Calibri" w:hAnsi="Verdana" w:cs="Arial"/>
        </w:rPr>
        <w:t>según el Decreto Ley 4170 de 2011 y en virtud del parágrafo 5 del artículo 2 de la Ley 1150 de 2007, la</w:t>
      </w:r>
      <w:r w:rsidRPr="00214436">
        <w:rPr>
          <w:rFonts w:ascii="Verdana" w:eastAsia="Calibri" w:hAnsi="Verdana" w:cs="Arial"/>
          <w:bCs/>
          <w:color w:val="000000" w:themeColor="text1"/>
          <w:lang w:val="es-ES_tradnl"/>
        </w:rPr>
        <w:t xml:space="preserve"> </w:t>
      </w:r>
      <w:r w:rsidRPr="00214436">
        <w:rPr>
          <w:rFonts w:ascii="Verdana" w:eastAsia="Calibri" w:hAnsi="Verdana" w:cs="Arial"/>
        </w:rPr>
        <w:t xml:space="preserve">Agencia Nacional de Contratación Pública – Colombia Compra Eficiente tiene la función de reglamentar el uso de los Instrumentos de Agregación de Demanda, y la adquisición de mínima cuantía en grandes superficies. En virtud de esta misma competencia se reglamenta la operación de la Tienda Virtual del Estado Colombiano. Concretamente, para la adquisición de bienes en la modalidad de mínima cuantía, esta Agencia ha dispuesto la </w:t>
      </w:r>
      <w:r>
        <w:rPr>
          <w:rFonts w:ascii="Verdana" w:eastAsia="Calibri" w:hAnsi="Verdana" w:cs="Arial"/>
          <w:bCs/>
          <w:color w:val="000000" w:themeColor="text1"/>
        </w:rPr>
        <w:t>G</w:t>
      </w:r>
      <w:r w:rsidRPr="004D4531">
        <w:rPr>
          <w:rFonts w:ascii="Verdana" w:eastAsia="Calibri" w:hAnsi="Verdana" w:cs="Arial"/>
          <w:bCs/>
          <w:color w:val="000000" w:themeColor="text1"/>
        </w:rPr>
        <w:t>uía de uso del portal de proveedores de la tienda virtual del estado colombiano grandes almacenes</w:t>
      </w:r>
      <w:r>
        <w:rPr>
          <w:rStyle w:val="Refdenotaalpie"/>
          <w:rFonts w:ascii="Verdana" w:eastAsia="Calibri" w:hAnsi="Verdana" w:cs="Arial"/>
          <w:bCs/>
          <w:color w:val="000000" w:themeColor="text1"/>
        </w:rPr>
        <w:footnoteReference w:id="4"/>
      </w:r>
      <w:r>
        <w:rPr>
          <w:rFonts w:ascii="Verdana" w:eastAsia="Calibri" w:hAnsi="Verdana" w:cs="Arial"/>
          <w:bCs/>
          <w:color w:val="000000" w:themeColor="text1"/>
        </w:rPr>
        <w:t xml:space="preserve"> así como los T</w:t>
      </w:r>
      <w:r w:rsidRPr="004D4531">
        <w:rPr>
          <w:rFonts w:ascii="Verdana" w:eastAsia="Calibri" w:hAnsi="Verdana" w:cs="Arial"/>
          <w:bCs/>
          <w:color w:val="000000" w:themeColor="text1"/>
        </w:rPr>
        <w:t>érminos y condiciones de uso de la tienda virtual del Estado Colombiano</w:t>
      </w:r>
      <w:r>
        <w:rPr>
          <w:rStyle w:val="Refdenotaalpie"/>
          <w:rFonts w:ascii="Verdana" w:eastAsia="Calibri" w:hAnsi="Verdana" w:cs="Arial"/>
          <w:bCs/>
          <w:color w:val="000000" w:themeColor="text1"/>
        </w:rPr>
        <w:footnoteReference w:id="5"/>
      </w:r>
      <w:r w:rsidRPr="00214436">
        <w:rPr>
          <w:rFonts w:ascii="Verdana" w:eastAsia="Calibri" w:hAnsi="Verdana" w:cs="Arial"/>
          <w:bCs/>
          <w:color w:val="000000" w:themeColor="text1"/>
          <w:lang w:val="es-ES_tradnl"/>
        </w:rPr>
        <w:t>. Cuando se realice por este medio, en esta</w:t>
      </w:r>
      <w:r>
        <w:rPr>
          <w:rFonts w:ascii="Verdana" w:eastAsia="Calibri" w:hAnsi="Verdana" w:cs="Arial"/>
          <w:bCs/>
          <w:color w:val="000000" w:themeColor="text1"/>
          <w:lang w:val="es-ES_tradnl"/>
        </w:rPr>
        <w:t>s</w:t>
      </w:r>
      <w:r w:rsidRPr="00214436">
        <w:rPr>
          <w:rFonts w:ascii="Verdana" w:eastAsia="Calibri" w:hAnsi="Verdana" w:cs="Arial"/>
          <w:bCs/>
          <w:color w:val="000000" w:themeColor="text1"/>
          <w:lang w:val="es-ES_tradnl"/>
        </w:rPr>
        <w:t xml:space="preserve"> Guía</w:t>
      </w:r>
      <w:r>
        <w:rPr>
          <w:rFonts w:ascii="Verdana" w:eastAsia="Calibri" w:hAnsi="Verdana" w:cs="Arial"/>
          <w:bCs/>
          <w:color w:val="000000" w:themeColor="text1"/>
          <w:lang w:val="es-ES_tradnl"/>
        </w:rPr>
        <w:t>s</w:t>
      </w:r>
      <w:r w:rsidRPr="00214436">
        <w:rPr>
          <w:rFonts w:ascii="Verdana" w:eastAsia="Calibri" w:hAnsi="Verdana" w:cs="Arial"/>
          <w:bCs/>
          <w:color w:val="000000" w:themeColor="text1"/>
          <w:lang w:val="es-ES_tradnl"/>
        </w:rPr>
        <w:t xml:space="preserve"> se encuentra la información referente al registro en la plataforma, la forma en la que la entidad puede realizar la búsqueda de los bienes necesarios, realizar la </w:t>
      </w:r>
      <w:r>
        <w:rPr>
          <w:rFonts w:ascii="Verdana" w:eastAsia="Calibri" w:hAnsi="Verdana" w:cs="Arial"/>
          <w:bCs/>
          <w:color w:val="000000" w:themeColor="text1"/>
          <w:lang w:val="es-ES_tradnl"/>
        </w:rPr>
        <w:t>“</w:t>
      </w:r>
      <w:r w:rsidRPr="00214436">
        <w:rPr>
          <w:rFonts w:ascii="Verdana" w:eastAsia="Calibri" w:hAnsi="Verdana" w:cs="Arial"/>
          <w:bCs/>
          <w:color w:val="000000" w:themeColor="text1"/>
          <w:lang w:val="es-ES_tradnl"/>
        </w:rPr>
        <w:t>solicitud de cotización</w:t>
      </w:r>
      <w:r>
        <w:rPr>
          <w:rFonts w:ascii="Verdana" w:eastAsia="Calibri" w:hAnsi="Verdana" w:cs="Arial"/>
          <w:bCs/>
          <w:color w:val="000000" w:themeColor="text1"/>
          <w:lang w:val="es-ES_tradnl"/>
        </w:rPr>
        <w:t>”</w:t>
      </w:r>
      <w:r w:rsidRPr="00214436">
        <w:rPr>
          <w:rFonts w:ascii="Verdana" w:eastAsia="Calibri" w:hAnsi="Verdana" w:cs="Arial"/>
          <w:bCs/>
          <w:color w:val="000000" w:themeColor="text1"/>
          <w:lang w:val="es-ES_tradnl"/>
        </w:rPr>
        <w:t xml:space="preserve"> de los bienes y servicios incluidos en el catálogo, solicitar la orden de compra y otras actividades asociadas al procedimiento de compra en esta plataforma transaccional. </w:t>
      </w:r>
    </w:p>
    <w:p w14:paraId="5B8731EF" w14:textId="77777777" w:rsidR="00BC7813" w:rsidRPr="00214436" w:rsidRDefault="00BC7813" w:rsidP="00BC7813">
      <w:pPr>
        <w:spacing w:after="120" w:line="276" w:lineRule="auto"/>
        <w:ind w:firstLine="708"/>
        <w:jc w:val="both"/>
        <w:rPr>
          <w:rFonts w:ascii="Verdana" w:eastAsia="Calibri" w:hAnsi="Verdana" w:cs="Arial"/>
        </w:rPr>
      </w:pPr>
      <w:bookmarkStart w:id="11" w:name="_Hlk102028012"/>
      <w:r>
        <w:rPr>
          <w:rFonts w:ascii="Verdana" w:eastAsia="Calibri" w:hAnsi="Verdana" w:cs="Arial"/>
        </w:rPr>
        <w:t>De acuerdo con lo anterior,</w:t>
      </w:r>
      <w:r w:rsidRPr="00214436">
        <w:rPr>
          <w:rFonts w:ascii="Verdana" w:eastAsia="Calibri" w:hAnsi="Verdana" w:cs="Arial"/>
        </w:rPr>
        <w:t xml:space="preserve"> cuando la entidad opte por acudir a la adquisición en grandes almacenes cuando se trate de mínima cuantía a través de Tienda Virtual del Estado Colombiano, este será el componente del SECOP donde realizará la publicidad. Lo anterior teniendo en cuenta las instrucciones determinadas en la</w:t>
      </w:r>
      <w:r>
        <w:rPr>
          <w:rFonts w:ascii="Verdana" w:eastAsia="Calibri" w:hAnsi="Verdana" w:cs="Arial"/>
        </w:rPr>
        <w:t xml:space="preserve">s guías antes referenciadas </w:t>
      </w:r>
      <w:r w:rsidRPr="00214436">
        <w:rPr>
          <w:rFonts w:ascii="Verdana" w:eastAsia="Calibri" w:hAnsi="Verdana" w:cs="Arial"/>
          <w:bCs/>
          <w:color w:val="000000" w:themeColor="text1"/>
        </w:rPr>
        <w:t>cuando se trata de mínima cuantía por la Tienda Virtual del Estado Colombiano</w:t>
      </w:r>
      <w:r w:rsidRPr="00214436">
        <w:rPr>
          <w:rFonts w:ascii="Verdana" w:eastAsia="Calibri" w:hAnsi="Verdana" w:cs="Arial"/>
          <w:bCs/>
          <w:color w:val="000000" w:themeColor="text1"/>
          <w:lang w:val="es-ES_tradnl"/>
        </w:rPr>
        <w:t xml:space="preserve"> o el documento que lo remplace. </w:t>
      </w:r>
      <w:bookmarkEnd w:id="11"/>
    </w:p>
    <w:p w14:paraId="6C937843" w14:textId="77777777" w:rsidR="00BC7813" w:rsidRDefault="00BC7813" w:rsidP="00BC7813">
      <w:pPr>
        <w:spacing w:after="120" w:line="276" w:lineRule="auto"/>
        <w:ind w:firstLine="708"/>
        <w:jc w:val="both"/>
        <w:rPr>
          <w:rFonts w:ascii="Verdana" w:eastAsia="Calibri" w:hAnsi="Verdana" w:cs="Arial"/>
        </w:rPr>
      </w:pPr>
      <w:r w:rsidRPr="00214436">
        <w:rPr>
          <w:rFonts w:ascii="Verdana" w:eastAsia="Calibri" w:hAnsi="Verdana" w:cs="Arial"/>
        </w:rPr>
        <w:t xml:space="preserve">Adicionalmente, por disposición expresa del numeral 1 del artículo 2.2.1.2.1.5.3. del Decreto 1082 de 2015, la invitación deberá ser publicada en la página web de la entidad. Sin embargo, se considera que la finalidad de la norma con este mandato no es establecer un proceso paralelo al de la plataforma del SECOP, sino fortalecer el principio de publicidad, de manera que se garantice que el proceso de contratación sea transparente y pueda ser objeto de conocimiento de la ciudadanía en general. En tal sentido, en cumplimiento del artículo 2.2.1.2.1.5.3. del Decreto 1082 de 2015, modificado por el artículo 2 del Decreto 1860 de 2021, las entidades estatales adelantarán la adquisición en grandes almacenes cuando se trate de mínima cuantía en la Tienda Virtual del Estado Colombiano cuando utilicen este medio y, para efectos de publicidad, se realizará la publicación de la invitación en la página web de la entidad. </w:t>
      </w:r>
    </w:p>
    <w:p w14:paraId="70798564" w14:textId="77777777" w:rsidR="00BC7813" w:rsidRDefault="00BC7813" w:rsidP="00BC7813">
      <w:pPr>
        <w:spacing w:after="120" w:line="276" w:lineRule="auto"/>
        <w:ind w:firstLine="709"/>
        <w:jc w:val="both"/>
        <w:rPr>
          <w:rFonts w:ascii="Verdana" w:eastAsia="Calibri" w:hAnsi="Verdana" w:cs="Arial"/>
          <w:bCs/>
          <w:color w:val="000000" w:themeColor="text1"/>
        </w:rPr>
      </w:pPr>
      <w:r w:rsidRPr="00E853DE">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0FF52A1" w14:textId="77777777" w:rsidR="00BC7813" w:rsidRDefault="00BC7813" w:rsidP="00BC7813">
      <w:pPr>
        <w:spacing w:after="120" w:line="276" w:lineRule="auto"/>
        <w:ind w:firstLine="709"/>
        <w:jc w:val="both"/>
        <w:rPr>
          <w:rFonts w:ascii="Verdana" w:eastAsia="Calibri" w:hAnsi="Verdana" w:cs="Arial"/>
          <w:bCs/>
          <w:color w:val="000000" w:themeColor="text1"/>
        </w:rPr>
      </w:pPr>
      <w:r w:rsidRPr="00E853DE">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w:t>
      </w:r>
      <w:r w:rsidRPr="001941FD">
        <w:rPr>
          <w:rStyle w:val="s15"/>
          <w:rFonts w:ascii="Verdana" w:hAnsi="Verdana"/>
          <w:color w:val="000000"/>
        </w:rPr>
        <w:t>cada entidad definirá la forma de adelantar su gestión contractual, sin que sea atribución de Colombia Compra Eficiente</w:t>
      </w:r>
      <w:r>
        <w:rPr>
          <w:rStyle w:val="s15"/>
          <w:rFonts w:ascii="Verdana" w:hAnsi="Verdana"/>
          <w:color w:val="000000"/>
        </w:rPr>
        <w:t xml:space="preserve"> determinar qué </w:t>
      </w:r>
      <w:r>
        <w:rPr>
          <w:rFonts w:ascii="Verdana" w:eastAsia="Calibri" w:hAnsi="Verdana" w:cs="Arial"/>
          <w:color w:val="000000" w:themeColor="text1"/>
        </w:rPr>
        <w:t>bienes y servicios de características técnicas uniformes y de común utilización están sujetos a derechos de autor y</w:t>
      </w:r>
      <w:r w:rsidRPr="001941FD">
        <w:rPr>
          <w:rStyle w:val="s15"/>
          <w:rFonts w:ascii="Verdana" w:hAnsi="Verdana"/>
          <w:color w:val="000000"/>
        </w:rPr>
        <w:t xml:space="preserve"> validar sus actuaciones.</w:t>
      </w:r>
      <w:r w:rsidRPr="00185EE9">
        <w:rPr>
          <w:rFonts w:ascii="Verdana" w:eastAsia="Calibri" w:hAnsi="Verdana" w:cs="Arial"/>
          <w:bCs/>
          <w:color w:val="000000" w:themeColor="text1"/>
        </w:rPr>
        <w:t xml:space="preserve"> </w:t>
      </w:r>
    </w:p>
    <w:p w14:paraId="5E11A35B" w14:textId="77777777" w:rsidR="00BC7813" w:rsidRPr="009E51D7" w:rsidRDefault="00BC7813" w:rsidP="00BC7813">
      <w:pPr>
        <w:tabs>
          <w:tab w:val="left" w:pos="142"/>
          <w:tab w:val="left" w:pos="284"/>
        </w:tabs>
        <w:spacing w:after="0" w:line="276" w:lineRule="auto"/>
        <w:jc w:val="both"/>
        <w:rPr>
          <w:rFonts w:ascii="Verdana" w:eastAsia="Century Gothic" w:hAnsi="Verdana" w:cs="Century Gothic"/>
          <w:b/>
          <w:bCs/>
        </w:rPr>
      </w:pPr>
      <w:r w:rsidRPr="009E51D7">
        <w:rPr>
          <w:rFonts w:ascii="Verdana" w:eastAsia="Calibri" w:hAnsi="Verdana" w:cs="Arial"/>
          <w:b/>
          <w:color w:val="000000" w:themeColor="text1"/>
        </w:rPr>
        <w:t xml:space="preserve">4. </w:t>
      </w:r>
      <w:r w:rsidRPr="009E51D7">
        <w:rPr>
          <w:rFonts w:ascii="Verdana" w:eastAsia="Century Gothic" w:hAnsi="Verdana" w:cs="Century Gothic"/>
          <w:b/>
          <w:bCs/>
        </w:rPr>
        <w:t>Referencias normativas, jurisprudenciales y otras fuentes:</w:t>
      </w:r>
    </w:p>
    <w:p w14:paraId="65B4D517" w14:textId="77777777" w:rsidR="00BC7813" w:rsidRPr="00E5656D" w:rsidRDefault="00BC7813" w:rsidP="00BC7813">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C7813" w:rsidRPr="002D2C18" w14:paraId="194CA0A2" w14:textId="77777777" w:rsidTr="00F76CC4">
        <w:trPr>
          <w:trHeight w:val="56"/>
          <w:jc w:val="center"/>
        </w:trPr>
        <w:tc>
          <w:tcPr>
            <w:tcW w:w="8647" w:type="dxa"/>
          </w:tcPr>
          <w:p w14:paraId="655FC266" w14:textId="77777777" w:rsidR="00BC7813"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Ley 1150 de 2007. Artículo 33 y 38 parágrafo. </w:t>
            </w:r>
          </w:p>
          <w:p w14:paraId="25B1A43D" w14:textId="77777777" w:rsidR="00BC7813"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Ley 1150 de 2007. Artículo 2 numeral 4 literal g.</w:t>
            </w:r>
          </w:p>
          <w:p w14:paraId="2AF68231" w14:textId="77777777" w:rsidR="00BC7813" w:rsidRPr="004F20CE"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cs="Arial"/>
                <w:lang w:eastAsia="es-ES"/>
              </w:rPr>
              <w:t xml:space="preserve">Decreto 1082 de 2015. Artículo </w:t>
            </w:r>
            <w:r w:rsidRPr="0041175A">
              <w:rPr>
                <w:rFonts w:ascii="Verdana" w:eastAsia="Calibri" w:hAnsi="Verdana" w:cs="Arial"/>
                <w:color w:val="000000" w:themeColor="text1"/>
                <w:lang w:val="es-ES_tradnl"/>
              </w:rPr>
              <w:t>2.2.1.2.1.4.8</w:t>
            </w:r>
            <w:r>
              <w:rPr>
                <w:rFonts w:ascii="Verdana" w:eastAsia="Calibri" w:hAnsi="Verdana" w:cs="Arial"/>
                <w:color w:val="000000" w:themeColor="text1"/>
                <w:lang w:val="es-ES_tradnl"/>
              </w:rPr>
              <w:t xml:space="preserve">., </w:t>
            </w:r>
            <w:r w:rsidRPr="00214436">
              <w:rPr>
                <w:rFonts w:ascii="Verdana" w:eastAsia="Calibri" w:hAnsi="Verdana" w:cs="Arial"/>
                <w:bCs/>
                <w:color w:val="000000"/>
                <w:lang w:val="es-ES_tradnl"/>
              </w:rPr>
              <w:t>2.2.1.2.1.5.3.</w:t>
            </w:r>
            <w:r>
              <w:rPr>
                <w:rFonts w:ascii="Verdana" w:eastAsia="Calibri" w:hAnsi="Verdana" w:cs="Arial"/>
                <w:bCs/>
                <w:color w:val="000000"/>
                <w:lang w:val="es-ES_tradnl"/>
              </w:rPr>
              <w:t xml:space="preserve">, </w:t>
            </w:r>
            <w:r w:rsidRPr="00214436">
              <w:rPr>
                <w:rFonts w:ascii="Verdana" w:hAnsi="Verdana" w:cs="Arial"/>
                <w:lang w:val="es-ES_tradnl"/>
              </w:rPr>
              <w:t>2.2.1.2.1.5.4</w:t>
            </w:r>
            <w:r>
              <w:rPr>
                <w:rFonts w:ascii="Verdana" w:hAnsi="Verdana" w:cs="Arial"/>
                <w:lang w:val="es-ES_tradnl"/>
              </w:rPr>
              <w:t>.</w:t>
            </w:r>
          </w:p>
          <w:p w14:paraId="4DED56F6" w14:textId="77777777" w:rsidR="00BC7813" w:rsidRPr="004F20CE"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sidRPr="00214436">
              <w:rPr>
                <w:rFonts w:ascii="Verdana" w:eastAsia="Calibri" w:hAnsi="Verdana" w:cs="Arial"/>
                <w:bCs/>
                <w:color w:val="000000"/>
                <w:lang w:val="es-ES_tradnl"/>
              </w:rPr>
              <w:t>1860 de 2021</w:t>
            </w:r>
            <w:r>
              <w:rPr>
                <w:rFonts w:ascii="Verdana" w:eastAsia="Calibri" w:hAnsi="Verdana" w:cs="Arial"/>
                <w:bCs/>
                <w:color w:val="000000"/>
                <w:lang w:val="es-ES_tradnl"/>
              </w:rPr>
              <w:t>. Artículo 2.</w:t>
            </w:r>
          </w:p>
          <w:p w14:paraId="252DE7F2" w14:textId="77777777" w:rsidR="00BC7813" w:rsidRPr="004F20CE"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sidRPr="004F20CE">
              <w:rPr>
                <w:rFonts w:ascii="Verdana" w:hAnsi="Verdana" w:cs="Arial"/>
                <w:lang w:eastAsia="es-ES"/>
              </w:rPr>
              <w:t xml:space="preserve">Consejo de Estado. Sala de Consulta y Servicio Civil. Concepto del 08 de mayo de 2018. </w:t>
            </w:r>
            <w:proofErr w:type="spellStart"/>
            <w:r w:rsidRPr="004F20CE">
              <w:rPr>
                <w:rFonts w:ascii="Verdana" w:hAnsi="Verdana" w:cs="Arial"/>
                <w:lang w:eastAsia="es-ES"/>
              </w:rPr>
              <w:t>Exp</w:t>
            </w:r>
            <w:proofErr w:type="spellEnd"/>
            <w:r w:rsidRPr="004F20CE">
              <w:rPr>
                <w:rFonts w:ascii="Verdana" w:hAnsi="Verdana" w:cs="Arial"/>
                <w:lang w:eastAsia="es-ES"/>
              </w:rPr>
              <w:t>. 2.382. C.P. Álvaro Namén Vargas.</w:t>
            </w:r>
          </w:p>
          <w:p w14:paraId="6D27FAD0" w14:textId="77777777" w:rsidR="00BC7813"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sidRPr="004F20CE">
              <w:rPr>
                <w:rFonts w:ascii="Verdana" w:hAnsi="Verdana" w:cs="Arial"/>
                <w:lang w:eastAsia="es-ES"/>
              </w:rPr>
              <w:t>DROMI, José Roberto. La licitación pública. Buenos Aires: Ciudad Argentina, 1980.</w:t>
            </w:r>
          </w:p>
          <w:p w14:paraId="31CDFDD7" w14:textId="77777777" w:rsidR="00BC7813"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sidRPr="004F20CE">
              <w:rPr>
                <w:rFonts w:ascii="Verdana" w:hAnsi="Verdana" w:cs="Arial"/>
                <w:lang w:eastAsia="es-ES"/>
              </w:rPr>
              <w:t>DÁVILA VINUEZA, Luis Guillermo. Régimen jurídico de la contratación estatal. Bogotá: Legis, 2016</w:t>
            </w:r>
            <w:r>
              <w:rPr>
                <w:rFonts w:ascii="Verdana" w:hAnsi="Verdana" w:cs="Arial"/>
                <w:lang w:eastAsia="es-ES"/>
              </w:rPr>
              <w:t>.</w:t>
            </w:r>
          </w:p>
          <w:p w14:paraId="468FF9BF" w14:textId="77777777" w:rsidR="00BC7813" w:rsidRPr="004F20CE"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rPr>
              <w:t xml:space="preserve">Guía de uso del portal de proveedores de la Tienda Virtual del Estado Colombiano grandes superficies. </w:t>
            </w:r>
            <w:r w:rsidRPr="004F20CE">
              <w:rPr>
                <w:rFonts w:ascii="Verdana" w:hAnsi="Verdana"/>
              </w:rPr>
              <w:t xml:space="preserve">Disponible en </w:t>
            </w:r>
            <w:hyperlink r:id="rId12" w:history="1">
              <w:r w:rsidRPr="004F20CE">
                <w:rPr>
                  <w:rStyle w:val="Hipervnculo"/>
                  <w:rFonts w:ascii="Verdana" w:hAnsi="Verdana"/>
                  <w:lang w:val="es-CO"/>
                </w:rPr>
                <w:t>20221219_guia_de_uso_del_portal_de_proveedores_de_la_tienda_virtual_del_estado_colombiano_grandes_almacenes_0.pdf</w:t>
              </w:r>
            </w:hyperlink>
          </w:p>
          <w:p w14:paraId="1C6CE9A8" w14:textId="77777777" w:rsidR="00BC7813" w:rsidRPr="004F20CE" w:rsidRDefault="00BC7813" w:rsidP="00F76CC4">
            <w:pPr>
              <w:pStyle w:val="Prrafodelista"/>
              <w:widowControl w:val="0"/>
              <w:numPr>
                <w:ilvl w:val="0"/>
                <w:numId w:val="17"/>
              </w:numPr>
              <w:autoSpaceDE w:val="0"/>
              <w:autoSpaceDN w:val="0"/>
              <w:spacing w:line="276" w:lineRule="auto"/>
              <w:jc w:val="both"/>
              <w:rPr>
                <w:rFonts w:ascii="Verdana" w:hAnsi="Verdana" w:cs="Arial"/>
                <w:lang w:eastAsia="es-ES"/>
              </w:rPr>
            </w:pPr>
            <w:r>
              <w:rPr>
                <w:rFonts w:ascii="Verdana" w:hAnsi="Verdana"/>
              </w:rPr>
              <w:t xml:space="preserve">Términos y condiciones de uso de la Tienda Virtual del Estado Colombiano. </w:t>
            </w:r>
            <w:r w:rsidRPr="004F20CE">
              <w:rPr>
                <w:rFonts w:ascii="Verdana" w:hAnsi="Verdana"/>
              </w:rPr>
              <w:t xml:space="preserve">Disponible en </w:t>
            </w:r>
            <w:hyperlink r:id="rId13" w:history="1">
              <w:r w:rsidRPr="004F20CE">
                <w:rPr>
                  <w:rStyle w:val="Hipervnculo"/>
                  <w:rFonts w:ascii="Verdana" w:hAnsi="Verdana"/>
                  <w:lang w:val="es-CO"/>
                </w:rPr>
                <w:t>_terminos_y_codiciones_de_uso_de_la_tienda_virtual_del_estado_colombiano_v2_08-08-2022docx.pdf</w:t>
              </w:r>
            </w:hyperlink>
          </w:p>
        </w:tc>
      </w:tr>
    </w:tbl>
    <w:p w14:paraId="2BBB2F16" w14:textId="77777777" w:rsidR="00BC7813" w:rsidRDefault="00BC7813" w:rsidP="00BC7813">
      <w:pPr>
        <w:tabs>
          <w:tab w:val="left" w:pos="142"/>
          <w:tab w:val="left" w:pos="284"/>
          <w:tab w:val="left" w:pos="3828"/>
        </w:tabs>
        <w:spacing w:after="0" w:line="276" w:lineRule="auto"/>
        <w:jc w:val="both"/>
        <w:rPr>
          <w:rFonts w:ascii="Verdana" w:eastAsia="Century Gothic" w:hAnsi="Verdana" w:cs="Century Gothic"/>
          <w:b/>
          <w:bCs/>
        </w:rPr>
      </w:pPr>
    </w:p>
    <w:p w14:paraId="470A165D" w14:textId="77777777" w:rsidR="00BC7813" w:rsidRPr="0091091D" w:rsidRDefault="00BC7813" w:rsidP="00BC7813">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12352769" w14:textId="77777777" w:rsidR="00BC7813" w:rsidRDefault="00BC7813" w:rsidP="00BC7813">
      <w:pPr>
        <w:widowControl w:val="0"/>
        <w:autoSpaceDE w:val="0"/>
        <w:autoSpaceDN w:val="0"/>
        <w:spacing w:after="120" w:line="276" w:lineRule="auto"/>
        <w:jc w:val="both"/>
        <w:rPr>
          <w:rFonts w:ascii="Verdana" w:eastAsia="Calibri" w:hAnsi="Verdana" w:cs="Arial"/>
        </w:rPr>
      </w:pPr>
      <w:r>
        <w:rPr>
          <w:rFonts w:ascii="Verdana" w:eastAsia="Calibri" w:hAnsi="Verdana" w:cs="Arial"/>
        </w:rPr>
        <w:t>L</w:t>
      </w:r>
      <w:r w:rsidRPr="00880608">
        <w:rPr>
          <w:rFonts w:ascii="Verdana" w:eastAsia="Calibri" w:hAnsi="Verdana" w:cs="Arial"/>
        </w:rPr>
        <w:t xml:space="preserve">a </w:t>
      </w:r>
      <w:r w:rsidRPr="009E51D7">
        <w:rPr>
          <w:rFonts w:ascii="Verdana" w:eastAsia="Calibri" w:hAnsi="Verdana" w:cs="Arial"/>
        </w:rPr>
        <w:t xml:space="preserve">Agencia Nacional de Contratación Pública – Colombia Compra Eficiente se ha pronunciado sobre </w:t>
      </w:r>
      <w:r w:rsidRPr="009E51D7">
        <w:rPr>
          <w:rFonts w:ascii="Verdana" w:eastAsia="Calibri" w:hAnsi="Verdana" w:cs="Arial"/>
          <w:lang w:val="es-ES"/>
        </w:rPr>
        <w:t xml:space="preserve">la causal de contratación directa por ausencia de pluralidad de oferentes en los conceptos C-321 del 23 de agosto de 2024, C, 567 del 21 de octubre de 2024, C-383 del 28 de abril de 2025, </w:t>
      </w:r>
      <w:r w:rsidRPr="009E51D7">
        <w:rPr>
          <w:rFonts w:ascii="Verdana" w:eastAsia="Calibri" w:hAnsi="Verdana" w:cs="Arial"/>
        </w:rPr>
        <w:t xml:space="preserve">C-529 del 12 de mayo de 2026, entre otros. </w:t>
      </w:r>
    </w:p>
    <w:p w14:paraId="1C35A27E" w14:textId="0146E22D" w:rsidR="00BC7813" w:rsidRPr="004F20CE" w:rsidRDefault="00BC7813" w:rsidP="00BC7813">
      <w:pPr>
        <w:widowControl w:val="0"/>
        <w:autoSpaceDE w:val="0"/>
        <w:autoSpaceDN w:val="0"/>
        <w:spacing w:after="120" w:line="276" w:lineRule="auto"/>
        <w:jc w:val="both"/>
        <w:rPr>
          <w:rFonts w:ascii="Verdana" w:eastAsia="Calibri" w:hAnsi="Verdana" w:cs="Arial"/>
        </w:rPr>
      </w:pPr>
      <w:r w:rsidRPr="009E51D7">
        <w:rPr>
          <w:rFonts w:ascii="Verdana" w:eastAsia="Calibri" w:hAnsi="Verdana" w:cs="Arial"/>
        </w:rPr>
        <w:t xml:space="preserve">Por su parte, sobre el alcance del artículo 30 de la Ley 2069 de 2020 </w:t>
      </w:r>
      <w:r w:rsidR="00D057F1">
        <w:rPr>
          <w:rFonts w:ascii="Verdana" w:eastAsia="Calibri" w:hAnsi="Verdana" w:cs="Arial"/>
        </w:rPr>
        <w:t>l</w:t>
      </w:r>
      <w:r w:rsidRPr="009E51D7">
        <w:rPr>
          <w:rFonts w:ascii="Verdana" w:eastAsia="Calibri" w:hAnsi="Verdana" w:cs="Arial"/>
        </w:rPr>
        <w:t xml:space="preserve">a Agencia se ha pronunciado en los conceptos C-005 del 16 de febrero de 2021, C-037 del 26 de febrero de 2021, C-035 del 02 de marzo de 2021, C-126 del 06 de abril de 2021, C-127 del 06 de abril de 2021, C-144 del 07 de abril de 2021, C-141 del 08 de abril de 2021, C-163, C-164 del 19 de abril de 2021, C-242 del 25 de mayo de 2021, C-496 del 14 de septiembre de 2021, C-573 de 13 de octubre de 2021 y C-001 del 17 de febrero de 2022, C- 293 del 12 de mayo de 2022, </w:t>
      </w:r>
      <w:r w:rsidRPr="009E51D7">
        <w:rPr>
          <w:rFonts w:ascii="Verdana" w:eastAsia="Calibri" w:hAnsi="Verdana" w:cs="Arial"/>
          <w:lang w:val="es-ES" w:eastAsia="es-ES"/>
        </w:rPr>
        <w:t>entre otros</w:t>
      </w:r>
      <w:r w:rsidRPr="009E51D7">
        <w:rPr>
          <w:rFonts w:ascii="Verdana" w:eastAsia="Calibri" w:hAnsi="Verdana" w:cs="Arial"/>
          <w:lang w:eastAsia="es-ES"/>
        </w:rPr>
        <w:t xml:space="preserve">. </w:t>
      </w:r>
      <w:r w:rsidRPr="009E51D7">
        <w:rPr>
          <w:rFonts w:ascii="Verdana" w:hAnsi="Verdana" w:cs="Arial"/>
        </w:rPr>
        <w:t xml:space="preserve">Estos y otros </w:t>
      </w:r>
      <w:r w:rsidRPr="009E51D7">
        <w:rPr>
          <w:rFonts w:ascii="Verdana" w:hAnsi="Verdana"/>
        </w:rPr>
        <w:t>conceptos se encuentran disponibles para consulta en el Sistema de relatoría de la Agencia, al cual se puede acceder a través del siguiente enlace:</w:t>
      </w:r>
      <w:r w:rsidRPr="009E51D7">
        <w:rPr>
          <w:rFonts w:ascii="Verdana" w:hAnsi="Verdana" w:cs="Arial"/>
          <w:shd w:val="clear" w:color="auto" w:fill="FFFFFF"/>
        </w:rPr>
        <w:t xml:space="preserve"> </w:t>
      </w:r>
      <w:hyperlink r:id="rId14" w:history="1">
        <w:r w:rsidRPr="009E51D7">
          <w:rPr>
            <w:rFonts w:ascii="Verdana" w:hAnsi="Verdana" w:cs="Arial"/>
            <w:color w:val="0563C1" w:themeColor="hyperlink"/>
            <w:u w:val="single"/>
            <w:shd w:val="clear" w:color="auto" w:fill="FFFFFF"/>
          </w:rPr>
          <w:t>https://relatoria.colombiacompra.gov.co/busqueda/conceptos</w:t>
        </w:r>
      </w:hyperlink>
      <w:r w:rsidRPr="009E51D7">
        <w:rPr>
          <w:rFonts w:ascii="Verdana" w:hAnsi="Verdana" w:cs="Arial"/>
          <w:shd w:val="clear" w:color="auto" w:fill="FFFFFF"/>
        </w:rPr>
        <w:t>.</w:t>
      </w:r>
      <w:r w:rsidRPr="00D532CA">
        <w:rPr>
          <w:rFonts w:ascii="Verdana" w:hAnsi="Verdana" w:cs="Arial"/>
          <w:color w:val="FF0000"/>
          <w:shd w:val="clear" w:color="auto" w:fill="FFFFFF"/>
        </w:rPr>
        <w:t xml:space="preserve"> </w:t>
      </w:r>
    </w:p>
    <w:p w14:paraId="50A769DB" w14:textId="77777777" w:rsidR="00BC7813" w:rsidRDefault="00BC7813" w:rsidP="00BC7813">
      <w:pPr>
        <w:widowControl w:val="0"/>
        <w:autoSpaceDE w:val="0"/>
        <w:autoSpaceDN w:val="0"/>
        <w:spacing w:after="0" w:line="240" w:lineRule="auto"/>
        <w:jc w:val="both"/>
        <w:rPr>
          <w:rFonts w:ascii="Verdana" w:hAnsi="Verdana"/>
        </w:rPr>
      </w:pPr>
    </w:p>
    <w:p w14:paraId="4194C53C" w14:textId="77777777" w:rsidR="00BC7813" w:rsidRPr="00AB4B99" w:rsidRDefault="00BC7813" w:rsidP="00BC7813">
      <w:pPr>
        <w:widowControl w:val="0"/>
        <w:autoSpaceDE w:val="0"/>
        <w:autoSpaceDN w:val="0"/>
        <w:spacing w:after="120" w:line="276" w:lineRule="auto"/>
        <w:jc w:val="both"/>
        <w:rPr>
          <w:rFonts w:ascii="Verdana" w:hAnsi="Verdana" w:cs="Arial"/>
          <w:shd w:val="clear" w:color="auto" w:fill="FFFFFF"/>
        </w:rPr>
      </w:pPr>
      <w:r w:rsidRPr="00D532CA">
        <w:rPr>
          <w:rFonts w:ascii="Verdana" w:hAnsi="Verdana"/>
        </w:rPr>
        <w:t>La sostenibilidad no es una opción, es una obligación. Por ello, la Agencia Nacional</w:t>
      </w:r>
      <w:r w:rsidRPr="009A385A">
        <w:rPr>
          <w:rFonts w:ascii="Verdana" w:hAnsi="Verdana"/>
        </w:rPr>
        <w:t xml:space="preserve">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5" w:tgtFrame="_new" w:history="1">
        <w:r w:rsidRPr="008746BD">
          <w:rPr>
            <w:rStyle w:val="Hipervnculo"/>
            <w:rFonts w:ascii="Verdana" w:hAnsi="Verdana"/>
          </w:rPr>
          <w:t>https://formacionvirtual.colombiacompra.gov.co/mod/page/view.php?id=3718</w:t>
        </w:r>
      </w:hyperlink>
    </w:p>
    <w:p w14:paraId="035F5E00" w14:textId="77777777" w:rsidR="00BC7813" w:rsidRDefault="00BC7813" w:rsidP="00BC7813">
      <w:pPr>
        <w:widowControl w:val="0"/>
        <w:autoSpaceDE w:val="0"/>
        <w:autoSpaceDN w:val="0"/>
        <w:spacing w:after="0" w:line="240" w:lineRule="auto"/>
        <w:jc w:val="both"/>
        <w:rPr>
          <w:rFonts w:ascii="Verdana" w:hAnsi="Verdana"/>
        </w:rPr>
      </w:pPr>
    </w:p>
    <w:p w14:paraId="7CA5D93F" w14:textId="77777777" w:rsidR="00BC7813" w:rsidRPr="000E1EA7" w:rsidRDefault="00BC7813" w:rsidP="00BC7813">
      <w:pPr>
        <w:widowControl w:val="0"/>
        <w:autoSpaceDE w:val="0"/>
        <w:autoSpaceDN w:val="0"/>
        <w:spacing w:after="120" w:line="276" w:lineRule="auto"/>
        <w:jc w:val="both"/>
        <w:rPr>
          <w:rStyle w:val="Hipervnculo"/>
          <w:rFonts w:ascii="Verdana" w:hAnsi="Verdana" w:cs="Arial"/>
          <w:color w:val="auto"/>
          <w:u w:val="none"/>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0E1EA7">
          <w:rPr>
            <w:rStyle w:val="Hipervnculo"/>
            <w:rFonts w:ascii="Verdana" w:hAnsi="Verdana"/>
          </w:rPr>
          <w:t>https://www.colombiacompra.gov.co/normativa-y-relatoria/documentos-tipo</w:t>
        </w:r>
      </w:hyperlink>
    </w:p>
    <w:p w14:paraId="7ECE2210" w14:textId="77777777" w:rsidR="00BC7813" w:rsidRDefault="00BC7813" w:rsidP="00BC7813">
      <w:pPr>
        <w:widowControl w:val="0"/>
        <w:autoSpaceDE w:val="0"/>
        <w:autoSpaceDN w:val="0"/>
        <w:spacing w:after="120" w:line="276" w:lineRule="auto"/>
        <w:jc w:val="both"/>
        <w:rPr>
          <w:rStyle w:val="Hipervnculo"/>
          <w:rFonts w:ascii="Verdana" w:hAnsi="Verdana" w:cs="Arial"/>
          <w:color w:val="auto"/>
          <w:u w:val="none"/>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7"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4FDBA3F" w14:textId="77777777" w:rsidR="00BC7813" w:rsidRPr="007A3DD4" w:rsidRDefault="00BC7813" w:rsidP="00BC7813">
      <w:pPr>
        <w:widowControl w:val="0"/>
        <w:autoSpaceDE w:val="0"/>
        <w:autoSpaceDN w:val="0"/>
        <w:spacing w:after="120" w:line="276" w:lineRule="auto"/>
        <w:jc w:val="both"/>
        <w:rPr>
          <w:rFonts w:ascii="Verdana" w:hAnsi="Verdana" w:cs="Arial"/>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54DEE09F" w14:textId="77777777" w:rsidR="00BC7813" w:rsidRPr="00116940" w:rsidRDefault="00BC7813" w:rsidP="00BC7813">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55C1685" w14:textId="77777777" w:rsidR="00BC7813" w:rsidRPr="00116940" w:rsidRDefault="00BC7813" w:rsidP="00BC7813">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38D8AF3A" w14:textId="77777777" w:rsidR="00BC7813" w:rsidRPr="00116940" w:rsidRDefault="00BC7813" w:rsidP="00BC7813">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6BC725C6" w14:textId="77777777" w:rsidR="00BC7813" w:rsidRPr="00116940" w:rsidRDefault="00BC7813" w:rsidP="00BC7813">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520117BD" w14:textId="77777777" w:rsidR="00BC7813" w:rsidRDefault="00BC7813" w:rsidP="00BC7813">
      <w:pPr>
        <w:spacing w:after="0" w:line="240" w:lineRule="auto"/>
        <w:jc w:val="both"/>
        <w:rPr>
          <w:rFonts w:ascii="Verdana" w:hAnsi="Verdana"/>
        </w:rPr>
      </w:pPr>
    </w:p>
    <w:p w14:paraId="0EF87C6A" w14:textId="77777777" w:rsidR="00BC7813" w:rsidRDefault="00BC7813" w:rsidP="00BC7813">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0"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6DC99E4F" w14:textId="77777777" w:rsidR="00BC7813" w:rsidRDefault="00BC7813" w:rsidP="00BC7813">
      <w:pPr>
        <w:spacing w:after="0" w:line="240" w:lineRule="auto"/>
        <w:jc w:val="both"/>
        <w:rPr>
          <w:rFonts w:ascii="Verdana" w:hAnsi="Verdana"/>
        </w:rPr>
      </w:pPr>
    </w:p>
    <w:p w14:paraId="6ACB388E" w14:textId="77777777" w:rsidR="00BC7813" w:rsidRPr="00116940" w:rsidRDefault="00BC7813" w:rsidP="00BC7813">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1145832B" w14:textId="77777777" w:rsidR="00BC7813" w:rsidRPr="008746BD" w:rsidRDefault="00BC7813" w:rsidP="00BC7813">
      <w:pPr>
        <w:spacing w:after="0" w:line="240" w:lineRule="auto"/>
        <w:jc w:val="both"/>
        <w:rPr>
          <w:rFonts w:ascii="Verdana" w:hAnsi="Verdana"/>
        </w:rPr>
      </w:pPr>
    </w:p>
    <w:p w14:paraId="32C5CB88" w14:textId="77777777" w:rsidR="00BC7813" w:rsidRPr="00116940" w:rsidRDefault="00BC7813" w:rsidP="00BC7813">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91E021C" w14:textId="77777777" w:rsidR="00BC7813" w:rsidRPr="00116940" w:rsidRDefault="00BC7813" w:rsidP="00BC7813">
      <w:pPr>
        <w:spacing w:after="0" w:line="276"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3F43E6FB" w14:textId="77777777" w:rsidR="00BC7813" w:rsidRPr="00116940" w:rsidRDefault="00BC7813" w:rsidP="00BC7813">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B00F9DC" w14:textId="77777777" w:rsidR="00BC7813" w:rsidRDefault="00BC7813" w:rsidP="00BC7813">
      <w:pPr>
        <w:spacing w:after="0" w:line="276" w:lineRule="auto"/>
        <w:jc w:val="both"/>
        <w:rPr>
          <w:rFonts w:ascii="Century Gothic" w:eastAsia="Century Gothic" w:hAnsi="Century Gothic" w:cs="Century Gothic"/>
          <w:lang w:val="es-ES" w:eastAsia="es-ES_tradnl"/>
        </w:rPr>
      </w:pPr>
    </w:p>
    <w:p w14:paraId="5F7E3C1F" w14:textId="77777777" w:rsidR="00BC7813" w:rsidRPr="00842775" w:rsidRDefault="00BC7813" w:rsidP="00BC7813">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08D54AE1" w14:textId="77777777" w:rsidR="00BC7813" w:rsidRDefault="00BC7813" w:rsidP="00BC7813">
      <w:pPr>
        <w:spacing w:after="0" w:line="276" w:lineRule="auto"/>
        <w:jc w:val="both"/>
        <w:rPr>
          <w:rFonts w:ascii="Verdana" w:hAnsi="Verdana"/>
          <w:lang w:val="es-MX"/>
        </w:rPr>
      </w:pPr>
    </w:p>
    <w:p w14:paraId="79A65680" w14:textId="77777777" w:rsidR="00BC7813" w:rsidRPr="00330029" w:rsidRDefault="00BC7813" w:rsidP="00BC7813">
      <w:pPr>
        <w:spacing w:after="0" w:line="276" w:lineRule="auto"/>
        <w:jc w:val="both"/>
        <w:rPr>
          <w:rFonts w:ascii="Verdana" w:hAnsi="Verdana"/>
          <w:lang w:val="es-MX"/>
        </w:rPr>
      </w:pPr>
      <w:r w:rsidRPr="00E02524">
        <w:rPr>
          <w:rFonts w:ascii="Verdana" w:hAnsi="Verdana"/>
          <w:lang w:val="es-MX"/>
        </w:rPr>
        <w:t>Cordialmente,</w:t>
      </w:r>
    </w:p>
    <w:p w14:paraId="7D51789D" w14:textId="1CA34890" w:rsidR="00BC7813" w:rsidRDefault="00BC7813" w:rsidP="00BC7813">
      <w:pPr>
        <w:spacing w:after="0" w:line="256" w:lineRule="auto"/>
        <w:jc w:val="center"/>
        <w:rPr>
          <w:rFonts w:ascii="Verdana" w:eastAsia="Calibri" w:hAnsi="Verdana" w:cs="Times New Roman"/>
        </w:rPr>
      </w:pPr>
    </w:p>
    <w:p w14:paraId="398D12A6" w14:textId="51613D91" w:rsidR="00BC7813" w:rsidRDefault="00903F08" w:rsidP="00BC7813">
      <w:pPr>
        <w:spacing w:after="0" w:line="256" w:lineRule="auto"/>
        <w:jc w:val="center"/>
        <w:rPr>
          <w:rFonts w:ascii="Verdana" w:eastAsia="Calibri" w:hAnsi="Verdana" w:cs="Times New Roman"/>
        </w:rPr>
      </w:pPr>
      <w:r w:rsidRPr="0065791A">
        <w:rPr>
          <w:rFonts w:ascii="Century Gothic" w:hAnsi="Century Gothic"/>
          <w:noProof/>
        </w:rPr>
        <w:drawing>
          <wp:inline distT="0" distB="0" distL="0" distR="0" wp14:anchorId="1A83BEDE" wp14:editId="4B3E004C">
            <wp:extent cx="3962953" cy="1867161"/>
            <wp:effectExtent l="0" t="0" r="0" b="0"/>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3962953" cy="1867161"/>
                    </a:xfrm>
                    <a:prstGeom prst="rect">
                      <a:avLst/>
                    </a:prstGeom>
                  </pic:spPr>
                </pic:pic>
              </a:graphicData>
            </a:graphic>
          </wp:inline>
        </w:drawing>
      </w: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BC7813" w:rsidRPr="005644FE" w14:paraId="4C011473" w14:textId="77777777" w:rsidTr="00F76CC4">
        <w:trPr>
          <w:trHeight w:val="288"/>
        </w:trPr>
        <w:tc>
          <w:tcPr>
            <w:tcW w:w="893" w:type="dxa"/>
            <w:vAlign w:val="center"/>
            <w:hideMark/>
          </w:tcPr>
          <w:p w14:paraId="74114EA1" w14:textId="77777777" w:rsidR="00BC7813" w:rsidRPr="00FF63C3" w:rsidRDefault="00BC7813" w:rsidP="00F76CC4">
            <w:pPr>
              <w:contextualSpacing/>
              <w:rPr>
                <w:rFonts w:ascii="Verdana" w:hAnsi="Verdana" w:cs="Arial"/>
                <w:sz w:val="14"/>
                <w:szCs w:val="14"/>
                <w:lang w:eastAsia="es-ES"/>
              </w:rPr>
            </w:pPr>
            <w:r w:rsidRPr="00FF63C3">
              <w:rPr>
                <w:rFonts w:ascii="Verdana" w:hAnsi="Verdana" w:cs="Arial"/>
                <w:sz w:val="14"/>
                <w:szCs w:val="14"/>
                <w:lang w:eastAsia="es-ES"/>
              </w:rPr>
              <w:t>Elaboró:</w:t>
            </w:r>
          </w:p>
        </w:tc>
        <w:tc>
          <w:tcPr>
            <w:tcW w:w="5061" w:type="dxa"/>
            <w:tcBorders>
              <w:top w:val="nil"/>
              <w:left w:val="nil"/>
              <w:bottom w:val="dotted" w:sz="4" w:space="0" w:color="7F7F7F" w:themeColor="text1" w:themeTint="80"/>
              <w:right w:val="nil"/>
            </w:tcBorders>
            <w:vAlign w:val="center"/>
            <w:hideMark/>
          </w:tcPr>
          <w:p w14:paraId="57027F02" w14:textId="77777777" w:rsidR="00BC7813" w:rsidRPr="00FF63C3" w:rsidRDefault="00BC7813" w:rsidP="00F76CC4">
            <w:pPr>
              <w:contextualSpacing/>
              <w:rPr>
                <w:rStyle w:val="normaltextrun"/>
                <w:rFonts w:ascii="Verdana" w:hAnsi="Verdana"/>
                <w:sz w:val="14"/>
                <w:szCs w:val="14"/>
              </w:rPr>
            </w:pPr>
            <w:r w:rsidRPr="00FF63C3">
              <w:rPr>
                <w:rStyle w:val="normaltextrun"/>
                <w:rFonts w:ascii="Verdana" w:hAnsi="Verdana"/>
                <w:sz w:val="14"/>
                <w:szCs w:val="14"/>
              </w:rPr>
              <w:t xml:space="preserve">Esperanza Contreras P </w:t>
            </w:r>
          </w:p>
          <w:p w14:paraId="15CF47C5" w14:textId="77777777" w:rsidR="00BC7813" w:rsidRPr="00FF63C3" w:rsidRDefault="00BC7813" w:rsidP="00F76CC4">
            <w:pPr>
              <w:contextualSpacing/>
              <w:rPr>
                <w:rFonts w:ascii="Verdana" w:eastAsia="Arial" w:hAnsi="Verdana" w:cs="Arial"/>
                <w:sz w:val="14"/>
                <w:szCs w:val="14"/>
              </w:rPr>
            </w:pPr>
            <w:r w:rsidRPr="00FF63C3">
              <w:rPr>
                <w:rStyle w:val="normaltextrun"/>
                <w:rFonts w:ascii="Verdana" w:hAnsi="Verdana" w:cs="Arial"/>
                <w:sz w:val="14"/>
                <w:szCs w:val="14"/>
              </w:rPr>
              <w:t>Contratista de la Subdirección de Gestión Contractual</w:t>
            </w:r>
            <w:r w:rsidRPr="00FF63C3">
              <w:rPr>
                <w:rStyle w:val="eop"/>
                <w:rFonts w:ascii="Verdana" w:hAnsi="Verdana" w:cs="Arial"/>
                <w:sz w:val="14"/>
                <w:szCs w:val="14"/>
              </w:rPr>
              <w:t> </w:t>
            </w:r>
          </w:p>
        </w:tc>
      </w:tr>
      <w:tr w:rsidR="00BC7813" w:rsidRPr="005644FE" w14:paraId="5041467D" w14:textId="77777777" w:rsidTr="00F76CC4">
        <w:trPr>
          <w:trHeight w:val="330"/>
        </w:trPr>
        <w:tc>
          <w:tcPr>
            <w:tcW w:w="893" w:type="dxa"/>
            <w:vAlign w:val="center"/>
            <w:hideMark/>
          </w:tcPr>
          <w:p w14:paraId="607A6F58" w14:textId="77777777" w:rsidR="00BC7813" w:rsidRPr="00FF63C3" w:rsidRDefault="00BC7813" w:rsidP="00F76CC4">
            <w:pPr>
              <w:contextualSpacing/>
              <w:rPr>
                <w:rFonts w:ascii="Verdana" w:hAnsi="Verdana" w:cs="Arial"/>
                <w:sz w:val="14"/>
                <w:szCs w:val="14"/>
                <w:lang w:eastAsia="es-ES"/>
              </w:rPr>
            </w:pPr>
            <w:r w:rsidRPr="00FF63C3">
              <w:rPr>
                <w:rFonts w:ascii="Verdana" w:hAnsi="Verdana" w:cs="Arial"/>
                <w:sz w:val="14"/>
                <w:szCs w:val="14"/>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540E6E91" w14:textId="77777777" w:rsidR="00BC7813" w:rsidRPr="00FF63C3" w:rsidRDefault="00BC7813" w:rsidP="00F76CC4">
            <w:pPr>
              <w:pStyle w:val="paragraph"/>
              <w:spacing w:before="0" w:beforeAutospacing="0" w:after="0" w:afterAutospacing="0"/>
              <w:contextualSpacing/>
              <w:textAlignment w:val="baseline"/>
              <w:rPr>
                <w:rStyle w:val="normaltextrun"/>
                <w:rFonts w:ascii="Verdana" w:hAnsi="Verdana"/>
                <w:sz w:val="14"/>
                <w:szCs w:val="14"/>
              </w:rPr>
            </w:pPr>
            <w:r w:rsidRPr="00FF63C3">
              <w:rPr>
                <w:rStyle w:val="normaltextrun"/>
                <w:rFonts w:ascii="Verdana" w:hAnsi="Verdana"/>
                <w:sz w:val="14"/>
                <w:szCs w:val="14"/>
              </w:rPr>
              <w:t xml:space="preserve">Diana Lucía Saavedra Castañeda. </w:t>
            </w:r>
          </w:p>
          <w:p w14:paraId="48B48438" w14:textId="77777777" w:rsidR="00BC7813" w:rsidRPr="00FF63C3" w:rsidRDefault="00BC7813" w:rsidP="00F76CC4">
            <w:pPr>
              <w:pStyle w:val="paragraph"/>
              <w:spacing w:before="0" w:beforeAutospacing="0" w:after="0" w:afterAutospacing="0"/>
              <w:contextualSpacing/>
              <w:textAlignment w:val="baseline"/>
              <w:rPr>
                <w:rFonts w:ascii="Verdana" w:hAnsi="Verdana" w:cs="Segoe UI"/>
                <w:sz w:val="14"/>
                <w:szCs w:val="14"/>
              </w:rPr>
            </w:pPr>
            <w:r w:rsidRPr="00FF63C3">
              <w:rPr>
                <w:rStyle w:val="normaltextrun"/>
                <w:rFonts w:ascii="Verdana" w:hAnsi="Verdana"/>
                <w:sz w:val="14"/>
                <w:szCs w:val="14"/>
              </w:rPr>
              <w:t xml:space="preserve">Contratista Subdirección Gestión Contractual  </w:t>
            </w:r>
          </w:p>
        </w:tc>
      </w:tr>
      <w:tr w:rsidR="00BC7813" w:rsidRPr="005644FE" w14:paraId="2A632D12" w14:textId="77777777" w:rsidTr="00F76CC4">
        <w:trPr>
          <w:trHeight w:val="300"/>
        </w:trPr>
        <w:tc>
          <w:tcPr>
            <w:tcW w:w="893" w:type="dxa"/>
            <w:vAlign w:val="center"/>
          </w:tcPr>
          <w:p w14:paraId="733A03B2" w14:textId="77777777" w:rsidR="00BC7813" w:rsidRPr="00FF63C3" w:rsidRDefault="00BC7813" w:rsidP="00F76CC4">
            <w:pPr>
              <w:contextualSpacing/>
              <w:rPr>
                <w:rFonts w:ascii="Verdana" w:hAnsi="Verdana" w:cs="Arial"/>
                <w:sz w:val="14"/>
                <w:szCs w:val="14"/>
                <w:lang w:eastAsia="es-ES"/>
              </w:rPr>
            </w:pPr>
            <w:r w:rsidRPr="00FF63C3">
              <w:rPr>
                <w:rFonts w:ascii="Verdana" w:hAnsi="Verdana" w:cs="Arial"/>
                <w:sz w:val="14"/>
                <w:szCs w:val="14"/>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13ACBF26" w14:textId="77777777" w:rsidR="00BC7813" w:rsidRPr="00FF63C3" w:rsidRDefault="00BC7813" w:rsidP="00F76CC4">
            <w:pPr>
              <w:contextualSpacing/>
              <w:rPr>
                <w:rFonts w:ascii="Verdana" w:eastAsia="Calibri" w:hAnsi="Verdana" w:cs="Arial"/>
                <w:sz w:val="14"/>
                <w:szCs w:val="14"/>
                <w:lang w:eastAsia="es-ES"/>
              </w:rPr>
            </w:pPr>
            <w:r w:rsidRPr="00FF63C3">
              <w:rPr>
                <w:rFonts w:ascii="Verdana" w:eastAsia="Calibri" w:hAnsi="Verdana" w:cs="Arial"/>
                <w:sz w:val="14"/>
                <w:szCs w:val="14"/>
                <w:lang w:eastAsia="es-ES"/>
              </w:rPr>
              <w:t>Carolina Quintero Gacharná</w:t>
            </w:r>
          </w:p>
          <w:p w14:paraId="652DD577" w14:textId="77777777" w:rsidR="00BC7813" w:rsidRPr="00FF63C3" w:rsidRDefault="00BC7813" w:rsidP="00F76CC4">
            <w:pPr>
              <w:contextualSpacing/>
              <w:rPr>
                <w:rFonts w:ascii="Verdana" w:eastAsia="Calibri" w:hAnsi="Verdana" w:cs="Arial"/>
                <w:sz w:val="14"/>
                <w:szCs w:val="14"/>
                <w:lang w:eastAsia="es-ES"/>
              </w:rPr>
            </w:pPr>
            <w:r w:rsidRPr="00FF63C3">
              <w:rPr>
                <w:rFonts w:ascii="Verdana" w:eastAsia="Calibri" w:hAnsi="Verdana" w:cs="Arial"/>
                <w:sz w:val="14"/>
                <w:szCs w:val="14"/>
                <w:lang w:eastAsia="es-ES"/>
              </w:rPr>
              <w:t>Subdirectora de Gestión Contractual ANCP – CCE</w:t>
            </w:r>
          </w:p>
        </w:tc>
      </w:tr>
      <w:bookmarkEnd w:id="1"/>
    </w:tbl>
    <w:p w14:paraId="39C4C22A" w14:textId="77777777" w:rsidR="00BC7813" w:rsidRPr="0024624F" w:rsidRDefault="00BC7813" w:rsidP="00BC7813">
      <w:pPr>
        <w:spacing w:after="0"/>
        <w:rPr>
          <w:rFonts w:ascii="Verdana" w:eastAsia="Verdana" w:hAnsi="Verdana" w:cs="Verdana"/>
        </w:rPr>
      </w:pPr>
    </w:p>
    <w:p w14:paraId="4C5988B1" w14:textId="77777777" w:rsidR="00BC7813" w:rsidRPr="0015699B" w:rsidRDefault="00BC7813" w:rsidP="00BC7813">
      <w:pPr>
        <w:spacing w:after="0"/>
        <w:rPr>
          <w:rFonts w:ascii="Verdana" w:eastAsia="Verdana" w:hAnsi="Verdana" w:cs="Verdana"/>
        </w:rPr>
      </w:pPr>
    </w:p>
    <w:p w14:paraId="21DDDA6D" w14:textId="77777777" w:rsidR="00BC7813" w:rsidRPr="0015699B" w:rsidRDefault="00BC7813" w:rsidP="00BC7813">
      <w:pPr>
        <w:spacing w:after="0"/>
        <w:rPr>
          <w:rFonts w:ascii="Verdana" w:eastAsia="Verdana" w:hAnsi="Verdana" w:cs="Verdana"/>
        </w:rPr>
      </w:pPr>
    </w:p>
    <w:p w14:paraId="0F293BF4" w14:textId="180B41B7" w:rsidR="00127233" w:rsidRPr="0015699B" w:rsidRDefault="00127233" w:rsidP="009D7040">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2949" w14:textId="77777777" w:rsidR="00E40E30" w:rsidRDefault="00E40E30" w:rsidP="004A1847">
      <w:pPr>
        <w:spacing w:after="0" w:line="240" w:lineRule="auto"/>
      </w:pPr>
      <w:r>
        <w:separator/>
      </w:r>
    </w:p>
  </w:endnote>
  <w:endnote w:type="continuationSeparator" w:id="0">
    <w:p w14:paraId="199DAF97" w14:textId="77777777" w:rsidR="00E40E30" w:rsidRDefault="00E40E3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E10A" w14:textId="77777777" w:rsidR="00E40E30" w:rsidRDefault="00E40E30" w:rsidP="004A1847">
      <w:pPr>
        <w:spacing w:after="0" w:line="240" w:lineRule="auto"/>
      </w:pPr>
      <w:r>
        <w:separator/>
      </w:r>
    </w:p>
  </w:footnote>
  <w:footnote w:type="continuationSeparator" w:id="0">
    <w:p w14:paraId="418C4198" w14:textId="77777777" w:rsidR="00E40E30" w:rsidRDefault="00E40E30" w:rsidP="004A1847">
      <w:pPr>
        <w:spacing w:after="0" w:line="240" w:lineRule="auto"/>
      </w:pPr>
      <w:r>
        <w:continuationSeparator/>
      </w:r>
    </w:p>
  </w:footnote>
  <w:footnote w:id="1">
    <w:p w14:paraId="44987381" w14:textId="77777777" w:rsidR="00BC7813" w:rsidRPr="00D4326A" w:rsidRDefault="00BC7813" w:rsidP="00BC7813">
      <w:pPr>
        <w:pStyle w:val="Textonotapie"/>
        <w:ind w:firstLine="709"/>
        <w:jc w:val="both"/>
        <w:rPr>
          <w:rFonts w:ascii="Verdana" w:hAnsi="Verdana" w:cs="Arial"/>
          <w:color w:val="000000" w:themeColor="text1"/>
          <w:sz w:val="16"/>
          <w:szCs w:val="16"/>
        </w:rPr>
      </w:pPr>
      <w:r w:rsidRPr="00D4326A">
        <w:rPr>
          <w:rStyle w:val="Refdenotaalpie"/>
          <w:rFonts w:ascii="Verdana" w:hAnsi="Verdana" w:cs="Arial"/>
          <w:color w:val="000000" w:themeColor="text1"/>
          <w:sz w:val="16"/>
          <w:szCs w:val="16"/>
        </w:rPr>
        <w:footnoteRef/>
      </w:r>
      <w:r w:rsidRPr="00D4326A">
        <w:rPr>
          <w:rFonts w:ascii="Verdana" w:hAnsi="Verdana" w:cs="Arial"/>
          <w:color w:val="000000" w:themeColor="text1"/>
          <w:sz w:val="16"/>
          <w:szCs w:val="16"/>
        </w:rPr>
        <w:t xml:space="preserve"> DROMI, José Roberto. La licitación pública. Buenos Aires: Ciudad Argentina, 1980. pp. 173-174. Para el autor, la aplicación de la causal supone que: i) las prestaciones están amparadas legalmente por un derecho de marca; </w:t>
      </w:r>
      <w:proofErr w:type="spellStart"/>
      <w:r w:rsidRPr="00D4326A">
        <w:rPr>
          <w:rFonts w:ascii="Verdana" w:hAnsi="Verdana" w:cs="Arial"/>
          <w:color w:val="000000" w:themeColor="text1"/>
          <w:sz w:val="16"/>
          <w:szCs w:val="16"/>
        </w:rPr>
        <w:t>ii</w:t>
      </w:r>
      <w:proofErr w:type="spellEnd"/>
      <w:r w:rsidRPr="00D4326A">
        <w:rPr>
          <w:rFonts w:ascii="Verdana" w:hAnsi="Verdana" w:cs="Arial"/>
          <w:color w:val="000000" w:themeColor="text1"/>
          <w:sz w:val="16"/>
          <w:szCs w:val="16"/>
        </w:rPr>
        <w:t xml:space="preserve">) la necesidad no puede satisfacerse con equivalentes no sujetos a privilegio, pues de los contrario la causal es inaplicable; </w:t>
      </w:r>
      <w:proofErr w:type="spellStart"/>
      <w:r w:rsidRPr="00D4326A">
        <w:rPr>
          <w:rFonts w:ascii="Verdana" w:hAnsi="Verdana" w:cs="Arial"/>
          <w:color w:val="000000" w:themeColor="text1"/>
          <w:sz w:val="16"/>
          <w:szCs w:val="16"/>
        </w:rPr>
        <w:t>iii</w:t>
      </w:r>
      <w:proofErr w:type="spellEnd"/>
      <w:r w:rsidRPr="00D4326A">
        <w:rPr>
          <w:rFonts w:ascii="Verdana" w:hAnsi="Verdana" w:cs="Arial"/>
          <w:color w:val="000000" w:themeColor="text1"/>
          <w:sz w:val="16"/>
          <w:szCs w:val="16"/>
        </w:rPr>
        <w:t xml:space="preserve">) la necesidad solo pueda satisfacerla el titular de estos derechos, excluyendo que otros aspirantes en condiciones similares también puedan hacerlo; y </w:t>
      </w:r>
      <w:proofErr w:type="spellStart"/>
      <w:r w:rsidRPr="00D4326A">
        <w:rPr>
          <w:rFonts w:ascii="Verdana" w:hAnsi="Verdana" w:cs="Arial"/>
          <w:color w:val="000000" w:themeColor="text1"/>
          <w:sz w:val="16"/>
          <w:szCs w:val="16"/>
        </w:rPr>
        <w:t>iv</w:t>
      </w:r>
      <w:proofErr w:type="spellEnd"/>
      <w:r w:rsidRPr="00D4326A">
        <w:rPr>
          <w:rFonts w:ascii="Verdana" w:hAnsi="Verdana" w:cs="Arial"/>
          <w:color w:val="000000" w:themeColor="text1"/>
          <w:sz w:val="16"/>
          <w:szCs w:val="16"/>
        </w:rPr>
        <w:t>) la existencia de informes técnicos que acrediten la imposibilidad de sustitutos convenientes (Ibidem., p. 174).</w:t>
      </w:r>
    </w:p>
    <w:p w14:paraId="2793F973" w14:textId="77777777" w:rsidR="00BC7813" w:rsidRPr="00121847" w:rsidRDefault="00BC7813" w:rsidP="00BC7813">
      <w:pPr>
        <w:pStyle w:val="Textonotapie"/>
        <w:ind w:firstLine="709"/>
        <w:jc w:val="both"/>
        <w:rPr>
          <w:rFonts w:ascii="Verdana" w:hAnsi="Verdana" w:cs="Arial"/>
          <w:color w:val="000000" w:themeColor="text1"/>
          <w:sz w:val="18"/>
          <w:szCs w:val="18"/>
        </w:rPr>
      </w:pPr>
    </w:p>
  </w:footnote>
  <w:footnote w:id="2">
    <w:p w14:paraId="72D58598" w14:textId="77777777" w:rsidR="00BC7813" w:rsidRPr="00B65D62" w:rsidRDefault="00BC7813" w:rsidP="00BC7813">
      <w:pPr>
        <w:pStyle w:val="Textonotapie"/>
        <w:ind w:firstLine="709"/>
        <w:jc w:val="both"/>
        <w:rPr>
          <w:rFonts w:ascii="Verdana" w:hAnsi="Verdana" w:cs="Arial"/>
          <w:sz w:val="16"/>
          <w:szCs w:val="16"/>
          <w:lang w:val="es-ES"/>
        </w:rPr>
      </w:pPr>
      <w:r w:rsidRPr="00B65D62">
        <w:rPr>
          <w:rStyle w:val="Refdenotaalpie"/>
          <w:rFonts w:ascii="Verdana" w:hAnsi="Verdana" w:cs="Arial"/>
          <w:sz w:val="16"/>
          <w:szCs w:val="16"/>
        </w:rPr>
        <w:footnoteRef/>
      </w:r>
      <w:r w:rsidRPr="00B65D62">
        <w:rPr>
          <w:rFonts w:ascii="Verdana" w:hAnsi="Verdana" w:cs="Arial"/>
          <w:sz w:val="16"/>
          <w:szCs w:val="16"/>
        </w:rPr>
        <w:t xml:space="preserve"> </w:t>
      </w:r>
      <w:r w:rsidRPr="00B65D62">
        <w:rPr>
          <w:rFonts w:ascii="Verdana" w:hAnsi="Verdana" w:cs="Arial"/>
          <w:sz w:val="16"/>
          <w:szCs w:val="16"/>
          <w:lang w:val="es-ES"/>
        </w:rPr>
        <w:t>Así lo ha reconocido la doctrina, al señalar que «La identificación acerca de la inexistencia de más de un proponente es el resultado de los estudios y análisis que debe efectuar la entidad durante la fase previa o preparatoria, tal como de manera expresa lo reconoce dicha norma» (DÁVILA VINUEZA, Luis Guillermo. Régimen jurídico de la contratación estatal. Bogotá: Legis, 2016, p. 506).</w:t>
      </w:r>
    </w:p>
    <w:p w14:paraId="047309BD" w14:textId="77777777" w:rsidR="00BC7813" w:rsidRPr="00B65D62" w:rsidRDefault="00BC7813" w:rsidP="00BC7813">
      <w:pPr>
        <w:pStyle w:val="Textonotapie"/>
        <w:ind w:firstLine="709"/>
        <w:jc w:val="both"/>
        <w:rPr>
          <w:rFonts w:ascii="Verdana" w:hAnsi="Verdana" w:cs="Arial"/>
          <w:sz w:val="16"/>
          <w:szCs w:val="16"/>
          <w:lang w:val="es-ES"/>
        </w:rPr>
      </w:pPr>
    </w:p>
  </w:footnote>
  <w:footnote w:id="3">
    <w:p w14:paraId="33E842F9" w14:textId="77777777" w:rsidR="00BC7813" w:rsidRPr="00475C1D" w:rsidRDefault="00BC7813" w:rsidP="00BC7813">
      <w:pPr>
        <w:pStyle w:val="Textonotapie"/>
        <w:ind w:firstLine="709"/>
        <w:jc w:val="both"/>
        <w:rPr>
          <w:rFonts w:ascii="Verdana" w:hAnsi="Verdana" w:cs="Arial"/>
          <w:sz w:val="16"/>
          <w:szCs w:val="16"/>
        </w:rPr>
      </w:pPr>
      <w:r w:rsidRPr="00475C1D">
        <w:rPr>
          <w:rStyle w:val="Refdenotaalpie"/>
          <w:rFonts w:ascii="Verdana" w:hAnsi="Verdana"/>
          <w:sz w:val="16"/>
          <w:szCs w:val="16"/>
        </w:rPr>
        <w:footnoteRef/>
      </w:r>
      <w:r w:rsidRPr="00475C1D">
        <w:rPr>
          <w:rFonts w:ascii="Verdana" w:hAnsi="Verdana"/>
          <w:sz w:val="16"/>
          <w:szCs w:val="16"/>
        </w:rPr>
        <w:t xml:space="preserve"> </w:t>
      </w:r>
      <w:r w:rsidRPr="00475C1D">
        <w:rPr>
          <w:rFonts w:ascii="Verdana" w:hAnsi="Verdana" w:cs="Arial"/>
          <w:sz w:val="16"/>
          <w:szCs w:val="16"/>
        </w:rPr>
        <w:t xml:space="preserve">El Artículo 2.2.1.2.1.5.3. del Decreto 1082 de 2015 antes de la modificación del Decreto 1860 de 2021 disponía lo siguiente: </w:t>
      </w:r>
      <w:r w:rsidRPr="00475C1D">
        <w:rPr>
          <w:rFonts w:ascii="Verdana" w:hAnsi="Verdana" w:cs="Arial"/>
          <w:bCs/>
          <w:color w:val="000000"/>
          <w:sz w:val="16"/>
          <w:szCs w:val="16"/>
          <w:lang w:val="es-ES_tradnl"/>
        </w:rPr>
        <w:t>«</w:t>
      </w:r>
      <w:r w:rsidRPr="00475C1D">
        <w:rPr>
          <w:rFonts w:ascii="Verdana" w:hAnsi="Verdana" w:cs="Arial"/>
          <w:sz w:val="16"/>
          <w:szCs w:val="16"/>
        </w:rPr>
        <w:t xml:space="preserve">Adquisición en Grandes Superficies cuando se trate de mínima cuantía. Las Entidades Estatales deben aplicar las siguientes reglas para adquirir bienes hasta por el monto de su mínima cuantía en Grandes Superficies: </w:t>
      </w:r>
    </w:p>
    <w:p w14:paraId="705E17DB" w14:textId="77777777" w:rsidR="00BC7813" w:rsidRPr="00475C1D" w:rsidRDefault="00BC7813" w:rsidP="00BC7813">
      <w:pPr>
        <w:pStyle w:val="Textonotapie"/>
        <w:ind w:firstLine="709"/>
        <w:jc w:val="both"/>
        <w:rPr>
          <w:rFonts w:ascii="Verdana" w:hAnsi="Verdana" w:cs="Arial"/>
          <w:sz w:val="16"/>
          <w:szCs w:val="16"/>
        </w:rPr>
      </w:pPr>
      <w:r w:rsidRPr="00475C1D">
        <w:rPr>
          <w:rFonts w:ascii="Verdana" w:hAnsi="Verdana" w:cs="Arial"/>
          <w:bCs/>
          <w:color w:val="000000"/>
          <w:sz w:val="16"/>
          <w:szCs w:val="16"/>
          <w:lang w:val="es-ES_tradnl"/>
        </w:rPr>
        <w:t>«</w:t>
      </w:r>
      <w:r w:rsidRPr="00475C1D">
        <w:rPr>
          <w:rFonts w:ascii="Verdana" w:hAnsi="Verdana" w:cs="Arial"/>
          <w:sz w:val="16"/>
          <w:szCs w:val="16"/>
        </w:rPr>
        <w:t xml:space="preserve">1. La invitación debe estar dirigida a por lo menos dos (2) Grandes Superficies y debe contener: a) la descripción técnica, detallada y completa del bien, identificado con el cuarto nivel del Clasificador de Bienes y Servicios; b) la forma de pago; c) el lugar de entrega; d) el plazo para la entrega de la cotización que debe ser de un (1) día hábil; d) la forma y el lugar de presentación de la cotización, y </w:t>
      </w:r>
      <w:proofErr w:type="spellStart"/>
      <w:r w:rsidRPr="00475C1D">
        <w:rPr>
          <w:rFonts w:ascii="Verdana" w:hAnsi="Verdana" w:cs="Arial"/>
          <w:sz w:val="16"/>
          <w:szCs w:val="16"/>
        </w:rPr>
        <w:t>e</w:t>
      </w:r>
      <w:proofErr w:type="spellEnd"/>
      <w:r w:rsidRPr="00475C1D">
        <w:rPr>
          <w:rFonts w:ascii="Verdana" w:hAnsi="Verdana" w:cs="Arial"/>
          <w:sz w:val="16"/>
          <w:szCs w:val="16"/>
        </w:rPr>
        <w:t xml:space="preserve">) la disponibilidad presupuestal. </w:t>
      </w:r>
    </w:p>
    <w:p w14:paraId="64C61EBF" w14:textId="77777777" w:rsidR="00BC7813" w:rsidRPr="00475C1D" w:rsidRDefault="00BC7813" w:rsidP="00BC7813">
      <w:pPr>
        <w:pStyle w:val="Textonotapie"/>
        <w:ind w:firstLine="709"/>
        <w:jc w:val="both"/>
        <w:rPr>
          <w:rFonts w:ascii="Verdana" w:hAnsi="Verdana" w:cs="Arial"/>
          <w:sz w:val="16"/>
          <w:szCs w:val="16"/>
        </w:rPr>
      </w:pPr>
      <w:r w:rsidRPr="00475C1D">
        <w:rPr>
          <w:rFonts w:ascii="Verdana" w:hAnsi="Verdana" w:cs="Arial"/>
          <w:bCs/>
          <w:color w:val="000000"/>
          <w:sz w:val="16"/>
          <w:szCs w:val="16"/>
          <w:lang w:val="es-ES_tradnl"/>
        </w:rPr>
        <w:t>«</w:t>
      </w:r>
      <w:r w:rsidRPr="00475C1D">
        <w:rPr>
          <w:rFonts w:ascii="Verdana" w:hAnsi="Verdana" w:cs="Arial"/>
          <w:sz w:val="16"/>
          <w:szCs w:val="16"/>
        </w:rPr>
        <w:t xml:space="preserve">2. La Entidad Estatal debe evaluar las cotizaciones presentadas y seleccionar a quien, con las condiciones requeridas, ofrezca el menor precio del mercado y aceptar la mejor oferta. </w:t>
      </w:r>
    </w:p>
    <w:p w14:paraId="1F967EB3" w14:textId="77777777" w:rsidR="00BC7813" w:rsidRPr="00475C1D" w:rsidRDefault="00BC7813" w:rsidP="00BC7813">
      <w:pPr>
        <w:pStyle w:val="Textonotapie"/>
        <w:ind w:firstLine="709"/>
        <w:jc w:val="both"/>
        <w:rPr>
          <w:rFonts w:ascii="Verdana" w:hAnsi="Verdana" w:cs="Arial"/>
          <w:sz w:val="16"/>
          <w:szCs w:val="16"/>
        </w:rPr>
      </w:pPr>
      <w:r w:rsidRPr="00475C1D">
        <w:rPr>
          <w:rFonts w:ascii="Verdana" w:hAnsi="Verdana" w:cs="Arial"/>
          <w:bCs/>
          <w:color w:val="000000"/>
          <w:sz w:val="16"/>
          <w:szCs w:val="16"/>
          <w:lang w:val="es-ES_tradnl"/>
        </w:rPr>
        <w:t>«</w:t>
      </w:r>
      <w:r w:rsidRPr="00475C1D">
        <w:rPr>
          <w:rFonts w:ascii="Verdana" w:hAnsi="Verdana" w:cs="Arial"/>
          <w:sz w:val="16"/>
          <w:szCs w:val="16"/>
        </w:rPr>
        <w:t xml:space="preserve">3. En caso de empate, la Entidad Estatal aceptará la oferta que haya sido presentada primero en el tiempo. </w:t>
      </w:r>
    </w:p>
    <w:p w14:paraId="6B874F6C" w14:textId="77777777" w:rsidR="00BC7813" w:rsidRPr="00475C1D" w:rsidRDefault="00BC7813" w:rsidP="00BC7813">
      <w:pPr>
        <w:pStyle w:val="Textonotapie"/>
        <w:ind w:firstLine="709"/>
        <w:jc w:val="both"/>
        <w:rPr>
          <w:rFonts w:ascii="Verdana" w:hAnsi="Verdana"/>
          <w:sz w:val="16"/>
          <w:szCs w:val="16"/>
          <w:lang w:val="es-CO"/>
        </w:rPr>
      </w:pPr>
      <w:r w:rsidRPr="00475C1D">
        <w:rPr>
          <w:rFonts w:ascii="Verdana" w:hAnsi="Verdana" w:cs="Arial"/>
          <w:bCs/>
          <w:color w:val="000000"/>
          <w:sz w:val="16"/>
          <w:szCs w:val="16"/>
          <w:lang w:val="es-ES_tradnl"/>
        </w:rPr>
        <w:t>«</w:t>
      </w:r>
      <w:r w:rsidRPr="00475C1D">
        <w:rPr>
          <w:rFonts w:ascii="Verdana" w:hAnsi="Verdana" w:cs="Arial"/>
          <w:sz w:val="16"/>
          <w:szCs w:val="16"/>
        </w:rPr>
        <w:t>4. La oferta y su aceptación constituyen el contrato. (Decreto 1510 de 2013, artículo 86)</w:t>
      </w:r>
      <w:r w:rsidRPr="00475C1D">
        <w:rPr>
          <w:rFonts w:ascii="Verdana" w:hAnsi="Verdana" w:cs="Arial"/>
          <w:bCs/>
          <w:color w:val="000000"/>
          <w:sz w:val="16"/>
          <w:szCs w:val="16"/>
          <w:lang w:val="es-ES_tradnl"/>
        </w:rPr>
        <w:t>».</w:t>
      </w:r>
    </w:p>
  </w:footnote>
  <w:footnote w:id="4">
    <w:p w14:paraId="40FEDD7E" w14:textId="77777777" w:rsidR="00BC7813" w:rsidRDefault="00BC7813" w:rsidP="00BC7813">
      <w:pPr>
        <w:pStyle w:val="Textonotapie"/>
        <w:ind w:firstLine="709"/>
        <w:rPr>
          <w:rFonts w:ascii="Verdana" w:hAnsi="Verdana"/>
          <w:sz w:val="16"/>
          <w:szCs w:val="16"/>
          <w:lang w:val="es-ES"/>
        </w:rPr>
      </w:pPr>
      <w:r w:rsidRPr="00824FD2">
        <w:rPr>
          <w:rStyle w:val="Refdenotaalpie"/>
          <w:rFonts w:ascii="Verdana" w:hAnsi="Verdana"/>
          <w:sz w:val="16"/>
          <w:szCs w:val="16"/>
        </w:rPr>
        <w:footnoteRef/>
      </w:r>
      <w:r w:rsidRPr="00824FD2">
        <w:rPr>
          <w:rFonts w:ascii="Verdana" w:hAnsi="Verdana"/>
          <w:sz w:val="16"/>
          <w:szCs w:val="16"/>
        </w:rPr>
        <w:t xml:space="preserve"> </w:t>
      </w:r>
      <w:r w:rsidRPr="00824FD2">
        <w:rPr>
          <w:rFonts w:ascii="Verdana" w:hAnsi="Verdana"/>
          <w:sz w:val="16"/>
          <w:szCs w:val="16"/>
          <w:lang w:val="es-ES"/>
        </w:rPr>
        <w:t xml:space="preserve">Disponible en </w:t>
      </w:r>
      <w:hyperlink r:id="rId1" w:history="1">
        <w:r w:rsidRPr="00824FD2">
          <w:rPr>
            <w:rStyle w:val="Hipervnculo"/>
            <w:rFonts w:ascii="Verdana" w:hAnsi="Verdana"/>
            <w:sz w:val="16"/>
            <w:szCs w:val="16"/>
            <w:lang w:val="es-CO"/>
          </w:rPr>
          <w:t>20221219_guia_de_uso_del_portal_de_proveedores_de_la_tienda_virtual_del_estado_colombiano_grandes_almacenes_0.pdf</w:t>
        </w:r>
      </w:hyperlink>
    </w:p>
    <w:p w14:paraId="0C83FCF9" w14:textId="77777777" w:rsidR="00BC7813" w:rsidRPr="00824FD2" w:rsidRDefault="00BC7813" w:rsidP="00BC7813">
      <w:pPr>
        <w:pStyle w:val="Textonotapie"/>
        <w:ind w:firstLine="709"/>
        <w:rPr>
          <w:rFonts w:ascii="Verdana" w:hAnsi="Verdana"/>
          <w:sz w:val="16"/>
          <w:szCs w:val="16"/>
          <w:lang w:val="es-ES"/>
        </w:rPr>
      </w:pPr>
    </w:p>
  </w:footnote>
  <w:footnote w:id="5">
    <w:p w14:paraId="3E8C99E6" w14:textId="77777777" w:rsidR="00BC7813" w:rsidRPr="004D4531" w:rsidRDefault="00BC7813" w:rsidP="00BC7813">
      <w:pPr>
        <w:pStyle w:val="Textonotapie"/>
        <w:ind w:firstLine="709"/>
        <w:rPr>
          <w:rFonts w:ascii="Verdana" w:hAnsi="Verdana"/>
          <w:sz w:val="16"/>
          <w:szCs w:val="16"/>
          <w:lang w:val="es-ES"/>
        </w:rPr>
      </w:pPr>
      <w:r w:rsidRPr="004D4531">
        <w:rPr>
          <w:rStyle w:val="Refdenotaalpie"/>
          <w:rFonts w:ascii="Verdana" w:hAnsi="Verdana"/>
          <w:sz w:val="16"/>
          <w:szCs w:val="16"/>
        </w:rPr>
        <w:footnoteRef/>
      </w:r>
      <w:r w:rsidRPr="004D4531">
        <w:rPr>
          <w:rFonts w:ascii="Verdana" w:hAnsi="Verdana"/>
          <w:sz w:val="16"/>
          <w:szCs w:val="16"/>
        </w:rPr>
        <w:t xml:space="preserve"> </w:t>
      </w:r>
      <w:r w:rsidRPr="004D4531">
        <w:rPr>
          <w:rFonts w:ascii="Verdana" w:hAnsi="Verdana"/>
          <w:sz w:val="16"/>
          <w:szCs w:val="16"/>
          <w:lang w:val="es-ES"/>
        </w:rPr>
        <w:t xml:space="preserve">Disponible en </w:t>
      </w:r>
      <w:hyperlink r:id="rId2" w:history="1">
        <w:r w:rsidRPr="004D4531">
          <w:rPr>
            <w:rStyle w:val="Hipervnculo"/>
            <w:rFonts w:ascii="Verdana" w:hAnsi="Verdana"/>
            <w:sz w:val="16"/>
            <w:szCs w:val="16"/>
            <w:lang w:val="es-CO"/>
          </w:rPr>
          <w:t>_terminos_y_codiciones_de_uso_de_la_tienda_virtual_del_estado_colombiano_v2_08-08-2022docx.pdf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FBC25EC"/>
    <w:multiLevelType w:val="hybridMultilevel"/>
    <w:tmpl w:val="AD122E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63B328F"/>
    <w:multiLevelType w:val="multilevel"/>
    <w:tmpl w:val="DFC2AD9A"/>
    <w:lvl w:ilvl="0">
      <w:start w:val="1"/>
      <w:numFmt w:val="decimal"/>
      <w:lvlText w:val="%1."/>
      <w:lvlJc w:val="left"/>
      <w:pPr>
        <w:tabs>
          <w:tab w:val="num" w:pos="720"/>
        </w:tabs>
        <w:ind w:left="720"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201802"/>
    <w:multiLevelType w:val="multilevel"/>
    <w:tmpl w:val="96282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9"/>
  </w:num>
  <w:num w:numId="10" w16cid:durableId="1471245386">
    <w:abstractNumId w:val="13"/>
  </w:num>
  <w:num w:numId="11" w16cid:durableId="289172385">
    <w:abstractNumId w:val="10"/>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341274352">
    <w:abstractNumId w:val="0"/>
  </w:num>
  <w:num w:numId="17" w16cid:durableId="1358431546">
    <w:abstractNumId w:val="3"/>
  </w:num>
  <w:num w:numId="18" w16cid:durableId="1964269762">
    <w:abstractNumId w:val="11"/>
  </w:num>
  <w:num w:numId="19" w16cid:durableId="13842553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631FC"/>
    <w:rsid w:val="00082362"/>
    <w:rsid w:val="000A683E"/>
    <w:rsid w:val="000B19B9"/>
    <w:rsid w:val="000D0334"/>
    <w:rsid w:val="000D0C4A"/>
    <w:rsid w:val="000D5DA7"/>
    <w:rsid w:val="000F6486"/>
    <w:rsid w:val="00111AF0"/>
    <w:rsid w:val="00116940"/>
    <w:rsid w:val="00125105"/>
    <w:rsid w:val="00127233"/>
    <w:rsid w:val="0015699B"/>
    <w:rsid w:val="001A33BF"/>
    <w:rsid w:val="001A4C76"/>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26EB6"/>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27000"/>
    <w:rsid w:val="005566E8"/>
    <w:rsid w:val="00574867"/>
    <w:rsid w:val="00591460"/>
    <w:rsid w:val="005A65E0"/>
    <w:rsid w:val="005B0DBC"/>
    <w:rsid w:val="005C3777"/>
    <w:rsid w:val="005C3AD9"/>
    <w:rsid w:val="005C5CDC"/>
    <w:rsid w:val="005D476C"/>
    <w:rsid w:val="006200BF"/>
    <w:rsid w:val="006219F8"/>
    <w:rsid w:val="006302F7"/>
    <w:rsid w:val="00646B9F"/>
    <w:rsid w:val="00665D70"/>
    <w:rsid w:val="006743A9"/>
    <w:rsid w:val="00675C98"/>
    <w:rsid w:val="006900D9"/>
    <w:rsid w:val="006926F0"/>
    <w:rsid w:val="00706C16"/>
    <w:rsid w:val="00715D3F"/>
    <w:rsid w:val="00721113"/>
    <w:rsid w:val="00732EAC"/>
    <w:rsid w:val="007340C3"/>
    <w:rsid w:val="0075235A"/>
    <w:rsid w:val="0075281F"/>
    <w:rsid w:val="00756841"/>
    <w:rsid w:val="007649AB"/>
    <w:rsid w:val="00771D0C"/>
    <w:rsid w:val="007833AC"/>
    <w:rsid w:val="007B268C"/>
    <w:rsid w:val="007B7171"/>
    <w:rsid w:val="007C0C0F"/>
    <w:rsid w:val="007C3DC2"/>
    <w:rsid w:val="007D13EF"/>
    <w:rsid w:val="007E5497"/>
    <w:rsid w:val="00806F5F"/>
    <w:rsid w:val="00820278"/>
    <w:rsid w:val="008258C9"/>
    <w:rsid w:val="00844AE9"/>
    <w:rsid w:val="00867F95"/>
    <w:rsid w:val="008843B6"/>
    <w:rsid w:val="00890740"/>
    <w:rsid w:val="00891928"/>
    <w:rsid w:val="00895010"/>
    <w:rsid w:val="008A446D"/>
    <w:rsid w:val="008B25F1"/>
    <w:rsid w:val="008D180B"/>
    <w:rsid w:val="008F0EA7"/>
    <w:rsid w:val="00903F08"/>
    <w:rsid w:val="00923EEF"/>
    <w:rsid w:val="009419F9"/>
    <w:rsid w:val="0095685E"/>
    <w:rsid w:val="00961B09"/>
    <w:rsid w:val="00965334"/>
    <w:rsid w:val="0097093E"/>
    <w:rsid w:val="009A0DFA"/>
    <w:rsid w:val="009A1C6F"/>
    <w:rsid w:val="009B2D26"/>
    <w:rsid w:val="009C71FA"/>
    <w:rsid w:val="009C72E7"/>
    <w:rsid w:val="009C7F7E"/>
    <w:rsid w:val="009D3058"/>
    <w:rsid w:val="009D7040"/>
    <w:rsid w:val="009F3A13"/>
    <w:rsid w:val="00A122D3"/>
    <w:rsid w:val="00A14468"/>
    <w:rsid w:val="00A17F13"/>
    <w:rsid w:val="00A20739"/>
    <w:rsid w:val="00A23AF9"/>
    <w:rsid w:val="00A33C78"/>
    <w:rsid w:val="00A71217"/>
    <w:rsid w:val="00AB0ADB"/>
    <w:rsid w:val="00B00C0E"/>
    <w:rsid w:val="00B01B1A"/>
    <w:rsid w:val="00B0381D"/>
    <w:rsid w:val="00B44A47"/>
    <w:rsid w:val="00B72CD3"/>
    <w:rsid w:val="00B72FFF"/>
    <w:rsid w:val="00B74549"/>
    <w:rsid w:val="00BC3D36"/>
    <w:rsid w:val="00BC7813"/>
    <w:rsid w:val="00BD54A6"/>
    <w:rsid w:val="00BD7F72"/>
    <w:rsid w:val="00BE2F8E"/>
    <w:rsid w:val="00BF7425"/>
    <w:rsid w:val="00C04FB3"/>
    <w:rsid w:val="00C11D8B"/>
    <w:rsid w:val="00C15139"/>
    <w:rsid w:val="00C330EB"/>
    <w:rsid w:val="00C50D69"/>
    <w:rsid w:val="00C5365C"/>
    <w:rsid w:val="00C754BE"/>
    <w:rsid w:val="00C76B1C"/>
    <w:rsid w:val="00C925AC"/>
    <w:rsid w:val="00CA5B57"/>
    <w:rsid w:val="00CB6357"/>
    <w:rsid w:val="00CC1B26"/>
    <w:rsid w:val="00CC7ECC"/>
    <w:rsid w:val="00CD2C77"/>
    <w:rsid w:val="00D057F1"/>
    <w:rsid w:val="00D361FD"/>
    <w:rsid w:val="00D423A2"/>
    <w:rsid w:val="00D44E26"/>
    <w:rsid w:val="00D520D8"/>
    <w:rsid w:val="00D61475"/>
    <w:rsid w:val="00D63AC2"/>
    <w:rsid w:val="00D7383B"/>
    <w:rsid w:val="00D7788A"/>
    <w:rsid w:val="00DA231B"/>
    <w:rsid w:val="00DC39FC"/>
    <w:rsid w:val="00DF5254"/>
    <w:rsid w:val="00E02524"/>
    <w:rsid w:val="00E16408"/>
    <w:rsid w:val="00E20894"/>
    <w:rsid w:val="00E2423E"/>
    <w:rsid w:val="00E245AB"/>
    <w:rsid w:val="00E2764C"/>
    <w:rsid w:val="00E27F2E"/>
    <w:rsid w:val="00E40E30"/>
    <w:rsid w:val="00E43048"/>
    <w:rsid w:val="00E50AFE"/>
    <w:rsid w:val="00E75C92"/>
    <w:rsid w:val="00E771DC"/>
    <w:rsid w:val="00E8772A"/>
    <w:rsid w:val="00E90F6B"/>
    <w:rsid w:val="00E92C27"/>
    <w:rsid w:val="00EA0E3D"/>
    <w:rsid w:val="00EC38A7"/>
    <w:rsid w:val="00EE1AA8"/>
    <w:rsid w:val="00F15F75"/>
    <w:rsid w:val="00F232FC"/>
    <w:rsid w:val="00F23FEA"/>
    <w:rsid w:val="00F31EDC"/>
    <w:rsid w:val="00F462B3"/>
    <w:rsid w:val="00F5664F"/>
    <w:rsid w:val="00F666C4"/>
    <w:rsid w:val="00F76AFC"/>
    <w:rsid w:val="00FA47C0"/>
    <w:rsid w:val="00FB5DD1"/>
    <w:rsid w:val="00FC2B5D"/>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70F7FE3"/>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C7813"/>
    <w:rPr>
      <w:rFonts w:ascii="Geomanist Light" w:hAnsi="Geomanist Light"/>
      <w:lang w:val="es-ES"/>
    </w:rPr>
  </w:style>
  <w:style w:type="paragraph" w:customStyle="1" w:styleId="Appelnotedebasde">
    <w:name w:val="Appel note de bas de..."/>
    <w:basedOn w:val="Normal"/>
    <w:link w:val="Refdenotaalpie"/>
    <w:uiPriority w:val="99"/>
    <w:rsid w:val="00BC7813"/>
    <w:pPr>
      <w:spacing w:line="240" w:lineRule="exact"/>
    </w:pPr>
    <w:rPr>
      <w:vertAlign w:val="superscript"/>
    </w:rPr>
  </w:style>
  <w:style w:type="character" w:customStyle="1" w:styleId="s15">
    <w:name w:val="s15"/>
    <w:basedOn w:val="Fuentedeprrafopredeter"/>
    <w:rsid w:val="00BC7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peraciones.colombiacompra.gov.co/sites/cce_public/files/cce_tienda_virtual/_terminos_y_codiciones_de_uso_de_la_tienda_virtual_del_estado_colombiano_v2_08-08-2022docx.pdf"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https://operaciones.colombiacompra.gov.co/sites/cce_public/files/cce_tienda_virtual/20221219_guia_de_uso_del_portal_de_proveedores_de_la_tienda_virtual_del_estado_colombiano_grandes_almacenes_0.pdf"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guridad.contratacion@candelaria-valle.gov.co"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operaciones.colombiacompra.gov.co/sites/cce_public/files/cce_tienda_virtual/_terminos_y_codiciones_de_uso_de_la_tienda_virtual_del_estado_colombiano_v2_08-08-2022docx.pdf" TargetMode="External"/><Relationship Id="rId1" Type="http://schemas.openxmlformats.org/officeDocument/2006/relationships/hyperlink" Target="https://operaciones.colombiacompra.gov.co/sites/cce_public/files/cce_tienda_virtual/20221219_guia_de_uso_del_portal_de_proveedores_de_la_tienda_virtual_del_estado_colombiano_grandes_almacenes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D526F7-7292-429F-92D8-627A7F666CAF}"/>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16</Pages>
  <Words>5318</Words>
  <Characters>29253</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4</cp:revision>
  <cp:lastPrinted>2023-01-10T21:18:00Z</cp:lastPrinted>
  <dcterms:created xsi:type="dcterms:W3CDTF">2026-06-26T23:33:00Z</dcterms:created>
  <dcterms:modified xsi:type="dcterms:W3CDTF">2026-06-27T00:32:00Z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